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5176" w14:textId="77777777" w:rsidR="00EC4FD1" w:rsidRDefault="00EC4FD1" w:rsidP="00EC4FD1">
      <w:pPr>
        <w:pStyle w:val="Title"/>
        <w:spacing w:before="3000"/>
      </w:pPr>
      <w:r w:rsidRPr="00EC4FD1">
        <w:t xml:space="preserve">The Try, Test and Learn Fund: </w:t>
      </w:r>
    </w:p>
    <w:p w14:paraId="3DF0031E" w14:textId="0C413654" w:rsidR="00794773" w:rsidRPr="00EC4FD1" w:rsidRDefault="0047509F" w:rsidP="00EC4FD1">
      <w:pPr>
        <w:pStyle w:val="Title"/>
        <w:spacing w:before="3000"/>
      </w:pPr>
      <w:r>
        <w:t>Build and Grow</w:t>
      </w:r>
      <w:r w:rsidR="00EC4FD1" w:rsidRPr="00EC4FD1">
        <w:t xml:space="preserve"> Project</w:t>
      </w:r>
    </w:p>
    <w:p w14:paraId="3BB47B47" w14:textId="77777777" w:rsidR="00794773" w:rsidRPr="00C836BC" w:rsidRDefault="00794773" w:rsidP="00C836BC">
      <w:pPr>
        <w:pStyle w:val="Title"/>
      </w:pPr>
      <w:r w:rsidRPr="00C836BC">
        <w:t>Guidelines</w:t>
      </w:r>
    </w:p>
    <w:p w14:paraId="15EA236B"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027A21D4" w14:textId="77777777" w:rsidTr="00096839">
        <w:trPr>
          <w:tblHeader/>
        </w:trPr>
        <w:tc>
          <w:tcPr>
            <w:tcW w:w="2977" w:type="dxa"/>
          </w:tcPr>
          <w:p w14:paraId="525D846E" w14:textId="77777777" w:rsidR="00794773" w:rsidRPr="005F4563" w:rsidRDefault="00794773" w:rsidP="00694DF9">
            <w:pPr>
              <w:spacing w:line="240" w:lineRule="auto"/>
              <w:jc w:val="both"/>
            </w:pPr>
            <w:r w:rsidRPr="005F4563">
              <w:t>Opening date:</w:t>
            </w:r>
          </w:p>
        </w:tc>
        <w:tc>
          <w:tcPr>
            <w:tcW w:w="6404" w:type="dxa"/>
            <w:shd w:val="clear" w:color="auto" w:fill="auto"/>
          </w:tcPr>
          <w:p w14:paraId="68AE5184" w14:textId="03521534" w:rsidR="00794773" w:rsidRPr="00FA7845" w:rsidRDefault="00AA17B3" w:rsidP="0047509F">
            <w:pPr>
              <w:pStyle w:val="inputcomment"/>
              <w:rPr>
                <w:b w:val="0"/>
                <w:color w:val="auto"/>
              </w:rPr>
            </w:pPr>
            <w:r w:rsidRPr="00FA7845">
              <w:rPr>
                <w:b w:val="0"/>
                <w:color w:val="auto"/>
              </w:rPr>
              <w:t xml:space="preserve">15 </w:t>
            </w:r>
            <w:r w:rsidR="0047509F" w:rsidRPr="00FA7845">
              <w:rPr>
                <w:b w:val="0"/>
                <w:color w:val="auto"/>
              </w:rPr>
              <w:t xml:space="preserve">November  </w:t>
            </w:r>
            <w:r w:rsidR="0054451B" w:rsidRPr="00FA7845">
              <w:rPr>
                <w:b w:val="0"/>
                <w:color w:val="auto"/>
              </w:rPr>
              <w:t>2017</w:t>
            </w:r>
          </w:p>
        </w:tc>
      </w:tr>
      <w:tr w:rsidR="00794773" w:rsidRPr="007040EB" w14:paraId="3926C812" w14:textId="77777777" w:rsidTr="002C7BB1">
        <w:tc>
          <w:tcPr>
            <w:tcW w:w="2977" w:type="dxa"/>
          </w:tcPr>
          <w:p w14:paraId="22707292" w14:textId="77777777" w:rsidR="00794773" w:rsidRPr="005F4563" w:rsidRDefault="00794773" w:rsidP="00694DF9">
            <w:pPr>
              <w:spacing w:line="240" w:lineRule="auto"/>
              <w:jc w:val="both"/>
            </w:pPr>
            <w:r w:rsidRPr="005F4563">
              <w:t>Closing date and time:</w:t>
            </w:r>
          </w:p>
        </w:tc>
        <w:tc>
          <w:tcPr>
            <w:tcW w:w="6404" w:type="dxa"/>
            <w:shd w:val="clear" w:color="auto" w:fill="auto"/>
          </w:tcPr>
          <w:p w14:paraId="4EE8197E" w14:textId="300DC6D9" w:rsidR="00794773" w:rsidRPr="00FA7845" w:rsidRDefault="0054451B" w:rsidP="001D6EC7">
            <w:pPr>
              <w:pStyle w:val="inputcomment"/>
              <w:rPr>
                <w:b w:val="0"/>
                <w:color w:val="auto"/>
              </w:rPr>
            </w:pPr>
            <w:r w:rsidRPr="00FA7845">
              <w:rPr>
                <w:b w:val="0"/>
                <w:color w:val="auto"/>
              </w:rPr>
              <w:t>2</w:t>
            </w:r>
            <w:r w:rsidR="00B008A6">
              <w:rPr>
                <w:b w:val="0"/>
                <w:color w:val="auto"/>
              </w:rPr>
              <w:t>.00pm</w:t>
            </w:r>
            <w:r w:rsidRPr="00FA7845">
              <w:rPr>
                <w:b w:val="0"/>
                <w:color w:val="auto"/>
              </w:rPr>
              <w:t xml:space="preserve"> AEDT </w:t>
            </w:r>
            <w:r w:rsidR="00794773" w:rsidRPr="00FA7845">
              <w:rPr>
                <w:b w:val="0"/>
                <w:color w:val="auto"/>
              </w:rPr>
              <w:t xml:space="preserve"> </w:t>
            </w:r>
            <w:r w:rsidR="00AA17B3" w:rsidRPr="00AA17B3">
              <w:rPr>
                <w:b w:val="0"/>
                <w:color w:val="auto"/>
              </w:rPr>
              <w:t>2</w:t>
            </w:r>
            <w:r w:rsidR="001D6EC7">
              <w:rPr>
                <w:b w:val="0"/>
                <w:color w:val="auto"/>
              </w:rPr>
              <w:t>2</w:t>
            </w:r>
            <w:r w:rsidR="00AA17B3" w:rsidRPr="00FA7845">
              <w:rPr>
                <w:b w:val="0"/>
                <w:color w:val="auto"/>
              </w:rPr>
              <w:t xml:space="preserve"> </w:t>
            </w:r>
            <w:r w:rsidR="0047509F" w:rsidRPr="00FA7845">
              <w:rPr>
                <w:b w:val="0"/>
                <w:color w:val="auto"/>
              </w:rPr>
              <w:t xml:space="preserve">November </w:t>
            </w:r>
            <w:r w:rsidRPr="00FA7845">
              <w:rPr>
                <w:b w:val="0"/>
                <w:color w:val="auto"/>
              </w:rPr>
              <w:t>2017</w:t>
            </w:r>
          </w:p>
        </w:tc>
      </w:tr>
      <w:tr w:rsidR="00EC4FD1" w:rsidRPr="007040EB" w14:paraId="1C553F8E" w14:textId="77777777" w:rsidTr="002C7BB1">
        <w:tc>
          <w:tcPr>
            <w:tcW w:w="2977" w:type="dxa"/>
          </w:tcPr>
          <w:p w14:paraId="1FD63774"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781A199B" w14:textId="77777777" w:rsidR="00EC4FD1" w:rsidRPr="00AA17B3" w:rsidRDefault="00EC4FD1" w:rsidP="00EC4FD1">
            <w:pPr>
              <w:spacing w:line="276" w:lineRule="auto"/>
            </w:pPr>
            <w:r w:rsidRPr="00FA7845">
              <w:t>Department of Social Services</w:t>
            </w:r>
          </w:p>
        </w:tc>
      </w:tr>
      <w:tr w:rsidR="00794773" w:rsidRPr="007040EB" w14:paraId="54FD39C0" w14:textId="77777777" w:rsidTr="002C7BB1">
        <w:tc>
          <w:tcPr>
            <w:tcW w:w="2977" w:type="dxa"/>
          </w:tcPr>
          <w:p w14:paraId="0D73E1F6"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7DBDF13D" w14:textId="77777777" w:rsidR="00AA17B3" w:rsidRDefault="00AA17B3" w:rsidP="00AA17B3">
            <w:pPr>
              <w:spacing w:line="240" w:lineRule="auto"/>
            </w:pPr>
            <w:r w:rsidRPr="002C7BB1">
              <w:t>If you have any questions, please contact</w:t>
            </w:r>
            <w:r>
              <w:t>:</w:t>
            </w:r>
          </w:p>
          <w:p w14:paraId="7ADCB94D" w14:textId="77777777" w:rsidR="00AA17B3" w:rsidRDefault="00AA17B3" w:rsidP="00AA17B3">
            <w:pPr>
              <w:spacing w:line="240" w:lineRule="auto"/>
            </w:pPr>
            <w:r>
              <w:t>Phone: 1800 020 283</w:t>
            </w:r>
          </w:p>
          <w:p w14:paraId="31B056C3" w14:textId="74F61C28" w:rsidR="00794773" w:rsidRPr="002C7BB1" w:rsidRDefault="00AA17B3" w:rsidP="00AA17B3">
            <w:pPr>
              <w:spacing w:line="240" w:lineRule="auto"/>
            </w:pPr>
            <w:r>
              <w:t xml:space="preserve">Email: </w:t>
            </w:r>
            <w:hyperlink r:id="rId8" w:history="1">
              <w:r w:rsidRPr="00D97A28">
                <w:rPr>
                  <w:rStyle w:val="Hyperlink"/>
                  <w:rFonts w:cstheme="minorBidi"/>
                </w:rPr>
                <w:t>support@communitygrants.gov.au</w:t>
              </w:r>
            </w:hyperlink>
          </w:p>
        </w:tc>
      </w:tr>
      <w:tr w:rsidR="00794773" w:rsidRPr="007040EB" w14:paraId="1C59E0F4" w14:textId="77777777" w:rsidTr="002C7BB1">
        <w:tc>
          <w:tcPr>
            <w:tcW w:w="2977" w:type="dxa"/>
          </w:tcPr>
          <w:p w14:paraId="119D5C76"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5CF0C8F2" w14:textId="7412FD6F" w:rsidR="00794773" w:rsidRPr="00AA17B3" w:rsidRDefault="00AA17B3" w:rsidP="00AA17B3">
            <w:pPr>
              <w:spacing w:line="240" w:lineRule="auto"/>
            </w:pPr>
            <w:r w:rsidRPr="003E4C54">
              <w:t>15 November 2017</w:t>
            </w:r>
          </w:p>
        </w:tc>
      </w:tr>
      <w:tr w:rsidR="00794773" w14:paraId="3DB599F9" w14:textId="77777777" w:rsidTr="002C7BB1">
        <w:tc>
          <w:tcPr>
            <w:tcW w:w="2977" w:type="dxa"/>
          </w:tcPr>
          <w:p w14:paraId="3F17BFD7"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0D2774B9" w14:textId="77777777" w:rsidR="00B6687E" w:rsidRPr="00FA7845" w:rsidRDefault="00794773" w:rsidP="00EC4FD1">
            <w:pPr>
              <w:spacing w:line="276" w:lineRule="auto"/>
            </w:pPr>
            <w:r w:rsidRPr="00FA7845">
              <w:t>Restricted non-competitive</w:t>
            </w:r>
          </w:p>
        </w:tc>
      </w:tr>
      <w:tr w:rsidR="00B6687E" w14:paraId="70F5A03C" w14:textId="77777777" w:rsidTr="002C7BB1">
        <w:tc>
          <w:tcPr>
            <w:tcW w:w="2977" w:type="dxa"/>
          </w:tcPr>
          <w:p w14:paraId="7AE0CB35" w14:textId="62531A71" w:rsidR="00B6687E" w:rsidRPr="007040EB" w:rsidRDefault="00B6687E" w:rsidP="00694DF9">
            <w:pPr>
              <w:spacing w:line="240" w:lineRule="auto"/>
              <w:jc w:val="both"/>
            </w:pPr>
            <w:bookmarkStart w:id="0" w:name="_GoBack" w:colFirst="0" w:colLast="2"/>
          </w:p>
        </w:tc>
        <w:tc>
          <w:tcPr>
            <w:tcW w:w="6404" w:type="dxa"/>
            <w:shd w:val="clear" w:color="auto" w:fill="auto"/>
          </w:tcPr>
          <w:p w14:paraId="1CE0A3B9" w14:textId="2CEB84D1" w:rsidR="00B6687E" w:rsidRPr="00FA7845" w:rsidRDefault="00B6687E" w:rsidP="000F21AC">
            <w:pPr>
              <w:spacing w:line="240" w:lineRule="auto"/>
              <w:rPr>
                <w:color w:val="AD8800" w:themeColor="accent3" w:themeShade="BF"/>
              </w:rPr>
            </w:pPr>
          </w:p>
        </w:tc>
      </w:tr>
      <w:bookmarkEnd w:id="0"/>
    </w:tbl>
    <w:p w14:paraId="1A110833" w14:textId="77777777" w:rsidR="003142DD" w:rsidRDefault="003142DD" w:rsidP="005E0682">
      <w:r>
        <w:br w:type="page"/>
      </w:r>
    </w:p>
    <w:p w14:paraId="1A743D4F" w14:textId="77777777" w:rsidR="0020122A" w:rsidRDefault="0020122A" w:rsidP="0020122A">
      <w:pPr>
        <w:pStyle w:val="TOCHeading"/>
      </w:pPr>
      <w:r>
        <w:lastRenderedPageBreak/>
        <w:t>Contents</w:t>
      </w:r>
    </w:p>
    <w:p w14:paraId="1B73507D" w14:textId="1366DFB2" w:rsidR="00834540"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19746" w:history="1">
        <w:r w:rsidR="00834540" w:rsidRPr="00A74968">
          <w:rPr>
            <w:rStyle w:val="Hyperlink"/>
            <w:noProof/>
          </w:rPr>
          <w:t>1.</w:t>
        </w:r>
        <w:r w:rsidR="00834540">
          <w:rPr>
            <w:rFonts w:eastAsiaTheme="minorEastAsia"/>
            <w:b w:val="0"/>
            <w:noProof/>
            <w:sz w:val="22"/>
            <w:lang w:eastAsia="en-AU"/>
          </w:rPr>
          <w:tab/>
        </w:r>
        <w:r w:rsidR="00834540" w:rsidRPr="00A74968">
          <w:rPr>
            <w:rStyle w:val="Hyperlink"/>
            <w:noProof/>
          </w:rPr>
          <w:t>The Try, Test and Learn Fund: Build and Grow Project  overview</w:t>
        </w:r>
        <w:r w:rsidR="00834540">
          <w:rPr>
            <w:noProof/>
            <w:webHidden/>
          </w:rPr>
          <w:tab/>
        </w:r>
        <w:r w:rsidR="00834540">
          <w:rPr>
            <w:noProof/>
            <w:webHidden/>
          </w:rPr>
          <w:fldChar w:fldCharType="begin"/>
        </w:r>
        <w:r w:rsidR="00834540">
          <w:rPr>
            <w:noProof/>
            <w:webHidden/>
          </w:rPr>
          <w:instrText xml:space="preserve"> PAGEREF _Toc497819746 \h </w:instrText>
        </w:r>
        <w:r w:rsidR="00834540">
          <w:rPr>
            <w:noProof/>
            <w:webHidden/>
          </w:rPr>
        </w:r>
        <w:r w:rsidR="00834540">
          <w:rPr>
            <w:noProof/>
            <w:webHidden/>
          </w:rPr>
          <w:fldChar w:fldCharType="separate"/>
        </w:r>
        <w:r w:rsidR="00834540">
          <w:rPr>
            <w:noProof/>
            <w:webHidden/>
          </w:rPr>
          <w:t>4</w:t>
        </w:r>
        <w:r w:rsidR="00834540">
          <w:rPr>
            <w:noProof/>
            <w:webHidden/>
          </w:rPr>
          <w:fldChar w:fldCharType="end"/>
        </w:r>
      </w:hyperlink>
    </w:p>
    <w:p w14:paraId="31E39105" w14:textId="245329F5" w:rsidR="00834540" w:rsidRDefault="00AE07C0">
      <w:pPr>
        <w:pStyle w:val="TOC2"/>
        <w:rPr>
          <w:rFonts w:eastAsiaTheme="minorEastAsia"/>
          <w:noProof/>
          <w:lang w:eastAsia="en-AU"/>
        </w:rPr>
      </w:pPr>
      <w:hyperlink w:anchor="_Toc497819747" w:history="1">
        <w:r w:rsidR="00834540" w:rsidRPr="00A74968">
          <w:rPr>
            <w:rStyle w:val="Hyperlink"/>
            <w:noProof/>
          </w:rPr>
          <w:t>1.1</w:t>
        </w:r>
        <w:r w:rsidR="00834540">
          <w:rPr>
            <w:rFonts w:eastAsiaTheme="minorEastAsia"/>
            <w:noProof/>
            <w:lang w:eastAsia="en-AU"/>
          </w:rPr>
          <w:tab/>
        </w:r>
        <w:r w:rsidR="00834540" w:rsidRPr="00A74968">
          <w:rPr>
            <w:rStyle w:val="Hyperlink"/>
            <w:noProof/>
          </w:rPr>
          <w:t>About the grant process</w:t>
        </w:r>
        <w:r w:rsidR="00834540">
          <w:rPr>
            <w:noProof/>
            <w:webHidden/>
          </w:rPr>
          <w:tab/>
        </w:r>
        <w:r w:rsidR="00834540">
          <w:rPr>
            <w:noProof/>
            <w:webHidden/>
          </w:rPr>
          <w:fldChar w:fldCharType="begin"/>
        </w:r>
        <w:r w:rsidR="00834540">
          <w:rPr>
            <w:noProof/>
            <w:webHidden/>
          </w:rPr>
          <w:instrText xml:space="preserve"> PAGEREF _Toc497819747 \h </w:instrText>
        </w:r>
        <w:r w:rsidR="00834540">
          <w:rPr>
            <w:noProof/>
            <w:webHidden/>
          </w:rPr>
        </w:r>
        <w:r w:rsidR="00834540">
          <w:rPr>
            <w:noProof/>
            <w:webHidden/>
          </w:rPr>
          <w:fldChar w:fldCharType="separate"/>
        </w:r>
        <w:r w:rsidR="00834540">
          <w:rPr>
            <w:noProof/>
            <w:webHidden/>
          </w:rPr>
          <w:t>4</w:t>
        </w:r>
        <w:r w:rsidR="00834540">
          <w:rPr>
            <w:noProof/>
            <w:webHidden/>
          </w:rPr>
          <w:fldChar w:fldCharType="end"/>
        </w:r>
      </w:hyperlink>
    </w:p>
    <w:p w14:paraId="023F3CD8" w14:textId="02F4E4F4" w:rsidR="00834540" w:rsidRDefault="00AE07C0">
      <w:pPr>
        <w:pStyle w:val="TOC2"/>
        <w:rPr>
          <w:rFonts w:eastAsiaTheme="minorEastAsia"/>
          <w:noProof/>
          <w:lang w:eastAsia="en-AU"/>
        </w:rPr>
      </w:pPr>
      <w:hyperlink w:anchor="_Toc497819748" w:history="1">
        <w:r w:rsidR="00834540" w:rsidRPr="00A74968">
          <w:rPr>
            <w:rStyle w:val="Hyperlink"/>
            <w:noProof/>
          </w:rPr>
          <w:t>1.2</w:t>
        </w:r>
        <w:r w:rsidR="00834540">
          <w:rPr>
            <w:rFonts w:eastAsiaTheme="minorEastAsia"/>
            <w:noProof/>
            <w:lang w:eastAsia="en-AU"/>
          </w:rPr>
          <w:tab/>
        </w:r>
        <w:r w:rsidR="00834540" w:rsidRPr="00A74968">
          <w:rPr>
            <w:rStyle w:val="Hyperlink"/>
            <w:noProof/>
          </w:rPr>
          <w:t>Role of the Community Grants Hub</w:t>
        </w:r>
        <w:r w:rsidR="00834540">
          <w:rPr>
            <w:noProof/>
            <w:webHidden/>
          </w:rPr>
          <w:tab/>
        </w:r>
        <w:r w:rsidR="00834540">
          <w:rPr>
            <w:noProof/>
            <w:webHidden/>
          </w:rPr>
          <w:fldChar w:fldCharType="begin"/>
        </w:r>
        <w:r w:rsidR="00834540">
          <w:rPr>
            <w:noProof/>
            <w:webHidden/>
          </w:rPr>
          <w:instrText xml:space="preserve"> PAGEREF _Toc497819748 \h </w:instrText>
        </w:r>
        <w:r w:rsidR="00834540">
          <w:rPr>
            <w:noProof/>
            <w:webHidden/>
          </w:rPr>
        </w:r>
        <w:r w:rsidR="00834540">
          <w:rPr>
            <w:noProof/>
            <w:webHidden/>
          </w:rPr>
          <w:fldChar w:fldCharType="separate"/>
        </w:r>
        <w:r w:rsidR="00834540">
          <w:rPr>
            <w:noProof/>
            <w:webHidden/>
          </w:rPr>
          <w:t>5</w:t>
        </w:r>
        <w:r w:rsidR="00834540">
          <w:rPr>
            <w:noProof/>
            <w:webHidden/>
          </w:rPr>
          <w:fldChar w:fldCharType="end"/>
        </w:r>
      </w:hyperlink>
    </w:p>
    <w:p w14:paraId="4F0DDDA5" w14:textId="7D58A11E" w:rsidR="00834540" w:rsidRDefault="00AE07C0">
      <w:pPr>
        <w:pStyle w:val="TOC2"/>
        <w:rPr>
          <w:rFonts w:eastAsiaTheme="minorEastAsia"/>
          <w:noProof/>
          <w:lang w:eastAsia="en-AU"/>
        </w:rPr>
      </w:pPr>
      <w:hyperlink w:anchor="_Toc497819749" w:history="1">
        <w:r w:rsidR="00834540" w:rsidRPr="00A74968">
          <w:rPr>
            <w:rStyle w:val="Hyperlink"/>
            <w:noProof/>
          </w:rPr>
          <w:t>1.3</w:t>
        </w:r>
        <w:r w:rsidR="00834540">
          <w:rPr>
            <w:rFonts w:eastAsiaTheme="minorEastAsia"/>
            <w:noProof/>
            <w:lang w:eastAsia="en-AU"/>
          </w:rPr>
          <w:tab/>
        </w:r>
        <w:r w:rsidR="00834540" w:rsidRPr="00A74968">
          <w:rPr>
            <w:rStyle w:val="Hyperlink"/>
            <w:noProof/>
          </w:rPr>
          <w:t>About the grant program</w:t>
        </w:r>
        <w:r w:rsidR="00834540">
          <w:rPr>
            <w:noProof/>
            <w:webHidden/>
          </w:rPr>
          <w:tab/>
        </w:r>
        <w:r w:rsidR="00834540">
          <w:rPr>
            <w:noProof/>
            <w:webHidden/>
          </w:rPr>
          <w:fldChar w:fldCharType="begin"/>
        </w:r>
        <w:r w:rsidR="00834540">
          <w:rPr>
            <w:noProof/>
            <w:webHidden/>
          </w:rPr>
          <w:instrText xml:space="preserve"> PAGEREF _Toc497819749 \h </w:instrText>
        </w:r>
        <w:r w:rsidR="00834540">
          <w:rPr>
            <w:noProof/>
            <w:webHidden/>
          </w:rPr>
        </w:r>
        <w:r w:rsidR="00834540">
          <w:rPr>
            <w:noProof/>
            <w:webHidden/>
          </w:rPr>
          <w:fldChar w:fldCharType="separate"/>
        </w:r>
        <w:r w:rsidR="00834540">
          <w:rPr>
            <w:noProof/>
            <w:webHidden/>
          </w:rPr>
          <w:t>5</w:t>
        </w:r>
        <w:r w:rsidR="00834540">
          <w:rPr>
            <w:noProof/>
            <w:webHidden/>
          </w:rPr>
          <w:fldChar w:fldCharType="end"/>
        </w:r>
      </w:hyperlink>
    </w:p>
    <w:p w14:paraId="61FCDF1B" w14:textId="1296437D" w:rsidR="00834540" w:rsidRDefault="00AE07C0">
      <w:pPr>
        <w:pStyle w:val="TOC2"/>
        <w:rPr>
          <w:rFonts w:eastAsiaTheme="minorEastAsia"/>
          <w:noProof/>
          <w:lang w:eastAsia="en-AU"/>
        </w:rPr>
      </w:pPr>
      <w:hyperlink w:anchor="_Toc497819750" w:history="1">
        <w:r w:rsidR="00834540" w:rsidRPr="00A74968">
          <w:rPr>
            <w:rStyle w:val="Hyperlink"/>
            <w:noProof/>
          </w:rPr>
          <w:t>1.4</w:t>
        </w:r>
        <w:r w:rsidR="00834540">
          <w:rPr>
            <w:rFonts w:eastAsiaTheme="minorEastAsia"/>
            <w:noProof/>
            <w:lang w:eastAsia="en-AU"/>
          </w:rPr>
          <w:tab/>
        </w:r>
        <w:r w:rsidR="00834540" w:rsidRPr="00A74968">
          <w:rPr>
            <w:rStyle w:val="Hyperlink"/>
            <w:noProof/>
          </w:rPr>
          <w:t>Background to the grant opportunity</w:t>
        </w:r>
        <w:r w:rsidR="00834540">
          <w:rPr>
            <w:noProof/>
            <w:webHidden/>
          </w:rPr>
          <w:tab/>
        </w:r>
        <w:r w:rsidR="00834540">
          <w:rPr>
            <w:noProof/>
            <w:webHidden/>
          </w:rPr>
          <w:fldChar w:fldCharType="begin"/>
        </w:r>
        <w:r w:rsidR="00834540">
          <w:rPr>
            <w:noProof/>
            <w:webHidden/>
          </w:rPr>
          <w:instrText xml:space="preserve"> PAGEREF _Toc497819750 \h </w:instrText>
        </w:r>
        <w:r w:rsidR="00834540">
          <w:rPr>
            <w:noProof/>
            <w:webHidden/>
          </w:rPr>
        </w:r>
        <w:r w:rsidR="00834540">
          <w:rPr>
            <w:noProof/>
            <w:webHidden/>
          </w:rPr>
          <w:fldChar w:fldCharType="separate"/>
        </w:r>
        <w:r w:rsidR="00834540">
          <w:rPr>
            <w:noProof/>
            <w:webHidden/>
          </w:rPr>
          <w:t>6</w:t>
        </w:r>
        <w:r w:rsidR="00834540">
          <w:rPr>
            <w:noProof/>
            <w:webHidden/>
          </w:rPr>
          <w:fldChar w:fldCharType="end"/>
        </w:r>
      </w:hyperlink>
    </w:p>
    <w:p w14:paraId="3D07E953" w14:textId="3E0F6ED8" w:rsidR="00834540" w:rsidRDefault="00AE07C0">
      <w:pPr>
        <w:pStyle w:val="TOC3"/>
        <w:rPr>
          <w:rFonts w:eastAsiaTheme="minorEastAsia"/>
          <w:noProof/>
          <w:lang w:eastAsia="en-AU"/>
        </w:rPr>
      </w:pPr>
      <w:hyperlink w:anchor="_Toc497819751" w:history="1">
        <w:r w:rsidR="00834540" w:rsidRPr="00A74968">
          <w:rPr>
            <w:rStyle w:val="Hyperlink"/>
            <w:noProof/>
          </w:rPr>
          <w:t>1.4.1</w:t>
        </w:r>
        <w:r w:rsidR="00834540">
          <w:rPr>
            <w:rFonts w:eastAsiaTheme="minorEastAsia"/>
            <w:noProof/>
            <w:lang w:eastAsia="en-AU"/>
          </w:rPr>
          <w:tab/>
        </w:r>
        <w:r w:rsidR="00834540" w:rsidRPr="00A74968">
          <w:rPr>
            <w:rStyle w:val="Hyperlink"/>
            <w:noProof/>
          </w:rPr>
          <w:t>Overview</w:t>
        </w:r>
        <w:r w:rsidR="00834540">
          <w:rPr>
            <w:noProof/>
            <w:webHidden/>
          </w:rPr>
          <w:tab/>
        </w:r>
        <w:r w:rsidR="00834540">
          <w:rPr>
            <w:noProof/>
            <w:webHidden/>
          </w:rPr>
          <w:fldChar w:fldCharType="begin"/>
        </w:r>
        <w:r w:rsidR="00834540">
          <w:rPr>
            <w:noProof/>
            <w:webHidden/>
          </w:rPr>
          <w:instrText xml:space="preserve"> PAGEREF _Toc497819751 \h </w:instrText>
        </w:r>
        <w:r w:rsidR="00834540">
          <w:rPr>
            <w:noProof/>
            <w:webHidden/>
          </w:rPr>
        </w:r>
        <w:r w:rsidR="00834540">
          <w:rPr>
            <w:noProof/>
            <w:webHidden/>
          </w:rPr>
          <w:fldChar w:fldCharType="separate"/>
        </w:r>
        <w:r w:rsidR="00834540">
          <w:rPr>
            <w:noProof/>
            <w:webHidden/>
          </w:rPr>
          <w:t>6</w:t>
        </w:r>
        <w:r w:rsidR="00834540">
          <w:rPr>
            <w:noProof/>
            <w:webHidden/>
          </w:rPr>
          <w:fldChar w:fldCharType="end"/>
        </w:r>
      </w:hyperlink>
    </w:p>
    <w:p w14:paraId="738ED8CF" w14:textId="793460D3" w:rsidR="00834540" w:rsidRDefault="00AE07C0">
      <w:pPr>
        <w:pStyle w:val="TOC3"/>
        <w:rPr>
          <w:rFonts w:eastAsiaTheme="minorEastAsia"/>
          <w:noProof/>
          <w:lang w:eastAsia="en-AU"/>
        </w:rPr>
      </w:pPr>
      <w:hyperlink w:anchor="_Toc497819752" w:history="1">
        <w:r w:rsidR="00834540" w:rsidRPr="00A74968">
          <w:rPr>
            <w:rStyle w:val="Hyperlink"/>
            <w:noProof/>
          </w:rPr>
          <w:t>1.4.2</w:t>
        </w:r>
        <w:r w:rsidR="00834540">
          <w:rPr>
            <w:rFonts w:eastAsiaTheme="minorEastAsia"/>
            <w:noProof/>
            <w:lang w:eastAsia="en-AU"/>
          </w:rPr>
          <w:tab/>
        </w:r>
        <w:r w:rsidR="00834540" w:rsidRPr="00A74968">
          <w:rPr>
            <w:rStyle w:val="Hyperlink"/>
            <w:noProof/>
          </w:rPr>
          <w:t>The Australian Priority Investment Approach to Welfare and the Try, Test and Learn Fund</w:t>
        </w:r>
        <w:r w:rsidR="00834540">
          <w:rPr>
            <w:noProof/>
            <w:webHidden/>
          </w:rPr>
          <w:tab/>
        </w:r>
        <w:r w:rsidR="00834540">
          <w:rPr>
            <w:noProof/>
            <w:webHidden/>
          </w:rPr>
          <w:fldChar w:fldCharType="begin"/>
        </w:r>
        <w:r w:rsidR="00834540">
          <w:rPr>
            <w:noProof/>
            <w:webHidden/>
          </w:rPr>
          <w:instrText xml:space="preserve"> PAGEREF _Toc497819752 \h </w:instrText>
        </w:r>
        <w:r w:rsidR="00834540">
          <w:rPr>
            <w:noProof/>
            <w:webHidden/>
          </w:rPr>
        </w:r>
        <w:r w:rsidR="00834540">
          <w:rPr>
            <w:noProof/>
            <w:webHidden/>
          </w:rPr>
          <w:fldChar w:fldCharType="separate"/>
        </w:r>
        <w:r w:rsidR="00834540">
          <w:rPr>
            <w:noProof/>
            <w:webHidden/>
          </w:rPr>
          <w:t>7</w:t>
        </w:r>
        <w:r w:rsidR="00834540">
          <w:rPr>
            <w:noProof/>
            <w:webHidden/>
          </w:rPr>
          <w:fldChar w:fldCharType="end"/>
        </w:r>
      </w:hyperlink>
    </w:p>
    <w:p w14:paraId="4A207E3A" w14:textId="01B769AE" w:rsidR="00834540" w:rsidRDefault="00AE07C0">
      <w:pPr>
        <w:pStyle w:val="TOC3"/>
        <w:rPr>
          <w:rFonts w:eastAsiaTheme="minorEastAsia"/>
          <w:noProof/>
          <w:lang w:eastAsia="en-AU"/>
        </w:rPr>
      </w:pPr>
      <w:hyperlink w:anchor="_Toc497819753" w:history="1">
        <w:r w:rsidR="00834540" w:rsidRPr="00A74968">
          <w:rPr>
            <w:rStyle w:val="Hyperlink"/>
            <w:noProof/>
          </w:rPr>
          <w:t>1.4.3</w:t>
        </w:r>
        <w:r w:rsidR="00834540">
          <w:rPr>
            <w:rFonts w:eastAsiaTheme="minorEastAsia"/>
            <w:noProof/>
            <w:lang w:eastAsia="en-AU"/>
          </w:rPr>
          <w:tab/>
        </w:r>
        <w:r w:rsidR="00834540" w:rsidRPr="00A74968">
          <w:rPr>
            <w:rStyle w:val="Hyperlink"/>
            <w:noProof/>
          </w:rPr>
          <w:t>Tranche 1 priority groups</w:t>
        </w:r>
        <w:r w:rsidR="00834540">
          <w:rPr>
            <w:noProof/>
            <w:webHidden/>
          </w:rPr>
          <w:tab/>
        </w:r>
        <w:r w:rsidR="00834540">
          <w:rPr>
            <w:noProof/>
            <w:webHidden/>
          </w:rPr>
          <w:fldChar w:fldCharType="begin"/>
        </w:r>
        <w:r w:rsidR="00834540">
          <w:rPr>
            <w:noProof/>
            <w:webHidden/>
          </w:rPr>
          <w:instrText xml:space="preserve"> PAGEREF _Toc497819753 \h </w:instrText>
        </w:r>
        <w:r w:rsidR="00834540">
          <w:rPr>
            <w:noProof/>
            <w:webHidden/>
          </w:rPr>
        </w:r>
        <w:r w:rsidR="00834540">
          <w:rPr>
            <w:noProof/>
            <w:webHidden/>
          </w:rPr>
          <w:fldChar w:fldCharType="separate"/>
        </w:r>
        <w:r w:rsidR="00834540">
          <w:rPr>
            <w:noProof/>
            <w:webHidden/>
          </w:rPr>
          <w:t>8</w:t>
        </w:r>
        <w:r w:rsidR="00834540">
          <w:rPr>
            <w:noProof/>
            <w:webHidden/>
          </w:rPr>
          <w:fldChar w:fldCharType="end"/>
        </w:r>
      </w:hyperlink>
    </w:p>
    <w:p w14:paraId="5B9748D1" w14:textId="5D4CDFC0" w:rsidR="00834540" w:rsidRDefault="00AE07C0">
      <w:pPr>
        <w:pStyle w:val="TOC3"/>
        <w:rPr>
          <w:rFonts w:eastAsiaTheme="minorEastAsia"/>
          <w:noProof/>
          <w:lang w:eastAsia="en-AU"/>
        </w:rPr>
      </w:pPr>
      <w:hyperlink w:anchor="_Toc497819754" w:history="1">
        <w:r w:rsidR="00834540" w:rsidRPr="00A74968">
          <w:rPr>
            <w:rStyle w:val="Hyperlink"/>
            <w:noProof/>
          </w:rPr>
          <w:t>1.4.4</w:t>
        </w:r>
        <w:r w:rsidR="00834540">
          <w:rPr>
            <w:rFonts w:eastAsiaTheme="minorEastAsia"/>
            <w:noProof/>
            <w:lang w:eastAsia="en-AU"/>
          </w:rPr>
          <w:tab/>
        </w:r>
        <w:r w:rsidR="00834540" w:rsidRPr="00A74968">
          <w:rPr>
            <w:rStyle w:val="Hyperlink"/>
            <w:noProof/>
          </w:rPr>
          <w:t>Tranche 1 stage 2 project development and selection</w:t>
        </w:r>
        <w:r w:rsidR="00834540">
          <w:rPr>
            <w:noProof/>
            <w:webHidden/>
          </w:rPr>
          <w:tab/>
        </w:r>
        <w:r w:rsidR="00834540">
          <w:rPr>
            <w:noProof/>
            <w:webHidden/>
          </w:rPr>
          <w:fldChar w:fldCharType="begin"/>
        </w:r>
        <w:r w:rsidR="00834540">
          <w:rPr>
            <w:noProof/>
            <w:webHidden/>
          </w:rPr>
          <w:instrText xml:space="preserve"> PAGEREF _Toc497819754 \h </w:instrText>
        </w:r>
        <w:r w:rsidR="00834540">
          <w:rPr>
            <w:noProof/>
            <w:webHidden/>
          </w:rPr>
        </w:r>
        <w:r w:rsidR="00834540">
          <w:rPr>
            <w:noProof/>
            <w:webHidden/>
          </w:rPr>
          <w:fldChar w:fldCharType="separate"/>
        </w:r>
        <w:r w:rsidR="00834540">
          <w:rPr>
            <w:noProof/>
            <w:webHidden/>
          </w:rPr>
          <w:t>8</w:t>
        </w:r>
        <w:r w:rsidR="00834540">
          <w:rPr>
            <w:noProof/>
            <w:webHidden/>
          </w:rPr>
          <w:fldChar w:fldCharType="end"/>
        </w:r>
      </w:hyperlink>
    </w:p>
    <w:p w14:paraId="55D15A48" w14:textId="5338816E" w:rsidR="00834540" w:rsidRDefault="00AE07C0">
      <w:pPr>
        <w:pStyle w:val="TOC3"/>
        <w:rPr>
          <w:rFonts w:eastAsiaTheme="minorEastAsia"/>
          <w:noProof/>
          <w:lang w:eastAsia="en-AU"/>
        </w:rPr>
      </w:pPr>
      <w:hyperlink w:anchor="_Toc497819755" w:history="1">
        <w:r w:rsidR="00834540" w:rsidRPr="00A74968">
          <w:rPr>
            <w:rStyle w:val="Hyperlink"/>
            <w:noProof/>
          </w:rPr>
          <w:t>1.4.5</w:t>
        </w:r>
        <w:r w:rsidR="00834540">
          <w:rPr>
            <w:rFonts w:eastAsiaTheme="minorEastAsia"/>
            <w:noProof/>
            <w:lang w:eastAsia="en-AU"/>
          </w:rPr>
          <w:tab/>
        </w:r>
        <w:r w:rsidR="00834540" w:rsidRPr="00A74968">
          <w:rPr>
            <w:rStyle w:val="Hyperlink"/>
            <w:noProof/>
          </w:rPr>
          <w:t>Tranche 1 stage 2 project funding (January 2018 onwards)</w:t>
        </w:r>
        <w:r w:rsidR="00834540">
          <w:rPr>
            <w:noProof/>
            <w:webHidden/>
          </w:rPr>
          <w:tab/>
        </w:r>
        <w:r w:rsidR="00834540">
          <w:rPr>
            <w:noProof/>
            <w:webHidden/>
          </w:rPr>
          <w:fldChar w:fldCharType="begin"/>
        </w:r>
        <w:r w:rsidR="00834540">
          <w:rPr>
            <w:noProof/>
            <w:webHidden/>
          </w:rPr>
          <w:instrText xml:space="preserve"> PAGEREF _Toc497819755 \h </w:instrText>
        </w:r>
        <w:r w:rsidR="00834540">
          <w:rPr>
            <w:noProof/>
            <w:webHidden/>
          </w:rPr>
        </w:r>
        <w:r w:rsidR="00834540">
          <w:rPr>
            <w:noProof/>
            <w:webHidden/>
          </w:rPr>
          <w:fldChar w:fldCharType="separate"/>
        </w:r>
        <w:r w:rsidR="00834540">
          <w:rPr>
            <w:noProof/>
            <w:webHidden/>
          </w:rPr>
          <w:t>10</w:t>
        </w:r>
        <w:r w:rsidR="00834540">
          <w:rPr>
            <w:noProof/>
            <w:webHidden/>
          </w:rPr>
          <w:fldChar w:fldCharType="end"/>
        </w:r>
      </w:hyperlink>
    </w:p>
    <w:p w14:paraId="5B816C9F" w14:textId="62CFE159" w:rsidR="00834540" w:rsidRDefault="00AE07C0">
      <w:pPr>
        <w:pStyle w:val="TOC2"/>
        <w:rPr>
          <w:rFonts w:eastAsiaTheme="minorEastAsia"/>
          <w:noProof/>
          <w:lang w:eastAsia="en-AU"/>
        </w:rPr>
      </w:pPr>
      <w:hyperlink w:anchor="_Toc497819756" w:history="1">
        <w:r w:rsidR="00834540" w:rsidRPr="00A74968">
          <w:rPr>
            <w:rStyle w:val="Hyperlink"/>
            <w:noProof/>
          </w:rPr>
          <w:t>1.5</w:t>
        </w:r>
        <w:r w:rsidR="00834540">
          <w:rPr>
            <w:rFonts w:eastAsiaTheme="minorEastAsia"/>
            <w:noProof/>
            <w:lang w:eastAsia="en-AU"/>
          </w:rPr>
          <w:tab/>
        </w:r>
        <w:r w:rsidR="00834540" w:rsidRPr="00A74968">
          <w:rPr>
            <w:rStyle w:val="Hyperlink"/>
            <w:noProof/>
          </w:rPr>
          <w:t>Grant opportunity objectives and outcomes</w:t>
        </w:r>
        <w:r w:rsidR="00834540">
          <w:rPr>
            <w:noProof/>
            <w:webHidden/>
          </w:rPr>
          <w:tab/>
        </w:r>
        <w:r w:rsidR="00834540">
          <w:rPr>
            <w:noProof/>
            <w:webHidden/>
          </w:rPr>
          <w:fldChar w:fldCharType="begin"/>
        </w:r>
        <w:r w:rsidR="00834540">
          <w:rPr>
            <w:noProof/>
            <w:webHidden/>
          </w:rPr>
          <w:instrText xml:space="preserve"> PAGEREF _Toc497819756 \h </w:instrText>
        </w:r>
        <w:r w:rsidR="00834540">
          <w:rPr>
            <w:noProof/>
            <w:webHidden/>
          </w:rPr>
        </w:r>
        <w:r w:rsidR="00834540">
          <w:rPr>
            <w:noProof/>
            <w:webHidden/>
          </w:rPr>
          <w:fldChar w:fldCharType="separate"/>
        </w:r>
        <w:r w:rsidR="00834540">
          <w:rPr>
            <w:noProof/>
            <w:webHidden/>
          </w:rPr>
          <w:t>10</w:t>
        </w:r>
        <w:r w:rsidR="00834540">
          <w:rPr>
            <w:noProof/>
            <w:webHidden/>
          </w:rPr>
          <w:fldChar w:fldCharType="end"/>
        </w:r>
      </w:hyperlink>
    </w:p>
    <w:p w14:paraId="0F310241" w14:textId="285B83F5" w:rsidR="00834540" w:rsidRDefault="00AE07C0">
      <w:pPr>
        <w:pStyle w:val="TOC1"/>
        <w:rPr>
          <w:rFonts w:eastAsiaTheme="minorEastAsia"/>
          <w:b w:val="0"/>
          <w:noProof/>
          <w:sz w:val="22"/>
          <w:lang w:eastAsia="en-AU"/>
        </w:rPr>
      </w:pPr>
      <w:hyperlink w:anchor="_Toc497819757" w:history="1">
        <w:r w:rsidR="00834540" w:rsidRPr="00A74968">
          <w:rPr>
            <w:rStyle w:val="Hyperlink"/>
            <w:noProof/>
          </w:rPr>
          <w:t>2.</w:t>
        </w:r>
        <w:r w:rsidR="00834540">
          <w:rPr>
            <w:rFonts w:eastAsiaTheme="minorEastAsia"/>
            <w:b w:val="0"/>
            <w:noProof/>
            <w:sz w:val="22"/>
            <w:lang w:eastAsia="en-AU"/>
          </w:rPr>
          <w:tab/>
        </w:r>
        <w:r w:rsidR="00834540" w:rsidRPr="00A74968">
          <w:rPr>
            <w:rStyle w:val="Hyperlink"/>
            <w:noProof/>
          </w:rPr>
          <w:t>Grant amount</w:t>
        </w:r>
        <w:r w:rsidR="00834540">
          <w:rPr>
            <w:noProof/>
            <w:webHidden/>
          </w:rPr>
          <w:tab/>
        </w:r>
        <w:r w:rsidR="00834540">
          <w:rPr>
            <w:noProof/>
            <w:webHidden/>
          </w:rPr>
          <w:fldChar w:fldCharType="begin"/>
        </w:r>
        <w:r w:rsidR="00834540">
          <w:rPr>
            <w:noProof/>
            <w:webHidden/>
          </w:rPr>
          <w:instrText xml:space="preserve"> PAGEREF _Toc497819757 \h </w:instrText>
        </w:r>
        <w:r w:rsidR="00834540">
          <w:rPr>
            <w:noProof/>
            <w:webHidden/>
          </w:rPr>
        </w:r>
        <w:r w:rsidR="00834540">
          <w:rPr>
            <w:noProof/>
            <w:webHidden/>
          </w:rPr>
          <w:fldChar w:fldCharType="separate"/>
        </w:r>
        <w:r w:rsidR="00834540">
          <w:rPr>
            <w:noProof/>
            <w:webHidden/>
          </w:rPr>
          <w:t>11</w:t>
        </w:r>
        <w:r w:rsidR="00834540">
          <w:rPr>
            <w:noProof/>
            <w:webHidden/>
          </w:rPr>
          <w:fldChar w:fldCharType="end"/>
        </w:r>
      </w:hyperlink>
    </w:p>
    <w:p w14:paraId="66304011" w14:textId="04D4FD61" w:rsidR="00834540" w:rsidRDefault="00AE07C0">
      <w:pPr>
        <w:pStyle w:val="TOC1"/>
        <w:rPr>
          <w:rFonts w:eastAsiaTheme="minorEastAsia"/>
          <w:b w:val="0"/>
          <w:noProof/>
          <w:sz w:val="22"/>
          <w:lang w:eastAsia="en-AU"/>
        </w:rPr>
      </w:pPr>
      <w:hyperlink w:anchor="_Toc497819758" w:history="1">
        <w:r w:rsidR="00834540" w:rsidRPr="00A74968">
          <w:rPr>
            <w:rStyle w:val="Hyperlink"/>
            <w:noProof/>
          </w:rPr>
          <w:t>3.</w:t>
        </w:r>
        <w:r w:rsidR="00834540">
          <w:rPr>
            <w:rFonts w:eastAsiaTheme="minorEastAsia"/>
            <w:b w:val="0"/>
            <w:noProof/>
            <w:sz w:val="22"/>
            <w:lang w:eastAsia="en-AU"/>
          </w:rPr>
          <w:tab/>
        </w:r>
        <w:r w:rsidR="00834540" w:rsidRPr="00A74968">
          <w:rPr>
            <w:rStyle w:val="Hyperlink"/>
            <w:noProof/>
          </w:rPr>
          <w:t>Grant eligibility criteria</w:t>
        </w:r>
        <w:r w:rsidR="00834540">
          <w:rPr>
            <w:noProof/>
            <w:webHidden/>
          </w:rPr>
          <w:tab/>
        </w:r>
        <w:r w:rsidR="00834540">
          <w:rPr>
            <w:noProof/>
            <w:webHidden/>
          </w:rPr>
          <w:fldChar w:fldCharType="begin"/>
        </w:r>
        <w:r w:rsidR="00834540">
          <w:rPr>
            <w:noProof/>
            <w:webHidden/>
          </w:rPr>
          <w:instrText xml:space="preserve"> PAGEREF _Toc497819758 \h </w:instrText>
        </w:r>
        <w:r w:rsidR="00834540">
          <w:rPr>
            <w:noProof/>
            <w:webHidden/>
          </w:rPr>
        </w:r>
        <w:r w:rsidR="00834540">
          <w:rPr>
            <w:noProof/>
            <w:webHidden/>
          </w:rPr>
          <w:fldChar w:fldCharType="separate"/>
        </w:r>
        <w:r w:rsidR="00834540">
          <w:rPr>
            <w:noProof/>
            <w:webHidden/>
          </w:rPr>
          <w:t>11</w:t>
        </w:r>
        <w:r w:rsidR="00834540">
          <w:rPr>
            <w:noProof/>
            <w:webHidden/>
          </w:rPr>
          <w:fldChar w:fldCharType="end"/>
        </w:r>
      </w:hyperlink>
    </w:p>
    <w:p w14:paraId="6416BED0" w14:textId="3C90FEC2" w:rsidR="00834540" w:rsidRDefault="00AE07C0">
      <w:pPr>
        <w:pStyle w:val="TOC2"/>
        <w:rPr>
          <w:rFonts w:eastAsiaTheme="minorEastAsia"/>
          <w:noProof/>
          <w:lang w:eastAsia="en-AU"/>
        </w:rPr>
      </w:pPr>
      <w:hyperlink w:anchor="_Toc497819759" w:history="1">
        <w:r w:rsidR="00834540" w:rsidRPr="00A74968">
          <w:rPr>
            <w:rStyle w:val="Hyperlink"/>
            <w:noProof/>
          </w:rPr>
          <w:t>3.1</w:t>
        </w:r>
        <w:r w:rsidR="00834540">
          <w:rPr>
            <w:rFonts w:eastAsiaTheme="minorEastAsia"/>
            <w:noProof/>
            <w:lang w:eastAsia="en-AU"/>
          </w:rPr>
          <w:tab/>
        </w:r>
        <w:r w:rsidR="00834540" w:rsidRPr="00A74968">
          <w:rPr>
            <w:rStyle w:val="Hyperlink"/>
            <w:noProof/>
          </w:rPr>
          <w:t>Who is eligible to apply for a grant?</w:t>
        </w:r>
        <w:r w:rsidR="00834540">
          <w:rPr>
            <w:noProof/>
            <w:webHidden/>
          </w:rPr>
          <w:tab/>
        </w:r>
        <w:r w:rsidR="00834540">
          <w:rPr>
            <w:noProof/>
            <w:webHidden/>
          </w:rPr>
          <w:fldChar w:fldCharType="begin"/>
        </w:r>
        <w:r w:rsidR="00834540">
          <w:rPr>
            <w:noProof/>
            <w:webHidden/>
          </w:rPr>
          <w:instrText xml:space="preserve"> PAGEREF _Toc497819759 \h </w:instrText>
        </w:r>
        <w:r w:rsidR="00834540">
          <w:rPr>
            <w:noProof/>
            <w:webHidden/>
          </w:rPr>
        </w:r>
        <w:r w:rsidR="00834540">
          <w:rPr>
            <w:noProof/>
            <w:webHidden/>
          </w:rPr>
          <w:fldChar w:fldCharType="separate"/>
        </w:r>
        <w:r w:rsidR="00834540">
          <w:rPr>
            <w:noProof/>
            <w:webHidden/>
          </w:rPr>
          <w:t>11</w:t>
        </w:r>
        <w:r w:rsidR="00834540">
          <w:rPr>
            <w:noProof/>
            <w:webHidden/>
          </w:rPr>
          <w:fldChar w:fldCharType="end"/>
        </w:r>
      </w:hyperlink>
    </w:p>
    <w:p w14:paraId="57A32E51" w14:textId="3739436F" w:rsidR="00834540" w:rsidRDefault="00AE07C0">
      <w:pPr>
        <w:pStyle w:val="TOC3"/>
        <w:rPr>
          <w:rFonts w:eastAsiaTheme="minorEastAsia"/>
          <w:noProof/>
          <w:lang w:eastAsia="en-AU"/>
        </w:rPr>
      </w:pPr>
      <w:hyperlink w:anchor="_Toc497819760" w:history="1">
        <w:r w:rsidR="00834540" w:rsidRPr="00A74968">
          <w:rPr>
            <w:rStyle w:val="Hyperlink"/>
            <w:noProof/>
          </w:rPr>
          <w:t>3.1.1</w:t>
        </w:r>
        <w:r w:rsidR="00834540">
          <w:rPr>
            <w:rFonts w:eastAsiaTheme="minorEastAsia"/>
            <w:noProof/>
            <w:lang w:eastAsia="en-AU"/>
          </w:rPr>
          <w:tab/>
        </w:r>
        <w:r w:rsidR="00834540" w:rsidRPr="00A74968">
          <w:rPr>
            <w:rStyle w:val="Hyperlink"/>
            <w:noProof/>
          </w:rPr>
          <w:t>Eligible applicant</w:t>
        </w:r>
        <w:r w:rsidR="00834540">
          <w:rPr>
            <w:noProof/>
            <w:webHidden/>
          </w:rPr>
          <w:tab/>
        </w:r>
        <w:r w:rsidR="00834540">
          <w:rPr>
            <w:noProof/>
            <w:webHidden/>
          </w:rPr>
          <w:fldChar w:fldCharType="begin"/>
        </w:r>
        <w:r w:rsidR="00834540">
          <w:rPr>
            <w:noProof/>
            <w:webHidden/>
          </w:rPr>
          <w:instrText xml:space="preserve"> PAGEREF _Toc497819760 \h </w:instrText>
        </w:r>
        <w:r w:rsidR="00834540">
          <w:rPr>
            <w:noProof/>
            <w:webHidden/>
          </w:rPr>
        </w:r>
        <w:r w:rsidR="00834540">
          <w:rPr>
            <w:noProof/>
            <w:webHidden/>
          </w:rPr>
          <w:fldChar w:fldCharType="separate"/>
        </w:r>
        <w:r w:rsidR="00834540">
          <w:rPr>
            <w:noProof/>
            <w:webHidden/>
          </w:rPr>
          <w:t>12</w:t>
        </w:r>
        <w:r w:rsidR="00834540">
          <w:rPr>
            <w:noProof/>
            <w:webHidden/>
          </w:rPr>
          <w:fldChar w:fldCharType="end"/>
        </w:r>
      </w:hyperlink>
    </w:p>
    <w:p w14:paraId="2A34C3D3" w14:textId="2AB9232B" w:rsidR="00834540" w:rsidRDefault="00AE07C0">
      <w:pPr>
        <w:pStyle w:val="TOC1"/>
        <w:rPr>
          <w:rFonts w:eastAsiaTheme="minorEastAsia"/>
          <w:b w:val="0"/>
          <w:noProof/>
          <w:sz w:val="22"/>
          <w:lang w:eastAsia="en-AU"/>
        </w:rPr>
      </w:pPr>
      <w:hyperlink w:anchor="_Toc497819761" w:history="1">
        <w:r w:rsidR="00834540" w:rsidRPr="00A74968">
          <w:rPr>
            <w:rStyle w:val="Hyperlink"/>
            <w:noProof/>
          </w:rPr>
          <w:t>4.</w:t>
        </w:r>
        <w:r w:rsidR="00834540">
          <w:rPr>
            <w:rFonts w:eastAsiaTheme="minorEastAsia"/>
            <w:b w:val="0"/>
            <w:noProof/>
            <w:sz w:val="22"/>
            <w:lang w:eastAsia="en-AU"/>
          </w:rPr>
          <w:tab/>
        </w:r>
        <w:r w:rsidR="00834540" w:rsidRPr="00A74968">
          <w:rPr>
            <w:rStyle w:val="Hyperlink"/>
            <w:noProof/>
          </w:rPr>
          <w:t>Eligible grant activities</w:t>
        </w:r>
        <w:r w:rsidR="00834540">
          <w:rPr>
            <w:noProof/>
            <w:webHidden/>
          </w:rPr>
          <w:tab/>
        </w:r>
        <w:r w:rsidR="00834540">
          <w:rPr>
            <w:noProof/>
            <w:webHidden/>
          </w:rPr>
          <w:fldChar w:fldCharType="begin"/>
        </w:r>
        <w:r w:rsidR="00834540">
          <w:rPr>
            <w:noProof/>
            <w:webHidden/>
          </w:rPr>
          <w:instrText xml:space="preserve"> PAGEREF _Toc497819761 \h </w:instrText>
        </w:r>
        <w:r w:rsidR="00834540">
          <w:rPr>
            <w:noProof/>
            <w:webHidden/>
          </w:rPr>
        </w:r>
        <w:r w:rsidR="00834540">
          <w:rPr>
            <w:noProof/>
            <w:webHidden/>
          </w:rPr>
          <w:fldChar w:fldCharType="separate"/>
        </w:r>
        <w:r w:rsidR="00834540">
          <w:rPr>
            <w:noProof/>
            <w:webHidden/>
          </w:rPr>
          <w:t>13</w:t>
        </w:r>
        <w:r w:rsidR="00834540">
          <w:rPr>
            <w:noProof/>
            <w:webHidden/>
          </w:rPr>
          <w:fldChar w:fldCharType="end"/>
        </w:r>
      </w:hyperlink>
    </w:p>
    <w:p w14:paraId="45494CCB" w14:textId="7E392842" w:rsidR="00834540" w:rsidRDefault="00AE07C0">
      <w:pPr>
        <w:pStyle w:val="TOC2"/>
        <w:rPr>
          <w:rFonts w:eastAsiaTheme="minorEastAsia"/>
          <w:noProof/>
          <w:lang w:eastAsia="en-AU"/>
        </w:rPr>
      </w:pPr>
      <w:hyperlink w:anchor="_Toc497819762" w:history="1">
        <w:r w:rsidR="00834540" w:rsidRPr="00A74968">
          <w:rPr>
            <w:rStyle w:val="Hyperlink"/>
            <w:noProof/>
          </w:rPr>
          <w:t>4.1</w:t>
        </w:r>
        <w:r w:rsidR="00834540">
          <w:rPr>
            <w:rFonts w:eastAsiaTheme="minorEastAsia"/>
            <w:noProof/>
            <w:lang w:eastAsia="en-AU"/>
          </w:rPr>
          <w:tab/>
        </w:r>
        <w:r w:rsidR="00834540" w:rsidRPr="00A74968">
          <w:rPr>
            <w:rStyle w:val="Hyperlink"/>
            <w:noProof/>
          </w:rPr>
          <w:t>What can the grant money be used for?</w:t>
        </w:r>
        <w:r w:rsidR="00834540">
          <w:rPr>
            <w:noProof/>
            <w:webHidden/>
          </w:rPr>
          <w:tab/>
        </w:r>
        <w:r w:rsidR="00834540">
          <w:rPr>
            <w:noProof/>
            <w:webHidden/>
          </w:rPr>
          <w:fldChar w:fldCharType="begin"/>
        </w:r>
        <w:r w:rsidR="00834540">
          <w:rPr>
            <w:noProof/>
            <w:webHidden/>
          </w:rPr>
          <w:instrText xml:space="preserve"> PAGEREF _Toc497819762 \h </w:instrText>
        </w:r>
        <w:r w:rsidR="00834540">
          <w:rPr>
            <w:noProof/>
            <w:webHidden/>
          </w:rPr>
        </w:r>
        <w:r w:rsidR="00834540">
          <w:rPr>
            <w:noProof/>
            <w:webHidden/>
          </w:rPr>
          <w:fldChar w:fldCharType="separate"/>
        </w:r>
        <w:r w:rsidR="00834540">
          <w:rPr>
            <w:noProof/>
            <w:webHidden/>
          </w:rPr>
          <w:t>13</w:t>
        </w:r>
        <w:r w:rsidR="00834540">
          <w:rPr>
            <w:noProof/>
            <w:webHidden/>
          </w:rPr>
          <w:fldChar w:fldCharType="end"/>
        </w:r>
      </w:hyperlink>
    </w:p>
    <w:p w14:paraId="2813EB1A" w14:textId="30001236" w:rsidR="00834540" w:rsidRDefault="00AE07C0">
      <w:pPr>
        <w:pStyle w:val="TOC2"/>
        <w:rPr>
          <w:rFonts w:eastAsiaTheme="minorEastAsia"/>
          <w:noProof/>
          <w:lang w:eastAsia="en-AU"/>
        </w:rPr>
      </w:pPr>
      <w:hyperlink w:anchor="_Toc497819763" w:history="1">
        <w:r w:rsidR="00834540" w:rsidRPr="00A74968">
          <w:rPr>
            <w:rStyle w:val="Hyperlink"/>
            <w:noProof/>
          </w:rPr>
          <w:t>4.2</w:t>
        </w:r>
        <w:r w:rsidR="00834540">
          <w:rPr>
            <w:rFonts w:eastAsiaTheme="minorEastAsia"/>
            <w:noProof/>
            <w:lang w:eastAsia="en-AU"/>
          </w:rPr>
          <w:tab/>
        </w:r>
        <w:r w:rsidR="00834540" w:rsidRPr="00A74968">
          <w:rPr>
            <w:rStyle w:val="Hyperlink"/>
            <w:noProof/>
          </w:rPr>
          <w:t>What can the grant money not be used for?</w:t>
        </w:r>
        <w:r w:rsidR="00834540">
          <w:rPr>
            <w:noProof/>
            <w:webHidden/>
          </w:rPr>
          <w:tab/>
        </w:r>
        <w:r w:rsidR="00834540">
          <w:rPr>
            <w:noProof/>
            <w:webHidden/>
          </w:rPr>
          <w:fldChar w:fldCharType="begin"/>
        </w:r>
        <w:r w:rsidR="00834540">
          <w:rPr>
            <w:noProof/>
            <w:webHidden/>
          </w:rPr>
          <w:instrText xml:space="preserve"> PAGEREF _Toc497819763 \h </w:instrText>
        </w:r>
        <w:r w:rsidR="00834540">
          <w:rPr>
            <w:noProof/>
            <w:webHidden/>
          </w:rPr>
        </w:r>
        <w:r w:rsidR="00834540">
          <w:rPr>
            <w:noProof/>
            <w:webHidden/>
          </w:rPr>
          <w:fldChar w:fldCharType="separate"/>
        </w:r>
        <w:r w:rsidR="00834540">
          <w:rPr>
            <w:noProof/>
            <w:webHidden/>
          </w:rPr>
          <w:t>13</w:t>
        </w:r>
        <w:r w:rsidR="00834540">
          <w:rPr>
            <w:noProof/>
            <w:webHidden/>
          </w:rPr>
          <w:fldChar w:fldCharType="end"/>
        </w:r>
      </w:hyperlink>
    </w:p>
    <w:p w14:paraId="1F2F18BE" w14:textId="5B69F9E1" w:rsidR="00834540" w:rsidRDefault="00AE07C0">
      <w:pPr>
        <w:pStyle w:val="TOC1"/>
        <w:rPr>
          <w:rFonts w:eastAsiaTheme="minorEastAsia"/>
          <w:b w:val="0"/>
          <w:noProof/>
          <w:sz w:val="22"/>
          <w:lang w:eastAsia="en-AU"/>
        </w:rPr>
      </w:pPr>
      <w:hyperlink w:anchor="_Toc497819764" w:history="1">
        <w:r w:rsidR="00834540" w:rsidRPr="00A74968">
          <w:rPr>
            <w:rStyle w:val="Hyperlink"/>
            <w:noProof/>
          </w:rPr>
          <w:t>5.</w:t>
        </w:r>
        <w:r w:rsidR="00834540">
          <w:rPr>
            <w:rFonts w:eastAsiaTheme="minorEastAsia"/>
            <w:b w:val="0"/>
            <w:noProof/>
            <w:sz w:val="22"/>
            <w:lang w:eastAsia="en-AU"/>
          </w:rPr>
          <w:tab/>
        </w:r>
        <w:r w:rsidR="00834540" w:rsidRPr="00A74968">
          <w:rPr>
            <w:rStyle w:val="Hyperlink"/>
            <w:noProof/>
          </w:rPr>
          <w:t>The project development and grant selection processes</w:t>
        </w:r>
        <w:r w:rsidR="00834540">
          <w:rPr>
            <w:noProof/>
            <w:webHidden/>
          </w:rPr>
          <w:tab/>
        </w:r>
        <w:r w:rsidR="00834540">
          <w:rPr>
            <w:noProof/>
            <w:webHidden/>
          </w:rPr>
          <w:fldChar w:fldCharType="begin"/>
        </w:r>
        <w:r w:rsidR="00834540">
          <w:rPr>
            <w:noProof/>
            <w:webHidden/>
          </w:rPr>
          <w:instrText xml:space="preserve"> PAGEREF _Toc497819764 \h </w:instrText>
        </w:r>
        <w:r w:rsidR="00834540">
          <w:rPr>
            <w:noProof/>
            <w:webHidden/>
          </w:rPr>
        </w:r>
        <w:r w:rsidR="00834540">
          <w:rPr>
            <w:noProof/>
            <w:webHidden/>
          </w:rPr>
          <w:fldChar w:fldCharType="separate"/>
        </w:r>
        <w:r w:rsidR="00834540">
          <w:rPr>
            <w:noProof/>
            <w:webHidden/>
          </w:rPr>
          <w:t>14</w:t>
        </w:r>
        <w:r w:rsidR="00834540">
          <w:rPr>
            <w:noProof/>
            <w:webHidden/>
          </w:rPr>
          <w:fldChar w:fldCharType="end"/>
        </w:r>
      </w:hyperlink>
    </w:p>
    <w:p w14:paraId="6CD4F1C2" w14:textId="71F72BF0" w:rsidR="00834540" w:rsidRDefault="00AE07C0">
      <w:pPr>
        <w:pStyle w:val="TOC2"/>
        <w:rPr>
          <w:rFonts w:eastAsiaTheme="minorEastAsia"/>
          <w:noProof/>
          <w:lang w:eastAsia="en-AU"/>
        </w:rPr>
      </w:pPr>
      <w:hyperlink w:anchor="_Toc497819765" w:history="1">
        <w:r w:rsidR="00834540" w:rsidRPr="00A74968">
          <w:rPr>
            <w:rStyle w:val="Hyperlink"/>
            <w:noProof/>
          </w:rPr>
          <w:t>5.1</w:t>
        </w:r>
        <w:r w:rsidR="00834540">
          <w:rPr>
            <w:rFonts w:eastAsiaTheme="minorEastAsia"/>
            <w:noProof/>
            <w:lang w:eastAsia="en-AU"/>
          </w:rPr>
          <w:tab/>
        </w:r>
        <w:r w:rsidR="00834540" w:rsidRPr="00A74968">
          <w:rPr>
            <w:rStyle w:val="Hyperlink"/>
            <w:noProof/>
          </w:rPr>
          <w:t>Project development</w:t>
        </w:r>
        <w:r w:rsidR="00834540">
          <w:rPr>
            <w:noProof/>
            <w:webHidden/>
          </w:rPr>
          <w:tab/>
        </w:r>
        <w:r w:rsidR="00834540">
          <w:rPr>
            <w:noProof/>
            <w:webHidden/>
          </w:rPr>
          <w:fldChar w:fldCharType="begin"/>
        </w:r>
        <w:r w:rsidR="00834540">
          <w:rPr>
            <w:noProof/>
            <w:webHidden/>
          </w:rPr>
          <w:instrText xml:space="preserve"> PAGEREF _Toc497819765 \h </w:instrText>
        </w:r>
        <w:r w:rsidR="00834540">
          <w:rPr>
            <w:noProof/>
            <w:webHidden/>
          </w:rPr>
        </w:r>
        <w:r w:rsidR="00834540">
          <w:rPr>
            <w:noProof/>
            <w:webHidden/>
          </w:rPr>
          <w:fldChar w:fldCharType="separate"/>
        </w:r>
        <w:r w:rsidR="00834540">
          <w:rPr>
            <w:noProof/>
            <w:webHidden/>
          </w:rPr>
          <w:t>14</w:t>
        </w:r>
        <w:r w:rsidR="00834540">
          <w:rPr>
            <w:noProof/>
            <w:webHidden/>
          </w:rPr>
          <w:fldChar w:fldCharType="end"/>
        </w:r>
      </w:hyperlink>
    </w:p>
    <w:p w14:paraId="404B9D48" w14:textId="1980C9F2" w:rsidR="00834540" w:rsidRDefault="00AE07C0">
      <w:pPr>
        <w:pStyle w:val="TOC2"/>
        <w:rPr>
          <w:rFonts w:eastAsiaTheme="minorEastAsia"/>
          <w:noProof/>
          <w:lang w:eastAsia="en-AU"/>
        </w:rPr>
      </w:pPr>
      <w:hyperlink w:anchor="_Toc497819766" w:history="1">
        <w:r w:rsidR="00834540" w:rsidRPr="00A74968">
          <w:rPr>
            <w:rStyle w:val="Hyperlink"/>
            <w:noProof/>
          </w:rPr>
          <w:t>5.2</w:t>
        </w:r>
        <w:r w:rsidR="00834540">
          <w:rPr>
            <w:rFonts w:eastAsiaTheme="minorEastAsia"/>
            <w:noProof/>
            <w:lang w:eastAsia="en-AU"/>
          </w:rPr>
          <w:tab/>
        </w:r>
        <w:r w:rsidR="00834540" w:rsidRPr="00A74968">
          <w:rPr>
            <w:rStyle w:val="Hyperlink"/>
            <w:noProof/>
          </w:rPr>
          <w:t>Grant selection process</w:t>
        </w:r>
        <w:r w:rsidR="00834540">
          <w:rPr>
            <w:noProof/>
            <w:webHidden/>
          </w:rPr>
          <w:tab/>
        </w:r>
        <w:r w:rsidR="00834540">
          <w:rPr>
            <w:noProof/>
            <w:webHidden/>
          </w:rPr>
          <w:fldChar w:fldCharType="begin"/>
        </w:r>
        <w:r w:rsidR="00834540">
          <w:rPr>
            <w:noProof/>
            <w:webHidden/>
          </w:rPr>
          <w:instrText xml:space="preserve"> PAGEREF _Toc497819766 \h </w:instrText>
        </w:r>
        <w:r w:rsidR="00834540">
          <w:rPr>
            <w:noProof/>
            <w:webHidden/>
          </w:rPr>
        </w:r>
        <w:r w:rsidR="00834540">
          <w:rPr>
            <w:noProof/>
            <w:webHidden/>
          </w:rPr>
          <w:fldChar w:fldCharType="separate"/>
        </w:r>
        <w:r w:rsidR="00834540">
          <w:rPr>
            <w:noProof/>
            <w:webHidden/>
          </w:rPr>
          <w:t>14</w:t>
        </w:r>
        <w:r w:rsidR="00834540">
          <w:rPr>
            <w:noProof/>
            <w:webHidden/>
          </w:rPr>
          <w:fldChar w:fldCharType="end"/>
        </w:r>
      </w:hyperlink>
    </w:p>
    <w:p w14:paraId="2FDDAC19" w14:textId="07849482" w:rsidR="00834540" w:rsidRDefault="00AE07C0">
      <w:pPr>
        <w:pStyle w:val="TOC1"/>
        <w:rPr>
          <w:rFonts w:eastAsiaTheme="minorEastAsia"/>
          <w:b w:val="0"/>
          <w:noProof/>
          <w:sz w:val="22"/>
          <w:lang w:eastAsia="en-AU"/>
        </w:rPr>
      </w:pPr>
      <w:hyperlink w:anchor="_Toc497819767" w:history="1">
        <w:r w:rsidR="00834540" w:rsidRPr="00A74968">
          <w:rPr>
            <w:rStyle w:val="Hyperlink"/>
            <w:noProof/>
          </w:rPr>
          <w:t>6.</w:t>
        </w:r>
        <w:r w:rsidR="00834540">
          <w:rPr>
            <w:rFonts w:eastAsiaTheme="minorEastAsia"/>
            <w:b w:val="0"/>
            <w:noProof/>
            <w:sz w:val="22"/>
            <w:lang w:eastAsia="en-AU"/>
          </w:rPr>
          <w:tab/>
        </w:r>
        <w:r w:rsidR="00834540" w:rsidRPr="00A74968">
          <w:rPr>
            <w:rStyle w:val="Hyperlink"/>
            <w:noProof/>
          </w:rPr>
          <w:t>The assessment criteria</w:t>
        </w:r>
        <w:r w:rsidR="00834540">
          <w:rPr>
            <w:noProof/>
            <w:webHidden/>
          </w:rPr>
          <w:tab/>
        </w:r>
        <w:r w:rsidR="00834540">
          <w:rPr>
            <w:noProof/>
            <w:webHidden/>
          </w:rPr>
          <w:fldChar w:fldCharType="begin"/>
        </w:r>
        <w:r w:rsidR="00834540">
          <w:rPr>
            <w:noProof/>
            <w:webHidden/>
          </w:rPr>
          <w:instrText xml:space="preserve"> PAGEREF _Toc497819767 \h </w:instrText>
        </w:r>
        <w:r w:rsidR="00834540">
          <w:rPr>
            <w:noProof/>
            <w:webHidden/>
          </w:rPr>
        </w:r>
        <w:r w:rsidR="00834540">
          <w:rPr>
            <w:noProof/>
            <w:webHidden/>
          </w:rPr>
          <w:fldChar w:fldCharType="separate"/>
        </w:r>
        <w:r w:rsidR="00834540">
          <w:rPr>
            <w:noProof/>
            <w:webHidden/>
          </w:rPr>
          <w:t>15</w:t>
        </w:r>
        <w:r w:rsidR="00834540">
          <w:rPr>
            <w:noProof/>
            <w:webHidden/>
          </w:rPr>
          <w:fldChar w:fldCharType="end"/>
        </w:r>
      </w:hyperlink>
    </w:p>
    <w:p w14:paraId="662005DC" w14:textId="2405ECAB" w:rsidR="00834540" w:rsidRDefault="00AE07C0">
      <w:pPr>
        <w:pStyle w:val="TOC1"/>
        <w:rPr>
          <w:rFonts w:eastAsiaTheme="minorEastAsia"/>
          <w:b w:val="0"/>
          <w:noProof/>
          <w:sz w:val="22"/>
          <w:lang w:eastAsia="en-AU"/>
        </w:rPr>
      </w:pPr>
      <w:hyperlink w:anchor="_Toc497819768" w:history="1">
        <w:r w:rsidR="00834540" w:rsidRPr="00A74968">
          <w:rPr>
            <w:rStyle w:val="Hyperlink"/>
            <w:noProof/>
          </w:rPr>
          <w:t>7.</w:t>
        </w:r>
        <w:r w:rsidR="00834540">
          <w:rPr>
            <w:rFonts w:eastAsiaTheme="minorEastAsia"/>
            <w:b w:val="0"/>
            <w:noProof/>
            <w:sz w:val="22"/>
            <w:lang w:eastAsia="en-AU"/>
          </w:rPr>
          <w:tab/>
        </w:r>
        <w:r w:rsidR="00834540" w:rsidRPr="00A74968">
          <w:rPr>
            <w:rStyle w:val="Hyperlink"/>
            <w:noProof/>
          </w:rPr>
          <w:t>The grant application process</w:t>
        </w:r>
        <w:r w:rsidR="00834540">
          <w:rPr>
            <w:noProof/>
            <w:webHidden/>
          </w:rPr>
          <w:tab/>
        </w:r>
        <w:r w:rsidR="00834540">
          <w:rPr>
            <w:noProof/>
            <w:webHidden/>
          </w:rPr>
          <w:fldChar w:fldCharType="begin"/>
        </w:r>
        <w:r w:rsidR="00834540">
          <w:rPr>
            <w:noProof/>
            <w:webHidden/>
          </w:rPr>
          <w:instrText xml:space="preserve"> PAGEREF _Toc497819768 \h </w:instrText>
        </w:r>
        <w:r w:rsidR="00834540">
          <w:rPr>
            <w:noProof/>
            <w:webHidden/>
          </w:rPr>
        </w:r>
        <w:r w:rsidR="00834540">
          <w:rPr>
            <w:noProof/>
            <w:webHidden/>
          </w:rPr>
          <w:fldChar w:fldCharType="separate"/>
        </w:r>
        <w:r w:rsidR="00834540">
          <w:rPr>
            <w:noProof/>
            <w:webHidden/>
          </w:rPr>
          <w:t>16</w:t>
        </w:r>
        <w:r w:rsidR="00834540">
          <w:rPr>
            <w:noProof/>
            <w:webHidden/>
          </w:rPr>
          <w:fldChar w:fldCharType="end"/>
        </w:r>
      </w:hyperlink>
    </w:p>
    <w:p w14:paraId="758DAD66" w14:textId="4AEACAF5" w:rsidR="00834540" w:rsidRDefault="00AE07C0">
      <w:pPr>
        <w:pStyle w:val="TOC2"/>
        <w:rPr>
          <w:rFonts w:eastAsiaTheme="minorEastAsia"/>
          <w:noProof/>
          <w:lang w:eastAsia="en-AU"/>
        </w:rPr>
      </w:pPr>
      <w:hyperlink w:anchor="_Toc497819769" w:history="1">
        <w:r w:rsidR="00834540" w:rsidRPr="00A74968">
          <w:rPr>
            <w:rStyle w:val="Hyperlink"/>
            <w:noProof/>
          </w:rPr>
          <w:t>7.1</w:t>
        </w:r>
        <w:r w:rsidR="00834540">
          <w:rPr>
            <w:rFonts w:eastAsiaTheme="minorEastAsia"/>
            <w:noProof/>
            <w:lang w:eastAsia="en-AU"/>
          </w:rPr>
          <w:tab/>
        </w:r>
        <w:r w:rsidR="00834540" w:rsidRPr="00A74968">
          <w:rPr>
            <w:rStyle w:val="Hyperlink"/>
            <w:noProof/>
          </w:rPr>
          <w:t>Overview of application process</w:t>
        </w:r>
        <w:r w:rsidR="00834540">
          <w:rPr>
            <w:noProof/>
            <w:webHidden/>
          </w:rPr>
          <w:tab/>
        </w:r>
        <w:r w:rsidR="00834540">
          <w:rPr>
            <w:noProof/>
            <w:webHidden/>
          </w:rPr>
          <w:fldChar w:fldCharType="begin"/>
        </w:r>
        <w:r w:rsidR="00834540">
          <w:rPr>
            <w:noProof/>
            <w:webHidden/>
          </w:rPr>
          <w:instrText xml:space="preserve"> PAGEREF _Toc497819769 \h </w:instrText>
        </w:r>
        <w:r w:rsidR="00834540">
          <w:rPr>
            <w:noProof/>
            <w:webHidden/>
          </w:rPr>
        </w:r>
        <w:r w:rsidR="00834540">
          <w:rPr>
            <w:noProof/>
            <w:webHidden/>
          </w:rPr>
          <w:fldChar w:fldCharType="separate"/>
        </w:r>
        <w:r w:rsidR="00834540">
          <w:rPr>
            <w:noProof/>
            <w:webHidden/>
          </w:rPr>
          <w:t>16</w:t>
        </w:r>
        <w:r w:rsidR="00834540">
          <w:rPr>
            <w:noProof/>
            <w:webHidden/>
          </w:rPr>
          <w:fldChar w:fldCharType="end"/>
        </w:r>
      </w:hyperlink>
    </w:p>
    <w:p w14:paraId="57421225" w14:textId="150699B3" w:rsidR="00834540" w:rsidRDefault="00AE07C0">
      <w:pPr>
        <w:pStyle w:val="TOC2"/>
        <w:rPr>
          <w:rFonts w:eastAsiaTheme="minorEastAsia"/>
          <w:noProof/>
          <w:lang w:eastAsia="en-AU"/>
        </w:rPr>
      </w:pPr>
      <w:hyperlink w:anchor="_Toc497819770" w:history="1">
        <w:r w:rsidR="00834540" w:rsidRPr="00A74968">
          <w:rPr>
            <w:rStyle w:val="Hyperlink"/>
            <w:noProof/>
          </w:rPr>
          <w:t>7.2</w:t>
        </w:r>
        <w:r w:rsidR="00834540">
          <w:rPr>
            <w:rFonts w:eastAsiaTheme="minorEastAsia"/>
            <w:noProof/>
            <w:lang w:eastAsia="en-AU"/>
          </w:rPr>
          <w:tab/>
        </w:r>
        <w:r w:rsidR="00834540" w:rsidRPr="00A74968">
          <w:rPr>
            <w:rStyle w:val="Hyperlink"/>
            <w:noProof/>
          </w:rPr>
          <w:t>Application process timing</w:t>
        </w:r>
        <w:r w:rsidR="00834540">
          <w:rPr>
            <w:noProof/>
            <w:webHidden/>
          </w:rPr>
          <w:tab/>
        </w:r>
        <w:r w:rsidR="00834540">
          <w:rPr>
            <w:noProof/>
            <w:webHidden/>
          </w:rPr>
          <w:fldChar w:fldCharType="begin"/>
        </w:r>
        <w:r w:rsidR="00834540">
          <w:rPr>
            <w:noProof/>
            <w:webHidden/>
          </w:rPr>
          <w:instrText xml:space="preserve"> PAGEREF _Toc497819770 \h </w:instrText>
        </w:r>
        <w:r w:rsidR="00834540">
          <w:rPr>
            <w:noProof/>
            <w:webHidden/>
          </w:rPr>
        </w:r>
        <w:r w:rsidR="00834540">
          <w:rPr>
            <w:noProof/>
            <w:webHidden/>
          </w:rPr>
          <w:fldChar w:fldCharType="separate"/>
        </w:r>
        <w:r w:rsidR="00834540">
          <w:rPr>
            <w:noProof/>
            <w:webHidden/>
          </w:rPr>
          <w:t>16</w:t>
        </w:r>
        <w:r w:rsidR="00834540">
          <w:rPr>
            <w:noProof/>
            <w:webHidden/>
          </w:rPr>
          <w:fldChar w:fldCharType="end"/>
        </w:r>
      </w:hyperlink>
    </w:p>
    <w:p w14:paraId="1CBF0B75" w14:textId="0D69B5BD" w:rsidR="00834540" w:rsidRDefault="00AE07C0">
      <w:pPr>
        <w:pStyle w:val="TOC2"/>
        <w:rPr>
          <w:rFonts w:eastAsiaTheme="minorEastAsia"/>
          <w:noProof/>
          <w:lang w:eastAsia="en-AU"/>
        </w:rPr>
      </w:pPr>
      <w:hyperlink w:anchor="_Toc497819771" w:history="1">
        <w:r w:rsidR="00834540" w:rsidRPr="00A74968">
          <w:rPr>
            <w:rStyle w:val="Hyperlink"/>
            <w:noProof/>
          </w:rPr>
          <w:t>7.3</w:t>
        </w:r>
        <w:r w:rsidR="00834540">
          <w:rPr>
            <w:rFonts w:eastAsiaTheme="minorEastAsia"/>
            <w:noProof/>
            <w:lang w:eastAsia="en-AU"/>
          </w:rPr>
          <w:tab/>
        </w:r>
        <w:r w:rsidR="00834540" w:rsidRPr="00A74968">
          <w:rPr>
            <w:rStyle w:val="Hyperlink"/>
            <w:noProof/>
          </w:rPr>
          <w:t>Completing the grant application</w:t>
        </w:r>
        <w:r w:rsidR="00834540">
          <w:rPr>
            <w:noProof/>
            <w:webHidden/>
          </w:rPr>
          <w:tab/>
        </w:r>
        <w:r w:rsidR="00834540">
          <w:rPr>
            <w:noProof/>
            <w:webHidden/>
          </w:rPr>
          <w:fldChar w:fldCharType="begin"/>
        </w:r>
        <w:r w:rsidR="00834540">
          <w:rPr>
            <w:noProof/>
            <w:webHidden/>
          </w:rPr>
          <w:instrText xml:space="preserve"> PAGEREF _Toc497819771 \h </w:instrText>
        </w:r>
        <w:r w:rsidR="00834540">
          <w:rPr>
            <w:noProof/>
            <w:webHidden/>
          </w:rPr>
        </w:r>
        <w:r w:rsidR="00834540">
          <w:rPr>
            <w:noProof/>
            <w:webHidden/>
          </w:rPr>
          <w:fldChar w:fldCharType="separate"/>
        </w:r>
        <w:r w:rsidR="00834540">
          <w:rPr>
            <w:noProof/>
            <w:webHidden/>
          </w:rPr>
          <w:t>17</w:t>
        </w:r>
        <w:r w:rsidR="00834540">
          <w:rPr>
            <w:noProof/>
            <w:webHidden/>
          </w:rPr>
          <w:fldChar w:fldCharType="end"/>
        </w:r>
      </w:hyperlink>
    </w:p>
    <w:p w14:paraId="68273E33" w14:textId="357A81B1" w:rsidR="00834540" w:rsidRDefault="00AE07C0">
      <w:pPr>
        <w:pStyle w:val="TOC2"/>
        <w:rPr>
          <w:rFonts w:eastAsiaTheme="minorEastAsia"/>
          <w:noProof/>
          <w:lang w:eastAsia="en-AU"/>
        </w:rPr>
      </w:pPr>
      <w:hyperlink w:anchor="_Toc497819772" w:history="1">
        <w:r w:rsidR="00834540" w:rsidRPr="00A74968">
          <w:rPr>
            <w:rStyle w:val="Hyperlink"/>
            <w:noProof/>
          </w:rPr>
          <w:t>7.4</w:t>
        </w:r>
        <w:r w:rsidR="00834540">
          <w:rPr>
            <w:rFonts w:eastAsiaTheme="minorEastAsia"/>
            <w:noProof/>
            <w:lang w:eastAsia="en-AU"/>
          </w:rPr>
          <w:tab/>
        </w:r>
        <w:r w:rsidR="00834540" w:rsidRPr="00A74968">
          <w:rPr>
            <w:rStyle w:val="Hyperlink"/>
            <w:noProof/>
          </w:rPr>
          <w:t>Attachments to the application</w:t>
        </w:r>
        <w:r w:rsidR="00834540">
          <w:rPr>
            <w:noProof/>
            <w:webHidden/>
          </w:rPr>
          <w:tab/>
        </w:r>
        <w:r w:rsidR="00834540">
          <w:rPr>
            <w:noProof/>
            <w:webHidden/>
          </w:rPr>
          <w:fldChar w:fldCharType="begin"/>
        </w:r>
        <w:r w:rsidR="00834540">
          <w:rPr>
            <w:noProof/>
            <w:webHidden/>
          </w:rPr>
          <w:instrText xml:space="preserve"> PAGEREF _Toc497819772 \h </w:instrText>
        </w:r>
        <w:r w:rsidR="00834540">
          <w:rPr>
            <w:noProof/>
            <w:webHidden/>
          </w:rPr>
        </w:r>
        <w:r w:rsidR="00834540">
          <w:rPr>
            <w:noProof/>
            <w:webHidden/>
          </w:rPr>
          <w:fldChar w:fldCharType="separate"/>
        </w:r>
        <w:r w:rsidR="00834540">
          <w:rPr>
            <w:noProof/>
            <w:webHidden/>
          </w:rPr>
          <w:t>17</w:t>
        </w:r>
        <w:r w:rsidR="00834540">
          <w:rPr>
            <w:noProof/>
            <w:webHidden/>
          </w:rPr>
          <w:fldChar w:fldCharType="end"/>
        </w:r>
      </w:hyperlink>
    </w:p>
    <w:p w14:paraId="448A1B4B" w14:textId="22772605" w:rsidR="00834540" w:rsidRDefault="00AE07C0">
      <w:pPr>
        <w:pStyle w:val="TOC2"/>
        <w:rPr>
          <w:rFonts w:eastAsiaTheme="minorEastAsia"/>
          <w:noProof/>
          <w:lang w:eastAsia="en-AU"/>
        </w:rPr>
      </w:pPr>
      <w:hyperlink w:anchor="_Toc497819773" w:history="1">
        <w:r w:rsidR="00834540" w:rsidRPr="00A74968">
          <w:rPr>
            <w:rStyle w:val="Hyperlink"/>
            <w:noProof/>
          </w:rPr>
          <w:t>7.5</w:t>
        </w:r>
        <w:r w:rsidR="00834540">
          <w:rPr>
            <w:rFonts w:eastAsiaTheme="minorEastAsia"/>
            <w:noProof/>
            <w:lang w:eastAsia="en-AU"/>
          </w:rPr>
          <w:tab/>
        </w:r>
        <w:r w:rsidR="00834540" w:rsidRPr="00A74968">
          <w:rPr>
            <w:rStyle w:val="Hyperlink"/>
            <w:noProof/>
          </w:rPr>
          <w:t>Questions during the application process</w:t>
        </w:r>
        <w:r w:rsidR="00834540">
          <w:rPr>
            <w:noProof/>
            <w:webHidden/>
          </w:rPr>
          <w:tab/>
        </w:r>
        <w:r w:rsidR="00834540">
          <w:rPr>
            <w:noProof/>
            <w:webHidden/>
          </w:rPr>
          <w:fldChar w:fldCharType="begin"/>
        </w:r>
        <w:r w:rsidR="00834540">
          <w:rPr>
            <w:noProof/>
            <w:webHidden/>
          </w:rPr>
          <w:instrText xml:space="preserve"> PAGEREF _Toc497819773 \h </w:instrText>
        </w:r>
        <w:r w:rsidR="00834540">
          <w:rPr>
            <w:noProof/>
            <w:webHidden/>
          </w:rPr>
        </w:r>
        <w:r w:rsidR="00834540">
          <w:rPr>
            <w:noProof/>
            <w:webHidden/>
          </w:rPr>
          <w:fldChar w:fldCharType="separate"/>
        </w:r>
        <w:r w:rsidR="00834540">
          <w:rPr>
            <w:noProof/>
            <w:webHidden/>
          </w:rPr>
          <w:t>18</w:t>
        </w:r>
        <w:r w:rsidR="00834540">
          <w:rPr>
            <w:noProof/>
            <w:webHidden/>
          </w:rPr>
          <w:fldChar w:fldCharType="end"/>
        </w:r>
      </w:hyperlink>
    </w:p>
    <w:p w14:paraId="0145F440" w14:textId="7C5B3C16" w:rsidR="00834540" w:rsidRDefault="00AE07C0">
      <w:pPr>
        <w:pStyle w:val="TOC2"/>
        <w:rPr>
          <w:rFonts w:eastAsiaTheme="minorEastAsia"/>
          <w:noProof/>
          <w:lang w:eastAsia="en-AU"/>
        </w:rPr>
      </w:pPr>
      <w:hyperlink w:anchor="_Toc497819774" w:history="1">
        <w:r w:rsidR="00834540" w:rsidRPr="00A74968">
          <w:rPr>
            <w:rStyle w:val="Hyperlink"/>
            <w:noProof/>
          </w:rPr>
          <w:t>7.6</w:t>
        </w:r>
        <w:r w:rsidR="00834540">
          <w:rPr>
            <w:rFonts w:eastAsiaTheme="minorEastAsia"/>
            <w:noProof/>
            <w:lang w:eastAsia="en-AU"/>
          </w:rPr>
          <w:tab/>
        </w:r>
        <w:r w:rsidR="00834540" w:rsidRPr="00A74968">
          <w:rPr>
            <w:rStyle w:val="Hyperlink"/>
            <w:noProof/>
          </w:rPr>
          <w:t>Further grant opportunities</w:t>
        </w:r>
        <w:r w:rsidR="00834540">
          <w:rPr>
            <w:noProof/>
            <w:webHidden/>
          </w:rPr>
          <w:tab/>
        </w:r>
        <w:r w:rsidR="00834540">
          <w:rPr>
            <w:noProof/>
            <w:webHidden/>
          </w:rPr>
          <w:fldChar w:fldCharType="begin"/>
        </w:r>
        <w:r w:rsidR="00834540">
          <w:rPr>
            <w:noProof/>
            <w:webHidden/>
          </w:rPr>
          <w:instrText xml:space="preserve"> PAGEREF _Toc497819774 \h </w:instrText>
        </w:r>
        <w:r w:rsidR="00834540">
          <w:rPr>
            <w:noProof/>
            <w:webHidden/>
          </w:rPr>
        </w:r>
        <w:r w:rsidR="00834540">
          <w:rPr>
            <w:noProof/>
            <w:webHidden/>
          </w:rPr>
          <w:fldChar w:fldCharType="separate"/>
        </w:r>
        <w:r w:rsidR="00834540">
          <w:rPr>
            <w:noProof/>
            <w:webHidden/>
          </w:rPr>
          <w:t>18</w:t>
        </w:r>
        <w:r w:rsidR="00834540">
          <w:rPr>
            <w:noProof/>
            <w:webHidden/>
          </w:rPr>
          <w:fldChar w:fldCharType="end"/>
        </w:r>
      </w:hyperlink>
    </w:p>
    <w:p w14:paraId="73B7F338" w14:textId="019A441E" w:rsidR="00834540" w:rsidRDefault="00AE07C0">
      <w:pPr>
        <w:pStyle w:val="TOC1"/>
        <w:rPr>
          <w:rFonts w:eastAsiaTheme="minorEastAsia"/>
          <w:b w:val="0"/>
          <w:noProof/>
          <w:sz w:val="22"/>
          <w:lang w:eastAsia="en-AU"/>
        </w:rPr>
      </w:pPr>
      <w:hyperlink w:anchor="_Toc497819775" w:history="1">
        <w:r w:rsidR="00834540" w:rsidRPr="00A74968">
          <w:rPr>
            <w:rStyle w:val="Hyperlink"/>
            <w:noProof/>
          </w:rPr>
          <w:t>8.</w:t>
        </w:r>
        <w:r w:rsidR="00834540">
          <w:rPr>
            <w:rFonts w:eastAsiaTheme="minorEastAsia"/>
            <w:b w:val="0"/>
            <w:noProof/>
            <w:sz w:val="22"/>
            <w:lang w:eastAsia="en-AU"/>
          </w:rPr>
          <w:tab/>
        </w:r>
        <w:r w:rsidR="00834540" w:rsidRPr="00A74968">
          <w:rPr>
            <w:rStyle w:val="Hyperlink"/>
            <w:noProof/>
          </w:rPr>
          <w:t>Assessment of grant applications</w:t>
        </w:r>
        <w:r w:rsidR="00834540">
          <w:rPr>
            <w:noProof/>
            <w:webHidden/>
          </w:rPr>
          <w:tab/>
        </w:r>
        <w:r w:rsidR="00834540">
          <w:rPr>
            <w:noProof/>
            <w:webHidden/>
          </w:rPr>
          <w:fldChar w:fldCharType="begin"/>
        </w:r>
        <w:r w:rsidR="00834540">
          <w:rPr>
            <w:noProof/>
            <w:webHidden/>
          </w:rPr>
          <w:instrText xml:space="preserve"> PAGEREF _Toc497819775 \h </w:instrText>
        </w:r>
        <w:r w:rsidR="00834540">
          <w:rPr>
            <w:noProof/>
            <w:webHidden/>
          </w:rPr>
        </w:r>
        <w:r w:rsidR="00834540">
          <w:rPr>
            <w:noProof/>
            <w:webHidden/>
          </w:rPr>
          <w:fldChar w:fldCharType="separate"/>
        </w:r>
        <w:r w:rsidR="00834540">
          <w:rPr>
            <w:noProof/>
            <w:webHidden/>
          </w:rPr>
          <w:t>18</w:t>
        </w:r>
        <w:r w:rsidR="00834540">
          <w:rPr>
            <w:noProof/>
            <w:webHidden/>
          </w:rPr>
          <w:fldChar w:fldCharType="end"/>
        </w:r>
      </w:hyperlink>
    </w:p>
    <w:p w14:paraId="72FA9F7B" w14:textId="464ECC95" w:rsidR="00834540" w:rsidRDefault="00AE07C0">
      <w:pPr>
        <w:pStyle w:val="TOC2"/>
        <w:rPr>
          <w:rFonts w:eastAsiaTheme="minorEastAsia"/>
          <w:noProof/>
          <w:lang w:eastAsia="en-AU"/>
        </w:rPr>
      </w:pPr>
      <w:hyperlink w:anchor="_Toc497819776" w:history="1">
        <w:r w:rsidR="00834540" w:rsidRPr="00A74968">
          <w:rPr>
            <w:rStyle w:val="Hyperlink"/>
            <w:noProof/>
          </w:rPr>
          <w:t>8.1</w:t>
        </w:r>
        <w:r w:rsidR="00834540">
          <w:rPr>
            <w:rFonts w:eastAsiaTheme="minorEastAsia"/>
            <w:noProof/>
            <w:lang w:eastAsia="en-AU"/>
          </w:rPr>
          <w:tab/>
        </w:r>
        <w:r w:rsidR="00834540" w:rsidRPr="00A74968">
          <w:rPr>
            <w:rStyle w:val="Hyperlink"/>
            <w:noProof/>
          </w:rPr>
          <w:t>Who will assess applications?</w:t>
        </w:r>
        <w:r w:rsidR="00834540">
          <w:rPr>
            <w:noProof/>
            <w:webHidden/>
          </w:rPr>
          <w:tab/>
        </w:r>
        <w:r w:rsidR="00834540">
          <w:rPr>
            <w:noProof/>
            <w:webHidden/>
          </w:rPr>
          <w:fldChar w:fldCharType="begin"/>
        </w:r>
        <w:r w:rsidR="00834540">
          <w:rPr>
            <w:noProof/>
            <w:webHidden/>
          </w:rPr>
          <w:instrText xml:space="preserve"> PAGEREF _Toc497819776 \h </w:instrText>
        </w:r>
        <w:r w:rsidR="00834540">
          <w:rPr>
            <w:noProof/>
            <w:webHidden/>
          </w:rPr>
        </w:r>
        <w:r w:rsidR="00834540">
          <w:rPr>
            <w:noProof/>
            <w:webHidden/>
          </w:rPr>
          <w:fldChar w:fldCharType="separate"/>
        </w:r>
        <w:r w:rsidR="00834540">
          <w:rPr>
            <w:noProof/>
            <w:webHidden/>
          </w:rPr>
          <w:t>18</w:t>
        </w:r>
        <w:r w:rsidR="00834540">
          <w:rPr>
            <w:noProof/>
            <w:webHidden/>
          </w:rPr>
          <w:fldChar w:fldCharType="end"/>
        </w:r>
      </w:hyperlink>
    </w:p>
    <w:p w14:paraId="13C52BE5" w14:textId="64FBD822" w:rsidR="00834540" w:rsidRDefault="00AE07C0">
      <w:pPr>
        <w:pStyle w:val="TOC2"/>
        <w:rPr>
          <w:rFonts w:eastAsiaTheme="minorEastAsia"/>
          <w:noProof/>
          <w:lang w:eastAsia="en-AU"/>
        </w:rPr>
      </w:pPr>
      <w:hyperlink w:anchor="_Toc497819777" w:history="1">
        <w:r w:rsidR="00834540" w:rsidRPr="00A74968">
          <w:rPr>
            <w:rStyle w:val="Hyperlink"/>
            <w:noProof/>
          </w:rPr>
          <w:t>8.2</w:t>
        </w:r>
        <w:r w:rsidR="00834540">
          <w:rPr>
            <w:rFonts w:eastAsiaTheme="minorEastAsia"/>
            <w:noProof/>
            <w:lang w:eastAsia="en-AU"/>
          </w:rPr>
          <w:tab/>
        </w:r>
        <w:r w:rsidR="00834540" w:rsidRPr="00A74968">
          <w:rPr>
            <w:rStyle w:val="Hyperlink"/>
            <w:noProof/>
          </w:rPr>
          <w:t>Who will approve grants?</w:t>
        </w:r>
        <w:r w:rsidR="00834540">
          <w:rPr>
            <w:noProof/>
            <w:webHidden/>
          </w:rPr>
          <w:tab/>
        </w:r>
        <w:r w:rsidR="00834540">
          <w:rPr>
            <w:noProof/>
            <w:webHidden/>
          </w:rPr>
          <w:fldChar w:fldCharType="begin"/>
        </w:r>
        <w:r w:rsidR="00834540">
          <w:rPr>
            <w:noProof/>
            <w:webHidden/>
          </w:rPr>
          <w:instrText xml:space="preserve"> PAGEREF _Toc497819777 \h </w:instrText>
        </w:r>
        <w:r w:rsidR="00834540">
          <w:rPr>
            <w:noProof/>
            <w:webHidden/>
          </w:rPr>
        </w:r>
        <w:r w:rsidR="00834540">
          <w:rPr>
            <w:noProof/>
            <w:webHidden/>
          </w:rPr>
          <w:fldChar w:fldCharType="separate"/>
        </w:r>
        <w:r w:rsidR="00834540">
          <w:rPr>
            <w:noProof/>
            <w:webHidden/>
          </w:rPr>
          <w:t>18</w:t>
        </w:r>
        <w:r w:rsidR="00834540">
          <w:rPr>
            <w:noProof/>
            <w:webHidden/>
          </w:rPr>
          <w:fldChar w:fldCharType="end"/>
        </w:r>
      </w:hyperlink>
    </w:p>
    <w:p w14:paraId="0E31AD90" w14:textId="74D84850" w:rsidR="00834540" w:rsidRDefault="00AE07C0">
      <w:pPr>
        <w:pStyle w:val="TOC1"/>
        <w:rPr>
          <w:rFonts w:eastAsiaTheme="minorEastAsia"/>
          <w:b w:val="0"/>
          <w:noProof/>
          <w:sz w:val="22"/>
          <w:lang w:eastAsia="en-AU"/>
        </w:rPr>
      </w:pPr>
      <w:hyperlink w:anchor="_Toc497819778" w:history="1">
        <w:r w:rsidR="00834540" w:rsidRPr="00A74968">
          <w:rPr>
            <w:rStyle w:val="Hyperlink"/>
            <w:noProof/>
          </w:rPr>
          <w:t>9.</w:t>
        </w:r>
        <w:r w:rsidR="00834540">
          <w:rPr>
            <w:rFonts w:eastAsiaTheme="minorEastAsia"/>
            <w:b w:val="0"/>
            <w:noProof/>
            <w:sz w:val="22"/>
            <w:lang w:eastAsia="en-AU"/>
          </w:rPr>
          <w:tab/>
        </w:r>
        <w:r w:rsidR="00834540" w:rsidRPr="00A74968">
          <w:rPr>
            <w:rStyle w:val="Hyperlink"/>
            <w:noProof/>
          </w:rPr>
          <w:t>Notification of application outcomes</w:t>
        </w:r>
        <w:r w:rsidR="00834540">
          <w:rPr>
            <w:noProof/>
            <w:webHidden/>
          </w:rPr>
          <w:tab/>
        </w:r>
        <w:r w:rsidR="00834540">
          <w:rPr>
            <w:noProof/>
            <w:webHidden/>
          </w:rPr>
          <w:fldChar w:fldCharType="begin"/>
        </w:r>
        <w:r w:rsidR="00834540">
          <w:rPr>
            <w:noProof/>
            <w:webHidden/>
          </w:rPr>
          <w:instrText xml:space="preserve"> PAGEREF _Toc497819778 \h </w:instrText>
        </w:r>
        <w:r w:rsidR="00834540">
          <w:rPr>
            <w:noProof/>
            <w:webHidden/>
          </w:rPr>
        </w:r>
        <w:r w:rsidR="00834540">
          <w:rPr>
            <w:noProof/>
            <w:webHidden/>
          </w:rPr>
          <w:fldChar w:fldCharType="separate"/>
        </w:r>
        <w:r w:rsidR="00834540">
          <w:rPr>
            <w:noProof/>
            <w:webHidden/>
          </w:rPr>
          <w:t>19</w:t>
        </w:r>
        <w:r w:rsidR="00834540">
          <w:rPr>
            <w:noProof/>
            <w:webHidden/>
          </w:rPr>
          <w:fldChar w:fldCharType="end"/>
        </w:r>
      </w:hyperlink>
    </w:p>
    <w:p w14:paraId="22DC17B9" w14:textId="2C9CD819" w:rsidR="00834540" w:rsidRDefault="00AE07C0">
      <w:pPr>
        <w:pStyle w:val="TOC1"/>
        <w:rPr>
          <w:rFonts w:eastAsiaTheme="minorEastAsia"/>
          <w:b w:val="0"/>
          <w:noProof/>
          <w:sz w:val="22"/>
          <w:lang w:eastAsia="en-AU"/>
        </w:rPr>
      </w:pPr>
      <w:hyperlink w:anchor="_Toc497819779" w:history="1">
        <w:r w:rsidR="00834540" w:rsidRPr="00A74968">
          <w:rPr>
            <w:rStyle w:val="Hyperlink"/>
            <w:noProof/>
          </w:rPr>
          <w:t>10.</w:t>
        </w:r>
        <w:r w:rsidR="00834540">
          <w:rPr>
            <w:rFonts w:eastAsiaTheme="minorEastAsia"/>
            <w:b w:val="0"/>
            <w:noProof/>
            <w:sz w:val="22"/>
            <w:lang w:eastAsia="en-AU"/>
          </w:rPr>
          <w:tab/>
        </w:r>
        <w:r w:rsidR="00834540" w:rsidRPr="00A74968">
          <w:rPr>
            <w:rStyle w:val="Hyperlink"/>
            <w:noProof/>
          </w:rPr>
          <w:t>Successful grant applications</w:t>
        </w:r>
        <w:r w:rsidR="00834540">
          <w:rPr>
            <w:noProof/>
            <w:webHidden/>
          </w:rPr>
          <w:tab/>
        </w:r>
        <w:r w:rsidR="00834540">
          <w:rPr>
            <w:noProof/>
            <w:webHidden/>
          </w:rPr>
          <w:fldChar w:fldCharType="begin"/>
        </w:r>
        <w:r w:rsidR="00834540">
          <w:rPr>
            <w:noProof/>
            <w:webHidden/>
          </w:rPr>
          <w:instrText xml:space="preserve"> PAGEREF _Toc497819779 \h </w:instrText>
        </w:r>
        <w:r w:rsidR="00834540">
          <w:rPr>
            <w:noProof/>
            <w:webHidden/>
          </w:rPr>
        </w:r>
        <w:r w:rsidR="00834540">
          <w:rPr>
            <w:noProof/>
            <w:webHidden/>
          </w:rPr>
          <w:fldChar w:fldCharType="separate"/>
        </w:r>
        <w:r w:rsidR="00834540">
          <w:rPr>
            <w:noProof/>
            <w:webHidden/>
          </w:rPr>
          <w:t>19</w:t>
        </w:r>
        <w:r w:rsidR="00834540">
          <w:rPr>
            <w:noProof/>
            <w:webHidden/>
          </w:rPr>
          <w:fldChar w:fldCharType="end"/>
        </w:r>
      </w:hyperlink>
    </w:p>
    <w:p w14:paraId="7086E6B3" w14:textId="11A12791" w:rsidR="00834540" w:rsidRDefault="00AE07C0">
      <w:pPr>
        <w:pStyle w:val="TOC2"/>
        <w:rPr>
          <w:rFonts w:eastAsiaTheme="minorEastAsia"/>
          <w:noProof/>
          <w:lang w:eastAsia="en-AU"/>
        </w:rPr>
      </w:pPr>
      <w:hyperlink w:anchor="_Toc497819780" w:history="1">
        <w:r w:rsidR="00834540" w:rsidRPr="00A74968">
          <w:rPr>
            <w:rStyle w:val="Hyperlink"/>
            <w:noProof/>
          </w:rPr>
          <w:t>10.1</w:t>
        </w:r>
        <w:r w:rsidR="00834540">
          <w:rPr>
            <w:rFonts w:eastAsiaTheme="minorEastAsia"/>
            <w:noProof/>
            <w:lang w:eastAsia="en-AU"/>
          </w:rPr>
          <w:tab/>
        </w:r>
        <w:r w:rsidR="00834540" w:rsidRPr="00A74968">
          <w:rPr>
            <w:rStyle w:val="Hyperlink"/>
            <w:noProof/>
          </w:rPr>
          <w:t>The grant agreement</w:t>
        </w:r>
        <w:r w:rsidR="00834540">
          <w:rPr>
            <w:noProof/>
            <w:webHidden/>
          </w:rPr>
          <w:tab/>
        </w:r>
        <w:r w:rsidR="00834540">
          <w:rPr>
            <w:noProof/>
            <w:webHidden/>
          </w:rPr>
          <w:fldChar w:fldCharType="begin"/>
        </w:r>
        <w:r w:rsidR="00834540">
          <w:rPr>
            <w:noProof/>
            <w:webHidden/>
          </w:rPr>
          <w:instrText xml:space="preserve"> PAGEREF _Toc497819780 \h </w:instrText>
        </w:r>
        <w:r w:rsidR="00834540">
          <w:rPr>
            <w:noProof/>
            <w:webHidden/>
          </w:rPr>
        </w:r>
        <w:r w:rsidR="00834540">
          <w:rPr>
            <w:noProof/>
            <w:webHidden/>
          </w:rPr>
          <w:fldChar w:fldCharType="separate"/>
        </w:r>
        <w:r w:rsidR="00834540">
          <w:rPr>
            <w:noProof/>
            <w:webHidden/>
          </w:rPr>
          <w:t>19</w:t>
        </w:r>
        <w:r w:rsidR="00834540">
          <w:rPr>
            <w:noProof/>
            <w:webHidden/>
          </w:rPr>
          <w:fldChar w:fldCharType="end"/>
        </w:r>
      </w:hyperlink>
    </w:p>
    <w:p w14:paraId="024D60B6" w14:textId="6F557275" w:rsidR="00834540" w:rsidRDefault="00AE07C0">
      <w:pPr>
        <w:pStyle w:val="TOC2"/>
        <w:rPr>
          <w:rFonts w:eastAsiaTheme="minorEastAsia"/>
          <w:noProof/>
          <w:lang w:eastAsia="en-AU"/>
        </w:rPr>
      </w:pPr>
      <w:hyperlink w:anchor="_Toc497819781" w:history="1">
        <w:r w:rsidR="00834540" w:rsidRPr="00A74968">
          <w:rPr>
            <w:rStyle w:val="Hyperlink"/>
            <w:noProof/>
          </w:rPr>
          <w:t>10.2</w:t>
        </w:r>
        <w:r w:rsidR="00834540">
          <w:rPr>
            <w:rFonts w:eastAsiaTheme="minorEastAsia"/>
            <w:noProof/>
            <w:lang w:eastAsia="en-AU"/>
          </w:rPr>
          <w:tab/>
        </w:r>
        <w:r w:rsidR="00834540" w:rsidRPr="00A74968">
          <w:rPr>
            <w:rStyle w:val="Hyperlink"/>
            <w:noProof/>
          </w:rPr>
          <w:t>How the grant will be paid</w:t>
        </w:r>
        <w:r w:rsidR="00834540">
          <w:rPr>
            <w:noProof/>
            <w:webHidden/>
          </w:rPr>
          <w:tab/>
        </w:r>
        <w:r w:rsidR="00834540">
          <w:rPr>
            <w:noProof/>
            <w:webHidden/>
          </w:rPr>
          <w:fldChar w:fldCharType="begin"/>
        </w:r>
        <w:r w:rsidR="00834540">
          <w:rPr>
            <w:noProof/>
            <w:webHidden/>
          </w:rPr>
          <w:instrText xml:space="preserve"> PAGEREF _Toc497819781 \h </w:instrText>
        </w:r>
        <w:r w:rsidR="00834540">
          <w:rPr>
            <w:noProof/>
            <w:webHidden/>
          </w:rPr>
        </w:r>
        <w:r w:rsidR="00834540">
          <w:rPr>
            <w:noProof/>
            <w:webHidden/>
          </w:rPr>
          <w:fldChar w:fldCharType="separate"/>
        </w:r>
        <w:r w:rsidR="00834540">
          <w:rPr>
            <w:noProof/>
            <w:webHidden/>
          </w:rPr>
          <w:t>19</w:t>
        </w:r>
        <w:r w:rsidR="00834540">
          <w:rPr>
            <w:noProof/>
            <w:webHidden/>
          </w:rPr>
          <w:fldChar w:fldCharType="end"/>
        </w:r>
      </w:hyperlink>
    </w:p>
    <w:p w14:paraId="6D83C702" w14:textId="1466EBB1" w:rsidR="00834540" w:rsidRDefault="00AE07C0">
      <w:pPr>
        <w:pStyle w:val="TOC1"/>
        <w:rPr>
          <w:rFonts w:eastAsiaTheme="minorEastAsia"/>
          <w:b w:val="0"/>
          <w:noProof/>
          <w:sz w:val="22"/>
          <w:lang w:eastAsia="en-AU"/>
        </w:rPr>
      </w:pPr>
      <w:hyperlink w:anchor="_Toc497819782" w:history="1">
        <w:r w:rsidR="00834540" w:rsidRPr="00A74968">
          <w:rPr>
            <w:rStyle w:val="Hyperlink"/>
            <w:noProof/>
          </w:rPr>
          <w:t>11.</w:t>
        </w:r>
        <w:r w:rsidR="00834540">
          <w:rPr>
            <w:rFonts w:eastAsiaTheme="minorEastAsia"/>
            <w:b w:val="0"/>
            <w:noProof/>
            <w:sz w:val="22"/>
            <w:lang w:eastAsia="en-AU"/>
          </w:rPr>
          <w:tab/>
        </w:r>
        <w:r w:rsidR="00834540" w:rsidRPr="00A74968">
          <w:rPr>
            <w:rStyle w:val="Hyperlink"/>
            <w:noProof/>
          </w:rPr>
          <w:t>Announcement of grants</w:t>
        </w:r>
        <w:r w:rsidR="00834540">
          <w:rPr>
            <w:noProof/>
            <w:webHidden/>
          </w:rPr>
          <w:tab/>
        </w:r>
        <w:r w:rsidR="00834540">
          <w:rPr>
            <w:noProof/>
            <w:webHidden/>
          </w:rPr>
          <w:fldChar w:fldCharType="begin"/>
        </w:r>
        <w:r w:rsidR="00834540">
          <w:rPr>
            <w:noProof/>
            <w:webHidden/>
          </w:rPr>
          <w:instrText xml:space="preserve"> PAGEREF _Toc497819782 \h </w:instrText>
        </w:r>
        <w:r w:rsidR="00834540">
          <w:rPr>
            <w:noProof/>
            <w:webHidden/>
          </w:rPr>
        </w:r>
        <w:r w:rsidR="00834540">
          <w:rPr>
            <w:noProof/>
            <w:webHidden/>
          </w:rPr>
          <w:fldChar w:fldCharType="separate"/>
        </w:r>
        <w:r w:rsidR="00834540">
          <w:rPr>
            <w:noProof/>
            <w:webHidden/>
          </w:rPr>
          <w:t>20</w:t>
        </w:r>
        <w:r w:rsidR="00834540">
          <w:rPr>
            <w:noProof/>
            <w:webHidden/>
          </w:rPr>
          <w:fldChar w:fldCharType="end"/>
        </w:r>
      </w:hyperlink>
    </w:p>
    <w:p w14:paraId="73768DF7" w14:textId="41FAB74B" w:rsidR="00834540" w:rsidRDefault="00AE07C0">
      <w:pPr>
        <w:pStyle w:val="TOC1"/>
        <w:rPr>
          <w:rFonts w:eastAsiaTheme="minorEastAsia"/>
          <w:b w:val="0"/>
          <w:noProof/>
          <w:sz w:val="22"/>
          <w:lang w:eastAsia="en-AU"/>
        </w:rPr>
      </w:pPr>
      <w:hyperlink w:anchor="_Toc497819783" w:history="1">
        <w:r w:rsidR="00834540" w:rsidRPr="00A74968">
          <w:rPr>
            <w:rStyle w:val="Hyperlink"/>
            <w:noProof/>
          </w:rPr>
          <w:t>12.</w:t>
        </w:r>
        <w:r w:rsidR="00834540">
          <w:rPr>
            <w:rFonts w:eastAsiaTheme="minorEastAsia"/>
            <w:b w:val="0"/>
            <w:noProof/>
            <w:sz w:val="22"/>
            <w:lang w:eastAsia="en-AU"/>
          </w:rPr>
          <w:tab/>
        </w:r>
        <w:r w:rsidR="00834540" w:rsidRPr="00A74968">
          <w:rPr>
            <w:rStyle w:val="Hyperlink"/>
            <w:noProof/>
          </w:rPr>
          <w:t>Delivery of grant activities</w:t>
        </w:r>
        <w:r w:rsidR="00834540">
          <w:rPr>
            <w:noProof/>
            <w:webHidden/>
          </w:rPr>
          <w:tab/>
        </w:r>
        <w:r w:rsidR="00834540">
          <w:rPr>
            <w:noProof/>
            <w:webHidden/>
          </w:rPr>
          <w:fldChar w:fldCharType="begin"/>
        </w:r>
        <w:r w:rsidR="00834540">
          <w:rPr>
            <w:noProof/>
            <w:webHidden/>
          </w:rPr>
          <w:instrText xml:space="preserve"> PAGEREF _Toc497819783 \h </w:instrText>
        </w:r>
        <w:r w:rsidR="00834540">
          <w:rPr>
            <w:noProof/>
            <w:webHidden/>
          </w:rPr>
        </w:r>
        <w:r w:rsidR="00834540">
          <w:rPr>
            <w:noProof/>
            <w:webHidden/>
          </w:rPr>
          <w:fldChar w:fldCharType="separate"/>
        </w:r>
        <w:r w:rsidR="00834540">
          <w:rPr>
            <w:noProof/>
            <w:webHidden/>
          </w:rPr>
          <w:t>20</w:t>
        </w:r>
        <w:r w:rsidR="00834540">
          <w:rPr>
            <w:noProof/>
            <w:webHidden/>
          </w:rPr>
          <w:fldChar w:fldCharType="end"/>
        </w:r>
      </w:hyperlink>
    </w:p>
    <w:p w14:paraId="26311F6A" w14:textId="46B54D06" w:rsidR="00834540" w:rsidRDefault="00AE07C0">
      <w:pPr>
        <w:pStyle w:val="TOC2"/>
        <w:rPr>
          <w:rFonts w:eastAsiaTheme="minorEastAsia"/>
          <w:noProof/>
          <w:lang w:eastAsia="en-AU"/>
        </w:rPr>
      </w:pPr>
      <w:hyperlink w:anchor="_Toc497819784" w:history="1">
        <w:r w:rsidR="00834540" w:rsidRPr="00A74968">
          <w:rPr>
            <w:rStyle w:val="Hyperlink"/>
            <w:noProof/>
          </w:rPr>
          <w:t>12.1</w:t>
        </w:r>
        <w:r w:rsidR="00834540">
          <w:rPr>
            <w:rFonts w:eastAsiaTheme="minorEastAsia"/>
            <w:noProof/>
            <w:lang w:eastAsia="en-AU"/>
          </w:rPr>
          <w:tab/>
        </w:r>
        <w:r w:rsidR="00834540" w:rsidRPr="00A74968">
          <w:rPr>
            <w:rStyle w:val="Hyperlink"/>
            <w:noProof/>
          </w:rPr>
          <w:t>Your responsibilities</w:t>
        </w:r>
        <w:r w:rsidR="00834540">
          <w:rPr>
            <w:noProof/>
            <w:webHidden/>
          </w:rPr>
          <w:tab/>
        </w:r>
        <w:r w:rsidR="00834540">
          <w:rPr>
            <w:noProof/>
            <w:webHidden/>
          </w:rPr>
          <w:fldChar w:fldCharType="begin"/>
        </w:r>
        <w:r w:rsidR="00834540">
          <w:rPr>
            <w:noProof/>
            <w:webHidden/>
          </w:rPr>
          <w:instrText xml:space="preserve"> PAGEREF _Toc497819784 \h </w:instrText>
        </w:r>
        <w:r w:rsidR="00834540">
          <w:rPr>
            <w:noProof/>
            <w:webHidden/>
          </w:rPr>
        </w:r>
        <w:r w:rsidR="00834540">
          <w:rPr>
            <w:noProof/>
            <w:webHidden/>
          </w:rPr>
          <w:fldChar w:fldCharType="separate"/>
        </w:r>
        <w:r w:rsidR="00834540">
          <w:rPr>
            <w:noProof/>
            <w:webHidden/>
          </w:rPr>
          <w:t>20</w:t>
        </w:r>
        <w:r w:rsidR="00834540">
          <w:rPr>
            <w:noProof/>
            <w:webHidden/>
          </w:rPr>
          <w:fldChar w:fldCharType="end"/>
        </w:r>
      </w:hyperlink>
    </w:p>
    <w:p w14:paraId="458EE186" w14:textId="4D17CC36" w:rsidR="00834540" w:rsidRDefault="00AE07C0">
      <w:pPr>
        <w:pStyle w:val="TOC2"/>
        <w:rPr>
          <w:rFonts w:eastAsiaTheme="minorEastAsia"/>
          <w:noProof/>
          <w:lang w:eastAsia="en-AU"/>
        </w:rPr>
      </w:pPr>
      <w:hyperlink w:anchor="_Toc497819785" w:history="1">
        <w:r w:rsidR="00834540" w:rsidRPr="00A74968">
          <w:rPr>
            <w:rStyle w:val="Hyperlink"/>
            <w:noProof/>
          </w:rPr>
          <w:t>12.2</w:t>
        </w:r>
        <w:r w:rsidR="00834540">
          <w:rPr>
            <w:rFonts w:eastAsiaTheme="minorEastAsia"/>
            <w:noProof/>
            <w:lang w:eastAsia="en-AU"/>
          </w:rPr>
          <w:tab/>
        </w:r>
        <w:r w:rsidR="00834540" w:rsidRPr="00A74968">
          <w:rPr>
            <w:rStyle w:val="Hyperlink"/>
            <w:noProof/>
          </w:rPr>
          <w:t>The Department’s responsibilities</w:t>
        </w:r>
        <w:r w:rsidR="00834540">
          <w:rPr>
            <w:noProof/>
            <w:webHidden/>
          </w:rPr>
          <w:tab/>
        </w:r>
        <w:r w:rsidR="00834540">
          <w:rPr>
            <w:noProof/>
            <w:webHidden/>
          </w:rPr>
          <w:fldChar w:fldCharType="begin"/>
        </w:r>
        <w:r w:rsidR="00834540">
          <w:rPr>
            <w:noProof/>
            <w:webHidden/>
          </w:rPr>
          <w:instrText xml:space="preserve"> PAGEREF _Toc497819785 \h </w:instrText>
        </w:r>
        <w:r w:rsidR="00834540">
          <w:rPr>
            <w:noProof/>
            <w:webHidden/>
          </w:rPr>
        </w:r>
        <w:r w:rsidR="00834540">
          <w:rPr>
            <w:noProof/>
            <w:webHidden/>
          </w:rPr>
          <w:fldChar w:fldCharType="separate"/>
        </w:r>
        <w:r w:rsidR="00834540">
          <w:rPr>
            <w:noProof/>
            <w:webHidden/>
          </w:rPr>
          <w:t>21</w:t>
        </w:r>
        <w:r w:rsidR="00834540">
          <w:rPr>
            <w:noProof/>
            <w:webHidden/>
          </w:rPr>
          <w:fldChar w:fldCharType="end"/>
        </w:r>
      </w:hyperlink>
    </w:p>
    <w:p w14:paraId="156EBE7A" w14:textId="3011F942" w:rsidR="00834540" w:rsidRDefault="00AE07C0">
      <w:pPr>
        <w:pStyle w:val="TOC2"/>
        <w:rPr>
          <w:rFonts w:eastAsiaTheme="minorEastAsia"/>
          <w:noProof/>
          <w:lang w:eastAsia="en-AU"/>
        </w:rPr>
      </w:pPr>
      <w:hyperlink w:anchor="_Toc497819786" w:history="1">
        <w:r w:rsidR="00834540" w:rsidRPr="00A74968">
          <w:rPr>
            <w:rStyle w:val="Hyperlink"/>
            <w:noProof/>
          </w:rPr>
          <w:t>12.3</w:t>
        </w:r>
        <w:r w:rsidR="00834540">
          <w:rPr>
            <w:rFonts w:eastAsiaTheme="minorEastAsia"/>
            <w:noProof/>
            <w:lang w:eastAsia="en-AU"/>
          </w:rPr>
          <w:tab/>
        </w:r>
        <w:r w:rsidR="00834540" w:rsidRPr="00A74968">
          <w:rPr>
            <w:rStyle w:val="Hyperlink"/>
            <w:noProof/>
          </w:rPr>
          <w:t>Grant payments and GST</w:t>
        </w:r>
        <w:r w:rsidR="00834540">
          <w:rPr>
            <w:noProof/>
            <w:webHidden/>
          </w:rPr>
          <w:tab/>
        </w:r>
        <w:r w:rsidR="00834540">
          <w:rPr>
            <w:noProof/>
            <w:webHidden/>
          </w:rPr>
          <w:fldChar w:fldCharType="begin"/>
        </w:r>
        <w:r w:rsidR="00834540">
          <w:rPr>
            <w:noProof/>
            <w:webHidden/>
          </w:rPr>
          <w:instrText xml:space="preserve"> PAGEREF _Toc497819786 \h </w:instrText>
        </w:r>
        <w:r w:rsidR="00834540">
          <w:rPr>
            <w:noProof/>
            <w:webHidden/>
          </w:rPr>
        </w:r>
        <w:r w:rsidR="00834540">
          <w:rPr>
            <w:noProof/>
            <w:webHidden/>
          </w:rPr>
          <w:fldChar w:fldCharType="separate"/>
        </w:r>
        <w:r w:rsidR="00834540">
          <w:rPr>
            <w:noProof/>
            <w:webHidden/>
          </w:rPr>
          <w:t>21</w:t>
        </w:r>
        <w:r w:rsidR="00834540">
          <w:rPr>
            <w:noProof/>
            <w:webHidden/>
          </w:rPr>
          <w:fldChar w:fldCharType="end"/>
        </w:r>
      </w:hyperlink>
    </w:p>
    <w:p w14:paraId="548E1E45" w14:textId="1A432ADF" w:rsidR="00834540" w:rsidRDefault="00AE07C0">
      <w:pPr>
        <w:pStyle w:val="TOC2"/>
        <w:rPr>
          <w:rFonts w:eastAsiaTheme="minorEastAsia"/>
          <w:noProof/>
          <w:lang w:eastAsia="en-AU"/>
        </w:rPr>
      </w:pPr>
      <w:hyperlink w:anchor="_Toc497819787" w:history="1">
        <w:r w:rsidR="00834540" w:rsidRPr="00A74968">
          <w:rPr>
            <w:rStyle w:val="Hyperlink"/>
            <w:noProof/>
          </w:rPr>
          <w:t>12.4</w:t>
        </w:r>
        <w:r w:rsidR="00834540">
          <w:rPr>
            <w:rFonts w:eastAsiaTheme="minorEastAsia"/>
            <w:noProof/>
            <w:lang w:eastAsia="en-AU"/>
          </w:rPr>
          <w:tab/>
        </w:r>
        <w:r w:rsidR="00834540" w:rsidRPr="00A74968">
          <w:rPr>
            <w:rStyle w:val="Hyperlink"/>
            <w:noProof/>
          </w:rPr>
          <w:t>Reporting</w:t>
        </w:r>
        <w:r w:rsidR="00834540">
          <w:rPr>
            <w:noProof/>
            <w:webHidden/>
          </w:rPr>
          <w:tab/>
        </w:r>
        <w:r w:rsidR="00834540">
          <w:rPr>
            <w:noProof/>
            <w:webHidden/>
          </w:rPr>
          <w:fldChar w:fldCharType="begin"/>
        </w:r>
        <w:r w:rsidR="00834540">
          <w:rPr>
            <w:noProof/>
            <w:webHidden/>
          </w:rPr>
          <w:instrText xml:space="preserve"> PAGEREF _Toc497819787 \h </w:instrText>
        </w:r>
        <w:r w:rsidR="00834540">
          <w:rPr>
            <w:noProof/>
            <w:webHidden/>
          </w:rPr>
        </w:r>
        <w:r w:rsidR="00834540">
          <w:rPr>
            <w:noProof/>
            <w:webHidden/>
          </w:rPr>
          <w:fldChar w:fldCharType="separate"/>
        </w:r>
        <w:r w:rsidR="00834540">
          <w:rPr>
            <w:noProof/>
            <w:webHidden/>
          </w:rPr>
          <w:t>22</w:t>
        </w:r>
        <w:r w:rsidR="00834540">
          <w:rPr>
            <w:noProof/>
            <w:webHidden/>
          </w:rPr>
          <w:fldChar w:fldCharType="end"/>
        </w:r>
      </w:hyperlink>
    </w:p>
    <w:p w14:paraId="6B2C0FA3" w14:textId="1B89363E" w:rsidR="00834540" w:rsidRDefault="00AE07C0">
      <w:pPr>
        <w:pStyle w:val="TOC2"/>
        <w:rPr>
          <w:rFonts w:eastAsiaTheme="minorEastAsia"/>
          <w:noProof/>
          <w:lang w:eastAsia="en-AU"/>
        </w:rPr>
      </w:pPr>
      <w:hyperlink w:anchor="_Toc497819788" w:history="1">
        <w:r w:rsidR="00834540" w:rsidRPr="00A74968">
          <w:rPr>
            <w:rStyle w:val="Hyperlink"/>
            <w:noProof/>
          </w:rPr>
          <w:t>12.5</w:t>
        </w:r>
        <w:r w:rsidR="00834540">
          <w:rPr>
            <w:rFonts w:eastAsiaTheme="minorEastAsia"/>
            <w:noProof/>
            <w:lang w:eastAsia="en-AU"/>
          </w:rPr>
          <w:tab/>
        </w:r>
        <w:r w:rsidR="00834540" w:rsidRPr="00A74968">
          <w:rPr>
            <w:rStyle w:val="Hyperlink"/>
            <w:noProof/>
          </w:rPr>
          <w:t>Evaluation</w:t>
        </w:r>
        <w:r w:rsidR="00834540">
          <w:rPr>
            <w:noProof/>
            <w:webHidden/>
          </w:rPr>
          <w:tab/>
        </w:r>
        <w:r w:rsidR="00834540">
          <w:rPr>
            <w:noProof/>
            <w:webHidden/>
          </w:rPr>
          <w:fldChar w:fldCharType="begin"/>
        </w:r>
        <w:r w:rsidR="00834540">
          <w:rPr>
            <w:noProof/>
            <w:webHidden/>
          </w:rPr>
          <w:instrText xml:space="preserve"> PAGEREF _Toc497819788 \h </w:instrText>
        </w:r>
        <w:r w:rsidR="00834540">
          <w:rPr>
            <w:noProof/>
            <w:webHidden/>
          </w:rPr>
        </w:r>
        <w:r w:rsidR="00834540">
          <w:rPr>
            <w:noProof/>
            <w:webHidden/>
          </w:rPr>
          <w:fldChar w:fldCharType="separate"/>
        </w:r>
        <w:r w:rsidR="00834540">
          <w:rPr>
            <w:noProof/>
            <w:webHidden/>
          </w:rPr>
          <w:t>22</w:t>
        </w:r>
        <w:r w:rsidR="00834540">
          <w:rPr>
            <w:noProof/>
            <w:webHidden/>
          </w:rPr>
          <w:fldChar w:fldCharType="end"/>
        </w:r>
      </w:hyperlink>
    </w:p>
    <w:p w14:paraId="1460C080" w14:textId="6F21D004" w:rsidR="00834540" w:rsidRDefault="00AE07C0">
      <w:pPr>
        <w:pStyle w:val="TOC2"/>
        <w:rPr>
          <w:rFonts w:eastAsiaTheme="minorEastAsia"/>
          <w:noProof/>
          <w:lang w:eastAsia="en-AU"/>
        </w:rPr>
      </w:pPr>
      <w:hyperlink w:anchor="_Toc497819789" w:history="1">
        <w:r w:rsidR="00834540" w:rsidRPr="00A74968">
          <w:rPr>
            <w:rStyle w:val="Hyperlink"/>
            <w:noProof/>
          </w:rPr>
          <w:t>12.6</w:t>
        </w:r>
        <w:r w:rsidR="00834540">
          <w:rPr>
            <w:rFonts w:eastAsiaTheme="minorEastAsia"/>
            <w:noProof/>
            <w:lang w:eastAsia="en-AU"/>
          </w:rPr>
          <w:tab/>
        </w:r>
        <w:r w:rsidR="00834540" w:rsidRPr="00A74968">
          <w:rPr>
            <w:rStyle w:val="Hyperlink"/>
            <w:noProof/>
          </w:rPr>
          <w:t>Acknowledgement</w:t>
        </w:r>
        <w:r w:rsidR="00834540">
          <w:rPr>
            <w:noProof/>
            <w:webHidden/>
          </w:rPr>
          <w:tab/>
        </w:r>
        <w:r w:rsidR="00834540">
          <w:rPr>
            <w:noProof/>
            <w:webHidden/>
          </w:rPr>
          <w:fldChar w:fldCharType="begin"/>
        </w:r>
        <w:r w:rsidR="00834540">
          <w:rPr>
            <w:noProof/>
            <w:webHidden/>
          </w:rPr>
          <w:instrText xml:space="preserve"> PAGEREF _Toc497819789 \h </w:instrText>
        </w:r>
        <w:r w:rsidR="00834540">
          <w:rPr>
            <w:noProof/>
            <w:webHidden/>
          </w:rPr>
        </w:r>
        <w:r w:rsidR="00834540">
          <w:rPr>
            <w:noProof/>
            <w:webHidden/>
          </w:rPr>
          <w:fldChar w:fldCharType="separate"/>
        </w:r>
        <w:r w:rsidR="00834540">
          <w:rPr>
            <w:noProof/>
            <w:webHidden/>
          </w:rPr>
          <w:t>22</w:t>
        </w:r>
        <w:r w:rsidR="00834540">
          <w:rPr>
            <w:noProof/>
            <w:webHidden/>
          </w:rPr>
          <w:fldChar w:fldCharType="end"/>
        </w:r>
      </w:hyperlink>
    </w:p>
    <w:p w14:paraId="5EC5B1B6" w14:textId="1E32A659" w:rsidR="00834540" w:rsidRDefault="00AE07C0">
      <w:pPr>
        <w:pStyle w:val="TOC1"/>
        <w:rPr>
          <w:rFonts w:eastAsiaTheme="minorEastAsia"/>
          <w:b w:val="0"/>
          <w:noProof/>
          <w:sz w:val="22"/>
          <w:lang w:eastAsia="en-AU"/>
        </w:rPr>
      </w:pPr>
      <w:hyperlink w:anchor="_Toc497819790" w:history="1">
        <w:r w:rsidR="00834540" w:rsidRPr="00A74968">
          <w:rPr>
            <w:rStyle w:val="Hyperlink"/>
            <w:noProof/>
          </w:rPr>
          <w:t>13.</w:t>
        </w:r>
        <w:r w:rsidR="00834540">
          <w:rPr>
            <w:rFonts w:eastAsiaTheme="minorEastAsia"/>
            <w:b w:val="0"/>
            <w:noProof/>
            <w:sz w:val="22"/>
            <w:lang w:eastAsia="en-AU"/>
          </w:rPr>
          <w:tab/>
        </w:r>
        <w:r w:rsidR="00834540" w:rsidRPr="00A74968">
          <w:rPr>
            <w:rStyle w:val="Hyperlink"/>
            <w:noProof/>
          </w:rPr>
          <w:t>Probity</w:t>
        </w:r>
        <w:r w:rsidR="00834540">
          <w:rPr>
            <w:noProof/>
            <w:webHidden/>
          </w:rPr>
          <w:tab/>
        </w:r>
        <w:r w:rsidR="00834540">
          <w:rPr>
            <w:noProof/>
            <w:webHidden/>
          </w:rPr>
          <w:fldChar w:fldCharType="begin"/>
        </w:r>
        <w:r w:rsidR="00834540">
          <w:rPr>
            <w:noProof/>
            <w:webHidden/>
          </w:rPr>
          <w:instrText xml:space="preserve"> PAGEREF _Toc497819790 \h </w:instrText>
        </w:r>
        <w:r w:rsidR="00834540">
          <w:rPr>
            <w:noProof/>
            <w:webHidden/>
          </w:rPr>
        </w:r>
        <w:r w:rsidR="00834540">
          <w:rPr>
            <w:noProof/>
            <w:webHidden/>
          </w:rPr>
          <w:fldChar w:fldCharType="separate"/>
        </w:r>
        <w:r w:rsidR="00834540">
          <w:rPr>
            <w:noProof/>
            <w:webHidden/>
          </w:rPr>
          <w:t>22</w:t>
        </w:r>
        <w:r w:rsidR="00834540">
          <w:rPr>
            <w:noProof/>
            <w:webHidden/>
          </w:rPr>
          <w:fldChar w:fldCharType="end"/>
        </w:r>
      </w:hyperlink>
    </w:p>
    <w:p w14:paraId="613F6A55" w14:textId="3627615B" w:rsidR="00834540" w:rsidRDefault="00AE07C0">
      <w:pPr>
        <w:pStyle w:val="TOC2"/>
        <w:rPr>
          <w:rFonts w:eastAsiaTheme="minorEastAsia"/>
          <w:noProof/>
          <w:lang w:eastAsia="en-AU"/>
        </w:rPr>
      </w:pPr>
      <w:hyperlink w:anchor="_Toc497819791" w:history="1">
        <w:r w:rsidR="00834540" w:rsidRPr="00A74968">
          <w:rPr>
            <w:rStyle w:val="Hyperlink"/>
            <w:noProof/>
          </w:rPr>
          <w:t>13.1</w:t>
        </w:r>
        <w:r w:rsidR="00834540">
          <w:rPr>
            <w:rFonts w:eastAsiaTheme="minorEastAsia"/>
            <w:noProof/>
            <w:lang w:eastAsia="en-AU"/>
          </w:rPr>
          <w:tab/>
        </w:r>
        <w:r w:rsidR="00834540" w:rsidRPr="00A74968">
          <w:rPr>
            <w:rStyle w:val="Hyperlink"/>
            <w:noProof/>
          </w:rPr>
          <w:t>Complaints process</w:t>
        </w:r>
        <w:r w:rsidR="00834540">
          <w:rPr>
            <w:noProof/>
            <w:webHidden/>
          </w:rPr>
          <w:tab/>
        </w:r>
        <w:r w:rsidR="00834540">
          <w:rPr>
            <w:noProof/>
            <w:webHidden/>
          </w:rPr>
          <w:fldChar w:fldCharType="begin"/>
        </w:r>
        <w:r w:rsidR="00834540">
          <w:rPr>
            <w:noProof/>
            <w:webHidden/>
          </w:rPr>
          <w:instrText xml:space="preserve"> PAGEREF _Toc497819791 \h </w:instrText>
        </w:r>
        <w:r w:rsidR="00834540">
          <w:rPr>
            <w:noProof/>
            <w:webHidden/>
          </w:rPr>
        </w:r>
        <w:r w:rsidR="00834540">
          <w:rPr>
            <w:noProof/>
            <w:webHidden/>
          </w:rPr>
          <w:fldChar w:fldCharType="separate"/>
        </w:r>
        <w:r w:rsidR="00834540">
          <w:rPr>
            <w:noProof/>
            <w:webHidden/>
          </w:rPr>
          <w:t>22</w:t>
        </w:r>
        <w:r w:rsidR="00834540">
          <w:rPr>
            <w:noProof/>
            <w:webHidden/>
          </w:rPr>
          <w:fldChar w:fldCharType="end"/>
        </w:r>
      </w:hyperlink>
    </w:p>
    <w:p w14:paraId="58DF2933" w14:textId="1F28FAF3" w:rsidR="00834540" w:rsidRDefault="00AE07C0">
      <w:pPr>
        <w:pStyle w:val="TOC2"/>
        <w:rPr>
          <w:rFonts w:eastAsiaTheme="minorEastAsia"/>
          <w:noProof/>
          <w:lang w:eastAsia="en-AU"/>
        </w:rPr>
      </w:pPr>
      <w:hyperlink w:anchor="_Toc497819792" w:history="1">
        <w:r w:rsidR="00834540" w:rsidRPr="00A74968">
          <w:rPr>
            <w:rStyle w:val="Hyperlink"/>
            <w:noProof/>
          </w:rPr>
          <w:t>13.2</w:t>
        </w:r>
        <w:r w:rsidR="00834540">
          <w:rPr>
            <w:rFonts w:eastAsiaTheme="minorEastAsia"/>
            <w:noProof/>
            <w:lang w:eastAsia="en-AU"/>
          </w:rPr>
          <w:tab/>
        </w:r>
        <w:r w:rsidR="00834540" w:rsidRPr="00A74968">
          <w:rPr>
            <w:rStyle w:val="Hyperlink"/>
            <w:noProof/>
          </w:rPr>
          <w:t>Conflict of interest</w:t>
        </w:r>
        <w:r w:rsidR="00834540">
          <w:rPr>
            <w:noProof/>
            <w:webHidden/>
          </w:rPr>
          <w:tab/>
        </w:r>
        <w:r w:rsidR="00834540">
          <w:rPr>
            <w:noProof/>
            <w:webHidden/>
          </w:rPr>
          <w:fldChar w:fldCharType="begin"/>
        </w:r>
        <w:r w:rsidR="00834540">
          <w:rPr>
            <w:noProof/>
            <w:webHidden/>
          </w:rPr>
          <w:instrText xml:space="preserve"> PAGEREF _Toc497819792 \h </w:instrText>
        </w:r>
        <w:r w:rsidR="00834540">
          <w:rPr>
            <w:noProof/>
            <w:webHidden/>
          </w:rPr>
        </w:r>
        <w:r w:rsidR="00834540">
          <w:rPr>
            <w:noProof/>
            <w:webHidden/>
          </w:rPr>
          <w:fldChar w:fldCharType="separate"/>
        </w:r>
        <w:r w:rsidR="00834540">
          <w:rPr>
            <w:noProof/>
            <w:webHidden/>
          </w:rPr>
          <w:t>23</w:t>
        </w:r>
        <w:r w:rsidR="00834540">
          <w:rPr>
            <w:noProof/>
            <w:webHidden/>
          </w:rPr>
          <w:fldChar w:fldCharType="end"/>
        </w:r>
      </w:hyperlink>
    </w:p>
    <w:p w14:paraId="043C8011" w14:textId="26B2F82B" w:rsidR="00834540" w:rsidRDefault="00AE07C0">
      <w:pPr>
        <w:pStyle w:val="TOC2"/>
        <w:rPr>
          <w:rFonts w:eastAsiaTheme="minorEastAsia"/>
          <w:noProof/>
          <w:lang w:eastAsia="en-AU"/>
        </w:rPr>
      </w:pPr>
      <w:hyperlink w:anchor="_Toc497819793" w:history="1">
        <w:r w:rsidR="00834540" w:rsidRPr="00A74968">
          <w:rPr>
            <w:rStyle w:val="Hyperlink"/>
            <w:noProof/>
          </w:rPr>
          <w:t>13.3</w:t>
        </w:r>
        <w:r w:rsidR="00834540">
          <w:rPr>
            <w:rFonts w:eastAsiaTheme="minorEastAsia"/>
            <w:noProof/>
            <w:lang w:eastAsia="en-AU"/>
          </w:rPr>
          <w:tab/>
        </w:r>
        <w:r w:rsidR="00834540" w:rsidRPr="00A74968">
          <w:rPr>
            <w:rStyle w:val="Hyperlink"/>
            <w:noProof/>
          </w:rPr>
          <w:t>Privacy: confidentiality and protection of personal information</w:t>
        </w:r>
        <w:r w:rsidR="00834540">
          <w:rPr>
            <w:noProof/>
            <w:webHidden/>
          </w:rPr>
          <w:tab/>
        </w:r>
        <w:r w:rsidR="00834540">
          <w:rPr>
            <w:noProof/>
            <w:webHidden/>
          </w:rPr>
          <w:fldChar w:fldCharType="begin"/>
        </w:r>
        <w:r w:rsidR="00834540">
          <w:rPr>
            <w:noProof/>
            <w:webHidden/>
          </w:rPr>
          <w:instrText xml:space="preserve"> PAGEREF _Toc497819793 \h </w:instrText>
        </w:r>
        <w:r w:rsidR="00834540">
          <w:rPr>
            <w:noProof/>
            <w:webHidden/>
          </w:rPr>
        </w:r>
        <w:r w:rsidR="00834540">
          <w:rPr>
            <w:noProof/>
            <w:webHidden/>
          </w:rPr>
          <w:fldChar w:fldCharType="separate"/>
        </w:r>
        <w:r w:rsidR="00834540">
          <w:rPr>
            <w:noProof/>
            <w:webHidden/>
          </w:rPr>
          <w:t>24</w:t>
        </w:r>
        <w:r w:rsidR="00834540">
          <w:rPr>
            <w:noProof/>
            <w:webHidden/>
          </w:rPr>
          <w:fldChar w:fldCharType="end"/>
        </w:r>
      </w:hyperlink>
    </w:p>
    <w:p w14:paraId="2009CD4A" w14:textId="44C6F78D" w:rsidR="00834540" w:rsidRDefault="00AE07C0">
      <w:pPr>
        <w:pStyle w:val="TOC2"/>
        <w:rPr>
          <w:rFonts w:eastAsiaTheme="minorEastAsia"/>
          <w:noProof/>
          <w:lang w:eastAsia="en-AU"/>
        </w:rPr>
      </w:pPr>
      <w:hyperlink w:anchor="_Toc497819794" w:history="1">
        <w:r w:rsidR="00834540" w:rsidRPr="00A74968">
          <w:rPr>
            <w:rStyle w:val="Hyperlink"/>
            <w:noProof/>
          </w:rPr>
          <w:t>13.4</w:t>
        </w:r>
        <w:r w:rsidR="00834540">
          <w:rPr>
            <w:rFonts w:eastAsiaTheme="minorEastAsia"/>
            <w:noProof/>
            <w:lang w:eastAsia="en-AU"/>
          </w:rPr>
          <w:tab/>
        </w:r>
        <w:r w:rsidR="00834540" w:rsidRPr="00A74968">
          <w:rPr>
            <w:rStyle w:val="Hyperlink"/>
            <w:noProof/>
          </w:rPr>
          <w:t>Freedom of information</w:t>
        </w:r>
        <w:r w:rsidR="00834540">
          <w:rPr>
            <w:noProof/>
            <w:webHidden/>
          </w:rPr>
          <w:tab/>
        </w:r>
        <w:r w:rsidR="00834540">
          <w:rPr>
            <w:noProof/>
            <w:webHidden/>
          </w:rPr>
          <w:fldChar w:fldCharType="begin"/>
        </w:r>
        <w:r w:rsidR="00834540">
          <w:rPr>
            <w:noProof/>
            <w:webHidden/>
          </w:rPr>
          <w:instrText xml:space="preserve"> PAGEREF _Toc497819794 \h </w:instrText>
        </w:r>
        <w:r w:rsidR="00834540">
          <w:rPr>
            <w:noProof/>
            <w:webHidden/>
          </w:rPr>
        </w:r>
        <w:r w:rsidR="00834540">
          <w:rPr>
            <w:noProof/>
            <w:webHidden/>
          </w:rPr>
          <w:fldChar w:fldCharType="separate"/>
        </w:r>
        <w:r w:rsidR="00834540">
          <w:rPr>
            <w:noProof/>
            <w:webHidden/>
          </w:rPr>
          <w:t>25</w:t>
        </w:r>
        <w:r w:rsidR="00834540">
          <w:rPr>
            <w:noProof/>
            <w:webHidden/>
          </w:rPr>
          <w:fldChar w:fldCharType="end"/>
        </w:r>
      </w:hyperlink>
    </w:p>
    <w:p w14:paraId="331563CE" w14:textId="7BDB7E6C" w:rsidR="00834540" w:rsidRDefault="00AE07C0">
      <w:pPr>
        <w:pStyle w:val="TOC2"/>
        <w:rPr>
          <w:rFonts w:eastAsiaTheme="minorEastAsia"/>
          <w:noProof/>
          <w:lang w:eastAsia="en-AU"/>
        </w:rPr>
      </w:pPr>
      <w:hyperlink w:anchor="_Toc497819795" w:history="1">
        <w:r w:rsidR="00834540" w:rsidRPr="00A74968">
          <w:rPr>
            <w:rStyle w:val="Hyperlink"/>
            <w:noProof/>
          </w:rPr>
          <w:t>13.5</w:t>
        </w:r>
        <w:r w:rsidR="00834540">
          <w:rPr>
            <w:rFonts w:eastAsiaTheme="minorEastAsia"/>
            <w:noProof/>
            <w:lang w:eastAsia="en-AU"/>
          </w:rPr>
          <w:tab/>
        </w:r>
        <w:r w:rsidR="00834540" w:rsidRPr="00A74968">
          <w:rPr>
            <w:rStyle w:val="Hyperlink"/>
            <w:noProof/>
          </w:rPr>
          <w:t>Consultation</w:t>
        </w:r>
        <w:r w:rsidR="00834540">
          <w:rPr>
            <w:noProof/>
            <w:webHidden/>
          </w:rPr>
          <w:tab/>
        </w:r>
        <w:r w:rsidR="00834540">
          <w:rPr>
            <w:noProof/>
            <w:webHidden/>
          </w:rPr>
          <w:fldChar w:fldCharType="begin"/>
        </w:r>
        <w:r w:rsidR="00834540">
          <w:rPr>
            <w:noProof/>
            <w:webHidden/>
          </w:rPr>
          <w:instrText xml:space="preserve"> PAGEREF _Toc497819795 \h </w:instrText>
        </w:r>
        <w:r w:rsidR="00834540">
          <w:rPr>
            <w:noProof/>
            <w:webHidden/>
          </w:rPr>
        </w:r>
        <w:r w:rsidR="00834540">
          <w:rPr>
            <w:noProof/>
            <w:webHidden/>
          </w:rPr>
          <w:fldChar w:fldCharType="separate"/>
        </w:r>
        <w:r w:rsidR="00834540">
          <w:rPr>
            <w:noProof/>
            <w:webHidden/>
          </w:rPr>
          <w:t>26</w:t>
        </w:r>
        <w:r w:rsidR="00834540">
          <w:rPr>
            <w:noProof/>
            <w:webHidden/>
          </w:rPr>
          <w:fldChar w:fldCharType="end"/>
        </w:r>
      </w:hyperlink>
    </w:p>
    <w:p w14:paraId="56A29A18" w14:textId="59351584" w:rsidR="00834540" w:rsidRDefault="00AE07C0">
      <w:pPr>
        <w:pStyle w:val="TOC1"/>
        <w:rPr>
          <w:rFonts w:eastAsiaTheme="minorEastAsia"/>
          <w:b w:val="0"/>
          <w:noProof/>
          <w:sz w:val="22"/>
          <w:lang w:eastAsia="en-AU"/>
        </w:rPr>
      </w:pPr>
      <w:hyperlink w:anchor="_Toc497819796" w:history="1">
        <w:r w:rsidR="00834540" w:rsidRPr="00A74968">
          <w:rPr>
            <w:rStyle w:val="Hyperlink"/>
            <w:noProof/>
          </w:rPr>
          <w:t>14.</w:t>
        </w:r>
        <w:r w:rsidR="00834540">
          <w:rPr>
            <w:rFonts w:eastAsiaTheme="minorEastAsia"/>
            <w:b w:val="0"/>
            <w:noProof/>
            <w:sz w:val="22"/>
            <w:lang w:eastAsia="en-AU"/>
          </w:rPr>
          <w:tab/>
        </w:r>
        <w:r w:rsidR="00834540" w:rsidRPr="00A74968">
          <w:rPr>
            <w:rStyle w:val="Hyperlink"/>
            <w:noProof/>
          </w:rPr>
          <w:t>Glossary</w:t>
        </w:r>
        <w:r w:rsidR="00834540">
          <w:rPr>
            <w:noProof/>
            <w:webHidden/>
          </w:rPr>
          <w:tab/>
        </w:r>
        <w:r w:rsidR="00834540">
          <w:rPr>
            <w:noProof/>
            <w:webHidden/>
          </w:rPr>
          <w:fldChar w:fldCharType="begin"/>
        </w:r>
        <w:r w:rsidR="00834540">
          <w:rPr>
            <w:noProof/>
            <w:webHidden/>
          </w:rPr>
          <w:instrText xml:space="preserve"> PAGEREF _Toc497819796 \h </w:instrText>
        </w:r>
        <w:r w:rsidR="00834540">
          <w:rPr>
            <w:noProof/>
            <w:webHidden/>
          </w:rPr>
        </w:r>
        <w:r w:rsidR="00834540">
          <w:rPr>
            <w:noProof/>
            <w:webHidden/>
          </w:rPr>
          <w:fldChar w:fldCharType="separate"/>
        </w:r>
        <w:r w:rsidR="00834540">
          <w:rPr>
            <w:noProof/>
            <w:webHidden/>
          </w:rPr>
          <w:t>27</w:t>
        </w:r>
        <w:r w:rsidR="00834540">
          <w:rPr>
            <w:noProof/>
            <w:webHidden/>
          </w:rPr>
          <w:fldChar w:fldCharType="end"/>
        </w:r>
      </w:hyperlink>
    </w:p>
    <w:p w14:paraId="42CA9299" w14:textId="53025492" w:rsidR="00934587" w:rsidRDefault="0020122A" w:rsidP="00CC2AA4">
      <w:r>
        <w:fldChar w:fldCharType="end"/>
      </w:r>
    </w:p>
    <w:p w14:paraId="7066E2E0"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361AAFC6" w14:textId="22BB8D21" w:rsidR="00EC4FD1" w:rsidRDefault="000F21AC" w:rsidP="00666FF9">
      <w:pPr>
        <w:pStyle w:val="Heading1Numbered"/>
      </w:pPr>
      <w:bookmarkStart w:id="4" w:name="_Toc497819746"/>
      <w:bookmarkEnd w:id="1"/>
      <w:bookmarkEnd w:id="2"/>
      <w:r>
        <w:lastRenderedPageBreak/>
        <w:t xml:space="preserve">The Try, Test and Learn Fund: Build and Grow Project </w:t>
      </w:r>
      <w:r w:rsidR="00666FF9">
        <w:t xml:space="preserve"> overview</w:t>
      </w:r>
      <w:bookmarkEnd w:id="4"/>
    </w:p>
    <w:p w14:paraId="38D61745" w14:textId="77777777" w:rsidR="00666FF9" w:rsidRPr="00666FF9" w:rsidRDefault="00666FF9" w:rsidP="00543768">
      <w:pPr>
        <w:pStyle w:val="Heading2inusebytemplate"/>
        <w:spacing w:after="0"/>
      </w:pPr>
      <w:bookmarkStart w:id="5" w:name="_Toc497819747"/>
      <w:r>
        <w:t>About the grant process</w:t>
      </w:r>
      <w:bookmarkEnd w:id="5"/>
    </w:p>
    <w:p w14:paraId="084791D4" w14:textId="77777777" w:rsidR="00EC4FD1" w:rsidRPr="00854277" w:rsidRDefault="00EC4FD1" w:rsidP="00543768">
      <w:pPr>
        <w:spacing w:before="0" w:after="0"/>
        <w:rPr>
          <w:sz w:val="4"/>
          <w:szCs w:val="4"/>
        </w:rPr>
      </w:pPr>
    </w:p>
    <w:p w14:paraId="3CB22ABD"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1A1E5B65"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19A4F727"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8AA554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69958064" w14:textId="0A4EDF15" w:rsidR="00EC4FD1"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6722DE">
        <w:t xml:space="preserve"> the</w:t>
      </w:r>
      <w:r w:rsidR="006722DE" w:rsidRPr="00854277">
        <w:t xml:space="preserve"> </w:t>
      </w:r>
      <w:hyperlink r:id="rId9" w:history="1">
        <w:r w:rsidR="006722DE" w:rsidRPr="002D6339">
          <w:rPr>
            <w:rStyle w:val="Hyperlink"/>
            <w:rFonts w:cstheme="minorBidi"/>
          </w:rPr>
          <w:t>GrantConnect</w:t>
        </w:r>
      </w:hyperlink>
      <w:r w:rsidR="006722DE">
        <w:t xml:space="preserve"> and </w:t>
      </w:r>
      <w:hyperlink r:id="rId10" w:history="1">
        <w:r w:rsidR="006722DE" w:rsidRPr="00B77FF9">
          <w:rPr>
            <w:rStyle w:val="Hyperlink"/>
            <w:rFonts w:cstheme="minorBidi"/>
          </w:rPr>
          <w:t>Community Grants Hub</w:t>
        </w:r>
      </w:hyperlink>
      <w:r w:rsidR="006722DE">
        <w:t xml:space="preserve"> websites. </w:t>
      </w:r>
      <w:r w:rsidR="006722DE" w:rsidRPr="00854277">
        <w:t xml:space="preserve"> </w:t>
      </w:r>
    </w:p>
    <w:p w14:paraId="276B7E1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1D19C5C" w14:textId="288FF5D3"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35D65560" w14:textId="7649DDF1" w:rsidR="00CE7202" w:rsidRPr="00854277" w:rsidRDefault="00CE7202" w:rsidP="007A44C8">
      <w:pPr>
        <w:pBdr>
          <w:top w:val="single" w:sz="2" w:space="1" w:color="auto"/>
          <w:left w:val="single" w:sz="2" w:space="4" w:color="auto"/>
          <w:bottom w:val="single" w:sz="2" w:space="1" w:color="auto"/>
          <w:right w:val="single" w:sz="2" w:space="4" w:color="auto"/>
        </w:pBdr>
        <w:spacing w:after="0"/>
        <w:jc w:val="center"/>
        <w:rPr>
          <w:b/>
        </w:rP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r w:rsidR="007A44C8">
        <w:t>.</w:t>
      </w:r>
    </w:p>
    <w:p w14:paraId="41686B5C"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DEB7E83"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3A3478">
        <w:rPr>
          <w:b/>
        </w:rPr>
        <w:t>the grant application</w:t>
      </w:r>
    </w:p>
    <w:p w14:paraId="2E615C7B" w14:textId="77777777" w:rsidR="00EC4FD1" w:rsidRPr="00854277" w:rsidRDefault="003A3478" w:rsidP="00EC4FD1">
      <w:pPr>
        <w:pBdr>
          <w:top w:val="single" w:sz="2" w:space="1" w:color="auto"/>
          <w:left w:val="single" w:sz="2" w:space="4" w:color="auto"/>
          <w:bottom w:val="single" w:sz="2" w:space="1" w:color="auto"/>
          <w:right w:val="single" w:sz="2" w:space="4" w:color="auto"/>
        </w:pBdr>
        <w:spacing w:after="0"/>
        <w:jc w:val="center"/>
      </w:pPr>
      <w:r>
        <w:t>We assess the application</w:t>
      </w:r>
      <w:r w:rsidR="00EC4FD1" w:rsidRPr="00854277">
        <w:t xml:space="preserve"> against </w:t>
      </w:r>
      <w:r w:rsidR="00EC4FD1" w:rsidRPr="006B5AA9">
        <w:t>eligibility criteria</w:t>
      </w:r>
      <w:r w:rsidR="00EC4FD1" w:rsidRPr="00854277">
        <w:t xml:space="preserve"> and notify you if you are not eligible. We then assess your application against the </w:t>
      </w:r>
      <w:r w:rsidR="00EC4FD1" w:rsidRPr="006B5AA9">
        <w:t>assessment criteria</w:t>
      </w:r>
      <w:r w:rsidR="00EC4FD1" w:rsidRPr="00854277">
        <w:t xml:space="preserve"> including an overall consideration of value for money. </w:t>
      </w:r>
    </w:p>
    <w:p w14:paraId="68259BF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5DC74C6"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75788BF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 xml:space="preserve">application. </w:t>
      </w:r>
    </w:p>
    <w:p w14:paraId="0DEB43DC" w14:textId="77777777" w:rsidR="00CE7202" w:rsidRDefault="00CE7202">
      <w:pPr>
        <w:suppressAutoHyphens w:val="0"/>
        <w:spacing w:before="0" w:after="120" w:line="440" w:lineRule="atLeast"/>
        <w:rPr>
          <w:rFonts w:ascii="Wingdings" w:hAnsi="Wingdings"/>
          <w:sz w:val="20"/>
          <w:szCs w:val="20"/>
        </w:rPr>
      </w:pPr>
      <w:r>
        <w:rPr>
          <w:rFonts w:ascii="Wingdings" w:hAnsi="Wingdings"/>
          <w:sz w:val="20"/>
          <w:szCs w:val="20"/>
        </w:rPr>
        <w:br w:type="page"/>
      </w:r>
    </w:p>
    <w:p w14:paraId="2C9DAFB6" w14:textId="5D25CB0B"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lastRenderedPageBreak/>
        <w:t></w:t>
      </w:r>
    </w:p>
    <w:p w14:paraId="386AA91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6EE4C3B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t>
      </w:r>
      <w:r w:rsidR="002C45B2">
        <w:t>if the</w:t>
      </w:r>
      <w:r w:rsidR="002C45B2" w:rsidRPr="00854277">
        <w:t xml:space="preserve"> </w:t>
      </w:r>
      <w:r w:rsidRPr="00854277">
        <w:t xml:space="preserve">grant application </w:t>
      </w:r>
      <w:r w:rsidR="002C45B2">
        <w:t>is</w:t>
      </w:r>
      <w:r w:rsidR="002C45B2" w:rsidRPr="00854277">
        <w:t xml:space="preserve"> </w:t>
      </w:r>
      <w:r w:rsidRPr="00854277">
        <w:t>successful.</w:t>
      </w:r>
    </w:p>
    <w:p w14:paraId="593656A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4A7C7B3"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03A4CEE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64A1780F"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187CDF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71F6240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14:paraId="0AD0CE1A"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77F7FB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4153087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297787AE"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99CF3A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453B4406"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0DAD8089" w14:textId="77777777" w:rsidR="00EC4FD1" w:rsidRPr="00854277" w:rsidRDefault="00EC4FD1" w:rsidP="00666FF9">
      <w:pPr>
        <w:pStyle w:val="Heading2inusebytemplate"/>
      </w:pPr>
      <w:bookmarkStart w:id="6" w:name="_Toc486932376"/>
      <w:bookmarkStart w:id="7" w:name="_Toc491246613"/>
      <w:bookmarkStart w:id="8" w:name="_Toc497819748"/>
      <w:r w:rsidRPr="00854277">
        <w:t xml:space="preserve">Role of the </w:t>
      </w:r>
      <w:r>
        <w:t xml:space="preserve">Community Grants </w:t>
      </w:r>
      <w:r w:rsidRPr="00854277">
        <w:t>Hub</w:t>
      </w:r>
      <w:bookmarkEnd w:id="6"/>
      <w:bookmarkEnd w:id="7"/>
      <w:bookmarkEnd w:id="8"/>
    </w:p>
    <w:p w14:paraId="5428BFE4"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3A56698B" w14:textId="77777777" w:rsidR="00EC4FD1" w:rsidRPr="000C2AE0" w:rsidRDefault="00EC4FD1" w:rsidP="00666FF9">
      <w:pPr>
        <w:pStyle w:val="Heading2inusebytemplate"/>
      </w:pPr>
      <w:bookmarkStart w:id="9" w:name="_Toc491246614"/>
      <w:bookmarkStart w:id="10" w:name="_Toc497819749"/>
      <w:r w:rsidRPr="000C2AE0">
        <w:t>About the grant program</w:t>
      </w:r>
      <w:bookmarkEnd w:id="9"/>
      <w:bookmarkEnd w:id="10"/>
    </w:p>
    <w:p w14:paraId="201BB990" w14:textId="41053E42"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w:t>
      </w:r>
      <w:r w:rsidRPr="005F4563">
        <w:rPr>
          <w:rFonts w:asciiTheme="majorHAnsi" w:hAnsiTheme="majorHAnsi" w:cstheme="majorHAnsi"/>
        </w:rPr>
        <w:t>restricted non-competitive</w:t>
      </w:r>
      <w:r w:rsidRPr="00055293">
        <w:rPr>
          <w:rFonts w:asciiTheme="majorHAnsi" w:hAnsiTheme="majorHAnsi" w:cstheme="majorHAnsi"/>
        </w:rPr>
        <w:t xml:space="preserve"> grant opportunity for the </w:t>
      </w:r>
      <w:r w:rsidR="0047509F">
        <w:rPr>
          <w:rFonts w:asciiTheme="majorHAnsi" w:hAnsiTheme="majorHAnsi" w:cstheme="majorHAnsi"/>
        </w:rPr>
        <w:t>Build and Grow</w:t>
      </w:r>
      <w:r w:rsidRPr="00055293">
        <w:rPr>
          <w:rFonts w:asciiTheme="majorHAnsi" w:hAnsiTheme="majorHAnsi" w:cstheme="majorHAnsi"/>
        </w:rPr>
        <w:t xml:space="preserve"> project. The project was one of those developed during Tranche 1 </w:t>
      </w:r>
      <w:r w:rsidR="00BD3BD3">
        <w:rPr>
          <w:rFonts w:asciiTheme="majorHAnsi" w:hAnsiTheme="majorHAnsi" w:cstheme="majorHAnsi"/>
        </w:rPr>
        <w:t xml:space="preserve">stage 2 </w:t>
      </w:r>
      <w:r w:rsidRPr="00055293">
        <w:rPr>
          <w:rFonts w:asciiTheme="majorHAnsi" w:hAnsiTheme="majorHAnsi" w:cstheme="majorHAnsi"/>
        </w:rPr>
        <w:t xml:space="preserve">of the Try, Test and Learn Fund. Information about </w:t>
      </w:r>
      <w:r w:rsidR="00A90B3B">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14:paraId="62AA8866"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 xml:space="preserve">will develop and fund new or innovative policy responses aimed at </w:t>
      </w:r>
      <w:r w:rsidRPr="00055293">
        <w:rPr>
          <w:rFonts w:asciiTheme="majorHAnsi" w:hAnsiTheme="majorHAnsi" w:cstheme="majorHAnsi"/>
          <w:lang w:val="en-US"/>
        </w:rPr>
        <w:lastRenderedPageBreak/>
        <w:t>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433FAF02" w14:textId="4C46EE5A" w:rsidR="00EC4FD1" w:rsidRPr="00055293" w:rsidRDefault="00EC4FD1" w:rsidP="00EC4FD1">
      <w:pPr>
        <w:rPr>
          <w:rFonts w:asciiTheme="majorHAnsi" w:hAnsiTheme="majorHAnsi" w:cstheme="majorHAnsi"/>
        </w:rPr>
      </w:pPr>
      <w:r w:rsidRPr="00055293">
        <w:rPr>
          <w:rFonts w:asciiTheme="majorHAnsi" w:hAnsiTheme="majorHAnsi" w:cstheme="majorHAnsi"/>
        </w:rPr>
        <w:t>Detailed information about the Try, Test and Learn Fund is publicly available in the Try, Test and Learn Fund Tranche 1 Handbook and the Co-development Supplementary Information document. These documents are available at</w:t>
      </w:r>
      <w:r w:rsidR="007A44C8">
        <w:rPr>
          <w:rFonts w:asciiTheme="majorHAnsi" w:hAnsiTheme="majorHAnsi" w:cstheme="majorHAnsi"/>
        </w:rPr>
        <w:t xml:space="preserve"> the </w:t>
      </w:r>
      <w:hyperlink r:id="rId12" w:history="1">
        <w:r w:rsidR="007A44C8" w:rsidRPr="007A44C8">
          <w:rPr>
            <w:rStyle w:val="Hyperlink"/>
            <w:rFonts w:asciiTheme="majorHAnsi" w:hAnsiTheme="majorHAnsi" w:cstheme="majorHAnsi"/>
            <w:color w:val="0000FF"/>
          </w:rPr>
          <w:t>DSS engage website</w:t>
        </w:r>
      </w:hyperlink>
      <w:r w:rsidR="007A44C8">
        <w:rPr>
          <w:rFonts w:asciiTheme="majorHAnsi" w:hAnsiTheme="majorHAnsi" w:cstheme="majorHAnsi"/>
        </w:rPr>
        <w:t xml:space="preserve">. </w:t>
      </w:r>
      <w:r w:rsidRPr="00055293">
        <w:rPr>
          <w:rFonts w:asciiTheme="majorHAnsi" w:hAnsiTheme="majorHAnsi" w:cstheme="majorHAnsi"/>
        </w:rPr>
        <w:t xml:space="preserve"> </w:t>
      </w:r>
    </w:p>
    <w:p w14:paraId="7D29C686" w14:textId="554C8135"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Commonwealth Grants Rules and Guidelines</w:t>
      </w:r>
      <w:r w:rsidR="000F21AC">
        <w:rPr>
          <w:i/>
        </w:rPr>
        <w:t xml:space="preserve"> 2017</w:t>
      </w:r>
      <w:r w:rsidRPr="00854277">
        <w:rPr>
          <w:i/>
        </w:rPr>
        <w:t xml:space="preserve"> </w:t>
      </w:r>
      <w:r w:rsidRPr="00577110">
        <w:t>(</w:t>
      </w:r>
      <w:hyperlink r:id="rId13" w:history="1">
        <w:r w:rsidRPr="00AC5A39">
          <w:rPr>
            <w:rStyle w:val="Hyperlink"/>
            <w:rFonts w:cstheme="minorBidi"/>
          </w:rPr>
          <w:t>CGRGs</w:t>
        </w:r>
      </w:hyperlink>
      <w:r w:rsidRPr="00577110">
        <w:t>)</w:t>
      </w:r>
      <w:r w:rsidRPr="00854277">
        <w:rPr>
          <w:i/>
        </w:rPr>
        <w:t xml:space="preserve"> </w:t>
      </w:r>
    </w:p>
    <w:p w14:paraId="46B20AF9" w14:textId="77777777" w:rsidR="00EC4FD1" w:rsidRPr="00854277" w:rsidRDefault="00EC4FD1" w:rsidP="00EC4FD1">
      <w:pPr>
        <w:spacing w:after="80"/>
      </w:pPr>
      <w:r w:rsidRPr="00854277">
        <w:t>This document sets out:</w:t>
      </w:r>
    </w:p>
    <w:p w14:paraId="375BDBE2" w14:textId="77777777"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5A0F3661" w14:textId="77777777"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14A619CE" w14:textId="77777777"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14:paraId="4338C343" w14:textId="77777777"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14:paraId="73A7A97E" w14:textId="77777777"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021E43E8"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5E1FDBF1" w14:textId="77777777" w:rsidR="00402605" w:rsidRPr="00402605" w:rsidRDefault="00055293" w:rsidP="00055293">
      <w:pPr>
        <w:pStyle w:val="Heading2inusebytemplate"/>
      </w:pPr>
      <w:bookmarkStart w:id="11" w:name="_Toc497819750"/>
      <w:bookmarkEnd w:id="3"/>
      <w:r>
        <w:t>Background to the grant opportunity</w:t>
      </w:r>
      <w:bookmarkEnd w:id="11"/>
    </w:p>
    <w:p w14:paraId="0745A365" w14:textId="77777777" w:rsidR="00055293" w:rsidRDefault="00055293" w:rsidP="00055293">
      <w:pPr>
        <w:pStyle w:val="Heading3Numbered"/>
      </w:pPr>
      <w:bookmarkStart w:id="12" w:name="_Toc497819751"/>
      <w:bookmarkStart w:id="13" w:name="_Toc491246615"/>
      <w:r>
        <w:t>Overview</w:t>
      </w:r>
      <w:bookmarkEnd w:id="12"/>
    </w:p>
    <w:p w14:paraId="159A00F5" w14:textId="7B75C49E"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47509F">
        <w:rPr>
          <w:rFonts w:asciiTheme="majorHAnsi" w:hAnsiTheme="majorHAnsi" w:cstheme="majorHAnsi"/>
        </w:rPr>
        <w:t>Build and Grow</w:t>
      </w:r>
      <w:r w:rsidR="00E36E03" w:rsidRPr="00055293">
        <w:rPr>
          <w:rFonts w:asciiTheme="majorHAnsi" w:hAnsiTheme="majorHAnsi" w:cstheme="majorHAnsi"/>
        </w:rPr>
        <w:t xml:space="preserve"> </w:t>
      </w:r>
      <w:r>
        <w:t>project, whi</w:t>
      </w:r>
      <w:r w:rsidR="005F4563">
        <w:t xml:space="preserve">ch is one of the projects to be </w:t>
      </w:r>
      <w:r>
        <w:t xml:space="preserve">funded </w:t>
      </w:r>
      <w:r w:rsidR="00E304B4">
        <w:t>in the second stage of</w:t>
      </w:r>
      <w:r>
        <w:t xml:space="preserve">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5023715F" w14:textId="7203EC40" w:rsidR="00055293" w:rsidRDefault="00055293" w:rsidP="00055293">
      <w:r w:rsidRPr="00854277">
        <w:t>Tranche 1 commenced in December 2016 with a public call for ideas</w:t>
      </w:r>
      <w:r>
        <w:t>. Promising ideas were co</w:t>
      </w:r>
      <w:r>
        <w:noBreakHyphen/>
        <w:t>designed with stakeholders and developed into refined project proposals</w:t>
      </w:r>
      <w:r w:rsidR="00E304B4">
        <w:t xml:space="preserve"> in two batches; stage one and stage two</w:t>
      </w:r>
      <w:r>
        <w:t xml:space="preserve">. From these proposals the Minister for Social Services, in consultation with the Prime Minister, Treasurer and the Minister for Finance, selected a number </w:t>
      </w:r>
      <w:r w:rsidR="00E304B4">
        <w:t xml:space="preserve">of projects </w:t>
      </w:r>
      <w:r>
        <w:t>for funding including th</w:t>
      </w:r>
      <w:r w:rsidR="00D67EA7">
        <w:t>is</w:t>
      </w:r>
      <w:r>
        <w:t xml:space="preserve"> </w:t>
      </w:r>
      <w:r w:rsidR="00D67EA7">
        <w:t>project, which is</w:t>
      </w:r>
      <w:r w:rsidR="00063A4B">
        <w:t xml:space="preserve"> to </w:t>
      </w:r>
      <w:r>
        <w:t xml:space="preserve">be funded through the </w:t>
      </w:r>
      <w:r w:rsidRPr="005F4563">
        <w:t>restricted non-competitive</w:t>
      </w:r>
      <w:r>
        <w:t xml:space="preserve"> opportunity outlined in these Grant Opportunity Guidelines.</w:t>
      </w:r>
    </w:p>
    <w:p w14:paraId="7AC13674" w14:textId="77777777" w:rsidR="00055293" w:rsidRPr="00854277" w:rsidRDefault="00055293" w:rsidP="00055293">
      <w:r>
        <w:t xml:space="preserve">The following sections provide more detail on Tranche 1 </w:t>
      </w:r>
      <w:r w:rsidR="00BD3BD3">
        <w:t xml:space="preserve">stage 2 </w:t>
      </w:r>
      <w:r>
        <w:t>and the consultation activities that defined the project being funded.</w:t>
      </w:r>
    </w:p>
    <w:p w14:paraId="61530463" w14:textId="77777777" w:rsidR="00747B2A" w:rsidRPr="00854277" w:rsidRDefault="00055293" w:rsidP="00055293">
      <w:pPr>
        <w:pStyle w:val="Heading3Numbered"/>
      </w:pPr>
      <w:bookmarkStart w:id="14" w:name="_Toc497819752"/>
      <w:bookmarkEnd w:id="13"/>
      <w:r>
        <w:lastRenderedPageBreak/>
        <w:t>The Australian Priority Investment Approach to Welfare and the Try, Test and Learn Fund</w:t>
      </w:r>
      <w:bookmarkEnd w:id="14"/>
    </w:p>
    <w:p w14:paraId="48DC3ABB"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43C5FFEF" w14:textId="77777777" w:rsidR="006F44AA" w:rsidRPr="00854277" w:rsidRDefault="00747B2A" w:rsidP="00747B2A">
      <w:r w:rsidRPr="00854277">
        <w:t>The objectives of the Priority Investment Approach are to improve lifetime wellbeing by:</w:t>
      </w:r>
    </w:p>
    <w:p w14:paraId="1DF85229" w14:textId="77777777"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5A74BCAB" w14:textId="77777777"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14:paraId="4B76DACA" w14:textId="77777777"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29B45C17"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073D96A1"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60C861C6" w14:textId="77777777" w:rsidR="00747B2A" w:rsidRDefault="00747B2A" w:rsidP="00704563">
      <w:pPr>
        <w:tabs>
          <w:tab w:val="left" w:pos="4253"/>
        </w:tabs>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025BC71E" w14:textId="77777777" w:rsidR="00747B2A" w:rsidRDefault="00747B2A" w:rsidP="00747B2A">
      <w:pPr>
        <w:rPr>
          <w:lang w:val="en-US"/>
        </w:rPr>
      </w:pPr>
      <w:r w:rsidRPr="00854277">
        <w:rPr>
          <w:noProof/>
          <w:lang w:eastAsia="en-AU"/>
        </w:rPr>
        <w:drawing>
          <wp:inline distT="0" distB="0" distL="0" distR="0" wp14:anchorId="38C582C8" wp14:editId="0C36F25A">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29B952AC" w14:textId="77777777" w:rsidR="00D67EA7" w:rsidRPr="003E4F85" w:rsidRDefault="00D67EA7" w:rsidP="00D67EA7">
      <w:pPr>
        <w:rPr>
          <w:rFonts w:ascii="Arial" w:hAnsi="Arial" w:cs="Arial"/>
        </w:rPr>
      </w:pPr>
      <w:bookmarkStart w:id="16" w:name="_Toc461105052"/>
      <w:bookmarkStart w:id="17" w:name="_Toc467773953"/>
      <w:bookmarkStart w:id="18" w:name="_Ref421783365"/>
      <w:bookmarkEnd w:id="16"/>
      <w:r w:rsidRPr="003E4F85">
        <w:rPr>
          <w:rFonts w:ascii="Arial" w:hAnsi="Arial" w:cs="Arial"/>
        </w:rPr>
        <w:lastRenderedPageBreak/>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45A555F1" w14:textId="77777777" w:rsidR="00D67EA7" w:rsidRPr="00041CF9" w:rsidRDefault="00D67EA7" w:rsidP="00D67EA7">
      <w:pPr>
        <w:spacing w:after="120"/>
        <w:rPr>
          <w:rFonts w:ascii="Arial" w:hAnsi="Arial" w:cs="Arial"/>
          <w:lang w:val="en-US"/>
        </w:rPr>
      </w:pPr>
      <w:r w:rsidRPr="00041CF9">
        <w:rPr>
          <w:rFonts w:ascii="Arial" w:hAnsi="Arial" w:cs="Arial"/>
        </w:rPr>
        <w:t xml:space="preserve">Another central feature of the Try, Test and Learn Fund is the generation of new insights and empirical evidence into ‘what works’ to reduce long-term welfare dependence. Projects will be robustly evaluated to produce high quality policy evidence regarding whether the interventions are effective, for whom and under what circumstances. </w:t>
      </w:r>
      <w:r w:rsidRPr="00041CF9">
        <w:rPr>
          <w:rFonts w:ascii="Arial" w:hAnsi="Arial" w:cs="Arial"/>
          <w:lang w:val="en-US"/>
        </w:rPr>
        <w:t xml:space="preserve">In this way, the Fund will allow Government to identify what approaches work and use this evidence to transform </w:t>
      </w:r>
      <w:r>
        <w:rPr>
          <w:rFonts w:ascii="Arial" w:hAnsi="Arial" w:cs="Arial"/>
          <w:lang w:val="en-US"/>
        </w:rPr>
        <w:t>funding</w:t>
      </w:r>
      <w:r w:rsidRPr="00041CF9">
        <w:rPr>
          <w:rFonts w:ascii="Arial" w:hAnsi="Arial" w:cs="Arial"/>
          <w:lang w:val="en-US"/>
        </w:rPr>
        <w:t xml:space="preserve"> in existing programs, or make the case for new </w:t>
      </w:r>
      <w:r>
        <w:rPr>
          <w:rFonts w:ascii="Arial" w:hAnsi="Arial" w:cs="Arial"/>
          <w:lang w:val="en-US"/>
        </w:rPr>
        <w:t>projects</w:t>
      </w:r>
      <w:r w:rsidRPr="00041CF9">
        <w:rPr>
          <w:rFonts w:ascii="Arial" w:hAnsi="Arial" w:cs="Arial"/>
          <w:lang w:val="en-US"/>
        </w:rPr>
        <w:t xml:space="preserve">. </w:t>
      </w:r>
    </w:p>
    <w:p w14:paraId="15CB3437" w14:textId="77777777" w:rsidR="00747B2A" w:rsidRDefault="00055293" w:rsidP="00484CAF">
      <w:pPr>
        <w:pStyle w:val="Heading3Numbered"/>
        <w:contextualSpacing w:val="0"/>
      </w:pPr>
      <w:bookmarkStart w:id="19" w:name="_Toc497819753"/>
      <w:r>
        <w:t xml:space="preserve">Tranche 1 </w:t>
      </w:r>
      <w:r w:rsidRPr="00055293">
        <w:t>p</w:t>
      </w:r>
      <w:r w:rsidR="00747B2A" w:rsidRPr="00055293">
        <w:t>riority</w:t>
      </w:r>
      <w:r w:rsidR="00747B2A">
        <w:t xml:space="preserve"> groups</w:t>
      </w:r>
      <w:bookmarkEnd w:id="19"/>
    </w:p>
    <w:p w14:paraId="2F9ED83B"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7BDA1663" w14:textId="77777777"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7899D4B0"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4081668A"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3F4786B0"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3606DD83"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406CC0AF" w14:textId="1A794F6F" w:rsidR="00CA1F6C" w:rsidRPr="009D490D" w:rsidRDefault="00055293" w:rsidP="00543768">
      <w:pPr>
        <w:pStyle w:val="Heading3Numbered"/>
        <w:rPr>
          <w:b/>
          <w:i/>
        </w:rPr>
      </w:pPr>
      <w:bookmarkStart w:id="20" w:name="_Toc497819754"/>
      <w:r>
        <w:t xml:space="preserve">Tranche 1 </w:t>
      </w:r>
      <w:r w:rsidR="00173C66">
        <w:t xml:space="preserve">stage 2 </w:t>
      </w:r>
      <w:r>
        <w:t>p</w:t>
      </w:r>
      <w:r w:rsidRPr="009D490D">
        <w:t xml:space="preserve">roject </w:t>
      </w:r>
      <w:r>
        <w:t>d</w:t>
      </w:r>
      <w:r w:rsidR="009D490D" w:rsidRPr="009D490D">
        <w:t xml:space="preserve">evelopment and </w:t>
      </w:r>
      <w:r>
        <w:t>s</w:t>
      </w:r>
      <w:r w:rsidR="009D490D" w:rsidRPr="009D490D">
        <w:t>election</w:t>
      </w:r>
      <w:bookmarkEnd w:id="20"/>
    </w:p>
    <w:p w14:paraId="2728C81A"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w:t>
      </w:r>
      <w:r w:rsidR="00BD3BD3">
        <w:rPr>
          <w:rFonts w:cstheme="minorHAnsi"/>
        </w:rPr>
        <w:t xml:space="preserve">stage 2 </w:t>
      </w:r>
      <w:r w:rsidR="00055293">
        <w:rPr>
          <w:rFonts w:cstheme="minorHAnsi"/>
        </w:rPr>
        <w:t xml:space="preserve">projects </w:t>
      </w:r>
      <w:r w:rsidRPr="009D490D">
        <w:rPr>
          <w:rFonts w:cstheme="minorHAnsi"/>
        </w:rPr>
        <w:t>entailed:</w:t>
      </w:r>
    </w:p>
    <w:p w14:paraId="62914EB5" w14:textId="043D194C" w:rsidR="009D490D" w:rsidRPr="000C2AE0" w:rsidRDefault="009D490D" w:rsidP="00404ACE">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w:t>
      </w:r>
      <w:r w:rsidR="005F4563">
        <w:rPr>
          <w:rFonts w:asciiTheme="minorHAnsi" w:hAnsiTheme="minorHAnsi" w:cstheme="minorHAnsi"/>
          <w:b/>
        </w:rPr>
        <w:t xml:space="preserve"> </w:t>
      </w:r>
      <w:r w:rsidRPr="00055293">
        <w:rPr>
          <w:rFonts w:asciiTheme="minorHAnsi" w:hAnsiTheme="minorHAnsi" w:cstheme="minorHAnsi"/>
          <w:b/>
        </w:rPr>
        <w:t>–</w:t>
      </w:r>
      <w:r w:rsidR="005F4563">
        <w:rPr>
          <w:rFonts w:asciiTheme="minorHAnsi" w:hAnsiTheme="minorHAnsi" w:cstheme="minorHAnsi"/>
          <w:b/>
        </w:rPr>
        <w:t xml:space="preserve"> </w:t>
      </w:r>
      <w:r w:rsidR="001D3358">
        <w:rPr>
          <w:rFonts w:asciiTheme="minorHAnsi" w:hAnsiTheme="minorHAnsi" w:cstheme="minorHAnsi"/>
        </w:rPr>
        <w:t xml:space="preserve">Ideas co-developed as part of </w:t>
      </w:r>
      <w:r w:rsidR="00BD3BD3">
        <w:rPr>
          <w:rFonts w:asciiTheme="minorHAnsi" w:hAnsiTheme="minorHAnsi" w:cstheme="minorHAnsi"/>
        </w:rPr>
        <w:t xml:space="preserve">Tranche 1 </w:t>
      </w:r>
      <w:r w:rsidR="00246869">
        <w:rPr>
          <w:rFonts w:asciiTheme="minorHAnsi" w:hAnsiTheme="minorHAnsi" w:cstheme="minorHAnsi"/>
        </w:rPr>
        <w:t>stage 2</w:t>
      </w:r>
      <w:r w:rsidRPr="000C2AE0">
        <w:rPr>
          <w:rFonts w:asciiTheme="minorHAnsi" w:hAnsiTheme="minorHAnsi" w:cstheme="minorHAnsi"/>
        </w:rPr>
        <w:t xml:space="preserve"> </w:t>
      </w:r>
      <w:r w:rsidR="005F4563">
        <w:rPr>
          <w:rFonts w:asciiTheme="minorHAnsi" w:hAnsiTheme="minorHAnsi" w:cstheme="minorHAnsi"/>
        </w:rPr>
        <w:t>were</w:t>
      </w:r>
      <w:r w:rsidR="00246869">
        <w:rPr>
          <w:rFonts w:asciiTheme="minorHAnsi" w:hAnsiTheme="minorHAnsi" w:cstheme="minorHAnsi"/>
        </w:rPr>
        <w:t xml:space="preserve"> received during the </w:t>
      </w:r>
      <w:r w:rsidRPr="000C2AE0">
        <w:rPr>
          <w:rFonts w:asciiTheme="minorHAnsi" w:hAnsiTheme="minorHAnsi" w:cstheme="minorHAnsi"/>
        </w:rPr>
        <w:t>generation phase</w:t>
      </w:r>
      <w:r w:rsidR="00246869">
        <w:rPr>
          <w:rFonts w:asciiTheme="minorHAnsi" w:hAnsiTheme="minorHAnsi" w:cstheme="minorHAnsi"/>
        </w:rPr>
        <w:t xml:space="preserve"> </w:t>
      </w:r>
      <w:r w:rsidR="00A45611">
        <w:rPr>
          <w:rFonts w:asciiTheme="minorHAnsi" w:hAnsiTheme="minorHAnsi" w:cstheme="minorHAnsi"/>
        </w:rPr>
        <w:t xml:space="preserve">for Tranche 1 </w:t>
      </w:r>
      <w:r w:rsidR="00246869">
        <w:rPr>
          <w:rFonts w:asciiTheme="minorHAnsi" w:hAnsiTheme="minorHAnsi" w:cstheme="minorHAnsi"/>
        </w:rPr>
        <w:t xml:space="preserve">conducted </w:t>
      </w:r>
      <w:r w:rsidR="00C621CF">
        <w:rPr>
          <w:rFonts w:asciiTheme="minorHAnsi" w:hAnsiTheme="minorHAnsi" w:cstheme="minorHAnsi"/>
        </w:rPr>
        <w:t xml:space="preserve">9 December 2016 to 24 February 2017. As </w:t>
      </w:r>
      <w:r w:rsidR="00A50E03">
        <w:rPr>
          <w:rFonts w:asciiTheme="minorHAnsi" w:hAnsiTheme="minorHAnsi" w:cstheme="minorHAnsi"/>
        </w:rPr>
        <w:t>noted</w:t>
      </w:r>
      <w:r w:rsidR="00C621CF">
        <w:rPr>
          <w:rFonts w:asciiTheme="minorHAnsi" w:hAnsiTheme="minorHAnsi" w:cstheme="minorHAnsi"/>
        </w:rPr>
        <w:t xml:space="preserve"> in the Try, Test and Learn Fund Tranche 1 Handbook</w:t>
      </w:r>
      <w:r w:rsidR="005F4563">
        <w:rPr>
          <w:rFonts w:asciiTheme="minorHAnsi" w:hAnsiTheme="minorHAnsi" w:cstheme="minorHAnsi"/>
        </w:rPr>
        <w:t xml:space="preserve"> </w:t>
      </w:r>
      <w:r w:rsidRPr="000C2AE0">
        <w:rPr>
          <w:rFonts w:asciiTheme="minorHAnsi" w:hAnsiTheme="minorHAnsi" w:cstheme="minorHAnsi"/>
        </w:rPr>
        <w:t>ideas were broadly sought from community groups, government, academics, business, other groups and the general public through an open forum on the Department of Social Services consultation platform, DSS Engage</w:t>
      </w:r>
      <w:r w:rsidR="00A45611">
        <w:rPr>
          <w:rFonts w:asciiTheme="minorHAnsi" w:hAnsiTheme="minorHAnsi" w:cstheme="minorHAnsi"/>
        </w:rPr>
        <w:t>. I</w:t>
      </w:r>
      <w:r w:rsidR="00A50E03">
        <w:rPr>
          <w:rFonts w:asciiTheme="minorHAnsi" w:hAnsiTheme="minorHAnsi" w:cstheme="minorHAnsi"/>
        </w:rPr>
        <w:t xml:space="preserve">nformation on eligible ideas </w:t>
      </w:r>
      <w:r w:rsidR="00A45611">
        <w:rPr>
          <w:rFonts w:asciiTheme="minorHAnsi" w:hAnsiTheme="minorHAnsi" w:cstheme="minorHAnsi"/>
        </w:rPr>
        <w:t xml:space="preserve">co-developed in Tranche 1 stage 2 </w:t>
      </w:r>
      <w:r w:rsidR="009B29E3">
        <w:rPr>
          <w:rFonts w:asciiTheme="minorHAnsi" w:hAnsiTheme="minorHAnsi" w:cstheme="minorHAnsi"/>
        </w:rPr>
        <w:t>were</w:t>
      </w:r>
      <w:r w:rsidR="00A50E03">
        <w:rPr>
          <w:rFonts w:asciiTheme="minorHAnsi" w:hAnsiTheme="minorHAnsi" w:cstheme="minorHAnsi"/>
        </w:rPr>
        <w:t xml:space="preserve"> published on DSS Engage</w:t>
      </w:r>
      <w:r w:rsidRPr="000C2AE0">
        <w:rPr>
          <w:rFonts w:asciiTheme="minorHAnsi" w:hAnsiTheme="minorHAnsi" w:cstheme="minorHAnsi"/>
        </w:rPr>
        <w:t>.</w:t>
      </w:r>
    </w:p>
    <w:p w14:paraId="7B85579B" w14:textId="430602BB" w:rsidR="009D490D" w:rsidRDefault="009D490D" w:rsidP="00404ACE">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lastRenderedPageBreak/>
        <w:t>Idea</w:t>
      </w:r>
      <w:r w:rsidR="001D69EC">
        <w:rPr>
          <w:rFonts w:asciiTheme="minorHAnsi" w:hAnsiTheme="minorHAnsi" w:cstheme="minorHAnsi"/>
          <w:b/>
        </w:rPr>
        <w:t>s</w:t>
      </w:r>
      <w:r w:rsidRPr="00484CAF">
        <w:rPr>
          <w:rFonts w:asciiTheme="minorHAnsi" w:hAnsiTheme="minorHAnsi" w:cstheme="minorHAnsi"/>
          <w:b/>
        </w:rPr>
        <w:t xml:space="preserve"> shortlisting</w:t>
      </w:r>
      <w:r w:rsidR="005F4563">
        <w:rPr>
          <w:rFonts w:asciiTheme="minorHAnsi" w:hAnsiTheme="minorHAnsi" w:cstheme="minorHAnsi"/>
          <w:b/>
        </w:rPr>
        <w:t xml:space="preserve"> </w:t>
      </w:r>
      <w:r w:rsidRPr="00484CAF">
        <w:rPr>
          <w:rFonts w:asciiTheme="minorHAnsi" w:hAnsiTheme="minorHAnsi" w:cstheme="minorHAnsi"/>
          <w:b/>
        </w:rPr>
        <w:t>–</w:t>
      </w:r>
      <w:r w:rsidR="00AB76B6">
        <w:rPr>
          <w:rFonts w:asciiTheme="minorHAnsi" w:hAnsiTheme="minorHAnsi" w:cstheme="minorHAnsi"/>
        </w:rPr>
        <w:t xml:space="preserve"> Ideas were assessed </w:t>
      </w:r>
      <w:r w:rsidR="00AB76B6" w:rsidRPr="000C2AE0">
        <w:rPr>
          <w:rFonts w:asciiTheme="minorHAnsi" w:hAnsiTheme="minorHAnsi" w:cstheme="minorHAnsi"/>
        </w:rPr>
        <w:t>against</w:t>
      </w:r>
      <w:r w:rsidRPr="000C2AE0">
        <w:rPr>
          <w:rFonts w:asciiTheme="minorHAnsi" w:hAnsiTheme="minorHAnsi" w:cstheme="minorHAnsi"/>
        </w:rPr>
        <w:t xml:space="preserve"> the following criteria: effectiveness and impact of the idea; a new or innovative approach; and appropriateness for trial and evaluation. More detail on selection criteria used at the ideas generation stage is available in the </w:t>
      </w:r>
      <w:hyperlink r:id="rId15" w:history="1">
        <w:r w:rsidRPr="007A44C8">
          <w:rPr>
            <w:rStyle w:val="Hyperlink"/>
            <w:rFonts w:cstheme="minorHAnsi"/>
            <w:color w:val="0000FF"/>
          </w:rPr>
          <w:t>Try, Test and Learn Fund Tranche 1 Handbook</w:t>
        </w:r>
      </w:hyperlink>
      <w:r w:rsidRPr="000C2AE0">
        <w:rPr>
          <w:rFonts w:asciiTheme="minorHAnsi" w:hAnsiTheme="minorHAnsi" w:cstheme="minorHAnsi"/>
        </w:rPr>
        <w:t xml:space="preserve">. Each submission was assessed and moderated before being scored. </w:t>
      </w:r>
      <w:r w:rsidR="00090928">
        <w:rPr>
          <w:rFonts w:asciiTheme="minorHAnsi" w:hAnsiTheme="minorHAnsi" w:cstheme="minorHAnsi"/>
        </w:rPr>
        <w:t>DSS</w:t>
      </w:r>
      <w:r w:rsidRPr="000C2AE0">
        <w:rPr>
          <w:rFonts w:asciiTheme="minorHAnsi" w:hAnsiTheme="minorHAnsi" w:cstheme="minorHAnsi"/>
        </w:rPr>
        <w:t xml:space="preserve"> undertook additional research on </w:t>
      </w:r>
      <w:r w:rsidR="00A50E03">
        <w:rPr>
          <w:rFonts w:asciiTheme="minorHAnsi" w:hAnsiTheme="minorHAnsi" w:cstheme="minorHAnsi"/>
        </w:rPr>
        <w:t>potential</w:t>
      </w:r>
      <w:r w:rsidRPr="000C2AE0">
        <w:rPr>
          <w:rFonts w:asciiTheme="minorHAnsi" w:hAnsiTheme="minorHAnsi" w:cstheme="minorHAnsi"/>
        </w:rPr>
        <w:t xml:space="preserve"> ideas </w:t>
      </w:r>
      <w:r w:rsidR="00AB76B6">
        <w:rPr>
          <w:rFonts w:asciiTheme="minorHAnsi" w:hAnsiTheme="minorHAnsi" w:cstheme="minorHAnsi"/>
        </w:rPr>
        <w:t>for Tranche 1 stage 2</w:t>
      </w:r>
      <w:r w:rsidR="009B29E3">
        <w:rPr>
          <w:rFonts w:asciiTheme="minorHAnsi" w:hAnsiTheme="minorHAnsi" w:cstheme="minorHAnsi"/>
        </w:rPr>
        <w:t xml:space="preserve"> before </w:t>
      </w:r>
      <w:r w:rsidR="001D3358">
        <w:rPr>
          <w:rFonts w:asciiTheme="minorHAnsi" w:hAnsiTheme="minorHAnsi" w:cstheme="minorHAnsi"/>
        </w:rPr>
        <w:t>co-development was undertaken.</w:t>
      </w:r>
      <w:r w:rsidR="00063A4B">
        <w:rPr>
          <w:rFonts w:asciiTheme="minorHAnsi" w:hAnsiTheme="minorHAnsi" w:cstheme="minorHAnsi"/>
        </w:rPr>
        <w:t xml:space="preserve"> Following shortlisting and co-development of the first batch of projects a second idea shortlisting process was undertaken. This resulted in the identification of a further batch of ideas from Tranche 1 for co-development.</w:t>
      </w:r>
    </w:p>
    <w:p w14:paraId="457EDE0D" w14:textId="77777777" w:rsidR="009D490D" w:rsidRPr="009D490D" w:rsidRDefault="009D490D" w:rsidP="00404ACE">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w:t>
      </w:r>
      <w:r w:rsidR="00063A4B">
        <w:rPr>
          <w:rFonts w:asciiTheme="minorHAnsi" w:hAnsiTheme="minorHAnsi" w:cstheme="minorHAnsi"/>
          <w:b/>
        </w:rPr>
        <w:t xml:space="preserve"> </w:t>
      </w:r>
      <w:r w:rsidRPr="00484CAF">
        <w:rPr>
          <w:rFonts w:asciiTheme="minorHAnsi" w:hAnsiTheme="minorHAnsi" w:cstheme="minorHAnsi"/>
          <w:b/>
        </w:rPr>
        <w:t>–</w:t>
      </w:r>
      <w:r w:rsidRPr="000C2AE0">
        <w:rPr>
          <w:rFonts w:asciiTheme="minorHAnsi" w:hAnsiTheme="minorHAnsi" w:cstheme="minorHAnsi"/>
        </w:rPr>
        <w:t xml:space="preserve"> Shortlisted ideas entered</w:t>
      </w:r>
      <w:r w:rsidR="00A50E03">
        <w:rPr>
          <w:rFonts w:asciiTheme="minorHAnsi" w:hAnsiTheme="minorHAnsi" w:cstheme="minorHAnsi"/>
        </w:rPr>
        <w:t xml:space="preserve"> </w:t>
      </w:r>
      <w:r w:rsidRPr="000C2AE0">
        <w:rPr>
          <w:rFonts w:asciiTheme="minorHAnsi" w:hAnsiTheme="minorHAnsi" w:cstheme="minorHAnsi"/>
        </w:rPr>
        <w:t>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2F198598"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0126EF24"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4DB0E02A" w14:textId="77777777" w:rsidR="009D490D" w:rsidRPr="009D490D" w:rsidRDefault="009D490D" w:rsidP="00404ACE">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15948BEB" w14:textId="7903EAE8"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14:paraId="7EC88172" w14:textId="065C9F3A"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6" w:history="1">
        <w:r w:rsidRPr="007A44C8">
          <w:rPr>
            <w:rStyle w:val="Hyperlink"/>
            <w:rFonts w:cstheme="minorHAnsi"/>
            <w:color w:val="0000FF"/>
          </w:rPr>
          <w:t>Co-development Supplementary Information document</w:t>
        </w:r>
      </w:hyperlink>
      <w:r w:rsidRPr="009D490D">
        <w:rPr>
          <w:rFonts w:asciiTheme="minorHAnsi" w:hAnsiTheme="minorHAnsi" w:cstheme="minorHAnsi"/>
        </w:rPr>
        <w:t>.</w:t>
      </w:r>
    </w:p>
    <w:p w14:paraId="6D1AF2C4" w14:textId="2EB02CDA" w:rsidR="00CA1F6C" w:rsidRPr="009D490D" w:rsidRDefault="009D490D" w:rsidP="00404ACE">
      <w:pPr>
        <w:pStyle w:val="ListParagraph"/>
        <w:numPr>
          <w:ilvl w:val="0"/>
          <w:numId w:val="22"/>
        </w:numPr>
        <w:contextualSpacing/>
      </w:pPr>
      <w:r w:rsidRPr="00484CAF">
        <w:rPr>
          <w:rFonts w:asciiTheme="minorHAnsi" w:hAnsiTheme="minorHAnsi" w:cstheme="minorHAnsi"/>
          <w:b/>
        </w:rPr>
        <w:t>Project recommendation and selection (</w:t>
      </w:r>
      <w:r w:rsidR="00A50E03">
        <w:rPr>
          <w:rFonts w:asciiTheme="minorHAnsi" w:hAnsiTheme="minorHAnsi" w:cstheme="minorHAnsi"/>
          <w:b/>
        </w:rPr>
        <w:t>August – October 2017</w:t>
      </w:r>
      <w:r w:rsidRPr="00484CAF">
        <w:rPr>
          <w:rFonts w:asciiTheme="minorHAnsi" w:hAnsiTheme="minorHAnsi" w:cstheme="minorHAnsi"/>
          <w:b/>
        </w:rPr>
        <w:t>)</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xml:space="preserve">. Following these </w:t>
      </w:r>
      <w:r w:rsidRPr="009D490D">
        <w:rPr>
          <w:rFonts w:asciiTheme="minorHAnsi" w:hAnsiTheme="minorHAnsi" w:cstheme="minorHAnsi"/>
        </w:rPr>
        <w:lastRenderedPageBreak/>
        <w:t>considerations, recommendations were put forward to the Minister for Social Services who made final project selections in consultation with the Prime Minister, the Minister for Finance and the Treasurer.</w:t>
      </w:r>
      <w:r w:rsidR="00CA1F6C" w:rsidRPr="009D490D">
        <w:t xml:space="preserve"> </w:t>
      </w:r>
    </w:p>
    <w:p w14:paraId="3DE028E3" w14:textId="6F14A6C5" w:rsidR="009D490D" w:rsidRPr="009D490D" w:rsidRDefault="00055293" w:rsidP="00543768">
      <w:pPr>
        <w:pStyle w:val="Heading3Numbered"/>
      </w:pPr>
      <w:bookmarkStart w:id="21" w:name="_Toc497819755"/>
      <w:r>
        <w:t xml:space="preserve">Tranche 1 </w:t>
      </w:r>
      <w:r w:rsidR="00246869">
        <w:t xml:space="preserve">stage 2 </w:t>
      </w:r>
      <w:r>
        <w:t>p</w:t>
      </w:r>
      <w:r w:rsidR="009D490D" w:rsidRPr="009D490D">
        <w:t>roject funding (</w:t>
      </w:r>
      <w:r w:rsidR="00246869">
        <w:t xml:space="preserve">January </w:t>
      </w:r>
      <w:r w:rsidR="009D490D" w:rsidRPr="009D490D">
        <w:t>201</w:t>
      </w:r>
      <w:r w:rsidR="00246869">
        <w:t>8</w:t>
      </w:r>
      <w:r w:rsidR="009D490D" w:rsidRPr="009D490D">
        <w:t xml:space="preserve"> onwards)</w:t>
      </w:r>
      <w:bookmarkEnd w:id="21"/>
    </w:p>
    <w:p w14:paraId="5B8D64A7" w14:textId="28733B8C" w:rsidR="009D490D" w:rsidRPr="008551FB" w:rsidRDefault="009D490D" w:rsidP="009D490D">
      <w:r w:rsidRPr="000C2AE0">
        <w:t xml:space="preserve">These Grant </w:t>
      </w:r>
      <w:r w:rsidRPr="008551FB">
        <w:t xml:space="preserve">Opportunity Guidelines cover the </w:t>
      </w:r>
      <w:r w:rsidR="008551FB" w:rsidRPr="008551FB">
        <w:rPr>
          <w:rFonts w:asciiTheme="majorHAnsi" w:hAnsiTheme="majorHAnsi" w:cstheme="majorHAnsi"/>
        </w:rPr>
        <w:t>Build and Grow</w:t>
      </w:r>
      <w:r w:rsidR="00E36E03" w:rsidRPr="008551FB">
        <w:rPr>
          <w:rFonts w:asciiTheme="majorHAnsi" w:hAnsiTheme="majorHAnsi" w:cstheme="majorHAnsi"/>
        </w:rPr>
        <w:t xml:space="preserve"> </w:t>
      </w:r>
      <w:r w:rsidRPr="008551FB">
        <w:t xml:space="preserve">project for which a </w:t>
      </w:r>
      <w:r w:rsidRPr="005F4563">
        <w:rPr>
          <w:bCs/>
        </w:rPr>
        <w:t>restricted non-competitive</w:t>
      </w:r>
      <w:r w:rsidRPr="008551FB">
        <w:rPr>
          <w:bCs/>
        </w:rPr>
        <w:t xml:space="preserve"> grant process has been </w:t>
      </w:r>
      <w:r w:rsidRPr="008551FB">
        <w:t>determined to be the appropriate</w:t>
      </w:r>
      <w:r w:rsidRPr="008551FB">
        <w:rPr>
          <w:bCs/>
        </w:rPr>
        <w:t xml:space="preserve"> </w:t>
      </w:r>
      <w:r w:rsidRPr="008551FB">
        <w:t xml:space="preserve">funding approach. </w:t>
      </w:r>
    </w:p>
    <w:p w14:paraId="5A5B52DA" w14:textId="77777777" w:rsidR="00747B2A" w:rsidRDefault="009D490D" w:rsidP="00747B2A">
      <w:pPr>
        <w:rPr>
          <w:rFonts w:cs="Arial"/>
          <w:lang w:val="en-US"/>
        </w:rPr>
      </w:pPr>
      <w:r w:rsidRPr="008551FB">
        <w:t xml:space="preserve">Where a </w:t>
      </w:r>
      <w:r w:rsidRPr="005F4563">
        <w:t>restricted non-competitive</w:t>
      </w:r>
      <w:r w:rsidRPr="008551FB">
        <w:t xml:space="preserve"> grant process has been selected, the original idea proponent is considered to be in a unique</w:t>
      </w:r>
      <w:r w:rsidRPr="009D490D">
        <w:t xml:space="preserv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7C865C85" w14:textId="77777777" w:rsidR="00045933" w:rsidRDefault="00045933" w:rsidP="00543768">
      <w:pPr>
        <w:pStyle w:val="Heading2inusebytemplate"/>
      </w:pPr>
      <w:bookmarkStart w:id="22" w:name="_Toc497819756"/>
      <w:r w:rsidRPr="009F1560">
        <w:t xml:space="preserve">Grant </w:t>
      </w:r>
      <w:r w:rsidR="00055293">
        <w:t>o</w:t>
      </w:r>
      <w:r w:rsidRPr="009F1560">
        <w:t>pportunity</w:t>
      </w:r>
      <w:r>
        <w:t xml:space="preserve"> </w:t>
      </w:r>
      <w:r w:rsidR="001A629D">
        <w:t xml:space="preserve">objectives and </w:t>
      </w:r>
      <w:r>
        <w:t>o</w:t>
      </w:r>
      <w:r w:rsidRPr="00B72EE8">
        <w:t>utcomes</w:t>
      </w:r>
      <w:bookmarkEnd w:id="17"/>
      <w:bookmarkEnd w:id="22"/>
      <w:r w:rsidRPr="00B72EE8">
        <w:t xml:space="preserve"> </w:t>
      </w:r>
      <w:bookmarkEnd w:id="18"/>
    </w:p>
    <w:p w14:paraId="512E9874" w14:textId="09311BC8" w:rsidR="00B94DA6" w:rsidRDefault="00C37980" w:rsidP="000E17A4">
      <w:pPr>
        <w:spacing w:after="80"/>
        <w:rPr>
          <w:rFonts w:asciiTheme="majorHAnsi" w:hAnsiTheme="majorHAnsi" w:cstheme="majorHAnsi"/>
        </w:rPr>
      </w:pPr>
      <w:r w:rsidRPr="005F4563">
        <w:rPr>
          <w:rFonts w:asciiTheme="majorHAnsi" w:hAnsiTheme="majorHAnsi" w:cstheme="majorHAnsi"/>
        </w:rPr>
        <w:t>Th</w:t>
      </w:r>
      <w:r w:rsidR="00B94DA6">
        <w:rPr>
          <w:rFonts w:asciiTheme="majorHAnsi" w:hAnsiTheme="majorHAnsi" w:cstheme="majorHAnsi"/>
        </w:rPr>
        <w:t>e Build and Grow project is targeted at students that have transitioned from education to unemployment. These students may be dealing with a variety of other barriers to continued engagement with education or employment, such as mental health issues</w:t>
      </w:r>
      <w:r w:rsidR="001A6693">
        <w:rPr>
          <w:rFonts w:asciiTheme="majorHAnsi" w:hAnsiTheme="majorHAnsi" w:cstheme="majorHAnsi"/>
        </w:rPr>
        <w:t>, or</w:t>
      </w:r>
      <w:r w:rsidR="001A3699">
        <w:rPr>
          <w:rFonts w:asciiTheme="majorHAnsi" w:hAnsiTheme="majorHAnsi" w:cstheme="majorHAnsi"/>
        </w:rPr>
        <w:t xml:space="preserve"> they may</w:t>
      </w:r>
      <w:r w:rsidR="001A6693">
        <w:rPr>
          <w:rFonts w:asciiTheme="majorHAnsi" w:hAnsiTheme="majorHAnsi" w:cstheme="majorHAnsi"/>
        </w:rPr>
        <w:t xml:space="preserve"> lack motivation to continue traditional classroom-based study.</w:t>
      </w:r>
    </w:p>
    <w:p w14:paraId="38558D99" w14:textId="2AF5F35F" w:rsidR="00C37980" w:rsidRDefault="00B94DA6" w:rsidP="000E17A4">
      <w:pPr>
        <w:spacing w:after="80"/>
        <w:rPr>
          <w:rFonts w:asciiTheme="majorHAnsi" w:hAnsiTheme="majorHAnsi" w:cstheme="majorHAnsi"/>
        </w:rPr>
      </w:pPr>
      <w:r>
        <w:rPr>
          <w:rFonts w:asciiTheme="majorHAnsi" w:hAnsiTheme="majorHAnsi" w:cstheme="majorHAnsi"/>
        </w:rPr>
        <w:t>To address these issues, the project uses an eight-week, intensive training program that is foc</w:t>
      </w:r>
      <w:r w:rsidR="001A6693">
        <w:rPr>
          <w:rFonts w:asciiTheme="majorHAnsi" w:hAnsiTheme="majorHAnsi" w:cstheme="majorHAnsi"/>
        </w:rPr>
        <w:t xml:space="preserve">used on civil construction work. The program </w:t>
      </w:r>
      <w:r>
        <w:rPr>
          <w:rFonts w:asciiTheme="majorHAnsi" w:hAnsiTheme="majorHAnsi" w:cstheme="majorHAnsi"/>
        </w:rPr>
        <w:t xml:space="preserve">offers practical training from qualified tradespeople in a simulated workplace. This </w:t>
      </w:r>
      <w:r w:rsidR="001A6693">
        <w:rPr>
          <w:rFonts w:asciiTheme="majorHAnsi" w:hAnsiTheme="majorHAnsi" w:cstheme="majorHAnsi"/>
        </w:rPr>
        <w:t xml:space="preserve">type of </w:t>
      </w:r>
      <w:r>
        <w:rPr>
          <w:rFonts w:asciiTheme="majorHAnsi" w:hAnsiTheme="majorHAnsi" w:cstheme="majorHAnsi"/>
        </w:rPr>
        <w:t>training may be more desirable for young people to engage with; additionally, it exposes participants to</w:t>
      </w:r>
      <w:r w:rsidR="001A6693">
        <w:rPr>
          <w:rFonts w:asciiTheme="majorHAnsi" w:hAnsiTheme="majorHAnsi" w:cstheme="majorHAnsi"/>
        </w:rPr>
        <w:t xml:space="preserve"> the realities of the workplace, allowing them to be better prepared for the transition to work.</w:t>
      </w:r>
      <w:r>
        <w:rPr>
          <w:rFonts w:asciiTheme="majorHAnsi" w:hAnsiTheme="majorHAnsi" w:cstheme="majorHAnsi"/>
        </w:rPr>
        <w:t xml:space="preserve"> </w:t>
      </w:r>
      <w:r w:rsidR="00D67EA7" w:rsidRPr="00D67EA7">
        <w:rPr>
          <w:rFonts w:asciiTheme="majorHAnsi" w:hAnsiTheme="majorHAnsi" w:cstheme="majorHAnsi"/>
        </w:rPr>
        <w:t>The project also provides participants with relevant qualifications for the industry, such as a white card and working at heights ticket.</w:t>
      </w:r>
      <w:r w:rsidR="00D67EA7">
        <w:rPr>
          <w:rFonts w:asciiTheme="majorHAnsi" w:hAnsiTheme="majorHAnsi" w:cstheme="majorHAnsi"/>
        </w:rPr>
        <w:t xml:space="preserve"> </w:t>
      </w:r>
      <w:r>
        <w:rPr>
          <w:rFonts w:asciiTheme="majorHAnsi" w:hAnsiTheme="majorHAnsi" w:cstheme="majorHAnsi"/>
        </w:rPr>
        <w:t xml:space="preserve">The project also offers the support of a Youth Development Worker for program participants, who can </w:t>
      </w:r>
      <w:r w:rsidR="001A3699">
        <w:rPr>
          <w:rFonts w:asciiTheme="majorHAnsi" w:hAnsiTheme="majorHAnsi" w:cstheme="majorHAnsi"/>
        </w:rPr>
        <w:t>help</w:t>
      </w:r>
      <w:r>
        <w:rPr>
          <w:rFonts w:asciiTheme="majorHAnsi" w:hAnsiTheme="majorHAnsi" w:cstheme="majorHAnsi"/>
        </w:rPr>
        <w:t xml:space="preserve"> them with their more complex barriers to employment through mentoring and referrals to other appropriate services.</w:t>
      </w:r>
    </w:p>
    <w:p w14:paraId="3CD4362A" w14:textId="1BEA98CC" w:rsidR="00B94DA6" w:rsidRDefault="001A6693" w:rsidP="000E17A4">
      <w:pPr>
        <w:spacing w:after="80"/>
        <w:rPr>
          <w:rFonts w:asciiTheme="majorHAnsi" w:hAnsiTheme="majorHAnsi" w:cstheme="majorHAnsi"/>
        </w:rPr>
      </w:pPr>
      <w:r>
        <w:rPr>
          <w:rFonts w:asciiTheme="majorHAnsi" w:hAnsiTheme="majorHAnsi" w:cstheme="majorHAnsi"/>
        </w:rPr>
        <w:t xml:space="preserve">The project will be trialled in two sites in Western Sydney, New South Wales. One of these sites is already established at the </w:t>
      </w:r>
      <w:r w:rsidR="00C83C96">
        <w:rPr>
          <w:rFonts w:asciiTheme="majorHAnsi" w:hAnsiTheme="majorHAnsi" w:cstheme="majorHAnsi"/>
        </w:rPr>
        <w:t>Nirimba College</w:t>
      </w:r>
      <w:r>
        <w:rPr>
          <w:rFonts w:asciiTheme="majorHAnsi" w:hAnsiTheme="majorHAnsi" w:cstheme="majorHAnsi"/>
        </w:rPr>
        <w:t xml:space="preserve"> TAFE</w:t>
      </w:r>
      <w:r w:rsidR="00C83C96">
        <w:rPr>
          <w:rFonts w:asciiTheme="majorHAnsi" w:hAnsiTheme="majorHAnsi" w:cstheme="majorHAnsi"/>
        </w:rPr>
        <w:t xml:space="preserve"> in Quakers Hill, while</w:t>
      </w:r>
      <w:r>
        <w:rPr>
          <w:rFonts w:asciiTheme="majorHAnsi" w:hAnsiTheme="majorHAnsi" w:cstheme="majorHAnsi"/>
        </w:rPr>
        <w:t xml:space="preserve"> the other will be located in Penrith. Each training package runs for </w:t>
      </w:r>
      <w:r w:rsidR="00C83C96">
        <w:rPr>
          <w:rFonts w:asciiTheme="majorHAnsi" w:hAnsiTheme="majorHAnsi" w:cstheme="majorHAnsi"/>
        </w:rPr>
        <w:t>an eight-week period, although there may be multiple cohorts engaging in training at a time.</w:t>
      </w:r>
      <w:r>
        <w:rPr>
          <w:rFonts w:asciiTheme="majorHAnsi" w:hAnsiTheme="majorHAnsi" w:cstheme="majorHAnsi"/>
        </w:rPr>
        <w:t xml:space="preserve"> In total, </w:t>
      </w:r>
      <w:r w:rsidR="00C83C96">
        <w:rPr>
          <w:rFonts w:asciiTheme="majorHAnsi" w:hAnsiTheme="majorHAnsi" w:cstheme="majorHAnsi"/>
        </w:rPr>
        <w:t>the program</w:t>
      </w:r>
      <w:r>
        <w:rPr>
          <w:rFonts w:asciiTheme="majorHAnsi" w:hAnsiTheme="majorHAnsi" w:cstheme="majorHAnsi"/>
        </w:rPr>
        <w:t xml:space="preserve"> will be offered to 480 young people across both sites over a 24-month period.</w:t>
      </w:r>
    </w:p>
    <w:p w14:paraId="2474B26B" w14:textId="46D7E7B5" w:rsidR="001A6693" w:rsidRDefault="001A6693" w:rsidP="000E17A4">
      <w:pPr>
        <w:spacing w:after="80"/>
        <w:rPr>
          <w:rFonts w:asciiTheme="majorHAnsi" w:hAnsiTheme="majorHAnsi" w:cstheme="majorHAnsi"/>
        </w:rPr>
      </w:pPr>
      <w:r>
        <w:rPr>
          <w:rFonts w:asciiTheme="majorHAnsi" w:hAnsiTheme="majorHAnsi" w:cstheme="majorHAnsi"/>
        </w:rPr>
        <w:t>Project activities will focus on skills development and job readiness for the civil construction industry in the first site.</w:t>
      </w:r>
      <w:r w:rsidR="003E743A">
        <w:rPr>
          <w:rFonts w:asciiTheme="majorHAnsi" w:hAnsiTheme="majorHAnsi" w:cstheme="majorHAnsi"/>
        </w:rPr>
        <w:t xml:space="preserve"> This includes work skills in civil construction as well as life skills, such as organisation and time management.</w:t>
      </w:r>
      <w:r>
        <w:rPr>
          <w:rFonts w:asciiTheme="majorHAnsi" w:hAnsiTheme="majorHAnsi" w:cstheme="majorHAnsi"/>
        </w:rPr>
        <w:t xml:space="preserve"> The second site will apply a similar training model, but adapted for another industry, </w:t>
      </w:r>
      <w:r w:rsidR="001A3699">
        <w:rPr>
          <w:rFonts w:asciiTheme="majorHAnsi" w:hAnsiTheme="majorHAnsi" w:cstheme="majorHAnsi"/>
        </w:rPr>
        <w:t>either</w:t>
      </w:r>
      <w:r>
        <w:rPr>
          <w:rFonts w:asciiTheme="majorHAnsi" w:hAnsiTheme="majorHAnsi" w:cstheme="majorHAnsi"/>
        </w:rPr>
        <w:t xml:space="preserve"> commerci</w:t>
      </w:r>
      <w:r w:rsidR="001A3699">
        <w:rPr>
          <w:rFonts w:asciiTheme="majorHAnsi" w:hAnsiTheme="majorHAnsi" w:cstheme="majorHAnsi"/>
        </w:rPr>
        <w:t>al and residential construction,</w:t>
      </w:r>
      <w:r>
        <w:rPr>
          <w:rFonts w:asciiTheme="majorHAnsi" w:hAnsiTheme="majorHAnsi" w:cstheme="majorHAnsi"/>
        </w:rPr>
        <w:t xml:space="preserve"> or landscapin</w:t>
      </w:r>
      <w:r w:rsidR="001A3699">
        <w:rPr>
          <w:rFonts w:asciiTheme="majorHAnsi" w:hAnsiTheme="majorHAnsi" w:cstheme="majorHAnsi"/>
        </w:rPr>
        <w:t>g. The focus on new</w:t>
      </w:r>
      <w:r>
        <w:rPr>
          <w:rFonts w:asciiTheme="majorHAnsi" w:hAnsiTheme="majorHAnsi" w:cstheme="majorHAnsi"/>
        </w:rPr>
        <w:t xml:space="preserve"> industries</w:t>
      </w:r>
      <w:r w:rsidR="001A3699">
        <w:rPr>
          <w:rFonts w:asciiTheme="majorHAnsi" w:hAnsiTheme="majorHAnsi" w:cstheme="majorHAnsi"/>
        </w:rPr>
        <w:t xml:space="preserve"> at the second site</w:t>
      </w:r>
      <w:r>
        <w:rPr>
          <w:rFonts w:asciiTheme="majorHAnsi" w:hAnsiTheme="majorHAnsi" w:cstheme="majorHAnsi"/>
        </w:rPr>
        <w:t xml:space="preserve"> will require an initial </w:t>
      </w:r>
      <w:r>
        <w:rPr>
          <w:rFonts w:asciiTheme="majorHAnsi" w:hAnsiTheme="majorHAnsi" w:cstheme="majorHAnsi"/>
        </w:rPr>
        <w:lastRenderedPageBreak/>
        <w:t>development and setup period before it can become operational. This is to ensure the model is suitable for the new industry.</w:t>
      </w:r>
    </w:p>
    <w:p w14:paraId="2FEBC7F2" w14:textId="6052C62B" w:rsidR="001A6693" w:rsidRDefault="001A6693" w:rsidP="000E17A4">
      <w:pPr>
        <w:spacing w:after="80"/>
        <w:rPr>
          <w:rFonts w:asciiTheme="majorHAnsi" w:hAnsiTheme="majorHAnsi" w:cstheme="majorHAnsi"/>
        </w:rPr>
      </w:pPr>
      <w:r>
        <w:rPr>
          <w:rFonts w:asciiTheme="majorHAnsi" w:hAnsiTheme="majorHAnsi" w:cstheme="majorHAnsi"/>
        </w:rPr>
        <w:t xml:space="preserve">The trial evaluation will focus on the effectiveness of this model at a larger scale, and across the two industries and locations. The combination of hands-on job readiness training and Youth Development Worker support are the two foundational elements that will be </w:t>
      </w:r>
      <w:r w:rsidR="00A758C7">
        <w:rPr>
          <w:rFonts w:asciiTheme="majorHAnsi" w:hAnsiTheme="majorHAnsi" w:cstheme="majorHAnsi"/>
        </w:rPr>
        <w:t>the core focus of the program evaluation</w:t>
      </w:r>
      <w:r>
        <w:rPr>
          <w:rFonts w:asciiTheme="majorHAnsi" w:hAnsiTheme="majorHAnsi" w:cstheme="majorHAnsi"/>
        </w:rPr>
        <w:t>. Flexibility in the way these two elements are administered will be exercised where project elements are not working.</w:t>
      </w:r>
    </w:p>
    <w:p w14:paraId="43979D18" w14:textId="77777777" w:rsidR="001A6693" w:rsidRPr="00844ABE" w:rsidRDefault="001A6693" w:rsidP="001A6693">
      <w:pPr>
        <w:rPr>
          <w:rFonts w:asciiTheme="majorHAnsi" w:hAnsiTheme="majorHAnsi" w:cstheme="majorHAnsi"/>
        </w:rPr>
      </w:pPr>
      <w:r>
        <w:t xml:space="preserve">It will be evaluated to assess its success in achieving the specified outcomes and the appropriateness of the approach for a broader rollout. </w:t>
      </w:r>
      <w:r w:rsidRPr="00844ABE">
        <w:rPr>
          <w:rFonts w:asciiTheme="majorHAnsi" w:hAnsiTheme="majorHAnsi" w:cstheme="majorHAnsi"/>
        </w:rPr>
        <w:t>The project will be evaluated against a number of outcomes, including the following:</w:t>
      </w:r>
    </w:p>
    <w:p w14:paraId="5309E6AD" w14:textId="77777777" w:rsidR="003E743A" w:rsidRPr="005F4563" w:rsidRDefault="003E743A" w:rsidP="001A6693">
      <w:pPr>
        <w:numPr>
          <w:ilvl w:val="0"/>
          <w:numId w:val="19"/>
        </w:numPr>
        <w:suppressAutoHyphens w:val="0"/>
        <w:spacing w:before="200" w:after="200" w:line="276" w:lineRule="auto"/>
        <w:ind w:left="714" w:hanging="357"/>
        <w:rPr>
          <w:rFonts w:cstheme="minorHAnsi"/>
        </w:rPr>
      </w:pPr>
      <w:r w:rsidRPr="005F4563">
        <w:rPr>
          <w:rFonts w:cstheme="minorHAnsi"/>
        </w:rPr>
        <w:t>g</w:t>
      </w:r>
      <w:r w:rsidR="001A6693" w:rsidRPr="005F4563">
        <w:rPr>
          <w:rFonts w:cstheme="minorHAnsi"/>
        </w:rPr>
        <w:t xml:space="preserve">raduation </w:t>
      </w:r>
      <w:r w:rsidRPr="005F4563">
        <w:rPr>
          <w:rFonts w:cstheme="minorHAnsi"/>
        </w:rPr>
        <w:t>rate from the program</w:t>
      </w:r>
    </w:p>
    <w:p w14:paraId="2A7286A6" w14:textId="6F8B6E0D" w:rsidR="001A6693" w:rsidRPr="005F4563" w:rsidRDefault="003E743A" w:rsidP="001A6693">
      <w:pPr>
        <w:numPr>
          <w:ilvl w:val="0"/>
          <w:numId w:val="19"/>
        </w:numPr>
        <w:suppressAutoHyphens w:val="0"/>
        <w:spacing w:before="200" w:after="200" w:line="276" w:lineRule="auto"/>
        <w:ind w:left="714" w:hanging="357"/>
        <w:rPr>
          <w:rFonts w:cstheme="minorHAnsi"/>
        </w:rPr>
      </w:pPr>
      <w:r w:rsidRPr="005F4563">
        <w:rPr>
          <w:rFonts w:cstheme="minorHAnsi"/>
        </w:rPr>
        <w:t>rate of entry into employment post-graduation</w:t>
      </w:r>
    </w:p>
    <w:p w14:paraId="18392A41" w14:textId="39F9BF28" w:rsidR="003E743A" w:rsidRPr="005F4563" w:rsidRDefault="003E743A" w:rsidP="001A6693">
      <w:pPr>
        <w:numPr>
          <w:ilvl w:val="0"/>
          <w:numId w:val="19"/>
        </w:numPr>
        <w:suppressAutoHyphens w:val="0"/>
        <w:spacing w:before="200" w:after="200" w:line="276" w:lineRule="auto"/>
        <w:ind w:left="714" w:hanging="357"/>
        <w:rPr>
          <w:rFonts w:cstheme="minorHAnsi"/>
        </w:rPr>
      </w:pPr>
      <w:r w:rsidRPr="005F4563">
        <w:rPr>
          <w:rFonts w:cstheme="minorHAnsi"/>
        </w:rPr>
        <w:t>rate of re-engagement with tertiary education post-graduation</w:t>
      </w:r>
    </w:p>
    <w:p w14:paraId="7B3B29A4" w14:textId="77777777" w:rsidR="003E743A" w:rsidRPr="005F4563" w:rsidRDefault="003E743A" w:rsidP="003E743A">
      <w:pPr>
        <w:numPr>
          <w:ilvl w:val="0"/>
          <w:numId w:val="19"/>
        </w:numPr>
        <w:suppressAutoHyphens w:val="0"/>
        <w:spacing w:before="200" w:after="200" w:line="276" w:lineRule="auto"/>
        <w:ind w:left="714" w:hanging="357"/>
        <w:rPr>
          <w:rFonts w:cstheme="minorHAnsi"/>
        </w:rPr>
      </w:pPr>
      <w:r w:rsidRPr="005F4563">
        <w:rPr>
          <w:rFonts w:cstheme="minorHAnsi"/>
        </w:rPr>
        <w:t>improved physical and mental health for participants, which may be measured using data including qualitative reporting from participants and medical assessments</w:t>
      </w:r>
    </w:p>
    <w:p w14:paraId="6F96F212" w14:textId="5D714B4A" w:rsidR="001A6693" w:rsidRPr="005F4563" w:rsidRDefault="003E743A" w:rsidP="005F4563">
      <w:pPr>
        <w:numPr>
          <w:ilvl w:val="0"/>
          <w:numId w:val="19"/>
        </w:numPr>
        <w:suppressAutoHyphens w:val="0"/>
        <w:spacing w:before="200" w:after="200" w:line="276" w:lineRule="auto"/>
        <w:ind w:left="714" w:hanging="357"/>
        <w:rPr>
          <w:rFonts w:asciiTheme="majorHAnsi" w:hAnsiTheme="majorHAnsi" w:cstheme="majorHAnsi"/>
        </w:rPr>
      </w:pPr>
      <w:r w:rsidRPr="005F4563">
        <w:rPr>
          <w:rFonts w:cstheme="minorHAnsi"/>
        </w:rPr>
        <w:t>improved social and emotional wellbeing for participants, which may be measured using data</w:t>
      </w:r>
      <w:r w:rsidRPr="005F4563">
        <w:rPr>
          <w:rFonts w:asciiTheme="majorHAnsi" w:hAnsiTheme="majorHAnsi" w:cstheme="majorHAnsi"/>
        </w:rPr>
        <w:t xml:space="preserve"> including qualitative reporting from participants.</w:t>
      </w:r>
    </w:p>
    <w:p w14:paraId="470FD3BE" w14:textId="77777777" w:rsidR="00045933" w:rsidRDefault="00045933" w:rsidP="00A668C8">
      <w:pPr>
        <w:pStyle w:val="Heading1Numbered"/>
      </w:pPr>
      <w:bookmarkStart w:id="23" w:name="_Toc467773954"/>
      <w:bookmarkStart w:id="24" w:name="_Toc497819757"/>
      <w:r>
        <w:t>Grant amount</w:t>
      </w:r>
      <w:bookmarkEnd w:id="23"/>
      <w:bookmarkEnd w:id="24"/>
    </w:p>
    <w:p w14:paraId="453AE94E"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0015218B" w14:textId="65249976" w:rsidR="009D490D" w:rsidRDefault="009D490D" w:rsidP="009D490D">
      <w:r w:rsidRPr="00484CAF">
        <w:rPr>
          <w:rFonts w:asciiTheme="majorHAnsi" w:hAnsiTheme="majorHAnsi" w:cstheme="majorHAnsi"/>
        </w:rPr>
        <w:t xml:space="preserve">The approximate budget for the </w:t>
      </w:r>
      <w:r w:rsidR="00C329B0">
        <w:t>Build and Grow</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C329B0">
        <w:rPr>
          <w:rFonts w:asciiTheme="majorHAnsi" w:hAnsiTheme="majorHAnsi" w:cstheme="majorHAnsi"/>
        </w:rPr>
        <w:t>2.</w:t>
      </w:r>
      <w:r w:rsidR="008B5604">
        <w:rPr>
          <w:rFonts w:asciiTheme="majorHAnsi" w:hAnsiTheme="majorHAnsi" w:cstheme="majorHAnsi"/>
        </w:rPr>
        <w:t>4</w:t>
      </w:r>
      <w:r w:rsidR="00296879">
        <w:rPr>
          <w:rFonts w:asciiTheme="majorHAnsi" w:hAnsiTheme="majorHAnsi" w:cstheme="majorHAnsi"/>
        </w:rPr>
        <w:t xml:space="preserve"> mi</w:t>
      </w:r>
      <w:r w:rsidR="00C2676C">
        <w:rPr>
          <w:rFonts w:asciiTheme="majorHAnsi" w:hAnsiTheme="majorHAnsi" w:cstheme="majorHAnsi"/>
        </w:rPr>
        <w:t>l</w:t>
      </w:r>
      <w:r w:rsidR="00296879">
        <w:rPr>
          <w:rFonts w:asciiTheme="majorHAnsi" w:hAnsiTheme="majorHAnsi" w:cstheme="majorHAnsi"/>
        </w:rPr>
        <w:t>lion.</w:t>
      </w:r>
      <w:r w:rsidR="00A90B3B">
        <w:rPr>
          <w:rFonts w:asciiTheme="majorHAnsi" w:hAnsiTheme="majorHAnsi" w:cstheme="majorHAnsi"/>
        </w:rPr>
        <w:t xml:space="preserve"> </w:t>
      </w:r>
      <w:r w:rsidR="00A90B3B">
        <w:t xml:space="preserve">The project will be trialled over </w:t>
      </w:r>
      <w:r w:rsidR="00C329B0">
        <w:t xml:space="preserve">24 </w:t>
      </w:r>
      <w:r w:rsidR="00A90B3B">
        <w:t xml:space="preserve">months, and comprise </w:t>
      </w:r>
      <w:r w:rsidR="00C329B0">
        <w:t>24 months of operations, with a second site established from the 6 month point</w:t>
      </w:r>
      <w:r w:rsidR="00A90B3B">
        <w:t>.</w:t>
      </w:r>
    </w:p>
    <w:p w14:paraId="45B47A8F" w14:textId="77777777" w:rsidR="009D490D" w:rsidRPr="00DB0937" w:rsidRDefault="00340616" w:rsidP="009D490D">
      <w:pPr>
        <w:pStyle w:val="Heading1Numbered"/>
      </w:pPr>
      <w:bookmarkStart w:id="25" w:name="_Toc421777594"/>
      <w:bookmarkStart w:id="26" w:name="_Ref428266971"/>
      <w:bookmarkStart w:id="27" w:name="_Toc467773955"/>
      <w:bookmarkStart w:id="28" w:name="_Toc497819758"/>
      <w:r>
        <w:t>Grant e</w:t>
      </w:r>
      <w:r w:rsidRPr="00B72EE8">
        <w:t>ligibility</w:t>
      </w:r>
      <w:bookmarkEnd w:id="25"/>
      <w:bookmarkEnd w:id="26"/>
      <w:r>
        <w:t xml:space="preserve"> cr</w:t>
      </w:r>
      <w:r w:rsidRPr="00B72EE8">
        <w:t>iteria</w:t>
      </w:r>
      <w:bookmarkEnd w:id="27"/>
      <w:bookmarkEnd w:id="28"/>
      <w:r>
        <w:t xml:space="preserve"> </w:t>
      </w:r>
      <w:bookmarkStart w:id="29" w:name="_Ref414285977"/>
    </w:p>
    <w:p w14:paraId="37CE881B"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09485837" w14:textId="77777777" w:rsidR="00340616" w:rsidRDefault="00340616" w:rsidP="00296879">
      <w:pPr>
        <w:pStyle w:val="Heading2inusebytemplate"/>
      </w:pPr>
      <w:bookmarkStart w:id="30" w:name="_Ref421696970"/>
      <w:bookmarkStart w:id="31" w:name="_Toc421777595"/>
      <w:bookmarkStart w:id="32" w:name="_Toc467773956"/>
      <w:bookmarkStart w:id="33" w:name="_Toc497819759"/>
      <w:r w:rsidRPr="00B72EE8">
        <w:t xml:space="preserve">Who is eligible </w:t>
      </w:r>
      <w:r>
        <w:t xml:space="preserve">to apply </w:t>
      </w:r>
      <w:r w:rsidRPr="00B72EE8">
        <w:t>for a grant?</w:t>
      </w:r>
      <w:bookmarkEnd w:id="29"/>
      <w:bookmarkEnd w:id="30"/>
      <w:bookmarkEnd w:id="31"/>
      <w:bookmarkEnd w:id="32"/>
      <w:bookmarkEnd w:id="33"/>
    </w:p>
    <w:p w14:paraId="1A368A2C" w14:textId="2106887E" w:rsidR="00173C66" w:rsidRPr="00F45F09" w:rsidRDefault="00173C66" w:rsidP="00173C66">
      <w:pPr>
        <w:spacing w:after="120"/>
      </w:pPr>
      <w:r w:rsidRPr="00F45F09">
        <w:t>To be eligible you must be the listed organisation and have received an invitation to apply through GrantConnect.</w:t>
      </w:r>
    </w:p>
    <w:p w14:paraId="376CF8BE" w14:textId="77777777" w:rsidR="00296879" w:rsidRDefault="00296879" w:rsidP="00296879">
      <w:pPr>
        <w:spacing w:after="120"/>
      </w:pPr>
    </w:p>
    <w:p w14:paraId="6A8F64CA" w14:textId="77777777" w:rsidR="00B2527A" w:rsidRDefault="00B2527A" w:rsidP="00296879">
      <w:pPr>
        <w:pStyle w:val="Heading3Numbered"/>
      </w:pPr>
      <w:bookmarkStart w:id="34" w:name="_Toc497819760"/>
      <w:r w:rsidRPr="00EB058A">
        <w:lastRenderedPageBreak/>
        <w:t xml:space="preserve">Eligible </w:t>
      </w:r>
      <w:r w:rsidR="00296879">
        <w:t>a</w:t>
      </w:r>
      <w:r w:rsidRPr="00EB058A">
        <w:t>pplicant</w:t>
      </w:r>
      <w:bookmarkEnd w:id="34"/>
    </w:p>
    <w:p w14:paraId="1A1A9C6F" w14:textId="77777777"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14:paraId="09F01C41"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49E83B51" w14:textId="77777777" w:rsidTr="008B7DC0">
        <w:trPr>
          <w:trHeight w:val="297"/>
          <w:tblHeader/>
        </w:trPr>
        <w:tc>
          <w:tcPr>
            <w:tcW w:w="4389" w:type="dxa"/>
            <w:shd w:val="clear" w:color="auto" w:fill="F2F2F2" w:themeFill="background1" w:themeFillShade="F2"/>
          </w:tcPr>
          <w:p w14:paraId="5B78997E"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3CA5533C"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2D77042F" w14:textId="77777777" w:rsidR="002E3AF0" w:rsidRPr="009A5A2D" w:rsidRDefault="002E3AF0" w:rsidP="008B7DC0">
            <w:pPr>
              <w:pStyle w:val="NoSpacing"/>
              <w:rPr>
                <w:rFonts w:asciiTheme="minorHAnsi" w:hAnsiTheme="minorHAnsi" w:cstheme="minorHAnsi"/>
                <w:b/>
              </w:rPr>
            </w:pPr>
          </w:p>
        </w:tc>
      </w:tr>
      <w:tr w:rsidR="002E3AF0" w:rsidRPr="00305CE0" w14:paraId="774C0839" w14:textId="77777777" w:rsidTr="008B7DC0">
        <w:trPr>
          <w:trHeight w:val="290"/>
        </w:trPr>
        <w:tc>
          <w:tcPr>
            <w:tcW w:w="4389" w:type="dxa"/>
          </w:tcPr>
          <w:p w14:paraId="6D386DC3" w14:textId="44CAF56F" w:rsidR="002E3AF0" w:rsidRPr="00305CE0" w:rsidRDefault="00905C4C" w:rsidP="00BF009A">
            <w:pPr>
              <w:pStyle w:val="NoSpacing"/>
              <w:rPr>
                <w:rFonts w:asciiTheme="minorHAnsi" w:hAnsiTheme="minorHAnsi"/>
              </w:rPr>
            </w:pPr>
            <w:r w:rsidRPr="00305CE0">
              <w:rPr>
                <w:rFonts w:asciiTheme="minorHAnsi" w:hAnsiTheme="minorHAnsi"/>
              </w:rPr>
              <w:t>Productivity Bootcamp</w:t>
            </w:r>
          </w:p>
        </w:tc>
        <w:tc>
          <w:tcPr>
            <w:tcW w:w="4389" w:type="dxa"/>
          </w:tcPr>
          <w:p w14:paraId="28D7BBCA" w14:textId="77777777" w:rsidR="002E3AF0" w:rsidRPr="00305CE0" w:rsidRDefault="002E3AF0" w:rsidP="008B7DC0">
            <w:pPr>
              <w:pStyle w:val="NoSpacing"/>
              <w:rPr>
                <w:rFonts w:asciiTheme="minorHAnsi" w:hAnsiTheme="minorHAnsi"/>
              </w:rPr>
            </w:pPr>
            <w:r w:rsidRPr="00305CE0">
              <w:rPr>
                <w:rFonts w:asciiTheme="minorHAnsi" w:hAnsiTheme="minorHAnsi"/>
              </w:rPr>
              <w:t>See rational</w:t>
            </w:r>
            <w:r w:rsidR="0054451B" w:rsidRPr="00305CE0">
              <w:rPr>
                <w:rFonts w:asciiTheme="minorHAnsi" w:hAnsiTheme="minorHAnsi"/>
              </w:rPr>
              <w:t>e</w:t>
            </w:r>
            <w:r w:rsidRPr="00305CE0">
              <w:rPr>
                <w:rFonts w:asciiTheme="minorHAnsi" w:hAnsiTheme="minorHAnsi"/>
              </w:rPr>
              <w:t xml:space="preserve"> below</w:t>
            </w:r>
          </w:p>
        </w:tc>
      </w:tr>
    </w:tbl>
    <w:p w14:paraId="20B9D683" w14:textId="4820AD5D" w:rsidR="00BE6608" w:rsidRPr="005F4563" w:rsidRDefault="00BE6608" w:rsidP="000E17A4">
      <w:pPr>
        <w:spacing w:before="200" w:after="200"/>
      </w:pPr>
      <w:r w:rsidRPr="005F4563">
        <w:t xml:space="preserve">The Build and Grow project was co-developed from an </w:t>
      </w:r>
      <w:r w:rsidR="00305CE0" w:rsidRPr="005F4563">
        <w:t>idea</w:t>
      </w:r>
      <w:r w:rsidRPr="005F4563">
        <w:t xml:space="preserve"> submitted to the Try, Test and Learn Fund</w:t>
      </w:r>
      <w:r w:rsidR="00571E68" w:rsidRPr="005F4563">
        <w:t xml:space="preserve"> by Productivity Bootcamp. The project has been devised to trial a refinement of Productivity Bootcamp’s current construction training course</w:t>
      </w:r>
      <w:r w:rsidR="00305CE0" w:rsidRPr="005F4563">
        <w:t xml:space="preserve"> (focusing on civil construction)</w:t>
      </w:r>
      <w:r w:rsidR="00571E68" w:rsidRPr="005F4563">
        <w:t xml:space="preserve"> and relevant supporting elements, including the engagement of Youth Development Workers to assist participants meet the challenges of training and work. Additionally, the project will test the replicability of the training package to a second site, and across other</w:t>
      </w:r>
      <w:r w:rsidR="00305CE0" w:rsidRPr="005F4563">
        <w:t xml:space="preserve"> industries (e.g. landscaping and horticulture, commercial and residential construction). </w:t>
      </w:r>
    </w:p>
    <w:p w14:paraId="5D82D371" w14:textId="5B9EA113" w:rsidR="00BE6608" w:rsidRPr="005F4563" w:rsidRDefault="00305CE0" w:rsidP="000E17A4">
      <w:pPr>
        <w:spacing w:before="200" w:after="200"/>
      </w:pPr>
      <w:r w:rsidRPr="005F4563">
        <w:t>Productivity Bootcamp is invited to apply for this grant opportunity. This organisation has been invited to submit an application as it has been assessed to have:</w:t>
      </w:r>
    </w:p>
    <w:p w14:paraId="6F963236" w14:textId="0B02F198" w:rsidR="00305CE0" w:rsidRPr="005F4563" w:rsidRDefault="00305CE0" w:rsidP="005F4563">
      <w:pPr>
        <w:pStyle w:val="ListParagraph"/>
        <w:numPr>
          <w:ilvl w:val="0"/>
          <w:numId w:val="32"/>
        </w:numPr>
        <w:spacing w:before="200"/>
        <w:rPr>
          <w:rFonts w:asciiTheme="majorHAnsi" w:hAnsiTheme="majorHAnsi" w:cstheme="majorHAnsi"/>
        </w:rPr>
      </w:pPr>
      <w:r w:rsidRPr="005F4563">
        <w:rPr>
          <w:rFonts w:asciiTheme="majorHAnsi" w:hAnsiTheme="majorHAnsi" w:cstheme="majorHAnsi"/>
        </w:rPr>
        <w:t>Capability to deliver the project activities in the project location</w:t>
      </w:r>
    </w:p>
    <w:p w14:paraId="0AFB066D" w14:textId="4062B5B8" w:rsidR="00305CE0" w:rsidRPr="005F4563" w:rsidRDefault="00305CE0" w:rsidP="005F4563">
      <w:pPr>
        <w:pStyle w:val="ListParagraph"/>
        <w:numPr>
          <w:ilvl w:val="0"/>
          <w:numId w:val="32"/>
        </w:numPr>
        <w:spacing w:before="200"/>
        <w:rPr>
          <w:rFonts w:asciiTheme="majorHAnsi" w:hAnsiTheme="majorHAnsi" w:cstheme="majorHAnsi"/>
        </w:rPr>
      </w:pPr>
      <w:r w:rsidRPr="005F4563">
        <w:rPr>
          <w:rFonts w:asciiTheme="majorHAnsi" w:hAnsiTheme="majorHAnsi" w:cstheme="majorHAnsi"/>
        </w:rPr>
        <w:t>Existing infrastructure and relationships to support the project activities</w:t>
      </w:r>
    </w:p>
    <w:p w14:paraId="25E235ED" w14:textId="1741A96A" w:rsidR="00305CE0" w:rsidRPr="005F4563" w:rsidRDefault="00305CE0" w:rsidP="005F4563">
      <w:pPr>
        <w:pStyle w:val="ListParagraph"/>
        <w:numPr>
          <w:ilvl w:val="0"/>
          <w:numId w:val="32"/>
        </w:numPr>
        <w:spacing w:before="200"/>
        <w:rPr>
          <w:rFonts w:asciiTheme="majorHAnsi" w:hAnsiTheme="majorHAnsi" w:cstheme="majorHAnsi"/>
        </w:rPr>
      </w:pPr>
      <w:r w:rsidRPr="005F4563">
        <w:rPr>
          <w:rFonts w:asciiTheme="majorHAnsi" w:hAnsiTheme="majorHAnsi" w:cstheme="majorHAnsi"/>
        </w:rPr>
        <w:t>Knowledge of and capability to deliver to the project objectives and outcomes.</w:t>
      </w:r>
    </w:p>
    <w:p w14:paraId="4D0D1489" w14:textId="5C173364" w:rsidR="00305CE0" w:rsidRDefault="00305CE0" w:rsidP="005F4563">
      <w:pPr>
        <w:spacing w:before="200"/>
        <w:rPr>
          <w:rFonts w:asciiTheme="majorHAnsi" w:hAnsiTheme="majorHAnsi" w:cstheme="majorHAnsi"/>
        </w:rPr>
      </w:pPr>
      <w:r>
        <w:rPr>
          <w:rFonts w:asciiTheme="majorHAnsi" w:hAnsiTheme="majorHAnsi" w:cstheme="majorHAnsi"/>
        </w:rPr>
        <w:t>Productivity Bootcamp have proven experience in delivering training to young people to assist them gain qualifications and experience in the field of civil construction. They have significant expertise in the engagement of qualified tradespeople to administer training, and the delivery of this training in combination of comprehensive support for participants through the use of Youth Development Work</w:t>
      </w:r>
      <w:r w:rsidR="00934073">
        <w:rPr>
          <w:rFonts w:asciiTheme="majorHAnsi" w:hAnsiTheme="majorHAnsi" w:cstheme="majorHAnsi"/>
        </w:rPr>
        <w:t>ers. Their training package focuses on practical skills and hands-on learning, increasing participant engagement and likelihood of graduation. This approach is unique to Productivity Bootcamp’s model and values.</w:t>
      </w:r>
      <w:r w:rsidR="00C37980" w:rsidRPr="00C37980">
        <w:rPr>
          <w:rFonts w:asciiTheme="majorHAnsi" w:hAnsiTheme="majorHAnsi" w:cstheme="majorHAnsi"/>
        </w:rPr>
        <w:t xml:space="preserve"> </w:t>
      </w:r>
      <w:r w:rsidR="00C37980">
        <w:rPr>
          <w:rFonts w:asciiTheme="majorHAnsi" w:hAnsiTheme="majorHAnsi" w:cstheme="majorHAnsi"/>
        </w:rPr>
        <w:t>Productivity Bootcamp have delivered consistently excellent results in the delivery of their program model to date. This includes an 87% rate of graduates securing employment. The trial will test the effectiveness of this model when replicated, refined, and adapted to new sites and industries.</w:t>
      </w:r>
    </w:p>
    <w:p w14:paraId="2E4733F3" w14:textId="3510E11A" w:rsidR="00305CE0" w:rsidRDefault="00C37980" w:rsidP="005F4563">
      <w:pPr>
        <w:spacing w:before="200"/>
        <w:rPr>
          <w:rFonts w:asciiTheme="majorHAnsi" w:hAnsiTheme="majorHAnsi" w:cstheme="majorHAnsi"/>
        </w:rPr>
      </w:pPr>
      <w:r>
        <w:rPr>
          <w:rFonts w:asciiTheme="majorHAnsi" w:hAnsiTheme="majorHAnsi" w:cstheme="majorHAnsi"/>
        </w:rPr>
        <w:t>P</w:t>
      </w:r>
      <w:r w:rsidR="00305CE0">
        <w:rPr>
          <w:rFonts w:asciiTheme="majorHAnsi" w:hAnsiTheme="majorHAnsi" w:cstheme="majorHAnsi"/>
        </w:rPr>
        <w:t xml:space="preserve">roductivity Bootcamp have existing infrastructure </w:t>
      </w:r>
      <w:r w:rsidR="00934073">
        <w:rPr>
          <w:rFonts w:asciiTheme="majorHAnsi" w:hAnsiTheme="majorHAnsi" w:cstheme="majorHAnsi"/>
        </w:rPr>
        <w:t>in place to support program participants, and to deliver on grant funding. This includes an existing simulated construction site for participants to train in</w:t>
      </w:r>
      <w:r>
        <w:rPr>
          <w:rFonts w:asciiTheme="majorHAnsi" w:hAnsiTheme="majorHAnsi" w:cstheme="majorHAnsi"/>
        </w:rPr>
        <w:t xml:space="preserve"> at Western Sydney Institute TAFE</w:t>
      </w:r>
      <w:r w:rsidR="00934073">
        <w:rPr>
          <w:rFonts w:asciiTheme="majorHAnsi" w:hAnsiTheme="majorHAnsi" w:cstheme="majorHAnsi"/>
        </w:rPr>
        <w:t>, and in-kind support to establish the secondary site</w:t>
      </w:r>
      <w:r>
        <w:rPr>
          <w:rFonts w:asciiTheme="majorHAnsi" w:hAnsiTheme="majorHAnsi" w:cstheme="majorHAnsi"/>
        </w:rPr>
        <w:t xml:space="preserve"> from LendLease</w:t>
      </w:r>
      <w:r w:rsidR="00934073">
        <w:rPr>
          <w:rFonts w:asciiTheme="majorHAnsi" w:hAnsiTheme="majorHAnsi" w:cstheme="majorHAnsi"/>
        </w:rPr>
        <w:t xml:space="preserve">. </w:t>
      </w:r>
      <w:r>
        <w:rPr>
          <w:rFonts w:asciiTheme="majorHAnsi" w:hAnsiTheme="majorHAnsi" w:cstheme="majorHAnsi"/>
        </w:rPr>
        <w:t>These</w:t>
      </w:r>
      <w:r w:rsidR="00FD776F">
        <w:rPr>
          <w:rFonts w:asciiTheme="majorHAnsi" w:hAnsiTheme="majorHAnsi" w:cstheme="majorHAnsi"/>
        </w:rPr>
        <w:t xml:space="preserve"> partnership</w:t>
      </w:r>
      <w:r>
        <w:rPr>
          <w:rFonts w:asciiTheme="majorHAnsi" w:hAnsiTheme="majorHAnsi" w:cstheme="majorHAnsi"/>
        </w:rPr>
        <w:t>s</w:t>
      </w:r>
      <w:r w:rsidR="00934073">
        <w:rPr>
          <w:rFonts w:asciiTheme="majorHAnsi" w:hAnsiTheme="majorHAnsi" w:cstheme="majorHAnsi"/>
        </w:rPr>
        <w:t xml:space="preserve"> offer</w:t>
      </w:r>
      <w:r w:rsidR="00FD776F">
        <w:rPr>
          <w:rFonts w:asciiTheme="majorHAnsi" w:hAnsiTheme="majorHAnsi" w:cstheme="majorHAnsi"/>
        </w:rPr>
        <w:t xml:space="preserve"> more</w:t>
      </w:r>
      <w:r w:rsidR="00934073">
        <w:rPr>
          <w:rFonts w:asciiTheme="majorHAnsi" w:hAnsiTheme="majorHAnsi" w:cstheme="majorHAnsi"/>
        </w:rPr>
        <w:t xml:space="preserve"> value for money</w:t>
      </w:r>
      <w:r w:rsidR="00FD776F">
        <w:rPr>
          <w:rFonts w:asciiTheme="majorHAnsi" w:hAnsiTheme="majorHAnsi" w:cstheme="majorHAnsi"/>
        </w:rPr>
        <w:t xml:space="preserve"> than competitors </w:t>
      </w:r>
      <w:r>
        <w:rPr>
          <w:rFonts w:asciiTheme="majorHAnsi" w:hAnsiTheme="majorHAnsi" w:cstheme="majorHAnsi"/>
        </w:rPr>
        <w:t>will</w:t>
      </w:r>
      <w:r w:rsidR="00934073">
        <w:rPr>
          <w:rFonts w:asciiTheme="majorHAnsi" w:hAnsiTheme="majorHAnsi" w:cstheme="majorHAnsi"/>
        </w:rPr>
        <w:t xml:space="preserve">, as it does not require </w:t>
      </w:r>
      <w:r>
        <w:rPr>
          <w:rFonts w:asciiTheme="majorHAnsi" w:hAnsiTheme="majorHAnsi" w:cstheme="majorHAnsi"/>
        </w:rPr>
        <w:t>investment in costly</w:t>
      </w:r>
      <w:r w:rsidR="00934073">
        <w:rPr>
          <w:rFonts w:asciiTheme="majorHAnsi" w:hAnsiTheme="majorHAnsi" w:cstheme="majorHAnsi"/>
        </w:rPr>
        <w:t xml:space="preserve"> capital infrastructure to be </w:t>
      </w:r>
      <w:r>
        <w:rPr>
          <w:rFonts w:asciiTheme="majorHAnsi" w:hAnsiTheme="majorHAnsi" w:cstheme="majorHAnsi"/>
        </w:rPr>
        <w:t>factored into the grant budget</w:t>
      </w:r>
      <w:r w:rsidR="00934073">
        <w:rPr>
          <w:rFonts w:asciiTheme="majorHAnsi" w:hAnsiTheme="majorHAnsi" w:cstheme="majorHAnsi"/>
        </w:rPr>
        <w:t>. This infrastructure would</w:t>
      </w:r>
      <w:r w:rsidR="00FD776F">
        <w:rPr>
          <w:rFonts w:asciiTheme="majorHAnsi" w:hAnsiTheme="majorHAnsi" w:cstheme="majorHAnsi"/>
        </w:rPr>
        <w:t xml:space="preserve"> also</w:t>
      </w:r>
      <w:r w:rsidR="00934073">
        <w:rPr>
          <w:rFonts w:asciiTheme="majorHAnsi" w:hAnsiTheme="majorHAnsi" w:cstheme="majorHAnsi"/>
        </w:rPr>
        <w:t xml:space="preserve"> take significant time for another provider to establish; the existing site will allow the program to commence delivery of training from the start of grant funding.</w:t>
      </w:r>
    </w:p>
    <w:p w14:paraId="7741D6D9" w14:textId="262BABDE" w:rsidR="00FD776F" w:rsidRPr="005F4563" w:rsidRDefault="00C37980" w:rsidP="005F4563">
      <w:pPr>
        <w:spacing w:before="200"/>
        <w:rPr>
          <w:rFonts w:asciiTheme="majorHAnsi" w:hAnsiTheme="majorHAnsi" w:cstheme="majorHAnsi"/>
        </w:rPr>
      </w:pPr>
      <w:r>
        <w:rPr>
          <w:rFonts w:asciiTheme="majorHAnsi" w:hAnsiTheme="majorHAnsi" w:cstheme="majorHAnsi"/>
        </w:rPr>
        <w:t xml:space="preserve">Productivity Bootcamp’s relationships with members of the sector, and their bank of tradespeople trainers, will allow them to deliver on the aims of the trials with minimal guidance or setup time. They already have a strong reputation within the sector, which will facilitate the transition to additional industries and the second site. Their commercial arm, </w:t>
      </w:r>
      <w:r>
        <w:rPr>
          <w:rFonts w:asciiTheme="majorHAnsi" w:hAnsiTheme="majorHAnsi" w:cstheme="majorHAnsi"/>
        </w:rPr>
        <w:lastRenderedPageBreak/>
        <w:t>Productivity Force, offers a unique way of ensuring program sustainability past the end of Government investment.</w:t>
      </w:r>
    </w:p>
    <w:p w14:paraId="633DD4EF" w14:textId="450C36D7" w:rsidR="0028614F" w:rsidRDefault="00AC595C" w:rsidP="006E6659">
      <w:r w:rsidRPr="00901F8B">
        <w:rPr>
          <w:rFonts w:asciiTheme="majorHAnsi" w:hAnsiTheme="majorHAnsi" w:cstheme="majorHAnsi"/>
        </w:rPr>
        <w:t xml:space="preserve">Finally, the project will operate as a trial with constrained financial and time parameters. The most effective method of delivering a trial 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117DBA3F" w14:textId="77777777" w:rsidR="00340616" w:rsidRPr="00A668C8" w:rsidRDefault="00340616" w:rsidP="00A668C8">
      <w:pPr>
        <w:pStyle w:val="Heading1Numbered"/>
      </w:pPr>
      <w:bookmarkStart w:id="35" w:name="_Toc467773959"/>
      <w:bookmarkStart w:id="36" w:name="_Toc497819761"/>
      <w:r w:rsidRPr="00A668C8">
        <w:t>Eligible grant activities</w:t>
      </w:r>
      <w:bookmarkEnd w:id="35"/>
      <w:bookmarkEnd w:id="36"/>
    </w:p>
    <w:p w14:paraId="1F5EB218" w14:textId="77777777" w:rsidR="00BB1EF9" w:rsidRPr="00BB1EF9" w:rsidRDefault="00340616" w:rsidP="00B97891">
      <w:pPr>
        <w:pStyle w:val="Heading2inusebytemplate"/>
      </w:pPr>
      <w:bookmarkStart w:id="37" w:name="_Toc467773960"/>
      <w:bookmarkStart w:id="38" w:name="_Toc497819762"/>
      <w:r w:rsidRPr="00F56535">
        <w:t>What can the grant money be used for?</w:t>
      </w:r>
      <w:bookmarkStart w:id="39" w:name="_Toc467773961"/>
      <w:bookmarkEnd w:id="37"/>
      <w:bookmarkEnd w:id="38"/>
    </w:p>
    <w:p w14:paraId="0EE306D5"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3689D120" w14:textId="77777777"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602897DB" w14:textId="77777777"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1056A798" w14:textId="77777777"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67682F6F"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telephones</w:t>
      </w:r>
    </w:p>
    <w:p w14:paraId="22F09E87"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14:paraId="03FE556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14:paraId="4F1FC270"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14:paraId="107310FE"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14:paraId="295F8CA2"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14:paraId="51A2EAB5"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14:paraId="72130302"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14:paraId="5E675B16"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14:paraId="3E1E427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29E8C984" w14:textId="77777777"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62879136" w14:textId="77777777" w:rsidR="00BB1EF9" w:rsidRPr="00F65B94" w:rsidRDefault="00F65B94" w:rsidP="00404ACE">
      <w:pPr>
        <w:pStyle w:val="ListParagraph"/>
        <w:numPr>
          <w:ilvl w:val="0"/>
          <w:numId w:val="23"/>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05DAB0AB" w14:textId="77777777" w:rsidR="00340616" w:rsidRPr="00B72EE8" w:rsidRDefault="00340616" w:rsidP="00056305">
      <w:pPr>
        <w:pStyle w:val="Heading2Numbered"/>
        <w:ind w:left="567"/>
      </w:pPr>
      <w:bookmarkStart w:id="40" w:name="_Toc497819763"/>
      <w:r w:rsidRPr="00B72EE8">
        <w:t xml:space="preserve">What </w:t>
      </w:r>
      <w:r w:rsidR="0001148F">
        <w:t xml:space="preserve">can </w:t>
      </w:r>
      <w:r>
        <w:t>the grant money not be used for?</w:t>
      </w:r>
      <w:bookmarkEnd w:id="39"/>
      <w:bookmarkEnd w:id="40"/>
    </w:p>
    <w:p w14:paraId="31B840C0"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0498DB2C"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lastRenderedPageBreak/>
        <w:t>purchase of land</w:t>
      </w:r>
    </w:p>
    <w:p w14:paraId="771CDD28" w14:textId="06928326"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r w:rsidRPr="0054451B">
        <w:rPr>
          <w:rFonts w:asciiTheme="minorHAnsi" w:hAnsiTheme="minorHAnsi" w:cstheme="minorHAnsi"/>
        </w:rPr>
        <w:t xml:space="preserve"> </w:t>
      </w:r>
    </w:p>
    <w:p w14:paraId="295D2DE3"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76B615BC"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426CB6F2"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5FB3403F"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7AB4A506"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7F2BC5D8" w14:textId="77777777" w:rsidR="003D20E7" w:rsidRDefault="00340616" w:rsidP="003D20E7">
      <w:pPr>
        <w:pStyle w:val="Heading1Numbered"/>
      </w:pPr>
      <w:bookmarkStart w:id="41" w:name="_Toc414983554"/>
      <w:bookmarkStart w:id="42" w:name="_Toc414983971"/>
      <w:bookmarkStart w:id="43" w:name="_Toc414984731"/>
      <w:bookmarkStart w:id="44" w:name="_Toc414984825"/>
      <w:bookmarkStart w:id="45" w:name="_Toc414984929"/>
      <w:bookmarkStart w:id="46" w:name="_Toc414985033"/>
      <w:bookmarkStart w:id="47" w:name="_Toc414985136"/>
      <w:bookmarkStart w:id="48" w:name="_Toc414985238"/>
      <w:bookmarkStart w:id="49" w:name="_Toc467773963"/>
      <w:bookmarkStart w:id="50" w:name="_Toc497819764"/>
      <w:bookmarkStart w:id="51" w:name="_Ref416444108"/>
      <w:bookmarkStart w:id="52" w:name="_Toc421777599"/>
      <w:bookmarkEnd w:id="41"/>
      <w:bookmarkEnd w:id="42"/>
      <w:bookmarkEnd w:id="43"/>
      <w:bookmarkEnd w:id="44"/>
      <w:bookmarkEnd w:id="45"/>
      <w:bookmarkEnd w:id="46"/>
      <w:bookmarkEnd w:id="47"/>
      <w:bookmarkEnd w:id="48"/>
      <w:r>
        <w:t xml:space="preserve">The </w:t>
      </w:r>
      <w:r w:rsidR="00AC42A0">
        <w:t xml:space="preserve">project development and </w:t>
      </w:r>
      <w:r>
        <w:t>grant s</w:t>
      </w:r>
      <w:r w:rsidRPr="00B72EE8">
        <w:t xml:space="preserve">election </w:t>
      </w:r>
      <w:r>
        <w:t>p</w:t>
      </w:r>
      <w:r w:rsidRPr="00B72EE8">
        <w:t>rocess</w:t>
      </w:r>
      <w:bookmarkEnd w:id="49"/>
      <w:r w:rsidR="0001148F">
        <w:t>es</w:t>
      </w:r>
      <w:bookmarkEnd w:id="50"/>
    </w:p>
    <w:p w14:paraId="4D51FA9C" w14:textId="77777777" w:rsidR="0001148F" w:rsidRPr="00B86B1D" w:rsidRDefault="003D20E7" w:rsidP="00AC42A0">
      <w:pPr>
        <w:pStyle w:val="Heading2inusebytemplate"/>
      </w:pPr>
      <w:bookmarkStart w:id="53" w:name="_Toc497819765"/>
      <w:r>
        <w:t xml:space="preserve">Project </w:t>
      </w:r>
      <w:r w:rsidR="0001148F">
        <w:t>d</w:t>
      </w:r>
      <w:r>
        <w:t>evelopment</w:t>
      </w:r>
      <w:bookmarkEnd w:id="53"/>
      <w:r>
        <w:t xml:space="preserve"> </w:t>
      </w:r>
    </w:p>
    <w:p w14:paraId="5D081859" w14:textId="63AD41EB"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B13E39">
        <w:rPr>
          <w:rFonts w:asciiTheme="majorHAnsi" w:hAnsiTheme="majorHAnsi" w:cstheme="majorHAnsi"/>
        </w:rPr>
        <w:t>Build and Grow</w:t>
      </w:r>
      <w:r w:rsidR="00FB59C1">
        <w:rPr>
          <w:rFonts w:asciiTheme="majorHAnsi" w:hAnsiTheme="majorHAnsi" w:cstheme="majorHAnsi"/>
        </w:rPr>
        <w:t xml:space="preserve">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sidR="001D69EC">
        <w:rPr>
          <w:rFonts w:asciiTheme="majorHAnsi" w:hAnsiTheme="majorHAnsi" w:cstheme="majorHAnsi"/>
        </w:rPr>
        <w:t>process outlined in section 1.</w:t>
      </w:r>
      <w:r>
        <w:rPr>
          <w:rFonts w:asciiTheme="majorHAnsi" w:hAnsiTheme="majorHAnsi" w:cstheme="majorHAnsi"/>
        </w:rPr>
        <w:t>4. In brief, this project entailed public ideas generation; shortlisting; intensive co-development with a variety of stakeholders including service providers and priority group representatives; and project recommendation and selection.</w:t>
      </w:r>
      <w:r w:rsidR="00664B9E" w:rsidRPr="00664B9E">
        <w:t xml:space="preserve"> </w:t>
      </w:r>
      <w:r w:rsidR="00664B9E" w:rsidRPr="006552CC">
        <w:t>Co</w:t>
      </w:r>
      <w:r w:rsidR="00664B9E">
        <w:noBreakHyphen/>
      </w:r>
      <w:r w:rsidR="00664B9E" w:rsidRPr="006552CC">
        <w:t>development</w:t>
      </w:r>
      <w:r w:rsidR="00664B9E">
        <w:t xml:space="preserve"> involved a design-led approach</w:t>
      </w:r>
      <w:r w:rsidR="00664B9E" w:rsidRPr="006552CC">
        <w:t xml:space="preserve"> which focused on the needs of service users. Stakeholders including service providers, government agencies and </w:t>
      </w:r>
      <w:r w:rsidR="00B13E39">
        <w:t>young people</w:t>
      </w:r>
      <w:r w:rsidR="00B13E39" w:rsidRPr="006552CC">
        <w:t xml:space="preserve"> </w:t>
      </w:r>
      <w:r w:rsidR="00664B9E" w:rsidRPr="006552CC">
        <w:t xml:space="preserve">had </w:t>
      </w:r>
      <w:r w:rsidR="00664B9E">
        <w:t xml:space="preserve">the </w:t>
      </w:r>
      <w:r w:rsidR="00664B9E" w:rsidRPr="006552CC">
        <w:t xml:space="preserve">opportunity to comment </w:t>
      </w:r>
      <w:r w:rsidR="00063A4B">
        <w:t xml:space="preserve">and contribute to </w:t>
      </w:r>
      <w:r w:rsidR="00664B9E">
        <w:t>the development of the project.</w:t>
      </w:r>
    </w:p>
    <w:p w14:paraId="1A9AFAD5" w14:textId="16174834" w:rsidR="00753C6D" w:rsidRDefault="006B272D" w:rsidP="00753C6D">
      <w:pPr>
        <w:spacing w:after="80"/>
        <w:rPr>
          <w:rFonts w:asciiTheme="majorHAnsi" w:hAnsiTheme="majorHAnsi" w:cstheme="majorHAnsi"/>
        </w:rPr>
      </w:pPr>
      <w:r w:rsidRPr="005572D0">
        <w:t xml:space="preserve">The </w:t>
      </w:r>
      <w:r>
        <w:t>project</w:t>
      </w:r>
      <w:r w:rsidRPr="005572D0">
        <w:t xml:space="preserve"> </w:t>
      </w:r>
      <w:r>
        <w:t>expands upon an</w:t>
      </w:r>
      <w:r w:rsidRPr="005572D0">
        <w:t xml:space="preserve"> original idea submitted by </w:t>
      </w:r>
      <w:r w:rsidR="006E3A29">
        <w:t>Productivity Bootcamp</w:t>
      </w:r>
      <w:r w:rsidRPr="005572D0">
        <w:t xml:space="preserve">. </w:t>
      </w:r>
      <w:r w:rsidR="00753C6D" w:rsidRPr="005572D0">
        <w:t>The project was co-developed from</w:t>
      </w:r>
      <w:r>
        <w:t xml:space="preserve"> this idea</w:t>
      </w:r>
      <w:r w:rsidR="00753C6D" w:rsidRPr="005572D0">
        <w:t xml:space="preserve"> by </w:t>
      </w:r>
      <w:r w:rsidR="00063A4B" w:rsidRPr="005F4563">
        <w:t xml:space="preserve">a group of stakeholders, including the </w:t>
      </w:r>
      <w:r w:rsidR="00664B9E" w:rsidRPr="005F4563">
        <w:t>idea proponent</w:t>
      </w:r>
      <w:r w:rsidR="00753C6D" w:rsidRPr="005F4563">
        <w:t xml:space="preserve"> </w:t>
      </w:r>
      <w:r w:rsidR="00063A4B" w:rsidRPr="005F4563">
        <w:t xml:space="preserve">and </w:t>
      </w:r>
      <w:r w:rsidR="00664B9E" w:rsidRPr="005F4563">
        <w:t xml:space="preserve">other </w:t>
      </w:r>
      <w:r w:rsidR="00753C6D" w:rsidRPr="005F4563">
        <w:t>selected participants</w:t>
      </w:r>
      <w:r w:rsidR="001F6D03" w:rsidRPr="005F4563">
        <w:t>,</w:t>
      </w:r>
      <w:r w:rsidR="00664B9E" w:rsidRPr="005F4563">
        <w:t xml:space="preserve"> including end users</w:t>
      </w:r>
      <w:r w:rsidR="00753C6D" w:rsidRPr="005F4563">
        <w:t>.</w:t>
      </w:r>
      <w:r w:rsidR="00753C6D" w:rsidRPr="001F6D03">
        <w:t xml:space="preserve"> As </w:t>
      </w:r>
      <w:r w:rsidR="00753C6D" w:rsidRPr="005572D0">
        <w:t xml:space="preserve">such, </w:t>
      </w:r>
      <w:r w:rsidR="00753C6D">
        <w:t>they</w:t>
      </w:r>
      <w:r w:rsidR="00753C6D" w:rsidRPr="005572D0">
        <w:t xml:space="preserve"> have intricate knowledge of the project and how best to implement it.</w:t>
      </w:r>
      <w:r w:rsidR="00753C6D">
        <w:t xml:space="preserve"> </w:t>
      </w:r>
    </w:p>
    <w:p w14:paraId="46957174" w14:textId="77777777" w:rsidR="003D20E7" w:rsidRDefault="003D20E7" w:rsidP="00B97891">
      <w:pPr>
        <w:pStyle w:val="Heading2inusebytemplate"/>
      </w:pPr>
      <w:bookmarkStart w:id="54" w:name="_Toc497819766"/>
      <w:r>
        <w:t>Grant s</w:t>
      </w:r>
      <w:r w:rsidRPr="00B72EE8">
        <w:t xml:space="preserve">election </w:t>
      </w:r>
      <w:r>
        <w:t>p</w:t>
      </w:r>
      <w:r w:rsidRPr="00B72EE8">
        <w:t>rocess</w:t>
      </w:r>
      <w:bookmarkEnd w:id="54"/>
    </w:p>
    <w:p w14:paraId="6E2E5231" w14:textId="77777777" w:rsidR="003D20E7" w:rsidRPr="000C2AE0"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5F4563">
        <w:rPr>
          <w:rFonts w:cstheme="minorHAnsi"/>
        </w:rPr>
        <w:t>through a restricted non-competitive</w:t>
      </w:r>
      <w:r w:rsidR="003D20E7" w:rsidRPr="000C2AE0">
        <w:rPr>
          <w:rFonts w:cstheme="minorHAnsi"/>
        </w:rPr>
        <w:t xml:space="preserve"> grant process.</w:t>
      </w:r>
    </w:p>
    <w:p w14:paraId="021426F4"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5A270993" w14:textId="77777777"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26A72951" w14:textId="77777777"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lastRenderedPageBreak/>
        <w:t>whether it provides value for money.</w:t>
      </w:r>
    </w:p>
    <w:p w14:paraId="75E8DBE5"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0148C75F" w14:textId="77777777" w:rsidR="00340616" w:rsidRDefault="00340616" w:rsidP="00A632E3">
      <w:pPr>
        <w:pStyle w:val="Heading1Numbered"/>
      </w:pPr>
      <w:bookmarkStart w:id="55" w:name="_Ref421697890"/>
      <w:bookmarkStart w:id="56" w:name="_Ref421697892"/>
      <w:bookmarkStart w:id="57" w:name="_Toc421777600"/>
      <w:bookmarkStart w:id="58" w:name="_Toc467773964"/>
      <w:bookmarkStart w:id="59" w:name="_Toc497819767"/>
      <w:bookmarkEnd w:id="51"/>
      <w:bookmarkEnd w:id="52"/>
      <w:r>
        <w:t>The a</w:t>
      </w:r>
      <w:r w:rsidRPr="00B72EE8">
        <w:t xml:space="preserve">ssessment </w:t>
      </w:r>
      <w:r>
        <w:t>c</w:t>
      </w:r>
      <w:r w:rsidRPr="00B72EE8">
        <w:t>riteria</w:t>
      </w:r>
      <w:bookmarkEnd w:id="55"/>
      <w:bookmarkEnd w:id="56"/>
      <w:bookmarkEnd w:id="57"/>
      <w:bookmarkEnd w:id="58"/>
      <w:bookmarkEnd w:id="59"/>
    </w:p>
    <w:p w14:paraId="60153FA2"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2A370591"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1BDD5735"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15674354" w14:textId="36703C9A" w:rsidR="0001148F" w:rsidRPr="00522B4D" w:rsidRDefault="0001148F" w:rsidP="00404ACE">
      <w:pPr>
        <w:numPr>
          <w:ilvl w:val="0"/>
          <w:numId w:val="27"/>
        </w:numPr>
        <w:rPr>
          <w:rFonts w:asciiTheme="majorHAnsi" w:hAnsiTheme="majorHAnsi" w:cstheme="majorHAnsi"/>
          <w:b/>
        </w:rPr>
      </w:pPr>
      <w:r w:rsidRPr="00522B4D">
        <w:rPr>
          <w:rFonts w:asciiTheme="majorHAnsi" w:hAnsiTheme="majorHAnsi" w:cstheme="majorHAnsi"/>
          <w:b/>
        </w:rPr>
        <w:t xml:space="preserve">Demonstrate your organisation’s </w:t>
      </w:r>
      <w:r w:rsidRPr="00522B4D">
        <w:rPr>
          <w:rFonts w:asciiTheme="majorHAnsi" w:hAnsiTheme="majorHAnsi" w:cstheme="majorHAnsi"/>
          <w:b/>
          <w:bCs/>
        </w:rPr>
        <w:t>experience, capability and capacity</w:t>
      </w:r>
      <w:r w:rsidRPr="00522B4D">
        <w:rPr>
          <w:rFonts w:asciiTheme="majorHAnsi" w:hAnsiTheme="majorHAnsi" w:cstheme="majorHAnsi"/>
          <w:b/>
        </w:rPr>
        <w:t xml:space="preserve"> to manage and deliver services for the young </w:t>
      </w:r>
      <w:r w:rsidR="006E3A29" w:rsidRPr="00522B4D">
        <w:rPr>
          <w:rFonts w:asciiTheme="majorHAnsi" w:hAnsiTheme="majorHAnsi" w:cstheme="majorHAnsi"/>
          <w:b/>
        </w:rPr>
        <w:t xml:space="preserve">students </w:t>
      </w:r>
      <w:r w:rsidRPr="00522B4D">
        <w:rPr>
          <w:rFonts w:asciiTheme="majorHAnsi" w:hAnsiTheme="majorHAnsi" w:cstheme="majorHAnsi"/>
          <w:b/>
        </w:rPr>
        <w:t>target group in the trial location</w:t>
      </w:r>
      <w:r w:rsidR="00FB59C1" w:rsidRPr="00522B4D">
        <w:rPr>
          <w:rFonts w:asciiTheme="majorHAnsi" w:hAnsiTheme="majorHAnsi" w:cstheme="majorHAnsi"/>
          <w:b/>
        </w:rPr>
        <w:t>s</w:t>
      </w:r>
      <w:r w:rsidRPr="00522B4D">
        <w:rPr>
          <w:rFonts w:asciiTheme="majorHAnsi" w:hAnsiTheme="majorHAnsi" w:cstheme="majorHAnsi"/>
          <w:b/>
        </w:rPr>
        <w:t>.</w:t>
      </w:r>
    </w:p>
    <w:p w14:paraId="358EB466" w14:textId="77777777" w:rsidR="0001148F" w:rsidRPr="005F4563" w:rsidRDefault="0001148F" w:rsidP="0001148F">
      <w:pPr>
        <w:ind w:left="720"/>
        <w:rPr>
          <w:rFonts w:asciiTheme="majorHAnsi" w:hAnsiTheme="majorHAnsi" w:cstheme="majorHAnsi"/>
        </w:rPr>
      </w:pPr>
      <w:r w:rsidRPr="005F4563">
        <w:rPr>
          <w:rFonts w:asciiTheme="majorHAnsi" w:hAnsiTheme="majorHAnsi" w:cstheme="majorHAnsi"/>
        </w:rPr>
        <w:t xml:space="preserve">Your response </w:t>
      </w:r>
      <w:r w:rsidRPr="005F4563">
        <w:rPr>
          <w:rFonts w:asciiTheme="majorHAnsi" w:hAnsiTheme="majorHAnsi" w:cstheme="majorHAnsi"/>
          <w:bCs/>
        </w:rPr>
        <w:t>should</w:t>
      </w:r>
      <w:r w:rsidRPr="005F4563">
        <w:rPr>
          <w:rFonts w:asciiTheme="majorHAnsi" w:hAnsiTheme="majorHAnsi" w:cstheme="majorHAnsi"/>
        </w:rPr>
        <w:t>:</w:t>
      </w:r>
    </w:p>
    <w:p w14:paraId="3EAB8073" w14:textId="2BDC79AA" w:rsidR="0001148F" w:rsidRPr="005F4563" w:rsidRDefault="0001148F" w:rsidP="00404ACE">
      <w:pPr>
        <w:numPr>
          <w:ilvl w:val="0"/>
          <w:numId w:val="26"/>
        </w:numPr>
        <w:ind w:left="1440"/>
        <w:rPr>
          <w:rFonts w:asciiTheme="majorHAnsi" w:hAnsiTheme="majorHAnsi" w:cstheme="majorHAnsi"/>
        </w:rPr>
      </w:pPr>
      <w:r w:rsidRPr="005F4563">
        <w:rPr>
          <w:rFonts w:asciiTheme="majorHAnsi" w:hAnsiTheme="majorHAnsi" w:cstheme="majorHAnsi"/>
        </w:rPr>
        <w:t xml:space="preserve">demonstrate your organisation’s ability to effectively develop, implement, manage and monitor grant activities to achieve positive outcomes for the young </w:t>
      </w:r>
      <w:r w:rsidR="006E3A29" w:rsidRPr="005F4563">
        <w:rPr>
          <w:rFonts w:asciiTheme="majorHAnsi" w:hAnsiTheme="majorHAnsi" w:cstheme="majorHAnsi"/>
        </w:rPr>
        <w:t xml:space="preserve">students </w:t>
      </w:r>
      <w:r w:rsidRPr="005F4563">
        <w:rPr>
          <w:rFonts w:asciiTheme="majorHAnsi" w:hAnsiTheme="majorHAnsi" w:cstheme="majorHAnsi"/>
        </w:rPr>
        <w:t>target group in the trial location</w:t>
      </w:r>
    </w:p>
    <w:p w14:paraId="546B9BFC" w14:textId="24CF0763" w:rsidR="0001148F" w:rsidRPr="0001148F" w:rsidRDefault="0001148F" w:rsidP="00404ACE">
      <w:pPr>
        <w:numPr>
          <w:ilvl w:val="0"/>
          <w:numId w:val="26"/>
        </w:numPr>
        <w:ind w:left="1440"/>
        <w:rPr>
          <w:rFonts w:asciiTheme="majorHAnsi" w:hAnsiTheme="majorHAnsi" w:cstheme="majorHAnsi"/>
        </w:rPr>
      </w:pPr>
      <w:r w:rsidRPr="005F4563">
        <w:rPr>
          <w:rFonts w:asciiTheme="majorHAnsi" w:hAnsiTheme="majorHAnsi" w:cstheme="majorHAnsi"/>
        </w:rPr>
        <w:t xml:space="preserve">demonstrate your organisation’s ability to establish effective links with relevant partners and stakeholders to achieve outcomes for the young </w:t>
      </w:r>
      <w:r w:rsidR="006E3A29">
        <w:rPr>
          <w:rFonts w:asciiTheme="majorHAnsi" w:hAnsiTheme="majorHAnsi" w:cstheme="majorHAnsi"/>
        </w:rPr>
        <w:t xml:space="preserve">students </w:t>
      </w:r>
      <w:r>
        <w:rPr>
          <w:rFonts w:asciiTheme="majorHAnsi" w:hAnsiTheme="majorHAnsi" w:cstheme="majorHAnsi"/>
        </w:rPr>
        <w:t>target group</w:t>
      </w:r>
      <w:r w:rsidRPr="00484CAF">
        <w:rPr>
          <w:rFonts w:asciiTheme="majorHAnsi" w:hAnsiTheme="majorHAnsi" w:cstheme="majorHAnsi"/>
        </w:rPr>
        <w:t>.</w:t>
      </w:r>
    </w:p>
    <w:p w14:paraId="3F4BF514" w14:textId="77777777" w:rsidR="00F123CA" w:rsidRPr="00522B4D" w:rsidRDefault="00F123CA" w:rsidP="00404ACE">
      <w:pPr>
        <w:numPr>
          <w:ilvl w:val="0"/>
          <w:numId w:val="27"/>
        </w:numPr>
        <w:rPr>
          <w:rFonts w:asciiTheme="majorHAnsi" w:hAnsiTheme="majorHAnsi" w:cstheme="majorHAnsi"/>
          <w:b/>
        </w:rPr>
      </w:pPr>
      <w:r w:rsidRPr="00522B4D">
        <w:rPr>
          <w:rFonts w:asciiTheme="majorHAnsi" w:hAnsiTheme="majorHAnsi" w:cstheme="majorHAnsi"/>
          <w:b/>
        </w:rPr>
        <w:t xml:space="preserve">Demonstrate your organisation’s </w:t>
      </w:r>
      <w:r w:rsidRPr="00522B4D">
        <w:rPr>
          <w:rFonts w:asciiTheme="majorHAnsi" w:hAnsiTheme="majorHAnsi" w:cstheme="majorHAnsi"/>
          <w:b/>
          <w:bCs/>
        </w:rPr>
        <w:t>experience, capability and capacity</w:t>
      </w:r>
      <w:r w:rsidRPr="00522B4D">
        <w:rPr>
          <w:rFonts w:asciiTheme="majorHAnsi" w:hAnsiTheme="majorHAnsi" w:cstheme="majorHAnsi"/>
          <w:b/>
        </w:rPr>
        <w:t xml:space="preserve"> to implement and deliver the project and achieve </w:t>
      </w:r>
      <w:r w:rsidR="0001148F" w:rsidRPr="00522B4D">
        <w:rPr>
          <w:rFonts w:asciiTheme="majorHAnsi" w:hAnsiTheme="majorHAnsi" w:cstheme="majorHAnsi"/>
          <w:b/>
        </w:rPr>
        <w:t>its</w:t>
      </w:r>
      <w:r w:rsidRPr="00522B4D">
        <w:rPr>
          <w:rFonts w:asciiTheme="majorHAnsi" w:hAnsiTheme="majorHAnsi" w:cstheme="majorHAnsi"/>
          <w:b/>
        </w:rPr>
        <w:t xml:space="preserve"> objectives. </w:t>
      </w:r>
    </w:p>
    <w:p w14:paraId="6005D4A2"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5ABB38EB" w14:textId="77777777"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5B83890E" w14:textId="77777777"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602DB753" w14:textId="77777777" w:rsidR="00340616" w:rsidRPr="00B72EE8" w:rsidRDefault="00340616" w:rsidP="00A632E3">
      <w:pPr>
        <w:pStyle w:val="Heading1Numbered"/>
      </w:pPr>
      <w:bookmarkStart w:id="60" w:name="_Toc421777611"/>
      <w:bookmarkStart w:id="61" w:name="_Toc467773965"/>
      <w:bookmarkStart w:id="62" w:name="_Toc497819768"/>
      <w:bookmarkStart w:id="63" w:name="_Toc421777601"/>
      <w:r>
        <w:lastRenderedPageBreak/>
        <w:t>The grant application p</w:t>
      </w:r>
      <w:r w:rsidRPr="00B72EE8">
        <w:t>rocess</w:t>
      </w:r>
      <w:bookmarkEnd w:id="60"/>
      <w:bookmarkEnd w:id="61"/>
      <w:bookmarkEnd w:id="62"/>
    </w:p>
    <w:p w14:paraId="54DED1CE" w14:textId="77777777" w:rsidR="00340616" w:rsidRDefault="00340616" w:rsidP="00B97891">
      <w:pPr>
        <w:pStyle w:val="Heading2inusebytemplate"/>
      </w:pPr>
      <w:bookmarkStart w:id="64" w:name="_Toc421777612"/>
      <w:bookmarkStart w:id="65" w:name="_Toc467773966"/>
      <w:bookmarkStart w:id="66" w:name="_Toc497819769"/>
      <w:r w:rsidRPr="009D325B">
        <w:t>Overview of application process</w:t>
      </w:r>
      <w:bookmarkEnd w:id="64"/>
      <w:bookmarkEnd w:id="65"/>
      <w:bookmarkEnd w:id="66"/>
    </w:p>
    <w:p w14:paraId="03239FD6"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08B7799C"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01C1173E"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67A54728"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4AA7A978" w14:textId="77777777" w:rsidR="00340616" w:rsidRPr="00B72EE8" w:rsidRDefault="00340616" w:rsidP="00B97891">
      <w:pPr>
        <w:pStyle w:val="Heading2inusebytemplate"/>
      </w:pPr>
      <w:bookmarkStart w:id="67" w:name="_Toc467773967"/>
      <w:bookmarkStart w:id="68" w:name="_Toc497819770"/>
      <w:bookmarkStart w:id="69" w:name="_Toc421777613"/>
      <w:bookmarkStart w:id="70" w:name="_Ref421787098"/>
      <w:bookmarkStart w:id="71" w:name="_Ref422127559"/>
      <w:bookmarkStart w:id="72" w:name="_Ref422128505"/>
      <w:r>
        <w:t>Application p</w:t>
      </w:r>
      <w:r w:rsidRPr="00B72EE8">
        <w:t xml:space="preserve">rocess </w:t>
      </w:r>
      <w:r>
        <w:t>t</w:t>
      </w:r>
      <w:r w:rsidRPr="00B72EE8">
        <w:t>iming</w:t>
      </w:r>
      <w:bookmarkEnd w:id="67"/>
      <w:bookmarkEnd w:id="68"/>
      <w:r w:rsidRPr="00B72EE8">
        <w:t xml:space="preserve"> </w:t>
      </w:r>
      <w:bookmarkEnd w:id="69"/>
      <w:bookmarkEnd w:id="70"/>
      <w:bookmarkEnd w:id="71"/>
      <w:bookmarkEnd w:id="72"/>
    </w:p>
    <w:p w14:paraId="589CDF58" w14:textId="77B3C63A" w:rsidR="00111F43" w:rsidRPr="00522B4D" w:rsidRDefault="00F31958" w:rsidP="00522B4D">
      <w:pPr>
        <w:spacing w:before="200"/>
        <w:rPr>
          <w:rStyle w:val="Hyperlink"/>
          <w:rFonts w:asciiTheme="majorHAnsi" w:eastAsiaTheme="majorEastAsia" w:hAnsiTheme="majorHAnsi" w:cstheme="majorHAnsi"/>
        </w:rPr>
      </w:pPr>
      <w:r w:rsidRPr="00522B4D">
        <w:rPr>
          <w:rStyle w:val="Hyperlink"/>
          <w:rFonts w:asciiTheme="majorHAnsi" w:eastAsiaTheme="majorEastAsia" w:hAnsiTheme="majorHAnsi" w:cstheme="majorHAnsi"/>
        </w:rPr>
        <w:t>Submit your applicati</w:t>
      </w:r>
      <w:r w:rsidR="001D69EC">
        <w:rPr>
          <w:rStyle w:val="Hyperlink"/>
          <w:rFonts w:asciiTheme="majorHAnsi" w:eastAsiaTheme="majorEastAsia" w:hAnsiTheme="majorHAnsi" w:cstheme="majorHAnsi"/>
        </w:rPr>
        <w:t>on by the closing time and date</w:t>
      </w:r>
      <w:r w:rsidRPr="00522B4D">
        <w:rPr>
          <w:rStyle w:val="Hyperlink"/>
          <w:rFonts w:asciiTheme="majorHAnsi" w:eastAsiaTheme="majorEastAsia" w:hAnsiTheme="majorHAnsi" w:cstheme="majorHAnsi"/>
        </w:rPr>
        <w:t xml:space="preserve">. </w:t>
      </w:r>
    </w:p>
    <w:p w14:paraId="1D1D45AD" w14:textId="77777777" w:rsidR="00F31958" w:rsidRPr="00484CAF" w:rsidRDefault="00F31958" w:rsidP="00522B4D">
      <w:pPr>
        <w:spacing w:before="200"/>
        <w:rPr>
          <w:rFonts w:asciiTheme="majorHAnsi" w:hAnsiTheme="majorHAnsi" w:cstheme="majorHAnsi"/>
        </w:rPr>
      </w:pPr>
      <w:r w:rsidRPr="00522B4D">
        <w:rPr>
          <w:rStyle w:val="Hyperlink"/>
          <w:rFonts w:asciiTheme="majorHAnsi" w:eastAsiaTheme="majorEastAsia" w:hAnsiTheme="majorHAnsi" w:cstheme="majorHAnsi"/>
        </w:rPr>
        <w:t>If</w:t>
      </w:r>
      <w:r w:rsidRPr="00484CAF">
        <w:rPr>
          <w:rFonts w:asciiTheme="majorHAnsi" w:hAnsiTheme="majorHAnsi" w:cstheme="majorHAnsi"/>
        </w:rPr>
        <w:t xml:space="preserve"> an application is late or the Hub is requested to approve a lodgement after the closing date, the Hub may determine that there were exceptional circumstances beyond the applicant’s control resulting in an inability to meet the stipulated deadline.  Examples of exceptional circumstances could include, but may not be limited to:</w:t>
      </w:r>
    </w:p>
    <w:p w14:paraId="0706B29A" w14:textId="77777777" w:rsidR="00F31958" w:rsidRPr="00484CAF" w:rsidRDefault="00F31958" w:rsidP="00522B4D">
      <w:pPr>
        <w:pStyle w:val="ListParagraph"/>
        <w:numPr>
          <w:ilvl w:val="0"/>
          <w:numId w:val="23"/>
        </w:numPr>
        <w:spacing w:after="0"/>
        <w:ind w:left="714" w:hanging="357"/>
        <w:rPr>
          <w:rFonts w:asciiTheme="majorHAnsi" w:hAnsiTheme="majorHAnsi" w:cstheme="majorHAnsi"/>
        </w:rPr>
      </w:pPr>
      <w:r w:rsidRPr="00484CAF">
        <w:rPr>
          <w:rFonts w:asciiTheme="majorHAnsi" w:hAnsiTheme="majorHAnsi" w:cstheme="majorHAnsi"/>
        </w:rPr>
        <w:t>Community Grants Hub infrastructure failures</w:t>
      </w:r>
    </w:p>
    <w:p w14:paraId="26FE6CA1" w14:textId="77777777" w:rsidR="00F31958" w:rsidRPr="00484CAF" w:rsidRDefault="00F31958" w:rsidP="00522B4D">
      <w:pPr>
        <w:pStyle w:val="ListParagraph"/>
        <w:numPr>
          <w:ilvl w:val="0"/>
          <w:numId w:val="23"/>
        </w:numPr>
        <w:spacing w:after="0"/>
        <w:ind w:left="714" w:hanging="357"/>
        <w:rPr>
          <w:rFonts w:asciiTheme="majorHAnsi" w:hAnsiTheme="majorHAnsi" w:cstheme="majorHAnsi"/>
        </w:rPr>
      </w:pPr>
      <w:r w:rsidRPr="00484CAF">
        <w:rPr>
          <w:rFonts w:asciiTheme="majorHAnsi" w:hAnsiTheme="majorHAnsi" w:cstheme="majorHAnsi"/>
        </w:rPr>
        <w:t>natural disasters</w:t>
      </w:r>
    </w:p>
    <w:p w14:paraId="099A1630" w14:textId="77777777" w:rsidR="00F31958" w:rsidRPr="00484CAF" w:rsidRDefault="00F31958" w:rsidP="00522B4D">
      <w:pPr>
        <w:pStyle w:val="ListParagraph"/>
        <w:numPr>
          <w:ilvl w:val="0"/>
          <w:numId w:val="23"/>
        </w:numPr>
        <w:spacing w:after="0"/>
        <w:ind w:left="714" w:hanging="357"/>
        <w:rPr>
          <w:rFonts w:asciiTheme="majorHAnsi" w:hAnsiTheme="majorHAnsi" w:cstheme="majorHAnsi"/>
        </w:rPr>
      </w:pPr>
      <w:r w:rsidRPr="00484CAF">
        <w:rPr>
          <w:rFonts w:asciiTheme="majorHAnsi" w:hAnsiTheme="majorHAnsi" w:cstheme="majorHAnsi"/>
        </w:rPr>
        <w:t>power outages affecting the ability of the applicant to submit their application by the deadline</w:t>
      </w:r>
    </w:p>
    <w:p w14:paraId="7751DDAA" w14:textId="77777777" w:rsidR="00F31958" w:rsidRPr="00484CAF" w:rsidRDefault="00F31958" w:rsidP="00522B4D">
      <w:pPr>
        <w:pStyle w:val="ListParagraph"/>
        <w:numPr>
          <w:ilvl w:val="0"/>
          <w:numId w:val="23"/>
        </w:numPr>
        <w:spacing w:after="0"/>
        <w:ind w:left="714" w:hanging="357"/>
        <w:rPr>
          <w:rFonts w:asciiTheme="majorHAnsi" w:hAnsiTheme="majorHAnsi" w:cstheme="majorHAnsi"/>
        </w:rPr>
      </w:pPr>
      <w:r w:rsidRPr="00484CAF">
        <w:rPr>
          <w:rFonts w:asciiTheme="majorHAnsi" w:hAnsiTheme="majorHAnsi" w:cstheme="majorHAnsi"/>
        </w:rPr>
        <w:t>death or disability of key personnel.</w:t>
      </w:r>
    </w:p>
    <w:p w14:paraId="1AB1C5BC" w14:textId="77777777" w:rsidR="00F31958" w:rsidRPr="00484CAF" w:rsidRDefault="00F31958" w:rsidP="00F31958">
      <w:pPr>
        <w:spacing w:before="200"/>
        <w:rPr>
          <w:rFonts w:asciiTheme="majorHAnsi" w:hAnsiTheme="majorHAnsi" w:cstheme="majorHAnsi"/>
        </w:rPr>
      </w:pPr>
      <w:r w:rsidRPr="00484CAF">
        <w:rPr>
          <w:rFonts w:asciiTheme="majorHAnsi" w:hAnsiTheme="majorHAnsi" w:cstheme="majorHAnsi"/>
        </w:rPr>
        <w:t xml:space="preserve">Information on the Community Grants Hub’s </w:t>
      </w:r>
      <w:hyperlink r:id="rId17" w:tooltip="late application policy" w:history="1">
        <w:r w:rsidRPr="00484CAF">
          <w:rPr>
            <w:rStyle w:val="Hyperlink"/>
            <w:rFonts w:asciiTheme="majorHAnsi" w:eastAsiaTheme="majorEastAsia" w:hAnsiTheme="majorHAnsi" w:cstheme="majorHAnsi"/>
          </w:rPr>
          <w:t>late application policy</w:t>
        </w:r>
      </w:hyperlink>
      <w:r w:rsidRPr="00484CAF">
        <w:rPr>
          <w:rFonts w:asciiTheme="majorHAnsi" w:hAnsiTheme="majorHAnsi" w:cstheme="majorHAnsi"/>
        </w:rPr>
        <w:t xml:space="preserve"> is available on the </w:t>
      </w:r>
      <w:hyperlink r:id="rId18" w:tooltip="late application policy" w:history="1">
        <w:r w:rsidRPr="00484CAF">
          <w:rPr>
            <w:rStyle w:val="Hyperlink"/>
            <w:rFonts w:asciiTheme="majorHAnsi" w:eastAsiaTheme="majorEastAsia" w:hAnsiTheme="majorHAnsi" w:cstheme="majorHAnsi"/>
          </w:rPr>
          <w:t>Community Grants Hub</w:t>
        </w:r>
      </w:hyperlink>
      <w:r w:rsidRPr="00484CAF">
        <w:rPr>
          <w:rFonts w:asciiTheme="majorHAnsi" w:hAnsiTheme="majorHAnsi" w:cstheme="majorHAnsi"/>
        </w:rPr>
        <w:t xml:space="preserve"> website.</w:t>
      </w:r>
    </w:p>
    <w:p w14:paraId="30FB8441" w14:textId="31D6F70A" w:rsidR="00340616" w:rsidRPr="00484CAF" w:rsidRDefault="006E6659"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533C2B">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3C0D8BFA" w14:textId="77777777" w:rsidR="0054078D" w:rsidRPr="00484CAF" w:rsidRDefault="0054078D" w:rsidP="0054078D">
      <w:pPr>
        <w:pStyle w:val="Caption"/>
        <w:keepNext/>
        <w:rPr>
          <w:rFonts w:asciiTheme="majorHAnsi" w:hAnsiTheme="majorHAnsi" w:cstheme="majorHAnsi"/>
          <w:szCs w:val="22"/>
        </w:rPr>
      </w:pPr>
      <w:bookmarkStart w:id="73" w:name="_Toc467773968"/>
      <w:r w:rsidRPr="00484CAF">
        <w:rPr>
          <w:rFonts w:asciiTheme="majorHAnsi" w:hAnsiTheme="majorHAnsi" w:cstheme="majorHAnsi"/>
          <w:bCs/>
          <w:iCs w:val="0"/>
          <w:szCs w:val="22"/>
        </w:rPr>
        <w:t>Table 1: Expected timing for this grant opportunity</w:t>
      </w:r>
      <w:bookmarkEnd w:id="73"/>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0F15C64A" w14:textId="77777777" w:rsidTr="007A44C8">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6EBFD1E8"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4FE49430"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4B4927A8" w14:textId="77777777" w:rsidTr="00660E8D">
        <w:trPr>
          <w:trHeight w:val="647"/>
        </w:trPr>
        <w:tc>
          <w:tcPr>
            <w:tcW w:w="4644" w:type="dxa"/>
          </w:tcPr>
          <w:p w14:paraId="5164B7FC" w14:textId="77777777" w:rsidR="00800730" w:rsidRPr="005F4563" w:rsidRDefault="00800730" w:rsidP="00C35619">
            <w:pPr>
              <w:pStyle w:val="TableText"/>
              <w:rPr>
                <w:rFonts w:ascii="Arial" w:hAnsi="Arial" w:cs="Arial"/>
                <w:sz w:val="22"/>
              </w:rPr>
            </w:pPr>
            <w:r w:rsidRPr="005F4563">
              <w:rPr>
                <w:rFonts w:ascii="Arial" w:hAnsi="Arial" w:cs="Arial"/>
                <w:sz w:val="22"/>
              </w:rPr>
              <w:t xml:space="preserve">Application period </w:t>
            </w:r>
          </w:p>
        </w:tc>
        <w:tc>
          <w:tcPr>
            <w:tcW w:w="4678" w:type="dxa"/>
          </w:tcPr>
          <w:p w14:paraId="1FF313BE" w14:textId="77777777" w:rsidR="00800730" w:rsidRPr="005F4563" w:rsidRDefault="0001148F" w:rsidP="00660E8D">
            <w:pPr>
              <w:pStyle w:val="TableText"/>
              <w:ind w:right="2127"/>
              <w:rPr>
                <w:rFonts w:ascii="Arial" w:hAnsi="Arial" w:cs="Arial"/>
                <w:sz w:val="22"/>
              </w:rPr>
            </w:pPr>
            <w:r w:rsidRPr="005F4563">
              <w:rPr>
                <w:rFonts w:ascii="Arial" w:hAnsi="Arial" w:cs="Arial"/>
                <w:sz w:val="22"/>
              </w:rPr>
              <w:t xml:space="preserve">1 </w:t>
            </w:r>
            <w:r w:rsidR="00800730" w:rsidRPr="005F4563">
              <w:rPr>
                <w:rFonts w:ascii="Arial" w:hAnsi="Arial" w:cs="Arial"/>
                <w:sz w:val="22"/>
              </w:rPr>
              <w:t>week</w:t>
            </w:r>
          </w:p>
        </w:tc>
      </w:tr>
      <w:tr w:rsidR="00800730" w:rsidRPr="0048191F" w14:paraId="6F86E3A4" w14:textId="77777777" w:rsidTr="00660E8D">
        <w:trPr>
          <w:trHeight w:val="1226"/>
        </w:trPr>
        <w:tc>
          <w:tcPr>
            <w:tcW w:w="4644" w:type="dxa"/>
          </w:tcPr>
          <w:p w14:paraId="50832462" w14:textId="3B1DBB07" w:rsidR="00800730" w:rsidRPr="0048191F" w:rsidRDefault="00800730" w:rsidP="00C35619">
            <w:pPr>
              <w:pStyle w:val="TableText"/>
              <w:rPr>
                <w:rFonts w:ascii="Arial" w:hAnsi="Arial" w:cs="Arial"/>
                <w:sz w:val="22"/>
              </w:rPr>
            </w:pPr>
            <w:r w:rsidRPr="0048191F">
              <w:rPr>
                <w:rFonts w:ascii="Arial" w:hAnsi="Arial" w:cs="Arial"/>
                <w:sz w:val="22"/>
              </w:rPr>
              <w:t>Assessment of application</w:t>
            </w:r>
          </w:p>
        </w:tc>
        <w:tc>
          <w:tcPr>
            <w:tcW w:w="4678" w:type="dxa"/>
          </w:tcPr>
          <w:p w14:paraId="5217A0F6" w14:textId="33CA5154" w:rsidR="00800730" w:rsidRPr="0048191F" w:rsidRDefault="00800730" w:rsidP="000B45D5">
            <w:pPr>
              <w:pStyle w:val="TableText"/>
              <w:rPr>
                <w:rFonts w:ascii="Arial" w:hAnsi="Arial" w:cs="Arial"/>
                <w:sz w:val="22"/>
              </w:rPr>
            </w:pPr>
            <w:r w:rsidRPr="0048191F">
              <w:rPr>
                <w:rFonts w:ascii="Arial" w:hAnsi="Arial" w:cs="Arial"/>
                <w:sz w:val="22"/>
              </w:rPr>
              <w:t xml:space="preserve">Timing will be dependent on the complexity of </w:t>
            </w:r>
            <w:r w:rsidR="00D60DC9">
              <w:rPr>
                <w:rFonts w:ascii="Arial" w:hAnsi="Arial" w:cs="Arial"/>
                <w:sz w:val="22"/>
              </w:rPr>
              <w:t xml:space="preserve">the </w:t>
            </w:r>
            <w:r w:rsidRPr="0048191F">
              <w:rPr>
                <w:rFonts w:ascii="Arial" w:hAnsi="Arial" w:cs="Arial"/>
                <w:sz w:val="22"/>
              </w:rPr>
              <w:t xml:space="preserve">application and the capacity of the Community </w:t>
            </w:r>
            <w:r w:rsidR="000B45D5">
              <w:rPr>
                <w:rFonts w:ascii="Arial" w:hAnsi="Arial" w:cs="Arial"/>
                <w:sz w:val="22"/>
              </w:rPr>
              <w:t>Grants Hub</w:t>
            </w:r>
          </w:p>
        </w:tc>
      </w:tr>
      <w:tr w:rsidR="00800730" w:rsidRPr="0048191F" w14:paraId="5C1BD94B" w14:textId="77777777" w:rsidTr="00660E8D">
        <w:trPr>
          <w:trHeight w:val="1226"/>
        </w:trPr>
        <w:tc>
          <w:tcPr>
            <w:tcW w:w="4644" w:type="dxa"/>
          </w:tcPr>
          <w:p w14:paraId="24D80876" w14:textId="08DC32D6" w:rsidR="00800730" w:rsidRPr="0048191F" w:rsidRDefault="00800730" w:rsidP="00C35619">
            <w:pPr>
              <w:pStyle w:val="TableText"/>
              <w:rPr>
                <w:rFonts w:ascii="Arial" w:hAnsi="Arial" w:cs="Arial"/>
                <w:sz w:val="22"/>
              </w:rPr>
            </w:pPr>
            <w:r w:rsidRPr="0048191F">
              <w:rPr>
                <w:rFonts w:ascii="Arial" w:hAnsi="Arial" w:cs="Arial"/>
                <w:sz w:val="22"/>
              </w:rPr>
              <w:lastRenderedPageBreak/>
              <w:t>Approval of outcome of selection process</w:t>
            </w:r>
          </w:p>
        </w:tc>
        <w:tc>
          <w:tcPr>
            <w:tcW w:w="4678" w:type="dxa"/>
          </w:tcPr>
          <w:p w14:paraId="0EC95057" w14:textId="320408C9" w:rsidR="00800730" w:rsidRPr="0048191F" w:rsidRDefault="00800730" w:rsidP="000B45D5">
            <w:pPr>
              <w:pStyle w:val="TableText"/>
              <w:rPr>
                <w:rFonts w:ascii="Arial" w:hAnsi="Arial" w:cs="Arial"/>
                <w:sz w:val="22"/>
              </w:rPr>
            </w:pPr>
            <w:r w:rsidRPr="0048191F">
              <w:rPr>
                <w:rFonts w:ascii="Arial" w:hAnsi="Arial" w:cs="Arial"/>
                <w:sz w:val="22"/>
              </w:rPr>
              <w:t xml:space="preserve">Timing will be dependent on the complexity of </w:t>
            </w:r>
            <w:r w:rsidR="00D60DC9">
              <w:rPr>
                <w:rFonts w:ascii="Arial" w:hAnsi="Arial" w:cs="Arial"/>
                <w:sz w:val="22"/>
              </w:rPr>
              <w:t xml:space="preserve">the </w:t>
            </w:r>
            <w:r w:rsidRPr="0048191F">
              <w:rPr>
                <w:rFonts w:ascii="Arial" w:hAnsi="Arial" w:cs="Arial"/>
                <w:sz w:val="22"/>
              </w:rPr>
              <w:t>application and the capacity of the Communit</w:t>
            </w:r>
            <w:r w:rsidR="000B45D5">
              <w:rPr>
                <w:rFonts w:ascii="Arial" w:hAnsi="Arial" w:cs="Arial"/>
                <w:sz w:val="22"/>
              </w:rPr>
              <w:t>y Grants Hub</w:t>
            </w:r>
          </w:p>
        </w:tc>
      </w:tr>
      <w:tr w:rsidR="00800730" w:rsidRPr="0048191F" w14:paraId="78D6B60F" w14:textId="77777777" w:rsidTr="00660E8D">
        <w:trPr>
          <w:trHeight w:val="704"/>
        </w:trPr>
        <w:tc>
          <w:tcPr>
            <w:tcW w:w="4644" w:type="dxa"/>
          </w:tcPr>
          <w:p w14:paraId="336BFB39" w14:textId="237E8084"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w:t>
            </w:r>
          </w:p>
        </w:tc>
        <w:tc>
          <w:tcPr>
            <w:tcW w:w="4678" w:type="dxa"/>
          </w:tcPr>
          <w:p w14:paraId="50917F8A" w14:textId="3AEEECD1" w:rsidR="00800730" w:rsidRPr="0048191F" w:rsidRDefault="00800730" w:rsidP="005F4563">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48191F" w14:paraId="67503836" w14:textId="77777777" w:rsidTr="00660E8D">
        <w:trPr>
          <w:trHeight w:val="704"/>
        </w:trPr>
        <w:tc>
          <w:tcPr>
            <w:tcW w:w="4644" w:type="dxa"/>
            <w:tcBorders>
              <w:bottom w:val="nil"/>
            </w:tcBorders>
          </w:tcPr>
          <w:p w14:paraId="601350FD" w14:textId="47150C70"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w:t>
            </w:r>
          </w:p>
        </w:tc>
        <w:tc>
          <w:tcPr>
            <w:tcW w:w="4678" w:type="dxa"/>
            <w:tcBorders>
              <w:bottom w:val="nil"/>
            </w:tcBorders>
          </w:tcPr>
          <w:p w14:paraId="6016D758" w14:textId="5F7B9C58" w:rsidR="00800730" w:rsidRPr="0048191F" w:rsidRDefault="00800730" w:rsidP="005F4563">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48191F" w14:paraId="30BDBD69"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0B896961" w14:textId="77777777" w:rsidR="00800730" w:rsidRPr="007F555F" w:rsidRDefault="00800730" w:rsidP="00C35619">
            <w:pPr>
              <w:pStyle w:val="TableText"/>
              <w:rPr>
                <w:rFonts w:ascii="Arial" w:hAnsi="Arial" w:cs="Arial"/>
                <w:b w:val="0"/>
                <w:sz w:val="22"/>
              </w:rPr>
            </w:pPr>
            <w:r w:rsidRPr="007F555F">
              <w:rPr>
                <w:rFonts w:ascii="Arial" w:hAnsi="Arial" w:cs="Arial"/>
                <w:b w:val="0"/>
                <w:sz w:val="22"/>
              </w:rPr>
              <w:t>Activity commences</w:t>
            </w:r>
          </w:p>
          <w:p w14:paraId="319C6816" w14:textId="77777777" w:rsidR="00800730" w:rsidRPr="0048191F" w:rsidRDefault="00800730" w:rsidP="00C35619">
            <w:pPr>
              <w:pStyle w:val="TableText"/>
              <w:rPr>
                <w:rFonts w:ascii="Arial" w:hAnsi="Arial" w:cs="Arial"/>
                <w:sz w:val="22"/>
              </w:rPr>
            </w:pPr>
            <w:r w:rsidRPr="007F555F">
              <w:rPr>
                <w:rFonts w:ascii="Arial" w:hAnsi="Arial" w:cs="Arial"/>
                <w:b w:val="0"/>
                <w:sz w:val="22"/>
              </w:rPr>
              <w:t>End Date</w:t>
            </w:r>
          </w:p>
        </w:tc>
        <w:tc>
          <w:tcPr>
            <w:tcW w:w="4678" w:type="dxa"/>
            <w:tcBorders>
              <w:top w:val="nil"/>
              <w:left w:val="nil"/>
              <w:bottom w:val="single" w:sz="4" w:space="0" w:color="auto"/>
              <w:right w:val="single" w:sz="4" w:space="0" w:color="auto"/>
            </w:tcBorders>
          </w:tcPr>
          <w:p w14:paraId="5851D029" w14:textId="77777777" w:rsidR="00800730" w:rsidRPr="003E6529" w:rsidRDefault="006E6659" w:rsidP="00C35619">
            <w:pPr>
              <w:pStyle w:val="TableText"/>
              <w:rPr>
                <w:rFonts w:ascii="Arial" w:hAnsi="Arial" w:cs="Arial"/>
                <w:b w:val="0"/>
                <w:sz w:val="22"/>
              </w:rPr>
            </w:pPr>
            <w:r w:rsidRPr="003E6529">
              <w:rPr>
                <w:rFonts w:ascii="Arial" w:hAnsi="Arial" w:cs="Arial"/>
                <w:b w:val="0"/>
                <w:sz w:val="22"/>
              </w:rPr>
              <w:t>On execution of the Grant Agreement</w:t>
            </w:r>
          </w:p>
          <w:p w14:paraId="55AB8943" w14:textId="0D8AFF47" w:rsidR="00800730" w:rsidRPr="0048191F" w:rsidRDefault="00800730" w:rsidP="00C35619">
            <w:pPr>
              <w:pStyle w:val="TableText"/>
              <w:rPr>
                <w:rFonts w:ascii="Arial" w:hAnsi="Arial" w:cs="Arial"/>
                <w:sz w:val="22"/>
              </w:rPr>
            </w:pPr>
            <w:r w:rsidRPr="003E6529">
              <w:rPr>
                <w:rFonts w:ascii="Arial" w:hAnsi="Arial" w:cs="Arial"/>
                <w:b w:val="0"/>
                <w:sz w:val="22"/>
              </w:rPr>
              <w:t>Subject to individual grant agreement</w:t>
            </w:r>
          </w:p>
        </w:tc>
      </w:tr>
    </w:tbl>
    <w:p w14:paraId="7A183876" w14:textId="77777777" w:rsidR="00340616" w:rsidRDefault="00340616" w:rsidP="00B97891">
      <w:pPr>
        <w:pStyle w:val="Heading2inusebytemplate"/>
      </w:pPr>
      <w:bookmarkStart w:id="74" w:name="_Toc421777614"/>
      <w:bookmarkStart w:id="75" w:name="_Toc433641169"/>
      <w:bookmarkStart w:id="76" w:name="_Toc467773969"/>
      <w:bookmarkStart w:id="77" w:name="_Toc497819771"/>
      <w:r>
        <w:t xml:space="preserve">Completing </w:t>
      </w:r>
      <w:r w:rsidRPr="0001148F">
        <w:t>the</w:t>
      </w:r>
      <w:r>
        <w:t xml:space="preserve"> grant a</w:t>
      </w:r>
      <w:r w:rsidRPr="00B72EE8">
        <w:t>pplication</w:t>
      </w:r>
      <w:bookmarkEnd w:id="74"/>
      <w:bookmarkEnd w:id="75"/>
      <w:bookmarkEnd w:id="76"/>
      <w:bookmarkEnd w:id="77"/>
    </w:p>
    <w:p w14:paraId="0E3B0679" w14:textId="2870116C"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9" w:history="1">
        <w:r w:rsidR="00031305" w:rsidRPr="00A92A2E">
          <w:rPr>
            <w:rStyle w:val="Hyperlink"/>
            <w:rFonts w:cstheme="minorBidi"/>
          </w:rPr>
          <w:t>GrantConnect</w:t>
        </w:r>
      </w:hyperlink>
      <w:r w:rsidR="00031305">
        <w:t xml:space="preserve"> and </w:t>
      </w:r>
      <w:hyperlink r:id="rId20"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by</w:t>
      </w:r>
      <w:r w:rsidR="00407A6D">
        <w:t xml:space="preserve"> the</w:t>
      </w:r>
      <w:r w:rsidR="00A92A2E">
        <w:t xml:space="preserve"> invitee </w:t>
      </w:r>
      <w:r w:rsidR="00031305">
        <w:t>for th</w:t>
      </w:r>
      <w:r w:rsidR="004E36E7">
        <w:t>is grant opportunity.</w:t>
      </w:r>
      <w:r w:rsidR="00031305">
        <w:t xml:space="preserve"> The </w:t>
      </w:r>
      <w:r w:rsidRPr="00103A95">
        <w:t xml:space="preserve">application form includes help information. </w:t>
      </w:r>
    </w:p>
    <w:p w14:paraId="09741053"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44A2F4C1" w14:textId="6EFDCE43" w:rsidR="00984B3C" w:rsidRPr="005D7390" w:rsidRDefault="00984B3C" w:rsidP="00984B3C">
      <w:r w:rsidRPr="004475DB">
        <w:t xml:space="preserve">The </w:t>
      </w:r>
      <w:r w:rsidRPr="005D7390">
        <w:t>Community Grants Hub will not provide</w:t>
      </w:r>
      <w:r w:rsidR="00407A6D">
        <w:t xml:space="preserve"> an</w:t>
      </w:r>
      <w:r w:rsidRPr="005D7390">
        <w:t xml:space="preserve"> application form or accept </w:t>
      </w:r>
      <w:r w:rsidR="000E0A75">
        <w:t xml:space="preserve">an </w:t>
      </w:r>
      <w:r w:rsidRPr="005D7390">
        <w:t xml:space="preserve">application for this grant opportunity by fax or mail. </w:t>
      </w:r>
    </w:p>
    <w:p w14:paraId="3A945739"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67E2E7A4" w14:textId="46706F0A" w:rsidR="00984B3C" w:rsidRPr="00E41F8D" w:rsidRDefault="00E41F8D" w:rsidP="00984B3C">
      <w:pPr>
        <w:rPr>
          <w:rFonts w:cstheme="minorHAnsi"/>
        </w:rPr>
      </w:pPr>
      <w:r w:rsidRPr="00DA6916">
        <w:rPr>
          <w:rFonts w:ascii="Arial" w:hAnsi="Arial" w:cstheme="minorHAnsi"/>
        </w:rPr>
        <w:t>If you find a mistake in you</w:t>
      </w:r>
      <w:r>
        <w:rPr>
          <w:rFonts w:cstheme="minorHAnsi"/>
        </w:rPr>
        <w:t xml:space="preserve">r application after it has been </w:t>
      </w:r>
      <w:r w:rsidRPr="00DA6916">
        <w:rPr>
          <w:rFonts w:ascii="Arial" w:hAnsi="Arial" w:cstheme="minorHAnsi"/>
        </w:rPr>
        <w:t>submitted, you should contact us straight away.  The Community Grants Hub may ask you for more</w:t>
      </w:r>
      <w:r w:rsidRPr="00DA6916" w:rsidDel="00D505A5">
        <w:rPr>
          <w:rFonts w:ascii="Arial" w:hAnsi="Arial" w:cstheme="minorHAnsi"/>
        </w:rPr>
        <w:t xml:space="preserve"> information</w:t>
      </w:r>
      <w:r w:rsidRPr="00DA6916">
        <w:rPr>
          <w:rFonts w:ascii="Arial" w:hAnsi="Arial" w:cstheme="minorHAnsi"/>
        </w:rPr>
        <w:t xml:space="preserve">, as long as it </w:t>
      </w:r>
      <w:r w:rsidRPr="00DA6916" w:rsidDel="00D505A5">
        <w:rPr>
          <w:rFonts w:ascii="Arial" w:hAnsi="Arial" w:cstheme="minorHAnsi"/>
        </w:rPr>
        <w:t>does not</w:t>
      </w:r>
      <w:r w:rsidRPr="00DA6916">
        <w:rPr>
          <w:rFonts w:ascii="Arial" w:hAnsi="Arial" w:cstheme="minorHAnsi"/>
        </w:rPr>
        <w:t xml:space="preserve"> change</w:t>
      </w:r>
      <w:r w:rsidRPr="00DA6916" w:rsidDel="00D505A5">
        <w:rPr>
          <w:rFonts w:ascii="Arial" w:hAnsi="Arial" w:cstheme="minorHAnsi"/>
        </w:rPr>
        <w:t xml:space="preserve"> the substance of </w:t>
      </w:r>
      <w:r w:rsidRPr="00DA6916">
        <w:rPr>
          <w:rFonts w:ascii="Arial" w:hAnsi="Arial" w:cstheme="minorHAnsi"/>
        </w:rPr>
        <w:t>your application</w:t>
      </w:r>
      <w:r w:rsidRPr="00DA6916" w:rsidDel="00D505A5">
        <w:rPr>
          <w:rFonts w:ascii="Arial" w:hAnsi="Arial" w:cstheme="minorHAnsi"/>
        </w:rPr>
        <w:t>.</w:t>
      </w:r>
      <w:r w:rsidRPr="00DA6916">
        <w:rPr>
          <w:rFonts w:ascii="Arial" w:hAnsi="Arial" w:cstheme="minorHAnsi"/>
        </w:rPr>
        <w:t xml:space="preserve"> The Community Grants Hub does not have to </w:t>
      </w:r>
      <w:r w:rsidRPr="00DA6916" w:rsidDel="00D505A5">
        <w:rPr>
          <w:rFonts w:ascii="Arial" w:hAnsi="Arial" w:cstheme="minorHAnsi"/>
        </w:rPr>
        <w:t>accept any additional information</w:t>
      </w:r>
      <w:r w:rsidRPr="00DA6916">
        <w:rPr>
          <w:rFonts w:ascii="Arial" w:hAnsi="Arial" w:cstheme="minorHAnsi"/>
        </w:rPr>
        <w:t>, nor requests from applicants to correct applications</w:t>
      </w:r>
      <w:r w:rsidRPr="00DA6916" w:rsidDel="00D505A5">
        <w:rPr>
          <w:rFonts w:ascii="Arial" w:hAnsi="Arial" w:cstheme="minorHAnsi"/>
        </w:rPr>
        <w:t xml:space="preserve"> after the closing time</w:t>
      </w:r>
      <w:r w:rsidRPr="00DA6916">
        <w:rPr>
          <w:rFonts w:cstheme="minorHAnsi"/>
        </w:rPr>
        <w:t>.</w:t>
      </w:r>
    </w:p>
    <w:p w14:paraId="06DD78CA" w14:textId="77777777" w:rsidR="00340616" w:rsidRDefault="00340616" w:rsidP="00B97891">
      <w:pPr>
        <w:pStyle w:val="Heading2inusebytemplate"/>
      </w:pPr>
      <w:bookmarkStart w:id="78" w:name="_Ref416443515"/>
      <w:bookmarkStart w:id="79" w:name="_Toc421777616"/>
      <w:bookmarkStart w:id="80" w:name="_Ref422125371"/>
      <w:bookmarkStart w:id="81" w:name="_Ref422125393"/>
      <w:bookmarkStart w:id="82" w:name="_Toc433641170"/>
      <w:bookmarkStart w:id="83" w:name="_Toc467773970"/>
      <w:bookmarkStart w:id="84" w:name="_Toc497819772"/>
      <w:r w:rsidRPr="00B72EE8">
        <w:t>Attachments</w:t>
      </w:r>
      <w:bookmarkEnd w:id="78"/>
      <w:r>
        <w:t xml:space="preserve"> to </w:t>
      </w:r>
      <w:r w:rsidRPr="0001148F">
        <w:t>the</w:t>
      </w:r>
      <w:r>
        <w:t xml:space="preserve"> a</w:t>
      </w:r>
      <w:r w:rsidRPr="00B72EE8">
        <w:t>pplication</w:t>
      </w:r>
      <w:bookmarkEnd w:id="79"/>
      <w:bookmarkEnd w:id="80"/>
      <w:bookmarkEnd w:id="81"/>
      <w:bookmarkEnd w:id="82"/>
      <w:bookmarkEnd w:id="83"/>
      <w:bookmarkEnd w:id="84"/>
    </w:p>
    <w:p w14:paraId="796F9AAC" w14:textId="559A6399"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w:t>
      </w:r>
      <w:r w:rsidR="000E0A75">
        <w:rPr>
          <w:rFonts w:asciiTheme="majorHAnsi" w:hAnsiTheme="majorHAnsi" w:cstheme="majorHAnsi"/>
        </w:rPr>
        <w:t>s</w:t>
      </w:r>
      <w:r w:rsidRPr="00484CAF">
        <w:rPr>
          <w:rFonts w:asciiTheme="majorHAnsi" w:hAnsiTheme="majorHAnsi" w:cstheme="majorHAnsi"/>
        </w:rPr>
        <w:t xml:space="preserve"> must be included with your application:</w:t>
      </w:r>
    </w:p>
    <w:p w14:paraId="498DA8A7" w14:textId="77777777" w:rsidR="000D55B4" w:rsidRDefault="005D7390"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5A8BE55C" w14:textId="14DD9E38" w:rsidR="005D7390" w:rsidRDefault="000D55B4"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most recent audited financial sta</w:t>
      </w:r>
      <w:r w:rsidR="00070FFC">
        <w:rPr>
          <w:rFonts w:asciiTheme="majorHAnsi" w:hAnsiTheme="majorHAnsi" w:cstheme="majorHAnsi"/>
        </w:rPr>
        <w:t>tements for two financial years</w:t>
      </w:r>
    </w:p>
    <w:p w14:paraId="150B9307" w14:textId="2F910742" w:rsidR="00070FFC" w:rsidRPr="00484CAF" w:rsidRDefault="001D69EC"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i</w:t>
      </w:r>
      <w:r w:rsidR="00070FFC" w:rsidRPr="00070FFC">
        <w:rPr>
          <w:rFonts w:asciiTheme="majorHAnsi" w:hAnsiTheme="majorHAnsi" w:cstheme="majorHAnsi"/>
        </w:rPr>
        <w:t>ntellectual property proposed special conditions on the provided template.</w:t>
      </w:r>
    </w:p>
    <w:p w14:paraId="43EADA55"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lastRenderedPageBreak/>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23C6B58A"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6288D674" w14:textId="77777777" w:rsidR="00340616" w:rsidRDefault="00340616" w:rsidP="003717CD">
      <w:pPr>
        <w:pStyle w:val="Heading2Numbered"/>
        <w:ind w:left="567"/>
      </w:pPr>
      <w:bookmarkStart w:id="85" w:name="_Toc384307739"/>
      <w:bookmarkStart w:id="86" w:name="_Toc384307810"/>
      <w:bookmarkStart w:id="87" w:name="_Toc389141038"/>
      <w:bookmarkStart w:id="88" w:name="_Toc433641171"/>
      <w:bookmarkStart w:id="89" w:name="_Toc467773972"/>
      <w:bookmarkStart w:id="90" w:name="_Toc497819773"/>
      <w:bookmarkStart w:id="91" w:name="_Toc421777609"/>
      <w:bookmarkEnd w:id="63"/>
      <w:r w:rsidRPr="00B72EE8">
        <w:t xml:space="preserve">Questions during the application </w:t>
      </w:r>
      <w:bookmarkEnd w:id="85"/>
      <w:bookmarkEnd w:id="86"/>
      <w:bookmarkEnd w:id="87"/>
      <w:bookmarkEnd w:id="88"/>
      <w:r>
        <w:t>process</w:t>
      </w:r>
      <w:bookmarkEnd w:id="89"/>
      <w:bookmarkEnd w:id="90"/>
    </w:p>
    <w:p w14:paraId="3697FF4D" w14:textId="15EBA1F8"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2" w:history="1">
        <w:r w:rsidRPr="004E1173">
          <w:rPr>
            <w:rStyle w:val="Hyperlink"/>
            <w:rFonts w:cstheme="minorBidi"/>
          </w:rPr>
          <w:t>support@communitygrants.gov.au</w:t>
        </w:r>
      </w:hyperlink>
      <w:r>
        <w:t xml:space="preserve">. </w:t>
      </w:r>
      <w:r w:rsidRPr="00103A95">
        <w:t xml:space="preserve"> </w:t>
      </w:r>
    </w:p>
    <w:p w14:paraId="0029FAAD" w14:textId="77777777" w:rsidR="00340616" w:rsidRDefault="00340616" w:rsidP="003717CD">
      <w:pPr>
        <w:pStyle w:val="Heading2Numbered"/>
        <w:ind w:left="567"/>
      </w:pPr>
      <w:bookmarkStart w:id="92" w:name="_Toc467773973"/>
      <w:bookmarkStart w:id="93" w:name="_Toc497819774"/>
      <w:bookmarkEnd w:id="91"/>
      <w:r>
        <w:t>Further grant opportunities</w:t>
      </w:r>
      <w:bookmarkEnd w:id="92"/>
      <w:bookmarkEnd w:id="93"/>
    </w:p>
    <w:p w14:paraId="6582802F"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5A7C73E6" w14:textId="77777777" w:rsidR="00340616" w:rsidRPr="00B72EE8" w:rsidRDefault="00340616" w:rsidP="0054078D">
      <w:pPr>
        <w:pStyle w:val="Heading1Numbered"/>
      </w:pPr>
      <w:bookmarkStart w:id="94" w:name="_Toc467773974"/>
      <w:bookmarkStart w:id="95" w:name="_Toc497819775"/>
      <w:r>
        <w:t>Assessment of grant ap</w:t>
      </w:r>
      <w:r w:rsidRPr="00B72EE8">
        <w:t>plications</w:t>
      </w:r>
      <w:bookmarkEnd w:id="94"/>
      <w:bookmarkEnd w:id="95"/>
    </w:p>
    <w:p w14:paraId="73772B33" w14:textId="77777777" w:rsidR="00340616" w:rsidRDefault="00340616" w:rsidP="003717CD">
      <w:pPr>
        <w:pStyle w:val="Heading2Numbered"/>
        <w:ind w:left="567"/>
      </w:pPr>
      <w:bookmarkStart w:id="96" w:name="_Toc467773975"/>
      <w:bookmarkStart w:id="97" w:name="_Toc497819776"/>
      <w:bookmarkStart w:id="98" w:name="_Toc421777603"/>
      <w:r w:rsidRPr="00B72EE8">
        <w:t xml:space="preserve">Who will assess </w:t>
      </w:r>
      <w:r>
        <w:t>applications?</w:t>
      </w:r>
      <w:bookmarkEnd w:id="96"/>
      <w:bookmarkEnd w:id="97"/>
      <w:r>
        <w:t xml:space="preserve"> </w:t>
      </w:r>
      <w:bookmarkEnd w:id="98"/>
    </w:p>
    <w:p w14:paraId="34681051" w14:textId="43FCC7BC" w:rsidR="007C3BD2" w:rsidRPr="00DA6916" w:rsidRDefault="007C3BD2" w:rsidP="007C3BD2">
      <w:pPr>
        <w:pStyle w:val="CABNETParagraphAtt"/>
        <w:spacing w:after="240"/>
        <w:rPr>
          <w:rFonts w:ascii="Arial" w:hAnsi="Arial" w:cstheme="minorHAnsi"/>
        </w:rPr>
      </w:pPr>
      <w:bookmarkStart w:id="99" w:name="_Toc467773979"/>
      <w:bookmarkStart w:id="100" w:name="_Toc421777622"/>
      <w:bookmarkStart w:id="101" w:name="_Toc433641183"/>
      <w:r w:rsidRPr="00DA6916">
        <w:rPr>
          <w:rFonts w:ascii="Arial" w:hAnsi="Arial" w:cstheme="minorHAnsi"/>
        </w:rPr>
        <w:t xml:space="preserve">An assessment team will assess the eligible and compliant application based on its merits. The assessment team will be comprised of departmental staff. </w:t>
      </w:r>
    </w:p>
    <w:p w14:paraId="1746CDB8" w14:textId="77777777" w:rsidR="007C3BD2" w:rsidRPr="00DA6916" w:rsidRDefault="007C3BD2" w:rsidP="007C3BD2">
      <w:pPr>
        <w:rPr>
          <w:rFonts w:ascii="Arial" w:hAnsi="Arial" w:cstheme="minorHAnsi"/>
        </w:rPr>
      </w:pPr>
      <w:r w:rsidRPr="00DA6916">
        <w:rPr>
          <w:rFonts w:ascii="Arial" w:hAnsi="Arial" w:cstheme="minorHAnsi"/>
        </w:rPr>
        <w:t>If the selection process identifies unintentional errors in your application, you may be contacted to correct or explain the information.</w:t>
      </w:r>
    </w:p>
    <w:p w14:paraId="0E6C13E9" w14:textId="5041923A" w:rsidR="00340616" w:rsidRDefault="00F433C7" w:rsidP="00892C8B">
      <w:pPr>
        <w:pStyle w:val="Heading2Numbered"/>
        <w:ind w:left="709" w:hanging="709"/>
      </w:pPr>
      <w:bookmarkStart w:id="102" w:name="_Toc467773980"/>
      <w:bookmarkStart w:id="103" w:name="_Toc497819777"/>
      <w:bookmarkEnd w:id="99"/>
      <w:r>
        <w:t>Who will approve grants?</w:t>
      </w:r>
      <w:bookmarkEnd w:id="102"/>
      <w:bookmarkEnd w:id="103"/>
    </w:p>
    <w:p w14:paraId="273F5D9B" w14:textId="628CC25B" w:rsidR="007C3BD2" w:rsidRPr="000C2AE0" w:rsidRDefault="007C3BD2" w:rsidP="007C3BD2">
      <w:pPr>
        <w:rPr>
          <w:rFonts w:cstheme="minorHAnsi"/>
        </w:rPr>
      </w:pPr>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p>
    <w:p w14:paraId="44F6C518" w14:textId="77777777" w:rsidR="007C3BD2" w:rsidRPr="000C2AE0" w:rsidRDefault="007C3BD2" w:rsidP="007C3BD2">
      <w:pPr>
        <w:rPr>
          <w:rFonts w:cstheme="minorHAnsi"/>
        </w:rPr>
      </w:pPr>
      <w:r w:rsidRPr="000C2AE0">
        <w:rPr>
          <w:rFonts w:cstheme="minorHAnsi"/>
        </w:rPr>
        <w:t>The delegate’s decision is final in all matters, including:</w:t>
      </w:r>
    </w:p>
    <w:p w14:paraId="49F415FD" w14:textId="77777777" w:rsidR="007C3BD2" w:rsidRPr="00A8788C" w:rsidRDefault="007C3BD2" w:rsidP="007C3BD2">
      <w:pPr>
        <w:pStyle w:val="ListParagraph"/>
        <w:numPr>
          <w:ilvl w:val="0"/>
          <w:numId w:val="23"/>
        </w:numPr>
        <w:spacing w:before="200"/>
        <w:ind w:left="714" w:hanging="357"/>
        <w:rPr>
          <w:rFonts w:ascii="Arial" w:hAnsi="Arial" w:cstheme="minorHAnsi"/>
        </w:rPr>
      </w:pPr>
      <w:r w:rsidRPr="00A8788C">
        <w:rPr>
          <w:rFonts w:ascii="Arial" w:hAnsi="Arial" w:cstheme="minorHAnsi"/>
        </w:rPr>
        <w:t>the approval of the grant</w:t>
      </w:r>
    </w:p>
    <w:p w14:paraId="33FC76CF" w14:textId="77777777" w:rsidR="007C3BD2" w:rsidRPr="00A8788C" w:rsidRDefault="007C3BD2" w:rsidP="007C3BD2">
      <w:pPr>
        <w:pStyle w:val="ListParagraph"/>
        <w:numPr>
          <w:ilvl w:val="0"/>
          <w:numId w:val="23"/>
        </w:numPr>
        <w:ind w:left="714" w:hanging="357"/>
        <w:rPr>
          <w:rFonts w:ascii="Arial" w:hAnsi="Arial" w:cstheme="minorHAnsi"/>
        </w:rPr>
      </w:pPr>
      <w:r w:rsidRPr="00A8788C">
        <w:rPr>
          <w:rFonts w:ascii="Arial" w:hAnsi="Arial" w:cstheme="minorHAnsi"/>
        </w:rPr>
        <w:t>the grant funding amount to be awarded</w:t>
      </w:r>
    </w:p>
    <w:p w14:paraId="7766AC40" w14:textId="77777777" w:rsidR="007C3BD2" w:rsidRPr="00A8788C" w:rsidRDefault="007C3BD2" w:rsidP="007C3BD2">
      <w:pPr>
        <w:pStyle w:val="ListParagraph"/>
        <w:numPr>
          <w:ilvl w:val="0"/>
          <w:numId w:val="23"/>
        </w:numPr>
        <w:ind w:left="714" w:hanging="357"/>
        <w:rPr>
          <w:rFonts w:ascii="Arial" w:hAnsi="Arial" w:cstheme="minorHAnsi"/>
        </w:rPr>
      </w:pPr>
      <w:r w:rsidRPr="00A8788C">
        <w:rPr>
          <w:rFonts w:ascii="Arial" w:hAnsi="Arial" w:cstheme="minorHAnsi"/>
        </w:rPr>
        <w:t xml:space="preserve">the terms and conditions of the grant. </w:t>
      </w:r>
    </w:p>
    <w:p w14:paraId="0ED8FCB6" w14:textId="7B5427F7" w:rsidR="001F6411" w:rsidRPr="007C3BD2" w:rsidRDefault="007C3BD2" w:rsidP="007C3BD2">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Pr>
          <w:rFonts w:cstheme="minorHAnsi"/>
        </w:rPr>
        <w:t xml:space="preserve"> </w:t>
      </w:r>
      <w:r w:rsidRPr="008A3AF7">
        <w:rPr>
          <w:rFonts w:cstheme="minorHAnsi"/>
        </w:rPr>
        <w:t>/</w:t>
      </w:r>
      <w:r>
        <w:rPr>
          <w:rFonts w:cstheme="minorHAnsi"/>
        </w:rPr>
        <w:t xml:space="preserve"> </w:t>
      </w:r>
      <w:r w:rsidRPr="008A3AF7">
        <w:rPr>
          <w:rFonts w:cstheme="minorHAnsi"/>
        </w:rPr>
        <w:t xml:space="preserve">or </w:t>
      </w:r>
      <w:r>
        <w:rPr>
          <w:rFonts w:cstheme="minorHAnsi"/>
        </w:rPr>
        <w:t xml:space="preserve">that </w:t>
      </w:r>
      <w:r w:rsidRPr="008A3AF7">
        <w:rPr>
          <w:rFonts w:cstheme="minorHAnsi"/>
        </w:rPr>
        <w:t>the application does not represent value</w:t>
      </w:r>
      <w:r>
        <w:rPr>
          <w:rFonts w:cstheme="minorHAnsi"/>
        </w:rPr>
        <w:t xml:space="preserve"> for money.</w:t>
      </w:r>
    </w:p>
    <w:p w14:paraId="1B10D3D3" w14:textId="77777777" w:rsidR="00720CF0" w:rsidRPr="00B72EE8" w:rsidRDefault="00720CF0" w:rsidP="00720CF0">
      <w:pPr>
        <w:pStyle w:val="Heading1Numbered"/>
        <w:numPr>
          <w:ilvl w:val="0"/>
          <w:numId w:val="34"/>
        </w:numPr>
      </w:pPr>
      <w:bookmarkStart w:id="104" w:name="_Toc497482900"/>
      <w:bookmarkStart w:id="105" w:name="_Toc497819778"/>
      <w:bookmarkStart w:id="106" w:name="_Toc467773983"/>
      <w:bookmarkEnd w:id="100"/>
      <w:bookmarkEnd w:id="101"/>
      <w:r w:rsidRPr="00B72EE8">
        <w:lastRenderedPageBreak/>
        <w:t>Notification of application outcomes</w:t>
      </w:r>
      <w:bookmarkEnd w:id="104"/>
      <w:bookmarkEnd w:id="105"/>
    </w:p>
    <w:p w14:paraId="6F9B0557" w14:textId="77777777" w:rsidR="00720CF0" w:rsidRPr="00854277" w:rsidRDefault="00720CF0" w:rsidP="00720CF0">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2928C395" w14:textId="77777777" w:rsidR="00720CF0" w:rsidRDefault="00720CF0" w:rsidP="00720CF0">
      <w:r w:rsidRPr="00854277">
        <w:t>If you are unsuccessful,</w:t>
      </w:r>
      <w:r>
        <w:t xml:space="preserve"> we will notify you in writing.</w:t>
      </w:r>
      <w:r w:rsidRPr="00B72EE8">
        <w:t xml:space="preserve"> </w:t>
      </w:r>
    </w:p>
    <w:p w14:paraId="5DC68012" w14:textId="77777777" w:rsidR="00720CF0" w:rsidRDefault="00720CF0" w:rsidP="00720CF0">
      <w:pPr>
        <w:pStyle w:val="Heading1Numbered"/>
        <w:numPr>
          <w:ilvl w:val="0"/>
          <w:numId w:val="34"/>
        </w:numPr>
      </w:pPr>
      <w:bookmarkStart w:id="107" w:name="_Toc497482901"/>
      <w:bookmarkStart w:id="108" w:name="_Toc497819779"/>
      <w:r>
        <w:t xml:space="preserve">Successful </w:t>
      </w:r>
      <w:bookmarkStart w:id="109" w:name="_Toc491246639"/>
      <w:r w:rsidRPr="00854277">
        <w:t>grant applications</w:t>
      </w:r>
      <w:bookmarkEnd w:id="107"/>
      <w:bookmarkEnd w:id="108"/>
      <w:bookmarkEnd w:id="109"/>
    </w:p>
    <w:p w14:paraId="232C23AF" w14:textId="77777777" w:rsidR="00720CF0" w:rsidRDefault="00720CF0" w:rsidP="00720CF0">
      <w:pPr>
        <w:pStyle w:val="Heading2Numbered"/>
        <w:numPr>
          <w:ilvl w:val="1"/>
          <w:numId w:val="34"/>
        </w:numPr>
        <w:ind w:left="709" w:hanging="709"/>
      </w:pPr>
      <w:bookmarkStart w:id="110" w:name="_Toc497482902"/>
      <w:bookmarkStart w:id="111" w:name="_Toc497819780"/>
      <w:r>
        <w:t xml:space="preserve">The </w:t>
      </w:r>
      <w:r w:rsidRPr="0054078D">
        <w:t>grant agreement</w:t>
      </w:r>
      <w:bookmarkEnd w:id="110"/>
      <w:bookmarkEnd w:id="111"/>
    </w:p>
    <w:p w14:paraId="6F61AEB0" w14:textId="2421AFE0" w:rsidR="00720CF0" w:rsidRPr="00205B0F" w:rsidRDefault="00720CF0" w:rsidP="00720CF0">
      <w:r w:rsidRPr="00854277">
        <w:t xml:space="preserve">If you are successful, </w:t>
      </w:r>
      <w:r w:rsidRPr="00205B0F">
        <w:t>you must enter into a legally binding grant agreement with the Commonwealth represented by the Department of Social Services. A schedule may be used to outline the specific grant requirements.  Any additional conditions attached to the grant will be identified in the grant offer or during the grant agreement negotiations.</w:t>
      </w:r>
    </w:p>
    <w:p w14:paraId="11778609" w14:textId="77777777" w:rsidR="00720CF0" w:rsidRPr="00205B0F" w:rsidRDefault="00720CF0" w:rsidP="00720CF0">
      <w:r w:rsidRPr="00205B0F">
        <w:t xml:space="preserve">You will be required to: </w:t>
      </w:r>
    </w:p>
    <w:p w14:paraId="315DB08E" w14:textId="77777777" w:rsidR="00720CF0" w:rsidRPr="001F6411" w:rsidRDefault="00720CF0" w:rsidP="00720CF0">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724B14A5" w14:textId="77777777" w:rsidR="00720CF0" w:rsidRPr="000C2AE0" w:rsidRDefault="00720CF0" w:rsidP="00720CF0">
      <w:pPr>
        <w:rPr>
          <w:rFonts w:cstheme="minorHAnsi"/>
          <w:lang w:eastAsia="en-AU"/>
        </w:rPr>
      </w:pPr>
      <w:r w:rsidRPr="001F6411">
        <w:rPr>
          <w:rFonts w:cstheme="minorHAnsi"/>
        </w:rPr>
        <w:t xml:space="preserve">The Department of Social Services will negotiate </w:t>
      </w:r>
      <w:r>
        <w:rPr>
          <w:rFonts w:cstheme="minorHAnsi"/>
        </w:rPr>
        <w:t xml:space="preserve">the grant </w:t>
      </w:r>
      <w:r w:rsidRPr="000C2AE0">
        <w:rPr>
          <w:rFonts w:cstheme="minorHAnsi"/>
        </w:rPr>
        <w:t>agreement with</w:t>
      </w:r>
      <w:r>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4563EEB5" w14:textId="77777777" w:rsidR="00720CF0" w:rsidRPr="001F6411" w:rsidRDefault="00720CF0" w:rsidP="00720CF0">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0D95FF56" w14:textId="090D01DA" w:rsidR="00720CF0" w:rsidRDefault="00720CF0" w:rsidP="00720CF0">
      <w:pPr>
        <w:rPr>
          <w:rFonts w:cstheme="minorHAnsi"/>
          <w:bCs/>
          <w:lang w:eastAsia="en-AU"/>
        </w:rPr>
      </w:pPr>
      <w:r w:rsidRPr="001F6411">
        <w:rPr>
          <w:rFonts w:cstheme="minorHAnsi"/>
          <w:bCs/>
          <w:lang w:eastAsia="en-AU"/>
        </w:rPr>
        <w:t>You should not make financial commitments until a grant agreement has been</w:t>
      </w:r>
      <w:r>
        <w:rPr>
          <w:rFonts w:cstheme="minorHAnsi"/>
          <w:bCs/>
          <w:lang w:eastAsia="en-AU"/>
        </w:rPr>
        <w:t xml:space="preserve"> executed by the Commonwealth. </w:t>
      </w:r>
    </w:p>
    <w:p w14:paraId="2B1635FD" w14:textId="77777777" w:rsidR="00EB1C4D" w:rsidRPr="001F6411" w:rsidRDefault="00EB1C4D" w:rsidP="00EB1C4D">
      <w:pPr>
        <w:pStyle w:val="Heading2inusebytemplate"/>
        <w:numPr>
          <w:ilvl w:val="1"/>
          <w:numId w:val="34"/>
        </w:numPr>
        <w:ind w:left="709" w:hanging="709"/>
      </w:pPr>
      <w:bookmarkStart w:id="112" w:name="_Toc467773981"/>
      <w:bookmarkStart w:id="113" w:name="_Toc497482903"/>
      <w:bookmarkStart w:id="114" w:name="_Toc497819781"/>
      <w:r w:rsidRPr="001F6411">
        <w:t xml:space="preserve">How the </w:t>
      </w:r>
      <w:r w:rsidRPr="008A6AE4">
        <w:t>grant</w:t>
      </w:r>
      <w:r w:rsidRPr="001F6411">
        <w:t xml:space="preserve"> will be paid</w:t>
      </w:r>
      <w:bookmarkEnd w:id="112"/>
      <w:bookmarkEnd w:id="113"/>
      <w:bookmarkEnd w:id="114"/>
    </w:p>
    <w:p w14:paraId="0E220367" w14:textId="77777777" w:rsidR="00EB1C4D" w:rsidRPr="001F6411" w:rsidRDefault="00EB1C4D" w:rsidP="00EB1C4D">
      <w:pPr>
        <w:tabs>
          <w:tab w:val="left" w:pos="0"/>
        </w:tabs>
        <w:rPr>
          <w:rFonts w:cstheme="minorHAnsi"/>
          <w:bCs/>
          <w:lang w:eastAsia="en-AU"/>
        </w:rPr>
      </w:pPr>
      <w:r w:rsidRPr="001F6411">
        <w:rPr>
          <w:rFonts w:cstheme="minorHAnsi"/>
          <w:bCs/>
          <w:lang w:eastAsia="en-AU"/>
        </w:rPr>
        <w:t>The grant agreement will state the:</w:t>
      </w:r>
    </w:p>
    <w:p w14:paraId="49E94DC0" w14:textId="77777777" w:rsidR="00EB1C4D" w:rsidRPr="001F6411" w:rsidRDefault="00EB1C4D" w:rsidP="00EB1C4D">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Pr>
          <w:rFonts w:asciiTheme="minorHAnsi" w:hAnsiTheme="minorHAnsi" w:cstheme="minorHAnsi"/>
        </w:rPr>
        <w:t>.</w:t>
      </w:r>
    </w:p>
    <w:p w14:paraId="16589598" w14:textId="77777777" w:rsidR="00EB1C4D" w:rsidRPr="001F6411" w:rsidRDefault="00EB1C4D" w:rsidP="00EB1C4D">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5F6FAFB3" w14:textId="77777777" w:rsidR="00EB1C4D" w:rsidRPr="001F6411" w:rsidRDefault="00EB1C4D" w:rsidP="00EB1C4D">
      <w:pPr>
        <w:tabs>
          <w:tab w:val="left" w:pos="0"/>
        </w:tabs>
        <w:rPr>
          <w:rFonts w:cstheme="minorHAnsi"/>
          <w:bCs/>
          <w:lang w:eastAsia="en-AU"/>
        </w:rPr>
      </w:pPr>
      <w:r w:rsidRPr="001F6411">
        <w:rPr>
          <w:rFonts w:cstheme="minorHAnsi"/>
          <w:bCs/>
          <w:lang w:eastAsia="en-AU"/>
        </w:rPr>
        <w:t>Grant funding will be paid:</w:t>
      </w:r>
    </w:p>
    <w:p w14:paraId="5AB44ACE" w14:textId="77777777" w:rsidR="00EB1C4D" w:rsidRPr="001F6411" w:rsidRDefault="00EB1C4D" w:rsidP="00EB1C4D">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Pr>
          <w:rFonts w:asciiTheme="minorHAnsi" w:hAnsiTheme="minorHAnsi" w:cstheme="minorHAnsi"/>
        </w:rPr>
        <w:t>.</w:t>
      </w:r>
    </w:p>
    <w:p w14:paraId="51A6A670" w14:textId="77777777" w:rsidR="00EB1C4D" w:rsidRPr="001F6411" w:rsidRDefault="00EB1C4D" w:rsidP="00EB1C4D">
      <w:pPr>
        <w:tabs>
          <w:tab w:val="left" w:pos="0"/>
        </w:tabs>
        <w:rPr>
          <w:rFonts w:cstheme="minorHAnsi"/>
          <w:bCs/>
          <w:lang w:eastAsia="en-AU"/>
        </w:rPr>
      </w:pPr>
      <w:r w:rsidRPr="001F6411">
        <w:rPr>
          <w:rFonts w:cstheme="minorHAnsi"/>
          <w:bCs/>
          <w:lang w:eastAsia="en-AU"/>
        </w:rPr>
        <w:t>We recognise that unexpected events may affect the progress of a</w:t>
      </w:r>
      <w:r>
        <w:rPr>
          <w:rFonts w:cstheme="minorHAnsi"/>
          <w:bCs/>
          <w:lang w:eastAsia="en-AU"/>
        </w:rPr>
        <w:t xml:space="preserve"> grant a</w:t>
      </w:r>
      <w:r w:rsidRPr="001F6411">
        <w:rPr>
          <w:rFonts w:cstheme="minorHAnsi"/>
          <w:bCs/>
          <w:lang w:eastAsia="en-AU"/>
        </w:rPr>
        <w:t xml:space="preserve">ctivity. In these circumstances, you can request an </w:t>
      </w:r>
      <w:r>
        <w:rPr>
          <w:rFonts w:cstheme="minorHAnsi"/>
          <w:bCs/>
          <w:lang w:eastAsia="en-AU"/>
        </w:rPr>
        <w:t>a</w:t>
      </w:r>
      <w:r w:rsidRPr="001F6411">
        <w:rPr>
          <w:rFonts w:cstheme="minorHAnsi"/>
          <w:bCs/>
          <w:lang w:eastAsia="en-AU"/>
        </w:rPr>
        <w:t>ctivity variation, including:</w:t>
      </w:r>
    </w:p>
    <w:p w14:paraId="014BFC38" w14:textId="77777777" w:rsidR="00EB1C4D" w:rsidRPr="001F6411" w:rsidRDefault="00EB1C4D" w:rsidP="00EB1C4D">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Pr>
          <w:rFonts w:asciiTheme="minorHAnsi" w:hAnsiTheme="minorHAnsi" w:cstheme="minorHAnsi"/>
        </w:rPr>
        <w:t>a</w:t>
      </w:r>
      <w:r w:rsidRPr="001F6411">
        <w:rPr>
          <w:rFonts w:asciiTheme="minorHAnsi" w:hAnsiTheme="minorHAnsi" w:cstheme="minorHAnsi"/>
        </w:rPr>
        <w:t>ctivity’s milestones</w:t>
      </w:r>
    </w:p>
    <w:p w14:paraId="5B17A88A" w14:textId="77777777" w:rsidR="00EB1C4D" w:rsidRPr="001F6411" w:rsidRDefault="00EB1C4D" w:rsidP="00EB1C4D">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lastRenderedPageBreak/>
        <w:t xml:space="preserve">extending the timeframe for completing an </w:t>
      </w:r>
      <w:r>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35A998D1" w14:textId="77777777" w:rsidR="00EB1C4D" w:rsidRPr="001F6411" w:rsidRDefault="00EB1C4D" w:rsidP="00EB1C4D">
      <w:pPr>
        <w:tabs>
          <w:tab w:val="left" w:pos="0"/>
        </w:tabs>
        <w:rPr>
          <w:rFonts w:cstheme="minorHAnsi"/>
          <w:bCs/>
          <w:lang w:eastAsia="en-AU"/>
        </w:rPr>
      </w:pPr>
      <w:r w:rsidRPr="001F6411">
        <w:rPr>
          <w:rFonts w:cstheme="minorHAnsi"/>
          <w:bCs/>
          <w:lang w:eastAsia="en-AU"/>
        </w:rPr>
        <w:t>The program does not allow for:</w:t>
      </w:r>
    </w:p>
    <w:p w14:paraId="46585155" w14:textId="77777777" w:rsidR="00EB1C4D" w:rsidRPr="001F6411" w:rsidRDefault="00EB1C4D" w:rsidP="00EB1C4D">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453507B0" w14:textId="77777777" w:rsidR="00EB1C4D" w:rsidRPr="001F6411" w:rsidRDefault="00EB1C4D" w:rsidP="00EB1C4D">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1E74D4AA" w14:textId="77777777" w:rsidR="00EB1C4D" w:rsidRPr="001F6411" w:rsidRDefault="00EB1C4D" w:rsidP="00EB1C4D">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030F3C8D" w14:textId="77777777" w:rsidR="00EB1C4D" w:rsidRPr="001F6411" w:rsidRDefault="00EB1C4D" w:rsidP="00EB1C4D">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7A92A8F0" w14:textId="77777777" w:rsidR="00EB1C4D" w:rsidRPr="001F6411" w:rsidRDefault="00EB1C4D" w:rsidP="00EB1C4D">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6767F679" w14:textId="77777777" w:rsidR="00EB1C4D" w:rsidRPr="001F6411" w:rsidRDefault="00EB1C4D" w:rsidP="00EB1C4D">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1A677778" w14:textId="77777777" w:rsidR="00EB1C4D" w:rsidRPr="001F6411" w:rsidRDefault="00EB1C4D" w:rsidP="00EB1C4D">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7055F530" w14:textId="77518631" w:rsidR="00340616" w:rsidRDefault="00340616" w:rsidP="0054078D">
      <w:pPr>
        <w:pStyle w:val="Heading1Numbered"/>
      </w:pPr>
      <w:bookmarkStart w:id="115" w:name="_Toc497819782"/>
      <w:r w:rsidRPr="001607E9">
        <w:t>Announcement</w:t>
      </w:r>
      <w:r>
        <w:t xml:space="preserve"> of grants</w:t>
      </w:r>
      <w:bookmarkEnd w:id="106"/>
      <w:bookmarkEnd w:id="115"/>
    </w:p>
    <w:p w14:paraId="2CAC28C0" w14:textId="5FE834DC" w:rsidR="006D7A41" w:rsidRPr="000C2AE0" w:rsidRDefault="006D7A41" w:rsidP="006D7A41">
      <w:pPr>
        <w:rPr>
          <w:i/>
        </w:rPr>
      </w:pPr>
      <w:r>
        <w:t>I</w:t>
      </w:r>
      <w:r w:rsidRPr="00854277">
        <w:t xml:space="preserve">f successful, your grant will be listed on the GrantConnect website </w:t>
      </w:r>
      <w:r w:rsidR="00825971">
        <w:t>21</w:t>
      </w:r>
      <w:r w:rsidR="00111F43">
        <w:t xml:space="preserve"> calendar </w:t>
      </w:r>
      <w:r w:rsidRPr="00854277">
        <w:t xml:space="preserve">days after the </w:t>
      </w:r>
      <w:r w:rsidRPr="000C2AE0">
        <w:t>date of effect</w:t>
      </w:r>
      <w:r w:rsidRPr="000C2AE0">
        <w:rPr>
          <w:rStyle w:val="FootnoteReference"/>
        </w:rPr>
        <w:footnoteReference w:id="4"/>
      </w:r>
      <w:r w:rsidRPr="000C2AE0">
        <w:t xml:space="preserve"> as required by Section 5.3 of the </w:t>
      </w:r>
      <w:r w:rsidRPr="000C2AE0">
        <w:rPr>
          <w:i/>
        </w:rPr>
        <w:t xml:space="preserve">CGRGs. </w:t>
      </w:r>
    </w:p>
    <w:p w14:paraId="63A42065" w14:textId="77777777" w:rsidR="00E04509" w:rsidRPr="00854277" w:rsidRDefault="00E04509" w:rsidP="00E04509">
      <w:pPr>
        <w:pStyle w:val="Heading1Numbered"/>
      </w:pPr>
      <w:bookmarkStart w:id="116" w:name="_Toc491246643"/>
      <w:bookmarkStart w:id="117" w:name="_Toc497819783"/>
      <w:bookmarkStart w:id="118" w:name="_Toc421777623"/>
      <w:bookmarkStart w:id="119" w:name="_Toc467773984"/>
      <w:r>
        <w:t xml:space="preserve">Delivery </w:t>
      </w:r>
      <w:r w:rsidRPr="00854277">
        <w:t>of grant activities</w:t>
      </w:r>
      <w:bookmarkEnd w:id="116"/>
      <w:bookmarkEnd w:id="117"/>
    </w:p>
    <w:p w14:paraId="2A7BA9F2" w14:textId="77777777" w:rsidR="00340616" w:rsidRDefault="00340616" w:rsidP="00B97891">
      <w:pPr>
        <w:pStyle w:val="Heading2inusebytemplate"/>
      </w:pPr>
      <w:bookmarkStart w:id="120" w:name="_Toc421777624"/>
      <w:bookmarkStart w:id="121" w:name="_Toc433641185"/>
      <w:bookmarkStart w:id="122" w:name="_Toc467773985"/>
      <w:bookmarkStart w:id="123" w:name="_Toc497819784"/>
      <w:bookmarkEnd w:id="118"/>
      <w:bookmarkEnd w:id="119"/>
      <w:r>
        <w:t>Your</w:t>
      </w:r>
      <w:r w:rsidRPr="00B72EE8" w:rsidDel="00D505A5">
        <w:t xml:space="preserve"> responsibilities</w:t>
      </w:r>
      <w:bookmarkEnd w:id="120"/>
      <w:bookmarkEnd w:id="121"/>
      <w:bookmarkEnd w:id="122"/>
      <w:bookmarkEnd w:id="123"/>
    </w:p>
    <w:p w14:paraId="653367ED" w14:textId="6ACA4394" w:rsidR="00E04509" w:rsidRDefault="00E04509" w:rsidP="00E04509">
      <w:r>
        <w:t xml:space="preserve">If </w:t>
      </w:r>
      <w:r w:rsidR="0073254F">
        <w:t>successful,</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0026E617"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3"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6F559E8D"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42B068C8"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04B0958E"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05661459" w14:textId="77777777" w:rsidR="00E04509" w:rsidRPr="00660E8D" w:rsidRDefault="00E04509" w:rsidP="00E04509">
      <w:pPr>
        <w:rPr>
          <w:rFonts w:cstheme="minorHAnsi"/>
        </w:rPr>
      </w:pPr>
      <w:r w:rsidRPr="00660E8D">
        <w:rPr>
          <w:rFonts w:cstheme="minorHAnsi"/>
        </w:rPr>
        <w:lastRenderedPageBreak/>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382750CE"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5753CAB2"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44940307"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7D4500C0"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5B3AC474" w14:textId="77777777"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788F75F9"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32ADB783" w14:textId="77777777" w:rsidR="00E04509" w:rsidRPr="00E04509" w:rsidRDefault="00E04509" w:rsidP="00B97891">
      <w:pPr>
        <w:pStyle w:val="Heading2inusebytemplate"/>
      </w:pPr>
      <w:bookmarkStart w:id="124" w:name="_Toc497819785"/>
      <w:r w:rsidRPr="00E04509">
        <w:t>The Department’s responsibilities</w:t>
      </w:r>
      <w:bookmarkEnd w:id="124"/>
    </w:p>
    <w:p w14:paraId="4D65DF5A"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58365377"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372CD8EB"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4E8A7D4C"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31F5A2DA"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377561A8" w14:textId="77777777" w:rsidR="00340616" w:rsidRPr="00B72EE8" w:rsidRDefault="00340616" w:rsidP="00B97891">
      <w:pPr>
        <w:pStyle w:val="Heading2inusebytemplate"/>
      </w:pPr>
      <w:bookmarkStart w:id="125" w:name="_Toc421777626"/>
      <w:bookmarkStart w:id="126" w:name="_Toc467773987"/>
      <w:bookmarkStart w:id="127" w:name="_Toc497819786"/>
      <w:bookmarkStart w:id="128" w:name="_Toc433641188"/>
      <w:r>
        <w:t>Grant p</w:t>
      </w:r>
      <w:r w:rsidRPr="00B72EE8">
        <w:t>ayments</w:t>
      </w:r>
      <w:bookmarkEnd w:id="125"/>
      <w:r>
        <w:t xml:space="preserve"> and GST</w:t>
      </w:r>
      <w:bookmarkEnd w:id="126"/>
      <w:bookmarkEnd w:id="127"/>
      <w:r>
        <w:t xml:space="preserve"> </w:t>
      </w:r>
      <w:bookmarkEnd w:id="128"/>
    </w:p>
    <w:p w14:paraId="2D30496B" w14:textId="77777777" w:rsidR="00E04509" w:rsidRPr="00E04509" w:rsidRDefault="00E04509" w:rsidP="00E04509">
      <w:pPr>
        <w:rPr>
          <w:rFonts w:cstheme="minorHAnsi"/>
        </w:rPr>
      </w:pPr>
      <w:r w:rsidRPr="00E04509">
        <w:rPr>
          <w:rFonts w:cstheme="minorHAnsi"/>
        </w:rPr>
        <w:t>Payments will be made as set out in the grant agreement.</w:t>
      </w:r>
    </w:p>
    <w:p w14:paraId="307D4A1D" w14:textId="77777777" w:rsidR="00E04509" w:rsidRPr="00E04509" w:rsidRDefault="00E04509" w:rsidP="00E04509">
      <w:pPr>
        <w:rPr>
          <w:rFonts w:cstheme="minorHAnsi"/>
        </w:rPr>
      </w:pPr>
      <w:r w:rsidRPr="00E04509">
        <w:rPr>
          <w:rFonts w:cstheme="minorHAnsi"/>
        </w:rPr>
        <w:t>Before any payments are made, you must provide:</w:t>
      </w:r>
    </w:p>
    <w:p w14:paraId="519115DF"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4600F5F6"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2DE8B210"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5303E588" w14:textId="2793906A" w:rsidR="00E04509" w:rsidRPr="00E04509" w:rsidRDefault="00E04509" w:rsidP="00E04509">
      <w:pPr>
        <w:rPr>
          <w:rFonts w:cstheme="minorHAnsi"/>
        </w:rPr>
      </w:pPr>
      <w:r w:rsidRPr="00E04509">
        <w:rPr>
          <w:rFonts w:cstheme="minorHAnsi"/>
        </w:rPr>
        <w:lastRenderedPageBreak/>
        <w:t xml:space="preserve">If you receive a grant, you should consider speaking to a tax advisor about the effect of receiving a grant before you enter into a grant agreement. You can also visit the </w:t>
      </w:r>
      <w:hyperlink r:id="rId24" w:history="1">
        <w:r w:rsidRPr="007A44C8">
          <w:rPr>
            <w:rStyle w:val="Hyperlink"/>
            <w:rFonts w:cstheme="minorHAnsi"/>
            <w:color w:val="0000FF"/>
          </w:rPr>
          <w:t>Australian Taxation Office website</w:t>
        </w:r>
      </w:hyperlink>
      <w:r w:rsidRPr="00E04509">
        <w:rPr>
          <w:rFonts w:cstheme="minorHAnsi"/>
        </w:rPr>
        <w:t xml:space="preserve"> for more information.</w:t>
      </w:r>
    </w:p>
    <w:p w14:paraId="57896474" w14:textId="77777777" w:rsidR="00192CC4" w:rsidRDefault="00192CC4" w:rsidP="00892C8B">
      <w:pPr>
        <w:pStyle w:val="Heading2Numbered"/>
        <w:ind w:left="567"/>
      </w:pPr>
      <w:bookmarkStart w:id="129" w:name="_Toc497819787"/>
      <w:bookmarkStart w:id="130" w:name="_Toc421777629"/>
      <w:bookmarkStart w:id="131" w:name="_Toc467773988"/>
      <w:r>
        <w:t>Reporting</w:t>
      </w:r>
      <w:bookmarkEnd w:id="129"/>
    </w:p>
    <w:p w14:paraId="4CDF8C02" w14:textId="6A40BF93" w:rsidR="00192CC4" w:rsidRPr="000048E2" w:rsidRDefault="000E0A75" w:rsidP="00192CC4">
      <w:pPr>
        <w:rPr>
          <w:rFonts w:cstheme="minorHAnsi"/>
          <w:lang w:val="en-GB"/>
        </w:rPr>
      </w:pPr>
      <w:r>
        <w:rPr>
          <w:rFonts w:cstheme="minorHAnsi"/>
        </w:rPr>
        <w:t xml:space="preserve">The </w:t>
      </w:r>
      <w:r w:rsidR="008551FB">
        <w:rPr>
          <w:rFonts w:cstheme="minorHAnsi"/>
        </w:rPr>
        <w:t>Build and Grow</w:t>
      </w:r>
      <w:r w:rsidR="00753C6D">
        <w:rPr>
          <w:rFonts w:cstheme="minorHAnsi"/>
        </w:rPr>
        <w:t xml:space="preserve"> </w:t>
      </w:r>
      <w:r w:rsidR="00192CC4" w:rsidRPr="000048E2">
        <w:rPr>
          <w:rFonts w:cstheme="minorHAnsi"/>
          <w:lang w:val="en-GB"/>
        </w:rPr>
        <w:t xml:space="preserve">grant recipient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5599A173" w14:textId="75F01CE0" w:rsidR="001D69EC" w:rsidRDefault="001D69EC" w:rsidP="001D69EC">
      <w:pPr>
        <w:rPr>
          <w:rFonts w:cstheme="minorHAnsi"/>
        </w:rPr>
      </w:pPr>
      <w:r w:rsidRPr="00B51826">
        <w:rPr>
          <w:rFonts w:cstheme="minorHAnsi"/>
        </w:rPr>
        <w:t xml:space="preserve">Performance information (e.g. client characteristics and service delivery information) will be required to be collected by </w:t>
      </w:r>
      <w:r w:rsidR="009075CD">
        <w:rPr>
          <w:rFonts w:cstheme="minorHAnsi"/>
        </w:rPr>
        <w:t xml:space="preserve">the </w:t>
      </w:r>
      <w:r w:rsidRPr="00B51826">
        <w:rPr>
          <w:rFonts w:cstheme="minorHAnsi"/>
        </w:rPr>
        <w:t>service providers at the client level and entered directly into the department’s</w:t>
      </w:r>
      <w:r>
        <w:rPr>
          <w:rFonts w:cstheme="minorHAnsi"/>
        </w:rPr>
        <w:t xml:space="preserve"> </w:t>
      </w:r>
      <w:r w:rsidRPr="00B51826">
        <w:rPr>
          <w:rFonts w:cstheme="minorHAnsi"/>
        </w:rPr>
        <w:t>reporting solution</w:t>
      </w:r>
      <w:r>
        <w:rPr>
          <w:rFonts w:cstheme="minorHAnsi"/>
        </w:rPr>
        <w:t>,</w:t>
      </w:r>
      <w:r w:rsidRPr="00B51826">
        <w:rPr>
          <w:rFonts w:cstheme="minorHAnsi"/>
        </w:rPr>
        <w:t xml:space="preserve"> the</w:t>
      </w:r>
      <w:r w:rsidRPr="001D69EC">
        <w:rPr>
          <w:rFonts w:cstheme="minorHAnsi"/>
        </w:rPr>
        <w:t xml:space="preserve"> </w:t>
      </w:r>
      <w:r w:rsidRPr="00B51826">
        <w:rPr>
          <w:rFonts w:cstheme="minorHAnsi"/>
        </w:rPr>
        <w:t>Data Exchange.</w:t>
      </w:r>
    </w:p>
    <w:p w14:paraId="4B65F4A1" w14:textId="46556893" w:rsidR="001D69EC" w:rsidRPr="00B51826" w:rsidRDefault="001D69EC" w:rsidP="001D69EC">
      <w:pPr>
        <w:rPr>
          <w:rFonts w:cstheme="minorHAnsi"/>
        </w:rPr>
      </w:pPr>
      <w:r w:rsidRPr="00B51826">
        <w:rPr>
          <w:rFonts w:cstheme="minorHAnsi"/>
        </w:rPr>
        <w:t>Information must be provided in accordance with the</w:t>
      </w:r>
      <w:r w:rsidRPr="001D69EC">
        <w:rPr>
          <w:rFonts w:cstheme="minorHAnsi"/>
        </w:rPr>
        <w:t xml:space="preserve"> </w:t>
      </w:r>
      <w:r w:rsidRPr="00B51826">
        <w:rPr>
          <w:rFonts w:cstheme="minorHAnsi"/>
        </w:rPr>
        <w:t xml:space="preserve">Data Exchange Protocols available on the </w:t>
      </w:r>
      <w:hyperlink r:id="rId25" w:history="1">
        <w:r w:rsidRPr="009075CD">
          <w:rPr>
            <w:u w:val="single"/>
          </w:rPr>
          <w:t>DSS website</w:t>
        </w:r>
      </w:hyperlink>
      <w:r w:rsidRPr="001D69EC">
        <w:t>.</w:t>
      </w:r>
    </w:p>
    <w:p w14:paraId="5DF9317A" w14:textId="77777777" w:rsidR="00340616" w:rsidRPr="00B72EE8" w:rsidRDefault="00340616" w:rsidP="00892C8B">
      <w:pPr>
        <w:pStyle w:val="Heading2Numbered"/>
        <w:ind w:left="567"/>
      </w:pPr>
      <w:bookmarkStart w:id="132" w:name="_Toc497819788"/>
      <w:r>
        <w:t>E</w:t>
      </w:r>
      <w:r w:rsidRPr="00B72EE8">
        <w:t>valuation</w:t>
      </w:r>
      <w:bookmarkEnd w:id="130"/>
      <w:bookmarkEnd w:id="131"/>
      <w:bookmarkEnd w:id="132"/>
    </w:p>
    <w:p w14:paraId="3BEBFEF8"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67A14E47" w14:textId="77777777" w:rsidR="00E04509" w:rsidRDefault="00E04509" w:rsidP="008B7DC0">
      <w:pPr>
        <w:pStyle w:val="Heading2Numbered"/>
        <w:ind w:left="567"/>
      </w:pPr>
      <w:bookmarkStart w:id="133" w:name="_Toc491246648"/>
      <w:bookmarkStart w:id="134" w:name="_Toc497819789"/>
      <w:r w:rsidRPr="00854277">
        <w:t>Acknowledgement</w:t>
      </w:r>
      <w:bookmarkEnd w:id="133"/>
      <w:bookmarkEnd w:id="134"/>
    </w:p>
    <w:p w14:paraId="3244DFFF"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17520A30" w14:textId="77777777" w:rsidR="00E04509" w:rsidRPr="00854277" w:rsidRDefault="00E04509" w:rsidP="00B97891">
      <w:r>
        <w:t>‘</w:t>
      </w:r>
      <w:r w:rsidRPr="00854277">
        <w:t>Try, Test and Learn Fund – an A</w:t>
      </w:r>
      <w:r w:rsidR="0011447A">
        <w:t>ustralian Government initiative</w:t>
      </w:r>
      <w:r w:rsidRPr="00854277">
        <w:t>.’</w:t>
      </w:r>
    </w:p>
    <w:p w14:paraId="415D9107" w14:textId="5D33D4B9" w:rsidR="00340616" w:rsidRPr="00B72EE8" w:rsidRDefault="00A209EC" w:rsidP="00522B4D">
      <w:pPr>
        <w:pStyle w:val="Heading1Numbered"/>
      </w:pPr>
      <w:bookmarkStart w:id="135" w:name="_Toc467773990"/>
      <w:bookmarkStart w:id="136" w:name="_Toc421777631"/>
      <w:r>
        <w:tab/>
      </w:r>
      <w:bookmarkStart w:id="137" w:name="_Toc497819790"/>
      <w:r w:rsidR="00340616" w:rsidRPr="00B72EE8">
        <w:t>Probity</w:t>
      </w:r>
      <w:bookmarkEnd w:id="135"/>
      <w:bookmarkEnd w:id="137"/>
      <w:r w:rsidR="00340616" w:rsidRPr="00B72EE8">
        <w:t xml:space="preserve"> </w:t>
      </w:r>
      <w:bookmarkEnd w:id="136"/>
    </w:p>
    <w:p w14:paraId="3D919F39"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169613D8"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6" w:history="1">
        <w:r w:rsidR="00DD52C8" w:rsidRPr="00DD52C8">
          <w:rPr>
            <w:rStyle w:val="Hyperlink"/>
            <w:rFonts w:cstheme="minorBidi"/>
          </w:rPr>
          <w:t>GrantConnect</w:t>
        </w:r>
      </w:hyperlink>
      <w:r w:rsidR="00DD52C8">
        <w:t>.</w:t>
      </w:r>
    </w:p>
    <w:p w14:paraId="1683F98C" w14:textId="77777777" w:rsidR="00340616" w:rsidRDefault="00340616" w:rsidP="00892C8B">
      <w:pPr>
        <w:pStyle w:val="Heading2Numbered"/>
        <w:ind w:left="709" w:hanging="709"/>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Start w:id="148" w:name="_Toc497819791"/>
      <w:bookmarkEnd w:id="138"/>
      <w:bookmarkEnd w:id="139"/>
      <w:bookmarkEnd w:id="140"/>
      <w:bookmarkEnd w:id="141"/>
      <w:bookmarkEnd w:id="142"/>
      <w:bookmarkEnd w:id="143"/>
      <w:bookmarkEnd w:id="144"/>
      <w:bookmarkEnd w:id="145"/>
      <w:r w:rsidRPr="0054078D">
        <w:t>Complaints process</w:t>
      </w:r>
      <w:bookmarkEnd w:id="146"/>
      <w:bookmarkEnd w:id="147"/>
      <w:bookmarkEnd w:id="148"/>
    </w:p>
    <w:p w14:paraId="2440CF0C" w14:textId="77777777" w:rsidR="009075CD" w:rsidRPr="003004BC" w:rsidRDefault="000E26BF" w:rsidP="003004BC">
      <w:bookmarkStart w:id="149" w:name="_Toc497290782"/>
      <w:bookmarkStart w:id="150" w:name="_Toc497291331"/>
      <w:bookmarkStart w:id="151" w:name="_Toc497291813"/>
      <w:bookmarkStart w:id="152" w:name="_Toc497300723"/>
      <w:bookmarkStart w:id="153" w:name="_Toc497312674"/>
      <w:r w:rsidRPr="003004BC">
        <w:t xml:space="preserve">The Department of Social Services </w:t>
      </w:r>
      <w:hyperlink r:id="rId27" w:history="1">
        <w:r w:rsidRPr="003004BC">
          <w:rPr>
            <w:u w:val="single"/>
          </w:rPr>
          <w:t>Complaints Procedures</w:t>
        </w:r>
      </w:hyperlink>
      <w:r w:rsidRPr="003004BC">
        <w:t xml:space="preserve"> apply to complaints about the Program.  All complaints about a grant process must be lodged in writing.</w:t>
      </w:r>
      <w:bookmarkStart w:id="154" w:name="_Toc497290783"/>
      <w:bookmarkStart w:id="155" w:name="_Toc497291332"/>
      <w:bookmarkStart w:id="156" w:name="_Toc497291814"/>
      <w:bookmarkStart w:id="157" w:name="_Toc497300724"/>
      <w:bookmarkStart w:id="158" w:name="_Toc497312675"/>
      <w:bookmarkEnd w:id="149"/>
      <w:bookmarkEnd w:id="150"/>
      <w:bookmarkEnd w:id="151"/>
      <w:bookmarkEnd w:id="152"/>
      <w:bookmarkEnd w:id="153"/>
    </w:p>
    <w:p w14:paraId="25CDA828" w14:textId="4EBF6713" w:rsidR="000E26BF" w:rsidRPr="003004BC" w:rsidRDefault="000E26BF" w:rsidP="003004BC">
      <w:pPr>
        <w:rPr>
          <w:b/>
        </w:rPr>
      </w:pPr>
      <w:r w:rsidRPr="003004BC">
        <w:rPr>
          <w:b/>
        </w:rPr>
        <w:t>Complaints about the Process</w:t>
      </w:r>
      <w:bookmarkEnd w:id="154"/>
      <w:bookmarkEnd w:id="155"/>
      <w:bookmarkEnd w:id="156"/>
      <w:bookmarkEnd w:id="157"/>
      <w:bookmarkEnd w:id="158"/>
    </w:p>
    <w:p w14:paraId="5DB8DBF3" w14:textId="77777777" w:rsidR="000E26BF" w:rsidRPr="003004BC" w:rsidRDefault="000E26BF" w:rsidP="003004BC"/>
    <w:p w14:paraId="17DAD5D1" w14:textId="31918E4A" w:rsidR="000E26BF" w:rsidRPr="003004BC" w:rsidRDefault="00834540" w:rsidP="003004BC">
      <w:bookmarkStart w:id="159" w:name="_Toc497290784"/>
      <w:bookmarkStart w:id="160" w:name="_Toc497291333"/>
      <w:bookmarkStart w:id="161" w:name="_Toc497291815"/>
      <w:bookmarkStart w:id="162" w:name="_Toc497300725"/>
      <w:bookmarkStart w:id="163" w:name="_Toc497312676"/>
      <w:r>
        <w:lastRenderedPageBreak/>
        <w:t>The applicant</w:t>
      </w:r>
      <w:r w:rsidR="000E26BF" w:rsidRPr="003004BC">
        <w:t xml:space="preserve"> can contact the complaints service with complaints about Community Grants Hub’s service(s) or the application process.</w:t>
      </w:r>
      <w:bookmarkEnd w:id="159"/>
      <w:bookmarkEnd w:id="160"/>
      <w:bookmarkEnd w:id="161"/>
      <w:bookmarkEnd w:id="162"/>
      <w:bookmarkEnd w:id="163"/>
      <w:r w:rsidR="000E26BF" w:rsidRPr="003004BC">
        <w:t xml:space="preserve"> </w:t>
      </w:r>
    </w:p>
    <w:p w14:paraId="39CA597E" w14:textId="77777777" w:rsidR="000E26BF" w:rsidRPr="003004BC" w:rsidRDefault="000E26BF" w:rsidP="003004BC">
      <w:bookmarkStart w:id="164" w:name="_Toc497290785"/>
      <w:bookmarkStart w:id="165" w:name="_Toc497291334"/>
      <w:bookmarkStart w:id="166" w:name="_Toc497291816"/>
      <w:bookmarkStart w:id="167" w:name="_Toc497300726"/>
      <w:bookmarkStart w:id="168" w:name="_Toc497312677"/>
      <w:r w:rsidRPr="003004BC">
        <w:t xml:space="preserve">Details of what constitutes an eligible complaint can be provided upon request by the Community Grants Hub.  Applicants can lodge complaints using the </w:t>
      </w:r>
      <w:hyperlink r:id="rId28" w:history="1">
        <w:r w:rsidRPr="003004BC">
          <w:rPr>
            <w:u w:val="single"/>
          </w:rPr>
          <w:t>complaints form</w:t>
        </w:r>
      </w:hyperlink>
      <w:r w:rsidRPr="003004BC">
        <w:t xml:space="preserve"> on the Department’s website or by phone or mail.</w:t>
      </w:r>
      <w:bookmarkEnd w:id="164"/>
      <w:bookmarkEnd w:id="165"/>
      <w:bookmarkEnd w:id="166"/>
      <w:bookmarkEnd w:id="167"/>
      <w:bookmarkEnd w:id="168"/>
    </w:p>
    <w:p w14:paraId="564A0579" w14:textId="77777777" w:rsidR="000E26BF" w:rsidRPr="003004BC" w:rsidRDefault="000E26BF" w:rsidP="003004BC">
      <w:pPr>
        <w:rPr>
          <w:b/>
        </w:rPr>
      </w:pPr>
      <w:bookmarkStart w:id="169" w:name="_Toc497290786"/>
      <w:bookmarkStart w:id="170" w:name="_Toc497291335"/>
      <w:bookmarkStart w:id="171" w:name="_Toc497291817"/>
      <w:bookmarkStart w:id="172" w:name="_Toc497300727"/>
      <w:bookmarkStart w:id="173" w:name="_Toc497312678"/>
      <w:r w:rsidRPr="003004BC">
        <w:rPr>
          <w:b/>
        </w:rPr>
        <w:t>Complaints to the Ombudsman</w:t>
      </w:r>
      <w:bookmarkEnd w:id="169"/>
      <w:bookmarkEnd w:id="170"/>
      <w:bookmarkEnd w:id="171"/>
      <w:bookmarkEnd w:id="172"/>
      <w:bookmarkEnd w:id="173"/>
    </w:p>
    <w:p w14:paraId="313B0BBD" w14:textId="77777777" w:rsidR="000E26BF" w:rsidRPr="003004BC" w:rsidRDefault="000E26BF" w:rsidP="003004BC">
      <w:bookmarkStart w:id="174" w:name="_Toc497290787"/>
      <w:bookmarkStart w:id="175" w:name="_Toc497291336"/>
      <w:bookmarkStart w:id="176" w:name="_Toc497291818"/>
      <w:bookmarkStart w:id="177" w:name="_Toc497300728"/>
      <w:bookmarkStart w:id="178" w:name="_Toc497312679"/>
      <w:r w:rsidRPr="003004BC">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bookmarkEnd w:id="174"/>
      <w:bookmarkEnd w:id="175"/>
      <w:bookmarkEnd w:id="176"/>
      <w:bookmarkEnd w:id="177"/>
      <w:bookmarkEnd w:id="178"/>
    </w:p>
    <w:p w14:paraId="054C0AE3" w14:textId="77777777" w:rsidR="000E26BF" w:rsidRPr="003004BC" w:rsidRDefault="000E26BF" w:rsidP="003004BC">
      <w:bookmarkStart w:id="179" w:name="_Toc497290788"/>
      <w:bookmarkStart w:id="180" w:name="_Toc497291337"/>
      <w:bookmarkStart w:id="181" w:name="_Toc497291819"/>
      <w:bookmarkStart w:id="182" w:name="_Toc497300729"/>
      <w:bookmarkStart w:id="183" w:name="_Toc497312680"/>
      <w:r w:rsidRPr="003004BC">
        <w:t>The Commonwealth Ombudsman can be contacted on:</w:t>
      </w:r>
      <w:bookmarkEnd w:id="179"/>
      <w:bookmarkEnd w:id="180"/>
      <w:bookmarkEnd w:id="181"/>
      <w:bookmarkEnd w:id="182"/>
      <w:bookmarkEnd w:id="183"/>
      <w:r w:rsidRPr="003004BC">
        <w:t xml:space="preserve"> </w:t>
      </w:r>
    </w:p>
    <w:p w14:paraId="2E1E3091" w14:textId="77777777" w:rsidR="000E26BF" w:rsidRPr="003004BC" w:rsidRDefault="000E26BF" w:rsidP="003004BC">
      <w:bookmarkStart w:id="184" w:name="_Toc497290789"/>
      <w:bookmarkStart w:id="185" w:name="_Toc497291338"/>
      <w:bookmarkStart w:id="186" w:name="_Toc497291820"/>
      <w:bookmarkStart w:id="187" w:name="_Toc497300730"/>
      <w:bookmarkStart w:id="188" w:name="_Toc497312681"/>
      <w:r w:rsidRPr="003004BC">
        <w:t>Phone (Toll free): 1300 362 072</w:t>
      </w:r>
      <w:r w:rsidRPr="003004BC">
        <w:br/>
        <w:t xml:space="preserve">Email: </w:t>
      </w:r>
      <w:hyperlink r:id="rId29" w:history="1">
        <w:r w:rsidRPr="003004BC">
          <w:t>ombudsman@ombudsman.gov.au</w:t>
        </w:r>
      </w:hyperlink>
      <w:r w:rsidRPr="003004BC">
        <w:t xml:space="preserve"> </w:t>
      </w:r>
      <w:r w:rsidRPr="003004BC">
        <w:br/>
        <w:t xml:space="preserve">Website: </w:t>
      </w:r>
      <w:hyperlink r:id="rId30" w:history="1">
        <w:r w:rsidRPr="003004BC">
          <w:t>www.ombudsman.gov.au</w:t>
        </w:r>
        <w:bookmarkEnd w:id="184"/>
        <w:bookmarkEnd w:id="185"/>
        <w:bookmarkEnd w:id="186"/>
        <w:bookmarkEnd w:id="187"/>
        <w:bookmarkEnd w:id="188"/>
      </w:hyperlink>
    </w:p>
    <w:p w14:paraId="45BD0F35" w14:textId="77777777" w:rsidR="00340616" w:rsidRPr="00B72EE8" w:rsidRDefault="00340616" w:rsidP="00892C8B">
      <w:pPr>
        <w:pStyle w:val="Heading2Numbered"/>
        <w:ind w:left="709" w:hanging="709"/>
      </w:pPr>
      <w:bookmarkStart w:id="189" w:name="_Toc421777633"/>
      <w:bookmarkStart w:id="190" w:name="_Toc467773992"/>
      <w:bookmarkStart w:id="191" w:name="_Toc497819792"/>
      <w:r w:rsidRPr="00B72EE8">
        <w:t>Conflict of interest</w:t>
      </w:r>
      <w:bookmarkEnd w:id="189"/>
      <w:bookmarkEnd w:id="190"/>
      <w:bookmarkEnd w:id="191"/>
    </w:p>
    <w:p w14:paraId="00FD4E0F" w14:textId="77777777" w:rsidR="00E257C2" w:rsidRPr="000C2AE0" w:rsidRDefault="00E257C2" w:rsidP="00E257C2">
      <w:r w:rsidRPr="00854277">
        <w:t xml:space="preserve">Any conflicts of interest could affect the performance of the </w:t>
      </w:r>
      <w:r w:rsidRPr="000C2AE0">
        <w:t xml:space="preserve">grant.  There may be a </w:t>
      </w:r>
      <w:hyperlink r:id="rId31"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10A834D9"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2000206F"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14:paraId="3FE8F8C3"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679C1609"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6A063A79"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0BFE20AE" w14:textId="79937DA9" w:rsidR="00E257C2" w:rsidRPr="000C2AE0" w:rsidRDefault="00E257C2" w:rsidP="00340616">
      <w:r w:rsidRPr="000C2AE0">
        <w:t xml:space="preserve">The </w:t>
      </w:r>
      <w:r w:rsidR="003004BC">
        <w:t xml:space="preserve">Community Grants Hub </w:t>
      </w:r>
      <w:r w:rsidRPr="000C2AE0">
        <w:t xml:space="preserve">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2" w:tooltip="Conflict of Interest" w:history="1">
        <w:r w:rsidRPr="000C2AE0">
          <w:rPr>
            <w:rStyle w:val="Hyperlink"/>
            <w:rFonts w:eastAsiaTheme="majorEastAsia"/>
          </w:rPr>
          <w:t>Community Grants Hub</w:t>
        </w:r>
      </w:hyperlink>
      <w:r w:rsidRPr="000C2AE0">
        <w:t xml:space="preserve"> website.</w:t>
      </w:r>
    </w:p>
    <w:p w14:paraId="2F387C31" w14:textId="77777777" w:rsidR="00340616" w:rsidRPr="00440282" w:rsidRDefault="00340616" w:rsidP="00DA737C">
      <w:pPr>
        <w:pStyle w:val="Heading2Numbered"/>
        <w:tabs>
          <w:tab w:val="left" w:pos="993"/>
        </w:tabs>
        <w:ind w:left="709" w:hanging="709"/>
      </w:pPr>
      <w:bookmarkStart w:id="192" w:name="_Toc421777634"/>
      <w:bookmarkStart w:id="193" w:name="_Toc467773993"/>
      <w:bookmarkStart w:id="194" w:name="_Toc497819793"/>
      <w:r w:rsidRPr="00B72EE8">
        <w:lastRenderedPageBreak/>
        <w:t>Privacy: confidentiality and protection of personal information</w:t>
      </w:r>
      <w:bookmarkEnd w:id="192"/>
      <w:bookmarkEnd w:id="193"/>
      <w:bookmarkEnd w:id="194"/>
    </w:p>
    <w:p w14:paraId="25013A7F"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3B2DD3A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681EA73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7B02674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26414818"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3"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31777BD7"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FD6A6A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78C3E2FA"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05F0194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6707A77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2BB164A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4F6FAA1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09DC45F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6275BF65"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5A3C6047"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594674C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7EFB198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lastRenderedPageBreak/>
        <w:t>Public Service Regulations 1999</w:t>
      </w:r>
    </w:p>
    <w:p w14:paraId="02107B4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4D566E9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07DCA2B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365B48D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6706D57E"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0C393E1C"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0B106AE7"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14:paraId="0FE1D246"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654C7D4D"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426FE3D1"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59839188" w14:textId="77777777" w:rsidR="00340616" w:rsidRDefault="00340616" w:rsidP="00DA737C">
      <w:pPr>
        <w:pStyle w:val="Heading2Numbered"/>
        <w:tabs>
          <w:tab w:val="left" w:pos="993"/>
        </w:tabs>
        <w:ind w:left="709" w:hanging="709"/>
      </w:pPr>
      <w:bookmarkStart w:id="195" w:name="_Toc421777635"/>
      <w:bookmarkStart w:id="196" w:name="_Toc467773994"/>
      <w:bookmarkStart w:id="197" w:name="_Toc497819794"/>
      <w:r w:rsidRPr="00B72EE8">
        <w:t>Freedom of information</w:t>
      </w:r>
      <w:bookmarkEnd w:id="195"/>
      <w:bookmarkEnd w:id="196"/>
      <w:bookmarkEnd w:id="197"/>
    </w:p>
    <w:p w14:paraId="2772E89F"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E52E9E9"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DE47ACB"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51478DFE"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411F37B8"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65A95DA4" w14:textId="06866544" w:rsidR="00533BCE" w:rsidRPr="00A9798A" w:rsidRDefault="00A209EC" w:rsidP="00A9798A">
      <w:pPr>
        <w:tabs>
          <w:tab w:val="left" w:pos="1418"/>
        </w:tabs>
        <w:spacing w:before="0" w:after="0" w:line="240" w:lineRule="auto"/>
        <w:ind w:left="2836" w:hanging="1418"/>
      </w:pPr>
      <w:r>
        <w:t>Government and Executive Services</w:t>
      </w:r>
      <w:r w:rsidRPr="00A9798A">
        <w:t xml:space="preserve"> </w:t>
      </w:r>
      <w:r w:rsidR="00533BCE" w:rsidRPr="00A9798A">
        <w:t>Branch</w:t>
      </w:r>
    </w:p>
    <w:p w14:paraId="2D7A4794" w14:textId="77777777" w:rsidR="00533BCE" w:rsidRPr="00A9798A" w:rsidRDefault="00533BCE" w:rsidP="00A9798A">
      <w:pPr>
        <w:tabs>
          <w:tab w:val="left" w:pos="1418"/>
        </w:tabs>
        <w:spacing w:before="0" w:after="0" w:line="240" w:lineRule="auto"/>
        <w:ind w:left="2836" w:hanging="1418"/>
      </w:pPr>
      <w:r w:rsidRPr="00A9798A">
        <w:t>GPO Box 9820</w:t>
      </w:r>
    </w:p>
    <w:p w14:paraId="4718BAED" w14:textId="77777777" w:rsidR="00533BCE" w:rsidRPr="00A9798A" w:rsidRDefault="00533BCE" w:rsidP="00A9798A">
      <w:pPr>
        <w:tabs>
          <w:tab w:val="left" w:pos="1418"/>
        </w:tabs>
        <w:spacing w:before="0" w:after="0" w:line="240" w:lineRule="auto"/>
        <w:ind w:left="2836" w:hanging="1418"/>
      </w:pPr>
      <w:r w:rsidRPr="00A9798A">
        <w:t>Canberra  ACT  2601</w:t>
      </w:r>
    </w:p>
    <w:p w14:paraId="1AC7FEDA" w14:textId="77777777" w:rsidR="00340616" w:rsidRPr="00B72EE8" w:rsidRDefault="00340616" w:rsidP="00340616">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0588A221" w14:textId="77777777" w:rsidR="00340616" w:rsidRDefault="00340616" w:rsidP="00DA737C">
      <w:pPr>
        <w:pStyle w:val="Heading2Numbered"/>
        <w:tabs>
          <w:tab w:val="left" w:pos="993"/>
        </w:tabs>
        <w:ind w:left="709" w:hanging="709"/>
      </w:pPr>
      <w:bookmarkStart w:id="198" w:name="_Toc421777637"/>
      <w:bookmarkStart w:id="199" w:name="_Toc467773995"/>
      <w:bookmarkStart w:id="200" w:name="_Toc497819795"/>
      <w:r w:rsidRPr="00B72EE8">
        <w:lastRenderedPageBreak/>
        <w:t>Consultation</w:t>
      </w:r>
      <w:bookmarkEnd w:id="198"/>
      <w:bookmarkEnd w:id="199"/>
      <w:bookmarkEnd w:id="200"/>
    </w:p>
    <w:p w14:paraId="65C0708D"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5" w:history="1">
        <w:r w:rsidRPr="00660E8D">
          <w:rPr>
            <w:rStyle w:val="Hyperlink"/>
            <w:rFonts w:cstheme="minorBidi"/>
          </w:rPr>
          <w:t>Try, Test and Learn Fund DSS Engage website</w:t>
        </w:r>
      </w:hyperlink>
      <w:r w:rsidRPr="00854277">
        <w:t>.</w:t>
      </w:r>
      <w:bookmarkStart w:id="201" w:name="_Toc467773996"/>
    </w:p>
    <w:p w14:paraId="22AAC3A4"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0C202C12" w14:textId="3509C41E" w:rsidR="00340616" w:rsidRDefault="00340616" w:rsidP="0054078D">
      <w:pPr>
        <w:pStyle w:val="Heading1Numbered"/>
      </w:pPr>
      <w:bookmarkStart w:id="202" w:name="_Toc497819796"/>
      <w:r w:rsidRPr="00B72EE8">
        <w:lastRenderedPageBreak/>
        <w:t>Glossary</w:t>
      </w:r>
      <w:bookmarkEnd w:id="201"/>
      <w:bookmarkEnd w:id="20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009157CC" w14:textId="77777777" w:rsidTr="00484CAF">
        <w:trPr>
          <w:cantSplit/>
          <w:tblHeader/>
        </w:trPr>
        <w:tc>
          <w:tcPr>
            <w:tcW w:w="2513" w:type="dxa"/>
          </w:tcPr>
          <w:p w14:paraId="49475893"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511DD56B"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20CFBFF6" w14:textId="77777777" w:rsidTr="00484CAF">
        <w:trPr>
          <w:cantSplit/>
        </w:trPr>
        <w:tc>
          <w:tcPr>
            <w:tcW w:w="2513" w:type="dxa"/>
          </w:tcPr>
          <w:p w14:paraId="62E1CC21"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0B60EF7A"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specified principles or standards against which applications will be judged. These criteria are also used to assess the merits of proposals and, in the case of a competitive granting activity, to determine applicant rankings. (as defined in the CGRGs)</w:t>
            </w:r>
          </w:p>
        </w:tc>
      </w:tr>
      <w:tr w:rsidR="00E257C2" w:rsidRPr="00484CAF" w14:paraId="647CC45F" w14:textId="77777777" w:rsidTr="00484CAF">
        <w:trPr>
          <w:cantSplit/>
        </w:trPr>
        <w:tc>
          <w:tcPr>
            <w:tcW w:w="2513" w:type="dxa"/>
          </w:tcPr>
          <w:p w14:paraId="5D041363"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0068A0B3"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48E99D70"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14:paraId="4549A42F"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352C86C7"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14:paraId="083B42C2"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2B461755" w14:textId="77777777" w:rsidTr="00484CAF">
        <w:trPr>
          <w:cantSplit/>
        </w:trPr>
        <w:tc>
          <w:tcPr>
            <w:tcW w:w="2513" w:type="dxa"/>
          </w:tcPr>
          <w:p w14:paraId="21865DAF"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3AC4CF00"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5F84502F" w14:textId="77777777" w:rsidTr="00484CAF">
        <w:trPr>
          <w:cantSplit/>
        </w:trPr>
        <w:tc>
          <w:tcPr>
            <w:tcW w:w="2513" w:type="dxa"/>
          </w:tcPr>
          <w:p w14:paraId="3AF9D3AC"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1D3A4561"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1F250F05" w14:textId="77777777" w:rsidTr="00484CAF">
        <w:trPr>
          <w:cantSplit/>
        </w:trPr>
        <w:tc>
          <w:tcPr>
            <w:tcW w:w="2513" w:type="dxa"/>
          </w:tcPr>
          <w:p w14:paraId="720512E2"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47B252F3"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173BB4B2" w14:textId="77777777" w:rsidTr="00484CAF">
        <w:trPr>
          <w:cantSplit/>
        </w:trPr>
        <w:tc>
          <w:tcPr>
            <w:tcW w:w="2513" w:type="dxa"/>
          </w:tcPr>
          <w:p w14:paraId="6BBDE504"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6F07BF1D"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460B851F" w14:textId="77777777" w:rsidTr="00484CAF">
        <w:trPr>
          <w:cantSplit/>
        </w:trPr>
        <w:tc>
          <w:tcPr>
            <w:tcW w:w="2513" w:type="dxa"/>
          </w:tcPr>
          <w:p w14:paraId="688FDF90"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72807B6A"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(as defined in the CGRGs).</w:t>
            </w:r>
          </w:p>
        </w:tc>
      </w:tr>
      <w:tr w:rsidR="00484CAF" w:rsidRPr="00484CAF" w14:paraId="23710BFC" w14:textId="77777777" w:rsidTr="00484CAF">
        <w:trPr>
          <w:cantSplit/>
        </w:trPr>
        <w:tc>
          <w:tcPr>
            <w:tcW w:w="2513" w:type="dxa"/>
          </w:tcPr>
          <w:p w14:paraId="42FEDA97"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Date of effect</w:t>
            </w:r>
          </w:p>
        </w:tc>
        <w:tc>
          <w:tcPr>
            <w:tcW w:w="6395" w:type="dxa"/>
          </w:tcPr>
          <w:p w14:paraId="4614B503" w14:textId="0CCE4651" w:rsidR="00484CAF" w:rsidRPr="00484CAF" w:rsidRDefault="00484CAF" w:rsidP="00407A6D">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r w:rsidR="00407A6D">
              <w:rPr>
                <w:rFonts w:asciiTheme="majorHAnsi" w:hAnsiTheme="majorHAnsi" w:cstheme="majorHAnsi"/>
              </w:rPr>
              <w:t>.</w:t>
            </w:r>
          </w:p>
        </w:tc>
      </w:tr>
      <w:tr w:rsidR="00484CAF" w:rsidRPr="00484CAF" w14:paraId="27AE4BFA" w14:textId="77777777" w:rsidTr="00484CAF">
        <w:trPr>
          <w:cantSplit/>
        </w:trPr>
        <w:tc>
          <w:tcPr>
            <w:tcW w:w="2513" w:type="dxa"/>
          </w:tcPr>
          <w:p w14:paraId="42E5787F"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784C7195"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3E461441" w14:textId="77777777" w:rsidTr="00484CAF">
        <w:trPr>
          <w:cantSplit/>
        </w:trPr>
        <w:tc>
          <w:tcPr>
            <w:tcW w:w="2513" w:type="dxa"/>
          </w:tcPr>
          <w:p w14:paraId="64A5908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3EA79684" w14:textId="606C3DB5" w:rsidR="00484CAF" w:rsidRPr="00484CAF" w:rsidRDefault="00484CAF" w:rsidP="00407A6D">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r w:rsidR="00407A6D">
              <w:rPr>
                <w:rFonts w:asciiTheme="majorHAnsi" w:hAnsiTheme="majorHAnsi" w:cstheme="majorHAnsi"/>
              </w:rPr>
              <w:t>.</w:t>
            </w:r>
          </w:p>
        </w:tc>
      </w:tr>
      <w:tr w:rsidR="00484CAF" w:rsidRPr="00484CAF" w14:paraId="12CB3358" w14:textId="77777777" w:rsidTr="00484CAF">
        <w:trPr>
          <w:cantSplit/>
        </w:trPr>
        <w:tc>
          <w:tcPr>
            <w:tcW w:w="2513" w:type="dxa"/>
          </w:tcPr>
          <w:p w14:paraId="2183D45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5975AF19" w14:textId="33883002" w:rsidR="00484CAF" w:rsidRPr="00484CAF" w:rsidRDefault="00484CAF" w:rsidP="00407A6D">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r w:rsidR="00407A6D">
              <w:rPr>
                <w:rFonts w:asciiTheme="majorHAnsi" w:hAnsiTheme="majorHAnsi" w:cstheme="majorHAnsi"/>
              </w:rPr>
              <w:t>.</w:t>
            </w:r>
          </w:p>
        </w:tc>
      </w:tr>
      <w:tr w:rsidR="00484CAF" w:rsidRPr="00484CAF" w14:paraId="3CC54EEF" w14:textId="77777777" w:rsidTr="00484CAF">
        <w:trPr>
          <w:cantSplit/>
        </w:trPr>
        <w:tc>
          <w:tcPr>
            <w:tcW w:w="2513" w:type="dxa"/>
          </w:tcPr>
          <w:p w14:paraId="187D619B"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5C02268D" w14:textId="1F35C8B7" w:rsidR="00407A6D" w:rsidRPr="00463AB3" w:rsidRDefault="002402CF" w:rsidP="00407A6D">
            <w:pPr>
              <w:rPr>
                <w:rFonts w:cs="Arial"/>
                <w:lang w:eastAsia="en-AU"/>
              </w:rPr>
            </w:pPr>
            <w:r>
              <w:rPr>
                <w:rFonts w:cs="Arial"/>
                <w:lang w:eastAsia="en-AU"/>
              </w:rPr>
              <w:t>A</w:t>
            </w:r>
            <w:r w:rsidR="00407A6D" w:rsidRPr="00463AB3">
              <w:rPr>
                <w:rFonts w:cs="Arial"/>
                <w:lang w:eastAsia="en-AU"/>
              </w:rPr>
              <w:t xml:space="preserve"> grant is an arrangement for the provision of financial assistance by the Commonwealth or on behalf of the Commonwealth:</w:t>
            </w:r>
          </w:p>
          <w:p w14:paraId="598DC70A" w14:textId="77777777" w:rsidR="00407A6D" w:rsidRPr="00463AB3" w:rsidRDefault="00407A6D" w:rsidP="00407A6D">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10022154" w14:textId="4126671A" w:rsidR="00407A6D" w:rsidRPr="00C00DB5" w:rsidRDefault="00407A6D" w:rsidP="00C00DB5">
            <w:pPr>
              <w:numPr>
                <w:ilvl w:val="0"/>
                <w:numId w:val="7"/>
              </w:numPr>
              <w:suppressAutoHyphens w:val="0"/>
              <w:spacing w:before="0" w:after="40" w:line="240" w:lineRule="auto"/>
              <w:ind w:left="459" w:hanging="425"/>
              <w:rPr>
                <w:rFonts w:cs="Arial"/>
                <w:lang w:eastAsia="en-AU"/>
              </w:rPr>
            </w:pPr>
            <w:r w:rsidRPr="00C6691B">
              <w:rPr>
                <w:rFonts w:cs="Arial"/>
                <w:lang w:eastAsia="en-AU"/>
              </w:rPr>
              <w:t xml:space="preserve">which is intended to help address one or more of the Australian Government’s policy </w:t>
            </w:r>
            <w:r>
              <w:rPr>
                <w:rFonts w:cs="Arial"/>
                <w:lang w:eastAsia="en-AU"/>
              </w:rPr>
              <w:t>outcomes while assisting the grantee achieve its objectives</w:t>
            </w:r>
          </w:p>
        </w:tc>
      </w:tr>
      <w:tr w:rsidR="00484CAF" w:rsidRPr="00484CAF" w14:paraId="6E714420" w14:textId="77777777" w:rsidTr="00484CAF">
        <w:trPr>
          <w:cantSplit/>
        </w:trPr>
        <w:tc>
          <w:tcPr>
            <w:tcW w:w="2513" w:type="dxa"/>
          </w:tcPr>
          <w:p w14:paraId="7872023C"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48CCA8B7" w14:textId="5127D373"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7F555F">
              <w:rPr>
                <w:rFonts w:asciiTheme="majorHAnsi" w:hAnsiTheme="majorHAnsi" w:cstheme="majorHAnsi"/>
              </w:rPr>
              <w:t>.</w:t>
            </w:r>
            <w:r w:rsidR="00484CAF" w:rsidRPr="00484CAF">
              <w:rPr>
                <w:rFonts w:asciiTheme="majorHAnsi" w:hAnsiTheme="majorHAnsi" w:cstheme="majorHAnsi"/>
              </w:rPr>
              <w:t xml:space="preserve"> </w:t>
            </w:r>
          </w:p>
        </w:tc>
      </w:tr>
      <w:tr w:rsidR="00484CAF" w:rsidRPr="00484CAF" w14:paraId="28A4F75E" w14:textId="77777777" w:rsidTr="00484CAF">
        <w:trPr>
          <w:cantSplit/>
        </w:trPr>
        <w:tc>
          <w:tcPr>
            <w:tcW w:w="2513" w:type="dxa"/>
          </w:tcPr>
          <w:p w14:paraId="0A4F830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27635447" w14:textId="0B33D546" w:rsidR="00484CAF" w:rsidRPr="00484CAF" w:rsidRDefault="00C00DB5" w:rsidP="00407A6D">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375BE7FC" w14:textId="77777777" w:rsidTr="00543768">
        <w:trPr>
          <w:cantSplit/>
        </w:trPr>
        <w:tc>
          <w:tcPr>
            <w:tcW w:w="2513" w:type="dxa"/>
          </w:tcPr>
          <w:p w14:paraId="5BB2A73D"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6FC6C40C"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369965CC" w14:textId="77777777" w:rsidTr="00484CAF">
        <w:trPr>
          <w:cantSplit/>
        </w:trPr>
        <w:tc>
          <w:tcPr>
            <w:tcW w:w="2513" w:type="dxa"/>
          </w:tcPr>
          <w:p w14:paraId="5BDF907A"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2AB681AC"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74E4268D" w14:textId="77777777" w:rsidTr="00484CAF">
        <w:trPr>
          <w:cantSplit/>
        </w:trPr>
        <w:tc>
          <w:tcPr>
            <w:tcW w:w="2513" w:type="dxa"/>
          </w:tcPr>
          <w:p w14:paraId="35E3136F"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636D585F"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7F51E4CB" w14:textId="77777777" w:rsidTr="00484CAF">
        <w:trPr>
          <w:cantSplit/>
        </w:trPr>
        <w:tc>
          <w:tcPr>
            <w:tcW w:w="2513" w:type="dxa"/>
          </w:tcPr>
          <w:p w14:paraId="6FA7DA98"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lastRenderedPageBreak/>
              <w:t>Grantee</w:t>
            </w:r>
          </w:p>
        </w:tc>
        <w:tc>
          <w:tcPr>
            <w:tcW w:w="6395" w:type="dxa"/>
          </w:tcPr>
          <w:p w14:paraId="1579DE4D"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639F287F" w14:textId="77777777" w:rsidTr="00484CAF">
        <w:trPr>
          <w:cantSplit/>
        </w:trPr>
        <w:tc>
          <w:tcPr>
            <w:tcW w:w="2513" w:type="dxa"/>
          </w:tcPr>
          <w:p w14:paraId="03C3422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74CC7B32" w14:textId="5A17D6A6" w:rsidR="008A6AE4" w:rsidRDefault="008A6AE4" w:rsidP="00407A6D">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r w:rsidR="00407A6D">
              <w:rPr>
                <w:rFonts w:asciiTheme="majorHAnsi" w:hAnsiTheme="majorHAnsi" w:cstheme="majorHAnsi"/>
              </w:rPr>
              <w:t>.</w:t>
            </w:r>
          </w:p>
        </w:tc>
      </w:tr>
      <w:tr w:rsidR="008A6AE4" w:rsidRPr="00484CAF" w14:paraId="7661052F" w14:textId="77777777" w:rsidTr="00484CAF">
        <w:trPr>
          <w:cantSplit/>
        </w:trPr>
        <w:tc>
          <w:tcPr>
            <w:tcW w:w="2513" w:type="dxa"/>
          </w:tcPr>
          <w:p w14:paraId="6BE1696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41946E87" w14:textId="5F927A04" w:rsidR="008A6AE4" w:rsidRDefault="008A6AE4" w:rsidP="00407A6D">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and / or the assessment criteria</w:t>
            </w:r>
            <w:r w:rsidR="00407A6D">
              <w:rPr>
                <w:rFonts w:asciiTheme="majorHAnsi" w:hAnsiTheme="majorHAnsi" w:cstheme="majorHAnsi"/>
              </w:rPr>
              <w:t>.</w:t>
            </w:r>
          </w:p>
        </w:tc>
      </w:tr>
    </w:tbl>
    <w:p w14:paraId="0310DB9B" w14:textId="77777777" w:rsidR="00340616" w:rsidRDefault="00340616" w:rsidP="00340616">
      <w:pPr>
        <w:spacing w:after="0" w:line="240" w:lineRule="auto"/>
      </w:pPr>
    </w:p>
    <w:sectPr w:rsidR="00340616" w:rsidSect="005A41E0">
      <w:headerReference w:type="default" r:id="rId36"/>
      <w:footerReference w:type="default" r:id="rId37"/>
      <w:headerReference w:type="first" r:id="rId38"/>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B363" w14:textId="77777777" w:rsidR="00AE07C0" w:rsidRDefault="00AE07C0" w:rsidP="00EF4574">
      <w:pPr>
        <w:spacing w:before="0" w:after="0" w:line="240" w:lineRule="auto"/>
      </w:pPr>
      <w:r>
        <w:separator/>
      </w:r>
    </w:p>
    <w:p w14:paraId="7DBBA8DD" w14:textId="77777777" w:rsidR="00AE07C0" w:rsidRDefault="00AE07C0"/>
  </w:endnote>
  <w:endnote w:type="continuationSeparator" w:id="0">
    <w:p w14:paraId="6EB63AF3" w14:textId="77777777" w:rsidR="00AE07C0" w:rsidRDefault="00AE07C0" w:rsidP="00EF4574">
      <w:pPr>
        <w:spacing w:before="0" w:after="0" w:line="240" w:lineRule="auto"/>
      </w:pPr>
      <w:r>
        <w:continuationSeparator/>
      </w:r>
    </w:p>
    <w:p w14:paraId="600077E8" w14:textId="77777777" w:rsidR="00AE07C0" w:rsidRDefault="00AE0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2D7D" w14:textId="2510B28A" w:rsidR="009075CD" w:rsidRDefault="009075CD" w:rsidP="005970EA">
    <w:pPr>
      <w:pStyle w:val="Footer"/>
      <w:rPr>
        <w:noProof/>
      </w:rPr>
    </w:pPr>
    <w:r>
      <w:t xml:space="preserve"> </w:t>
    </w:r>
    <w:r>
      <w:tab/>
    </w:r>
    <w:r>
      <w:tab/>
    </w:r>
    <w:r>
      <w:fldChar w:fldCharType="begin"/>
    </w:r>
    <w:r>
      <w:instrText xml:space="preserve"> PAGE   \* MERGEFORMAT </w:instrText>
    </w:r>
    <w:r>
      <w:fldChar w:fldCharType="separate"/>
    </w:r>
    <w:r w:rsidR="009562FB">
      <w:rPr>
        <w:noProof/>
      </w:rPr>
      <w:t>4</w:t>
    </w:r>
    <w:r>
      <w:rPr>
        <w:noProof/>
      </w:rPr>
      <w:fldChar w:fldCharType="end"/>
    </w:r>
  </w:p>
  <w:p w14:paraId="4BB3EC9A" w14:textId="77777777" w:rsidR="009075CD" w:rsidRDefault="009075CD"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E03D" w14:textId="77777777" w:rsidR="00AE07C0" w:rsidRDefault="00AE07C0" w:rsidP="0020122A">
      <w:pPr>
        <w:pStyle w:val="FootnoteSeparator"/>
      </w:pPr>
    </w:p>
  </w:footnote>
  <w:footnote w:type="continuationSeparator" w:id="0">
    <w:p w14:paraId="232F11BA" w14:textId="77777777" w:rsidR="00AE07C0" w:rsidRDefault="00AE07C0" w:rsidP="00EF4574">
      <w:pPr>
        <w:spacing w:before="0" w:after="0" w:line="240" w:lineRule="auto"/>
      </w:pPr>
      <w:r>
        <w:continuationSeparator/>
      </w:r>
    </w:p>
    <w:p w14:paraId="5FC7D699" w14:textId="77777777" w:rsidR="00AE07C0" w:rsidRDefault="00AE07C0"/>
  </w:footnote>
  <w:footnote w:id="1">
    <w:p w14:paraId="7573A8F7" w14:textId="77777777" w:rsidR="009075CD" w:rsidRPr="003C0B88" w:rsidRDefault="009075CD"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5ACA2B66" w14:textId="17DA979B" w:rsidR="009075CD" w:rsidRPr="003C0B88" w:rsidRDefault="009075CD"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w:t>
      </w:r>
      <w:r w:rsidRPr="003C0B88">
        <w:t xml:space="preserve"> the Treasury</w:t>
      </w:r>
      <w:r>
        <w:t>;</w:t>
      </w:r>
      <w:r w:rsidRPr="003C0B88">
        <w:t xml:space="preserve"> the Australian Bureau of Statistics</w:t>
      </w:r>
      <w:r>
        <w:t>;</w:t>
      </w:r>
      <w:r w:rsidRPr="003C0B88">
        <w:t xml:space="preserve"> and the Australian Government Actuary.</w:t>
      </w:r>
    </w:p>
  </w:footnote>
  <w:footnote w:id="3">
    <w:p w14:paraId="42DCA99F" w14:textId="77777777" w:rsidR="009075CD" w:rsidRPr="001A4707" w:rsidRDefault="009075CD" w:rsidP="003D20E7">
      <w:pPr>
        <w:pStyle w:val="FootnoteText"/>
      </w:pPr>
      <w:r w:rsidRPr="001A4707">
        <w:rPr>
          <w:rStyle w:val="FootnoteReference"/>
        </w:rPr>
        <w:footnoteRef/>
      </w:r>
      <w:r w:rsidRPr="001A4707">
        <w:t xml:space="preserve"> See glossary</w:t>
      </w:r>
      <w:r>
        <w:t>.</w:t>
      </w:r>
    </w:p>
  </w:footnote>
  <w:footnote w:id="4">
    <w:p w14:paraId="2663FFDF" w14:textId="77777777" w:rsidR="009075CD" w:rsidRPr="00B3368C" w:rsidRDefault="009075CD" w:rsidP="006D7A41">
      <w:pPr>
        <w:pStyle w:val="FootnoteText"/>
      </w:pPr>
      <w:r w:rsidRPr="00B3368C">
        <w:rPr>
          <w:rStyle w:val="FootnoteReference"/>
        </w:rPr>
        <w:footnoteRef/>
      </w:r>
      <w:r w:rsidRPr="00B3368C">
        <w:t xml:space="preserve"> See glossary</w:t>
      </w:r>
      <w:r>
        <w:t>.</w:t>
      </w:r>
      <w:r w:rsidRPr="00B3368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24A3" w14:textId="77777777" w:rsidR="009075CD" w:rsidRPr="000A6A8B" w:rsidRDefault="009075CD"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C388" w14:textId="77777777" w:rsidR="009075CD" w:rsidRDefault="009075CD"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6E30F5"/>
    <w:multiLevelType w:val="hybridMultilevel"/>
    <w:tmpl w:val="6B3C6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8312F"/>
    <w:multiLevelType w:val="hybridMultilevel"/>
    <w:tmpl w:val="3F4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A9E7D91"/>
    <w:multiLevelType w:val="hybridMultilevel"/>
    <w:tmpl w:val="152E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9"/>
  </w:num>
  <w:num w:numId="2">
    <w:abstractNumId w:val="1"/>
  </w:num>
  <w:num w:numId="3">
    <w:abstractNumId w:val="10"/>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0"/>
  </w:num>
  <w:num w:numId="5">
    <w:abstractNumId w:val="22"/>
  </w:num>
  <w:num w:numId="6">
    <w:abstractNumId w:val="3"/>
  </w:num>
  <w:num w:numId="7">
    <w:abstractNumId w:val="5"/>
  </w:num>
  <w:num w:numId="8">
    <w:abstractNumId w:val="4"/>
  </w:num>
  <w:num w:numId="9">
    <w:abstractNumId w:val="7"/>
  </w:num>
  <w:num w:numId="10">
    <w:abstractNumId w:val="19"/>
  </w:num>
  <w:num w:numId="11">
    <w:abstractNumId w:val="26"/>
  </w:num>
  <w:num w:numId="12">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8"/>
  </w:num>
  <w:num w:numId="14">
    <w:abstractNumId w:val="18"/>
  </w:num>
  <w:num w:numId="15">
    <w:abstractNumId w:val="15"/>
  </w:num>
  <w:num w:numId="16">
    <w:abstractNumId w:val="10"/>
  </w:num>
  <w:num w:numId="17">
    <w:abstractNumId w:val="13"/>
  </w:num>
  <w:num w:numId="18">
    <w:abstractNumId w:val="6"/>
  </w:num>
  <w:num w:numId="19">
    <w:abstractNumId w:val="12"/>
  </w:num>
  <w:num w:numId="20">
    <w:abstractNumId w:val="9"/>
  </w:num>
  <w:num w:numId="21">
    <w:abstractNumId w:val="16"/>
  </w:num>
  <w:num w:numId="22">
    <w:abstractNumId w:val="11"/>
  </w:num>
  <w:num w:numId="23">
    <w:abstractNumId w:val="0"/>
  </w:num>
  <w:num w:numId="24">
    <w:abstractNumId w:val="27"/>
  </w:num>
  <w:num w:numId="25">
    <w:abstractNumId w:val="28"/>
  </w:num>
  <w:num w:numId="26">
    <w:abstractNumId w:val="23"/>
  </w:num>
  <w:num w:numId="27">
    <w:abstractNumId w:val="17"/>
  </w:num>
  <w:num w:numId="28">
    <w:abstractNumId w:val="2"/>
  </w:num>
  <w:num w:numId="29">
    <w:abstractNumId w:val="24"/>
  </w:num>
  <w:num w:numId="30">
    <w:abstractNumId w:val="21"/>
  </w:num>
  <w:num w:numId="31">
    <w:abstractNumId w:val="14"/>
  </w:num>
  <w:num w:numId="32">
    <w:abstractNumId w:val="25"/>
  </w:num>
  <w:num w:numId="33">
    <w:abstractNumId w:val="10"/>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34">
    <w:abstractNumId w:val="10"/>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48F"/>
    <w:rsid w:val="000134A9"/>
    <w:rsid w:val="00022868"/>
    <w:rsid w:val="00022F3B"/>
    <w:rsid w:val="00023985"/>
    <w:rsid w:val="0002782F"/>
    <w:rsid w:val="00031305"/>
    <w:rsid w:val="00045933"/>
    <w:rsid w:val="00050D65"/>
    <w:rsid w:val="00054E4D"/>
    <w:rsid w:val="00055293"/>
    <w:rsid w:val="00056305"/>
    <w:rsid w:val="00056942"/>
    <w:rsid w:val="00060073"/>
    <w:rsid w:val="000603C7"/>
    <w:rsid w:val="00061A22"/>
    <w:rsid w:val="000623A2"/>
    <w:rsid w:val="0006243E"/>
    <w:rsid w:val="00063A4B"/>
    <w:rsid w:val="00070FFC"/>
    <w:rsid w:val="000745F2"/>
    <w:rsid w:val="000829F4"/>
    <w:rsid w:val="00087833"/>
    <w:rsid w:val="00090928"/>
    <w:rsid w:val="000936CD"/>
    <w:rsid w:val="00096839"/>
    <w:rsid w:val="000A271A"/>
    <w:rsid w:val="000A4B30"/>
    <w:rsid w:val="000A6A8B"/>
    <w:rsid w:val="000B45D5"/>
    <w:rsid w:val="000C2A48"/>
    <w:rsid w:val="000C2A8F"/>
    <w:rsid w:val="000C2AE0"/>
    <w:rsid w:val="000C5F75"/>
    <w:rsid w:val="000C74F1"/>
    <w:rsid w:val="000D147A"/>
    <w:rsid w:val="000D55B4"/>
    <w:rsid w:val="000D60B1"/>
    <w:rsid w:val="000E0A75"/>
    <w:rsid w:val="000E17A4"/>
    <w:rsid w:val="000E1AD1"/>
    <w:rsid w:val="000E26BF"/>
    <w:rsid w:val="000E3880"/>
    <w:rsid w:val="000E3FC2"/>
    <w:rsid w:val="000E569F"/>
    <w:rsid w:val="000E5AD7"/>
    <w:rsid w:val="000E6ABA"/>
    <w:rsid w:val="000F21AC"/>
    <w:rsid w:val="000F3482"/>
    <w:rsid w:val="000F451B"/>
    <w:rsid w:val="000F576A"/>
    <w:rsid w:val="00100887"/>
    <w:rsid w:val="00103A95"/>
    <w:rsid w:val="00111F43"/>
    <w:rsid w:val="00114197"/>
    <w:rsid w:val="0011447A"/>
    <w:rsid w:val="001249CE"/>
    <w:rsid w:val="00131C22"/>
    <w:rsid w:val="00132CAB"/>
    <w:rsid w:val="001332EE"/>
    <w:rsid w:val="00135427"/>
    <w:rsid w:val="00136530"/>
    <w:rsid w:val="001459AB"/>
    <w:rsid w:val="001541EA"/>
    <w:rsid w:val="00155903"/>
    <w:rsid w:val="00157662"/>
    <w:rsid w:val="001612A4"/>
    <w:rsid w:val="00173C66"/>
    <w:rsid w:val="00173FA3"/>
    <w:rsid w:val="001777FE"/>
    <w:rsid w:val="00186E42"/>
    <w:rsid w:val="00192CC4"/>
    <w:rsid w:val="00192D86"/>
    <w:rsid w:val="001A0777"/>
    <w:rsid w:val="001A3699"/>
    <w:rsid w:val="001A629D"/>
    <w:rsid w:val="001A6693"/>
    <w:rsid w:val="001A6C3E"/>
    <w:rsid w:val="001A74DF"/>
    <w:rsid w:val="001B31BB"/>
    <w:rsid w:val="001C2B59"/>
    <w:rsid w:val="001C5431"/>
    <w:rsid w:val="001C71EB"/>
    <w:rsid w:val="001D3358"/>
    <w:rsid w:val="001D69EC"/>
    <w:rsid w:val="001D6EC7"/>
    <w:rsid w:val="001D7EB4"/>
    <w:rsid w:val="001E1DC0"/>
    <w:rsid w:val="001F6411"/>
    <w:rsid w:val="001F6504"/>
    <w:rsid w:val="001F6517"/>
    <w:rsid w:val="001F6D03"/>
    <w:rsid w:val="00200637"/>
    <w:rsid w:val="0020122A"/>
    <w:rsid w:val="00212A42"/>
    <w:rsid w:val="00231D20"/>
    <w:rsid w:val="0023583D"/>
    <w:rsid w:val="00235C6C"/>
    <w:rsid w:val="002402CF"/>
    <w:rsid w:val="00241945"/>
    <w:rsid w:val="0024217E"/>
    <w:rsid w:val="00243ABE"/>
    <w:rsid w:val="00246869"/>
    <w:rsid w:val="00250AEF"/>
    <w:rsid w:val="002543A8"/>
    <w:rsid w:val="0025763F"/>
    <w:rsid w:val="002579DC"/>
    <w:rsid w:val="00257D44"/>
    <w:rsid w:val="00262B5B"/>
    <w:rsid w:val="00263AD9"/>
    <w:rsid w:val="002830BD"/>
    <w:rsid w:val="0028602A"/>
    <w:rsid w:val="0028614F"/>
    <w:rsid w:val="00294D32"/>
    <w:rsid w:val="00296879"/>
    <w:rsid w:val="002A14F5"/>
    <w:rsid w:val="002A72C5"/>
    <w:rsid w:val="002B0C2A"/>
    <w:rsid w:val="002C0C57"/>
    <w:rsid w:val="002C1EBA"/>
    <w:rsid w:val="002C2526"/>
    <w:rsid w:val="002C45B2"/>
    <w:rsid w:val="002C7BB1"/>
    <w:rsid w:val="002D695D"/>
    <w:rsid w:val="002E10BE"/>
    <w:rsid w:val="002E10DB"/>
    <w:rsid w:val="002E3AF0"/>
    <w:rsid w:val="003004BC"/>
    <w:rsid w:val="00301144"/>
    <w:rsid w:val="00305CE0"/>
    <w:rsid w:val="003063D6"/>
    <w:rsid w:val="003066B2"/>
    <w:rsid w:val="00306F1F"/>
    <w:rsid w:val="003142DD"/>
    <w:rsid w:val="003148B7"/>
    <w:rsid w:val="003158C3"/>
    <w:rsid w:val="003274CD"/>
    <w:rsid w:val="0033082F"/>
    <w:rsid w:val="003357B0"/>
    <w:rsid w:val="00337B8B"/>
    <w:rsid w:val="00340616"/>
    <w:rsid w:val="0035119D"/>
    <w:rsid w:val="00353EA4"/>
    <w:rsid w:val="0036039B"/>
    <w:rsid w:val="00367A67"/>
    <w:rsid w:val="003717CD"/>
    <w:rsid w:val="00373842"/>
    <w:rsid w:val="00376B7C"/>
    <w:rsid w:val="00381884"/>
    <w:rsid w:val="00393B7C"/>
    <w:rsid w:val="003A120F"/>
    <w:rsid w:val="003A3478"/>
    <w:rsid w:val="003A71C5"/>
    <w:rsid w:val="003B4C5C"/>
    <w:rsid w:val="003B4F12"/>
    <w:rsid w:val="003B7157"/>
    <w:rsid w:val="003D016A"/>
    <w:rsid w:val="003D1805"/>
    <w:rsid w:val="003D20E7"/>
    <w:rsid w:val="003D2CCC"/>
    <w:rsid w:val="003E03E0"/>
    <w:rsid w:val="003E4C54"/>
    <w:rsid w:val="003E60A5"/>
    <w:rsid w:val="003E6529"/>
    <w:rsid w:val="003E743A"/>
    <w:rsid w:val="003F3468"/>
    <w:rsid w:val="003F6C38"/>
    <w:rsid w:val="004003E2"/>
    <w:rsid w:val="00402605"/>
    <w:rsid w:val="00404ACE"/>
    <w:rsid w:val="00407A6D"/>
    <w:rsid w:val="0041329A"/>
    <w:rsid w:val="00420FBF"/>
    <w:rsid w:val="00423350"/>
    <w:rsid w:val="00423F31"/>
    <w:rsid w:val="00431899"/>
    <w:rsid w:val="00431C81"/>
    <w:rsid w:val="00435059"/>
    <w:rsid w:val="004475DB"/>
    <w:rsid w:val="00465ADF"/>
    <w:rsid w:val="004706D4"/>
    <w:rsid w:val="0047509F"/>
    <w:rsid w:val="0047626F"/>
    <w:rsid w:val="00484CAF"/>
    <w:rsid w:val="00486804"/>
    <w:rsid w:val="004A4DD1"/>
    <w:rsid w:val="004A585D"/>
    <w:rsid w:val="004B3775"/>
    <w:rsid w:val="004B53C4"/>
    <w:rsid w:val="004C234A"/>
    <w:rsid w:val="004C2A06"/>
    <w:rsid w:val="004C5676"/>
    <w:rsid w:val="004C78B3"/>
    <w:rsid w:val="004D4F68"/>
    <w:rsid w:val="004E058F"/>
    <w:rsid w:val="004E0CC2"/>
    <w:rsid w:val="004E36E7"/>
    <w:rsid w:val="004E3B87"/>
    <w:rsid w:val="004E6002"/>
    <w:rsid w:val="004F0CE8"/>
    <w:rsid w:val="0050524B"/>
    <w:rsid w:val="00507A81"/>
    <w:rsid w:val="00510921"/>
    <w:rsid w:val="005109D5"/>
    <w:rsid w:val="00510AD3"/>
    <w:rsid w:val="00513348"/>
    <w:rsid w:val="00514857"/>
    <w:rsid w:val="00516AF3"/>
    <w:rsid w:val="00521A5F"/>
    <w:rsid w:val="00522B4D"/>
    <w:rsid w:val="0052721F"/>
    <w:rsid w:val="00527E06"/>
    <w:rsid w:val="00533B5D"/>
    <w:rsid w:val="00533BCE"/>
    <w:rsid w:val="00533C2B"/>
    <w:rsid w:val="00540776"/>
    <w:rsid w:val="0054078D"/>
    <w:rsid w:val="005407D5"/>
    <w:rsid w:val="00543768"/>
    <w:rsid w:val="0054385A"/>
    <w:rsid w:val="0054451B"/>
    <w:rsid w:val="005447A0"/>
    <w:rsid w:val="00554FFC"/>
    <w:rsid w:val="0055635C"/>
    <w:rsid w:val="005570E8"/>
    <w:rsid w:val="00560903"/>
    <w:rsid w:val="00571E68"/>
    <w:rsid w:val="00573367"/>
    <w:rsid w:val="00576C34"/>
    <w:rsid w:val="005867C3"/>
    <w:rsid w:val="005970EA"/>
    <w:rsid w:val="00597567"/>
    <w:rsid w:val="005A41E0"/>
    <w:rsid w:val="005B5F94"/>
    <w:rsid w:val="005C2DA0"/>
    <w:rsid w:val="005C37F0"/>
    <w:rsid w:val="005D00E1"/>
    <w:rsid w:val="005D2D36"/>
    <w:rsid w:val="005D7390"/>
    <w:rsid w:val="005E0682"/>
    <w:rsid w:val="005E1927"/>
    <w:rsid w:val="005E4089"/>
    <w:rsid w:val="005F3DD0"/>
    <w:rsid w:val="005F4563"/>
    <w:rsid w:val="00623BA1"/>
    <w:rsid w:val="00625E2C"/>
    <w:rsid w:val="006330A1"/>
    <w:rsid w:val="006338CC"/>
    <w:rsid w:val="006346BC"/>
    <w:rsid w:val="00647D91"/>
    <w:rsid w:val="006539C9"/>
    <w:rsid w:val="00655863"/>
    <w:rsid w:val="00660E8D"/>
    <w:rsid w:val="00661C4A"/>
    <w:rsid w:val="00664B9E"/>
    <w:rsid w:val="00664CEA"/>
    <w:rsid w:val="00666291"/>
    <w:rsid w:val="0066652A"/>
    <w:rsid w:val="00666D9D"/>
    <w:rsid w:val="00666FF9"/>
    <w:rsid w:val="006722DE"/>
    <w:rsid w:val="006732A4"/>
    <w:rsid w:val="006813E5"/>
    <w:rsid w:val="00682167"/>
    <w:rsid w:val="00685ACF"/>
    <w:rsid w:val="00694DF9"/>
    <w:rsid w:val="006B11FB"/>
    <w:rsid w:val="006B272D"/>
    <w:rsid w:val="006B5AA9"/>
    <w:rsid w:val="006B5D03"/>
    <w:rsid w:val="006C42AF"/>
    <w:rsid w:val="006C4DD1"/>
    <w:rsid w:val="006C742A"/>
    <w:rsid w:val="006D7A41"/>
    <w:rsid w:val="006E134B"/>
    <w:rsid w:val="006E3A29"/>
    <w:rsid w:val="006E42D8"/>
    <w:rsid w:val="006E6659"/>
    <w:rsid w:val="006E7D0F"/>
    <w:rsid w:val="006E7FC6"/>
    <w:rsid w:val="006F44AA"/>
    <w:rsid w:val="0070162F"/>
    <w:rsid w:val="00704563"/>
    <w:rsid w:val="00710DC9"/>
    <w:rsid w:val="00711D6F"/>
    <w:rsid w:val="00711D8E"/>
    <w:rsid w:val="00712672"/>
    <w:rsid w:val="00720CF0"/>
    <w:rsid w:val="007224D3"/>
    <w:rsid w:val="00726710"/>
    <w:rsid w:val="007310EF"/>
    <w:rsid w:val="0073254F"/>
    <w:rsid w:val="00732B76"/>
    <w:rsid w:val="00734E3F"/>
    <w:rsid w:val="00736985"/>
    <w:rsid w:val="00737A13"/>
    <w:rsid w:val="00744EF4"/>
    <w:rsid w:val="007453B7"/>
    <w:rsid w:val="00747B2A"/>
    <w:rsid w:val="00752B86"/>
    <w:rsid w:val="00753C6D"/>
    <w:rsid w:val="007733CF"/>
    <w:rsid w:val="00782823"/>
    <w:rsid w:val="00794773"/>
    <w:rsid w:val="007A09A9"/>
    <w:rsid w:val="007A0CD6"/>
    <w:rsid w:val="007A25F0"/>
    <w:rsid w:val="007A44C8"/>
    <w:rsid w:val="007B1A1A"/>
    <w:rsid w:val="007B6200"/>
    <w:rsid w:val="007B717D"/>
    <w:rsid w:val="007C24EA"/>
    <w:rsid w:val="007C3BD2"/>
    <w:rsid w:val="007D1C9C"/>
    <w:rsid w:val="007D53F9"/>
    <w:rsid w:val="007D6319"/>
    <w:rsid w:val="007F555F"/>
    <w:rsid w:val="00800730"/>
    <w:rsid w:val="00801B9F"/>
    <w:rsid w:val="008157F5"/>
    <w:rsid w:val="0082468B"/>
    <w:rsid w:val="00825971"/>
    <w:rsid w:val="00831521"/>
    <w:rsid w:val="00833C74"/>
    <w:rsid w:val="00834540"/>
    <w:rsid w:val="00834F26"/>
    <w:rsid w:val="00844ABE"/>
    <w:rsid w:val="008551FB"/>
    <w:rsid w:val="00865F97"/>
    <w:rsid w:val="00874140"/>
    <w:rsid w:val="00876CDB"/>
    <w:rsid w:val="00880B3F"/>
    <w:rsid w:val="00883509"/>
    <w:rsid w:val="00884478"/>
    <w:rsid w:val="008873D4"/>
    <w:rsid w:val="00892C8B"/>
    <w:rsid w:val="0089786A"/>
    <w:rsid w:val="008A2641"/>
    <w:rsid w:val="008A3AF7"/>
    <w:rsid w:val="008A4061"/>
    <w:rsid w:val="008A6AE4"/>
    <w:rsid w:val="008B5604"/>
    <w:rsid w:val="008B62C7"/>
    <w:rsid w:val="008B7DC0"/>
    <w:rsid w:val="008D36A3"/>
    <w:rsid w:val="008D4A99"/>
    <w:rsid w:val="008E2331"/>
    <w:rsid w:val="008F5D6A"/>
    <w:rsid w:val="00905C4C"/>
    <w:rsid w:val="009075CD"/>
    <w:rsid w:val="0091452D"/>
    <w:rsid w:val="0092109A"/>
    <w:rsid w:val="00925ECE"/>
    <w:rsid w:val="00932DDC"/>
    <w:rsid w:val="00934073"/>
    <w:rsid w:val="00934587"/>
    <w:rsid w:val="0094239B"/>
    <w:rsid w:val="00943028"/>
    <w:rsid w:val="00944CBE"/>
    <w:rsid w:val="00950336"/>
    <w:rsid w:val="009525F4"/>
    <w:rsid w:val="00954ABA"/>
    <w:rsid w:val="009562FB"/>
    <w:rsid w:val="009625B7"/>
    <w:rsid w:val="00963204"/>
    <w:rsid w:val="00971FF6"/>
    <w:rsid w:val="00984B3C"/>
    <w:rsid w:val="0099183F"/>
    <w:rsid w:val="009A2DA7"/>
    <w:rsid w:val="009A3A32"/>
    <w:rsid w:val="009B29E3"/>
    <w:rsid w:val="009B4D3B"/>
    <w:rsid w:val="009C1969"/>
    <w:rsid w:val="009C4265"/>
    <w:rsid w:val="009D490D"/>
    <w:rsid w:val="009D7407"/>
    <w:rsid w:val="009E0866"/>
    <w:rsid w:val="009E1600"/>
    <w:rsid w:val="009E676B"/>
    <w:rsid w:val="009F1560"/>
    <w:rsid w:val="009F2ADA"/>
    <w:rsid w:val="00A140C1"/>
    <w:rsid w:val="00A1658E"/>
    <w:rsid w:val="00A209EC"/>
    <w:rsid w:val="00A20E8E"/>
    <w:rsid w:val="00A22DDB"/>
    <w:rsid w:val="00A24A62"/>
    <w:rsid w:val="00A256BF"/>
    <w:rsid w:val="00A275FD"/>
    <w:rsid w:val="00A30E28"/>
    <w:rsid w:val="00A31C9F"/>
    <w:rsid w:val="00A35DDC"/>
    <w:rsid w:val="00A45611"/>
    <w:rsid w:val="00A50E03"/>
    <w:rsid w:val="00A632E3"/>
    <w:rsid w:val="00A668C8"/>
    <w:rsid w:val="00A72617"/>
    <w:rsid w:val="00A74693"/>
    <w:rsid w:val="00A758C7"/>
    <w:rsid w:val="00A75BF8"/>
    <w:rsid w:val="00A77ECA"/>
    <w:rsid w:val="00A90B3B"/>
    <w:rsid w:val="00A90EFA"/>
    <w:rsid w:val="00A92A2E"/>
    <w:rsid w:val="00A9798A"/>
    <w:rsid w:val="00A97C9C"/>
    <w:rsid w:val="00AA17B3"/>
    <w:rsid w:val="00AA2962"/>
    <w:rsid w:val="00AA49FE"/>
    <w:rsid w:val="00AB19CF"/>
    <w:rsid w:val="00AB2F67"/>
    <w:rsid w:val="00AB76B6"/>
    <w:rsid w:val="00AC164A"/>
    <w:rsid w:val="00AC390E"/>
    <w:rsid w:val="00AC42A0"/>
    <w:rsid w:val="00AC595C"/>
    <w:rsid w:val="00AC5A39"/>
    <w:rsid w:val="00AD16EC"/>
    <w:rsid w:val="00AD5B39"/>
    <w:rsid w:val="00AE07C0"/>
    <w:rsid w:val="00AE5A5C"/>
    <w:rsid w:val="00AF2050"/>
    <w:rsid w:val="00AF23B9"/>
    <w:rsid w:val="00AF4DBE"/>
    <w:rsid w:val="00B008A6"/>
    <w:rsid w:val="00B00A69"/>
    <w:rsid w:val="00B0337A"/>
    <w:rsid w:val="00B13E39"/>
    <w:rsid w:val="00B23539"/>
    <w:rsid w:val="00B2527A"/>
    <w:rsid w:val="00B329FD"/>
    <w:rsid w:val="00B37D76"/>
    <w:rsid w:val="00B424E7"/>
    <w:rsid w:val="00B450AF"/>
    <w:rsid w:val="00B63758"/>
    <w:rsid w:val="00B667B8"/>
    <w:rsid w:val="00B6687E"/>
    <w:rsid w:val="00B80ED3"/>
    <w:rsid w:val="00B82540"/>
    <w:rsid w:val="00B86B1D"/>
    <w:rsid w:val="00B86CAD"/>
    <w:rsid w:val="00B90A32"/>
    <w:rsid w:val="00B94DA6"/>
    <w:rsid w:val="00B97891"/>
    <w:rsid w:val="00BA0B24"/>
    <w:rsid w:val="00BA585C"/>
    <w:rsid w:val="00BB0065"/>
    <w:rsid w:val="00BB1EF9"/>
    <w:rsid w:val="00BB26C5"/>
    <w:rsid w:val="00BB7BA0"/>
    <w:rsid w:val="00BC0C62"/>
    <w:rsid w:val="00BC5858"/>
    <w:rsid w:val="00BC6107"/>
    <w:rsid w:val="00BD1DD2"/>
    <w:rsid w:val="00BD3BD3"/>
    <w:rsid w:val="00BE0F17"/>
    <w:rsid w:val="00BE2353"/>
    <w:rsid w:val="00BE6608"/>
    <w:rsid w:val="00BF009A"/>
    <w:rsid w:val="00BF18F9"/>
    <w:rsid w:val="00BF4DE6"/>
    <w:rsid w:val="00BF637F"/>
    <w:rsid w:val="00C0050D"/>
    <w:rsid w:val="00C00DB5"/>
    <w:rsid w:val="00C13514"/>
    <w:rsid w:val="00C2084D"/>
    <w:rsid w:val="00C20A7A"/>
    <w:rsid w:val="00C26150"/>
    <w:rsid w:val="00C2676C"/>
    <w:rsid w:val="00C30AF2"/>
    <w:rsid w:val="00C329B0"/>
    <w:rsid w:val="00C337CB"/>
    <w:rsid w:val="00C34CE5"/>
    <w:rsid w:val="00C35619"/>
    <w:rsid w:val="00C37980"/>
    <w:rsid w:val="00C41D2A"/>
    <w:rsid w:val="00C42CDE"/>
    <w:rsid w:val="00C621CF"/>
    <w:rsid w:val="00C62589"/>
    <w:rsid w:val="00C712FF"/>
    <w:rsid w:val="00C74FBC"/>
    <w:rsid w:val="00C836BC"/>
    <w:rsid w:val="00C83C96"/>
    <w:rsid w:val="00C966CD"/>
    <w:rsid w:val="00CA1F6C"/>
    <w:rsid w:val="00CA37B1"/>
    <w:rsid w:val="00CB1959"/>
    <w:rsid w:val="00CC2AA4"/>
    <w:rsid w:val="00CC4942"/>
    <w:rsid w:val="00CE0F84"/>
    <w:rsid w:val="00CE251D"/>
    <w:rsid w:val="00CE7202"/>
    <w:rsid w:val="00CF0CF0"/>
    <w:rsid w:val="00CF264C"/>
    <w:rsid w:val="00D0296C"/>
    <w:rsid w:val="00D07D91"/>
    <w:rsid w:val="00D14978"/>
    <w:rsid w:val="00D22869"/>
    <w:rsid w:val="00D268E6"/>
    <w:rsid w:val="00D3569B"/>
    <w:rsid w:val="00D46D82"/>
    <w:rsid w:val="00D52A42"/>
    <w:rsid w:val="00D60DC9"/>
    <w:rsid w:val="00D649C1"/>
    <w:rsid w:val="00D67EA7"/>
    <w:rsid w:val="00D81149"/>
    <w:rsid w:val="00DA65BF"/>
    <w:rsid w:val="00DA737C"/>
    <w:rsid w:val="00DB0615"/>
    <w:rsid w:val="00DB0937"/>
    <w:rsid w:val="00DB6D69"/>
    <w:rsid w:val="00DC1682"/>
    <w:rsid w:val="00DC29EA"/>
    <w:rsid w:val="00DC322C"/>
    <w:rsid w:val="00DC430B"/>
    <w:rsid w:val="00DD52C8"/>
    <w:rsid w:val="00DE3434"/>
    <w:rsid w:val="00DE3E90"/>
    <w:rsid w:val="00DF25F7"/>
    <w:rsid w:val="00E04509"/>
    <w:rsid w:val="00E11CCA"/>
    <w:rsid w:val="00E13473"/>
    <w:rsid w:val="00E17504"/>
    <w:rsid w:val="00E255D2"/>
    <w:rsid w:val="00E257C2"/>
    <w:rsid w:val="00E304B4"/>
    <w:rsid w:val="00E32FB2"/>
    <w:rsid w:val="00E357B7"/>
    <w:rsid w:val="00E36E03"/>
    <w:rsid w:val="00E41F8D"/>
    <w:rsid w:val="00E44E21"/>
    <w:rsid w:val="00E45535"/>
    <w:rsid w:val="00E472B4"/>
    <w:rsid w:val="00E50A2A"/>
    <w:rsid w:val="00E53800"/>
    <w:rsid w:val="00E53EBF"/>
    <w:rsid w:val="00E6081F"/>
    <w:rsid w:val="00E71B07"/>
    <w:rsid w:val="00E777BA"/>
    <w:rsid w:val="00E80B2B"/>
    <w:rsid w:val="00E831E2"/>
    <w:rsid w:val="00E96706"/>
    <w:rsid w:val="00EA04B2"/>
    <w:rsid w:val="00EA12DC"/>
    <w:rsid w:val="00EA20F3"/>
    <w:rsid w:val="00EA2288"/>
    <w:rsid w:val="00EA3B0E"/>
    <w:rsid w:val="00EA4635"/>
    <w:rsid w:val="00EA52E9"/>
    <w:rsid w:val="00EA75C1"/>
    <w:rsid w:val="00EB0872"/>
    <w:rsid w:val="00EB1C4D"/>
    <w:rsid w:val="00EB4889"/>
    <w:rsid w:val="00EC4FD1"/>
    <w:rsid w:val="00ED20D8"/>
    <w:rsid w:val="00ED43D1"/>
    <w:rsid w:val="00ED597D"/>
    <w:rsid w:val="00EE2B1C"/>
    <w:rsid w:val="00EE4EE1"/>
    <w:rsid w:val="00EF42BC"/>
    <w:rsid w:val="00EF4574"/>
    <w:rsid w:val="00EF76BD"/>
    <w:rsid w:val="00EF7B34"/>
    <w:rsid w:val="00F063BD"/>
    <w:rsid w:val="00F07425"/>
    <w:rsid w:val="00F123CA"/>
    <w:rsid w:val="00F2684E"/>
    <w:rsid w:val="00F31958"/>
    <w:rsid w:val="00F37429"/>
    <w:rsid w:val="00F408FB"/>
    <w:rsid w:val="00F433C7"/>
    <w:rsid w:val="00F43EFC"/>
    <w:rsid w:val="00F52C10"/>
    <w:rsid w:val="00F534F0"/>
    <w:rsid w:val="00F55274"/>
    <w:rsid w:val="00F61589"/>
    <w:rsid w:val="00F620A8"/>
    <w:rsid w:val="00F65B94"/>
    <w:rsid w:val="00F712BB"/>
    <w:rsid w:val="00F729EF"/>
    <w:rsid w:val="00F7351D"/>
    <w:rsid w:val="00F73950"/>
    <w:rsid w:val="00F77CAE"/>
    <w:rsid w:val="00F96BB9"/>
    <w:rsid w:val="00FA7845"/>
    <w:rsid w:val="00FB44AA"/>
    <w:rsid w:val="00FB59C1"/>
    <w:rsid w:val="00FD00A8"/>
    <w:rsid w:val="00FD4D84"/>
    <w:rsid w:val="00FD76DB"/>
    <w:rsid w:val="00FD776F"/>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EEF6"/>
  <w15:docId w15:val="{A955705B-3CEE-429F-8A46-E98385E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s://www.grants.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http://www.comlaw.gov.au/Details/C2014C0075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ngage.dss.gov.au/try-test-and-learn-fund/" TargetMode="External"/><Relationship Id="rId20" Type="http://schemas.openxmlformats.org/officeDocument/2006/relationships/hyperlink" Target="https://www.communitygrants.gov.au/grants"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ato.gov.au"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gage.dss.gov.au/try-test-and-learn-fund/"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1.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mailto:support@communitygrants.gov.au"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http://www.ombudsman.gov.au" TargetMode="External"/><Relationship Id="rId35"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0F778-2578-4D7D-A056-FFDEC72E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8400</Words>
  <Characters>47886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EMERSON, Sarah</cp:lastModifiedBy>
  <cp:revision>2</cp:revision>
  <cp:lastPrinted>2017-11-01T23:06:00Z</cp:lastPrinted>
  <dcterms:created xsi:type="dcterms:W3CDTF">2018-02-23T00:31:00Z</dcterms:created>
  <dcterms:modified xsi:type="dcterms:W3CDTF">2018-02-23T00:31:00Z</dcterms:modified>
</cp:coreProperties>
</file>