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
        <w:tblW w:w="5000" w:type="pct"/>
        <w:tblLook w:val="04A0" w:firstRow="1" w:lastRow="0" w:firstColumn="1" w:lastColumn="0" w:noHBand="0" w:noVBand="1"/>
        <w:tblCaption w:val="Available Variables and Categories"/>
        <w:tblDescription w:val="This table lists the available variables and categories of the Priority Investment Approach Research Dataset in TableBuilder."/>
      </w:tblPr>
      <w:tblGrid>
        <w:gridCol w:w="1092"/>
        <w:gridCol w:w="2035"/>
        <w:gridCol w:w="5470"/>
        <w:gridCol w:w="1058"/>
        <w:gridCol w:w="4293"/>
      </w:tblGrid>
      <w:tr w:rsidR="0060247C" w:rsidRPr="0060247C" w:rsidTr="00CC1EB9">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414" w:type="pct"/>
            <w:vAlign w:val="center"/>
            <w:hideMark/>
          </w:tcPr>
          <w:p w:rsidR="0060247C" w:rsidRPr="0060247C" w:rsidRDefault="0060247C" w:rsidP="00CC1EB9">
            <w:pPr>
              <w:jc w:val="center"/>
              <w:rPr>
                <w:rFonts w:ascii="Calibri" w:eastAsia="Times New Roman" w:hAnsi="Calibri" w:cs="Calibri"/>
                <w:color w:val="000000"/>
                <w:lang w:eastAsia="en-AU"/>
              </w:rPr>
            </w:pPr>
            <w:bookmarkStart w:id="0" w:name="RANGE!A1:E263"/>
            <w:r w:rsidRPr="0060247C">
              <w:rPr>
                <w:rFonts w:ascii="Calibri" w:eastAsia="Times New Roman" w:hAnsi="Calibri" w:cs="Calibri"/>
                <w:color w:val="000000"/>
                <w:lang w:eastAsia="en-AU"/>
              </w:rPr>
              <w:t>Level</w:t>
            </w:r>
            <w:bookmarkEnd w:id="0"/>
          </w:p>
        </w:tc>
        <w:tc>
          <w:tcPr>
            <w:tcW w:w="752" w:type="pct"/>
            <w:vAlign w:val="center"/>
            <w:hideMark/>
          </w:tcPr>
          <w:p w:rsidR="0060247C" w:rsidRPr="0060247C" w:rsidRDefault="0060247C" w:rsidP="00CC1E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Variable Label</w:t>
            </w:r>
          </w:p>
        </w:tc>
        <w:tc>
          <w:tcPr>
            <w:tcW w:w="1983" w:type="pct"/>
            <w:vAlign w:val="center"/>
            <w:hideMark/>
          </w:tcPr>
          <w:p w:rsidR="0060247C" w:rsidRPr="0060247C" w:rsidRDefault="0060247C" w:rsidP="00CC1E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Variable Description</w:t>
            </w:r>
          </w:p>
        </w:tc>
        <w:tc>
          <w:tcPr>
            <w:tcW w:w="390" w:type="pct"/>
            <w:vAlign w:val="center"/>
            <w:hideMark/>
          </w:tcPr>
          <w:p w:rsidR="0060247C" w:rsidRPr="0060247C" w:rsidRDefault="0060247C" w:rsidP="00CC1E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Attribute</w:t>
            </w:r>
          </w:p>
        </w:tc>
        <w:tc>
          <w:tcPr>
            <w:tcW w:w="1462" w:type="pct"/>
            <w:vAlign w:val="center"/>
            <w:hideMark/>
          </w:tcPr>
          <w:p w:rsidR="0060247C" w:rsidRPr="0060247C" w:rsidRDefault="0060247C" w:rsidP="00CC1E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Attribute Label</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9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r w:rsidRPr="0060247C">
              <w:rPr>
                <w:rFonts w:ascii="Calibri" w:eastAsia="Times New Roman" w:hAnsi="Calibri" w:cs="Calibri"/>
                <w:color w:val="000000"/>
                <w:lang w:eastAsia="en-AU"/>
              </w:rPr>
              <w:t>Benefit Level</w:t>
            </w: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Assessment Type (3)</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type of assessment undertaken by a recipient. </w:t>
            </w:r>
            <w:r w:rsidRPr="0060247C">
              <w:rPr>
                <w:rFonts w:ascii="Calibri" w:eastAsia="Times New Roman" w:hAnsi="Calibri" w:cs="Calibri"/>
                <w:color w:val="000000"/>
                <w:lang w:eastAsia="en-AU"/>
              </w:rPr>
              <w:br/>
              <w:t>An Employment Services Assessment helps work out the type of employment service or other assistance to help prepare an individual to find and maintain work. This assessment may be required if an individual has medical conditions or other barriers to work; a reduced work capacity, or does not have participation requirements and is volunteering for employment services assistance.</w:t>
            </w:r>
            <w:r w:rsidRPr="0060247C">
              <w:rPr>
                <w:rFonts w:ascii="Calibri" w:eastAsia="Times New Roman" w:hAnsi="Calibri" w:cs="Calibri"/>
                <w:color w:val="000000"/>
                <w:lang w:eastAsia="en-AU"/>
              </w:rPr>
              <w:br/>
              <w:t>A Job Capacity Assessment is used to help determine medical eligibility for Disability Support Pension.  It determines the impact of medical conditions or disability on an individual's ability to work and any benefit of employment assistance.</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ESA </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Employment Services Assessment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JCA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Job Capacity Assessment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Benefit Status (2)</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status of the recipient's benefits at the end of that quarter. </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Current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Suspended</w:t>
            </w: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Benefit Quarter End Date (56)</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date at which the data is drawn and recipients are classified.</w:t>
            </w:r>
          </w:p>
        </w:tc>
        <w:tc>
          <w:tcPr>
            <w:tcW w:w="390"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Benefit Type (21)</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type of benefit the recipient is receiving.</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ABY</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Abstudy</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AGE</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Age Pension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Austudy</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BVA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Bereavement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Carer Payment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DSP</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Disability Support Pension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ECP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Exc</w:t>
            </w:r>
            <w:bookmarkStart w:id="1" w:name="_GoBack"/>
            <w:bookmarkEnd w:id="1"/>
            <w:r w:rsidRPr="0060247C">
              <w:rPr>
                <w:rFonts w:ascii="Calibri" w:eastAsia="Times New Roman" w:hAnsi="Calibri" w:cs="Calibri"/>
                <w:color w:val="000000"/>
                <w:lang w:eastAsia="en-AU"/>
              </w:rPr>
              <w:t>eptional Circumstance Payment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FFR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Farm Help</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NMA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Mature Age Allowance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NSA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Newstart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PPP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Parenting Payment Partnered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PPS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Parenting Payment Single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PTA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 Allowance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SKA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Sickness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SPL</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Special Benefit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WDA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Widow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WFA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Wife's Pension Age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WFD</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Wife's Pension (Disability Support Pension)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WID</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Widow's Pension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YLA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Youth Allowance (Apprentice)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YLO</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Youth Allowance (Other)</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YLS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Youth Allowance (Student)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Reason For Suspension (122)</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Reason for suspension for those whose benefits were suspended at the end of that quarter. </w:t>
            </w:r>
          </w:p>
        </w:tc>
        <w:tc>
          <w:tcPr>
            <w:tcW w:w="390"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r w:rsidRPr="0060247C">
              <w:rPr>
                <w:rFonts w:ascii="Calibri" w:eastAsia="Times New Roman" w:hAnsi="Calibri" w:cs="Calibri"/>
                <w:color w:val="000000"/>
                <w:lang w:eastAsia="en-AU"/>
              </w:rPr>
              <w:t>Person Level</w:t>
            </w: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Indication of Blindness (2)</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a recipient is blind.</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Carer Allowance Entitlement Indicator (2)</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a recipient is entitled to Carer Allowance.</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Indigenous Status (4)</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a recipient identifies as being of Aboriginal or Torres Strait Islander origin.</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Indigenous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Non-Indigenous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Unknown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9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Permanency of Primary Disability (5)</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the permanency of a recipient's primary medical condition. Recipients can have up to 5 medical conditions.</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Permanent diagnosed, treated, stabilised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Permanent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Permanent non diagnosed, treated, stabilised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Temporary</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Refugee Status (2)</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a person has been identified as a refugee at some time.</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Gender (2)</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identification of a recipient as either female or male. </w:t>
            </w:r>
            <w:r w:rsidRPr="0060247C">
              <w:rPr>
                <w:rFonts w:ascii="Calibri" w:eastAsia="Times New Roman" w:hAnsi="Calibri" w:cs="Calibri"/>
                <w:color w:val="000000"/>
                <w:lang w:eastAsia="en-AU"/>
              </w:rPr>
              <w:br/>
              <w:t>Information on gender other than male or female has not historically been collected as part of the administrative processes.</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Female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M </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Male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Government Housing Subtenant Status (8)</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the recipient is a subtenant in accommodation where the primary tenant pays a subsidised rental for public housing.</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FMR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 xml:space="preserve">Follow up of circumstances required </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MAL</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Customer selected for mail out (auto only)</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NAP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Not applicable to customer</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NGF</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 xml:space="preserve">New grant: follow up of </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NMR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Primary tenant does not pay market rent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NVR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Sub-tenant status not verified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PMR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Primary tenant pays market rent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 xml:space="preserve">Missing </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Home Ownership Status (3)</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home ownership status of a recipient.</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H</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Homeowner</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Non-homeowner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0%</w:t>
            </w: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Multiple Birth Allowance Eligibility Indicator (2)</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An indicator that a recipient has given birth to at least three children during the same birth event. </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342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Work Capacity Prior to Intervention (7)</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Work capacity assessment before intervention. The total number of hours per week that has been assessed as a recipient’s work capacity before intervention.</w:t>
            </w:r>
            <w:r w:rsidRPr="0060247C">
              <w:rPr>
                <w:rFonts w:ascii="Calibri" w:eastAsia="Times New Roman" w:hAnsi="Calibri" w:cs="Calibri"/>
                <w:color w:val="000000"/>
                <w:lang w:eastAsia="en-AU"/>
              </w:rPr>
              <w:br/>
              <w:t>The ranges in this variable are used for Job Capacity and Employment Services assessments. Different ranges can be used for different assessments and have been updated over time as policy has changed. Work capacity is assessed in whole hour blocks. Where work capacity is assessed in partial hours the hours are rounded up. For example, a work capacity of 14.5 hours per week would be included in the permissible value of 15-22.</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0-7</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 0-7 hours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15-22</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15-22 hours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23-29</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23-29 hours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30_or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30 hours and over</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8-14</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8-14 hours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8_or_</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 hours and over</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33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Work Capacity With Intervention (7)</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Work capacity assessment after intervention. The total number of hours per week that has been assessed as a recipient’s work capacity with intervention.</w:t>
            </w:r>
            <w:r w:rsidRPr="0060247C">
              <w:rPr>
                <w:rFonts w:ascii="Calibri" w:eastAsia="Times New Roman" w:hAnsi="Calibri" w:cs="Calibri"/>
                <w:color w:val="000000"/>
                <w:lang w:eastAsia="en-AU"/>
              </w:rPr>
              <w:br/>
              <w:t xml:space="preserve">The ranges in this variable are used for Job Capacity and Employment Services assessments. Different ranges can be used for different assessments and have been updated over time as policy has changed. Work capacity is assessed in whole hour blocks. Where work capacity is assessed in partial </w:t>
            </w:r>
            <w:r w:rsidR="00EE1A4E" w:rsidRPr="0060247C">
              <w:rPr>
                <w:rFonts w:ascii="Calibri" w:eastAsia="Times New Roman" w:hAnsi="Calibri" w:cs="Calibri"/>
                <w:color w:val="000000"/>
                <w:lang w:eastAsia="en-AU"/>
              </w:rPr>
              <w:t>hours,</w:t>
            </w:r>
            <w:r w:rsidRPr="0060247C">
              <w:rPr>
                <w:rFonts w:ascii="Calibri" w:eastAsia="Times New Roman" w:hAnsi="Calibri" w:cs="Calibri"/>
                <w:color w:val="000000"/>
                <w:lang w:eastAsia="en-AU"/>
              </w:rPr>
              <w:t xml:space="preserve"> the hours are rounded up. For example, a work capacity of 14.5 hours per week would be included in the permissible value of 15-22.</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0-7</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 0-7 hours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15-22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15-22 hours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23-29</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23-29 hours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30_or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30 hours and over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8-14</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8-14 hours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8_or_</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 hours and over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12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Partner's Birth Country by Region (29)</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country in which the recipient's partner was born. The Standard Australian Classification of Countries 2016 (SACC) is used to </w:t>
            </w:r>
            <w:r w:rsidR="00EE1A4E" w:rsidRPr="0060247C">
              <w:rPr>
                <w:rFonts w:ascii="Calibri" w:eastAsia="Times New Roman" w:hAnsi="Calibri" w:cs="Calibri"/>
                <w:color w:val="000000"/>
                <w:lang w:eastAsia="en-AU"/>
              </w:rPr>
              <w:t>indicate</w:t>
            </w:r>
            <w:r w:rsidRPr="0060247C">
              <w:rPr>
                <w:rFonts w:ascii="Calibri" w:eastAsia="Times New Roman" w:hAnsi="Calibri" w:cs="Calibri"/>
                <w:color w:val="000000"/>
                <w:lang w:eastAsia="en-AU"/>
              </w:rPr>
              <w:t xml:space="preserve"> the region of birth rather than specific country to retain anonymity.</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00</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Inadequately Described </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Australia (includes External Territories)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New Zealand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13</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Melanesia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14</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Micronesia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15</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Polynesia (excludes Hawaii)</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21</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United Kingdom, Channel Islands and Isle of Man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22</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Ireland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23</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Western Europe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24</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Northern Europe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31</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Southern Europe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32</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 Eastern Europe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33</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Eastern Europe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41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 Africa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42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Middle East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51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Mainland South-East Asia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52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Maritime South-East Asia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61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Chinese Asia (includes Mongolia)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62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Japan and the Koreas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71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Southern Asia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72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Central Asia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Northern America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 America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83</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Central America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84</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Caribbean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91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Central and West Africa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92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Southern and East Africa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15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 Gender (3)</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 xml:space="preserve">The identification of a recipient's partner as either female or male. </w:t>
            </w:r>
            <w:r w:rsidRPr="0060247C">
              <w:rPr>
                <w:rFonts w:ascii="Calibri" w:eastAsia="Times New Roman" w:hAnsi="Calibri" w:cs="Calibri"/>
                <w:lang w:eastAsia="en-AU"/>
              </w:rPr>
              <w:br/>
              <w:t>Information on gender other than male or female has not historically been collected as part of the administrative processes.</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Female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Male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 Indigenous Status (4)</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a recipient's partner identifies as being of Aboriginal or Torres Strait Islander origin.</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Indigenous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Non-Indigenous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Unknown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 Refugee Status (2)</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An indicator of whether a person's partner has been identified as a refugee at some time.</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date at which the data is drawn and recipients are classified.</w:t>
            </w:r>
          </w:p>
        </w:tc>
        <w:tc>
          <w:tcPr>
            <w:tcW w:w="390"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r>
      <w:tr w:rsidR="0060247C" w:rsidRPr="0060247C" w:rsidTr="00CC1EB9">
        <w:trPr>
          <w:trHeight w:val="12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Birth Country by Region (29)</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country in which the recipient was born. The Standard Australian Classification of Countries 2016 (SACC) is used to </w:t>
            </w:r>
            <w:r w:rsidR="00EE1A4E" w:rsidRPr="0060247C">
              <w:rPr>
                <w:rFonts w:ascii="Calibri" w:eastAsia="Times New Roman" w:hAnsi="Calibri" w:cs="Calibri"/>
                <w:color w:val="000000"/>
                <w:lang w:eastAsia="en-AU"/>
              </w:rPr>
              <w:t>indicate</w:t>
            </w:r>
            <w:r w:rsidRPr="0060247C">
              <w:rPr>
                <w:rFonts w:ascii="Calibri" w:eastAsia="Times New Roman" w:hAnsi="Calibri" w:cs="Calibri"/>
                <w:color w:val="000000"/>
                <w:lang w:eastAsia="en-AU"/>
              </w:rPr>
              <w:t xml:space="preserve"> the region of birth rather than specific country to retain anonymity.</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00</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Inadequately Described </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Australia (includes External Territories)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New Zealand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13</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Melanesia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14</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Micronesia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15</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Polynesia (excludes Hawaii)</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21</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United Kingdom, Channel Islands and Isle of Man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22</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Ireland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23</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Western Europe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24</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Northern Europe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31</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Southern Europe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32</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 Eastern Europe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33</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Eastern Europe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41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 Africa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42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Middle East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51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Mainland South-East Asia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52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Maritime South-East Asia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61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Chinese Asia (includes Mongolia)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62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Japan and the Koreas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71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Southern Asia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72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Central Asia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Northern America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 America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83</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Central America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84</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Caribbean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91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Central and West Africa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92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Southern and East Africa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18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Marital Status (10)</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A recipient's current relationship status in terms of a couple relationship (including defacto and registered relationships, and marriage). </w:t>
            </w:r>
            <w:r w:rsidRPr="0060247C">
              <w:rPr>
                <w:rFonts w:ascii="Calibri" w:eastAsia="Times New Roman" w:hAnsi="Calibri" w:cs="Calibri"/>
                <w:color w:val="000000"/>
                <w:lang w:eastAsia="en-AU"/>
              </w:rPr>
              <w:br/>
              <w:t>For those not in a couple relationship, the existence of a current or previous registered marriage is indicated by Separated or Divorced or Widowed.</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DEF</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De facto</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DIV</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Divorced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MAR</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Married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NRE</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Not required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REG</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Registered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SEP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Separated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SIN</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Single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Unknown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WID</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Widowed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Primary Medical Condition (22)</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 recipient's primary medical condition.</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ABI</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Acquired Brain Impairment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AMP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Amputation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CAN</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Cancer/Tumour </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CGA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Congenital abnormalities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CHR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Chronic pain </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CIR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Circulatory system</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EIS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Endocrine and Immune system</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GIS</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Gastro-intestinal system</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IFD</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Infectious diseases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IHD</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Inherited disorders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INT</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Intellectual/Learning</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MUS</w:t>
            </w:r>
          </w:p>
        </w:tc>
        <w:tc>
          <w:tcPr>
            <w:tcW w:w="1462" w:type="pct"/>
            <w:hideMark/>
          </w:tcPr>
          <w:p w:rsidR="0060247C" w:rsidRPr="0060247C" w:rsidRDefault="00EE1A4E"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Musculo</w:t>
            </w:r>
            <w:r w:rsidR="0060247C" w:rsidRPr="0060247C">
              <w:rPr>
                <w:rFonts w:ascii="Calibri" w:eastAsia="Times New Roman" w:hAnsi="Calibri" w:cs="Calibri"/>
                <w:color w:val="000000"/>
                <w:lang w:eastAsia="en-AU"/>
              </w:rPr>
              <w:t>skeletal and Connective tissue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Nervous system</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PFC</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Poorly defined cause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PSY</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Psychological/Psychiatric</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Reproductive system</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Respiratory system</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SDB</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Skin disorder and burns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SEN</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Sense organs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URO</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Urogenital system</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VIS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Visceral disorder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 Benefit Type (21</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type of Centrelink benefit a recipient's partner receives.</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ABY</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Abstudy</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AGE</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Age Pension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Austudy</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Bereavement Allowance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DSP</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Carer Payment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ECP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Disability Support Pension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FFR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Exceptional Circumstance Payment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NMA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Farm Help</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NSA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Mature Age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PPP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Newstart Allowance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PPS</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Parenting Payment Partnered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PTA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Partner Allowance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SKA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Sickness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SPL</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Special Benefit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WDA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Widow Allowance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WFA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Wife's Pension Age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WFD</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Wife's Pension (Disability Support Pension)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YLA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Youth Allowance (Apprentice)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YLO</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Youth Allowance (Other)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YLS</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Youth Allowance (Student)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Rent Type (17)</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type of rent paid by a recipient.</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BOA</w:t>
            </w:r>
          </w:p>
        </w:tc>
        <w:tc>
          <w:tcPr>
            <w:tcW w:w="1462" w:type="pct"/>
            <w:noWrap/>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Board and lodging</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DEF</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Defence Force Housing</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FBD</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Free board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FBL</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Free board and lodgings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FLD</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Free lodgings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GOV</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Government rent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LOD</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Lodgings only</w:t>
            </w: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MNT</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Maintenance fees for Nursing home/Retirement village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MOO</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Mooring fees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NRP</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 rent paid</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NRT</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Net rent assessed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OHO</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Other housing organisation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OTH</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Other</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PRI</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Private rent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RSP</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Respite care fees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SIT</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Site fees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Accommodation Type (14)</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type of shared accommodation in which a recipient resides.</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BAL</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Boarder or lodger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COM</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Community housing (not in Repository)</w:t>
            </w: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DAT</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Unknown, customer selected for data collection mail out</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EXE</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Lives in shared accommodation, exempt</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FMR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Follow-up of circumstances (not in Repository)</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LWJ</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Lives with parents, joint leasing</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LWP</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Lives with parents</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NAS</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Does not live in shared accommodation</w:t>
            </w: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RCO</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Lives in a residential college or hostel in the academic year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REC</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Lives with recipient child only</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SHH</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Shares accommodation with homeowner</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SHR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Lives in shared accommodation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XSH</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Exempt from Sharers rate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Australian State/Territory Place of Residence (9)</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state or territory of usual residence of a recipient.</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ACT</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Australian Capital Territory</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NSW</w:t>
            </w:r>
          </w:p>
        </w:tc>
        <w:tc>
          <w:tcPr>
            <w:tcW w:w="1462" w:type="pct"/>
            <w:noWrap/>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New South Wales</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NT</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Northern Territory</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QLD</w:t>
            </w:r>
          </w:p>
        </w:tc>
        <w:tc>
          <w:tcPr>
            <w:tcW w:w="1462" w:type="pct"/>
            <w:noWrap/>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Queensland</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South Australia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TAS</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Tasmania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VIC</w:t>
            </w:r>
          </w:p>
        </w:tc>
        <w:tc>
          <w:tcPr>
            <w:tcW w:w="1462" w:type="pct"/>
            <w:noWrap/>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Victoria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WA</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Western Australia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Education Level of Attainment (22)</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level of educational attainment of a recipient.</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ASD</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Associate Diploma</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BAC</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Bachelor's Degree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C01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Certificate 1</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C02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Certificate 2</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C03</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Certificate 3</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C04</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Certificate 4</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CER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Certificate - No longer valid </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DIP</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Diploma</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DOC</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Doctorate</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HEB</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Bridging Course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HNR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Honours/Masters Qualification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MST</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Master's Degree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PGR</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Post-Graduate Diploma </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TRA</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Trade Qualification</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U10</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Less than Year 10  </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UGR</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Undergraduate</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Unknown</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Y10</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Year 10</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Y11</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Year 11</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Y12</w:t>
            </w:r>
          </w:p>
        </w:tc>
        <w:tc>
          <w:tcPr>
            <w:tcW w:w="146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Year 12</w:t>
            </w: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Y13</w:t>
            </w:r>
          </w:p>
        </w:tc>
        <w:tc>
          <w:tcPr>
            <w:tcW w:w="146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Year 13</w:t>
            </w:r>
          </w:p>
        </w:tc>
      </w:tr>
      <w:tr w:rsidR="0060247C" w:rsidRPr="0060247C" w:rsidTr="00CC1EB9">
        <w:trPr>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Calibri" w:eastAsia="Times New Roman" w:hAnsi="Calibri" w:cs="Calibri"/>
                <w:color w:val="00000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Missing</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Postcode (2943)</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postcode of the recipient's usual residence. </w:t>
            </w:r>
          </w:p>
        </w:tc>
        <w:tc>
          <w:tcPr>
            <w:tcW w:w="390"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r>
      <w:tr w:rsidR="0060247C" w:rsidRPr="0060247C" w:rsidTr="00CC1EB9">
        <w:trPr>
          <w:trHeight w:val="9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Region of Residence (321)</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 xml:space="preserve">The regional area of the recipient's usual residence. This is based on their postcode and has been converted to the Australian Statistical Area Level 3 (SA3). </w:t>
            </w:r>
          </w:p>
        </w:tc>
        <w:tc>
          <w:tcPr>
            <w:tcW w:w="390"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Preferred Language (199)</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 xml:space="preserve">The language (including sign language) most preferred by the recipient for communication. This may be a language other than English even where the person can speak fluent English. </w:t>
            </w:r>
            <w:r w:rsidRPr="0060247C">
              <w:rPr>
                <w:rFonts w:ascii="Calibri" w:eastAsia="Times New Roman" w:hAnsi="Calibri" w:cs="Calibri"/>
                <w:lang w:eastAsia="en-AU"/>
              </w:rPr>
              <w:br/>
              <w:t xml:space="preserve">The Standard Australian Classification of Languages 2016 (ASCL) is used to </w:t>
            </w:r>
            <w:r w:rsidR="00EE1A4E" w:rsidRPr="0060247C">
              <w:rPr>
                <w:rFonts w:ascii="Calibri" w:eastAsia="Times New Roman" w:hAnsi="Calibri" w:cs="Calibri"/>
                <w:lang w:eastAsia="en-AU"/>
              </w:rPr>
              <w:t>indicate</w:t>
            </w:r>
            <w:r w:rsidRPr="0060247C">
              <w:rPr>
                <w:rFonts w:ascii="Calibri" w:eastAsia="Times New Roman" w:hAnsi="Calibri" w:cs="Calibri"/>
                <w:lang w:eastAsia="en-AU"/>
              </w:rPr>
              <w:t xml:space="preserve"> the narrow group of languages (2-digit) rather than specific language to retain anonymity.</w:t>
            </w:r>
            <w:r w:rsidRPr="0060247C">
              <w:rPr>
                <w:rFonts w:ascii="Calibri" w:eastAsia="Times New Roman" w:hAnsi="Calibri" w:cs="Calibri"/>
                <w:lang w:eastAsia="en-AU"/>
              </w:rPr>
              <w:br/>
              <w:t xml:space="preserve">Groups of languages refer to relatedness of languages. For example, Iberian Romance includes (among others) both Portuguese and Spanish; South Slavic includes (among others) Bosnian, Bulgarian and Croatian; Scandinavian includes (among others) Swedish, </w:t>
            </w:r>
            <w:r w:rsidR="00EE1A4E" w:rsidRPr="0060247C">
              <w:rPr>
                <w:rFonts w:ascii="Calibri" w:eastAsia="Times New Roman" w:hAnsi="Calibri" w:cs="Calibri"/>
                <w:lang w:eastAsia="en-AU"/>
              </w:rPr>
              <w:t>Norwegian</w:t>
            </w:r>
            <w:r w:rsidRPr="0060247C">
              <w:rPr>
                <w:rFonts w:ascii="Calibri" w:eastAsia="Times New Roman" w:hAnsi="Calibri" w:cs="Calibri"/>
                <w:lang w:eastAsia="en-AU"/>
              </w:rPr>
              <w:t xml:space="preserve"> and Danish</w:t>
            </w:r>
          </w:p>
        </w:tc>
        <w:tc>
          <w:tcPr>
            <w:tcW w:w="390" w:type="pct"/>
            <w:noWrap/>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tc>
        <w:tc>
          <w:tcPr>
            <w:tcW w:w="1462" w:type="pct"/>
            <w:noWrap/>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Blindness Date of Diagnosis (75)</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The date upon which a recipient's blindness was diagnosed by an ophthalmologist.</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247C">
              <w:rPr>
                <w:rFonts w:ascii="Calibri" w:eastAsia="Times New Roman" w:hAnsi="Calibri" w:cs="Calibri"/>
                <w:lang w:eastAsia="en-AU"/>
              </w:rPr>
              <w:t>By year</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Date of Birth (126)</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By year</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12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Date of Death (16)</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date upon which a person ceases to live. The data represents people who were on a payment in a particular year (wafer) who is now identified as having passed in a particular year.</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By year</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DOB of Youngest Child for Recipient Receiving Family Tax Benefit (40)</w:t>
            </w:r>
          </w:p>
        </w:tc>
        <w:tc>
          <w:tcPr>
            <w:tcW w:w="1983" w:type="pct"/>
            <w:hideMark/>
          </w:tcPr>
          <w:p w:rsidR="0060247C" w:rsidRPr="0060247C" w:rsidRDefault="0060247C" w:rsidP="006024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date of birth of the youngest child for which a recipient receives a Family Tax Benefit (Part A or B) payment.</w:t>
            </w:r>
          </w:p>
        </w:tc>
        <w:tc>
          <w:tcPr>
            <w:tcW w:w="390"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By year</w:t>
            </w:r>
          </w:p>
        </w:tc>
        <w:tc>
          <w:tcPr>
            <w:tcW w:w="1462" w:type="pct"/>
            <w:hideMark/>
          </w:tcPr>
          <w:p w:rsidR="0060247C" w:rsidRPr="0060247C" w:rsidRDefault="0060247C" w:rsidP="006024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r>
      <w:tr w:rsidR="0060247C" w:rsidRPr="0060247C" w:rsidTr="00CC1EB9">
        <w:trPr>
          <w:trHeight w:val="600"/>
        </w:trPr>
        <w:tc>
          <w:tcPr>
            <w:cnfStyle w:val="001000000000" w:firstRow="0" w:lastRow="0" w:firstColumn="1" w:lastColumn="0" w:oddVBand="0" w:evenVBand="0" w:oddHBand="0" w:evenHBand="0" w:firstRowFirstColumn="0" w:firstRowLastColumn="0" w:lastRowFirstColumn="0" w:lastRowLastColumn="0"/>
            <w:tcW w:w="414" w:type="pct"/>
            <w:hideMark/>
          </w:tcPr>
          <w:p w:rsidR="0060247C" w:rsidRPr="0060247C" w:rsidRDefault="0060247C" w:rsidP="0060247C">
            <w:pPr>
              <w:rPr>
                <w:rFonts w:ascii="Times New Roman" w:eastAsia="Times New Roman" w:hAnsi="Times New Roman" w:cs="Times New Roman"/>
                <w:sz w:val="20"/>
                <w:szCs w:val="20"/>
                <w:lang w:eastAsia="en-AU"/>
              </w:rPr>
            </w:pPr>
          </w:p>
        </w:tc>
        <w:tc>
          <w:tcPr>
            <w:tcW w:w="752"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DOB of Youngest Child of Payment Recipient (28)</w:t>
            </w:r>
          </w:p>
        </w:tc>
        <w:tc>
          <w:tcPr>
            <w:tcW w:w="1983" w:type="pct"/>
            <w:hideMark/>
          </w:tcPr>
          <w:p w:rsidR="0060247C" w:rsidRPr="0060247C" w:rsidRDefault="0060247C" w:rsidP="006024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The date of birth of the youngest child for which a recipient has regular care.</w:t>
            </w:r>
          </w:p>
        </w:tc>
        <w:tc>
          <w:tcPr>
            <w:tcW w:w="390"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0247C">
              <w:rPr>
                <w:rFonts w:ascii="Calibri" w:eastAsia="Times New Roman" w:hAnsi="Calibri" w:cs="Calibri"/>
                <w:color w:val="000000"/>
                <w:lang w:eastAsia="en-AU"/>
              </w:rPr>
              <w:t>By year</w:t>
            </w:r>
          </w:p>
        </w:tc>
        <w:tc>
          <w:tcPr>
            <w:tcW w:w="1462" w:type="pct"/>
            <w:hideMark/>
          </w:tcPr>
          <w:p w:rsidR="0060247C" w:rsidRPr="0060247C" w:rsidRDefault="0060247C" w:rsidP="006024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bl>
    <w:p w:rsidR="007B0256" w:rsidRPr="00B91E3E" w:rsidRDefault="007B0256" w:rsidP="00B91E3E"/>
    <w:sectPr w:rsidR="007B0256" w:rsidRPr="00B91E3E" w:rsidSect="0060247C">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14" w:rsidRDefault="00A06B14" w:rsidP="0060247C">
      <w:pPr>
        <w:spacing w:after="0" w:line="240" w:lineRule="auto"/>
      </w:pPr>
      <w:r>
        <w:separator/>
      </w:r>
    </w:p>
  </w:endnote>
  <w:endnote w:type="continuationSeparator" w:id="0">
    <w:p w:rsidR="00A06B14" w:rsidRDefault="00A06B14" w:rsidP="0060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7C" w:rsidRDefault="0060247C">
    <w:pPr>
      <w:pStyle w:val="Footer"/>
    </w:pPr>
    <w:r>
      <w:t xml:space="preserve">Page </w:t>
    </w:r>
    <w:sdt>
      <w:sdtPr>
        <w:id w:val="-15430528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0388">
          <w:rPr>
            <w:noProof/>
          </w:rPr>
          <w:t>5</w:t>
        </w:r>
        <w:r>
          <w:rPr>
            <w:noProof/>
          </w:rPr>
          <w:fldChar w:fldCharType="end"/>
        </w:r>
        <w:r>
          <w:rPr>
            <w:noProof/>
          </w:rPr>
          <w:t xml:space="preserve"> of 13</w:t>
        </w:r>
      </w:sdtContent>
    </w:sdt>
  </w:p>
  <w:p w:rsidR="0060247C" w:rsidRDefault="0060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14" w:rsidRDefault="00A06B14" w:rsidP="0060247C">
      <w:pPr>
        <w:spacing w:after="0" w:line="240" w:lineRule="auto"/>
      </w:pPr>
      <w:r>
        <w:separator/>
      </w:r>
    </w:p>
  </w:footnote>
  <w:footnote w:type="continuationSeparator" w:id="0">
    <w:p w:rsidR="00A06B14" w:rsidRDefault="00A06B14" w:rsidP="0060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7C" w:rsidRDefault="0060247C" w:rsidP="0060247C">
    <w:pPr>
      <w:pStyle w:val="Header"/>
      <w:tabs>
        <w:tab w:val="clear" w:pos="9026"/>
        <w:tab w:val="right" w:pos="13750"/>
      </w:tabs>
    </w:pPr>
    <w:r>
      <w:t>Available Variables and Categories</w:t>
    </w:r>
    <w:r>
      <w:tab/>
    </w:r>
    <w:r>
      <w:tab/>
      <w:t>Priority Investment Approach Research Dataset in TableBuilder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C"/>
    <w:rsid w:val="00005633"/>
    <w:rsid w:val="00020388"/>
    <w:rsid w:val="000431F8"/>
    <w:rsid w:val="001E630D"/>
    <w:rsid w:val="00284DC9"/>
    <w:rsid w:val="003B2BB8"/>
    <w:rsid w:val="003D34FF"/>
    <w:rsid w:val="003E4329"/>
    <w:rsid w:val="004B54CA"/>
    <w:rsid w:val="004E5CBF"/>
    <w:rsid w:val="005C3AA9"/>
    <w:rsid w:val="0060247C"/>
    <w:rsid w:val="00621FC5"/>
    <w:rsid w:val="00637B02"/>
    <w:rsid w:val="006A4CE7"/>
    <w:rsid w:val="00785261"/>
    <w:rsid w:val="007B0256"/>
    <w:rsid w:val="0083177B"/>
    <w:rsid w:val="009225F0"/>
    <w:rsid w:val="0093462C"/>
    <w:rsid w:val="00953795"/>
    <w:rsid w:val="00974189"/>
    <w:rsid w:val="00A06B14"/>
    <w:rsid w:val="00B91E3E"/>
    <w:rsid w:val="00BA2DB9"/>
    <w:rsid w:val="00BE7148"/>
    <w:rsid w:val="00C84DD7"/>
    <w:rsid w:val="00CB5863"/>
    <w:rsid w:val="00CC1EB9"/>
    <w:rsid w:val="00D30F57"/>
    <w:rsid w:val="00DA243A"/>
    <w:rsid w:val="00E273E4"/>
    <w:rsid w:val="00EE1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AD932-F0A6-4EB9-8655-C68922C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semiHidden/>
    <w:unhideWhenUsed/>
    <w:rsid w:val="0060247C"/>
    <w:rPr>
      <w:color w:val="0563C1"/>
      <w:u w:val="single"/>
    </w:rPr>
  </w:style>
  <w:style w:type="character" w:styleId="FollowedHyperlink">
    <w:name w:val="FollowedHyperlink"/>
    <w:basedOn w:val="DefaultParagraphFont"/>
    <w:uiPriority w:val="99"/>
    <w:semiHidden/>
    <w:unhideWhenUsed/>
    <w:rsid w:val="0060247C"/>
    <w:rPr>
      <w:color w:val="954F72"/>
      <w:u w:val="single"/>
    </w:rPr>
  </w:style>
  <w:style w:type="paragraph" w:customStyle="1" w:styleId="msonormal0">
    <w:name w:val="msonormal"/>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4">
    <w:name w:val="xl64"/>
    <w:basedOn w:val="Normal"/>
    <w:rsid w:val="0060247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65">
    <w:name w:val="xl65"/>
    <w:basedOn w:val="Normal"/>
    <w:rsid w:val="0060247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6024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67">
    <w:name w:val="xl67"/>
    <w:basedOn w:val="Normal"/>
    <w:rsid w:val="0060247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AU"/>
    </w:rPr>
  </w:style>
  <w:style w:type="paragraph" w:customStyle="1" w:styleId="xl68">
    <w:name w:val="xl68"/>
    <w:basedOn w:val="Normal"/>
    <w:rsid w:val="0060247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69">
    <w:name w:val="xl69"/>
    <w:basedOn w:val="Normal"/>
    <w:rsid w:val="0060247C"/>
    <w:pPr>
      <w:spacing w:before="100" w:beforeAutospacing="1" w:after="100" w:afterAutospacing="1" w:line="240" w:lineRule="auto"/>
    </w:pPr>
    <w:rPr>
      <w:rFonts w:ascii="Times New Roman" w:eastAsia="Times New Roman" w:hAnsi="Times New Roman" w:cs="Times New Roman"/>
      <w:color w:val="006100"/>
      <w:sz w:val="24"/>
      <w:szCs w:val="24"/>
      <w:lang w:eastAsia="en-AU"/>
    </w:rPr>
  </w:style>
  <w:style w:type="paragraph" w:customStyle="1" w:styleId="xl70">
    <w:name w:val="xl70"/>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0247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2">
    <w:name w:val="xl72"/>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0247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60247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5">
    <w:name w:val="xl75"/>
    <w:basedOn w:val="Normal"/>
    <w:rsid w:val="0060247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6">
    <w:name w:val="xl76"/>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60247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8">
    <w:name w:val="xl78"/>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60247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5">
    <w:name w:val="Plain Table 5"/>
    <w:basedOn w:val="TableNormal"/>
    <w:uiPriority w:val="45"/>
    <w:rsid w:val="006024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02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02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47C"/>
    <w:rPr>
      <w:rFonts w:ascii="Arial" w:hAnsi="Arial"/>
    </w:rPr>
  </w:style>
  <w:style w:type="paragraph" w:styleId="Footer">
    <w:name w:val="footer"/>
    <w:basedOn w:val="Normal"/>
    <w:link w:val="FooterChar"/>
    <w:uiPriority w:val="99"/>
    <w:unhideWhenUsed/>
    <w:rsid w:val="00602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47C"/>
    <w:rPr>
      <w:rFonts w:ascii="Arial" w:hAnsi="Arial"/>
    </w:rPr>
  </w:style>
  <w:style w:type="table" w:styleId="TableGridLight">
    <w:name w:val="Grid Table Light"/>
    <w:basedOn w:val="TableNormal"/>
    <w:uiPriority w:val="40"/>
    <w:rsid w:val="00CC1E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1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SPOKES, Tara</dc:creator>
  <cp:keywords/>
  <dc:description/>
  <cp:lastModifiedBy>EMERSON, Sarah</cp:lastModifiedBy>
  <cp:revision>2</cp:revision>
  <dcterms:created xsi:type="dcterms:W3CDTF">2018-03-02T00:23:00Z</dcterms:created>
  <dcterms:modified xsi:type="dcterms:W3CDTF">2018-03-02T00:23:00Z</dcterms:modified>
</cp:coreProperties>
</file>