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r>
        <w:t xml:space="preserve">Try, Test and Learn Fund </w:t>
      </w:r>
    </w:p>
    <w:p w:rsidR="001712D9" w:rsidRPr="00915E80" w:rsidRDefault="001712D9" w:rsidP="00B810F0">
      <w:pPr>
        <w:pStyle w:val="Heading1"/>
        <w:ind w:left="454"/>
        <w:rPr>
          <w:i/>
        </w:rPr>
        <w:sectPr w:rsidR="001712D9" w:rsidRPr="00915E80" w:rsidSect="003E2D56">
          <w:headerReference w:type="even" r:id="rId7"/>
          <w:headerReference w:type="default" r:id="rId8"/>
          <w:footerReference w:type="even" r:id="rId9"/>
          <w:footerReference w:type="default" r:id="rId10"/>
          <w:headerReference w:type="first" r:id="rId11"/>
          <w:footerReference w:type="first" r:id="rId12"/>
          <w:pgSz w:w="11906" w:h="16838" w:code="9"/>
          <w:pgMar w:top="2801" w:right="2546" w:bottom="1134" w:left="737" w:header="737" w:footer="1489" w:gutter="0"/>
          <w:cols w:space="708"/>
          <w:titlePg/>
          <w:docGrid w:linePitch="360"/>
        </w:sectPr>
      </w:pPr>
      <w:r w:rsidRPr="00915E80">
        <w:rPr>
          <w:i/>
        </w:rPr>
        <w:t>–</w:t>
      </w:r>
      <w:r w:rsidR="007F7843" w:rsidRPr="00915E80">
        <w:rPr>
          <w:i/>
        </w:rPr>
        <w:t xml:space="preserve"> </w:t>
      </w:r>
      <w:r w:rsidR="00867DA0">
        <w:rPr>
          <w:i/>
        </w:rPr>
        <w:t>O</w:t>
      </w:r>
      <w:r w:rsidR="002A0139">
        <w:rPr>
          <w:i/>
        </w:rPr>
        <w:t>lder Newstart Allowance recipients</w:t>
      </w:r>
    </w:p>
    <w:bookmarkEnd w:id="0"/>
    <w:p w:rsidR="001F4B82" w:rsidRDefault="001F4B82" w:rsidP="00DA5460">
      <w:pPr>
        <w:pStyle w:val="Heading2"/>
        <w:sectPr w:rsidR="001F4B82"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r>
        <w:rPr>
          <w:noProof/>
        </w:rPr>
        <mc:AlternateContent>
          <mc:Choice Requires="wps">
            <w:drawing>
              <wp:anchor distT="0" distB="0" distL="114300" distR="114300" simplePos="0" relativeHeight="251659264" behindDoc="1" locked="0" layoutInCell="1" allowOverlap="1" wp14:anchorId="0455C766" wp14:editId="69CF4FFF">
                <wp:simplePos x="0" y="0"/>
                <wp:positionH relativeFrom="column">
                  <wp:posOffset>274955</wp:posOffset>
                </wp:positionH>
                <wp:positionV relativeFrom="paragraph">
                  <wp:posOffset>54610</wp:posOffset>
                </wp:positionV>
                <wp:extent cx="6029325" cy="752475"/>
                <wp:effectExtent l="0" t="0" r="28575" b="28575"/>
                <wp:wrapTight wrapText="bothSides">
                  <wp:wrapPolygon edited="0">
                    <wp:start x="0" y="0"/>
                    <wp:lineTo x="0" y="21873"/>
                    <wp:lineTo x="21634" y="21873"/>
                    <wp:lineTo x="2163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029325" cy="752475"/>
                        </a:xfrm>
                        <a:prstGeom prst="rect">
                          <a:avLst/>
                        </a:prstGeom>
                        <a:solidFill>
                          <a:schemeClr val="lt1"/>
                        </a:solidFill>
                        <a:ln w="63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BD5C92" w:rsidRDefault="00BD5C92" w:rsidP="00BD5C92">
                            <w:pPr>
                              <w:pStyle w:val="textboxes"/>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 xml:space="preserve">data analysis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1712D9" w:rsidRDefault="001712D9" w:rsidP="0015179E">
                            <w:pPr>
                              <w:pStyle w:val="textboxes"/>
                              <w:ind w:left="-142"/>
                            </w:pPr>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C766" id="_x0000_t202" coordsize="21600,21600" o:spt="202" path="m,l,21600r21600,l21600,xe">
                <v:stroke joinstyle="miter"/>
                <v:path gradientshapeok="t" o:connecttype="rect"/>
              </v:shapetype>
              <v:shape id="Text Box 1" o:spid="_x0000_s1026" type="#_x0000_t202" style="position:absolute;margin-left:21.65pt;margin-top:4.3pt;width:474.7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" fillcolor="white [3201]" strokecolor="#78be20 [3207]" strokeweight=".5pt">
                <v:textbox inset="5mm">
                  <w:txbxContent>
                    <w:p w:rsidR="00BD5C92" w:rsidRDefault="00BD5C92" w:rsidP="00BD5C92">
                      <w:pPr>
                        <w:pStyle w:val="textboxes"/>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 xml:space="preserve">data analysis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1712D9" w:rsidRDefault="001712D9" w:rsidP="0015179E">
                      <w:pPr>
                        <w:pStyle w:val="textboxes"/>
                        <w:ind w:left="-142"/>
                      </w:pPr>
                    </w:p>
                  </w:txbxContent>
                </v:textbox>
                <w10:wrap type="tight"/>
              </v:shape>
            </w:pict>
          </mc:Fallback>
        </mc:AlternateContent>
      </w:r>
    </w:p>
    <w:p w:rsidR="003E2D56" w:rsidRDefault="00D62AA4" w:rsidP="00DA5460">
      <w:pPr>
        <w:pStyle w:val="Heading2"/>
        <w:contextualSpacing w:val="0"/>
      </w:pPr>
      <w:r>
        <w:t xml:space="preserve">What </w:t>
      </w:r>
      <w:r w:rsidR="002D2DF5">
        <w:t>we know</w:t>
      </w:r>
    </w:p>
    <w:p w:rsidR="000F567E" w:rsidRPr="000F567E" w:rsidRDefault="000F567E" w:rsidP="000F567E">
      <w:pPr>
        <w:rPr>
          <w:rFonts w:eastAsiaTheme="majorEastAsia"/>
        </w:rPr>
      </w:pPr>
      <w:r w:rsidRPr="000F567E">
        <w:rPr>
          <w:rFonts w:eastAsiaTheme="majorEastAsia"/>
        </w:rPr>
        <w:t>At 30 June 2017 there were around 251,400 people aged 50 or over receiving Newstart Allowance. The latest Priority Investment Approach valuation shows that the expected average future lifetime cost for older Newstart Allowance recipients is $320,000 per person.</w:t>
      </w:r>
    </w:p>
    <w:p w:rsidR="000F567E" w:rsidRPr="000F567E" w:rsidRDefault="000F567E" w:rsidP="000F567E">
      <w:pPr>
        <w:rPr>
          <w:rFonts w:eastAsiaTheme="majorEastAsia"/>
        </w:rPr>
      </w:pPr>
      <w:r w:rsidRPr="000F567E">
        <w:rPr>
          <w:rFonts w:eastAsiaTheme="majorEastAsia"/>
        </w:rPr>
        <w:t>The estimated total future lifetime cost for the group is $80.5 billion. On average, this group is expected to receive income support for some or all of 26 years over the rest of their lives. Fifty-six per cent are expected to receive income support for some or all of every year for the rest of their lives.</w:t>
      </w:r>
    </w:p>
    <w:p w:rsidR="00B810F0" w:rsidRDefault="000F567E" w:rsidP="000F567E">
      <w:pPr>
        <w:rPr>
          <w:rStyle w:val="BookTitle"/>
          <w:rFonts w:ascii="Georgia" w:eastAsiaTheme="majorEastAsia" w:hAnsi="Georgia" w:cs="Arial"/>
          <w:bCs/>
          <w:i w:val="0"/>
          <w:iCs w:val="0"/>
          <w:smallCaps w:val="0"/>
          <w:color w:val="275D38" w:themeColor="accent5"/>
          <w:sz w:val="32"/>
          <w:szCs w:val="28"/>
        </w:rPr>
      </w:pPr>
      <w:r w:rsidRPr="000F567E">
        <w:rPr>
          <w:rFonts w:eastAsiaTheme="majorEastAsia"/>
        </w:rPr>
        <w:t>If nothing changes, 75 per cent will be receiving income support payments in 10 years, and 74 per cent will be receiving income support payments in 20 years.</w:t>
      </w:r>
    </w:p>
    <w:p w:rsidR="00B810F0" w:rsidRPr="00A153AE" w:rsidRDefault="002A0139" w:rsidP="00B810F0">
      <w:pPr>
        <w:pStyle w:val="Heading2"/>
      </w:pPr>
      <w:r>
        <w:t>Older Newstart Allowance recipients</w:t>
      </w:r>
    </w:p>
    <w:p w:rsidR="000F567E" w:rsidRDefault="000F567E" w:rsidP="000F567E">
      <w:r>
        <w:t xml:space="preserve">This priority group is defined as Newstart Allowance recipients aged 50 or over. </w:t>
      </w:r>
    </w:p>
    <w:p w:rsidR="000F567E" w:rsidRDefault="000F567E" w:rsidP="000F567E">
      <w:r>
        <w:t xml:space="preserve">Older workers on Newstart Allowance represent a loss of skills and experience to the labour force, while increasing expenditure on unemployment payments and age pensions, and reducing taxation revenue from older workers. </w:t>
      </w:r>
    </w:p>
    <w:p w:rsidR="00D67B4B" w:rsidRDefault="00D67B4B" w:rsidP="000F567E"/>
    <w:p w:rsidR="000F567E" w:rsidRDefault="000F567E" w:rsidP="000F567E">
      <w:r>
        <w:t xml:space="preserve">Many older Australians want to work but find it difficult to get work. At June 2017 there were 195,000 Newstart Allowance recipients aged 50 or over who have been on income support for 12 months or over. </w:t>
      </w:r>
    </w:p>
    <w:p w:rsidR="000F567E" w:rsidRPr="006E6845" w:rsidRDefault="000F567E" w:rsidP="00915E80">
      <w:r>
        <w:t xml:space="preserve">For many older workers, their health can also be a barrier to employment. There are 81,600 Newstart Allowance recipients aged </w:t>
      </w:r>
      <w:bookmarkStart w:id="1" w:name="_GoBack"/>
      <w:bookmarkEnd w:id="1"/>
      <w:r>
        <w:t>50 and over who have an assessed partial capacity to work.</w:t>
      </w:r>
    </w:p>
    <w:tbl>
      <w:tblPr>
        <w:tblStyle w:val="MediumGrid1-Accent4"/>
        <w:tblpPr w:leftFromText="180" w:rightFromText="180" w:vertAnchor="text" w:horzAnchor="margin" w:tblpXSpec="right" w:tblpY="43"/>
        <w:tblW w:w="4657"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657"/>
      </w:tblGrid>
      <w:tr w:rsidR="00915E80" w:rsidTr="00915E80">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657" w:type="dxa"/>
          </w:tcPr>
          <w:p w:rsidR="00915E80" w:rsidRPr="00915E80" w:rsidRDefault="000F567E" w:rsidP="00915E80">
            <w:pPr>
              <w:rPr>
                <w:rFonts w:cs="Arial"/>
              </w:rPr>
            </w:pPr>
            <w:r>
              <w:rPr>
                <w:rFonts w:cs="Arial"/>
              </w:rPr>
              <w:t>Older Newstart Allowance recipients</w:t>
            </w:r>
          </w:p>
          <w:p w:rsidR="000F567E" w:rsidRPr="000F567E" w:rsidRDefault="000F567E" w:rsidP="000F567E">
            <w:pPr>
              <w:pStyle w:val="ListParagraph"/>
              <w:numPr>
                <w:ilvl w:val="0"/>
                <w:numId w:val="65"/>
              </w:numPr>
              <w:rPr>
                <w:rFonts w:cs="Arial"/>
                <w:b w:val="0"/>
              </w:rPr>
            </w:pPr>
            <w:r w:rsidRPr="000F567E">
              <w:rPr>
                <w:rFonts w:cs="Arial"/>
                <w:b w:val="0"/>
              </w:rPr>
              <w:t>53 per cent are female</w:t>
            </w:r>
          </w:p>
          <w:p w:rsidR="000F567E" w:rsidRPr="000F567E" w:rsidRDefault="000F567E" w:rsidP="000F567E">
            <w:pPr>
              <w:pStyle w:val="ListParagraph"/>
              <w:numPr>
                <w:ilvl w:val="0"/>
                <w:numId w:val="65"/>
              </w:numPr>
              <w:rPr>
                <w:rFonts w:cs="Arial"/>
                <w:b w:val="0"/>
              </w:rPr>
            </w:pPr>
            <w:r w:rsidRPr="000F567E">
              <w:rPr>
                <w:rFonts w:cs="Arial"/>
                <w:b w:val="0"/>
              </w:rPr>
              <w:t>32 per cent are aged 50-54</w:t>
            </w:r>
          </w:p>
          <w:p w:rsidR="000F567E" w:rsidRPr="000F567E" w:rsidRDefault="000F567E" w:rsidP="000F567E">
            <w:pPr>
              <w:pStyle w:val="ListParagraph"/>
              <w:numPr>
                <w:ilvl w:val="0"/>
                <w:numId w:val="65"/>
              </w:numPr>
              <w:rPr>
                <w:rFonts w:cs="Arial"/>
                <w:b w:val="0"/>
              </w:rPr>
            </w:pPr>
            <w:r w:rsidRPr="000F567E">
              <w:rPr>
                <w:rFonts w:cs="Arial"/>
                <w:b w:val="0"/>
              </w:rPr>
              <w:t>32 per cent are aged 55-59</w:t>
            </w:r>
          </w:p>
          <w:p w:rsidR="000F567E" w:rsidRPr="000F567E" w:rsidRDefault="000F567E" w:rsidP="000F567E">
            <w:pPr>
              <w:pStyle w:val="ListParagraph"/>
              <w:numPr>
                <w:ilvl w:val="0"/>
                <w:numId w:val="65"/>
              </w:numPr>
              <w:rPr>
                <w:rFonts w:cs="Arial"/>
                <w:b w:val="0"/>
              </w:rPr>
            </w:pPr>
            <w:r w:rsidRPr="000F567E">
              <w:rPr>
                <w:rFonts w:cs="Arial"/>
                <w:b w:val="0"/>
              </w:rPr>
              <w:t>35 per cent are aged 60-64</w:t>
            </w:r>
          </w:p>
          <w:p w:rsidR="000F567E" w:rsidRPr="000F567E" w:rsidRDefault="000F567E" w:rsidP="000F567E">
            <w:pPr>
              <w:pStyle w:val="ListParagraph"/>
              <w:numPr>
                <w:ilvl w:val="0"/>
                <w:numId w:val="65"/>
              </w:numPr>
              <w:rPr>
                <w:rFonts w:cs="Arial"/>
                <w:b w:val="0"/>
              </w:rPr>
            </w:pPr>
            <w:r w:rsidRPr="000F567E">
              <w:rPr>
                <w:rFonts w:cs="Arial"/>
                <w:b w:val="0"/>
              </w:rPr>
              <w:t>32 per cent have a partial capacity to work</w:t>
            </w:r>
          </w:p>
          <w:p w:rsidR="00915E80" w:rsidRPr="00915E80" w:rsidRDefault="000F567E" w:rsidP="000F567E">
            <w:pPr>
              <w:pStyle w:val="ListParagraph"/>
              <w:numPr>
                <w:ilvl w:val="0"/>
                <w:numId w:val="65"/>
              </w:numPr>
              <w:rPr>
                <w:rFonts w:ascii="Georgia" w:hAnsi="Georgia"/>
                <w:i/>
              </w:rPr>
            </w:pPr>
            <w:r w:rsidRPr="000F567E">
              <w:rPr>
                <w:rFonts w:cs="Arial"/>
                <w:b w:val="0"/>
              </w:rPr>
              <w:t>35 per cent live in inner and outer regional areas</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The Try, Test and Learn Fund will seek new and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90" w:rsidRDefault="000B1490">
      <w:r>
        <w:separator/>
      </w:r>
    </w:p>
  </w:endnote>
  <w:endnote w:type="continuationSeparator" w:id="0">
    <w:p w:rsidR="000B1490" w:rsidRDefault="000B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CC" w:rsidRDefault="0045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7"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2" name="Picture 2"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0F567E">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8"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7" name="Picture 7"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90" w:rsidRDefault="000B1490">
      <w:r>
        <w:separator/>
      </w:r>
    </w:p>
  </w:footnote>
  <w:footnote w:type="continuationSeparator" w:id="0">
    <w:p w:rsidR="000B1490" w:rsidRDefault="000B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CC" w:rsidRDefault="0045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F52C57"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rsidP="003F30FA">
    <w:pPr>
      <w:pStyle w:val="Header"/>
      <w:tabs>
        <w:tab w:val="clear" w:pos="4153"/>
        <w:tab w:val="clear" w:pos="8306"/>
        <w:tab w:val="left" w:pos="2109"/>
      </w:tabs>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6" name="Picture 6"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0FA">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2BC3"/>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7BFF"/>
    <w:rsid w:val="000A669D"/>
    <w:rsid w:val="000A66A8"/>
    <w:rsid w:val="000B1490"/>
    <w:rsid w:val="000C014D"/>
    <w:rsid w:val="000C5309"/>
    <w:rsid w:val="000D1643"/>
    <w:rsid w:val="000D3D8E"/>
    <w:rsid w:val="000D4703"/>
    <w:rsid w:val="000D64F9"/>
    <w:rsid w:val="000D693C"/>
    <w:rsid w:val="000E0564"/>
    <w:rsid w:val="000E12D4"/>
    <w:rsid w:val="000E2CA6"/>
    <w:rsid w:val="000F567E"/>
    <w:rsid w:val="00104669"/>
    <w:rsid w:val="001073A9"/>
    <w:rsid w:val="00110028"/>
    <w:rsid w:val="0011088C"/>
    <w:rsid w:val="00115D09"/>
    <w:rsid w:val="00116EDF"/>
    <w:rsid w:val="00124B26"/>
    <w:rsid w:val="00130C4E"/>
    <w:rsid w:val="00131B54"/>
    <w:rsid w:val="001354B7"/>
    <w:rsid w:val="001404FA"/>
    <w:rsid w:val="001413C5"/>
    <w:rsid w:val="00141C38"/>
    <w:rsid w:val="00142956"/>
    <w:rsid w:val="00143502"/>
    <w:rsid w:val="00144494"/>
    <w:rsid w:val="00144868"/>
    <w:rsid w:val="00144A74"/>
    <w:rsid w:val="0015179E"/>
    <w:rsid w:val="001533E5"/>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387E"/>
    <w:rsid w:val="002465DC"/>
    <w:rsid w:val="0025272A"/>
    <w:rsid w:val="002527BC"/>
    <w:rsid w:val="00254055"/>
    <w:rsid w:val="00261A54"/>
    <w:rsid w:val="00266985"/>
    <w:rsid w:val="00271922"/>
    <w:rsid w:val="0027204E"/>
    <w:rsid w:val="00273412"/>
    <w:rsid w:val="00274ACF"/>
    <w:rsid w:val="00285F1B"/>
    <w:rsid w:val="0028605C"/>
    <w:rsid w:val="0028775C"/>
    <w:rsid w:val="00287E66"/>
    <w:rsid w:val="002904F7"/>
    <w:rsid w:val="00294078"/>
    <w:rsid w:val="002956E4"/>
    <w:rsid w:val="00295831"/>
    <w:rsid w:val="00296AE9"/>
    <w:rsid w:val="00296F1B"/>
    <w:rsid w:val="002A0139"/>
    <w:rsid w:val="002A2A6A"/>
    <w:rsid w:val="002A6DF5"/>
    <w:rsid w:val="002C1D92"/>
    <w:rsid w:val="002D004A"/>
    <w:rsid w:val="002D00B0"/>
    <w:rsid w:val="002D2DF5"/>
    <w:rsid w:val="002D2E16"/>
    <w:rsid w:val="002D3138"/>
    <w:rsid w:val="002F1411"/>
    <w:rsid w:val="002F19EF"/>
    <w:rsid w:val="002F4E33"/>
    <w:rsid w:val="002F56D2"/>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918E3"/>
    <w:rsid w:val="00392557"/>
    <w:rsid w:val="003945C0"/>
    <w:rsid w:val="00395D3F"/>
    <w:rsid w:val="00397A51"/>
    <w:rsid w:val="00397D57"/>
    <w:rsid w:val="003A06C2"/>
    <w:rsid w:val="003B6D2E"/>
    <w:rsid w:val="003C430D"/>
    <w:rsid w:val="003C7404"/>
    <w:rsid w:val="003D3C5A"/>
    <w:rsid w:val="003D404A"/>
    <w:rsid w:val="003E2D56"/>
    <w:rsid w:val="003E4047"/>
    <w:rsid w:val="003E6FDA"/>
    <w:rsid w:val="003F0B98"/>
    <w:rsid w:val="003F3072"/>
    <w:rsid w:val="003F30FA"/>
    <w:rsid w:val="00401A2A"/>
    <w:rsid w:val="00402E2B"/>
    <w:rsid w:val="004030E4"/>
    <w:rsid w:val="004103D7"/>
    <w:rsid w:val="0041307C"/>
    <w:rsid w:val="0041643E"/>
    <w:rsid w:val="004167B4"/>
    <w:rsid w:val="00430D7E"/>
    <w:rsid w:val="00431531"/>
    <w:rsid w:val="00433B04"/>
    <w:rsid w:val="00440BD3"/>
    <w:rsid w:val="00446F93"/>
    <w:rsid w:val="00452B29"/>
    <w:rsid w:val="00455BCC"/>
    <w:rsid w:val="004635CF"/>
    <w:rsid w:val="004649E2"/>
    <w:rsid w:val="00464E8C"/>
    <w:rsid w:val="00466D36"/>
    <w:rsid w:val="00467185"/>
    <w:rsid w:val="0047050C"/>
    <w:rsid w:val="00475504"/>
    <w:rsid w:val="00480F21"/>
    <w:rsid w:val="004811E6"/>
    <w:rsid w:val="00484FED"/>
    <w:rsid w:val="00495AF1"/>
    <w:rsid w:val="004B74EB"/>
    <w:rsid w:val="004C6B46"/>
    <w:rsid w:val="004C7954"/>
    <w:rsid w:val="004D33BD"/>
    <w:rsid w:val="004D7AD1"/>
    <w:rsid w:val="004E5664"/>
    <w:rsid w:val="004F5232"/>
    <w:rsid w:val="004F644C"/>
    <w:rsid w:val="004F775C"/>
    <w:rsid w:val="00500B02"/>
    <w:rsid w:val="005015E4"/>
    <w:rsid w:val="0050291D"/>
    <w:rsid w:val="0050697E"/>
    <w:rsid w:val="00511193"/>
    <w:rsid w:val="00512D7D"/>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167F"/>
    <w:rsid w:val="005658EF"/>
    <w:rsid w:val="00566CDB"/>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47CC"/>
    <w:rsid w:val="005E6C9D"/>
    <w:rsid w:val="005F093F"/>
    <w:rsid w:val="005F214A"/>
    <w:rsid w:val="005F6BD6"/>
    <w:rsid w:val="00601C99"/>
    <w:rsid w:val="00607597"/>
    <w:rsid w:val="00615F6D"/>
    <w:rsid w:val="006255E4"/>
    <w:rsid w:val="006262F3"/>
    <w:rsid w:val="00630503"/>
    <w:rsid w:val="00635874"/>
    <w:rsid w:val="00640B7A"/>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3FA1"/>
    <w:rsid w:val="006B05E3"/>
    <w:rsid w:val="006B09BC"/>
    <w:rsid w:val="006B42A0"/>
    <w:rsid w:val="006B4E59"/>
    <w:rsid w:val="006B77B6"/>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FB2"/>
    <w:rsid w:val="00730C64"/>
    <w:rsid w:val="007322AF"/>
    <w:rsid w:val="00733CCE"/>
    <w:rsid w:val="00735477"/>
    <w:rsid w:val="00736DCA"/>
    <w:rsid w:val="00742399"/>
    <w:rsid w:val="0074640C"/>
    <w:rsid w:val="0075003D"/>
    <w:rsid w:val="00751B37"/>
    <w:rsid w:val="00754D44"/>
    <w:rsid w:val="00767B7E"/>
    <w:rsid w:val="007746A9"/>
    <w:rsid w:val="00785465"/>
    <w:rsid w:val="00787656"/>
    <w:rsid w:val="007A67EA"/>
    <w:rsid w:val="007B15AF"/>
    <w:rsid w:val="007B7E83"/>
    <w:rsid w:val="007C0A40"/>
    <w:rsid w:val="007C1631"/>
    <w:rsid w:val="007C5A60"/>
    <w:rsid w:val="007C636F"/>
    <w:rsid w:val="007D08C4"/>
    <w:rsid w:val="007D0EF8"/>
    <w:rsid w:val="007D39EB"/>
    <w:rsid w:val="007F6C76"/>
    <w:rsid w:val="007F7843"/>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67DA0"/>
    <w:rsid w:val="00871D4F"/>
    <w:rsid w:val="008734E0"/>
    <w:rsid w:val="00874E8E"/>
    <w:rsid w:val="00874FB3"/>
    <w:rsid w:val="00880BE3"/>
    <w:rsid w:val="00882588"/>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6F46"/>
    <w:rsid w:val="0094271E"/>
    <w:rsid w:val="00943142"/>
    <w:rsid w:val="00943A29"/>
    <w:rsid w:val="0095197E"/>
    <w:rsid w:val="00952AB2"/>
    <w:rsid w:val="009551E0"/>
    <w:rsid w:val="00955801"/>
    <w:rsid w:val="0095654E"/>
    <w:rsid w:val="00956F3C"/>
    <w:rsid w:val="0095779B"/>
    <w:rsid w:val="0098780E"/>
    <w:rsid w:val="009900F0"/>
    <w:rsid w:val="00991769"/>
    <w:rsid w:val="00994E9F"/>
    <w:rsid w:val="00996931"/>
    <w:rsid w:val="009A187D"/>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81A4F"/>
    <w:rsid w:val="00A82E14"/>
    <w:rsid w:val="00A901E9"/>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27CFD"/>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B3E2A"/>
    <w:rsid w:val="00BB5551"/>
    <w:rsid w:val="00BC16F5"/>
    <w:rsid w:val="00BC1D5D"/>
    <w:rsid w:val="00BC287D"/>
    <w:rsid w:val="00BC4A76"/>
    <w:rsid w:val="00BD0774"/>
    <w:rsid w:val="00BD32E5"/>
    <w:rsid w:val="00BD3FDC"/>
    <w:rsid w:val="00BD5C92"/>
    <w:rsid w:val="00BD7ADD"/>
    <w:rsid w:val="00BE41C3"/>
    <w:rsid w:val="00BE6767"/>
    <w:rsid w:val="00BE68D7"/>
    <w:rsid w:val="00BF7763"/>
    <w:rsid w:val="00C017A0"/>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4ED8"/>
    <w:rsid w:val="00D26D01"/>
    <w:rsid w:val="00D272FA"/>
    <w:rsid w:val="00D33DA3"/>
    <w:rsid w:val="00D34C06"/>
    <w:rsid w:val="00D360BA"/>
    <w:rsid w:val="00D405D6"/>
    <w:rsid w:val="00D43A46"/>
    <w:rsid w:val="00D4723B"/>
    <w:rsid w:val="00D55EE8"/>
    <w:rsid w:val="00D5785A"/>
    <w:rsid w:val="00D62AA4"/>
    <w:rsid w:val="00D63BF3"/>
    <w:rsid w:val="00D64C48"/>
    <w:rsid w:val="00D6745D"/>
    <w:rsid w:val="00D67B4B"/>
    <w:rsid w:val="00D731C4"/>
    <w:rsid w:val="00D81BAA"/>
    <w:rsid w:val="00D83A0C"/>
    <w:rsid w:val="00D85BE0"/>
    <w:rsid w:val="00D86E3D"/>
    <w:rsid w:val="00D87C1A"/>
    <w:rsid w:val="00D87FD7"/>
    <w:rsid w:val="00D92167"/>
    <w:rsid w:val="00D9502B"/>
    <w:rsid w:val="00D97047"/>
    <w:rsid w:val="00D97108"/>
    <w:rsid w:val="00D973CE"/>
    <w:rsid w:val="00DA4BA0"/>
    <w:rsid w:val="00DA5460"/>
    <w:rsid w:val="00DB13C6"/>
    <w:rsid w:val="00DC5665"/>
    <w:rsid w:val="00DD0B0C"/>
    <w:rsid w:val="00DD4806"/>
    <w:rsid w:val="00DD4F44"/>
    <w:rsid w:val="00DD5D8B"/>
    <w:rsid w:val="00DE0F9E"/>
    <w:rsid w:val="00DE5D76"/>
    <w:rsid w:val="00E0078A"/>
    <w:rsid w:val="00E0283D"/>
    <w:rsid w:val="00E04C8D"/>
    <w:rsid w:val="00E128D8"/>
    <w:rsid w:val="00E17FD7"/>
    <w:rsid w:val="00E300C0"/>
    <w:rsid w:val="00E30D45"/>
    <w:rsid w:val="00E36C13"/>
    <w:rsid w:val="00E42FE4"/>
    <w:rsid w:val="00E46FAA"/>
    <w:rsid w:val="00E52EC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347"/>
    <w:rsid w:val="00EF2BEB"/>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672B6"/>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A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2017-11-21T20:36:00Z</dcterms:created>
  <dcterms:modified xsi:type="dcterms:W3CDTF">2018-03-21T22:14:00Z</dcterms:modified>
  <cp:category/>
</cp:coreProperties>
</file>