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4840D" w14:textId="77777777" w:rsidR="00913179" w:rsidRPr="008A5C0C" w:rsidRDefault="00913179" w:rsidP="00643939">
      <w:pPr>
        <w:pStyle w:val="Title"/>
        <w:rPr>
          <w:rFonts w:asciiTheme="minorHAnsi" w:hAnsiTheme="minorHAnsi" w:cstheme="minorHAnsi"/>
        </w:rPr>
      </w:pPr>
      <w:bookmarkStart w:id="0" w:name="_GoBack"/>
      <w:bookmarkEnd w:id="0"/>
      <w:r w:rsidRPr="008A5C0C">
        <w:rPr>
          <w:rFonts w:asciiTheme="minorHAnsi" w:hAnsiTheme="minorHAnsi" w:cstheme="minorHAnsi"/>
        </w:rPr>
        <w:t>Questions and Answers</w:t>
      </w:r>
    </w:p>
    <w:p w14:paraId="371A9D32" w14:textId="77777777" w:rsidR="00295505" w:rsidRDefault="00295505" w:rsidP="00643939">
      <w:pPr>
        <w:pStyle w:val="Title"/>
        <w:rPr>
          <w:rFonts w:asciiTheme="minorHAnsi" w:hAnsiTheme="minorHAnsi" w:cstheme="minorHAnsi"/>
        </w:rPr>
      </w:pPr>
      <w:r w:rsidRPr="00295505">
        <w:rPr>
          <w:rFonts w:asciiTheme="minorHAnsi" w:hAnsiTheme="minorHAnsi" w:cstheme="minorHAnsi"/>
          <w:i/>
        </w:rPr>
        <w:t>Saluting Their Service</w:t>
      </w:r>
      <w:r w:rsidR="003A3523">
        <w:rPr>
          <w:rFonts w:asciiTheme="minorHAnsi" w:hAnsiTheme="minorHAnsi" w:cstheme="minorHAnsi"/>
        </w:rPr>
        <w:t xml:space="preserve"> </w:t>
      </w:r>
      <w:r w:rsidR="001835AE">
        <w:rPr>
          <w:rFonts w:asciiTheme="minorHAnsi" w:hAnsiTheme="minorHAnsi" w:cstheme="minorHAnsi"/>
        </w:rPr>
        <w:t>Commemorations Program</w:t>
      </w:r>
    </w:p>
    <w:p w14:paraId="130D6307" w14:textId="77777777" w:rsidR="00913179" w:rsidRPr="008A5C0C" w:rsidRDefault="00F94AC5" w:rsidP="00643939">
      <w:pPr>
        <w:pStyle w:val="Title"/>
        <w:rPr>
          <w:rFonts w:asciiTheme="minorHAnsi" w:hAnsiTheme="minorHAnsi" w:cstheme="minorHAnsi"/>
        </w:rPr>
      </w:pPr>
      <w:r>
        <w:rPr>
          <w:rFonts w:asciiTheme="minorHAnsi" w:hAnsiTheme="minorHAnsi" w:cstheme="minorHAnsi"/>
        </w:rPr>
        <w:t>Major</w:t>
      </w:r>
      <w:r w:rsidR="00295505">
        <w:rPr>
          <w:rFonts w:asciiTheme="minorHAnsi" w:hAnsiTheme="minorHAnsi" w:cstheme="minorHAnsi"/>
        </w:rPr>
        <w:t xml:space="preserve"> Commemorative </w:t>
      </w:r>
      <w:r w:rsidR="003A3523">
        <w:rPr>
          <w:rFonts w:asciiTheme="minorHAnsi" w:hAnsiTheme="minorHAnsi" w:cstheme="minorHAnsi"/>
        </w:rPr>
        <w:t>Grants</w:t>
      </w:r>
      <w:r>
        <w:rPr>
          <w:rFonts w:asciiTheme="minorHAnsi" w:hAnsiTheme="minorHAnsi" w:cstheme="minorHAnsi"/>
        </w:rPr>
        <w:t xml:space="preserve"> (M</w:t>
      </w:r>
      <w:r w:rsidR="00965121">
        <w:rPr>
          <w:rFonts w:asciiTheme="minorHAnsi" w:hAnsiTheme="minorHAnsi" w:cstheme="minorHAnsi"/>
        </w:rPr>
        <w:t>CG)</w:t>
      </w:r>
    </w:p>
    <w:p w14:paraId="039CD18C" w14:textId="77777777" w:rsidR="00F172DD" w:rsidRPr="007F5648" w:rsidRDefault="00F172DD" w:rsidP="00B768C7">
      <w:pPr>
        <w:pStyle w:val="Heading2"/>
        <w:numPr>
          <w:ilvl w:val="0"/>
          <w:numId w:val="5"/>
        </w:numPr>
        <w:rPr>
          <w:rFonts w:eastAsia="Calibri"/>
        </w:rPr>
      </w:pPr>
      <w:r w:rsidRPr="007F5648">
        <w:rPr>
          <w:rFonts w:eastAsia="Calibri"/>
        </w:rPr>
        <w:t>What is the closing time and date for applications?</w:t>
      </w:r>
    </w:p>
    <w:p w14:paraId="321F9EB5" w14:textId="77777777" w:rsidR="006F71FC" w:rsidRPr="007F5648" w:rsidRDefault="00F172DD" w:rsidP="00643939">
      <w:pPr>
        <w:rPr>
          <w:lang w:val="en" w:eastAsia="en-AU"/>
        </w:rPr>
      </w:pPr>
      <w:r w:rsidRPr="007F5648">
        <w:rPr>
          <w:lang w:val="en" w:eastAsia="en-AU"/>
        </w:rPr>
        <w:t xml:space="preserve">The Application Form must be submitted by </w:t>
      </w:r>
      <w:r w:rsidR="003C4CB3" w:rsidRPr="007F5648">
        <w:rPr>
          <w:b/>
          <w:lang w:val="en" w:eastAsia="en-AU"/>
        </w:rPr>
        <w:t>2</w:t>
      </w:r>
      <w:r w:rsidRPr="007F5648">
        <w:rPr>
          <w:b/>
          <w:lang w:val="en" w:eastAsia="en-AU"/>
        </w:rPr>
        <w:t xml:space="preserve">.00pm </w:t>
      </w:r>
      <w:r w:rsidR="00A01C5B" w:rsidRPr="007F5648">
        <w:rPr>
          <w:b/>
          <w:lang w:val="en" w:eastAsia="en-AU"/>
        </w:rPr>
        <w:t>AE</w:t>
      </w:r>
      <w:r w:rsidR="00F94AC5" w:rsidRPr="007F5648">
        <w:rPr>
          <w:b/>
          <w:lang w:val="en" w:eastAsia="en-AU"/>
        </w:rPr>
        <w:t>S</w:t>
      </w:r>
      <w:r w:rsidR="00A01C5B" w:rsidRPr="007F5648">
        <w:rPr>
          <w:b/>
          <w:lang w:val="en" w:eastAsia="en-AU"/>
        </w:rPr>
        <w:t>T</w:t>
      </w:r>
      <w:r w:rsidRPr="007F5648">
        <w:rPr>
          <w:lang w:val="en" w:eastAsia="en-AU"/>
        </w:rPr>
        <w:t xml:space="preserve"> </w:t>
      </w:r>
      <w:r w:rsidRPr="007F5648">
        <w:rPr>
          <w:b/>
          <w:lang w:val="en" w:eastAsia="en-AU"/>
        </w:rPr>
        <w:t xml:space="preserve">on </w:t>
      </w:r>
      <w:r w:rsidR="006F71FC" w:rsidRPr="007F5648">
        <w:rPr>
          <w:b/>
          <w:lang w:val="en" w:eastAsia="en-AU"/>
        </w:rPr>
        <w:t>Tuesday</w:t>
      </w:r>
      <w:r w:rsidR="00226C06" w:rsidRPr="007F5648">
        <w:rPr>
          <w:b/>
          <w:lang w:val="en" w:eastAsia="en-AU"/>
        </w:rPr>
        <w:t xml:space="preserve"> </w:t>
      </w:r>
      <w:r w:rsidR="00F94AC5" w:rsidRPr="007F5648">
        <w:rPr>
          <w:b/>
          <w:lang w:val="en" w:eastAsia="en-AU"/>
        </w:rPr>
        <w:t>3</w:t>
      </w:r>
      <w:r w:rsidR="00757288" w:rsidRPr="007F5648">
        <w:rPr>
          <w:b/>
          <w:lang w:val="en" w:eastAsia="en-AU"/>
        </w:rPr>
        <w:t xml:space="preserve"> </w:t>
      </w:r>
      <w:r w:rsidR="00F94AC5" w:rsidRPr="007F5648">
        <w:rPr>
          <w:b/>
          <w:lang w:val="en" w:eastAsia="en-AU"/>
        </w:rPr>
        <w:t>July</w:t>
      </w:r>
      <w:r w:rsidR="00757288" w:rsidRPr="007F5648">
        <w:rPr>
          <w:b/>
          <w:lang w:val="en" w:eastAsia="en-AU"/>
        </w:rPr>
        <w:t xml:space="preserve"> </w:t>
      </w:r>
      <w:r w:rsidRPr="007F5648">
        <w:rPr>
          <w:b/>
          <w:lang w:val="en" w:eastAsia="en-AU"/>
        </w:rPr>
        <w:t>20</w:t>
      </w:r>
      <w:r w:rsidR="00F94AC5" w:rsidRPr="007F5648">
        <w:rPr>
          <w:b/>
          <w:lang w:val="en" w:eastAsia="en-AU"/>
        </w:rPr>
        <w:t>18</w:t>
      </w:r>
      <w:r w:rsidR="006F71FC" w:rsidRPr="007F5648">
        <w:rPr>
          <w:lang w:val="en" w:eastAsia="en-AU"/>
        </w:rPr>
        <w:t>.</w:t>
      </w:r>
      <w:r w:rsidRPr="007F5648">
        <w:rPr>
          <w:lang w:val="en" w:eastAsia="en-AU"/>
        </w:rPr>
        <w:t xml:space="preserve"> It is recommended that you submit your application </w:t>
      </w:r>
      <w:r w:rsidRPr="007F5648">
        <w:rPr>
          <w:b/>
          <w:lang w:val="en" w:eastAsia="en-AU"/>
        </w:rPr>
        <w:t>well before the closing time and date</w:t>
      </w:r>
      <w:r w:rsidRPr="007F5648">
        <w:rPr>
          <w:lang w:val="en" w:eastAsia="en-AU"/>
        </w:rPr>
        <w:t>.</w:t>
      </w:r>
    </w:p>
    <w:p w14:paraId="02185E19" w14:textId="37EF36C3" w:rsidR="006F71FC" w:rsidRPr="007F5648" w:rsidRDefault="00965121" w:rsidP="00B768C7">
      <w:pPr>
        <w:pStyle w:val="Heading2"/>
        <w:numPr>
          <w:ilvl w:val="0"/>
          <w:numId w:val="5"/>
        </w:numPr>
        <w:rPr>
          <w:rFonts w:eastAsia="Calibri"/>
        </w:rPr>
      </w:pPr>
      <w:r w:rsidRPr="007F5648">
        <w:rPr>
          <w:rFonts w:eastAsia="Calibri"/>
        </w:rPr>
        <w:t>What is</w:t>
      </w:r>
      <w:r w:rsidR="0054029F" w:rsidRPr="007F5648">
        <w:rPr>
          <w:rFonts w:eastAsia="Calibri"/>
        </w:rPr>
        <w:t xml:space="preserve"> the aim</w:t>
      </w:r>
      <w:r w:rsidR="006F71FC" w:rsidRPr="007F5648">
        <w:rPr>
          <w:rFonts w:eastAsia="Calibri"/>
        </w:rPr>
        <w:t xml:space="preserve"> of </w:t>
      </w:r>
      <w:r w:rsidR="0054029F" w:rsidRPr="007F5648">
        <w:rPr>
          <w:rFonts w:eastAsia="Calibri"/>
        </w:rPr>
        <w:t xml:space="preserve">the </w:t>
      </w:r>
      <w:r w:rsidR="00F94AC5" w:rsidRPr="007F5648">
        <w:rPr>
          <w:rFonts w:eastAsia="Calibri"/>
        </w:rPr>
        <w:t>Major</w:t>
      </w:r>
      <w:r w:rsidR="006F71FC" w:rsidRPr="007F5648">
        <w:rPr>
          <w:rFonts w:eastAsia="Calibri"/>
        </w:rPr>
        <w:t xml:space="preserve"> Commemorative Grants</w:t>
      </w:r>
      <w:r w:rsidR="00C8239B">
        <w:rPr>
          <w:rFonts w:eastAsia="Calibri"/>
        </w:rPr>
        <w:t xml:space="preserve"> P</w:t>
      </w:r>
      <w:r w:rsidRPr="007F5648">
        <w:rPr>
          <w:rFonts w:eastAsia="Calibri"/>
        </w:rPr>
        <w:t>rogram</w:t>
      </w:r>
      <w:r w:rsidR="006F71FC" w:rsidRPr="007F5648">
        <w:rPr>
          <w:rFonts w:eastAsia="Calibri"/>
        </w:rPr>
        <w:t>?</w:t>
      </w:r>
    </w:p>
    <w:p w14:paraId="7BDE9E79" w14:textId="77777777" w:rsidR="00965121" w:rsidRPr="007F5648" w:rsidRDefault="00965121" w:rsidP="00965121">
      <w:pPr>
        <w:pStyle w:val="highlightedtext"/>
        <w:pBdr>
          <w:top w:val="none" w:sz="0" w:space="0" w:color="auto"/>
          <w:left w:val="none" w:sz="0" w:space="0" w:color="auto"/>
          <w:bottom w:val="none" w:sz="0" w:space="0" w:color="auto"/>
          <w:right w:val="none" w:sz="0" w:space="0" w:color="auto"/>
        </w:pBdr>
        <w:jc w:val="left"/>
        <w:rPr>
          <w:b w:val="0"/>
          <w:color w:val="auto"/>
        </w:rPr>
      </w:pPr>
      <w:r w:rsidRPr="007F5648">
        <w:rPr>
          <w:b w:val="0"/>
          <w:color w:val="auto"/>
        </w:rPr>
        <w:t>The Program is designed to preserve Australia’s wartime heritage and to involve people throughout the nation in a wide range of projects and activities that highlight the service and sacrifice of Australia’s servicemen and women in wars, conflicts and peace operations, and promote appreciation and understanding of the role that those who served have played in shaping the nation.</w:t>
      </w:r>
    </w:p>
    <w:p w14:paraId="26728D69" w14:textId="46E37FE8" w:rsidR="006F71FC" w:rsidRPr="007F5648" w:rsidRDefault="00CD7DD1" w:rsidP="00D0333E">
      <w:pPr>
        <w:pStyle w:val="highlightedtext"/>
        <w:pBdr>
          <w:top w:val="none" w:sz="0" w:space="0" w:color="auto"/>
          <w:left w:val="none" w:sz="0" w:space="0" w:color="auto"/>
          <w:bottom w:val="none" w:sz="0" w:space="0" w:color="auto"/>
          <w:right w:val="none" w:sz="0" w:space="0" w:color="auto"/>
        </w:pBdr>
        <w:jc w:val="left"/>
        <w:rPr>
          <w:b w:val="0"/>
          <w:color w:val="auto"/>
        </w:rPr>
      </w:pPr>
      <w:r w:rsidRPr="007F5648">
        <w:rPr>
          <w:color w:val="auto"/>
        </w:rPr>
        <w:t>Note:</w:t>
      </w:r>
      <w:r w:rsidRPr="007F5648">
        <w:rPr>
          <w:b w:val="0"/>
          <w:color w:val="auto"/>
        </w:rPr>
        <w:t xml:space="preserve"> MCG’s are significant projects / activities and </w:t>
      </w:r>
      <w:r w:rsidRPr="007F5648">
        <w:rPr>
          <w:i/>
          <w:color w:val="auto"/>
        </w:rPr>
        <w:t>must</w:t>
      </w:r>
      <w:r w:rsidR="00DE1F22">
        <w:rPr>
          <w:b w:val="0"/>
          <w:color w:val="auto"/>
        </w:rPr>
        <w:t xml:space="preserve"> be from a National, State or</w:t>
      </w:r>
      <w:r w:rsidRPr="007F5648">
        <w:rPr>
          <w:b w:val="0"/>
          <w:color w:val="auto"/>
        </w:rPr>
        <w:t xml:space="preserve"> Territory perspective, usually over $4,000. Some activities / projects under $4,000</w:t>
      </w:r>
      <w:r w:rsidR="00C8239B">
        <w:rPr>
          <w:b w:val="0"/>
          <w:color w:val="auto"/>
        </w:rPr>
        <w:t xml:space="preserve"> may not be eligible under the G</w:t>
      </w:r>
      <w:r w:rsidRPr="007F5648">
        <w:rPr>
          <w:b w:val="0"/>
          <w:color w:val="auto"/>
        </w:rPr>
        <w:t>uidelines for a Major Commemorative Grant (MCG) but may be eligible under the Commu</w:t>
      </w:r>
      <w:r w:rsidR="00C8239B">
        <w:rPr>
          <w:b w:val="0"/>
          <w:color w:val="auto"/>
        </w:rPr>
        <w:t>nity Commemorative Grant (CCG) G</w:t>
      </w:r>
      <w:r w:rsidRPr="007F5648">
        <w:rPr>
          <w:b w:val="0"/>
          <w:color w:val="auto"/>
        </w:rPr>
        <w:t>uidelines.</w:t>
      </w:r>
    </w:p>
    <w:p w14:paraId="13A7AC85" w14:textId="77777777" w:rsidR="006F71FC" w:rsidRPr="007F5648" w:rsidRDefault="006F71FC" w:rsidP="00B768C7">
      <w:pPr>
        <w:pStyle w:val="Heading2"/>
        <w:numPr>
          <w:ilvl w:val="0"/>
          <w:numId w:val="5"/>
        </w:numPr>
        <w:rPr>
          <w:lang w:val="en" w:eastAsia="en-AU"/>
        </w:rPr>
      </w:pPr>
      <w:r w:rsidRPr="007F5648">
        <w:rPr>
          <w:lang w:val="en" w:eastAsia="en-AU"/>
        </w:rPr>
        <w:t>How much can I apply for?</w:t>
      </w:r>
    </w:p>
    <w:p w14:paraId="229226B6" w14:textId="5237D69F" w:rsidR="00965121" w:rsidRPr="007F5648" w:rsidRDefault="006F71FC" w:rsidP="006F71FC">
      <w:pPr>
        <w:pStyle w:val="BodyText"/>
        <w:rPr>
          <w:lang w:val="en" w:eastAsia="en-AU"/>
        </w:rPr>
      </w:pPr>
      <w:r w:rsidRPr="007F5648">
        <w:rPr>
          <w:lang w:val="en" w:eastAsia="en-AU"/>
        </w:rPr>
        <w:t>Grants</w:t>
      </w:r>
      <w:r w:rsidR="00C8239B">
        <w:rPr>
          <w:lang w:val="en" w:eastAsia="en-AU"/>
        </w:rPr>
        <w:t xml:space="preserve"> provided</w:t>
      </w:r>
      <w:r w:rsidRPr="007F5648">
        <w:rPr>
          <w:lang w:val="en" w:eastAsia="en-AU"/>
        </w:rPr>
        <w:t xml:space="preserve"> </w:t>
      </w:r>
      <w:r w:rsidR="00C8239B">
        <w:rPr>
          <w:lang w:val="en" w:eastAsia="en-AU"/>
        </w:rPr>
        <w:t>under the MCG G</w:t>
      </w:r>
      <w:r w:rsidR="00D0333E" w:rsidRPr="007F5648">
        <w:rPr>
          <w:lang w:val="en" w:eastAsia="en-AU"/>
        </w:rPr>
        <w:t>uidelines have no minimum or maximum</w:t>
      </w:r>
      <w:r w:rsidR="00C8239B">
        <w:rPr>
          <w:lang w:val="en" w:eastAsia="en-AU"/>
        </w:rPr>
        <w:t>, however the following limits apply:</w:t>
      </w:r>
    </w:p>
    <w:p w14:paraId="5BE3D707" w14:textId="77777777" w:rsidR="00D0333E" w:rsidRPr="007F5648" w:rsidRDefault="00D0333E" w:rsidP="00B768C7">
      <w:pPr>
        <w:pStyle w:val="BodyText"/>
        <w:numPr>
          <w:ilvl w:val="0"/>
          <w:numId w:val="10"/>
        </w:numPr>
        <w:rPr>
          <w:lang w:val="en" w:eastAsia="en-AU"/>
        </w:rPr>
      </w:pPr>
      <w:r w:rsidRPr="007F5648">
        <w:rPr>
          <w:lang w:val="en" w:eastAsia="en-AU"/>
        </w:rPr>
        <w:t xml:space="preserve">Unincorporated entities can only apply for grants </w:t>
      </w:r>
      <w:r w:rsidRPr="007F5648">
        <w:rPr>
          <w:b/>
          <w:i/>
          <w:lang w:val="en" w:eastAsia="en-AU"/>
        </w:rPr>
        <w:t>under $10,000</w:t>
      </w:r>
    </w:p>
    <w:p w14:paraId="4EBD0940" w14:textId="77777777" w:rsidR="009622B1" w:rsidRPr="007F5648" w:rsidRDefault="00644CC0" w:rsidP="00B768C7">
      <w:pPr>
        <w:pStyle w:val="BodyText"/>
        <w:numPr>
          <w:ilvl w:val="0"/>
          <w:numId w:val="10"/>
        </w:numPr>
        <w:rPr>
          <w:lang w:val="en" w:eastAsia="en-AU"/>
        </w:rPr>
      </w:pPr>
      <w:r w:rsidRPr="007F5648">
        <w:rPr>
          <w:lang w:val="en" w:eastAsia="en-AU"/>
        </w:rPr>
        <w:t>$1,500 - Flag pole, supply and installation</w:t>
      </w:r>
    </w:p>
    <w:p w14:paraId="4518B0B2" w14:textId="77777777" w:rsidR="00644CC0" w:rsidRPr="007F5648" w:rsidRDefault="00644CC0" w:rsidP="00B768C7">
      <w:pPr>
        <w:pStyle w:val="BodyText"/>
        <w:numPr>
          <w:ilvl w:val="0"/>
          <w:numId w:val="10"/>
        </w:numPr>
        <w:rPr>
          <w:lang w:val="en" w:eastAsia="en-AU"/>
        </w:rPr>
      </w:pPr>
      <w:r w:rsidRPr="007F5648">
        <w:rPr>
          <w:lang w:val="en" w:eastAsia="en-AU"/>
        </w:rPr>
        <w:t>$1,000 - Flag pole, supply only</w:t>
      </w:r>
    </w:p>
    <w:p w14:paraId="5F3F6B56" w14:textId="77777777" w:rsidR="00644CC0" w:rsidRPr="007F5648" w:rsidRDefault="00644CC0" w:rsidP="00B768C7">
      <w:pPr>
        <w:pStyle w:val="BodyText"/>
        <w:numPr>
          <w:ilvl w:val="0"/>
          <w:numId w:val="10"/>
        </w:numPr>
        <w:rPr>
          <w:lang w:val="en" w:eastAsia="en-AU"/>
        </w:rPr>
      </w:pPr>
      <w:r w:rsidRPr="007F5648">
        <w:rPr>
          <w:lang w:val="en" w:eastAsia="en-AU"/>
        </w:rPr>
        <w:t>$100 per wreath (maximum of two), for commemorative events / ceremonies</w:t>
      </w:r>
    </w:p>
    <w:p w14:paraId="1F05B7CF" w14:textId="77777777" w:rsidR="00261AEE" w:rsidRPr="007F5648" w:rsidRDefault="00261AEE" w:rsidP="00261AEE">
      <w:pPr>
        <w:pStyle w:val="Heading2"/>
        <w:numPr>
          <w:ilvl w:val="0"/>
          <w:numId w:val="5"/>
        </w:numPr>
        <w:rPr>
          <w:lang w:val="en" w:eastAsia="en-AU"/>
        </w:rPr>
      </w:pPr>
      <w:r w:rsidRPr="007F5648">
        <w:rPr>
          <w:lang w:val="en" w:eastAsia="en-AU"/>
        </w:rPr>
        <w:t>What is the maximum amount available for a Major Commemorative Grant?</w:t>
      </w:r>
    </w:p>
    <w:p w14:paraId="39693373" w14:textId="7BD68C87" w:rsidR="00261AEE" w:rsidRPr="007F5648" w:rsidRDefault="00261AEE" w:rsidP="00261AEE">
      <w:pPr>
        <w:pStyle w:val="BodyText"/>
        <w:rPr>
          <w:lang w:val="en" w:eastAsia="en-AU"/>
        </w:rPr>
      </w:pPr>
      <w:r w:rsidRPr="007F5648">
        <w:rPr>
          <w:lang w:val="en" w:eastAsia="en-AU"/>
        </w:rPr>
        <w:t>There is no maximum, however applicants should be aware that there are</w:t>
      </w:r>
      <w:r w:rsidR="00C8239B">
        <w:rPr>
          <w:lang w:val="en" w:eastAsia="en-AU"/>
        </w:rPr>
        <w:t xml:space="preserve"> limited funds available and that</w:t>
      </w:r>
      <w:r w:rsidRPr="007F5648">
        <w:rPr>
          <w:lang w:val="en" w:eastAsia="en-AU"/>
        </w:rPr>
        <w:t xml:space="preserve"> applications are ranked against the criteria and prioritised against other eligible applications in the same round. </w:t>
      </w:r>
    </w:p>
    <w:p w14:paraId="13E7A5E9" w14:textId="77777777" w:rsidR="00965121" w:rsidRPr="007F5648" w:rsidRDefault="00965121" w:rsidP="00B768C7">
      <w:pPr>
        <w:pStyle w:val="Heading2"/>
        <w:numPr>
          <w:ilvl w:val="0"/>
          <w:numId w:val="5"/>
        </w:numPr>
        <w:rPr>
          <w:lang w:val="en" w:eastAsia="en-AU"/>
        </w:rPr>
      </w:pPr>
      <w:r w:rsidRPr="007F5648">
        <w:rPr>
          <w:lang w:val="en" w:eastAsia="en-AU"/>
        </w:rPr>
        <w:t>Do I need to provide quotes with my application?</w:t>
      </w:r>
    </w:p>
    <w:p w14:paraId="38D49B09" w14:textId="74B0B82E" w:rsidR="00C32A60" w:rsidRPr="007F5648" w:rsidRDefault="005B40C4" w:rsidP="00965121">
      <w:pPr>
        <w:pStyle w:val="BodyText"/>
        <w:rPr>
          <w:lang w:val="en" w:eastAsia="en-AU"/>
        </w:rPr>
      </w:pPr>
      <w:r>
        <w:rPr>
          <w:lang w:val="en" w:eastAsia="en-AU"/>
        </w:rPr>
        <w:t>Yes. Q</w:t>
      </w:r>
      <w:r w:rsidR="00965121" w:rsidRPr="007F5648">
        <w:rPr>
          <w:lang w:val="en" w:eastAsia="en-AU"/>
        </w:rPr>
        <w:t xml:space="preserve">uotes </w:t>
      </w:r>
      <w:r w:rsidR="00DE1F22">
        <w:rPr>
          <w:lang w:val="en" w:eastAsia="en-AU"/>
        </w:rPr>
        <w:t>should</w:t>
      </w:r>
      <w:r w:rsidR="00965121" w:rsidRPr="007F5648">
        <w:rPr>
          <w:lang w:val="en" w:eastAsia="en-AU"/>
        </w:rPr>
        <w:t xml:space="preserve"> be provided</w:t>
      </w:r>
      <w:r w:rsidR="00FA01FC" w:rsidRPr="007F5648">
        <w:rPr>
          <w:lang w:val="en" w:eastAsia="en-AU"/>
        </w:rPr>
        <w:t xml:space="preserve"> with your application for all items that you are seeking funding for. It is recognised that a quote may not always be </w:t>
      </w:r>
      <w:r w:rsidR="00222901" w:rsidRPr="007F5648">
        <w:rPr>
          <w:lang w:val="en" w:eastAsia="en-AU"/>
        </w:rPr>
        <w:t>obtainable;</w:t>
      </w:r>
      <w:r w:rsidR="00FA01FC" w:rsidRPr="007F5648">
        <w:rPr>
          <w:lang w:val="en" w:eastAsia="en-AU"/>
        </w:rPr>
        <w:t xml:space="preserve"> in this case you must provide details on how your figures were calculated.</w:t>
      </w:r>
    </w:p>
    <w:p w14:paraId="433F93D4" w14:textId="77777777" w:rsidR="00965121" w:rsidRPr="007F5648" w:rsidRDefault="00C32A60" w:rsidP="00B768C7">
      <w:pPr>
        <w:pStyle w:val="Heading2"/>
        <w:numPr>
          <w:ilvl w:val="0"/>
          <w:numId w:val="5"/>
        </w:numPr>
        <w:rPr>
          <w:lang w:val="en" w:eastAsia="en-AU"/>
        </w:rPr>
      </w:pPr>
      <w:r w:rsidRPr="007F5648">
        <w:rPr>
          <w:lang w:val="en" w:eastAsia="en-AU"/>
        </w:rPr>
        <w:t>Items that I would like to seek funding for are not on the list of</w:t>
      </w:r>
      <w:r w:rsidR="00270E65" w:rsidRPr="007F5648">
        <w:rPr>
          <w:lang w:val="en" w:eastAsia="en-AU"/>
        </w:rPr>
        <w:t xml:space="preserve"> eligible items in the </w:t>
      </w:r>
      <w:r w:rsidR="00DE1F22">
        <w:rPr>
          <w:lang w:val="en" w:eastAsia="en-AU"/>
        </w:rPr>
        <w:t>Grant Opportunity</w:t>
      </w:r>
      <w:r w:rsidRPr="007F5648">
        <w:rPr>
          <w:lang w:val="en" w:eastAsia="en-AU"/>
        </w:rPr>
        <w:t xml:space="preserve"> Guidelines, can I still apply for these items?</w:t>
      </w:r>
    </w:p>
    <w:p w14:paraId="79170F71" w14:textId="77777777" w:rsidR="00C31670" w:rsidRPr="007F5648" w:rsidRDefault="00C32A60" w:rsidP="00C32A60">
      <w:pPr>
        <w:pStyle w:val="BodyText"/>
        <w:rPr>
          <w:lang w:val="en" w:eastAsia="en-AU"/>
        </w:rPr>
      </w:pPr>
      <w:r w:rsidRPr="007F5648">
        <w:rPr>
          <w:lang w:val="en" w:eastAsia="en-AU"/>
        </w:rPr>
        <w:t>It is not possible to provide an exhaustive list of items / projects that may be eligible for funding. Providing that the items you are seeking are directly connected to the delivery of the project you, should include them for consideration.</w:t>
      </w:r>
    </w:p>
    <w:p w14:paraId="04B863AE" w14:textId="77777777" w:rsidR="006636A5" w:rsidRPr="007F5648" w:rsidRDefault="009A4780" w:rsidP="009A4780">
      <w:pPr>
        <w:pStyle w:val="Heading2"/>
        <w:numPr>
          <w:ilvl w:val="0"/>
          <w:numId w:val="5"/>
        </w:numPr>
        <w:rPr>
          <w:lang w:val="en" w:eastAsia="en-AU"/>
        </w:rPr>
      </w:pPr>
      <w:r w:rsidRPr="007F5648">
        <w:rPr>
          <w:lang w:val="en" w:eastAsia="en-AU"/>
        </w:rPr>
        <w:lastRenderedPageBreak/>
        <w:t xml:space="preserve">What can the grant money </w:t>
      </w:r>
      <w:r w:rsidRPr="007F5648">
        <w:rPr>
          <w:i/>
          <w:lang w:val="en" w:eastAsia="en-AU"/>
        </w:rPr>
        <w:t>not</w:t>
      </w:r>
      <w:r w:rsidRPr="007F5648">
        <w:rPr>
          <w:lang w:val="en" w:eastAsia="en-AU"/>
        </w:rPr>
        <w:t xml:space="preserve"> be used for?</w:t>
      </w:r>
    </w:p>
    <w:p w14:paraId="30D4C6FB" w14:textId="77777777" w:rsidR="009A4780" w:rsidRPr="007F5648" w:rsidRDefault="00C31670" w:rsidP="009A4780">
      <w:pPr>
        <w:pStyle w:val="BodyText"/>
        <w:rPr>
          <w:lang w:val="en" w:eastAsia="en-AU"/>
        </w:rPr>
      </w:pPr>
      <w:r w:rsidRPr="007F5648">
        <w:rPr>
          <w:lang w:val="en" w:eastAsia="en-AU"/>
        </w:rPr>
        <w:t xml:space="preserve">There are limitations on what sort of activities or expenditure items the grant money can be used for, </w:t>
      </w:r>
      <w:r w:rsidRPr="007F5648">
        <w:rPr>
          <w:b/>
          <w:i/>
          <w:lang w:val="en" w:eastAsia="en-AU"/>
        </w:rPr>
        <w:t>some</w:t>
      </w:r>
      <w:r w:rsidRPr="007F5648">
        <w:rPr>
          <w:lang w:val="en" w:eastAsia="en-AU"/>
        </w:rPr>
        <w:t xml:space="preserve"> examples are outlined below:</w:t>
      </w:r>
    </w:p>
    <w:p w14:paraId="6DE24A92" w14:textId="09623983" w:rsidR="00C31670" w:rsidRPr="007F5648" w:rsidRDefault="00DE1F22" w:rsidP="009A4780">
      <w:pPr>
        <w:pStyle w:val="BodyText"/>
        <w:rPr>
          <w:lang w:val="en" w:eastAsia="en-AU"/>
        </w:rPr>
      </w:pPr>
      <w:r>
        <w:rPr>
          <w:lang w:val="en" w:eastAsia="en-AU"/>
        </w:rPr>
        <w:t>Examples of activities</w:t>
      </w:r>
      <w:r w:rsidR="00C8239B">
        <w:rPr>
          <w:lang w:val="en" w:eastAsia="en-AU"/>
        </w:rPr>
        <w:t xml:space="preserve"> not eligible</w:t>
      </w:r>
      <w:r w:rsidR="00C31670" w:rsidRPr="007F5648">
        <w:rPr>
          <w:lang w:val="en" w:eastAsia="en-AU"/>
        </w:rPr>
        <w:t>:</w:t>
      </w:r>
    </w:p>
    <w:p w14:paraId="1D53B682" w14:textId="77777777" w:rsidR="00C31670" w:rsidRPr="007F5648" w:rsidRDefault="00C31670" w:rsidP="00C31670">
      <w:pPr>
        <w:pStyle w:val="BodyText"/>
        <w:numPr>
          <w:ilvl w:val="0"/>
          <w:numId w:val="10"/>
        </w:numPr>
        <w:rPr>
          <w:lang w:val="en" w:eastAsia="en-AU"/>
        </w:rPr>
      </w:pPr>
      <w:r w:rsidRPr="007F5648">
        <w:rPr>
          <w:lang w:val="en" w:eastAsia="en-AU"/>
        </w:rPr>
        <w:t>Sporting events</w:t>
      </w:r>
    </w:p>
    <w:p w14:paraId="2F8D4942" w14:textId="77777777" w:rsidR="00C31670" w:rsidRPr="007F5648" w:rsidRDefault="00C31670" w:rsidP="00C31670">
      <w:pPr>
        <w:pStyle w:val="BodyText"/>
        <w:numPr>
          <w:ilvl w:val="0"/>
          <w:numId w:val="10"/>
        </w:numPr>
        <w:rPr>
          <w:lang w:val="en" w:eastAsia="en-AU"/>
        </w:rPr>
      </w:pPr>
      <w:r w:rsidRPr="007F5648">
        <w:rPr>
          <w:lang w:val="en" w:eastAsia="en-AU"/>
        </w:rPr>
        <w:t>Recurring events / activities e.g. Anzac Day, Remembrance Day, Vietnam Veterans’ Day, National Service Day except where the event relates to a significant anniversary</w:t>
      </w:r>
      <w:r w:rsidR="001F7830">
        <w:rPr>
          <w:lang w:val="en" w:eastAsia="en-AU"/>
        </w:rPr>
        <w:t xml:space="preserve"> (significant anniversaries end in a 0 or 5, e.g. 40 year or 65 year)</w:t>
      </w:r>
      <w:r w:rsidRPr="007F5648">
        <w:rPr>
          <w:lang w:val="en" w:eastAsia="en-AU"/>
        </w:rPr>
        <w:t>.</w:t>
      </w:r>
    </w:p>
    <w:p w14:paraId="5A402D03" w14:textId="28CD6817" w:rsidR="00C31670" w:rsidRPr="007F5648" w:rsidRDefault="00DE1F22" w:rsidP="00C31670">
      <w:pPr>
        <w:pStyle w:val="BodyText"/>
        <w:rPr>
          <w:lang w:val="en" w:eastAsia="en-AU"/>
        </w:rPr>
      </w:pPr>
      <w:r>
        <w:rPr>
          <w:lang w:val="en" w:eastAsia="en-AU"/>
        </w:rPr>
        <w:t>Examples of expenditure items</w:t>
      </w:r>
      <w:r w:rsidR="00C8239B">
        <w:rPr>
          <w:lang w:val="en" w:eastAsia="en-AU"/>
        </w:rPr>
        <w:t xml:space="preserve"> not eligible</w:t>
      </w:r>
      <w:r w:rsidR="00C31670" w:rsidRPr="007F5648">
        <w:rPr>
          <w:lang w:val="en" w:eastAsia="en-AU"/>
        </w:rPr>
        <w:t>:</w:t>
      </w:r>
    </w:p>
    <w:p w14:paraId="6B0BA33B" w14:textId="77777777" w:rsidR="00C31670" w:rsidRPr="007F5648" w:rsidRDefault="00C31670" w:rsidP="00C31670">
      <w:pPr>
        <w:pStyle w:val="BodyText"/>
        <w:numPr>
          <w:ilvl w:val="0"/>
          <w:numId w:val="10"/>
        </w:numPr>
        <w:rPr>
          <w:lang w:val="en" w:eastAsia="en-AU"/>
        </w:rPr>
      </w:pPr>
      <w:r w:rsidRPr="007F5648">
        <w:rPr>
          <w:lang w:val="en" w:eastAsia="en-AU"/>
        </w:rPr>
        <w:t>Salaries / wages</w:t>
      </w:r>
    </w:p>
    <w:p w14:paraId="3881F1CA" w14:textId="77777777" w:rsidR="00C31670" w:rsidRPr="007F5648" w:rsidRDefault="00C31670" w:rsidP="00C31670">
      <w:pPr>
        <w:pStyle w:val="BodyText"/>
        <w:numPr>
          <w:ilvl w:val="0"/>
          <w:numId w:val="10"/>
        </w:numPr>
        <w:rPr>
          <w:lang w:val="en" w:eastAsia="en-AU"/>
        </w:rPr>
      </w:pPr>
      <w:r w:rsidRPr="007F5648">
        <w:rPr>
          <w:lang w:val="en" w:eastAsia="en-AU"/>
        </w:rPr>
        <w:t>Catering and refreshments</w:t>
      </w:r>
    </w:p>
    <w:p w14:paraId="6C25A6D3" w14:textId="77777777" w:rsidR="00C31670" w:rsidRPr="007F5648" w:rsidRDefault="00C31670" w:rsidP="00C31670">
      <w:pPr>
        <w:pStyle w:val="BodyText"/>
        <w:numPr>
          <w:ilvl w:val="0"/>
          <w:numId w:val="10"/>
        </w:numPr>
        <w:rPr>
          <w:lang w:val="en" w:eastAsia="en-AU"/>
        </w:rPr>
      </w:pPr>
      <w:r w:rsidRPr="007F5648">
        <w:rPr>
          <w:lang w:val="en" w:eastAsia="en-AU"/>
        </w:rPr>
        <w:t>Travel – international and domestic. Note:</w:t>
      </w:r>
      <w:r w:rsidRPr="007F5648">
        <w:rPr>
          <w:b/>
          <w:lang w:val="en" w:eastAsia="en-AU"/>
        </w:rPr>
        <w:t xml:space="preserve"> </w:t>
      </w:r>
      <w:r w:rsidRPr="007F5648">
        <w:rPr>
          <w:lang w:val="en" w:eastAsia="en-AU"/>
        </w:rPr>
        <w:t>includes hire of vehicles, fuel and accommodation</w:t>
      </w:r>
    </w:p>
    <w:p w14:paraId="7B7DE1B0" w14:textId="77777777" w:rsidR="00C31670" w:rsidRPr="007F5648" w:rsidRDefault="00C31670" w:rsidP="00C31670">
      <w:pPr>
        <w:pStyle w:val="BodyText"/>
        <w:numPr>
          <w:ilvl w:val="0"/>
          <w:numId w:val="10"/>
        </w:numPr>
        <w:rPr>
          <w:lang w:val="en" w:eastAsia="en-AU"/>
        </w:rPr>
      </w:pPr>
      <w:r w:rsidRPr="007F5648">
        <w:rPr>
          <w:lang w:val="en" w:eastAsia="en-AU"/>
        </w:rPr>
        <w:t>Trophies, prizes, awards, gifts and medallions</w:t>
      </w:r>
    </w:p>
    <w:p w14:paraId="274812A7" w14:textId="7E368FFB" w:rsidR="00C31670" w:rsidRPr="00EE1A6F" w:rsidRDefault="00C31670" w:rsidP="00C31670">
      <w:pPr>
        <w:pStyle w:val="BodyText"/>
        <w:rPr>
          <w:highlight w:val="yellow"/>
          <w:lang w:val="en" w:eastAsia="en-AU"/>
        </w:rPr>
      </w:pPr>
      <w:r w:rsidRPr="007F5648">
        <w:rPr>
          <w:b/>
          <w:i/>
          <w:lang w:val="en" w:eastAsia="en-AU"/>
        </w:rPr>
        <w:t>Note: For a list of acti</w:t>
      </w:r>
      <w:r w:rsidR="00F04CF5">
        <w:rPr>
          <w:b/>
          <w:i/>
          <w:lang w:val="en" w:eastAsia="en-AU"/>
        </w:rPr>
        <w:t>vities and expenditure items</w:t>
      </w:r>
      <w:r w:rsidRPr="007F5648">
        <w:rPr>
          <w:b/>
          <w:i/>
          <w:lang w:val="en" w:eastAsia="en-AU"/>
        </w:rPr>
        <w:t xml:space="preserve"> </w:t>
      </w:r>
      <w:r w:rsidR="00393149">
        <w:rPr>
          <w:b/>
          <w:i/>
          <w:lang w:val="en" w:eastAsia="en-AU"/>
        </w:rPr>
        <w:t>not eligible</w:t>
      </w:r>
      <w:r w:rsidRPr="007F5648">
        <w:rPr>
          <w:b/>
          <w:i/>
          <w:lang w:val="en" w:eastAsia="en-AU"/>
        </w:rPr>
        <w:t xml:space="preserve">, please see </w:t>
      </w:r>
      <w:r w:rsidR="00DE1F22">
        <w:rPr>
          <w:b/>
          <w:i/>
          <w:lang w:val="en" w:eastAsia="en-AU"/>
        </w:rPr>
        <w:t>4.2 in the Grant Opportunity Guidelines.</w:t>
      </w:r>
    </w:p>
    <w:p w14:paraId="130051EF" w14:textId="77777777" w:rsidR="003E3394" w:rsidRPr="007F5648" w:rsidRDefault="003E3394" w:rsidP="00B768C7">
      <w:pPr>
        <w:pStyle w:val="Heading2"/>
        <w:numPr>
          <w:ilvl w:val="0"/>
          <w:numId w:val="5"/>
        </w:numPr>
        <w:rPr>
          <w:rFonts w:eastAsia="Calibri"/>
        </w:rPr>
      </w:pPr>
      <w:r w:rsidRPr="007F5648">
        <w:rPr>
          <w:rFonts w:eastAsia="Calibri"/>
        </w:rPr>
        <w:t>Who is eligible to apply for a grant?</w:t>
      </w:r>
    </w:p>
    <w:p w14:paraId="0E53F952" w14:textId="77777777" w:rsidR="003E3394" w:rsidRPr="007F5648" w:rsidRDefault="003E3394" w:rsidP="003E3394">
      <w:pPr>
        <w:pStyle w:val="BodyText"/>
      </w:pPr>
      <w:r w:rsidRPr="007F5648">
        <w:t>Applicants can choose to apply as one of three applicant types:</w:t>
      </w:r>
    </w:p>
    <w:p w14:paraId="46907ACE" w14:textId="77777777" w:rsidR="003E3394" w:rsidRPr="007F5648" w:rsidRDefault="00270E65" w:rsidP="00B768C7">
      <w:pPr>
        <w:pStyle w:val="BodyText"/>
        <w:numPr>
          <w:ilvl w:val="0"/>
          <w:numId w:val="10"/>
        </w:numPr>
      </w:pPr>
      <w:r w:rsidRPr="007F5648">
        <w:t>a</w:t>
      </w:r>
      <w:r w:rsidR="003E3394" w:rsidRPr="007F5648">
        <w:t>n entity applying for funding in its own right;</w:t>
      </w:r>
    </w:p>
    <w:p w14:paraId="2FC41DA2" w14:textId="77777777" w:rsidR="003E3394" w:rsidRPr="007F5648" w:rsidRDefault="00270E65" w:rsidP="00B768C7">
      <w:pPr>
        <w:pStyle w:val="BodyText"/>
        <w:numPr>
          <w:ilvl w:val="0"/>
          <w:numId w:val="10"/>
        </w:numPr>
      </w:pPr>
      <w:r w:rsidRPr="007F5648">
        <w:t>a</w:t>
      </w:r>
      <w:r w:rsidR="003E3394" w:rsidRPr="007F5648">
        <w:t>n entity applying as a sponsor on behalf of an individual or ineligible organisation; or</w:t>
      </w:r>
    </w:p>
    <w:p w14:paraId="11B19FCE" w14:textId="77777777" w:rsidR="003E3394" w:rsidRPr="007F5648" w:rsidRDefault="00270E65" w:rsidP="00B768C7">
      <w:pPr>
        <w:pStyle w:val="BodyText"/>
        <w:numPr>
          <w:ilvl w:val="0"/>
          <w:numId w:val="10"/>
        </w:numPr>
      </w:pPr>
      <w:r w:rsidRPr="007F5648">
        <w:t>a</w:t>
      </w:r>
      <w:r w:rsidR="003E3394" w:rsidRPr="007F5648">
        <w:t>n entity applying as the lead agency of a consortium</w:t>
      </w:r>
    </w:p>
    <w:p w14:paraId="664C4E0B" w14:textId="77777777" w:rsidR="009A1C18" w:rsidRPr="007F5648" w:rsidRDefault="009A1C18" w:rsidP="00B768C7">
      <w:pPr>
        <w:pStyle w:val="Heading2"/>
        <w:numPr>
          <w:ilvl w:val="0"/>
          <w:numId w:val="5"/>
        </w:numPr>
        <w:rPr>
          <w:rFonts w:eastAsia="Calibri"/>
        </w:rPr>
      </w:pPr>
      <w:r w:rsidRPr="007F5648">
        <w:rPr>
          <w:rFonts w:eastAsia="Calibri"/>
        </w:rPr>
        <w:t>What is</w:t>
      </w:r>
      <w:r w:rsidR="00853883" w:rsidRPr="007F5648">
        <w:rPr>
          <w:rFonts w:eastAsia="Calibri"/>
        </w:rPr>
        <w:t xml:space="preserve"> </w:t>
      </w:r>
      <w:r w:rsidRPr="007F5648">
        <w:rPr>
          <w:rFonts w:eastAsia="Calibri"/>
        </w:rPr>
        <w:t>an</w:t>
      </w:r>
      <w:r w:rsidR="00853883" w:rsidRPr="007F5648">
        <w:rPr>
          <w:rFonts w:eastAsia="Calibri"/>
        </w:rPr>
        <w:t xml:space="preserve"> eligible entity type?</w:t>
      </w:r>
      <w:r w:rsidRPr="007F5648">
        <w:rPr>
          <w:rFonts w:eastAsia="Calibri"/>
        </w:rPr>
        <w:t xml:space="preserve"> </w:t>
      </w:r>
    </w:p>
    <w:p w14:paraId="185ADC48" w14:textId="77777777" w:rsidR="00853883" w:rsidRPr="007F5648" w:rsidRDefault="00853883" w:rsidP="00853883">
      <w:pPr>
        <w:pStyle w:val="BodyText"/>
      </w:pPr>
      <w:r w:rsidRPr="007F5648">
        <w:t>To be eligible, an applicant must be one of the following entity types as stated in the online application form dropdown list:</w:t>
      </w:r>
    </w:p>
    <w:p w14:paraId="70C1794A" w14:textId="77777777" w:rsidR="00853883" w:rsidRPr="007F5648" w:rsidRDefault="00853883" w:rsidP="00B768C7">
      <w:pPr>
        <w:pStyle w:val="BodyText"/>
        <w:numPr>
          <w:ilvl w:val="0"/>
          <w:numId w:val="10"/>
        </w:numPr>
      </w:pPr>
      <w:r w:rsidRPr="007F5648">
        <w:t>Company</w:t>
      </w:r>
    </w:p>
    <w:p w14:paraId="4957027E" w14:textId="77777777" w:rsidR="00853883" w:rsidRPr="007F5648" w:rsidRDefault="00853883" w:rsidP="00B768C7">
      <w:pPr>
        <w:pStyle w:val="BodyText"/>
        <w:numPr>
          <w:ilvl w:val="0"/>
          <w:numId w:val="10"/>
        </w:numPr>
      </w:pPr>
      <w:r w:rsidRPr="007F5648">
        <w:t>Cooperative</w:t>
      </w:r>
    </w:p>
    <w:p w14:paraId="2A078A4B" w14:textId="77777777" w:rsidR="00853883" w:rsidRPr="007F5648" w:rsidRDefault="00853883" w:rsidP="00B768C7">
      <w:pPr>
        <w:pStyle w:val="BodyText"/>
        <w:numPr>
          <w:ilvl w:val="0"/>
          <w:numId w:val="10"/>
        </w:numPr>
      </w:pPr>
      <w:r w:rsidRPr="007F5648">
        <w:t>Indigenous corporation</w:t>
      </w:r>
    </w:p>
    <w:p w14:paraId="7E513602" w14:textId="77777777" w:rsidR="00853883" w:rsidRPr="007F5648" w:rsidRDefault="00853883" w:rsidP="00B768C7">
      <w:pPr>
        <w:pStyle w:val="BodyText"/>
        <w:numPr>
          <w:ilvl w:val="0"/>
          <w:numId w:val="10"/>
        </w:numPr>
      </w:pPr>
      <w:r w:rsidRPr="007F5648">
        <w:t>Incorporated association</w:t>
      </w:r>
    </w:p>
    <w:p w14:paraId="0C91F7F8" w14:textId="77777777" w:rsidR="00853883" w:rsidRPr="007F5648" w:rsidRDefault="00853883" w:rsidP="00B768C7">
      <w:pPr>
        <w:pStyle w:val="BodyText"/>
        <w:numPr>
          <w:ilvl w:val="0"/>
          <w:numId w:val="10"/>
        </w:numPr>
      </w:pPr>
      <w:r w:rsidRPr="007F5648">
        <w:t>Local government</w:t>
      </w:r>
    </w:p>
    <w:p w14:paraId="56E2A7B4" w14:textId="77777777" w:rsidR="00853883" w:rsidRPr="007F5648" w:rsidRDefault="00853883" w:rsidP="00B768C7">
      <w:pPr>
        <w:pStyle w:val="BodyText"/>
        <w:numPr>
          <w:ilvl w:val="0"/>
          <w:numId w:val="10"/>
        </w:numPr>
      </w:pPr>
      <w:r w:rsidRPr="007F5648">
        <w:t>State/Territory Government entity</w:t>
      </w:r>
    </w:p>
    <w:p w14:paraId="0ADFAF6D" w14:textId="77777777" w:rsidR="00853883" w:rsidRPr="007F5648" w:rsidRDefault="00853883" w:rsidP="00B768C7">
      <w:pPr>
        <w:pStyle w:val="BodyText"/>
        <w:numPr>
          <w:ilvl w:val="0"/>
          <w:numId w:val="10"/>
        </w:numPr>
      </w:pPr>
      <w:r w:rsidRPr="007F5648">
        <w:t>Statutory entity</w:t>
      </w:r>
    </w:p>
    <w:p w14:paraId="42598F69" w14:textId="77777777" w:rsidR="00853883" w:rsidRPr="007F5648" w:rsidRDefault="00853883" w:rsidP="00B768C7">
      <w:pPr>
        <w:pStyle w:val="BodyText"/>
        <w:numPr>
          <w:ilvl w:val="0"/>
          <w:numId w:val="10"/>
        </w:numPr>
      </w:pPr>
      <w:r w:rsidRPr="007F5648">
        <w:t>Trustee on behalf of a Trust</w:t>
      </w:r>
    </w:p>
    <w:p w14:paraId="00DF8C6F" w14:textId="0E9F4C88" w:rsidR="00853883" w:rsidRPr="00C8239B" w:rsidRDefault="00853883" w:rsidP="00B768C7">
      <w:pPr>
        <w:pStyle w:val="BodyText"/>
        <w:numPr>
          <w:ilvl w:val="0"/>
          <w:numId w:val="10"/>
        </w:numPr>
      </w:pPr>
      <w:r w:rsidRPr="007F5648">
        <w:t xml:space="preserve">Unincorporated </w:t>
      </w:r>
      <w:r w:rsidR="00C97DC9">
        <w:t>entity</w:t>
      </w:r>
      <w:r w:rsidR="006636A5" w:rsidRPr="007F5648">
        <w:t xml:space="preserve"> – </w:t>
      </w:r>
      <w:r w:rsidR="006636A5" w:rsidRPr="007F5648">
        <w:rPr>
          <w:b/>
        </w:rPr>
        <w:t>if</w:t>
      </w:r>
      <w:r w:rsidR="00296176">
        <w:rPr>
          <w:b/>
        </w:rPr>
        <w:t xml:space="preserve"> applying for</w:t>
      </w:r>
      <w:r w:rsidR="006636A5" w:rsidRPr="007F5648">
        <w:rPr>
          <w:b/>
        </w:rPr>
        <w:t xml:space="preserve"> under $10,000</w:t>
      </w:r>
    </w:p>
    <w:p w14:paraId="331F4820" w14:textId="77777777" w:rsidR="00C8239B" w:rsidRDefault="00C8239B" w:rsidP="00C8239B">
      <w:pPr>
        <w:pStyle w:val="BodyText"/>
      </w:pPr>
      <w:r>
        <w:rPr>
          <w:rFonts w:ascii="Arial" w:hAnsi="Arial" w:cs="Arial"/>
          <w:lang w:val="en"/>
        </w:rPr>
        <w:t xml:space="preserve">Note: If you are not sure about the </w:t>
      </w:r>
      <w:proofErr w:type="spellStart"/>
      <w:r>
        <w:rPr>
          <w:rFonts w:ascii="Arial" w:hAnsi="Arial" w:cs="Arial"/>
          <w:lang w:val="en"/>
        </w:rPr>
        <w:t>organisation’s</w:t>
      </w:r>
      <w:proofErr w:type="spellEnd"/>
      <w:r>
        <w:rPr>
          <w:rFonts w:ascii="Arial" w:hAnsi="Arial" w:cs="Arial"/>
          <w:lang w:val="en"/>
        </w:rPr>
        <w:t xml:space="preserve"> legal entity status, please consult the treasurer or financial officer, or refer to the Australian Business Register </w:t>
      </w:r>
      <w:hyperlink r:id="rId9" w:tgtFrame="_blank" w:history="1">
        <w:r>
          <w:rPr>
            <w:rStyle w:val="Hyperlink"/>
            <w:rFonts w:ascii="Arial" w:hAnsi="Arial" w:cs="Arial"/>
            <w:color w:val="005280"/>
            <w:lang w:val="en"/>
          </w:rPr>
          <w:t>website</w:t>
        </w:r>
      </w:hyperlink>
      <w:r>
        <w:rPr>
          <w:rFonts w:ascii="Arial" w:hAnsi="Arial" w:cs="Arial"/>
          <w:lang w:val="en"/>
        </w:rPr>
        <w:t xml:space="preserve"> for further information. For further </w:t>
      </w:r>
      <w:proofErr w:type="gramStart"/>
      <w:r>
        <w:rPr>
          <w:rFonts w:ascii="Arial" w:hAnsi="Arial" w:cs="Arial"/>
          <w:lang w:val="en"/>
        </w:rPr>
        <w:t>clarification</w:t>
      </w:r>
      <w:proofErr w:type="gramEnd"/>
      <w:r>
        <w:rPr>
          <w:rFonts w:ascii="Arial" w:hAnsi="Arial" w:cs="Arial"/>
          <w:lang w:val="en"/>
        </w:rPr>
        <w:t xml:space="preserve"> see the Grant Opportunity Documents.</w:t>
      </w:r>
    </w:p>
    <w:p w14:paraId="2D390886" w14:textId="77777777" w:rsidR="00C8239B" w:rsidRPr="007F5648" w:rsidRDefault="00C8239B" w:rsidP="00C8239B">
      <w:pPr>
        <w:pStyle w:val="BodyText"/>
      </w:pPr>
    </w:p>
    <w:p w14:paraId="1B1B3746" w14:textId="3D435EA6" w:rsidR="00270E65" w:rsidRPr="007F5648" w:rsidRDefault="00C8239B" w:rsidP="00B768C7">
      <w:pPr>
        <w:pStyle w:val="Heading2"/>
        <w:numPr>
          <w:ilvl w:val="0"/>
          <w:numId w:val="5"/>
        </w:numPr>
        <w:rPr>
          <w:rFonts w:eastAsia="Calibri"/>
        </w:rPr>
      </w:pPr>
      <w:r>
        <w:rPr>
          <w:rFonts w:eastAsia="Calibri"/>
        </w:rPr>
        <w:lastRenderedPageBreak/>
        <w:t xml:space="preserve"> </w:t>
      </w:r>
      <w:r w:rsidR="00270E65" w:rsidRPr="007F5648">
        <w:rPr>
          <w:rFonts w:eastAsia="Calibri"/>
        </w:rPr>
        <w:t>Who is not eligible for a grant?</w:t>
      </w:r>
    </w:p>
    <w:p w14:paraId="7E242DB4" w14:textId="77777777" w:rsidR="00270E65" w:rsidRPr="007F5648" w:rsidRDefault="00270E65" w:rsidP="00270E65">
      <w:pPr>
        <w:pStyle w:val="BodyText"/>
      </w:pPr>
      <w:r w:rsidRPr="007F5648">
        <w:t>You are not eligible for a grant if you are:</w:t>
      </w:r>
    </w:p>
    <w:p w14:paraId="4CFA3D5A" w14:textId="77777777" w:rsidR="000A6032" w:rsidRPr="007F5648" w:rsidRDefault="000A6032" w:rsidP="00B768C7">
      <w:pPr>
        <w:pStyle w:val="BodyText"/>
        <w:numPr>
          <w:ilvl w:val="0"/>
          <w:numId w:val="10"/>
        </w:numPr>
      </w:pPr>
      <w:r w:rsidRPr="007F5648">
        <w:t>Partnership</w:t>
      </w:r>
    </w:p>
    <w:p w14:paraId="37107798" w14:textId="77777777" w:rsidR="000A6032" w:rsidRDefault="000A6032" w:rsidP="000A6032">
      <w:pPr>
        <w:pStyle w:val="BodyText"/>
        <w:numPr>
          <w:ilvl w:val="0"/>
          <w:numId w:val="10"/>
        </w:numPr>
      </w:pPr>
      <w:r w:rsidRPr="007F5648">
        <w:t>Sole Trader</w:t>
      </w:r>
    </w:p>
    <w:p w14:paraId="0DC8CA27" w14:textId="46A6C7DE" w:rsidR="00DE1F22" w:rsidRPr="007F5648" w:rsidRDefault="00746598" w:rsidP="000A6032">
      <w:pPr>
        <w:pStyle w:val="BodyText"/>
        <w:numPr>
          <w:ilvl w:val="0"/>
          <w:numId w:val="10"/>
        </w:numPr>
      </w:pPr>
      <w:r>
        <w:t>a</w:t>
      </w:r>
      <w:r w:rsidR="00DE1F22">
        <w:t xml:space="preserve"> person </w:t>
      </w:r>
      <w:r w:rsidR="00DE1F22" w:rsidRPr="007F5648">
        <w:t xml:space="preserve">applying in </w:t>
      </w:r>
      <w:r w:rsidR="00DE1F22">
        <w:t xml:space="preserve">their </w:t>
      </w:r>
      <w:r w:rsidR="00DE1F22" w:rsidRPr="007F5648">
        <w:t>own right</w:t>
      </w:r>
    </w:p>
    <w:p w14:paraId="6AFFFC07" w14:textId="77777777" w:rsidR="00210B47" w:rsidRPr="007F5648" w:rsidRDefault="00210B47" w:rsidP="000A6032">
      <w:pPr>
        <w:pStyle w:val="BodyText"/>
        <w:numPr>
          <w:ilvl w:val="0"/>
          <w:numId w:val="10"/>
        </w:numPr>
      </w:pPr>
      <w:r w:rsidRPr="007F5648">
        <w:t>International Entity</w:t>
      </w:r>
    </w:p>
    <w:p w14:paraId="79748BC8" w14:textId="77777777" w:rsidR="00270E65" w:rsidRPr="007F5648" w:rsidRDefault="00270E65" w:rsidP="00B768C7">
      <w:pPr>
        <w:pStyle w:val="BodyText"/>
        <w:numPr>
          <w:ilvl w:val="0"/>
          <w:numId w:val="10"/>
        </w:numPr>
      </w:pPr>
      <w:r w:rsidRPr="007F5648">
        <w:t>an organisation that has not acquitted all previous DVA grants</w:t>
      </w:r>
    </w:p>
    <w:p w14:paraId="07235F96" w14:textId="77777777" w:rsidR="00270E65" w:rsidRPr="007F5648" w:rsidRDefault="00270E65" w:rsidP="00B768C7">
      <w:pPr>
        <w:pStyle w:val="BodyText"/>
        <w:numPr>
          <w:ilvl w:val="0"/>
          <w:numId w:val="10"/>
        </w:numPr>
      </w:pPr>
      <w:r w:rsidRPr="007F5648">
        <w:t>an overseas resident</w:t>
      </w:r>
    </w:p>
    <w:p w14:paraId="7316AE91" w14:textId="77777777" w:rsidR="00270E65" w:rsidRPr="007F5648" w:rsidRDefault="00270E65" w:rsidP="00B768C7">
      <w:pPr>
        <w:pStyle w:val="BodyText"/>
        <w:numPr>
          <w:ilvl w:val="0"/>
          <w:numId w:val="10"/>
        </w:numPr>
      </w:pPr>
      <w:r w:rsidRPr="007F5648">
        <w:t>a political party</w:t>
      </w:r>
    </w:p>
    <w:p w14:paraId="4833EFE7" w14:textId="78A2296F" w:rsidR="004D6C22" w:rsidRPr="007F5648" w:rsidRDefault="00C8239B" w:rsidP="00B768C7">
      <w:pPr>
        <w:pStyle w:val="Heading2"/>
        <w:numPr>
          <w:ilvl w:val="0"/>
          <w:numId w:val="5"/>
        </w:numPr>
        <w:rPr>
          <w:rFonts w:eastAsia="Calibri"/>
        </w:rPr>
      </w:pPr>
      <w:r>
        <w:rPr>
          <w:rFonts w:eastAsia="Calibri"/>
        </w:rPr>
        <w:t xml:space="preserve"> </w:t>
      </w:r>
      <w:r w:rsidR="004D6C22" w:rsidRPr="007F5648">
        <w:rPr>
          <w:rFonts w:eastAsia="Calibri"/>
        </w:rPr>
        <w:t>Who will be approving DVA grants?</w:t>
      </w:r>
    </w:p>
    <w:p w14:paraId="0B875B3F" w14:textId="77777777" w:rsidR="004D6C22" w:rsidRPr="007F5648" w:rsidRDefault="004D6C22" w:rsidP="004D6C22">
      <w:pPr>
        <w:spacing w:after="0" w:line="276" w:lineRule="auto"/>
        <w:rPr>
          <w:sz w:val="24"/>
          <w:szCs w:val="24"/>
        </w:rPr>
      </w:pPr>
      <w:r w:rsidRPr="007F5648">
        <w:rPr>
          <w:szCs w:val="22"/>
        </w:rPr>
        <w:t>The Minister for Veterans’ Affairs will approve grants for DVA</w:t>
      </w:r>
      <w:r w:rsidRPr="007F5648">
        <w:rPr>
          <w:sz w:val="24"/>
          <w:szCs w:val="24"/>
        </w:rPr>
        <w:t>.</w:t>
      </w:r>
    </w:p>
    <w:p w14:paraId="62C429B2" w14:textId="345A0F3D" w:rsidR="004D6C22" w:rsidRPr="007F5648" w:rsidRDefault="00C8239B" w:rsidP="00B768C7">
      <w:pPr>
        <w:pStyle w:val="Heading2"/>
        <w:numPr>
          <w:ilvl w:val="0"/>
          <w:numId w:val="5"/>
        </w:numPr>
        <w:rPr>
          <w:rFonts w:eastAsia="Calibri"/>
        </w:rPr>
      </w:pPr>
      <w:r>
        <w:rPr>
          <w:rFonts w:eastAsia="Calibri"/>
        </w:rPr>
        <w:t xml:space="preserve"> </w:t>
      </w:r>
      <w:r w:rsidR="004D6C22" w:rsidRPr="007F5648">
        <w:rPr>
          <w:rFonts w:eastAsia="Calibri"/>
        </w:rPr>
        <w:t>Will DVA still be involved in assessing the grants?</w:t>
      </w:r>
    </w:p>
    <w:p w14:paraId="1A807925" w14:textId="77777777" w:rsidR="004D6C22" w:rsidRPr="007F5648" w:rsidRDefault="004D6C22" w:rsidP="004D6C22">
      <w:pPr>
        <w:spacing w:after="0" w:line="276" w:lineRule="auto"/>
        <w:rPr>
          <w:szCs w:val="22"/>
        </w:rPr>
      </w:pPr>
      <w:r w:rsidRPr="007F5648">
        <w:rPr>
          <w:szCs w:val="22"/>
        </w:rPr>
        <w:t xml:space="preserve">DVA has staff working in the Hub. DVA as a Department will retain responsibility for: </w:t>
      </w:r>
    </w:p>
    <w:p w14:paraId="4DB42DFF" w14:textId="77777777" w:rsidR="004D6C22" w:rsidRPr="007F5648" w:rsidRDefault="004D6C22" w:rsidP="00B768C7">
      <w:pPr>
        <w:pStyle w:val="ListParagraph"/>
        <w:numPr>
          <w:ilvl w:val="0"/>
          <w:numId w:val="9"/>
        </w:numPr>
        <w:spacing w:after="0" w:line="276" w:lineRule="auto"/>
        <w:rPr>
          <w:szCs w:val="22"/>
        </w:rPr>
      </w:pPr>
      <w:r w:rsidRPr="007F5648">
        <w:rPr>
          <w:szCs w:val="22"/>
        </w:rPr>
        <w:t>the policy of its grants programs;</w:t>
      </w:r>
    </w:p>
    <w:p w14:paraId="14557A43" w14:textId="77777777" w:rsidR="004D6C22" w:rsidRPr="007F5648" w:rsidRDefault="004D6C22" w:rsidP="00B768C7">
      <w:pPr>
        <w:pStyle w:val="ListParagraph"/>
        <w:numPr>
          <w:ilvl w:val="0"/>
          <w:numId w:val="9"/>
        </w:numPr>
        <w:spacing w:after="0" w:line="276" w:lineRule="auto"/>
        <w:rPr>
          <w:szCs w:val="22"/>
        </w:rPr>
      </w:pPr>
      <w:r w:rsidRPr="007F5648">
        <w:rPr>
          <w:szCs w:val="22"/>
        </w:rPr>
        <w:t>ensuring the work of the Hub meets DVA’s quality standards; and</w:t>
      </w:r>
    </w:p>
    <w:p w14:paraId="2E402206" w14:textId="77777777" w:rsidR="004D6C22" w:rsidRPr="007F5648" w:rsidRDefault="004D6C22" w:rsidP="004D6C22">
      <w:pPr>
        <w:pStyle w:val="ListParagraph"/>
        <w:numPr>
          <w:ilvl w:val="0"/>
          <w:numId w:val="9"/>
        </w:numPr>
        <w:spacing w:after="0" w:line="276" w:lineRule="auto"/>
        <w:rPr>
          <w:szCs w:val="22"/>
        </w:rPr>
      </w:pPr>
      <w:r w:rsidRPr="007F5648">
        <w:rPr>
          <w:szCs w:val="22"/>
        </w:rPr>
        <w:t>briefing the Minister on recommended grants and responding to any grants correspondence. </w:t>
      </w:r>
    </w:p>
    <w:p w14:paraId="6D66172B" w14:textId="77777777" w:rsidR="00F172DD" w:rsidRPr="007F5648" w:rsidRDefault="004D6C22" w:rsidP="00B768C7">
      <w:pPr>
        <w:pStyle w:val="Heading2"/>
        <w:numPr>
          <w:ilvl w:val="0"/>
          <w:numId w:val="5"/>
        </w:numPr>
        <w:rPr>
          <w:rFonts w:eastAsia="Calibri"/>
        </w:rPr>
      </w:pPr>
      <w:r w:rsidRPr="007F5648">
        <w:rPr>
          <w:rFonts w:eastAsia="Calibri"/>
        </w:rPr>
        <w:t xml:space="preserve"> </w:t>
      </w:r>
      <w:r w:rsidR="00F172DD" w:rsidRPr="007F5648">
        <w:rPr>
          <w:rFonts w:eastAsia="Calibri"/>
        </w:rPr>
        <w:t xml:space="preserve">If I am not able to submit my application by the due </w:t>
      </w:r>
      <w:r w:rsidR="001562BB" w:rsidRPr="007F5648">
        <w:rPr>
          <w:rFonts w:eastAsia="Calibri"/>
        </w:rPr>
        <w:t xml:space="preserve">time and </w:t>
      </w:r>
      <w:r w:rsidR="00F172DD" w:rsidRPr="007F5648">
        <w:rPr>
          <w:rFonts w:eastAsia="Calibri"/>
        </w:rPr>
        <w:t>date, can I be granted an extension?</w:t>
      </w:r>
    </w:p>
    <w:p w14:paraId="0093C868" w14:textId="77777777" w:rsidR="00F172DD" w:rsidRPr="007F5648" w:rsidRDefault="001E48A9" w:rsidP="00643939">
      <w:r w:rsidRPr="007F5648">
        <w:t>Late applications will not be accepted. If an application is late or the Hub is requested to approve a lodgement after the closing date, the Hub may determine that there were exceptional circumstances beyond the applicant’s control that meant they could not meet the deadline. Examples of exceptional circumstances could include, but are not limited to:</w:t>
      </w:r>
    </w:p>
    <w:p w14:paraId="407BF3F4" w14:textId="77777777" w:rsidR="001E48A9" w:rsidRPr="007F5648" w:rsidRDefault="001E48A9" w:rsidP="001E48A9">
      <w:pPr>
        <w:pStyle w:val="ListParagraph"/>
        <w:numPr>
          <w:ilvl w:val="0"/>
          <w:numId w:val="9"/>
        </w:numPr>
        <w:rPr>
          <w:szCs w:val="22"/>
        </w:rPr>
      </w:pPr>
      <w:r w:rsidRPr="007F5648">
        <w:rPr>
          <w:szCs w:val="22"/>
        </w:rPr>
        <w:t>Community Grants Hub infrastructure failures,</w:t>
      </w:r>
    </w:p>
    <w:p w14:paraId="6E4ABDFE" w14:textId="77777777" w:rsidR="001E48A9" w:rsidRPr="007F5648" w:rsidRDefault="001E48A9" w:rsidP="001E48A9">
      <w:pPr>
        <w:pStyle w:val="ListParagraph"/>
        <w:numPr>
          <w:ilvl w:val="0"/>
          <w:numId w:val="9"/>
        </w:numPr>
        <w:rPr>
          <w:szCs w:val="22"/>
        </w:rPr>
      </w:pPr>
      <w:r w:rsidRPr="007F5648">
        <w:rPr>
          <w:szCs w:val="22"/>
        </w:rPr>
        <w:t>natural disasters,</w:t>
      </w:r>
    </w:p>
    <w:p w14:paraId="4467A339" w14:textId="77777777" w:rsidR="001E48A9" w:rsidRPr="007F5648" w:rsidRDefault="001E48A9" w:rsidP="001E48A9">
      <w:pPr>
        <w:pStyle w:val="ListParagraph"/>
        <w:numPr>
          <w:ilvl w:val="0"/>
          <w:numId w:val="9"/>
        </w:numPr>
        <w:rPr>
          <w:szCs w:val="22"/>
        </w:rPr>
      </w:pPr>
      <w:r w:rsidRPr="007F5648">
        <w:rPr>
          <w:szCs w:val="22"/>
        </w:rPr>
        <w:t>power outages affecting the ability of the applicant to submit their application by the deadline, and</w:t>
      </w:r>
    </w:p>
    <w:p w14:paraId="56ED958D" w14:textId="69451542" w:rsidR="001E48A9" w:rsidRDefault="001E48A9" w:rsidP="001E48A9">
      <w:pPr>
        <w:pStyle w:val="ListParagraph"/>
        <w:numPr>
          <w:ilvl w:val="0"/>
          <w:numId w:val="9"/>
        </w:numPr>
        <w:rPr>
          <w:szCs w:val="22"/>
        </w:rPr>
      </w:pPr>
      <w:r w:rsidRPr="007F5648">
        <w:rPr>
          <w:szCs w:val="22"/>
        </w:rPr>
        <w:t>death or disability of key personnel</w:t>
      </w:r>
    </w:p>
    <w:p w14:paraId="65A2F737" w14:textId="671E1041" w:rsidR="00796956" w:rsidRPr="00C8239B" w:rsidRDefault="00796956" w:rsidP="00C8239B">
      <w:pPr>
        <w:rPr>
          <w:szCs w:val="22"/>
        </w:rPr>
      </w:pPr>
      <w:r>
        <w:t xml:space="preserve">Information on the Community Grants Hub </w:t>
      </w:r>
      <w:hyperlink r:id="rId10" w:tooltip="late application policy" w:history="1">
        <w:r>
          <w:rPr>
            <w:rStyle w:val="Hyperlink"/>
          </w:rPr>
          <w:t>late application policy</w:t>
        </w:r>
      </w:hyperlink>
      <w:r>
        <w:t xml:space="preserve"> is available on the </w:t>
      </w:r>
      <w:r w:rsidRPr="00796956">
        <w:t>Community Grants Hub</w:t>
      </w:r>
      <w:r>
        <w:t xml:space="preserve"> website.</w:t>
      </w:r>
    </w:p>
    <w:p w14:paraId="55ACF28B" w14:textId="2AB203D3" w:rsidR="00270E65" w:rsidRPr="00106F83" w:rsidRDefault="00C8239B" w:rsidP="00106F83">
      <w:pPr>
        <w:pStyle w:val="Heading2"/>
        <w:numPr>
          <w:ilvl w:val="0"/>
          <w:numId w:val="5"/>
        </w:numPr>
        <w:rPr>
          <w:rFonts w:eastAsia="Calibri"/>
        </w:rPr>
      </w:pPr>
      <w:r>
        <w:rPr>
          <w:rFonts w:eastAsia="Calibri"/>
        </w:rPr>
        <w:t xml:space="preserve"> </w:t>
      </w:r>
      <w:r w:rsidR="00270E65" w:rsidRPr="007F5648">
        <w:rPr>
          <w:rFonts w:eastAsia="Calibri"/>
        </w:rPr>
        <w:t xml:space="preserve">Can I seek reimbursement for projects that </w:t>
      </w:r>
      <w:proofErr w:type="gramStart"/>
      <w:r w:rsidR="00270E65" w:rsidRPr="007F5648">
        <w:rPr>
          <w:rFonts w:eastAsia="Calibri"/>
        </w:rPr>
        <w:t>have already been paid for</w:t>
      </w:r>
      <w:proofErr w:type="gramEnd"/>
      <w:r w:rsidR="00270E65" w:rsidRPr="007F5648">
        <w:rPr>
          <w:rFonts w:eastAsia="Calibri"/>
        </w:rPr>
        <w:t xml:space="preserve"> prior to submission of an application? </w:t>
      </w:r>
    </w:p>
    <w:p w14:paraId="66E19530" w14:textId="77777777" w:rsidR="0090665A" w:rsidRPr="007F5648" w:rsidRDefault="00270E65" w:rsidP="0090665A">
      <w:pPr>
        <w:spacing w:after="240"/>
      </w:pPr>
      <w:r w:rsidRPr="007F5648">
        <w:t>No.  Project items that have already been paid for or ordered are not eligible for funding. Applications that include tax invoices, purchase orders or receipts will be considered as expenditure already incurred and therefore ineligible.</w:t>
      </w:r>
    </w:p>
    <w:p w14:paraId="77253258" w14:textId="216C9C24" w:rsidR="0090665A" w:rsidRPr="00106F83" w:rsidRDefault="005E7098" w:rsidP="00106F83">
      <w:pPr>
        <w:pStyle w:val="Heading2"/>
        <w:numPr>
          <w:ilvl w:val="0"/>
          <w:numId w:val="5"/>
        </w:numPr>
        <w:rPr>
          <w:rFonts w:eastAsia="Calibri"/>
        </w:rPr>
      </w:pPr>
      <w:r>
        <w:rPr>
          <w:rFonts w:eastAsia="Calibri"/>
        </w:rPr>
        <w:lastRenderedPageBreak/>
        <w:t xml:space="preserve"> </w:t>
      </w:r>
      <w:r w:rsidR="00270E65" w:rsidRPr="007F5648">
        <w:rPr>
          <w:rFonts w:eastAsia="Calibri"/>
        </w:rPr>
        <w:t xml:space="preserve">Can I start my project / order project items after I submit my grant application? </w:t>
      </w:r>
    </w:p>
    <w:p w14:paraId="690946FD" w14:textId="77777777" w:rsidR="00A31214" w:rsidRPr="007F5648" w:rsidRDefault="00270E65" w:rsidP="0090665A">
      <w:r w:rsidRPr="007F5648">
        <w:t xml:space="preserve">Yes.  Project items that are ordered or paid for </w:t>
      </w:r>
      <w:r w:rsidRPr="007F5648">
        <w:rPr>
          <w:b/>
          <w:i/>
        </w:rPr>
        <w:t>after</w:t>
      </w:r>
      <w:r w:rsidRPr="007F5648">
        <w:t xml:space="preserve"> an application has been submitted will still be eligible for consideration. There is, however, no guarantee that an application will be approved for funding. As such, each applicant must weigh the risk of payment for any project components prior to the outcome of an application.</w:t>
      </w:r>
    </w:p>
    <w:p w14:paraId="23F53CD7" w14:textId="0056D2F0" w:rsidR="00F75CE6" w:rsidRPr="00F75CE6" w:rsidRDefault="005E7098" w:rsidP="00F75CE6">
      <w:pPr>
        <w:pStyle w:val="Heading2"/>
        <w:numPr>
          <w:ilvl w:val="0"/>
          <w:numId w:val="5"/>
        </w:numPr>
        <w:rPr>
          <w:rFonts w:eastAsia="Calibri"/>
        </w:rPr>
      </w:pPr>
      <w:r>
        <w:rPr>
          <w:rFonts w:eastAsia="Calibri"/>
        </w:rPr>
        <w:t xml:space="preserve"> </w:t>
      </w:r>
      <w:r w:rsidR="006A5CAB" w:rsidRPr="007F5648">
        <w:rPr>
          <w:rFonts w:eastAsia="Calibri"/>
        </w:rPr>
        <w:t xml:space="preserve">If I am a sponsoring </w:t>
      </w:r>
      <w:r w:rsidR="00222901" w:rsidRPr="007F5648">
        <w:rPr>
          <w:rFonts w:eastAsia="Calibri"/>
        </w:rPr>
        <w:t>applicant,</w:t>
      </w:r>
      <w:r w:rsidR="006A5CAB" w:rsidRPr="007F5648">
        <w:rPr>
          <w:rFonts w:eastAsia="Calibri"/>
        </w:rPr>
        <w:t xml:space="preserve"> can I enter more than one sponsored applicant’s details in the application form?</w:t>
      </w:r>
    </w:p>
    <w:p w14:paraId="122BD149" w14:textId="77777777" w:rsidR="006A5CAB" w:rsidRPr="007F5648" w:rsidRDefault="006A5CAB" w:rsidP="006A5CAB">
      <w:pPr>
        <w:pStyle w:val="Bullet1"/>
        <w:numPr>
          <w:ilvl w:val="0"/>
          <w:numId w:val="0"/>
        </w:numPr>
      </w:pPr>
      <w:r w:rsidRPr="007F5648">
        <w:t>N</w:t>
      </w:r>
      <w:r w:rsidR="000048F2">
        <w:t>o.  A</w:t>
      </w:r>
      <w:r w:rsidRPr="007F5648">
        <w:t xml:space="preserve"> sponsoring applicant must submit a separate grant application for each sponsored </w:t>
      </w:r>
      <w:r w:rsidR="00F75CE6">
        <w:t xml:space="preserve">individual or ineligible organisation. </w:t>
      </w:r>
    </w:p>
    <w:p w14:paraId="36089471" w14:textId="77777777" w:rsidR="00A31214" w:rsidRPr="007F5648" w:rsidRDefault="00AC531C" w:rsidP="00B768C7">
      <w:pPr>
        <w:pStyle w:val="Heading2"/>
        <w:numPr>
          <w:ilvl w:val="0"/>
          <w:numId w:val="5"/>
        </w:numPr>
        <w:rPr>
          <w:rFonts w:eastAsia="Calibri"/>
        </w:rPr>
      </w:pPr>
      <w:r w:rsidRPr="007F5648">
        <w:rPr>
          <w:rFonts w:eastAsia="Calibri"/>
        </w:rPr>
        <w:t xml:space="preserve"> Will GST be paid on top of my approved grant amount?</w:t>
      </w:r>
    </w:p>
    <w:p w14:paraId="0233925D" w14:textId="1609FEA6" w:rsidR="00F75CE6" w:rsidRDefault="00F75CE6" w:rsidP="00F75CE6">
      <w:pPr>
        <w:tabs>
          <w:tab w:val="left" w:pos="1418"/>
          <w:tab w:val="right" w:pos="9071"/>
        </w:tabs>
        <w:spacing w:before="0" w:after="120" w:line="240" w:lineRule="auto"/>
        <w:rPr>
          <w:rFonts w:eastAsia="Times New Roman" w:cstheme="minorHAnsi"/>
          <w:lang w:eastAsia="en-AU"/>
        </w:rPr>
      </w:pPr>
      <w:r>
        <w:rPr>
          <w:rFonts w:eastAsia="Times New Roman" w:cstheme="minorHAnsi"/>
          <w:lang w:eastAsia="en-AU"/>
        </w:rPr>
        <w:t>Grants provided by DVA under the M</w:t>
      </w:r>
      <w:r w:rsidR="00222901">
        <w:rPr>
          <w:rFonts w:eastAsia="Times New Roman" w:cstheme="minorHAnsi"/>
          <w:lang w:eastAsia="en-AU"/>
        </w:rPr>
        <w:t xml:space="preserve">ajor </w:t>
      </w:r>
      <w:r>
        <w:rPr>
          <w:rFonts w:eastAsia="Times New Roman" w:cstheme="minorHAnsi"/>
          <w:lang w:eastAsia="en-AU"/>
        </w:rPr>
        <w:t>C</w:t>
      </w:r>
      <w:r w:rsidR="00222901">
        <w:rPr>
          <w:rFonts w:eastAsia="Times New Roman" w:cstheme="minorHAnsi"/>
          <w:lang w:eastAsia="en-AU"/>
        </w:rPr>
        <w:t xml:space="preserve">ommemorative </w:t>
      </w:r>
      <w:r>
        <w:rPr>
          <w:rFonts w:eastAsia="Times New Roman" w:cstheme="minorHAnsi"/>
          <w:lang w:eastAsia="en-AU"/>
        </w:rPr>
        <w:t>G</w:t>
      </w:r>
      <w:r w:rsidR="00222901">
        <w:rPr>
          <w:rFonts w:eastAsia="Times New Roman" w:cstheme="minorHAnsi"/>
          <w:lang w:eastAsia="en-AU"/>
        </w:rPr>
        <w:t>rant</w:t>
      </w:r>
      <w:r>
        <w:rPr>
          <w:rFonts w:eastAsia="Times New Roman" w:cstheme="minorHAnsi"/>
          <w:lang w:eastAsia="en-AU"/>
        </w:rPr>
        <w:t>s</w:t>
      </w:r>
      <w:r w:rsidR="00222901">
        <w:rPr>
          <w:rFonts w:eastAsia="Times New Roman" w:cstheme="minorHAnsi"/>
          <w:lang w:eastAsia="en-AU"/>
        </w:rPr>
        <w:t xml:space="preserve"> (MCG)</w:t>
      </w:r>
      <w:r>
        <w:rPr>
          <w:rFonts w:eastAsia="Times New Roman" w:cstheme="minorHAnsi"/>
          <w:lang w:eastAsia="en-AU"/>
        </w:rPr>
        <w:t xml:space="preserve"> are financial assistance payments.  As such, </w:t>
      </w:r>
      <w:r w:rsidR="00222901">
        <w:rPr>
          <w:rFonts w:eastAsia="Times New Roman" w:cstheme="minorHAnsi"/>
          <w:lang w:eastAsia="en-AU"/>
        </w:rPr>
        <w:t>MCGs</w:t>
      </w:r>
      <w:r>
        <w:rPr>
          <w:rFonts w:eastAsia="Times New Roman" w:cstheme="minorHAnsi"/>
          <w:lang w:eastAsia="en-AU"/>
        </w:rPr>
        <w:t xml:space="preserve"> are provided on a GST exclusive basis and there is </w:t>
      </w:r>
      <w:r>
        <w:rPr>
          <w:rFonts w:eastAsia="Times New Roman" w:cstheme="minorHAnsi"/>
          <w:u w:val="single"/>
          <w:lang w:eastAsia="en-AU"/>
        </w:rPr>
        <w:t>no GST</w:t>
      </w:r>
      <w:r>
        <w:rPr>
          <w:rFonts w:eastAsia="Times New Roman" w:cstheme="minorHAnsi"/>
          <w:lang w:eastAsia="en-AU"/>
        </w:rPr>
        <w:t xml:space="preserve"> liability arising for successful applicants in receipt of a MCG because there is no taxable supply made by the Grantee to DVA.  This means that, if your organisation is registered for GST, your organisation does not need to remit any GST to the Australian Tax Office (ATO) as the MCG you receive from DVA is not a consideration for a taxable supply.  </w:t>
      </w:r>
    </w:p>
    <w:p w14:paraId="0F82AF10" w14:textId="77777777" w:rsidR="00F75CE6" w:rsidRDefault="00F75CE6" w:rsidP="00F75CE6">
      <w:pPr>
        <w:spacing w:after="0"/>
      </w:pPr>
      <w:r>
        <w:rPr>
          <w:rFonts w:eastAsia="Times New Roman" w:cstheme="minorHAnsi"/>
          <w:lang w:eastAsia="en-AU"/>
        </w:rPr>
        <w:t>If you have any queries in relation to the transactions you enter into with third parties as a result of a grant received under MCG, you may wish to speak with the ATO or your financial advisor</w:t>
      </w:r>
      <w:r>
        <w:rPr>
          <w:rFonts w:cstheme="minorHAnsi"/>
        </w:rPr>
        <w:t xml:space="preserve"> about the effect of receiving a grant before you enter into a grant agreement. You can also visit the </w:t>
      </w:r>
      <w:hyperlink r:id="rId11" w:history="1">
        <w:r>
          <w:rPr>
            <w:rStyle w:val="Hyperlink"/>
            <w:rFonts w:cstheme="minorHAnsi"/>
          </w:rPr>
          <w:t>Australian Taxation Office website</w:t>
        </w:r>
      </w:hyperlink>
      <w:r>
        <w:rPr>
          <w:rFonts w:cstheme="minorHAnsi"/>
        </w:rPr>
        <w:t xml:space="preserve"> for more information.</w:t>
      </w:r>
    </w:p>
    <w:p w14:paraId="2382B1EA" w14:textId="7FCB9E34" w:rsidR="006A5CAB" w:rsidRPr="007F5648" w:rsidRDefault="00796956" w:rsidP="00B768C7">
      <w:pPr>
        <w:pStyle w:val="Heading2"/>
        <w:numPr>
          <w:ilvl w:val="0"/>
          <w:numId w:val="5"/>
        </w:numPr>
        <w:rPr>
          <w:rFonts w:eastAsia="Calibri"/>
        </w:rPr>
      </w:pPr>
      <w:r>
        <w:rPr>
          <w:rFonts w:eastAsia="Calibri"/>
        </w:rPr>
        <w:t xml:space="preserve"> </w:t>
      </w:r>
      <w:r w:rsidR="006A5CAB" w:rsidRPr="007F5648">
        <w:rPr>
          <w:rFonts w:eastAsia="Calibri"/>
        </w:rPr>
        <w:t xml:space="preserve">Is the funding </w:t>
      </w:r>
      <w:proofErr w:type="gramStart"/>
      <w:r w:rsidR="006A5CAB" w:rsidRPr="007F5648">
        <w:rPr>
          <w:rFonts w:eastAsia="Calibri"/>
        </w:rPr>
        <w:t>on-going</w:t>
      </w:r>
      <w:proofErr w:type="gramEnd"/>
      <w:r w:rsidR="006A5CAB" w:rsidRPr="007F5648">
        <w:rPr>
          <w:rFonts w:eastAsia="Calibri"/>
        </w:rPr>
        <w:t>?</w:t>
      </w:r>
    </w:p>
    <w:p w14:paraId="67F011DB" w14:textId="32244A16" w:rsidR="006A5CAB" w:rsidRPr="007F5648" w:rsidRDefault="00F36114" w:rsidP="006A5CAB">
      <w:r w:rsidRPr="007F5648">
        <w:t xml:space="preserve">No. Funding under </w:t>
      </w:r>
      <w:r w:rsidRPr="00222901">
        <w:rPr>
          <w:i/>
        </w:rPr>
        <w:t>S</w:t>
      </w:r>
      <w:r w:rsidR="00222901" w:rsidRPr="00222901">
        <w:rPr>
          <w:i/>
        </w:rPr>
        <w:t xml:space="preserve">aluting Their </w:t>
      </w:r>
      <w:r w:rsidRPr="00222901">
        <w:rPr>
          <w:i/>
        </w:rPr>
        <w:t>S</w:t>
      </w:r>
      <w:r w:rsidR="00222901" w:rsidRPr="00222901">
        <w:rPr>
          <w:i/>
        </w:rPr>
        <w:t>ervice</w:t>
      </w:r>
      <w:r w:rsidR="00222901">
        <w:t xml:space="preserve"> </w:t>
      </w:r>
      <w:r w:rsidRPr="007F5648">
        <w:t>M</w:t>
      </w:r>
      <w:r w:rsidR="00222901">
        <w:t xml:space="preserve">ajor </w:t>
      </w:r>
      <w:r w:rsidR="006A5CAB" w:rsidRPr="007F5648">
        <w:t>C</w:t>
      </w:r>
      <w:r w:rsidR="00222901">
        <w:t xml:space="preserve">ommemorative </w:t>
      </w:r>
      <w:r w:rsidR="006A5CAB" w:rsidRPr="007F5648">
        <w:t>G</w:t>
      </w:r>
      <w:r w:rsidR="00222901">
        <w:t>rant</w:t>
      </w:r>
      <w:r w:rsidR="006A5CAB" w:rsidRPr="007F5648">
        <w:t>s are meant as a</w:t>
      </w:r>
      <w:r w:rsidR="00F75CE6">
        <w:t xml:space="preserve"> one-off</w:t>
      </w:r>
      <w:r w:rsidR="006A5CAB" w:rsidRPr="007F5648">
        <w:t xml:space="preserve"> financial contribution only. </w:t>
      </w:r>
    </w:p>
    <w:p w14:paraId="7FE9F312" w14:textId="6E517AAF" w:rsidR="009A1C18" w:rsidRPr="007F5648" w:rsidRDefault="00796956" w:rsidP="00B768C7">
      <w:pPr>
        <w:pStyle w:val="Heading2"/>
        <w:numPr>
          <w:ilvl w:val="0"/>
          <w:numId w:val="5"/>
        </w:numPr>
        <w:rPr>
          <w:rFonts w:eastAsia="Calibri"/>
        </w:rPr>
      </w:pPr>
      <w:r>
        <w:rPr>
          <w:rFonts w:eastAsia="Calibri"/>
        </w:rPr>
        <w:t xml:space="preserve"> </w:t>
      </w:r>
      <w:r w:rsidR="009A1C18" w:rsidRPr="007F5648">
        <w:rPr>
          <w:rFonts w:eastAsia="Calibri"/>
        </w:rPr>
        <w:t>When will I know the outcome of my application?</w:t>
      </w:r>
    </w:p>
    <w:p w14:paraId="4D1EE4B0" w14:textId="77777777" w:rsidR="009A1C18" w:rsidRDefault="00F36114" w:rsidP="00AC531C">
      <w:r w:rsidRPr="007F5648">
        <w:t>You will be advised of the outcome of your application in writing, following the decision by the Minister. If you are successful, you will also be advised about any specific conditions attached to the grant.</w:t>
      </w:r>
    </w:p>
    <w:p w14:paraId="35380430" w14:textId="3FC710EF" w:rsidR="0090665A" w:rsidRPr="00106F83" w:rsidRDefault="00796956" w:rsidP="00106F83">
      <w:pPr>
        <w:pStyle w:val="Heading2"/>
        <w:numPr>
          <w:ilvl w:val="0"/>
          <w:numId w:val="5"/>
        </w:numPr>
        <w:rPr>
          <w:rFonts w:eastAsia="Calibri"/>
        </w:rPr>
      </w:pPr>
      <w:r>
        <w:rPr>
          <w:rFonts w:eastAsia="Calibri"/>
        </w:rPr>
        <w:t xml:space="preserve"> </w:t>
      </w:r>
      <w:r w:rsidR="0090665A" w:rsidRPr="007F5648">
        <w:rPr>
          <w:rFonts w:eastAsia="Calibri"/>
        </w:rPr>
        <w:t>How can I submit the Application Form?</w:t>
      </w:r>
    </w:p>
    <w:p w14:paraId="41056D85" w14:textId="77777777" w:rsidR="0090665A" w:rsidRPr="007F5648" w:rsidRDefault="0090665A" w:rsidP="0090665A">
      <w:pPr>
        <w:rPr>
          <w:rFonts w:ascii="Arial" w:eastAsia="Arial" w:hAnsi="Arial"/>
        </w:rPr>
      </w:pPr>
      <w:r w:rsidRPr="007F5648">
        <w:rPr>
          <w:rFonts w:ascii="Arial" w:eastAsia="Arial" w:hAnsi="Arial"/>
        </w:rPr>
        <w:t xml:space="preserve">You must submit your grant application using the application form, which is available on the </w:t>
      </w:r>
      <w:hyperlink r:id="rId12" w:history="1">
        <w:r w:rsidRPr="007F5648">
          <w:rPr>
            <w:rStyle w:val="Hyperlink"/>
            <w:rFonts w:ascii="Arial" w:eastAsia="Arial" w:hAnsi="Arial"/>
          </w:rPr>
          <w:t>GrantConnect</w:t>
        </w:r>
      </w:hyperlink>
      <w:r w:rsidRPr="007F5648">
        <w:rPr>
          <w:rFonts w:ascii="Arial" w:eastAsia="Arial" w:hAnsi="Arial"/>
        </w:rPr>
        <w:t xml:space="preserve"> and </w:t>
      </w:r>
      <w:hyperlink r:id="rId13" w:history="1">
        <w:r w:rsidRPr="007F5648">
          <w:rPr>
            <w:rStyle w:val="Hyperlink"/>
            <w:rFonts w:ascii="Arial" w:eastAsia="Arial" w:hAnsi="Arial"/>
          </w:rPr>
          <w:t>Community Grants Hub</w:t>
        </w:r>
      </w:hyperlink>
      <w:r w:rsidRPr="007F5648">
        <w:rPr>
          <w:rFonts w:ascii="Arial" w:eastAsia="Arial" w:hAnsi="Arial"/>
          <w:u w:val="single"/>
        </w:rPr>
        <w:t xml:space="preserve"> </w:t>
      </w:r>
      <w:r w:rsidRPr="007F5648">
        <w:rPr>
          <w:rFonts w:ascii="Arial" w:eastAsia="Arial" w:hAnsi="Arial"/>
        </w:rPr>
        <w:t>websites</w:t>
      </w:r>
      <w:r w:rsidRPr="007F5648">
        <w:rPr>
          <w:rFonts w:ascii="Arial" w:eastAsia="Arial" w:hAnsi="Arial"/>
          <w:u w:val="single"/>
        </w:rPr>
        <w:t>.</w:t>
      </w:r>
      <w:r w:rsidRPr="007F5648">
        <w:rPr>
          <w:rFonts w:ascii="Arial" w:eastAsia="Arial" w:hAnsi="Arial"/>
        </w:rPr>
        <w:t xml:space="preserve"> The application form includes help information. </w:t>
      </w:r>
    </w:p>
    <w:p w14:paraId="0847571E" w14:textId="77777777" w:rsidR="0090665A" w:rsidRPr="007F5648" w:rsidRDefault="0090665A" w:rsidP="0090665A">
      <w:pPr>
        <w:rPr>
          <w:rFonts w:ascii="Arial" w:eastAsia="Arial" w:hAnsi="Arial"/>
        </w:rPr>
      </w:pPr>
      <w:r w:rsidRPr="007F5648">
        <w:rPr>
          <w:rFonts w:ascii="Arial" w:eastAsia="Arial" w:hAnsi="Arial"/>
        </w:rPr>
        <w:t xml:space="preserve">This is an online application form that you must submit electronically. If you have any technical difficulties please contact 1800 020 283 or email </w:t>
      </w:r>
      <w:hyperlink r:id="rId14" w:history="1">
        <w:r w:rsidRPr="007F5648">
          <w:rPr>
            <w:rStyle w:val="Hyperlink"/>
            <w:rFonts w:ascii="Arial" w:eastAsia="Arial" w:hAnsi="Arial"/>
          </w:rPr>
          <w:t>support@communitygrants.gov.au</w:t>
        </w:r>
      </w:hyperlink>
      <w:r w:rsidRPr="007F5648">
        <w:rPr>
          <w:rFonts w:ascii="Arial" w:eastAsia="Arial" w:hAnsi="Arial"/>
        </w:rPr>
        <w:t>.</w:t>
      </w:r>
    </w:p>
    <w:p w14:paraId="33E5DE89" w14:textId="77777777" w:rsidR="0090665A" w:rsidRDefault="0090665A" w:rsidP="00AC531C">
      <w:pPr>
        <w:rPr>
          <w:rFonts w:ascii="Arial" w:eastAsia="Arial" w:hAnsi="Arial"/>
        </w:rPr>
      </w:pPr>
      <w:r w:rsidRPr="007F5648">
        <w:rPr>
          <w:rFonts w:ascii="Arial" w:eastAsia="Arial" w:hAnsi="Arial"/>
        </w:rPr>
        <w:t>The Department of Veterans’ Affairs/Community Grants Hub will not provide application forms or accept applications for this grant opportunity by fax or mail.</w:t>
      </w:r>
      <w:r w:rsidRPr="007F5648">
        <w:rPr>
          <w:rFonts w:ascii="Arial" w:eastAsia="Arial" w:hAnsi="Arial"/>
        </w:rPr>
        <w:tab/>
      </w:r>
    </w:p>
    <w:p w14:paraId="1496EFEF" w14:textId="722A892D" w:rsidR="0090665A" w:rsidRPr="00106F83" w:rsidRDefault="00796956" w:rsidP="00106F83">
      <w:pPr>
        <w:pStyle w:val="Heading2"/>
        <w:numPr>
          <w:ilvl w:val="0"/>
          <w:numId w:val="5"/>
        </w:numPr>
        <w:rPr>
          <w:rFonts w:eastAsia="Calibri"/>
        </w:rPr>
      </w:pPr>
      <w:r>
        <w:rPr>
          <w:rFonts w:eastAsia="Calibri"/>
        </w:rPr>
        <w:t xml:space="preserve"> </w:t>
      </w:r>
      <w:r w:rsidR="0090665A" w:rsidRPr="007F5648">
        <w:rPr>
          <w:rFonts w:eastAsia="Calibri"/>
        </w:rPr>
        <w:t>Can someone from the Community Grants Hub help me with my application?</w:t>
      </w:r>
    </w:p>
    <w:p w14:paraId="7D7F6635" w14:textId="77777777" w:rsidR="008E22AE" w:rsidRPr="007F5648" w:rsidRDefault="0090665A" w:rsidP="009A1C18">
      <w:pPr>
        <w:spacing w:after="240"/>
        <w:rPr>
          <w:rFonts w:ascii="Arial" w:eastAsia="Arial" w:hAnsi="Arial"/>
        </w:rPr>
      </w:pPr>
      <w:r w:rsidRPr="007F5648">
        <w:rPr>
          <w:rFonts w:ascii="Arial" w:eastAsia="Arial" w:hAnsi="Arial"/>
        </w:rPr>
        <w:t xml:space="preserve">The Community Grants Hub and </w:t>
      </w:r>
      <w:r w:rsidR="00F75CE6">
        <w:rPr>
          <w:rFonts w:ascii="Arial" w:eastAsia="Arial" w:hAnsi="Arial"/>
        </w:rPr>
        <w:t>DVA</w:t>
      </w:r>
      <w:r w:rsidRPr="007F5648">
        <w:rPr>
          <w:rFonts w:ascii="Arial" w:eastAsia="Arial" w:hAnsi="Arial"/>
        </w:rPr>
        <w:t xml:space="preserve"> can only provide general information and advice on completing your application. To maintain the fairness and integrity of the application process, applicants cannot be offered individual support or help with their applications.</w:t>
      </w:r>
    </w:p>
    <w:p w14:paraId="1B80FCE9" w14:textId="46FEF434" w:rsidR="0090665A" w:rsidRPr="00106F83" w:rsidRDefault="00796956" w:rsidP="00106F83">
      <w:pPr>
        <w:pStyle w:val="Heading2"/>
        <w:numPr>
          <w:ilvl w:val="0"/>
          <w:numId w:val="5"/>
        </w:numPr>
        <w:rPr>
          <w:rFonts w:eastAsia="Calibri"/>
        </w:rPr>
      </w:pPr>
      <w:r>
        <w:rPr>
          <w:rFonts w:eastAsia="Calibri"/>
        </w:rPr>
        <w:lastRenderedPageBreak/>
        <w:t xml:space="preserve"> </w:t>
      </w:r>
      <w:proofErr w:type="gramStart"/>
      <w:r w:rsidR="0090665A" w:rsidRPr="007F5648">
        <w:rPr>
          <w:rFonts w:eastAsia="Calibri"/>
        </w:rPr>
        <w:t>Who</w:t>
      </w:r>
      <w:proofErr w:type="gramEnd"/>
      <w:r w:rsidR="0090665A" w:rsidRPr="007F5648">
        <w:rPr>
          <w:rFonts w:eastAsia="Calibri"/>
        </w:rPr>
        <w:t xml:space="preserve"> do I contact if I’m having trouble using or submitting an application form?</w:t>
      </w:r>
    </w:p>
    <w:p w14:paraId="3E7341A6" w14:textId="77777777" w:rsidR="0090665A" w:rsidRPr="007F5648" w:rsidRDefault="0090665A" w:rsidP="0090665A">
      <w:pPr>
        <w:rPr>
          <w:rFonts w:ascii="Arial" w:eastAsia="Arial" w:hAnsi="Arial"/>
        </w:rPr>
      </w:pPr>
      <w:r w:rsidRPr="007F5648">
        <w:rPr>
          <w:rFonts w:ascii="Arial" w:eastAsia="Arial" w:hAnsi="Arial"/>
        </w:rPr>
        <w:t xml:space="preserve">If you require help or support in using and/or submitting an application form on the Community Grants Hub website, please call 1800 020 283 or TTY 1800 555 677. </w:t>
      </w:r>
    </w:p>
    <w:p w14:paraId="66AA5053" w14:textId="3553FC09" w:rsidR="0090665A" w:rsidRPr="00106F83" w:rsidRDefault="00796956" w:rsidP="00106F83">
      <w:pPr>
        <w:pStyle w:val="Heading2"/>
        <w:numPr>
          <w:ilvl w:val="0"/>
          <w:numId w:val="5"/>
        </w:numPr>
        <w:rPr>
          <w:rFonts w:eastAsia="Calibri"/>
        </w:rPr>
      </w:pPr>
      <w:r>
        <w:rPr>
          <w:rFonts w:eastAsia="Calibri"/>
        </w:rPr>
        <w:t xml:space="preserve"> </w:t>
      </w:r>
      <w:r w:rsidR="0090665A" w:rsidRPr="007F5648">
        <w:rPr>
          <w:rFonts w:eastAsia="Calibri"/>
        </w:rPr>
        <w:t>Can I appeal the decision in relation to the outcome of a selection process?</w:t>
      </w:r>
    </w:p>
    <w:p w14:paraId="2ED863E2" w14:textId="77777777" w:rsidR="00F75CE6" w:rsidRPr="002E0C03" w:rsidRDefault="000048F2" w:rsidP="00F75CE6">
      <w:r>
        <w:t>No. T</w:t>
      </w:r>
      <w:r w:rsidR="00F75CE6" w:rsidRPr="00103A95">
        <w:t>here is no appeal mechanism for decisions to approve or not approve a grant.</w:t>
      </w:r>
    </w:p>
    <w:p w14:paraId="3E7CA5E0" w14:textId="4F308935" w:rsidR="004D6C22" w:rsidRPr="00106F83" w:rsidRDefault="00796956" w:rsidP="00106F83">
      <w:pPr>
        <w:pStyle w:val="Heading2"/>
        <w:numPr>
          <w:ilvl w:val="0"/>
          <w:numId w:val="5"/>
        </w:numPr>
        <w:rPr>
          <w:rFonts w:eastAsia="Calibri"/>
        </w:rPr>
      </w:pPr>
      <w:r>
        <w:rPr>
          <w:rFonts w:eastAsia="Calibri"/>
        </w:rPr>
        <w:t xml:space="preserve"> </w:t>
      </w:r>
      <w:proofErr w:type="gramStart"/>
      <w:r w:rsidR="004D6C22" w:rsidRPr="007F5648">
        <w:rPr>
          <w:rFonts w:eastAsia="Calibri"/>
        </w:rPr>
        <w:t>I’m</w:t>
      </w:r>
      <w:proofErr w:type="gramEnd"/>
      <w:r w:rsidR="004D6C22" w:rsidRPr="007F5648">
        <w:rPr>
          <w:rFonts w:eastAsia="Calibri"/>
        </w:rPr>
        <w:t xml:space="preserve"> not familiar with using technology, what do I do?</w:t>
      </w:r>
    </w:p>
    <w:p w14:paraId="4EF454DF" w14:textId="77777777" w:rsidR="000048F2" w:rsidRPr="000048F2" w:rsidRDefault="000048F2" w:rsidP="000048F2">
      <w:r w:rsidRPr="000048F2">
        <w:t xml:space="preserve">If you or members of your organisation require digital training, support can be accessed through the Department of Social Services’ initiative </w:t>
      </w:r>
      <w:hyperlink r:id="rId15" w:history="1">
        <w:r w:rsidRPr="000048F2">
          <w:rPr>
            <w:rStyle w:val="Hyperlink"/>
            <w:iCs/>
            <w:u w:val="none"/>
          </w:rPr>
          <w:t>Be Connected – improving digital literacy for older Australians</w:t>
        </w:r>
      </w:hyperlink>
      <w:r w:rsidRPr="000048F2">
        <w:rPr>
          <w:i/>
        </w:rPr>
        <w:t xml:space="preserve"> which</w:t>
      </w:r>
      <w:r w:rsidRPr="000048F2">
        <w:t xml:space="preserve"> provides training in both city and regional areas, Australia wide. </w:t>
      </w:r>
      <w:r w:rsidRPr="000048F2">
        <w:br/>
        <w:t xml:space="preserve">Please visit:  </w:t>
      </w:r>
      <w:hyperlink r:id="rId16" w:history="1">
        <w:r w:rsidRPr="000048F2">
          <w:rPr>
            <w:rStyle w:val="Hyperlink"/>
            <w:iCs/>
            <w:u w:val="none"/>
          </w:rPr>
          <w:t>Be Connected website</w:t>
        </w:r>
      </w:hyperlink>
      <w:r w:rsidRPr="000048F2">
        <w:rPr>
          <w:rStyle w:val="Hyperlink"/>
          <w:iCs/>
          <w:u w:val="none"/>
        </w:rPr>
        <w:t>.</w:t>
      </w:r>
    </w:p>
    <w:p w14:paraId="0E68C854" w14:textId="595AE74C" w:rsidR="004D6C22" w:rsidRPr="00106F83" w:rsidRDefault="00796956" w:rsidP="00106F83">
      <w:pPr>
        <w:pStyle w:val="Heading2"/>
        <w:numPr>
          <w:ilvl w:val="0"/>
          <w:numId w:val="5"/>
        </w:numPr>
        <w:rPr>
          <w:rFonts w:eastAsia="Calibri"/>
        </w:rPr>
      </w:pPr>
      <w:r>
        <w:rPr>
          <w:rFonts w:eastAsia="Calibri"/>
        </w:rPr>
        <w:t xml:space="preserve"> </w:t>
      </w:r>
      <w:r w:rsidR="004D6C22" w:rsidRPr="007F5648">
        <w:rPr>
          <w:rFonts w:eastAsia="Calibri"/>
        </w:rPr>
        <w:t>Why is DVA using the Hub to manage its grants?</w:t>
      </w:r>
    </w:p>
    <w:p w14:paraId="64DA05C5" w14:textId="77777777" w:rsidR="004D6C22" w:rsidRPr="007F5648" w:rsidRDefault="004D6C22" w:rsidP="004D6C22">
      <w:pPr>
        <w:pStyle w:val="BodyText"/>
        <w:rPr>
          <w:szCs w:val="22"/>
        </w:rPr>
      </w:pPr>
      <w:r w:rsidRPr="007F5648">
        <w:rPr>
          <w:szCs w:val="22"/>
        </w:rPr>
        <w:t>The Hub will provide a central and consistent application and management process for DVA’s grant applicants and recipients.</w:t>
      </w:r>
    </w:p>
    <w:p w14:paraId="1B1C4CCE" w14:textId="77777777" w:rsidR="004D6C22" w:rsidRPr="007F5648" w:rsidRDefault="004D6C22" w:rsidP="004D6C22">
      <w:pPr>
        <w:pStyle w:val="BodyText"/>
        <w:rPr>
          <w:szCs w:val="22"/>
        </w:rPr>
      </w:pPr>
      <w:r w:rsidRPr="007F5648">
        <w:rPr>
          <w:szCs w:val="22"/>
        </w:rPr>
        <w:t>It will also reduce duplication of effort and resources in common areas of services across Government, such as grants.</w:t>
      </w:r>
    </w:p>
    <w:p w14:paraId="27BB4671" w14:textId="3AC39EEE" w:rsidR="004D6C22" w:rsidRPr="007F5648" w:rsidRDefault="00796956" w:rsidP="00106F83">
      <w:pPr>
        <w:pStyle w:val="Heading2"/>
        <w:numPr>
          <w:ilvl w:val="0"/>
          <w:numId w:val="5"/>
        </w:numPr>
        <w:rPr>
          <w:rFonts w:eastAsia="Calibri"/>
          <w:b w:val="0"/>
          <w:bCs w:val="0"/>
        </w:rPr>
      </w:pPr>
      <w:r>
        <w:rPr>
          <w:rFonts w:eastAsia="Calibri"/>
        </w:rPr>
        <w:t xml:space="preserve"> </w:t>
      </w:r>
      <w:r w:rsidR="004D6C22" w:rsidRPr="007F5648">
        <w:rPr>
          <w:rFonts w:eastAsia="Calibri"/>
        </w:rPr>
        <w:t>Where should I go for further information?</w:t>
      </w:r>
    </w:p>
    <w:p w14:paraId="568A1B17" w14:textId="77777777" w:rsidR="004D6C22" w:rsidRPr="007F5648" w:rsidRDefault="004D6C22" w:rsidP="004D6C22">
      <w:pPr>
        <w:spacing w:line="276" w:lineRule="auto"/>
        <w:rPr>
          <w:szCs w:val="22"/>
        </w:rPr>
      </w:pPr>
      <w:r w:rsidRPr="007F5648">
        <w:rPr>
          <w:szCs w:val="22"/>
        </w:rPr>
        <w:t xml:space="preserve">More information about this grant can be found in the Grant Opportunity Guidelines.  If you have any questions during the application period, please contact the Community Grants Hub on 1800 020 283 or email to </w:t>
      </w:r>
      <w:hyperlink r:id="rId17" w:history="1">
        <w:r w:rsidRPr="007F5648">
          <w:rPr>
            <w:rStyle w:val="Hyperlink"/>
            <w:rFonts w:cstheme="minorBidi"/>
            <w:szCs w:val="22"/>
          </w:rPr>
          <w:t>support@communitygrants.gov.au</w:t>
        </w:r>
      </w:hyperlink>
      <w:r w:rsidRPr="007F5648">
        <w:rPr>
          <w:szCs w:val="22"/>
        </w:rPr>
        <w:t xml:space="preserve">. The </w:t>
      </w:r>
      <w:r w:rsidRPr="007F5648">
        <w:rPr>
          <w:rStyle w:val="highlightedtextChar"/>
          <w:b w:val="0"/>
          <w:color w:val="auto"/>
        </w:rPr>
        <w:t>Community Grants Hub</w:t>
      </w:r>
      <w:r w:rsidRPr="007F5648">
        <w:rPr>
          <w:rStyle w:val="highlightedtextChar"/>
        </w:rPr>
        <w:t xml:space="preserve"> </w:t>
      </w:r>
      <w:r w:rsidRPr="007F5648">
        <w:rPr>
          <w:szCs w:val="22"/>
        </w:rPr>
        <w:t xml:space="preserve">will respond to emailed questions within </w:t>
      </w:r>
      <w:r w:rsidRPr="007F5648">
        <w:rPr>
          <w:rStyle w:val="highlightedtextChar"/>
          <w:color w:val="auto"/>
        </w:rPr>
        <w:t>five</w:t>
      </w:r>
      <w:r w:rsidRPr="007F5648">
        <w:rPr>
          <w:szCs w:val="22"/>
        </w:rPr>
        <w:t xml:space="preserve"> working days.</w:t>
      </w:r>
    </w:p>
    <w:p w14:paraId="0B3E2A7C" w14:textId="69A33FE2" w:rsidR="006A5CAB" w:rsidRPr="007F5648" w:rsidRDefault="00796956" w:rsidP="00B768C7">
      <w:pPr>
        <w:pStyle w:val="Heading2"/>
        <w:numPr>
          <w:ilvl w:val="0"/>
          <w:numId w:val="5"/>
        </w:numPr>
        <w:rPr>
          <w:rFonts w:eastAsia="Calibri"/>
        </w:rPr>
      </w:pPr>
      <w:r>
        <w:rPr>
          <w:rFonts w:eastAsia="Calibri"/>
        </w:rPr>
        <w:t xml:space="preserve"> </w:t>
      </w:r>
      <w:r w:rsidR="006A5CAB" w:rsidRPr="007F5648">
        <w:rPr>
          <w:rFonts w:eastAsia="Calibri"/>
        </w:rPr>
        <w:t>Is this part of a bigger move to merge DVA with another government department?</w:t>
      </w:r>
    </w:p>
    <w:p w14:paraId="6AF08473" w14:textId="77777777" w:rsidR="00814D9A" w:rsidRPr="006553B6" w:rsidRDefault="006A5CAB" w:rsidP="006553B6">
      <w:pPr>
        <w:spacing w:after="0" w:line="276" w:lineRule="auto"/>
        <w:rPr>
          <w:rFonts w:ascii="Arial" w:hAnsi="Arial" w:cs="Arial"/>
          <w:b/>
          <w:bCs/>
          <w:szCs w:val="22"/>
        </w:rPr>
      </w:pPr>
      <w:r w:rsidRPr="007F5648">
        <w:rPr>
          <w:szCs w:val="22"/>
        </w:rPr>
        <w:t>No. The Australian Government is committed to a stand-alone DVA. This change simply involves improving the processing of grant applications.</w:t>
      </w:r>
      <w:r>
        <w:rPr>
          <w:szCs w:val="22"/>
        </w:rPr>
        <w:t xml:space="preserve"> </w:t>
      </w:r>
    </w:p>
    <w:sectPr w:rsidR="00814D9A" w:rsidRPr="006553B6" w:rsidSect="00F172DD">
      <w:headerReference w:type="even" r:id="rId18"/>
      <w:headerReference w:type="default" r:id="rId19"/>
      <w:footerReference w:type="even" r:id="rId20"/>
      <w:footerReference w:type="default" r:id="rId21"/>
      <w:headerReference w:type="first" r:id="rId22"/>
      <w:footerReference w:type="first" r:id="rId23"/>
      <w:pgSz w:w="11906" w:h="16838" w:code="9"/>
      <w:pgMar w:top="823" w:right="1134" w:bottom="1247" w:left="1134" w:header="283"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C366D" w14:textId="77777777" w:rsidR="008C0C4D" w:rsidRDefault="008C0C4D" w:rsidP="00643939">
      <w:r>
        <w:separator/>
      </w:r>
    </w:p>
    <w:p w14:paraId="5C20C438" w14:textId="77777777" w:rsidR="008C0C4D" w:rsidRDefault="008C0C4D" w:rsidP="00643939"/>
  </w:endnote>
  <w:endnote w:type="continuationSeparator" w:id="0">
    <w:p w14:paraId="5DFCA942" w14:textId="77777777" w:rsidR="008C0C4D" w:rsidRDefault="008C0C4D" w:rsidP="00643939">
      <w:r>
        <w:continuationSeparator/>
      </w:r>
    </w:p>
    <w:p w14:paraId="40F635FF" w14:textId="77777777" w:rsidR="008C0C4D" w:rsidRDefault="008C0C4D" w:rsidP="00643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7F0F5" w14:textId="77777777" w:rsidR="00B23E36" w:rsidRDefault="00B23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8D8C6" w14:textId="77777777" w:rsidR="00270E65" w:rsidRDefault="00270E65" w:rsidP="00270E65">
    <w:pPr>
      <w:pStyle w:val="Header"/>
    </w:pPr>
  </w:p>
  <w:p w14:paraId="49D101AA" w14:textId="53202E51" w:rsidR="00CD4ABE" w:rsidRDefault="00270E65" w:rsidP="00270E65">
    <w:pPr>
      <w:pStyle w:val="Header"/>
    </w:pPr>
    <w:r>
      <w:fldChar w:fldCharType="begin"/>
    </w:r>
    <w:r>
      <w:instrText xml:space="preserve"> PAGE   \* MERGEFORMAT </w:instrText>
    </w:r>
    <w:r>
      <w:fldChar w:fldCharType="separate"/>
    </w:r>
    <w:r w:rsidR="000E2DDA">
      <w:rPr>
        <w:noProof/>
      </w:rPr>
      <w:t>5</w:t>
    </w:r>
    <w:r>
      <w:fldChar w:fldCharType="end"/>
    </w:r>
    <w:r>
      <w:t xml:space="preserve">  | </w:t>
    </w:r>
    <w:r w:rsidR="00B23E36" w:rsidRPr="001835AE">
      <w:rPr>
        <w:i/>
      </w:rPr>
      <w:t>Saluting Their Service</w:t>
    </w:r>
    <w:r w:rsidR="00B23E36">
      <w:t xml:space="preserve"> Commemorations Program - Major Commemorative Grants (MCG) - </w:t>
    </w:r>
    <w:r w:rsidR="00B23E36" w:rsidRPr="00A454BF">
      <w:t>Questions</w:t>
    </w:r>
    <w:r w:rsidR="00B23E36">
      <w:t xml:space="preserve"> and Answers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C5E96" w14:textId="449B06F2" w:rsidR="00D91B18" w:rsidRDefault="00D91B18">
    <w:pPr>
      <w:pStyle w:val="Footer"/>
    </w:pPr>
    <w:r>
      <w:fldChar w:fldCharType="begin"/>
    </w:r>
    <w:r>
      <w:instrText xml:space="preserve"> PAGE   \* MERGEFORMAT </w:instrText>
    </w:r>
    <w:r>
      <w:fldChar w:fldCharType="separate"/>
    </w:r>
    <w:r w:rsidR="000E2DDA">
      <w:rPr>
        <w:noProof/>
      </w:rPr>
      <w:t>1</w:t>
    </w:r>
    <w:r>
      <w:fldChar w:fldCharType="end"/>
    </w:r>
    <w:r>
      <w:t xml:space="preserve">  </w:t>
    </w:r>
    <w:r w:rsidR="009076F2">
      <w:t xml:space="preserve">| </w:t>
    </w:r>
    <w:r w:rsidR="00F94AC5" w:rsidRPr="001835AE">
      <w:rPr>
        <w:i/>
      </w:rPr>
      <w:t>Saluting Their Service</w:t>
    </w:r>
    <w:r w:rsidR="00F94AC5">
      <w:t xml:space="preserve"> </w:t>
    </w:r>
    <w:r w:rsidR="00C97DC9">
      <w:t>Commemorations</w:t>
    </w:r>
    <w:r w:rsidR="001835AE">
      <w:t xml:space="preserve"> Program - </w:t>
    </w:r>
    <w:r w:rsidR="00F94AC5">
      <w:t>Major</w:t>
    </w:r>
    <w:r w:rsidR="009076F2">
      <w:t xml:space="preserve"> Commemorative</w:t>
    </w:r>
    <w:r w:rsidR="004B3B6F">
      <w:t xml:space="preserve"> Grants</w:t>
    </w:r>
    <w:r w:rsidR="00F94AC5">
      <w:t xml:space="preserve"> (M</w:t>
    </w:r>
    <w:r w:rsidR="00095FB6">
      <w:t>CG)</w:t>
    </w:r>
    <w:r w:rsidR="001835AE">
      <w:t xml:space="preserve"> </w:t>
    </w:r>
    <w:r w:rsidR="004B3B6F">
      <w:t xml:space="preserve">- </w:t>
    </w:r>
    <w:r w:rsidR="004B3B6F" w:rsidRPr="00A454BF">
      <w:t>Questions</w:t>
    </w:r>
    <w:r w:rsidR="00496141">
      <w:t xml:space="preserve"> and Answers</w:t>
    </w:r>
  </w:p>
  <w:p w14:paraId="52259169" w14:textId="77777777" w:rsidR="00CD4ABE" w:rsidRDefault="00CD4ABE" w:rsidP="006439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15722" w14:textId="77777777" w:rsidR="008C0C4D" w:rsidRDefault="008C0C4D" w:rsidP="00643939">
      <w:r>
        <w:separator/>
      </w:r>
    </w:p>
    <w:p w14:paraId="06787EBC" w14:textId="77777777" w:rsidR="008C0C4D" w:rsidRDefault="008C0C4D" w:rsidP="00643939"/>
  </w:footnote>
  <w:footnote w:type="continuationSeparator" w:id="0">
    <w:p w14:paraId="1431C074" w14:textId="77777777" w:rsidR="008C0C4D" w:rsidRDefault="008C0C4D" w:rsidP="00643939">
      <w:r>
        <w:continuationSeparator/>
      </w:r>
    </w:p>
    <w:p w14:paraId="53B0CE6C" w14:textId="77777777" w:rsidR="008C0C4D" w:rsidRDefault="008C0C4D" w:rsidP="0064393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88408" w14:textId="77777777" w:rsidR="00B23E36" w:rsidRDefault="00B23E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5F7E6" w14:textId="77777777" w:rsidR="00B23E36" w:rsidRDefault="00B23E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06E7A" w14:textId="77777777" w:rsidR="00B23E36" w:rsidRDefault="00B23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26E66"/>
    <w:multiLevelType w:val="hybridMultilevel"/>
    <w:tmpl w:val="3CC49FD2"/>
    <w:lvl w:ilvl="0" w:tplc="0C090001">
      <w:start w:val="1"/>
      <w:numFmt w:val="bullet"/>
      <w:lvlText w:val=""/>
      <w:lvlJc w:val="left"/>
      <w:pPr>
        <w:tabs>
          <w:tab w:val="num" w:pos="360"/>
        </w:tabs>
        <w:ind w:left="360" w:hanging="360"/>
      </w:pPr>
      <w:rPr>
        <w:rFonts w:ascii="Symbol" w:hAnsi="Symbol" w:hint="default"/>
      </w:rPr>
    </w:lvl>
    <w:lvl w:ilvl="1" w:tplc="D3A629D4">
      <w:start w:val="1"/>
      <w:numFmt w:val="decimal"/>
      <w:lvlText w:val="%2."/>
      <w:lvlJc w:val="left"/>
      <w:pPr>
        <w:tabs>
          <w:tab w:val="num" w:pos="2325"/>
        </w:tabs>
        <w:ind w:left="567"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AE74512"/>
    <w:multiLevelType w:val="hybridMultilevel"/>
    <w:tmpl w:val="CC7A0ED8"/>
    <w:lvl w:ilvl="0" w:tplc="D81C447A">
      <w:start w:val="1"/>
      <w:numFmt w:val="decimal"/>
      <w:lvlText w:val="%1."/>
      <w:lvlJc w:val="left"/>
      <w:pPr>
        <w:ind w:left="644"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3AF46949"/>
    <w:multiLevelType w:val="hybridMultilevel"/>
    <w:tmpl w:val="504AB574"/>
    <w:lvl w:ilvl="0" w:tplc="9EE2B3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5"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5E692E02"/>
    <w:multiLevelType w:val="hybridMultilevel"/>
    <w:tmpl w:val="6BD2F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B55240"/>
    <w:multiLevelType w:val="hybridMultilevel"/>
    <w:tmpl w:val="38C8A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9"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8"/>
  </w:num>
  <w:num w:numId="2">
    <w:abstractNumId w:val="2"/>
  </w:num>
  <w:num w:numId="3">
    <w:abstractNumId w:val="5"/>
  </w:num>
  <w:num w:numId="4">
    <w:abstractNumId w:val="4"/>
  </w:num>
  <w:num w:numId="5">
    <w:abstractNumId w:val="1"/>
  </w:num>
  <w:num w:numId="6">
    <w:abstractNumId w:val="3"/>
  </w:num>
  <w:num w:numId="7">
    <w:abstractNumId w:val="0"/>
  </w:num>
  <w:num w:numId="8">
    <w:abstractNumId w:val="9"/>
  </w:num>
  <w:num w:numId="9">
    <w:abstractNumId w:val="6"/>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79"/>
    <w:rsid w:val="00000555"/>
    <w:rsid w:val="00000A51"/>
    <w:rsid w:val="000048F2"/>
    <w:rsid w:val="00004A79"/>
    <w:rsid w:val="00007DE9"/>
    <w:rsid w:val="0001401B"/>
    <w:rsid w:val="00015AE4"/>
    <w:rsid w:val="00020A4A"/>
    <w:rsid w:val="00024218"/>
    <w:rsid w:val="0003018E"/>
    <w:rsid w:val="00033BC3"/>
    <w:rsid w:val="00037050"/>
    <w:rsid w:val="00044E09"/>
    <w:rsid w:val="0004784D"/>
    <w:rsid w:val="00053A00"/>
    <w:rsid w:val="00053BB4"/>
    <w:rsid w:val="00054C10"/>
    <w:rsid w:val="00062C09"/>
    <w:rsid w:val="00076B6E"/>
    <w:rsid w:val="00085AD2"/>
    <w:rsid w:val="0009436B"/>
    <w:rsid w:val="00095FB6"/>
    <w:rsid w:val="000A6032"/>
    <w:rsid w:val="000B0554"/>
    <w:rsid w:val="000B6C00"/>
    <w:rsid w:val="000C1F06"/>
    <w:rsid w:val="000C75EA"/>
    <w:rsid w:val="000D555D"/>
    <w:rsid w:val="000E2DDA"/>
    <w:rsid w:val="000E7F6F"/>
    <w:rsid w:val="000F1DD1"/>
    <w:rsid w:val="000F28B8"/>
    <w:rsid w:val="000F3766"/>
    <w:rsid w:val="0010579A"/>
    <w:rsid w:val="001069D5"/>
    <w:rsid w:val="00106F83"/>
    <w:rsid w:val="00106FC4"/>
    <w:rsid w:val="00111F0C"/>
    <w:rsid w:val="00123B77"/>
    <w:rsid w:val="00145E2D"/>
    <w:rsid w:val="00153DBC"/>
    <w:rsid w:val="001562BB"/>
    <w:rsid w:val="0016612C"/>
    <w:rsid w:val="001763D4"/>
    <w:rsid w:val="00181433"/>
    <w:rsid w:val="001834DD"/>
    <w:rsid w:val="001835AE"/>
    <w:rsid w:val="001A6FFF"/>
    <w:rsid w:val="001B4CC0"/>
    <w:rsid w:val="001C53CE"/>
    <w:rsid w:val="001C5D96"/>
    <w:rsid w:val="001D341B"/>
    <w:rsid w:val="001E3D2B"/>
    <w:rsid w:val="001E48A9"/>
    <w:rsid w:val="001E66CE"/>
    <w:rsid w:val="001F0C53"/>
    <w:rsid w:val="001F7830"/>
    <w:rsid w:val="00210B47"/>
    <w:rsid w:val="002203ED"/>
    <w:rsid w:val="00221DC2"/>
    <w:rsid w:val="00222901"/>
    <w:rsid w:val="00226C06"/>
    <w:rsid w:val="00244B48"/>
    <w:rsid w:val="00250860"/>
    <w:rsid w:val="002573D5"/>
    <w:rsid w:val="00261AEE"/>
    <w:rsid w:val="002633D8"/>
    <w:rsid w:val="00264366"/>
    <w:rsid w:val="00264E26"/>
    <w:rsid w:val="00270E65"/>
    <w:rsid w:val="00280E74"/>
    <w:rsid w:val="00290A6F"/>
    <w:rsid w:val="00295505"/>
    <w:rsid w:val="00296176"/>
    <w:rsid w:val="002A41E1"/>
    <w:rsid w:val="002B374C"/>
    <w:rsid w:val="002B6574"/>
    <w:rsid w:val="002B7C04"/>
    <w:rsid w:val="002D4D48"/>
    <w:rsid w:val="002E21D2"/>
    <w:rsid w:val="002E72E7"/>
    <w:rsid w:val="002F7D3C"/>
    <w:rsid w:val="00305720"/>
    <w:rsid w:val="003131AB"/>
    <w:rsid w:val="00320D00"/>
    <w:rsid w:val="003217BE"/>
    <w:rsid w:val="00356452"/>
    <w:rsid w:val="00370E42"/>
    <w:rsid w:val="00374525"/>
    <w:rsid w:val="00393149"/>
    <w:rsid w:val="003A3523"/>
    <w:rsid w:val="003A525A"/>
    <w:rsid w:val="003C3D4E"/>
    <w:rsid w:val="003C4CB3"/>
    <w:rsid w:val="003D0647"/>
    <w:rsid w:val="003D1265"/>
    <w:rsid w:val="003D3B1D"/>
    <w:rsid w:val="003D5DBE"/>
    <w:rsid w:val="003E3394"/>
    <w:rsid w:val="00404841"/>
    <w:rsid w:val="00412059"/>
    <w:rsid w:val="00425633"/>
    <w:rsid w:val="00437BAE"/>
    <w:rsid w:val="00441E79"/>
    <w:rsid w:val="00450486"/>
    <w:rsid w:val="004709E9"/>
    <w:rsid w:val="004751D4"/>
    <w:rsid w:val="00476148"/>
    <w:rsid w:val="00483A58"/>
    <w:rsid w:val="00484E45"/>
    <w:rsid w:val="00496141"/>
    <w:rsid w:val="004B3B6F"/>
    <w:rsid w:val="004B5F40"/>
    <w:rsid w:val="004B66DA"/>
    <w:rsid w:val="004C7D16"/>
    <w:rsid w:val="004D6C22"/>
    <w:rsid w:val="004D700E"/>
    <w:rsid w:val="004D7F17"/>
    <w:rsid w:val="004E0670"/>
    <w:rsid w:val="004E7F37"/>
    <w:rsid w:val="004F31BA"/>
    <w:rsid w:val="005126BC"/>
    <w:rsid w:val="0051299F"/>
    <w:rsid w:val="005161B3"/>
    <w:rsid w:val="005222CF"/>
    <w:rsid w:val="00526B85"/>
    <w:rsid w:val="005306A1"/>
    <w:rsid w:val="0054029F"/>
    <w:rsid w:val="005520DE"/>
    <w:rsid w:val="005842C3"/>
    <w:rsid w:val="0059000C"/>
    <w:rsid w:val="005A02A1"/>
    <w:rsid w:val="005B40C4"/>
    <w:rsid w:val="005C1251"/>
    <w:rsid w:val="005C6086"/>
    <w:rsid w:val="005D7A24"/>
    <w:rsid w:val="005E7098"/>
    <w:rsid w:val="00611248"/>
    <w:rsid w:val="00616EBA"/>
    <w:rsid w:val="00627B3E"/>
    <w:rsid w:val="00632C08"/>
    <w:rsid w:val="00643939"/>
    <w:rsid w:val="00644CC0"/>
    <w:rsid w:val="00654C42"/>
    <w:rsid w:val="00654E43"/>
    <w:rsid w:val="006553B6"/>
    <w:rsid w:val="006636A5"/>
    <w:rsid w:val="0067074A"/>
    <w:rsid w:val="00672994"/>
    <w:rsid w:val="006A5CAB"/>
    <w:rsid w:val="006B05CB"/>
    <w:rsid w:val="006C15C5"/>
    <w:rsid w:val="006D3DAD"/>
    <w:rsid w:val="006E5B9A"/>
    <w:rsid w:val="006F71FC"/>
    <w:rsid w:val="006F7B19"/>
    <w:rsid w:val="00713232"/>
    <w:rsid w:val="007170E5"/>
    <w:rsid w:val="00736A76"/>
    <w:rsid w:val="00744C6A"/>
    <w:rsid w:val="00746598"/>
    <w:rsid w:val="007507FE"/>
    <w:rsid w:val="00752C6B"/>
    <w:rsid w:val="00752FD1"/>
    <w:rsid w:val="00757288"/>
    <w:rsid w:val="00760CE6"/>
    <w:rsid w:val="007719C9"/>
    <w:rsid w:val="00772718"/>
    <w:rsid w:val="00776B6A"/>
    <w:rsid w:val="00782908"/>
    <w:rsid w:val="00796956"/>
    <w:rsid w:val="007A4F2A"/>
    <w:rsid w:val="007D1B01"/>
    <w:rsid w:val="007D30A8"/>
    <w:rsid w:val="007E1EE2"/>
    <w:rsid w:val="007F1125"/>
    <w:rsid w:val="007F5648"/>
    <w:rsid w:val="008008CE"/>
    <w:rsid w:val="00814D9A"/>
    <w:rsid w:val="00814FB1"/>
    <w:rsid w:val="00820F20"/>
    <w:rsid w:val="0082528A"/>
    <w:rsid w:val="00825754"/>
    <w:rsid w:val="00826A9C"/>
    <w:rsid w:val="00827A01"/>
    <w:rsid w:val="00835210"/>
    <w:rsid w:val="00844C2D"/>
    <w:rsid w:val="00853883"/>
    <w:rsid w:val="0087438E"/>
    <w:rsid w:val="008815AC"/>
    <w:rsid w:val="00884619"/>
    <w:rsid w:val="00884668"/>
    <w:rsid w:val="008911C7"/>
    <w:rsid w:val="008A5C0C"/>
    <w:rsid w:val="008B2B46"/>
    <w:rsid w:val="008B43A6"/>
    <w:rsid w:val="008C0C4D"/>
    <w:rsid w:val="008D1FE4"/>
    <w:rsid w:val="008E05BC"/>
    <w:rsid w:val="008E22AE"/>
    <w:rsid w:val="008F3CCF"/>
    <w:rsid w:val="008F6E42"/>
    <w:rsid w:val="0090665A"/>
    <w:rsid w:val="009076F2"/>
    <w:rsid w:val="00913179"/>
    <w:rsid w:val="00921840"/>
    <w:rsid w:val="00932C87"/>
    <w:rsid w:val="009331B4"/>
    <w:rsid w:val="009345F1"/>
    <w:rsid w:val="00944BBB"/>
    <w:rsid w:val="00945C5F"/>
    <w:rsid w:val="009547B6"/>
    <w:rsid w:val="009553D8"/>
    <w:rsid w:val="00961072"/>
    <w:rsid w:val="009622B1"/>
    <w:rsid w:val="009649E5"/>
    <w:rsid w:val="00965121"/>
    <w:rsid w:val="009739E4"/>
    <w:rsid w:val="00983D00"/>
    <w:rsid w:val="00992183"/>
    <w:rsid w:val="00994456"/>
    <w:rsid w:val="009A1C18"/>
    <w:rsid w:val="009A4780"/>
    <w:rsid w:val="009B7EB4"/>
    <w:rsid w:val="009D670B"/>
    <w:rsid w:val="009E1F09"/>
    <w:rsid w:val="009E750F"/>
    <w:rsid w:val="009F0071"/>
    <w:rsid w:val="009F11E7"/>
    <w:rsid w:val="009F3F56"/>
    <w:rsid w:val="00A01C5B"/>
    <w:rsid w:val="00A04D96"/>
    <w:rsid w:val="00A0629B"/>
    <w:rsid w:val="00A13220"/>
    <w:rsid w:val="00A14495"/>
    <w:rsid w:val="00A16BE1"/>
    <w:rsid w:val="00A31214"/>
    <w:rsid w:val="00A33101"/>
    <w:rsid w:val="00A35731"/>
    <w:rsid w:val="00A411D9"/>
    <w:rsid w:val="00A454BF"/>
    <w:rsid w:val="00A52E3A"/>
    <w:rsid w:val="00A53743"/>
    <w:rsid w:val="00A61D73"/>
    <w:rsid w:val="00A644EF"/>
    <w:rsid w:val="00A802AE"/>
    <w:rsid w:val="00A814CB"/>
    <w:rsid w:val="00A841BD"/>
    <w:rsid w:val="00A90D1B"/>
    <w:rsid w:val="00AA481B"/>
    <w:rsid w:val="00AA64AF"/>
    <w:rsid w:val="00AB1D5C"/>
    <w:rsid w:val="00AC531C"/>
    <w:rsid w:val="00AF55F8"/>
    <w:rsid w:val="00B00AC9"/>
    <w:rsid w:val="00B10ABA"/>
    <w:rsid w:val="00B23E36"/>
    <w:rsid w:val="00B420D4"/>
    <w:rsid w:val="00B57910"/>
    <w:rsid w:val="00B5794F"/>
    <w:rsid w:val="00B768C7"/>
    <w:rsid w:val="00B952F6"/>
    <w:rsid w:val="00BA2442"/>
    <w:rsid w:val="00BC093A"/>
    <w:rsid w:val="00BC4ACC"/>
    <w:rsid w:val="00BC4FCC"/>
    <w:rsid w:val="00BD02F8"/>
    <w:rsid w:val="00BE06AB"/>
    <w:rsid w:val="00BE42F0"/>
    <w:rsid w:val="00BE6D5A"/>
    <w:rsid w:val="00C0288A"/>
    <w:rsid w:val="00C06BCA"/>
    <w:rsid w:val="00C110B6"/>
    <w:rsid w:val="00C15002"/>
    <w:rsid w:val="00C217A8"/>
    <w:rsid w:val="00C31670"/>
    <w:rsid w:val="00C32A60"/>
    <w:rsid w:val="00C335CE"/>
    <w:rsid w:val="00C4188F"/>
    <w:rsid w:val="00C61001"/>
    <w:rsid w:val="00C67106"/>
    <w:rsid w:val="00C81527"/>
    <w:rsid w:val="00C819A4"/>
    <w:rsid w:val="00C8239B"/>
    <w:rsid w:val="00C824AE"/>
    <w:rsid w:val="00C846DA"/>
    <w:rsid w:val="00C84EA8"/>
    <w:rsid w:val="00C90D03"/>
    <w:rsid w:val="00C92998"/>
    <w:rsid w:val="00C97DC9"/>
    <w:rsid w:val="00CA720A"/>
    <w:rsid w:val="00CC47FC"/>
    <w:rsid w:val="00CD4ABE"/>
    <w:rsid w:val="00CD5925"/>
    <w:rsid w:val="00CD7DD1"/>
    <w:rsid w:val="00CE557A"/>
    <w:rsid w:val="00D031B2"/>
    <w:rsid w:val="00D0333E"/>
    <w:rsid w:val="00D0469A"/>
    <w:rsid w:val="00D06F03"/>
    <w:rsid w:val="00D11FAE"/>
    <w:rsid w:val="00D1410C"/>
    <w:rsid w:val="00D32745"/>
    <w:rsid w:val="00D33A87"/>
    <w:rsid w:val="00D37FC3"/>
    <w:rsid w:val="00D40D16"/>
    <w:rsid w:val="00D44C83"/>
    <w:rsid w:val="00D548F0"/>
    <w:rsid w:val="00D554FF"/>
    <w:rsid w:val="00D57F79"/>
    <w:rsid w:val="00D64FAC"/>
    <w:rsid w:val="00D65704"/>
    <w:rsid w:val="00D668F6"/>
    <w:rsid w:val="00D761BC"/>
    <w:rsid w:val="00D80ADD"/>
    <w:rsid w:val="00D84875"/>
    <w:rsid w:val="00D904F0"/>
    <w:rsid w:val="00D90961"/>
    <w:rsid w:val="00D91378"/>
    <w:rsid w:val="00D91B18"/>
    <w:rsid w:val="00DC0747"/>
    <w:rsid w:val="00DC1DEE"/>
    <w:rsid w:val="00DC2647"/>
    <w:rsid w:val="00DD1408"/>
    <w:rsid w:val="00DD356D"/>
    <w:rsid w:val="00DD6735"/>
    <w:rsid w:val="00DE1F22"/>
    <w:rsid w:val="00DF136A"/>
    <w:rsid w:val="00E0448C"/>
    <w:rsid w:val="00E13525"/>
    <w:rsid w:val="00E22B97"/>
    <w:rsid w:val="00E4302F"/>
    <w:rsid w:val="00E47250"/>
    <w:rsid w:val="00E61535"/>
    <w:rsid w:val="00E70D51"/>
    <w:rsid w:val="00E84012"/>
    <w:rsid w:val="00E9373C"/>
    <w:rsid w:val="00EA0724"/>
    <w:rsid w:val="00EA6251"/>
    <w:rsid w:val="00EB6414"/>
    <w:rsid w:val="00ED1638"/>
    <w:rsid w:val="00ED6E44"/>
    <w:rsid w:val="00EE1A6F"/>
    <w:rsid w:val="00EE5747"/>
    <w:rsid w:val="00EF3804"/>
    <w:rsid w:val="00EF5E05"/>
    <w:rsid w:val="00F013EE"/>
    <w:rsid w:val="00F0391C"/>
    <w:rsid w:val="00F04CF5"/>
    <w:rsid w:val="00F172DD"/>
    <w:rsid w:val="00F227AF"/>
    <w:rsid w:val="00F27370"/>
    <w:rsid w:val="00F30A61"/>
    <w:rsid w:val="00F36114"/>
    <w:rsid w:val="00F40B00"/>
    <w:rsid w:val="00F5341C"/>
    <w:rsid w:val="00F56954"/>
    <w:rsid w:val="00F65070"/>
    <w:rsid w:val="00F667E6"/>
    <w:rsid w:val="00F75CE6"/>
    <w:rsid w:val="00F80B2F"/>
    <w:rsid w:val="00F912CA"/>
    <w:rsid w:val="00F948AF"/>
    <w:rsid w:val="00F94AC5"/>
    <w:rsid w:val="00FA01FC"/>
    <w:rsid w:val="00FA275B"/>
    <w:rsid w:val="00FA5A7B"/>
    <w:rsid w:val="00FB11B1"/>
    <w:rsid w:val="00FC2D61"/>
    <w:rsid w:val="00FC56CF"/>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014882"/>
  <w15:docId w15:val="{65A9FDA1-4412-4757-AFC7-CD918932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643939"/>
    <w:pPr>
      <w:spacing w:before="120" w:after="140"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basedOn w:val="Normal"/>
    <w:link w:val="TitleChar"/>
    <w:uiPriority w:val="36"/>
    <w:qFormat/>
    <w:rsid w:val="00643939"/>
    <w:pPr>
      <w:pBdr>
        <w:bottom w:val="single" w:sz="4" w:space="1" w:color="auto"/>
      </w:pBdr>
      <w:spacing w:line="240" w:lineRule="auto"/>
      <w:contextualSpacing/>
      <w:jc w:val="center"/>
    </w:pPr>
    <w:rPr>
      <w:rFonts w:ascii="Georgia" w:eastAsia="Times New Roman" w:hAnsi="Georgia" w:cs="Arial"/>
      <w:b/>
      <w:color w:val="auto"/>
      <w:spacing w:val="5"/>
      <w:sz w:val="36"/>
      <w:szCs w:val="36"/>
    </w:rPr>
  </w:style>
  <w:style w:type="character" w:customStyle="1" w:styleId="TitleChar">
    <w:name w:val="Title Char"/>
    <w:basedOn w:val="DefaultParagraphFont"/>
    <w:link w:val="Title"/>
    <w:uiPriority w:val="36"/>
    <w:rsid w:val="00643939"/>
    <w:rPr>
      <w:rFonts w:ascii="Georgia" w:eastAsia="Times New Roman" w:hAnsi="Georgia" w:cs="Arial"/>
      <w:b/>
      <w:spacing w:val="5"/>
      <w:sz w:val="36"/>
      <w:szCs w:val="36"/>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1"/>
      </w:numPr>
    </w:pPr>
  </w:style>
  <w:style w:type="paragraph" w:customStyle="1" w:styleId="TableBullets1">
    <w:name w:val="Table Bullets 1"/>
    <w:basedOn w:val="TableText"/>
    <w:uiPriority w:val="20"/>
    <w:qFormat/>
    <w:rsid w:val="004D700E"/>
    <w:pPr>
      <w:numPr>
        <w:ilvl w:val="6"/>
        <w:numId w:val="1"/>
      </w:numPr>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Recommendation,List Paragraph11,L,Bullet point,Numbered paragraph,List Paragraph2,List Paragraph Number,AR bullet 1,Number Paragraph,Num Bullet 1,Use Case List Paragraph,lp1,Bullet Number,FooterText,Num List Paragraph"/>
    <w:basedOn w:val="BodyText"/>
    <w:link w:val="ListParagraphChar"/>
    <w:uiPriority w:val="34"/>
    <w:qFormat/>
    <w:rsid w:val="00643939"/>
    <w:pPr>
      <w:numPr>
        <w:numId w:val="6"/>
      </w:numPr>
    </w:pPr>
    <w:rPr>
      <w:color w:val="auto"/>
      <w:lang w:eastAsia="en-AU"/>
    </w:rPr>
  </w:style>
  <w:style w:type="paragraph" w:customStyle="1" w:styleId="Boxed2Heading">
    <w:name w:val="Boxed 2 Heading"/>
    <w:basedOn w:val="Normal"/>
    <w:qFormat/>
    <w:rsid w:val="00C61001"/>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ind w:left="284" w:right="284"/>
    </w:pPr>
    <w:rPr>
      <w:rFonts w:cstheme="minorBidi"/>
      <w:b/>
      <w:color w:val="auto"/>
      <w:sz w:val="24"/>
      <w:szCs w:val="22"/>
    </w:rPr>
  </w:style>
  <w:style w:type="character" w:customStyle="1" w:styleId="ListParagraphChar">
    <w:name w:val="List Paragraph Char"/>
    <w:aliases w:val="List Paragraph1 Char,Recommendation Char,List Paragraph11 Char,L Char,Bullet point Char,Numbered paragraph Char,List Paragraph2 Char,List Paragraph Number Char,AR bullet 1 Char,Number Paragraph Char,Num Bullet 1 Char,lp1 Char"/>
    <w:basedOn w:val="DefaultParagraphFont"/>
    <w:link w:val="ListParagraph"/>
    <w:uiPriority w:val="34"/>
    <w:locked/>
    <w:rsid w:val="005520DE"/>
    <w:rPr>
      <w:rFonts w:asciiTheme="minorHAnsi" w:hAnsiTheme="minorHAnsi"/>
      <w:sz w:val="22"/>
      <w:lang w:eastAsia="en-AU"/>
    </w:rPr>
  </w:style>
  <w:style w:type="paragraph" w:customStyle="1" w:styleId="highlightedtext">
    <w:name w:val="highlighted text"/>
    <w:basedOn w:val="Normal"/>
    <w:link w:val="highlightedtextChar"/>
    <w:qFormat/>
    <w:rsid w:val="005520DE"/>
    <w:pPr>
      <w:pBdr>
        <w:top w:val="single" w:sz="4" w:space="1" w:color="auto"/>
        <w:left w:val="single" w:sz="4" w:space="4" w:color="auto"/>
        <w:bottom w:val="single" w:sz="4" w:space="1" w:color="auto"/>
        <w:right w:val="single" w:sz="4" w:space="4" w:color="auto"/>
      </w:pBdr>
      <w:suppressAutoHyphens/>
      <w:spacing w:before="180" w:after="0"/>
      <w:jc w:val="center"/>
    </w:pPr>
    <w:rPr>
      <w:rFonts w:cstheme="minorBidi"/>
      <w:b/>
      <w:color w:val="917700" w:themeColor="accent3" w:themeShade="80"/>
      <w:szCs w:val="22"/>
    </w:rPr>
  </w:style>
  <w:style w:type="character" w:customStyle="1" w:styleId="highlightedtextChar">
    <w:name w:val="highlighted text Char"/>
    <w:basedOn w:val="DefaultParagraphFont"/>
    <w:link w:val="highlightedtext"/>
    <w:rsid w:val="005520DE"/>
    <w:rPr>
      <w:rFonts w:asciiTheme="minorHAnsi" w:hAnsiTheme="minorHAnsi" w:cstheme="minorBidi"/>
      <w:b/>
      <w:color w:val="917700" w:themeColor="accent3" w:themeShade="80"/>
      <w:sz w:val="22"/>
      <w:szCs w:val="22"/>
    </w:rPr>
  </w:style>
  <w:style w:type="paragraph" w:customStyle="1" w:styleId="Bullet1">
    <w:name w:val="Bullet 1"/>
    <w:basedOn w:val="Normal"/>
    <w:qFormat/>
    <w:rsid w:val="00814D9A"/>
    <w:pPr>
      <w:numPr>
        <w:numId w:val="8"/>
      </w:numPr>
      <w:suppressAutoHyphens/>
      <w:spacing w:after="60"/>
    </w:pPr>
    <w:rPr>
      <w:rFonts w:cstheme="minorBidi"/>
      <w:color w:val="auto"/>
      <w:szCs w:val="22"/>
    </w:rPr>
  </w:style>
  <w:style w:type="paragraph" w:customStyle="1" w:styleId="Bullet2">
    <w:name w:val="Bullet 2"/>
    <w:basedOn w:val="Bullet1"/>
    <w:qFormat/>
    <w:rsid w:val="00814D9A"/>
    <w:pPr>
      <w:numPr>
        <w:ilvl w:val="1"/>
      </w:numPr>
    </w:pPr>
  </w:style>
  <w:style w:type="paragraph" w:customStyle="1" w:styleId="Bullet3">
    <w:name w:val="Bullet 3"/>
    <w:basedOn w:val="Bullet2"/>
    <w:qFormat/>
    <w:rsid w:val="00814D9A"/>
    <w:pPr>
      <w:numPr>
        <w:ilvl w:val="2"/>
      </w:numPr>
    </w:pPr>
  </w:style>
  <w:style w:type="numbering" w:customStyle="1" w:styleId="BulletsList">
    <w:name w:val="Bullets List"/>
    <w:uiPriority w:val="99"/>
    <w:rsid w:val="00814D9A"/>
    <w:pPr>
      <w:numPr>
        <w:numId w:val="8"/>
      </w:numPr>
    </w:pPr>
  </w:style>
  <w:style w:type="character" w:styleId="Emphasis">
    <w:name w:val="Emphasis"/>
    <w:basedOn w:val="DefaultParagraphFont"/>
    <w:uiPriority w:val="20"/>
    <w:qFormat/>
    <w:rsid w:val="00270E65"/>
    <w:rPr>
      <w:i/>
      <w:iCs/>
    </w:rPr>
  </w:style>
  <w:style w:type="paragraph" w:styleId="NormalWeb">
    <w:name w:val="Normal (Web)"/>
    <w:basedOn w:val="Normal"/>
    <w:uiPriority w:val="99"/>
    <w:semiHidden/>
    <w:unhideWhenUsed/>
    <w:rsid w:val="0090665A"/>
    <w:pPr>
      <w:spacing w:before="192" w:after="192" w:line="384" w:lineRule="atLeast"/>
    </w:pPr>
    <w:rPr>
      <w:rFonts w:ascii="Times New Roman" w:eastAsia="Times New Roman" w:hAnsi="Times New Roman"/>
      <w:color w:val="auto"/>
      <w:sz w:val="24"/>
      <w:szCs w:val="24"/>
      <w:lang w:eastAsia="en-AU"/>
    </w:rPr>
  </w:style>
  <w:style w:type="character" w:styleId="FollowedHyperlink">
    <w:name w:val="FollowedHyperlink"/>
    <w:basedOn w:val="DefaultParagraphFont"/>
    <w:uiPriority w:val="99"/>
    <w:semiHidden/>
    <w:unhideWhenUsed/>
    <w:rsid w:val="009A1C18"/>
    <w:rPr>
      <w:color w:val="800080" w:themeColor="followedHyperlink"/>
      <w:u w:val="single"/>
    </w:rPr>
  </w:style>
  <w:style w:type="character" w:styleId="CommentReference">
    <w:name w:val="annotation reference"/>
    <w:basedOn w:val="DefaultParagraphFont"/>
    <w:uiPriority w:val="99"/>
    <w:semiHidden/>
    <w:unhideWhenUsed/>
    <w:rsid w:val="00F75CE6"/>
    <w:rPr>
      <w:sz w:val="16"/>
      <w:szCs w:val="16"/>
    </w:rPr>
  </w:style>
  <w:style w:type="paragraph" w:styleId="CommentText">
    <w:name w:val="annotation text"/>
    <w:basedOn w:val="Normal"/>
    <w:link w:val="CommentTextChar"/>
    <w:uiPriority w:val="99"/>
    <w:semiHidden/>
    <w:unhideWhenUsed/>
    <w:rsid w:val="00F75CE6"/>
    <w:pPr>
      <w:spacing w:line="240" w:lineRule="auto"/>
    </w:pPr>
    <w:rPr>
      <w:sz w:val="20"/>
    </w:rPr>
  </w:style>
  <w:style w:type="character" w:customStyle="1" w:styleId="CommentTextChar">
    <w:name w:val="Comment Text Char"/>
    <w:basedOn w:val="DefaultParagraphFont"/>
    <w:link w:val="CommentText"/>
    <w:uiPriority w:val="99"/>
    <w:semiHidden/>
    <w:rsid w:val="00F75CE6"/>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F75CE6"/>
    <w:rPr>
      <w:b/>
      <w:bCs/>
    </w:rPr>
  </w:style>
  <w:style w:type="character" w:customStyle="1" w:styleId="CommentSubjectChar">
    <w:name w:val="Comment Subject Char"/>
    <w:basedOn w:val="CommentTextChar"/>
    <w:link w:val="CommentSubject"/>
    <w:uiPriority w:val="99"/>
    <w:semiHidden/>
    <w:rsid w:val="00F75CE6"/>
    <w:rPr>
      <w:rFonts w:asciiTheme="minorHAnsi" w:hAnsiTheme="minorHAns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73046">
      <w:bodyDiv w:val="1"/>
      <w:marLeft w:val="0"/>
      <w:marRight w:val="0"/>
      <w:marTop w:val="0"/>
      <w:marBottom w:val="0"/>
      <w:divBdr>
        <w:top w:val="none" w:sz="0" w:space="0" w:color="auto"/>
        <w:left w:val="none" w:sz="0" w:space="0" w:color="auto"/>
        <w:bottom w:val="none" w:sz="0" w:space="0" w:color="auto"/>
        <w:right w:val="none" w:sz="0" w:space="0" w:color="auto"/>
      </w:divBdr>
      <w:divsChild>
        <w:div w:id="1412891655">
          <w:marLeft w:val="0"/>
          <w:marRight w:val="0"/>
          <w:marTop w:val="0"/>
          <w:marBottom w:val="0"/>
          <w:divBdr>
            <w:top w:val="none" w:sz="0" w:space="0" w:color="auto"/>
            <w:left w:val="none" w:sz="0" w:space="0" w:color="auto"/>
            <w:bottom w:val="none" w:sz="0" w:space="0" w:color="auto"/>
            <w:right w:val="none" w:sz="0" w:space="0" w:color="auto"/>
          </w:divBdr>
          <w:divsChild>
            <w:div w:id="1785420261">
              <w:marLeft w:val="0"/>
              <w:marRight w:val="0"/>
              <w:marTop w:val="0"/>
              <w:marBottom w:val="0"/>
              <w:divBdr>
                <w:top w:val="none" w:sz="0" w:space="0" w:color="auto"/>
                <w:left w:val="none" w:sz="0" w:space="0" w:color="auto"/>
                <w:bottom w:val="none" w:sz="0" w:space="0" w:color="auto"/>
                <w:right w:val="none" w:sz="0" w:space="0" w:color="auto"/>
              </w:divBdr>
              <w:divsChild>
                <w:div w:id="2012296212">
                  <w:marLeft w:val="0"/>
                  <w:marRight w:val="0"/>
                  <w:marTop w:val="0"/>
                  <w:marBottom w:val="0"/>
                  <w:divBdr>
                    <w:top w:val="none" w:sz="0" w:space="0" w:color="auto"/>
                    <w:left w:val="none" w:sz="0" w:space="0" w:color="auto"/>
                    <w:bottom w:val="none" w:sz="0" w:space="0" w:color="auto"/>
                    <w:right w:val="none" w:sz="0" w:space="0" w:color="auto"/>
                  </w:divBdr>
                  <w:divsChild>
                    <w:div w:id="1938368928">
                      <w:marLeft w:val="0"/>
                      <w:marRight w:val="0"/>
                      <w:marTop w:val="0"/>
                      <w:marBottom w:val="0"/>
                      <w:divBdr>
                        <w:top w:val="none" w:sz="0" w:space="0" w:color="auto"/>
                        <w:left w:val="none" w:sz="0" w:space="0" w:color="auto"/>
                        <w:bottom w:val="none" w:sz="0" w:space="0" w:color="auto"/>
                        <w:right w:val="none" w:sz="0" w:space="0" w:color="auto"/>
                      </w:divBdr>
                      <w:divsChild>
                        <w:div w:id="73937089">
                          <w:marLeft w:val="90"/>
                          <w:marRight w:val="0"/>
                          <w:marTop w:val="0"/>
                          <w:marBottom w:val="0"/>
                          <w:divBdr>
                            <w:top w:val="none" w:sz="0" w:space="0" w:color="auto"/>
                            <w:left w:val="none" w:sz="0" w:space="0" w:color="auto"/>
                            <w:bottom w:val="none" w:sz="0" w:space="0" w:color="auto"/>
                            <w:right w:val="none" w:sz="0" w:space="0" w:color="auto"/>
                          </w:divBdr>
                          <w:divsChild>
                            <w:div w:id="871964744">
                              <w:marLeft w:val="0"/>
                              <w:marRight w:val="0"/>
                              <w:marTop w:val="0"/>
                              <w:marBottom w:val="0"/>
                              <w:divBdr>
                                <w:top w:val="none" w:sz="0" w:space="0" w:color="auto"/>
                                <w:left w:val="none" w:sz="0" w:space="0" w:color="auto"/>
                                <w:bottom w:val="none" w:sz="0" w:space="0" w:color="auto"/>
                                <w:right w:val="none" w:sz="0" w:space="0" w:color="auto"/>
                              </w:divBdr>
                              <w:divsChild>
                                <w:div w:id="143352917">
                                  <w:marLeft w:val="0"/>
                                  <w:marRight w:val="0"/>
                                  <w:marTop w:val="0"/>
                                  <w:marBottom w:val="0"/>
                                  <w:divBdr>
                                    <w:top w:val="none" w:sz="0" w:space="0" w:color="auto"/>
                                    <w:left w:val="none" w:sz="0" w:space="0" w:color="auto"/>
                                    <w:bottom w:val="none" w:sz="0" w:space="0" w:color="auto"/>
                                    <w:right w:val="none" w:sz="0" w:space="0" w:color="auto"/>
                                  </w:divBdr>
                                  <w:divsChild>
                                    <w:div w:id="2056541163">
                                      <w:marLeft w:val="0"/>
                                      <w:marRight w:val="0"/>
                                      <w:marTop w:val="0"/>
                                      <w:marBottom w:val="0"/>
                                      <w:divBdr>
                                        <w:top w:val="none" w:sz="0" w:space="0" w:color="auto"/>
                                        <w:left w:val="none" w:sz="0" w:space="0" w:color="auto"/>
                                        <w:bottom w:val="none" w:sz="0" w:space="0" w:color="auto"/>
                                        <w:right w:val="none" w:sz="0" w:space="0" w:color="auto"/>
                                      </w:divBdr>
                                      <w:divsChild>
                                        <w:div w:id="372776838">
                                          <w:marLeft w:val="0"/>
                                          <w:marRight w:val="0"/>
                                          <w:marTop w:val="0"/>
                                          <w:marBottom w:val="0"/>
                                          <w:divBdr>
                                            <w:top w:val="none" w:sz="0" w:space="0" w:color="auto"/>
                                            <w:left w:val="none" w:sz="0" w:space="0" w:color="auto"/>
                                            <w:bottom w:val="none" w:sz="0" w:space="0" w:color="auto"/>
                                            <w:right w:val="none" w:sz="0" w:space="0" w:color="auto"/>
                                          </w:divBdr>
                                          <w:divsChild>
                                            <w:div w:id="290474637">
                                              <w:marLeft w:val="0"/>
                                              <w:marRight w:val="0"/>
                                              <w:marTop w:val="0"/>
                                              <w:marBottom w:val="0"/>
                                              <w:divBdr>
                                                <w:top w:val="none" w:sz="0" w:space="0" w:color="auto"/>
                                                <w:left w:val="none" w:sz="0" w:space="0" w:color="auto"/>
                                                <w:bottom w:val="none" w:sz="0" w:space="0" w:color="auto"/>
                                                <w:right w:val="none" w:sz="0" w:space="0" w:color="auto"/>
                                              </w:divBdr>
                                              <w:divsChild>
                                                <w:div w:id="1219973840">
                                                  <w:marLeft w:val="0"/>
                                                  <w:marRight w:val="0"/>
                                                  <w:marTop w:val="0"/>
                                                  <w:marBottom w:val="0"/>
                                                  <w:divBdr>
                                                    <w:top w:val="none" w:sz="0" w:space="0" w:color="auto"/>
                                                    <w:left w:val="none" w:sz="0" w:space="0" w:color="auto"/>
                                                    <w:bottom w:val="none" w:sz="0" w:space="0" w:color="auto"/>
                                                    <w:right w:val="none" w:sz="0" w:space="0" w:color="auto"/>
                                                  </w:divBdr>
                                                  <w:divsChild>
                                                    <w:div w:id="9373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113505">
      <w:bodyDiv w:val="1"/>
      <w:marLeft w:val="0"/>
      <w:marRight w:val="0"/>
      <w:marTop w:val="0"/>
      <w:marBottom w:val="0"/>
      <w:divBdr>
        <w:top w:val="none" w:sz="0" w:space="0" w:color="auto"/>
        <w:left w:val="none" w:sz="0" w:space="0" w:color="auto"/>
        <w:bottom w:val="none" w:sz="0" w:space="0" w:color="auto"/>
        <w:right w:val="none" w:sz="0" w:space="0" w:color="auto"/>
      </w:divBdr>
    </w:div>
    <w:div w:id="487290061">
      <w:bodyDiv w:val="1"/>
      <w:marLeft w:val="0"/>
      <w:marRight w:val="0"/>
      <w:marTop w:val="0"/>
      <w:marBottom w:val="0"/>
      <w:divBdr>
        <w:top w:val="none" w:sz="0" w:space="0" w:color="auto"/>
        <w:left w:val="none" w:sz="0" w:space="0" w:color="auto"/>
        <w:bottom w:val="none" w:sz="0" w:space="0" w:color="auto"/>
        <w:right w:val="none" w:sz="0" w:space="0" w:color="auto"/>
      </w:divBdr>
    </w:div>
    <w:div w:id="758142976">
      <w:bodyDiv w:val="1"/>
      <w:marLeft w:val="0"/>
      <w:marRight w:val="0"/>
      <w:marTop w:val="0"/>
      <w:marBottom w:val="0"/>
      <w:divBdr>
        <w:top w:val="none" w:sz="0" w:space="0" w:color="auto"/>
        <w:left w:val="none" w:sz="0" w:space="0" w:color="auto"/>
        <w:bottom w:val="none" w:sz="0" w:space="0" w:color="auto"/>
        <w:right w:val="none" w:sz="0" w:space="0" w:color="auto"/>
      </w:divBdr>
    </w:div>
    <w:div w:id="798571744">
      <w:bodyDiv w:val="1"/>
      <w:marLeft w:val="0"/>
      <w:marRight w:val="0"/>
      <w:marTop w:val="0"/>
      <w:marBottom w:val="0"/>
      <w:divBdr>
        <w:top w:val="none" w:sz="0" w:space="0" w:color="auto"/>
        <w:left w:val="none" w:sz="0" w:space="0" w:color="auto"/>
        <w:bottom w:val="none" w:sz="0" w:space="0" w:color="auto"/>
        <w:right w:val="none" w:sz="0" w:space="0" w:color="auto"/>
      </w:divBdr>
    </w:div>
    <w:div w:id="819421463">
      <w:bodyDiv w:val="1"/>
      <w:marLeft w:val="0"/>
      <w:marRight w:val="0"/>
      <w:marTop w:val="0"/>
      <w:marBottom w:val="0"/>
      <w:divBdr>
        <w:top w:val="none" w:sz="0" w:space="0" w:color="auto"/>
        <w:left w:val="none" w:sz="0" w:space="0" w:color="auto"/>
        <w:bottom w:val="none" w:sz="0" w:space="0" w:color="auto"/>
        <w:right w:val="none" w:sz="0" w:space="0" w:color="auto"/>
      </w:divBdr>
      <w:divsChild>
        <w:div w:id="95950053">
          <w:marLeft w:val="1800"/>
          <w:marRight w:val="1800"/>
          <w:marTop w:val="0"/>
          <w:marBottom w:val="0"/>
          <w:divBdr>
            <w:top w:val="none" w:sz="0" w:space="0" w:color="auto"/>
            <w:left w:val="none" w:sz="0" w:space="0" w:color="auto"/>
            <w:bottom w:val="none" w:sz="0" w:space="0" w:color="auto"/>
            <w:right w:val="none" w:sz="0" w:space="0" w:color="auto"/>
          </w:divBdr>
          <w:divsChild>
            <w:div w:id="4532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11848">
      <w:bodyDiv w:val="1"/>
      <w:marLeft w:val="0"/>
      <w:marRight w:val="0"/>
      <w:marTop w:val="0"/>
      <w:marBottom w:val="0"/>
      <w:divBdr>
        <w:top w:val="none" w:sz="0" w:space="0" w:color="auto"/>
        <w:left w:val="none" w:sz="0" w:space="0" w:color="auto"/>
        <w:bottom w:val="none" w:sz="0" w:space="0" w:color="auto"/>
        <w:right w:val="none" w:sz="0" w:space="0" w:color="auto"/>
      </w:divBdr>
    </w:div>
    <w:div w:id="1770275508">
      <w:bodyDiv w:val="1"/>
      <w:marLeft w:val="0"/>
      <w:marRight w:val="0"/>
      <w:marTop w:val="0"/>
      <w:marBottom w:val="0"/>
      <w:divBdr>
        <w:top w:val="none" w:sz="0" w:space="0" w:color="auto"/>
        <w:left w:val="none" w:sz="0" w:space="0" w:color="auto"/>
        <w:bottom w:val="none" w:sz="0" w:space="0" w:color="auto"/>
        <w:right w:val="none" w:sz="0" w:space="0" w:color="auto"/>
      </w:divBdr>
    </w:div>
    <w:div w:id="1872574002">
      <w:bodyDiv w:val="1"/>
      <w:marLeft w:val="0"/>
      <w:marRight w:val="0"/>
      <w:marTop w:val="0"/>
      <w:marBottom w:val="0"/>
      <w:divBdr>
        <w:top w:val="none" w:sz="0" w:space="0" w:color="auto"/>
        <w:left w:val="none" w:sz="0" w:space="0" w:color="auto"/>
        <w:bottom w:val="none" w:sz="0" w:space="0" w:color="auto"/>
        <w:right w:val="none" w:sz="0" w:space="0" w:color="auto"/>
      </w:divBdr>
    </w:div>
    <w:div w:id="1900939826">
      <w:bodyDiv w:val="1"/>
      <w:marLeft w:val="0"/>
      <w:marRight w:val="0"/>
      <w:marTop w:val="0"/>
      <w:marBottom w:val="0"/>
      <w:divBdr>
        <w:top w:val="none" w:sz="0" w:space="0" w:color="auto"/>
        <w:left w:val="none" w:sz="0" w:space="0" w:color="auto"/>
        <w:bottom w:val="none" w:sz="0" w:space="0" w:color="auto"/>
        <w:right w:val="none" w:sz="0" w:space="0" w:color="auto"/>
      </w:divBdr>
      <w:divsChild>
        <w:div w:id="468280750">
          <w:marLeft w:val="0"/>
          <w:marRight w:val="0"/>
          <w:marTop w:val="0"/>
          <w:marBottom w:val="0"/>
          <w:divBdr>
            <w:top w:val="none" w:sz="0" w:space="0" w:color="auto"/>
            <w:left w:val="none" w:sz="0" w:space="0" w:color="auto"/>
            <w:bottom w:val="none" w:sz="0" w:space="0" w:color="auto"/>
            <w:right w:val="none" w:sz="0" w:space="0" w:color="auto"/>
          </w:divBdr>
          <w:divsChild>
            <w:div w:id="1168715933">
              <w:marLeft w:val="0"/>
              <w:marRight w:val="0"/>
              <w:marTop w:val="0"/>
              <w:marBottom w:val="0"/>
              <w:divBdr>
                <w:top w:val="none" w:sz="0" w:space="0" w:color="auto"/>
                <w:left w:val="none" w:sz="0" w:space="0" w:color="auto"/>
                <w:bottom w:val="none" w:sz="0" w:space="0" w:color="auto"/>
                <w:right w:val="none" w:sz="0" w:space="0" w:color="auto"/>
              </w:divBdr>
              <w:divsChild>
                <w:div w:id="1815564292">
                  <w:marLeft w:val="0"/>
                  <w:marRight w:val="0"/>
                  <w:marTop w:val="0"/>
                  <w:marBottom w:val="0"/>
                  <w:divBdr>
                    <w:top w:val="none" w:sz="0" w:space="0" w:color="auto"/>
                    <w:left w:val="none" w:sz="0" w:space="0" w:color="auto"/>
                    <w:bottom w:val="none" w:sz="0" w:space="0" w:color="auto"/>
                    <w:right w:val="none" w:sz="0" w:space="0" w:color="auto"/>
                  </w:divBdr>
                  <w:divsChild>
                    <w:div w:id="1348752786">
                      <w:marLeft w:val="0"/>
                      <w:marRight w:val="0"/>
                      <w:marTop w:val="0"/>
                      <w:marBottom w:val="0"/>
                      <w:divBdr>
                        <w:top w:val="none" w:sz="0" w:space="0" w:color="auto"/>
                        <w:left w:val="none" w:sz="0" w:space="0" w:color="auto"/>
                        <w:bottom w:val="none" w:sz="0" w:space="0" w:color="auto"/>
                        <w:right w:val="none" w:sz="0" w:space="0" w:color="auto"/>
                      </w:divBdr>
                      <w:divsChild>
                        <w:div w:id="1596091515">
                          <w:marLeft w:val="90"/>
                          <w:marRight w:val="0"/>
                          <w:marTop w:val="0"/>
                          <w:marBottom w:val="0"/>
                          <w:divBdr>
                            <w:top w:val="none" w:sz="0" w:space="0" w:color="auto"/>
                            <w:left w:val="none" w:sz="0" w:space="0" w:color="auto"/>
                            <w:bottom w:val="none" w:sz="0" w:space="0" w:color="auto"/>
                            <w:right w:val="none" w:sz="0" w:space="0" w:color="auto"/>
                          </w:divBdr>
                          <w:divsChild>
                            <w:div w:id="214779755">
                              <w:marLeft w:val="0"/>
                              <w:marRight w:val="0"/>
                              <w:marTop w:val="0"/>
                              <w:marBottom w:val="0"/>
                              <w:divBdr>
                                <w:top w:val="none" w:sz="0" w:space="0" w:color="auto"/>
                                <w:left w:val="none" w:sz="0" w:space="0" w:color="auto"/>
                                <w:bottom w:val="none" w:sz="0" w:space="0" w:color="auto"/>
                                <w:right w:val="none" w:sz="0" w:space="0" w:color="auto"/>
                              </w:divBdr>
                              <w:divsChild>
                                <w:div w:id="1934196662">
                                  <w:marLeft w:val="0"/>
                                  <w:marRight w:val="0"/>
                                  <w:marTop w:val="0"/>
                                  <w:marBottom w:val="0"/>
                                  <w:divBdr>
                                    <w:top w:val="none" w:sz="0" w:space="0" w:color="auto"/>
                                    <w:left w:val="none" w:sz="0" w:space="0" w:color="auto"/>
                                    <w:bottom w:val="none" w:sz="0" w:space="0" w:color="auto"/>
                                    <w:right w:val="none" w:sz="0" w:space="0" w:color="auto"/>
                                  </w:divBdr>
                                  <w:divsChild>
                                    <w:div w:id="1555391224">
                                      <w:marLeft w:val="0"/>
                                      <w:marRight w:val="0"/>
                                      <w:marTop w:val="0"/>
                                      <w:marBottom w:val="0"/>
                                      <w:divBdr>
                                        <w:top w:val="none" w:sz="0" w:space="0" w:color="auto"/>
                                        <w:left w:val="none" w:sz="0" w:space="0" w:color="auto"/>
                                        <w:bottom w:val="none" w:sz="0" w:space="0" w:color="auto"/>
                                        <w:right w:val="none" w:sz="0" w:space="0" w:color="auto"/>
                                      </w:divBdr>
                                      <w:divsChild>
                                        <w:div w:id="372116943">
                                          <w:marLeft w:val="0"/>
                                          <w:marRight w:val="0"/>
                                          <w:marTop w:val="0"/>
                                          <w:marBottom w:val="0"/>
                                          <w:divBdr>
                                            <w:top w:val="none" w:sz="0" w:space="0" w:color="auto"/>
                                            <w:left w:val="none" w:sz="0" w:space="0" w:color="auto"/>
                                            <w:bottom w:val="none" w:sz="0" w:space="0" w:color="auto"/>
                                            <w:right w:val="none" w:sz="0" w:space="0" w:color="auto"/>
                                          </w:divBdr>
                                          <w:divsChild>
                                            <w:div w:id="1375232951">
                                              <w:marLeft w:val="0"/>
                                              <w:marRight w:val="0"/>
                                              <w:marTop w:val="0"/>
                                              <w:marBottom w:val="0"/>
                                              <w:divBdr>
                                                <w:top w:val="none" w:sz="0" w:space="0" w:color="auto"/>
                                                <w:left w:val="none" w:sz="0" w:space="0" w:color="auto"/>
                                                <w:bottom w:val="none" w:sz="0" w:space="0" w:color="auto"/>
                                                <w:right w:val="none" w:sz="0" w:space="0" w:color="auto"/>
                                              </w:divBdr>
                                              <w:divsChild>
                                                <w:div w:id="490490273">
                                                  <w:marLeft w:val="0"/>
                                                  <w:marRight w:val="0"/>
                                                  <w:marTop w:val="0"/>
                                                  <w:marBottom w:val="0"/>
                                                  <w:divBdr>
                                                    <w:top w:val="none" w:sz="0" w:space="0" w:color="auto"/>
                                                    <w:left w:val="none" w:sz="0" w:space="0" w:color="auto"/>
                                                    <w:bottom w:val="none" w:sz="0" w:space="0" w:color="auto"/>
                                                    <w:right w:val="none" w:sz="0" w:space="0" w:color="auto"/>
                                                  </w:divBdr>
                                                  <w:divsChild>
                                                    <w:div w:id="163108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mmunitygrants.gov.au/grants"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grants.gov.au/" TargetMode="External"/><Relationship Id="rId17" Type="http://schemas.openxmlformats.org/officeDocument/2006/relationships/hyperlink" Target="mailto:support@communitygrants.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econnected.esafety.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to.gov.a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dss.gov.au/seniors/be-connected-improving-digital-literacy-for-older-australians" TargetMode="External"/><Relationship Id="rId23" Type="http://schemas.openxmlformats.org/officeDocument/2006/relationships/footer" Target="footer3.xml"/><Relationship Id="rId10" Type="http://schemas.openxmlformats.org/officeDocument/2006/relationships/hyperlink" Target="http://communitygrants.gov.au/information-applicants/late-applications-policy"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abr.business.gov.au/" TargetMode="External"/><Relationship Id="rId14" Type="http://schemas.openxmlformats.org/officeDocument/2006/relationships/hyperlink" Target="mailto:support@communitygrants.gov.a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70EF75-D5D4-40CF-B50A-067AC3BA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xxxxx Q&amp;As</vt:lpstr>
    </vt:vector>
  </TitlesOfParts>
  <Company>Community Grants Hub</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 Q&amp;As</dc:title>
  <dc:creator>LOVEGROVE, Steve</dc:creator>
  <cp:lastModifiedBy>DONATH, Kristen</cp:lastModifiedBy>
  <cp:revision>2</cp:revision>
  <cp:lastPrinted>2018-04-30T23:51:00Z</cp:lastPrinted>
  <dcterms:created xsi:type="dcterms:W3CDTF">2018-05-07T05:38:00Z</dcterms:created>
  <dcterms:modified xsi:type="dcterms:W3CDTF">2018-05-07T05:38:00Z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