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56C" w:rsidRPr="0060356C" w:rsidRDefault="0060356C" w:rsidP="0060356C">
      <w:pPr>
        <w:widowControl w:val="0"/>
        <w:spacing w:after="0" w:line="240" w:lineRule="auto"/>
        <w:ind w:left="284"/>
        <w:rPr>
          <w:rFonts w:ascii="Calibri" w:eastAsia="Times New Roman" w:hAnsi="Calibri" w:cs="Times New Roman"/>
        </w:rPr>
      </w:pPr>
    </w:p>
    <w:p w:rsidR="0060356C" w:rsidRDefault="0060356C" w:rsidP="009219E4">
      <w:pPr>
        <w:spacing w:after="0" w:line="240" w:lineRule="auto"/>
        <w:contextualSpacing/>
        <w:outlineLvl w:val="0"/>
        <w:rPr>
          <w:rFonts w:ascii="Calibri" w:eastAsiaTheme="majorEastAsia" w:hAnsi="Calibri" w:cstheme="majorBidi"/>
          <w:b/>
          <w:bCs/>
          <w:color w:val="000000"/>
          <w:sz w:val="26"/>
          <w:szCs w:val="26"/>
        </w:rPr>
      </w:pPr>
      <w:r w:rsidRPr="0060356C">
        <w:rPr>
          <w:rFonts w:ascii="Calibri" w:eastAsiaTheme="majorEastAsia" w:hAnsi="Calibri" w:cstheme="majorBidi"/>
          <w:b/>
          <w:bCs/>
          <w:color w:val="000000"/>
          <w:sz w:val="26"/>
          <w:szCs w:val="26"/>
        </w:rPr>
        <w:t>Schedule 1:  Supplementary Conditions</w:t>
      </w:r>
    </w:p>
    <w:p w:rsidR="009219E4" w:rsidRPr="0060356C" w:rsidRDefault="009219E4" w:rsidP="009219E4">
      <w:pPr>
        <w:spacing w:after="0" w:line="240" w:lineRule="auto"/>
        <w:contextualSpacing/>
        <w:outlineLvl w:val="0"/>
        <w:rPr>
          <w:rFonts w:ascii="Calibri" w:eastAsia="Times New Roman" w:hAnsi="Calibri" w:cs="Times New Roman"/>
          <w:b/>
        </w:rPr>
      </w:pPr>
    </w:p>
    <w:p w:rsidR="009219E4" w:rsidRDefault="0060356C" w:rsidP="009219E4">
      <w:pPr>
        <w:spacing w:after="0" w:line="240" w:lineRule="auto"/>
        <w:contextualSpacing/>
        <w:rPr>
          <w:rFonts w:asciiTheme="minorHAnsi" w:eastAsia="Times New Roman" w:hAnsiTheme="minorHAnsi" w:cs="Times New Roman"/>
        </w:rPr>
      </w:pPr>
      <w:r w:rsidRPr="0060356C">
        <w:rPr>
          <w:rFonts w:ascii="Calibri" w:eastAsia="Times New Roman" w:hAnsi="Calibri" w:cs="Times New Roman"/>
        </w:rPr>
        <w:t>CB7.1</w:t>
      </w:r>
      <w:r w:rsidRPr="0060356C" w:rsidDel="00E872D9">
        <w:rPr>
          <w:rFonts w:ascii="Calibri" w:eastAsia="Times New Roman" w:hAnsi="Calibri" w:cs="Times New Roman"/>
        </w:rPr>
        <w:t xml:space="preserve"> </w:t>
      </w:r>
      <w:proofErr w:type="gramStart"/>
      <w:r w:rsidRPr="0060356C">
        <w:rPr>
          <w:rFonts w:asciiTheme="minorHAnsi" w:eastAsia="Times New Roman" w:hAnsiTheme="minorHAnsi" w:cs="Times New Roman"/>
        </w:rPr>
        <w:t>In</w:t>
      </w:r>
      <w:proofErr w:type="gramEnd"/>
      <w:r w:rsidRPr="0060356C">
        <w:rPr>
          <w:rFonts w:asciiTheme="minorHAnsi" w:eastAsia="Times New Roman" w:hAnsiTheme="minorHAnsi" w:cs="Times New Roman"/>
        </w:rPr>
        <w:t xml:space="preserve"> this Agreement:</w:t>
      </w:r>
    </w:p>
    <w:p w:rsidR="0060356C" w:rsidRPr="0060356C" w:rsidRDefault="0060356C" w:rsidP="0060356C">
      <w:pPr>
        <w:spacing w:after="0" w:line="240" w:lineRule="auto"/>
        <w:ind w:left="-709"/>
        <w:contextualSpacing/>
        <w:rPr>
          <w:rFonts w:asciiTheme="minorHAnsi" w:eastAsia="Times New Roman" w:hAnsiTheme="minorHAnsi" w:cs="Arial"/>
          <w:lang w:eastAsia="en-AU"/>
        </w:rPr>
      </w:pPr>
      <w:r w:rsidRPr="0060356C">
        <w:rPr>
          <w:rFonts w:asciiTheme="minorHAnsi" w:eastAsia="Times New Roman" w:hAnsiTheme="minorHAnsi" w:cs="Arial"/>
          <w:lang w:eastAsia="en-AU"/>
        </w:rPr>
        <w:t xml:space="preserve"> </w:t>
      </w:r>
    </w:p>
    <w:tbl>
      <w:tblPr>
        <w:tblW w:w="9498" w:type="dxa"/>
        <w:tblLook w:val="01E0" w:firstRow="1" w:lastRow="1" w:firstColumn="1" w:lastColumn="1" w:noHBand="0" w:noVBand="0"/>
      </w:tblPr>
      <w:tblGrid>
        <w:gridCol w:w="2127"/>
        <w:gridCol w:w="7371"/>
      </w:tblGrid>
      <w:tr w:rsidR="0060356C" w:rsidRPr="0060356C" w:rsidTr="0060356C">
        <w:tc>
          <w:tcPr>
            <w:tcW w:w="2127" w:type="dxa"/>
          </w:tcPr>
          <w:p w:rsidR="0060356C" w:rsidRPr="0060356C" w:rsidRDefault="0060356C" w:rsidP="0060356C">
            <w:pPr>
              <w:tabs>
                <w:tab w:val="num" w:pos="1260"/>
              </w:tabs>
              <w:spacing w:after="0" w:line="240" w:lineRule="auto"/>
              <w:contextualSpacing/>
              <w:rPr>
                <w:rFonts w:ascii="Calibri" w:eastAsia="Times New Roman" w:hAnsi="Calibri" w:cs="Arial"/>
              </w:rPr>
            </w:pPr>
            <w:r w:rsidRPr="0060356C">
              <w:rPr>
                <w:rFonts w:ascii="Calibri" w:eastAsia="Times New Roman" w:hAnsi="Calibri" w:cs="Arial"/>
              </w:rPr>
              <w:t xml:space="preserve">Criminal or Court Record </w:t>
            </w:r>
          </w:p>
        </w:tc>
        <w:tc>
          <w:tcPr>
            <w:tcW w:w="7371" w:type="dxa"/>
          </w:tcPr>
          <w:p w:rsidR="0060356C" w:rsidRPr="0060356C" w:rsidRDefault="0060356C" w:rsidP="0060356C">
            <w:pPr>
              <w:tabs>
                <w:tab w:val="num" w:pos="1935"/>
              </w:tabs>
              <w:spacing w:after="0" w:line="240" w:lineRule="auto"/>
              <w:contextualSpacing/>
              <w:rPr>
                <w:rFonts w:ascii="Calibri" w:eastAsia="Times New Roman" w:hAnsi="Calibri" w:cs="Arial"/>
              </w:rPr>
            </w:pPr>
            <w:r w:rsidRPr="0060356C">
              <w:rPr>
                <w:rFonts w:ascii="Calibri" w:eastAsia="Times New Roman" w:hAnsi="Calibri" w:cs="Times New Roman"/>
              </w:rPr>
              <w:t>means any record of any Other Offence;</w:t>
            </w:r>
          </w:p>
        </w:tc>
      </w:tr>
      <w:tr w:rsidR="0060356C" w:rsidRPr="0060356C" w:rsidTr="0060356C">
        <w:tc>
          <w:tcPr>
            <w:tcW w:w="2127" w:type="dxa"/>
          </w:tcPr>
          <w:p w:rsidR="0060356C" w:rsidRPr="0060356C" w:rsidRDefault="0060356C" w:rsidP="0060356C">
            <w:pPr>
              <w:tabs>
                <w:tab w:val="num" w:pos="1260"/>
              </w:tabs>
              <w:spacing w:after="0" w:line="240" w:lineRule="auto"/>
              <w:contextualSpacing/>
              <w:rPr>
                <w:rFonts w:ascii="Calibri" w:eastAsia="Times New Roman" w:hAnsi="Calibri" w:cs="Arial"/>
              </w:rPr>
            </w:pPr>
            <w:r w:rsidRPr="0060356C">
              <w:rPr>
                <w:rFonts w:ascii="Calibri" w:eastAsia="Times New Roman" w:hAnsi="Calibri" w:cs="Arial"/>
              </w:rPr>
              <w:t>Other Offence</w:t>
            </w:r>
          </w:p>
        </w:tc>
        <w:tc>
          <w:tcPr>
            <w:tcW w:w="7371" w:type="dxa"/>
          </w:tcPr>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means, in relation to a person, a conviction, finding of guilt, on-the-spot fine for, or court order relating to:</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(a) an apprehended violence or protection order made against the person;</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(b) the consumption, dealing in, possession or handling of alcohol, a prohibited drug, narcotic or other prohibited substance;</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(c) violence against another person or the injury, but excluding the death, of another person; or</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(d) an attempt to commit a crime or offence, or to engage in any conduct or activity, described in paragraphs (a) to (c)</w:t>
            </w:r>
          </w:p>
          <w:p w:rsidR="0060356C" w:rsidRPr="0060356C" w:rsidRDefault="0060356C" w:rsidP="0060356C">
            <w:pPr>
              <w:spacing w:after="0" w:line="240" w:lineRule="auto"/>
              <w:contextualSpacing/>
              <w:rPr>
                <w:rFonts w:asciiTheme="minorHAnsi" w:eastAsia="Times New Roman" w:hAnsiTheme="minorHAnsi" w:cs="Arial"/>
                <w:lang w:eastAsia="en-AU"/>
              </w:rPr>
            </w:pPr>
          </w:p>
        </w:tc>
      </w:tr>
      <w:tr w:rsidR="0060356C" w:rsidRPr="0060356C" w:rsidTr="0060356C">
        <w:tc>
          <w:tcPr>
            <w:tcW w:w="2127" w:type="dxa"/>
          </w:tcPr>
          <w:p w:rsidR="0060356C" w:rsidRPr="0060356C" w:rsidRDefault="0060356C" w:rsidP="0060356C">
            <w:pPr>
              <w:tabs>
                <w:tab w:val="num" w:pos="1260"/>
              </w:tabs>
              <w:spacing w:after="0" w:line="240" w:lineRule="auto"/>
              <w:contextualSpacing/>
              <w:rPr>
                <w:rFonts w:ascii="Calibri" w:eastAsia="Times New Roman" w:hAnsi="Calibri" w:cs="Arial"/>
              </w:rPr>
            </w:pPr>
            <w:r w:rsidRPr="0060356C">
              <w:rPr>
                <w:rFonts w:ascii="Calibri" w:eastAsia="Times New Roman" w:hAnsi="Calibri" w:cs="Arial"/>
              </w:rPr>
              <w:t>Police Check</w:t>
            </w:r>
          </w:p>
        </w:tc>
        <w:tc>
          <w:tcPr>
            <w:tcW w:w="7371" w:type="dxa"/>
          </w:tcPr>
          <w:p w:rsidR="0060356C" w:rsidRPr="0060356C" w:rsidRDefault="0060356C" w:rsidP="0060356C">
            <w:pPr>
              <w:tabs>
                <w:tab w:val="num" w:pos="1935"/>
              </w:tabs>
              <w:spacing w:after="0" w:line="240" w:lineRule="auto"/>
              <w:contextualSpacing/>
              <w:rPr>
                <w:rFonts w:ascii="Calibri" w:eastAsia="Times New Roman" w:hAnsi="Calibri" w:cs="Times New Roman"/>
              </w:rPr>
            </w:pPr>
            <w:r w:rsidRPr="0060356C">
              <w:rPr>
                <w:rFonts w:ascii="Calibri" w:eastAsia="Times New Roman" w:hAnsi="Calibri" w:cs="Times New Roman"/>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rsidR="0060356C" w:rsidRPr="0060356C" w:rsidRDefault="0060356C" w:rsidP="0060356C">
            <w:pPr>
              <w:tabs>
                <w:tab w:val="num" w:pos="1935"/>
              </w:tabs>
              <w:spacing w:after="0" w:line="240" w:lineRule="auto"/>
              <w:contextualSpacing/>
              <w:rPr>
                <w:rFonts w:ascii="Calibri" w:eastAsia="Times New Roman" w:hAnsi="Calibri" w:cs="Arial"/>
              </w:rPr>
            </w:pPr>
          </w:p>
        </w:tc>
      </w:tr>
      <w:tr w:rsidR="0060356C" w:rsidRPr="0060356C" w:rsidTr="0060356C">
        <w:tc>
          <w:tcPr>
            <w:tcW w:w="2127" w:type="dxa"/>
          </w:tcPr>
          <w:p w:rsidR="0060356C" w:rsidRPr="0060356C" w:rsidRDefault="0060356C" w:rsidP="0060356C">
            <w:pPr>
              <w:tabs>
                <w:tab w:val="num" w:pos="1260"/>
              </w:tabs>
              <w:spacing w:after="0" w:line="240" w:lineRule="auto"/>
              <w:contextualSpacing/>
              <w:rPr>
                <w:rFonts w:ascii="Calibri" w:eastAsia="Times New Roman" w:hAnsi="Calibri" w:cs="Arial"/>
              </w:rPr>
            </w:pPr>
            <w:r w:rsidRPr="0060356C">
              <w:rPr>
                <w:rFonts w:ascii="Calibri" w:eastAsia="Times New Roman" w:hAnsi="Calibri" w:cs="Arial"/>
              </w:rPr>
              <w:t>Serious Offence</w:t>
            </w:r>
          </w:p>
        </w:tc>
        <w:tc>
          <w:tcPr>
            <w:tcW w:w="7371" w:type="dxa"/>
          </w:tcPr>
          <w:p w:rsidR="0060356C" w:rsidRPr="0060356C" w:rsidRDefault="0060356C" w:rsidP="0060356C">
            <w:pPr>
              <w:spacing w:after="0" w:line="240" w:lineRule="auto"/>
              <w:ind w:left="425" w:hanging="425"/>
              <w:contextualSpacing/>
              <w:rPr>
                <w:rFonts w:asciiTheme="minorHAnsi" w:eastAsia="Times New Roman" w:hAnsiTheme="minorHAnsi" w:cs="Arial"/>
                <w:lang w:eastAsia="en-AU"/>
              </w:rPr>
            </w:pPr>
            <w:r w:rsidRPr="0060356C">
              <w:rPr>
                <w:rFonts w:asciiTheme="minorHAnsi" w:eastAsia="Times New Roman" w:hAnsiTheme="minorHAnsi" w:cs="Arial"/>
                <w:lang w:eastAsia="en-AU"/>
              </w:rPr>
              <w:t>means:</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(a) a crime or</w:t>
            </w:r>
            <w:bookmarkStart w:id="0" w:name="_GoBack"/>
            <w:bookmarkEnd w:id="0"/>
            <w:r w:rsidRPr="0060356C">
              <w:rPr>
                <w:rFonts w:asciiTheme="minorHAnsi" w:eastAsia="Times New Roman" w:hAnsiTheme="minorHAnsi" w:cs="Arial"/>
                <w:lang w:eastAsia="en-AU"/>
              </w:rPr>
              <w:t xml:space="preserve"> offence involving the death of a person;</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(b) a sex-related offence or a crime, including sexual assault (whether against an adult or child); child pornography, or an indecent act involving a child;</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(c) fraud, money laundering, insider dealing or any other financial offence or crime, including those under legislation relating to companies, banking, insurance or other financial services; or</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(d)an attempt to commit a crime or offence described in (a) to (c);</w:t>
            </w:r>
          </w:p>
          <w:p w:rsidR="0060356C" w:rsidRPr="0060356C" w:rsidRDefault="0060356C" w:rsidP="0060356C">
            <w:pPr>
              <w:spacing w:after="0" w:line="240" w:lineRule="auto"/>
              <w:contextualSpacing/>
              <w:rPr>
                <w:rFonts w:asciiTheme="minorHAnsi" w:eastAsia="Times New Roman" w:hAnsiTheme="minorHAnsi" w:cs="Arial"/>
                <w:lang w:eastAsia="en-AU"/>
              </w:rPr>
            </w:pPr>
          </w:p>
        </w:tc>
      </w:tr>
      <w:tr w:rsidR="0060356C" w:rsidRPr="0060356C" w:rsidTr="0060356C">
        <w:tc>
          <w:tcPr>
            <w:tcW w:w="2127" w:type="dxa"/>
          </w:tcPr>
          <w:p w:rsidR="0060356C" w:rsidRPr="0060356C" w:rsidRDefault="0060356C" w:rsidP="0060356C">
            <w:pPr>
              <w:tabs>
                <w:tab w:val="num" w:pos="1260"/>
              </w:tabs>
              <w:spacing w:after="0" w:line="240" w:lineRule="auto"/>
              <w:contextualSpacing/>
              <w:rPr>
                <w:rFonts w:ascii="Calibri" w:eastAsia="Times New Roman" w:hAnsi="Calibri" w:cs="Arial"/>
              </w:rPr>
            </w:pPr>
            <w:r w:rsidRPr="0060356C">
              <w:rPr>
                <w:rFonts w:ascii="Calibri" w:eastAsia="Times New Roman" w:hAnsi="Calibri" w:cs="Times New Roman"/>
              </w:rPr>
              <w:t>Serious Record</w:t>
            </w:r>
          </w:p>
        </w:tc>
        <w:tc>
          <w:tcPr>
            <w:tcW w:w="7371" w:type="dxa"/>
          </w:tcPr>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means a conviction or any finding of guilt regarding a Serious Offence;</w:t>
            </w:r>
          </w:p>
        </w:tc>
      </w:tr>
      <w:tr w:rsidR="0060356C" w:rsidRPr="0060356C" w:rsidTr="0060356C">
        <w:tc>
          <w:tcPr>
            <w:tcW w:w="2127" w:type="dxa"/>
          </w:tcPr>
          <w:p w:rsidR="0060356C" w:rsidRPr="0060356C" w:rsidRDefault="0060356C" w:rsidP="0060356C">
            <w:pPr>
              <w:tabs>
                <w:tab w:val="num" w:pos="1260"/>
              </w:tabs>
              <w:spacing w:after="0" w:line="240" w:lineRule="auto"/>
              <w:contextualSpacing/>
              <w:rPr>
                <w:rFonts w:ascii="Calibri" w:eastAsia="Times New Roman" w:hAnsi="Calibri" w:cs="Arial"/>
              </w:rPr>
            </w:pPr>
            <w:r w:rsidRPr="0060356C">
              <w:rPr>
                <w:rFonts w:ascii="Calibri" w:eastAsia="Times New Roman" w:hAnsi="Calibri" w:cs="Arial"/>
              </w:rPr>
              <w:t>Vulnerable Person</w:t>
            </w:r>
          </w:p>
        </w:tc>
        <w:tc>
          <w:tcPr>
            <w:tcW w:w="7371" w:type="dxa"/>
          </w:tcPr>
          <w:p w:rsidR="0060356C" w:rsidRPr="0060356C" w:rsidRDefault="0060356C" w:rsidP="0060356C">
            <w:pPr>
              <w:spacing w:after="0" w:line="240" w:lineRule="auto"/>
              <w:ind w:left="425" w:hanging="425"/>
              <w:contextualSpacing/>
              <w:rPr>
                <w:rFonts w:asciiTheme="minorHAnsi" w:eastAsia="Times New Roman" w:hAnsiTheme="minorHAnsi" w:cs="Arial"/>
                <w:lang w:eastAsia="en-AU"/>
              </w:rPr>
            </w:pPr>
            <w:r w:rsidRPr="0060356C">
              <w:rPr>
                <w:rFonts w:asciiTheme="minorHAnsi" w:eastAsia="Times New Roman" w:hAnsiTheme="minorHAnsi" w:cs="Arial"/>
                <w:lang w:eastAsia="en-AU"/>
              </w:rPr>
              <w:t xml:space="preserve">means: </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(a) an individual under the age of 18; or</w:t>
            </w:r>
          </w:p>
          <w:p w:rsidR="0060356C" w:rsidRPr="0060356C" w:rsidRDefault="0060356C" w:rsidP="0060356C">
            <w:pPr>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 xml:space="preserve">(b)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rsidR="0060356C" w:rsidRPr="0060356C" w:rsidRDefault="0060356C" w:rsidP="0060356C">
      <w:pPr>
        <w:spacing w:after="0" w:line="240" w:lineRule="auto"/>
        <w:rPr>
          <w:rFonts w:ascii="Calibri" w:eastAsia="Times New Roman" w:hAnsi="Calibri" w:cs="Times New Roman"/>
        </w:rPr>
      </w:pPr>
    </w:p>
    <w:p w:rsidR="0060356C" w:rsidRPr="0060356C" w:rsidRDefault="0060356C" w:rsidP="0060356C">
      <w:pPr>
        <w:spacing w:after="0" w:line="240" w:lineRule="auto"/>
        <w:rPr>
          <w:rFonts w:ascii="Calibri" w:eastAsia="Times New Roman" w:hAnsi="Calibri" w:cs="Times New Roman"/>
        </w:rPr>
      </w:pPr>
    </w:p>
    <w:p w:rsidR="0060356C" w:rsidRPr="0060356C" w:rsidRDefault="0060356C" w:rsidP="0060356C">
      <w:pPr>
        <w:rPr>
          <w:rFonts w:ascii="Calibri" w:eastAsia="Times New Roman" w:hAnsi="Calibri" w:cs="Times New Roman"/>
        </w:rPr>
      </w:pPr>
      <w:r w:rsidRPr="0060356C">
        <w:rPr>
          <w:rFonts w:asciiTheme="minorHAnsi" w:hAnsiTheme="minorHAnsi"/>
        </w:rPr>
        <w:t xml:space="preserve">CB7.2 </w:t>
      </w:r>
      <w:r w:rsidRPr="0060356C">
        <w:rPr>
          <w:rFonts w:asciiTheme="minorHAnsi" w:hAnsiTheme="minorHAnsi"/>
        </w:rPr>
        <w:tab/>
      </w:r>
      <w:r w:rsidRPr="0060356C">
        <w:rPr>
          <w:rFonts w:ascii="Calibri" w:eastAsia="Times New Roman" w:hAnsi="Calibri" w:cs="Times New Roman"/>
        </w:rPr>
        <w:t>The Grantee must ensure that personnel performing work in relation to the Activity:</w:t>
      </w:r>
    </w:p>
    <w:p w:rsidR="0060356C" w:rsidRPr="0060356C" w:rsidRDefault="0060356C" w:rsidP="0060356C">
      <w:pPr>
        <w:ind w:left="720"/>
        <w:rPr>
          <w:rFonts w:ascii="Calibri" w:eastAsia="Times New Roman" w:hAnsi="Calibri" w:cs="Times New Roman"/>
        </w:rPr>
      </w:pPr>
      <w:r w:rsidRPr="0060356C">
        <w:rPr>
          <w:rFonts w:ascii="Calibri" w:eastAsia="Times New Roman" w:hAnsi="Calibri" w:cs="Times New Roman"/>
        </w:rPr>
        <w:t xml:space="preserve">(a)  are appropriately qualified to perform the tasks indicated and have obtained the required qualifications, skills, permits or approvals, including those specified in the Grant Details, before performing any part of the Activity; and </w:t>
      </w:r>
    </w:p>
    <w:p w:rsidR="0060356C" w:rsidRPr="0060356C" w:rsidRDefault="0060356C" w:rsidP="0060356C">
      <w:pPr>
        <w:ind w:left="720"/>
        <w:rPr>
          <w:rFonts w:ascii="Calibri" w:eastAsia="Times New Roman" w:hAnsi="Calibri" w:cs="Times New Roman"/>
        </w:rPr>
      </w:pPr>
      <w:r w:rsidRPr="0060356C">
        <w:rPr>
          <w:rFonts w:ascii="Calibri" w:eastAsia="Times New Roman" w:hAnsi="Calibri" w:cs="Times New Roman"/>
        </w:rPr>
        <w:t xml:space="preserve">(b) </w:t>
      </w:r>
      <w:proofErr w:type="gramStart"/>
      <w:r w:rsidRPr="0060356C">
        <w:rPr>
          <w:rFonts w:ascii="Calibri" w:eastAsia="Times New Roman" w:hAnsi="Calibri" w:cs="Times New Roman"/>
        </w:rPr>
        <w:t>continue</w:t>
      </w:r>
      <w:proofErr w:type="gramEnd"/>
      <w:r w:rsidRPr="0060356C">
        <w:rPr>
          <w:rFonts w:ascii="Calibri" w:eastAsia="Times New Roman" w:hAnsi="Calibri" w:cs="Times New Roman"/>
        </w:rPr>
        <w:t xml:space="preserve"> to maintain all required qualifications, permits and approvals for the duration of their involvement in the Activity.</w:t>
      </w:r>
      <w:r w:rsidRPr="0060356C" w:rsidDel="005470B4">
        <w:rPr>
          <w:rFonts w:ascii="Calibri" w:eastAsia="Times New Roman" w:hAnsi="Calibri" w:cs="Times New Roman"/>
        </w:rPr>
        <w:t xml:space="preserve"> </w:t>
      </w:r>
    </w:p>
    <w:p w:rsidR="0060356C" w:rsidRPr="0060356C" w:rsidRDefault="0060356C" w:rsidP="0060356C">
      <w:pPr>
        <w:spacing w:after="0" w:line="240" w:lineRule="auto"/>
        <w:rPr>
          <w:rFonts w:asciiTheme="minorHAnsi" w:hAnsiTheme="minorHAnsi"/>
        </w:rPr>
      </w:pPr>
    </w:p>
    <w:p w:rsidR="0060356C" w:rsidRPr="0060356C" w:rsidRDefault="0060356C" w:rsidP="0060356C">
      <w:pPr>
        <w:spacing w:after="0" w:line="240" w:lineRule="auto"/>
        <w:rPr>
          <w:rFonts w:asciiTheme="minorHAnsi" w:eastAsia="Times New Roman" w:hAnsiTheme="minorHAnsi"/>
          <w:lang w:eastAsia="en-AU"/>
        </w:rPr>
      </w:pPr>
      <w:r w:rsidRPr="0060356C">
        <w:rPr>
          <w:rFonts w:asciiTheme="minorHAnsi" w:hAnsiTheme="minorHAnsi"/>
        </w:rPr>
        <w:lastRenderedPageBreak/>
        <w:t>CB7.3</w:t>
      </w:r>
      <w:r w:rsidRPr="0060356C">
        <w:rPr>
          <w:rFonts w:asciiTheme="minorHAnsi" w:hAnsiTheme="minorHAnsi"/>
        </w:rPr>
        <w:tab/>
      </w:r>
      <w:r w:rsidRPr="0060356C">
        <w:rPr>
          <w:rFonts w:ascii="Calibri" w:eastAsia="Times New Roman" w:hAnsi="Calibri" w:cs="Times New Roman"/>
        </w:rPr>
        <w:t>Before any person commences performing work on any part of the Activity that involves working or contact with a Vulnerable Person, the Grantee must:</w:t>
      </w:r>
    </w:p>
    <w:p w:rsidR="0060356C" w:rsidRPr="0060356C" w:rsidRDefault="0060356C" w:rsidP="0060356C">
      <w:pPr>
        <w:widowControl w:val="0"/>
        <w:tabs>
          <w:tab w:val="left" w:pos="720"/>
        </w:tabs>
        <w:spacing w:after="0" w:line="240" w:lineRule="auto"/>
        <w:ind w:left="425"/>
        <w:contextualSpacing/>
        <w:rPr>
          <w:rFonts w:asciiTheme="minorHAnsi" w:hAnsiTheme="minorHAnsi"/>
        </w:rPr>
      </w:pPr>
      <w:r w:rsidRPr="0060356C">
        <w:rPr>
          <w:rFonts w:asciiTheme="minorHAnsi" w:hAnsiTheme="minorHAnsi"/>
        </w:rPr>
        <w:t xml:space="preserve">(a) </w:t>
      </w:r>
      <w:proofErr w:type="gramStart"/>
      <w:r w:rsidRPr="0060356C">
        <w:rPr>
          <w:rFonts w:asciiTheme="minorHAnsi" w:hAnsiTheme="minorHAnsi"/>
        </w:rPr>
        <w:t>obtain</w:t>
      </w:r>
      <w:proofErr w:type="gramEnd"/>
      <w:r w:rsidRPr="0060356C">
        <w:rPr>
          <w:rFonts w:asciiTheme="minorHAnsi" w:hAnsiTheme="minorHAnsi"/>
        </w:rPr>
        <w:t xml:space="preserve"> a Police Check for that person;</w:t>
      </w:r>
    </w:p>
    <w:p w:rsidR="0060356C" w:rsidRPr="0060356C" w:rsidRDefault="0060356C" w:rsidP="0060356C">
      <w:pPr>
        <w:widowControl w:val="0"/>
        <w:tabs>
          <w:tab w:val="left" w:pos="720"/>
        </w:tabs>
        <w:spacing w:after="0" w:line="240" w:lineRule="auto"/>
        <w:ind w:left="425"/>
        <w:contextualSpacing/>
        <w:rPr>
          <w:rFonts w:asciiTheme="minorHAnsi" w:hAnsiTheme="minorHAnsi"/>
        </w:rPr>
      </w:pPr>
      <w:r w:rsidRPr="0060356C">
        <w:rPr>
          <w:rFonts w:asciiTheme="minorHAnsi" w:hAnsiTheme="minorHAnsi"/>
        </w:rPr>
        <w:t xml:space="preserve">(b) </w:t>
      </w:r>
      <w:proofErr w:type="gramStart"/>
      <w:r w:rsidRPr="0060356C">
        <w:rPr>
          <w:rFonts w:asciiTheme="minorHAnsi" w:hAnsiTheme="minorHAnsi"/>
        </w:rPr>
        <w:t>confirm</w:t>
      </w:r>
      <w:proofErr w:type="gramEnd"/>
      <w:r w:rsidRPr="0060356C">
        <w:rPr>
          <w:rFonts w:asciiTheme="minorHAnsi" w:hAnsiTheme="minorHAnsi"/>
        </w:rPr>
        <w:t xml:space="preserve"> that the person is not prohibited by any law from being engaged in a capacity where they may have contact with a Vulnerable Person; </w:t>
      </w:r>
    </w:p>
    <w:p w:rsidR="0060356C" w:rsidRPr="0060356C" w:rsidRDefault="0060356C" w:rsidP="0060356C">
      <w:pPr>
        <w:widowControl w:val="0"/>
        <w:tabs>
          <w:tab w:val="left" w:pos="720"/>
        </w:tabs>
        <w:spacing w:after="0" w:line="240" w:lineRule="auto"/>
        <w:ind w:left="425"/>
        <w:contextualSpacing/>
        <w:rPr>
          <w:rFonts w:asciiTheme="minorHAnsi" w:hAnsiTheme="minorHAnsi"/>
        </w:rPr>
      </w:pPr>
      <w:r w:rsidRPr="0060356C">
        <w:rPr>
          <w:rFonts w:asciiTheme="minorHAnsi" w:hAnsiTheme="minorHAnsi"/>
        </w:rPr>
        <w:t>(c) comply with all State, Territory or Commonwealth laws relating the employment or engagement of persons in any capacity where they may have contact with a Vulnerable Person; and</w:t>
      </w:r>
    </w:p>
    <w:p w:rsidR="0060356C" w:rsidRPr="0060356C" w:rsidRDefault="0060356C" w:rsidP="0060356C">
      <w:pPr>
        <w:widowControl w:val="0"/>
        <w:tabs>
          <w:tab w:val="left" w:pos="720"/>
        </w:tabs>
        <w:spacing w:after="0" w:line="240" w:lineRule="auto"/>
        <w:ind w:left="425"/>
        <w:contextualSpacing/>
        <w:rPr>
          <w:rFonts w:asciiTheme="minorHAnsi" w:hAnsiTheme="minorHAnsi"/>
        </w:rPr>
      </w:pPr>
      <w:r w:rsidRPr="0060356C">
        <w:rPr>
          <w:rFonts w:asciiTheme="minorHAnsi" w:hAnsiTheme="minorHAnsi"/>
        </w:rPr>
        <w:t xml:space="preserve">(d) </w:t>
      </w:r>
      <w:proofErr w:type="gramStart"/>
      <w:r w:rsidRPr="0060356C">
        <w:rPr>
          <w:rFonts w:asciiTheme="minorHAnsi" w:hAnsiTheme="minorHAnsi"/>
        </w:rPr>
        <w:t>ensure</w:t>
      </w:r>
      <w:proofErr w:type="gramEnd"/>
      <w:r w:rsidRPr="0060356C">
        <w:rPr>
          <w:rFonts w:asciiTheme="minorHAnsi" w:hAnsiTheme="minorHAnsi"/>
        </w:rPr>
        <w:t xml:space="preserve"> that the person holds all licences or permits for the capacity in which they are to be engaged, including any specified in the Grant Details,</w:t>
      </w:r>
    </w:p>
    <w:p w:rsidR="0060356C" w:rsidRPr="0060356C" w:rsidRDefault="0060356C" w:rsidP="0060356C">
      <w:pPr>
        <w:widowControl w:val="0"/>
        <w:tabs>
          <w:tab w:val="left" w:pos="720"/>
        </w:tabs>
        <w:spacing w:after="0" w:line="240" w:lineRule="auto"/>
        <w:contextualSpacing/>
        <w:rPr>
          <w:rFonts w:asciiTheme="minorHAnsi" w:hAnsiTheme="minorHAnsi"/>
        </w:rPr>
      </w:pPr>
      <w:proofErr w:type="gramStart"/>
      <w:r w:rsidRPr="0060356C">
        <w:rPr>
          <w:rFonts w:asciiTheme="minorHAnsi" w:hAnsiTheme="minorHAnsi"/>
        </w:rPr>
        <w:t>and</w:t>
      </w:r>
      <w:proofErr w:type="gramEnd"/>
      <w:r w:rsidRPr="0060356C">
        <w:rPr>
          <w:rFonts w:asciiTheme="minorHAnsi" w:hAnsiTheme="minorHAnsi"/>
        </w:rPr>
        <w:t xml:space="preserve"> the Grantee must ensure that Police Checks and any licences or permits obtained in accordance with this clause remain current for the duration of their involvement in the Activity. </w:t>
      </w:r>
    </w:p>
    <w:p w:rsidR="0060356C" w:rsidRPr="0060356C" w:rsidRDefault="0060356C" w:rsidP="0060356C">
      <w:pPr>
        <w:widowControl w:val="0"/>
        <w:tabs>
          <w:tab w:val="left" w:pos="720"/>
        </w:tabs>
        <w:spacing w:after="0" w:line="240" w:lineRule="auto"/>
        <w:contextualSpacing/>
        <w:rPr>
          <w:rFonts w:asciiTheme="minorHAnsi" w:hAnsiTheme="minorHAnsi"/>
        </w:rPr>
      </w:pPr>
    </w:p>
    <w:p w:rsidR="0060356C" w:rsidRPr="0060356C" w:rsidRDefault="0060356C" w:rsidP="0060356C">
      <w:pPr>
        <w:widowControl w:val="0"/>
        <w:tabs>
          <w:tab w:val="left" w:pos="720"/>
        </w:tabs>
        <w:spacing w:after="0" w:line="240" w:lineRule="auto"/>
        <w:contextualSpacing/>
        <w:rPr>
          <w:rFonts w:asciiTheme="minorHAnsi" w:hAnsiTheme="minorHAnsi"/>
        </w:rPr>
      </w:pPr>
      <w:r w:rsidRPr="0060356C">
        <w:rPr>
          <w:rFonts w:asciiTheme="minorHAnsi" w:hAnsiTheme="minorHAnsi"/>
        </w:rPr>
        <w:t>CB7.4</w:t>
      </w:r>
      <w:r w:rsidRPr="0060356C">
        <w:rPr>
          <w:rFonts w:asciiTheme="minorHAnsi" w:hAnsiTheme="minorHAnsi"/>
        </w:rPr>
        <w:tab/>
        <w:t>The Grantee must ensure that a person does not perform work on any part of the Activity that involves working or contact with a Vulnerable Person if a Police Check indicates that the person at any time has:</w:t>
      </w:r>
    </w:p>
    <w:p w:rsidR="0060356C" w:rsidRPr="0060356C" w:rsidRDefault="0060356C" w:rsidP="0060356C">
      <w:pPr>
        <w:widowControl w:val="0"/>
        <w:tabs>
          <w:tab w:val="left" w:pos="720"/>
        </w:tabs>
        <w:spacing w:after="0" w:line="240" w:lineRule="auto"/>
        <w:ind w:left="425"/>
        <w:contextualSpacing/>
        <w:rPr>
          <w:rFonts w:asciiTheme="minorHAnsi" w:hAnsiTheme="minorHAnsi"/>
        </w:rPr>
      </w:pPr>
      <w:r w:rsidRPr="0060356C">
        <w:rPr>
          <w:rFonts w:asciiTheme="minorHAnsi" w:hAnsiTheme="minorHAnsi"/>
        </w:rPr>
        <w:t xml:space="preserve">(a) </w:t>
      </w:r>
      <w:proofErr w:type="gramStart"/>
      <w:r w:rsidRPr="0060356C">
        <w:rPr>
          <w:rFonts w:asciiTheme="minorHAnsi" w:hAnsiTheme="minorHAnsi"/>
        </w:rPr>
        <w:t>a</w:t>
      </w:r>
      <w:proofErr w:type="gramEnd"/>
      <w:r w:rsidRPr="0060356C">
        <w:rPr>
          <w:rFonts w:asciiTheme="minorHAnsi" w:hAnsiTheme="minorHAnsi"/>
        </w:rPr>
        <w:t xml:space="preserve"> Serious Record; or</w:t>
      </w:r>
    </w:p>
    <w:p w:rsidR="0060356C" w:rsidRPr="0060356C" w:rsidRDefault="0060356C" w:rsidP="0060356C">
      <w:pPr>
        <w:widowControl w:val="0"/>
        <w:tabs>
          <w:tab w:val="left" w:pos="720"/>
        </w:tabs>
        <w:spacing w:after="0" w:line="240" w:lineRule="auto"/>
        <w:ind w:left="425"/>
        <w:contextualSpacing/>
        <w:rPr>
          <w:rFonts w:asciiTheme="minorHAnsi" w:hAnsiTheme="minorHAnsi"/>
        </w:rPr>
      </w:pPr>
      <w:r w:rsidRPr="0060356C">
        <w:rPr>
          <w:rFonts w:asciiTheme="minorHAnsi" w:hAnsiTheme="minorHAnsi"/>
        </w:rPr>
        <w:t xml:space="preserve">(b) </w:t>
      </w:r>
      <w:proofErr w:type="gramStart"/>
      <w:r w:rsidRPr="0060356C">
        <w:rPr>
          <w:rFonts w:asciiTheme="minorHAnsi" w:hAnsiTheme="minorHAnsi"/>
        </w:rPr>
        <w:t>a</w:t>
      </w:r>
      <w:proofErr w:type="gramEnd"/>
      <w:r w:rsidRPr="0060356C">
        <w:rPr>
          <w:rFonts w:asciiTheme="minorHAnsi" w:hAnsiTheme="minorHAnsi"/>
        </w:rPr>
        <w:t xml:space="preserve"> Criminal or Court Record; </w:t>
      </w:r>
    </w:p>
    <w:p w:rsidR="0060356C" w:rsidRPr="0060356C" w:rsidRDefault="0060356C" w:rsidP="0060356C">
      <w:pPr>
        <w:widowControl w:val="0"/>
        <w:tabs>
          <w:tab w:val="left" w:pos="720"/>
        </w:tabs>
        <w:spacing w:after="0" w:line="240" w:lineRule="auto"/>
        <w:ind w:left="425"/>
        <w:contextualSpacing/>
        <w:rPr>
          <w:rFonts w:asciiTheme="minorHAnsi" w:hAnsiTheme="minorHAnsi"/>
        </w:rPr>
      </w:pPr>
      <w:proofErr w:type="gramStart"/>
      <w:r w:rsidRPr="0060356C">
        <w:rPr>
          <w:rFonts w:asciiTheme="minorHAnsi" w:hAnsiTheme="minorHAnsi"/>
        </w:rPr>
        <w:t>and</w:t>
      </w:r>
      <w:proofErr w:type="gramEnd"/>
      <w:r w:rsidRPr="0060356C">
        <w:rPr>
          <w:rFonts w:asciiTheme="minorHAnsi" w:hAnsiTheme="minorHAnsi"/>
        </w:rPr>
        <w:t xml:space="preserve"> the Grantee has not conducted a risk assessment and determined that any risk is acceptable.</w:t>
      </w:r>
    </w:p>
    <w:p w:rsidR="0060356C" w:rsidRPr="0060356C" w:rsidRDefault="0060356C" w:rsidP="0060356C">
      <w:pPr>
        <w:widowControl w:val="0"/>
        <w:tabs>
          <w:tab w:val="left" w:pos="720"/>
        </w:tabs>
        <w:spacing w:after="0" w:line="240" w:lineRule="auto"/>
        <w:contextualSpacing/>
        <w:rPr>
          <w:rFonts w:asciiTheme="minorHAnsi" w:hAnsiTheme="minorHAnsi"/>
        </w:rPr>
      </w:pPr>
    </w:p>
    <w:p w:rsidR="0060356C" w:rsidRPr="0060356C" w:rsidRDefault="0060356C" w:rsidP="0060356C">
      <w:pPr>
        <w:widowControl w:val="0"/>
        <w:tabs>
          <w:tab w:val="left" w:pos="720"/>
        </w:tabs>
        <w:spacing w:after="0" w:line="240" w:lineRule="auto"/>
        <w:contextualSpacing/>
        <w:rPr>
          <w:rFonts w:asciiTheme="minorHAnsi" w:hAnsiTheme="minorHAnsi"/>
        </w:rPr>
      </w:pPr>
      <w:r w:rsidRPr="0060356C">
        <w:rPr>
          <w:rFonts w:asciiTheme="minorHAnsi" w:hAnsiTheme="minorHAnsi"/>
        </w:rPr>
        <w:t>CB7.5</w:t>
      </w:r>
      <w:r w:rsidRPr="0060356C">
        <w:rPr>
          <w:rFonts w:asciiTheme="minorHAnsi" w:hAnsiTheme="minorHAnsi"/>
        </w:rPr>
        <w:tab/>
        <w:t>In undertaking a risk assessment under clause CB7.4, the Grantee must have regard to:</w:t>
      </w:r>
    </w:p>
    <w:p w:rsidR="0060356C" w:rsidRPr="0060356C" w:rsidRDefault="0060356C" w:rsidP="0060356C">
      <w:pPr>
        <w:widowControl w:val="0"/>
        <w:numPr>
          <w:ilvl w:val="3"/>
          <w:numId w:val="0"/>
        </w:numPr>
        <w:tabs>
          <w:tab w:val="left" w:pos="720"/>
        </w:tabs>
        <w:spacing w:after="0" w:line="240" w:lineRule="auto"/>
        <w:ind w:left="425" w:hanging="425"/>
        <w:contextualSpacing/>
        <w:rPr>
          <w:rFonts w:asciiTheme="minorHAnsi" w:hAnsiTheme="minorHAnsi"/>
        </w:rPr>
      </w:pPr>
      <w:r w:rsidRPr="0060356C">
        <w:rPr>
          <w:rFonts w:asciiTheme="minorHAnsi" w:hAnsiTheme="minorHAnsi"/>
        </w:rPr>
        <w:t xml:space="preserve">(a) </w:t>
      </w:r>
      <w:proofErr w:type="gramStart"/>
      <w:r w:rsidRPr="0060356C">
        <w:rPr>
          <w:rFonts w:asciiTheme="minorHAnsi" w:hAnsiTheme="minorHAnsi"/>
        </w:rPr>
        <w:t>the</w:t>
      </w:r>
      <w:proofErr w:type="gramEnd"/>
      <w:r w:rsidRPr="0060356C">
        <w:rPr>
          <w:rFonts w:asciiTheme="minorHAnsi" w:hAnsiTheme="minorHAnsi"/>
        </w:rPr>
        <w:t xml:space="preserve"> nature and circumstances of the offence(s) on the person’s Criminal or Court Record and whether the charge or conviction involved Vulnerable Persons;</w:t>
      </w:r>
    </w:p>
    <w:p w:rsidR="0060356C" w:rsidRPr="0060356C" w:rsidRDefault="0060356C" w:rsidP="0060356C">
      <w:pPr>
        <w:widowControl w:val="0"/>
        <w:numPr>
          <w:ilvl w:val="3"/>
          <w:numId w:val="0"/>
        </w:numPr>
        <w:tabs>
          <w:tab w:val="left" w:pos="720"/>
        </w:tabs>
        <w:spacing w:after="0" w:line="240" w:lineRule="auto"/>
        <w:ind w:left="425" w:hanging="425"/>
        <w:contextualSpacing/>
        <w:rPr>
          <w:rFonts w:asciiTheme="minorHAnsi" w:hAnsiTheme="minorHAnsi"/>
        </w:rPr>
      </w:pPr>
      <w:r w:rsidRPr="0060356C">
        <w:rPr>
          <w:rFonts w:asciiTheme="minorHAnsi" w:hAnsiTheme="minorHAnsi"/>
        </w:rPr>
        <w:t>(b) whether the person’s Criminal or Court Record is directly relevant to, or reasonably likely to impair the person’s ability to perform, the role that the person will, or is likely to, perform in relation to the Activity;</w:t>
      </w:r>
    </w:p>
    <w:p w:rsidR="0060356C" w:rsidRPr="0060356C" w:rsidRDefault="0060356C" w:rsidP="0060356C">
      <w:pPr>
        <w:widowControl w:val="0"/>
        <w:numPr>
          <w:ilvl w:val="3"/>
          <w:numId w:val="0"/>
        </w:numPr>
        <w:tabs>
          <w:tab w:val="left" w:pos="720"/>
        </w:tabs>
        <w:spacing w:after="0" w:line="240" w:lineRule="auto"/>
        <w:ind w:left="425" w:hanging="425"/>
        <w:contextualSpacing/>
        <w:rPr>
          <w:rFonts w:asciiTheme="minorHAnsi" w:hAnsiTheme="minorHAnsi"/>
        </w:rPr>
      </w:pPr>
      <w:r w:rsidRPr="0060356C">
        <w:rPr>
          <w:rFonts w:asciiTheme="minorHAnsi" w:hAnsiTheme="minorHAnsi"/>
        </w:rPr>
        <w:t xml:space="preserve">(c) </w:t>
      </w:r>
      <w:proofErr w:type="gramStart"/>
      <w:r w:rsidRPr="0060356C">
        <w:rPr>
          <w:rFonts w:asciiTheme="minorHAnsi" w:hAnsiTheme="minorHAnsi"/>
        </w:rPr>
        <w:t>the</w:t>
      </w:r>
      <w:proofErr w:type="gramEnd"/>
      <w:r w:rsidRPr="0060356C">
        <w:rPr>
          <w:rFonts w:asciiTheme="minorHAnsi" w:hAnsiTheme="minorHAnsi"/>
        </w:rPr>
        <w:t xml:space="preserve"> length of time that has passed since the person’s charge or conviction and his or her record since that time;</w:t>
      </w:r>
    </w:p>
    <w:p w:rsidR="0060356C" w:rsidRPr="0060356C" w:rsidRDefault="0060356C" w:rsidP="0060356C">
      <w:pPr>
        <w:widowControl w:val="0"/>
        <w:numPr>
          <w:ilvl w:val="3"/>
          <w:numId w:val="0"/>
        </w:numPr>
        <w:tabs>
          <w:tab w:val="left" w:pos="720"/>
        </w:tabs>
        <w:spacing w:after="0" w:line="240" w:lineRule="auto"/>
        <w:ind w:left="425" w:hanging="425"/>
        <w:contextualSpacing/>
        <w:rPr>
          <w:rFonts w:asciiTheme="minorHAnsi" w:hAnsiTheme="minorHAnsi"/>
        </w:rPr>
      </w:pPr>
      <w:r w:rsidRPr="0060356C">
        <w:rPr>
          <w:rFonts w:asciiTheme="minorHAnsi" w:hAnsiTheme="minorHAnsi"/>
        </w:rPr>
        <w:t xml:space="preserve">(d) </w:t>
      </w:r>
      <w:proofErr w:type="gramStart"/>
      <w:r w:rsidRPr="0060356C">
        <w:rPr>
          <w:rFonts w:asciiTheme="minorHAnsi" w:hAnsiTheme="minorHAnsi"/>
        </w:rPr>
        <w:t>the</w:t>
      </w:r>
      <w:proofErr w:type="gramEnd"/>
      <w:r w:rsidRPr="0060356C">
        <w:rPr>
          <w:rFonts w:asciiTheme="minorHAnsi" w:hAnsiTheme="minorHAnsi"/>
        </w:rPr>
        <w:t xml:space="preserve"> circumstances in which the person will, or is likely to, have contact with a Vulnerable Person as part of the Activity; and</w:t>
      </w:r>
    </w:p>
    <w:p w:rsidR="0060356C" w:rsidRPr="0060356C" w:rsidRDefault="0060356C" w:rsidP="0060356C">
      <w:pPr>
        <w:widowControl w:val="0"/>
        <w:numPr>
          <w:ilvl w:val="3"/>
          <w:numId w:val="0"/>
        </w:numPr>
        <w:tabs>
          <w:tab w:val="left" w:pos="720"/>
        </w:tabs>
        <w:spacing w:after="0" w:line="240" w:lineRule="auto"/>
        <w:ind w:left="425" w:hanging="425"/>
        <w:contextualSpacing/>
        <w:rPr>
          <w:rFonts w:asciiTheme="minorHAnsi" w:hAnsiTheme="minorHAnsi"/>
        </w:rPr>
      </w:pPr>
      <w:r w:rsidRPr="0060356C">
        <w:rPr>
          <w:rFonts w:asciiTheme="minorHAnsi" w:hAnsiTheme="minorHAnsi"/>
        </w:rPr>
        <w:t xml:space="preserve">(e) </w:t>
      </w:r>
      <w:proofErr w:type="gramStart"/>
      <w:r w:rsidRPr="0060356C">
        <w:rPr>
          <w:rFonts w:asciiTheme="minorHAnsi" w:hAnsiTheme="minorHAnsi"/>
        </w:rPr>
        <w:t>any</w:t>
      </w:r>
      <w:proofErr w:type="gramEnd"/>
      <w:r w:rsidRPr="0060356C">
        <w:rPr>
          <w:rFonts w:asciiTheme="minorHAnsi" w:hAnsiTheme="minorHAnsi"/>
        </w:rPr>
        <w:t xml:space="preserve"> other relevant matter, and </w:t>
      </w:r>
    </w:p>
    <w:p w:rsidR="0060356C" w:rsidRPr="0060356C" w:rsidRDefault="0060356C" w:rsidP="0060356C">
      <w:pPr>
        <w:widowControl w:val="0"/>
        <w:numPr>
          <w:ilvl w:val="3"/>
          <w:numId w:val="0"/>
        </w:numPr>
        <w:tabs>
          <w:tab w:val="left" w:pos="720"/>
        </w:tabs>
        <w:spacing w:after="0" w:line="240" w:lineRule="auto"/>
        <w:ind w:left="425" w:hanging="425"/>
        <w:contextualSpacing/>
        <w:rPr>
          <w:rFonts w:asciiTheme="minorHAnsi" w:hAnsiTheme="minorHAnsi"/>
        </w:rPr>
      </w:pPr>
      <w:proofErr w:type="gramStart"/>
      <w:r w:rsidRPr="0060356C">
        <w:rPr>
          <w:rFonts w:asciiTheme="minorHAnsi" w:hAnsiTheme="minorHAnsi"/>
        </w:rPr>
        <w:t>must</w:t>
      </w:r>
      <w:proofErr w:type="gramEnd"/>
      <w:r w:rsidRPr="0060356C">
        <w:rPr>
          <w:rFonts w:asciiTheme="minorHAnsi" w:hAnsiTheme="minorHAnsi"/>
        </w:rPr>
        <w:t xml:space="preserve"> ensure it fully documents the conduct and outcome of the risk assessment.</w:t>
      </w:r>
    </w:p>
    <w:p w:rsidR="0060356C" w:rsidRPr="0060356C" w:rsidRDefault="0060356C" w:rsidP="0060356C">
      <w:pPr>
        <w:spacing w:after="0" w:line="240" w:lineRule="auto"/>
        <w:rPr>
          <w:rFonts w:asciiTheme="minorHAnsi" w:hAnsiTheme="minorHAnsi"/>
        </w:rPr>
      </w:pPr>
    </w:p>
    <w:p w:rsidR="0060356C" w:rsidRPr="0060356C" w:rsidRDefault="0060356C" w:rsidP="0060356C">
      <w:pPr>
        <w:widowControl w:val="0"/>
        <w:tabs>
          <w:tab w:val="left" w:pos="720"/>
        </w:tabs>
        <w:spacing w:after="0" w:line="240" w:lineRule="auto"/>
        <w:contextualSpacing/>
        <w:rPr>
          <w:rFonts w:asciiTheme="minorHAnsi" w:hAnsiTheme="minorHAnsi"/>
        </w:rPr>
      </w:pPr>
      <w:r w:rsidRPr="0060356C">
        <w:rPr>
          <w:rFonts w:asciiTheme="minorHAnsi" w:hAnsiTheme="minorHAnsi"/>
        </w:rPr>
        <w:t>CB7.6</w:t>
      </w:r>
      <w:r w:rsidRPr="0060356C">
        <w:rPr>
          <w:rFonts w:asciiTheme="minorHAnsi" w:hAnsiTheme="minorHAnsi"/>
        </w:rPr>
        <w:tab/>
        <w:t>The Grantee agrees to notify the Commonwealth of any risk assessment it conducts under this clause and agrees to provide the Commonwealth with copies of any relevant documentation on request.</w:t>
      </w:r>
    </w:p>
    <w:p w:rsidR="0060356C" w:rsidRPr="0060356C" w:rsidRDefault="0060356C" w:rsidP="0060356C">
      <w:pPr>
        <w:spacing w:after="0" w:line="240" w:lineRule="auto"/>
        <w:rPr>
          <w:rFonts w:asciiTheme="minorHAnsi" w:hAnsiTheme="minorHAnsi"/>
        </w:rPr>
      </w:pPr>
    </w:p>
    <w:p w:rsidR="0060356C" w:rsidRPr="0060356C" w:rsidRDefault="0060356C" w:rsidP="0060356C">
      <w:pPr>
        <w:spacing w:after="0" w:line="240" w:lineRule="auto"/>
        <w:rPr>
          <w:rFonts w:ascii="Calibri" w:eastAsia="Times New Roman" w:hAnsi="Calibri" w:cs="Calibri"/>
          <w:lang w:eastAsia="en-AU"/>
        </w:rPr>
      </w:pPr>
      <w:r w:rsidRPr="0060356C">
        <w:rPr>
          <w:rFonts w:ascii="Calibri" w:eastAsia="Times New Roman" w:hAnsi="Calibri" w:cs="Times New Roman"/>
        </w:rPr>
        <w:t>CB7.7</w:t>
      </w:r>
      <w:r w:rsidRPr="0060356C">
        <w:rPr>
          <w:rFonts w:ascii="Calibri" w:eastAsia="Times New Roman" w:hAnsi="Calibri" w:cs="Times New Roman"/>
        </w:rPr>
        <w:tab/>
        <w:t xml:space="preserve">If during the term a person involved in performing work on any part of the Activity that involves working or contact with a Vulnerable Person is: </w:t>
      </w:r>
    </w:p>
    <w:p w:rsidR="0060356C" w:rsidRPr="0060356C" w:rsidRDefault="0060356C" w:rsidP="0060356C">
      <w:pPr>
        <w:widowControl w:val="0"/>
        <w:numPr>
          <w:ilvl w:val="0"/>
          <w:numId w:val="1"/>
        </w:numPr>
        <w:tabs>
          <w:tab w:val="left" w:pos="720"/>
        </w:tabs>
        <w:spacing w:after="0" w:line="240" w:lineRule="auto"/>
        <w:contextualSpacing/>
        <w:rPr>
          <w:rFonts w:asciiTheme="minorHAnsi" w:eastAsia="Times New Roman" w:hAnsiTheme="minorHAnsi" w:cs="Arial"/>
          <w:lang w:eastAsia="en-AU"/>
        </w:rPr>
      </w:pPr>
      <w:r w:rsidRPr="0060356C">
        <w:rPr>
          <w:rFonts w:asciiTheme="minorHAnsi" w:eastAsia="Times New Roman" w:hAnsiTheme="minorHAnsi" w:cs="Arial"/>
          <w:lang w:eastAsia="en-AU"/>
        </w:rPr>
        <w:t xml:space="preserve">charged </w:t>
      </w:r>
      <w:r w:rsidRPr="0060356C">
        <w:rPr>
          <w:rFonts w:asciiTheme="minorHAnsi" w:hAnsiTheme="minorHAnsi"/>
        </w:rPr>
        <w:t>with</w:t>
      </w:r>
      <w:r w:rsidRPr="0060356C">
        <w:rPr>
          <w:rFonts w:asciiTheme="minorHAnsi" w:eastAsia="Times New Roman" w:hAnsiTheme="minorHAnsi" w:cs="Arial"/>
          <w:lang w:eastAsia="en-AU"/>
        </w:rPr>
        <w:t xml:space="preserve"> a Serious Offence or Other Offence, the Grantee must immediately notify the Commonwealth; or</w:t>
      </w:r>
    </w:p>
    <w:p w:rsidR="0060356C" w:rsidRPr="0060356C" w:rsidRDefault="0060356C" w:rsidP="0060356C">
      <w:pPr>
        <w:widowControl w:val="0"/>
        <w:numPr>
          <w:ilvl w:val="0"/>
          <w:numId w:val="1"/>
        </w:numPr>
        <w:tabs>
          <w:tab w:val="left" w:pos="720"/>
        </w:tabs>
        <w:spacing w:after="0" w:line="240" w:lineRule="auto"/>
        <w:contextualSpacing/>
        <w:rPr>
          <w:rFonts w:asciiTheme="minorHAnsi" w:eastAsia="Times New Roman" w:hAnsiTheme="minorHAnsi" w:cs="Arial"/>
          <w:lang w:eastAsia="en-AU"/>
        </w:rPr>
      </w:pPr>
      <w:proofErr w:type="gramStart"/>
      <w:r w:rsidRPr="0060356C">
        <w:rPr>
          <w:rFonts w:asciiTheme="minorHAnsi" w:eastAsia="Times New Roman" w:hAnsiTheme="minorHAnsi" w:cs="Arial"/>
          <w:lang w:eastAsia="en-AU"/>
        </w:rPr>
        <w:t>convicted</w:t>
      </w:r>
      <w:proofErr w:type="gramEnd"/>
      <w:r w:rsidRPr="0060356C">
        <w:rPr>
          <w:rFonts w:asciiTheme="minorHAnsi" w:eastAsia="Times New Roman" w:hAnsiTheme="minorHAnsi" w:cs="Arial"/>
          <w:lang w:eastAsia="en-AU"/>
        </w:rPr>
        <w:t xml:space="preserve"> of a Serious Offence, the Grantee must immediately notify the Commonwealth and ensure that that person does not, from the date of the conviction, perform any work or role relating to the Activity.</w:t>
      </w:r>
    </w:p>
    <w:p w:rsidR="0060356C" w:rsidRPr="0060356C" w:rsidRDefault="0060356C" w:rsidP="0060356C">
      <w:pPr>
        <w:spacing w:after="0" w:line="240" w:lineRule="auto"/>
        <w:rPr>
          <w:rFonts w:asciiTheme="minorHAnsi" w:eastAsia="Times New Roman" w:hAnsiTheme="minorHAnsi"/>
          <w:color w:val="1F497D"/>
        </w:rPr>
      </w:pPr>
    </w:p>
    <w:p w:rsidR="0060356C" w:rsidRPr="0060356C" w:rsidRDefault="0060356C" w:rsidP="0060356C">
      <w:pPr>
        <w:widowControl w:val="0"/>
        <w:spacing w:after="0" w:line="240" w:lineRule="auto"/>
        <w:rPr>
          <w:rFonts w:ascii="Calibri" w:eastAsia="Times New Roman" w:hAnsi="Calibri" w:cs="Times New Roman"/>
          <w:b/>
        </w:rPr>
      </w:pPr>
      <w:r w:rsidRPr="0060356C">
        <w:rPr>
          <w:rFonts w:ascii="Calibri" w:eastAsia="Times New Roman" w:hAnsi="Calibri" w:cs="Times New Roman"/>
          <w:b/>
        </w:rPr>
        <w:t>CB11. Fraud</w:t>
      </w:r>
    </w:p>
    <w:p w:rsidR="0060356C" w:rsidRPr="0060356C" w:rsidRDefault="0060356C" w:rsidP="0060356C">
      <w:pPr>
        <w:widowControl w:val="0"/>
        <w:spacing w:after="0" w:line="240" w:lineRule="auto"/>
        <w:rPr>
          <w:rFonts w:ascii="Calibri" w:eastAsia="Times New Roman" w:hAnsi="Calibri" w:cs="Times New Roman"/>
          <w:b/>
        </w:rPr>
      </w:pPr>
    </w:p>
    <w:p w:rsidR="0060356C" w:rsidRPr="0060356C" w:rsidRDefault="0060356C" w:rsidP="0060356C">
      <w:pPr>
        <w:spacing w:after="0"/>
        <w:rPr>
          <w:rFonts w:ascii="Calibri" w:eastAsia="Times New Roman" w:hAnsi="Calibri" w:cs="Times New Roman"/>
        </w:rPr>
      </w:pPr>
      <w:r w:rsidRPr="0060356C">
        <w:rPr>
          <w:rFonts w:ascii="Calibri" w:eastAsia="Times New Roman" w:hAnsi="Calibri" w:cs="Times New Roman"/>
        </w:rPr>
        <w:t>CB11.1</w:t>
      </w:r>
      <w:r w:rsidRPr="0060356C">
        <w:rPr>
          <w:rFonts w:ascii="Calibri" w:eastAsia="Times New Roman" w:hAnsi="Calibri" w:cs="Times New Roman"/>
        </w:rPr>
        <w:tab/>
        <w:t>In this Agreement, Fraud</w:t>
      </w:r>
      <w:r w:rsidRPr="0060356C">
        <w:rPr>
          <w:rFonts w:ascii="Calibri" w:eastAsia="Times New Roman" w:hAnsi="Calibri" w:cs="Times New Roman"/>
          <w:b/>
        </w:rPr>
        <w:t xml:space="preserve"> </w:t>
      </w:r>
      <w:r w:rsidRPr="0060356C">
        <w:rPr>
          <w:rFonts w:ascii="Calibri" w:eastAsia="Times New Roman" w:hAnsi="Calibri" w:cs="Times New Roman"/>
        </w:rPr>
        <w:t xml:space="preserve">means dishonestly obtaining a benefit, or causing a loss, by deception or other means, and includes alleged, attempted, suspected or detected fraud. </w:t>
      </w:r>
    </w:p>
    <w:p w:rsidR="0060356C" w:rsidRPr="0060356C" w:rsidRDefault="0060356C" w:rsidP="0060356C">
      <w:pPr>
        <w:spacing w:after="0"/>
        <w:rPr>
          <w:rFonts w:ascii="Calibri" w:eastAsia="Times New Roman" w:hAnsi="Calibri" w:cs="Times New Roman"/>
        </w:rPr>
      </w:pPr>
    </w:p>
    <w:p w:rsidR="0060356C" w:rsidRPr="0060356C" w:rsidRDefault="0060356C" w:rsidP="0060356C">
      <w:pPr>
        <w:spacing w:after="0"/>
        <w:rPr>
          <w:rFonts w:ascii="Calibri" w:eastAsia="Times New Roman" w:hAnsi="Calibri" w:cs="Times New Roman"/>
        </w:rPr>
      </w:pPr>
      <w:r w:rsidRPr="0060356C">
        <w:rPr>
          <w:rFonts w:ascii="Calibri" w:eastAsia="Times New Roman" w:hAnsi="Calibri" w:cs="Times New Roman"/>
        </w:rPr>
        <w:lastRenderedPageBreak/>
        <w:t>CB11.2</w:t>
      </w:r>
      <w:r w:rsidRPr="0060356C">
        <w:rPr>
          <w:rFonts w:ascii="Calibri" w:eastAsia="Times New Roman" w:hAnsi="Calibri" w:cs="Times New Roman"/>
        </w:rPr>
        <w:tab/>
        <w:t xml:space="preserve">The Grantee must ensure its personnel and subcontractors do not engage in any Fraud in relation to the Activity. </w:t>
      </w:r>
    </w:p>
    <w:p w:rsidR="0060356C" w:rsidRPr="0060356C" w:rsidRDefault="0060356C" w:rsidP="0060356C">
      <w:pPr>
        <w:spacing w:after="0"/>
        <w:rPr>
          <w:rFonts w:ascii="Calibri" w:eastAsia="Times New Roman" w:hAnsi="Calibri" w:cs="Times New Roman"/>
        </w:rPr>
      </w:pPr>
    </w:p>
    <w:p w:rsidR="0060356C" w:rsidRPr="0060356C" w:rsidRDefault="0060356C" w:rsidP="0060356C">
      <w:pPr>
        <w:spacing w:after="0"/>
        <w:rPr>
          <w:rFonts w:ascii="Calibri" w:eastAsia="Times New Roman" w:hAnsi="Calibri" w:cs="Times New Roman"/>
        </w:rPr>
      </w:pPr>
      <w:r w:rsidRPr="0060356C">
        <w:rPr>
          <w:rFonts w:ascii="Calibri" w:eastAsia="Times New Roman" w:hAnsi="Calibri" w:cs="Times New Roman"/>
        </w:rPr>
        <w:t>CB11.3</w:t>
      </w:r>
      <w:r w:rsidRPr="0060356C">
        <w:rPr>
          <w:rFonts w:ascii="Calibri" w:eastAsia="Times New Roman" w:hAnsi="Calibri" w:cs="Times New Roman"/>
        </w:rPr>
        <w:tab/>
        <w:t>If the Grantee becomes aware of:</w:t>
      </w:r>
    </w:p>
    <w:p w:rsidR="0060356C" w:rsidRPr="0060356C" w:rsidRDefault="0060356C" w:rsidP="0060356C">
      <w:pPr>
        <w:numPr>
          <w:ilvl w:val="0"/>
          <w:numId w:val="2"/>
        </w:numPr>
        <w:spacing w:after="0" w:line="240" w:lineRule="auto"/>
        <w:rPr>
          <w:rFonts w:ascii="Calibri" w:eastAsia="Times New Roman" w:hAnsi="Calibri" w:cs="Times New Roman"/>
        </w:rPr>
      </w:pPr>
      <w:r w:rsidRPr="0060356C">
        <w:rPr>
          <w:rFonts w:ascii="Calibri" w:eastAsia="Times New Roman" w:hAnsi="Calibri" w:cs="Times New Roman"/>
        </w:rPr>
        <w:t>any Fraud in relation to the performance of the Activity; or</w:t>
      </w:r>
    </w:p>
    <w:p w:rsidR="0060356C" w:rsidRPr="0060356C" w:rsidRDefault="0060356C" w:rsidP="0060356C">
      <w:pPr>
        <w:numPr>
          <w:ilvl w:val="0"/>
          <w:numId w:val="2"/>
        </w:numPr>
        <w:spacing w:after="0" w:line="240" w:lineRule="auto"/>
        <w:rPr>
          <w:rFonts w:ascii="Calibri" w:eastAsia="Times New Roman" w:hAnsi="Calibri" w:cs="Times New Roman"/>
        </w:rPr>
      </w:pPr>
      <w:r w:rsidRPr="0060356C">
        <w:rPr>
          <w:rFonts w:ascii="Calibri" w:eastAsia="Times New Roman" w:hAnsi="Calibri" w:cs="Times New Roman"/>
        </w:rPr>
        <w:t>any other Fraud that has had or may have an effect on the performance of the Activity;</w:t>
      </w:r>
    </w:p>
    <w:p w:rsidR="0060356C" w:rsidRPr="0060356C" w:rsidRDefault="0060356C" w:rsidP="0060356C">
      <w:pPr>
        <w:spacing w:after="0"/>
        <w:ind w:left="759"/>
        <w:rPr>
          <w:rFonts w:ascii="Calibri" w:eastAsia="Times New Roman" w:hAnsi="Calibri" w:cs="Times New Roman"/>
        </w:rPr>
      </w:pPr>
      <w:proofErr w:type="gramStart"/>
      <w:r w:rsidRPr="0060356C">
        <w:rPr>
          <w:rFonts w:ascii="Calibri" w:eastAsia="Times New Roman" w:hAnsi="Calibri" w:cs="Times New Roman"/>
        </w:rPr>
        <w:t>then</w:t>
      </w:r>
      <w:proofErr w:type="gramEnd"/>
      <w:r w:rsidRPr="0060356C">
        <w:rPr>
          <w:rFonts w:ascii="Calibri" w:eastAsia="Times New Roman" w:hAnsi="Calibri" w:cs="Times New Roman"/>
        </w:rPr>
        <w:t xml:space="preserve"> it must within 5 business days report the matter to the Commonwealth and all appropriate law enforcement and regulatory agencies.</w:t>
      </w:r>
      <w:r w:rsidRPr="0060356C">
        <w:rPr>
          <w:rFonts w:ascii="Calibri" w:eastAsia="Times New Roman" w:hAnsi="Calibri" w:cs="Times New Roman"/>
        </w:rPr>
        <w:tab/>
      </w:r>
    </w:p>
    <w:p w:rsidR="0060356C" w:rsidRPr="0060356C" w:rsidRDefault="0060356C" w:rsidP="0060356C">
      <w:pPr>
        <w:spacing w:after="0"/>
        <w:ind w:left="759"/>
        <w:rPr>
          <w:rFonts w:ascii="Calibri" w:eastAsia="Times New Roman" w:hAnsi="Calibri" w:cs="Times New Roman"/>
        </w:rPr>
      </w:pPr>
    </w:p>
    <w:p w:rsidR="0060356C" w:rsidRPr="0060356C" w:rsidRDefault="0060356C" w:rsidP="0060356C">
      <w:pPr>
        <w:spacing w:after="0"/>
        <w:rPr>
          <w:rFonts w:ascii="Calibri" w:eastAsia="Times New Roman" w:hAnsi="Calibri" w:cs="Times New Roman"/>
        </w:rPr>
      </w:pPr>
      <w:r w:rsidRPr="0060356C">
        <w:rPr>
          <w:rFonts w:ascii="Calibri" w:eastAsia="Times New Roman" w:hAnsi="Calibri" w:cs="Times New Roman"/>
        </w:rPr>
        <w:t>CB11.4</w:t>
      </w:r>
      <w:r w:rsidRPr="0060356C">
        <w:rPr>
          <w:rFonts w:ascii="Calibri" w:eastAsia="Times New Roman" w:hAnsi="Calibri" w:cs="Times New Roman"/>
        </w:rPr>
        <w:tab/>
        <w:t xml:space="preserve">The Grantee </w:t>
      </w:r>
      <w:proofErr w:type="gramStart"/>
      <w:r w:rsidRPr="0060356C">
        <w:rPr>
          <w:rFonts w:ascii="Calibri" w:eastAsia="Times New Roman" w:hAnsi="Calibri" w:cs="Times New Roman"/>
        </w:rPr>
        <w:t>must, at its own cost, investigate</w:t>
      </w:r>
      <w:proofErr w:type="gramEnd"/>
      <w:r w:rsidRPr="0060356C">
        <w:rPr>
          <w:rFonts w:ascii="Calibri" w:eastAsia="Times New Roman" w:hAnsi="Calibri" w:cs="Times New Roman"/>
        </w:rPr>
        <w:t xml:space="preserve"> any Fraud referred to in clause CB11.3 in accordance with the Australian Government Investigations Standards available at</w:t>
      </w:r>
      <w:r w:rsidR="009219E4">
        <w:rPr>
          <w:rFonts w:ascii="Calibri" w:eastAsia="Times New Roman" w:hAnsi="Calibri" w:cs="Times New Roman"/>
        </w:rPr>
        <w:t xml:space="preserve"> the </w:t>
      </w:r>
      <w:r w:rsidR="009219E4">
        <w:rPr>
          <w:rFonts w:ascii="Calibri" w:eastAsia="Times New Roman" w:hAnsi="Calibri" w:cs="Times New Roman"/>
        </w:rPr>
        <w:br/>
      </w:r>
      <w:hyperlink r:id="rId7" w:history="1">
        <w:r w:rsidR="009219E4" w:rsidRPr="009219E4">
          <w:rPr>
            <w:rStyle w:val="Hyperlink"/>
            <w:rFonts w:ascii="Calibri" w:eastAsia="Times New Roman" w:hAnsi="Calibri" w:cs="Times New Roman"/>
          </w:rPr>
          <w:t>Attorney-General's Department webpage</w:t>
        </w:r>
      </w:hyperlink>
      <w:r w:rsidR="009219E4">
        <w:rPr>
          <w:rFonts w:ascii="Calibri" w:eastAsia="Times New Roman" w:hAnsi="Calibri" w:cs="Times New Roman"/>
        </w:rPr>
        <w:t xml:space="preserve">. </w:t>
      </w:r>
    </w:p>
    <w:p w:rsidR="0060356C" w:rsidRPr="0060356C" w:rsidRDefault="0060356C" w:rsidP="0060356C">
      <w:pPr>
        <w:spacing w:after="0"/>
        <w:rPr>
          <w:rFonts w:ascii="Calibri" w:eastAsia="Times New Roman" w:hAnsi="Calibri" w:cs="Times New Roman"/>
        </w:rPr>
      </w:pPr>
    </w:p>
    <w:p w:rsidR="0060356C" w:rsidRPr="0060356C" w:rsidRDefault="0060356C" w:rsidP="0060356C">
      <w:pPr>
        <w:spacing w:after="0"/>
        <w:rPr>
          <w:rFonts w:ascii="Calibri" w:eastAsia="Times New Roman" w:hAnsi="Calibri" w:cs="Times New Roman"/>
        </w:rPr>
      </w:pPr>
      <w:r w:rsidRPr="0060356C">
        <w:rPr>
          <w:rFonts w:ascii="Calibri" w:eastAsia="Times New Roman" w:hAnsi="Calibri" w:cs="Times New Roman"/>
        </w:rPr>
        <w:t>CB11.5</w:t>
      </w:r>
      <w:r w:rsidR="009219E4">
        <w:rPr>
          <w:rFonts w:ascii="Calibri" w:eastAsia="Times New Roman" w:hAnsi="Calibri" w:cs="Times New Roman"/>
        </w:rPr>
        <w:tab/>
      </w:r>
      <w:r w:rsidRPr="0060356C">
        <w:rPr>
          <w:rFonts w:ascii="Calibri" w:eastAsia="Times New Roman" w:hAnsi="Calibri" w:cs="Times New Roman"/>
        </w:rPr>
        <w:t xml:space="preserve">The Commonwealth </w:t>
      </w:r>
      <w:proofErr w:type="gramStart"/>
      <w:r w:rsidRPr="0060356C">
        <w:rPr>
          <w:rFonts w:ascii="Calibri" w:eastAsia="Times New Roman" w:hAnsi="Calibri" w:cs="Times New Roman"/>
        </w:rPr>
        <w:t>may, at its discretion, investigate</w:t>
      </w:r>
      <w:proofErr w:type="gramEnd"/>
      <w:r w:rsidRPr="0060356C">
        <w:rPr>
          <w:rFonts w:ascii="Calibri" w:eastAsia="Times New Roman" w:hAnsi="Calibri" w:cs="Times New Roman"/>
        </w:rPr>
        <w:t xml:space="preserve"> any Fraud in relation to the Activity. The Grantee agrees to co-operate and provide all reasonable assistance at its own cost with any such investigation. </w:t>
      </w:r>
    </w:p>
    <w:p w:rsidR="0060356C" w:rsidRPr="0060356C" w:rsidRDefault="0060356C" w:rsidP="0060356C">
      <w:pPr>
        <w:spacing w:after="0"/>
        <w:rPr>
          <w:rFonts w:ascii="Calibri" w:eastAsia="Times New Roman" w:hAnsi="Calibri" w:cs="Times New Roman"/>
        </w:rPr>
      </w:pPr>
      <w:r w:rsidRPr="0060356C">
        <w:rPr>
          <w:rFonts w:ascii="Calibri" w:eastAsia="Times New Roman" w:hAnsi="Calibri" w:cs="Times New Roman"/>
        </w:rPr>
        <w:br/>
        <w:t>CB11.6</w:t>
      </w:r>
      <w:r w:rsidRPr="0060356C">
        <w:rPr>
          <w:rFonts w:ascii="Calibri" w:eastAsia="Times New Roman" w:hAnsi="Calibri" w:cs="Times New Roman"/>
        </w:rPr>
        <w:tab/>
        <w:t xml:space="preserve">This clause survives the termination or expiry of the Agreement. </w:t>
      </w:r>
    </w:p>
    <w:p w:rsidR="007B0256" w:rsidRPr="0060356C" w:rsidRDefault="007B0256" w:rsidP="0060356C"/>
    <w:sectPr w:rsidR="007B0256" w:rsidRPr="0060356C" w:rsidSect="0060356C">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248" w:rsidRDefault="00417248" w:rsidP="00B04ED8">
      <w:pPr>
        <w:spacing w:after="0" w:line="240" w:lineRule="auto"/>
      </w:pPr>
      <w:r>
        <w:separator/>
      </w:r>
    </w:p>
  </w:endnote>
  <w:endnote w:type="continuationSeparator" w:id="0">
    <w:p w:rsidR="00417248" w:rsidRDefault="0041724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248" w:rsidRDefault="00417248" w:rsidP="00B04ED8">
      <w:pPr>
        <w:spacing w:after="0" w:line="240" w:lineRule="auto"/>
      </w:pPr>
      <w:r>
        <w:separator/>
      </w:r>
    </w:p>
  </w:footnote>
  <w:footnote w:type="continuationSeparator" w:id="0">
    <w:p w:rsidR="00417248" w:rsidRDefault="00417248"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6C" w:rsidRPr="0060356C" w:rsidRDefault="0060356C" w:rsidP="0060356C">
    <w:pPr>
      <w:spacing w:after="120"/>
      <w:contextualSpacing/>
      <w:outlineLvl w:val="0"/>
      <w:rPr>
        <w:rFonts w:ascii="Calibri" w:eastAsiaTheme="majorEastAsia" w:hAnsi="Calibri" w:cstheme="majorBidi"/>
        <w:b/>
        <w:bCs/>
        <w:sz w:val="32"/>
        <w:szCs w:val="28"/>
      </w:rPr>
    </w:pPr>
    <w:r w:rsidRPr="0060356C">
      <w:rPr>
        <w:rFonts w:ascii="Calibri" w:eastAsiaTheme="majorEastAsia" w:hAnsi="Calibri" w:cstheme="majorBidi"/>
        <w:b/>
        <w:bCs/>
        <w:sz w:val="32"/>
        <w:szCs w:val="28"/>
      </w:rPr>
      <w:t>Commonwealth Standard Grant Conditions</w:t>
    </w:r>
    <w:r w:rsidRPr="0060356C">
      <w:rPr>
        <w:rFonts w:ascii="Calibri" w:eastAsiaTheme="majorEastAsia" w:hAnsi="Calibri" w:cstheme="majorBidi"/>
        <w:b/>
        <w:bCs/>
        <w:sz w:val="32"/>
        <w:szCs w:val="28"/>
      </w:rPr>
      <w:tab/>
    </w:r>
    <w:r w:rsidRPr="0060356C">
      <w:rPr>
        <w:rFonts w:ascii="Calibri" w:eastAsiaTheme="majorEastAsia" w:hAnsi="Calibri" w:cstheme="majorBidi"/>
        <w:b/>
        <w:bCs/>
        <w:sz w:val="32"/>
        <w:szCs w:val="28"/>
      </w:rPr>
      <w:tab/>
    </w:r>
    <w:r w:rsidRPr="0060356C">
      <w:rPr>
        <w:rFonts w:ascii="Calibri" w:eastAsiaTheme="majorEastAsia" w:hAnsi="Calibri" w:cstheme="majorBidi"/>
        <w:b/>
        <w:bCs/>
        <w:sz w:val="32"/>
        <w:szCs w:val="28"/>
      </w:rPr>
      <w:tab/>
      <w:t>Schedule 1</w:t>
    </w:r>
  </w:p>
  <w:p w:rsidR="00B04ED8" w:rsidRPr="0060356C" w:rsidRDefault="00B04ED8" w:rsidP="00603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7BF41F0A"/>
    <w:multiLevelType w:val="hybridMultilevel"/>
    <w:tmpl w:val="6D18C3AC"/>
    <w:lvl w:ilvl="0" w:tplc="5E2C3136">
      <w:start w:val="1"/>
      <w:numFmt w:val="low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6C"/>
    <w:rsid w:val="00005633"/>
    <w:rsid w:val="001315EE"/>
    <w:rsid w:val="001E630D"/>
    <w:rsid w:val="00284DC9"/>
    <w:rsid w:val="003B2BB8"/>
    <w:rsid w:val="003D34FF"/>
    <w:rsid w:val="00417248"/>
    <w:rsid w:val="004B54CA"/>
    <w:rsid w:val="004E5CBF"/>
    <w:rsid w:val="005C3AA9"/>
    <w:rsid w:val="0060356C"/>
    <w:rsid w:val="00621FC5"/>
    <w:rsid w:val="00637B02"/>
    <w:rsid w:val="00683A84"/>
    <w:rsid w:val="006A4CE7"/>
    <w:rsid w:val="00785261"/>
    <w:rsid w:val="007B0256"/>
    <w:rsid w:val="0083177B"/>
    <w:rsid w:val="00867561"/>
    <w:rsid w:val="009219E4"/>
    <w:rsid w:val="009225F0"/>
    <w:rsid w:val="0093462C"/>
    <w:rsid w:val="00953795"/>
    <w:rsid w:val="00974189"/>
    <w:rsid w:val="00B04ED8"/>
    <w:rsid w:val="00B91E3E"/>
    <w:rsid w:val="00BA2DB9"/>
    <w:rsid w:val="00BE7148"/>
    <w:rsid w:val="00C84DD7"/>
    <w:rsid w:val="00CB5863"/>
    <w:rsid w:val="00DA243A"/>
    <w:rsid w:val="00E273E4"/>
    <w:rsid w:val="00EF5CA9"/>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4D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CommentText">
    <w:name w:val="annotation text"/>
    <w:basedOn w:val="Normal"/>
    <w:link w:val="CommentTextChar"/>
    <w:uiPriority w:val="99"/>
    <w:semiHidden/>
    <w:rsid w:val="0060356C"/>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60356C"/>
    <w:rPr>
      <w:rFonts w:ascii="Calibri" w:eastAsia="Times New Roman" w:hAnsi="Calibri" w:cs="Times New Roman"/>
      <w:sz w:val="20"/>
      <w:szCs w:val="20"/>
    </w:rPr>
  </w:style>
  <w:style w:type="character" w:styleId="CommentReference">
    <w:name w:val="annotation reference"/>
    <w:basedOn w:val="DefaultParagraphFont"/>
    <w:uiPriority w:val="99"/>
    <w:semiHidden/>
    <w:rsid w:val="0060356C"/>
    <w:rPr>
      <w:rFonts w:cs="Times New Roman"/>
      <w:sz w:val="16"/>
      <w:szCs w:val="16"/>
    </w:rPr>
  </w:style>
  <w:style w:type="paragraph" w:styleId="BalloonText">
    <w:name w:val="Balloon Text"/>
    <w:basedOn w:val="Normal"/>
    <w:link w:val="BalloonTextChar"/>
    <w:uiPriority w:val="99"/>
    <w:semiHidden/>
    <w:unhideWhenUsed/>
    <w:rsid w:val="00603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56C"/>
    <w:rPr>
      <w:rFonts w:ascii="Segoe UI" w:hAnsi="Segoe UI" w:cs="Segoe UI"/>
      <w:sz w:val="18"/>
      <w:szCs w:val="18"/>
    </w:rPr>
  </w:style>
  <w:style w:type="character" w:styleId="Hyperlink">
    <w:name w:val="Hyperlink"/>
    <w:basedOn w:val="DefaultParagraphFont"/>
    <w:uiPriority w:val="99"/>
    <w:unhideWhenUsed/>
    <w:rsid w:val="00921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2018-07-11T08:31:00Z</dcterms:created>
  <dcterms:modified xsi:type="dcterms:W3CDTF">2018-07-11T08:31:00Z</dcterms:modified>
</cp:coreProperties>
</file>