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B36F9" w14:textId="201296A9" w:rsidR="005D369F" w:rsidRDefault="00AA06F2" w:rsidP="00A12B92">
      <w:pPr>
        <w:pStyle w:val="Title"/>
        <w:spacing w:before="3000"/>
      </w:pPr>
      <w:bookmarkStart w:id="0" w:name="_GoBack"/>
      <w:bookmarkEnd w:id="0"/>
      <w:r w:rsidRPr="00D03B5D">
        <w:rPr>
          <w:color w:val="auto"/>
        </w:rPr>
        <w:t>Financial Wellbeing and Capability</w:t>
      </w:r>
      <w:r>
        <w:rPr>
          <w:color w:val="auto"/>
        </w:rPr>
        <w:t xml:space="preserve"> Activity </w:t>
      </w:r>
      <w:r w:rsidR="00BA15BA">
        <w:rPr>
          <w:color w:val="auto"/>
        </w:rPr>
        <w:t>–</w:t>
      </w:r>
      <w:r>
        <w:rPr>
          <w:color w:val="auto"/>
        </w:rPr>
        <w:t xml:space="preserve"> </w:t>
      </w:r>
      <w:r w:rsidRPr="006012A9">
        <w:rPr>
          <w:color w:val="auto"/>
        </w:rPr>
        <w:t>Commonwealth Financial Counselling and Financial Capability</w:t>
      </w:r>
      <w:r w:rsidR="00984814">
        <w:rPr>
          <w:color w:val="auto"/>
        </w:rPr>
        <w:t xml:space="preserve">: </w:t>
      </w:r>
      <w:r>
        <w:rPr>
          <w:color w:val="auto"/>
        </w:rPr>
        <w:t>Capa</w:t>
      </w:r>
      <w:r w:rsidR="00FB7C28">
        <w:rPr>
          <w:color w:val="auto"/>
        </w:rPr>
        <w:t>bil</w:t>
      </w:r>
      <w:r>
        <w:rPr>
          <w:color w:val="auto"/>
        </w:rPr>
        <w:t>ity Building</w:t>
      </w:r>
      <w:r w:rsidRPr="006012A9">
        <w:rPr>
          <w:color w:val="auto"/>
        </w:rPr>
        <w:t xml:space="preserve"> </w:t>
      </w:r>
    </w:p>
    <w:p w14:paraId="5CD9A023" w14:textId="72EEF833" w:rsidR="00794773" w:rsidRPr="007040EB" w:rsidRDefault="005C6AF7" w:rsidP="00A12B92">
      <w:pPr>
        <w:pStyle w:val="Title"/>
        <w:spacing w:before="3000"/>
      </w:pPr>
      <w:r>
        <w:rPr>
          <w:color w:val="auto"/>
        </w:rPr>
        <w:t xml:space="preserve">Grant Opportunity </w:t>
      </w:r>
      <w:r w:rsidR="00AA06F2" w:rsidRPr="006012A9">
        <w:rPr>
          <w:color w:val="auto"/>
        </w:rPr>
        <w:t>Guidelines</w:t>
      </w:r>
      <w:r w:rsidR="00AA06F2" w:rsidRPr="00173FA3" w:rsidDel="00AA06F2">
        <w:rPr>
          <w:color w:val="AD8800" w:themeColor="accent3" w:themeShade="BF"/>
        </w:rPr>
        <w:t xml:space="preserve"> </w:t>
      </w: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264CF55D" w14:textId="77777777" w:rsidTr="00096839">
        <w:trPr>
          <w:tblHeader/>
        </w:trPr>
        <w:tc>
          <w:tcPr>
            <w:tcW w:w="2977" w:type="dxa"/>
          </w:tcPr>
          <w:p w14:paraId="23E14B10"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15097151" w14:textId="6905BFB9" w:rsidR="00794773" w:rsidRPr="00F71A05" w:rsidRDefault="00BA15BA" w:rsidP="002C7BB1">
            <w:pPr>
              <w:pStyle w:val="inputcomment"/>
              <w:rPr>
                <w:b w:val="0"/>
                <w:color w:val="auto"/>
              </w:rPr>
            </w:pPr>
            <w:r w:rsidRPr="00F71A05">
              <w:rPr>
                <w:b w:val="0"/>
                <w:color w:val="auto"/>
              </w:rPr>
              <w:t>12 July 2018</w:t>
            </w:r>
          </w:p>
        </w:tc>
      </w:tr>
      <w:tr w:rsidR="00794773" w:rsidRPr="007040EB" w14:paraId="53942681" w14:textId="77777777" w:rsidTr="002C7BB1">
        <w:tc>
          <w:tcPr>
            <w:tcW w:w="2977" w:type="dxa"/>
          </w:tcPr>
          <w:p w14:paraId="716DA874"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16E468C6" w14:textId="5C93E9F2" w:rsidR="00794773" w:rsidRPr="00F71A05" w:rsidRDefault="00BA15BA" w:rsidP="00CA709C">
            <w:pPr>
              <w:pStyle w:val="inputcomment"/>
              <w:rPr>
                <w:b w:val="0"/>
                <w:color w:val="auto"/>
              </w:rPr>
            </w:pPr>
            <w:r w:rsidRPr="00F71A05">
              <w:rPr>
                <w:b w:val="0"/>
                <w:color w:val="auto"/>
              </w:rPr>
              <w:t xml:space="preserve">2pm </w:t>
            </w:r>
            <w:r w:rsidR="00794773" w:rsidRPr="00F71A05">
              <w:rPr>
                <w:b w:val="0"/>
                <w:color w:val="auto"/>
              </w:rPr>
              <w:t xml:space="preserve">AEST </w:t>
            </w:r>
            <w:r w:rsidR="00794773" w:rsidRPr="00CA709C">
              <w:rPr>
                <w:b w:val="0"/>
                <w:color w:val="auto"/>
              </w:rPr>
              <w:t>on</w:t>
            </w:r>
            <w:r w:rsidR="00794773" w:rsidRPr="00F71A05">
              <w:rPr>
                <w:b w:val="0"/>
                <w:color w:val="auto"/>
              </w:rPr>
              <w:t xml:space="preserve"> </w:t>
            </w:r>
            <w:r w:rsidR="00DE5F0F">
              <w:rPr>
                <w:b w:val="0"/>
                <w:color w:val="auto"/>
              </w:rPr>
              <w:t>8</w:t>
            </w:r>
            <w:r w:rsidRPr="00F71A05">
              <w:rPr>
                <w:b w:val="0"/>
                <w:color w:val="auto"/>
              </w:rPr>
              <w:t xml:space="preserve"> August 2018</w:t>
            </w:r>
          </w:p>
        </w:tc>
      </w:tr>
      <w:tr w:rsidR="00794773" w:rsidRPr="007040EB" w14:paraId="69FF7E45" w14:textId="77777777" w:rsidTr="002C7BB1">
        <w:tc>
          <w:tcPr>
            <w:tcW w:w="2977" w:type="dxa"/>
          </w:tcPr>
          <w:p w14:paraId="75961401"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198A4ED8" w14:textId="7DA67CBF" w:rsidR="00794773" w:rsidRPr="002C7BB1" w:rsidRDefault="00AA06F2" w:rsidP="00694DF9">
            <w:pPr>
              <w:spacing w:line="240" w:lineRule="auto"/>
            </w:pPr>
            <w:r w:rsidRPr="00D03B5D">
              <w:t>Department of Social Services</w:t>
            </w:r>
          </w:p>
        </w:tc>
      </w:tr>
      <w:tr w:rsidR="00794773" w:rsidRPr="007040EB" w14:paraId="452457FE" w14:textId="77777777" w:rsidTr="002C7BB1">
        <w:tc>
          <w:tcPr>
            <w:tcW w:w="2977" w:type="dxa"/>
          </w:tcPr>
          <w:p w14:paraId="4B253D3A"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413"/>
            </w:tblGrid>
            <w:tr w:rsidR="00AA06F2" w:rsidRPr="003D7AF4" w14:paraId="20D74EDF" w14:textId="77777777" w:rsidTr="00AA06F2">
              <w:trPr>
                <w:trHeight w:val="804"/>
              </w:trPr>
              <w:tc>
                <w:tcPr>
                  <w:tcW w:w="0" w:type="auto"/>
                </w:tcPr>
                <w:p w14:paraId="6EAACA29" w14:textId="77777777" w:rsidR="00AA06F2" w:rsidRPr="003D7AF4" w:rsidRDefault="00AA06F2" w:rsidP="00786A32">
                  <w:pPr>
                    <w:suppressAutoHyphens w:val="0"/>
                    <w:autoSpaceDE w:val="0"/>
                    <w:autoSpaceDN w:val="0"/>
                    <w:adjustRightInd w:val="0"/>
                    <w:spacing w:before="0" w:after="0" w:line="240" w:lineRule="auto"/>
                    <w:ind w:left="-74"/>
                    <w:rPr>
                      <w:rFonts w:ascii="Arial" w:hAnsi="Arial" w:cs="Arial"/>
                      <w:color w:val="000000"/>
                    </w:rPr>
                  </w:pPr>
                  <w:r w:rsidRPr="003D7AF4">
                    <w:rPr>
                      <w:rFonts w:ascii="Arial" w:hAnsi="Arial" w:cs="Arial"/>
                      <w:color w:val="000000"/>
                    </w:rPr>
                    <w:t xml:space="preserve">If you have any questions, please contact </w:t>
                  </w:r>
                </w:p>
                <w:p w14:paraId="291A7CE9" w14:textId="77777777" w:rsidR="00AA06F2" w:rsidRPr="00C82FE4" w:rsidRDefault="00AA06F2" w:rsidP="00786A32">
                  <w:pPr>
                    <w:suppressAutoHyphens w:val="0"/>
                    <w:autoSpaceDE w:val="0"/>
                    <w:autoSpaceDN w:val="0"/>
                    <w:adjustRightInd w:val="0"/>
                    <w:spacing w:before="0" w:after="0" w:line="240" w:lineRule="auto"/>
                    <w:ind w:left="-74"/>
                    <w:rPr>
                      <w:rFonts w:ascii="Arial" w:hAnsi="Arial" w:cs="Arial"/>
                      <w:color w:val="000000"/>
                    </w:rPr>
                  </w:pPr>
                  <w:r w:rsidRPr="00A37CC2">
                    <w:rPr>
                      <w:rFonts w:ascii="Arial" w:hAnsi="Arial" w:cs="Arial"/>
                      <w:bCs/>
                      <w:color w:val="000000"/>
                    </w:rPr>
                    <w:t xml:space="preserve">Community Grants Hub </w:t>
                  </w:r>
                </w:p>
                <w:p w14:paraId="7836AD6A" w14:textId="77777777" w:rsidR="00AA06F2" w:rsidRPr="00A37CC2" w:rsidRDefault="00AA06F2" w:rsidP="00786A32">
                  <w:pPr>
                    <w:suppressAutoHyphens w:val="0"/>
                    <w:autoSpaceDE w:val="0"/>
                    <w:autoSpaceDN w:val="0"/>
                    <w:adjustRightInd w:val="0"/>
                    <w:spacing w:before="0" w:after="0" w:line="240" w:lineRule="auto"/>
                    <w:ind w:left="-74"/>
                    <w:rPr>
                      <w:rFonts w:ascii="Arial" w:hAnsi="Arial" w:cs="Arial"/>
                      <w:bCs/>
                      <w:color w:val="000000"/>
                    </w:rPr>
                  </w:pPr>
                  <w:r w:rsidRPr="00A37CC2">
                    <w:rPr>
                      <w:rFonts w:ascii="Arial" w:hAnsi="Arial" w:cs="Arial"/>
                      <w:bCs/>
                      <w:color w:val="000000"/>
                    </w:rPr>
                    <w:t>Phone: 1800 020 28</w:t>
                  </w:r>
                  <w:r>
                    <w:rPr>
                      <w:rFonts w:ascii="Arial" w:hAnsi="Arial" w:cs="Arial"/>
                      <w:bCs/>
                      <w:color w:val="000000"/>
                    </w:rPr>
                    <w:t>3</w:t>
                  </w:r>
                </w:p>
                <w:p w14:paraId="64A7B33E" w14:textId="77777777" w:rsidR="00AA06F2" w:rsidRPr="00C82FE4" w:rsidRDefault="00AA06F2" w:rsidP="00786A32">
                  <w:pPr>
                    <w:suppressAutoHyphens w:val="0"/>
                    <w:autoSpaceDE w:val="0"/>
                    <w:autoSpaceDN w:val="0"/>
                    <w:adjustRightInd w:val="0"/>
                    <w:spacing w:before="0" w:after="0" w:line="240" w:lineRule="auto"/>
                    <w:ind w:left="-74"/>
                    <w:rPr>
                      <w:rFonts w:ascii="Arial" w:hAnsi="Arial" w:cs="Arial"/>
                      <w:color w:val="000000"/>
                    </w:rPr>
                  </w:pPr>
                </w:p>
                <w:p w14:paraId="1094358E" w14:textId="77777777" w:rsidR="00AA06F2" w:rsidRPr="003D7AF4" w:rsidRDefault="00AA06F2" w:rsidP="00786A32">
                  <w:pPr>
                    <w:suppressAutoHyphens w:val="0"/>
                    <w:autoSpaceDE w:val="0"/>
                    <w:autoSpaceDN w:val="0"/>
                    <w:adjustRightInd w:val="0"/>
                    <w:spacing w:before="0" w:after="0" w:line="240" w:lineRule="auto"/>
                    <w:ind w:left="-74"/>
                    <w:rPr>
                      <w:rFonts w:ascii="Arial" w:hAnsi="Arial" w:cs="Arial"/>
                      <w:color w:val="000000"/>
                    </w:rPr>
                  </w:pPr>
                  <w:r w:rsidRPr="00A37CC2">
                    <w:rPr>
                      <w:rFonts w:ascii="Arial" w:hAnsi="Arial" w:cs="Arial"/>
                      <w:bCs/>
                      <w:color w:val="000000"/>
                    </w:rPr>
                    <w:t xml:space="preserve">Email: </w:t>
                  </w:r>
                  <w:hyperlink r:id="rId8" w:history="1">
                    <w:r w:rsidRPr="00A37CC2">
                      <w:rPr>
                        <w:rStyle w:val="Hyperlink"/>
                        <w:rFonts w:ascii="Arial" w:hAnsi="Arial" w:cs="Arial"/>
                        <w:bCs/>
                      </w:rPr>
                      <w:t>support@communitygrants.gov.au</w:t>
                    </w:r>
                  </w:hyperlink>
                  <w:r>
                    <w:rPr>
                      <w:rFonts w:ascii="Arial" w:hAnsi="Arial" w:cs="Arial"/>
                      <w:b/>
                      <w:bCs/>
                      <w:color w:val="000000"/>
                    </w:rPr>
                    <w:t xml:space="preserve"> </w:t>
                  </w:r>
                  <w:r w:rsidRPr="003D7AF4">
                    <w:rPr>
                      <w:rFonts w:ascii="Arial" w:hAnsi="Arial" w:cs="Arial"/>
                      <w:b/>
                      <w:bCs/>
                      <w:color w:val="000000"/>
                    </w:rPr>
                    <w:t xml:space="preserve"> </w:t>
                  </w:r>
                </w:p>
              </w:tc>
            </w:tr>
          </w:tbl>
          <w:p w14:paraId="7EF98305" w14:textId="13855AB4" w:rsidR="00794773" w:rsidRPr="002C7BB1" w:rsidRDefault="00794773" w:rsidP="006C6E91">
            <w:pPr>
              <w:spacing w:line="240" w:lineRule="auto"/>
            </w:pPr>
            <w:r w:rsidRPr="002C7BB1">
              <w:br/>
            </w:r>
          </w:p>
        </w:tc>
      </w:tr>
      <w:tr w:rsidR="00794773" w:rsidRPr="007040EB" w14:paraId="33DDE956" w14:textId="77777777" w:rsidTr="002C7BB1">
        <w:tc>
          <w:tcPr>
            <w:tcW w:w="2977" w:type="dxa"/>
          </w:tcPr>
          <w:p w14:paraId="1E508ACF"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12E9F162" w14:textId="6BBF70A2" w:rsidR="00794773" w:rsidRPr="002C7BB1" w:rsidRDefault="00021FB3" w:rsidP="00694DF9">
            <w:pPr>
              <w:spacing w:line="240" w:lineRule="auto"/>
            </w:pPr>
            <w:r w:rsidRPr="00F71A05">
              <w:t>12 July 2018</w:t>
            </w:r>
          </w:p>
        </w:tc>
      </w:tr>
      <w:tr w:rsidR="00794773" w14:paraId="64BA59BD" w14:textId="77777777" w:rsidTr="002C7BB1">
        <w:tc>
          <w:tcPr>
            <w:tcW w:w="2977" w:type="dxa"/>
          </w:tcPr>
          <w:p w14:paraId="634D4C93"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277F966B" w14:textId="7DF577F7" w:rsidR="00B6687E" w:rsidRPr="005B6614" w:rsidRDefault="00794773" w:rsidP="006539C9">
            <w:pPr>
              <w:spacing w:line="240" w:lineRule="auto"/>
              <w:rPr>
                <w:color w:val="AD8800" w:themeColor="accent3" w:themeShade="BF"/>
              </w:rPr>
            </w:pPr>
            <w:r w:rsidRPr="005B6614">
              <w:t>Restricted non-competitive</w:t>
            </w:r>
          </w:p>
        </w:tc>
      </w:tr>
    </w:tbl>
    <w:p w14:paraId="45B56AF8" w14:textId="77777777" w:rsidR="005D369F" w:rsidRDefault="005D369F" w:rsidP="0020122A">
      <w:pPr>
        <w:pStyle w:val="TOCHeading"/>
        <w:sectPr w:rsidR="005D369F" w:rsidSect="005A41E0">
          <w:headerReference w:type="even" r:id="rId9"/>
          <w:headerReference w:type="default" r:id="rId10"/>
          <w:footerReference w:type="even" r:id="rId11"/>
          <w:footerReference w:type="default" r:id="rId12"/>
          <w:headerReference w:type="first" r:id="rId13"/>
          <w:footerReference w:type="first" r:id="rId14"/>
          <w:pgSz w:w="11906" w:h="16838" w:code="9"/>
          <w:pgMar w:top="2268" w:right="1418" w:bottom="1418" w:left="1418" w:header="567" w:footer="624" w:gutter="0"/>
          <w:cols w:space="708"/>
          <w:titlePg/>
          <w:docGrid w:linePitch="360"/>
        </w:sectPr>
      </w:pPr>
    </w:p>
    <w:p w14:paraId="786F8B4E" w14:textId="77FD265B" w:rsidR="0020122A" w:rsidRDefault="0020122A" w:rsidP="0020122A">
      <w:pPr>
        <w:pStyle w:val="TOCHeading"/>
      </w:pPr>
      <w:r>
        <w:lastRenderedPageBreak/>
        <w:t>Contents</w:t>
      </w:r>
    </w:p>
    <w:p w14:paraId="75FC592D" w14:textId="4A6CDD73" w:rsidR="00021FB3"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8477060" w:history="1">
        <w:r w:rsidR="00021FB3" w:rsidRPr="00684F72">
          <w:rPr>
            <w:rStyle w:val="Hyperlink"/>
            <w:noProof/>
          </w:rPr>
          <w:t>1.</w:t>
        </w:r>
        <w:r w:rsidR="00021FB3">
          <w:rPr>
            <w:rFonts w:eastAsiaTheme="minorEastAsia"/>
            <w:b w:val="0"/>
            <w:noProof/>
            <w:sz w:val="22"/>
            <w:lang w:eastAsia="en-AU"/>
          </w:rPr>
          <w:tab/>
        </w:r>
        <w:r w:rsidR="00021FB3" w:rsidRPr="00684F72">
          <w:rPr>
            <w:rStyle w:val="Hyperlink"/>
            <w:noProof/>
          </w:rPr>
          <w:t>Financial Wellbeing and Capability Activity: Commonwealth Financial Counselling and Financial Capability – Capability Building Grant Opportunity Processes</w:t>
        </w:r>
        <w:r w:rsidR="00021FB3">
          <w:rPr>
            <w:noProof/>
            <w:webHidden/>
          </w:rPr>
          <w:tab/>
        </w:r>
        <w:r w:rsidR="00021FB3">
          <w:rPr>
            <w:noProof/>
            <w:webHidden/>
          </w:rPr>
          <w:fldChar w:fldCharType="begin"/>
        </w:r>
        <w:r w:rsidR="00021FB3">
          <w:rPr>
            <w:noProof/>
            <w:webHidden/>
          </w:rPr>
          <w:instrText xml:space="preserve"> PAGEREF _Toc518477060 \h </w:instrText>
        </w:r>
        <w:r w:rsidR="00021FB3">
          <w:rPr>
            <w:noProof/>
            <w:webHidden/>
          </w:rPr>
        </w:r>
        <w:r w:rsidR="00021FB3">
          <w:rPr>
            <w:noProof/>
            <w:webHidden/>
          </w:rPr>
          <w:fldChar w:fldCharType="separate"/>
        </w:r>
        <w:r w:rsidR="00021FB3">
          <w:rPr>
            <w:noProof/>
            <w:webHidden/>
          </w:rPr>
          <w:t>4</w:t>
        </w:r>
        <w:r w:rsidR="00021FB3">
          <w:rPr>
            <w:noProof/>
            <w:webHidden/>
          </w:rPr>
          <w:fldChar w:fldCharType="end"/>
        </w:r>
      </w:hyperlink>
    </w:p>
    <w:p w14:paraId="6CF60469" w14:textId="624CF651" w:rsidR="00021FB3" w:rsidRDefault="003A6838">
      <w:pPr>
        <w:pStyle w:val="TOC2"/>
        <w:rPr>
          <w:rFonts w:eastAsiaTheme="minorEastAsia"/>
          <w:noProof/>
          <w:lang w:eastAsia="en-AU"/>
        </w:rPr>
      </w:pPr>
      <w:hyperlink w:anchor="_Toc518477061" w:history="1">
        <w:r w:rsidR="00021FB3" w:rsidRPr="00684F72">
          <w:rPr>
            <w:rStyle w:val="Hyperlink"/>
            <w:noProof/>
          </w:rPr>
          <w:t>1.1</w:t>
        </w:r>
        <w:r w:rsidR="00021FB3">
          <w:rPr>
            <w:rFonts w:eastAsiaTheme="minorEastAsia"/>
            <w:noProof/>
            <w:lang w:eastAsia="en-AU"/>
          </w:rPr>
          <w:tab/>
        </w:r>
        <w:r w:rsidR="00021FB3" w:rsidRPr="00684F72">
          <w:rPr>
            <w:rStyle w:val="Hyperlink"/>
            <w:noProof/>
          </w:rPr>
          <w:t>Role of the Community Grants Hub</w:t>
        </w:r>
        <w:r w:rsidR="00021FB3">
          <w:rPr>
            <w:noProof/>
            <w:webHidden/>
          </w:rPr>
          <w:tab/>
        </w:r>
        <w:r w:rsidR="00021FB3">
          <w:rPr>
            <w:noProof/>
            <w:webHidden/>
          </w:rPr>
          <w:fldChar w:fldCharType="begin"/>
        </w:r>
        <w:r w:rsidR="00021FB3">
          <w:rPr>
            <w:noProof/>
            <w:webHidden/>
          </w:rPr>
          <w:instrText xml:space="preserve"> PAGEREF _Toc518477061 \h </w:instrText>
        </w:r>
        <w:r w:rsidR="00021FB3">
          <w:rPr>
            <w:noProof/>
            <w:webHidden/>
          </w:rPr>
        </w:r>
        <w:r w:rsidR="00021FB3">
          <w:rPr>
            <w:noProof/>
            <w:webHidden/>
          </w:rPr>
          <w:fldChar w:fldCharType="separate"/>
        </w:r>
        <w:r w:rsidR="00021FB3">
          <w:rPr>
            <w:noProof/>
            <w:webHidden/>
          </w:rPr>
          <w:t>5</w:t>
        </w:r>
        <w:r w:rsidR="00021FB3">
          <w:rPr>
            <w:noProof/>
            <w:webHidden/>
          </w:rPr>
          <w:fldChar w:fldCharType="end"/>
        </w:r>
      </w:hyperlink>
    </w:p>
    <w:p w14:paraId="35143418" w14:textId="59F22E72" w:rsidR="00021FB3" w:rsidRDefault="003A6838">
      <w:pPr>
        <w:pStyle w:val="TOC2"/>
        <w:rPr>
          <w:rFonts w:eastAsiaTheme="minorEastAsia"/>
          <w:noProof/>
          <w:lang w:eastAsia="en-AU"/>
        </w:rPr>
      </w:pPr>
      <w:hyperlink w:anchor="_Toc518477062" w:history="1">
        <w:r w:rsidR="00021FB3" w:rsidRPr="00684F72">
          <w:rPr>
            <w:rStyle w:val="Hyperlink"/>
            <w:noProof/>
          </w:rPr>
          <w:t>1.2</w:t>
        </w:r>
        <w:r w:rsidR="00021FB3">
          <w:rPr>
            <w:rFonts w:eastAsiaTheme="minorEastAsia"/>
            <w:noProof/>
            <w:lang w:eastAsia="en-AU"/>
          </w:rPr>
          <w:tab/>
        </w:r>
        <w:r w:rsidR="00021FB3" w:rsidRPr="00684F72">
          <w:rPr>
            <w:rStyle w:val="Hyperlink"/>
            <w:noProof/>
          </w:rPr>
          <w:t>About the grant program</w:t>
        </w:r>
        <w:r w:rsidR="00021FB3">
          <w:rPr>
            <w:noProof/>
            <w:webHidden/>
          </w:rPr>
          <w:tab/>
        </w:r>
        <w:r w:rsidR="00021FB3">
          <w:rPr>
            <w:noProof/>
            <w:webHidden/>
          </w:rPr>
          <w:fldChar w:fldCharType="begin"/>
        </w:r>
        <w:r w:rsidR="00021FB3">
          <w:rPr>
            <w:noProof/>
            <w:webHidden/>
          </w:rPr>
          <w:instrText xml:space="preserve"> PAGEREF _Toc518477062 \h </w:instrText>
        </w:r>
        <w:r w:rsidR="00021FB3">
          <w:rPr>
            <w:noProof/>
            <w:webHidden/>
          </w:rPr>
        </w:r>
        <w:r w:rsidR="00021FB3">
          <w:rPr>
            <w:noProof/>
            <w:webHidden/>
          </w:rPr>
          <w:fldChar w:fldCharType="separate"/>
        </w:r>
        <w:r w:rsidR="00021FB3">
          <w:rPr>
            <w:noProof/>
            <w:webHidden/>
          </w:rPr>
          <w:t>5</w:t>
        </w:r>
        <w:r w:rsidR="00021FB3">
          <w:rPr>
            <w:noProof/>
            <w:webHidden/>
          </w:rPr>
          <w:fldChar w:fldCharType="end"/>
        </w:r>
      </w:hyperlink>
    </w:p>
    <w:p w14:paraId="631F519C" w14:textId="4725DEC8" w:rsidR="00021FB3" w:rsidRDefault="003A6838">
      <w:pPr>
        <w:pStyle w:val="TOC2"/>
        <w:rPr>
          <w:rFonts w:eastAsiaTheme="minorEastAsia"/>
          <w:noProof/>
          <w:lang w:eastAsia="en-AU"/>
        </w:rPr>
      </w:pPr>
      <w:hyperlink w:anchor="_Toc518477063" w:history="1">
        <w:r w:rsidR="00021FB3" w:rsidRPr="00684F72">
          <w:rPr>
            <w:rStyle w:val="Hyperlink"/>
            <w:noProof/>
          </w:rPr>
          <w:t>1.3</w:t>
        </w:r>
        <w:r w:rsidR="00021FB3">
          <w:rPr>
            <w:rFonts w:eastAsiaTheme="minorEastAsia"/>
            <w:noProof/>
            <w:lang w:eastAsia="en-AU"/>
          </w:rPr>
          <w:tab/>
        </w:r>
        <w:r w:rsidR="00021FB3" w:rsidRPr="00684F72">
          <w:rPr>
            <w:rStyle w:val="Hyperlink"/>
            <w:noProof/>
          </w:rPr>
          <w:t>About the Grant Opportunity</w:t>
        </w:r>
        <w:r w:rsidR="00021FB3">
          <w:rPr>
            <w:noProof/>
            <w:webHidden/>
          </w:rPr>
          <w:tab/>
        </w:r>
        <w:r w:rsidR="00021FB3">
          <w:rPr>
            <w:noProof/>
            <w:webHidden/>
          </w:rPr>
          <w:fldChar w:fldCharType="begin"/>
        </w:r>
        <w:r w:rsidR="00021FB3">
          <w:rPr>
            <w:noProof/>
            <w:webHidden/>
          </w:rPr>
          <w:instrText xml:space="preserve"> PAGEREF _Toc518477063 \h </w:instrText>
        </w:r>
        <w:r w:rsidR="00021FB3">
          <w:rPr>
            <w:noProof/>
            <w:webHidden/>
          </w:rPr>
        </w:r>
        <w:r w:rsidR="00021FB3">
          <w:rPr>
            <w:noProof/>
            <w:webHidden/>
          </w:rPr>
          <w:fldChar w:fldCharType="separate"/>
        </w:r>
        <w:r w:rsidR="00021FB3">
          <w:rPr>
            <w:noProof/>
            <w:webHidden/>
          </w:rPr>
          <w:t>6</w:t>
        </w:r>
        <w:r w:rsidR="00021FB3">
          <w:rPr>
            <w:noProof/>
            <w:webHidden/>
          </w:rPr>
          <w:fldChar w:fldCharType="end"/>
        </w:r>
      </w:hyperlink>
    </w:p>
    <w:p w14:paraId="438AC628" w14:textId="419AD892" w:rsidR="00021FB3" w:rsidRDefault="003A6838">
      <w:pPr>
        <w:pStyle w:val="TOC2"/>
        <w:rPr>
          <w:rFonts w:eastAsiaTheme="minorEastAsia"/>
          <w:noProof/>
          <w:lang w:eastAsia="en-AU"/>
        </w:rPr>
      </w:pPr>
      <w:hyperlink w:anchor="_Toc518477064" w:history="1">
        <w:r w:rsidR="00021FB3" w:rsidRPr="00684F72">
          <w:rPr>
            <w:rStyle w:val="Hyperlink"/>
            <w:noProof/>
          </w:rPr>
          <w:t>1.4</w:t>
        </w:r>
        <w:r w:rsidR="00021FB3">
          <w:rPr>
            <w:rFonts w:eastAsiaTheme="minorEastAsia"/>
            <w:noProof/>
            <w:lang w:eastAsia="en-AU"/>
          </w:rPr>
          <w:tab/>
        </w:r>
        <w:r w:rsidR="00021FB3" w:rsidRPr="00684F72">
          <w:rPr>
            <w:rStyle w:val="Hyperlink"/>
            <w:noProof/>
          </w:rPr>
          <w:t>CFC/FC Capability Building Grant Opportunity outcomes</w:t>
        </w:r>
        <w:r w:rsidR="00021FB3">
          <w:rPr>
            <w:noProof/>
            <w:webHidden/>
          </w:rPr>
          <w:tab/>
        </w:r>
        <w:r w:rsidR="00021FB3">
          <w:rPr>
            <w:noProof/>
            <w:webHidden/>
          </w:rPr>
          <w:fldChar w:fldCharType="begin"/>
        </w:r>
        <w:r w:rsidR="00021FB3">
          <w:rPr>
            <w:noProof/>
            <w:webHidden/>
          </w:rPr>
          <w:instrText xml:space="preserve"> PAGEREF _Toc518477064 \h </w:instrText>
        </w:r>
        <w:r w:rsidR="00021FB3">
          <w:rPr>
            <w:noProof/>
            <w:webHidden/>
          </w:rPr>
        </w:r>
        <w:r w:rsidR="00021FB3">
          <w:rPr>
            <w:noProof/>
            <w:webHidden/>
          </w:rPr>
          <w:fldChar w:fldCharType="separate"/>
        </w:r>
        <w:r w:rsidR="00021FB3">
          <w:rPr>
            <w:noProof/>
            <w:webHidden/>
          </w:rPr>
          <w:t>7</w:t>
        </w:r>
        <w:r w:rsidR="00021FB3">
          <w:rPr>
            <w:noProof/>
            <w:webHidden/>
          </w:rPr>
          <w:fldChar w:fldCharType="end"/>
        </w:r>
      </w:hyperlink>
    </w:p>
    <w:p w14:paraId="3DE0C95E" w14:textId="64FBFAD4" w:rsidR="00021FB3" w:rsidRDefault="003A6838">
      <w:pPr>
        <w:pStyle w:val="TOC1"/>
        <w:rPr>
          <w:rFonts w:eastAsiaTheme="minorEastAsia"/>
          <w:b w:val="0"/>
          <w:noProof/>
          <w:sz w:val="22"/>
          <w:lang w:eastAsia="en-AU"/>
        </w:rPr>
      </w:pPr>
      <w:hyperlink w:anchor="_Toc518477065" w:history="1">
        <w:r w:rsidR="00021FB3" w:rsidRPr="00684F72">
          <w:rPr>
            <w:rStyle w:val="Hyperlink"/>
            <w:noProof/>
          </w:rPr>
          <w:t>2.</w:t>
        </w:r>
        <w:r w:rsidR="00021FB3">
          <w:rPr>
            <w:rFonts w:eastAsiaTheme="minorEastAsia"/>
            <w:b w:val="0"/>
            <w:noProof/>
            <w:sz w:val="22"/>
            <w:lang w:eastAsia="en-AU"/>
          </w:rPr>
          <w:tab/>
        </w:r>
        <w:r w:rsidR="00021FB3" w:rsidRPr="00684F72">
          <w:rPr>
            <w:rStyle w:val="Hyperlink"/>
            <w:noProof/>
          </w:rPr>
          <w:t>Grant amount</w:t>
        </w:r>
        <w:r w:rsidR="00021FB3">
          <w:rPr>
            <w:noProof/>
            <w:webHidden/>
          </w:rPr>
          <w:tab/>
        </w:r>
        <w:r w:rsidR="00021FB3">
          <w:rPr>
            <w:noProof/>
            <w:webHidden/>
          </w:rPr>
          <w:fldChar w:fldCharType="begin"/>
        </w:r>
        <w:r w:rsidR="00021FB3">
          <w:rPr>
            <w:noProof/>
            <w:webHidden/>
          </w:rPr>
          <w:instrText xml:space="preserve"> PAGEREF _Toc518477065 \h </w:instrText>
        </w:r>
        <w:r w:rsidR="00021FB3">
          <w:rPr>
            <w:noProof/>
            <w:webHidden/>
          </w:rPr>
        </w:r>
        <w:r w:rsidR="00021FB3">
          <w:rPr>
            <w:noProof/>
            <w:webHidden/>
          </w:rPr>
          <w:fldChar w:fldCharType="separate"/>
        </w:r>
        <w:r w:rsidR="00021FB3">
          <w:rPr>
            <w:noProof/>
            <w:webHidden/>
          </w:rPr>
          <w:t>8</w:t>
        </w:r>
        <w:r w:rsidR="00021FB3">
          <w:rPr>
            <w:noProof/>
            <w:webHidden/>
          </w:rPr>
          <w:fldChar w:fldCharType="end"/>
        </w:r>
      </w:hyperlink>
    </w:p>
    <w:p w14:paraId="7399F702" w14:textId="2C57B0B0" w:rsidR="00021FB3" w:rsidRDefault="003A6838">
      <w:pPr>
        <w:pStyle w:val="TOC2"/>
        <w:rPr>
          <w:rFonts w:eastAsiaTheme="minorEastAsia"/>
          <w:noProof/>
          <w:lang w:eastAsia="en-AU"/>
        </w:rPr>
      </w:pPr>
      <w:hyperlink w:anchor="_Toc518477066" w:history="1">
        <w:r w:rsidR="00021FB3" w:rsidRPr="00684F72">
          <w:rPr>
            <w:rStyle w:val="Hyperlink"/>
            <w:noProof/>
          </w:rPr>
          <w:t>2.1</w:t>
        </w:r>
        <w:r w:rsidR="00021FB3">
          <w:rPr>
            <w:rFonts w:eastAsiaTheme="minorEastAsia"/>
            <w:noProof/>
            <w:lang w:eastAsia="en-AU"/>
          </w:rPr>
          <w:tab/>
        </w:r>
        <w:r w:rsidR="00021FB3" w:rsidRPr="00684F72">
          <w:rPr>
            <w:rStyle w:val="Hyperlink"/>
            <w:noProof/>
          </w:rPr>
          <w:t>Social and Community Services (SACS) Supplementation</w:t>
        </w:r>
        <w:r w:rsidR="00021FB3">
          <w:rPr>
            <w:noProof/>
            <w:webHidden/>
          </w:rPr>
          <w:tab/>
        </w:r>
        <w:r w:rsidR="00021FB3">
          <w:rPr>
            <w:noProof/>
            <w:webHidden/>
          </w:rPr>
          <w:fldChar w:fldCharType="begin"/>
        </w:r>
        <w:r w:rsidR="00021FB3">
          <w:rPr>
            <w:noProof/>
            <w:webHidden/>
          </w:rPr>
          <w:instrText xml:space="preserve"> PAGEREF _Toc518477066 \h </w:instrText>
        </w:r>
        <w:r w:rsidR="00021FB3">
          <w:rPr>
            <w:noProof/>
            <w:webHidden/>
          </w:rPr>
        </w:r>
        <w:r w:rsidR="00021FB3">
          <w:rPr>
            <w:noProof/>
            <w:webHidden/>
          </w:rPr>
          <w:fldChar w:fldCharType="separate"/>
        </w:r>
        <w:r w:rsidR="00021FB3">
          <w:rPr>
            <w:noProof/>
            <w:webHidden/>
          </w:rPr>
          <w:t>8</w:t>
        </w:r>
        <w:r w:rsidR="00021FB3">
          <w:rPr>
            <w:noProof/>
            <w:webHidden/>
          </w:rPr>
          <w:fldChar w:fldCharType="end"/>
        </w:r>
      </w:hyperlink>
    </w:p>
    <w:p w14:paraId="74A5FC16" w14:textId="5E3044BD" w:rsidR="00021FB3" w:rsidRDefault="003A6838">
      <w:pPr>
        <w:pStyle w:val="TOC1"/>
        <w:rPr>
          <w:rFonts w:eastAsiaTheme="minorEastAsia"/>
          <w:b w:val="0"/>
          <w:noProof/>
          <w:sz w:val="22"/>
          <w:lang w:eastAsia="en-AU"/>
        </w:rPr>
      </w:pPr>
      <w:hyperlink w:anchor="_Toc518477067" w:history="1">
        <w:r w:rsidR="00021FB3" w:rsidRPr="00684F72">
          <w:rPr>
            <w:rStyle w:val="Hyperlink"/>
            <w:noProof/>
          </w:rPr>
          <w:t>3.</w:t>
        </w:r>
        <w:r w:rsidR="00021FB3">
          <w:rPr>
            <w:rFonts w:eastAsiaTheme="minorEastAsia"/>
            <w:b w:val="0"/>
            <w:noProof/>
            <w:sz w:val="22"/>
            <w:lang w:eastAsia="en-AU"/>
          </w:rPr>
          <w:tab/>
        </w:r>
        <w:r w:rsidR="00021FB3" w:rsidRPr="00684F72">
          <w:rPr>
            <w:rStyle w:val="Hyperlink"/>
            <w:noProof/>
          </w:rPr>
          <w:t>Grant eligibility criteria</w:t>
        </w:r>
        <w:r w:rsidR="00021FB3">
          <w:rPr>
            <w:noProof/>
            <w:webHidden/>
          </w:rPr>
          <w:tab/>
        </w:r>
        <w:r w:rsidR="00021FB3">
          <w:rPr>
            <w:noProof/>
            <w:webHidden/>
          </w:rPr>
          <w:fldChar w:fldCharType="begin"/>
        </w:r>
        <w:r w:rsidR="00021FB3">
          <w:rPr>
            <w:noProof/>
            <w:webHidden/>
          </w:rPr>
          <w:instrText xml:space="preserve"> PAGEREF _Toc518477067 \h </w:instrText>
        </w:r>
        <w:r w:rsidR="00021FB3">
          <w:rPr>
            <w:noProof/>
            <w:webHidden/>
          </w:rPr>
        </w:r>
        <w:r w:rsidR="00021FB3">
          <w:rPr>
            <w:noProof/>
            <w:webHidden/>
          </w:rPr>
          <w:fldChar w:fldCharType="separate"/>
        </w:r>
        <w:r w:rsidR="00021FB3">
          <w:rPr>
            <w:noProof/>
            <w:webHidden/>
          </w:rPr>
          <w:t>8</w:t>
        </w:r>
        <w:r w:rsidR="00021FB3">
          <w:rPr>
            <w:noProof/>
            <w:webHidden/>
          </w:rPr>
          <w:fldChar w:fldCharType="end"/>
        </w:r>
      </w:hyperlink>
    </w:p>
    <w:p w14:paraId="1EC4DBA5" w14:textId="4C8F7662" w:rsidR="00021FB3" w:rsidRDefault="003A6838">
      <w:pPr>
        <w:pStyle w:val="TOC2"/>
        <w:rPr>
          <w:rFonts w:eastAsiaTheme="minorEastAsia"/>
          <w:noProof/>
          <w:lang w:eastAsia="en-AU"/>
        </w:rPr>
      </w:pPr>
      <w:hyperlink w:anchor="_Toc518477068" w:history="1">
        <w:r w:rsidR="00021FB3" w:rsidRPr="00684F72">
          <w:rPr>
            <w:rStyle w:val="Hyperlink"/>
            <w:noProof/>
          </w:rPr>
          <w:t>3.1</w:t>
        </w:r>
        <w:r w:rsidR="00021FB3">
          <w:rPr>
            <w:rFonts w:eastAsiaTheme="minorEastAsia"/>
            <w:noProof/>
            <w:lang w:eastAsia="en-AU"/>
          </w:rPr>
          <w:tab/>
        </w:r>
        <w:r w:rsidR="00021FB3" w:rsidRPr="00684F72">
          <w:rPr>
            <w:rStyle w:val="Hyperlink"/>
            <w:noProof/>
          </w:rPr>
          <w:t>Who is eligible to apply for a grant?</w:t>
        </w:r>
        <w:r w:rsidR="00021FB3">
          <w:rPr>
            <w:noProof/>
            <w:webHidden/>
          </w:rPr>
          <w:tab/>
        </w:r>
        <w:r w:rsidR="00021FB3">
          <w:rPr>
            <w:noProof/>
            <w:webHidden/>
          </w:rPr>
          <w:fldChar w:fldCharType="begin"/>
        </w:r>
        <w:r w:rsidR="00021FB3">
          <w:rPr>
            <w:noProof/>
            <w:webHidden/>
          </w:rPr>
          <w:instrText xml:space="preserve"> PAGEREF _Toc518477068 \h </w:instrText>
        </w:r>
        <w:r w:rsidR="00021FB3">
          <w:rPr>
            <w:noProof/>
            <w:webHidden/>
          </w:rPr>
        </w:r>
        <w:r w:rsidR="00021FB3">
          <w:rPr>
            <w:noProof/>
            <w:webHidden/>
          </w:rPr>
          <w:fldChar w:fldCharType="separate"/>
        </w:r>
        <w:r w:rsidR="00021FB3">
          <w:rPr>
            <w:noProof/>
            <w:webHidden/>
          </w:rPr>
          <w:t>9</w:t>
        </w:r>
        <w:r w:rsidR="00021FB3">
          <w:rPr>
            <w:noProof/>
            <w:webHidden/>
          </w:rPr>
          <w:fldChar w:fldCharType="end"/>
        </w:r>
      </w:hyperlink>
    </w:p>
    <w:p w14:paraId="012B01F7" w14:textId="699C6ACB" w:rsidR="00021FB3" w:rsidRDefault="003A6838">
      <w:pPr>
        <w:pStyle w:val="TOC2"/>
        <w:rPr>
          <w:rFonts w:eastAsiaTheme="minorEastAsia"/>
          <w:noProof/>
          <w:lang w:eastAsia="en-AU"/>
        </w:rPr>
      </w:pPr>
      <w:hyperlink w:anchor="_Toc518477069" w:history="1">
        <w:r w:rsidR="00021FB3" w:rsidRPr="00684F72">
          <w:rPr>
            <w:rStyle w:val="Hyperlink"/>
            <w:noProof/>
          </w:rPr>
          <w:t>3.2</w:t>
        </w:r>
        <w:r w:rsidR="00021FB3">
          <w:rPr>
            <w:rFonts w:eastAsiaTheme="minorEastAsia"/>
            <w:noProof/>
            <w:lang w:eastAsia="en-AU"/>
          </w:rPr>
          <w:tab/>
        </w:r>
        <w:r w:rsidR="00021FB3" w:rsidRPr="00684F72">
          <w:rPr>
            <w:rStyle w:val="Hyperlink"/>
            <w:noProof/>
          </w:rPr>
          <w:t>Who is not eligible to apply for a grant?</w:t>
        </w:r>
        <w:r w:rsidR="00021FB3">
          <w:rPr>
            <w:noProof/>
            <w:webHidden/>
          </w:rPr>
          <w:tab/>
        </w:r>
        <w:r w:rsidR="00021FB3">
          <w:rPr>
            <w:noProof/>
            <w:webHidden/>
          </w:rPr>
          <w:fldChar w:fldCharType="begin"/>
        </w:r>
        <w:r w:rsidR="00021FB3">
          <w:rPr>
            <w:noProof/>
            <w:webHidden/>
          </w:rPr>
          <w:instrText xml:space="preserve"> PAGEREF _Toc518477069 \h </w:instrText>
        </w:r>
        <w:r w:rsidR="00021FB3">
          <w:rPr>
            <w:noProof/>
            <w:webHidden/>
          </w:rPr>
        </w:r>
        <w:r w:rsidR="00021FB3">
          <w:rPr>
            <w:noProof/>
            <w:webHidden/>
          </w:rPr>
          <w:fldChar w:fldCharType="separate"/>
        </w:r>
        <w:r w:rsidR="00021FB3">
          <w:rPr>
            <w:noProof/>
            <w:webHidden/>
          </w:rPr>
          <w:t>9</w:t>
        </w:r>
        <w:r w:rsidR="00021FB3">
          <w:rPr>
            <w:noProof/>
            <w:webHidden/>
          </w:rPr>
          <w:fldChar w:fldCharType="end"/>
        </w:r>
      </w:hyperlink>
    </w:p>
    <w:p w14:paraId="69F71CF8" w14:textId="3D39396F" w:rsidR="00021FB3" w:rsidRDefault="003A6838">
      <w:pPr>
        <w:pStyle w:val="TOC1"/>
        <w:rPr>
          <w:rFonts w:eastAsiaTheme="minorEastAsia"/>
          <w:b w:val="0"/>
          <w:noProof/>
          <w:sz w:val="22"/>
          <w:lang w:eastAsia="en-AU"/>
        </w:rPr>
      </w:pPr>
      <w:hyperlink w:anchor="_Toc518477070" w:history="1">
        <w:r w:rsidR="00021FB3" w:rsidRPr="00684F72">
          <w:rPr>
            <w:rStyle w:val="Hyperlink"/>
            <w:noProof/>
          </w:rPr>
          <w:t>4.</w:t>
        </w:r>
        <w:r w:rsidR="00021FB3">
          <w:rPr>
            <w:rFonts w:eastAsiaTheme="minorEastAsia"/>
            <w:b w:val="0"/>
            <w:noProof/>
            <w:sz w:val="22"/>
            <w:lang w:eastAsia="en-AU"/>
          </w:rPr>
          <w:tab/>
        </w:r>
        <w:r w:rsidR="00021FB3" w:rsidRPr="00684F72">
          <w:rPr>
            <w:rStyle w:val="Hyperlink"/>
            <w:noProof/>
          </w:rPr>
          <w:t>Eligible grant activities</w:t>
        </w:r>
        <w:r w:rsidR="00021FB3">
          <w:rPr>
            <w:noProof/>
            <w:webHidden/>
          </w:rPr>
          <w:tab/>
        </w:r>
        <w:r w:rsidR="00021FB3">
          <w:rPr>
            <w:noProof/>
            <w:webHidden/>
          </w:rPr>
          <w:fldChar w:fldCharType="begin"/>
        </w:r>
        <w:r w:rsidR="00021FB3">
          <w:rPr>
            <w:noProof/>
            <w:webHidden/>
          </w:rPr>
          <w:instrText xml:space="preserve"> PAGEREF _Toc518477070 \h </w:instrText>
        </w:r>
        <w:r w:rsidR="00021FB3">
          <w:rPr>
            <w:noProof/>
            <w:webHidden/>
          </w:rPr>
        </w:r>
        <w:r w:rsidR="00021FB3">
          <w:rPr>
            <w:noProof/>
            <w:webHidden/>
          </w:rPr>
          <w:fldChar w:fldCharType="separate"/>
        </w:r>
        <w:r w:rsidR="00021FB3">
          <w:rPr>
            <w:noProof/>
            <w:webHidden/>
          </w:rPr>
          <w:t>9</w:t>
        </w:r>
        <w:r w:rsidR="00021FB3">
          <w:rPr>
            <w:noProof/>
            <w:webHidden/>
          </w:rPr>
          <w:fldChar w:fldCharType="end"/>
        </w:r>
      </w:hyperlink>
    </w:p>
    <w:p w14:paraId="481F57CC" w14:textId="046EC9E8" w:rsidR="00021FB3" w:rsidRDefault="003A6838">
      <w:pPr>
        <w:pStyle w:val="TOC2"/>
        <w:rPr>
          <w:rFonts w:eastAsiaTheme="minorEastAsia"/>
          <w:noProof/>
          <w:lang w:eastAsia="en-AU"/>
        </w:rPr>
      </w:pPr>
      <w:hyperlink w:anchor="_Toc518477071" w:history="1">
        <w:r w:rsidR="00021FB3" w:rsidRPr="00684F72">
          <w:rPr>
            <w:rStyle w:val="Hyperlink"/>
            <w:noProof/>
          </w:rPr>
          <w:t>4.1</w:t>
        </w:r>
        <w:r w:rsidR="00021FB3">
          <w:rPr>
            <w:rFonts w:eastAsiaTheme="minorEastAsia"/>
            <w:noProof/>
            <w:lang w:eastAsia="en-AU"/>
          </w:rPr>
          <w:tab/>
        </w:r>
        <w:r w:rsidR="00021FB3" w:rsidRPr="00684F72">
          <w:rPr>
            <w:rStyle w:val="Hyperlink"/>
            <w:noProof/>
          </w:rPr>
          <w:t>What can the grant money be used for?</w:t>
        </w:r>
        <w:r w:rsidR="00021FB3">
          <w:rPr>
            <w:noProof/>
            <w:webHidden/>
          </w:rPr>
          <w:tab/>
        </w:r>
        <w:r w:rsidR="00021FB3">
          <w:rPr>
            <w:noProof/>
            <w:webHidden/>
          </w:rPr>
          <w:fldChar w:fldCharType="begin"/>
        </w:r>
        <w:r w:rsidR="00021FB3">
          <w:rPr>
            <w:noProof/>
            <w:webHidden/>
          </w:rPr>
          <w:instrText xml:space="preserve"> PAGEREF _Toc518477071 \h </w:instrText>
        </w:r>
        <w:r w:rsidR="00021FB3">
          <w:rPr>
            <w:noProof/>
            <w:webHidden/>
          </w:rPr>
        </w:r>
        <w:r w:rsidR="00021FB3">
          <w:rPr>
            <w:noProof/>
            <w:webHidden/>
          </w:rPr>
          <w:fldChar w:fldCharType="separate"/>
        </w:r>
        <w:r w:rsidR="00021FB3">
          <w:rPr>
            <w:noProof/>
            <w:webHidden/>
          </w:rPr>
          <w:t>9</w:t>
        </w:r>
        <w:r w:rsidR="00021FB3">
          <w:rPr>
            <w:noProof/>
            <w:webHidden/>
          </w:rPr>
          <w:fldChar w:fldCharType="end"/>
        </w:r>
      </w:hyperlink>
    </w:p>
    <w:p w14:paraId="7577FC28" w14:textId="692B3AD2" w:rsidR="00021FB3" w:rsidRDefault="003A6838">
      <w:pPr>
        <w:pStyle w:val="TOC2"/>
        <w:rPr>
          <w:rFonts w:eastAsiaTheme="minorEastAsia"/>
          <w:noProof/>
          <w:lang w:eastAsia="en-AU"/>
        </w:rPr>
      </w:pPr>
      <w:hyperlink w:anchor="_Toc518477072" w:history="1">
        <w:r w:rsidR="00021FB3" w:rsidRPr="00684F72">
          <w:rPr>
            <w:rStyle w:val="Hyperlink"/>
            <w:noProof/>
          </w:rPr>
          <w:t>4.2</w:t>
        </w:r>
        <w:r w:rsidR="00021FB3">
          <w:rPr>
            <w:rFonts w:eastAsiaTheme="minorEastAsia"/>
            <w:noProof/>
            <w:lang w:eastAsia="en-AU"/>
          </w:rPr>
          <w:tab/>
        </w:r>
        <w:r w:rsidR="00021FB3" w:rsidRPr="00684F72">
          <w:rPr>
            <w:rStyle w:val="Hyperlink"/>
            <w:noProof/>
          </w:rPr>
          <w:t>What the grant money cannot be used for?</w:t>
        </w:r>
        <w:r w:rsidR="00021FB3">
          <w:rPr>
            <w:noProof/>
            <w:webHidden/>
          </w:rPr>
          <w:tab/>
        </w:r>
        <w:r w:rsidR="00021FB3">
          <w:rPr>
            <w:noProof/>
            <w:webHidden/>
          </w:rPr>
          <w:fldChar w:fldCharType="begin"/>
        </w:r>
        <w:r w:rsidR="00021FB3">
          <w:rPr>
            <w:noProof/>
            <w:webHidden/>
          </w:rPr>
          <w:instrText xml:space="preserve"> PAGEREF _Toc518477072 \h </w:instrText>
        </w:r>
        <w:r w:rsidR="00021FB3">
          <w:rPr>
            <w:noProof/>
            <w:webHidden/>
          </w:rPr>
        </w:r>
        <w:r w:rsidR="00021FB3">
          <w:rPr>
            <w:noProof/>
            <w:webHidden/>
          </w:rPr>
          <w:fldChar w:fldCharType="separate"/>
        </w:r>
        <w:r w:rsidR="00021FB3">
          <w:rPr>
            <w:noProof/>
            <w:webHidden/>
          </w:rPr>
          <w:t>10</w:t>
        </w:r>
        <w:r w:rsidR="00021FB3">
          <w:rPr>
            <w:noProof/>
            <w:webHidden/>
          </w:rPr>
          <w:fldChar w:fldCharType="end"/>
        </w:r>
      </w:hyperlink>
    </w:p>
    <w:p w14:paraId="17117C93" w14:textId="2210F06C" w:rsidR="00021FB3" w:rsidRDefault="003A6838">
      <w:pPr>
        <w:pStyle w:val="TOC1"/>
        <w:rPr>
          <w:rFonts w:eastAsiaTheme="minorEastAsia"/>
          <w:b w:val="0"/>
          <w:noProof/>
          <w:sz w:val="22"/>
          <w:lang w:eastAsia="en-AU"/>
        </w:rPr>
      </w:pPr>
      <w:hyperlink w:anchor="_Toc518477073" w:history="1">
        <w:r w:rsidR="00021FB3" w:rsidRPr="00684F72">
          <w:rPr>
            <w:rStyle w:val="Hyperlink"/>
            <w:noProof/>
          </w:rPr>
          <w:t>5.</w:t>
        </w:r>
        <w:r w:rsidR="00021FB3">
          <w:rPr>
            <w:rFonts w:eastAsiaTheme="minorEastAsia"/>
            <w:b w:val="0"/>
            <w:noProof/>
            <w:sz w:val="22"/>
            <w:lang w:eastAsia="en-AU"/>
          </w:rPr>
          <w:tab/>
        </w:r>
        <w:r w:rsidR="00021FB3" w:rsidRPr="00684F72">
          <w:rPr>
            <w:rStyle w:val="Hyperlink"/>
            <w:noProof/>
          </w:rPr>
          <w:t>The grant selection process</w:t>
        </w:r>
        <w:r w:rsidR="00021FB3">
          <w:rPr>
            <w:noProof/>
            <w:webHidden/>
          </w:rPr>
          <w:tab/>
        </w:r>
        <w:r w:rsidR="00021FB3">
          <w:rPr>
            <w:noProof/>
            <w:webHidden/>
          </w:rPr>
          <w:fldChar w:fldCharType="begin"/>
        </w:r>
        <w:r w:rsidR="00021FB3">
          <w:rPr>
            <w:noProof/>
            <w:webHidden/>
          </w:rPr>
          <w:instrText xml:space="preserve"> PAGEREF _Toc518477073 \h </w:instrText>
        </w:r>
        <w:r w:rsidR="00021FB3">
          <w:rPr>
            <w:noProof/>
            <w:webHidden/>
          </w:rPr>
        </w:r>
        <w:r w:rsidR="00021FB3">
          <w:rPr>
            <w:noProof/>
            <w:webHidden/>
          </w:rPr>
          <w:fldChar w:fldCharType="separate"/>
        </w:r>
        <w:r w:rsidR="00021FB3">
          <w:rPr>
            <w:noProof/>
            <w:webHidden/>
          </w:rPr>
          <w:t>10</w:t>
        </w:r>
        <w:r w:rsidR="00021FB3">
          <w:rPr>
            <w:noProof/>
            <w:webHidden/>
          </w:rPr>
          <w:fldChar w:fldCharType="end"/>
        </w:r>
      </w:hyperlink>
    </w:p>
    <w:p w14:paraId="14E4D890" w14:textId="16AC667E" w:rsidR="00021FB3" w:rsidRDefault="003A6838">
      <w:pPr>
        <w:pStyle w:val="TOC1"/>
        <w:rPr>
          <w:rFonts w:eastAsiaTheme="minorEastAsia"/>
          <w:b w:val="0"/>
          <w:noProof/>
          <w:sz w:val="22"/>
          <w:lang w:eastAsia="en-AU"/>
        </w:rPr>
      </w:pPr>
      <w:hyperlink w:anchor="_Toc518477074" w:history="1">
        <w:r w:rsidR="00021FB3" w:rsidRPr="00684F72">
          <w:rPr>
            <w:rStyle w:val="Hyperlink"/>
            <w:noProof/>
          </w:rPr>
          <w:t>6.</w:t>
        </w:r>
        <w:r w:rsidR="00021FB3">
          <w:rPr>
            <w:rFonts w:eastAsiaTheme="minorEastAsia"/>
            <w:b w:val="0"/>
            <w:noProof/>
            <w:sz w:val="22"/>
            <w:lang w:eastAsia="en-AU"/>
          </w:rPr>
          <w:tab/>
        </w:r>
        <w:r w:rsidR="00021FB3" w:rsidRPr="00684F72">
          <w:rPr>
            <w:rStyle w:val="Hyperlink"/>
            <w:noProof/>
          </w:rPr>
          <w:t>The assessment criteria</w:t>
        </w:r>
        <w:r w:rsidR="00021FB3">
          <w:rPr>
            <w:noProof/>
            <w:webHidden/>
          </w:rPr>
          <w:tab/>
        </w:r>
        <w:r w:rsidR="00021FB3">
          <w:rPr>
            <w:noProof/>
            <w:webHidden/>
          </w:rPr>
          <w:fldChar w:fldCharType="begin"/>
        </w:r>
        <w:r w:rsidR="00021FB3">
          <w:rPr>
            <w:noProof/>
            <w:webHidden/>
          </w:rPr>
          <w:instrText xml:space="preserve"> PAGEREF _Toc518477074 \h </w:instrText>
        </w:r>
        <w:r w:rsidR="00021FB3">
          <w:rPr>
            <w:noProof/>
            <w:webHidden/>
          </w:rPr>
        </w:r>
        <w:r w:rsidR="00021FB3">
          <w:rPr>
            <w:noProof/>
            <w:webHidden/>
          </w:rPr>
          <w:fldChar w:fldCharType="separate"/>
        </w:r>
        <w:r w:rsidR="00021FB3">
          <w:rPr>
            <w:noProof/>
            <w:webHidden/>
          </w:rPr>
          <w:t>11</w:t>
        </w:r>
        <w:r w:rsidR="00021FB3">
          <w:rPr>
            <w:noProof/>
            <w:webHidden/>
          </w:rPr>
          <w:fldChar w:fldCharType="end"/>
        </w:r>
      </w:hyperlink>
    </w:p>
    <w:p w14:paraId="2A54D8E4" w14:textId="61BBF8EB" w:rsidR="00021FB3" w:rsidRDefault="003A6838">
      <w:pPr>
        <w:pStyle w:val="TOC1"/>
        <w:rPr>
          <w:rFonts w:eastAsiaTheme="minorEastAsia"/>
          <w:b w:val="0"/>
          <w:noProof/>
          <w:sz w:val="22"/>
          <w:lang w:eastAsia="en-AU"/>
        </w:rPr>
      </w:pPr>
      <w:hyperlink w:anchor="_Toc518477075" w:history="1">
        <w:r w:rsidR="00021FB3" w:rsidRPr="00684F72">
          <w:rPr>
            <w:rStyle w:val="Hyperlink"/>
            <w:noProof/>
          </w:rPr>
          <w:t>7.</w:t>
        </w:r>
        <w:r w:rsidR="00021FB3">
          <w:rPr>
            <w:rFonts w:eastAsiaTheme="minorEastAsia"/>
            <w:b w:val="0"/>
            <w:noProof/>
            <w:sz w:val="22"/>
            <w:lang w:eastAsia="en-AU"/>
          </w:rPr>
          <w:tab/>
        </w:r>
        <w:r w:rsidR="00021FB3" w:rsidRPr="00684F72">
          <w:rPr>
            <w:rStyle w:val="Hyperlink"/>
            <w:noProof/>
          </w:rPr>
          <w:t>The grant application process</w:t>
        </w:r>
        <w:r w:rsidR="00021FB3">
          <w:rPr>
            <w:noProof/>
            <w:webHidden/>
          </w:rPr>
          <w:tab/>
        </w:r>
        <w:r w:rsidR="00021FB3">
          <w:rPr>
            <w:noProof/>
            <w:webHidden/>
          </w:rPr>
          <w:fldChar w:fldCharType="begin"/>
        </w:r>
        <w:r w:rsidR="00021FB3">
          <w:rPr>
            <w:noProof/>
            <w:webHidden/>
          </w:rPr>
          <w:instrText xml:space="preserve"> PAGEREF _Toc518477075 \h </w:instrText>
        </w:r>
        <w:r w:rsidR="00021FB3">
          <w:rPr>
            <w:noProof/>
            <w:webHidden/>
          </w:rPr>
        </w:r>
        <w:r w:rsidR="00021FB3">
          <w:rPr>
            <w:noProof/>
            <w:webHidden/>
          </w:rPr>
          <w:fldChar w:fldCharType="separate"/>
        </w:r>
        <w:r w:rsidR="00021FB3">
          <w:rPr>
            <w:noProof/>
            <w:webHidden/>
          </w:rPr>
          <w:t>12</w:t>
        </w:r>
        <w:r w:rsidR="00021FB3">
          <w:rPr>
            <w:noProof/>
            <w:webHidden/>
          </w:rPr>
          <w:fldChar w:fldCharType="end"/>
        </w:r>
      </w:hyperlink>
    </w:p>
    <w:p w14:paraId="14116EBC" w14:textId="74045370" w:rsidR="00021FB3" w:rsidRDefault="003A6838">
      <w:pPr>
        <w:pStyle w:val="TOC2"/>
        <w:rPr>
          <w:rFonts w:eastAsiaTheme="minorEastAsia"/>
          <w:noProof/>
          <w:lang w:eastAsia="en-AU"/>
        </w:rPr>
      </w:pPr>
      <w:hyperlink w:anchor="_Toc518477076" w:history="1">
        <w:r w:rsidR="00021FB3" w:rsidRPr="00684F72">
          <w:rPr>
            <w:rStyle w:val="Hyperlink"/>
            <w:noProof/>
          </w:rPr>
          <w:t>7.1</w:t>
        </w:r>
        <w:r w:rsidR="00021FB3">
          <w:rPr>
            <w:rFonts w:eastAsiaTheme="minorEastAsia"/>
            <w:noProof/>
            <w:lang w:eastAsia="en-AU"/>
          </w:rPr>
          <w:tab/>
        </w:r>
        <w:r w:rsidR="00021FB3" w:rsidRPr="00684F72">
          <w:rPr>
            <w:rStyle w:val="Hyperlink"/>
            <w:noProof/>
          </w:rPr>
          <w:t>Overview of application process</w:t>
        </w:r>
        <w:r w:rsidR="00021FB3">
          <w:rPr>
            <w:noProof/>
            <w:webHidden/>
          </w:rPr>
          <w:tab/>
        </w:r>
        <w:r w:rsidR="00021FB3">
          <w:rPr>
            <w:noProof/>
            <w:webHidden/>
          </w:rPr>
          <w:fldChar w:fldCharType="begin"/>
        </w:r>
        <w:r w:rsidR="00021FB3">
          <w:rPr>
            <w:noProof/>
            <w:webHidden/>
          </w:rPr>
          <w:instrText xml:space="preserve"> PAGEREF _Toc518477076 \h </w:instrText>
        </w:r>
        <w:r w:rsidR="00021FB3">
          <w:rPr>
            <w:noProof/>
            <w:webHidden/>
          </w:rPr>
        </w:r>
        <w:r w:rsidR="00021FB3">
          <w:rPr>
            <w:noProof/>
            <w:webHidden/>
          </w:rPr>
          <w:fldChar w:fldCharType="separate"/>
        </w:r>
        <w:r w:rsidR="00021FB3">
          <w:rPr>
            <w:noProof/>
            <w:webHidden/>
          </w:rPr>
          <w:t>12</w:t>
        </w:r>
        <w:r w:rsidR="00021FB3">
          <w:rPr>
            <w:noProof/>
            <w:webHidden/>
          </w:rPr>
          <w:fldChar w:fldCharType="end"/>
        </w:r>
      </w:hyperlink>
    </w:p>
    <w:p w14:paraId="7BD1D5D8" w14:textId="39B69049" w:rsidR="00021FB3" w:rsidRDefault="003A6838">
      <w:pPr>
        <w:pStyle w:val="TOC2"/>
        <w:rPr>
          <w:rFonts w:eastAsiaTheme="minorEastAsia"/>
          <w:noProof/>
          <w:lang w:eastAsia="en-AU"/>
        </w:rPr>
      </w:pPr>
      <w:hyperlink w:anchor="_Toc518477077" w:history="1">
        <w:r w:rsidR="00021FB3" w:rsidRPr="00684F72">
          <w:rPr>
            <w:rStyle w:val="Hyperlink"/>
            <w:noProof/>
          </w:rPr>
          <w:t>7.2</w:t>
        </w:r>
        <w:r w:rsidR="00021FB3">
          <w:rPr>
            <w:rFonts w:eastAsiaTheme="minorEastAsia"/>
            <w:noProof/>
            <w:lang w:eastAsia="en-AU"/>
          </w:rPr>
          <w:tab/>
        </w:r>
        <w:r w:rsidR="00021FB3" w:rsidRPr="00684F72">
          <w:rPr>
            <w:rStyle w:val="Hyperlink"/>
            <w:noProof/>
          </w:rPr>
          <w:t>Application process timing</w:t>
        </w:r>
        <w:r w:rsidR="00021FB3">
          <w:rPr>
            <w:noProof/>
            <w:webHidden/>
          </w:rPr>
          <w:tab/>
        </w:r>
        <w:r w:rsidR="00021FB3">
          <w:rPr>
            <w:noProof/>
            <w:webHidden/>
          </w:rPr>
          <w:fldChar w:fldCharType="begin"/>
        </w:r>
        <w:r w:rsidR="00021FB3">
          <w:rPr>
            <w:noProof/>
            <w:webHidden/>
          </w:rPr>
          <w:instrText xml:space="preserve"> PAGEREF _Toc518477077 \h </w:instrText>
        </w:r>
        <w:r w:rsidR="00021FB3">
          <w:rPr>
            <w:noProof/>
            <w:webHidden/>
          </w:rPr>
        </w:r>
        <w:r w:rsidR="00021FB3">
          <w:rPr>
            <w:noProof/>
            <w:webHidden/>
          </w:rPr>
          <w:fldChar w:fldCharType="separate"/>
        </w:r>
        <w:r w:rsidR="00021FB3">
          <w:rPr>
            <w:noProof/>
            <w:webHidden/>
          </w:rPr>
          <w:t>12</w:t>
        </w:r>
        <w:r w:rsidR="00021FB3">
          <w:rPr>
            <w:noProof/>
            <w:webHidden/>
          </w:rPr>
          <w:fldChar w:fldCharType="end"/>
        </w:r>
      </w:hyperlink>
    </w:p>
    <w:p w14:paraId="3C05BE79" w14:textId="217B5E7C" w:rsidR="00021FB3" w:rsidRDefault="003A6838">
      <w:pPr>
        <w:pStyle w:val="TOC2"/>
        <w:rPr>
          <w:rFonts w:eastAsiaTheme="minorEastAsia"/>
          <w:noProof/>
          <w:lang w:eastAsia="en-AU"/>
        </w:rPr>
      </w:pPr>
      <w:hyperlink w:anchor="_Toc518477078" w:history="1">
        <w:r w:rsidR="00021FB3" w:rsidRPr="00684F72">
          <w:rPr>
            <w:rStyle w:val="Hyperlink"/>
            <w:noProof/>
          </w:rPr>
          <w:t>7.3</w:t>
        </w:r>
        <w:r w:rsidR="00021FB3">
          <w:rPr>
            <w:rFonts w:eastAsiaTheme="minorEastAsia"/>
            <w:noProof/>
            <w:lang w:eastAsia="en-AU"/>
          </w:rPr>
          <w:tab/>
        </w:r>
        <w:r w:rsidR="00021FB3" w:rsidRPr="00684F72">
          <w:rPr>
            <w:rStyle w:val="Hyperlink"/>
            <w:noProof/>
          </w:rPr>
          <w:t>Completing the grant application</w:t>
        </w:r>
        <w:r w:rsidR="00021FB3">
          <w:rPr>
            <w:noProof/>
            <w:webHidden/>
          </w:rPr>
          <w:tab/>
        </w:r>
        <w:r w:rsidR="00021FB3">
          <w:rPr>
            <w:noProof/>
            <w:webHidden/>
          </w:rPr>
          <w:fldChar w:fldCharType="begin"/>
        </w:r>
        <w:r w:rsidR="00021FB3">
          <w:rPr>
            <w:noProof/>
            <w:webHidden/>
          </w:rPr>
          <w:instrText xml:space="preserve"> PAGEREF _Toc518477078 \h </w:instrText>
        </w:r>
        <w:r w:rsidR="00021FB3">
          <w:rPr>
            <w:noProof/>
            <w:webHidden/>
          </w:rPr>
        </w:r>
        <w:r w:rsidR="00021FB3">
          <w:rPr>
            <w:noProof/>
            <w:webHidden/>
          </w:rPr>
          <w:fldChar w:fldCharType="separate"/>
        </w:r>
        <w:r w:rsidR="00021FB3">
          <w:rPr>
            <w:noProof/>
            <w:webHidden/>
          </w:rPr>
          <w:t>13</w:t>
        </w:r>
        <w:r w:rsidR="00021FB3">
          <w:rPr>
            <w:noProof/>
            <w:webHidden/>
          </w:rPr>
          <w:fldChar w:fldCharType="end"/>
        </w:r>
      </w:hyperlink>
    </w:p>
    <w:p w14:paraId="4368FD4D" w14:textId="4C901FD5" w:rsidR="00021FB3" w:rsidRDefault="003A6838">
      <w:pPr>
        <w:pStyle w:val="TOC2"/>
        <w:rPr>
          <w:rFonts w:eastAsiaTheme="minorEastAsia"/>
          <w:noProof/>
          <w:lang w:eastAsia="en-AU"/>
        </w:rPr>
      </w:pPr>
      <w:hyperlink w:anchor="_Toc518477079" w:history="1">
        <w:r w:rsidR="00021FB3" w:rsidRPr="00684F72">
          <w:rPr>
            <w:rStyle w:val="Hyperlink"/>
            <w:noProof/>
          </w:rPr>
          <w:t>7.4</w:t>
        </w:r>
        <w:r w:rsidR="00021FB3">
          <w:rPr>
            <w:rFonts w:eastAsiaTheme="minorEastAsia"/>
            <w:noProof/>
            <w:lang w:eastAsia="en-AU"/>
          </w:rPr>
          <w:tab/>
        </w:r>
        <w:r w:rsidR="00021FB3" w:rsidRPr="00684F72">
          <w:rPr>
            <w:rStyle w:val="Hyperlink"/>
            <w:noProof/>
          </w:rPr>
          <w:t>Questions during the application process</w:t>
        </w:r>
        <w:r w:rsidR="00021FB3">
          <w:rPr>
            <w:noProof/>
            <w:webHidden/>
          </w:rPr>
          <w:tab/>
        </w:r>
        <w:r w:rsidR="00021FB3">
          <w:rPr>
            <w:noProof/>
            <w:webHidden/>
          </w:rPr>
          <w:fldChar w:fldCharType="begin"/>
        </w:r>
        <w:r w:rsidR="00021FB3">
          <w:rPr>
            <w:noProof/>
            <w:webHidden/>
          </w:rPr>
          <w:instrText xml:space="preserve"> PAGEREF _Toc518477079 \h </w:instrText>
        </w:r>
        <w:r w:rsidR="00021FB3">
          <w:rPr>
            <w:noProof/>
            <w:webHidden/>
          </w:rPr>
        </w:r>
        <w:r w:rsidR="00021FB3">
          <w:rPr>
            <w:noProof/>
            <w:webHidden/>
          </w:rPr>
          <w:fldChar w:fldCharType="separate"/>
        </w:r>
        <w:r w:rsidR="00021FB3">
          <w:rPr>
            <w:noProof/>
            <w:webHidden/>
          </w:rPr>
          <w:t>13</w:t>
        </w:r>
        <w:r w:rsidR="00021FB3">
          <w:rPr>
            <w:noProof/>
            <w:webHidden/>
          </w:rPr>
          <w:fldChar w:fldCharType="end"/>
        </w:r>
      </w:hyperlink>
    </w:p>
    <w:p w14:paraId="2DCA488B" w14:textId="3AEEE9E5" w:rsidR="00021FB3" w:rsidRDefault="003A6838">
      <w:pPr>
        <w:pStyle w:val="TOC1"/>
        <w:rPr>
          <w:rFonts w:eastAsiaTheme="minorEastAsia"/>
          <w:b w:val="0"/>
          <w:noProof/>
          <w:sz w:val="22"/>
          <w:lang w:eastAsia="en-AU"/>
        </w:rPr>
      </w:pPr>
      <w:hyperlink w:anchor="_Toc518477080" w:history="1">
        <w:r w:rsidR="00021FB3" w:rsidRPr="00684F72">
          <w:rPr>
            <w:rStyle w:val="Hyperlink"/>
            <w:noProof/>
          </w:rPr>
          <w:t>8.</w:t>
        </w:r>
        <w:r w:rsidR="00021FB3">
          <w:rPr>
            <w:rFonts w:eastAsiaTheme="minorEastAsia"/>
            <w:b w:val="0"/>
            <w:noProof/>
            <w:sz w:val="22"/>
            <w:lang w:eastAsia="en-AU"/>
          </w:rPr>
          <w:tab/>
        </w:r>
        <w:r w:rsidR="00021FB3" w:rsidRPr="00684F72">
          <w:rPr>
            <w:rStyle w:val="Hyperlink"/>
            <w:noProof/>
          </w:rPr>
          <w:t>Assessment of grant applications</w:t>
        </w:r>
        <w:r w:rsidR="00021FB3">
          <w:rPr>
            <w:noProof/>
            <w:webHidden/>
          </w:rPr>
          <w:tab/>
        </w:r>
        <w:r w:rsidR="00021FB3">
          <w:rPr>
            <w:noProof/>
            <w:webHidden/>
          </w:rPr>
          <w:fldChar w:fldCharType="begin"/>
        </w:r>
        <w:r w:rsidR="00021FB3">
          <w:rPr>
            <w:noProof/>
            <w:webHidden/>
          </w:rPr>
          <w:instrText xml:space="preserve"> PAGEREF _Toc518477080 \h </w:instrText>
        </w:r>
        <w:r w:rsidR="00021FB3">
          <w:rPr>
            <w:noProof/>
            <w:webHidden/>
          </w:rPr>
        </w:r>
        <w:r w:rsidR="00021FB3">
          <w:rPr>
            <w:noProof/>
            <w:webHidden/>
          </w:rPr>
          <w:fldChar w:fldCharType="separate"/>
        </w:r>
        <w:r w:rsidR="00021FB3">
          <w:rPr>
            <w:noProof/>
            <w:webHidden/>
          </w:rPr>
          <w:t>14</w:t>
        </w:r>
        <w:r w:rsidR="00021FB3">
          <w:rPr>
            <w:noProof/>
            <w:webHidden/>
          </w:rPr>
          <w:fldChar w:fldCharType="end"/>
        </w:r>
      </w:hyperlink>
    </w:p>
    <w:p w14:paraId="444DC09B" w14:textId="72A554F0" w:rsidR="00021FB3" w:rsidRDefault="003A6838">
      <w:pPr>
        <w:pStyle w:val="TOC2"/>
        <w:rPr>
          <w:rFonts w:eastAsiaTheme="minorEastAsia"/>
          <w:noProof/>
          <w:lang w:eastAsia="en-AU"/>
        </w:rPr>
      </w:pPr>
      <w:hyperlink w:anchor="_Toc518477081" w:history="1">
        <w:r w:rsidR="00021FB3" w:rsidRPr="00684F72">
          <w:rPr>
            <w:rStyle w:val="Hyperlink"/>
            <w:noProof/>
          </w:rPr>
          <w:t>8.1</w:t>
        </w:r>
        <w:r w:rsidR="00021FB3">
          <w:rPr>
            <w:rFonts w:eastAsiaTheme="minorEastAsia"/>
            <w:noProof/>
            <w:lang w:eastAsia="en-AU"/>
          </w:rPr>
          <w:tab/>
        </w:r>
        <w:r w:rsidR="00021FB3" w:rsidRPr="00684F72">
          <w:rPr>
            <w:rStyle w:val="Hyperlink"/>
            <w:noProof/>
          </w:rPr>
          <w:t>Who will assess applications?</w:t>
        </w:r>
        <w:r w:rsidR="00021FB3">
          <w:rPr>
            <w:noProof/>
            <w:webHidden/>
          </w:rPr>
          <w:tab/>
        </w:r>
        <w:r w:rsidR="00021FB3">
          <w:rPr>
            <w:noProof/>
            <w:webHidden/>
          </w:rPr>
          <w:fldChar w:fldCharType="begin"/>
        </w:r>
        <w:r w:rsidR="00021FB3">
          <w:rPr>
            <w:noProof/>
            <w:webHidden/>
          </w:rPr>
          <w:instrText xml:space="preserve"> PAGEREF _Toc518477081 \h </w:instrText>
        </w:r>
        <w:r w:rsidR="00021FB3">
          <w:rPr>
            <w:noProof/>
            <w:webHidden/>
          </w:rPr>
        </w:r>
        <w:r w:rsidR="00021FB3">
          <w:rPr>
            <w:noProof/>
            <w:webHidden/>
          </w:rPr>
          <w:fldChar w:fldCharType="separate"/>
        </w:r>
        <w:r w:rsidR="00021FB3">
          <w:rPr>
            <w:noProof/>
            <w:webHidden/>
          </w:rPr>
          <w:t>14</w:t>
        </w:r>
        <w:r w:rsidR="00021FB3">
          <w:rPr>
            <w:noProof/>
            <w:webHidden/>
          </w:rPr>
          <w:fldChar w:fldCharType="end"/>
        </w:r>
      </w:hyperlink>
    </w:p>
    <w:p w14:paraId="75E2D86A" w14:textId="517872CB" w:rsidR="00021FB3" w:rsidRDefault="003A6838">
      <w:pPr>
        <w:pStyle w:val="TOC2"/>
        <w:rPr>
          <w:rFonts w:eastAsiaTheme="minorEastAsia"/>
          <w:noProof/>
          <w:lang w:eastAsia="en-AU"/>
        </w:rPr>
      </w:pPr>
      <w:hyperlink w:anchor="_Toc518477082" w:history="1">
        <w:r w:rsidR="00021FB3" w:rsidRPr="00684F72">
          <w:rPr>
            <w:rStyle w:val="Hyperlink"/>
            <w:noProof/>
          </w:rPr>
          <w:t>8.2</w:t>
        </w:r>
        <w:r w:rsidR="00021FB3">
          <w:rPr>
            <w:rFonts w:eastAsiaTheme="minorEastAsia"/>
            <w:noProof/>
            <w:lang w:eastAsia="en-AU"/>
          </w:rPr>
          <w:tab/>
        </w:r>
        <w:r w:rsidR="00021FB3" w:rsidRPr="00684F72">
          <w:rPr>
            <w:rStyle w:val="Hyperlink"/>
            <w:noProof/>
          </w:rPr>
          <w:t>Who will approve grants?</w:t>
        </w:r>
        <w:r w:rsidR="00021FB3">
          <w:rPr>
            <w:noProof/>
            <w:webHidden/>
          </w:rPr>
          <w:tab/>
        </w:r>
        <w:r w:rsidR="00021FB3">
          <w:rPr>
            <w:noProof/>
            <w:webHidden/>
          </w:rPr>
          <w:fldChar w:fldCharType="begin"/>
        </w:r>
        <w:r w:rsidR="00021FB3">
          <w:rPr>
            <w:noProof/>
            <w:webHidden/>
          </w:rPr>
          <w:instrText xml:space="preserve"> PAGEREF _Toc518477082 \h </w:instrText>
        </w:r>
        <w:r w:rsidR="00021FB3">
          <w:rPr>
            <w:noProof/>
            <w:webHidden/>
          </w:rPr>
        </w:r>
        <w:r w:rsidR="00021FB3">
          <w:rPr>
            <w:noProof/>
            <w:webHidden/>
          </w:rPr>
          <w:fldChar w:fldCharType="separate"/>
        </w:r>
        <w:r w:rsidR="00021FB3">
          <w:rPr>
            <w:noProof/>
            <w:webHidden/>
          </w:rPr>
          <w:t>14</w:t>
        </w:r>
        <w:r w:rsidR="00021FB3">
          <w:rPr>
            <w:noProof/>
            <w:webHidden/>
          </w:rPr>
          <w:fldChar w:fldCharType="end"/>
        </w:r>
      </w:hyperlink>
    </w:p>
    <w:p w14:paraId="1A95601C" w14:textId="049CD54C" w:rsidR="00021FB3" w:rsidRDefault="003A6838">
      <w:pPr>
        <w:pStyle w:val="TOC1"/>
        <w:rPr>
          <w:rFonts w:eastAsiaTheme="minorEastAsia"/>
          <w:b w:val="0"/>
          <w:noProof/>
          <w:sz w:val="22"/>
          <w:lang w:eastAsia="en-AU"/>
        </w:rPr>
      </w:pPr>
      <w:hyperlink w:anchor="_Toc518477083" w:history="1">
        <w:r w:rsidR="00021FB3" w:rsidRPr="00684F72">
          <w:rPr>
            <w:rStyle w:val="Hyperlink"/>
            <w:noProof/>
          </w:rPr>
          <w:t>9.</w:t>
        </w:r>
        <w:r w:rsidR="00021FB3">
          <w:rPr>
            <w:rFonts w:eastAsiaTheme="minorEastAsia"/>
            <w:b w:val="0"/>
            <w:noProof/>
            <w:sz w:val="22"/>
            <w:lang w:eastAsia="en-AU"/>
          </w:rPr>
          <w:tab/>
        </w:r>
        <w:r w:rsidR="00021FB3" w:rsidRPr="00684F72">
          <w:rPr>
            <w:rStyle w:val="Hyperlink"/>
            <w:noProof/>
          </w:rPr>
          <w:t>Notification of application outcomes</w:t>
        </w:r>
        <w:r w:rsidR="00021FB3">
          <w:rPr>
            <w:noProof/>
            <w:webHidden/>
          </w:rPr>
          <w:tab/>
        </w:r>
        <w:r w:rsidR="00021FB3">
          <w:rPr>
            <w:noProof/>
            <w:webHidden/>
          </w:rPr>
          <w:fldChar w:fldCharType="begin"/>
        </w:r>
        <w:r w:rsidR="00021FB3">
          <w:rPr>
            <w:noProof/>
            <w:webHidden/>
          </w:rPr>
          <w:instrText xml:space="preserve"> PAGEREF _Toc518477083 \h </w:instrText>
        </w:r>
        <w:r w:rsidR="00021FB3">
          <w:rPr>
            <w:noProof/>
            <w:webHidden/>
          </w:rPr>
        </w:r>
        <w:r w:rsidR="00021FB3">
          <w:rPr>
            <w:noProof/>
            <w:webHidden/>
          </w:rPr>
          <w:fldChar w:fldCharType="separate"/>
        </w:r>
        <w:r w:rsidR="00021FB3">
          <w:rPr>
            <w:noProof/>
            <w:webHidden/>
          </w:rPr>
          <w:t>15</w:t>
        </w:r>
        <w:r w:rsidR="00021FB3">
          <w:rPr>
            <w:noProof/>
            <w:webHidden/>
          </w:rPr>
          <w:fldChar w:fldCharType="end"/>
        </w:r>
      </w:hyperlink>
    </w:p>
    <w:p w14:paraId="6F94C08D" w14:textId="2033C87A" w:rsidR="00021FB3" w:rsidRDefault="003A6838">
      <w:pPr>
        <w:pStyle w:val="TOC2"/>
        <w:rPr>
          <w:rFonts w:eastAsiaTheme="minorEastAsia"/>
          <w:noProof/>
          <w:lang w:eastAsia="en-AU"/>
        </w:rPr>
      </w:pPr>
      <w:hyperlink w:anchor="_Toc518477084" w:history="1">
        <w:r w:rsidR="00021FB3" w:rsidRPr="00684F72">
          <w:rPr>
            <w:rStyle w:val="Hyperlink"/>
            <w:noProof/>
          </w:rPr>
          <w:t>9.1</w:t>
        </w:r>
        <w:r w:rsidR="00021FB3">
          <w:rPr>
            <w:rFonts w:eastAsiaTheme="minorEastAsia"/>
            <w:noProof/>
            <w:lang w:eastAsia="en-AU"/>
          </w:rPr>
          <w:tab/>
        </w:r>
        <w:r w:rsidR="00021FB3" w:rsidRPr="00684F72">
          <w:rPr>
            <w:rStyle w:val="Hyperlink"/>
            <w:noProof/>
          </w:rPr>
          <w:t>Feedback on your application</w:t>
        </w:r>
        <w:r w:rsidR="00021FB3">
          <w:rPr>
            <w:noProof/>
            <w:webHidden/>
          </w:rPr>
          <w:tab/>
        </w:r>
        <w:r w:rsidR="00021FB3">
          <w:rPr>
            <w:noProof/>
            <w:webHidden/>
          </w:rPr>
          <w:fldChar w:fldCharType="begin"/>
        </w:r>
        <w:r w:rsidR="00021FB3">
          <w:rPr>
            <w:noProof/>
            <w:webHidden/>
          </w:rPr>
          <w:instrText xml:space="preserve"> PAGEREF _Toc518477084 \h </w:instrText>
        </w:r>
        <w:r w:rsidR="00021FB3">
          <w:rPr>
            <w:noProof/>
            <w:webHidden/>
          </w:rPr>
        </w:r>
        <w:r w:rsidR="00021FB3">
          <w:rPr>
            <w:noProof/>
            <w:webHidden/>
          </w:rPr>
          <w:fldChar w:fldCharType="separate"/>
        </w:r>
        <w:r w:rsidR="00021FB3">
          <w:rPr>
            <w:noProof/>
            <w:webHidden/>
          </w:rPr>
          <w:t>15</w:t>
        </w:r>
        <w:r w:rsidR="00021FB3">
          <w:rPr>
            <w:noProof/>
            <w:webHidden/>
          </w:rPr>
          <w:fldChar w:fldCharType="end"/>
        </w:r>
      </w:hyperlink>
    </w:p>
    <w:p w14:paraId="38ABCBC5" w14:textId="7BF411E9" w:rsidR="00021FB3" w:rsidRDefault="003A6838">
      <w:pPr>
        <w:pStyle w:val="TOC1"/>
        <w:rPr>
          <w:rFonts w:eastAsiaTheme="minorEastAsia"/>
          <w:b w:val="0"/>
          <w:noProof/>
          <w:sz w:val="22"/>
          <w:lang w:eastAsia="en-AU"/>
        </w:rPr>
      </w:pPr>
      <w:hyperlink w:anchor="_Toc518477085" w:history="1">
        <w:r w:rsidR="00021FB3" w:rsidRPr="00684F72">
          <w:rPr>
            <w:rStyle w:val="Hyperlink"/>
            <w:noProof/>
          </w:rPr>
          <w:t>10.</w:t>
        </w:r>
        <w:r w:rsidR="00021FB3">
          <w:rPr>
            <w:rFonts w:eastAsiaTheme="minorEastAsia"/>
            <w:b w:val="0"/>
            <w:noProof/>
            <w:sz w:val="22"/>
            <w:lang w:eastAsia="en-AU"/>
          </w:rPr>
          <w:tab/>
        </w:r>
        <w:r w:rsidR="00021FB3" w:rsidRPr="00684F72">
          <w:rPr>
            <w:rStyle w:val="Hyperlink"/>
            <w:noProof/>
          </w:rPr>
          <w:t>Successful grant applications</w:t>
        </w:r>
        <w:r w:rsidR="00021FB3">
          <w:rPr>
            <w:noProof/>
            <w:webHidden/>
          </w:rPr>
          <w:tab/>
        </w:r>
        <w:r w:rsidR="00021FB3">
          <w:rPr>
            <w:noProof/>
            <w:webHidden/>
          </w:rPr>
          <w:fldChar w:fldCharType="begin"/>
        </w:r>
        <w:r w:rsidR="00021FB3">
          <w:rPr>
            <w:noProof/>
            <w:webHidden/>
          </w:rPr>
          <w:instrText xml:space="preserve"> PAGEREF _Toc518477085 \h </w:instrText>
        </w:r>
        <w:r w:rsidR="00021FB3">
          <w:rPr>
            <w:noProof/>
            <w:webHidden/>
          </w:rPr>
        </w:r>
        <w:r w:rsidR="00021FB3">
          <w:rPr>
            <w:noProof/>
            <w:webHidden/>
          </w:rPr>
          <w:fldChar w:fldCharType="separate"/>
        </w:r>
        <w:r w:rsidR="00021FB3">
          <w:rPr>
            <w:noProof/>
            <w:webHidden/>
          </w:rPr>
          <w:t>15</w:t>
        </w:r>
        <w:r w:rsidR="00021FB3">
          <w:rPr>
            <w:noProof/>
            <w:webHidden/>
          </w:rPr>
          <w:fldChar w:fldCharType="end"/>
        </w:r>
      </w:hyperlink>
    </w:p>
    <w:p w14:paraId="31B529CC" w14:textId="68F1F08C" w:rsidR="00021FB3" w:rsidRDefault="003A6838">
      <w:pPr>
        <w:pStyle w:val="TOC2"/>
        <w:rPr>
          <w:rFonts w:eastAsiaTheme="minorEastAsia"/>
          <w:noProof/>
          <w:lang w:eastAsia="en-AU"/>
        </w:rPr>
      </w:pPr>
      <w:hyperlink w:anchor="_Toc518477086" w:history="1">
        <w:r w:rsidR="00021FB3" w:rsidRPr="00684F72">
          <w:rPr>
            <w:rStyle w:val="Hyperlink"/>
            <w:noProof/>
          </w:rPr>
          <w:t>10.1</w:t>
        </w:r>
        <w:r w:rsidR="00021FB3">
          <w:rPr>
            <w:rFonts w:eastAsiaTheme="minorEastAsia"/>
            <w:noProof/>
            <w:lang w:eastAsia="en-AU"/>
          </w:rPr>
          <w:tab/>
        </w:r>
        <w:r w:rsidR="00021FB3" w:rsidRPr="00684F72">
          <w:rPr>
            <w:rStyle w:val="Hyperlink"/>
            <w:noProof/>
          </w:rPr>
          <w:t>The grant agreement</w:t>
        </w:r>
        <w:r w:rsidR="00021FB3">
          <w:rPr>
            <w:noProof/>
            <w:webHidden/>
          </w:rPr>
          <w:tab/>
        </w:r>
        <w:r w:rsidR="00021FB3">
          <w:rPr>
            <w:noProof/>
            <w:webHidden/>
          </w:rPr>
          <w:fldChar w:fldCharType="begin"/>
        </w:r>
        <w:r w:rsidR="00021FB3">
          <w:rPr>
            <w:noProof/>
            <w:webHidden/>
          </w:rPr>
          <w:instrText xml:space="preserve"> PAGEREF _Toc518477086 \h </w:instrText>
        </w:r>
        <w:r w:rsidR="00021FB3">
          <w:rPr>
            <w:noProof/>
            <w:webHidden/>
          </w:rPr>
        </w:r>
        <w:r w:rsidR="00021FB3">
          <w:rPr>
            <w:noProof/>
            <w:webHidden/>
          </w:rPr>
          <w:fldChar w:fldCharType="separate"/>
        </w:r>
        <w:r w:rsidR="00021FB3">
          <w:rPr>
            <w:noProof/>
            <w:webHidden/>
          </w:rPr>
          <w:t>15</w:t>
        </w:r>
        <w:r w:rsidR="00021FB3">
          <w:rPr>
            <w:noProof/>
            <w:webHidden/>
          </w:rPr>
          <w:fldChar w:fldCharType="end"/>
        </w:r>
      </w:hyperlink>
    </w:p>
    <w:p w14:paraId="0E1139CD" w14:textId="57F1BE21" w:rsidR="00021FB3" w:rsidRDefault="003A6838">
      <w:pPr>
        <w:pStyle w:val="TOC2"/>
        <w:rPr>
          <w:rFonts w:eastAsiaTheme="minorEastAsia"/>
          <w:noProof/>
          <w:lang w:eastAsia="en-AU"/>
        </w:rPr>
      </w:pPr>
      <w:hyperlink w:anchor="_Toc518477087" w:history="1">
        <w:r w:rsidR="00021FB3" w:rsidRPr="00684F72">
          <w:rPr>
            <w:rStyle w:val="Hyperlink"/>
            <w:noProof/>
          </w:rPr>
          <w:t>10.2</w:t>
        </w:r>
        <w:r w:rsidR="00021FB3">
          <w:rPr>
            <w:rFonts w:eastAsiaTheme="minorEastAsia"/>
            <w:noProof/>
            <w:lang w:eastAsia="en-AU"/>
          </w:rPr>
          <w:tab/>
        </w:r>
        <w:r w:rsidR="00021FB3" w:rsidRPr="00684F72">
          <w:rPr>
            <w:rStyle w:val="Hyperlink"/>
            <w:noProof/>
          </w:rPr>
          <w:t>How the grant will be paid</w:t>
        </w:r>
        <w:r w:rsidR="00021FB3">
          <w:rPr>
            <w:noProof/>
            <w:webHidden/>
          </w:rPr>
          <w:tab/>
        </w:r>
        <w:r w:rsidR="00021FB3">
          <w:rPr>
            <w:noProof/>
            <w:webHidden/>
          </w:rPr>
          <w:fldChar w:fldCharType="begin"/>
        </w:r>
        <w:r w:rsidR="00021FB3">
          <w:rPr>
            <w:noProof/>
            <w:webHidden/>
          </w:rPr>
          <w:instrText xml:space="preserve"> PAGEREF _Toc518477087 \h </w:instrText>
        </w:r>
        <w:r w:rsidR="00021FB3">
          <w:rPr>
            <w:noProof/>
            <w:webHidden/>
          </w:rPr>
        </w:r>
        <w:r w:rsidR="00021FB3">
          <w:rPr>
            <w:noProof/>
            <w:webHidden/>
          </w:rPr>
          <w:fldChar w:fldCharType="separate"/>
        </w:r>
        <w:r w:rsidR="00021FB3">
          <w:rPr>
            <w:noProof/>
            <w:webHidden/>
          </w:rPr>
          <w:t>15</w:t>
        </w:r>
        <w:r w:rsidR="00021FB3">
          <w:rPr>
            <w:noProof/>
            <w:webHidden/>
          </w:rPr>
          <w:fldChar w:fldCharType="end"/>
        </w:r>
      </w:hyperlink>
    </w:p>
    <w:p w14:paraId="45E313E9" w14:textId="72EB7BBE" w:rsidR="00021FB3" w:rsidRDefault="003A6838">
      <w:pPr>
        <w:pStyle w:val="TOC1"/>
        <w:rPr>
          <w:rFonts w:eastAsiaTheme="minorEastAsia"/>
          <w:b w:val="0"/>
          <w:noProof/>
          <w:sz w:val="22"/>
          <w:lang w:eastAsia="en-AU"/>
        </w:rPr>
      </w:pPr>
      <w:hyperlink w:anchor="_Toc518477088" w:history="1">
        <w:r w:rsidR="00021FB3" w:rsidRPr="00684F72">
          <w:rPr>
            <w:rStyle w:val="Hyperlink"/>
            <w:noProof/>
          </w:rPr>
          <w:t>11.</w:t>
        </w:r>
        <w:r w:rsidR="00021FB3">
          <w:rPr>
            <w:rFonts w:eastAsiaTheme="minorEastAsia"/>
            <w:b w:val="0"/>
            <w:noProof/>
            <w:sz w:val="22"/>
            <w:lang w:eastAsia="en-AU"/>
          </w:rPr>
          <w:tab/>
        </w:r>
        <w:r w:rsidR="00021FB3" w:rsidRPr="00684F72">
          <w:rPr>
            <w:rStyle w:val="Hyperlink"/>
            <w:noProof/>
          </w:rPr>
          <w:t>Announcement of grants</w:t>
        </w:r>
        <w:r w:rsidR="00021FB3">
          <w:rPr>
            <w:noProof/>
            <w:webHidden/>
          </w:rPr>
          <w:tab/>
        </w:r>
        <w:r w:rsidR="00021FB3">
          <w:rPr>
            <w:noProof/>
            <w:webHidden/>
          </w:rPr>
          <w:fldChar w:fldCharType="begin"/>
        </w:r>
        <w:r w:rsidR="00021FB3">
          <w:rPr>
            <w:noProof/>
            <w:webHidden/>
          </w:rPr>
          <w:instrText xml:space="preserve"> PAGEREF _Toc518477088 \h </w:instrText>
        </w:r>
        <w:r w:rsidR="00021FB3">
          <w:rPr>
            <w:noProof/>
            <w:webHidden/>
          </w:rPr>
        </w:r>
        <w:r w:rsidR="00021FB3">
          <w:rPr>
            <w:noProof/>
            <w:webHidden/>
          </w:rPr>
          <w:fldChar w:fldCharType="separate"/>
        </w:r>
        <w:r w:rsidR="00021FB3">
          <w:rPr>
            <w:noProof/>
            <w:webHidden/>
          </w:rPr>
          <w:t>16</w:t>
        </w:r>
        <w:r w:rsidR="00021FB3">
          <w:rPr>
            <w:noProof/>
            <w:webHidden/>
          </w:rPr>
          <w:fldChar w:fldCharType="end"/>
        </w:r>
      </w:hyperlink>
    </w:p>
    <w:p w14:paraId="337FB274" w14:textId="043C4B81" w:rsidR="00021FB3" w:rsidRDefault="003A6838">
      <w:pPr>
        <w:pStyle w:val="TOC1"/>
        <w:rPr>
          <w:rFonts w:eastAsiaTheme="minorEastAsia"/>
          <w:b w:val="0"/>
          <w:noProof/>
          <w:sz w:val="22"/>
          <w:lang w:eastAsia="en-AU"/>
        </w:rPr>
      </w:pPr>
      <w:hyperlink w:anchor="_Toc518477089" w:history="1">
        <w:r w:rsidR="00021FB3" w:rsidRPr="00684F72">
          <w:rPr>
            <w:rStyle w:val="Hyperlink"/>
            <w:noProof/>
          </w:rPr>
          <w:t>12.</w:t>
        </w:r>
        <w:r w:rsidR="00021FB3">
          <w:rPr>
            <w:rFonts w:eastAsiaTheme="minorEastAsia"/>
            <w:b w:val="0"/>
            <w:noProof/>
            <w:sz w:val="22"/>
            <w:lang w:eastAsia="en-AU"/>
          </w:rPr>
          <w:tab/>
        </w:r>
        <w:r w:rsidR="00021FB3" w:rsidRPr="00684F72">
          <w:rPr>
            <w:rStyle w:val="Hyperlink"/>
            <w:noProof/>
          </w:rPr>
          <w:t>Delivery of grant activities</w:t>
        </w:r>
        <w:r w:rsidR="00021FB3">
          <w:rPr>
            <w:noProof/>
            <w:webHidden/>
          </w:rPr>
          <w:tab/>
        </w:r>
        <w:r w:rsidR="00021FB3">
          <w:rPr>
            <w:noProof/>
            <w:webHidden/>
          </w:rPr>
          <w:fldChar w:fldCharType="begin"/>
        </w:r>
        <w:r w:rsidR="00021FB3">
          <w:rPr>
            <w:noProof/>
            <w:webHidden/>
          </w:rPr>
          <w:instrText xml:space="preserve"> PAGEREF _Toc518477089 \h </w:instrText>
        </w:r>
        <w:r w:rsidR="00021FB3">
          <w:rPr>
            <w:noProof/>
            <w:webHidden/>
          </w:rPr>
        </w:r>
        <w:r w:rsidR="00021FB3">
          <w:rPr>
            <w:noProof/>
            <w:webHidden/>
          </w:rPr>
          <w:fldChar w:fldCharType="separate"/>
        </w:r>
        <w:r w:rsidR="00021FB3">
          <w:rPr>
            <w:noProof/>
            <w:webHidden/>
          </w:rPr>
          <w:t>16</w:t>
        </w:r>
        <w:r w:rsidR="00021FB3">
          <w:rPr>
            <w:noProof/>
            <w:webHidden/>
          </w:rPr>
          <w:fldChar w:fldCharType="end"/>
        </w:r>
      </w:hyperlink>
    </w:p>
    <w:p w14:paraId="44EDD9B1" w14:textId="4A7EFA3A" w:rsidR="00021FB3" w:rsidRDefault="003A6838">
      <w:pPr>
        <w:pStyle w:val="TOC2"/>
        <w:rPr>
          <w:rFonts w:eastAsiaTheme="minorEastAsia"/>
          <w:noProof/>
          <w:lang w:eastAsia="en-AU"/>
        </w:rPr>
      </w:pPr>
      <w:hyperlink w:anchor="_Toc518477090" w:history="1">
        <w:r w:rsidR="00021FB3" w:rsidRPr="00684F72">
          <w:rPr>
            <w:rStyle w:val="Hyperlink"/>
            <w:noProof/>
          </w:rPr>
          <w:t>12.1</w:t>
        </w:r>
        <w:r w:rsidR="00021FB3">
          <w:rPr>
            <w:rFonts w:eastAsiaTheme="minorEastAsia"/>
            <w:noProof/>
            <w:lang w:eastAsia="en-AU"/>
          </w:rPr>
          <w:tab/>
        </w:r>
        <w:r w:rsidR="00021FB3" w:rsidRPr="00684F72">
          <w:rPr>
            <w:rStyle w:val="Hyperlink"/>
            <w:noProof/>
          </w:rPr>
          <w:t>Your responsibilities</w:t>
        </w:r>
        <w:r w:rsidR="00021FB3">
          <w:rPr>
            <w:noProof/>
            <w:webHidden/>
          </w:rPr>
          <w:tab/>
        </w:r>
        <w:r w:rsidR="00021FB3">
          <w:rPr>
            <w:noProof/>
            <w:webHidden/>
          </w:rPr>
          <w:fldChar w:fldCharType="begin"/>
        </w:r>
        <w:r w:rsidR="00021FB3">
          <w:rPr>
            <w:noProof/>
            <w:webHidden/>
          </w:rPr>
          <w:instrText xml:space="preserve"> PAGEREF _Toc518477090 \h </w:instrText>
        </w:r>
        <w:r w:rsidR="00021FB3">
          <w:rPr>
            <w:noProof/>
            <w:webHidden/>
          </w:rPr>
        </w:r>
        <w:r w:rsidR="00021FB3">
          <w:rPr>
            <w:noProof/>
            <w:webHidden/>
          </w:rPr>
          <w:fldChar w:fldCharType="separate"/>
        </w:r>
        <w:r w:rsidR="00021FB3">
          <w:rPr>
            <w:noProof/>
            <w:webHidden/>
          </w:rPr>
          <w:t>16</w:t>
        </w:r>
        <w:r w:rsidR="00021FB3">
          <w:rPr>
            <w:noProof/>
            <w:webHidden/>
          </w:rPr>
          <w:fldChar w:fldCharType="end"/>
        </w:r>
      </w:hyperlink>
    </w:p>
    <w:p w14:paraId="73C53510" w14:textId="22509A67" w:rsidR="00021FB3" w:rsidRDefault="003A6838">
      <w:pPr>
        <w:pStyle w:val="TOC2"/>
        <w:rPr>
          <w:rFonts w:eastAsiaTheme="minorEastAsia"/>
          <w:noProof/>
          <w:lang w:eastAsia="en-AU"/>
        </w:rPr>
      </w:pPr>
      <w:hyperlink w:anchor="_Toc518477091" w:history="1">
        <w:r w:rsidR="00021FB3" w:rsidRPr="00684F72">
          <w:rPr>
            <w:rStyle w:val="Hyperlink"/>
            <w:noProof/>
          </w:rPr>
          <w:t>12.2</w:t>
        </w:r>
        <w:r w:rsidR="00021FB3">
          <w:rPr>
            <w:rFonts w:eastAsiaTheme="minorEastAsia"/>
            <w:noProof/>
            <w:lang w:eastAsia="en-AU"/>
          </w:rPr>
          <w:tab/>
        </w:r>
        <w:r w:rsidR="00021FB3" w:rsidRPr="00684F72">
          <w:rPr>
            <w:rStyle w:val="Hyperlink"/>
            <w:noProof/>
          </w:rPr>
          <w:t xml:space="preserve">The </w:t>
        </w:r>
        <w:r w:rsidR="00021FB3" w:rsidRPr="00684F72">
          <w:rPr>
            <w:rStyle w:val="Hyperlink"/>
            <w:rFonts w:cstheme="minorHAnsi"/>
            <w:noProof/>
          </w:rPr>
          <w:t xml:space="preserve">Department of Social Services </w:t>
        </w:r>
        <w:r w:rsidR="00021FB3" w:rsidRPr="00684F72">
          <w:rPr>
            <w:rStyle w:val="Hyperlink"/>
            <w:noProof/>
          </w:rPr>
          <w:t>responsibilities</w:t>
        </w:r>
        <w:r w:rsidR="00021FB3">
          <w:rPr>
            <w:noProof/>
            <w:webHidden/>
          </w:rPr>
          <w:tab/>
        </w:r>
        <w:r w:rsidR="00021FB3">
          <w:rPr>
            <w:noProof/>
            <w:webHidden/>
          </w:rPr>
          <w:fldChar w:fldCharType="begin"/>
        </w:r>
        <w:r w:rsidR="00021FB3">
          <w:rPr>
            <w:noProof/>
            <w:webHidden/>
          </w:rPr>
          <w:instrText xml:space="preserve"> PAGEREF _Toc518477091 \h </w:instrText>
        </w:r>
        <w:r w:rsidR="00021FB3">
          <w:rPr>
            <w:noProof/>
            <w:webHidden/>
          </w:rPr>
        </w:r>
        <w:r w:rsidR="00021FB3">
          <w:rPr>
            <w:noProof/>
            <w:webHidden/>
          </w:rPr>
          <w:fldChar w:fldCharType="separate"/>
        </w:r>
        <w:r w:rsidR="00021FB3">
          <w:rPr>
            <w:noProof/>
            <w:webHidden/>
          </w:rPr>
          <w:t>16</w:t>
        </w:r>
        <w:r w:rsidR="00021FB3">
          <w:rPr>
            <w:noProof/>
            <w:webHidden/>
          </w:rPr>
          <w:fldChar w:fldCharType="end"/>
        </w:r>
      </w:hyperlink>
    </w:p>
    <w:p w14:paraId="6F9197E0" w14:textId="0A93247E" w:rsidR="00021FB3" w:rsidRDefault="003A6838">
      <w:pPr>
        <w:pStyle w:val="TOC2"/>
        <w:rPr>
          <w:rFonts w:eastAsiaTheme="minorEastAsia"/>
          <w:noProof/>
          <w:lang w:eastAsia="en-AU"/>
        </w:rPr>
      </w:pPr>
      <w:hyperlink w:anchor="_Toc518477092" w:history="1">
        <w:r w:rsidR="00021FB3" w:rsidRPr="00684F72">
          <w:rPr>
            <w:rStyle w:val="Hyperlink"/>
            <w:noProof/>
          </w:rPr>
          <w:t>12.3</w:t>
        </w:r>
        <w:r w:rsidR="00021FB3">
          <w:rPr>
            <w:rFonts w:eastAsiaTheme="minorEastAsia"/>
            <w:noProof/>
            <w:lang w:eastAsia="en-AU"/>
          </w:rPr>
          <w:tab/>
        </w:r>
        <w:r w:rsidR="00021FB3" w:rsidRPr="00684F72">
          <w:rPr>
            <w:rStyle w:val="Hyperlink"/>
            <w:noProof/>
          </w:rPr>
          <w:t>Grant payments and GST</w:t>
        </w:r>
        <w:r w:rsidR="00021FB3">
          <w:rPr>
            <w:noProof/>
            <w:webHidden/>
          </w:rPr>
          <w:tab/>
        </w:r>
        <w:r w:rsidR="00021FB3">
          <w:rPr>
            <w:noProof/>
            <w:webHidden/>
          </w:rPr>
          <w:fldChar w:fldCharType="begin"/>
        </w:r>
        <w:r w:rsidR="00021FB3">
          <w:rPr>
            <w:noProof/>
            <w:webHidden/>
          </w:rPr>
          <w:instrText xml:space="preserve"> PAGEREF _Toc518477092 \h </w:instrText>
        </w:r>
        <w:r w:rsidR="00021FB3">
          <w:rPr>
            <w:noProof/>
            <w:webHidden/>
          </w:rPr>
        </w:r>
        <w:r w:rsidR="00021FB3">
          <w:rPr>
            <w:noProof/>
            <w:webHidden/>
          </w:rPr>
          <w:fldChar w:fldCharType="separate"/>
        </w:r>
        <w:r w:rsidR="00021FB3">
          <w:rPr>
            <w:noProof/>
            <w:webHidden/>
          </w:rPr>
          <w:t>17</w:t>
        </w:r>
        <w:r w:rsidR="00021FB3">
          <w:rPr>
            <w:noProof/>
            <w:webHidden/>
          </w:rPr>
          <w:fldChar w:fldCharType="end"/>
        </w:r>
      </w:hyperlink>
    </w:p>
    <w:p w14:paraId="3F7C7053" w14:textId="25D32B41" w:rsidR="00021FB3" w:rsidRDefault="003A6838">
      <w:pPr>
        <w:pStyle w:val="TOC2"/>
        <w:rPr>
          <w:rFonts w:eastAsiaTheme="minorEastAsia"/>
          <w:noProof/>
          <w:lang w:eastAsia="en-AU"/>
        </w:rPr>
      </w:pPr>
      <w:hyperlink w:anchor="_Toc518477093" w:history="1">
        <w:r w:rsidR="00021FB3" w:rsidRPr="00684F72">
          <w:rPr>
            <w:rStyle w:val="Hyperlink"/>
            <w:noProof/>
          </w:rPr>
          <w:t>12.4</w:t>
        </w:r>
        <w:r w:rsidR="00021FB3">
          <w:rPr>
            <w:rFonts w:eastAsiaTheme="minorEastAsia"/>
            <w:noProof/>
            <w:lang w:eastAsia="en-AU"/>
          </w:rPr>
          <w:tab/>
        </w:r>
        <w:r w:rsidR="00021FB3" w:rsidRPr="00684F72">
          <w:rPr>
            <w:rStyle w:val="Hyperlink"/>
            <w:noProof/>
          </w:rPr>
          <w:t>Reporting</w:t>
        </w:r>
        <w:r w:rsidR="00021FB3">
          <w:rPr>
            <w:noProof/>
            <w:webHidden/>
          </w:rPr>
          <w:tab/>
        </w:r>
        <w:r w:rsidR="00021FB3">
          <w:rPr>
            <w:noProof/>
            <w:webHidden/>
          </w:rPr>
          <w:fldChar w:fldCharType="begin"/>
        </w:r>
        <w:r w:rsidR="00021FB3">
          <w:rPr>
            <w:noProof/>
            <w:webHidden/>
          </w:rPr>
          <w:instrText xml:space="preserve"> PAGEREF _Toc518477093 \h </w:instrText>
        </w:r>
        <w:r w:rsidR="00021FB3">
          <w:rPr>
            <w:noProof/>
            <w:webHidden/>
          </w:rPr>
        </w:r>
        <w:r w:rsidR="00021FB3">
          <w:rPr>
            <w:noProof/>
            <w:webHidden/>
          </w:rPr>
          <w:fldChar w:fldCharType="separate"/>
        </w:r>
        <w:r w:rsidR="00021FB3">
          <w:rPr>
            <w:noProof/>
            <w:webHidden/>
          </w:rPr>
          <w:t>17</w:t>
        </w:r>
        <w:r w:rsidR="00021FB3">
          <w:rPr>
            <w:noProof/>
            <w:webHidden/>
          </w:rPr>
          <w:fldChar w:fldCharType="end"/>
        </w:r>
      </w:hyperlink>
    </w:p>
    <w:p w14:paraId="23EDF50C" w14:textId="61AD45D0" w:rsidR="00021FB3" w:rsidRDefault="003A6838">
      <w:pPr>
        <w:pStyle w:val="TOC2"/>
        <w:rPr>
          <w:rFonts w:eastAsiaTheme="minorEastAsia"/>
          <w:noProof/>
          <w:lang w:eastAsia="en-AU"/>
        </w:rPr>
      </w:pPr>
      <w:hyperlink w:anchor="_Toc518477094" w:history="1">
        <w:r w:rsidR="00021FB3" w:rsidRPr="00684F72">
          <w:rPr>
            <w:rStyle w:val="Hyperlink"/>
            <w:noProof/>
          </w:rPr>
          <w:t>12.5</w:t>
        </w:r>
        <w:r w:rsidR="00021FB3">
          <w:rPr>
            <w:rFonts w:eastAsiaTheme="minorEastAsia"/>
            <w:noProof/>
            <w:lang w:eastAsia="en-AU"/>
          </w:rPr>
          <w:tab/>
        </w:r>
        <w:r w:rsidR="00021FB3" w:rsidRPr="00684F72">
          <w:rPr>
            <w:rStyle w:val="Hyperlink"/>
            <w:noProof/>
          </w:rPr>
          <w:t>Evaluation</w:t>
        </w:r>
        <w:r w:rsidR="00021FB3">
          <w:rPr>
            <w:noProof/>
            <w:webHidden/>
          </w:rPr>
          <w:tab/>
        </w:r>
        <w:r w:rsidR="00021FB3">
          <w:rPr>
            <w:noProof/>
            <w:webHidden/>
          </w:rPr>
          <w:fldChar w:fldCharType="begin"/>
        </w:r>
        <w:r w:rsidR="00021FB3">
          <w:rPr>
            <w:noProof/>
            <w:webHidden/>
          </w:rPr>
          <w:instrText xml:space="preserve"> PAGEREF _Toc518477094 \h </w:instrText>
        </w:r>
        <w:r w:rsidR="00021FB3">
          <w:rPr>
            <w:noProof/>
            <w:webHidden/>
          </w:rPr>
        </w:r>
        <w:r w:rsidR="00021FB3">
          <w:rPr>
            <w:noProof/>
            <w:webHidden/>
          </w:rPr>
          <w:fldChar w:fldCharType="separate"/>
        </w:r>
        <w:r w:rsidR="00021FB3">
          <w:rPr>
            <w:noProof/>
            <w:webHidden/>
          </w:rPr>
          <w:t>17</w:t>
        </w:r>
        <w:r w:rsidR="00021FB3">
          <w:rPr>
            <w:noProof/>
            <w:webHidden/>
          </w:rPr>
          <w:fldChar w:fldCharType="end"/>
        </w:r>
      </w:hyperlink>
    </w:p>
    <w:p w14:paraId="7ADE9F7A" w14:textId="17A5F9D6" w:rsidR="00021FB3" w:rsidRDefault="003A6838">
      <w:pPr>
        <w:pStyle w:val="TOC2"/>
        <w:rPr>
          <w:rFonts w:eastAsiaTheme="minorEastAsia"/>
          <w:noProof/>
          <w:lang w:eastAsia="en-AU"/>
        </w:rPr>
      </w:pPr>
      <w:hyperlink w:anchor="_Toc518477095" w:history="1">
        <w:r w:rsidR="00021FB3" w:rsidRPr="00684F72">
          <w:rPr>
            <w:rStyle w:val="Hyperlink"/>
            <w:noProof/>
          </w:rPr>
          <w:t>12.6</w:t>
        </w:r>
        <w:r w:rsidR="00021FB3">
          <w:rPr>
            <w:rFonts w:eastAsiaTheme="minorEastAsia"/>
            <w:noProof/>
            <w:lang w:eastAsia="en-AU"/>
          </w:rPr>
          <w:tab/>
        </w:r>
        <w:r w:rsidR="00021FB3" w:rsidRPr="00684F72">
          <w:rPr>
            <w:rStyle w:val="Hyperlink"/>
            <w:noProof/>
          </w:rPr>
          <w:t>Multicultural Access and Equity</w:t>
        </w:r>
        <w:r w:rsidR="00021FB3">
          <w:rPr>
            <w:noProof/>
            <w:webHidden/>
          </w:rPr>
          <w:tab/>
        </w:r>
        <w:r w:rsidR="00021FB3">
          <w:rPr>
            <w:noProof/>
            <w:webHidden/>
          </w:rPr>
          <w:fldChar w:fldCharType="begin"/>
        </w:r>
        <w:r w:rsidR="00021FB3">
          <w:rPr>
            <w:noProof/>
            <w:webHidden/>
          </w:rPr>
          <w:instrText xml:space="preserve"> PAGEREF _Toc518477095 \h </w:instrText>
        </w:r>
        <w:r w:rsidR="00021FB3">
          <w:rPr>
            <w:noProof/>
            <w:webHidden/>
          </w:rPr>
        </w:r>
        <w:r w:rsidR="00021FB3">
          <w:rPr>
            <w:noProof/>
            <w:webHidden/>
          </w:rPr>
          <w:fldChar w:fldCharType="separate"/>
        </w:r>
        <w:r w:rsidR="00021FB3">
          <w:rPr>
            <w:noProof/>
            <w:webHidden/>
          </w:rPr>
          <w:t>17</w:t>
        </w:r>
        <w:r w:rsidR="00021FB3">
          <w:rPr>
            <w:noProof/>
            <w:webHidden/>
          </w:rPr>
          <w:fldChar w:fldCharType="end"/>
        </w:r>
      </w:hyperlink>
    </w:p>
    <w:p w14:paraId="49990E85" w14:textId="73502119" w:rsidR="00021FB3" w:rsidRDefault="003A6838">
      <w:pPr>
        <w:pStyle w:val="TOC2"/>
        <w:rPr>
          <w:rFonts w:eastAsiaTheme="minorEastAsia"/>
          <w:noProof/>
          <w:lang w:eastAsia="en-AU"/>
        </w:rPr>
      </w:pPr>
      <w:hyperlink w:anchor="_Toc518477096" w:history="1">
        <w:r w:rsidR="00021FB3" w:rsidRPr="00684F72">
          <w:rPr>
            <w:rStyle w:val="Hyperlink"/>
            <w:noProof/>
          </w:rPr>
          <w:t>12.7</w:t>
        </w:r>
        <w:r w:rsidR="00021FB3">
          <w:rPr>
            <w:rFonts w:eastAsiaTheme="minorEastAsia"/>
            <w:noProof/>
            <w:lang w:eastAsia="en-AU"/>
          </w:rPr>
          <w:tab/>
        </w:r>
        <w:r w:rsidR="00021FB3" w:rsidRPr="00684F72">
          <w:rPr>
            <w:rStyle w:val="Hyperlink"/>
            <w:noProof/>
          </w:rPr>
          <w:t>Complaints process</w:t>
        </w:r>
        <w:r w:rsidR="00021FB3">
          <w:rPr>
            <w:noProof/>
            <w:webHidden/>
          </w:rPr>
          <w:tab/>
        </w:r>
        <w:r w:rsidR="00021FB3">
          <w:rPr>
            <w:noProof/>
            <w:webHidden/>
          </w:rPr>
          <w:fldChar w:fldCharType="begin"/>
        </w:r>
        <w:r w:rsidR="00021FB3">
          <w:rPr>
            <w:noProof/>
            <w:webHidden/>
          </w:rPr>
          <w:instrText xml:space="preserve"> PAGEREF _Toc518477096 \h </w:instrText>
        </w:r>
        <w:r w:rsidR="00021FB3">
          <w:rPr>
            <w:noProof/>
            <w:webHidden/>
          </w:rPr>
        </w:r>
        <w:r w:rsidR="00021FB3">
          <w:rPr>
            <w:noProof/>
            <w:webHidden/>
          </w:rPr>
          <w:fldChar w:fldCharType="separate"/>
        </w:r>
        <w:r w:rsidR="00021FB3">
          <w:rPr>
            <w:noProof/>
            <w:webHidden/>
          </w:rPr>
          <w:t>18</w:t>
        </w:r>
        <w:r w:rsidR="00021FB3">
          <w:rPr>
            <w:noProof/>
            <w:webHidden/>
          </w:rPr>
          <w:fldChar w:fldCharType="end"/>
        </w:r>
      </w:hyperlink>
    </w:p>
    <w:p w14:paraId="0FCEE042" w14:textId="765D0A02" w:rsidR="00021FB3" w:rsidRDefault="003A6838">
      <w:pPr>
        <w:pStyle w:val="TOC2"/>
        <w:rPr>
          <w:rFonts w:eastAsiaTheme="minorEastAsia"/>
          <w:noProof/>
          <w:lang w:eastAsia="en-AU"/>
        </w:rPr>
      </w:pPr>
      <w:hyperlink w:anchor="_Toc518477097" w:history="1">
        <w:r w:rsidR="00021FB3" w:rsidRPr="00684F72">
          <w:rPr>
            <w:rStyle w:val="Hyperlink"/>
            <w:noProof/>
          </w:rPr>
          <w:t>12.8</w:t>
        </w:r>
        <w:r w:rsidR="00021FB3">
          <w:rPr>
            <w:rFonts w:eastAsiaTheme="minorEastAsia"/>
            <w:noProof/>
            <w:lang w:eastAsia="en-AU"/>
          </w:rPr>
          <w:tab/>
        </w:r>
        <w:r w:rsidR="00021FB3" w:rsidRPr="00684F72">
          <w:rPr>
            <w:rStyle w:val="Hyperlink"/>
            <w:noProof/>
          </w:rPr>
          <w:t>Conflict of interest</w:t>
        </w:r>
        <w:r w:rsidR="00021FB3">
          <w:rPr>
            <w:noProof/>
            <w:webHidden/>
          </w:rPr>
          <w:tab/>
        </w:r>
        <w:r w:rsidR="00021FB3">
          <w:rPr>
            <w:noProof/>
            <w:webHidden/>
          </w:rPr>
          <w:fldChar w:fldCharType="begin"/>
        </w:r>
        <w:r w:rsidR="00021FB3">
          <w:rPr>
            <w:noProof/>
            <w:webHidden/>
          </w:rPr>
          <w:instrText xml:space="preserve"> PAGEREF _Toc518477097 \h </w:instrText>
        </w:r>
        <w:r w:rsidR="00021FB3">
          <w:rPr>
            <w:noProof/>
            <w:webHidden/>
          </w:rPr>
        </w:r>
        <w:r w:rsidR="00021FB3">
          <w:rPr>
            <w:noProof/>
            <w:webHidden/>
          </w:rPr>
          <w:fldChar w:fldCharType="separate"/>
        </w:r>
        <w:r w:rsidR="00021FB3">
          <w:rPr>
            <w:noProof/>
            <w:webHidden/>
          </w:rPr>
          <w:t>19</w:t>
        </w:r>
        <w:r w:rsidR="00021FB3">
          <w:rPr>
            <w:noProof/>
            <w:webHidden/>
          </w:rPr>
          <w:fldChar w:fldCharType="end"/>
        </w:r>
      </w:hyperlink>
    </w:p>
    <w:p w14:paraId="0E7DF296" w14:textId="6B4E167B" w:rsidR="00021FB3" w:rsidRDefault="003A6838">
      <w:pPr>
        <w:pStyle w:val="TOC2"/>
        <w:rPr>
          <w:rFonts w:eastAsiaTheme="minorEastAsia"/>
          <w:noProof/>
          <w:lang w:eastAsia="en-AU"/>
        </w:rPr>
      </w:pPr>
      <w:hyperlink w:anchor="_Toc518477098" w:history="1">
        <w:r w:rsidR="00021FB3" w:rsidRPr="00684F72">
          <w:rPr>
            <w:rStyle w:val="Hyperlink"/>
            <w:noProof/>
          </w:rPr>
          <w:t>12.9</w:t>
        </w:r>
        <w:r w:rsidR="00021FB3">
          <w:rPr>
            <w:rFonts w:eastAsiaTheme="minorEastAsia"/>
            <w:noProof/>
            <w:lang w:eastAsia="en-AU"/>
          </w:rPr>
          <w:tab/>
        </w:r>
        <w:r w:rsidR="00021FB3" w:rsidRPr="00684F72">
          <w:rPr>
            <w:rStyle w:val="Hyperlink"/>
            <w:noProof/>
          </w:rPr>
          <w:t>Privacy: confidentiality and protection of personal information</w:t>
        </w:r>
        <w:r w:rsidR="00021FB3">
          <w:rPr>
            <w:noProof/>
            <w:webHidden/>
          </w:rPr>
          <w:tab/>
        </w:r>
        <w:r w:rsidR="00021FB3">
          <w:rPr>
            <w:noProof/>
            <w:webHidden/>
          </w:rPr>
          <w:fldChar w:fldCharType="begin"/>
        </w:r>
        <w:r w:rsidR="00021FB3">
          <w:rPr>
            <w:noProof/>
            <w:webHidden/>
          </w:rPr>
          <w:instrText xml:space="preserve"> PAGEREF _Toc518477098 \h </w:instrText>
        </w:r>
        <w:r w:rsidR="00021FB3">
          <w:rPr>
            <w:noProof/>
            <w:webHidden/>
          </w:rPr>
        </w:r>
        <w:r w:rsidR="00021FB3">
          <w:rPr>
            <w:noProof/>
            <w:webHidden/>
          </w:rPr>
          <w:fldChar w:fldCharType="separate"/>
        </w:r>
        <w:r w:rsidR="00021FB3">
          <w:rPr>
            <w:noProof/>
            <w:webHidden/>
          </w:rPr>
          <w:t>19</w:t>
        </w:r>
        <w:r w:rsidR="00021FB3">
          <w:rPr>
            <w:noProof/>
            <w:webHidden/>
          </w:rPr>
          <w:fldChar w:fldCharType="end"/>
        </w:r>
      </w:hyperlink>
    </w:p>
    <w:p w14:paraId="10D01739" w14:textId="58208C33" w:rsidR="00021FB3" w:rsidRDefault="003A6838">
      <w:pPr>
        <w:pStyle w:val="TOC2"/>
        <w:tabs>
          <w:tab w:val="left" w:pos="1134"/>
        </w:tabs>
        <w:rPr>
          <w:rFonts w:eastAsiaTheme="minorEastAsia"/>
          <w:noProof/>
          <w:lang w:eastAsia="en-AU"/>
        </w:rPr>
      </w:pPr>
      <w:hyperlink w:anchor="_Toc518477099" w:history="1">
        <w:r w:rsidR="00021FB3" w:rsidRPr="00684F72">
          <w:rPr>
            <w:rStyle w:val="Hyperlink"/>
            <w:noProof/>
          </w:rPr>
          <w:t>12.10</w:t>
        </w:r>
        <w:r w:rsidR="00021FB3">
          <w:rPr>
            <w:rFonts w:eastAsiaTheme="minorEastAsia"/>
            <w:noProof/>
            <w:lang w:eastAsia="en-AU"/>
          </w:rPr>
          <w:tab/>
        </w:r>
        <w:r w:rsidR="00021FB3" w:rsidRPr="00684F72">
          <w:rPr>
            <w:rStyle w:val="Hyperlink"/>
            <w:noProof/>
          </w:rPr>
          <w:t>Freedom of information</w:t>
        </w:r>
        <w:r w:rsidR="00021FB3">
          <w:rPr>
            <w:noProof/>
            <w:webHidden/>
          </w:rPr>
          <w:tab/>
        </w:r>
        <w:r w:rsidR="00021FB3">
          <w:rPr>
            <w:noProof/>
            <w:webHidden/>
          </w:rPr>
          <w:fldChar w:fldCharType="begin"/>
        </w:r>
        <w:r w:rsidR="00021FB3">
          <w:rPr>
            <w:noProof/>
            <w:webHidden/>
          </w:rPr>
          <w:instrText xml:space="preserve"> PAGEREF _Toc518477099 \h </w:instrText>
        </w:r>
        <w:r w:rsidR="00021FB3">
          <w:rPr>
            <w:noProof/>
            <w:webHidden/>
          </w:rPr>
        </w:r>
        <w:r w:rsidR="00021FB3">
          <w:rPr>
            <w:noProof/>
            <w:webHidden/>
          </w:rPr>
          <w:fldChar w:fldCharType="separate"/>
        </w:r>
        <w:r w:rsidR="00021FB3">
          <w:rPr>
            <w:noProof/>
            <w:webHidden/>
          </w:rPr>
          <w:t>21</w:t>
        </w:r>
        <w:r w:rsidR="00021FB3">
          <w:rPr>
            <w:noProof/>
            <w:webHidden/>
          </w:rPr>
          <w:fldChar w:fldCharType="end"/>
        </w:r>
      </w:hyperlink>
    </w:p>
    <w:p w14:paraId="1A179810" w14:textId="4B13EB2F" w:rsidR="00021FB3" w:rsidRDefault="003A6838">
      <w:pPr>
        <w:pStyle w:val="TOC1"/>
        <w:rPr>
          <w:rFonts w:eastAsiaTheme="minorEastAsia"/>
          <w:b w:val="0"/>
          <w:noProof/>
          <w:sz w:val="22"/>
          <w:lang w:eastAsia="en-AU"/>
        </w:rPr>
      </w:pPr>
      <w:hyperlink w:anchor="_Toc518477100" w:history="1">
        <w:r w:rsidR="00021FB3" w:rsidRPr="00684F72">
          <w:rPr>
            <w:rStyle w:val="Hyperlink"/>
            <w:noProof/>
          </w:rPr>
          <w:t>13.</w:t>
        </w:r>
        <w:r w:rsidR="00021FB3">
          <w:rPr>
            <w:rFonts w:eastAsiaTheme="minorEastAsia"/>
            <w:b w:val="0"/>
            <w:noProof/>
            <w:sz w:val="22"/>
            <w:lang w:eastAsia="en-AU"/>
          </w:rPr>
          <w:tab/>
        </w:r>
        <w:r w:rsidR="00021FB3" w:rsidRPr="00684F72">
          <w:rPr>
            <w:rStyle w:val="Hyperlink"/>
            <w:noProof/>
          </w:rPr>
          <w:t>Consultation</w:t>
        </w:r>
        <w:r w:rsidR="00021FB3">
          <w:rPr>
            <w:noProof/>
            <w:webHidden/>
          </w:rPr>
          <w:tab/>
        </w:r>
        <w:r w:rsidR="00021FB3">
          <w:rPr>
            <w:noProof/>
            <w:webHidden/>
          </w:rPr>
          <w:fldChar w:fldCharType="begin"/>
        </w:r>
        <w:r w:rsidR="00021FB3">
          <w:rPr>
            <w:noProof/>
            <w:webHidden/>
          </w:rPr>
          <w:instrText xml:space="preserve"> PAGEREF _Toc518477100 \h </w:instrText>
        </w:r>
        <w:r w:rsidR="00021FB3">
          <w:rPr>
            <w:noProof/>
            <w:webHidden/>
          </w:rPr>
        </w:r>
        <w:r w:rsidR="00021FB3">
          <w:rPr>
            <w:noProof/>
            <w:webHidden/>
          </w:rPr>
          <w:fldChar w:fldCharType="separate"/>
        </w:r>
        <w:r w:rsidR="00021FB3">
          <w:rPr>
            <w:noProof/>
            <w:webHidden/>
          </w:rPr>
          <w:t>21</w:t>
        </w:r>
        <w:r w:rsidR="00021FB3">
          <w:rPr>
            <w:noProof/>
            <w:webHidden/>
          </w:rPr>
          <w:fldChar w:fldCharType="end"/>
        </w:r>
      </w:hyperlink>
    </w:p>
    <w:p w14:paraId="163153B0" w14:textId="69289CF5" w:rsidR="00021FB3" w:rsidRDefault="003A6838">
      <w:pPr>
        <w:pStyle w:val="TOC1"/>
        <w:rPr>
          <w:rFonts w:eastAsiaTheme="minorEastAsia"/>
          <w:b w:val="0"/>
          <w:noProof/>
          <w:sz w:val="22"/>
          <w:lang w:eastAsia="en-AU"/>
        </w:rPr>
      </w:pPr>
      <w:hyperlink w:anchor="_Toc518477101" w:history="1">
        <w:r w:rsidR="00021FB3" w:rsidRPr="00684F72">
          <w:rPr>
            <w:rStyle w:val="Hyperlink"/>
            <w:noProof/>
          </w:rPr>
          <w:t>14.</w:t>
        </w:r>
        <w:r w:rsidR="00021FB3">
          <w:rPr>
            <w:rFonts w:eastAsiaTheme="minorEastAsia"/>
            <w:b w:val="0"/>
            <w:noProof/>
            <w:sz w:val="22"/>
            <w:lang w:eastAsia="en-AU"/>
          </w:rPr>
          <w:tab/>
        </w:r>
        <w:r w:rsidR="00021FB3" w:rsidRPr="00684F72">
          <w:rPr>
            <w:rStyle w:val="Hyperlink"/>
            <w:noProof/>
          </w:rPr>
          <w:t>Glossary</w:t>
        </w:r>
        <w:r w:rsidR="00021FB3">
          <w:rPr>
            <w:noProof/>
            <w:webHidden/>
          </w:rPr>
          <w:tab/>
        </w:r>
        <w:r w:rsidR="00021FB3">
          <w:rPr>
            <w:noProof/>
            <w:webHidden/>
          </w:rPr>
          <w:fldChar w:fldCharType="begin"/>
        </w:r>
        <w:r w:rsidR="00021FB3">
          <w:rPr>
            <w:noProof/>
            <w:webHidden/>
          </w:rPr>
          <w:instrText xml:space="preserve"> PAGEREF _Toc518477101 \h </w:instrText>
        </w:r>
        <w:r w:rsidR="00021FB3">
          <w:rPr>
            <w:noProof/>
            <w:webHidden/>
          </w:rPr>
        </w:r>
        <w:r w:rsidR="00021FB3">
          <w:rPr>
            <w:noProof/>
            <w:webHidden/>
          </w:rPr>
          <w:fldChar w:fldCharType="separate"/>
        </w:r>
        <w:r w:rsidR="00021FB3">
          <w:rPr>
            <w:noProof/>
            <w:webHidden/>
          </w:rPr>
          <w:t>22</w:t>
        </w:r>
        <w:r w:rsidR="00021FB3">
          <w:rPr>
            <w:noProof/>
            <w:webHidden/>
          </w:rPr>
          <w:fldChar w:fldCharType="end"/>
        </w:r>
      </w:hyperlink>
    </w:p>
    <w:p w14:paraId="46E95272" w14:textId="42E8BF36" w:rsidR="00934587" w:rsidRDefault="0020122A" w:rsidP="00CC2AA4">
      <w:r>
        <w:fldChar w:fldCharType="end"/>
      </w:r>
    </w:p>
    <w:p w14:paraId="055F6F18" w14:textId="77777777" w:rsidR="005D369F" w:rsidRDefault="005D369F" w:rsidP="00934587">
      <w:pPr>
        <w:pBdr>
          <w:bottom w:val="single" w:sz="4" w:space="1" w:color="auto"/>
        </w:pBdr>
        <w:rPr>
          <w:b/>
          <w:color w:val="745B00"/>
        </w:rPr>
        <w:sectPr w:rsidR="005D369F" w:rsidSect="005A41E0">
          <w:pgSz w:w="11906" w:h="16838" w:code="9"/>
          <w:pgMar w:top="2268" w:right="1418" w:bottom="1418" w:left="1418" w:header="567" w:footer="624" w:gutter="0"/>
          <w:cols w:space="708"/>
          <w:titlePg/>
          <w:docGrid w:linePitch="360"/>
        </w:sectPr>
      </w:pPr>
    </w:p>
    <w:p w14:paraId="7E3513B3" w14:textId="3FD7E882" w:rsidR="005D369F" w:rsidRPr="00F40BDA" w:rsidRDefault="005D369F" w:rsidP="005D369F">
      <w:pPr>
        <w:pStyle w:val="Heading1Numbered"/>
        <w:numPr>
          <w:ilvl w:val="0"/>
          <w:numId w:val="49"/>
        </w:numPr>
      </w:pPr>
      <w:bookmarkStart w:id="1" w:name="_Toc514065999"/>
      <w:bookmarkStart w:id="2" w:name="_Toc518477060"/>
      <w:r w:rsidRPr="008B69E7">
        <w:lastRenderedPageBreak/>
        <w:t xml:space="preserve">Financial Wellbeing and Capability </w:t>
      </w:r>
      <w:r>
        <w:t>Activity</w:t>
      </w:r>
      <w:r w:rsidR="00F65D74">
        <w:t>:</w:t>
      </w:r>
      <w:r w:rsidRPr="008B69E7">
        <w:t xml:space="preserve"> </w:t>
      </w:r>
      <w:r w:rsidR="004A73B5">
        <w:t>Commonwealth Financial Counselling and Financial Capability</w:t>
      </w:r>
      <w:r w:rsidR="00F65D74">
        <w:t xml:space="preserve"> </w:t>
      </w:r>
      <w:r w:rsidR="004A73B5">
        <w:t>– Capa</w:t>
      </w:r>
      <w:r w:rsidR="00FB7C28">
        <w:t>bili</w:t>
      </w:r>
      <w:r w:rsidR="004A73B5">
        <w:t xml:space="preserve">ty Building </w:t>
      </w:r>
      <w:r w:rsidRPr="008B69E7">
        <w:t xml:space="preserve">Grant Opportunity </w:t>
      </w:r>
      <w:r w:rsidRPr="00F40BDA">
        <w:t>Process</w:t>
      </w:r>
      <w:r>
        <w:t>es</w:t>
      </w:r>
      <w:bookmarkEnd w:id="1"/>
      <w:bookmarkEnd w:id="2"/>
    </w:p>
    <w:p w14:paraId="563DD220" w14:textId="77777777" w:rsidR="007A25F0" w:rsidRPr="005D00E1" w:rsidRDefault="007A25F0" w:rsidP="007A25F0">
      <w:pPr>
        <w:rPr>
          <w:b/>
          <w:sz w:val="10"/>
        </w:rPr>
      </w:pPr>
    </w:p>
    <w:p w14:paraId="6D4DD5BC" w14:textId="755B1AF3" w:rsidR="006F42DF" w:rsidRDefault="004A73B5" w:rsidP="006F42DF">
      <w:pPr>
        <w:pBdr>
          <w:top w:val="single" w:sz="4" w:space="1" w:color="auto"/>
          <w:left w:val="single" w:sz="4" w:space="4" w:color="auto"/>
          <w:bottom w:val="single" w:sz="4" w:space="1" w:color="auto"/>
          <w:right w:val="single" w:sz="4" w:space="4" w:color="auto"/>
        </w:pBdr>
        <w:spacing w:after="0"/>
        <w:jc w:val="center"/>
        <w:rPr>
          <w:b/>
        </w:rPr>
      </w:pPr>
      <w:r>
        <w:rPr>
          <w:b/>
        </w:rPr>
        <w:t>The</w:t>
      </w:r>
      <w:r w:rsidR="006F42DF" w:rsidRPr="00EE2B1C">
        <w:rPr>
          <w:b/>
        </w:rPr>
        <w:t xml:space="preserve"> </w:t>
      </w:r>
      <w:r w:rsidR="00D66643">
        <w:rPr>
          <w:b/>
        </w:rPr>
        <w:t>Financial Wellbeing and Capability</w:t>
      </w:r>
      <w:r>
        <w:rPr>
          <w:b/>
        </w:rPr>
        <w:t xml:space="preserve"> Activity </w:t>
      </w:r>
      <w:r w:rsidR="006F42DF" w:rsidRPr="00EE2B1C">
        <w:rPr>
          <w:b/>
        </w:rPr>
        <w:t>is designed to achieve Australian</w:t>
      </w:r>
      <w:r w:rsidR="006F42DF" w:rsidRPr="00F40BDA">
        <w:rPr>
          <w:b/>
        </w:rPr>
        <w:t xml:space="preserve"> Government </w:t>
      </w:r>
      <w:r w:rsidR="006F42DF">
        <w:rPr>
          <w:b/>
        </w:rPr>
        <w:t>objectives</w:t>
      </w:r>
      <w:r w:rsidR="006F42DF" w:rsidRPr="00F40BDA">
        <w:rPr>
          <w:b/>
        </w:rPr>
        <w:t xml:space="preserve"> </w:t>
      </w:r>
    </w:p>
    <w:p w14:paraId="5E0D6D0E" w14:textId="17605B45" w:rsidR="006F42DF" w:rsidRDefault="006F42DF" w:rsidP="006F42DF">
      <w:pPr>
        <w:pBdr>
          <w:top w:val="single" w:sz="4" w:space="1" w:color="auto"/>
          <w:left w:val="single" w:sz="4" w:space="4" w:color="auto"/>
          <w:bottom w:val="single" w:sz="4" w:space="1" w:color="auto"/>
          <w:right w:val="single" w:sz="4" w:space="4" w:color="auto"/>
        </w:pBdr>
        <w:spacing w:after="0"/>
        <w:jc w:val="center"/>
      </w:pPr>
      <w:r w:rsidRPr="006913FB">
        <w:t>This grant opportunity</w:t>
      </w:r>
      <w:r w:rsidR="00984814">
        <w:t xml:space="preserve"> </w:t>
      </w:r>
      <w:r w:rsidRPr="006913FB">
        <w:t xml:space="preserve">is part of the </w:t>
      </w:r>
      <w:r w:rsidR="00984814">
        <w:t>above Grant Program</w:t>
      </w:r>
      <w:r w:rsidRPr="006913FB">
        <w:t xml:space="preserve">, which contributes to </w:t>
      </w:r>
      <w:r>
        <w:t xml:space="preserve">the </w:t>
      </w:r>
      <w:r w:rsidRPr="006913FB">
        <w:t>Department of Social Services Outcome 2: Families and Communities. The</w:t>
      </w:r>
      <w:r w:rsidR="00391564">
        <w:t> </w:t>
      </w:r>
      <w:r w:rsidRPr="006913FB">
        <w:t xml:space="preserve">Department of Social Services </w:t>
      </w:r>
      <w:r w:rsidRPr="00F40BDA">
        <w:t xml:space="preserve">works with stakeholders to plan and design the </w:t>
      </w:r>
      <w:r>
        <w:t>G</w:t>
      </w:r>
      <w:r w:rsidRPr="00F40BDA">
        <w:t xml:space="preserve">rant </w:t>
      </w:r>
      <w:r>
        <w:t>Program according to</w:t>
      </w:r>
      <w:r w:rsidRPr="00F40BDA">
        <w:t xml:space="preserve"> the </w:t>
      </w:r>
      <w:r w:rsidRPr="00F40BDA">
        <w:rPr>
          <w:i/>
        </w:rPr>
        <w:t>Commonwealth Grants Rules and Guidelines</w:t>
      </w:r>
      <w:r w:rsidRPr="00F40BDA">
        <w:t>.</w:t>
      </w:r>
    </w:p>
    <w:p w14:paraId="2BF62B1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DDFADD5"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291C78C1"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15" w:history="1">
        <w:proofErr w:type="spellStart"/>
        <w:r w:rsidRPr="00566242">
          <w:rPr>
            <w:rStyle w:val="Hyperlink"/>
            <w:rFonts w:cstheme="minorBidi"/>
          </w:rPr>
          <w:t>GrantConnect</w:t>
        </w:r>
        <w:proofErr w:type="spellEnd"/>
      </w:hyperlink>
      <w:r w:rsidR="00BD1DD2">
        <w:t xml:space="preserve"> and </w:t>
      </w:r>
      <w:hyperlink r:id="rId16" w:history="1">
        <w:r w:rsidR="00BD1DD2" w:rsidRPr="00566242">
          <w:rPr>
            <w:rStyle w:val="Hyperlink"/>
            <w:rFonts w:cstheme="minorBidi"/>
          </w:rPr>
          <w:t>Community Grants Hub</w:t>
        </w:r>
      </w:hyperlink>
      <w:r w:rsidR="00BD1DD2">
        <w:t xml:space="preserve"> websites</w:t>
      </w:r>
      <w:r>
        <w:t xml:space="preserve">. </w:t>
      </w:r>
    </w:p>
    <w:p w14:paraId="44515CAE"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05D4D8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16736D50" w14:textId="77777777"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0E6ABA">
        <w:t>application</w:t>
      </w:r>
      <w:r w:rsidRPr="004B61BC">
        <w:t xml:space="preserve">. </w:t>
      </w:r>
      <w:r w:rsidR="0097683A">
        <w:t xml:space="preserve">Further information can be found on </w:t>
      </w:r>
      <w:hyperlink r:id="rId17" w:history="1">
        <w:proofErr w:type="spellStart"/>
        <w:r w:rsidR="0097683A" w:rsidRPr="0097683A">
          <w:rPr>
            <w:rStyle w:val="Hyperlink"/>
            <w:rFonts w:cstheme="minorBidi"/>
          </w:rPr>
          <w:t>GrantConnect</w:t>
        </w:r>
        <w:proofErr w:type="spellEnd"/>
      </w:hyperlink>
      <w:r w:rsidR="0097683A">
        <w:t xml:space="preserve">. </w:t>
      </w:r>
      <w:r w:rsidRPr="004B61BC">
        <w:t xml:space="preserve">Note: Any addenda for this grant opportunity will be published on </w:t>
      </w:r>
      <w:proofErr w:type="spellStart"/>
      <w:r w:rsidRPr="004B61BC">
        <w:t>GrantConnect</w:t>
      </w:r>
      <w:proofErr w:type="spellEnd"/>
      <w:r w:rsidRPr="004B61BC">
        <w:t>, and by registering on this website you will be automatic</w:t>
      </w:r>
      <w:r w:rsidR="00157662">
        <w:t>ally notified o</w:t>
      </w:r>
      <w:r w:rsidR="009A05FF">
        <w:t>f</w:t>
      </w:r>
      <w:r w:rsidR="00157662">
        <w:t xml:space="preserve"> any changes.</w:t>
      </w:r>
    </w:p>
    <w:p w14:paraId="65355DE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B60EFFF" w14:textId="2E15CECF"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w:t>
      </w:r>
      <w:r w:rsidR="002E022B">
        <w:rPr>
          <w:b/>
        </w:rPr>
        <w:t>your</w:t>
      </w:r>
      <w:r>
        <w:rPr>
          <w:b/>
        </w:rPr>
        <w:t xml:space="preserve"> </w:t>
      </w:r>
      <w:r w:rsidRPr="00F40BDA">
        <w:rPr>
          <w:b/>
        </w:rPr>
        <w:t xml:space="preserve">grant </w:t>
      </w:r>
      <w:r w:rsidRPr="002E022B">
        <w:rPr>
          <w:b/>
        </w:rPr>
        <w:t>application</w:t>
      </w:r>
    </w:p>
    <w:p w14:paraId="60E3DDB4" w14:textId="537DC208"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assess the </w:t>
      </w:r>
      <w:r w:rsidRPr="002E022B">
        <w:t>application</w:t>
      </w:r>
      <w:r>
        <w:t xml:space="preserve"> against eligibility criteria and notify you if you are not eligible.  We then assess your application against the assessment criteria including an overall consideration of value for money. </w:t>
      </w:r>
    </w:p>
    <w:p w14:paraId="20BD3AF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68B601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7BF1DD5E"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08C653E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B8D054E" w14:textId="2794E3D6" w:rsidR="00EE2B1C" w:rsidRDefault="00BA15BA"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00EE2B1C" w:rsidRPr="00DB0315">
        <w:rPr>
          <w:b/>
        </w:rPr>
        <w:t>ecision</w:t>
      </w:r>
      <w:r w:rsidR="00EE2B1C">
        <w:rPr>
          <w:b/>
        </w:rPr>
        <w:t>s are made</w:t>
      </w:r>
    </w:p>
    <w:p w14:paraId="2C115302"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lastRenderedPageBreak/>
        <w:t>The</w:t>
      </w:r>
      <w:r w:rsidRPr="00123D11">
        <w:t xml:space="preserve"> </w:t>
      </w:r>
      <w:r>
        <w:t xml:space="preserve">decision </w:t>
      </w:r>
      <w:r w:rsidRPr="00123D11">
        <w:t xml:space="preserve">maker </w:t>
      </w:r>
      <w:r>
        <w:t xml:space="preserve">decides </w:t>
      </w:r>
      <w:r w:rsidRPr="00123D11">
        <w:t xml:space="preserve">which grant </w:t>
      </w:r>
      <w:r w:rsidRPr="002E022B">
        <w:t>applications</w:t>
      </w:r>
      <w:r w:rsidRPr="00123D11">
        <w:t xml:space="preserve"> are successful.</w:t>
      </w:r>
    </w:p>
    <w:p w14:paraId="2FAA4D1E"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35D4620"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1C580561"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rsidRPr="00DA24FD">
        <w:t xml:space="preserve">We advise you of the outcome of your application.  We may not notify unsuccessful </w:t>
      </w:r>
      <w:r w:rsidRPr="002E022B">
        <w:t>applicants u</w:t>
      </w:r>
      <w:r w:rsidRPr="00DA24FD">
        <w:t>ntil grant agreements have been executed with successful applicants.</w:t>
      </w:r>
    </w:p>
    <w:p w14:paraId="77D3263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A6DECDC" w14:textId="1806F05B"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A12B92">
        <w:rPr>
          <w:rStyle w:val="highlightedtextChar"/>
          <w:color w:val="auto"/>
        </w:rPr>
        <w:t>We enter into a grant agreement</w:t>
      </w:r>
    </w:p>
    <w:p w14:paraId="6624AEE1" w14:textId="49B2CDCF"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DA24FD">
        <w:t xml:space="preserve">We will enter into a grant agreement with successful </w:t>
      </w:r>
      <w:r w:rsidRPr="002E022B">
        <w:t>applicant</w:t>
      </w:r>
      <w:r w:rsidR="002E022B">
        <w:t>/</w:t>
      </w:r>
      <w:r w:rsidRPr="002E022B">
        <w:t>s.</w:t>
      </w:r>
      <w:r>
        <w:t xml:space="preserve">  </w:t>
      </w:r>
      <w:r w:rsidRPr="00F40BDA">
        <w:t>The type of grant agreement is based on the nature of the grant and</w:t>
      </w:r>
      <w:r w:rsidR="009A05FF">
        <w:t xml:space="preserve"> is</w:t>
      </w:r>
      <w:r w:rsidRPr="00F40BDA">
        <w:t xml:space="preserve"> proportional to the risks involved.</w:t>
      </w:r>
      <w:r>
        <w:t xml:space="preserve"> </w:t>
      </w:r>
    </w:p>
    <w:p w14:paraId="2855CA6D"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E438585"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7F663BEB" w14:textId="471D79FD"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w:t>
      </w:r>
      <w:r w:rsidRPr="004A73B5">
        <w:rPr>
          <w:bCs/>
        </w:rPr>
        <w:t xml:space="preserve">your </w:t>
      </w:r>
      <w:r w:rsidRPr="00A12B92">
        <w:rPr>
          <w:rStyle w:val="highlightedtextChar"/>
          <w:b w:val="0"/>
          <w:color w:val="auto"/>
        </w:rPr>
        <w:t>grant agreement</w:t>
      </w:r>
      <w:r w:rsidRPr="00F40BDA">
        <w:rPr>
          <w:bCs/>
        </w:rPr>
        <w:t xml:space="preserve">. </w:t>
      </w:r>
      <w:r w:rsidR="004A73B5">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1015A94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A0BA27F" w14:textId="1B8362AA"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the grant</w:t>
      </w:r>
    </w:p>
    <w:p w14:paraId="1B65A13B" w14:textId="45A4DE95"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00F91C9D">
        <w:t xml:space="preserve">Financial Wellbeing and Capability Activity as a whole.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24E705AA" w14:textId="77777777" w:rsidR="001A0777" w:rsidRPr="00367A67" w:rsidRDefault="001A0777" w:rsidP="0014312E">
      <w:pPr>
        <w:pStyle w:val="Heading2Numbered"/>
        <w:ind w:left="567"/>
      </w:pPr>
      <w:bookmarkStart w:id="3" w:name="_Toc484677032"/>
      <w:bookmarkStart w:id="4" w:name="_Toc518477061"/>
      <w:bookmarkStart w:id="5" w:name="_Toc467773951"/>
      <w:r w:rsidRPr="00367A67">
        <w:t>Role of the Community Grants Hub</w:t>
      </w:r>
      <w:bookmarkEnd w:id="3"/>
      <w:bookmarkEnd w:id="4"/>
    </w:p>
    <w:p w14:paraId="67A75F18" w14:textId="3298E96E" w:rsidR="001A0777" w:rsidRPr="00367A67" w:rsidRDefault="00D268E6" w:rsidP="001A0777">
      <w:r w:rsidRPr="00367A67">
        <w:t xml:space="preserve">This grant opportunity will be administered by the Community Grants Hub on behalf of the </w:t>
      </w:r>
      <w:r w:rsidR="006F42DF" w:rsidRPr="00330B71">
        <w:t>Department of Social Services</w:t>
      </w:r>
      <w:r w:rsidR="006F42DF" w:rsidRPr="00330B71">
        <w:rPr>
          <w:rStyle w:val="highlightedtextChar"/>
          <w:color w:val="auto"/>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566242">
        <w:rPr>
          <w:rStyle w:val="highlightedtextChar"/>
          <w:b w:val="0"/>
          <w:color w:val="auto"/>
        </w:rPr>
        <w:t>Whole-of-</w:t>
      </w:r>
      <w:r w:rsidR="00186E42" w:rsidRPr="00367A67">
        <w:rPr>
          <w:rStyle w:val="highlightedtextChar"/>
          <w:b w:val="0"/>
          <w:color w:val="auto"/>
        </w:rPr>
        <w:t>Australian Government initiative to streamline grant processes across agencies.</w:t>
      </w:r>
    </w:p>
    <w:p w14:paraId="1AF80512" w14:textId="77777777" w:rsidR="00045933" w:rsidRPr="00B72EE8" w:rsidRDefault="001A0777" w:rsidP="001A0777">
      <w:pPr>
        <w:pStyle w:val="Heading2Numbered"/>
        <w:numPr>
          <w:ilvl w:val="0"/>
          <w:numId w:val="0"/>
        </w:numPr>
        <w:ind w:left="567" w:hanging="567"/>
      </w:pPr>
      <w:bookmarkStart w:id="6" w:name="_Toc518477062"/>
      <w:r w:rsidRPr="00367A67">
        <w:t>1.2</w:t>
      </w:r>
      <w:r w:rsidRPr="00367A67">
        <w:tab/>
      </w:r>
      <w:r w:rsidR="00045933" w:rsidRPr="00367A67">
        <w:t>About the grant program</w:t>
      </w:r>
      <w:bookmarkEnd w:id="5"/>
      <w:bookmarkEnd w:id="6"/>
    </w:p>
    <w:p w14:paraId="5F73C7A8" w14:textId="325EDF33" w:rsidR="00242C7F" w:rsidRDefault="00242C7F" w:rsidP="00242C7F">
      <w:r>
        <w:t xml:space="preserve">The </w:t>
      </w:r>
      <w:r w:rsidR="00D66643">
        <w:t>Financial Wellbeing and Capability</w:t>
      </w:r>
      <w:r>
        <w:t xml:space="preserve"> Activity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w:t>
      </w:r>
    </w:p>
    <w:p w14:paraId="77BF5CF5" w14:textId="7CA5839C" w:rsidR="00242C7F" w:rsidRDefault="00242C7F" w:rsidP="00242C7F">
      <w:pPr>
        <w:spacing w:after="120"/>
      </w:pPr>
      <w:r>
        <w:t xml:space="preserve">The objectives of the </w:t>
      </w:r>
      <w:r w:rsidR="00D66643">
        <w:t>Financial Wellbeing and Capability</w:t>
      </w:r>
      <w:r>
        <w:t xml:space="preserve"> Activity are to support eligible individuals and families to navigate financial crises and build financial wellbeing, financial capability, and resilience for vulnerable people and those most at risk of financial and social exclusion and disadvantage.</w:t>
      </w:r>
    </w:p>
    <w:p w14:paraId="035E168C" w14:textId="4015C881" w:rsidR="00242C7F" w:rsidRDefault="00242C7F" w:rsidP="00242C7F">
      <w:r>
        <w:lastRenderedPageBreak/>
        <w:t xml:space="preserve">Services provided under the </w:t>
      </w:r>
      <w:r w:rsidR="00D66643">
        <w:t>Financial Wellbeing and Capability</w:t>
      </w:r>
      <w:r>
        <w:t xml:space="preserve"> Activity include the provision of crisis support, broad financial capability building services, financial counselling, and access to microfinance products.  Funding may also be provided to ensure the organisations and staff (paid and voluntary) delivering the Activity have adequate capacity and capability to deliver high quality, high functioning services.  Services are free, voluntary and confidential and are delivered by community and local government organisations.</w:t>
      </w:r>
    </w:p>
    <w:p w14:paraId="4B93AFEE" w14:textId="1EB9DA00" w:rsidR="00242C7F" w:rsidRDefault="00242C7F" w:rsidP="00242C7F">
      <w:pPr>
        <w:spacing w:after="120"/>
      </w:pPr>
      <w:r>
        <w:rPr>
          <w:color w:val="000000"/>
        </w:rPr>
        <w:t xml:space="preserve">The </w:t>
      </w:r>
      <w:r w:rsidR="00D66643">
        <w:t>Financial Wellbeing and Capability</w:t>
      </w:r>
      <w:r>
        <w:t xml:space="preserve"> Activity contributes to improved outcomes for eligible vulnerable people, families and communities by:</w:t>
      </w:r>
    </w:p>
    <w:p w14:paraId="7BD12AB4" w14:textId="77777777" w:rsidR="00242C7F" w:rsidRPr="008F671F" w:rsidRDefault="00242C7F" w:rsidP="00242C7F">
      <w:pPr>
        <w:pStyle w:val="Chrissie1"/>
        <w:spacing w:line="280" w:lineRule="atLeast"/>
        <w:ind w:left="720" w:hanging="360"/>
        <w:rPr>
          <w:sz w:val="22"/>
        </w:rPr>
      </w:pPr>
      <w:r w:rsidRPr="008F671F">
        <w:rPr>
          <w:sz w:val="22"/>
        </w:rPr>
        <w:t>helping people who are unable to pay their bills or are at imminent risk of no</w:t>
      </w:r>
      <w:r w:rsidRPr="001C173F">
        <w:rPr>
          <w:sz w:val="22"/>
        </w:rPr>
        <w:t>t being able to pay their bills</w:t>
      </w:r>
      <w:r w:rsidRPr="008F671F">
        <w:rPr>
          <w:sz w:val="22"/>
        </w:rPr>
        <w:t>;</w:t>
      </w:r>
    </w:p>
    <w:p w14:paraId="22603527" w14:textId="77777777" w:rsidR="00242C7F" w:rsidRPr="008F671F" w:rsidRDefault="00242C7F" w:rsidP="00242C7F">
      <w:pPr>
        <w:pStyle w:val="Chrissie1"/>
        <w:spacing w:line="280" w:lineRule="atLeast"/>
        <w:ind w:left="720" w:hanging="360"/>
        <w:rPr>
          <w:sz w:val="22"/>
        </w:rPr>
      </w:pPr>
      <w:r w:rsidRPr="008F671F">
        <w:rPr>
          <w:color w:val="000000"/>
          <w:sz w:val="22"/>
        </w:rPr>
        <w:t xml:space="preserve">improving financial capability by </w:t>
      </w:r>
      <w:r w:rsidRPr="008F671F">
        <w:rPr>
          <w:sz w:val="22"/>
        </w:rPr>
        <w:t>helping people to make informed choices to address their financial problems, and by fostering the improved use and management of money;</w:t>
      </w:r>
    </w:p>
    <w:p w14:paraId="5FE3D316" w14:textId="77777777" w:rsidR="00242C7F" w:rsidRPr="008F671F" w:rsidRDefault="00242C7F" w:rsidP="00242C7F">
      <w:pPr>
        <w:pStyle w:val="Chrissie1"/>
        <w:spacing w:line="280" w:lineRule="atLeast"/>
        <w:ind w:left="720" w:hanging="360"/>
        <w:rPr>
          <w:sz w:val="22"/>
        </w:rPr>
      </w:pPr>
      <w:r w:rsidRPr="008F671F">
        <w:rPr>
          <w:color w:val="000000"/>
          <w:sz w:val="22"/>
        </w:rPr>
        <w:t>assisting</w:t>
      </w:r>
      <w:r w:rsidRPr="001C173F">
        <w:rPr>
          <w:color w:val="000000"/>
          <w:sz w:val="22"/>
        </w:rPr>
        <w:t xml:space="preserve"> </w:t>
      </w:r>
      <w:r w:rsidRPr="008F671F">
        <w:rPr>
          <w:color w:val="000000"/>
          <w:sz w:val="22"/>
        </w:rPr>
        <w:t>clients to navigate life transitions and/or financial stress or crisis which may negatively impact on their wellbeing;</w:t>
      </w:r>
    </w:p>
    <w:p w14:paraId="4225DC7E" w14:textId="77777777" w:rsidR="00242C7F" w:rsidRPr="008F671F" w:rsidRDefault="00242C7F" w:rsidP="00242C7F">
      <w:pPr>
        <w:pStyle w:val="Chrissie1"/>
        <w:spacing w:line="280" w:lineRule="atLeast"/>
        <w:ind w:left="720" w:hanging="360"/>
        <w:rPr>
          <w:sz w:val="22"/>
        </w:rPr>
      </w:pPr>
      <w:r w:rsidRPr="008F671F">
        <w:rPr>
          <w:sz w:val="22"/>
        </w:rPr>
        <w:t>improving financial resilience and pathways to mainstream financial services by providing access to savings products and affordable credit products; and</w:t>
      </w:r>
    </w:p>
    <w:p w14:paraId="41889E06" w14:textId="77777777" w:rsidR="00242C7F" w:rsidRPr="008F671F" w:rsidRDefault="00242C7F" w:rsidP="00242C7F">
      <w:pPr>
        <w:pStyle w:val="Chrissie1"/>
        <w:spacing w:line="280" w:lineRule="atLeast"/>
        <w:ind w:left="720" w:hanging="360"/>
        <w:rPr>
          <w:sz w:val="22"/>
        </w:rPr>
      </w:pPr>
      <w:proofErr w:type="gramStart"/>
      <w:r w:rsidRPr="008F671F">
        <w:rPr>
          <w:sz w:val="22"/>
        </w:rPr>
        <w:t>implementing</w:t>
      </w:r>
      <w:proofErr w:type="gramEnd"/>
      <w:r w:rsidRPr="008F671F">
        <w:rPr>
          <w:sz w:val="22"/>
        </w:rPr>
        <w:t xml:space="preserve"> research and evaluation activities to contribute to program and service improvement. </w:t>
      </w:r>
    </w:p>
    <w:p w14:paraId="420C0554" w14:textId="18BC4057" w:rsidR="00045933" w:rsidRPr="000F576B" w:rsidRDefault="00045933" w:rsidP="00045933">
      <w:pPr>
        <w:spacing w:after="120"/>
      </w:pPr>
      <w:r w:rsidRPr="00045933">
        <w:t xml:space="preserve">The Program will be undertaken according to the </w:t>
      </w:r>
      <w:r w:rsidRPr="00045933">
        <w:rPr>
          <w:i/>
        </w:rPr>
        <w:t xml:space="preserve">Commonwealth Grants Rules and Guidelines </w:t>
      </w:r>
      <w:r w:rsidR="00BE78B1">
        <w:rPr>
          <w:i/>
        </w:rPr>
        <w:t xml:space="preserve">2017 </w:t>
      </w:r>
      <w:r w:rsidR="00BE78B1" w:rsidRPr="00045933">
        <w:rPr>
          <w:i/>
        </w:rPr>
        <w:t>(</w:t>
      </w:r>
      <w:hyperlink r:id="rId18" w:history="1">
        <w:r w:rsidR="00BE78B1" w:rsidRPr="00182B77">
          <w:rPr>
            <w:rStyle w:val="Hyperlink"/>
            <w:rFonts w:cstheme="minorBidi"/>
            <w:i/>
          </w:rPr>
          <w:t>CGRGs</w:t>
        </w:r>
      </w:hyperlink>
      <w:r w:rsidR="00BE78B1" w:rsidRPr="00045933">
        <w:rPr>
          <w:i/>
        </w:rPr>
        <w:t>)</w:t>
      </w:r>
      <w:r w:rsidR="00BE78B1">
        <w:rPr>
          <w:i/>
        </w:rPr>
        <w:t>.</w:t>
      </w:r>
    </w:p>
    <w:p w14:paraId="62352FE5" w14:textId="77777777" w:rsidR="00045933" w:rsidRPr="00DF4FFA" w:rsidRDefault="00045933" w:rsidP="00D268E6">
      <w:pPr>
        <w:pStyle w:val="Heading2Numbered"/>
        <w:numPr>
          <w:ilvl w:val="1"/>
          <w:numId w:val="17"/>
        </w:numPr>
        <w:ind w:left="567"/>
      </w:pPr>
      <w:bookmarkStart w:id="7" w:name="_Toc467773952"/>
      <w:bookmarkStart w:id="8" w:name="_Toc518477063"/>
      <w:r w:rsidRPr="00141248">
        <w:t xml:space="preserve">About the </w:t>
      </w:r>
      <w:r w:rsidRPr="00045933">
        <w:t>Grant Opportunity</w:t>
      </w:r>
      <w:bookmarkEnd w:id="7"/>
      <w:bookmarkEnd w:id="8"/>
    </w:p>
    <w:p w14:paraId="06724500" w14:textId="7F74988B" w:rsidR="004517C9" w:rsidRDefault="004517C9" w:rsidP="004517C9">
      <w:pPr>
        <w:spacing w:before="0" w:after="0"/>
      </w:pPr>
      <w:bookmarkStart w:id="9" w:name="_Ref421783365"/>
      <w:r w:rsidRPr="00045933">
        <w:t xml:space="preserve">These </w:t>
      </w:r>
      <w:r w:rsidR="00F14F7B">
        <w:t xml:space="preserve">grant opportunity </w:t>
      </w:r>
      <w:r w:rsidRPr="00045933">
        <w:t>guidelines contain information for the</w:t>
      </w:r>
      <w:r w:rsidRPr="00A8089C">
        <w:t xml:space="preserve"> </w:t>
      </w:r>
      <w:r w:rsidR="00F65D74">
        <w:t xml:space="preserve">Commonwealth Financial Counselling and Financial Capability (CFC/FC) - </w:t>
      </w:r>
      <w:r>
        <w:t>Capa</w:t>
      </w:r>
      <w:r w:rsidR="00FB7C28">
        <w:t>bil</w:t>
      </w:r>
      <w:r>
        <w:t>ity Building</w:t>
      </w:r>
      <w:r w:rsidRPr="00A8089C">
        <w:t xml:space="preserve"> grants. </w:t>
      </w:r>
    </w:p>
    <w:p w14:paraId="3847F5E2"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3BB0A755" w14:textId="77777777" w:rsidR="00045933" w:rsidRPr="000A271A" w:rsidRDefault="00045933" w:rsidP="000A271A">
      <w:pPr>
        <w:pStyle w:val="Bullet1"/>
      </w:pPr>
      <w:r w:rsidRPr="000A271A">
        <w:t>the purpose of the grant opportunity</w:t>
      </w:r>
    </w:p>
    <w:p w14:paraId="0310459E" w14:textId="77777777" w:rsidR="0097683A" w:rsidRDefault="00045933" w:rsidP="0097683A">
      <w:pPr>
        <w:pStyle w:val="Bullet1"/>
      </w:pPr>
      <w:r w:rsidRPr="000A271A">
        <w:t>the eligibility and assessment criteria</w:t>
      </w:r>
    </w:p>
    <w:p w14:paraId="224B7ACB" w14:textId="77777777" w:rsidR="0097683A" w:rsidRPr="000A271A" w:rsidRDefault="0097683A" w:rsidP="0097683A">
      <w:pPr>
        <w:pStyle w:val="Bullet1"/>
      </w:pPr>
      <w:r>
        <w:t>how to apply for the grant opportunity</w:t>
      </w:r>
    </w:p>
    <w:p w14:paraId="44B280A9" w14:textId="77777777" w:rsidR="00045933" w:rsidRPr="000A271A" w:rsidRDefault="00045933" w:rsidP="000A271A">
      <w:pPr>
        <w:pStyle w:val="Bullet1"/>
      </w:pPr>
      <w:r w:rsidRPr="000A271A">
        <w:t xml:space="preserve">how grant </w:t>
      </w:r>
      <w:r w:rsidRPr="00DC1B34">
        <w:t>applications</w:t>
      </w:r>
      <w:r w:rsidRPr="000A271A">
        <w:t xml:space="preserve"> are </w:t>
      </w:r>
      <w:r w:rsidR="00566242">
        <w:t>checked</w:t>
      </w:r>
      <w:r w:rsidRPr="000A271A">
        <w:t xml:space="preserve"> and </w:t>
      </w:r>
      <w:r w:rsidR="00566242">
        <w:t>assessed</w:t>
      </w:r>
    </w:p>
    <w:p w14:paraId="0EFEA5BE" w14:textId="77777777" w:rsidR="00045933" w:rsidRPr="000A271A" w:rsidRDefault="00045933" w:rsidP="000A271A">
      <w:pPr>
        <w:pStyle w:val="Bullet1"/>
      </w:pPr>
      <w:proofErr w:type="gramStart"/>
      <w:r w:rsidRPr="000A271A">
        <w:t>responsibilities</w:t>
      </w:r>
      <w:proofErr w:type="gramEnd"/>
      <w:r w:rsidRPr="000A271A">
        <w:t xml:space="preserve"> and expectations in relation to the opportunity. </w:t>
      </w:r>
    </w:p>
    <w:p w14:paraId="5A293566" w14:textId="77777777" w:rsidR="000A271A" w:rsidRDefault="000A271A" w:rsidP="00045933">
      <w:pPr>
        <w:pStyle w:val="NoSpacing"/>
        <w:rPr>
          <w:rFonts w:asciiTheme="majorHAnsi" w:hAnsiTheme="majorHAnsi" w:cstheme="majorHAnsi"/>
        </w:rPr>
      </w:pPr>
    </w:p>
    <w:p w14:paraId="79F27FEA" w14:textId="77777777" w:rsid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6722297E" w14:textId="77777777" w:rsidR="004517C9" w:rsidRDefault="004517C9" w:rsidP="00045933">
      <w:pPr>
        <w:pStyle w:val="NoSpacing"/>
        <w:rPr>
          <w:rFonts w:asciiTheme="majorHAnsi" w:hAnsiTheme="majorHAnsi" w:cstheme="majorHAnsi"/>
        </w:rPr>
      </w:pPr>
    </w:p>
    <w:p w14:paraId="249EBFC9" w14:textId="77777777" w:rsidR="004517C9" w:rsidRPr="00045933" w:rsidRDefault="004517C9" w:rsidP="004517C9">
      <w:pPr>
        <w:pStyle w:val="NoSpacing"/>
        <w:rPr>
          <w:rFonts w:asciiTheme="majorHAnsi" w:hAnsiTheme="majorHAnsi" w:cstheme="majorHAnsi"/>
        </w:rPr>
      </w:pPr>
      <w:r>
        <w:rPr>
          <w:rFonts w:asciiTheme="majorHAnsi" w:hAnsiTheme="majorHAnsi" w:cstheme="majorHAnsi"/>
        </w:rPr>
        <w:t xml:space="preserve">The grant agreement will only be entered into once there is legislative authority in place for the Program. </w:t>
      </w:r>
    </w:p>
    <w:p w14:paraId="793042E7" w14:textId="77777777" w:rsidR="004517C9" w:rsidRPr="00045933" w:rsidRDefault="004517C9" w:rsidP="00045933">
      <w:pPr>
        <w:pStyle w:val="NoSpacing"/>
        <w:rPr>
          <w:rFonts w:asciiTheme="majorHAnsi" w:hAnsiTheme="majorHAnsi" w:cstheme="majorHAnsi"/>
        </w:rPr>
      </w:pPr>
    </w:p>
    <w:p w14:paraId="4B83A3A9" w14:textId="49352AE8" w:rsidR="00045933" w:rsidRPr="00A12B92" w:rsidRDefault="00104E02" w:rsidP="0014312E">
      <w:pPr>
        <w:pStyle w:val="Heading2Numbered"/>
        <w:ind w:left="426" w:hanging="426"/>
        <w:rPr>
          <w:color w:val="auto"/>
        </w:rPr>
      </w:pPr>
      <w:bookmarkStart w:id="10" w:name="_Toc461105052"/>
      <w:bookmarkStart w:id="11" w:name="_Toc467773953"/>
      <w:bookmarkStart w:id="12" w:name="_Toc518477064"/>
      <w:bookmarkEnd w:id="10"/>
      <w:r>
        <w:rPr>
          <w:color w:val="auto"/>
        </w:rPr>
        <w:lastRenderedPageBreak/>
        <w:t xml:space="preserve">CFC/FC </w:t>
      </w:r>
      <w:r w:rsidR="00E12F40" w:rsidRPr="00A12B92">
        <w:rPr>
          <w:color w:val="auto"/>
        </w:rPr>
        <w:t>Capa</w:t>
      </w:r>
      <w:r w:rsidR="00FB7C28">
        <w:rPr>
          <w:color w:val="auto"/>
        </w:rPr>
        <w:t>bil</w:t>
      </w:r>
      <w:r w:rsidR="00E12F40" w:rsidRPr="00A12B92">
        <w:rPr>
          <w:color w:val="auto"/>
        </w:rPr>
        <w:t>ity Building Grant Opportunity</w:t>
      </w:r>
      <w:r w:rsidR="00E12F40" w:rsidRPr="00A12B92" w:rsidDel="00E12F40">
        <w:rPr>
          <w:color w:val="auto"/>
        </w:rPr>
        <w:t xml:space="preserve"> </w:t>
      </w:r>
      <w:r w:rsidR="00045933" w:rsidRPr="00A12B92">
        <w:rPr>
          <w:color w:val="auto"/>
        </w:rPr>
        <w:t>outcomes</w:t>
      </w:r>
      <w:bookmarkEnd w:id="11"/>
      <w:bookmarkEnd w:id="12"/>
      <w:r w:rsidR="00045933" w:rsidRPr="00A12B92">
        <w:rPr>
          <w:color w:val="auto"/>
        </w:rPr>
        <w:t xml:space="preserve"> </w:t>
      </w:r>
      <w:bookmarkEnd w:id="9"/>
    </w:p>
    <w:p w14:paraId="2657B792" w14:textId="3C836941" w:rsidR="00104E02" w:rsidRDefault="003207C0" w:rsidP="00A12B92">
      <w:pPr>
        <w:pStyle w:val="NoSpacing"/>
        <w:spacing w:before="180" w:after="60"/>
        <w:rPr>
          <w:rFonts w:asciiTheme="minorHAnsi" w:hAnsiTheme="minorHAnsi" w:cstheme="minorHAnsi"/>
        </w:rPr>
      </w:pPr>
      <w:r w:rsidRPr="00B967DB">
        <w:rPr>
          <w:rFonts w:asciiTheme="minorHAnsi" w:hAnsiTheme="minorHAnsi" w:cstheme="minorHAnsi"/>
        </w:rPr>
        <w:t xml:space="preserve">Under the </w:t>
      </w:r>
      <w:r w:rsidR="00D66643">
        <w:rPr>
          <w:rFonts w:asciiTheme="minorHAnsi" w:hAnsiTheme="minorHAnsi" w:cstheme="minorHAnsi"/>
        </w:rPr>
        <w:t>Financial Wellbeing and Capability</w:t>
      </w:r>
      <w:r w:rsidR="00104E02">
        <w:rPr>
          <w:rFonts w:asciiTheme="minorHAnsi" w:hAnsiTheme="minorHAnsi" w:cstheme="minorHAnsi"/>
        </w:rPr>
        <w:t xml:space="preserve"> </w:t>
      </w:r>
      <w:r w:rsidRPr="00B967DB">
        <w:rPr>
          <w:rFonts w:asciiTheme="minorHAnsi" w:hAnsiTheme="minorHAnsi" w:cstheme="minorHAnsi"/>
        </w:rPr>
        <w:t xml:space="preserve">Activity, funding is provided for </w:t>
      </w:r>
      <w:r w:rsidR="00104E02">
        <w:rPr>
          <w:rFonts w:asciiTheme="minorHAnsi" w:hAnsiTheme="minorHAnsi" w:cstheme="minorHAnsi"/>
        </w:rPr>
        <w:t xml:space="preserve">CFC/FC </w:t>
      </w:r>
      <w:r>
        <w:rPr>
          <w:rFonts w:asciiTheme="minorHAnsi" w:hAnsiTheme="minorHAnsi" w:cstheme="minorHAnsi"/>
        </w:rPr>
        <w:t>Capa</w:t>
      </w:r>
      <w:r w:rsidR="00FB7C28">
        <w:rPr>
          <w:rFonts w:asciiTheme="minorHAnsi" w:hAnsiTheme="minorHAnsi" w:cstheme="minorHAnsi"/>
        </w:rPr>
        <w:t>bil</w:t>
      </w:r>
      <w:r>
        <w:rPr>
          <w:rFonts w:asciiTheme="minorHAnsi" w:hAnsiTheme="minorHAnsi" w:cstheme="minorHAnsi"/>
        </w:rPr>
        <w:t>ity Building</w:t>
      </w:r>
      <w:r w:rsidRPr="00B967DB">
        <w:rPr>
          <w:rFonts w:asciiTheme="minorHAnsi" w:hAnsiTheme="minorHAnsi" w:cstheme="minorHAnsi"/>
        </w:rPr>
        <w:t xml:space="preserve">. </w:t>
      </w:r>
    </w:p>
    <w:p w14:paraId="51E48691" w14:textId="4E19FCE7" w:rsidR="00391564" w:rsidRDefault="0009662A">
      <w:pPr>
        <w:spacing w:line="240" w:lineRule="auto"/>
        <w:contextualSpacing/>
        <w:rPr>
          <w:rFonts w:cstheme="minorHAnsi"/>
        </w:rPr>
      </w:pPr>
      <w:r w:rsidRPr="00D66643">
        <w:rPr>
          <w:rFonts w:cstheme="minorHAnsi"/>
        </w:rPr>
        <w:t>CFC/FC</w:t>
      </w:r>
      <w:r w:rsidR="00E12F40" w:rsidRPr="00A12B92">
        <w:rPr>
          <w:rFonts w:cstheme="minorHAnsi"/>
        </w:rPr>
        <w:t xml:space="preserve"> Capa</w:t>
      </w:r>
      <w:r w:rsidR="00FB7C28" w:rsidRPr="00984814">
        <w:rPr>
          <w:rFonts w:cstheme="minorHAnsi"/>
        </w:rPr>
        <w:t>bil</w:t>
      </w:r>
      <w:r w:rsidR="00E12F40" w:rsidRPr="00A12B92">
        <w:rPr>
          <w:rFonts w:cstheme="minorHAnsi"/>
        </w:rPr>
        <w:t xml:space="preserve">ity Building </w:t>
      </w:r>
      <w:r>
        <w:rPr>
          <w:rFonts w:cstheme="minorHAnsi"/>
        </w:rPr>
        <w:t xml:space="preserve">contributes to the </w:t>
      </w:r>
      <w:r w:rsidR="00D66643">
        <w:rPr>
          <w:rFonts w:cstheme="minorHAnsi"/>
        </w:rPr>
        <w:t>Financial Wellbeing and Capability</w:t>
      </w:r>
      <w:r>
        <w:rPr>
          <w:rFonts w:cstheme="minorHAnsi"/>
        </w:rPr>
        <w:t xml:space="preserve"> Activity by </w:t>
      </w:r>
      <w:r w:rsidR="00391564">
        <w:rPr>
          <w:rFonts w:cstheme="minorHAnsi"/>
        </w:rPr>
        <w:t xml:space="preserve">supporting the </w:t>
      </w:r>
      <w:r w:rsidR="00391564">
        <w:t>capacity and capability development of organisations, funded for CFC/FC, to deliver high quality, high functioning services.</w:t>
      </w:r>
    </w:p>
    <w:p w14:paraId="33F71F1B" w14:textId="77777777" w:rsidR="00391564" w:rsidRDefault="00391564">
      <w:pPr>
        <w:spacing w:line="240" w:lineRule="auto"/>
        <w:contextualSpacing/>
        <w:rPr>
          <w:rFonts w:cstheme="minorHAnsi"/>
        </w:rPr>
      </w:pPr>
    </w:p>
    <w:p w14:paraId="22E9D786" w14:textId="5D71A87B" w:rsidR="00E12F40" w:rsidRDefault="0009662A" w:rsidP="00E12F40">
      <w:pPr>
        <w:spacing w:line="240" w:lineRule="auto"/>
        <w:contextualSpacing/>
        <w:rPr>
          <w:rStyle w:val="Heading1Char2"/>
          <w:rFonts w:ascii="Calibri" w:hAnsi="Calibri"/>
        </w:rPr>
      </w:pPr>
      <w:r w:rsidRPr="00636C7F">
        <w:rPr>
          <w:rFonts w:cstheme="minorHAnsi"/>
        </w:rPr>
        <w:t>CFC/FC Capa</w:t>
      </w:r>
      <w:r w:rsidR="00FB7C28" w:rsidRPr="002D702A">
        <w:rPr>
          <w:rFonts w:cstheme="minorHAnsi"/>
        </w:rPr>
        <w:t>bil</w:t>
      </w:r>
      <w:r w:rsidRPr="00872609">
        <w:rPr>
          <w:rFonts w:cstheme="minorHAnsi"/>
        </w:rPr>
        <w:t>ity Building</w:t>
      </w:r>
      <w:r w:rsidRPr="00793457">
        <w:rPr>
          <w:rFonts w:cstheme="minorHAnsi"/>
        </w:rPr>
        <w:t xml:space="preserve"> </w:t>
      </w:r>
      <w:r w:rsidR="00E12F40" w:rsidRPr="00A12B92">
        <w:rPr>
          <w:rFonts w:cstheme="minorHAnsi"/>
        </w:rPr>
        <w:t xml:space="preserve">provides online and telephone-based information and resources that underpin the </w:t>
      </w:r>
      <w:r w:rsidR="00D66643">
        <w:rPr>
          <w:rFonts w:cstheme="minorHAnsi"/>
        </w:rPr>
        <w:t>Financial Wellbeing and Capability</w:t>
      </w:r>
      <w:r w:rsidR="00E12F40" w:rsidRPr="00A12B92">
        <w:rPr>
          <w:rFonts w:cstheme="minorHAnsi"/>
        </w:rPr>
        <w:t xml:space="preserve"> Activity, including </w:t>
      </w:r>
      <w:r w:rsidR="008465E5">
        <w:rPr>
          <w:rFonts w:cstheme="minorHAnsi"/>
        </w:rPr>
        <w:t xml:space="preserve">national </w:t>
      </w:r>
      <w:r w:rsidR="00E12F40" w:rsidRPr="00A12B92">
        <w:rPr>
          <w:rFonts w:cstheme="minorHAnsi"/>
        </w:rPr>
        <w:t xml:space="preserve">management of the </w:t>
      </w:r>
      <w:r w:rsidR="00391564">
        <w:rPr>
          <w:rFonts w:cstheme="minorHAnsi"/>
        </w:rPr>
        <w:t>f</w:t>
      </w:r>
      <w:r w:rsidR="00E12F40" w:rsidRPr="00A12B92">
        <w:rPr>
          <w:rFonts w:cstheme="minorHAnsi"/>
        </w:rPr>
        <w:t xml:space="preserve">inancial </w:t>
      </w:r>
      <w:r w:rsidR="00391564">
        <w:rPr>
          <w:rFonts w:cstheme="minorHAnsi"/>
        </w:rPr>
        <w:t>c</w:t>
      </w:r>
      <w:r w:rsidR="00E12F40" w:rsidRPr="00A12B92">
        <w:rPr>
          <w:rFonts w:cstheme="minorHAnsi"/>
        </w:rPr>
        <w:t xml:space="preserve">ounselling </w:t>
      </w:r>
      <w:r w:rsidR="00391564">
        <w:rPr>
          <w:rFonts w:cstheme="minorHAnsi"/>
        </w:rPr>
        <w:t>h</w:t>
      </w:r>
      <w:r w:rsidR="00E12F40" w:rsidRPr="00A12B92">
        <w:rPr>
          <w:rFonts w:cstheme="minorHAnsi"/>
        </w:rPr>
        <w:t xml:space="preserve">elpline, and supports national financial counselling </w:t>
      </w:r>
      <w:r w:rsidR="00864F40">
        <w:rPr>
          <w:rFonts w:cstheme="minorHAnsi"/>
        </w:rPr>
        <w:t xml:space="preserve">and financial capability </w:t>
      </w:r>
      <w:r w:rsidR="00E12F40" w:rsidRPr="00A12B92">
        <w:rPr>
          <w:rFonts w:cstheme="minorHAnsi"/>
        </w:rPr>
        <w:t>conference</w:t>
      </w:r>
      <w:r w:rsidR="00864F40">
        <w:rPr>
          <w:rFonts w:cstheme="minorHAnsi"/>
        </w:rPr>
        <w:t>s</w:t>
      </w:r>
      <w:r w:rsidR="00E12F40" w:rsidRPr="00A12B92">
        <w:rPr>
          <w:rFonts w:cstheme="minorHAnsi"/>
        </w:rPr>
        <w:t>.</w:t>
      </w:r>
      <w:r w:rsidR="00E12F40" w:rsidRPr="00DD274D">
        <w:rPr>
          <w:rStyle w:val="Heading1Char2"/>
          <w:rFonts w:ascii="Calibri" w:hAnsi="Calibri"/>
        </w:rPr>
        <w:t xml:space="preserve"> </w:t>
      </w:r>
    </w:p>
    <w:p w14:paraId="3839CBA9" w14:textId="6FF01A3E" w:rsidR="009A08A6" w:rsidRDefault="009A08A6" w:rsidP="00A12B92">
      <w:r>
        <w:t>Services under CFC/FC Capability Building include:</w:t>
      </w:r>
    </w:p>
    <w:p w14:paraId="13D5DA1F" w14:textId="0272DDDD" w:rsidR="009A08A6" w:rsidRDefault="009A08A6" w:rsidP="00A12B92">
      <w:pPr>
        <w:pStyle w:val="Bullet1"/>
        <w:ind w:left="709" w:hanging="425"/>
      </w:pPr>
      <w:r>
        <w:t>Developing and maintaining online resources and information for financial counsellors, financial capability workers, and consumers;</w:t>
      </w:r>
    </w:p>
    <w:p w14:paraId="4905629B" w14:textId="6C594F52" w:rsidR="00872609" w:rsidRDefault="00872609" w:rsidP="00A12B92">
      <w:pPr>
        <w:pStyle w:val="Bullet1"/>
        <w:ind w:left="709" w:hanging="425"/>
      </w:pPr>
      <w:r>
        <w:t xml:space="preserve">Providing a coordinated approach to organisations delivering Commonwealth Financial Counselling Helpline (CFC Helpline), under the </w:t>
      </w:r>
      <w:r w:rsidR="00D66643">
        <w:t>Financial Wellbeing and Capability</w:t>
      </w:r>
      <w:r>
        <w:t xml:space="preserve"> Activity, </w:t>
      </w:r>
    </w:p>
    <w:p w14:paraId="0BB611D9" w14:textId="788BB200" w:rsidR="009A08A6" w:rsidRDefault="00872609" w:rsidP="00A12B92">
      <w:pPr>
        <w:pStyle w:val="Bullet1"/>
        <w:ind w:left="709" w:hanging="425"/>
      </w:pPr>
      <w:r>
        <w:t>D</w:t>
      </w:r>
      <w:r w:rsidR="009A08A6">
        <w:t>evelopment of national standards and materials to ensure a consistent high-quality service provision by Helpline organisations;</w:t>
      </w:r>
    </w:p>
    <w:p w14:paraId="3E2EAA17" w14:textId="252CF630" w:rsidR="009A08A6" w:rsidRPr="00A12B92" w:rsidRDefault="009A08A6" w:rsidP="00A12B92">
      <w:pPr>
        <w:pStyle w:val="Bullet1"/>
        <w:ind w:left="709" w:hanging="425"/>
      </w:pPr>
      <w:r>
        <w:t xml:space="preserve">Supporting Helpline financial counsellors, residents of a Territory and Indigenous workers (or those who provide financial counselling </w:t>
      </w:r>
      <w:r w:rsidR="00A15549">
        <w:t xml:space="preserve">or financial capability </w:t>
      </w:r>
      <w:r>
        <w:t xml:space="preserve">predominantly to Indigenous persons) to participate in national financial counselling </w:t>
      </w:r>
      <w:r w:rsidR="00864F40">
        <w:t xml:space="preserve">and financial capability </w:t>
      </w:r>
      <w:r>
        <w:t>conference</w:t>
      </w:r>
      <w:r w:rsidR="00864F40">
        <w:t>s</w:t>
      </w:r>
      <w:r>
        <w:t>, as detailed in the grant agreement.</w:t>
      </w:r>
    </w:p>
    <w:p w14:paraId="5269EDCB" w14:textId="77777777" w:rsidR="009A08A6" w:rsidRDefault="009A08A6" w:rsidP="00636C7F">
      <w:pPr>
        <w:pStyle w:val="NoSpacing"/>
        <w:rPr>
          <w:rFonts w:asciiTheme="minorHAnsi" w:hAnsiTheme="minorHAnsi" w:cstheme="minorHAnsi"/>
          <w:b/>
        </w:rPr>
      </w:pPr>
    </w:p>
    <w:p w14:paraId="1B35EC31" w14:textId="7DC903C5" w:rsidR="00556C65" w:rsidRDefault="00D66643" w:rsidP="00636C7F">
      <w:pPr>
        <w:pStyle w:val="NoSpacing"/>
        <w:rPr>
          <w:rFonts w:asciiTheme="minorHAnsi" w:hAnsiTheme="minorHAnsi" w:cstheme="minorHAnsi"/>
          <w:b/>
        </w:rPr>
      </w:pPr>
      <w:r>
        <w:rPr>
          <w:rFonts w:asciiTheme="minorHAnsi" w:hAnsiTheme="minorHAnsi" w:cstheme="minorHAnsi"/>
          <w:b/>
        </w:rPr>
        <w:t>CFC/FC</w:t>
      </w:r>
      <w:r w:rsidR="00556C65">
        <w:rPr>
          <w:rFonts w:asciiTheme="minorHAnsi" w:hAnsiTheme="minorHAnsi" w:cstheme="minorHAnsi"/>
          <w:b/>
        </w:rPr>
        <w:t xml:space="preserve"> services are comprised of two sub-components:</w:t>
      </w:r>
    </w:p>
    <w:p w14:paraId="10C31F96" w14:textId="77777777" w:rsidR="00556C65" w:rsidRDefault="00556C65" w:rsidP="00636C7F">
      <w:pPr>
        <w:pStyle w:val="NoSpacing"/>
        <w:rPr>
          <w:rFonts w:asciiTheme="minorHAnsi" w:hAnsiTheme="minorHAnsi" w:cstheme="minorHAnsi"/>
          <w:b/>
        </w:rPr>
      </w:pPr>
    </w:p>
    <w:p w14:paraId="72590B30" w14:textId="0ADACD6F" w:rsidR="00104E02" w:rsidRPr="00A12B92" w:rsidRDefault="00556C65" w:rsidP="00636C7F">
      <w:pPr>
        <w:pStyle w:val="NoSpacing"/>
        <w:rPr>
          <w:rFonts w:asciiTheme="minorHAnsi" w:hAnsiTheme="minorHAnsi" w:cstheme="minorHAnsi"/>
          <w:b/>
        </w:rPr>
      </w:pPr>
      <w:r>
        <w:rPr>
          <w:rFonts w:asciiTheme="minorHAnsi" w:hAnsiTheme="minorHAnsi" w:cstheme="minorHAnsi"/>
          <w:b/>
        </w:rPr>
        <w:t xml:space="preserve">1.  </w:t>
      </w:r>
      <w:r w:rsidR="00104E02" w:rsidRPr="00A12B92">
        <w:rPr>
          <w:rFonts w:asciiTheme="minorHAnsi" w:hAnsiTheme="minorHAnsi" w:cstheme="minorHAnsi"/>
          <w:b/>
        </w:rPr>
        <w:t>Commonwealth Financial Counselling</w:t>
      </w:r>
      <w:r w:rsidR="00104E02" w:rsidRPr="0009662A">
        <w:rPr>
          <w:rFonts w:asciiTheme="minorHAnsi" w:hAnsiTheme="minorHAnsi" w:cstheme="minorHAnsi"/>
          <w:b/>
        </w:rPr>
        <w:t xml:space="preserve"> (CFC)</w:t>
      </w:r>
      <w:r w:rsidR="0009662A">
        <w:rPr>
          <w:rFonts w:asciiTheme="minorHAnsi" w:hAnsiTheme="minorHAnsi" w:cstheme="minorHAnsi"/>
          <w:b/>
        </w:rPr>
        <w:t xml:space="preserve"> </w:t>
      </w:r>
      <w:r w:rsidR="00104E02" w:rsidRPr="00B967DB">
        <w:rPr>
          <w:rFonts w:asciiTheme="minorHAnsi" w:hAnsiTheme="minorHAnsi" w:cstheme="minorHAnsi"/>
        </w:rPr>
        <w:t xml:space="preserve">helps </w:t>
      </w:r>
      <w:r w:rsidR="00930A41">
        <w:rPr>
          <w:rFonts w:asciiTheme="minorHAnsi" w:hAnsiTheme="minorHAnsi" w:cstheme="minorHAnsi"/>
        </w:rPr>
        <w:t xml:space="preserve">eligible </w:t>
      </w:r>
      <w:r w:rsidR="00104E02" w:rsidRPr="00B967DB">
        <w:rPr>
          <w:rFonts w:asciiTheme="minorHAnsi" w:hAnsiTheme="minorHAnsi" w:cstheme="minorHAnsi"/>
        </w:rPr>
        <w:t xml:space="preserve">people </w:t>
      </w:r>
      <w:r w:rsidR="00E71E9C">
        <w:rPr>
          <w:rFonts w:asciiTheme="minorHAnsi" w:hAnsiTheme="minorHAnsi" w:cstheme="minorHAnsi"/>
        </w:rPr>
        <w:t xml:space="preserve">to </w:t>
      </w:r>
      <w:r w:rsidR="00104E02" w:rsidRPr="00B967DB">
        <w:rPr>
          <w:rFonts w:asciiTheme="minorHAnsi" w:hAnsiTheme="minorHAnsi" w:cstheme="minorHAnsi"/>
        </w:rPr>
        <w:t xml:space="preserve">address their financial problems </w:t>
      </w:r>
      <w:r w:rsidR="00E71E9C">
        <w:rPr>
          <w:rFonts w:asciiTheme="minorHAnsi" w:hAnsiTheme="minorHAnsi" w:cstheme="minorHAnsi"/>
        </w:rPr>
        <w:t xml:space="preserve">through the </w:t>
      </w:r>
      <w:r w:rsidR="00104E02" w:rsidRPr="00B967DB">
        <w:rPr>
          <w:rFonts w:asciiTheme="minorHAnsi" w:hAnsiTheme="minorHAnsi" w:cstheme="minorHAnsi"/>
        </w:rPr>
        <w:t>provision of information, advocacy and/or negotiation</w:t>
      </w:r>
      <w:r w:rsidR="00E71E9C">
        <w:rPr>
          <w:rFonts w:asciiTheme="minorHAnsi" w:hAnsiTheme="minorHAnsi" w:cstheme="minorHAnsi"/>
        </w:rPr>
        <w:t xml:space="preserve"> on behalf of the client</w:t>
      </w:r>
      <w:r w:rsidR="00104E02" w:rsidRPr="00B967DB">
        <w:rPr>
          <w:rFonts w:asciiTheme="minorHAnsi" w:hAnsiTheme="minorHAnsi" w:cstheme="minorHAnsi"/>
        </w:rPr>
        <w:t>.</w:t>
      </w:r>
      <w:r w:rsidR="0009662A">
        <w:rPr>
          <w:rFonts w:asciiTheme="minorHAnsi" w:hAnsiTheme="minorHAnsi" w:cstheme="minorHAnsi"/>
        </w:rPr>
        <w:t xml:space="preserve">  These </w:t>
      </w:r>
      <w:r w:rsidR="00104E02" w:rsidRPr="00B967DB">
        <w:rPr>
          <w:rFonts w:asciiTheme="minorHAnsi" w:hAnsiTheme="minorHAnsi" w:cstheme="minorHAnsi"/>
        </w:rPr>
        <w:t xml:space="preserve">services support </w:t>
      </w:r>
      <w:r w:rsidR="00E71E9C">
        <w:rPr>
          <w:rFonts w:asciiTheme="minorHAnsi" w:hAnsiTheme="minorHAnsi" w:cstheme="minorHAnsi"/>
        </w:rPr>
        <w:t xml:space="preserve">eligible </w:t>
      </w:r>
      <w:r w:rsidR="00104E02" w:rsidRPr="00B967DB">
        <w:rPr>
          <w:rFonts w:asciiTheme="minorHAnsi" w:hAnsiTheme="minorHAnsi" w:cstheme="minorHAnsi"/>
        </w:rPr>
        <w:t>people with employment readiness</w:t>
      </w:r>
      <w:r w:rsidR="00104E02" w:rsidRPr="00B967DB">
        <w:rPr>
          <w:rFonts w:asciiTheme="minorHAnsi" w:hAnsiTheme="minorHAnsi" w:cstheme="minorHAnsi"/>
          <w:color w:val="FF0000"/>
        </w:rPr>
        <w:t xml:space="preserve"> </w:t>
      </w:r>
      <w:r w:rsidR="00104E02" w:rsidRPr="00B967DB">
        <w:rPr>
          <w:rFonts w:asciiTheme="minorHAnsi" w:hAnsiTheme="minorHAnsi" w:cstheme="minorHAnsi"/>
        </w:rPr>
        <w:t>through improving financial knowledge, skills and capabilities to assist them to achieve employment.</w:t>
      </w:r>
    </w:p>
    <w:p w14:paraId="5D0F2733" w14:textId="77777777" w:rsidR="00104E02" w:rsidRPr="00B967DB" w:rsidRDefault="00104E02" w:rsidP="00104E02">
      <w:pPr>
        <w:pStyle w:val="NoSpacing"/>
        <w:rPr>
          <w:rFonts w:asciiTheme="minorHAnsi" w:hAnsiTheme="minorHAnsi" w:cstheme="minorHAnsi"/>
        </w:rPr>
      </w:pPr>
    </w:p>
    <w:p w14:paraId="295FA59F" w14:textId="5DAF672E" w:rsidR="00104E02" w:rsidRPr="00A12B92" w:rsidRDefault="003938F9" w:rsidP="00104E02">
      <w:pPr>
        <w:pStyle w:val="NoSpacing"/>
        <w:rPr>
          <w:rFonts w:asciiTheme="minorHAnsi" w:hAnsiTheme="minorHAnsi" w:cstheme="minorHAnsi"/>
        </w:rPr>
      </w:pPr>
      <w:r w:rsidRPr="00A12B92">
        <w:rPr>
          <w:rFonts w:asciiTheme="minorHAnsi" w:hAnsiTheme="minorHAnsi" w:cstheme="minorHAnsi"/>
        </w:rPr>
        <w:t>Client e</w:t>
      </w:r>
      <w:r w:rsidR="00104E02" w:rsidRPr="00A12B92">
        <w:rPr>
          <w:rFonts w:asciiTheme="minorHAnsi" w:hAnsiTheme="minorHAnsi" w:cstheme="minorHAnsi"/>
        </w:rPr>
        <w:t>ligibility will be restricted solely to people unable to pay their bills or at imminent risk of not being able to do so.</w:t>
      </w:r>
    </w:p>
    <w:p w14:paraId="55619349" w14:textId="77777777" w:rsidR="00104E02" w:rsidRPr="00B967DB" w:rsidRDefault="00104E02" w:rsidP="00104E02">
      <w:pPr>
        <w:pStyle w:val="NoSpacing"/>
        <w:rPr>
          <w:rFonts w:asciiTheme="minorHAnsi" w:hAnsiTheme="minorHAnsi" w:cstheme="minorHAnsi"/>
        </w:rPr>
      </w:pPr>
    </w:p>
    <w:p w14:paraId="4EFA774F" w14:textId="708FE8EB" w:rsidR="00FB1246" w:rsidRDefault="00104E02" w:rsidP="00104E02">
      <w:pPr>
        <w:pStyle w:val="NoSpacing"/>
        <w:rPr>
          <w:rFonts w:asciiTheme="minorHAnsi" w:hAnsiTheme="minorHAnsi" w:cstheme="minorHAnsi"/>
        </w:rPr>
      </w:pPr>
      <w:r w:rsidRPr="00B967DB">
        <w:rPr>
          <w:rFonts w:asciiTheme="minorHAnsi" w:hAnsiTheme="minorHAnsi" w:cstheme="minorHAnsi"/>
        </w:rPr>
        <w:t xml:space="preserve">Financial counsellors provide intensive support through an in-depth assessment of a person’s financial situation to understand the extent of the person’s financial difficulties and to identify options to address these. </w:t>
      </w:r>
      <w:r w:rsidR="00E71E9C">
        <w:rPr>
          <w:rFonts w:asciiTheme="minorHAnsi" w:hAnsiTheme="minorHAnsi" w:cstheme="minorHAnsi"/>
        </w:rPr>
        <w:t xml:space="preserve"> </w:t>
      </w:r>
      <w:r w:rsidRPr="00B967DB">
        <w:rPr>
          <w:rFonts w:asciiTheme="minorHAnsi" w:hAnsiTheme="minorHAnsi" w:cstheme="minorHAnsi"/>
        </w:rPr>
        <w:t xml:space="preserve">They encourage the person to participate in the planning and decision-making process. </w:t>
      </w:r>
      <w:r w:rsidR="00E71E9C">
        <w:rPr>
          <w:rFonts w:asciiTheme="minorHAnsi" w:hAnsiTheme="minorHAnsi" w:cstheme="minorHAnsi"/>
        </w:rPr>
        <w:t xml:space="preserve"> </w:t>
      </w:r>
      <w:r w:rsidRPr="00B967DB">
        <w:rPr>
          <w:rFonts w:asciiTheme="minorHAnsi" w:hAnsiTheme="minorHAnsi" w:cstheme="minorHAnsi"/>
        </w:rPr>
        <w:t>Financial counsellors may also refer clients to other sources of support and assistance</w:t>
      </w:r>
      <w:r w:rsidR="00F65D74">
        <w:rPr>
          <w:rFonts w:asciiTheme="minorHAnsi" w:hAnsiTheme="minorHAnsi" w:cstheme="minorHAnsi"/>
        </w:rPr>
        <w:t>,</w:t>
      </w:r>
      <w:r w:rsidRPr="00B967DB">
        <w:rPr>
          <w:rFonts w:asciiTheme="minorHAnsi" w:hAnsiTheme="minorHAnsi" w:cstheme="minorHAnsi"/>
        </w:rPr>
        <w:t xml:space="preserve"> such </w:t>
      </w:r>
      <w:r w:rsidR="00F65D74">
        <w:rPr>
          <w:rFonts w:asciiTheme="minorHAnsi" w:hAnsiTheme="minorHAnsi" w:cstheme="minorHAnsi"/>
        </w:rPr>
        <w:t xml:space="preserve">addiction support services, </w:t>
      </w:r>
      <w:r w:rsidRPr="00B967DB">
        <w:rPr>
          <w:rFonts w:asciiTheme="minorHAnsi" w:hAnsiTheme="minorHAnsi" w:cstheme="minorHAnsi"/>
        </w:rPr>
        <w:t>as necessary.</w:t>
      </w:r>
    </w:p>
    <w:p w14:paraId="0C45B393" w14:textId="77777777" w:rsidR="00FB1246" w:rsidRPr="00B967DB" w:rsidRDefault="00FB1246" w:rsidP="00104E02">
      <w:pPr>
        <w:pStyle w:val="NoSpacing"/>
        <w:rPr>
          <w:rFonts w:asciiTheme="minorHAnsi" w:hAnsiTheme="minorHAnsi" w:cstheme="minorHAnsi"/>
        </w:rPr>
      </w:pPr>
    </w:p>
    <w:p w14:paraId="4B8F6AB4" w14:textId="3BCDD6AF" w:rsidR="00104E02" w:rsidRPr="00A12B92" w:rsidRDefault="00556C65" w:rsidP="00104E02">
      <w:pPr>
        <w:pStyle w:val="NoSpacing"/>
        <w:rPr>
          <w:rFonts w:asciiTheme="minorHAnsi" w:hAnsiTheme="minorHAnsi" w:cstheme="minorHAnsi"/>
          <w:b/>
        </w:rPr>
      </w:pPr>
      <w:r>
        <w:rPr>
          <w:rFonts w:asciiTheme="minorHAnsi" w:hAnsiTheme="minorHAnsi" w:cstheme="minorHAnsi"/>
          <w:b/>
        </w:rPr>
        <w:t xml:space="preserve">2.  </w:t>
      </w:r>
      <w:r w:rsidR="00E71E9C">
        <w:rPr>
          <w:rFonts w:asciiTheme="minorHAnsi" w:hAnsiTheme="minorHAnsi" w:cstheme="minorHAnsi"/>
          <w:b/>
        </w:rPr>
        <w:t xml:space="preserve">Financial Capability </w:t>
      </w:r>
      <w:r w:rsidR="00D66643">
        <w:rPr>
          <w:rFonts w:asciiTheme="minorHAnsi" w:hAnsiTheme="minorHAnsi" w:cstheme="minorHAnsi"/>
          <w:b/>
        </w:rPr>
        <w:t xml:space="preserve">(FC) </w:t>
      </w:r>
      <w:r w:rsidR="00104E02" w:rsidRPr="00B967DB">
        <w:rPr>
          <w:rFonts w:asciiTheme="minorHAnsi" w:hAnsiTheme="minorHAnsi" w:cstheme="minorHAnsi"/>
        </w:rPr>
        <w:t>services help people to build longer-term capability to budget and manage their money better and make financial decisions.  These services provide:</w:t>
      </w:r>
    </w:p>
    <w:p w14:paraId="57FD4DF6" w14:textId="77777777" w:rsidR="00104E02" w:rsidRPr="00B967DB" w:rsidRDefault="00104E02" w:rsidP="00E71E9C">
      <w:pPr>
        <w:pStyle w:val="Bullet1"/>
        <w:numPr>
          <w:ilvl w:val="0"/>
          <w:numId w:val="45"/>
        </w:numPr>
        <w:ind w:firstLine="0"/>
        <w:rPr>
          <w:rFonts w:cstheme="minorHAnsi"/>
        </w:rPr>
      </w:pPr>
      <w:r w:rsidRPr="00B967DB">
        <w:rPr>
          <w:rFonts w:cstheme="minorHAnsi"/>
        </w:rPr>
        <w:lastRenderedPageBreak/>
        <w:t xml:space="preserve">financial literacy education; </w:t>
      </w:r>
    </w:p>
    <w:p w14:paraId="2BA4B6A7" w14:textId="7B509A4B" w:rsidR="00104E02" w:rsidRPr="00B967DB" w:rsidRDefault="00104E02" w:rsidP="00E71E9C">
      <w:pPr>
        <w:pStyle w:val="Bullet1"/>
        <w:numPr>
          <w:ilvl w:val="0"/>
          <w:numId w:val="45"/>
        </w:numPr>
        <w:ind w:firstLine="0"/>
        <w:rPr>
          <w:rFonts w:cstheme="minorHAnsi"/>
        </w:rPr>
      </w:pPr>
      <w:r w:rsidRPr="00B967DB">
        <w:rPr>
          <w:rFonts w:cstheme="minorHAnsi"/>
        </w:rPr>
        <w:t xml:space="preserve">one-on-one </w:t>
      </w:r>
      <w:r w:rsidR="00E71E9C">
        <w:rPr>
          <w:rFonts w:cstheme="minorHAnsi"/>
        </w:rPr>
        <w:t>financial coaching and budget</w:t>
      </w:r>
      <w:r w:rsidRPr="00B967DB">
        <w:rPr>
          <w:rFonts w:cstheme="minorHAnsi"/>
        </w:rPr>
        <w:t xml:space="preserve"> support; and/or</w:t>
      </w:r>
    </w:p>
    <w:p w14:paraId="68FFE7CD" w14:textId="77777777" w:rsidR="00104E02" w:rsidRPr="00B967DB" w:rsidRDefault="00104E02" w:rsidP="00E71E9C">
      <w:pPr>
        <w:pStyle w:val="Bullet1"/>
        <w:numPr>
          <w:ilvl w:val="0"/>
          <w:numId w:val="45"/>
        </w:numPr>
        <w:ind w:firstLine="0"/>
        <w:rPr>
          <w:rFonts w:cstheme="minorHAnsi"/>
        </w:rPr>
      </w:pPr>
      <w:proofErr w:type="gramStart"/>
      <w:r w:rsidRPr="00B967DB">
        <w:rPr>
          <w:rFonts w:cstheme="minorHAnsi"/>
        </w:rPr>
        <w:t>non-accredited</w:t>
      </w:r>
      <w:proofErr w:type="gramEnd"/>
      <w:r w:rsidRPr="00B967DB">
        <w:rPr>
          <w:rFonts w:cstheme="minorHAnsi"/>
        </w:rPr>
        <w:t xml:space="preserve"> financial literacy community education workshops to eligible people.</w:t>
      </w:r>
    </w:p>
    <w:p w14:paraId="3C6C9A16" w14:textId="77777777" w:rsidR="00104E02" w:rsidRPr="00B967DB" w:rsidRDefault="00104E02" w:rsidP="00104E02">
      <w:pPr>
        <w:pStyle w:val="NoSpacing"/>
        <w:rPr>
          <w:rFonts w:asciiTheme="minorHAnsi" w:hAnsiTheme="minorHAnsi" w:cstheme="minorHAnsi"/>
        </w:rPr>
      </w:pPr>
    </w:p>
    <w:p w14:paraId="2D600613" w14:textId="77777777" w:rsidR="00104E02" w:rsidRPr="00793457" w:rsidRDefault="00104E02" w:rsidP="00104E02">
      <w:pPr>
        <w:pStyle w:val="NoSpacing"/>
        <w:rPr>
          <w:rFonts w:cstheme="minorHAnsi"/>
        </w:rPr>
      </w:pPr>
      <w:r w:rsidRPr="00B967DB">
        <w:rPr>
          <w:rFonts w:asciiTheme="minorHAnsi" w:hAnsiTheme="minorHAnsi" w:cstheme="minorHAnsi"/>
        </w:rPr>
        <w:t>Financial Capability services support eligible people with employment readiness through improving financial knowledge, skills and capabilities to assist them to achieve employment.</w:t>
      </w:r>
    </w:p>
    <w:p w14:paraId="57D5D6B3" w14:textId="176C56E1" w:rsidR="00104E02" w:rsidRPr="00A12B92" w:rsidRDefault="005D4CFC" w:rsidP="00104E02">
      <w:pPr>
        <w:rPr>
          <w:rFonts w:cstheme="minorHAnsi"/>
        </w:rPr>
      </w:pPr>
      <w:r>
        <w:rPr>
          <w:rFonts w:cstheme="minorHAnsi"/>
        </w:rPr>
        <w:t>Client e</w:t>
      </w:r>
      <w:r w:rsidR="00104E02" w:rsidRPr="00A12B92">
        <w:rPr>
          <w:rFonts w:cstheme="minorHAnsi"/>
        </w:rPr>
        <w:t xml:space="preserve">ligibility </w:t>
      </w:r>
      <w:r>
        <w:rPr>
          <w:rFonts w:cstheme="minorHAnsi"/>
        </w:rPr>
        <w:t>to receive services provided by the grantee funded under the Financial Capability grant opportunity</w:t>
      </w:r>
      <w:r w:rsidR="00104E02" w:rsidRPr="00A12B92">
        <w:rPr>
          <w:rFonts w:cstheme="minorHAnsi"/>
        </w:rPr>
        <w:t xml:space="preserve"> will be restricted solely to: </w:t>
      </w:r>
    </w:p>
    <w:p w14:paraId="419A7C06" w14:textId="7186974F" w:rsidR="00104E02" w:rsidRPr="00A12B92" w:rsidRDefault="00104E02" w:rsidP="00E71E9C">
      <w:pPr>
        <w:pStyle w:val="Bullet1"/>
        <w:numPr>
          <w:ilvl w:val="0"/>
          <w:numId w:val="45"/>
        </w:numPr>
        <w:ind w:left="709" w:hanging="425"/>
        <w:rPr>
          <w:rFonts w:cstheme="minorHAnsi"/>
        </w:rPr>
      </w:pPr>
      <w:r w:rsidRPr="00A12B92">
        <w:rPr>
          <w:rFonts w:cstheme="minorHAnsi"/>
        </w:rPr>
        <w:t xml:space="preserve">those in receipt of a Commonwealth social security benefit, allowance or payment </w:t>
      </w:r>
      <w:r w:rsidR="00E71E9C">
        <w:rPr>
          <w:rFonts w:cstheme="minorHAnsi"/>
        </w:rPr>
        <w:t xml:space="preserve">for the purpose of </w:t>
      </w:r>
      <w:r w:rsidRPr="00A12B92">
        <w:rPr>
          <w:rFonts w:cstheme="minorHAnsi"/>
        </w:rPr>
        <w:t>assist</w:t>
      </w:r>
      <w:r w:rsidR="00E71E9C">
        <w:rPr>
          <w:rFonts w:cstheme="minorHAnsi"/>
        </w:rPr>
        <w:t>ing</w:t>
      </w:r>
      <w:r w:rsidRPr="00A12B92">
        <w:rPr>
          <w:rFonts w:cstheme="minorHAnsi"/>
        </w:rPr>
        <w:t xml:space="preserve"> them to manage their social welfare payment; </w:t>
      </w:r>
      <w:r w:rsidR="00556C65">
        <w:rPr>
          <w:rFonts w:cstheme="minorHAnsi"/>
        </w:rPr>
        <w:t>or</w:t>
      </w:r>
    </w:p>
    <w:p w14:paraId="5E94DAB4" w14:textId="6E5CFE40" w:rsidR="00104E02" w:rsidRPr="00A12B92" w:rsidRDefault="00104E02" w:rsidP="00E71E9C">
      <w:pPr>
        <w:pStyle w:val="Bullet1"/>
        <w:numPr>
          <w:ilvl w:val="0"/>
          <w:numId w:val="45"/>
        </w:numPr>
        <w:ind w:left="709" w:hanging="425"/>
        <w:rPr>
          <w:rFonts w:cstheme="minorHAnsi"/>
        </w:rPr>
      </w:pPr>
      <w:r w:rsidRPr="00CA709C">
        <w:rPr>
          <w:rFonts w:cstheme="minorHAnsi"/>
        </w:rPr>
        <w:t>immigrants/non-citizens</w:t>
      </w:r>
      <w:r w:rsidR="00CA709C" w:rsidRPr="00CA709C">
        <w:rPr>
          <w:rFonts w:cstheme="minorHAnsi"/>
        </w:rPr>
        <w:t xml:space="preserve"> </w:t>
      </w:r>
      <w:r w:rsidR="00CA709C" w:rsidRPr="00F71A05">
        <w:rPr>
          <w:rFonts w:cstheme="minorHAnsi"/>
        </w:rPr>
        <w:t>(priority to be given to newly arrived refugees)</w:t>
      </w:r>
      <w:r w:rsidRPr="00A12B92">
        <w:rPr>
          <w:rFonts w:cstheme="minorHAnsi"/>
        </w:rPr>
        <w:t>;</w:t>
      </w:r>
      <w:r w:rsidR="00930A41">
        <w:rPr>
          <w:rFonts w:cstheme="minorHAnsi"/>
        </w:rPr>
        <w:t xml:space="preserve"> </w:t>
      </w:r>
      <w:r w:rsidR="00556C65">
        <w:rPr>
          <w:rFonts w:cstheme="minorHAnsi"/>
        </w:rPr>
        <w:t>or</w:t>
      </w:r>
    </w:p>
    <w:p w14:paraId="49077ACD" w14:textId="72B719A6" w:rsidR="00104E02" w:rsidRPr="00A12B92" w:rsidRDefault="00104E02" w:rsidP="00A12B92">
      <w:pPr>
        <w:pStyle w:val="Bullet1"/>
        <w:numPr>
          <w:ilvl w:val="0"/>
          <w:numId w:val="45"/>
        </w:numPr>
        <w:spacing w:before="0"/>
        <w:ind w:left="709" w:hanging="425"/>
        <w:rPr>
          <w:rStyle w:val="Heading1Char2"/>
          <w:rFonts w:asciiTheme="minorHAnsi" w:hAnsiTheme="minorHAnsi" w:cstheme="minorHAnsi"/>
          <w:b w:val="0"/>
          <w:sz w:val="22"/>
        </w:rPr>
      </w:pPr>
      <w:proofErr w:type="gramStart"/>
      <w:r w:rsidRPr="00A12B92">
        <w:rPr>
          <w:rFonts w:cstheme="minorHAnsi"/>
        </w:rPr>
        <w:t>women</w:t>
      </w:r>
      <w:proofErr w:type="gramEnd"/>
      <w:r w:rsidRPr="00A12B92">
        <w:rPr>
          <w:rFonts w:cstheme="minorHAnsi"/>
        </w:rPr>
        <w:t xml:space="preserve"> experiencing family violence for the purpose of assisting these women to become financially independent. </w:t>
      </w:r>
    </w:p>
    <w:p w14:paraId="1852F0B3" w14:textId="1A773F6B" w:rsidR="00045933" w:rsidRPr="00B72EE8" w:rsidRDefault="00E12F40" w:rsidP="00A668C8">
      <w:pPr>
        <w:pStyle w:val="Heading1Numbered"/>
      </w:pPr>
      <w:r w:rsidRPr="00045933" w:rsidDel="003207C0">
        <w:t xml:space="preserve"> </w:t>
      </w:r>
      <w:bookmarkStart w:id="13" w:name="_Toc514151374"/>
      <w:bookmarkStart w:id="14" w:name="_Toc514679957"/>
      <w:bookmarkStart w:id="15" w:name="_Toc514923312"/>
      <w:bookmarkStart w:id="16" w:name="_Toc467773954"/>
      <w:bookmarkStart w:id="17" w:name="_Toc518477065"/>
      <w:bookmarkEnd w:id="13"/>
      <w:bookmarkEnd w:id="14"/>
      <w:bookmarkEnd w:id="15"/>
      <w:r w:rsidR="00045933">
        <w:t>Grant amount</w:t>
      </w:r>
      <w:bookmarkEnd w:id="16"/>
      <w:bookmarkEnd w:id="17"/>
    </w:p>
    <w:p w14:paraId="15146B70" w14:textId="5876F003" w:rsidR="00045933" w:rsidRPr="00340616" w:rsidRDefault="00045933">
      <w:pPr>
        <w:rPr>
          <w:b/>
        </w:rPr>
      </w:pPr>
      <w:r w:rsidRPr="00045933">
        <w:t xml:space="preserve">The Australian Government has announced </w:t>
      </w:r>
      <w:r w:rsidR="00F65D74">
        <w:t>up to</w:t>
      </w:r>
      <w:r w:rsidRPr="00045933">
        <w:t xml:space="preserve"> $</w:t>
      </w:r>
      <w:r w:rsidR="00B26D5A" w:rsidRPr="00F65D74">
        <w:t>2.25</w:t>
      </w:r>
      <w:r w:rsidR="00B26D5A">
        <w:t xml:space="preserve"> million</w:t>
      </w:r>
      <w:r w:rsidRPr="00045933">
        <w:t xml:space="preserve"> </w:t>
      </w:r>
      <w:r w:rsidRPr="00B26D5A">
        <w:t xml:space="preserve">over </w:t>
      </w:r>
      <w:r w:rsidR="00B26D5A" w:rsidRPr="00A12B92">
        <w:rPr>
          <w:rStyle w:val="highlightedtextChar"/>
          <w:b w:val="0"/>
          <w:color w:val="auto"/>
        </w:rPr>
        <w:t>four and a half</w:t>
      </w:r>
      <w:r w:rsidRPr="00045933">
        <w:t xml:space="preserve"> years </w:t>
      </w:r>
      <w:r w:rsidR="00B26D5A">
        <w:t>(1 January 2019 to 30 June 2023) for the CFC/FC Capa</w:t>
      </w:r>
      <w:r w:rsidR="00FB7C28">
        <w:rPr>
          <w:rFonts w:cstheme="minorHAnsi"/>
        </w:rPr>
        <w:t>bil</w:t>
      </w:r>
      <w:r w:rsidR="00B26D5A">
        <w:t>ity Building grant opportunity</w:t>
      </w:r>
      <w:r w:rsidRPr="00340616">
        <w:t xml:space="preserve">. </w:t>
      </w:r>
      <w:r w:rsidR="00B26D5A">
        <w:t xml:space="preserve"> </w:t>
      </w:r>
    </w:p>
    <w:p w14:paraId="51E768D7" w14:textId="65BBA388" w:rsidR="00B26D5A" w:rsidRPr="00A12B92" w:rsidRDefault="00B26D5A" w:rsidP="00045933">
      <w:pPr>
        <w:rPr>
          <w:rStyle w:val="highlightedtextChar"/>
          <w:b w:val="0"/>
          <w:color w:val="auto"/>
        </w:rPr>
      </w:pPr>
      <w:r>
        <w:rPr>
          <w:rStyle w:val="highlightedtextChar"/>
          <w:b w:val="0"/>
          <w:color w:val="auto"/>
        </w:rPr>
        <w:t xml:space="preserve">The maximum grant </w:t>
      </w:r>
      <w:r>
        <w:t xml:space="preserve">amount is $500,000 per </w:t>
      </w:r>
      <w:r w:rsidR="00984814">
        <w:t xml:space="preserve">financial </w:t>
      </w:r>
      <w:r>
        <w:t>year</w:t>
      </w:r>
      <w:r w:rsidR="00984814">
        <w:t xml:space="preserve"> (</w:t>
      </w:r>
      <w:r w:rsidR="00D66643">
        <w:t>p</w:t>
      </w:r>
      <w:r w:rsidR="00984814">
        <w:t>ro-rated</w:t>
      </w:r>
      <w:r w:rsidR="00F65D74">
        <w:t xml:space="preserve"> for 2018-19)</w:t>
      </w:r>
      <w:r>
        <w:t>.  There is no minimum.</w:t>
      </w:r>
    </w:p>
    <w:p w14:paraId="5C842BAB" w14:textId="77777777" w:rsidR="00E71E9C" w:rsidRPr="00433ED3" w:rsidRDefault="00E71E9C" w:rsidP="00E71E9C">
      <w:pPr>
        <w:pStyle w:val="Heading2Numbered"/>
        <w:numPr>
          <w:ilvl w:val="1"/>
          <w:numId w:val="46"/>
        </w:numPr>
        <w:ind w:left="567"/>
      </w:pPr>
      <w:bookmarkStart w:id="18" w:name="_Toc509839453"/>
      <w:bookmarkStart w:id="19" w:name="_Toc511649892"/>
      <w:bookmarkStart w:id="20" w:name="_Toc518477066"/>
      <w:r w:rsidRPr="002C5140">
        <w:t xml:space="preserve">Social and Community Services </w:t>
      </w:r>
      <w:r>
        <w:t>(</w:t>
      </w:r>
      <w:r w:rsidRPr="00433ED3">
        <w:t>SACS</w:t>
      </w:r>
      <w:r>
        <w:t>)</w:t>
      </w:r>
      <w:r w:rsidRPr="00433ED3">
        <w:t xml:space="preserve"> Supplementation</w:t>
      </w:r>
      <w:bookmarkEnd w:id="18"/>
      <w:bookmarkEnd w:id="19"/>
      <w:bookmarkEnd w:id="20"/>
    </w:p>
    <w:p w14:paraId="486CC160" w14:textId="275DD01C" w:rsidR="004B6A1F" w:rsidRDefault="004B6A1F" w:rsidP="004B6A1F">
      <w:r>
        <w:t xml:space="preserve">CFC/FC </w:t>
      </w:r>
      <w:r w:rsidRPr="00A12B92">
        <w:t>Capa</w:t>
      </w:r>
      <w:r>
        <w:t>bil</w:t>
      </w:r>
      <w:r w:rsidRPr="00A12B92">
        <w:t xml:space="preserve">ity Building </w:t>
      </w:r>
      <w:r w:rsidR="00F0418B">
        <w:t>grantees</w:t>
      </w:r>
      <w:r w:rsidRPr="004B6A1F">
        <w:t xml:space="preserve"> may be eligible to receive </w:t>
      </w:r>
      <w:r w:rsidR="00984814">
        <w:t>SACS</w:t>
      </w:r>
      <w:r w:rsidRPr="004B6A1F">
        <w:t xml:space="preserve"> supplementation. Further information is available on the </w:t>
      </w:r>
      <w:hyperlink r:id="rId19" w:tooltip="fair pay for social and community services workers" w:history="1">
        <w:r w:rsidR="00AB0030" w:rsidRPr="004352F1">
          <w:rPr>
            <w:rStyle w:val="Hyperlink"/>
            <w:rFonts w:cstheme="minorHAnsi"/>
          </w:rPr>
          <w:t>Department of Social Services</w:t>
        </w:r>
      </w:hyperlink>
      <w:r w:rsidRPr="004B6A1F">
        <w:t xml:space="preserve"> website.</w:t>
      </w:r>
    </w:p>
    <w:p w14:paraId="68F8F508" w14:textId="5549F3B1" w:rsidR="004B6A1F" w:rsidRPr="004B6A1F" w:rsidRDefault="00984814" w:rsidP="004B6A1F">
      <w:r>
        <w:t>SACS</w:t>
      </w:r>
      <w:r w:rsidR="004B6A1F" w:rsidRPr="004B6A1F">
        <w:t xml:space="preserve"> supplementation ceases on 30 June 2020.</w:t>
      </w:r>
    </w:p>
    <w:p w14:paraId="500C1524" w14:textId="77777777" w:rsidR="00340616" w:rsidRPr="00B72EE8" w:rsidRDefault="00340616" w:rsidP="00340616">
      <w:pPr>
        <w:pStyle w:val="Heading1Numbered"/>
      </w:pPr>
      <w:bookmarkStart w:id="21" w:name="_Toc514151377"/>
      <w:bookmarkStart w:id="22" w:name="_Toc514679960"/>
      <w:bookmarkStart w:id="23" w:name="_Toc514923315"/>
      <w:bookmarkStart w:id="24" w:name="_Toc421777594"/>
      <w:bookmarkStart w:id="25" w:name="_Ref428266971"/>
      <w:bookmarkStart w:id="26" w:name="_Toc467773955"/>
      <w:bookmarkStart w:id="27" w:name="_Toc518477067"/>
      <w:bookmarkEnd w:id="21"/>
      <w:bookmarkEnd w:id="22"/>
      <w:bookmarkEnd w:id="23"/>
      <w:r>
        <w:t>Grant e</w:t>
      </w:r>
      <w:r w:rsidRPr="00B72EE8">
        <w:t>ligibility</w:t>
      </w:r>
      <w:bookmarkEnd w:id="24"/>
      <w:bookmarkEnd w:id="25"/>
      <w:r>
        <w:t xml:space="preserve"> cr</w:t>
      </w:r>
      <w:r w:rsidRPr="00B72EE8">
        <w:t>iteria</w:t>
      </w:r>
      <w:bookmarkEnd w:id="26"/>
      <w:bookmarkEnd w:id="27"/>
      <w:r>
        <w:t xml:space="preserve"> </w:t>
      </w:r>
    </w:p>
    <w:p w14:paraId="280303E7" w14:textId="0A6E73E6" w:rsidR="00FB1246" w:rsidRDefault="00E71E9C" w:rsidP="00E92E7D">
      <w:bookmarkStart w:id="28" w:name="_Ref414285977"/>
      <w:r w:rsidRPr="00636C7F">
        <w:t>We cannot consider your application if it does not meet</w:t>
      </w:r>
      <w:r w:rsidRPr="002D702A">
        <w:t xml:space="preserve"> </w:t>
      </w:r>
      <w:r w:rsidRPr="00A94C62">
        <w:rPr>
          <w:b/>
        </w:rPr>
        <w:t>all</w:t>
      </w:r>
      <w:r w:rsidRPr="00636C7F">
        <w:t xml:space="preserve"> the eligibility criteria</w:t>
      </w:r>
      <w:r w:rsidR="00F65D74">
        <w:t>.</w:t>
      </w:r>
      <w:r w:rsidR="00984814">
        <w:t xml:space="preserve"> </w:t>
      </w:r>
    </w:p>
    <w:p w14:paraId="4A60FA46" w14:textId="77777777" w:rsidR="00FB1246" w:rsidRDefault="00FB1246">
      <w:pPr>
        <w:suppressAutoHyphens w:val="0"/>
        <w:spacing w:before="0" w:after="120" w:line="440" w:lineRule="atLeast"/>
      </w:pPr>
      <w:r>
        <w:br w:type="page"/>
      </w:r>
    </w:p>
    <w:p w14:paraId="1353DAC1" w14:textId="49F52011" w:rsidR="005660B6" w:rsidRDefault="005660B6" w:rsidP="00E92E7D">
      <w:pPr>
        <w:pStyle w:val="Heading2Numbered"/>
        <w:numPr>
          <w:ilvl w:val="1"/>
          <w:numId w:val="46"/>
        </w:numPr>
        <w:ind w:left="567"/>
      </w:pPr>
      <w:bookmarkStart w:id="29" w:name="_Toc514151382"/>
      <w:bookmarkStart w:id="30" w:name="_Toc514679965"/>
      <w:bookmarkStart w:id="31" w:name="_Toc514923320"/>
      <w:bookmarkStart w:id="32" w:name="_Toc514151386"/>
      <w:bookmarkStart w:id="33" w:name="_Toc514679969"/>
      <w:bookmarkStart w:id="34" w:name="_Toc514923324"/>
      <w:bookmarkStart w:id="35" w:name="_Toc518477068"/>
      <w:bookmarkEnd w:id="29"/>
      <w:bookmarkEnd w:id="30"/>
      <w:bookmarkEnd w:id="31"/>
      <w:bookmarkEnd w:id="32"/>
      <w:bookmarkEnd w:id="33"/>
      <w:bookmarkEnd w:id="34"/>
      <w:r w:rsidRPr="005660B6">
        <w:lastRenderedPageBreak/>
        <w:t>Who is eligible to apply for a grant?</w:t>
      </w:r>
      <w:bookmarkEnd w:id="35"/>
    </w:p>
    <w:p w14:paraId="7B5E9BB2" w14:textId="5B31B6F0" w:rsidR="00124BC1" w:rsidRPr="00115F8C" w:rsidRDefault="00124BC1" w:rsidP="00E92E7D">
      <w:r w:rsidRPr="00636C7F">
        <w:t>To be eligible to apply,</w:t>
      </w:r>
      <w:r w:rsidRPr="002D702A">
        <w:t xml:space="preserve"> you must be listed</w:t>
      </w:r>
      <w:r w:rsidR="00D66888">
        <w:t xml:space="preserve"> as an</w:t>
      </w:r>
      <w:r w:rsidRPr="00115F8C">
        <w:t xml:space="preserve"> invited organisation and have received an invitation to apply through </w:t>
      </w:r>
      <w:proofErr w:type="spellStart"/>
      <w:r w:rsidRPr="00115F8C">
        <w:t>GrantConnect</w:t>
      </w:r>
      <w:proofErr w:type="spellEnd"/>
      <w:r w:rsidRPr="00115F8C">
        <w:t>.</w:t>
      </w:r>
    </w:p>
    <w:p w14:paraId="3899A818" w14:textId="350963E6" w:rsidR="00124BC1" w:rsidRPr="002D702A" w:rsidRDefault="00124BC1" w:rsidP="00E92E7D">
      <w:r w:rsidRPr="00675A25">
        <w:t xml:space="preserve">The Department of Social Services </w:t>
      </w:r>
      <w:r w:rsidR="00F65D74">
        <w:t xml:space="preserve">will </w:t>
      </w:r>
      <w:r w:rsidRPr="00675A25">
        <w:t xml:space="preserve">invite </w:t>
      </w:r>
      <w:r w:rsidR="008A2E9C">
        <w:t xml:space="preserve">one </w:t>
      </w:r>
      <w:r w:rsidR="008A2E9C" w:rsidRPr="00636C7F">
        <w:t>organisation, Financ</w:t>
      </w:r>
      <w:r w:rsidR="008A2E9C">
        <w:t>ial Counselling Australia Inc.,</w:t>
      </w:r>
      <w:r w:rsidRPr="00636C7F">
        <w:t xml:space="preserve"> to apply in this restricted process. </w:t>
      </w:r>
    </w:p>
    <w:p w14:paraId="79D27D41" w14:textId="77777777" w:rsidR="00124BC1" w:rsidRPr="00E92E7D" w:rsidRDefault="00124BC1" w:rsidP="00E92E7D">
      <w:pPr>
        <w:rPr>
          <w:b/>
        </w:rPr>
      </w:pPr>
      <w:r w:rsidRPr="00E92E7D">
        <w:rPr>
          <w:b/>
        </w:rPr>
        <w:t>Rationale for Invitation</w:t>
      </w:r>
    </w:p>
    <w:p w14:paraId="24F6F663" w14:textId="4407E306" w:rsidR="00F65D74" w:rsidRPr="005B3956" w:rsidRDefault="00F65D74" w:rsidP="005B3956">
      <w:bookmarkStart w:id="36" w:name="_Toc467773958"/>
      <w:bookmarkEnd w:id="28"/>
      <w:r w:rsidRPr="005B3956">
        <w:t xml:space="preserve">The Department of Social Services chose </w:t>
      </w:r>
      <w:r w:rsidR="00D66888" w:rsidRPr="005B3956">
        <w:t xml:space="preserve">Financial Counselling Australia </w:t>
      </w:r>
      <w:proofErr w:type="spellStart"/>
      <w:r w:rsidR="00D66888" w:rsidRPr="005B3956">
        <w:t>Inc</w:t>
      </w:r>
      <w:proofErr w:type="spellEnd"/>
      <w:r w:rsidR="006E215F" w:rsidRPr="005B3956">
        <w:t xml:space="preserve"> (FCA)</w:t>
      </w:r>
      <w:r w:rsidR="00D66888" w:rsidRPr="005B3956">
        <w:t xml:space="preserve"> </w:t>
      </w:r>
      <w:r w:rsidRPr="005B3956">
        <w:t xml:space="preserve">because </w:t>
      </w:r>
      <w:r w:rsidR="006E215F" w:rsidRPr="005B3956">
        <w:t xml:space="preserve">it is the peak body for financial counsellors in Australia and has a national presence. FCA also coordinates the Commonwealth Financial Counselling Helpline, and has delivered relevant outcomes nationally. FCA has been in operation since 1982. </w:t>
      </w:r>
    </w:p>
    <w:p w14:paraId="72CAD43D" w14:textId="16576087" w:rsidR="00F65D74" w:rsidRPr="00587FB6" w:rsidRDefault="00F65D74" w:rsidP="005B3956">
      <w:pPr>
        <w:rPr>
          <w:rFonts w:ascii="Arial" w:hAnsi="Arial" w:cs="Arial"/>
          <w:color w:val="000000" w:themeColor="text1"/>
        </w:rPr>
      </w:pPr>
      <w:r w:rsidRPr="005B3956">
        <w:t>No further organisations</w:t>
      </w:r>
      <w:r w:rsidRPr="00587FB6">
        <w:rPr>
          <w:rFonts w:ascii="Arial" w:hAnsi="Arial" w:cs="Arial"/>
          <w:color w:val="000000" w:themeColor="text1"/>
        </w:rPr>
        <w:t xml:space="preserve"> will</w:t>
      </w:r>
      <w:r w:rsidR="00F04BC2">
        <w:rPr>
          <w:rFonts w:ascii="Arial" w:hAnsi="Arial" w:cs="Arial"/>
          <w:color w:val="000000" w:themeColor="text1"/>
        </w:rPr>
        <w:t xml:space="preserve"> </w:t>
      </w:r>
      <w:r w:rsidRPr="00587FB6">
        <w:rPr>
          <w:rFonts w:ascii="Arial" w:hAnsi="Arial" w:cs="Arial"/>
          <w:color w:val="000000" w:themeColor="text1"/>
        </w:rPr>
        <w:t>be invited to apply.</w:t>
      </w:r>
    </w:p>
    <w:p w14:paraId="32AB81C0" w14:textId="4DB12525" w:rsidR="00890646" w:rsidRPr="00E92E7D" w:rsidRDefault="00BB5CF6" w:rsidP="00E92E7D">
      <w:pPr>
        <w:pStyle w:val="Heading2Numbered"/>
        <w:numPr>
          <w:ilvl w:val="1"/>
          <w:numId w:val="50"/>
        </w:numPr>
        <w:ind w:left="567"/>
        <w:rPr>
          <w:color w:val="auto"/>
        </w:rPr>
      </w:pPr>
      <w:bookmarkStart w:id="37" w:name="_Toc514923327"/>
      <w:bookmarkStart w:id="38" w:name="_Toc514923328"/>
      <w:bookmarkStart w:id="39" w:name="_Toc514923329"/>
      <w:bookmarkStart w:id="40" w:name="_Toc518477069"/>
      <w:bookmarkEnd w:id="37"/>
      <w:bookmarkEnd w:id="38"/>
      <w:bookmarkEnd w:id="39"/>
      <w:r w:rsidRPr="00DB614C">
        <w:t>Who is not eligible to apply for a grant?</w:t>
      </w:r>
      <w:bookmarkEnd w:id="40"/>
      <w:r>
        <w:t xml:space="preserve"> </w:t>
      </w:r>
    </w:p>
    <w:p w14:paraId="789D668F" w14:textId="055EA3C5" w:rsidR="00BB5CF6" w:rsidRDefault="00BB5CF6" w:rsidP="00BB5CF6">
      <w:pPr>
        <w:spacing w:before="60"/>
        <w:rPr>
          <w:rFonts w:ascii="Arial" w:hAnsi="Arial" w:cs="Arial"/>
        </w:rPr>
      </w:pPr>
      <w:r w:rsidRPr="007314EC">
        <w:rPr>
          <w:rFonts w:ascii="Arial" w:hAnsi="Arial" w:cs="Arial"/>
        </w:rPr>
        <w:t xml:space="preserve">You are not eligible to apply if you </w:t>
      </w:r>
      <w:r w:rsidR="00330877">
        <w:rPr>
          <w:rFonts w:ascii="Arial" w:hAnsi="Arial" w:cs="Arial"/>
        </w:rPr>
        <w:t xml:space="preserve">have not been approached through an invitation to apply. </w:t>
      </w:r>
    </w:p>
    <w:p w14:paraId="5F41665C" w14:textId="77777777" w:rsidR="00340616" w:rsidRPr="00A668C8" w:rsidRDefault="00340616" w:rsidP="00A668C8">
      <w:pPr>
        <w:pStyle w:val="Heading1Numbered"/>
      </w:pPr>
      <w:bookmarkStart w:id="41" w:name="_Toc514151391"/>
      <w:bookmarkStart w:id="42" w:name="_Toc514679974"/>
      <w:bookmarkStart w:id="43" w:name="_Toc514923332"/>
      <w:bookmarkStart w:id="44" w:name="_Toc514151397"/>
      <w:bookmarkStart w:id="45" w:name="_Toc514679980"/>
      <w:bookmarkStart w:id="46" w:name="_Toc514923338"/>
      <w:bookmarkStart w:id="47" w:name="_Toc514151399"/>
      <w:bookmarkStart w:id="48" w:name="_Toc514679982"/>
      <w:bookmarkStart w:id="49" w:name="_Toc514923340"/>
      <w:bookmarkStart w:id="50" w:name="_Toc514151400"/>
      <w:bookmarkStart w:id="51" w:name="_Toc514679983"/>
      <w:bookmarkStart w:id="52" w:name="_Toc514923341"/>
      <w:bookmarkStart w:id="53" w:name="_Toc514151403"/>
      <w:bookmarkStart w:id="54" w:name="_Toc514679986"/>
      <w:bookmarkStart w:id="55" w:name="_Toc514923344"/>
      <w:bookmarkStart w:id="56" w:name="_Toc514151407"/>
      <w:bookmarkStart w:id="57" w:name="_Toc514679990"/>
      <w:bookmarkStart w:id="58" w:name="_Toc514923348"/>
      <w:bookmarkStart w:id="59" w:name="_Toc514151408"/>
      <w:bookmarkStart w:id="60" w:name="_Toc514679991"/>
      <w:bookmarkStart w:id="61" w:name="_Toc514923349"/>
      <w:bookmarkStart w:id="62" w:name="_Toc514151413"/>
      <w:bookmarkStart w:id="63" w:name="_Toc514679996"/>
      <w:bookmarkStart w:id="64" w:name="_Toc514923354"/>
      <w:bookmarkStart w:id="65" w:name="_Toc467773959"/>
      <w:bookmarkStart w:id="66" w:name="_Toc518477070"/>
      <w:bookmarkEnd w:id="3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668C8">
        <w:t>Eligible grant activities</w:t>
      </w:r>
      <w:bookmarkEnd w:id="65"/>
      <w:bookmarkEnd w:id="66"/>
    </w:p>
    <w:p w14:paraId="6B00C377" w14:textId="392AE8B4" w:rsidR="00340616" w:rsidRPr="00F56535" w:rsidRDefault="00340616" w:rsidP="00E92E7D">
      <w:pPr>
        <w:pStyle w:val="Heading2Numbered"/>
        <w:spacing w:before="0" w:after="0" w:line="240" w:lineRule="auto"/>
        <w:ind w:left="567"/>
      </w:pPr>
      <w:bookmarkStart w:id="67" w:name="_Toc467773960"/>
      <w:bookmarkStart w:id="68" w:name="_Toc518477071"/>
      <w:r w:rsidRPr="00F56535">
        <w:t>What can the grant money be used for?</w:t>
      </w:r>
      <w:bookmarkEnd w:id="67"/>
      <w:bookmarkEnd w:id="68"/>
    </w:p>
    <w:p w14:paraId="3C79CC1F" w14:textId="77777777" w:rsidR="00340616" w:rsidRPr="000A271A" w:rsidRDefault="00340616" w:rsidP="00340616">
      <w:pPr>
        <w:rPr>
          <w:rFonts w:cstheme="minorHAnsi"/>
        </w:rPr>
      </w:pPr>
      <w:r w:rsidRPr="000A271A">
        <w:rPr>
          <w:rFonts w:cstheme="minorHAnsi"/>
        </w:rPr>
        <w:t xml:space="preserve">You can use the grant to pay for: </w:t>
      </w:r>
    </w:p>
    <w:p w14:paraId="51FC135A" w14:textId="68D814B4" w:rsidR="00060121" w:rsidRPr="00DD7B6D" w:rsidRDefault="00060121" w:rsidP="00060121">
      <w:pPr>
        <w:pStyle w:val="Bullet1"/>
      </w:pPr>
      <w:r w:rsidRPr="008E754C">
        <w:t>s</w:t>
      </w:r>
      <w:r w:rsidRPr="00DD7B6D">
        <w:t>taff salaries and on-costs which can be directly attributed to the provision of services as per the grant agreement</w:t>
      </w:r>
    </w:p>
    <w:p w14:paraId="53501500" w14:textId="77777777" w:rsidR="00A15549" w:rsidRDefault="00A15549" w:rsidP="00A15549">
      <w:pPr>
        <w:pStyle w:val="Bullet1"/>
      </w:pPr>
      <w:r w:rsidRPr="00DD7B6D">
        <w:t xml:space="preserve">employee training for </w:t>
      </w:r>
      <w:r>
        <w:t xml:space="preserve">paid </w:t>
      </w:r>
      <w:r w:rsidRPr="00DD7B6D">
        <w:t xml:space="preserve">staff delivering activities that are relevant, appropriate and in line with the activity objectives </w:t>
      </w:r>
    </w:p>
    <w:p w14:paraId="6EF96C4A" w14:textId="6FD6C177" w:rsidR="000D5166" w:rsidRPr="00BB343F" w:rsidRDefault="000D5166" w:rsidP="002D702A">
      <w:pPr>
        <w:pStyle w:val="Bullet1"/>
      </w:pPr>
      <w:r w:rsidRPr="00BB343F">
        <w:t xml:space="preserve">travel costs for staff delivering </w:t>
      </w:r>
      <w:r w:rsidR="00F67D0B" w:rsidRPr="00BB343F">
        <w:t xml:space="preserve">the </w:t>
      </w:r>
      <w:r w:rsidRPr="00BB343F">
        <w:t xml:space="preserve">activities to attend national financial counselling </w:t>
      </w:r>
      <w:r w:rsidR="00864F40" w:rsidRPr="00BB343F">
        <w:t xml:space="preserve">and financial capability </w:t>
      </w:r>
      <w:r w:rsidRPr="00BB343F">
        <w:t>conference</w:t>
      </w:r>
      <w:r w:rsidR="00864F40" w:rsidRPr="00BB343F">
        <w:t>s</w:t>
      </w:r>
    </w:p>
    <w:p w14:paraId="5E7D6422" w14:textId="77777777" w:rsidR="00060121" w:rsidRPr="00DD7B6D" w:rsidRDefault="00060121" w:rsidP="00060121">
      <w:pPr>
        <w:pStyle w:val="Bullet1"/>
      </w:pPr>
      <w:r w:rsidRPr="00DD7B6D">
        <w:t>administration expenses directly related to the delivery of services such as:</w:t>
      </w:r>
    </w:p>
    <w:p w14:paraId="0B7760A5" w14:textId="77777777" w:rsidR="00060121" w:rsidRDefault="00060121" w:rsidP="00060121">
      <w:pPr>
        <w:pStyle w:val="Bullet2"/>
      </w:pPr>
      <w:r>
        <w:t>interpreting services</w:t>
      </w:r>
    </w:p>
    <w:p w14:paraId="7DC349D1" w14:textId="77777777" w:rsidR="00060121" w:rsidRPr="00ED1B83" w:rsidRDefault="00060121" w:rsidP="00060121">
      <w:pPr>
        <w:pStyle w:val="Bullet2"/>
      </w:pPr>
      <w:r w:rsidRPr="00ED1B83">
        <w:t xml:space="preserve">telephones </w:t>
      </w:r>
    </w:p>
    <w:p w14:paraId="47F3D9C0" w14:textId="77777777" w:rsidR="00060121" w:rsidRDefault="00060121" w:rsidP="00060121">
      <w:pPr>
        <w:pStyle w:val="Bullet2"/>
      </w:pPr>
      <w:r w:rsidRPr="00ED1B83">
        <w:t xml:space="preserve">rent and outgoings  </w:t>
      </w:r>
    </w:p>
    <w:p w14:paraId="70F57A48" w14:textId="77777777" w:rsidR="00060121" w:rsidRPr="00ED1B83" w:rsidRDefault="00060121" w:rsidP="00060121">
      <w:pPr>
        <w:pStyle w:val="Bullet2"/>
      </w:pPr>
      <w:r>
        <w:t>c</w:t>
      </w:r>
      <w:r w:rsidRPr="00ED1B83">
        <w:t xml:space="preserve">omputer /information technology/website/ software </w:t>
      </w:r>
    </w:p>
    <w:p w14:paraId="14610CB4" w14:textId="77777777" w:rsidR="00060121" w:rsidRPr="00ED1B83" w:rsidRDefault="00060121" w:rsidP="00060121">
      <w:pPr>
        <w:pStyle w:val="Bullet2"/>
      </w:pPr>
      <w:r w:rsidRPr="00ED1B83">
        <w:t xml:space="preserve">insurance </w:t>
      </w:r>
    </w:p>
    <w:p w14:paraId="6A310245" w14:textId="77777777" w:rsidR="00060121" w:rsidRPr="00ED1B83" w:rsidRDefault="00060121" w:rsidP="00060121">
      <w:pPr>
        <w:pStyle w:val="Bullet2"/>
      </w:pPr>
      <w:r w:rsidRPr="00ED1B83">
        <w:t>utilities</w:t>
      </w:r>
    </w:p>
    <w:p w14:paraId="753109B3" w14:textId="77777777" w:rsidR="00060121" w:rsidRPr="00ED1B83" w:rsidRDefault="00060121" w:rsidP="00060121">
      <w:pPr>
        <w:pStyle w:val="Bullet2"/>
      </w:pPr>
      <w:r w:rsidRPr="00ED1B83">
        <w:t xml:space="preserve">postage </w:t>
      </w:r>
    </w:p>
    <w:p w14:paraId="754E02CC" w14:textId="77777777" w:rsidR="00060121" w:rsidRPr="00ED1B83" w:rsidRDefault="00060121" w:rsidP="00060121">
      <w:pPr>
        <w:pStyle w:val="Bullet2"/>
      </w:pPr>
      <w:r w:rsidRPr="00ED1B83">
        <w:t xml:space="preserve">stationery and printing </w:t>
      </w:r>
    </w:p>
    <w:p w14:paraId="4CCE462B" w14:textId="77777777" w:rsidR="00060121" w:rsidRPr="00ED1B83" w:rsidRDefault="00060121" w:rsidP="00060121">
      <w:pPr>
        <w:pStyle w:val="Bullet2"/>
      </w:pPr>
      <w:r w:rsidRPr="00ED1B83">
        <w:t>accounting and auditing</w:t>
      </w:r>
    </w:p>
    <w:p w14:paraId="26886ED7" w14:textId="5BA56D39" w:rsidR="00340616" w:rsidRPr="000A271A" w:rsidRDefault="00060121" w:rsidP="00E92E7D">
      <w:pPr>
        <w:pStyle w:val="Bullet2"/>
        <w:rPr>
          <w:rFonts w:cstheme="minorHAnsi"/>
        </w:rPr>
      </w:pPr>
      <w:proofErr w:type="gramStart"/>
      <w:r w:rsidRPr="00ED1B83">
        <w:lastRenderedPageBreak/>
        <w:t>assets</w:t>
      </w:r>
      <w:proofErr w:type="gramEnd"/>
      <w:r w:rsidRPr="00ED1B83">
        <w:t xml:space="preserve"> as defined in the terms and conditions that can be reasonably attributed to meeting agreement deliverables</w:t>
      </w:r>
      <w:r>
        <w:t>.</w:t>
      </w:r>
    </w:p>
    <w:p w14:paraId="5B10FA9B" w14:textId="74FCBF9C" w:rsidR="00340616" w:rsidRPr="000A271A" w:rsidRDefault="00340616" w:rsidP="00340616">
      <w:pPr>
        <w:spacing w:after="0" w:line="240" w:lineRule="auto"/>
        <w:contextualSpacing/>
        <w:rPr>
          <w:rFonts w:cstheme="minorHAnsi"/>
          <w:highlight w:val="cyan"/>
        </w:rPr>
      </w:pPr>
      <w:r w:rsidRPr="000A271A">
        <w:rPr>
          <w:rFonts w:cstheme="minorHAnsi"/>
        </w:rPr>
        <w:t xml:space="preserve">You can only spend grant funds on eligible grant activities as defined in the grant details in your grant agreement. </w:t>
      </w:r>
    </w:p>
    <w:p w14:paraId="356AF79B" w14:textId="77777777" w:rsidR="00340616" w:rsidRPr="000A271A" w:rsidRDefault="00340616" w:rsidP="00340616">
      <w:pPr>
        <w:pStyle w:val="NoSpacing"/>
        <w:ind w:left="360"/>
        <w:rPr>
          <w:rFonts w:asciiTheme="minorHAnsi" w:hAnsiTheme="minorHAnsi" w:cstheme="minorHAnsi"/>
          <w:highlight w:val="lightGray"/>
        </w:rPr>
      </w:pPr>
    </w:p>
    <w:p w14:paraId="5ED86996" w14:textId="246D56CD" w:rsidR="00340616" w:rsidRPr="00B72EE8" w:rsidRDefault="00340616" w:rsidP="00636C7F">
      <w:pPr>
        <w:pStyle w:val="Heading2Numbered"/>
        <w:ind w:left="567"/>
      </w:pPr>
      <w:bookmarkStart w:id="69" w:name="_Toc514151418"/>
      <w:bookmarkStart w:id="70" w:name="_Toc514680001"/>
      <w:bookmarkStart w:id="71" w:name="_Toc514923359"/>
      <w:bookmarkStart w:id="72" w:name="_Toc467773961"/>
      <w:bookmarkStart w:id="73" w:name="_Toc518477072"/>
      <w:bookmarkEnd w:id="69"/>
      <w:bookmarkEnd w:id="70"/>
      <w:bookmarkEnd w:id="71"/>
      <w:r w:rsidRPr="00B72EE8">
        <w:t xml:space="preserve">What </w:t>
      </w:r>
      <w:r>
        <w:t>the grant money cannot be used for?</w:t>
      </w:r>
      <w:bookmarkEnd w:id="72"/>
      <w:bookmarkEnd w:id="73"/>
    </w:p>
    <w:p w14:paraId="1DE345F3" w14:textId="77777777" w:rsidR="00340616" w:rsidRPr="000A271A" w:rsidRDefault="00340616" w:rsidP="00340616">
      <w:pPr>
        <w:rPr>
          <w:rFonts w:cstheme="minorHAnsi"/>
        </w:rPr>
      </w:pPr>
      <w:r w:rsidRPr="000A271A">
        <w:rPr>
          <w:rFonts w:cstheme="minorHAnsi"/>
        </w:rPr>
        <w:t xml:space="preserve">You cannot use the grant for the following activities: </w:t>
      </w:r>
    </w:p>
    <w:p w14:paraId="204BB467" w14:textId="77777777" w:rsidR="00E12F40" w:rsidRPr="005B3E54" w:rsidRDefault="00E12F40" w:rsidP="00E12F40">
      <w:pPr>
        <w:pStyle w:val="Bullet1"/>
        <w:numPr>
          <w:ilvl w:val="0"/>
          <w:numId w:val="14"/>
        </w:numPr>
      </w:pPr>
      <w:r w:rsidRPr="005B3E54">
        <w:t xml:space="preserve">purchase of land </w:t>
      </w:r>
    </w:p>
    <w:p w14:paraId="1354A372" w14:textId="3607FFF7" w:rsidR="00E12F40" w:rsidRPr="005B3E54" w:rsidRDefault="00E12F40" w:rsidP="00E12F40">
      <w:pPr>
        <w:pStyle w:val="Bullet1"/>
        <w:numPr>
          <w:ilvl w:val="0"/>
          <w:numId w:val="14"/>
        </w:numPr>
      </w:pPr>
      <w:r w:rsidRPr="005B3E54">
        <w:t xml:space="preserve">wages not directly related to the delivery of </w:t>
      </w:r>
      <w:r w:rsidR="00864F40">
        <w:t xml:space="preserve">CFC/FC </w:t>
      </w:r>
      <w:r w:rsidRPr="005B3E54">
        <w:t>Capability</w:t>
      </w:r>
      <w:r w:rsidR="00864F40">
        <w:t xml:space="preserve"> Building</w:t>
      </w:r>
    </w:p>
    <w:p w14:paraId="310EFF97" w14:textId="77777777" w:rsidR="00E12F40" w:rsidRPr="005B3E54" w:rsidRDefault="00E12F40" w:rsidP="00E12F40">
      <w:pPr>
        <w:pStyle w:val="Bullet1"/>
        <w:numPr>
          <w:ilvl w:val="0"/>
          <w:numId w:val="14"/>
        </w:numPr>
      </w:pPr>
      <w:r w:rsidRPr="005B3E54">
        <w:t xml:space="preserve">major capital expenditure </w:t>
      </w:r>
    </w:p>
    <w:p w14:paraId="27702005" w14:textId="77777777" w:rsidR="00E12F40" w:rsidRPr="005B3E54" w:rsidRDefault="00E12F40" w:rsidP="00E12F40">
      <w:pPr>
        <w:pStyle w:val="Bullet1"/>
        <w:numPr>
          <w:ilvl w:val="0"/>
          <w:numId w:val="14"/>
        </w:numPr>
      </w:pPr>
      <w:r w:rsidRPr="005B3E54">
        <w:t xml:space="preserve">the covering of retrospective costs </w:t>
      </w:r>
    </w:p>
    <w:p w14:paraId="13892354" w14:textId="77777777" w:rsidR="00E12F40" w:rsidRPr="005B3E54" w:rsidRDefault="00E12F40" w:rsidP="00E12F40">
      <w:pPr>
        <w:pStyle w:val="Bullet1"/>
        <w:numPr>
          <w:ilvl w:val="0"/>
          <w:numId w:val="14"/>
        </w:numPr>
      </w:pPr>
      <w:r w:rsidRPr="005B3E54">
        <w:t xml:space="preserve">costs incurred in the preparation of a grant application or related documentation </w:t>
      </w:r>
    </w:p>
    <w:p w14:paraId="0F1D1A3F" w14:textId="6BF38211" w:rsidR="00E12F40" w:rsidRPr="005B3E54" w:rsidRDefault="00E12F40" w:rsidP="00E12F40">
      <w:pPr>
        <w:pStyle w:val="Bullet1"/>
        <w:numPr>
          <w:ilvl w:val="0"/>
          <w:numId w:val="14"/>
        </w:numPr>
      </w:pPr>
      <w:r w:rsidRPr="005B3E54">
        <w:t xml:space="preserve">subsidy of general ongoing administration of an organisation such as electricity, phone and rent not directly related to the delivery of </w:t>
      </w:r>
      <w:r w:rsidR="000D5166">
        <w:t>CFC</w:t>
      </w:r>
      <w:r w:rsidR="005D4CFC">
        <w:t>/FC</w:t>
      </w:r>
      <w:r w:rsidR="000D5166">
        <w:t xml:space="preserve"> </w:t>
      </w:r>
      <w:r w:rsidRPr="005B3E54">
        <w:t>Capability</w:t>
      </w:r>
      <w:r w:rsidR="000D5166">
        <w:t xml:space="preserve"> Building</w:t>
      </w:r>
    </w:p>
    <w:p w14:paraId="6A84965C" w14:textId="77777777" w:rsidR="00E12F40" w:rsidRPr="005B3E54" w:rsidRDefault="00E12F40" w:rsidP="00E12F40">
      <w:pPr>
        <w:pStyle w:val="Bullet1"/>
        <w:numPr>
          <w:ilvl w:val="0"/>
          <w:numId w:val="14"/>
        </w:numPr>
      </w:pPr>
      <w:r w:rsidRPr="005B3E54">
        <w:t xml:space="preserve">major construction/capital works  </w:t>
      </w:r>
    </w:p>
    <w:p w14:paraId="7B893F74" w14:textId="77777777" w:rsidR="00E12F40" w:rsidRPr="005B3E54" w:rsidRDefault="00E12F40" w:rsidP="00E12F40">
      <w:pPr>
        <w:pStyle w:val="Bullet1"/>
        <w:numPr>
          <w:ilvl w:val="0"/>
          <w:numId w:val="14"/>
        </w:numPr>
      </w:pPr>
      <w:r w:rsidRPr="005B3E54">
        <w:t>overseas travel</w:t>
      </w:r>
    </w:p>
    <w:p w14:paraId="5B5444E4" w14:textId="750C7190" w:rsidR="00E12F40" w:rsidRDefault="00E12F40" w:rsidP="00E12F40">
      <w:pPr>
        <w:pStyle w:val="Bullet1"/>
        <w:numPr>
          <w:ilvl w:val="0"/>
          <w:numId w:val="14"/>
        </w:numPr>
      </w:pPr>
      <w:r w:rsidRPr="005B3E54">
        <w:t>activities for which other Commonwealth, State, Territory or Local Government bodies have primary responsibility</w:t>
      </w:r>
    </w:p>
    <w:p w14:paraId="796DA303" w14:textId="73011F04" w:rsidR="00984814" w:rsidRDefault="00984814" w:rsidP="00E12F40">
      <w:pPr>
        <w:pStyle w:val="Bullet1"/>
        <w:numPr>
          <w:ilvl w:val="0"/>
          <w:numId w:val="14"/>
        </w:numPr>
      </w:pPr>
      <w:r>
        <w:t>loan capital or matched savings payments</w:t>
      </w:r>
    </w:p>
    <w:p w14:paraId="0D0FE2A7" w14:textId="06E5E87E" w:rsidR="00984814" w:rsidRPr="005B3E54" w:rsidRDefault="00984814" w:rsidP="00E12F40">
      <w:pPr>
        <w:pStyle w:val="Bullet1"/>
        <w:numPr>
          <w:ilvl w:val="0"/>
          <w:numId w:val="14"/>
        </w:numPr>
      </w:pPr>
      <w:proofErr w:type="gramStart"/>
      <w:r>
        <w:t>funding</w:t>
      </w:r>
      <w:proofErr w:type="gramEnd"/>
      <w:r>
        <w:t xml:space="preserve"> or establishing grants for peak bodies or other new organisations (legal entities).</w:t>
      </w:r>
    </w:p>
    <w:p w14:paraId="12BDE1B7" w14:textId="46D1C9C7" w:rsidR="00340616" w:rsidRPr="00B72EE8" w:rsidRDefault="00E12F40" w:rsidP="00A632E3">
      <w:pPr>
        <w:pStyle w:val="Heading1Numbered"/>
      </w:pPr>
      <w:r w:rsidRPr="000A271A" w:rsidDel="00E12F40">
        <w:rPr>
          <w:rFonts w:cstheme="minorHAnsi"/>
        </w:rPr>
        <w:t xml:space="preserve"> </w:t>
      </w:r>
      <w:bookmarkStart w:id="74" w:name="_Toc514151433"/>
      <w:bookmarkStart w:id="75" w:name="_Toc514680016"/>
      <w:bookmarkStart w:id="76" w:name="_Toc514923374"/>
      <w:bookmarkStart w:id="77" w:name="_Toc514151434"/>
      <w:bookmarkStart w:id="78" w:name="_Toc514680017"/>
      <w:bookmarkStart w:id="79" w:name="_Toc514923375"/>
      <w:bookmarkStart w:id="80" w:name="_Toc514151436"/>
      <w:bookmarkStart w:id="81" w:name="_Toc514680019"/>
      <w:bookmarkStart w:id="82" w:name="_Toc514923377"/>
      <w:bookmarkStart w:id="83" w:name="_Toc514151440"/>
      <w:bookmarkStart w:id="84" w:name="_Toc514680023"/>
      <w:bookmarkStart w:id="85" w:name="_Toc514923381"/>
      <w:bookmarkStart w:id="86" w:name="_Toc414983554"/>
      <w:bookmarkStart w:id="87" w:name="_Toc414983971"/>
      <w:bookmarkStart w:id="88" w:name="_Toc414984731"/>
      <w:bookmarkStart w:id="89" w:name="_Toc414984825"/>
      <w:bookmarkStart w:id="90" w:name="_Toc414984929"/>
      <w:bookmarkStart w:id="91" w:name="_Toc414985033"/>
      <w:bookmarkStart w:id="92" w:name="_Toc414985136"/>
      <w:bookmarkStart w:id="93" w:name="_Toc414985238"/>
      <w:bookmarkStart w:id="94" w:name="_Toc467773963"/>
      <w:bookmarkStart w:id="95" w:name="_Toc518477073"/>
      <w:bookmarkStart w:id="96" w:name="_Ref416444108"/>
      <w:bookmarkStart w:id="97" w:name="_Toc42177759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340616">
        <w:t>The grant s</w:t>
      </w:r>
      <w:r w:rsidR="00340616" w:rsidRPr="00B72EE8">
        <w:t xml:space="preserve">election </w:t>
      </w:r>
      <w:r w:rsidR="00340616">
        <w:t>p</w:t>
      </w:r>
      <w:r w:rsidR="00340616" w:rsidRPr="00B72EE8">
        <w:t>rocess</w:t>
      </w:r>
      <w:bookmarkEnd w:id="94"/>
      <w:bookmarkEnd w:id="95"/>
    </w:p>
    <w:p w14:paraId="263AF553" w14:textId="762BDFA3" w:rsidR="00340616" w:rsidRPr="00A632E3" w:rsidRDefault="00340616" w:rsidP="00340616">
      <w:pPr>
        <w:rPr>
          <w:rFonts w:cstheme="minorHAnsi"/>
        </w:rPr>
      </w:pPr>
      <w:r w:rsidRPr="00A632E3">
        <w:rPr>
          <w:rFonts w:cstheme="minorHAnsi"/>
        </w:rPr>
        <w:t xml:space="preserve">First we will assess your application against the eligibility criteria. Only eligible </w:t>
      </w:r>
      <w:r w:rsidRPr="002E022B">
        <w:rPr>
          <w:rFonts w:cstheme="minorHAnsi"/>
        </w:rPr>
        <w:t xml:space="preserve">applications will move to the next stage. </w:t>
      </w:r>
      <w:r w:rsidR="000D5166" w:rsidRPr="002E022B">
        <w:rPr>
          <w:rFonts w:cstheme="minorHAnsi"/>
        </w:rPr>
        <w:t xml:space="preserve"> </w:t>
      </w:r>
      <w:r w:rsidRPr="002E022B">
        <w:rPr>
          <w:rFonts w:cstheme="minorHAnsi"/>
        </w:rPr>
        <w:t>Eligible applications wi</w:t>
      </w:r>
      <w:r w:rsidRPr="00A632E3">
        <w:rPr>
          <w:rFonts w:cstheme="minorHAnsi"/>
        </w:rPr>
        <w:t xml:space="preserve">ll be considered through a </w:t>
      </w:r>
      <w:r w:rsidRPr="00E92E7D">
        <w:rPr>
          <w:rFonts w:cstheme="minorHAnsi"/>
        </w:rPr>
        <w:t>restricted non-</w:t>
      </w:r>
      <w:r w:rsidRPr="00A632E3">
        <w:rPr>
          <w:rFonts w:cstheme="minorHAnsi"/>
        </w:rPr>
        <w:t>competitive grant process.</w:t>
      </w:r>
    </w:p>
    <w:p w14:paraId="44E0150E" w14:textId="7F10689D" w:rsidR="00340616" w:rsidRPr="00A632E3" w:rsidRDefault="00340616" w:rsidP="00340616">
      <w:pPr>
        <w:rPr>
          <w:rFonts w:cstheme="minorHAnsi"/>
        </w:rPr>
      </w:pPr>
      <w:r w:rsidRPr="00A632E3">
        <w:rPr>
          <w:rFonts w:cstheme="minorHAnsi"/>
        </w:rPr>
        <w:t xml:space="preserve">We will then assess your application against the criteria set out below. Your application will be considered on its merits, based on: </w:t>
      </w:r>
    </w:p>
    <w:p w14:paraId="63948B28" w14:textId="338A4D5E" w:rsidR="00340616" w:rsidRPr="00A632E3" w:rsidRDefault="00340616" w:rsidP="00A632E3">
      <w:pPr>
        <w:pStyle w:val="Bullet1"/>
      </w:pPr>
      <w:r w:rsidRPr="00A632E3">
        <w:t>how well it meets the criteria</w:t>
      </w:r>
      <w:r w:rsidR="00D00263">
        <w:t>;</w:t>
      </w:r>
    </w:p>
    <w:p w14:paraId="0F4E07B2" w14:textId="77777777" w:rsidR="00D00263" w:rsidRDefault="00340616" w:rsidP="00E92E7D">
      <w:pPr>
        <w:pStyle w:val="Bullet1"/>
      </w:pPr>
      <w:r w:rsidRPr="00A632E3">
        <w:t>whether it provides value for money</w:t>
      </w:r>
      <w:r w:rsidR="00D00263">
        <w:t xml:space="preserve">; and </w:t>
      </w:r>
    </w:p>
    <w:p w14:paraId="083F0982" w14:textId="5BC6CC37" w:rsidR="00D00263" w:rsidRPr="00E92E7D" w:rsidRDefault="00D00263" w:rsidP="00D00263">
      <w:pPr>
        <w:pStyle w:val="Bullet1"/>
      </w:pPr>
      <w:proofErr w:type="gramStart"/>
      <w:r w:rsidRPr="00E92E7D">
        <w:t>the</w:t>
      </w:r>
      <w:proofErr w:type="gramEnd"/>
      <w:r w:rsidRPr="00E92E7D">
        <w:t xml:space="preserve"> type of organisation you are and experience you provide</w:t>
      </w:r>
      <w:r w:rsidR="00A8456E">
        <w:t>.</w:t>
      </w:r>
    </w:p>
    <w:p w14:paraId="7C1C6AD7" w14:textId="77777777" w:rsidR="00340616" w:rsidRPr="00B72EE8" w:rsidRDefault="00340616">
      <w:pPr>
        <w:pStyle w:val="Heading1Numbered"/>
      </w:pPr>
      <w:bookmarkStart w:id="98" w:name="_Toc514680026"/>
      <w:bookmarkStart w:id="99" w:name="_Toc514923384"/>
      <w:bookmarkStart w:id="100" w:name="_Toc514680027"/>
      <w:bookmarkStart w:id="101" w:name="_Toc514923385"/>
      <w:bookmarkStart w:id="102" w:name="_Toc514680028"/>
      <w:bookmarkStart w:id="103" w:name="_Toc514923386"/>
      <w:bookmarkStart w:id="104" w:name="_Ref421697890"/>
      <w:bookmarkStart w:id="105" w:name="_Ref421697892"/>
      <w:bookmarkStart w:id="106" w:name="_Toc421777600"/>
      <w:bookmarkStart w:id="107" w:name="_Toc467773964"/>
      <w:bookmarkStart w:id="108" w:name="_Toc518477074"/>
      <w:bookmarkEnd w:id="96"/>
      <w:bookmarkEnd w:id="97"/>
      <w:bookmarkEnd w:id="98"/>
      <w:bookmarkEnd w:id="99"/>
      <w:bookmarkEnd w:id="100"/>
      <w:bookmarkEnd w:id="101"/>
      <w:bookmarkEnd w:id="102"/>
      <w:bookmarkEnd w:id="103"/>
      <w:r>
        <w:lastRenderedPageBreak/>
        <w:t>The a</w:t>
      </w:r>
      <w:r w:rsidRPr="00B72EE8">
        <w:t xml:space="preserve">ssessment </w:t>
      </w:r>
      <w:r>
        <w:t>c</w:t>
      </w:r>
      <w:r w:rsidRPr="00B72EE8">
        <w:t>riteria</w:t>
      </w:r>
      <w:bookmarkEnd w:id="104"/>
      <w:bookmarkEnd w:id="105"/>
      <w:bookmarkEnd w:id="106"/>
      <w:bookmarkEnd w:id="107"/>
      <w:bookmarkEnd w:id="108"/>
    </w:p>
    <w:p w14:paraId="300FBD18" w14:textId="3A80651D" w:rsidR="00340616" w:rsidRDefault="00340616" w:rsidP="00E92E7D">
      <w:pPr>
        <w:spacing w:after="120"/>
      </w:pPr>
      <w:r w:rsidRPr="00E44E21">
        <w:t xml:space="preserve">You will need to </w:t>
      </w:r>
      <w:r w:rsidRPr="002D702A">
        <w:t xml:space="preserve">address </w:t>
      </w:r>
      <w:r w:rsidRPr="00E92E7D">
        <w:t xml:space="preserve">all of </w:t>
      </w:r>
      <w:r w:rsidRPr="002D702A">
        <w:t xml:space="preserve">the </w:t>
      </w:r>
      <w:r w:rsidRPr="00E44E21">
        <w:t xml:space="preserve">following assessment criteria in your application. The amount of detail and supporting evidence you provide in your application should be relative to the project size, complexity and grant amount requested. </w:t>
      </w:r>
    </w:p>
    <w:p w14:paraId="7EE32A98" w14:textId="77777777" w:rsidR="00FB1246" w:rsidRDefault="00FB1246" w:rsidP="00E12F40">
      <w:pPr>
        <w:spacing w:before="0" w:after="0" w:line="240" w:lineRule="auto"/>
        <w:rPr>
          <w:rFonts w:cstheme="minorHAnsi"/>
          <w:b/>
        </w:rPr>
      </w:pPr>
    </w:p>
    <w:p w14:paraId="22270562" w14:textId="6D58B34B" w:rsidR="00E12F40" w:rsidRPr="005B3E54" w:rsidRDefault="00E12F40" w:rsidP="00E12F40">
      <w:pPr>
        <w:spacing w:before="0" w:after="0" w:line="240" w:lineRule="auto"/>
        <w:rPr>
          <w:rFonts w:cstheme="minorHAnsi"/>
          <w:b/>
        </w:rPr>
      </w:pPr>
      <w:r>
        <w:rPr>
          <w:rFonts w:cstheme="minorHAnsi"/>
          <w:b/>
        </w:rPr>
        <w:t>Criterion</w:t>
      </w:r>
      <w:r w:rsidRPr="005B3E54">
        <w:rPr>
          <w:rFonts w:cstheme="minorHAnsi"/>
          <w:b/>
        </w:rPr>
        <w:t xml:space="preserve"> 1: Describe your organisation and its capacity to deliver Commonwealth Financial Counselling and Financial Capability </w:t>
      </w:r>
      <w:r>
        <w:rPr>
          <w:rFonts w:cstheme="minorHAnsi"/>
          <w:b/>
        </w:rPr>
        <w:t>– Capa</w:t>
      </w:r>
      <w:r w:rsidR="00FB7C28">
        <w:rPr>
          <w:rFonts w:cstheme="minorHAnsi"/>
          <w:b/>
        </w:rPr>
        <w:t>bil</w:t>
      </w:r>
      <w:r>
        <w:rPr>
          <w:rFonts w:cstheme="minorHAnsi"/>
          <w:b/>
        </w:rPr>
        <w:t xml:space="preserve">ity Building </w:t>
      </w:r>
      <w:r w:rsidRPr="005B3E54">
        <w:rPr>
          <w:rFonts w:cstheme="minorHAnsi"/>
          <w:b/>
        </w:rPr>
        <w:t>services</w:t>
      </w:r>
    </w:p>
    <w:p w14:paraId="4E065485" w14:textId="77777777" w:rsidR="00E12F40" w:rsidRPr="005B3E54" w:rsidRDefault="00E12F40" w:rsidP="00E12F40">
      <w:pPr>
        <w:spacing w:before="0" w:after="0" w:line="240" w:lineRule="auto"/>
        <w:rPr>
          <w:rFonts w:cstheme="minorHAnsi"/>
          <w:b/>
        </w:rPr>
      </w:pPr>
    </w:p>
    <w:p w14:paraId="63E55CF0" w14:textId="1B866C7B" w:rsidR="00E12F40" w:rsidRPr="005B3E54" w:rsidRDefault="00E12F40" w:rsidP="00E12F40">
      <w:pPr>
        <w:spacing w:before="0" w:after="0" w:line="240" w:lineRule="auto"/>
        <w:rPr>
          <w:rFonts w:asciiTheme="majorHAnsi" w:hAnsiTheme="majorHAnsi" w:cstheme="majorHAnsi"/>
        </w:rPr>
      </w:pPr>
      <w:r w:rsidRPr="005B3E54">
        <w:rPr>
          <w:rFonts w:cstheme="minorHAnsi"/>
        </w:rPr>
        <w:t>Your</w:t>
      </w:r>
      <w:r w:rsidRPr="005B3E54">
        <w:rPr>
          <w:rFonts w:asciiTheme="majorHAnsi" w:hAnsiTheme="majorHAnsi" w:cstheme="majorHAnsi"/>
        </w:rPr>
        <w:t xml:space="preserve"> response </w:t>
      </w:r>
      <w:r w:rsidR="00947C6B">
        <w:rPr>
          <w:rFonts w:asciiTheme="majorHAnsi" w:hAnsiTheme="majorHAnsi" w:cstheme="majorHAnsi"/>
        </w:rPr>
        <w:t>must</w:t>
      </w:r>
      <w:r w:rsidR="00947C6B" w:rsidRPr="005B3E54">
        <w:rPr>
          <w:rFonts w:asciiTheme="majorHAnsi" w:hAnsiTheme="majorHAnsi" w:cstheme="majorHAnsi"/>
        </w:rPr>
        <w:t xml:space="preserve"> </w:t>
      </w:r>
      <w:r w:rsidRPr="005B3E54">
        <w:rPr>
          <w:rFonts w:asciiTheme="majorHAnsi" w:hAnsiTheme="majorHAnsi" w:cstheme="majorHAnsi"/>
        </w:rPr>
        <w:t>include information about:</w:t>
      </w:r>
    </w:p>
    <w:p w14:paraId="712B4F3B" w14:textId="32D26F44" w:rsidR="00E12F40" w:rsidRPr="005B3E54" w:rsidRDefault="00E12F40" w:rsidP="00E12F40">
      <w:pPr>
        <w:pStyle w:val="Bullet1"/>
        <w:numPr>
          <w:ilvl w:val="0"/>
          <w:numId w:val="45"/>
        </w:numPr>
      </w:pPr>
      <w:proofErr w:type="gramStart"/>
      <w:r w:rsidRPr="005B3E54">
        <w:t>your</w:t>
      </w:r>
      <w:proofErr w:type="gramEnd"/>
      <w:r w:rsidRPr="005B3E54">
        <w:t xml:space="preserve"> organisation and what services it delivers (</w:t>
      </w:r>
      <w:proofErr w:type="spellStart"/>
      <w:r w:rsidRPr="005B3E54">
        <w:t>ie</w:t>
      </w:r>
      <w:proofErr w:type="spellEnd"/>
      <w:r w:rsidRPr="005B3E54">
        <w:t xml:space="preserve"> type of services, outlet locations, hours of operation, size).</w:t>
      </w:r>
    </w:p>
    <w:p w14:paraId="258B87CA" w14:textId="7BDEE976" w:rsidR="00E12F40" w:rsidRPr="005B3E54" w:rsidRDefault="00B4220E" w:rsidP="00E12F40">
      <w:pPr>
        <w:pStyle w:val="Bullet1"/>
        <w:numPr>
          <w:ilvl w:val="0"/>
          <w:numId w:val="45"/>
        </w:numPr>
      </w:pPr>
      <w:r w:rsidRPr="009F08C1">
        <w:rPr>
          <w:rFonts w:eastAsia="Arial" w:cs="Times New Roman"/>
        </w:rPr>
        <w:t xml:space="preserve">the relevant capabilities (experience, skills and qualifications) of staff who are directly and indirectly delivering </w:t>
      </w:r>
      <w:r w:rsidR="00E12F40" w:rsidRPr="005B3E54">
        <w:t>Commonwealth Financial Counselling and Financial Capability</w:t>
      </w:r>
      <w:r w:rsidR="00E12F40">
        <w:t xml:space="preserve"> – Capa</w:t>
      </w:r>
      <w:r w:rsidR="00FB7C28">
        <w:t>bil</w:t>
      </w:r>
      <w:r w:rsidR="00E12F40">
        <w:t>ity Building services</w:t>
      </w:r>
      <w:r w:rsidR="00E12F40" w:rsidRPr="005B3E54">
        <w:t>.</w:t>
      </w:r>
    </w:p>
    <w:p w14:paraId="74E525E0" w14:textId="65F1EF2C" w:rsidR="00E12F40" w:rsidRPr="005B3E54" w:rsidRDefault="00E12F40" w:rsidP="00E12F40">
      <w:pPr>
        <w:pStyle w:val="Bullet1"/>
        <w:numPr>
          <w:ilvl w:val="0"/>
          <w:numId w:val="45"/>
        </w:numPr>
      </w:pPr>
      <w:proofErr w:type="gramStart"/>
      <w:r w:rsidRPr="005B3E54">
        <w:t>development</w:t>
      </w:r>
      <w:proofErr w:type="gramEnd"/>
      <w:r w:rsidRPr="005B3E54">
        <w:t xml:space="preserve"> and training </w:t>
      </w:r>
      <w:r>
        <w:t>you will be providing</w:t>
      </w:r>
      <w:r w:rsidRPr="005B3E54">
        <w:t xml:space="preserve"> to staff to ensure they have the necessary skills, qualifications and support to deliver </w:t>
      </w:r>
      <w:r>
        <w:t xml:space="preserve">these </w:t>
      </w:r>
      <w:r w:rsidRPr="005B3E54">
        <w:t xml:space="preserve">services. </w:t>
      </w:r>
    </w:p>
    <w:p w14:paraId="150AF0D6" w14:textId="2F8E2ED0" w:rsidR="00A35BEB" w:rsidRPr="00E92E7D" w:rsidRDefault="00340616" w:rsidP="00A632E3">
      <w:pPr>
        <w:rPr>
          <w:b/>
        </w:rPr>
      </w:pPr>
      <w:r w:rsidRPr="002D702A">
        <w:rPr>
          <w:b/>
        </w:rPr>
        <w:t>Criterion 2:</w:t>
      </w:r>
      <w:r w:rsidRPr="00A15549">
        <w:t xml:space="preserve"> </w:t>
      </w:r>
      <w:r w:rsidR="003D348D" w:rsidRPr="00E92E7D">
        <w:rPr>
          <w:b/>
        </w:rPr>
        <w:t>Describe how your organisation will deliver the Commonwealth Financial Counselling and Financial Capability – Capa</w:t>
      </w:r>
      <w:r w:rsidR="00FB7C28" w:rsidRPr="00E92E7D">
        <w:rPr>
          <w:b/>
        </w:rPr>
        <w:t>bil</w:t>
      </w:r>
      <w:r w:rsidR="003D348D" w:rsidRPr="00E92E7D">
        <w:rPr>
          <w:b/>
        </w:rPr>
        <w:t>ity Building activity</w:t>
      </w:r>
    </w:p>
    <w:p w14:paraId="1421000F" w14:textId="67906616" w:rsidR="00A15549" w:rsidRPr="002D702A" w:rsidRDefault="003D348D" w:rsidP="00E92E7D">
      <w:pPr>
        <w:spacing w:before="120" w:line="240" w:lineRule="auto"/>
        <w:rPr>
          <w:rFonts w:cstheme="minorHAnsi"/>
        </w:rPr>
      </w:pPr>
      <w:r w:rsidRPr="002D702A">
        <w:rPr>
          <w:rFonts w:cstheme="minorHAnsi"/>
        </w:rPr>
        <w:t>Your</w:t>
      </w:r>
      <w:r w:rsidRPr="00E92E7D">
        <w:rPr>
          <w:rFonts w:cstheme="minorHAnsi"/>
        </w:rPr>
        <w:t xml:space="preserve"> response </w:t>
      </w:r>
      <w:r w:rsidR="00947C6B">
        <w:rPr>
          <w:rFonts w:cstheme="minorHAnsi"/>
        </w:rPr>
        <w:t>must</w:t>
      </w:r>
      <w:r w:rsidR="00947C6B" w:rsidRPr="00E92E7D">
        <w:rPr>
          <w:rFonts w:cstheme="minorHAnsi"/>
        </w:rPr>
        <w:t xml:space="preserve"> </w:t>
      </w:r>
      <w:r w:rsidRPr="00E92E7D">
        <w:rPr>
          <w:rFonts w:cstheme="minorHAnsi"/>
        </w:rPr>
        <w:t>include information about</w:t>
      </w:r>
      <w:r w:rsidR="00A15549">
        <w:rPr>
          <w:rFonts w:cstheme="minorHAnsi"/>
        </w:rPr>
        <w:t xml:space="preserve"> how your organisation will</w:t>
      </w:r>
      <w:r w:rsidRPr="00E92E7D">
        <w:rPr>
          <w:rFonts w:cstheme="minorHAnsi"/>
        </w:rPr>
        <w:t>:</w:t>
      </w:r>
    </w:p>
    <w:p w14:paraId="27EB6872" w14:textId="4A8720CA" w:rsidR="00864F40" w:rsidRDefault="00864F40" w:rsidP="00864F40">
      <w:pPr>
        <w:pStyle w:val="Bullet1"/>
      </w:pPr>
      <w:r>
        <w:t>develop and maintain online resources and information for financial counsellors, financial capability workers, and consumers;</w:t>
      </w:r>
    </w:p>
    <w:p w14:paraId="0D12B0BD" w14:textId="6081D6FB" w:rsidR="00864F40" w:rsidRDefault="00864F40" w:rsidP="00864F40">
      <w:pPr>
        <w:pStyle w:val="Bullet1"/>
      </w:pPr>
      <w:r>
        <w:t xml:space="preserve">provide a coordinated approach to organisations delivering Commonwealth Financial Counselling Helpline (CFC Helpline), under the </w:t>
      </w:r>
      <w:r w:rsidR="00D66643">
        <w:t>Financial Wellbeing and Capability</w:t>
      </w:r>
      <w:r>
        <w:t xml:space="preserve"> Activity; </w:t>
      </w:r>
    </w:p>
    <w:p w14:paraId="2112F58A" w14:textId="716DAF7D" w:rsidR="00864F40" w:rsidRDefault="00864F40" w:rsidP="00864F40">
      <w:pPr>
        <w:pStyle w:val="Bullet1"/>
      </w:pPr>
      <w:r>
        <w:t>develop</w:t>
      </w:r>
      <w:r w:rsidR="00C4456E">
        <w:t xml:space="preserve"> </w:t>
      </w:r>
      <w:r>
        <w:t>national standards and materials to ensure a consistent high-quality service provision by Helpline organisations;</w:t>
      </w:r>
    </w:p>
    <w:p w14:paraId="6F626F6B" w14:textId="0D221609" w:rsidR="00864F40" w:rsidRPr="0059427E" w:rsidRDefault="00C4456E" w:rsidP="00864F40">
      <w:pPr>
        <w:pStyle w:val="Bullet1"/>
      </w:pPr>
      <w:proofErr w:type="gramStart"/>
      <w:r>
        <w:t>s</w:t>
      </w:r>
      <w:r w:rsidR="00864F40">
        <w:t>u</w:t>
      </w:r>
      <w:r>
        <w:t>pport</w:t>
      </w:r>
      <w:proofErr w:type="gramEnd"/>
      <w:r w:rsidR="00864F40">
        <w:t xml:space="preserve"> Helpline financial counsellors, residents of a Territory and Indigenous workers (or those who provide financial counselling or financial capability predominantly to Indigenous persons) to participate in national financial counselling and financial capability conferences.</w:t>
      </w:r>
    </w:p>
    <w:p w14:paraId="00F1EC69" w14:textId="77777777" w:rsidR="00EE1A44" w:rsidRPr="00DB0937" w:rsidRDefault="00EE1A44" w:rsidP="00EE1A44">
      <w:r w:rsidRPr="00E44E21">
        <w:t xml:space="preserve">All assessment criteria are given equal weighting. </w:t>
      </w:r>
    </w:p>
    <w:p w14:paraId="5C071AC3" w14:textId="77777777" w:rsidR="00EE1A44" w:rsidRPr="00B72EE8" w:rsidRDefault="00EE1A44" w:rsidP="00EE1A44">
      <w:r w:rsidRPr="00E44E21">
        <w:t>The application form includes word limits</w:t>
      </w:r>
      <w:r>
        <w:t xml:space="preserve"> – up to 900 words per criteria</w:t>
      </w:r>
      <w:r w:rsidRPr="00E44E21">
        <w:t>.</w:t>
      </w:r>
      <w:r>
        <w:t xml:space="preserve"> The application form will not accept words beyond this limit.</w:t>
      </w:r>
    </w:p>
    <w:p w14:paraId="228E82D1" w14:textId="77777777" w:rsidR="00340616" w:rsidRPr="00B72EE8" w:rsidRDefault="00340616" w:rsidP="00A632E3">
      <w:pPr>
        <w:pStyle w:val="Heading1Numbered"/>
      </w:pPr>
      <w:bookmarkStart w:id="109" w:name="_Toc514151448"/>
      <w:bookmarkStart w:id="110" w:name="_Toc514680034"/>
      <w:bookmarkStart w:id="111" w:name="_Toc514923392"/>
      <w:bookmarkStart w:id="112" w:name="_Toc421777611"/>
      <w:bookmarkStart w:id="113" w:name="_Toc467773965"/>
      <w:bookmarkStart w:id="114" w:name="_Toc518477075"/>
      <w:bookmarkStart w:id="115" w:name="_Toc421777601"/>
      <w:bookmarkEnd w:id="109"/>
      <w:bookmarkEnd w:id="110"/>
      <w:bookmarkEnd w:id="111"/>
      <w:r>
        <w:lastRenderedPageBreak/>
        <w:t>The grant application p</w:t>
      </w:r>
      <w:r w:rsidRPr="00B72EE8">
        <w:t>rocess</w:t>
      </w:r>
      <w:bookmarkEnd w:id="112"/>
      <w:bookmarkEnd w:id="113"/>
      <w:bookmarkEnd w:id="114"/>
    </w:p>
    <w:p w14:paraId="503D6311" w14:textId="77777777" w:rsidR="00340616" w:rsidRPr="009D325B" w:rsidRDefault="00340616" w:rsidP="00177FFB">
      <w:pPr>
        <w:pStyle w:val="Heading2Numbered"/>
        <w:ind w:left="567"/>
      </w:pPr>
      <w:bookmarkStart w:id="116" w:name="_Toc421777612"/>
      <w:bookmarkStart w:id="117" w:name="_Toc467773966"/>
      <w:bookmarkStart w:id="118" w:name="_Toc518477076"/>
      <w:r w:rsidRPr="009D325B">
        <w:t>Overview of application process</w:t>
      </w:r>
      <w:bookmarkEnd w:id="116"/>
      <w:bookmarkEnd w:id="117"/>
      <w:bookmarkEnd w:id="118"/>
    </w:p>
    <w:p w14:paraId="100CA11F" w14:textId="79D8A966" w:rsidR="00EE1A44" w:rsidRDefault="00EE1A44" w:rsidP="00EE1A44">
      <w:r>
        <w:t>You</w:t>
      </w:r>
      <w:r w:rsidRPr="00B72EE8">
        <w:t xml:space="preserve"> </w:t>
      </w:r>
      <w:r>
        <w:t>must</w:t>
      </w:r>
      <w:r w:rsidRPr="00B72EE8">
        <w:t xml:space="preserve"> read these grant guidelines, </w:t>
      </w:r>
      <w:r w:rsidRPr="0028767B">
        <w:t>the application form</w:t>
      </w:r>
      <w:r w:rsidR="00FB1246">
        <w:t xml:space="preserve"> </w:t>
      </w:r>
      <w:r w:rsidRPr="00B72EE8">
        <w:t xml:space="preserve">and the </w:t>
      </w:r>
      <w:r w:rsidRPr="0028767B">
        <w:t xml:space="preserve">draft grant agreement </w:t>
      </w:r>
      <w:r>
        <w:t>terms and conditions before you</w:t>
      </w:r>
      <w:r w:rsidRPr="00B72EE8">
        <w:t xml:space="preserve"> submit an application. </w:t>
      </w:r>
    </w:p>
    <w:p w14:paraId="4C5DD26A" w14:textId="77777777" w:rsidR="00B559DE" w:rsidRDefault="00B559DE" w:rsidP="00FB1246">
      <w:pPr>
        <w:suppressAutoHyphens w:val="0"/>
        <w:rPr>
          <w:rFonts w:ascii="Times New Roman" w:hAnsi="Times New Roman" w:cs="Times New Roman"/>
          <w:sz w:val="24"/>
          <w:szCs w:val="24"/>
          <w:lang w:eastAsia="en-AU"/>
        </w:rPr>
      </w:pPr>
      <w:r>
        <w:t xml:space="preserve">If more than one application is received, the latest accepted application will be progressed.  </w:t>
      </w:r>
    </w:p>
    <w:p w14:paraId="021E6039" w14:textId="77777777" w:rsidR="00EE1A44" w:rsidRDefault="00EE1A44" w:rsidP="00EE1A44">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625E09E0" w14:textId="284DCFC9" w:rsidR="00EE1A44" w:rsidRDefault="00EE1A44" w:rsidP="00EE1A44">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 otherwise your application will not progress to assessment</w:t>
      </w:r>
      <w:r w:rsidRPr="00B72EE8">
        <w:t xml:space="preserve">. </w:t>
      </w:r>
      <w:r w:rsidR="00177FFB">
        <w:t xml:space="preserve"> </w:t>
      </w:r>
      <w:r>
        <w:t>Please</w:t>
      </w:r>
      <w:r w:rsidRPr="00B72EE8">
        <w:t xml:space="preserve"> complete each section of the application </w:t>
      </w:r>
      <w:r>
        <w:t xml:space="preserve">form </w:t>
      </w:r>
      <w:r w:rsidRPr="00B72EE8">
        <w:t xml:space="preserve">and </w:t>
      </w:r>
      <w:r>
        <w:t xml:space="preserve">make sure you provide the information we have requested.  </w:t>
      </w:r>
    </w:p>
    <w:p w14:paraId="4189F169" w14:textId="601BDF0E" w:rsidR="00EE1A44" w:rsidRDefault="00EE1A44" w:rsidP="00EE1A44">
      <w:r>
        <w:t>Please</w:t>
      </w:r>
      <w:r w:rsidRPr="00B72EE8">
        <w:t xml:space="preserve"> keep a copy of your applica</w:t>
      </w:r>
      <w:r>
        <w:t>tion and any supporting papers</w:t>
      </w:r>
      <w:r w:rsidRPr="00B72EE8">
        <w:t xml:space="preserve">. </w:t>
      </w:r>
    </w:p>
    <w:p w14:paraId="7F364F69" w14:textId="77777777" w:rsidR="00340616" w:rsidRPr="00B72EE8" w:rsidRDefault="00340616" w:rsidP="00177FFB">
      <w:pPr>
        <w:pStyle w:val="Heading2Numbered"/>
        <w:ind w:left="567"/>
      </w:pPr>
      <w:bookmarkStart w:id="119" w:name="_Toc514151451"/>
      <w:bookmarkStart w:id="120" w:name="_Toc514680037"/>
      <w:bookmarkStart w:id="121" w:name="_Toc514923395"/>
      <w:bookmarkStart w:id="122" w:name="_Toc514151452"/>
      <w:bookmarkStart w:id="123" w:name="_Toc514680038"/>
      <w:bookmarkStart w:id="124" w:name="_Toc514923396"/>
      <w:bookmarkStart w:id="125" w:name="_Toc514151453"/>
      <w:bookmarkStart w:id="126" w:name="_Toc514680039"/>
      <w:bookmarkStart w:id="127" w:name="_Toc514923397"/>
      <w:bookmarkStart w:id="128" w:name="_Toc514151454"/>
      <w:bookmarkStart w:id="129" w:name="_Toc514680040"/>
      <w:bookmarkStart w:id="130" w:name="_Toc514923398"/>
      <w:bookmarkStart w:id="131" w:name="_Toc514151456"/>
      <w:bookmarkStart w:id="132" w:name="_Toc514680042"/>
      <w:bookmarkStart w:id="133" w:name="_Toc514923400"/>
      <w:bookmarkStart w:id="134" w:name="_Toc514151457"/>
      <w:bookmarkStart w:id="135" w:name="_Toc514680043"/>
      <w:bookmarkStart w:id="136" w:name="_Toc514923401"/>
      <w:bookmarkStart w:id="137" w:name="_Toc467773967"/>
      <w:bookmarkStart w:id="138" w:name="_Toc518477077"/>
      <w:bookmarkStart w:id="139" w:name="_Toc421777613"/>
      <w:bookmarkStart w:id="140" w:name="_Ref421787098"/>
      <w:bookmarkStart w:id="141" w:name="_Ref422127559"/>
      <w:bookmarkStart w:id="142" w:name="_Ref42212850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Application p</w:t>
      </w:r>
      <w:r w:rsidRPr="00B72EE8">
        <w:t xml:space="preserve">rocess </w:t>
      </w:r>
      <w:r>
        <w:t>t</w:t>
      </w:r>
      <w:r w:rsidRPr="00B72EE8">
        <w:t>iming</w:t>
      </w:r>
      <w:bookmarkEnd w:id="137"/>
      <w:bookmarkEnd w:id="138"/>
      <w:r w:rsidRPr="00B72EE8">
        <w:t xml:space="preserve"> </w:t>
      </w:r>
      <w:bookmarkEnd w:id="139"/>
      <w:bookmarkEnd w:id="140"/>
      <w:bookmarkEnd w:id="141"/>
      <w:bookmarkEnd w:id="142"/>
    </w:p>
    <w:p w14:paraId="258C4DBA" w14:textId="77777777" w:rsidR="004F6159" w:rsidRDefault="006338CC" w:rsidP="006338CC">
      <w:r w:rsidRPr="0089786A">
        <w:t xml:space="preserve">Submit your application by the closing time and date below. </w:t>
      </w:r>
    </w:p>
    <w:p w14:paraId="128E9E42" w14:textId="77777777" w:rsidR="006338CC" w:rsidRPr="0089786A" w:rsidRDefault="006338CC" w:rsidP="006338CC">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0459FA9C" w14:textId="77777777" w:rsidR="006338CC" w:rsidRPr="0089786A" w:rsidRDefault="006338CC" w:rsidP="006338CC">
      <w:pPr>
        <w:numPr>
          <w:ilvl w:val="0"/>
          <w:numId w:val="18"/>
        </w:numPr>
        <w:suppressAutoHyphens w:val="0"/>
        <w:spacing w:before="0" w:after="0" w:line="240" w:lineRule="auto"/>
        <w:ind w:left="714" w:hanging="357"/>
      </w:pPr>
      <w:r w:rsidRPr="0089786A">
        <w:t>Community Gra</w:t>
      </w:r>
      <w:r w:rsidR="004F1C5D">
        <w:t>nts Hub infrastructure failures</w:t>
      </w:r>
    </w:p>
    <w:p w14:paraId="0AEFE1BB" w14:textId="77777777" w:rsidR="006338CC" w:rsidRPr="0089786A" w:rsidRDefault="004F1C5D" w:rsidP="006338CC">
      <w:pPr>
        <w:numPr>
          <w:ilvl w:val="0"/>
          <w:numId w:val="18"/>
        </w:numPr>
        <w:suppressAutoHyphens w:val="0"/>
        <w:spacing w:before="0" w:after="0" w:line="240" w:lineRule="auto"/>
        <w:ind w:left="714" w:hanging="357"/>
      </w:pPr>
      <w:r>
        <w:t>natural disasters</w:t>
      </w:r>
    </w:p>
    <w:p w14:paraId="2FB3791C" w14:textId="77777777" w:rsidR="006338CC" w:rsidRPr="0089786A" w:rsidRDefault="006338CC" w:rsidP="006338CC">
      <w:pPr>
        <w:numPr>
          <w:ilvl w:val="0"/>
          <w:numId w:val="18"/>
        </w:numPr>
        <w:suppressAutoHyphens w:val="0"/>
        <w:spacing w:before="0" w:after="0" w:line="240" w:lineRule="auto"/>
        <w:ind w:left="714" w:hanging="357"/>
      </w:pPr>
      <w:r w:rsidRPr="0089786A">
        <w:t>power outages affecting the ability of the applicant to submit their application by the deadline, and</w:t>
      </w:r>
    </w:p>
    <w:p w14:paraId="1339E72A" w14:textId="77777777" w:rsidR="006338CC" w:rsidRPr="0089786A" w:rsidRDefault="006338CC" w:rsidP="006338CC">
      <w:pPr>
        <w:numPr>
          <w:ilvl w:val="0"/>
          <w:numId w:val="18"/>
        </w:numPr>
        <w:suppressAutoHyphens w:val="0"/>
        <w:spacing w:before="0" w:after="0" w:line="240" w:lineRule="auto"/>
        <w:ind w:left="714" w:hanging="357"/>
      </w:pPr>
      <w:proofErr w:type="gramStart"/>
      <w:r w:rsidRPr="0089786A">
        <w:t>death</w:t>
      </w:r>
      <w:proofErr w:type="gramEnd"/>
      <w:r w:rsidRPr="0089786A">
        <w:t xml:space="preserve"> or disability of key personnel.</w:t>
      </w:r>
    </w:p>
    <w:p w14:paraId="2F65EE61" w14:textId="77777777" w:rsidR="006338CC" w:rsidRPr="00E51BD6" w:rsidRDefault="006338CC" w:rsidP="006338CC">
      <w:r w:rsidRPr="0089786A">
        <w:t xml:space="preserve">Information on the Community Grants Hub </w:t>
      </w:r>
      <w:hyperlink r:id="rId20" w:tooltip="late application policy" w:history="1">
        <w:r w:rsidRPr="0089786A">
          <w:rPr>
            <w:rStyle w:val="Hyperlink"/>
          </w:rPr>
          <w:t>late application policy</w:t>
        </w:r>
      </w:hyperlink>
      <w:r w:rsidRPr="0089786A">
        <w:t xml:space="preserve"> is available on the </w:t>
      </w:r>
      <w:hyperlink r:id="rId21" w:tooltip="late application policy" w:history="1">
        <w:r w:rsidRPr="0089786A">
          <w:rPr>
            <w:rStyle w:val="Hyperlink"/>
          </w:rPr>
          <w:t>Community Grants Hub</w:t>
        </w:r>
      </w:hyperlink>
      <w:r w:rsidRPr="0089786A">
        <w:t xml:space="preserve"> website.</w:t>
      </w:r>
    </w:p>
    <w:p w14:paraId="61291B65" w14:textId="23CD75B9" w:rsidR="00EE1A44" w:rsidRDefault="00EE1A44" w:rsidP="00EE1A44">
      <w:pPr>
        <w:spacing w:before="200"/>
      </w:pPr>
      <w:r>
        <w:t xml:space="preserve">The </w:t>
      </w:r>
      <w:r w:rsidR="00C1699E">
        <w:t xml:space="preserve">expected </w:t>
      </w:r>
      <w:r>
        <w:t>commencement date for the g</w:t>
      </w:r>
      <w:r w:rsidRPr="00B72EE8">
        <w:t xml:space="preserve">rant </w:t>
      </w:r>
      <w:r>
        <w:t>activities</w:t>
      </w:r>
      <w:r w:rsidRPr="00B72EE8">
        <w:t xml:space="preserve"> is </w:t>
      </w:r>
      <w:r w:rsidRPr="008E754C">
        <w:t xml:space="preserve">1 January 2019 </w:t>
      </w:r>
      <w:r>
        <w:t>and the</w:t>
      </w:r>
      <w:r w:rsidRPr="00B72EE8">
        <w:t xml:space="preserve"> </w:t>
      </w:r>
      <w:r w:rsidR="00F65D74">
        <w:t xml:space="preserve">expected </w:t>
      </w:r>
      <w:r>
        <w:t>completion</w:t>
      </w:r>
      <w:r w:rsidRPr="00B72EE8">
        <w:t xml:space="preserve"> date is </w:t>
      </w:r>
      <w:r>
        <w:t>30 June 2023</w:t>
      </w:r>
      <w:r w:rsidRPr="008E754C">
        <w:t xml:space="preserve">. </w:t>
      </w:r>
      <w:r w:rsidR="00C1699E">
        <w:t xml:space="preserve"> </w:t>
      </w:r>
      <w:r>
        <w:t xml:space="preserve">You must spend the grant by </w:t>
      </w:r>
      <w:r w:rsidRPr="00B72EE8">
        <w:t>the end date</w:t>
      </w:r>
      <w:r w:rsidR="00F65D74">
        <w:t>, any unspent funding must be returned to the Commonwealth</w:t>
      </w:r>
      <w:r w:rsidRPr="00B72EE8">
        <w:t>.</w:t>
      </w:r>
      <w:r>
        <w:t xml:space="preserve">  </w:t>
      </w:r>
    </w:p>
    <w:p w14:paraId="0EBA82B5" w14:textId="77777777" w:rsidR="0054078D" w:rsidRDefault="0054078D" w:rsidP="0054078D">
      <w:pPr>
        <w:pStyle w:val="Caption"/>
        <w:keepNext/>
      </w:pPr>
      <w:bookmarkStart w:id="143" w:name="_Toc467773968"/>
      <w:r w:rsidRPr="0054078D">
        <w:rPr>
          <w:bCs/>
          <w:iCs w:val="0"/>
        </w:rPr>
        <w:t>Table 1: Expected timing for this grant opportunity</w:t>
      </w:r>
      <w:bookmarkEnd w:id="143"/>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272E0625"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243518EC" w14:textId="77777777" w:rsidR="0054078D" w:rsidRDefault="0054078D" w:rsidP="00E44E21">
            <w:pPr>
              <w:pStyle w:val="TableText"/>
            </w:pPr>
            <w:r>
              <w:t>Activity</w:t>
            </w:r>
          </w:p>
        </w:tc>
        <w:tc>
          <w:tcPr>
            <w:tcW w:w="3402" w:type="dxa"/>
          </w:tcPr>
          <w:p w14:paraId="2409CDEF" w14:textId="77777777" w:rsidR="0054078D" w:rsidRDefault="0054078D" w:rsidP="0054078D">
            <w:pPr>
              <w:pStyle w:val="TableText"/>
              <w:jc w:val="center"/>
            </w:pPr>
            <w:r>
              <w:t>Timeframe</w:t>
            </w:r>
          </w:p>
        </w:tc>
      </w:tr>
      <w:tr w:rsidR="0054078D" w14:paraId="6F9B4E07" w14:textId="77777777" w:rsidTr="0054078D">
        <w:tc>
          <w:tcPr>
            <w:tcW w:w="5387" w:type="dxa"/>
          </w:tcPr>
          <w:p w14:paraId="2BAE7563" w14:textId="77777777" w:rsidR="0054078D" w:rsidRPr="000D60B1" w:rsidRDefault="0054078D" w:rsidP="0054078D">
            <w:pPr>
              <w:pStyle w:val="TableText"/>
            </w:pPr>
            <w:r>
              <w:t>Application period</w:t>
            </w:r>
            <w:r w:rsidRPr="000D60B1">
              <w:t xml:space="preserve"> </w:t>
            </w:r>
          </w:p>
        </w:tc>
        <w:tc>
          <w:tcPr>
            <w:tcW w:w="3402" w:type="dxa"/>
          </w:tcPr>
          <w:p w14:paraId="5EDA166D" w14:textId="1172ECA0" w:rsidR="0054078D" w:rsidRPr="0054078D" w:rsidRDefault="0054078D" w:rsidP="00363214">
            <w:pPr>
              <w:pStyle w:val="TableText"/>
            </w:pPr>
            <w:r w:rsidRPr="0054078D">
              <w:t xml:space="preserve">Open: </w:t>
            </w:r>
            <w:r w:rsidR="00363214">
              <w:t xml:space="preserve">12 July </w:t>
            </w:r>
            <w:r w:rsidR="00C1699E">
              <w:t>2018</w:t>
            </w:r>
            <w:r w:rsidR="00C1699E" w:rsidRPr="0054078D">
              <w:t xml:space="preserve"> </w:t>
            </w:r>
            <w:r w:rsidRPr="0054078D">
              <w:br/>
              <w:t xml:space="preserve">Close: </w:t>
            </w:r>
            <w:r w:rsidR="00363214">
              <w:t xml:space="preserve">2pm AEST </w:t>
            </w:r>
            <w:r w:rsidR="00DE5F0F">
              <w:t>8</w:t>
            </w:r>
            <w:r w:rsidR="00363214">
              <w:t xml:space="preserve"> August </w:t>
            </w:r>
            <w:r w:rsidR="00C1699E">
              <w:t>2018</w:t>
            </w:r>
          </w:p>
        </w:tc>
      </w:tr>
      <w:tr w:rsidR="0054078D" w14:paraId="0DB3C6DD" w14:textId="77777777" w:rsidTr="0054078D">
        <w:tc>
          <w:tcPr>
            <w:tcW w:w="5387" w:type="dxa"/>
          </w:tcPr>
          <w:p w14:paraId="340D5B1B" w14:textId="647DF669" w:rsidR="0054078D" w:rsidRPr="00B72EE8" w:rsidRDefault="0054078D" w:rsidP="0054078D">
            <w:pPr>
              <w:pStyle w:val="TableText"/>
            </w:pPr>
            <w:r w:rsidRPr="00B72EE8">
              <w:t xml:space="preserve">Assessment of </w:t>
            </w:r>
            <w:r w:rsidRPr="00DC1B34">
              <w:t>application</w:t>
            </w:r>
          </w:p>
        </w:tc>
        <w:tc>
          <w:tcPr>
            <w:tcW w:w="3402" w:type="dxa"/>
          </w:tcPr>
          <w:p w14:paraId="7F6CD852" w14:textId="6D564F5F" w:rsidR="0054078D" w:rsidRPr="0054078D" w:rsidRDefault="0054078D" w:rsidP="002D702A">
            <w:pPr>
              <w:pStyle w:val="TableText"/>
            </w:pPr>
            <w:r w:rsidRPr="0054078D">
              <w:t>4 weeks</w:t>
            </w:r>
          </w:p>
        </w:tc>
      </w:tr>
      <w:tr w:rsidR="0054078D" w14:paraId="2CF8D2BE" w14:textId="77777777" w:rsidTr="0054078D">
        <w:tc>
          <w:tcPr>
            <w:tcW w:w="5387" w:type="dxa"/>
          </w:tcPr>
          <w:p w14:paraId="44E0D68A" w14:textId="77777777" w:rsidR="0054078D" w:rsidRPr="00B72EE8" w:rsidRDefault="0054078D" w:rsidP="0054078D">
            <w:pPr>
              <w:pStyle w:val="TableText"/>
            </w:pPr>
            <w:r w:rsidRPr="00B72EE8">
              <w:t>Approval of outcomes of selection process</w:t>
            </w:r>
          </w:p>
        </w:tc>
        <w:tc>
          <w:tcPr>
            <w:tcW w:w="3402" w:type="dxa"/>
          </w:tcPr>
          <w:p w14:paraId="00934633" w14:textId="232FED65" w:rsidR="0054078D" w:rsidRPr="0054078D" w:rsidRDefault="0054078D" w:rsidP="002D702A">
            <w:pPr>
              <w:pStyle w:val="TableText"/>
            </w:pPr>
            <w:r w:rsidRPr="0054078D">
              <w:t xml:space="preserve">4 weeks </w:t>
            </w:r>
          </w:p>
        </w:tc>
      </w:tr>
      <w:tr w:rsidR="0054078D" w14:paraId="02F36048" w14:textId="77777777" w:rsidTr="0054078D">
        <w:tc>
          <w:tcPr>
            <w:tcW w:w="5387" w:type="dxa"/>
          </w:tcPr>
          <w:p w14:paraId="60B9900D" w14:textId="61D5D2FB" w:rsidR="0054078D" w:rsidRPr="00B72EE8" w:rsidRDefault="0054078D" w:rsidP="0054078D">
            <w:pPr>
              <w:pStyle w:val="TableText"/>
            </w:pPr>
            <w:r>
              <w:lastRenderedPageBreak/>
              <w:t>N</w:t>
            </w:r>
            <w:r w:rsidRPr="00B72EE8">
              <w:t xml:space="preserve">egotiations </w:t>
            </w:r>
            <w:r>
              <w:t>and</w:t>
            </w:r>
            <w:r w:rsidRPr="00B72EE8">
              <w:t xml:space="preserve"> </w:t>
            </w:r>
            <w:r>
              <w:t>a</w:t>
            </w:r>
            <w:r w:rsidRPr="00B72EE8">
              <w:t xml:space="preserve">ward </w:t>
            </w:r>
            <w:r>
              <w:t>of</w:t>
            </w:r>
            <w:r w:rsidRPr="00B72EE8">
              <w:t xml:space="preserve"> grant agreement</w:t>
            </w:r>
          </w:p>
        </w:tc>
        <w:tc>
          <w:tcPr>
            <w:tcW w:w="3402" w:type="dxa"/>
          </w:tcPr>
          <w:p w14:paraId="49D81D93" w14:textId="5EB245B6" w:rsidR="0054078D" w:rsidRPr="0054078D" w:rsidRDefault="00B559DE" w:rsidP="002D702A">
            <w:pPr>
              <w:pStyle w:val="TableText"/>
            </w:pPr>
            <w:r>
              <w:t xml:space="preserve">Up to 6 </w:t>
            </w:r>
            <w:r w:rsidR="0054078D" w:rsidRPr="0054078D">
              <w:t xml:space="preserve">weeks </w:t>
            </w:r>
          </w:p>
        </w:tc>
      </w:tr>
      <w:tr w:rsidR="0054078D" w14:paraId="52632AD8" w14:textId="77777777" w:rsidTr="0054078D">
        <w:tc>
          <w:tcPr>
            <w:tcW w:w="5387" w:type="dxa"/>
          </w:tcPr>
          <w:p w14:paraId="4DC14F65" w14:textId="43ADFA3C" w:rsidR="0054078D" w:rsidRPr="00B72EE8" w:rsidRDefault="0054078D" w:rsidP="0054078D">
            <w:pPr>
              <w:pStyle w:val="TableText"/>
            </w:pPr>
            <w:r w:rsidRPr="00B72EE8">
              <w:t>Notification to unsuccessful applicant</w:t>
            </w:r>
          </w:p>
        </w:tc>
        <w:tc>
          <w:tcPr>
            <w:tcW w:w="3402" w:type="dxa"/>
          </w:tcPr>
          <w:p w14:paraId="0C0FBA1A" w14:textId="50CF9B46" w:rsidR="0054078D" w:rsidRPr="0054078D" w:rsidRDefault="0054078D" w:rsidP="002D702A">
            <w:pPr>
              <w:pStyle w:val="TableText"/>
            </w:pPr>
            <w:r w:rsidRPr="0054078D">
              <w:t>2 weeks</w:t>
            </w:r>
          </w:p>
        </w:tc>
      </w:tr>
      <w:tr w:rsidR="0054078D" w14:paraId="58DD2201" w14:textId="77777777" w:rsidTr="0054078D">
        <w:tc>
          <w:tcPr>
            <w:tcW w:w="5387" w:type="dxa"/>
          </w:tcPr>
          <w:p w14:paraId="416F9189" w14:textId="77777777" w:rsidR="0054078D" w:rsidRDefault="0054078D" w:rsidP="0054078D">
            <w:pPr>
              <w:pStyle w:val="TableText"/>
            </w:pPr>
            <w:r>
              <w:t>Activity commences</w:t>
            </w:r>
          </w:p>
        </w:tc>
        <w:tc>
          <w:tcPr>
            <w:tcW w:w="3402" w:type="dxa"/>
          </w:tcPr>
          <w:p w14:paraId="702F1247" w14:textId="4784B747" w:rsidR="0054078D" w:rsidRPr="0054078D" w:rsidRDefault="00C1699E" w:rsidP="0054078D">
            <w:pPr>
              <w:pStyle w:val="TableText"/>
            </w:pPr>
            <w:r>
              <w:t>1 January 2019</w:t>
            </w:r>
          </w:p>
        </w:tc>
      </w:tr>
      <w:tr w:rsidR="0054078D" w14:paraId="1A2FA308"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366E7614" w14:textId="77777777" w:rsidR="0054078D" w:rsidRPr="00B72EE8" w:rsidRDefault="0054078D" w:rsidP="0054078D">
            <w:pPr>
              <w:pStyle w:val="TableText"/>
            </w:pPr>
            <w:r>
              <w:t>E</w:t>
            </w:r>
            <w:r w:rsidRPr="00B72EE8">
              <w:t>nd date</w:t>
            </w:r>
          </w:p>
        </w:tc>
        <w:tc>
          <w:tcPr>
            <w:tcW w:w="3402" w:type="dxa"/>
          </w:tcPr>
          <w:p w14:paraId="46B49E74" w14:textId="4977F962" w:rsidR="0054078D" w:rsidRPr="0054078D" w:rsidRDefault="00C1699E" w:rsidP="0054078D">
            <w:pPr>
              <w:pStyle w:val="TableText"/>
            </w:pPr>
            <w:r>
              <w:t>30 June 2023</w:t>
            </w:r>
          </w:p>
        </w:tc>
      </w:tr>
    </w:tbl>
    <w:p w14:paraId="308E2A0C" w14:textId="77777777" w:rsidR="00E95846" w:rsidRDefault="00E95846" w:rsidP="00E95846">
      <w:pPr>
        <w:rPr>
          <w:rStyle w:val="BookTitle"/>
          <w:i w:val="0"/>
          <w:iCs w:val="0"/>
          <w:smallCaps w:val="0"/>
        </w:rPr>
      </w:pPr>
      <w:bookmarkStart w:id="144" w:name="_Toc421777614"/>
      <w:bookmarkStart w:id="145" w:name="_Toc433641169"/>
      <w:bookmarkStart w:id="146" w:name="_Toc467773969"/>
    </w:p>
    <w:p w14:paraId="5DBF185B" w14:textId="77777777" w:rsidR="00340616" w:rsidRPr="00B72EE8" w:rsidRDefault="00340616" w:rsidP="00C1699E">
      <w:pPr>
        <w:pStyle w:val="Heading2Numbered"/>
        <w:ind w:left="567"/>
      </w:pPr>
      <w:bookmarkStart w:id="147" w:name="_Toc514151459"/>
      <w:bookmarkStart w:id="148" w:name="_Toc514680045"/>
      <w:bookmarkStart w:id="149" w:name="_Toc514923403"/>
      <w:bookmarkStart w:id="150" w:name="_Toc518477078"/>
      <w:bookmarkEnd w:id="147"/>
      <w:bookmarkEnd w:id="148"/>
      <w:bookmarkEnd w:id="149"/>
      <w:r>
        <w:t>Completing the grant a</w:t>
      </w:r>
      <w:r w:rsidRPr="00B72EE8">
        <w:t>pplication</w:t>
      </w:r>
      <w:bookmarkEnd w:id="144"/>
      <w:bookmarkEnd w:id="145"/>
      <w:bookmarkEnd w:id="146"/>
      <w:bookmarkEnd w:id="150"/>
    </w:p>
    <w:p w14:paraId="62C53433" w14:textId="7858BDC5"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22" w:history="1">
        <w:proofErr w:type="spellStart"/>
        <w:r w:rsidR="00031305" w:rsidRPr="00A92A2E">
          <w:rPr>
            <w:rStyle w:val="Hyperlink"/>
            <w:rFonts w:cstheme="minorBidi"/>
          </w:rPr>
          <w:t>GrantConnect</w:t>
        </w:r>
        <w:proofErr w:type="spellEnd"/>
      </w:hyperlink>
      <w:r w:rsidR="00031305">
        <w:t xml:space="preserve"> </w:t>
      </w:r>
      <w:r w:rsidR="00031305">
        <w:rPr>
          <w:rStyle w:val="Hyperlink"/>
          <w:rFonts w:cstheme="minorBidi"/>
          <w:u w:val="none"/>
        </w:rPr>
        <w:t xml:space="preserve">website.  The </w:t>
      </w:r>
      <w:r w:rsidR="00424CE4">
        <w:rPr>
          <w:rStyle w:val="Hyperlink"/>
          <w:rFonts w:cstheme="minorBidi"/>
          <w:u w:val="none"/>
        </w:rPr>
        <w:t>a</w:t>
      </w:r>
      <w:r w:rsidR="00031305">
        <w:rPr>
          <w:rStyle w:val="Hyperlink"/>
          <w:rFonts w:cstheme="minorBidi"/>
          <w:u w:val="none"/>
        </w:rPr>
        <w:t xml:space="preserve">pplication </w:t>
      </w:r>
      <w:r w:rsidR="00424CE4">
        <w:rPr>
          <w:rStyle w:val="Hyperlink"/>
          <w:rFonts w:cstheme="minorBidi"/>
          <w:u w:val="none"/>
        </w:rPr>
        <w:t>f</w:t>
      </w:r>
      <w:r w:rsidR="00031305">
        <w:rPr>
          <w:rStyle w:val="Hyperlink"/>
          <w:rFonts w:cstheme="minorBidi"/>
          <w:u w:val="none"/>
        </w:rPr>
        <w:t xml:space="preserve">orm can only be accessed </w:t>
      </w:r>
      <w:r w:rsidR="00A92A2E">
        <w:t xml:space="preserve">by </w:t>
      </w:r>
      <w:r w:rsidR="00F67D0B">
        <w:t>the invited organisation</w:t>
      </w:r>
      <w:r w:rsidR="00A92A2E">
        <w:t xml:space="preserve"> </w:t>
      </w:r>
      <w:r w:rsidR="00031305">
        <w:t xml:space="preserve">for this grant opportunity.  The </w:t>
      </w:r>
      <w:r w:rsidRPr="00103A95">
        <w:t xml:space="preserve">application form includes help information. </w:t>
      </w:r>
    </w:p>
    <w:p w14:paraId="4270624B" w14:textId="7036A263" w:rsidR="00984B3C" w:rsidRPr="004475DB" w:rsidRDefault="00984B3C" w:rsidP="00984B3C">
      <w:r w:rsidRPr="004475DB">
        <w:t xml:space="preserve">This is an online application form that you must submit electronically. </w:t>
      </w:r>
      <w:r w:rsidR="00C1699E">
        <w:t xml:space="preserve"> </w:t>
      </w:r>
      <w:r w:rsidRPr="004475DB">
        <w:t xml:space="preserve">If you have any technical difficulties please contact 1800 020 283 or email </w:t>
      </w:r>
      <w:hyperlink r:id="rId23" w:history="1">
        <w:r w:rsidRPr="004475DB">
          <w:rPr>
            <w:rStyle w:val="Hyperlink"/>
          </w:rPr>
          <w:t>support@communitygrants.gov.au</w:t>
        </w:r>
      </w:hyperlink>
      <w:r w:rsidRPr="004475DB">
        <w:t>.</w:t>
      </w:r>
    </w:p>
    <w:p w14:paraId="6C77A1F2" w14:textId="711DB2E3" w:rsidR="00984B3C" w:rsidRPr="004475DB" w:rsidRDefault="00984B3C" w:rsidP="00984B3C">
      <w:r w:rsidRPr="004475DB">
        <w:t xml:space="preserve">The </w:t>
      </w:r>
      <w:r w:rsidRPr="00E92E7D">
        <w:rPr>
          <w:rStyle w:val="highlightedtextChar"/>
          <w:b w:val="0"/>
          <w:color w:val="auto"/>
        </w:rPr>
        <w:t>Community Grants Hub</w:t>
      </w:r>
      <w:r w:rsidRPr="002D702A">
        <w:t xml:space="preserve"> will </w:t>
      </w:r>
      <w:r w:rsidRPr="004475DB">
        <w:t xml:space="preserve">not provide application forms or accept applications for this grant opportunity by fax or mail. </w:t>
      </w:r>
    </w:p>
    <w:p w14:paraId="448CC4CA" w14:textId="4DCF296B" w:rsidR="00984B3C" w:rsidRDefault="00984B3C" w:rsidP="00984B3C">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rsidR="00875A16">
        <w:t>,</w:t>
      </w:r>
      <w:r w:rsidRPr="004475DB" w:rsidDel="00D505A5">
        <w:t xml:space="preserve"> accurate and submitted</w:t>
      </w:r>
      <w:r w:rsidRPr="004475DB">
        <w:t xml:space="preserve"> </w:t>
      </w:r>
      <w:r w:rsidR="00875A16">
        <w:t xml:space="preserve">by the closing date and time </w:t>
      </w:r>
      <w:r w:rsidRPr="004475DB" w:rsidDel="00D505A5">
        <w:t>in accordance with the</w:t>
      </w:r>
      <w:r w:rsidRPr="004475DB">
        <w:t>se</w:t>
      </w:r>
      <w:r w:rsidRPr="004475DB" w:rsidDel="00D505A5">
        <w:t xml:space="preserve"> </w:t>
      </w:r>
      <w:r w:rsidR="00F14F7B">
        <w:t>grant opportunity g</w:t>
      </w:r>
      <w:r w:rsidRPr="004475DB">
        <w:t>uidelines.</w:t>
      </w:r>
    </w:p>
    <w:p w14:paraId="6766473B" w14:textId="77777777" w:rsidR="00065224" w:rsidRDefault="003A4403" w:rsidP="003A4403">
      <w:r w:rsidRPr="004475DB">
        <w:t xml:space="preserve">If you find a mistake in your application after it has been submitted, you should contact the Community Grants Hub by phone on 1800 020 283 or by email at </w:t>
      </w:r>
      <w:hyperlink r:id="rId24" w:history="1">
        <w:r w:rsidRPr="004475DB">
          <w:rPr>
            <w:rStyle w:val="Hyperlink"/>
          </w:rPr>
          <w:t>support@communitygrants.gov.au</w:t>
        </w:r>
      </w:hyperlink>
      <w:r w:rsidRPr="004475DB">
        <w:t xml:space="preserve"> straight away. </w:t>
      </w:r>
    </w:p>
    <w:p w14:paraId="59C79812" w14:textId="547BC295" w:rsidR="003A4403" w:rsidRPr="00B72EE8" w:rsidDel="00D505A5" w:rsidRDefault="003A4403" w:rsidP="003A4403">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xml:space="preserve">, nor requests from </w:t>
      </w:r>
      <w:r w:rsidR="00CF005E">
        <w:t xml:space="preserve">the </w:t>
      </w:r>
      <w:r w:rsidRPr="004475DB">
        <w:t xml:space="preserve">applicant to correct </w:t>
      </w:r>
      <w:r w:rsidR="00CF005E">
        <w:t xml:space="preserve">the </w:t>
      </w:r>
      <w:r w:rsidRPr="004475DB">
        <w:t>application</w:t>
      </w:r>
      <w:r w:rsidRPr="004475DB" w:rsidDel="00D505A5">
        <w:t xml:space="preserve"> after the closing time.</w:t>
      </w:r>
    </w:p>
    <w:p w14:paraId="623B5CCA" w14:textId="3EB01C68" w:rsidR="00340616" w:rsidRPr="00B72EE8" w:rsidRDefault="00340616" w:rsidP="00C1699E">
      <w:pPr>
        <w:pStyle w:val="Heading2Numbered"/>
        <w:ind w:left="567"/>
      </w:pPr>
      <w:bookmarkStart w:id="151" w:name="_Toc514151486"/>
      <w:bookmarkStart w:id="152" w:name="_Toc514680072"/>
      <w:bookmarkStart w:id="153" w:name="_Toc514923430"/>
      <w:bookmarkStart w:id="154" w:name="_Toc514151493"/>
      <w:bookmarkStart w:id="155" w:name="_Toc514680079"/>
      <w:bookmarkStart w:id="156" w:name="_Toc514923437"/>
      <w:bookmarkStart w:id="157" w:name="_Toc514151498"/>
      <w:bookmarkStart w:id="158" w:name="_Toc514680084"/>
      <w:bookmarkStart w:id="159" w:name="_Toc514923442"/>
      <w:bookmarkStart w:id="160" w:name="_Toc514151499"/>
      <w:bookmarkStart w:id="161" w:name="_Toc514680085"/>
      <w:bookmarkStart w:id="162" w:name="_Toc514923443"/>
      <w:bookmarkStart w:id="163" w:name="_Toc514151502"/>
      <w:bookmarkStart w:id="164" w:name="_Toc514680088"/>
      <w:bookmarkStart w:id="165" w:name="_Toc514923446"/>
      <w:bookmarkStart w:id="166" w:name="_Toc384307739"/>
      <w:bookmarkStart w:id="167" w:name="_Toc384307810"/>
      <w:bookmarkStart w:id="168" w:name="_Toc389141038"/>
      <w:bookmarkStart w:id="169" w:name="_Toc433641171"/>
      <w:bookmarkStart w:id="170" w:name="_Toc467773972"/>
      <w:bookmarkStart w:id="171" w:name="_Toc518477079"/>
      <w:bookmarkStart w:id="172" w:name="_Toc421777609"/>
      <w:bookmarkEnd w:id="11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B72EE8">
        <w:t xml:space="preserve">Questions during the application </w:t>
      </w:r>
      <w:bookmarkEnd w:id="166"/>
      <w:bookmarkEnd w:id="167"/>
      <w:bookmarkEnd w:id="168"/>
      <w:bookmarkEnd w:id="169"/>
      <w:r>
        <w:t>process</w:t>
      </w:r>
      <w:bookmarkEnd w:id="170"/>
      <w:bookmarkEnd w:id="171"/>
    </w:p>
    <w:p w14:paraId="752B963F" w14:textId="65D23CDD" w:rsidR="00E96706" w:rsidRDefault="003357B0" w:rsidP="00340616">
      <w:r>
        <w:t>Only</w:t>
      </w:r>
      <w:r w:rsidR="00F67D0B">
        <w:t xml:space="preserve"> the </w:t>
      </w:r>
      <w:r w:rsidR="00C1699E">
        <w:t>invite</w:t>
      </w:r>
      <w:r w:rsidR="00F67D0B">
        <w:t>d organisation</w:t>
      </w:r>
      <w:r>
        <w:t xml:space="preserve"> questions will be responded to during the application period, please call the Community Grants Hub on 1800 020 283 or email to </w:t>
      </w:r>
      <w:hyperlink r:id="rId25"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Answers to questions</w:t>
      </w:r>
      <w:r w:rsidR="00EB4889" w:rsidRPr="00EA3E47">
        <w:t xml:space="preserve"> </w:t>
      </w:r>
      <w:r w:rsidR="00EB4889">
        <w:t xml:space="preserve">will </w:t>
      </w:r>
      <w:r w:rsidR="00EB4889" w:rsidRPr="00EA3E47">
        <w:t xml:space="preserve">be posted on </w:t>
      </w:r>
      <w:hyperlink r:id="rId26" w:history="1">
        <w:proofErr w:type="spellStart"/>
        <w:r w:rsidR="00EB4889" w:rsidRPr="00BC0C62">
          <w:rPr>
            <w:rStyle w:val="Hyperlink"/>
            <w:rFonts w:cstheme="minorBidi"/>
          </w:rPr>
          <w:t>GrantConnect</w:t>
        </w:r>
        <w:proofErr w:type="spellEnd"/>
      </w:hyperlink>
      <w:r w:rsidR="00EB4889">
        <w:rPr>
          <w:rStyle w:val="Hyperlink"/>
          <w:rFonts w:cstheme="minorBidi"/>
        </w:rPr>
        <w:t xml:space="preserve"> </w:t>
      </w:r>
      <w:r w:rsidR="00EB4889" w:rsidRPr="00E92E7D">
        <w:rPr>
          <w:rStyle w:val="Hyperlink"/>
          <w:rFonts w:cstheme="minorBidi"/>
          <w:u w:val="none"/>
        </w:rPr>
        <w:t xml:space="preserve">and only accessible by </w:t>
      </w:r>
      <w:r w:rsidR="00F67D0B" w:rsidRPr="00E92E7D">
        <w:rPr>
          <w:rStyle w:val="Hyperlink"/>
          <w:rFonts w:cstheme="minorBidi"/>
          <w:u w:val="none"/>
        </w:rPr>
        <w:t xml:space="preserve">the invited </w:t>
      </w:r>
      <w:r w:rsidR="00F67D0B" w:rsidRPr="00F67D0B">
        <w:rPr>
          <w:rStyle w:val="Hyperlink"/>
          <w:rFonts w:cstheme="minorBidi"/>
          <w:u w:val="none"/>
        </w:rPr>
        <w:t>organisation</w:t>
      </w:r>
      <w:r w:rsidR="00F67D0B">
        <w:rPr>
          <w:rStyle w:val="Hyperlink"/>
          <w:rFonts w:cstheme="minorBidi"/>
        </w:rPr>
        <w:t>.</w:t>
      </w:r>
    </w:p>
    <w:p w14:paraId="242FD8EA" w14:textId="0EC21CBF" w:rsidR="00023327" w:rsidRDefault="00023327" w:rsidP="00023327">
      <w:r>
        <w:t xml:space="preserve">The question period will close at </w:t>
      </w:r>
      <w:r w:rsidR="008612F0">
        <w:t>5.00pm</w:t>
      </w:r>
      <w:r w:rsidRPr="0082468B">
        <w:t xml:space="preserve"> </w:t>
      </w:r>
      <w:r w:rsidRPr="00F71A05">
        <w:t>AEST</w:t>
      </w:r>
      <w:r>
        <w:t xml:space="preserve"> on </w:t>
      </w:r>
      <w:r w:rsidR="00F71A05">
        <w:t>15 August 2018</w:t>
      </w:r>
      <w:r>
        <w:t xml:space="preserve">  Following this time, only questions relating to using and/or submitting the application form will be answered.</w:t>
      </w:r>
    </w:p>
    <w:p w14:paraId="3A598C3B" w14:textId="77777777" w:rsidR="00340616" w:rsidRPr="00B72EE8" w:rsidRDefault="00340616" w:rsidP="0054078D">
      <w:pPr>
        <w:pStyle w:val="Heading1Numbered"/>
      </w:pPr>
      <w:bookmarkStart w:id="173" w:name="_Toc467773974"/>
      <w:bookmarkStart w:id="174" w:name="_Toc518477080"/>
      <w:bookmarkEnd w:id="172"/>
      <w:r>
        <w:lastRenderedPageBreak/>
        <w:t>Assessment of grant ap</w:t>
      </w:r>
      <w:r w:rsidRPr="00B72EE8">
        <w:t>plications</w:t>
      </w:r>
      <w:bookmarkEnd w:id="173"/>
      <w:bookmarkEnd w:id="174"/>
    </w:p>
    <w:p w14:paraId="18659092" w14:textId="77777777" w:rsidR="00340616" w:rsidRPr="00B72EE8" w:rsidRDefault="00340616" w:rsidP="00285FDD">
      <w:pPr>
        <w:pStyle w:val="Heading2Numbered"/>
        <w:ind w:left="567"/>
      </w:pPr>
      <w:bookmarkStart w:id="175" w:name="_Toc467773975"/>
      <w:bookmarkStart w:id="176" w:name="_Toc518477081"/>
      <w:bookmarkStart w:id="177" w:name="_Toc421777603"/>
      <w:r w:rsidRPr="00B72EE8">
        <w:t xml:space="preserve">Who will assess </w:t>
      </w:r>
      <w:r>
        <w:t>applications?</w:t>
      </w:r>
      <w:bookmarkEnd w:id="175"/>
      <w:bookmarkEnd w:id="176"/>
      <w:r>
        <w:t xml:space="preserve"> </w:t>
      </w:r>
      <w:bookmarkEnd w:id="177"/>
    </w:p>
    <w:p w14:paraId="193F3B8B" w14:textId="438E0928" w:rsidR="00B559DE" w:rsidRDefault="00B559DE" w:rsidP="00595CDB">
      <w:r w:rsidRPr="00B559DE">
        <w:t>An assessment team will assess your application if it</w:t>
      </w:r>
      <w:r w:rsidR="00595CDB">
        <w:t xml:space="preserve"> is eligible and compliant. The </w:t>
      </w:r>
      <w:r w:rsidRPr="00B559DE">
        <w:t xml:space="preserve">assessment team will be comprised of departmental </w:t>
      </w:r>
      <w:r w:rsidR="00595CDB">
        <w:t xml:space="preserve">staff. The assessment team will </w:t>
      </w:r>
      <w:r w:rsidRPr="00B559DE">
        <w:t>undertake training to ensure consistent assessment of the application.</w:t>
      </w:r>
    </w:p>
    <w:p w14:paraId="405C9085" w14:textId="77777777" w:rsidR="007E52EA" w:rsidRPr="00A75BF8" w:rsidRDefault="007E52EA" w:rsidP="007E52EA">
      <w:r w:rsidRPr="00A75BF8">
        <w:t>If the selection process identifies unintentional errors in your application, you may be contacted to correct or explain the information.</w:t>
      </w:r>
    </w:p>
    <w:p w14:paraId="3A210FC4" w14:textId="77777777" w:rsidR="007E52EA" w:rsidRPr="00A75BF8" w:rsidRDefault="007E52EA" w:rsidP="007E52EA">
      <w:pPr>
        <w:pStyle w:val="CABNETParagraphAtt"/>
        <w:spacing w:after="240"/>
        <w:rPr>
          <w:rFonts w:cs="Times New Roman"/>
        </w:rPr>
      </w:pPr>
      <w:r w:rsidRPr="00A75BF8">
        <w:rPr>
          <w:rFonts w:cs="Times New Roman"/>
        </w:rPr>
        <w:t xml:space="preserve">An expert panel comprised of </w:t>
      </w:r>
      <w:r>
        <w:rPr>
          <w:rFonts w:cs="Times New Roman"/>
        </w:rPr>
        <w:t xml:space="preserve">Department of Social Services </w:t>
      </w:r>
      <w:r w:rsidRPr="00B97BDE">
        <w:rPr>
          <w:rFonts w:cs="Times New Roman"/>
        </w:rPr>
        <w:t xml:space="preserve">staff </w:t>
      </w:r>
      <w:r w:rsidRPr="00A75BF8">
        <w:rPr>
          <w:rFonts w:cs="Times New Roman"/>
        </w:rPr>
        <w:t xml:space="preserve">will then review all ranked applications to inform the final recommendations for funding. </w:t>
      </w:r>
    </w:p>
    <w:p w14:paraId="216696B1" w14:textId="77777777" w:rsidR="007E52EA" w:rsidRPr="00A75BF8" w:rsidRDefault="007E52EA" w:rsidP="007E52EA">
      <w:pPr>
        <w:spacing w:before="120"/>
      </w:pPr>
      <w:r w:rsidRPr="00A75BF8">
        <w:t xml:space="preserve">The </w:t>
      </w:r>
      <w:r>
        <w:t>e</w:t>
      </w:r>
      <w:r w:rsidRPr="00A75BF8">
        <w:t xml:space="preserve">xpert </w:t>
      </w:r>
      <w:r>
        <w:t>p</w:t>
      </w:r>
      <w:r w:rsidRPr="00A75BF8">
        <w:t>anel will make recommendations having regards to:</w:t>
      </w:r>
    </w:p>
    <w:p w14:paraId="77AFB886" w14:textId="77777777" w:rsidR="007E52EA" w:rsidRPr="00A75BF8" w:rsidRDefault="007E52EA" w:rsidP="007E52EA">
      <w:pPr>
        <w:spacing w:before="120"/>
      </w:pPr>
      <w:r w:rsidRPr="00A75BF8">
        <w:t>•</w:t>
      </w:r>
      <w:r w:rsidRPr="00A75BF8">
        <w:tab/>
      </w:r>
      <w:proofErr w:type="gramStart"/>
      <w:r w:rsidRPr="00A75BF8">
        <w:t>overall</w:t>
      </w:r>
      <w:proofErr w:type="gramEnd"/>
      <w:r w:rsidRPr="00A75BF8">
        <w:t xml:space="preserve"> objectives for each Program</w:t>
      </w:r>
    </w:p>
    <w:p w14:paraId="2B46DDAC" w14:textId="77777777" w:rsidR="007E52EA" w:rsidRPr="00A75BF8" w:rsidRDefault="007E52EA" w:rsidP="007E52EA">
      <w:pPr>
        <w:spacing w:before="120"/>
      </w:pPr>
      <w:r w:rsidRPr="00A75BF8">
        <w:t>•</w:t>
      </w:r>
      <w:r w:rsidRPr="00A75BF8">
        <w:tab/>
      </w:r>
      <w:proofErr w:type="gramStart"/>
      <w:r w:rsidRPr="00A75BF8">
        <w:t>conformance</w:t>
      </w:r>
      <w:proofErr w:type="gramEnd"/>
      <w:r w:rsidRPr="00A75BF8">
        <w:t xml:space="preserve"> with eligibility criteria</w:t>
      </w:r>
    </w:p>
    <w:p w14:paraId="58B2E606" w14:textId="77777777" w:rsidR="007E52EA" w:rsidRPr="00A75BF8" w:rsidRDefault="007E52EA" w:rsidP="007E52EA">
      <w:pPr>
        <w:spacing w:before="120"/>
      </w:pPr>
      <w:r w:rsidRPr="00A75BF8">
        <w:t>•</w:t>
      </w:r>
      <w:r w:rsidRPr="00A75BF8">
        <w:tab/>
      </w:r>
      <w:proofErr w:type="gramStart"/>
      <w:r w:rsidRPr="00A75BF8">
        <w:t>distribution</w:t>
      </w:r>
      <w:proofErr w:type="gramEnd"/>
      <w:r w:rsidRPr="00A75BF8">
        <w:t xml:space="preserve"> of providers across all locations</w:t>
      </w:r>
    </w:p>
    <w:p w14:paraId="622F6C83" w14:textId="77777777" w:rsidR="007E52EA" w:rsidRPr="00A75BF8" w:rsidRDefault="007E52EA" w:rsidP="007E52EA">
      <w:pPr>
        <w:spacing w:before="120"/>
      </w:pPr>
      <w:r w:rsidRPr="00A75BF8">
        <w:t>•</w:t>
      </w:r>
      <w:r w:rsidRPr="00A75BF8">
        <w:tab/>
      </w:r>
      <w:proofErr w:type="gramStart"/>
      <w:r w:rsidRPr="00A75BF8">
        <w:t>how</w:t>
      </w:r>
      <w:proofErr w:type="gramEnd"/>
      <w:r w:rsidRPr="00A75BF8">
        <w:t xml:space="preserve"> the services and/or project will be delivered</w:t>
      </w:r>
    </w:p>
    <w:p w14:paraId="5062D2DA" w14:textId="77777777" w:rsidR="007E52EA" w:rsidRPr="00A75BF8" w:rsidRDefault="007E52EA" w:rsidP="007E52EA">
      <w:pPr>
        <w:spacing w:before="120"/>
      </w:pPr>
      <w:r w:rsidRPr="00A75BF8">
        <w:t>•</w:t>
      </w:r>
      <w:r w:rsidRPr="00A75BF8">
        <w:tab/>
      </w:r>
      <w:proofErr w:type="gramStart"/>
      <w:r w:rsidRPr="00A75BF8">
        <w:t>value</w:t>
      </w:r>
      <w:proofErr w:type="gramEnd"/>
      <w:r w:rsidRPr="00A75BF8">
        <w:t xml:space="preserve"> for money</w:t>
      </w:r>
    </w:p>
    <w:p w14:paraId="7A3FD94C" w14:textId="77777777" w:rsidR="007E52EA" w:rsidRPr="00A75BF8" w:rsidRDefault="007E52EA" w:rsidP="007E52EA">
      <w:pPr>
        <w:spacing w:before="120"/>
      </w:pPr>
      <w:r w:rsidRPr="00A75BF8">
        <w:t>•</w:t>
      </w:r>
      <w:r w:rsidRPr="00A75BF8">
        <w:tab/>
      </w:r>
      <w:proofErr w:type="gramStart"/>
      <w:r>
        <w:t>whether</w:t>
      </w:r>
      <w:proofErr w:type="gramEnd"/>
      <w:r>
        <w:t xml:space="preserve"> there is </w:t>
      </w:r>
      <w:r w:rsidRPr="00A75BF8">
        <w:t>duplication with other Commonwealth/State/Territory</w:t>
      </w:r>
      <w:r>
        <w:t xml:space="preserve"> </w:t>
      </w:r>
      <w:r w:rsidRPr="00A75BF8">
        <w:t>government programs/service delivery.</w:t>
      </w:r>
    </w:p>
    <w:p w14:paraId="6932B294" w14:textId="594F664F" w:rsidR="00B559DE" w:rsidRPr="00A75BF8" w:rsidRDefault="007E52EA" w:rsidP="00595CDB">
      <w:r w:rsidRPr="00A75BF8">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14:paraId="42C1C362" w14:textId="77777777" w:rsidR="00340616" w:rsidRPr="00647D91" w:rsidRDefault="00340616" w:rsidP="002D702A">
      <w:pPr>
        <w:pStyle w:val="Heading2Numbered"/>
        <w:ind w:left="567"/>
      </w:pPr>
      <w:bookmarkStart w:id="178" w:name="_Toc467773976"/>
      <w:bookmarkStart w:id="179" w:name="_Toc518477082"/>
      <w:r w:rsidRPr="00647D91">
        <w:t>Who will approve grants?</w:t>
      </w:r>
      <w:bookmarkEnd w:id="178"/>
      <w:bookmarkEnd w:id="179"/>
    </w:p>
    <w:p w14:paraId="016E8C6F" w14:textId="2179A3C9" w:rsidR="00A04EFF" w:rsidRPr="00103A95" w:rsidRDefault="00A04EFF" w:rsidP="00A04EFF">
      <w:r w:rsidRPr="00103A95">
        <w:t xml:space="preserve">The </w:t>
      </w:r>
      <w:r>
        <w:t>e</w:t>
      </w:r>
      <w:r w:rsidRPr="00647D91">
        <w:t xml:space="preserve">xpert </w:t>
      </w:r>
      <w:r>
        <w:t>p</w:t>
      </w:r>
      <w:r w:rsidRPr="00647D91">
        <w:t>anel</w:t>
      </w:r>
      <w:r w:rsidRPr="00647D91">
        <w:rPr>
          <w:color w:val="745B00" w:themeColor="accent3" w:themeShade="80"/>
        </w:rPr>
        <w:t xml:space="preserve"> </w:t>
      </w:r>
      <w:r w:rsidRPr="00103A95">
        <w:t xml:space="preserve">will make recommendations to the </w:t>
      </w:r>
      <w:r w:rsidRPr="003E6B2C">
        <w:t>Branch Manager</w:t>
      </w:r>
      <w:r w:rsidR="00A94C62">
        <w:t xml:space="preserve"> responsible for the Financial Wellbeing and Capability Activity</w:t>
      </w:r>
      <w:r w:rsidRPr="003E6B2C">
        <w:t xml:space="preserve">. </w:t>
      </w:r>
      <w:r w:rsidR="002D702A">
        <w:t xml:space="preserve"> </w:t>
      </w:r>
      <w:r w:rsidRPr="00E7779C">
        <w:t xml:space="preserve">The </w:t>
      </w:r>
      <w:r w:rsidRPr="003E6B2C">
        <w:t xml:space="preserve">Branch Manager </w:t>
      </w:r>
      <w:r w:rsidRPr="00103A95">
        <w:t>will make the final decision to approve a grant.</w:t>
      </w:r>
    </w:p>
    <w:p w14:paraId="090E2C42" w14:textId="77777777" w:rsidR="00A04EFF" w:rsidRPr="00103A95" w:rsidRDefault="00A04EFF" w:rsidP="00A04EFF">
      <w:r w:rsidRPr="00103A95">
        <w:t xml:space="preserve">The </w:t>
      </w:r>
      <w:r w:rsidRPr="008D5DA8">
        <w:t>Branch Manager</w:t>
      </w:r>
      <w:r>
        <w:t>’s</w:t>
      </w:r>
      <w:r w:rsidRPr="00103A95" w:rsidDel="00E7779C">
        <w:rPr>
          <w:b/>
          <w:color w:val="745B00" w:themeColor="accent3" w:themeShade="80"/>
        </w:rPr>
        <w:t xml:space="preserve"> </w:t>
      </w:r>
      <w:r w:rsidRPr="00103A95">
        <w:t>decision is final in all matters, including:</w:t>
      </w:r>
    </w:p>
    <w:p w14:paraId="7FC4A0B6" w14:textId="109A046B" w:rsidR="00A04EFF" w:rsidRPr="00103A95" w:rsidRDefault="00A04EFF" w:rsidP="00A04EFF">
      <w:pPr>
        <w:pStyle w:val="Bullet1"/>
        <w:numPr>
          <w:ilvl w:val="0"/>
          <w:numId w:val="45"/>
        </w:numPr>
      </w:pPr>
      <w:r w:rsidRPr="00103A95">
        <w:t>the approval of the grant</w:t>
      </w:r>
    </w:p>
    <w:p w14:paraId="1CCE9736" w14:textId="10B2785B" w:rsidR="002D702A" w:rsidRPr="00103A95" w:rsidRDefault="00A04EFF" w:rsidP="00A04EFF">
      <w:pPr>
        <w:pStyle w:val="Bullet1"/>
        <w:numPr>
          <w:ilvl w:val="0"/>
          <w:numId w:val="45"/>
        </w:numPr>
      </w:pPr>
      <w:r w:rsidRPr="00103A95">
        <w:t>the grant funding amount to be awarded</w:t>
      </w:r>
    </w:p>
    <w:p w14:paraId="4FFD69DC" w14:textId="77777777" w:rsidR="00A04EFF" w:rsidRPr="00103A95" w:rsidRDefault="00A04EFF" w:rsidP="00A04EFF">
      <w:r w:rsidRPr="00103A95">
        <w:t xml:space="preserve">The </w:t>
      </w:r>
      <w:r w:rsidRPr="003E6B2C">
        <w:t xml:space="preserve">Branch Manager </w:t>
      </w:r>
      <w:r w:rsidRPr="00103A95">
        <w:t xml:space="preserve">must not approve funding if they reasonably consider the program funding available across financial years will not accommodate the funding offer, and/or the application does not represent value for money. </w:t>
      </w:r>
    </w:p>
    <w:p w14:paraId="47D2FEC7" w14:textId="77777777" w:rsidR="00A04EFF" w:rsidRPr="002E0C03" w:rsidRDefault="00A04EFF" w:rsidP="00A04EFF">
      <w:r w:rsidRPr="00103A95">
        <w:t>There is no appeal mechanism for decisions to approve or not approve a grant.</w:t>
      </w:r>
    </w:p>
    <w:p w14:paraId="1941484C" w14:textId="77777777" w:rsidR="00340616" w:rsidRPr="00B72EE8" w:rsidRDefault="00340616" w:rsidP="0054078D">
      <w:pPr>
        <w:pStyle w:val="Heading1Numbered"/>
      </w:pPr>
      <w:bookmarkStart w:id="180" w:name="_Toc514151514"/>
      <w:bookmarkStart w:id="181" w:name="_Toc514680100"/>
      <w:bookmarkStart w:id="182" w:name="_Toc514923458"/>
      <w:bookmarkStart w:id="183" w:name="_Toc467773977"/>
      <w:bookmarkStart w:id="184" w:name="_Toc518477083"/>
      <w:bookmarkEnd w:id="180"/>
      <w:bookmarkEnd w:id="181"/>
      <w:bookmarkEnd w:id="182"/>
      <w:r w:rsidRPr="00B72EE8">
        <w:lastRenderedPageBreak/>
        <w:t>Notification of application outcomes</w:t>
      </w:r>
      <w:bookmarkEnd w:id="183"/>
      <w:bookmarkEnd w:id="184"/>
    </w:p>
    <w:p w14:paraId="787F3BA3" w14:textId="0A6465C0"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00A04EFF" w:rsidRPr="008D5DA8">
        <w:t>Branch Manager</w:t>
      </w:r>
      <w:r w:rsidR="00A94C62">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14:paraId="441FC69D" w14:textId="77777777" w:rsidR="00340616" w:rsidRPr="00B72EE8" w:rsidRDefault="00340616" w:rsidP="002D702A">
      <w:pPr>
        <w:pStyle w:val="Heading2Numbered"/>
        <w:ind w:left="567"/>
      </w:pPr>
      <w:bookmarkStart w:id="185" w:name="_Toc467773978"/>
      <w:bookmarkStart w:id="186" w:name="_Toc518477084"/>
      <w:r w:rsidRPr="00B72EE8">
        <w:t xml:space="preserve">Feedback on </w:t>
      </w:r>
      <w:r>
        <w:t xml:space="preserve">your </w:t>
      </w:r>
      <w:r w:rsidRPr="00B72EE8">
        <w:t>application</w:t>
      </w:r>
      <w:bookmarkEnd w:id="185"/>
      <w:bookmarkEnd w:id="186"/>
    </w:p>
    <w:p w14:paraId="5942138E" w14:textId="53C00B82" w:rsidR="00F67D0B" w:rsidRDefault="00604176" w:rsidP="00831521">
      <w:r>
        <w:t>Individual feedback will not be provided for this grant opportunity.</w:t>
      </w:r>
    </w:p>
    <w:p w14:paraId="150711C0" w14:textId="77777777" w:rsidR="00340616" w:rsidRDefault="00340616" w:rsidP="0054078D">
      <w:pPr>
        <w:pStyle w:val="Heading1Numbered"/>
      </w:pPr>
      <w:bookmarkStart w:id="187" w:name="_Toc421777622"/>
      <w:bookmarkStart w:id="188" w:name="_Toc433641183"/>
      <w:r>
        <w:t xml:space="preserve"> </w:t>
      </w:r>
      <w:bookmarkStart w:id="189" w:name="_Toc467773979"/>
      <w:bookmarkStart w:id="190" w:name="_Toc518477085"/>
      <w:r>
        <w:t>Successful grant applications</w:t>
      </w:r>
      <w:bookmarkEnd w:id="189"/>
      <w:bookmarkEnd w:id="190"/>
    </w:p>
    <w:p w14:paraId="4B40B68F" w14:textId="77777777" w:rsidR="00340616" w:rsidRDefault="00340616" w:rsidP="00892C8B">
      <w:pPr>
        <w:pStyle w:val="Heading2Numbered"/>
        <w:ind w:left="709" w:hanging="709"/>
      </w:pPr>
      <w:bookmarkStart w:id="191" w:name="_Toc467773980"/>
      <w:bookmarkStart w:id="192" w:name="_Toc518477086"/>
      <w:r>
        <w:t xml:space="preserve">The </w:t>
      </w:r>
      <w:r w:rsidRPr="0054078D">
        <w:t>grant agreement</w:t>
      </w:r>
      <w:bookmarkEnd w:id="191"/>
      <w:bookmarkEnd w:id="192"/>
    </w:p>
    <w:bookmarkEnd w:id="187"/>
    <w:bookmarkEnd w:id="188"/>
    <w:p w14:paraId="7EA725BE" w14:textId="4221BC56" w:rsidR="00340616" w:rsidRDefault="00704535" w:rsidP="00340616">
      <w:r>
        <w:t xml:space="preserve">If you are successful and you choose to accept a grant offer, </w:t>
      </w:r>
      <w:r w:rsidR="00340616" w:rsidRPr="00103A95">
        <w:t>you must enter into a legally binding grant agreement with the Commonwealth represented by</w:t>
      </w:r>
      <w:r w:rsidR="00340616" w:rsidRPr="00103A95">
        <w:rPr>
          <w:rStyle w:val="highlightedtextChar"/>
        </w:rPr>
        <w:t xml:space="preserve"> </w:t>
      </w:r>
      <w:r w:rsidR="00A04EFF" w:rsidRPr="003E6B2C">
        <w:rPr>
          <w:rStyle w:val="highlightedtextChar"/>
          <w:b w:val="0"/>
          <w:color w:val="auto"/>
        </w:rPr>
        <w:t>Department of Social Services</w:t>
      </w:r>
      <w:r w:rsidR="00DB0937" w:rsidRPr="00DB0937">
        <w:rPr>
          <w:rStyle w:val="highlightedtextChar"/>
          <w:color w:val="auto"/>
        </w:rPr>
        <w:t>.</w:t>
      </w:r>
      <w:r w:rsidR="00340616" w:rsidRPr="00DB0937">
        <w:rPr>
          <w:rStyle w:val="highlightedtextChar"/>
          <w:color w:val="auto"/>
        </w:rPr>
        <w:t xml:space="preserve"> </w:t>
      </w:r>
      <w:r w:rsidR="002D702A">
        <w:rPr>
          <w:rStyle w:val="highlightedtextChar"/>
          <w:color w:val="auto"/>
        </w:rPr>
        <w:t xml:space="preserve"> </w:t>
      </w:r>
      <w:r w:rsidR="00DB0937">
        <w:rPr>
          <w:rStyle w:val="highlightedtextChar"/>
          <w:b w:val="0"/>
          <w:color w:val="auto"/>
        </w:rPr>
        <w:t>Th</w:t>
      </w:r>
      <w:r w:rsidR="00DB0937" w:rsidRPr="00DB0937">
        <w:rPr>
          <w:rStyle w:val="highlightedtextChar"/>
          <w:b w:val="0"/>
          <w:color w:val="auto"/>
        </w:rPr>
        <w:t>e</w:t>
      </w:r>
      <w:r w:rsidR="00340616" w:rsidRPr="00103A95">
        <w:rPr>
          <w:rStyle w:val="highlightedtextChar"/>
        </w:rPr>
        <w:t xml:space="preserve"> </w:t>
      </w:r>
      <w:r w:rsidR="00A04EFF" w:rsidRPr="003E6B2C">
        <w:rPr>
          <w:rStyle w:val="highlightedtextChar"/>
          <w:b w:val="0"/>
          <w:color w:val="auto"/>
        </w:rPr>
        <w:t>Department of Social Services</w:t>
      </w:r>
      <w:r w:rsidR="00A04EFF" w:rsidRPr="003E6B2C">
        <w:rPr>
          <w:rStyle w:val="highlightedtextChar"/>
          <w:color w:val="auto"/>
        </w:rPr>
        <w:t xml:space="preserve"> </w:t>
      </w:r>
      <w:r w:rsidR="00340616" w:rsidRPr="00103A95">
        <w:t xml:space="preserve">will use the </w:t>
      </w:r>
      <w:hyperlink r:id="rId27" w:history="1">
        <w:r w:rsidR="00340616" w:rsidRPr="00103A95">
          <w:rPr>
            <w:rStyle w:val="Hyperlink"/>
            <w:i/>
            <w:u w:val="none"/>
          </w:rPr>
          <w:t xml:space="preserve">Commonwealth </w:t>
        </w:r>
        <w:r w:rsidR="00340616" w:rsidRPr="00366C3F">
          <w:rPr>
            <w:rStyle w:val="Hyperlink"/>
            <w:i/>
            <w:u w:val="none"/>
          </w:rPr>
          <w:t>Standard</w:t>
        </w:r>
        <w:r w:rsidR="00340616" w:rsidRPr="00103A95">
          <w:rPr>
            <w:rStyle w:val="Hyperlink"/>
            <w:b/>
            <w:i/>
            <w:u w:val="none"/>
          </w:rPr>
          <w:t xml:space="preserve"> </w:t>
        </w:r>
        <w:r w:rsidR="00340616" w:rsidRPr="00103A95">
          <w:rPr>
            <w:rStyle w:val="Hyperlink"/>
            <w:i/>
            <w:u w:val="none"/>
          </w:rPr>
          <w:t>Grant Agreement</w:t>
        </w:r>
      </w:hyperlink>
      <w:r w:rsidR="00340616" w:rsidRPr="00366C3F">
        <w:rPr>
          <w:rStyle w:val="highlightedtextChar"/>
          <w:b w:val="0"/>
          <w:color w:val="auto"/>
        </w:rPr>
        <w:t>.</w:t>
      </w:r>
      <w:r w:rsidR="00340616" w:rsidRPr="00103A95">
        <w:t xml:space="preserve"> </w:t>
      </w:r>
      <w:r w:rsidR="002D702A">
        <w:t xml:space="preserve"> </w:t>
      </w:r>
      <w:r w:rsidR="00340616" w:rsidRPr="003C69A3">
        <w:t>Standard</w:t>
      </w:r>
      <w:r w:rsidR="00340616" w:rsidRPr="00103A95">
        <w:t xml:space="preserve"> terms and conditions for the grant agreement will apply and cannot be changed. A schedule may be used to outline the specific grant</w:t>
      </w:r>
      <w:r w:rsidR="00340616" w:rsidRPr="002E0C03">
        <w:t xml:space="preserve"> requirements.  Any additional conditions attached to the grant will be identified in the grant offer or during the grant agreement negotiations.</w:t>
      </w:r>
    </w:p>
    <w:p w14:paraId="19300C74" w14:textId="77777777" w:rsidR="006D18BF" w:rsidRPr="003E6B2C" w:rsidRDefault="006D18BF" w:rsidP="006D18BF">
      <w:pPr>
        <w:rPr>
          <w:color w:val="745B00" w:themeColor="accent3" w:themeShade="80"/>
        </w:rPr>
      </w:pPr>
      <w:r>
        <w:t>You</w:t>
      </w:r>
      <w:r w:rsidRPr="00B72EE8">
        <w:t xml:space="preserve"> will </w:t>
      </w:r>
      <w:r>
        <w:t>b</w:t>
      </w:r>
      <w:r w:rsidRPr="00B72EE8">
        <w:t>e required to</w:t>
      </w:r>
      <w:r>
        <w:t xml:space="preserve"> d</w:t>
      </w:r>
      <w:r w:rsidRPr="00BB2A65">
        <w:t>eliver the project and meet the performance reporting and financial acquittal requirements as outlined in your grant agreement.</w:t>
      </w:r>
    </w:p>
    <w:p w14:paraId="42E5788D" w14:textId="499E2FBB" w:rsidR="00340616" w:rsidRPr="00726710" w:rsidRDefault="00340616" w:rsidP="00340616">
      <w:pPr>
        <w:rPr>
          <w:lang w:eastAsia="en-AU"/>
        </w:rPr>
      </w:pPr>
      <w:r w:rsidRPr="00B72EE8">
        <w:t>The</w:t>
      </w:r>
      <w:r>
        <w:t xml:space="preserve"> </w:t>
      </w:r>
      <w:r w:rsidR="00A04EFF" w:rsidRPr="003E6B2C">
        <w:rPr>
          <w:rStyle w:val="highlightedtextChar"/>
          <w:b w:val="0"/>
          <w:color w:val="auto"/>
        </w:rPr>
        <w:t>Department of Social Services</w:t>
      </w:r>
      <w:r w:rsidR="00A04EFF" w:rsidRPr="003E6B2C">
        <w:rPr>
          <w:rStyle w:val="highlightedtextChar"/>
          <w:color w:val="auto"/>
        </w:rPr>
        <w:t xml:space="preserve"> </w:t>
      </w:r>
      <w:r w:rsidRPr="00726710">
        <w:t xml:space="preserve">will negotiate </w:t>
      </w:r>
      <w:r w:rsidR="00CF005E">
        <w:t xml:space="preserve">the </w:t>
      </w:r>
      <w:r w:rsidRPr="00726710">
        <w:t xml:space="preserve">agreement with </w:t>
      </w:r>
      <w:r w:rsidR="00CF005E">
        <w:t xml:space="preserve">the </w:t>
      </w:r>
      <w:r w:rsidRPr="00726710">
        <w:t xml:space="preserve">successful applicant </w:t>
      </w:r>
      <w:r w:rsidR="00B4220E">
        <w:t>within 30 business days</w:t>
      </w:r>
      <w:r w:rsidR="00CF6F86">
        <w:t>.</w:t>
      </w:r>
      <w:r w:rsidRPr="00726710">
        <w:rPr>
          <w:rStyle w:val="Strong"/>
        </w:rPr>
        <w:t xml:space="preserve"> </w:t>
      </w:r>
      <w:r w:rsidR="006D18BF">
        <w:rPr>
          <w:rStyle w:val="Strong"/>
        </w:rPr>
        <w:t xml:space="preserve"> </w:t>
      </w:r>
      <w:r w:rsidRPr="00366C3F">
        <w:rPr>
          <w:rStyle w:val="Strong"/>
          <w:b w:val="0"/>
        </w:rPr>
        <w:t>If there are unreasonable delays in finalising</w:t>
      </w:r>
      <w:r w:rsidRPr="00726710">
        <w:rPr>
          <w:rStyle w:val="Strong"/>
        </w:rPr>
        <w:t xml:space="preserve"> </w:t>
      </w:r>
      <w:r w:rsidRPr="00726710">
        <w:rPr>
          <w:lang w:eastAsia="en-AU"/>
        </w:rPr>
        <w:t>a grant agreement, the grant offer may be withdrawn</w:t>
      </w:r>
      <w:r w:rsidR="00EE361A">
        <w:rPr>
          <w:lang w:eastAsia="en-AU"/>
        </w:rPr>
        <w:t>.</w:t>
      </w:r>
    </w:p>
    <w:p w14:paraId="784E838C" w14:textId="5D0DD6EE" w:rsidR="00340616" w:rsidRPr="00726710" w:rsidRDefault="00340616" w:rsidP="00340616">
      <w:r w:rsidRPr="00726710">
        <w:rPr>
          <w:lang w:eastAsia="en-AU"/>
        </w:rPr>
        <w:t xml:space="preserve">Where a grantee fails to meet the obligations of the grant agreement, </w:t>
      </w:r>
      <w:r w:rsidRPr="00726710">
        <w:t>the</w:t>
      </w:r>
      <w:r w:rsidRPr="00726710">
        <w:rPr>
          <w:lang w:eastAsia="en-AU"/>
        </w:rPr>
        <w:t xml:space="preserve"> </w:t>
      </w:r>
      <w:r w:rsidR="00A04EFF" w:rsidRPr="003E6B2C">
        <w:rPr>
          <w:rStyle w:val="highlightedtextChar"/>
          <w:b w:val="0"/>
          <w:color w:val="auto"/>
        </w:rPr>
        <w:t>Department of Social Services</w:t>
      </w:r>
      <w:r w:rsidRPr="00726710">
        <w:t xml:space="preserve"> </w:t>
      </w:r>
      <w:r w:rsidRPr="00726710">
        <w:rPr>
          <w:lang w:eastAsia="en-AU"/>
        </w:rPr>
        <w:t>may</w:t>
      </w:r>
      <w:r w:rsidR="00A04EFF">
        <w:rPr>
          <w:lang w:eastAsia="en-AU"/>
        </w:rPr>
        <w:t xml:space="preserve"> terminate the agreement.</w:t>
      </w:r>
      <w:r w:rsidRPr="00726710">
        <w:rPr>
          <w:color w:val="745B00" w:themeColor="accent3" w:themeShade="80"/>
        </w:rPr>
        <w:t xml:space="preserve"> </w:t>
      </w:r>
    </w:p>
    <w:p w14:paraId="77199940" w14:textId="77777777" w:rsidR="00340616" w:rsidRDefault="00340616" w:rsidP="00340616">
      <w:pPr>
        <w:rPr>
          <w:bCs/>
          <w:lang w:eastAsia="en-AU"/>
        </w:rPr>
      </w:pPr>
      <w:r w:rsidRPr="00726710">
        <w:rPr>
          <w:bCs/>
          <w:lang w:eastAsia="en-AU"/>
        </w:rPr>
        <w:t xml:space="preserve">You should not make financial commitments </w:t>
      </w:r>
      <w:r w:rsidR="00704535">
        <w:rPr>
          <w:bCs/>
          <w:lang w:eastAsia="en-AU"/>
        </w:rPr>
        <w:t xml:space="preserve">related to this grant, </w:t>
      </w:r>
      <w:r w:rsidRPr="00726710">
        <w:rPr>
          <w:bCs/>
          <w:lang w:eastAsia="en-AU"/>
        </w:rPr>
        <w:t>until a grant agreement has been executed by the Commonwealth.</w:t>
      </w:r>
      <w:r>
        <w:rPr>
          <w:bCs/>
          <w:lang w:eastAsia="en-AU"/>
        </w:rPr>
        <w:t xml:space="preserve"> </w:t>
      </w:r>
    </w:p>
    <w:p w14:paraId="2C193525" w14:textId="77777777" w:rsidR="00340616" w:rsidRDefault="00340616" w:rsidP="00167BAE">
      <w:pPr>
        <w:pStyle w:val="Heading2Numbered"/>
        <w:ind w:left="567"/>
      </w:pPr>
      <w:bookmarkStart w:id="193" w:name="_Toc467773981"/>
      <w:bookmarkStart w:id="194" w:name="_Toc518477087"/>
      <w:r>
        <w:t>How the grant will be paid</w:t>
      </w:r>
      <w:bookmarkEnd w:id="193"/>
      <w:bookmarkEnd w:id="194"/>
    </w:p>
    <w:p w14:paraId="5BCD0C6E" w14:textId="77777777" w:rsidR="00A04EFF" w:rsidRPr="00DB0315" w:rsidRDefault="00A04EFF" w:rsidP="00A04EFF">
      <w:pPr>
        <w:tabs>
          <w:tab w:val="left" w:pos="0"/>
        </w:tabs>
      </w:pPr>
      <w:r w:rsidRPr="00DB0315">
        <w:rPr>
          <w:bCs/>
          <w:lang w:eastAsia="en-AU"/>
        </w:rPr>
        <w:t>The grant agreement will state the</w:t>
      </w:r>
      <w:r>
        <w:rPr>
          <w:bCs/>
          <w:lang w:eastAsia="en-AU"/>
        </w:rPr>
        <w:t xml:space="preserve"> </w:t>
      </w:r>
      <w:r w:rsidRPr="00DB0315">
        <w:t>maximum grant amount to be paid</w:t>
      </w:r>
      <w:r>
        <w:t>.</w:t>
      </w:r>
    </w:p>
    <w:p w14:paraId="6462CBF3" w14:textId="77777777" w:rsidR="00A04EFF" w:rsidRPr="00DB0315" w:rsidRDefault="00A04EFF" w:rsidP="00A04EFF">
      <w:pPr>
        <w:tabs>
          <w:tab w:val="left" w:pos="0"/>
        </w:tabs>
        <w:rPr>
          <w:bCs/>
          <w:lang w:eastAsia="en-AU"/>
        </w:rPr>
      </w:pPr>
      <w:r w:rsidRPr="00DB0315">
        <w:rPr>
          <w:bCs/>
          <w:lang w:eastAsia="en-AU"/>
        </w:rPr>
        <w:t>We will not exceed the maximum grant amount under any circumstances.</w:t>
      </w:r>
    </w:p>
    <w:p w14:paraId="3D370A03" w14:textId="2AA89BA2" w:rsidR="00A04EFF" w:rsidRPr="00DB0315" w:rsidRDefault="00A04EFF" w:rsidP="00A04EFF">
      <w:pPr>
        <w:tabs>
          <w:tab w:val="left" w:pos="0"/>
        </w:tabs>
        <w:rPr>
          <w:bCs/>
          <w:lang w:eastAsia="en-AU"/>
        </w:rPr>
      </w:pPr>
      <w:r w:rsidRPr="00801A9A">
        <w:rPr>
          <w:bCs/>
          <w:lang w:eastAsia="en-AU"/>
        </w:rPr>
        <w:t>We will make an initial payment in January 2019 or on execution of the grant, whichever is first, and further payment/s in July and December annually.</w:t>
      </w:r>
    </w:p>
    <w:p w14:paraId="3B81472C" w14:textId="77777777" w:rsidR="00340616" w:rsidRDefault="00340616" w:rsidP="0054078D">
      <w:pPr>
        <w:pStyle w:val="Heading1Numbered"/>
      </w:pPr>
      <w:bookmarkStart w:id="195" w:name="_Toc514151527"/>
      <w:bookmarkStart w:id="196" w:name="_Toc514680113"/>
      <w:bookmarkStart w:id="197" w:name="_Toc514923471"/>
      <w:bookmarkStart w:id="198" w:name="_Toc514151528"/>
      <w:bookmarkStart w:id="199" w:name="_Toc514680114"/>
      <w:bookmarkStart w:id="200" w:name="_Toc514923472"/>
      <w:bookmarkStart w:id="201" w:name="_Toc514151533"/>
      <w:bookmarkStart w:id="202" w:name="_Toc514680119"/>
      <w:bookmarkStart w:id="203" w:name="_Toc514923477"/>
      <w:bookmarkStart w:id="204" w:name="_Toc514151534"/>
      <w:bookmarkStart w:id="205" w:name="_Toc514680120"/>
      <w:bookmarkStart w:id="206" w:name="_Toc514923478"/>
      <w:bookmarkStart w:id="207" w:name="_Toc514151535"/>
      <w:bookmarkStart w:id="208" w:name="_Toc514680121"/>
      <w:bookmarkStart w:id="209" w:name="_Toc514923479"/>
      <w:bookmarkStart w:id="210" w:name="_Toc514151538"/>
      <w:bookmarkStart w:id="211" w:name="_Toc514680124"/>
      <w:bookmarkStart w:id="212" w:name="_Toc514923482"/>
      <w:bookmarkStart w:id="213" w:name="_Toc514151541"/>
      <w:bookmarkStart w:id="214" w:name="_Toc514680127"/>
      <w:bookmarkStart w:id="215" w:name="_Toc514923485"/>
      <w:bookmarkStart w:id="216" w:name="_Toc514151548"/>
      <w:bookmarkStart w:id="217" w:name="_Toc514680134"/>
      <w:bookmarkStart w:id="218" w:name="_Toc514923492"/>
      <w:bookmarkStart w:id="219" w:name="_Toc467773983"/>
      <w:bookmarkStart w:id="220" w:name="_Toc518477088"/>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1607E9">
        <w:lastRenderedPageBreak/>
        <w:t>Announcement</w:t>
      </w:r>
      <w:r>
        <w:t xml:space="preserve"> of grants</w:t>
      </w:r>
      <w:bookmarkEnd w:id="219"/>
      <w:bookmarkEnd w:id="220"/>
    </w:p>
    <w:p w14:paraId="054C2133" w14:textId="1D6B9590" w:rsidR="00966462" w:rsidRPr="00966462" w:rsidRDefault="00966462" w:rsidP="00966462">
      <w:pPr>
        <w:rPr>
          <w:iCs/>
        </w:rPr>
      </w:pPr>
      <w:r>
        <w:t xml:space="preserve">If successful, your grant will be listed on </w:t>
      </w:r>
      <w:hyperlink r:id="rId28" w:history="1">
        <w:proofErr w:type="spellStart"/>
        <w:r w:rsidRPr="000510F7">
          <w:rPr>
            <w:rStyle w:val="Hyperlink"/>
            <w:rFonts w:cstheme="minorBidi"/>
          </w:rPr>
          <w:t>GrantConnect</w:t>
        </w:r>
        <w:proofErr w:type="spellEnd"/>
      </w:hyperlink>
      <w:r>
        <w:t xml:space="preserve"> </w:t>
      </w:r>
      <w:r w:rsidR="000510F7">
        <w:t>21 calendar days</w:t>
      </w:r>
      <w:r>
        <w:t xml:space="preserve"> after the date of effect as required by Section 5.3 of the </w:t>
      </w:r>
      <w:r w:rsidR="00F67D0B" w:rsidRPr="00366C3F">
        <w:rPr>
          <w:i/>
        </w:rPr>
        <w:t>Commonwealth Grant Rules and Guidelines 2017</w:t>
      </w:r>
      <w:r>
        <w:rPr>
          <w:i/>
          <w:iCs/>
        </w:rPr>
        <w:t xml:space="preserve">. </w:t>
      </w:r>
    </w:p>
    <w:p w14:paraId="72BAD7FF" w14:textId="77777777" w:rsidR="00340616" w:rsidRPr="00B72EE8" w:rsidRDefault="00340616" w:rsidP="0054078D">
      <w:pPr>
        <w:pStyle w:val="Heading1Numbered"/>
      </w:pPr>
      <w:bookmarkStart w:id="221" w:name="_Toc421777623"/>
      <w:bookmarkStart w:id="222" w:name="_Toc467773984"/>
      <w:bookmarkStart w:id="223" w:name="_Toc518477089"/>
      <w:r w:rsidRPr="00B72EE8">
        <w:t xml:space="preserve">Delivery of </w:t>
      </w:r>
      <w:r>
        <w:t>g</w:t>
      </w:r>
      <w:r w:rsidRPr="00B72EE8">
        <w:t>rant</w:t>
      </w:r>
      <w:r>
        <w:t xml:space="preserve"> activities</w:t>
      </w:r>
      <w:bookmarkEnd w:id="221"/>
      <w:bookmarkEnd w:id="222"/>
      <w:bookmarkEnd w:id="223"/>
    </w:p>
    <w:p w14:paraId="04FD56CA" w14:textId="77777777" w:rsidR="00340616" w:rsidRPr="00B72EE8" w:rsidDel="00D505A5" w:rsidRDefault="00340616" w:rsidP="00892C8B">
      <w:pPr>
        <w:pStyle w:val="Heading2Numbered"/>
        <w:ind w:left="709" w:hanging="709"/>
      </w:pPr>
      <w:bookmarkStart w:id="224" w:name="_Toc421777624"/>
      <w:bookmarkStart w:id="225" w:name="_Toc433641185"/>
      <w:bookmarkStart w:id="226" w:name="_Toc467773985"/>
      <w:bookmarkStart w:id="227" w:name="_Toc518477090"/>
      <w:r>
        <w:t>Your</w:t>
      </w:r>
      <w:r w:rsidRPr="00B72EE8" w:rsidDel="00D505A5">
        <w:t xml:space="preserve"> responsibilities</w:t>
      </w:r>
      <w:bookmarkEnd w:id="224"/>
      <w:bookmarkEnd w:id="225"/>
      <w:bookmarkEnd w:id="226"/>
      <w:bookmarkEnd w:id="227"/>
    </w:p>
    <w:p w14:paraId="263576DC" w14:textId="16299053"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9" w:history="1">
        <w:r w:rsidRPr="00726710">
          <w:rPr>
            <w:rFonts w:cstheme="minorHAnsi"/>
          </w:rPr>
          <w:t>grant agreement</w:t>
        </w:r>
      </w:hyperlink>
      <w:r w:rsidRPr="00726710">
        <w:rPr>
          <w:rFonts w:cstheme="minorHAnsi"/>
        </w:rPr>
        <w:t xml:space="preserve">. </w:t>
      </w:r>
      <w:r w:rsidR="00167BAE">
        <w:rPr>
          <w:rFonts w:cstheme="minorHAnsi"/>
        </w:rPr>
        <w:t xml:space="preserve"> </w:t>
      </w:r>
      <w:r w:rsidRPr="00726710">
        <w:rPr>
          <w:rFonts w:cstheme="minorHAnsi"/>
        </w:rPr>
        <w:t>We will expect you to report on</w:t>
      </w:r>
      <w:r w:rsidR="00167BAE">
        <w:rPr>
          <w:rFonts w:cstheme="minorHAnsi"/>
        </w:rPr>
        <w:t>:</w:t>
      </w:r>
    </w:p>
    <w:p w14:paraId="6C1D941C" w14:textId="77777777" w:rsidR="00340616" w:rsidRPr="00726710" w:rsidRDefault="00340616" w:rsidP="00726710">
      <w:pPr>
        <w:pStyle w:val="Bullet1"/>
      </w:pPr>
      <w:r w:rsidRPr="00726710">
        <w:t>progress against agreed project milestones</w:t>
      </w:r>
    </w:p>
    <w:p w14:paraId="45C7ED3C" w14:textId="77777777" w:rsidR="00340616" w:rsidRPr="00726710" w:rsidRDefault="00340616" w:rsidP="00726710">
      <w:pPr>
        <w:pStyle w:val="Bullet1"/>
      </w:pPr>
      <w:r w:rsidRPr="00726710">
        <w:t>contributions of participants directly related to the project</w:t>
      </w:r>
    </w:p>
    <w:p w14:paraId="21E4E267" w14:textId="77777777" w:rsidR="00340616" w:rsidRPr="00726710" w:rsidRDefault="00340616" w:rsidP="00726710">
      <w:pPr>
        <w:pStyle w:val="Bullet1"/>
      </w:pPr>
      <w:proofErr w:type="gramStart"/>
      <w:r w:rsidRPr="00726710">
        <w:t>eligible</w:t>
      </w:r>
      <w:proofErr w:type="gramEnd"/>
      <w:r w:rsidRPr="00726710">
        <w:t xml:space="preserve"> expenditure of grant funds.</w:t>
      </w:r>
    </w:p>
    <w:p w14:paraId="58983CA1" w14:textId="381C6E9D"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1166FF">
        <w:rPr>
          <w:rFonts w:cstheme="minorHAnsi"/>
        </w:rPr>
        <w:t xml:space="preserve">will </w:t>
      </w:r>
      <w:r w:rsidRPr="00366C3F">
        <w:rPr>
          <w:rFonts w:cstheme="minorHAnsi"/>
        </w:rPr>
        <w:t>also</w:t>
      </w:r>
      <w:r w:rsidRPr="00366C3F">
        <w:rPr>
          <w:rFonts w:cstheme="minorHAnsi"/>
          <w:b/>
        </w:rPr>
        <w:t xml:space="preserve"> </w:t>
      </w:r>
      <w:r w:rsidRPr="00726710">
        <w:rPr>
          <w:rFonts w:cstheme="minorHAnsi"/>
        </w:rPr>
        <w:t>be</w:t>
      </w:r>
      <w:r w:rsidRPr="00726710" w:rsidDel="00D505A5">
        <w:rPr>
          <w:rFonts w:cstheme="minorHAnsi"/>
        </w:rPr>
        <w:t xml:space="preserve"> responsible for:</w:t>
      </w:r>
    </w:p>
    <w:p w14:paraId="24B767C3" w14:textId="77777777" w:rsidR="00B4220E" w:rsidRDefault="00B4220E" w:rsidP="00B4220E">
      <w:pPr>
        <w:pStyle w:val="Bullet1"/>
      </w:pPr>
      <w:r>
        <w:t>ensuring that anyone working directly with vulnerable people has the appropriate</w:t>
      </w:r>
    </w:p>
    <w:p w14:paraId="01495626" w14:textId="2B14700B" w:rsidR="00B4220E" w:rsidRDefault="00B4220E" w:rsidP="00B4220E">
      <w:pPr>
        <w:pStyle w:val="Bullet1"/>
        <w:numPr>
          <w:ilvl w:val="0"/>
          <w:numId w:val="0"/>
        </w:numPr>
        <w:ind w:left="284"/>
      </w:pPr>
      <w:proofErr w:type="gramStart"/>
      <w:r>
        <w:t>qualifications</w:t>
      </w:r>
      <w:proofErr w:type="gramEnd"/>
      <w:r>
        <w:t xml:space="preserve"> under relevant state or territory legislation.</w:t>
      </w:r>
    </w:p>
    <w:p w14:paraId="2B8E80AA" w14:textId="7F15C591" w:rsidR="00340616" w:rsidRPr="00726710" w:rsidDel="00D505A5" w:rsidRDefault="00340616" w:rsidP="00726710">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14:paraId="14EAC7B0" w14:textId="77777777" w:rsidR="00340616" w:rsidRPr="00726710" w:rsidDel="00D505A5" w:rsidRDefault="00340616" w:rsidP="00726710">
      <w:pPr>
        <w:pStyle w:val="Bullet1"/>
      </w:pPr>
      <w:r w:rsidRPr="00726710" w:rsidDel="00D505A5">
        <w:t xml:space="preserve">complying with record keeping, reporting and acquittal requirements </w:t>
      </w:r>
      <w:r w:rsidRPr="00726710">
        <w:t>as set out in the grant agreement</w:t>
      </w:r>
    </w:p>
    <w:p w14:paraId="0DFB5AD2" w14:textId="418183B2" w:rsidR="00340616" w:rsidRDefault="00340616" w:rsidP="00726710">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14:paraId="20A61D35" w14:textId="2F899A42" w:rsidR="00F67D0B" w:rsidRPr="00726710" w:rsidDel="00D505A5" w:rsidRDefault="00F67D0B" w:rsidP="00726710">
      <w:pPr>
        <w:pStyle w:val="Bullet1"/>
      </w:pPr>
      <w:proofErr w:type="gramStart"/>
      <w:r>
        <w:t>having</w:t>
      </w:r>
      <w:proofErr w:type="gramEnd"/>
      <w:r>
        <w:t xml:space="preserve"> appropriate practices and procedures in place to mitigate fraud. </w:t>
      </w:r>
    </w:p>
    <w:p w14:paraId="7ED7E062" w14:textId="2AEE2B9C" w:rsidR="00340616" w:rsidRPr="00B72EE8" w:rsidRDefault="005A3C34" w:rsidP="00953463">
      <w:pPr>
        <w:pStyle w:val="Heading2Numbered"/>
        <w:ind w:left="709" w:hanging="709"/>
      </w:pPr>
      <w:bookmarkStart w:id="228" w:name="_Toc420671454"/>
      <w:bookmarkStart w:id="229" w:name="_Toc433641186"/>
      <w:bookmarkStart w:id="230" w:name="_Toc467773986"/>
      <w:bookmarkStart w:id="231" w:name="_Toc518477091"/>
      <w:r w:rsidRPr="005A3C34">
        <w:rPr>
          <w:color w:val="auto"/>
        </w:rPr>
        <w:t xml:space="preserve">The </w:t>
      </w:r>
      <w:r w:rsidR="00A04EFF" w:rsidRPr="003E6B2C">
        <w:rPr>
          <w:rFonts w:cstheme="minorHAnsi"/>
        </w:rPr>
        <w:t xml:space="preserve">Department of Social Services </w:t>
      </w:r>
      <w:r w:rsidR="00340616" w:rsidRPr="00B72EE8">
        <w:t>responsibilities</w:t>
      </w:r>
      <w:bookmarkEnd w:id="228"/>
      <w:bookmarkEnd w:id="229"/>
      <w:bookmarkEnd w:id="230"/>
      <w:bookmarkEnd w:id="231"/>
    </w:p>
    <w:p w14:paraId="3AC81559" w14:textId="70C4D464"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A04EFF" w:rsidRPr="003E6B2C">
        <w:rPr>
          <w:rFonts w:cstheme="minorHAnsi"/>
        </w:rPr>
        <w:t>Department of Social Service</w:t>
      </w:r>
      <w:r w:rsidR="00F67D0B">
        <w:rPr>
          <w:rFonts w:cstheme="minorHAnsi"/>
        </w:rPr>
        <w:t xml:space="preserve"> </w:t>
      </w:r>
      <w:r w:rsidRPr="005A3C34">
        <w:rPr>
          <w:rFonts w:cstheme="minorHAnsi"/>
        </w:rPr>
        <w:t>will</w:t>
      </w:r>
      <w:r w:rsidRPr="00726710">
        <w:rPr>
          <w:rFonts w:cstheme="minorHAnsi"/>
        </w:rPr>
        <w:t xml:space="preserve">: </w:t>
      </w:r>
    </w:p>
    <w:p w14:paraId="28E7DA04" w14:textId="77777777" w:rsidR="00340616" w:rsidRPr="00726710" w:rsidRDefault="00340616" w:rsidP="00726710">
      <w:pPr>
        <w:pStyle w:val="Bullet1"/>
      </w:pPr>
      <w:r w:rsidRPr="00726710">
        <w:t>meet the terms and conditions</w:t>
      </w:r>
      <w:r w:rsidR="001D7A14">
        <w:t xml:space="preserve"> set out in the grant agreement</w:t>
      </w:r>
    </w:p>
    <w:p w14:paraId="61A38765" w14:textId="77777777" w:rsidR="00340616" w:rsidRPr="00726710" w:rsidRDefault="00340616" w:rsidP="00726710">
      <w:pPr>
        <w:pStyle w:val="Bullet1"/>
      </w:pPr>
      <w:r w:rsidRPr="00726710">
        <w:t>provide time</w:t>
      </w:r>
      <w:r w:rsidR="001D7A14">
        <w:t>ly administration of the grant</w:t>
      </w:r>
    </w:p>
    <w:p w14:paraId="598E1385" w14:textId="77777777" w:rsidR="00340616" w:rsidRPr="00726710" w:rsidRDefault="00340616" w:rsidP="00726710">
      <w:pPr>
        <w:pStyle w:val="Bullet1"/>
      </w:pPr>
      <w:proofErr w:type="gramStart"/>
      <w:r w:rsidRPr="00726710">
        <w:t>evaluate</w:t>
      </w:r>
      <w:proofErr w:type="gramEnd"/>
      <w:r w:rsidRPr="00726710">
        <w:t xml:space="preserve"> the grantee’s performance.</w:t>
      </w:r>
    </w:p>
    <w:p w14:paraId="3A8FA963" w14:textId="07F5AC28" w:rsidR="00340616" w:rsidRPr="00726710" w:rsidRDefault="00340616" w:rsidP="00340616">
      <w:pPr>
        <w:rPr>
          <w:rFonts w:cstheme="minorHAnsi"/>
        </w:rPr>
      </w:pPr>
      <w:r w:rsidRPr="00726710">
        <w:rPr>
          <w:rFonts w:cstheme="minorHAnsi"/>
        </w:rPr>
        <w:t xml:space="preserve">We will monitor the progress of your project by assessing reports you submit and may conduct site visits to confirm details of your reports if necessary. </w:t>
      </w:r>
      <w:r w:rsidR="001166FF">
        <w:rPr>
          <w:rFonts w:cstheme="minorHAnsi"/>
        </w:rPr>
        <w:t xml:space="preserve"> </w:t>
      </w:r>
      <w:r w:rsidRPr="00726710">
        <w:rPr>
          <w:rFonts w:cstheme="minorHAnsi"/>
        </w:rPr>
        <w:t xml:space="preserve">Occasionally we may need to re-examine claims, seek further information or request an independent audit of claims and payments. </w:t>
      </w:r>
    </w:p>
    <w:p w14:paraId="34620D2A" w14:textId="77777777" w:rsidR="00340616" w:rsidRPr="00B72EE8" w:rsidRDefault="00340616" w:rsidP="00892C8B">
      <w:pPr>
        <w:pStyle w:val="Heading2Numbered"/>
        <w:ind w:left="709" w:hanging="709"/>
      </w:pPr>
      <w:bookmarkStart w:id="232" w:name="_Toc421777626"/>
      <w:bookmarkStart w:id="233" w:name="_Toc467773987"/>
      <w:bookmarkStart w:id="234" w:name="_Toc518477092"/>
      <w:bookmarkStart w:id="235" w:name="_Toc433641188"/>
      <w:r>
        <w:lastRenderedPageBreak/>
        <w:t>Grant p</w:t>
      </w:r>
      <w:r w:rsidRPr="00B72EE8">
        <w:t>ayments</w:t>
      </w:r>
      <w:bookmarkEnd w:id="232"/>
      <w:r>
        <w:t xml:space="preserve"> and GST</w:t>
      </w:r>
      <w:bookmarkEnd w:id="233"/>
      <w:bookmarkEnd w:id="234"/>
      <w:r>
        <w:t xml:space="preserve"> </w:t>
      </w:r>
      <w:bookmarkEnd w:id="235"/>
    </w:p>
    <w:p w14:paraId="43FA30E5" w14:textId="77777777" w:rsidR="00E87018" w:rsidRDefault="00E87018" w:rsidP="00340616">
      <w:pPr>
        <w:rPr>
          <w:color w:val="525252"/>
        </w:rPr>
      </w:pPr>
      <w:r>
        <w:t>If applicable, GST will be payable on this grant funding and will be set out in the grant agreement</w:t>
      </w:r>
      <w:r>
        <w:rPr>
          <w:color w:val="525252"/>
        </w:rPr>
        <w:t xml:space="preserve">. </w:t>
      </w:r>
    </w:p>
    <w:p w14:paraId="5C079898" w14:textId="03716E4F" w:rsidR="00340616" w:rsidRPr="00DE3325" w:rsidRDefault="00340616" w:rsidP="00340616">
      <w:r w:rsidRPr="000715D5">
        <w:t>If you receive a grant,</w:t>
      </w:r>
      <w:r w:rsidRPr="00C44FAA">
        <w:t xml:space="preserve"> you should consider speaking to a tax advisor </w:t>
      </w:r>
      <w:r w:rsidRPr="00433E7D">
        <w:t xml:space="preserve">about the effect of receiving a grant before you enter into a grant agreement. </w:t>
      </w:r>
      <w:r w:rsidR="001166FF">
        <w:t xml:space="preserve"> </w:t>
      </w:r>
      <w:r w:rsidRPr="00430E14">
        <w:t>You can also visit the</w:t>
      </w:r>
      <w:r w:rsidRPr="00C033CD">
        <w:t xml:space="preserve"> </w:t>
      </w:r>
      <w:hyperlink r:id="rId30" w:history="1">
        <w:r w:rsidRPr="00AE5A5C">
          <w:rPr>
            <w:rStyle w:val="Hyperlink"/>
            <w:rFonts w:cstheme="minorBidi"/>
          </w:rPr>
          <w:t>Australian Taxation Office website</w:t>
        </w:r>
      </w:hyperlink>
      <w:r w:rsidRPr="00E620C7">
        <w:t xml:space="preserve"> for more information.</w:t>
      </w:r>
    </w:p>
    <w:p w14:paraId="2A75D949" w14:textId="77777777" w:rsidR="00192CC4" w:rsidRPr="00305665" w:rsidRDefault="00192CC4" w:rsidP="00305665">
      <w:pPr>
        <w:pStyle w:val="Heading2Numbered"/>
        <w:ind w:left="709" w:hanging="709"/>
      </w:pPr>
      <w:bookmarkStart w:id="236" w:name="_Toc518477093"/>
      <w:bookmarkStart w:id="237" w:name="_Toc421777629"/>
      <w:bookmarkStart w:id="238" w:name="_Toc467773988"/>
      <w:r>
        <w:t>Reporting</w:t>
      </w:r>
      <w:bookmarkEnd w:id="236"/>
    </w:p>
    <w:p w14:paraId="5A22130D" w14:textId="5D278FB3" w:rsidR="00305665" w:rsidRPr="000048E2" w:rsidRDefault="00F0418B" w:rsidP="00305665">
      <w:pPr>
        <w:rPr>
          <w:rFonts w:cstheme="minorHAnsi"/>
          <w:lang w:val="en-GB"/>
        </w:rPr>
      </w:pPr>
      <w:r>
        <w:rPr>
          <w:rFonts w:cstheme="minorHAnsi"/>
          <w:lang w:val="en-GB"/>
        </w:rPr>
        <w:t>Grantees</w:t>
      </w:r>
      <w:r w:rsidR="00305665" w:rsidRPr="000048E2">
        <w:rPr>
          <w:rFonts w:cstheme="minorHAnsi"/>
          <w:lang w:val="en-GB"/>
        </w:rPr>
        <w:t xml:space="preserve"> must have systems in place to allow them to meet their data collection and reporting obligations outlined in their </w:t>
      </w:r>
      <w:r w:rsidR="00305665">
        <w:rPr>
          <w:rFonts w:cstheme="minorHAnsi"/>
          <w:lang w:val="en-GB"/>
        </w:rPr>
        <w:t>grant agreement</w:t>
      </w:r>
      <w:r w:rsidR="00305665" w:rsidRPr="000048E2">
        <w:rPr>
          <w:rFonts w:cstheme="minorHAnsi"/>
          <w:lang w:val="en-GB"/>
        </w:rPr>
        <w:t>.  </w:t>
      </w:r>
    </w:p>
    <w:p w14:paraId="1586F169" w14:textId="77777777" w:rsidR="00340616" w:rsidRPr="00B72EE8" w:rsidRDefault="00340616" w:rsidP="00481F36">
      <w:pPr>
        <w:pStyle w:val="Heading2Numbered"/>
        <w:ind w:left="426" w:hanging="426"/>
      </w:pPr>
      <w:bookmarkStart w:id="239" w:name="_Toc514151556"/>
      <w:bookmarkStart w:id="240" w:name="_Toc514680142"/>
      <w:bookmarkStart w:id="241" w:name="_Toc514923500"/>
      <w:bookmarkStart w:id="242" w:name="_Toc514151563"/>
      <w:bookmarkStart w:id="243" w:name="_Toc514680149"/>
      <w:bookmarkStart w:id="244" w:name="_Toc514923507"/>
      <w:bookmarkStart w:id="245" w:name="_Toc518477094"/>
      <w:bookmarkEnd w:id="239"/>
      <w:bookmarkEnd w:id="240"/>
      <w:bookmarkEnd w:id="241"/>
      <w:bookmarkEnd w:id="242"/>
      <w:bookmarkEnd w:id="243"/>
      <w:bookmarkEnd w:id="244"/>
      <w:r>
        <w:t>E</w:t>
      </w:r>
      <w:r w:rsidRPr="00B72EE8">
        <w:t>valuation</w:t>
      </w:r>
      <w:bookmarkEnd w:id="237"/>
      <w:bookmarkEnd w:id="238"/>
      <w:bookmarkEnd w:id="245"/>
    </w:p>
    <w:p w14:paraId="01F8BB44" w14:textId="17C80E58" w:rsidR="001566F9" w:rsidRDefault="00726710" w:rsidP="00340616">
      <w:r>
        <w:t>The</w:t>
      </w:r>
      <w:r w:rsidRPr="00726710">
        <w:rPr>
          <w:b/>
          <w:color w:val="745B00" w:themeColor="accent3" w:themeShade="80"/>
        </w:rPr>
        <w:t xml:space="preserve"> </w:t>
      </w:r>
      <w:r w:rsidR="00A04EFF" w:rsidRPr="00F30D84">
        <w:t xml:space="preserve">Department of Social Services </w:t>
      </w:r>
      <w:r w:rsidR="00941776">
        <w:t>will</w:t>
      </w:r>
      <w:r w:rsidR="00481F36" w:rsidRPr="00366C3F">
        <w:rPr>
          <w:b/>
        </w:rPr>
        <w:t xml:space="preserve"> </w:t>
      </w:r>
      <w:r w:rsidR="00340616" w:rsidRPr="00B72EE8">
        <w:t>evaluat</w:t>
      </w:r>
      <w:r w:rsidR="00340616">
        <w:t>e</w:t>
      </w:r>
      <w:r w:rsidR="00340616" w:rsidRPr="00B72EE8">
        <w:t xml:space="preserve"> </w:t>
      </w:r>
      <w:r w:rsidR="00481F36">
        <w:t xml:space="preserve">CFC/FC </w:t>
      </w:r>
      <w:r w:rsidR="00A04EFF">
        <w:t>Capa</w:t>
      </w:r>
      <w:r w:rsidR="00FB7C28">
        <w:t>bil</w:t>
      </w:r>
      <w:r w:rsidR="00A04EFF">
        <w:t>ity Building</w:t>
      </w:r>
      <w:r w:rsidR="00340616" w:rsidRPr="00726710">
        <w:rPr>
          <w:b/>
          <w:color w:val="745B00" w:themeColor="accent3" w:themeShade="80"/>
        </w:rPr>
        <w:t xml:space="preserve"> </w:t>
      </w:r>
      <w:r w:rsidR="00340616" w:rsidRPr="00B72EE8">
        <w:t>to</w:t>
      </w:r>
      <w:r w:rsidR="00340616">
        <w:t xml:space="preserve"> measure how well </w:t>
      </w:r>
      <w:r w:rsidR="00340616" w:rsidRPr="00B72EE8">
        <w:t xml:space="preserve">the outcomes and objectives have been achieved. </w:t>
      </w:r>
    </w:p>
    <w:p w14:paraId="3E34D92C" w14:textId="39D875A8" w:rsidR="001566F9" w:rsidRDefault="001566F9" w:rsidP="001566F9">
      <w:r>
        <w:t xml:space="preserve">The </w:t>
      </w:r>
      <w:r w:rsidR="00A04EFF" w:rsidRPr="00F30D84">
        <w:t xml:space="preserve">Department of Social Services </w:t>
      </w:r>
      <w:r>
        <w:t>will evaluate a range of issues, including but not limited to the p</w:t>
      </w:r>
      <w:r w:rsidRPr="001566F9">
        <w:t>erformance of the program, including the efficiency of implementation and effectiveness of the program meeting the outcomes</w:t>
      </w:r>
      <w:r>
        <w:t>.</w:t>
      </w:r>
    </w:p>
    <w:p w14:paraId="760F6982" w14:textId="2168257D" w:rsidR="00F67D0B" w:rsidRDefault="001566F9" w:rsidP="001566F9">
      <w:pPr>
        <w:rPr>
          <w:rFonts w:asciiTheme="majorHAnsi" w:eastAsia="Times New Roman" w:hAnsiTheme="majorHAnsi" w:cstheme="majorHAnsi"/>
          <w:color w:val="1A1A1A"/>
          <w:lang w:eastAsia="en-AU"/>
        </w:rPr>
      </w:pPr>
      <w:r>
        <w:t xml:space="preserve">Your performance against the grant agreement will be monitored on an on-going basis by the Funding Arrangement Manager assigned by </w:t>
      </w:r>
      <w:r w:rsidR="00AE2C8B">
        <w:t>the Department of Social Services.</w:t>
      </w:r>
      <w:r w:rsidR="00481F36">
        <w:t xml:space="preserve">  </w:t>
      </w:r>
      <w:r>
        <w:t>The</w:t>
      </w:r>
      <w:r w:rsidR="00481F36">
        <w:t> </w:t>
      </w:r>
      <w:r>
        <w:t>Funding Arrangement Manager will ensure all milestones recorded in your grant agreement are met.</w:t>
      </w:r>
      <w:r w:rsidR="00AE11F0" w:rsidRPr="00AE11F0">
        <w:rPr>
          <w:rFonts w:asciiTheme="majorHAnsi" w:eastAsia="Times New Roman" w:hAnsiTheme="majorHAnsi" w:cstheme="majorHAnsi"/>
          <w:color w:val="1A1A1A"/>
          <w:lang w:eastAsia="en-AU"/>
        </w:rPr>
        <w:t xml:space="preserve"> </w:t>
      </w:r>
    </w:p>
    <w:p w14:paraId="188A8040" w14:textId="3372E61B" w:rsidR="001566F9" w:rsidRPr="001566F9" w:rsidRDefault="00AE11F0" w:rsidP="001566F9">
      <w:r>
        <w:rPr>
          <w:rFonts w:asciiTheme="majorHAnsi" w:eastAsia="Times New Roman" w:hAnsiTheme="majorHAnsi" w:cstheme="majorHAnsi"/>
          <w:color w:val="1A1A1A"/>
          <w:lang w:eastAsia="en-AU"/>
        </w:rPr>
        <w:t>Where a grantee fails to meet the outcomes and objectives of the funded activity, actions will be outlined in the grant agreement.</w:t>
      </w:r>
    </w:p>
    <w:p w14:paraId="47E08335" w14:textId="56257E2E" w:rsidR="001566F9" w:rsidRDefault="00340616" w:rsidP="00340616">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5E579E6B" w14:textId="6A5FBB75" w:rsidR="00ED3264" w:rsidRDefault="00BC086B" w:rsidP="00BC086B">
      <w:pPr>
        <w:pStyle w:val="Heading2Numbered"/>
        <w:ind w:left="567"/>
      </w:pPr>
      <w:bookmarkStart w:id="246" w:name="_Toc514151565"/>
      <w:bookmarkStart w:id="247" w:name="_Toc514680151"/>
      <w:bookmarkStart w:id="248" w:name="_Toc514923509"/>
      <w:bookmarkStart w:id="249" w:name="_Toc518477095"/>
      <w:bookmarkEnd w:id="246"/>
      <w:bookmarkEnd w:id="247"/>
      <w:bookmarkEnd w:id="248"/>
      <w:r>
        <w:t>M</w:t>
      </w:r>
      <w:r w:rsidR="002A2026" w:rsidRPr="00BC086B">
        <w:t>ulticultural Access and Equity</w:t>
      </w:r>
      <w:bookmarkEnd w:id="249"/>
      <w:r w:rsidR="00ED3264">
        <w:t xml:space="preserve"> </w:t>
      </w:r>
    </w:p>
    <w:p w14:paraId="76D7B4A2" w14:textId="7EA36B48" w:rsidR="00340616" w:rsidRPr="00B72EE8" w:rsidRDefault="00B559DE" w:rsidP="00ED3264">
      <w:r w:rsidRPr="00B559DE">
        <w:rPr>
          <w:rFonts w:cstheme="majorHAnsi"/>
        </w:rPr>
        <w:t>Australia’s Multicultural Access and Equity Policy obliges Australian government agencies to</w:t>
      </w:r>
      <w:r w:rsidR="000A28BC">
        <w:rPr>
          <w:rFonts w:cstheme="majorHAnsi"/>
        </w:rPr>
        <w:t xml:space="preserve"> </w:t>
      </w:r>
      <w:r w:rsidRPr="00B559DE">
        <w:rPr>
          <w:rFonts w:cstheme="majorHAnsi"/>
        </w:rPr>
        <w:t>ensure their policies, programs and services (including those conducted by contractors and</w:t>
      </w:r>
      <w:r w:rsidR="000A28BC">
        <w:rPr>
          <w:rFonts w:cstheme="majorHAnsi"/>
        </w:rPr>
        <w:t xml:space="preserve"> </w:t>
      </w:r>
      <w:r w:rsidRPr="00B559DE">
        <w:rPr>
          <w:rFonts w:cstheme="majorHAnsi"/>
        </w:rPr>
        <w:t>service delivery partners) are accessible to, and deliver equitable outcomes for, people from</w:t>
      </w:r>
      <w:r w:rsidR="000A28BC">
        <w:rPr>
          <w:rFonts w:cstheme="majorHAnsi"/>
        </w:rPr>
        <w:t xml:space="preserve"> </w:t>
      </w:r>
      <w:r w:rsidRPr="00B559DE">
        <w:rPr>
          <w:rFonts w:cstheme="majorHAnsi"/>
        </w:rPr>
        <w:t>culturally and linguistically diverse (CALD) backgrounds. For further information on the</w:t>
      </w:r>
      <w:r w:rsidR="000A28BC">
        <w:rPr>
          <w:rFonts w:cstheme="majorHAnsi"/>
        </w:rPr>
        <w:t xml:space="preserve"> </w:t>
      </w:r>
      <w:r w:rsidRPr="00B559DE">
        <w:rPr>
          <w:rFonts w:cstheme="majorHAnsi"/>
        </w:rPr>
        <w:t>Multicultural Access and Equity Policy please refer to the Department of Home Affairs</w:t>
      </w:r>
      <w:r w:rsidR="000A28BC">
        <w:rPr>
          <w:rFonts w:cstheme="majorHAnsi"/>
        </w:rPr>
        <w:t xml:space="preserve"> </w:t>
      </w:r>
      <w:r w:rsidRPr="00B559DE">
        <w:rPr>
          <w:rFonts w:cstheme="majorHAnsi"/>
        </w:rPr>
        <w:t>website. Grant applicants should consider how they will ensure their services will be</w:t>
      </w:r>
      <w:r w:rsidR="000A28BC">
        <w:rPr>
          <w:rFonts w:cstheme="majorHAnsi"/>
        </w:rPr>
        <w:t xml:space="preserve"> </w:t>
      </w:r>
      <w:r w:rsidRPr="00B559DE">
        <w:rPr>
          <w:rFonts w:cstheme="majorHAnsi"/>
        </w:rPr>
        <w:t>accessible to people from CALD backgrounds. For example, service delivery partners may</w:t>
      </w:r>
      <w:r w:rsidR="000A28BC">
        <w:rPr>
          <w:rFonts w:cstheme="majorHAnsi"/>
        </w:rPr>
        <w:t xml:space="preserve"> </w:t>
      </w:r>
      <w:r w:rsidRPr="00B559DE">
        <w:rPr>
          <w:rFonts w:cstheme="majorHAnsi"/>
        </w:rPr>
        <w:t>require cultural competency skills in order to engage with CALD clients. Services, projects,</w:t>
      </w:r>
      <w:r w:rsidR="000A28BC">
        <w:rPr>
          <w:rFonts w:cstheme="majorHAnsi"/>
        </w:rPr>
        <w:t xml:space="preserve"> </w:t>
      </w:r>
      <w:r w:rsidRPr="00B559DE">
        <w:rPr>
          <w:rFonts w:cstheme="majorHAnsi"/>
        </w:rPr>
        <w:t>activities or events may require the use of professional translating or interpreting services in</w:t>
      </w:r>
      <w:r w:rsidR="000A28BC">
        <w:rPr>
          <w:rFonts w:cstheme="majorHAnsi"/>
        </w:rPr>
        <w:t xml:space="preserve"> </w:t>
      </w:r>
      <w:r w:rsidRPr="00B559DE">
        <w:rPr>
          <w:rFonts w:cstheme="majorHAnsi"/>
        </w:rPr>
        <w:t>order to communicate with clients who have limited English proficiency. The Australian</w:t>
      </w:r>
      <w:r w:rsidR="000A28BC">
        <w:rPr>
          <w:rFonts w:cstheme="majorHAnsi"/>
        </w:rPr>
        <w:t xml:space="preserve"> </w:t>
      </w:r>
      <w:r w:rsidRPr="00B559DE">
        <w:rPr>
          <w:rFonts w:cstheme="majorHAnsi"/>
        </w:rPr>
        <w:t>Government Language Services Guidelines on the Department of Social Services website</w:t>
      </w:r>
      <w:r w:rsidR="000A28BC">
        <w:rPr>
          <w:rFonts w:cstheme="majorHAnsi"/>
        </w:rPr>
        <w:t xml:space="preserve"> </w:t>
      </w:r>
      <w:r w:rsidRPr="00B559DE">
        <w:rPr>
          <w:rFonts w:cstheme="majorHAnsi"/>
        </w:rPr>
        <w:t>may also assist grant recipients implement language services for their clients.</w:t>
      </w:r>
      <w:r w:rsidRPr="00B559DE" w:rsidDel="00B559DE">
        <w:rPr>
          <w:rFonts w:cstheme="majorHAnsi"/>
        </w:rPr>
        <w:t xml:space="preserve"> </w:t>
      </w:r>
      <w:bookmarkStart w:id="250" w:name="_Toc467773990"/>
      <w:bookmarkStart w:id="251" w:name="_Toc421777631"/>
      <w:r w:rsidR="00340616" w:rsidRPr="00B72EE8">
        <w:t>Probity</w:t>
      </w:r>
      <w:bookmarkEnd w:id="250"/>
      <w:r w:rsidR="00340616" w:rsidRPr="00B72EE8">
        <w:t xml:space="preserve"> </w:t>
      </w:r>
      <w:bookmarkEnd w:id="251"/>
    </w:p>
    <w:p w14:paraId="4C39A0DD" w14:textId="6EDCCF3C" w:rsidR="00340616" w:rsidRPr="00726710" w:rsidRDefault="00340616" w:rsidP="00340616">
      <w:r w:rsidRPr="00B72EE8">
        <w:lastRenderedPageBreak/>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r w:rsidR="00F0418B" w:rsidRPr="00045933">
        <w:rPr>
          <w:i/>
        </w:rPr>
        <w:t xml:space="preserve">Commonwealth Grants Rules and Guidelines </w:t>
      </w:r>
      <w:r w:rsidR="00F0418B">
        <w:rPr>
          <w:i/>
        </w:rPr>
        <w:t>2017</w:t>
      </w:r>
      <w:r w:rsidRPr="00726710">
        <w:t>.</w:t>
      </w:r>
    </w:p>
    <w:p w14:paraId="59DD1B6B" w14:textId="6820957F" w:rsidR="00340616" w:rsidRPr="00B72EE8" w:rsidRDefault="00340616" w:rsidP="00340616">
      <w:r w:rsidRPr="00726710">
        <w:rPr>
          <w:b/>
        </w:rPr>
        <w:t>Note:</w:t>
      </w:r>
      <w:r w:rsidRPr="00726710">
        <w:t xml:space="preserve"> These </w:t>
      </w:r>
      <w:r w:rsidR="00F14F7B">
        <w:t xml:space="preserve">grant opportunity </w:t>
      </w:r>
      <w:r w:rsidRPr="00726710">
        <w:t xml:space="preserve">guidelines may be changed from time-to-time </w:t>
      </w:r>
      <w:r w:rsidR="000F6652">
        <w:t xml:space="preserve">by the </w:t>
      </w:r>
      <w:r w:rsidR="00A04EFF" w:rsidRPr="00F30D84">
        <w:t>Department of Social Services</w:t>
      </w:r>
      <w:r w:rsidRPr="00726710">
        <w:t xml:space="preserve">. </w:t>
      </w:r>
      <w:r w:rsidR="000F6652">
        <w:t xml:space="preserve"> </w:t>
      </w:r>
      <w:r w:rsidRPr="00726710">
        <w:t xml:space="preserve">When this happens the revised guidelines will be published on </w:t>
      </w:r>
      <w:hyperlink r:id="rId31" w:history="1">
        <w:proofErr w:type="spellStart"/>
        <w:r w:rsidR="00DD52C8" w:rsidRPr="00DD52C8">
          <w:rPr>
            <w:rStyle w:val="Hyperlink"/>
            <w:rFonts w:cstheme="minorBidi"/>
          </w:rPr>
          <w:t>GrantConnect</w:t>
        </w:r>
        <w:proofErr w:type="spellEnd"/>
      </w:hyperlink>
      <w:r w:rsidR="00181073">
        <w:rPr>
          <w:rStyle w:val="Hyperlink"/>
          <w:rFonts w:cstheme="minorBidi"/>
          <w:u w:val="none"/>
        </w:rPr>
        <w:t xml:space="preserve"> and the </w:t>
      </w:r>
      <w:hyperlink r:id="rId32"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1271CF9C" w14:textId="77777777" w:rsidR="00340616" w:rsidRPr="0054078D" w:rsidRDefault="00340616" w:rsidP="00892C8B">
      <w:pPr>
        <w:pStyle w:val="Heading2Numbered"/>
        <w:ind w:left="709" w:hanging="709"/>
      </w:pPr>
      <w:bookmarkStart w:id="252" w:name="_Toc414983585"/>
      <w:bookmarkStart w:id="253" w:name="_Toc414984002"/>
      <w:bookmarkStart w:id="254" w:name="_Toc414984762"/>
      <w:bookmarkStart w:id="255" w:name="_Toc414984856"/>
      <w:bookmarkStart w:id="256" w:name="_Toc414984960"/>
      <w:bookmarkStart w:id="257" w:name="_Toc414985063"/>
      <w:bookmarkStart w:id="258" w:name="_Toc414985166"/>
      <w:bookmarkStart w:id="259" w:name="_Toc414985268"/>
      <w:bookmarkStart w:id="260" w:name="_Toc421777632"/>
      <w:bookmarkStart w:id="261" w:name="_Toc467773991"/>
      <w:bookmarkStart w:id="262" w:name="_Toc518477096"/>
      <w:bookmarkEnd w:id="252"/>
      <w:bookmarkEnd w:id="253"/>
      <w:bookmarkEnd w:id="254"/>
      <w:bookmarkEnd w:id="255"/>
      <w:bookmarkEnd w:id="256"/>
      <w:bookmarkEnd w:id="257"/>
      <w:bookmarkEnd w:id="258"/>
      <w:bookmarkEnd w:id="259"/>
      <w:r w:rsidRPr="0054078D">
        <w:t>Complaints process</w:t>
      </w:r>
      <w:bookmarkEnd w:id="260"/>
      <w:bookmarkEnd w:id="261"/>
      <w:bookmarkEnd w:id="262"/>
    </w:p>
    <w:p w14:paraId="45D57D26" w14:textId="77777777" w:rsidR="008F4C2E" w:rsidRPr="00C2163B" w:rsidRDefault="008F4C2E" w:rsidP="008F4C2E">
      <w:pPr>
        <w:rPr>
          <w:b/>
        </w:rPr>
      </w:pPr>
      <w:bookmarkStart w:id="263" w:name="_Toc421777633"/>
      <w:bookmarkStart w:id="264" w:name="_Toc467773992"/>
      <w:r>
        <w:rPr>
          <w:b/>
        </w:rPr>
        <w:t>Complaints about the Program</w:t>
      </w:r>
    </w:p>
    <w:p w14:paraId="2A2EE50F" w14:textId="3F9BBD71" w:rsidR="008F4C2E" w:rsidRDefault="008F4C2E" w:rsidP="008F4C2E">
      <w:r>
        <w:t>The</w:t>
      </w:r>
      <w:r w:rsidRPr="00726710">
        <w:rPr>
          <w:b/>
          <w:color w:val="745B00" w:themeColor="accent3" w:themeShade="80"/>
        </w:rPr>
        <w:t xml:space="preserve"> </w:t>
      </w:r>
      <w:r w:rsidR="00A04EFF" w:rsidRPr="00F30D84">
        <w:t xml:space="preserve">Department of Social Services </w:t>
      </w:r>
      <w:hyperlink r:id="rId33" w:history="1">
        <w:r w:rsidR="00AE2C8B" w:rsidRPr="006E102A">
          <w:rPr>
            <w:rFonts w:eastAsia="Times New Roman" w:cstheme="minorHAnsi"/>
            <w:color w:val="0000FF"/>
            <w:u w:val="single"/>
          </w:rPr>
          <w:t>Complaints Procedures</w:t>
        </w:r>
      </w:hyperlink>
      <w:r w:rsidR="00C1699E">
        <w:rPr>
          <w:rFonts w:eastAsia="Times New Roman" w:cstheme="minorHAnsi"/>
          <w:color w:val="0000FF"/>
          <w:u w:val="single"/>
        </w:rPr>
        <w:t xml:space="preserve"> </w:t>
      </w:r>
      <w:r w:rsidRPr="00B72EE8">
        <w:t xml:space="preserve">apply to complaints </w:t>
      </w:r>
      <w:r>
        <w:t>about the Program.</w:t>
      </w:r>
      <w:r w:rsidRPr="009E25CE">
        <w:rPr>
          <w:b/>
        </w:rPr>
        <w:t xml:space="preserve"> </w:t>
      </w:r>
      <w:r w:rsidR="00E013C8">
        <w:rPr>
          <w:b/>
        </w:rPr>
        <w:t xml:space="preserve"> </w:t>
      </w:r>
      <w:r>
        <w:t>A</w:t>
      </w:r>
      <w:r w:rsidRPr="00B72EE8">
        <w:t xml:space="preserve">ll complaints </w:t>
      </w:r>
      <w:r>
        <w:t>about the program, including</w:t>
      </w:r>
      <w:r w:rsidRPr="00B72EE8">
        <w:t xml:space="preserve"> grant </w:t>
      </w:r>
      <w:r>
        <w:t>decisions,</w:t>
      </w:r>
      <w:r w:rsidRPr="00B72EE8">
        <w:t xml:space="preserve"> </w:t>
      </w:r>
      <w:r>
        <w:t xml:space="preserve">must </w:t>
      </w:r>
      <w:r w:rsidRPr="00B72EE8">
        <w:t>be lodged in writing.</w:t>
      </w:r>
    </w:p>
    <w:p w14:paraId="2C82769A" w14:textId="77777777" w:rsidR="00C1699E" w:rsidRDefault="008F4C2E" w:rsidP="001C022C">
      <w:pPr>
        <w:rPr>
          <w:rFonts w:eastAsia="Times New Roman" w:cstheme="minorHAnsi"/>
          <w:color w:val="0000FF"/>
          <w:u w:val="single"/>
        </w:rPr>
      </w:pPr>
      <w:r>
        <w:t xml:space="preserve">Any questions you have about grant decisions for the Program should be sent to </w:t>
      </w:r>
      <w:hyperlink r:id="rId34" w:history="1">
        <w:r w:rsidR="00AE2C8B" w:rsidRPr="006E102A">
          <w:rPr>
            <w:rFonts w:eastAsia="Times New Roman" w:cstheme="minorHAnsi"/>
            <w:color w:val="0000FF"/>
            <w:u w:val="single"/>
          </w:rPr>
          <w:t>support@communitygrants.gov.au</w:t>
        </w:r>
      </w:hyperlink>
    </w:p>
    <w:p w14:paraId="46356A2B" w14:textId="77777777" w:rsidR="001C022C" w:rsidRDefault="001C022C" w:rsidP="001C022C">
      <w:pPr>
        <w:rPr>
          <w:b/>
        </w:rPr>
      </w:pPr>
      <w:r w:rsidRPr="00A916BA">
        <w:rPr>
          <w:b/>
        </w:rPr>
        <w:t>Complaints about the Process</w:t>
      </w:r>
    </w:p>
    <w:p w14:paraId="0A36C0A7" w14:textId="13BA81A8" w:rsidR="001C022C" w:rsidRPr="00A916BA" w:rsidRDefault="00CF005E" w:rsidP="001C022C">
      <w:r>
        <w:t>The a</w:t>
      </w:r>
      <w:r w:rsidR="001C022C" w:rsidRPr="00A916BA">
        <w:t xml:space="preserve">pplicant can contact the complaints service with complaints about Community Grants Hub’s service(s) or the application process. </w:t>
      </w:r>
    </w:p>
    <w:p w14:paraId="71896FA7" w14:textId="453E6BB6" w:rsidR="001C022C" w:rsidRDefault="001C022C" w:rsidP="001C022C">
      <w:r w:rsidRPr="00A916BA">
        <w:t xml:space="preserve">Details of what constitutes an eligible complaint can be provided upon request by the Community Grants Hub.  </w:t>
      </w:r>
      <w:r w:rsidR="00CF005E">
        <w:t>The a</w:t>
      </w:r>
      <w:r w:rsidRPr="00A916BA">
        <w:t xml:space="preserve">pplicant can lodge complaints using the </w:t>
      </w:r>
      <w:hyperlink r:id="rId35"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408D4138" w14:textId="77777777" w:rsidR="00592EB3" w:rsidRDefault="00592EB3" w:rsidP="00592EB3">
      <w:pPr>
        <w:spacing w:before="0" w:after="0" w:line="240" w:lineRule="auto"/>
      </w:pPr>
    </w:p>
    <w:p w14:paraId="060BDC63" w14:textId="77777777" w:rsidR="0090794D" w:rsidRPr="00A916BA" w:rsidRDefault="0090794D" w:rsidP="00592EB3">
      <w:pPr>
        <w:spacing w:before="0" w:after="0" w:line="240" w:lineRule="auto"/>
      </w:pPr>
      <w:r>
        <w:t>Phone</w:t>
      </w:r>
      <w:r w:rsidRPr="00A916BA">
        <w:t>:</w:t>
      </w:r>
      <w:r w:rsidR="008C6A77">
        <w:tab/>
      </w:r>
      <w:r w:rsidR="008C6A77">
        <w:tab/>
      </w:r>
      <w:r w:rsidRPr="00A916BA">
        <w:t xml:space="preserve">1800 634 035 </w:t>
      </w:r>
    </w:p>
    <w:p w14:paraId="101269AE" w14:textId="77777777" w:rsidR="0090794D" w:rsidRPr="00A916BA" w:rsidRDefault="0090794D" w:rsidP="00592EB3">
      <w:pPr>
        <w:spacing w:before="0" w:after="0" w:line="240" w:lineRule="auto"/>
      </w:pPr>
      <w:r w:rsidRPr="00A916BA">
        <w:t>Mail:</w:t>
      </w:r>
      <w:r w:rsidR="008C6A77">
        <w:tab/>
      </w:r>
      <w:r w:rsidR="008C6A77">
        <w:tab/>
      </w:r>
      <w:r w:rsidRPr="00A916BA">
        <w:t>Complaints</w:t>
      </w:r>
    </w:p>
    <w:p w14:paraId="2D6CF607" w14:textId="77777777" w:rsidR="0090794D" w:rsidRPr="00A916BA" w:rsidRDefault="0090794D" w:rsidP="008C6A77">
      <w:pPr>
        <w:spacing w:before="0" w:after="0" w:line="240" w:lineRule="auto"/>
        <w:ind w:left="720" w:firstLine="720"/>
      </w:pPr>
      <w:r w:rsidRPr="00A916BA">
        <w:t>GPO Box 9820</w:t>
      </w:r>
    </w:p>
    <w:p w14:paraId="48273EC3" w14:textId="77777777" w:rsidR="0090794D" w:rsidRPr="00A916BA" w:rsidRDefault="0090794D" w:rsidP="008C6A77">
      <w:pPr>
        <w:spacing w:before="0" w:after="0" w:line="240" w:lineRule="auto"/>
        <w:ind w:left="720" w:firstLine="720"/>
      </w:pPr>
      <w:r w:rsidRPr="00A916BA">
        <w:t>Canberra ACT 2601</w:t>
      </w:r>
    </w:p>
    <w:p w14:paraId="249F9EFA" w14:textId="77777777" w:rsidR="001C022C" w:rsidRPr="00A916BA" w:rsidRDefault="001C022C" w:rsidP="001C022C">
      <w:pPr>
        <w:rPr>
          <w:b/>
        </w:rPr>
      </w:pPr>
      <w:r>
        <w:rPr>
          <w:b/>
        </w:rPr>
        <w:t>Complaints to the Ombudsman</w:t>
      </w:r>
    </w:p>
    <w:p w14:paraId="1AA29206" w14:textId="1A819B74" w:rsidR="001C022C" w:rsidRDefault="001C022C" w:rsidP="001C022C">
      <w:r>
        <w:t xml:space="preserve">If you do not agree with the way the </w:t>
      </w:r>
      <w:r w:rsidR="00A04EFF" w:rsidRPr="00F30D84">
        <w:t>Department of Social Services</w:t>
      </w:r>
      <w:r w:rsidR="008F4C2E">
        <w:rPr>
          <w:b/>
          <w:color w:val="745B00" w:themeColor="accent3" w:themeShade="80"/>
        </w:rPr>
        <w:t xml:space="preserve"> </w:t>
      </w:r>
      <w:r>
        <w:t xml:space="preserve">has handled your complaint, you may complain to the Commonwealth Ombudsman. The Ombudsman will not usually look into a complaint unless the matter has first been raised directly with the </w:t>
      </w:r>
      <w:r w:rsidR="00A04EFF" w:rsidRPr="00F30D84">
        <w:t>Department of Social Services</w:t>
      </w:r>
      <w:r>
        <w:t>.</w:t>
      </w:r>
    </w:p>
    <w:p w14:paraId="69C8A24E" w14:textId="77777777" w:rsidR="001C022C" w:rsidRDefault="001C022C" w:rsidP="001C022C">
      <w:pPr>
        <w:ind w:left="5040" w:hanging="5040"/>
      </w:pPr>
      <w:r>
        <w:t xml:space="preserve">The Commonwealth Ombudsman can be contacted on: </w:t>
      </w:r>
    </w:p>
    <w:p w14:paraId="51077808" w14:textId="77777777" w:rsidR="00302DEE" w:rsidRDefault="001C022C" w:rsidP="001C022C">
      <w:pPr>
        <w:ind w:left="1440"/>
      </w:pPr>
      <w:r>
        <w:t>Phone (Toll free): 1300 362 072</w:t>
      </w:r>
      <w:r>
        <w:br/>
        <w:t xml:space="preserve">Email: </w:t>
      </w:r>
      <w:hyperlink r:id="rId36" w:history="1">
        <w:r>
          <w:rPr>
            <w:rStyle w:val="Hyperlink"/>
          </w:rPr>
          <w:t>ombudsman@ombudsman.gov.au</w:t>
        </w:r>
      </w:hyperlink>
      <w:r>
        <w:t xml:space="preserve"> </w:t>
      </w:r>
      <w:r>
        <w:br/>
        <w:t xml:space="preserve">Website: </w:t>
      </w:r>
      <w:hyperlink r:id="rId37" w:history="1">
        <w:r>
          <w:rPr>
            <w:rStyle w:val="Hyperlink"/>
          </w:rPr>
          <w:t>www.ombudsman.gov.au</w:t>
        </w:r>
      </w:hyperlink>
    </w:p>
    <w:p w14:paraId="2694A1C0" w14:textId="77777777" w:rsidR="00340616" w:rsidRPr="00B72EE8" w:rsidRDefault="00340616" w:rsidP="00892C8B">
      <w:pPr>
        <w:pStyle w:val="Heading2Numbered"/>
        <w:ind w:left="709" w:hanging="709"/>
      </w:pPr>
      <w:bookmarkStart w:id="265" w:name="_Toc518477097"/>
      <w:r w:rsidRPr="00B72EE8">
        <w:lastRenderedPageBreak/>
        <w:t>Conflict of interest</w:t>
      </w:r>
      <w:bookmarkEnd w:id="263"/>
      <w:bookmarkEnd w:id="264"/>
      <w:bookmarkEnd w:id="265"/>
    </w:p>
    <w:p w14:paraId="2F0E0A3C" w14:textId="11896930" w:rsidR="00340616" w:rsidRPr="00B72EE8" w:rsidRDefault="00340616" w:rsidP="00340616">
      <w:r>
        <w:t xml:space="preserve">Any </w:t>
      </w:r>
      <w:r w:rsidRPr="00726710">
        <w:t xml:space="preserve">conflicts of interest could affect the performance of the grant.  There may be a </w:t>
      </w:r>
      <w:hyperlink r:id="rId38"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A04EFF" w:rsidRPr="00F30D84">
        <w:t xml:space="preserve">Department of </w:t>
      </w:r>
      <w:r w:rsidR="00A04EFF" w:rsidRPr="002D702A">
        <w:t xml:space="preserve">Social Services </w:t>
      </w:r>
      <w:r w:rsidR="00533BCE" w:rsidRPr="00366C3F">
        <w:t xml:space="preserve">and the Community Grants Hub </w:t>
      </w:r>
      <w:r w:rsidR="00DB0937" w:rsidRPr="002D702A">
        <w:t>st</w:t>
      </w:r>
      <w:r w:rsidRPr="00C1699E">
        <w:t xml:space="preserve">aff, any member of a committee or </w:t>
      </w:r>
      <w:r>
        <w:t>advisor</w:t>
      </w:r>
      <w:r w:rsidRPr="00B72EE8">
        <w:t xml:space="preserve"> and/or </w:t>
      </w:r>
      <w:r>
        <w:t>you</w:t>
      </w:r>
      <w:r w:rsidRPr="00B72EE8">
        <w:t xml:space="preserve"> or any of </w:t>
      </w:r>
      <w:r>
        <w:t xml:space="preserve">your </w:t>
      </w:r>
      <w:r w:rsidRPr="00B72EE8">
        <w:t>personnel:</w:t>
      </w:r>
    </w:p>
    <w:p w14:paraId="48AB5E36" w14:textId="77777777"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714A2338" w14:textId="27ADCF8B" w:rsidR="00340616" w:rsidRPr="00B72EE8" w:rsidRDefault="00340616" w:rsidP="00726710">
      <w:pPr>
        <w:pStyle w:val="Bullet1"/>
      </w:pPr>
      <w:r w:rsidRPr="00B72EE8">
        <w:t xml:space="preserve">has </w:t>
      </w:r>
      <w:r>
        <w:t>a relationship with an organisation</w:t>
      </w:r>
      <w:r w:rsidR="007A0CD6">
        <w:t>, or in</w:t>
      </w:r>
      <w:r w:rsidRPr="00B72EE8">
        <w:t xml:space="preserve"> an organisation, which is likely to interfere with or restrict the applicant from carrying out the proposed acti</w:t>
      </w:r>
      <w:r>
        <w:t>vities fairly and independently</w:t>
      </w:r>
      <w:r w:rsidRPr="00B72EE8">
        <w:t xml:space="preserve"> or</w:t>
      </w:r>
    </w:p>
    <w:p w14:paraId="443600DF" w14:textId="77777777" w:rsidR="00340616" w:rsidRPr="00B72EE8" w:rsidRDefault="00340616" w:rsidP="00726710">
      <w:pPr>
        <w:pStyle w:val="Bullet1"/>
      </w:pPr>
      <w:proofErr w:type="gramStart"/>
      <w:r w:rsidRPr="00B72EE8">
        <w:t>has</w:t>
      </w:r>
      <w:proofErr w:type="gramEnd"/>
      <w:r w:rsidRPr="00B72EE8">
        <w:t xml:space="preserve">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66CC49A5"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46322897" w14:textId="497A4E8A"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A04EFF" w:rsidRPr="00F30D84">
        <w:t xml:space="preserve">Department of Social </w:t>
      </w:r>
      <w:r w:rsidR="00A04EFF" w:rsidRPr="002D702A">
        <w:t>Services</w:t>
      </w:r>
      <w:r w:rsidR="00533BCE" w:rsidRPr="00366C3F">
        <w:t xml:space="preserve"> and the Community Grants Hub</w:t>
      </w:r>
      <w:r w:rsidRPr="00366C3F">
        <w:t xml:space="preserve"> </w:t>
      </w:r>
      <w:r w:rsidRPr="002D702A">
        <w:t>in writing</w:t>
      </w:r>
      <w:r w:rsidRPr="00C1699E">
        <w:t xml:space="preserve"> </w:t>
      </w:r>
      <w:r w:rsidRPr="00B72EE8">
        <w:t xml:space="preserve">immediately. </w:t>
      </w:r>
      <w:r w:rsidR="00B84656">
        <w:t xml:space="preserve"> </w:t>
      </w:r>
      <w:r>
        <w:t>Committee members and other officials including the decision maker must also declare any conflicts of interest.</w:t>
      </w:r>
    </w:p>
    <w:p w14:paraId="0D4C070B" w14:textId="0BD787B0" w:rsidR="00340616" w:rsidRPr="00B72EE8" w:rsidRDefault="00340616" w:rsidP="00340616">
      <w:r w:rsidRPr="00B72EE8">
        <w:t xml:space="preserve">The chair of the </w:t>
      </w:r>
      <w:r w:rsidR="00B84656" w:rsidRPr="00366C3F">
        <w:t>e</w:t>
      </w:r>
      <w:r w:rsidR="00647D91" w:rsidRPr="00366C3F">
        <w:t xml:space="preserve">xpert </w:t>
      </w:r>
      <w:r w:rsidR="00B84656" w:rsidRPr="00366C3F">
        <w:t>p</w:t>
      </w:r>
      <w:r w:rsidR="00647D91" w:rsidRPr="00366C3F">
        <w:t>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9"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38B6F0D6" w14:textId="77777777" w:rsidR="00340616" w:rsidRPr="00440282" w:rsidRDefault="00340616" w:rsidP="00892C8B">
      <w:pPr>
        <w:pStyle w:val="Heading2Numbered"/>
        <w:ind w:left="709" w:hanging="709"/>
      </w:pPr>
      <w:bookmarkStart w:id="266" w:name="_Toc421777634"/>
      <w:bookmarkStart w:id="267" w:name="_Toc467773993"/>
      <w:bookmarkStart w:id="268" w:name="_Toc518477098"/>
      <w:r w:rsidRPr="00B72EE8">
        <w:t>Privacy: confidentiality and protection of personal information</w:t>
      </w:r>
      <w:bookmarkEnd w:id="266"/>
      <w:bookmarkEnd w:id="267"/>
      <w:bookmarkEnd w:id="268"/>
    </w:p>
    <w:p w14:paraId="5D42124A"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4AC484D6" w14:textId="77777777" w:rsidR="00340616" w:rsidRPr="00E86A67" w:rsidRDefault="00340616" w:rsidP="00726710">
      <w:pPr>
        <w:pStyle w:val="Bullet1"/>
      </w:pPr>
      <w:r w:rsidRPr="00E86A67">
        <w:t>what personal information we collect</w:t>
      </w:r>
    </w:p>
    <w:p w14:paraId="7028EB6B" w14:textId="77777777" w:rsidR="00340616" w:rsidRPr="00E86A67" w:rsidRDefault="00340616" w:rsidP="00726710">
      <w:pPr>
        <w:pStyle w:val="Bullet1"/>
      </w:pPr>
      <w:r w:rsidRPr="00E86A67">
        <w:t>why we co</w:t>
      </w:r>
      <w:r>
        <w:t>llect your personal information</w:t>
      </w:r>
    </w:p>
    <w:p w14:paraId="6CDC545D" w14:textId="77777777" w:rsidR="00340616" w:rsidRDefault="00340616" w:rsidP="00726710">
      <w:pPr>
        <w:pStyle w:val="Bullet1"/>
      </w:pPr>
      <w:r w:rsidRPr="00E86A67">
        <w:t>who we gi</w:t>
      </w:r>
      <w:r>
        <w:t>ve your personal information to</w:t>
      </w:r>
    </w:p>
    <w:p w14:paraId="5B9D7496" w14:textId="77777777" w:rsidR="00340616" w:rsidRPr="00E86A67" w:rsidRDefault="00340616" w:rsidP="00340616">
      <w:r w:rsidRPr="00E86A67">
        <w:t xml:space="preserve">You are required, as part of your application, to declare your ability to comply with the </w:t>
      </w:r>
      <w:hyperlink r:id="rId40"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428E819F" w14:textId="4DA2C1B9"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w:t>
      </w:r>
      <w:r w:rsidR="005A5B09">
        <w:t>.  W</w:t>
      </w:r>
      <w:r w:rsidRPr="00B72EE8">
        <w:t xml:space="preserve">here disclosure is authorised or required by law or is reasonably </w:t>
      </w:r>
      <w:r w:rsidRPr="00B72EE8">
        <w:lastRenderedPageBreak/>
        <w:t>necessary for the enforcement of the criminal law</w:t>
      </w:r>
      <w:r w:rsidR="005A5B09">
        <w:t>,</w:t>
      </w:r>
      <w:r w:rsidRPr="00B72EE8">
        <w:t xml:space="preserve"> if it will prevent or lessen a serious and imminent threat to a person’s life or health</w:t>
      </w:r>
      <w:r w:rsidR="005A5B09">
        <w:t>,</w:t>
      </w:r>
      <w:r w:rsidRPr="00B72EE8">
        <w:t xml:space="preserve"> or if you have consented to the disclosure. </w:t>
      </w:r>
    </w:p>
    <w:p w14:paraId="700F9683" w14:textId="7C83D6D8" w:rsidR="00340616" w:rsidRPr="00763129" w:rsidRDefault="00340616" w:rsidP="00340616">
      <w:r w:rsidRPr="00763129">
        <w:t xml:space="preserve">The </w:t>
      </w:r>
      <w:r w:rsidRPr="00B12804">
        <w:t xml:space="preserve">Australian Government </w:t>
      </w:r>
      <w:r w:rsidRPr="00763129">
        <w:t xml:space="preserve">may also use and disclose information </w:t>
      </w:r>
      <w:r>
        <w:t xml:space="preserve">about </w:t>
      </w:r>
      <w:r w:rsidR="00CF005E">
        <w:t xml:space="preserve">the </w:t>
      </w:r>
      <w:r>
        <w:t>grant</w:t>
      </w:r>
      <w:r w:rsidRPr="00763129">
        <w:t xml:space="preserve"> applicant and </w:t>
      </w:r>
      <w:r w:rsidR="00CF005E">
        <w:t xml:space="preserve">the </w:t>
      </w:r>
      <w:r w:rsidR="00F0418B">
        <w:t>grantee</w:t>
      </w:r>
      <w:r w:rsidRPr="00763129">
        <w:t xml:space="preserve"> under the Program in any other Australian Government business or function</w:t>
      </w:r>
      <w:r>
        <w:t xml:space="preserve">. This includes giving </w:t>
      </w:r>
      <w:r w:rsidRPr="00763129">
        <w:t>information to the Australian Taxation Office for compliance purposes.</w:t>
      </w:r>
    </w:p>
    <w:p w14:paraId="210E130E"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33FDD67B"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2C19F0B8" w14:textId="77777777" w:rsidR="00340616" w:rsidRDefault="00340616" w:rsidP="00726710">
      <w:pPr>
        <w:pStyle w:val="Bullet1"/>
      </w:pPr>
      <w:r>
        <w:t>employees and contractors of other Commonwealth agencies for any purposes, including government administration, research or service delivery</w:t>
      </w:r>
    </w:p>
    <w:p w14:paraId="7A3499FB" w14:textId="77777777" w:rsidR="00340616" w:rsidRPr="0033741C" w:rsidRDefault="00340616" w:rsidP="00726710">
      <w:pPr>
        <w:pStyle w:val="Bullet1"/>
      </w:pPr>
      <w:r>
        <w:t>other Commonwealth, State, Territory or local government agencies in program reports and consultations</w:t>
      </w:r>
    </w:p>
    <w:p w14:paraId="4F043BE7" w14:textId="77777777" w:rsidR="00340616" w:rsidRPr="0033741C" w:rsidRDefault="00340616" w:rsidP="00726710">
      <w:pPr>
        <w:pStyle w:val="Bullet1"/>
      </w:pPr>
      <w:r w:rsidRPr="0033741C">
        <w:t>the Auditor-General, Ombudsman or Privacy Commissioner</w:t>
      </w:r>
    </w:p>
    <w:p w14:paraId="707AE15C" w14:textId="77777777" w:rsidR="00340616" w:rsidRPr="00BA6D16" w:rsidRDefault="00340616" w:rsidP="00726710">
      <w:pPr>
        <w:pStyle w:val="Bullet1"/>
      </w:pPr>
      <w:r w:rsidRPr="00BA6D16">
        <w:t>the responsible Minister or Parliamentary Secretary</w:t>
      </w:r>
    </w:p>
    <w:p w14:paraId="35247B76" w14:textId="77777777" w:rsidR="00340616" w:rsidRPr="0033741C" w:rsidRDefault="00340616" w:rsidP="00726710">
      <w:pPr>
        <w:pStyle w:val="Bullet1"/>
      </w:pPr>
      <w:proofErr w:type="gramStart"/>
      <w:r w:rsidRPr="0033741C">
        <w:t>a</w:t>
      </w:r>
      <w:proofErr w:type="gramEnd"/>
      <w:r w:rsidRPr="0033741C">
        <w:t xml:space="preserve"> House or a Committee of the </w:t>
      </w:r>
      <w:r>
        <w:t xml:space="preserve">Australian </w:t>
      </w:r>
      <w:r w:rsidRPr="0033741C">
        <w:t>Parliament</w:t>
      </w:r>
      <w:r>
        <w:t>.</w:t>
      </w:r>
    </w:p>
    <w:p w14:paraId="53A12D37"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69507E87" w14:textId="77777777" w:rsidR="00340616" w:rsidRPr="00726710" w:rsidRDefault="00340616" w:rsidP="00726710">
      <w:pPr>
        <w:pStyle w:val="Bullet1"/>
        <w:rPr>
          <w:i/>
        </w:rPr>
      </w:pPr>
      <w:r w:rsidRPr="00726710">
        <w:rPr>
          <w:i/>
        </w:rPr>
        <w:t>Public Service Act 1999</w:t>
      </w:r>
    </w:p>
    <w:p w14:paraId="5013024B" w14:textId="77777777" w:rsidR="00340616" w:rsidRPr="00726710" w:rsidRDefault="00340616" w:rsidP="00726710">
      <w:pPr>
        <w:pStyle w:val="Bullet1"/>
        <w:rPr>
          <w:i/>
        </w:rPr>
      </w:pPr>
      <w:r w:rsidRPr="00726710">
        <w:rPr>
          <w:i/>
        </w:rPr>
        <w:t>Public Service Regulations 1999</w:t>
      </w:r>
    </w:p>
    <w:p w14:paraId="044BDDC1" w14:textId="77777777" w:rsidR="00340616" w:rsidRPr="00726710" w:rsidRDefault="00340616" w:rsidP="00726710">
      <w:pPr>
        <w:pStyle w:val="Bullet1"/>
        <w:rPr>
          <w:i/>
        </w:rPr>
      </w:pPr>
      <w:r w:rsidRPr="00726710">
        <w:rPr>
          <w:i/>
        </w:rPr>
        <w:t>Public Governance, Performance and Accountability Act</w:t>
      </w:r>
    </w:p>
    <w:p w14:paraId="6D86D4CE" w14:textId="77777777" w:rsidR="00340616" w:rsidRPr="00726710" w:rsidRDefault="00340616" w:rsidP="00726710">
      <w:pPr>
        <w:pStyle w:val="Bullet1"/>
        <w:rPr>
          <w:i/>
        </w:rPr>
      </w:pPr>
      <w:r w:rsidRPr="00726710">
        <w:rPr>
          <w:i/>
        </w:rPr>
        <w:t xml:space="preserve">Privacy Act 1988 </w:t>
      </w:r>
    </w:p>
    <w:p w14:paraId="689EDCAB" w14:textId="77777777" w:rsidR="00340616" w:rsidRPr="00726710" w:rsidRDefault="00340616" w:rsidP="00726710">
      <w:pPr>
        <w:pStyle w:val="Bullet1"/>
        <w:rPr>
          <w:i/>
        </w:rPr>
      </w:pPr>
      <w:r w:rsidRPr="00726710">
        <w:rPr>
          <w:i/>
        </w:rPr>
        <w:t>Crimes Act 1914</w:t>
      </w:r>
    </w:p>
    <w:p w14:paraId="31847373" w14:textId="77777777" w:rsidR="00340616" w:rsidRPr="00726710" w:rsidRDefault="00340616" w:rsidP="00726710">
      <w:pPr>
        <w:pStyle w:val="Bullet1"/>
        <w:rPr>
          <w:i/>
        </w:rPr>
      </w:pPr>
      <w:r w:rsidRPr="00726710">
        <w:rPr>
          <w:i/>
        </w:rPr>
        <w:t>Criminal Code Act 1995</w:t>
      </w:r>
    </w:p>
    <w:p w14:paraId="414DC8C3" w14:textId="77EEAD45" w:rsidR="00340616" w:rsidRPr="00AB0818" w:rsidRDefault="00340616" w:rsidP="00340616">
      <w:pPr>
        <w:keepNext/>
      </w:pPr>
      <w:r w:rsidRPr="00AB0818">
        <w:t>We</w:t>
      </w:r>
      <w:r w:rsidR="00BB343F">
        <w:t xml:space="preserve"> will</w:t>
      </w:r>
      <w:r w:rsidRPr="00AB0818">
        <w:t xml:space="preserve"> treat the information you give us as sensitive and therefore confidential if it meets all of the four conditions below:</w:t>
      </w:r>
    </w:p>
    <w:p w14:paraId="601BAD57" w14:textId="77777777" w:rsidR="00340616" w:rsidRPr="00AB0818" w:rsidRDefault="00340616" w:rsidP="00726710">
      <w:pPr>
        <w:pStyle w:val="NumberedList1"/>
        <w:numPr>
          <w:ilvl w:val="0"/>
          <w:numId w:val="16"/>
        </w:numPr>
      </w:pPr>
      <w:r>
        <w:t>y</w:t>
      </w:r>
      <w:r w:rsidRPr="00AB0818">
        <w:t>ou clearly identify the information as confidential and explain why we should treat it as conf</w:t>
      </w:r>
      <w:r>
        <w:t>idential</w:t>
      </w:r>
    </w:p>
    <w:p w14:paraId="20D5CDE8" w14:textId="77777777" w:rsidR="00340616" w:rsidRPr="00AB0818" w:rsidRDefault="00340616" w:rsidP="0054078D">
      <w:pPr>
        <w:pStyle w:val="NumberedList1"/>
      </w:pPr>
      <w:r>
        <w:t>t</w:t>
      </w:r>
      <w:r w:rsidRPr="00AB0818">
        <w:t>he inform</w:t>
      </w:r>
      <w:r>
        <w:t>ation is commercially sensitive</w:t>
      </w:r>
    </w:p>
    <w:p w14:paraId="4548F4F4" w14:textId="77777777" w:rsidR="00340616" w:rsidRPr="00AB0818" w:rsidRDefault="00340616" w:rsidP="0054078D">
      <w:pPr>
        <w:pStyle w:val="NumberedList1"/>
      </w:pPr>
      <w:r>
        <w:t>r</w:t>
      </w:r>
      <w:r w:rsidRPr="00AB0818">
        <w:t>evealing the information would cause unreasona</w:t>
      </w:r>
      <w:r>
        <w:t>ble harm to you or someone else</w:t>
      </w:r>
    </w:p>
    <w:p w14:paraId="1AEA0CE9" w14:textId="77777777" w:rsidR="00340616" w:rsidRDefault="00340616" w:rsidP="0054078D">
      <w:pPr>
        <w:pStyle w:val="NumberedList1"/>
      </w:pPr>
      <w:proofErr w:type="gramStart"/>
      <w:r>
        <w:t>y</w:t>
      </w:r>
      <w:r w:rsidRPr="00AB0818">
        <w:t>ou</w:t>
      </w:r>
      <w:proofErr w:type="gramEnd"/>
      <w:r w:rsidRPr="00AB0818">
        <w:t xml:space="preserve"> provide the information with an understanding that it will stay confidential.</w:t>
      </w:r>
    </w:p>
    <w:p w14:paraId="1FFDF913"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6D490ABE" w14:textId="77777777" w:rsidR="00340616" w:rsidRPr="00B72EE8" w:rsidRDefault="00340616" w:rsidP="00892C8B">
      <w:pPr>
        <w:pStyle w:val="Heading2Numbered"/>
        <w:ind w:left="709" w:hanging="709"/>
      </w:pPr>
      <w:bookmarkStart w:id="269" w:name="_Toc421777635"/>
      <w:bookmarkStart w:id="270" w:name="_Toc467773994"/>
      <w:bookmarkStart w:id="271" w:name="_Toc518477099"/>
      <w:r w:rsidRPr="00B72EE8">
        <w:lastRenderedPageBreak/>
        <w:t>Freedom of information</w:t>
      </w:r>
      <w:bookmarkEnd w:id="269"/>
      <w:bookmarkEnd w:id="270"/>
      <w:bookmarkEnd w:id="271"/>
    </w:p>
    <w:p w14:paraId="4EEBF371"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4CE713B6"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7EC08E7" w14:textId="27EDCA25" w:rsidR="00340616" w:rsidRDefault="00340616" w:rsidP="00DC1B34">
      <w:r w:rsidRPr="00B72EE8">
        <w:t>All F</w:t>
      </w:r>
      <w:r>
        <w:t xml:space="preserve">reedom of Information </w:t>
      </w:r>
      <w:r w:rsidRPr="00B72EE8">
        <w:t>requests must be referred to the Freedom of Information</w:t>
      </w:r>
      <w:r w:rsidR="00DC1B34">
        <w:t xml:space="preserve"> </w:t>
      </w:r>
      <w:r w:rsidRPr="00B72EE8">
        <w:t>Coordinator in writing.</w:t>
      </w:r>
    </w:p>
    <w:p w14:paraId="1D2BF7EE" w14:textId="77777777" w:rsidR="00DC1B34" w:rsidRPr="00B72EE8" w:rsidRDefault="00DC1B34" w:rsidP="00DC1B34">
      <w:pPr>
        <w:suppressAutoHyphens w:val="0"/>
        <w:spacing w:before="0" w:after="0" w:line="440" w:lineRule="atLeast"/>
      </w:pPr>
    </w:p>
    <w:p w14:paraId="151E7351"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4C3AA565"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00E7EBA9" w14:textId="77777777" w:rsidR="00533BCE" w:rsidRPr="00A9798A" w:rsidRDefault="00192E36" w:rsidP="00A9798A">
      <w:pPr>
        <w:tabs>
          <w:tab w:val="left" w:pos="1418"/>
        </w:tabs>
        <w:spacing w:before="0" w:after="0" w:line="240" w:lineRule="auto"/>
        <w:ind w:left="2836" w:hanging="1418"/>
      </w:pPr>
      <w:r>
        <w:t>Government and Executive Services Branch</w:t>
      </w:r>
    </w:p>
    <w:p w14:paraId="5C486F4F" w14:textId="77777777" w:rsidR="00533BCE" w:rsidRPr="00A9798A" w:rsidRDefault="00533BCE" w:rsidP="00A9798A">
      <w:pPr>
        <w:tabs>
          <w:tab w:val="left" w:pos="1418"/>
        </w:tabs>
        <w:spacing w:before="0" w:after="0" w:line="240" w:lineRule="auto"/>
        <w:ind w:left="2836" w:hanging="1418"/>
      </w:pPr>
      <w:r w:rsidRPr="00A9798A">
        <w:t>GPO Box 9820</w:t>
      </w:r>
    </w:p>
    <w:p w14:paraId="61E31D63" w14:textId="77777777" w:rsidR="00533BCE" w:rsidRPr="00A9798A" w:rsidRDefault="00533BCE" w:rsidP="00A9798A">
      <w:pPr>
        <w:tabs>
          <w:tab w:val="left" w:pos="1418"/>
        </w:tabs>
        <w:spacing w:before="0" w:after="0" w:line="240" w:lineRule="auto"/>
        <w:ind w:left="2836" w:hanging="1418"/>
      </w:pPr>
      <w:proofErr w:type="gramStart"/>
      <w:r w:rsidRPr="00A9798A">
        <w:t>Canberra  ACT</w:t>
      </w:r>
      <w:proofErr w:type="gramEnd"/>
      <w:r w:rsidRPr="00A9798A">
        <w:t xml:space="preserve">  2601</w:t>
      </w:r>
    </w:p>
    <w:p w14:paraId="60EB55A6" w14:textId="77777777" w:rsidR="00340616" w:rsidRPr="00B72EE8" w:rsidRDefault="00340616" w:rsidP="00340616">
      <w:r w:rsidRPr="00B72EE8">
        <w:t>By email:</w:t>
      </w:r>
      <w:r w:rsidRPr="00B72EE8">
        <w:tab/>
      </w:r>
      <w:hyperlink r:id="rId41" w:history="1">
        <w:r w:rsidR="00533BCE" w:rsidRPr="00367A67">
          <w:rPr>
            <w:rStyle w:val="Hyperlink"/>
            <w:rFonts w:cstheme="minorBidi"/>
          </w:rPr>
          <w:t>foi@dss.gov.au</w:t>
        </w:r>
      </w:hyperlink>
      <w:r w:rsidR="00533BCE" w:rsidRPr="00367A67">
        <w:rPr>
          <w:color w:val="745B00" w:themeColor="accent3" w:themeShade="80"/>
        </w:rPr>
        <w:t xml:space="preserve"> </w:t>
      </w:r>
    </w:p>
    <w:p w14:paraId="3F41B6B8" w14:textId="77777777" w:rsidR="00340616" w:rsidRPr="00B72EE8" w:rsidRDefault="00340616" w:rsidP="0054078D">
      <w:pPr>
        <w:pStyle w:val="Heading1Numbered"/>
      </w:pPr>
      <w:bookmarkStart w:id="272" w:name="_Toc421777637"/>
      <w:bookmarkStart w:id="273" w:name="_Toc467773995"/>
      <w:bookmarkStart w:id="274" w:name="_Toc518477100"/>
      <w:r w:rsidRPr="00B72EE8">
        <w:t>Consultation</w:t>
      </w:r>
      <w:bookmarkEnd w:id="272"/>
      <w:bookmarkEnd w:id="273"/>
      <w:bookmarkEnd w:id="274"/>
    </w:p>
    <w:p w14:paraId="03F44C8C" w14:textId="7A20A0B3" w:rsidR="00AE2C8B" w:rsidRDefault="00AE2C8B" w:rsidP="00AE2C8B">
      <w:r w:rsidRPr="00396BB6">
        <w:t>In January 2017, the Department commenced a consultation process for the redesign</w:t>
      </w:r>
      <w:r>
        <w:t xml:space="preserve"> of the </w:t>
      </w:r>
      <w:r w:rsidR="00D66643">
        <w:t>Financial Wellbeing and Capability</w:t>
      </w:r>
      <w:r>
        <w:t xml:space="preserve"> Activity</w:t>
      </w:r>
      <w:r w:rsidRPr="00396BB6">
        <w:t xml:space="preserve">. </w:t>
      </w:r>
      <w:r w:rsidR="0098781B">
        <w:t xml:space="preserve"> </w:t>
      </w:r>
      <w:r w:rsidRPr="00396BB6">
        <w:t xml:space="preserve">This included releasing a discussion paper in February 2017. </w:t>
      </w:r>
      <w:r w:rsidR="0098781B">
        <w:t xml:space="preserve"> </w:t>
      </w:r>
      <w:r w:rsidRPr="00396BB6">
        <w:t xml:space="preserve">Additionally, some face-to-face meetings were held with selected peak organisations. </w:t>
      </w:r>
    </w:p>
    <w:p w14:paraId="4E2946D0" w14:textId="4A9282ED" w:rsidR="00366C3F" w:rsidRDefault="00AE2C8B" w:rsidP="00AE2C8B">
      <w:r w:rsidRPr="00396BB6">
        <w:t>The Department received around 100 submissions on the discussion paper, mostly from F</w:t>
      </w:r>
      <w:r>
        <w:t>inancial Wellbeing and Capability</w:t>
      </w:r>
      <w:r w:rsidRPr="00396BB6">
        <w:t xml:space="preserve"> funded organisations. </w:t>
      </w:r>
      <w:r w:rsidR="0098781B">
        <w:t xml:space="preserve"> </w:t>
      </w:r>
      <w:r w:rsidRPr="00396BB6">
        <w:t>All submissions were analysed and considered in the development of the redesign.</w:t>
      </w:r>
    </w:p>
    <w:p w14:paraId="71B59B15" w14:textId="77777777" w:rsidR="00366C3F" w:rsidRDefault="00366C3F">
      <w:pPr>
        <w:suppressAutoHyphens w:val="0"/>
        <w:spacing w:before="0" w:after="120" w:line="440" w:lineRule="atLeast"/>
      </w:pPr>
      <w:r>
        <w:br w:type="page"/>
      </w:r>
    </w:p>
    <w:p w14:paraId="6EB4E5B0" w14:textId="4FBD8C08" w:rsidR="00340616" w:rsidRDefault="00340616" w:rsidP="0054078D">
      <w:pPr>
        <w:pStyle w:val="Heading1Numbered"/>
      </w:pPr>
      <w:bookmarkStart w:id="275" w:name="_Toc514151578"/>
      <w:bookmarkStart w:id="276" w:name="_Toc514680164"/>
      <w:bookmarkStart w:id="277" w:name="_Toc514923522"/>
      <w:bookmarkStart w:id="278" w:name="_Toc467773996"/>
      <w:bookmarkStart w:id="279" w:name="_Toc518477101"/>
      <w:bookmarkEnd w:id="275"/>
      <w:bookmarkEnd w:id="276"/>
      <w:bookmarkEnd w:id="277"/>
      <w:r w:rsidRPr="00B72EE8">
        <w:lastRenderedPageBreak/>
        <w:t>Glossary</w:t>
      </w:r>
      <w:bookmarkEnd w:id="278"/>
      <w:bookmarkEnd w:id="279"/>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2F3AE625" w14:textId="77777777" w:rsidTr="002A2026">
        <w:trPr>
          <w:tblHeader/>
        </w:trPr>
        <w:tc>
          <w:tcPr>
            <w:tcW w:w="2513" w:type="dxa"/>
          </w:tcPr>
          <w:p w14:paraId="062DEFD5" w14:textId="77777777" w:rsidR="0003793B" w:rsidRPr="00FF507B" w:rsidRDefault="0003793B" w:rsidP="002A2026">
            <w:pPr>
              <w:tabs>
                <w:tab w:val="left" w:pos="2835"/>
              </w:tabs>
              <w:spacing w:after="120"/>
            </w:pPr>
            <w:r w:rsidRPr="00FF507B">
              <w:rPr>
                <w:b/>
              </w:rPr>
              <w:t>Term</w:t>
            </w:r>
          </w:p>
        </w:tc>
        <w:tc>
          <w:tcPr>
            <w:tcW w:w="6395" w:type="dxa"/>
          </w:tcPr>
          <w:p w14:paraId="2B5677B3"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7F97FE45" w14:textId="77777777" w:rsidTr="002A2026">
        <w:tc>
          <w:tcPr>
            <w:tcW w:w="2513" w:type="dxa"/>
          </w:tcPr>
          <w:p w14:paraId="019BE44D" w14:textId="77777777" w:rsidR="0003793B" w:rsidRDefault="0003793B" w:rsidP="002A2026">
            <w:pPr>
              <w:tabs>
                <w:tab w:val="left" w:pos="2835"/>
              </w:tabs>
              <w:spacing w:after="120"/>
            </w:pPr>
            <w:r w:rsidRPr="001B21A4">
              <w:t>assessment criteria</w:t>
            </w:r>
          </w:p>
        </w:tc>
        <w:tc>
          <w:tcPr>
            <w:tcW w:w="6395" w:type="dxa"/>
          </w:tcPr>
          <w:p w14:paraId="5491FCB1"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5C88F283" w14:textId="77777777" w:rsidTr="002A2026">
        <w:tc>
          <w:tcPr>
            <w:tcW w:w="2513" w:type="dxa"/>
          </w:tcPr>
          <w:p w14:paraId="05029EEC" w14:textId="77777777" w:rsidR="0003793B" w:rsidRPr="00463AB3" w:rsidRDefault="0003793B" w:rsidP="002A2026">
            <w:pPr>
              <w:tabs>
                <w:tab w:val="left" w:pos="2835"/>
              </w:tabs>
              <w:spacing w:after="120"/>
            </w:pPr>
            <w:r>
              <w:t>c</w:t>
            </w:r>
            <w:r w:rsidRPr="00463AB3">
              <w:t>ommencement date</w:t>
            </w:r>
          </w:p>
        </w:tc>
        <w:tc>
          <w:tcPr>
            <w:tcW w:w="6395" w:type="dxa"/>
          </w:tcPr>
          <w:p w14:paraId="50976EF8"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1596D132" w14:textId="77777777" w:rsidTr="002A2026">
        <w:tc>
          <w:tcPr>
            <w:tcW w:w="2513" w:type="dxa"/>
          </w:tcPr>
          <w:p w14:paraId="0CCC844E" w14:textId="77777777" w:rsidR="0003793B" w:rsidRPr="00463AB3" w:rsidRDefault="0003793B" w:rsidP="002A2026">
            <w:pPr>
              <w:tabs>
                <w:tab w:val="left" w:pos="2835"/>
              </w:tabs>
              <w:spacing w:after="120"/>
            </w:pPr>
            <w:r>
              <w:t>c</w:t>
            </w:r>
            <w:r w:rsidRPr="00463AB3">
              <w:t>ompletion date</w:t>
            </w:r>
          </w:p>
        </w:tc>
        <w:tc>
          <w:tcPr>
            <w:tcW w:w="6395" w:type="dxa"/>
          </w:tcPr>
          <w:p w14:paraId="1CFC495A"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346A514C" w14:textId="77777777" w:rsidTr="002A2026">
        <w:tc>
          <w:tcPr>
            <w:tcW w:w="2513" w:type="dxa"/>
          </w:tcPr>
          <w:p w14:paraId="55E43A4A"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2F9CFB88"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14:paraId="3AEB334F" w14:textId="77777777" w:rsidTr="002A2026">
        <w:tc>
          <w:tcPr>
            <w:tcW w:w="2513" w:type="dxa"/>
          </w:tcPr>
          <w:p w14:paraId="6DBD8F9F" w14:textId="77777777" w:rsidR="0003793B" w:rsidRPr="001B21A4" w:rsidRDefault="0003793B" w:rsidP="002A2026">
            <w:pPr>
              <w:spacing w:after="120"/>
            </w:pPr>
            <w:r w:rsidRPr="0007627E">
              <w:t xml:space="preserve">cost shifting </w:t>
            </w:r>
          </w:p>
        </w:tc>
        <w:tc>
          <w:tcPr>
            <w:tcW w:w="6395" w:type="dxa"/>
          </w:tcPr>
          <w:p w14:paraId="1C3BBDC0"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03793B" w:rsidRPr="001B21A4" w14:paraId="0D47A50B" w14:textId="77777777" w:rsidTr="002A2026">
        <w:tc>
          <w:tcPr>
            <w:tcW w:w="2513" w:type="dxa"/>
          </w:tcPr>
          <w:p w14:paraId="6C1C3F41" w14:textId="77777777" w:rsidR="0003793B" w:rsidRDefault="0003793B" w:rsidP="002A2026">
            <w:r>
              <w:t>date of effect</w:t>
            </w:r>
          </w:p>
        </w:tc>
        <w:tc>
          <w:tcPr>
            <w:tcW w:w="6395" w:type="dxa"/>
          </w:tcPr>
          <w:p w14:paraId="12B38D7D" w14:textId="77777777"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1A81F355" w14:textId="77777777" w:rsidTr="002A2026">
        <w:tc>
          <w:tcPr>
            <w:tcW w:w="2513" w:type="dxa"/>
          </w:tcPr>
          <w:p w14:paraId="1093460E" w14:textId="77777777" w:rsidR="0003793B" w:rsidRPr="001B21A4" w:rsidRDefault="0003793B" w:rsidP="002A2026">
            <w:r w:rsidRPr="001B21A4">
              <w:t>decision maker</w:t>
            </w:r>
          </w:p>
        </w:tc>
        <w:tc>
          <w:tcPr>
            <w:tcW w:w="6395" w:type="dxa"/>
          </w:tcPr>
          <w:p w14:paraId="7CF33D41" w14:textId="77777777" w:rsidR="0003793B" w:rsidRPr="00710FAB" w:rsidRDefault="0003793B" w:rsidP="002A2026">
            <w:r w:rsidRPr="00710FAB">
              <w:rPr>
                <w:rFonts w:cs="Arial"/>
                <w:lang w:eastAsia="en-AU"/>
              </w:rPr>
              <w:t>The person who makes a decision to award a grant.</w:t>
            </w:r>
          </w:p>
        </w:tc>
      </w:tr>
      <w:tr w:rsidR="0003793B" w:rsidRPr="001B21A4" w14:paraId="64A22B53" w14:textId="77777777" w:rsidTr="002A2026">
        <w:tc>
          <w:tcPr>
            <w:tcW w:w="2513" w:type="dxa"/>
          </w:tcPr>
          <w:p w14:paraId="0660BC27" w14:textId="77777777" w:rsidR="0003793B" w:rsidRPr="001B21A4" w:rsidRDefault="0003793B" w:rsidP="002A2026">
            <w:r>
              <w:t>double dipping</w:t>
            </w:r>
          </w:p>
        </w:tc>
        <w:tc>
          <w:tcPr>
            <w:tcW w:w="6395" w:type="dxa"/>
          </w:tcPr>
          <w:p w14:paraId="481EE774" w14:textId="26E4D57B" w:rsidR="0003793B" w:rsidRPr="00710FAB" w:rsidRDefault="0003793B" w:rsidP="002A2026">
            <w:r w:rsidRPr="00710FAB">
              <w:t xml:space="preserve">Double dipping occurs where a </w:t>
            </w:r>
            <w:r w:rsidR="00F0418B">
              <w:t>grantee</w:t>
            </w:r>
            <w:r w:rsidRPr="00710FAB">
              <w:t xml:space="preserve"> is able to obtain </w:t>
            </w:r>
            <w:r>
              <w:t xml:space="preserve">a </w:t>
            </w:r>
            <w:r w:rsidRPr="00710FAB">
              <w:t>gra</w:t>
            </w:r>
            <w:r>
              <w:t xml:space="preserve">nt </w:t>
            </w:r>
            <w:r w:rsidRPr="00710FAB">
              <w:t xml:space="preserve">for the same project or activity from more than one source. </w:t>
            </w:r>
          </w:p>
        </w:tc>
      </w:tr>
      <w:tr w:rsidR="0003793B" w:rsidRPr="001B21A4" w14:paraId="1FF74244" w14:textId="77777777" w:rsidTr="002A2026">
        <w:tc>
          <w:tcPr>
            <w:tcW w:w="2513" w:type="dxa"/>
          </w:tcPr>
          <w:p w14:paraId="3C64F55B" w14:textId="77777777" w:rsidR="0003793B" w:rsidRPr="001B21A4" w:rsidRDefault="0003793B" w:rsidP="002A2026">
            <w:pPr>
              <w:tabs>
                <w:tab w:val="left" w:pos="2835"/>
              </w:tabs>
              <w:spacing w:after="120"/>
            </w:pPr>
            <w:r w:rsidRPr="001B21A4">
              <w:t>eligibility criteria</w:t>
            </w:r>
          </w:p>
        </w:tc>
        <w:tc>
          <w:tcPr>
            <w:tcW w:w="6395" w:type="dxa"/>
          </w:tcPr>
          <w:p w14:paraId="0825749C"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E12860" w:rsidRPr="00463AB3" w14:paraId="666F4FB7" w14:textId="77777777" w:rsidTr="002A2026">
        <w:tc>
          <w:tcPr>
            <w:tcW w:w="2513" w:type="dxa"/>
          </w:tcPr>
          <w:p w14:paraId="6BB5EA04" w14:textId="77777777" w:rsidR="00E12860" w:rsidRPr="00463AB3" w:rsidRDefault="00D16C3F" w:rsidP="002A2026">
            <w:pPr>
              <w:tabs>
                <w:tab w:val="left" w:pos="2835"/>
              </w:tabs>
              <w:spacing w:after="120"/>
              <w:rPr>
                <w:rFonts w:cs="Arial"/>
                <w:lang w:eastAsia="en-AU"/>
              </w:rPr>
            </w:pPr>
            <w:r w:rsidRPr="00D16C3F">
              <w:rPr>
                <w:rFonts w:cs="Arial"/>
                <w:lang w:eastAsia="en-AU"/>
              </w:rPr>
              <w:t>funding arrangement manager</w:t>
            </w:r>
          </w:p>
        </w:tc>
        <w:tc>
          <w:tcPr>
            <w:tcW w:w="6395" w:type="dxa"/>
          </w:tcPr>
          <w:p w14:paraId="3CDF87F3" w14:textId="77777777" w:rsidR="00E12860" w:rsidRDefault="00D16C3F" w:rsidP="00D16C3F">
            <w:pPr>
              <w:rPr>
                <w:lang w:eastAsia="en-AU"/>
              </w:rPr>
            </w:pPr>
            <w:r w:rsidRPr="00D16C3F">
              <w:rPr>
                <w:lang w:eastAsia="en-AU"/>
              </w:rPr>
              <w:t xml:space="preserve">The person in the agency responsible for the process of engaging and working with </w:t>
            </w:r>
            <w:r>
              <w:rPr>
                <w:lang w:eastAsia="en-AU"/>
              </w:rPr>
              <w:t>grantees</w:t>
            </w:r>
            <w:r w:rsidRPr="00D16C3F">
              <w:rPr>
                <w:lang w:eastAsia="en-AU"/>
              </w:rPr>
              <w:t xml:space="preserve"> to provide support and ensure reporting requirements and outcomes under the Agreement are met and related funds are effectively managed.</w:t>
            </w:r>
          </w:p>
        </w:tc>
      </w:tr>
      <w:tr w:rsidR="0003793B" w:rsidRPr="00463AB3" w14:paraId="18186168" w14:textId="77777777" w:rsidTr="002A2026">
        <w:tc>
          <w:tcPr>
            <w:tcW w:w="2513" w:type="dxa"/>
          </w:tcPr>
          <w:p w14:paraId="57520289" w14:textId="77777777" w:rsidR="0003793B" w:rsidRPr="00463AB3" w:rsidRDefault="0003793B" w:rsidP="002A2026">
            <w:pPr>
              <w:tabs>
                <w:tab w:val="left" w:pos="2835"/>
              </w:tabs>
              <w:spacing w:after="120"/>
            </w:pPr>
            <w:r w:rsidRPr="00463AB3">
              <w:rPr>
                <w:rFonts w:cs="Arial"/>
                <w:lang w:eastAsia="en-AU"/>
              </w:rPr>
              <w:lastRenderedPageBreak/>
              <w:t xml:space="preserve">grant </w:t>
            </w:r>
          </w:p>
        </w:tc>
        <w:tc>
          <w:tcPr>
            <w:tcW w:w="6395" w:type="dxa"/>
          </w:tcPr>
          <w:p w14:paraId="0038208F"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0445B8D0" w14:textId="77777777" w:rsidR="0003793B" w:rsidRDefault="0003793B" w:rsidP="002A2026">
            <w:pPr>
              <w:numPr>
                <w:ilvl w:val="0"/>
                <w:numId w:val="28"/>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01CFB326" w14:textId="77777777" w:rsidR="0003793B" w:rsidRPr="00190651" w:rsidRDefault="0003793B" w:rsidP="002A2026">
            <w:pPr>
              <w:numPr>
                <w:ilvl w:val="0"/>
                <w:numId w:val="28"/>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14:paraId="6F322700" w14:textId="77777777" w:rsidTr="002A2026">
        <w:tc>
          <w:tcPr>
            <w:tcW w:w="2513" w:type="dxa"/>
          </w:tcPr>
          <w:p w14:paraId="7A5D809B" w14:textId="77777777" w:rsidR="0003793B" w:rsidRPr="0007627E" w:rsidRDefault="0003793B" w:rsidP="002A2026">
            <w:pPr>
              <w:tabs>
                <w:tab w:val="left" w:pos="2835"/>
              </w:tabs>
              <w:spacing w:after="120"/>
            </w:pPr>
            <w:r>
              <w:t xml:space="preserve">grant </w:t>
            </w:r>
            <w:r w:rsidRPr="001B21A4">
              <w:t>activity</w:t>
            </w:r>
          </w:p>
        </w:tc>
        <w:tc>
          <w:tcPr>
            <w:tcW w:w="6395" w:type="dxa"/>
          </w:tcPr>
          <w:p w14:paraId="701BA266"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03793B" w:rsidRPr="001B21A4" w14:paraId="684A6FDD" w14:textId="77777777" w:rsidTr="002A2026">
        <w:tc>
          <w:tcPr>
            <w:tcW w:w="2513" w:type="dxa"/>
          </w:tcPr>
          <w:p w14:paraId="720F2641" w14:textId="77777777" w:rsidR="0003793B" w:rsidRPr="001B21A4" w:rsidRDefault="0003793B" w:rsidP="002A2026">
            <w:pPr>
              <w:tabs>
                <w:tab w:val="left" w:pos="2835"/>
              </w:tabs>
              <w:spacing w:after="120"/>
            </w:pPr>
            <w:r w:rsidRPr="001B21A4">
              <w:t>grant agreement</w:t>
            </w:r>
          </w:p>
        </w:tc>
        <w:tc>
          <w:tcPr>
            <w:tcW w:w="6395" w:type="dxa"/>
          </w:tcPr>
          <w:p w14:paraId="4A3B842C" w14:textId="10FEBB52" w:rsidR="0003793B" w:rsidRPr="00710FAB" w:rsidRDefault="00116B22" w:rsidP="00710966">
            <w:pPr>
              <w:tabs>
                <w:tab w:val="left" w:pos="2835"/>
              </w:tabs>
              <w:spacing w:after="120"/>
            </w:pPr>
            <w:r w:rsidRPr="002E022B">
              <w:t>S</w:t>
            </w:r>
            <w:r>
              <w:t>ets out the relationship between the parties to the agreement, and specifies the details of the grant.</w:t>
            </w:r>
          </w:p>
        </w:tc>
      </w:tr>
      <w:tr w:rsidR="0003793B" w:rsidRPr="001B21A4" w14:paraId="0A090BE5" w14:textId="77777777" w:rsidTr="002A2026">
        <w:tc>
          <w:tcPr>
            <w:tcW w:w="2513" w:type="dxa"/>
          </w:tcPr>
          <w:p w14:paraId="0AB25000" w14:textId="77777777" w:rsidR="0003793B" w:rsidRPr="001B21A4" w:rsidRDefault="0003793B" w:rsidP="002A2026">
            <w:pPr>
              <w:tabs>
                <w:tab w:val="left" w:pos="2835"/>
              </w:tabs>
              <w:spacing w:after="120"/>
            </w:pPr>
            <w:r>
              <w:t>grant opportunity</w:t>
            </w:r>
          </w:p>
        </w:tc>
        <w:tc>
          <w:tcPr>
            <w:tcW w:w="6395" w:type="dxa"/>
          </w:tcPr>
          <w:p w14:paraId="75B3B3E3" w14:textId="77777777" w:rsidR="0003793B" w:rsidRPr="00710FAB" w:rsidRDefault="0003793B" w:rsidP="002A2026">
            <w:pPr>
              <w:tabs>
                <w:tab w:val="left" w:pos="2835"/>
              </w:tabs>
              <w:spacing w:after="120"/>
            </w:pPr>
            <w:r w:rsidRPr="00710FAB">
              <w:t xml:space="preserve">A notice published on </w:t>
            </w:r>
            <w:proofErr w:type="spellStart"/>
            <w:r w:rsidRPr="00710FAB">
              <w:t>GrantConnect</w:t>
            </w:r>
            <w:proofErr w:type="spellEnd"/>
            <w:r w:rsidRPr="00710FAB">
              <w:t xml:space="preserve"> advertising the availability of Commonwealth grants. </w:t>
            </w:r>
          </w:p>
        </w:tc>
      </w:tr>
      <w:tr w:rsidR="0003793B" w:rsidRPr="001B21A4" w14:paraId="21DAD255" w14:textId="77777777" w:rsidTr="002A2026">
        <w:tc>
          <w:tcPr>
            <w:tcW w:w="2513" w:type="dxa"/>
          </w:tcPr>
          <w:p w14:paraId="181A108F" w14:textId="77777777" w:rsidR="0003793B" w:rsidRPr="001B21A4" w:rsidRDefault="0003793B" w:rsidP="002A2026">
            <w:pPr>
              <w:tabs>
                <w:tab w:val="left" w:pos="2835"/>
              </w:tabs>
              <w:spacing w:after="120"/>
            </w:pPr>
            <w:r w:rsidRPr="001B21A4">
              <w:t xml:space="preserve">grant </w:t>
            </w:r>
            <w:r>
              <w:t>program</w:t>
            </w:r>
          </w:p>
        </w:tc>
        <w:tc>
          <w:tcPr>
            <w:tcW w:w="6395" w:type="dxa"/>
          </w:tcPr>
          <w:p w14:paraId="3AF9F28D" w14:textId="77777777" w:rsidR="0003793B" w:rsidRPr="00710FAB" w:rsidRDefault="0003793B" w:rsidP="002A2026">
            <w:pPr>
              <w:tabs>
                <w:tab w:val="left" w:pos="2835"/>
              </w:tabs>
              <w:spacing w:after="120"/>
            </w:pPr>
            <w:r w:rsidRPr="00710FAB">
              <w:rPr>
                <w:rFonts w:cs="Arial"/>
              </w:rPr>
              <w:t xml:space="preserve">May be advertised within the ‘Forecast Opportunity’ (FO) section of </w:t>
            </w:r>
            <w:proofErr w:type="spellStart"/>
            <w:r w:rsidRPr="00710FAB">
              <w:rPr>
                <w:rFonts w:cs="Arial"/>
              </w:rPr>
              <w:t>GrantConnect</w:t>
            </w:r>
            <w:proofErr w:type="spellEnd"/>
            <w:r w:rsidRPr="00710FAB">
              <w:rPr>
                <w:rFonts w:cs="Arial"/>
              </w:rPr>
              <w:t xml:space="preserve"> to provide a consolidated view of associated grant opportunities and provide strategic context for specific grant opportunities</w:t>
            </w:r>
          </w:p>
        </w:tc>
      </w:tr>
      <w:tr w:rsidR="0003793B" w:rsidRPr="001B21A4" w14:paraId="5611E238" w14:textId="77777777" w:rsidTr="002A2026">
        <w:tc>
          <w:tcPr>
            <w:tcW w:w="2513" w:type="dxa"/>
          </w:tcPr>
          <w:p w14:paraId="62C3C8D0" w14:textId="77777777" w:rsidR="0003793B" w:rsidRPr="001B21A4" w:rsidRDefault="0003793B" w:rsidP="002A2026">
            <w:pPr>
              <w:tabs>
                <w:tab w:val="left" w:pos="2835"/>
              </w:tabs>
              <w:spacing w:after="120"/>
            </w:pPr>
            <w:r>
              <w:t>grantee</w:t>
            </w:r>
          </w:p>
        </w:tc>
        <w:tc>
          <w:tcPr>
            <w:tcW w:w="6395" w:type="dxa"/>
          </w:tcPr>
          <w:p w14:paraId="0BFBCDC6" w14:textId="77777777" w:rsidR="0003793B" w:rsidRPr="00710FAB" w:rsidRDefault="0003793B" w:rsidP="002A2026">
            <w:pPr>
              <w:tabs>
                <w:tab w:val="left" w:pos="2835"/>
              </w:tabs>
              <w:spacing w:after="120"/>
            </w:pPr>
            <w:r w:rsidRPr="00710FAB">
              <w:t xml:space="preserve">An individual/organisation that has been awarded a grant. </w:t>
            </w:r>
          </w:p>
        </w:tc>
      </w:tr>
      <w:tr w:rsidR="000A28BC" w:rsidRPr="001B21A4" w14:paraId="1500F4A2" w14:textId="77777777" w:rsidTr="002A2026">
        <w:tc>
          <w:tcPr>
            <w:tcW w:w="2513" w:type="dxa"/>
          </w:tcPr>
          <w:p w14:paraId="6649B3B0" w14:textId="231FC9E8" w:rsidR="000A28BC" w:rsidRDefault="000A28BC" w:rsidP="002A2026">
            <w:pPr>
              <w:tabs>
                <w:tab w:val="left" w:pos="2835"/>
              </w:tabs>
              <w:spacing w:after="120"/>
            </w:pPr>
            <w:r>
              <w:t>invitee</w:t>
            </w:r>
          </w:p>
        </w:tc>
        <w:tc>
          <w:tcPr>
            <w:tcW w:w="6395" w:type="dxa"/>
          </w:tcPr>
          <w:p w14:paraId="60B0A45C" w14:textId="77777777" w:rsidR="000A28BC" w:rsidRPr="000A28BC" w:rsidRDefault="000A28BC" w:rsidP="000A28BC">
            <w:pPr>
              <w:tabs>
                <w:tab w:val="left" w:pos="2835"/>
              </w:tabs>
              <w:spacing w:before="60"/>
              <w:rPr>
                <w:rFonts w:cs="Arial"/>
              </w:rPr>
            </w:pPr>
            <w:r w:rsidRPr="000A28BC">
              <w:rPr>
                <w:rFonts w:cs="Arial"/>
              </w:rPr>
              <w:t>An individual/organisation that has been invited to apply for a</w:t>
            </w:r>
          </w:p>
          <w:p w14:paraId="347F5C34" w14:textId="739E34DC" w:rsidR="000A28BC" w:rsidRPr="00710FAB" w:rsidRDefault="000A28BC" w:rsidP="000A28BC">
            <w:pPr>
              <w:tabs>
                <w:tab w:val="left" w:pos="2835"/>
              </w:tabs>
              <w:spacing w:before="60"/>
            </w:pPr>
            <w:proofErr w:type="gramStart"/>
            <w:r w:rsidRPr="000A28BC">
              <w:rPr>
                <w:rFonts w:cs="Arial"/>
              </w:rPr>
              <w:t>specific</w:t>
            </w:r>
            <w:proofErr w:type="gramEnd"/>
            <w:r w:rsidRPr="000A28BC">
              <w:rPr>
                <w:rFonts w:cs="Arial"/>
              </w:rPr>
              <w:t xml:space="preserve"> grant opportunity.</w:t>
            </w:r>
          </w:p>
        </w:tc>
      </w:tr>
      <w:tr w:rsidR="00115F8C" w:rsidRPr="00463AB3" w14:paraId="25DF774F" w14:textId="77777777" w:rsidTr="002A2026">
        <w:tc>
          <w:tcPr>
            <w:tcW w:w="2513" w:type="dxa"/>
          </w:tcPr>
          <w:p w14:paraId="5A0CBBD0" w14:textId="3437FDD0" w:rsidR="00115F8C" w:rsidRPr="00463AB3" w:rsidRDefault="00115F8C" w:rsidP="00115F8C">
            <w:pPr>
              <w:tabs>
                <w:tab w:val="left" w:pos="2835"/>
              </w:tabs>
              <w:spacing w:after="120"/>
            </w:pPr>
            <w:r>
              <w:t>Microfinance Products</w:t>
            </w:r>
          </w:p>
        </w:tc>
        <w:tc>
          <w:tcPr>
            <w:tcW w:w="6395" w:type="dxa"/>
          </w:tcPr>
          <w:p w14:paraId="358E0EED" w14:textId="6310EF99" w:rsidR="00115F8C" w:rsidRPr="00463AB3" w:rsidRDefault="00115F8C" w:rsidP="00115F8C">
            <w:pPr>
              <w:tabs>
                <w:tab w:val="left" w:pos="2835"/>
              </w:tabs>
              <w:spacing w:after="120"/>
              <w:rPr>
                <w:rFonts w:cs="Arial"/>
              </w:rPr>
            </w:pPr>
            <w:r>
              <w:t>S</w:t>
            </w:r>
            <w:r w:rsidRPr="0098005C">
              <w:t>afe and affordable financial products that are not available through mainstream providers of financial services</w:t>
            </w:r>
            <w:r>
              <w:t xml:space="preserve">. Includes No Interest Loan Scheme, </w:t>
            </w:r>
            <w:proofErr w:type="spellStart"/>
            <w:r>
              <w:t>StepUp</w:t>
            </w:r>
            <w:proofErr w:type="spellEnd"/>
            <w:r>
              <w:t xml:space="preserve"> (provides </w:t>
            </w:r>
            <w:r w:rsidRPr="0098005C">
              <w:t>low interest loans</w:t>
            </w:r>
            <w:r>
              <w:t>)</w:t>
            </w:r>
            <w:r w:rsidRPr="0098005C">
              <w:t xml:space="preserve">, </w:t>
            </w:r>
            <w:r>
              <w:t xml:space="preserve">Saver Plus (matched savings scheme) and Microenterprise Development (supports the development of small businesses). </w:t>
            </w:r>
          </w:p>
        </w:tc>
      </w:tr>
      <w:tr w:rsidR="00115F8C" w:rsidRPr="00463AB3" w14:paraId="635CC031" w14:textId="77777777" w:rsidTr="002A2026">
        <w:tc>
          <w:tcPr>
            <w:tcW w:w="2513" w:type="dxa"/>
          </w:tcPr>
          <w:p w14:paraId="07206E84" w14:textId="77777777" w:rsidR="00115F8C" w:rsidRPr="00463AB3" w:rsidRDefault="00115F8C" w:rsidP="00115F8C">
            <w:pPr>
              <w:tabs>
                <w:tab w:val="left" w:pos="2835"/>
              </w:tabs>
              <w:spacing w:after="120"/>
            </w:pPr>
            <w:r w:rsidRPr="00463AB3">
              <w:t>PBS Program</w:t>
            </w:r>
          </w:p>
        </w:tc>
        <w:tc>
          <w:tcPr>
            <w:tcW w:w="6395" w:type="dxa"/>
          </w:tcPr>
          <w:p w14:paraId="023C6E36" w14:textId="77777777" w:rsidR="00115F8C" w:rsidRPr="00463AB3" w:rsidRDefault="00115F8C" w:rsidP="00115F8C">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w:t>
            </w:r>
            <w:r w:rsidRPr="00463AB3">
              <w:lastRenderedPageBreak/>
              <w:t xml:space="preserve">Program associated with it, and each of these may have </w:t>
            </w:r>
            <w:r w:rsidRPr="00463AB3">
              <w:rPr>
                <w:rFonts w:cs="Arial"/>
              </w:rPr>
              <w:t>one or more grant opportunities</w:t>
            </w:r>
          </w:p>
        </w:tc>
      </w:tr>
      <w:tr w:rsidR="00115F8C" w:rsidRPr="001B21A4" w14:paraId="607E76EE" w14:textId="77777777" w:rsidTr="002A2026">
        <w:tc>
          <w:tcPr>
            <w:tcW w:w="2513" w:type="dxa"/>
          </w:tcPr>
          <w:p w14:paraId="784608F1" w14:textId="77777777" w:rsidR="00115F8C" w:rsidRPr="001B21A4" w:rsidRDefault="00115F8C" w:rsidP="00115F8C">
            <w:pPr>
              <w:tabs>
                <w:tab w:val="left" w:pos="2835"/>
              </w:tabs>
              <w:spacing w:after="120"/>
            </w:pPr>
            <w:r w:rsidRPr="001B21A4">
              <w:lastRenderedPageBreak/>
              <w:t>selection criteria</w:t>
            </w:r>
          </w:p>
        </w:tc>
        <w:tc>
          <w:tcPr>
            <w:tcW w:w="6395" w:type="dxa"/>
          </w:tcPr>
          <w:p w14:paraId="31D20109" w14:textId="77777777" w:rsidR="00115F8C" w:rsidRPr="00710FAB" w:rsidRDefault="00115F8C" w:rsidP="00115F8C">
            <w:pPr>
              <w:tabs>
                <w:tab w:val="left" w:pos="2835"/>
              </w:tabs>
              <w:spacing w:after="120"/>
            </w:pPr>
            <w:r w:rsidRPr="00710FAB">
              <w:t xml:space="preserve">Comprise eligibility criteria and assessment criteria. </w:t>
            </w:r>
          </w:p>
        </w:tc>
      </w:tr>
      <w:tr w:rsidR="00115F8C" w:rsidRPr="001B21A4" w14:paraId="5C26A817" w14:textId="77777777" w:rsidTr="002A2026">
        <w:tc>
          <w:tcPr>
            <w:tcW w:w="2513" w:type="dxa"/>
          </w:tcPr>
          <w:p w14:paraId="6EA57F4B" w14:textId="77777777" w:rsidR="00115F8C" w:rsidRPr="001B21A4" w:rsidRDefault="00115F8C" w:rsidP="00115F8C">
            <w:pPr>
              <w:tabs>
                <w:tab w:val="left" w:pos="2835"/>
              </w:tabs>
              <w:spacing w:after="120"/>
            </w:pPr>
            <w:r w:rsidRPr="001B21A4">
              <w:t>selection process</w:t>
            </w:r>
          </w:p>
        </w:tc>
        <w:tc>
          <w:tcPr>
            <w:tcW w:w="6395" w:type="dxa"/>
          </w:tcPr>
          <w:p w14:paraId="5E116398" w14:textId="77777777" w:rsidR="00115F8C" w:rsidRPr="00710FAB" w:rsidRDefault="00115F8C" w:rsidP="00115F8C">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14:paraId="5ED884E8" w14:textId="4907DC32" w:rsidR="00340616" w:rsidRDefault="00340616" w:rsidP="00366C3F">
      <w:pPr>
        <w:spacing w:after="0" w:line="240" w:lineRule="auto"/>
      </w:pPr>
    </w:p>
    <w:sectPr w:rsidR="00340616" w:rsidSect="005A41E0">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61169" w14:textId="77777777" w:rsidR="003A6838" w:rsidRDefault="003A6838" w:rsidP="00EF4574">
      <w:pPr>
        <w:spacing w:before="0" w:after="0" w:line="240" w:lineRule="auto"/>
      </w:pPr>
      <w:r>
        <w:separator/>
      </w:r>
    </w:p>
    <w:p w14:paraId="1356C10A" w14:textId="77777777" w:rsidR="003A6838" w:rsidRDefault="003A6838"/>
  </w:endnote>
  <w:endnote w:type="continuationSeparator" w:id="0">
    <w:p w14:paraId="45C4EF93" w14:textId="77777777" w:rsidR="003A6838" w:rsidRDefault="003A6838" w:rsidP="00EF4574">
      <w:pPr>
        <w:spacing w:before="0" w:after="0" w:line="240" w:lineRule="auto"/>
      </w:pPr>
      <w:r>
        <w:continuationSeparator/>
      </w:r>
    </w:p>
    <w:p w14:paraId="2F27C541" w14:textId="77777777" w:rsidR="003A6838" w:rsidRDefault="003A6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F484" w14:textId="77777777" w:rsidR="00021FB3" w:rsidRDefault="00021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FD24" w14:textId="71D9DEC9" w:rsidR="00402D4A" w:rsidRPr="00CB4E73" w:rsidRDefault="00402D4A" w:rsidP="00DF3B1A">
    <w:pPr>
      <w:spacing w:before="0" w:after="0"/>
      <w:rPr>
        <w:rFonts w:cstheme="minorHAnsi"/>
        <w:sz w:val="14"/>
        <w:szCs w:val="14"/>
      </w:rPr>
    </w:pPr>
    <w:r w:rsidRPr="00CB4E73">
      <w:rPr>
        <w:rFonts w:cstheme="minorHAnsi"/>
        <w:sz w:val="14"/>
        <w:szCs w:val="14"/>
      </w:rPr>
      <w:t xml:space="preserve">Financial Wellbeing and Capability Activity - Commonwealth Financial Counselling and Financial Capability: Capability Building </w:t>
    </w:r>
  </w:p>
  <w:p w14:paraId="19785E7A" w14:textId="3C962426" w:rsidR="00402D4A" w:rsidRPr="00CB4E73" w:rsidRDefault="00402D4A" w:rsidP="00CB4E73">
    <w:pPr>
      <w:spacing w:before="0" w:after="0"/>
      <w:rPr>
        <w:rFonts w:cstheme="minorHAnsi"/>
        <w:sz w:val="14"/>
        <w:szCs w:val="14"/>
      </w:rPr>
    </w:pPr>
    <w:r w:rsidRPr="00CB4E73">
      <w:rPr>
        <w:rFonts w:cstheme="minorHAnsi"/>
        <w:sz w:val="14"/>
        <w:szCs w:val="14"/>
      </w:rPr>
      <w:t>Grant Opportunity Guidelines</w:t>
    </w:r>
    <w:r w:rsidR="00021FB3">
      <w:rPr>
        <w:rFonts w:cstheme="minorHAnsi"/>
        <w:sz w:val="14"/>
        <w:szCs w:val="14"/>
      </w:rPr>
      <w:t xml:space="preserve"> </w:t>
    </w:r>
    <w:r w:rsidRPr="00CB4E73">
      <w:rPr>
        <w:rFonts w:cstheme="minorHAnsi"/>
        <w:sz w:val="14"/>
        <w:szCs w:val="14"/>
      </w:rPr>
      <w:fldChar w:fldCharType="begin"/>
    </w:r>
    <w:r w:rsidRPr="00CB4E73">
      <w:rPr>
        <w:rFonts w:cstheme="minorHAnsi"/>
        <w:sz w:val="14"/>
        <w:szCs w:val="14"/>
      </w:rPr>
      <w:instrText xml:space="preserve"> PAGE   \* MERGEFORMAT </w:instrText>
    </w:r>
    <w:r w:rsidRPr="00CB4E73">
      <w:rPr>
        <w:rFonts w:cstheme="minorHAnsi"/>
        <w:sz w:val="14"/>
        <w:szCs w:val="14"/>
      </w:rPr>
      <w:fldChar w:fldCharType="separate"/>
    </w:r>
    <w:r w:rsidR="0088450B">
      <w:rPr>
        <w:rFonts w:cstheme="minorHAnsi"/>
        <w:noProof/>
        <w:sz w:val="14"/>
        <w:szCs w:val="14"/>
      </w:rPr>
      <w:t>20</w:t>
    </w:r>
    <w:r w:rsidRPr="00CB4E73">
      <w:rPr>
        <w:rFonts w:cstheme="minorHAnsi"/>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832E" w14:textId="77777777" w:rsidR="00021FB3" w:rsidRDefault="00021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F7CD3" w14:textId="77777777" w:rsidR="003A6838" w:rsidRDefault="003A6838" w:rsidP="0020122A">
      <w:pPr>
        <w:pStyle w:val="FootnoteSeparator"/>
      </w:pPr>
    </w:p>
  </w:footnote>
  <w:footnote w:type="continuationSeparator" w:id="0">
    <w:p w14:paraId="5C158207" w14:textId="77777777" w:rsidR="003A6838" w:rsidRDefault="003A6838" w:rsidP="00EF4574">
      <w:pPr>
        <w:spacing w:before="0" w:after="0" w:line="240" w:lineRule="auto"/>
      </w:pPr>
      <w:r>
        <w:continuationSeparator/>
      </w:r>
    </w:p>
    <w:p w14:paraId="402A3955" w14:textId="77777777" w:rsidR="003A6838" w:rsidRDefault="003A68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EC24" w14:textId="77777777" w:rsidR="00021FB3" w:rsidRDefault="00021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5EA9" w14:textId="77777777" w:rsidR="00021FB3" w:rsidRDefault="00021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B573" w14:textId="77777777" w:rsidR="00402D4A" w:rsidRDefault="00402D4A"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F014F3E"/>
    <w:multiLevelType w:val="hybridMultilevel"/>
    <w:tmpl w:val="8E48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645CF3"/>
    <w:multiLevelType w:val="hybridMultilevel"/>
    <w:tmpl w:val="49940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263FDC"/>
    <w:multiLevelType w:val="hybridMultilevel"/>
    <w:tmpl w:val="4F4ED5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C56235E">
      <w:numFmt w:val="bullet"/>
      <w:lvlText w:val="•"/>
      <w:lvlJc w:val="left"/>
      <w:pPr>
        <w:ind w:left="2160" w:hanging="72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DAE316A"/>
    <w:multiLevelType w:val="hybridMultilevel"/>
    <w:tmpl w:val="F11C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831B4B"/>
    <w:multiLevelType w:val="hybridMultilevel"/>
    <w:tmpl w:val="9648E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F51F7D"/>
    <w:multiLevelType w:val="multilevel"/>
    <w:tmpl w:val="76F037BA"/>
    <w:lvl w:ilvl="0">
      <w:start w:val="3"/>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A811871"/>
    <w:multiLevelType w:val="hybridMultilevel"/>
    <w:tmpl w:val="B5287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3311A3"/>
    <w:multiLevelType w:val="hybridMultilevel"/>
    <w:tmpl w:val="B41AC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4D2637"/>
    <w:multiLevelType w:val="hybridMultilevel"/>
    <w:tmpl w:val="7DCEC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DE06AA"/>
    <w:multiLevelType w:val="hybridMultilevel"/>
    <w:tmpl w:val="7DB87AA8"/>
    <w:lvl w:ilvl="0" w:tplc="93C443AC">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F2A06"/>
    <w:multiLevelType w:val="hybridMultilevel"/>
    <w:tmpl w:val="F9E6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32B2453"/>
    <w:multiLevelType w:val="hybridMultilevel"/>
    <w:tmpl w:val="842E61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B73431"/>
    <w:multiLevelType w:val="hybridMultilevel"/>
    <w:tmpl w:val="99E6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1" w15:restartNumberingAfterBreak="0">
    <w:nsid w:val="6E14368B"/>
    <w:multiLevelType w:val="multilevel"/>
    <w:tmpl w:val="4A762398"/>
    <w:lvl w:ilvl="0">
      <w:start w:val="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DDC2571"/>
    <w:multiLevelType w:val="hybridMultilevel"/>
    <w:tmpl w:val="560EA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0"/>
  </w:num>
  <w:num w:numId="3">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5"/>
  </w:num>
  <w:num w:numId="5">
    <w:abstractNumId w:val="26"/>
  </w:num>
  <w:num w:numId="6">
    <w:abstractNumId w:val="3"/>
  </w:num>
  <w:num w:numId="7">
    <w:abstractNumId w:val="5"/>
  </w:num>
  <w:num w:numId="8">
    <w:abstractNumId w:val="4"/>
  </w:num>
  <w:num w:numId="9">
    <w:abstractNumId w:val="9"/>
  </w:num>
  <w:num w:numId="10">
    <w:abstractNumId w:val="23"/>
  </w:num>
  <w:num w:numId="11">
    <w:abstractNumId w:val="30"/>
  </w:num>
  <w:num w:numId="12">
    <w:abstractNumId w:val="2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0"/>
  </w:num>
  <w:num w:numId="14">
    <w:abstractNumId w:val="6"/>
  </w:num>
  <w:num w:numId="15">
    <w:abstractNumId w:val="2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3"/>
    </w:lvlOverride>
  </w:num>
  <w:num w:numId="18">
    <w:abstractNumId w:val="16"/>
  </w:num>
  <w:num w:numId="19">
    <w:abstractNumId w:val="21"/>
  </w:num>
  <w:num w:numId="20">
    <w:abstractNumId w:val="11"/>
  </w:num>
  <w:num w:numId="21">
    <w:abstractNumId w:val="7"/>
  </w:num>
  <w:num w:numId="22">
    <w:abstractNumId w:val="18"/>
  </w:num>
  <w:num w:numId="23">
    <w:abstractNumId w:val="8"/>
  </w:num>
  <w:num w:numId="24">
    <w:abstractNumId w:val="11"/>
    <w:lvlOverride w:ilvl="1">
      <w:lvl w:ilvl="1">
        <w:start w:val="1"/>
        <w:numFmt w:val="decimal"/>
        <w:pStyle w:val="Heading2Numbered"/>
        <w:lvlText w:val="%1.%2"/>
        <w:lvlJc w:val="left"/>
        <w:pPr>
          <w:ind w:left="993" w:hanging="567"/>
        </w:pPr>
        <w:rPr>
          <w:rFonts w:hint="default"/>
        </w:rPr>
      </w:lvl>
    </w:lvlOverride>
  </w:num>
  <w:num w:numId="25">
    <w:abstractNumId w:val="27"/>
  </w:num>
  <w:num w:numId="26">
    <w:abstractNumId w:val="11"/>
    <w:lvlOverride w:ilvl="1">
      <w:lvl w:ilvl="1">
        <w:start w:val="1"/>
        <w:numFmt w:val="decimal"/>
        <w:pStyle w:val="Heading2Numbered"/>
        <w:lvlText w:val="%1.%2"/>
        <w:lvlJc w:val="left"/>
        <w:pPr>
          <w:ind w:left="993" w:hanging="567"/>
        </w:pPr>
        <w:rPr>
          <w:rFonts w:hint="default"/>
        </w:rPr>
      </w:lvl>
    </w:lvlOverride>
  </w:num>
  <w:num w:numId="27">
    <w:abstractNumId w:val="3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1">
      <w:lvl w:ilvl="1">
        <w:start w:val="1"/>
        <w:numFmt w:val="decimal"/>
        <w:pStyle w:val="Heading2Numbered"/>
        <w:lvlText w:val="%1.%2"/>
        <w:lvlJc w:val="left"/>
        <w:pPr>
          <w:ind w:left="567" w:hanging="567"/>
        </w:pPr>
        <w:rPr>
          <w:rFonts w:hint="default"/>
        </w:rPr>
      </w:lvl>
    </w:lvlOverride>
  </w:num>
  <w:num w:numId="30">
    <w:abstractNumId w:val="32"/>
  </w:num>
  <w:num w:numId="31">
    <w:abstractNumId w:val="1"/>
  </w:num>
  <w:num w:numId="32">
    <w:abstractNumId w:val="24"/>
  </w:num>
  <w:num w:numId="33">
    <w:abstractNumId w:val="14"/>
  </w:num>
  <w:num w:numId="34">
    <w:abstractNumId w:val="11"/>
    <w:lvlOverride w:ilvl="1">
      <w:lvl w:ilvl="1">
        <w:start w:val="1"/>
        <w:numFmt w:val="decimal"/>
        <w:pStyle w:val="Heading2Numbered"/>
        <w:lvlText w:val="%1.%2"/>
        <w:lvlJc w:val="left"/>
        <w:pPr>
          <w:ind w:left="567" w:hanging="567"/>
        </w:pPr>
        <w:rPr>
          <w:rFonts w:hint="default"/>
        </w:rPr>
      </w:lvl>
    </w:lvlOverride>
  </w:num>
  <w:num w:numId="35">
    <w:abstractNumId w:val="11"/>
    <w:lvlOverride w:ilvl="1">
      <w:lvl w:ilvl="1">
        <w:start w:val="1"/>
        <w:numFmt w:val="decimal"/>
        <w:pStyle w:val="Heading2Numbered"/>
        <w:lvlText w:val="%1.%2"/>
        <w:lvlJc w:val="left"/>
        <w:pPr>
          <w:ind w:left="567" w:hanging="567"/>
        </w:pPr>
        <w:rPr>
          <w:rFonts w:hint="default"/>
        </w:rPr>
      </w:lvl>
    </w:lvlOverride>
  </w:num>
  <w:num w:numId="36">
    <w:abstractNumId w:val="11"/>
    <w:lvlOverride w:ilvl="1">
      <w:lvl w:ilvl="1">
        <w:start w:val="1"/>
        <w:numFmt w:val="decimal"/>
        <w:pStyle w:val="Heading2Numbered"/>
        <w:lvlText w:val="%1.%2"/>
        <w:lvlJc w:val="left"/>
        <w:pPr>
          <w:ind w:left="567" w:hanging="567"/>
        </w:pPr>
        <w:rPr>
          <w:rFonts w:hint="default"/>
        </w:rPr>
      </w:lvl>
    </w:lvlOverride>
  </w:num>
  <w:num w:numId="37">
    <w:abstractNumId w:val="11"/>
    <w:lvlOverride w:ilvl="1">
      <w:lvl w:ilvl="1">
        <w:start w:val="1"/>
        <w:numFmt w:val="decimal"/>
        <w:pStyle w:val="Heading2Numbered"/>
        <w:lvlText w:val="%1.%2"/>
        <w:lvlJc w:val="left"/>
        <w:pPr>
          <w:ind w:left="567" w:hanging="567"/>
        </w:pPr>
        <w:rPr>
          <w:rFonts w:hint="default"/>
        </w:rPr>
      </w:lvl>
    </w:lvlOverride>
  </w:num>
  <w:num w:numId="38">
    <w:abstractNumId w:val="11"/>
    <w:lvlOverride w:ilvl="1">
      <w:lvl w:ilvl="1">
        <w:start w:val="1"/>
        <w:numFmt w:val="decimal"/>
        <w:pStyle w:val="Heading2Numbered"/>
        <w:lvlText w:val="%1.%2"/>
        <w:lvlJc w:val="left"/>
        <w:pPr>
          <w:ind w:left="567" w:hanging="567"/>
        </w:pPr>
        <w:rPr>
          <w:rFonts w:hint="default"/>
        </w:rPr>
      </w:lvl>
    </w:lvlOverride>
  </w:num>
  <w:num w:numId="39">
    <w:abstractNumId w:val="31"/>
  </w:num>
  <w:num w:numId="40">
    <w:abstractNumId w:val="11"/>
    <w:lvlOverride w:ilvl="1">
      <w:lvl w:ilvl="1">
        <w:start w:val="1"/>
        <w:numFmt w:val="decimal"/>
        <w:pStyle w:val="Heading2Numbered"/>
        <w:lvlText w:val="%1.%2"/>
        <w:lvlJc w:val="left"/>
        <w:pPr>
          <w:ind w:left="567" w:hanging="567"/>
        </w:pPr>
        <w:rPr>
          <w:rFonts w:hint="default"/>
        </w:rPr>
      </w:lvl>
    </w:lvlOverride>
  </w:num>
  <w:num w:numId="41">
    <w:abstractNumId w:val="11"/>
    <w:lvlOverride w:ilvl="0">
      <w:startOverride w:val="3"/>
      <w:lvl w:ilvl="0">
        <w:start w:val="3"/>
        <w:numFmt w:val="decimal"/>
        <w:pStyle w:val="Heading1Numbered"/>
        <w:lvlText w:val=""/>
        <w:lvlJc w:val="left"/>
      </w:lvl>
    </w:lvlOverride>
    <w:lvlOverride w:ilvl="1">
      <w:startOverride w:val="6"/>
      <w:lvl w:ilvl="1">
        <w:start w:val="6"/>
        <w:numFmt w:val="decimal"/>
        <w:pStyle w:val="Heading2Numbered"/>
        <w:lvlText w:val="%1.%2"/>
        <w:lvlJc w:val="left"/>
        <w:pPr>
          <w:ind w:left="567" w:hanging="567"/>
        </w:pPr>
        <w:rPr>
          <w:rFonts w:hint="default"/>
        </w:rPr>
      </w:lvl>
    </w:lvlOverride>
  </w:num>
  <w:num w:numId="42">
    <w:abstractNumId w:val="18"/>
  </w:num>
  <w:num w:numId="43">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3"/>
    <w:lvlOverride w:ilvl="0">
      <w:lvl w:ilvl="0">
        <w:start w:val="1"/>
        <w:numFmt w:val="bullet"/>
        <w:pStyle w:val="Bullet1"/>
        <w:lvlText w:val=""/>
        <w:lvlJc w:val="left"/>
        <w:pPr>
          <w:ind w:left="284" w:hanging="284"/>
        </w:pPr>
        <w:rPr>
          <w:rFonts w:ascii="Symbol" w:hAnsi="Symbol" w:hint="default"/>
          <w:color w:val="auto"/>
        </w:rPr>
      </w:lvl>
    </w:lvlOverride>
  </w:num>
  <w:num w:numId="46">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7">
    <w:abstractNumId w:val="20"/>
  </w:num>
  <w:num w:numId="48">
    <w:abstractNumId w:val="12"/>
  </w:num>
  <w:num w:numId="49">
    <w:abstractNumId w:val="11"/>
    <w:lvlOverride w:ilvl="1">
      <w:lvl w:ilvl="1">
        <w:start w:val="1"/>
        <w:numFmt w:val="decimal"/>
        <w:pStyle w:val="Heading2Numbered"/>
        <w:lvlText w:val="%1.%2"/>
        <w:lvlJc w:val="left"/>
        <w:pPr>
          <w:ind w:left="3261" w:hanging="567"/>
        </w:pPr>
        <w:rPr>
          <w:rFonts w:hint="default"/>
        </w:rPr>
      </w:lvl>
    </w:lvlOverride>
  </w:num>
  <w:num w:numId="50">
    <w:abstractNumId w:val="11"/>
    <w:lvlOverride w:ilvl="1">
      <w:lvl w:ilvl="1">
        <w:start w:val="1"/>
        <w:numFmt w:val="decimal"/>
        <w:pStyle w:val="Heading2Numbered"/>
        <w:lvlText w:val="%1.%2"/>
        <w:lvlJc w:val="left"/>
        <w:pPr>
          <w:ind w:left="4253" w:hanging="567"/>
        </w:pPr>
        <w:rPr>
          <w:rFonts w:hint="default"/>
        </w:rPr>
      </w:lvl>
    </w:lvlOverride>
  </w:num>
  <w:num w:numId="51">
    <w:abstractNumId w:val="11"/>
    <w:lvlOverride w:ilvl="1">
      <w:lvl w:ilvl="1">
        <w:start w:val="1"/>
        <w:numFmt w:val="decimal"/>
        <w:pStyle w:val="Heading2Numbered"/>
        <w:lvlText w:val="%1.%2"/>
        <w:lvlJc w:val="left"/>
        <w:pPr>
          <w:ind w:left="4253" w:hanging="567"/>
        </w:pPr>
        <w:rPr>
          <w:rFonts w:hint="default"/>
        </w:rPr>
      </w:lvl>
    </w:lvlOverride>
  </w:num>
  <w:num w:numId="52">
    <w:abstractNumId w:val="29"/>
  </w:num>
  <w:num w:numId="53">
    <w:abstractNumId w:val="34"/>
  </w:num>
  <w:num w:numId="54">
    <w:abstractNumId w:val="13"/>
  </w:num>
  <w:num w:numId="55">
    <w:abstractNumId w:val="33"/>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7">
    <w:abstractNumId w:val="17"/>
  </w:num>
  <w:num w:numId="58">
    <w:abstractNumId w:val="19"/>
  </w:num>
  <w:num w:numId="59">
    <w:abstractNumId w:val="28"/>
  </w:num>
  <w:num w:numId="60">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2ED7"/>
    <w:rsid w:val="000048E2"/>
    <w:rsid w:val="000104CF"/>
    <w:rsid w:val="00021FB3"/>
    <w:rsid w:val="00023327"/>
    <w:rsid w:val="0002782F"/>
    <w:rsid w:val="00031305"/>
    <w:rsid w:val="0003793B"/>
    <w:rsid w:val="0004351F"/>
    <w:rsid w:val="00043B4D"/>
    <w:rsid w:val="00045933"/>
    <w:rsid w:val="00050D65"/>
    <w:rsid w:val="000510F7"/>
    <w:rsid w:val="00054E4D"/>
    <w:rsid w:val="00056305"/>
    <w:rsid w:val="00060073"/>
    <w:rsid w:val="00060121"/>
    <w:rsid w:val="000603C7"/>
    <w:rsid w:val="00061A22"/>
    <w:rsid w:val="000623A2"/>
    <w:rsid w:val="0006243E"/>
    <w:rsid w:val="0006355E"/>
    <w:rsid w:val="00064FF1"/>
    <w:rsid w:val="00065224"/>
    <w:rsid w:val="00073C1A"/>
    <w:rsid w:val="00074B2F"/>
    <w:rsid w:val="000829F4"/>
    <w:rsid w:val="0009662A"/>
    <w:rsid w:val="00096839"/>
    <w:rsid w:val="000969FA"/>
    <w:rsid w:val="000A271A"/>
    <w:rsid w:val="000A28BC"/>
    <w:rsid w:val="000A4B30"/>
    <w:rsid w:val="000A51EA"/>
    <w:rsid w:val="000A6A8B"/>
    <w:rsid w:val="000B0F49"/>
    <w:rsid w:val="000B1F79"/>
    <w:rsid w:val="000B2A9D"/>
    <w:rsid w:val="000B571C"/>
    <w:rsid w:val="000C2A48"/>
    <w:rsid w:val="000C2A8F"/>
    <w:rsid w:val="000C5F75"/>
    <w:rsid w:val="000C74F1"/>
    <w:rsid w:val="000D5166"/>
    <w:rsid w:val="000D60B1"/>
    <w:rsid w:val="000E1AD1"/>
    <w:rsid w:val="000E1D06"/>
    <w:rsid w:val="000E6ABA"/>
    <w:rsid w:val="000F3482"/>
    <w:rsid w:val="000F6652"/>
    <w:rsid w:val="000F6A7D"/>
    <w:rsid w:val="00100BAD"/>
    <w:rsid w:val="00103A95"/>
    <w:rsid w:val="00104AF2"/>
    <w:rsid w:val="00104E02"/>
    <w:rsid w:val="0011101F"/>
    <w:rsid w:val="00115F8C"/>
    <w:rsid w:val="001166FF"/>
    <w:rsid w:val="00116B22"/>
    <w:rsid w:val="00120A25"/>
    <w:rsid w:val="00124BC1"/>
    <w:rsid w:val="00131C22"/>
    <w:rsid w:val="00135427"/>
    <w:rsid w:val="00136530"/>
    <w:rsid w:val="00141577"/>
    <w:rsid w:val="0014312E"/>
    <w:rsid w:val="001459AB"/>
    <w:rsid w:val="001541EA"/>
    <w:rsid w:val="00155903"/>
    <w:rsid w:val="001566F9"/>
    <w:rsid w:val="00157662"/>
    <w:rsid w:val="001612A4"/>
    <w:rsid w:val="0016738D"/>
    <w:rsid w:val="00167BAE"/>
    <w:rsid w:val="0017002F"/>
    <w:rsid w:val="00171A4B"/>
    <w:rsid w:val="00173FA3"/>
    <w:rsid w:val="001777FE"/>
    <w:rsid w:val="00177FFB"/>
    <w:rsid w:val="001807F0"/>
    <w:rsid w:val="00181073"/>
    <w:rsid w:val="00186E42"/>
    <w:rsid w:val="00190579"/>
    <w:rsid w:val="00190651"/>
    <w:rsid w:val="001914B0"/>
    <w:rsid w:val="00192CC4"/>
    <w:rsid w:val="00192E36"/>
    <w:rsid w:val="00197CC3"/>
    <w:rsid w:val="00197E49"/>
    <w:rsid w:val="001A0777"/>
    <w:rsid w:val="001B0E3E"/>
    <w:rsid w:val="001C022C"/>
    <w:rsid w:val="001C5431"/>
    <w:rsid w:val="001C71EB"/>
    <w:rsid w:val="001D22E7"/>
    <w:rsid w:val="001D33EB"/>
    <w:rsid w:val="001D7A14"/>
    <w:rsid w:val="001D7EB4"/>
    <w:rsid w:val="001E18C1"/>
    <w:rsid w:val="001E1DC0"/>
    <w:rsid w:val="001E622E"/>
    <w:rsid w:val="001F6504"/>
    <w:rsid w:val="001F6517"/>
    <w:rsid w:val="00200637"/>
    <w:rsid w:val="0020122A"/>
    <w:rsid w:val="00210D2B"/>
    <w:rsid w:val="002263E0"/>
    <w:rsid w:val="00235C6C"/>
    <w:rsid w:val="00236D9D"/>
    <w:rsid w:val="00241945"/>
    <w:rsid w:val="00242C7F"/>
    <w:rsid w:val="00243D70"/>
    <w:rsid w:val="00244E37"/>
    <w:rsid w:val="00250AEF"/>
    <w:rsid w:val="0025170C"/>
    <w:rsid w:val="0025763F"/>
    <w:rsid w:val="00262B5B"/>
    <w:rsid w:val="00263AD9"/>
    <w:rsid w:val="00264854"/>
    <w:rsid w:val="0026564C"/>
    <w:rsid w:val="00272313"/>
    <w:rsid w:val="00277FD9"/>
    <w:rsid w:val="00285FDD"/>
    <w:rsid w:val="0028602A"/>
    <w:rsid w:val="002871DF"/>
    <w:rsid w:val="002A2026"/>
    <w:rsid w:val="002B0C2A"/>
    <w:rsid w:val="002C2526"/>
    <w:rsid w:val="002C3D2B"/>
    <w:rsid w:val="002C7BB1"/>
    <w:rsid w:val="002D2E49"/>
    <w:rsid w:val="002D667B"/>
    <w:rsid w:val="002D702A"/>
    <w:rsid w:val="002E022B"/>
    <w:rsid w:val="002E10BE"/>
    <w:rsid w:val="002E2271"/>
    <w:rsid w:val="002E6011"/>
    <w:rsid w:val="002E7092"/>
    <w:rsid w:val="002F145D"/>
    <w:rsid w:val="002F29D6"/>
    <w:rsid w:val="00301144"/>
    <w:rsid w:val="00302DEE"/>
    <w:rsid w:val="00305665"/>
    <w:rsid w:val="00306F1F"/>
    <w:rsid w:val="003142DD"/>
    <w:rsid w:val="003148B7"/>
    <w:rsid w:val="003158C3"/>
    <w:rsid w:val="003165AC"/>
    <w:rsid w:val="003207C0"/>
    <w:rsid w:val="003274CD"/>
    <w:rsid w:val="00330877"/>
    <w:rsid w:val="003357B0"/>
    <w:rsid w:val="00340616"/>
    <w:rsid w:val="00340B33"/>
    <w:rsid w:val="00346479"/>
    <w:rsid w:val="0035119D"/>
    <w:rsid w:val="00363214"/>
    <w:rsid w:val="0036664E"/>
    <w:rsid w:val="00366C3F"/>
    <w:rsid w:val="00367A67"/>
    <w:rsid w:val="003717CD"/>
    <w:rsid w:val="00376B7C"/>
    <w:rsid w:val="00384A37"/>
    <w:rsid w:val="00391564"/>
    <w:rsid w:val="003938F9"/>
    <w:rsid w:val="00396FF1"/>
    <w:rsid w:val="003A4403"/>
    <w:rsid w:val="003A5753"/>
    <w:rsid w:val="003A6838"/>
    <w:rsid w:val="003A71C5"/>
    <w:rsid w:val="003B4C5C"/>
    <w:rsid w:val="003B4F12"/>
    <w:rsid w:val="003C3392"/>
    <w:rsid w:val="003C69A3"/>
    <w:rsid w:val="003D016A"/>
    <w:rsid w:val="003D0DB2"/>
    <w:rsid w:val="003D1805"/>
    <w:rsid w:val="003D20DC"/>
    <w:rsid w:val="003D348D"/>
    <w:rsid w:val="003E60A5"/>
    <w:rsid w:val="003F2970"/>
    <w:rsid w:val="003F3468"/>
    <w:rsid w:val="003F6C38"/>
    <w:rsid w:val="004003E2"/>
    <w:rsid w:val="00402D4A"/>
    <w:rsid w:val="0041108C"/>
    <w:rsid w:val="00411CE6"/>
    <w:rsid w:val="0042096D"/>
    <w:rsid w:val="00423350"/>
    <w:rsid w:val="00423F31"/>
    <w:rsid w:val="00424CE4"/>
    <w:rsid w:val="00431899"/>
    <w:rsid w:val="00433C93"/>
    <w:rsid w:val="00436CC9"/>
    <w:rsid w:val="00442838"/>
    <w:rsid w:val="004475DB"/>
    <w:rsid w:val="004517C9"/>
    <w:rsid w:val="0046745D"/>
    <w:rsid w:val="00472A15"/>
    <w:rsid w:val="00481F36"/>
    <w:rsid w:val="00482F1B"/>
    <w:rsid w:val="00486804"/>
    <w:rsid w:val="004A0F4F"/>
    <w:rsid w:val="004A2F8F"/>
    <w:rsid w:val="004A73B5"/>
    <w:rsid w:val="004B3775"/>
    <w:rsid w:val="004B53C4"/>
    <w:rsid w:val="004B6A1F"/>
    <w:rsid w:val="004C27DB"/>
    <w:rsid w:val="004C2A06"/>
    <w:rsid w:val="004C68FC"/>
    <w:rsid w:val="004E058F"/>
    <w:rsid w:val="004E3B87"/>
    <w:rsid w:val="004E408F"/>
    <w:rsid w:val="004F1C5D"/>
    <w:rsid w:val="004F6159"/>
    <w:rsid w:val="0051085E"/>
    <w:rsid w:val="00510921"/>
    <w:rsid w:val="005109D5"/>
    <w:rsid w:val="00510AD3"/>
    <w:rsid w:val="00510D60"/>
    <w:rsid w:val="00511DD6"/>
    <w:rsid w:val="00513348"/>
    <w:rsid w:val="005138F9"/>
    <w:rsid w:val="00514857"/>
    <w:rsid w:val="00521A5F"/>
    <w:rsid w:val="00533B5D"/>
    <w:rsid w:val="00533BCE"/>
    <w:rsid w:val="005344DB"/>
    <w:rsid w:val="005366AB"/>
    <w:rsid w:val="0054078D"/>
    <w:rsid w:val="005436C8"/>
    <w:rsid w:val="00544D3A"/>
    <w:rsid w:val="00545A9D"/>
    <w:rsid w:val="00554A68"/>
    <w:rsid w:val="00556C65"/>
    <w:rsid w:val="005570E8"/>
    <w:rsid w:val="00560903"/>
    <w:rsid w:val="00561435"/>
    <w:rsid w:val="005660B6"/>
    <w:rsid w:val="00566242"/>
    <w:rsid w:val="00576C34"/>
    <w:rsid w:val="005910AA"/>
    <w:rsid w:val="00592EB3"/>
    <w:rsid w:val="00595CDB"/>
    <w:rsid w:val="00596635"/>
    <w:rsid w:val="005970C3"/>
    <w:rsid w:val="005970EA"/>
    <w:rsid w:val="005A0A42"/>
    <w:rsid w:val="005A333E"/>
    <w:rsid w:val="005A35F8"/>
    <w:rsid w:val="005A3C34"/>
    <w:rsid w:val="005A41E0"/>
    <w:rsid w:val="005A5B09"/>
    <w:rsid w:val="005A6BEE"/>
    <w:rsid w:val="005B1D56"/>
    <w:rsid w:val="005B3956"/>
    <w:rsid w:val="005B6614"/>
    <w:rsid w:val="005B6F05"/>
    <w:rsid w:val="005C2AAE"/>
    <w:rsid w:val="005C37F0"/>
    <w:rsid w:val="005C6AF7"/>
    <w:rsid w:val="005D00E1"/>
    <w:rsid w:val="005D2D36"/>
    <w:rsid w:val="005D369F"/>
    <w:rsid w:val="005D4CFC"/>
    <w:rsid w:val="005D670A"/>
    <w:rsid w:val="005E0682"/>
    <w:rsid w:val="005E68FB"/>
    <w:rsid w:val="005F0384"/>
    <w:rsid w:val="005F38BF"/>
    <w:rsid w:val="005F3DD0"/>
    <w:rsid w:val="005F4245"/>
    <w:rsid w:val="00600B0B"/>
    <w:rsid w:val="00601E84"/>
    <w:rsid w:val="00604176"/>
    <w:rsid w:val="00623BA1"/>
    <w:rsid w:val="006330A1"/>
    <w:rsid w:val="006338CC"/>
    <w:rsid w:val="006346BC"/>
    <w:rsid w:val="00636C7F"/>
    <w:rsid w:val="006417DE"/>
    <w:rsid w:val="00647D91"/>
    <w:rsid w:val="00650146"/>
    <w:rsid w:val="006539C9"/>
    <w:rsid w:val="00661C4A"/>
    <w:rsid w:val="00664CEA"/>
    <w:rsid w:val="00666291"/>
    <w:rsid w:val="0066652A"/>
    <w:rsid w:val="00670656"/>
    <w:rsid w:val="00673063"/>
    <w:rsid w:val="00675A25"/>
    <w:rsid w:val="0067746C"/>
    <w:rsid w:val="00681C88"/>
    <w:rsid w:val="00682167"/>
    <w:rsid w:val="00685ACF"/>
    <w:rsid w:val="00687BAA"/>
    <w:rsid w:val="00694DF9"/>
    <w:rsid w:val="006A31BC"/>
    <w:rsid w:val="006B11FB"/>
    <w:rsid w:val="006B4C8B"/>
    <w:rsid w:val="006B5D03"/>
    <w:rsid w:val="006C0041"/>
    <w:rsid w:val="006C2B8C"/>
    <w:rsid w:val="006C42AF"/>
    <w:rsid w:val="006C4DD1"/>
    <w:rsid w:val="006C6E91"/>
    <w:rsid w:val="006D09F8"/>
    <w:rsid w:val="006D18BF"/>
    <w:rsid w:val="006E215F"/>
    <w:rsid w:val="006F42DF"/>
    <w:rsid w:val="0070162F"/>
    <w:rsid w:val="00704535"/>
    <w:rsid w:val="007065A0"/>
    <w:rsid w:val="00710966"/>
    <w:rsid w:val="007119DE"/>
    <w:rsid w:val="00711D6F"/>
    <w:rsid w:val="00711D8E"/>
    <w:rsid w:val="00712672"/>
    <w:rsid w:val="00726710"/>
    <w:rsid w:val="007310EF"/>
    <w:rsid w:val="00734E3F"/>
    <w:rsid w:val="00736985"/>
    <w:rsid w:val="00737A13"/>
    <w:rsid w:val="00767611"/>
    <w:rsid w:val="00786A32"/>
    <w:rsid w:val="00794773"/>
    <w:rsid w:val="007A0CD6"/>
    <w:rsid w:val="007A25F0"/>
    <w:rsid w:val="007B1202"/>
    <w:rsid w:val="007B1A1A"/>
    <w:rsid w:val="007B6200"/>
    <w:rsid w:val="007C24EA"/>
    <w:rsid w:val="007C6E0F"/>
    <w:rsid w:val="007D1C9C"/>
    <w:rsid w:val="007D6319"/>
    <w:rsid w:val="007E52EA"/>
    <w:rsid w:val="007E58A6"/>
    <w:rsid w:val="007F5F85"/>
    <w:rsid w:val="00801B9F"/>
    <w:rsid w:val="00801DB6"/>
    <w:rsid w:val="00814D7E"/>
    <w:rsid w:val="00820045"/>
    <w:rsid w:val="00821F0D"/>
    <w:rsid w:val="0082468B"/>
    <w:rsid w:val="00831521"/>
    <w:rsid w:val="008465E5"/>
    <w:rsid w:val="00846AE6"/>
    <w:rsid w:val="00854040"/>
    <w:rsid w:val="008612F0"/>
    <w:rsid w:val="00864EFA"/>
    <w:rsid w:val="00864F40"/>
    <w:rsid w:val="00872609"/>
    <w:rsid w:val="00875A16"/>
    <w:rsid w:val="00876CDB"/>
    <w:rsid w:val="00880B3F"/>
    <w:rsid w:val="00883139"/>
    <w:rsid w:val="0088450B"/>
    <w:rsid w:val="008873D4"/>
    <w:rsid w:val="008900E1"/>
    <w:rsid w:val="00890646"/>
    <w:rsid w:val="00892C8B"/>
    <w:rsid w:val="00894F94"/>
    <w:rsid w:val="0089786A"/>
    <w:rsid w:val="008A2E9C"/>
    <w:rsid w:val="008A6CF9"/>
    <w:rsid w:val="008B62C7"/>
    <w:rsid w:val="008C6A77"/>
    <w:rsid w:val="008D4A99"/>
    <w:rsid w:val="008E0EB8"/>
    <w:rsid w:val="008E2331"/>
    <w:rsid w:val="008F4C2E"/>
    <w:rsid w:val="0090794D"/>
    <w:rsid w:val="00911AC6"/>
    <w:rsid w:val="0091452D"/>
    <w:rsid w:val="00925ECE"/>
    <w:rsid w:val="0092699E"/>
    <w:rsid w:val="00930A41"/>
    <w:rsid w:val="00934587"/>
    <w:rsid w:val="0093505F"/>
    <w:rsid w:val="00940F40"/>
    <w:rsid w:val="00941776"/>
    <w:rsid w:val="00943028"/>
    <w:rsid w:val="00947C6B"/>
    <w:rsid w:val="00950336"/>
    <w:rsid w:val="009525F4"/>
    <w:rsid w:val="00953463"/>
    <w:rsid w:val="00954ABA"/>
    <w:rsid w:val="00957D11"/>
    <w:rsid w:val="009625B7"/>
    <w:rsid w:val="00965D80"/>
    <w:rsid w:val="00966462"/>
    <w:rsid w:val="00971FF6"/>
    <w:rsid w:val="0097683A"/>
    <w:rsid w:val="00984814"/>
    <w:rsid w:val="00984B3C"/>
    <w:rsid w:val="0098781B"/>
    <w:rsid w:val="009A05FF"/>
    <w:rsid w:val="009A08A6"/>
    <w:rsid w:val="009A2DA7"/>
    <w:rsid w:val="009B4D3B"/>
    <w:rsid w:val="009C0668"/>
    <w:rsid w:val="009C4265"/>
    <w:rsid w:val="009D7407"/>
    <w:rsid w:val="009E0866"/>
    <w:rsid w:val="009E676B"/>
    <w:rsid w:val="009F35C5"/>
    <w:rsid w:val="00A04EFF"/>
    <w:rsid w:val="00A12B92"/>
    <w:rsid w:val="00A15549"/>
    <w:rsid w:val="00A20E8E"/>
    <w:rsid w:val="00A22DDB"/>
    <w:rsid w:val="00A24A62"/>
    <w:rsid w:val="00A256BF"/>
    <w:rsid w:val="00A275FD"/>
    <w:rsid w:val="00A31C9F"/>
    <w:rsid w:val="00A35BEB"/>
    <w:rsid w:val="00A35DDC"/>
    <w:rsid w:val="00A40701"/>
    <w:rsid w:val="00A41108"/>
    <w:rsid w:val="00A45D97"/>
    <w:rsid w:val="00A47BAD"/>
    <w:rsid w:val="00A632E3"/>
    <w:rsid w:val="00A668C8"/>
    <w:rsid w:val="00A75639"/>
    <w:rsid w:val="00A75BF8"/>
    <w:rsid w:val="00A76EC7"/>
    <w:rsid w:val="00A8456E"/>
    <w:rsid w:val="00A90EFA"/>
    <w:rsid w:val="00A916BA"/>
    <w:rsid w:val="00A92A2E"/>
    <w:rsid w:val="00A92DC3"/>
    <w:rsid w:val="00A94C62"/>
    <w:rsid w:val="00A9798A"/>
    <w:rsid w:val="00A97C9C"/>
    <w:rsid w:val="00A97E00"/>
    <w:rsid w:val="00AA06F2"/>
    <w:rsid w:val="00AB0030"/>
    <w:rsid w:val="00AB19CF"/>
    <w:rsid w:val="00AB2F67"/>
    <w:rsid w:val="00AB3CD5"/>
    <w:rsid w:val="00AC164A"/>
    <w:rsid w:val="00AD16EC"/>
    <w:rsid w:val="00AE11F0"/>
    <w:rsid w:val="00AE2C8B"/>
    <w:rsid w:val="00AE5A5C"/>
    <w:rsid w:val="00AF2050"/>
    <w:rsid w:val="00AF23B9"/>
    <w:rsid w:val="00B1115F"/>
    <w:rsid w:val="00B136A1"/>
    <w:rsid w:val="00B233A5"/>
    <w:rsid w:val="00B26D5A"/>
    <w:rsid w:val="00B27A14"/>
    <w:rsid w:val="00B328B0"/>
    <w:rsid w:val="00B35A3A"/>
    <w:rsid w:val="00B4220E"/>
    <w:rsid w:val="00B424E7"/>
    <w:rsid w:val="00B44CD6"/>
    <w:rsid w:val="00B52371"/>
    <w:rsid w:val="00B559DE"/>
    <w:rsid w:val="00B630D6"/>
    <w:rsid w:val="00B655D0"/>
    <w:rsid w:val="00B6687E"/>
    <w:rsid w:val="00B813A0"/>
    <w:rsid w:val="00B82540"/>
    <w:rsid w:val="00B82CE5"/>
    <w:rsid w:val="00B84656"/>
    <w:rsid w:val="00B90A32"/>
    <w:rsid w:val="00BA15BA"/>
    <w:rsid w:val="00BB14EE"/>
    <w:rsid w:val="00BB212F"/>
    <w:rsid w:val="00BB26C5"/>
    <w:rsid w:val="00BB343F"/>
    <w:rsid w:val="00BB5CF6"/>
    <w:rsid w:val="00BB7BA0"/>
    <w:rsid w:val="00BC086B"/>
    <w:rsid w:val="00BC0C62"/>
    <w:rsid w:val="00BC1314"/>
    <w:rsid w:val="00BC29E7"/>
    <w:rsid w:val="00BC4F34"/>
    <w:rsid w:val="00BD1DD2"/>
    <w:rsid w:val="00BE0F17"/>
    <w:rsid w:val="00BE263C"/>
    <w:rsid w:val="00BE78B1"/>
    <w:rsid w:val="00BF18F9"/>
    <w:rsid w:val="00BF4DE6"/>
    <w:rsid w:val="00C01CD3"/>
    <w:rsid w:val="00C05FC1"/>
    <w:rsid w:val="00C10A41"/>
    <w:rsid w:val="00C13514"/>
    <w:rsid w:val="00C1699E"/>
    <w:rsid w:val="00C25A62"/>
    <w:rsid w:val="00C26150"/>
    <w:rsid w:val="00C362A5"/>
    <w:rsid w:val="00C41D2A"/>
    <w:rsid w:val="00C42CDE"/>
    <w:rsid w:val="00C4456E"/>
    <w:rsid w:val="00C50ADB"/>
    <w:rsid w:val="00C836BC"/>
    <w:rsid w:val="00C966CD"/>
    <w:rsid w:val="00CA37B1"/>
    <w:rsid w:val="00CA709C"/>
    <w:rsid w:val="00CB1959"/>
    <w:rsid w:val="00CB304D"/>
    <w:rsid w:val="00CB4E73"/>
    <w:rsid w:val="00CC2AA4"/>
    <w:rsid w:val="00CE251D"/>
    <w:rsid w:val="00CF005E"/>
    <w:rsid w:val="00CF0CF0"/>
    <w:rsid w:val="00CF3DF7"/>
    <w:rsid w:val="00CF6F86"/>
    <w:rsid w:val="00D00263"/>
    <w:rsid w:val="00D0296C"/>
    <w:rsid w:val="00D14978"/>
    <w:rsid w:val="00D16C3F"/>
    <w:rsid w:val="00D22869"/>
    <w:rsid w:val="00D268E6"/>
    <w:rsid w:val="00D3569B"/>
    <w:rsid w:val="00D46D82"/>
    <w:rsid w:val="00D55622"/>
    <w:rsid w:val="00D634D3"/>
    <w:rsid w:val="00D66643"/>
    <w:rsid w:val="00D66888"/>
    <w:rsid w:val="00D747C1"/>
    <w:rsid w:val="00D77538"/>
    <w:rsid w:val="00DA24FD"/>
    <w:rsid w:val="00DA437D"/>
    <w:rsid w:val="00DB0937"/>
    <w:rsid w:val="00DB3432"/>
    <w:rsid w:val="00DB5D1B"/>
    <w:rsid w:val="00DB6D69"/>
    <w:rsid w:val="00DC1682"/>
    <w:rsid w:val="00DC1B34"/>
    <w:rsid w:val="00DC322C"/>
    <w:rsid w:val="00DC430B"/>
    <w:rsid w:val="00DD0392"/>
    <w:rsid w:val="00DD52C8"/>
    <w:rsid w:val="00DD55C0"/>
    <w:rsid w:val="00DD622B"/>
    <w:rsid w:val="00DE1578"/>
    <w:rsid w:val="00DE3434"/>
    <w:rsid w:val="00DE3E90"/>
    <w:rsid w:val="00DE5F0F"/>
    <w:rsid w:val="00DF0952"/>
    <w:rsid w:val="00DF25F7"/>
    <w:rsid w:val="00DF3B1A"/>
    <w:rsid w:val="00DF67B7"/>
    <w:rsid w:val="00E013C8"/>
    <w:rsid w:val="00E12860"/>
    <w:rsid w:val="00E12B2D"/>
    <w:rsid w:val="00E12F40"/>
    <w:rsid w:val="00E17504"/>
    <w:rsid w:val="00E255D2"/>
    <w:rsid w:val="00E357B7"/>
    <w:rsid w:val="00E3624C"/>
    <w:rsid w:val="00E44E21"/>
    <w:rsid w:val="00E472B4"/>
    <w:rsid w:val="00E53800"/>
    <w:rsid w:val="00E6081F"/>
    <w:rsid w:val="00E60953"/>
    <w:rsid w:val="00E673E5"/>
    <w:rsid w:val="00E67963"/>
    <w:rsid w:val="00E71B07"/>
    <w:rsid w:val="00E71E9C"/>
    <w:rsid w:val="00E87018"/>
    <w:rsid w:val="00E92E7D"/>
    <w:rsid w:val="00E95846"/>
    <w:rsid w:val="00E958B1"/>
    <w:rsid w:val="00E963D2"/>
    <w:rsid w:val="00E96706"/>
    <w:rsid w:val="00EA04B2"/>
    <w:rsid w:val="00EA20F3"/>
    <w:rsid w:val="00EA3B0E"/>
    <w:rsid w:val="00EA4635"/>
    <w:rsid w:val="00EA75C1"/>
    <w:rsid w:val="00EB300A"/>
    <w:rsid w:val="00EB4889"/>
    <w:rsid w:val="00EB526E"/>
    <w:rsid w:val="00EC00DF"/>
    <w:rsid w:val="00ED3264"/>
    <w:rsid w:val="00ED43D1"/>
    <w:rsid w:val="00ED44FE"/>
    <w:rsid w:val="00EE05E1"/>
    <w:rsid w:val="00EE1A44"/>
    <w:rsid w:val="00EE2B1C"/>
    <w:rsid w:val="00EE361A"/>
    <w:rsid w:val="00EE4EE1"/>
    <w:rsid w:val="00EF4574"/>
    <w:rsid w:val="00EF7B34"/>
    <w:rsid w:val="00F00CFE"/>
    <w:rsid w:val="00F0418B"/>
    <w:rsid w:val="00F04BC2"/>
    <w:rsid w:val="00F07425"/>
    <w:rsid w:val="00F112F3"/>
    <w:rsid w:val="00F14F7B"/>
    <w:rsid w:val="00F2684E"/>
    <w:rsid w:val="00F40F23"/>
    <w:rsid w:val="00F43EFC"/>
    <w:rsid w:val="00F500DB"/>
    <w:rsid w:val="00F5019A"/>
    <w:rsid w:val="00F61589"/>
    <w:rsid w:val="00F65D74"/>
    <w:rsid w:val="00F67D0B"/>
    <w:rsid w:val="00F71A05"/>
    <w:rsid w:val="00F729EF"/>
    <w:rsid w:val="00F76902"/>
    <w:rsid w:val="00F77CAE"/>
    <w:rsid w:val="00F91C9D"/>
    <w:rsid w:val="00F96BB9"/>
    <w:rsid w:val="00F96E58"/>
    <w:rsid w:val="00FA299B"/>
    <w:rsid w:val="00FA2D3B"/>
    <w:rsid w:val="00FB1246"/>
    <w:rsid w:val="00FB44AA"/>
    <w:rsid w:val="00FB7C28"/>
    <w:rsid w:val="00FC030A"/>
    <w:rsid w:val="00FD04C9"/>
    <w:rsid w:val="00FD416B"/>
    <w:rsid w:val="00FE3A46"/>
    <w:rsid w:val="00FE6D51"/>
    <w:rsid w:val="00FF507B"/>
    <w:rsid w:val="00FF50DB"/>
    <w:rsid w:val="00FF5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B5472"/>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character" w:customStyle="1" w:styleId="Heading1Char2">
    <w:name w:val="Heading 1 Char2"/>
    <w:aliases w:val="Heading 1 Char Char Char,Heading 1 Char Char1,Heading 1 Char1 Char,Level 1 Para Char,Level 1 Para1 Char,Level 1 Para11 Char,Level 1 Para2 Char,Level 1 Para21 Ch,Level 1 Para3 Char,Level 1 Para4 Char,Para1 Char,ParaLevel1 Char,Top 1 Char"/>
    <w:rsid w:val="00E12F40"/>
    <w:rPr>
      <w:rFonts w:ascii="Arial" w:hAnsi="Arial"/>
      <w:b/>
      <w:sz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40447797">
      <w:bodyDiv w:val="1"/>
      <w:marLeft w:val="0"/>
      <w:marRight w:val="0"/>
      <w:marTop w:val="0"/>
      <w:marBottom w:val="0"/>
      <w:divBdr>
        <w:top w:val="none" w:sz="0" w:space="0" w:color="auto"/>
        <w:left w:val="none" w:sz="0" w:space="0" w:color="auto"/>
        <w:bottom w:val="none" w:sz="0" w:space="0" w:color="auto"/>
        <w:right w:val="none" w:sz="0" w:space="0" w:color="auto"/>
      </w:divBdr>
    </w:div>
    <w:div w:id="175928406">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286863519">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02081387">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893808212">
      <w:bodyDiv w:val="1"/>
      <w:marLeft w:val="0"/>
      <w:marRight w:val="0"/>
      <w:marTop w:val="0"/>
      <w:marBottom w:val="0"/>
      <w:divBdr>
        <w:top w:val="none" w:sz="0" w:space="0" w:color="auto"/>
        <w:left w:val="none" w:sz="0" w:space="0" w:color="auto"/>
        <w:bottom w:val="none" w:sz="0" w:space="0" w:color="auto"/>
        <w:right w:val="none" w:sz="0" w:space="0" w:color="auto"/>
      </w:divBdr>
    </w:div>
    <w:div w:id="2045322629">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 w:id="21405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eader" Target="header3.xml"/><Relationship Id="rId18" Type="http://schemas.openxmlformats.org/officeDocument/2006/relationships/hyperlink" Target="https://www.finance.gov.au/resource-management/grants/" TargetMode="External"/><Relationship Id="rId26" Type="http://schemas.openxmlformats.org/officeDocument/2006/relationships/hyperlink" Target="https://www.grants.gov.au/" TargetMode="External"/><Relationship Id="rId39"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styles" Target="styles.xml"/><Relationship Id="rId21" Type="http://schemas.openxmlformats.org/officeDocument/2006/relationships/hyperlink" Target="https://www.communitygrants.gov.au/information-applicants/late-applications-policy" TargetMode="External"/><Relationship Id="rId34" Type="http://schemas.openxmlformats.org/officeDocument/2006/relationships/hyperlink" Target="mailto:support@communitygrants.gov.a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rants.gov.au/?event=public.home" TargetMode="External"/><Relationship Id="rId25" Type="http://schemas.openxmlformats.org/officeDocument/2006/relationships/hyperlink" Target="mailto:support@communitygrants.gov.au" TargetMode="External"/><Relationship Id="rId33" Type="http://schemas.openxmlformats.org/officeDocument/2006/relationships/hyperlink" Target="https://www.dss.gov.au/about-the-department/doing-business-with-dss/complaints-process-for-grant-recipients" TargetMode="External"/><Relationship Id="rId38" Type="http://schemas.openxmlformats.org/officeDocument/2006/relationships/hyperlink" Target="http://www.apsc.gov.au/publications-and-media/current-publications/aps-values-and-code-of-conduct-in-practice/conflict-of-interest" TargetMode="External"/><Relationship Id="rId2" Type="http://schemas.openxmlformats.org/officeDocument/2006/relationships/numbering" Target="numbering.xml"/><Relationship Id="rId16" Type="http://schemas.openxmlformats.org/officeDocument/2006/relationships/hyperlink" Target="https://www.communitygrants.gov.au/grants" TargetMode="External"/><Relationship Id="rId20" Type="http://schemas.openxmlformats.org/officeDocument/2006/relationships/hyperlink" Target="http://communitygrants.gov.au/information-applicants/late-applications-policy" TargetMode="External"/><Relationship Id="rId29" Type="http://schemas.openxmlformats.org/officeDocument/2006/relationships/hyperlink" Target="file://prod.protected.ind/User/user03/LLau2/insert%20link%20here" TargetMode="External"/><Relationship Id="rId41" Type="http://schemas.openxmlformats.org/officeDocument/2006/relationships/hyperlink" Target="mailto:foi@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upport@communitygrants.gov.au" TargetMode="External"/><Relationship Id="rId32" Type="http://schemas.openxmlformats.org/officeDocument/2006/relationships/hyperlink" Target="http://www.communitygrants.gov.au/" TargetMode="External"/><Relationship Id="rId37" Type="http://schemas.openxmlformats.org/officeDocument/2006/relationships/hyperlink" Target="http://www.ombudsman.gov.au" TargetMode="External"/><Relationship Id="rId40" Type="http://schemas.openxmlformats.org/officeDocument/2006/relationships/hyperlink" Target="http://www.comlaw.gov.au/Details/C2014C00757" TargetMode="External"/><Relationship Id="rId5" Type="http://schemas.openxmlformats.org/officeDocument/2006/relationships/webSettings" Target="webSettings.xml"/><Relationship Id="rId15" Type="http://schemas.openxmlformats.org/officeDocument/2006/relationships/hyperlink" Target="https://www.grants.gov.au/?event=public.home" TargetMode="External"/><Relationship Id="rId23" Type="http://schemas.openxmlformats.org/officeDocument/2006/relationships/hyperlink" Target="mailto:support@communitygrants.gov.au" TargetMode="External"/><Relationship Id="rId28" Type="http://schemas.openxmlformats.org/officeDocument/2006/relationships/hyperlink" Target="https://www.grants.gov.au/?event=public.home" TargetMode="External"/><Relationship Id="rId36" Type="http://schemas.openxmlformats.org/officeDocument/2006/relationships/hyperlink" Target="mailto:ombudsman@ombudsman.gov.au" TargetMode="External"/><Relationship Id="rId10" Type="http://schemas.openxmlformats.org/officeDocument/2006/relationships/header" Target="header2.xml"/><Relationship Id="rId19" Type="http://schemas.openxmlformats.org/officeDocument/2006/relationships/hyperlink" Target="https://www.dss.gov.au/communities-and-vulnerable-people/fair-pay-for-social-and-community-services-workers" TargetMode="External"/><Relationship Id="rId31" Type="http://schemas.openxmlformats.org/officeDocument/2006/relationships/hyperlink" Target="https://www.grants.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rants.gov.au/" TargetMode="External"/><Relationship Id="rId27" Type="http://schemas.openxmlformats.org/officeDocument/2006/relationships/hyperlink" Target="http://www.finance.gov.au/financial-framework/financial-management-policy-guidance/grants/grant-agreement-template-project.html" TargetMode="External"/><Relationship Id="rId30" Type="http://schemas.openxmlformats.org/officeDocument/2006/relationships/hyperlink" Target="http://www.ato.gov.au/" TargetMode="External"/><Relationship Id="rId35" Type="http://schemas.openxmlformats.org/officeDocument/2006/relationships/hyperlink" Target="https://www.dss.gov.au/contact/feedback-compliments-complaints-and-enquiries/feedback-form" TargetMode="External"/><Relationship Id="rId43" Type="http://schemas.openxmlformats.org/officeDocument/2006/relationships/theme" Target="theme/theme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C984-4189-483F-9F0F-348C4651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6828</Words>
  <Characters>38920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2</cp:revision>
  <cp:lastPrinted>2017-07-07T04:46:00Z</cp:lastPrinted>
  <dcterms:created xsi:type="dcterms:W3CDTF">2018-07-11T07:16:00Z</dcterms:created>
  <dcterms:modified xsi:type="dcterms:W3CDTF">2018-07-11T07:16:00Z</dcterms:modified>
  <cp:contentStatus/>
</cp:coreProperties>
</file>