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8C" w:rsidRPr="00B1438C" w:rsidRDefault="00AC568C" w:rsidP="00AC568C">
      <w:pPr>
        <w:pStyle w:val="Title"/>
        <w:spacing w:before="3000"/>
        <w:rPr>
          <w:color w:val="auto"/>
        </w:rPr>
      </w:pPr>
      <w:r w:rsidRPr="00B1438C">
        <w:rPr>
          <w:color w:val="auto"/>
        </w:rPr>
        <w:t>Financial Wellbeing and Capability</w:t>
      </w:r>
      <w:r w:rsidR="00184162">
        <w:rPr>
          <w:color w:val="auto"/>
        </w:rPr>
        <w:t xml:space="preserve"> Activity -</w:t>
      </w:r>
    </w:p>
    <w:p w:rsidR="00AC568C" w:rsidRPr="00B1438C" w:rsidRDefault="00AC568C" w:rsidP="00AC568C">
      <w:pPr>
        <w:pStyle w:val="Title"/>
        <w:rPr>
          <w:color w:val="auto"/>
        </w:rPr>
      </w:pPr>
      <w:r w:rsidRPr="00B1438C">
        <w:rPr>
          <w:color w:val="auto"/>
        </w:rPr>
        <w:t>Financial Counselling to Support People Affected by Problem Gambling</w:t>
      </w:r>
    </w:p>
    <w:p w:rsidR="00794773" w:rsidRPr="00C836BC" w:rsidRDefault="00ED6663" w:rsidP="00C836BC">
      <w:pPr>
        <w:pStyle w:val="Title"/>
      </w:pPr>
      <w:r>
        <w:t xml:space="preserve">Grant Opportunity </w:t>
      </w:r>
      <w:r w:rsidR="00794773"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157316" w:rsidRDefault="00AC6D7B" w:rsidP="002C7BB1">
            <w:pPr>
              <w:pStyle w:val="inputcomment"/>
              <w:rPr>
                <w:b w:val="0"/>
                <w:color w:val="auto"/>
              </w:rPr>
            </w:pPr>
            <w:r w:rsidRPr="00157316">
              <w:rPr>
                <w:b w:val="0"/>
                <w:color w:val="auto"/>
              </w:rPr>
              <w:t xml:space="preserve">12 </w:t>
            </w:r>
            <w:r w:rsidR="00CE449A" w:rsidRPr="00157316">
              <w:rPr>
                <w:b w:val="0"/>
                <w:color w:val="auto"/>
              </w:rPr>
              <w:t>July 2018</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CE449A" w:rsidRDefault="00CE449A" w:rsidP="00AC6D7B">
            <w:pPr>
              <w:pStyle w:val="inputcomment"/>
              <w:rPr>
                <w:color w:val="auto"/>
              </w:rPr>
            </w:pPr>
            <w:r w:rsidRPr="00CE449A">
              <w:rPr>
                <w:color w:val="auto"/>
              </w:rPr>
              <w:t>2 pm</w:t>
            </w:r>
            <w:r w:rsidR="00EE05E1" w:rsidRPr="00CE449A">
              <w:rPr>
                <w:color w:val="auto"/>
              </w:rPr>
              <w:t xml:space="preserve"> </w:t>
            </w:r>
            <w:r w:rsidR="00794773" w:rsidRPr="00CE449A">
              <w:rPr>
                <w:color w:val="auto"/>
              </w:rPr>
              <w:t xml:space="preserve">AEST </w:t>
            </w:r>
            <w:r w:rsidR="00794773" w:rsidRPr="00CE449A">
              <w:rPr>
                <w:b w:val="0"/>
                <w:color w:val="auto"/>
              </w:rPr>
              <w:t>on</w:t>
            </w:r>
            <w:r w:rsidR="00794773" w:rsidRPr="00CE449A">
              <w:rPr>
                <w:color w:val="auto"/>
              </w:rPr>
              <w:t xml:space="preserve"> </w:t>
            </w:r>
            <w:r w:rsidR="00AC6D7B">
              <w:rPr>
                <w:color w:val="auto"/>
              </w:rPr>
              <w:t>8</w:t>
            </w:r>
            <w:r w:rsidR="00AC6D7B" w:rsidRPr="00CE449A">
              <w:rPr>
                <w:color w:val="auto"/>
              </w:rPr>
              <w:t xml:space="preserve"> </w:t>
            </w:r>
            <w:r w:rsidRPr="00CE449A">
              <w:rPr>
                <w:color w:val="auto"/>
              </w:rPr>
              <w:t>August 2018</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2C7BB1" w:rsidRDefault="00AC568C" w:rsidP="00694DF9">
            <w:pPr>
              <w:spacing w:line="240" w:lineRule="auto"/>
            </w:pPr>
            <w:r w:rsidRPr="00D03B5D">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AC568C" w:rsidRPr="00747D3A" w:rsidRDefault="00AC568C" w:rsidP="00747D3A">
            <w:pPr>
              <w:spacing w:line="240" w:lineRule="auto"/>
            </w:pPr>
            <w:r w:rsidRPr="00747D3A">
              <w:t>If you have any questions, please contact</w:t>
            </w:r>
            <w:r w:rsidR="00367765">
              <w:t>:</w:t>
            </w:r>
            <w:r w:rsidRPr="00747D3A">
              <w:t xml:space="preserve"> </w:t>
            </w:r>
          </w:p>
          <w:p w:rsidR="00AC568C" w:rsidRPr="00747D3A" w:rsidRDefault="00AC568C" w:rsidP="00747D3A">
            <w:pPr>
              <w:spacing w:line="240" w:lineRule="auto"/>
            </w:pPr>
            <w:r w:rsidRPr="00747D3A">
              <w:t xml:space="preserve">Community Grants Hub </w:t>
            </w:r>
          </w:p>
          <w:p w:rsidR="00AC568C" w:rsidRPr="00747D3A" w:rsidRDefault="00AC568C" w:rsidP="00747D3A">
            <w:pPr>
              <w:spacing w:line="240" w:lineRule="auto"/>
            </w:pPr>
            <w:r w:rsidRPr="00747D3A">
              <w:t>Phone: 1800 020 283</w:t>
            </w:r>
          </w:p>
          <w:p w:rsidR="00794773" w:rsidRPr="002C7BB1" w:rsidRDefault="00AC568C" w:rsidP="00DB4BB4">
            <w:pPr>
              <w:spacing w:line="240" w:lineRule="auto"/>
            </w:pPr>
            <w:r w:rsidRPr="00747D3A">
              <w:t xml:space="preserve">Email: </w:t>
            </w:r>
            <w:hyperlink r:id="rId8" w:history="1">
              <w:r w:rsidRPr="00747D3A">
                <w:t>support@communitygrants.gov.au</w:t>
              </w:r>
            </w:hyperlink>
          </w:p>
        </w:tc>
      </w:tr>
      <w:tr w:rsidR="00157316" w:rsidRPr="007040EB" w:rsidTr="002C7BB1">
        <w:tc>
          <w:tcPr>
            <w:tcW w:w="2977" w:type="dxa"/>
          </w:tcPr>
          <w:p w:rsidR="00157316" w:rsidRPr="007040EB" w:rsidRDefault="00157316" w:rsidP="00157316">
            <w:pPr>
              <w:spacing w:line="240" w:lineRule="auto"/>
              <w:jc w:val="both"/>
            </w:pPr>
            <w:r w:rsidRPr="007040EB">
              <w:t>Date guidelines released</w:t>
            </w:r>
            <w:r>
              <w:t>:</w:t>
            </w:r>
          </w:p>
        </w:tc>
        <w:tc>
          <w:tcPr>
            <w:tcW w:w="6404" w:type="dxa"/>
            <w:shd w:val="clear" w:color="auto" w:fill="auto"/>
          </w:tcPr>
          <w:p w:rsidR="00157316" w:rsidRPr="00157316" w:rsidRDefault="00157316" w:rsidP="00157316">
            <w:pPr>
              <w:pStyle w:val="inputcomment"/>
              <w:rPr>
                <w:b w:val="0"/>
                <w:color w:val="auto"/>
              </w:rPr>
            </w:pPr>
            <w:r w:rsidRPr="00157316">
              <w:rPr>
                <w:b w:val="0"/>
                <w:color w:val="auto"/>
              </w:rPr>
              <w:t>12 July 2018</w:t>
            </w:r>
          </w:p>
        </w:tc>
      </w:tr>
      <w:tr w:rsidR="00157316" w:rsidTr="002C7BB1">
        <w:tc>
          <w:tcPr>
            <w:tcW w:w="2977" w:type="dxa"/>
          </w:tcPr>
          <w:p w:rsidR="00157316" w:rsidRPr="007040EB" w:rsidRDefault="00157316" w:rsidP="00157316">
            <w:pPr>
              <w:spacing w:line="240" w:lineRule="auto"/>
              <w:jc w:val="both"/>
            </w:pPr>
            <w:r w:rsidRPr="007040EB">
              <w:t>Type of grant opportunity</w:t>
            </w:r>
            <w:r>
              <w:t>:</w:t>
            </w:r>
          </w:p>
        </w:tc>
        <w:tc>
          <w:tcPr>
            <w:tcW w:w="6404" w:type="dxa"/>
            <w:shd w:val="clear" w:color="auto" w:fill="auto"/>
          </w:tcPr>
          <w:p w:rsidR="00157316" w:rsidRPr="00B6687E" w:rsidRDefault="00157316" w:rsidP="00157316">
            <w:pPr>
              <w:spacing w:line="240" w:lineRule="auto"/>
              <w:rPr>
                <w:b/>
                <w:color w:val="AD8800" w:themeColor="accent3" w:themeShade="BF"/>
              </w:rPr>
            </w:pPr>
            <w:r w:rsidRPr="00CE449A">
              <w:t>Restricted non-competitive</w:t>
            </w:r>
          </w:p>
        </w:tc>
      </w:tr>
    </w:tbl>
    <w:p w:rsidR="00AC568C" w:rsidRDefault="00AC568C" w:rsidP="0020122A">
      <w:pPr>
        <w:pStyle w:val="TOCHeading"/>
        <w:sectPr w:rsidR="00AC568C" w:rsidSect="005A41E0">
          <w:headerReference w:type="default" r:id="rId9"/>
          <w:footerReference w:type="default" r:id="rId10"/>
          <w:headerReference w:type="first" r:id="rId11"/>
          <w:pgSz w:w="11906" w:h="16838" w:code="9"/>
          <w:pgMar w:top="2268" w:right="1418" w:bottom="1418" w:left="1418" w:header="567" w:footer="624" w:gutter="0"/>
          <w:cols w:space="708"/>
          <w:titlePg/>
          <w:docGrid w:linePitch="360"/>
        </w:sectPr>
      </w:pPr>
    </w:p>
    <w:p w:rsidR="0020122A" w:rsidRDefault="0020122A" w:rsidP="0020122A">
      <w:pPr>
        <w:pStyle w:val="TOCHeading"/>
      </w:pPr>
      <w:r>
        <w:lastRenderedPageBreak/>
        <w:t>Contents</w:t>
      </w:r>
    </w:p>
    <w:p w:rsidR="00F056D1"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9083669" w:history="1">
        <w:r w:rsidR="00F056D1" w:rsidRPr="006665B1">
          <w:rPr>
            <w:rStyle w:val="Hyperlink"/>
            <w:noProof/>
          </w:rPr>
          <w:t>1.</w:t>
        </w:r>
        <w:r w:rsidR="00F056D1">
          <w:rPr>
            <w:rFonts w:eastAsiaTheme="minorEastAsia"/>
            <w:b w:val="0"/>
            <w:noProof/>
            <w:sz w:val="22"/>
            <w:lang w:eastAsia="en-AU"/>
          </w:rPr>
          <w:tab/>
        </w:r>
        <w:r w:rsidR="00F056D1" w:rsidRPr="006665B1">
          <w:rPr>
            <w:rStyle w:val="Hyperlink"/>
            <w:noProof/>
          </w:rPr>
          <w:t>Financial Wellbeing and Capability Activity: Financial Counselling to Support People Affected by Problem Gambling Grant Opportunity Processes</w:t>
        </w:r>
        <w:r w:rsidR="00F056D1">
          <w:rPr>
            <w:noProof/>
            <w:webHidden/>
          </w:rPr>
          <w:tab/>
        </w:r>
        <w:r w:rsidR="00F056D1">
          <w:rPr>
            <w:noProof/>
            <w:webHidden/>
          </w:rPr>
          <w:fldChar w:fldCharType="begin"/>
        </w:r>
        <w:r w:rsidR="00F056D1">
          <w:rPr>
            <w:noProof/>
            <w:webHidden/>
          </w:rPr>
          <w:instrText xml:space="preserve"> PAGEREF _Toc519083669 \h </w:instrText>
        </w:r>
        <w:r w:rsidR="00F056D1">
          <w:rPr>
            <w:noProof/>
            <w:webHidden/>
          </w:rPr>
        </w:r>
        <w:r w:rsidR="00F056D1">
          <w:rPr>
            <w:noProof/>
            <w:webHidden/>
          </w:rPr>
          <w:fldChar w:fldCharType="separate"/>
        </w:r>
        <w:r w:rsidR="00F056D1">
          <w:rPr>
            <w:noProof/>
            <w:webHidden/>
          </w:rPr>
          <w:t>4</w:t>
        </w:r>
        <w:r w:rsidR="00F056D1">
          <w:rPr>
            <w:noProof/>
            <w:webHidden/>
          </w:rPr>
          <w:fldChar w:fldCharType="end"/>
        </w:r>
      </w:hyperlink>
    </w:p>
    <w:p w:rsidR="00F056D1" w:rsidRDefault="0090112A">
      <w:pPr>
        <w:pStyle w:val="TOC2"/>
        <w:rPr>
          <w:rFonts w:eastAsiaTheme="minorEastAsia"/>
          <w:noProof/>
          <w:lang w:eastAsia="en-AU"/>
        </w:rPr>
      </w:pPr>
      <w:hyperlink w:anchor="_Toc519083670" w:history="1">
        <w:r w:rsidR="00F056D1" w:rsidRPr="006665B1">
          <w:rPr>
            <w:rStyle w:val="Hyperlink"/>
            <w:noProof/>
          </w:rPr>
          <w:t>1.1</w:t>
        </w:r>
        <w:r w:rsidR="00F056D1">
          <w:rPr>
            <w:rFonts w:eastAsiaTheme="minorEastAsia"/>
            <w:noProof/>
            <w:lang w:eastAsia="en-AU"/>
          </w:rPr>
          <w:tab/>
        </w:r>
        <w:r w:rsidR="00F056D1" w:rsidRPr="006665B1">
          <w:rPr>
            <w:rStyle w:val="Hyperlink"/>
            <w:noProof/>
          </w:rPr>
          <w:t>Role of the Community Grants Hub</w:t>
        </w:r>
        <w:r w:rsidR="00F056D1">
          <w:rPr>
            <w:noProof/>
            <w:webHidden/>
          </w:rPr>
          <w:tab/>
        </w:r>
        <w:r w:rsidR="00F056D1">
          <w:rPr>
            <w:noProof/>
            <w:webHidden/>
          </w:rPr>
          <w:fldChar w:fldCharType="begin"/>
        </w:r>
        <w:r w:rsidR="00F056D1">
          <w:rPr>
            <w:noProof/>
            <w:webHidden/>
          </w:rPr>
          <w:instrText xml:space="preserve"> PAGEREF _Toc519083670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rsidR="00F056D1" w:rsidRDefault="0090112A">
      <w:pPr>
        <w:pStyle w:val="TOC2"/>
        <w:rPr>
          <w:rFonts w:eastAsiaTheme="minorEastAsia"/>
          <w:noProof/>
          <w:lang w:eastAsia="en-AU"/>
        </w:rPr>
      </w:pPr>
      <w:hyperlink w:anchor="_Toc519083671" w:history="1">
        <w:r w:rsidR="00F056D1" w:rsidRPr="006665B1">
          <w:rPr>
            <w:rStyle w:val="Hyperlink"/>
            <w:noProof/>
          </w:rPr>
          <w:t>1.2</w:t>
        </w:r>
        <w:r w:rsidR="00F056D1">
          <w:rPr>
            <w:rFonts w:eastAsiaTheme="minorEastAsia"/>
            <w:noProof/>
            <w:lang w:eastAsia="en-AU"/>
          </w:rPr>
          <w:tab/>
        </w:r>
        <w:r w:rsidR="00F056D1" w:rsidRPr="006665B1">
          <w:rPr>
            <w:rStyle w:val="Hyperlink"/>
            <w:noProof/>
          </w:rPr>
          <w:t>About the grant program</w:t>
        </w:r>
        <w:r w:rsidR="00F056D1">
          <w:rPr>
            <w:noProof/>
            <w:webHidden/>
          </w:rPr>
          <w:tab/>
        </w:r>
        <w:r w:rsidR="00F056D1">
          <w:rPr>
            <w:noProof/>
            <w:webHidden/>
          </w:rPr>
          <w:fldChar w:fldCharType="begin"/>
        </w:r>
        <w:r w:rsidR="00F056D1">
          <w:rPr>
            <w:noProof/>
            <w:webHidden/>
          </w:rPr>
          <w:instrText xml:space="preserve"> PAGEREF _Toc519083671 \h </w:instrText>
        </w:r>
        <w:r w:rsidR="00F056D1">
          <w:rPr>
            <w:noProof/>
            <w:webHidden/>
          </w:rPr>
        </w:r>
        <w:r w:rsidR="00F056D1">
          <w:rPr>
            <w:noProof/>
            <w:webHidden/>
          </w:rPr>
          <w:fldChar w:fldCharType="separate"/>
        </w:r>
        <w:r w:rsidR="00F056D1">
          <w:rPr>
            <w:noProof/>
            <w:webHidden/>
          </w:rPr>
          <w:t>5</w:t>
        </w:r>
        <w:r w:rsidR="00F056D1">
          <w:rPr>
            <w:noProof/>
            <w:webHidden/>
          </w:rPr>
          <w:fldChar w:fldCharType="end"/>
        </w:r>
      </w:hyperlink>
    </w:p>
    <w:p w:rsidR="00F056D1" w:rsidRDefault="0090112A">
      <w:pPr>
        <w:pStyle w:val="TOC2"/>
        <w:rPr>
          <w:rFonts w:eastAsiaTheme="minorEastAsia"/>
          <w:noProof/>
          <w:lang w:eastAsia="en-AU"/>
        </w:rPr>
      </w:pPr>
      <w:hyperlink w:anchor="_Toc519083672" w:history="1">
        <w:r w:rsidR="00F056D1" w:rsidRPr="006665B1">
          <w:rPr>
            <w:rStyle w:val="Hyperlink"/>
            <w:noProof/>
          </w:rPr>
          <w:t>1.3</w:t>
        </w:r>
        <w:r w:rsidR="00F056D1">
          <w:rPr>
            <w:rFonts w:eastAsiaTheme="minorEastAsia"/>
            <w:noProof/>
            <w:lang w:eastAsia="en-AU"/>
          </w:rPr>
          <w:tab/>
        </w:r>
        <w:r w:rsidR="00F056D1" w:rsidRPr="006665B1">
          <w:rPr>
            <w:rStyle w:val="Hyperlink"/>
            <w:noProof/>
          </w:rPr>
          <w:t>About the Grant Opportunity</w:t>
        </w:r>
        <w:r w:rsidR="00F056D1">
          <w:rPr>
            <w:noProof/>
            <w:webHidden/>
          </w:rPr>
          <w:tab/>
        </w:r>
        <w:r w:rsidR="00F056D1">
          <w:rPr>
            <w:noProof/>
            <w:webHidden/>
          </w:rPr>
          <w:fldChar w:fldCharType="begin"/>
        </w:r>
        <w:r w:rsidR="00F056D1">
          <w:rPr>
            <w:noProof/>
            <w:webHidden/>
          </w:rPr>
          <w:instrText xml:space="preserve"> PAGEREF _Toc519083672 \h </w:instrText>
        </w:r>
        <w:r w:rsidR="00F056D1">
          <w:rPr>
            <w:noProof/>
            <w:webHidden/>
          </w:rPr>
        </w:r>
        <w:r w:rsidR="00F056D1">
          <w:rPr>
            <w:noProof/>
            <w:webHidden/>
          </w:rPr>
          <w:fldChar w:fldCharType="separate"/>
        </w:r>
        <w:r w:rsidR="00F056D1">
          <w:rPr>
            <w:noProof/>
            <w:webHidden/>
          </w:rPr>
          <w:t>6</w:t>
        </w:r>
        <w:r w:rsidR="00F056D1">
          <w:rPr>
            <w:noProof/>
            <w:webHidden/>
          </w:rPr>
          <w:fldChar w:fldCharType="end"/>
        </w:r>
      </w:hyperlink>
    </w:p>
    <w:p w:rsidR="00F056D1" w:rsidRDefault="0090112A">
      <w:pPr>
        <w:pStyle w:val="TOC2"/>
        <w:rPr>
          <w:rFonts w:eastAsiaTheme="minorEastAsia"/>
          <w:noProof/>
          <w:lang w:eastAsia="en-AU"/>
        </w:rPr>
      </w:pPr>
      <w:hyperlink w:anchor="_Toc519083673" w:history="1">
        <w:r w:rsidR="00F056D1" w:rsidRPr="006665B1">
          <w:rPr>
            <w:rStyle w:val="Hyperlink"/>
            <w:noProof/>
          </w:rPr>
          <w:t>1.4</w:t>
        </w:r>
        <w:r w:rsidR="00F056D1">
          <w:rPr>
            <w:rFonts w:eastAsiaTheme="minorEastAsia"/>
            <w:noProof/>
            <w:lang w:eastAsia="en-AU"/>
          </w:rPr>
          <w:tab/>
        </w:r>
        <w:r w:rsidR="00F056D1" w:rsidRPr="006665B1">
          <w:rPr>
            <w:rStyle w:val="Hyperlink"/>
            <w:noProof/>
          </w:rPr>
          <w:t>FC for Problem Gambling Grant Opportunity outcomes</w:t>
        </w:r>
        <w:r w:rsidR="00F056D1">
          <w:rPr>
            <w:noProof/>
            <w:webHidden/>
          </w:rPr>
          <w:tab/>
        </w:r>
        <w:r w:rsidR="00F056D1">
          <w:rPr>
            <w:noProof/>
            <w:webHidden/>
          </w:rPr>
          <w:fldChar w:fldCharType="begin"/>
        </w:r>
        <w:r w:rsidR="00F056D1">
          <w:rPr>
            <w:noProof/>
            <w:webHidden/>
          </w:rPr>
          <w:instrText xml:space="preserve"> PAGEREF _Toc519083673 \h </w:instrText>
        </w:r>
        <w:r w:rsidR="00F056D1">
          <w:rPr>
            <w:noProof/>
            <w:webHidden/>
          </w:rPr>
        </w:r>
        <w:r w:rsidR="00F056D1">
          <w:rPr>
            <w:noProof/>
            <w:webHidden/>
          </w:rPr>
          <w:fldChar w:fldCharType="separate"/>
        </w:r>
        <w:r w:rsidR="00F056D1">
          <w:rPr>
            <w:noProof/>
            <w:webHidden/>
          </w:rPr>
          <w:t>6</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74" w:history="1">
        <w:r w:rsidR="00F056D1" w:rsidRPr="006665B1">
          <w:rPr>
            <w:rStyle w:val="Hyperlink"/>
            <w:noProof/>
          </w:rPr>
          <w:t>2.</w:t>
        </w:r>
        <w:r w:rsidR="00F056D1">
          <w:rPr>
            <w:rFonts w:eastAsiaTheme="minorEastAsia"/>
            <w:b w:val="0"/>
            <w:noProof/>
            <w:sz w:val="22"/>
            <w:lang w:eastAsia="en-AU"/>
          </w:rPr>
          <w:tab/>
        </w:r>
        <w:r w:rsidR="00F056D1" w:rsidRPr="006665B1">
          <w:rPr>
            <w:rStyle w:val="Hyperlink"/>
            <w:noProof/>
          </w:rPr>
          <w:t>Grant amount</w:t>
        </w:r>
        <w:r w:rsidR="00F056D1">
          <w:rPr>
            <w:noProof/>
            <w:webHidden/>
          </w:rPr>
          <w:tab/>
        </w:r>
        <w:r w:rsidR="00F056D1">
          <w:rPr>
            <w:noProof/>
            <w:webHidden/>
          </w:rPr>
          <w:fldChar w:fldCharType="begin"/>
        </w:r>
        <w:r w:rsidR="00F056D1">
          <w:rPr>
            <w:noProof/>
            <w:webHidden/>
          </w:rPr>
          <w:instrText xml:space="preserve"> PAGEREF _Toc519083674 \h </w:instrText>
        </w:r>
        <w:r w:rsidR="00F056D1">
          <w:rPr>
            <w:noProof/>
            <w:webHidden/>
          </w:rPr>
        </w:r>
        <w:r w:rsidR="00F056D1">
          <w:rPr>
            <w:noProof/>
            <w:webHidden/>
          </w:rPr>
          <w:fldChar w:fldCharType="separate"/>
        </w:r>
        <w:r w:rsidR="00F056D1">
          <w:rPr>
            <w:noProof/>
            <w:webHidden/>
          </w:rPr>
          <w:t>7</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75" w:history="1">
        <w:r w:rsidR="00F056D1" w:rsidRPr="006665B1">
          <w:rPr>
            <w:rStyle w:val="Hyperlink"/>
            <w:noProof/>
          </w:rPr>
          <w:t>3.</w:t>
        </w:r>
        <w:r w:rsidR="00F056D1">
          <w:rPr>
            <w:rFonts w:eastAsiaTheme="minorEastAsia"/>
            <w:b w:val="0"/>
            <w:noProof/>
            <w:sz w:val="22"/>
            <w:lang w:eastAsia="en-AU"/>
          </w:rPr>
          <w:tab/>
        </w:r>
        <w:r w:rsidR="00F056D1" w:rsidRPr="006665B1">
          <w:rPr>
            <w:rStyle w:val="Hyperlink"/>
            <w:noProof/>
          </w:rPr>
          <w:t>Grant eligibility criteria</w:t>
        </w:r>
        <w:r w:rsidR="00F056D1">
          <w:rPr>
            <w:noProof/>
            <w:webHidden/>
          </w:rPr>
          <w:tab/>
        </w:r>
        <w:r w:rsidR="00F056D1">
          <w:rPr>
            <w:noProof/>
            <w:webHidden/>
          </w:rPr>
          <w:fldChar w:fldCharType="begin"/>
        </w:r>
        <w:r w:rsidR="00F056D1">
          <w:rPr>
            <w:noProof/>
            <w:webHidden/>
          </w:rPr>
          <w:instrText xml:space="preserve"> PAGEREF _Toc519083675 \h </w:instrText>
        </w:r>
        <w:r w:rsidR="00F056D1">
          <w:rPr>
            <w:noProof/>
            <w:webHidden/>
          </w:rPr>
        </w:r>
        <w:r w:rsidR="00F056D1">
          <w:rPr>
            <w:noProof/>
            <w:webHidden/>
          </w:rPr>
          <w:fldChar w:fldCharType="separate"/>
        </w:r>
        <w:r w:rsidR="00F056D1">
          <w:rPr>
            <w:noProof/>
            <w:webHidden/>
          </w:rPr>
          <w:t>7</w:t>
        </w:r>
        <w:r w:rsidR="00F056D1">
          <w:rPr>
            <w:noProof/>
            <w:webHidden/>
          </w:rPr>
          <w:fldChar w:fldCharType="end"/>
        </w:r>
      </w:hyperlink>
    </w:p>
    <w:p w:rsidR="00F056D1" w:rsidRDefault="0090112A">
      <w:pPr>
        <w:pStyle w:val="TOC2"/>
        <w:rPr>
          <w:rFonts w:eastAsiaTheme="minorEastAsia"/>
          <w:noProof/>
          <w:lang w:eastAsia="en-AU"/>
        </w:rPr>
      </w:pPr>
      <w:hyperlink w:anchor="_Toc519083676" w:history="1">
        <w:r w:rsidR="00F056D1" w:rsidRPr="006665B1">
          <w:rPr>
            <w:rStyle w:val="Hyperlink"/>
            <w:noProof/>
          </w:rPr>
          <w:t>3.1</w:t>
        </w:r>
        <w:r w:rsidR="00F056D1">
          <w:rPr>
            <w:rFonts w:eastAsiaTheme="minorEastAsia"/>
            <w:noProof/>
            <w:lang w:eastAsia="en-AU"/>
          </w:rPr>
          <w:tab/>
        </w:r>
        <w:r w:rsidR="00F056D1" w:rsidRPr="006665B1">
          <w:rPr>
            <w:rStyle w:val="Hyperlink"/>
            <w:noProof/>
          </w:rPr>
          <w:t>Who is eligible to apply for a grant?</w:t>
        </w:r>
        <w:r w:rsidR="00F056D1">
          <w:rPr>
            <w:noProof/>
            <w:webHidden/>
          </w:rPr>
          <w:tab/>
        </w:r>
        <w:r w:rsidR="00F056D1">
          <w:rPr>
            <w:noProof/>
            <w:webHidden/>
          </w:rPr>
          <w:fldChar w:fldCharType="begin"/>
        </w:r>
        <w:r w:rsidR="00F056D1">
          <w:rPr>
            <w:noProof/>
            <w:webHidden/>
          </w:rPr>
          <w:instrText xml:space="preserve"> PAGEREF _Toc519083676 \h </w:instrText>
        </w:r>
        <w:r w:rsidR="00F056D1">
          <w:rPr>
            <w:noProof/>
            <w:webHidden/>
          </w:rPr>
        </w:r>
        <w:r w:rsidR="00F056D1">
          <w:rPr>
            <w:noProof/>
            <w:webHidden/>
          </w:rPr>
          <w:fldChar w:fldCharType="separate"/>
        </w:r>
        <w:r w:rsidR="00F056D1">
          <w:rPr>
            <w:noProof/>
            <w:webHidden/>
          </w:rPr>
          <w:t>7</w:t>
        </w:r>
        <w:r w:rsidR="00F056D1">
          <w:rPr>
            <w:noProof/>
            <w:webHidden/>
          </w:rPr>
          <w:fldChar w:fldCharType="end"/>
        </w:r>
      </w:hyperlink>
    </w:p>
    <w:p w:rsidR="00F056D1" w:rsidRDefault="0090112A">
      <w:pPr>
        <w:pStyle w:val="TOC2"/>
        <w:rPr>
          <w:rFonts w:eastAsiaTheme="minorEastAsia"/>
          <w:noProof/>
          <w:lang w:eastAsia="en-AU"/>
        </w:rPr>
      </w:pPr>
      <w:hyperlink w:anchor="_Toc519083677" w:history="1">
        <w:r w:rsidR="00F056D1" w:rsidRPr="006665B1">
          <w:rPr>
            <w:rStyle w:val="Hyperlink"/>
            <w:noProof/>
          </w:rPr>
          <w:t>3.2</w:t>
        </w:r>
        <w:r w:rsidR="00F056D1">
          <w:rPr>
            <w:rFonts w:eastAsiaTheme="minorEastAsia"/>
            <w:noProof/>
            <w:lang w:eastAsia="en-AU"/>
          </w:rPr>
          <w:tab/>
        </w:r>
        <w:r w:rsidR="00F056D1" w:rsidRPr="006665B1">
          <w:rPr>
            <w:rStyle w:val="Hyperlink"/>
            <w:noProof/>
          </w:rPr>
          <w:t>Who is not eligible to apply for a grant?</w:t>
        </w:r>
        <w:r w:rsidR="00F056D1">
          <w:rPr>
            <w:noProof/>
            <w:webHidden/>
          </w:rPr>
          <w:tab/>
        </w:r>
        <w:r w:rsidR="00F056D1">
          <w:rPr>
            <w:noProof/>
            <w:webHidden/>
          </w:rPr>
          <w:fldChar w:fldCharType="begin"/>
        </w:r>
        <w:r w:rsidR="00F056D1">
          <w:rPr>
            <w:noProof/>
            <w:webHidden/>
          </w:rPr>
          <w:instrText xml:space="preserve"> PAGEREF _Toc519083677 \h </w:instrText>
        </w:r>
        <w:r w:rsidR="00F056D1">
          <w:rPr>
            <w:noProof/>
            <w:webHidden/>
          </w:rPr>
        </w:r>
        <w:r w:rsidR="00F056D1">
          <w:rPr>
            <w:noProof/>
            <w:webHidden/>
          </w:rPr>
          <w:fldChar w:fldCharType="separate"/>
        </w:r>
        <w:r w:rsidR="00F056D1">
          <w:rPr>
            <w:noProof/>
            <w:webHidden/>
          </w:rPr>
          <w:t>9</w:t>
        </w:r>
        <w:r w:rsidR="00F056D1">
          <w:rPr>
            <w:noProof/>
            <w:webHidden/>
          </w:rPr>
          <w:fldChar w:fldCharType="end"/>
        </w:r>
      </w:hyperlink>
    </w:p>
    <w:p w:rsidR="00F056D1" w:rsidRDefault="0090112A">
      <w:pPr>
        <w:pStyle w:val="TOC2"/>
        <w:rPr>
          <w:rFonts w:eastAsiaTheme="minorEastAsia"/>
          <w:noProof/>
          <w:lang w:eastAsia="en-AU"/>
        </w:rPr>
      </w:pPr>
      <w:hyperlink w:anchor="_Toc519083678" w:history="1">
        <w:r w:rsidR="00F056D1" w:rsidRPr="006665B1">
          <w:rPr>
            <w:rStyle w:val="Hyperlink"/>
            <w:noProof/>
          </w:rPr>
          <w:t>3.3</w:t>
        </w:r>
        <w:r w:rsidR="00F056D1">
          <w:rPr>
            <w:rFonts w:eastAsiaTheme="minorEastAsia"/>
            <w:noProof/>
            <w:lang w:eastAsia="en-AU"/>
          </w:rPr>
          <w:tab/>
        </w:r>
        <w:r w:rsidR="00F056D1" w:rsidRPr="006665B1">
          <w:rPr>
            <w:rStyle w:val="Hyperlink"/>
            <w:noProof/>
          </w:rPr>
          <w:t>What qualifications or skills are required?</w:t>
        </w:r>
        <w:r w:rsidR="00F056D1">
          <w:rPr>
            <w:noProof/>
            <w:webHidden/>
          </w:rPr>
          <w:tab/>
        </w:r>
        <w:r w:rsidR="00F056D1">
          <w:rPr>
            <w:noProof/>
            <w:webHidden/>
          </w:rPr>
          <w:fldChar w:fldCharType="begin"/>
        </w:r>
        <w:r w:rsidR="00F056D1">
          <w:rPr>
            <w:noProof/>
            <w:webHidden/>
          </w:rPr>
          <w:instrText xml:space="preserve"> PAGEREF _Toc519083678 \h </w:instrText>
        </w:r>
        <w:r w:rsidR="00F056D1">
          <w:rPr>
            <w:noProof/>
            <w:webHidden/>
          </w:rPr>
        </w:r>
        <w:r w:rsidR="00F056D1">
          <w:rPr>
            <w:noProof/>
            <w:webHidden/>
          </w:rPr>
          <w:fldChar w:fldCharType="separate"/>
        </w:r>
        <w:r w:rsidR="00F056D1">
          <w:rPr>
            <w:noProof/>
            <w:webHidden/>
          </w:rPr>
          <w:t>9</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79" w:history="1">
        <w:r w:rsidR="00F056D1" w:rsidRPr="006665B1">
          <w:rPr>
            <w:rStyle w:val="Hyperlink"/>
            <w:noProof/>
          </w:rPr>
          <w:t>4.</w:t>
        </w:r>
        <w:r w:rsidR="00F056D1">
          <w:rPr>
            <w:rFonts w:eastAsiaTheme="minorEastAsia"/>
            <w:b w:val="0"/>
            <w:noProof/>
            <w:sz w:val="22"/>
            <w:lang w:eastAsia="en-AU"/>
          </w:rPr>
          <w:tab/>
        </w:r>
        <w:r w:rsidR="00F056D1" w:rsidRPr="006665B1">
          <w:rPr>
            <w:rStyle w:val="Hyperlink"/>
            <w:noProof/>
          </w:rPr>
          <w:t>Eligible grant activities</w:t>
        </w:r>
        <w:r w:rsidR="00F056D1">
          <w:rPr>
            <w:noProof/>
            <w:webHidden/>
          </w:rPr>
          <w:tab/>
        </w:r>
        <w:r w:rsidR="00F056D1">
          <w:rPr>
            <w:noProof/>
            <w:webHidden/>
          </w:rPr>
          <w:fldChar w:fldCharType="begin"/>
        </w:r>
        <w:r w:rsidR="00F056D1">
          <w:rPr>
            <w:noProof/>
            <w:webHidden/>
          </w:rPr>
          <w:instrText xml:space="preserve"> PAGEREF _Toc519083679 \h </w:instrText>
        </w:r>
        <w:r w:rsidR="00F056D1">
          <w:rPr>
            <w:noProof/>
            <w:webHidden/>
          </w:rPr>
        </w:r>
        <w:r w:rsidR="00F056D1">
          <w:rPr>
            <w:noProof/>
            <w:webHidden/>
          </w:rPr>
          <w:fldChar w:fldCharType="separate"/>
        </w:r>
        <w:r w:rsidR="00F056D1">
          <w:rPr>
            <w:noProof/>
            <w:webHidden/>
          </w:rPr>
          <w:t>10</w:t>
        </w:r>
        <w:r w:rsidR="00F056D1">
          <w:rPr>
            <w:noProof/>
            <w:webHidden/>
          </w:rPr>
          <w:fldChar w:fldCharType="end"/>
        </w:r>
      </w:hyperlink>
    </w:p>
    <w:p w:rsidR="00F056D1" w:rsidRDefault="0090112A">
      <w:pPr>
        <w:pStyle w:val="TOC2"/>
        <w:rPr>
          <w:rFonts w:eastAsiaTheme="minorEastAsia"/>
          <w:noProof/>
          <w:lang w:eastAsia="en-AU"/>
        </w:rPr>
      </w:pPr>
      <w:hyperlink w:anchor="_Toc519083680" w:history="1">
        <w:r w:rsidR="00F056D1" w:rsidRPr="006665B1">
          <w:rPr>
            <w:rStyle w:val="Hyperlink"/>
            <w:noProof/>
          </w:rPr>
          <w:t>4.1</w:t>
        </w:r>
        <w:r w:rsidR="00F056D1">
          <w:rPr>
            <w:rFonts w:eastAsiaTheme="minorEastAsia"/>
            <w:noProof/>
            <w:lang w:eastAsia="en-AU"/>
          </w:rPr>
          <w:tab/>
        </w:r>
        <w:r w:rsidR="00F056D1" w:rsidRPr="006665B1">
          <w:rPr>
            <w:rStyle w:val="Hyperlink"/>
            <w:noProof/>
          </w:rPr>
          <w:t>What can the grant money be used for?</w:t>
        </w:r>
        <w:r w:rsidR="00F056D1">
          <w:rPr>
            <w:noProof/>
            <w:webHidden/>
          </w:rPr>
          <w:tab/>
        </w:r>
        <w:r w:rsidR="00F056D1">
          <w:rPr>
            <w:noProof/>
            <w:webHidden/>
          </w:rPr>
          <w:fldChar w:fldCharType="begin"/>
        </w:r>
        <w:r w:rsidR="00F056D1">
          <w:rPr>
            <w:noProof/>
            <w:webHidden/>
          </w:rPr>
          <w:instrText xml:space="preserve"> PAGEREF _Toc519083680 \h </w:instrText>
        </w:r>
        <w:r w:rsidR="00F056D1">
          <w:rPr>
            <w:noProof/>
            <w:webHidden/>
          </w:rPr>
        </w:r>
        <w:r w:rsidR="00F056D1">
          <w:rPr>
            <w:noProof/>
            <w:webHidden/>
          </w:rPr>
          <w:fldChar w:fldCharType="separate"/>
        </w:r>
        <w:r w:rsidR="00F056D1">
          <w:rPr>
            <w:noProof/>
            <w:webHidden/>
          </w:rPr>
          <w:t>10</w:t>
        </w:r>
        <w:r w:rsidR="00F056D1">
          <w:rPr>
            <w:noProof/>
            <w:webHidden/>
          </w:rPr>
          <w:fldChar w:fldCharType="end"/>
        </w:r>
      </w:hyperlink>
    </w:p>
    <w:p w:rsidR="00F056D1" w:rsidRDefault="0090112A">
      <w:pPr>
        <w:pStyle w:val="TOC2"/>
        <w:rPr>
          <w:rFonts w:eastAsiaTheme="minorEastAsia"/>
          <w:noProof/>
          <w:lang w:eastAsia="en-AU"/>
        </w:rPr>
      </w:pPr>
      <w:hyperlink w:anchor="_Toc519083681" w:history="1">
        <w:r w:rsidR="00F056D1" w:rsidRPr="006665B1">
          <w:rPr>
            <w:rStyle w:val="Hyperlink"/>
            <w:noProof/>
          </w:rPr>
          <w:t>4.2</w:t>
        </w:r>
        <w:r w:rsidR="00F056D1">
          <w:rPr>
            <w:rFonts w:eastAsiaTheme="minorEastAsia"/>
            <w:noProof/>
            <w:lang w:eastAsia="en-AU"/>
          </w:rPr>
          <w:tab/>
        </w:r>
        <w:r w:rsidR="00F056D1" w:rsidRPr="006665B1">
          <w:rPr>
            <w:rStyle w:val="Hyperlink"/>
            <w:noProof/>
          </w:rPr>
          <w:t>What the grant money cannot be used for?</w:t>
        </w:r>
        <w:r w:rsidR="00F056D1">
          <w:rPr>
            <w:noProof/>
            <w:webHidden/>
          </w:rPr>
          <w:tab/>
        </w:r>
        <w:r w:rsidR="00F056D1">
          <w:rPr>
            <w:noProof/>
            <w:webHidden/>
          </w:rPr>
          <w:fldChar w:fldCharType="begin"/>
        </w:r>
        <w:r w:rsidR="00F056D1">
          <w:rPr>
            <w:noProof/>
            <w:webHidden/>
          </w:rPr>
          <w:instrText xml:space="preserve"> PAGEREF _Toc519083681 \h </w:instrText>
        </w:r>
        <w:r w:rsidR="00F056D1">
          <w:rPr>
            <w:noProof/>
            <w:webHidden/>
          </w:rPr>
        </w:r>
        <w:r w:rsidR="00F056D1">
          <w:rPr>
            <w:noProof/>
            <w:webHidden/>
          </w:rPr>
          <w:fldChar w:fldCharType="separate"/>
        </w:r>
        <w:r w:rsidR="00F056D1">
          <w:rPr>
            <w:noProof/>
            <w:webHidden/>
          </w:rPr>
          <w:t>10</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82" w:history="1">
        <w:r w:rsidR="00F056D1" w:rsidRPr="006665B1">
          <w:rPr>
            <w:rStyle w:val="Hyperlink"/>
            <w:noProof/>
          </w:rPr>
          <w:t>5.</w:t>
        </w:r>
        <w:r w:rsidR="00F056D1">
          <w:rPr>
            <w:rFonts w:eastAsiaTheme="minorEastAsia"/>
            <w:b w:val="0"/>
            <w:noProof/>
            <w:sz w:val="22"/>
            <w:lang w:eastAsia="en-AU"/>
          </w:rPr>
          <w:tab/>
        </w:r>
        <w:r w:rsidR="00F056D1" w:rsidRPr="006665B1">
          <w:rPr>
            <w:rStyle w:val="Hyperlink"/>
            <w:noProof/>
          </w:rPr>
          <w:t>The grant selection process</w:t>
        </w:r>
        <w:r w:rsidR="00F056D1">
          <w:rPr>
            <w:noProof/>
            <w:webHidden/>
          </w:rPr>
          <w:tab/>
        </w:r>
        <w:r w:rsidR="00F056D1">
          <w:rPr>
            <w:noProof/>
            <w:webHidden/>
          </w:rPr>
          <w:fldChar w:fldCharType="begin"/>
        </w:r>
        <w:r w:rsidR="00F056D1">
          <w:rPr>
            <w:noProof/>
            <w:webHidden/>
          </w:rPr>
          <w:instrText xml:space="preserve"> PAGEREF _Toc519083682 \h </w:instrText>
        </w:r>
        <w:r w:rsidR="00F056D1">
          <w:rPr>
            <w:noProof/>
            <w:webHidden/>
          </w:rPr>
        </w:r>
        <w:r w:rsidR="00F056D1">
          <w:rPr>
            <w:noProof/>
            <w:webHidden/>
          </w:rPr>
          <w:fldChar w:fldCharType="separate"/>
        </w:r>
        <w:r w:rsidR="00F056D1">
          <w:rPr>
            <w:noProof/>
            <w:webHidden/>
          </w:rPr>
          <w:t>11</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83" w:history="1">
        <w:r w:rsidR="00F056D1" w:rsidRPr="006665B1">
          <w:rPr>
            <w:rStyle w:val="Hyperlink"/>
            <w:noProof/>
          </w:rPr>
          <w:t>6.</w:t>
        </w:r>
        <w:r w:rsidR="00F056D1">
          <w:rPr>
            <w:rFonts w:eastAsiaTheme="minorEastAsia"/>
            <w:b w:val="0"/>
            <w:noProof/>
            <w:sz w:val="22"/>
            <w:lang w:eastAsia="en-AU"/>
          </w:rPr>
          <w:tab/>
        </w:r>
        <w:r w:rsidR="00F056D1" w:rsidRPr="006665B1">
          <w:rPr>
            <w:rStyle w:val="Hyperlink"/>
            <w:noProof/>
          </w:rPr>
          <w:t>The assessment criteria</w:t>
        </w:r>
        <w:r w:rsidR="00F056D1">
          <w:rPr>
            <w:noProof/>
            <w:webHidden/>
          </w:rPr>
          <w:tab/>
        </w:r>
        <w:r w:rsidR="00F056D1">
          <w:rPr>
            <w:noProof/>
            <w:webHidden/>
          </w:rPr>
          <w:fldChar w:fldCharType="begin"/>
        </w:r>
        <w:r w:rsidR="00F056D1">
          <w:rPr>
            <w:noProof/>
            <w:webHidden/>
          </w:rPr>
          <w:instrText xml:space="preserve"> PAGEREF _Toc519083683 \h </w:instrText>
        </w:r>
        <w:r w:rsidR="00F056D1">
          <w:rPr>
            <w:noProof/>
            <w:webHidden/>
          </w:rPr>
        </w:r>
        <w:r w:rsidR="00F056D1">
          <w:rPr>
            <w:noProof/>
            <w:webHidden/>
          </w:rPr>
          <w:fldChar w:fldCharType="separate"/>
        </w:r>
        <w:r w:rsidR="00F056D1">
          <w:rPr>
            <w:noProof/>
            <w:webHidden/>
          </w:rPr>
          <w:t>11</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84" w:history="1">
        <w:r w:rsidR="00F056D1" w:rsidRPr="006665B1">
          <w:rPr>
            <w:rStyle w:val="Hyperlink"/>
            <w:noProof/>
          </w:rPr>
          <w:t>7.</w:t>
        </w:r>
        <w:r w:rsidR="00F056D1">
          <w:rPr>
            <w:rFonts w:eastAsiaTheme="minorEastAsia"/>
            <w:b w:val="0"/>
            <w:noProof/>
            <w:sz w:val="22"/>
            <w:lang w:eastAsia="en-AU"/>
          </w:rPr>
          <w:tab/>
        </w:r>
        <w:r w:rsidR="00F056D1" w:rsidRPr="006665B1">
          <w:rPr>
            <w:rStyle w:val="Hyperlink"/>
            <w:noProof/>
          </w:rPr>
          <w:t>The grant application process</w:t>
        </w:r>
        <w:r w:rsidR="00F056D1">
          <w:rPr>
            <w:noProof/>
            <w:webHidden/>
          </w:rPr>
          <w:tab/>
        </w:r>
        <w:r w:rsidR="00F056D1">
          <w:rPr>
            <w:noProof/>
            <w:webHidden/>
          </w:rPr>
          <w:fldChar w:fldCharType="begin"/>
        </w:r>
        <w:r w:rsidR="00F056D1">
          <w:rPr>
            <w:noProof/>
            <w:webHidden/>
          </w:rPr>
          <w:instrText xml:space="preserve"> PAGEREF _Toc519083684 \h </w:instrText>
        </w:r>
        <w:r w:rsidR="00F056D1">
          <w:rPr>
            <w:noProof/>
            <w:webHidden/>
          </w:rPr>
        </w:r>
        <w:r w:rsidR="00F056D1">
          <w:rPr>
            <w:noProof/>
            <w:webHidden/>
          </w:rPr>
          <w:fldChar w:fldCharType="separate"/>
        </w:r>
        <w:r w:rsidR="00F056D1">
          <w:rPr>
            <w:noProof/>
            <w:webHidden/>
          </w:rPr>
          <w:t>12</w:t>
        </w:r>
        <w:r w:rsidR="00F056D1">
          <w:rPr>
            <w:noProof/>
            <w:webHidden/>
          </w:rPr>
          <w:fldChar w:fldCharType="end"/>
        </w:r>
      </w:hyperlink>
    </w:p>
    <w:p w:rsidR="00F056D1" w:rsidRDefault="0090112A">
      <w:pPr>
        <w:pStyle w:val="TOC2"/>
        <w:rPr>
          <w:rFonts w:eastAsiaTheme="minorEastAsia"/>
          <w:noProof/>
          <w:lang w:eastAsia="en-AU"/>
        </w:rPr>
      </w:pPr>
      <w:hyperlink w:anchor="_Toc519083685" w:history="1">
        <w:r w:rsidR="00F056D1" w:rsidRPr="006665B1">
          <w:rPr>
            <w:rStyle w:val="Hyperlink"/>
            <w:noProof/>
          </w:rPr>
          <w:t>7.1</w:t>
        </w:r>
        <w:r w:rsidR="00F056D1">
          <w:rPr>
            <w:rFonts w:eastAsiaTheme="minorEastAsia"/>
            <w:noProof/>
            <w:lang w:eastAsia="en-AU"/>
          </w:rPr>
          <w:tab/>
        </w:r>
        <w:r w:rsidR="00F056D1" w:rsidRPr="006665B1">
          <w:rPr>
            <w:rStyle w:val="Hyperlink"/>
            <w:noProof/>
          </w:rPr>
          <w:t>Overview of application process</w:t>
        </w:r>
        <w:r w:rsidR="00F056D1">
          <w:rPr>
            <w:noProof/>
            <w:webHidden/>
          </w:rPr>
          <w:tab/>
        </w:r>
        <w:r w:rsidR="00F056D1">
          <w:rPr>
            <w:noProof/>
            <w:webHidden/>
          </w:rPr>
          <w:fldChar w:fldCharType="begin"/>
        </w:r>
        <w:r w:rsidR="00F056D1">
          <w:rPr>
            <w:noProof/>
            <w:webHidden/>
          </w:rPr>
          <w:instrText xml:space="preserve"> PAGEREF _Toc519083685 \h </w:instrText>
        </w:r>
        <w:r w:rsidR="00F056D1">
          <w:rPr>
            <w:noProof/>
            <w:webHidden/>
          </w:rPr>
        </w:r>
        <w:r w:rsidR="00F056D1">
          <w:rPr>
            <w:noProof/>
            <w:webHidden/>
          </w:rPr>
          <w:fldChar w:fldCharType="separate"/>
        </w:r>
        <w:r w:rsidR="00F056D1">
          <w:rPr>
            <w:noProof/>
            <w:webHidden/>
          </w:rPr>
          <w:t>12</w:t>
        </w:r>
        <w:r w:rsidR="00F056D1">
          <w:rPr>
            <w:noProof/>
            <w:webHidden/>
          </w:rPr>
          <w:fldChar w:fldCharType="end"/>
        </w:r>
      </w:hyperlink>
    </w:p>
    <w:p w:rsidR="00F056D1" w:rsidRDefault="0090112A">
      <w:pPr>
        <w:pStyle w:val="TOC2"/>
        <w:rPr>
          <w:rFonts w:eastAsiaTheme="minorEastAsia"/>
          <w:noProof/>
          <w:lang w:eastAsia="en-AU"/>
        </w:rPr>
      </w:pPr>
      <w:hyperlink w:anchor="_Toc519083686" w:history="1">
        <w:r w:rsidR="00F056D1" w:rsidRPr="006665B1">
          <w:rPr>
            <w:rStyle w:val="Hyperlink"/>
            <w:noProof/>
          </w:rPr>
          <w:t>7.2</w:t>
        </w:r>
        <w:r w:rsidR="00F056D1">
          <w:rPr>
            <w:rFonts w:eastAsiaTheme="minorEastAsia"/>
            <w:noProof/>
            <w:lang w:eastAsia="en-AU"/>
          </w:rPr>
          <w:tab/>
        </w:r>
        <w:r w:rsidR="00F056D1" w:rsidRPr="006665B1">
          <w:rPr>
            <w:rStyle w:val="Hyperlink"/>
            <w:noProof/>
          </w:rPr>
          <w:t>Application process timing</w:t>
        </w:r>
        <w:r w:rsidR="00F056D1">
          <w:rPr>
            <w:noProof/>
            <w:webHidden/>
          </w:rPr>
          <w:tab/>
        </w:r>
        <w:r w:rsidR="00F056D1">
          <w:rPr>
            <w:noProof/>
            <w:webHidden/>
          </w:rPr>
          <w:fldChar w:fldCharType="begin"/>
        </w:r>
        <w:r w:rsidR="00F056D1">
          <w:rPr>
            <w:noProof/>
            <w:webHidden/>
          </w:rPr>
          <w:instrText xml:space="preserve"> PAGEREF _Toc519083686 \h </w:instrText>
        </w:r>
        <w:r w:rsidR="00F056D1">
          <w:rPr>
            <w:noProof/>
            <w:webHidden/>
          </w:rPr>
        </w:r>
        <w:r w:rsidR="00F056D1">
          <w:rPr>
            <w:noProof/>
            <w:webHidden/>
          </w:rPr>
          <w:fldChar w:fldCharType="separate"/>
        </w:r>
        <w:r w:rsidR="00F056D1">
          <w:rPr>
            <w:noProof/>
            <w:webHidden/>
          </w:rPr>
          <w:t>13</w:t>
        </w:r>
        <w:r w:rsidR="00F056D1">
          <w:rPr>
            <w:noProof/>
            <w:webHidden/>
          </w:rPr>
          <w:fldChar w:fldCharType="end"/>
        </w:r>
      </w:hyperlink>
    </w:p>
    <w:p w:rsidR="00F056D1" w:rsidRDefault="0090112A">
      <w:pPr>
        <w:pStyle w:val="TOC2"/>
        <w:rPr>
          <w:rFonts w:eastAsiaTheme="minorEastAsia"/>
          <w:noProof/>
          <w:lang w:eastAsia="en-AU"/>
        </w:rPr>
      </w:pPr>
      <w:hyperlink w:anchor="_Toc519083687" w:history="1">
        <w:r w:rsidR="00F056D1" w:rsidRPr="006665B1">
          <w:rPr>
            <w:rStyle w:val="Hyperlink"/>
            <w:noProof/>
          </w:rPr>
          <w:t>7.3</w:t>
        </w:r>
        <w:r w:rsidR="00F056D1">
          <w:rPr>
            <w:rFonts w:eastAsiaTheme="minorEastAsia"/>
            <w:noProof/>
            <w:lang w:eastAsia="en-AU"/>
          </w:rPr>
          <w:tab/>
        </w:r>
        <w:r w:rsidR="00F056D1" w:rsidRPr="006665B1">
          <w:rPr>
            <w:rStyle w:val="Hyperlink"/>
            <w:noProof/>
          </w:rPr>
          <w:t>Completing the grant application</w:t>
        </w:r>
        <w:r w:rsidR="00F056D1">
          <w:rPr>
            <w:noProof/>
            <w:webHidden/>
          </w:rPr>
          <w:tab/>
        </w:r>
        <w:r w:rsidR="00F056D1">
          <w:rPr>
            <w:noProof/>
            <w:webHidden/>
          </w:rPr>
          <w:fldChar w:fldCharType="begin"/>
        </w:r>
        <w:r w:rsidR="00F056D1">
          <w:rPr>
            <w:noProof/>
            <w:webHidden/>
          </w:rPr>
          <w:instrText xml:space="preserve"> PAGEREF _Toc519083687 \h </w:instrText>
        </w:r>
        <w:r w:rsidR="00F056D1">
          <w:rPr>
            <w:noProof/>
            <w:webHidden/>
          </w:rPr>
        </w:r>
        <w:r w:rsidR="00F056D1">
          <w:rPr>
            <w:noProof/>
            <w:webHidden/>
          </w:rPr>
          <w:fldChar w:fldCharType="separate"/>
        </w:r>
        <w:r w:rsidR="00F056D1">
          <w:rPr>
            <w:noProof/>
            <w:webHidden/>
          </w:rPr>
          <w:t>14</w:t>
        </w:r>
        <w:r w:rsidR="00F056D1">
          <w:rPr>
            <w:noProof/>
            <w:webHidden/>
          </w:rPr>
          <w:fldChar w:fldCharType="end"/>
        </w:r>
      </w:hyperlink>
    </w:p>
    <w:p w:rsidR="00F056D1" w:rsidRDefault="0090112A">
      <w:pPr>
        <w:pStyle w:val="TOC2"/>
        <w:rPr>
          <w:rFonts w:eastAsiaTheme="minorEastAsia"/>
          <w:noProof/>
          <w:lang w:eastAsia="en-AU"/>
        </w:rPr>
      </w:pPr>
      <w:hyperlink w:anchor="_Toc519083688" w:history="1">
        <w:r w:rsidR="00F056D1" w:rsidRPr="006665B1">
          <w:rPr>
            <w:rStyle w:val="Hyperlink"/>
            <w:noProof/>
          </w:rPr>
          <w:t>7.4</w:t>
        </w:r>
        <w:r w:rsidR="00F056D1">
          <w:rPr>
            <w:rFonts w:eastAsiaTheme="minorEastAsia"/>
            <w:noProof/>
            <w:lang w:eastAsia="en-AU"/>
          </w:rPr>
          <w:tab/>
        </w:r>
        <w:r w:rsidR="00F056D1" w:rsidRPr="006665B1">
          <w:rPr>
            <w:rStyle w:val="Hyperlink"/>
            <w:noProof/>
          </w:rPr>
          <w:t>Questions during the application process</w:t>
        </w:r>
        <w:r w:rsidR="00F056D1">
          <w:rPr>
            <w:noProof/>
            <w:webHidden/>
          </w:rPr>
          <w:tab/>
        </w:r>
        <w:r w:rsidR="00F056D1">
          <w:rPr>
            <w:noProof/>
            <w:webHidden/>
          </w:rPr>
          <w:fldChar w:fldCharType="begin"/>
        </w:r>
        <w:r w:rsidR="00F056D1">
          <w:rPr>
            <w:noProof/>
            <w:webHidden/>
          </w:rPr>
          <w:instrText xml:space="preserve"> PAGEREF _Toc519083688 \h </w:instrText>
        </w:r>
        <w:r w:rsidR="00F056D1">
          <w:rPr>
            <w:noProof/>
            <w:webHidden/>
          </w:rPr>
        </w:r>
        <w:r w:rsidR="00F056D1">
          <w:rPr>
            <w:noProof/>
            <w:webHidden/>
          </w:rPr>
          <w:fldChar w:fldCharType="separate"/>
        </w:r>
        <w:r w:rsidR="00F056D1">
          <w:rPr>
            <w:noProof/>
            <w:webHidden/>
          </w:rPr>
          <w:t>14</w:t>
        </w:r>
        <w:r w:rsidR="00F056D1">
          <w:rPr>
            <w:noProof/>
            <w:webHidden/>
          </w:rPr>
          <w:fldChar w:fldCharType="end"/>
        </w:r>
      </w:hyperlink>
    </w:p>
    <w:p w:rsidR="00F056D1" w:rsidRDefault="0090112A">
      <w:pPr>
        <w:pStyle w:val="TOC2"/>
        <w:rPr>
          <w:rFonts w:eastAsiaTheme="minorEastAsia"/>
          <w:noProof/>
          <w:lang w:eastAsia="en-AU"/>
        </w:rPr>
      </w:pPr>
      <w:hyperlink w:anchor="_Toc519083689" w:history="1">
        <w:r w:rsidR="00F056D1" w:rsidRPr="006665B1">
          <w:rPr>
            <w:rStyle w:val="Hyperlink"/>
            <w:noProof/>
          </w:rPr>
          <w:t>7.5</w:t>
        </w:r>
        <w:r w:rsidR="00F056D1">
          <w:rPr>
            <w:rFonts w:eastAsiaTheme="minorEastAsia"/>
            <w:noProof/>
            <w:lang w:eastAsia="en-AU"/>
          </w:rPr>
          <w:tab/>
        </w:r>
        <w:r w:rsidR="00F056D1" w:rsidRPr="006665B1">
          <w:rPr>
            <w:rStyle w:val="Hyperlink"/>
            <w:noProof/>
          </w:rPr>
          <w:t>Further grant opportunities</w:t>
        </w:r>
        <w:r w:rsidR="00F056D1">
          <w:rPr>
            <w:noProof/>
            <w:webHidden/>
          </w:rPr>
          <w:tab/>
        </w:r>
        <w:r w:rsidR="00F056D1">
          <w:rPr>
            <w:noProof/>
            <w:webHidden/>
          </w:rPr>
          <w:fldChar w:fldCharType="begin"/>
        </w:r>
        <w:r w:rsidR="00F056D1">
          <w:rPr>
            <w:noProof/>
            <w:webHidden/>
          </w:rPr>
          <w:instrText xml:space="preserve"> PAGEREF _Toc519083689 \h </w:instrText>
        </w:r>
        <w:r w:rsidR="00F056D1">
          <w:rPr>
            <w:noProof/>
            <w:webHidden/>
          </w:rPr>
        </w:r>
        <w:r w:rsidR="00F056D1">
          <w:rPr>
            <w:noProof/>
            <w:webHidden/>
          </w:rPr>
          <w:fldChar w:fldCharType="separate"/>
        </w:r>
        <w:r w:rsidR="00F056D1">
          <w:rPr>
            <w:noProof/>
            <w:webHidden/>
          </w:rPr>
          <w:t>14</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90" w:history="1">
        <w:r w:rsidR="00F056D1" w:rsidRPr="006665B1">
          <w:rPr>
            <w:rStyle w:val="Hyperlink"/>
            <w:noProof/>
          </w:rPr>
          <w:t>8.</w:t>
        </w:r>
        <w:r w:rsidR="00F056D1">
          <w:rPr>
            <w:rFonts w:eastAsiaTheme="minorEastAsia"/>
            <w:b w:val="0"/>
            <w:noProof/>
            <w:sz w:val="22"/>
            <w:lang w:eastAsia="en-AU"/>
          </w:rPr>
          <w:tab/>
        </w:r>
        <w:r w:rsidR="00F056D1" w:rsidRPr="006665B1">
          <w:rPr>
            <w:rStyle w:val="Hyperlink"/>
            <w:noProof/>
          </w:rPr>
          <w:t>Assessment of grant applications</w:t>
        </w:r>
        <w:r w:rsidR="00F056D1">
          <w:rPr>
            <w:noProof/>
            <w:webHidden/>
          </w:rPr>
          <w:tab/>
        </w:r>
        <w:r w:rsidR="00F056D1">
          <w:rPr>
            <w:noProof/>
            <w:webHidden/>
          </w:rPr>
          <w:fldChar w:fldCharType="begin"/>
        </w:r>
        <w:r w:rsidR="00F056D1">
          <w:rPr>
            <w:noProof/>
            <w:webHidden/>
          </w:rPr>
          <w:instrText xml:space="preserve"> PAGEREF _Toc519083690 \h </w:instrText>
        </w:r>
        <w:r w:rsidR="00F056D1">
          <w:rPr>
            <w:noProof/>
            <w:webHidden/>
          </w:rPr>
        </w:r>
        <w:r w:rsidR="00F056D1">
          <w:rPr>
            <w:noProof/>
            <w:webHidden/>
          </w:rPr>
          <w:fldChar w:fldCharType="separate"/>
        </w:r>
        <w:r w:rsidR="00F056D1">
          <w:rPr>
            <w:noProof/>
            <w:webHidden/>
          </w:rPr>
          <w:t>15</w:t>
        </w:r>
        <w:r w:rsidR="00F056D1">
          <w:rPr>
            <w:noProof/>
            <w:webHidden/>
          </w:rPr>
          <w:fldChar w:fldCharType="end"/>
        </w:r>
      </w:hyperlink>
    </w:p>
    <w:p w:rsidR="00F056D1" w:rsidRDefault="0090112A">
      <w:pPr>
        <w:pStyle w:val="TOC2"/>
        <w:rPr>
          <w:rFonts w:eastAsiaTheme="minorEastAsia"/>
          <w:noProof/>
          <w:lang w:eastAsia="en-AU"/>
        </w:rPr>
      </w:pPr>
      <w:hyperlink w:anchor="_Toc519083691" w:history="1">
        <w:r w:rsidR="00F056D1" w:rsidRPr="006665B1">
          <w:rPr>
            <w:rStyle w:val="Hyperlink"/>
            <w:noProof/>
          </w:rPr>
          <w:t>8.1</w:t>
        </w:r>
        <w:r w:rsidR="00F056D1">
          <w:rPr>
            <w:rFonts w:eastAsiaTheme="minorEastAsia"/>
            <w:noProof/>
            <w:lang w:eastAsia="en-AU"/>
          </w:rPr>
          <w:tab/>
        </w:r>
        <w:r w:rsidR="00F056D1" w:rsidRPr="006665B1">
          <w:rPr>
            <w:rStyle w:val="Hyperlink"/>
            <w:noProof/>
          </w:rPr>
          <w:t>Who will assess applications?</w:t>
        </w:r>
        <w:r w:rsidR="00F056D1">
          <w:rPr>
            <w:noProof/>
            <w:webHidden/>
          </w:rPr>
          <w:tab/>
        </w:r>
        <w:r w:rsidR="00F056D1">
          <w:rPr>
            <w:noProof/>
            <w:webHidden/>
          </w:rPr>
          <w:fldChar w:fldCharType="begin"/>
        </w:r>
        <w:r w:rsidR="00F056D1">
          <w:rPr>
            <w:noProof/>
            <w:webHidden/>
          </w:rPr>
          <w:instrText xml:space="preserve"> PAGEREF _Toc519083691 \h </w:instrText>
        </w:r>
        <w:r w:rsidR="00F056D1">
          <w:rPr>
            <w:noProof/>
            <w:webHidden/>
          </w:rPr>
        </w:r>
        <w:r w:rsidR="00F056D1">
          <w:rPr>
            <w:noProof/>
            <w:webHidden/>
          </w:rPr>
          <w:fldChar w:fldCharType="separate"/>
        </w:r>
        <w:r w:rsidR="00F056D1">
          <w:rPr>
            <w:noProof/>
            <w:webHidden/>
          </w:rPr>
          <w:t>15</w:t>
        </w:r>
        <w:r w:rsidR="00F056D1">
          <w:rPr>
            <w:noProof/>
            <w:webHidden/>
          </w:rPr>
          <w:fldChar w:fldCharType="end"/>
        </w:r>
      </w:hyperlink>
    </w:p>
    <w:p w:rsidR="00F056D1" w:rsidRDefault="0090112A">
      <w:pPr>
        <w:pStyle w:val="TOC2"/>
        <w:rPr>
          <w:rFonts w:eastAsiaTheme="minorEastAsia"/>
          <w:noProof/>
          <w:lang w:eastAsia="en-AU"/>
        </w:rPr>
      </w:pPr>
      <w:hyperlink w:anchor="_Toc519083692" w:history="1">
        <w:r w:rsidR="00F056D1" w:rsidRPr="006665B1">
          <w:rPr>
            <w:rStyle w:val="Hyperlink"/>
            <w:noProof/>
          </w:rPr>
          <w:t>8.2</w:t>
        </w:r>
        <w:r w:rsidR="00F056D1">
          <w:rPr>
            <w:rFonts w:eastAsiaTheme="minorEastAsia"/>
            <w:noProof/>
            <w:lang w:eastAsia="en-AU"/>
          </w:rPr>
          <w:tab/>
        </w:r>
        <w:r w:rsidR="00F056D1" w:rsidRPr="006665B1">
          <w:rPr>
            <w:rStyle w:val="Hyperlink"/>
            <w:noProof/>
          </w:rPr>
          <w:t>Who will approve grants?</w:t>
        </w:r>
        <w:r w:rsidR="00F056D1">
          <w:rPr>
            <w:noProof/>
            <w:webHidden/>
          </w:rPr>
          <w:tab/>
        </w:r>
        <w:r w:rsidR="00F056D1">
          <w:rPr>
            <w:noProof/>
            <w:webHidden/>
          </w:rPr>
          <w:fldChar w:fldCharType="begin"/>
        </w:r>
        <w:r w:rsidR="00F056D1">
          <w:rPr>
            <w:noProof/>
            <w:webHidden/>
          </w:rPr>
          <w:instrText xml:space="preserve"> PAGEREF _Toc519083692 \h </w:instrText>
        </w:r>
        <w:r w:rsidR="00F056D1">
          <w:rPr>
            <w:noProof/>
            <w:webHidden/>
          </w:rPr>
        </w:r>
        <w:r w:rsidR="00F056D1">
          <w:rPr>
            <w:noProof/>
            <w:webHidden/>
          </w:rPr>
          <w:fldChar w:fldCharType="separate"/>
        </w:r>
        <w:r w:rsidR="00F056D1">
          <w:rPr>
            <w:noProof/>
            <w:webHidden/>
          </w:rPr>
          <w:t>15</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93" w:history="1">
        <w:r w:rsidR="00F056D1" w:rsidRPr="006665B1">
          <w:rPr>
            <w:rStyle w:val="Hyperlink"/>
            <w:noProof/>
          </w:rPr>
          <w:t>9.</w:t>
        </w:r>
        <w:r w:rsidR="00F056D1">
          <w:rPr>
            <w:rFonts w:eastAsiaTheme="minorEastAsia"/>
            <w:b w:val="0"/>
            <w:noProof/>
            <w:sz w:val="22"/>
            <w:lang w:eastAsia="en-AU"/>
          </w:rPr>
          <w:tab/>
        </w:r>
        <w:r w:rsidR="00F056D1" w:rsidRPr="006665B1">
          <w:rPr>
            <w:rStyle w:val="Hyperlink"/>
            <w:noProof/>
          </w:rPr>
          <w:t>Notification of application outcomes</w:t>
        </w:r>
        <w:r w:rsidR="00F056D1">
          <w:rPr>
            <w:noProof/>
            <w:webHidden/>
          </w:rPr>
          <w:tab/>
        </w:r>
        <w:r w:rsidR="00F056D1">
          <w:rPr>
            <w:noProof/>
            <w:webHidden/>
          </w:rPr>
          <w:fldChar w:fldCharType="begin"/>
        </w:r>
        <w:r w:rsidR="00F056D1">
          <w:rPr>
            <w:noProof/>
            <w:webHidden/>
          </w:rPr>
          <w:instrText xml:space="preserve"> PAGEREF _Toc519083693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rsidR="00F056D1" w:rsidRDefault="0090112A">
      <w:pPr>
        <w:pStyle w:val="TOC2"/>
        <w:rPr>
          <w:rFonts w:eastAsiaTheme="minorEastAsia"/>
          <w:noProof/>
          <w:lang w:eastAsia="en-AU"/>
        </w:rPr>
      </w:pPr>
      <w:hyperlink w:anchor="_Toc519083694" w:history="1">
        <w:r w:rsidR="00F056D1" w:rsidRPr="006665B1">
          <w:rPr>
            <w:rStyle w:val="Hyperlink"/>
            <w:noProof/>
          </w:rPr>
          <w:t>9.1</w:t>
        </w:r>
        <w:r w:rsidR="00F056D1">
          <w:rPr>
            <w:rFonts w:eastAsiaTheme="minorEastAsia"/>
            <w:noProof/>
            <w:lang w:eastAsia="en-AU"/>
          </w:rPr>
          <w:tab/>
        </w:r>
        <w:r w:rsidR="00F056D1" w:rsidRPr="006665B1">
          <w:rPr>
            <w:rStyle w:val="Hyperlink"/>
            <w:noProof/>
          </w:rPr>
          <w:t>Feedback on your application</w:t>
        </w:r>
        <w:r w:rsidR="00F056D1">
          <w:rPr>
            <w:noProof/>
            <w:webHidden/>
          </w:rPr>
          <w:tab/>
        </w:r>
        <w:r w:rsidR="00F056D1">
          <w:rPr>
            <w:noProof/>
            <w:webHidden/>
          </w:rPr>
          <w:fldChar w:fldCharType="begin"/>
        </w:r>
        <w:r w:rsidR="00F056D1">
          <w:rPr>
            <w:noProof/>
            <w:webHidden/>
          </w:rPr>
          <w:instrText xml:space="preserve"> PAGEREF _Toc519083694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95" w:history="1">
        <w:r w:rsidR="00F056D1" w:rsidRPr="006665B1">
          <w:rPr>
            <w:rStyle w:val="Hyperlink"/>
            <w:noProof/>
          </w:rPr>
          <w:t>10.</w:t>
        </w:r>
        <w:r w:rsidR="00F056D1">
          <w:rPr>
            <w:rFonts w:eastAsiaTheme="minorEastAsia"/>
            <w:b w:val="0"/>
            <w:noProof/>
            <w:sz w:val="22"/>
            <w:lang w:eastAsia="en-AU"/>
          </w:rPr>
          <w:tab/>
        </w:r>
        <w:r w:rsidR="00F056D1" w:rsidRPr="006665B1">
          <w:rPr>
            <w:rStyle w:val="Hyperlink"/>
            <w:noProof/>
          </w:rPr>
          <w:t>Successful grant applications</w:t>
        </w:r>
        <w:r w:rsidR="00F056D1">
          <w:rPr>
            <w:noProof/>
            <w:webHidden/>
          </w:rPr>
          <w:tab/>
        </w:r>
        <w:r w:rsidR="00F056D1">
          <w:rPr>
            <w:noProof/>
            <w:webHidden/>
          </w:rPr>
          <w:fldChar w:fldCharType="begin"/>
        </w:r>
        <w:r w:rsidR="00F056D1">
          <w:rPr>
            <w:noProof/>
            <w:webHidden/>
          </w:rPr>
          <w:instrText xml:space="preserve"> PAGEREF _Toc519083695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rsidR="00F056D1" w:rsidRDefault="0090112A">
      <w:pPr>
        <w:pStyle w:val="TOC2"/>
        <w:rPr>
          <w:rFonts w:eastAsiaTheme="minorEastAsia"/>
          <w:noProof/>
          <w:lang w:eastAsia="en-AU"/>
        </w:rPr>
      </w:pPr>
      <w:hyperlink w:anchor="_Toc519083696" w:history="1">
        <w:r w:rsidR="00F056D1" w:rsidRPr="006665B1">
          <w:rPr>
            <w:rStyle w:val="Hyperlink"/>
            <w:noProof/>
          </w:rPr>
          <w:t>10.1</w:t>
        </w:r>
        <w:r w:rsidR="00F056D1">
          <w:rPr>
            <w:rFonts w:eastAsiaTheme="minorEastAsia"/>
            <w:noProof/>
            <w:lang w:eastAsia="en-AU"/>
          </w:rPr>
          <w:tab/>
        </w:r>
        <w:r w:rsidR="00F056D1" w:rsidRPr="006665B1">
          <w:rPr>
            <w:rStyle w:val="Hyperlink"/>
            <w:noProof/>
          </w:rPr>
          <w:t>The grant agreement</w:t>
        </w:r>
        <w:r w:rsidR="00F056D1">
          <w:rPr>
            <w:noProof/>
            <w:webHidden/>
          </w:rPr>
          <w:tab/>
        </w:r>
        <w:r w:rsidR="00F056D1">
          <w:rPr>
            <w:noProof/>
            <w:webHidden/>
          </w:rPr>
          <w:fldChar w:fldCharType="begin"/>
        </w:r>
        <w:r w:rsidR="00F056D1">
          <w:rPr>
            <w:noProof/>
            <w:webHidden/>
          </w:rPr>
          <w:instrText xml:space="preserve"> PAGEREF _Toc519083696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rsidR="00F056D1" w:rsidRDefault="0090112A">
      <w:pPr>
        <w:pStyle w:val="TOC2"/>
        <w:rPr>
          <w:rFonts w:eastAsiaTheme="minorEastAsia"/>
          <w:noProof/>
          <w:lang w:eastAsia="en-AU"/>
        </w:rPr>
      </w:pPr>
      <w:hyperlink w:anchor="_Toc519083697" w:history="1">
        <w:r w:rsidR="00F056D1" w:rsidRPr="006665B1">
          <w:rPr>
            <w:rStyle w:val="Hyperlink"/>
            <w:noProof/>
          </w:rPr>
          <w:t>10.2</w:t>
        </w:r>
        <w:r w:rsidR="00F056D1">
          <w:rPr>
            <w:rFonts w:eastAsiaTheme="minorEastAsia"/>
            <w:noProof/>
            <w:lang w:eastAsia="en-AU"/>
          </w:rPr>
          <w:tab/>
        </w:r>
        <w:r w:rsidR="00F056D1" w:rsidRPr="006665B1">
          <w:rPr>
            <w:rStyle w:val="Hyperlink"/>
            <w:noProof/>
          </w:rPr>
          <w:t>How the grant will be paid</w:t>
        </w:r>
        <w:r w:rsidR="00F056D1">
          <w:rPr>
            <w:noProof/>
            <w:webHidden/>
          </w:rPr>
          <w:tab/>
        </w:r>
        <w:r w:rsidR="00F056D1">
          <w:rPr>
            <w:noProof/>
            <w:webHidden/>
          </w:rPr>
          <w:fldChar w:fldCharType="begin"/>
        </w:r>
        <w:r w:rsidR="00F056D1">
          <w:rPr>
            <w:noProof/>
            <w:webHidden/>
          </w:rPr>
          <w:instrText xml:space="preserve"> PAGEREF _Toc519083697 \h </w:instrText>
        </w:r>
        <w:r w:rsidR="00F056D1">
          <w:rPr>
            <w:noProof/>
            <w:webHidden/>
          </w:rPr>
        </w:r>
        <w:r w:rsidR="00F056D1">
          <w:rPr>
            <w:noProof/>
            <w:webHidden/>
          </w:rPr>
          <w:fldChar w:fldCharType="separate"/>
        </w:r>
        <w:r w:rsidR="00F056D1">
          <w:rPr>
            <w:noProof/>
            <w:webHidden/>
          </w:rPr>
          <w:t>16</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98" w:history="1">
        <w:r w:rsidR="00F056D1" w:rsidRPr="006665B1">
          <w:rPr>
            <w:rStyle w:val="Hyperlink"/>
            <w:noProof/>
          </w:rPr>
          <w:t>11.</w:t>
        </w:r>
        <w:r w:rsidR="00F056D1">
          <w:rPr>
            <w:rFonts w:eastAsiaTheme="minorEastAsia"/>
            <w:b w:val="0"/>
            <w:noProof/>
            <w:sz w:val="22"/>
            <w:lang w:eastAsia="en-AU"/>
          </w:rPr>
          <w:tab/>
        </w:r>
        <w:r w:rsidR="00F056D1" w:rsidRPr="006665B1">
          <w:rPr>
            <w:rStyle w:val="Hyperlink"/>
            <w:noProof/>
          </w:rPr>
          <w:t>Announcement of grants</w:t>
        </w:r>
        <w:r w:rsidR="00F056D1">
          <w:rPr>
            <w:noProof/>
            <w:webHidden/>
          </w:rPr>
          <w:tab/>
        </w:r>
        <w:r w:rsidR="00F056D1">
          <w:rPr>
            <w:noProof/>
            <w:webHidden/>
          </w:rPr>
          <w:fldChar w:fldCharType="begin"/>
        </w:r>
        <w:r w:rsidR="00F056D1">
          <w:rPr>
            <w:noProof/>
            <w:webHidden/>
          </w:rPr>
          <w:instrText xml:space="preserve"> PAGEREF _Toc519083698 \h </w:instrText>
        </w:r>
        <w:r w:rsidR="00F056D1">
          <w:rPr>
            <w:noProof/>
            <w:webHidden/>
          </w:rPr>
        </w:r>
        <w:r w:rsidR="00F056D1">
          <w:rPr>
            <w:noProof/>
            <w:webHidden/>
          </w:rPr>
          <w:fldChar w:fldCharType="separate"/>
        </w:r>
        <w:r w:rsidR="00F056D1">
          <w:rPr>
            <w:noProof/>
            <w:webHidden/>
          </w:rPr>
          <w:t>17</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699" w:history="1">
        <w:r w:rsidR="00F056D1" w:rsidRPr="006665B1">
          <w:rPr>
            <w:rStyle w:val="Hyperlink"/>
            <w:noProof/>
          </w:rPr>
          <w:t>12.</w:t>
        </w:r>
        <w:r w:rsidR="00F056D1">
          <w:rPr>
            <w:rFonts w:eastAsiaTheme="minorEastAsia"/>
            <w:b w:val="0"/>
            <w:noProof/>
            <w:sz w:val="22"/>
            <w:lang w:eastAsia="en-AU"/>
          </w:rPr>
          <w:tab/>
        </w:r>
        <w:r w:rsidR="00F056D1" w:rsidRPr="006665B1">
          <w:rPr>
            <w:rStyle w:val="Hyperlink"/>
            <w:noProof/>
          </w:rPr>
          <w:t>Delivery of grant activities</w:t>
        </w:r>
        <w:r w:rsidR="00F056D1">
          <w:rPr>
            <w:noProof/>
            <w:webHidden/>
          </w:rPr>
          <w:tab/>
        </w:r>
        <w:r w:rsidR="00F056D1">
          <w:rPr>
            <w:noProof/>
            <w:webHidden/>
          </w:rPr>
          <w:fldChar w:fldCharType="begin"/>
        </w:r>
        <w:r w:rsidR="00F056D1">
          <w:rPr>
            <w:noProof/>
            <w:webHidden/>
          </w:rPr>
          <w:instrText xml:space="preserve"> PAGEREF _Toc519083699 \h </w:instrText>
        </w:r>
        <w:r w:rsidR="00F056D1">
          <w:rPr>
            <w:noProof/>
            <w:webHidden/>
          </w:rPr>
        </w:r>
        <w:r w:rsidR="00F056D1">
          <w:rPr>
            <w:noProof/>
            <w:webHidden/>
          </w:rPr>
          <w:fldChar w:fldCharType="separate"/>
        </w:r>
        <w:r w:rsidR="00F056D1">
          <w:rPr>
            <w:noProof/>
            <w:webHidden/>
          </w:rPr>
          <w:t>17</w:t>
        </w:r>
        <w:r w:rsidR="00F056D1">
          <w:rPr>
            <w:noProof/>
            <w:webHidden/>
          </w:rPr>
          <w:fldChar w:fldCharType="end"/>
        </w:r>
      </w:hyperlink>
    </w:p>
    <w:p w:rsidR="00F056D1" w:rsidRDefault="0090112A">
      <w:pPr>
        <w:pStyle w:val="TOC2"/>
        <w:rPr>
          <w:rFonts w:eastAsiaTheme="minorEastAsia"/>
          <w:noProof/>
          <w:lang w:eastAsia="en-AU"/>
        </w:rPr>
      </w:pPr>
      <w:hyperlink w:anchor="_Toc519083700" w:history="1">
        <w:r w:rsidR="00F056D1" w:rsidRPr="006665B1">
          <w:rPr>
            <w:rStyle w:val="Hyperlink"/>
            <w:noProof/>
          </w:rPr>
          <w:t>12.1</w:t>
        </w:r>
        <w:r w:rsidR="00F056D1">
          <w:rPr>
            <w:rFonts w:eastAsiaTheme="minorEastAsia"/>
            <w:noProof/>
            <w:lang w:eastAsia="en-AU"/>
          </w:rPr>
          <w:tab/>
        </w:r>
        <w:r w:rsidR="00F056D1" w:rsidRPr="006665B1">
          <w:rPr>
            <w:rStyle w:val="Hyperlink"/>
            <w:noProof/>
          </w:rPr>
          <w:t>Your responsibilities</w:t>
        </w:r>
        <w:r w:rsidR="00F056D1">
          <w:rPr>
            <w:noProof/>
            <w:webHidden/>
          </w:rPr>
          <w:tab/>
        </w:r>
        <w:r w:rsidR="00F056D1">
          <w:rPr>
            <w:noProof/>
            <w:webHidden/>
          </w:rPr>
          <w:fldChar w:fldCharType="begin"/>
        </w:r>
        <w:r w:rsidR="00F056D1">
          <w:rPr>
            <w:noProof/>
            <w:webHidden/>
          </w:rPr>
          <w:instrText xml:space="preserve"> PAGEREF _Toc519083700 \h </w:instrText>
        </w:r>
        <w:r w:rsidR="00F056D1">
          <w:rPr>
            <w:noProof/>
            <w:webHidden/>
          </w:rPr>
        </w:r>
        <w:r w:rsidR="00F056D1">
          <w:rPr>
            <w:noProof/>
            <w:webHidden/>
          </w:rPr>
          <w:fldChar w:fldCharType="separate"/>
        </w:r>
        <w:r w:rsidR="00F056D1">
          <w:rPr>
            <w:noProof/>
            <w:webHidden/>
          </w:rPr>
          <w:t>17</w:t>
        </w:r>
        <w:r w:rsidR="00F056D1">
          <w:rPr>
            <w:noProof/>
            <w:webHidden/>
          </w:rPr>
          <w:fldChar w:fldCharType="end"/>
        </w:r>
      </w:hyperlink>
    </w:p>
    <w:p w:rsidR="00F056D1" w:rsidRDefault="0090112A">
      <w:pPr>
        <w:pStyle w:val="TOC2"/>
        <w:rPr>
          <w:rFonts w:eastAsiaTheme="minorEastAsia"/>
          <w:noProof/>
          <w:lang w:eastAsia="en-AU"/>
        </w:rPr>
      </w:pPr>
      <w:hyperlink w:anchor="_Toc519083701" w:history="1">
        <w:r w:rsidR="00F056D1" w:rsidRPr="006665B1">
          <w:rPr>
            <w:rStyle w:val="Hyperlink"/>
            <w:noProof/>
          </w:rPr>
          <w:t>12.2</w:t>
        </w:r>
        <w:r w:rsidR="00F056D1">
          <w:rPr>
            <w:rFonts w:eastAsiaTheme="minorEastAsia"/>
            <w:noProof/>
            <w:lang w:eastAsia="en-AU"/>
          </w:rPr>
          <w:tab/>
        </w:r>
        <w:r w:rsidR="00F056D1" w:rsidRPr="006665B1">
          <w:rPr>
            <w:rStyle w:val="Hyperlink"/>
            <w:noProof/>
          </w:rPr>
          <w:t>The Department of Social Services’ responsibilities</w:t>
        </w:r>
        <w:r w:rsidR="00F056D1">
          <w:rPr>
            <w:noProof/>
            <w:webHidden/>
          </w:rPr>
          <w:tab/>
        </w:r>
        <w:r w:rsidR="00F056D1">
          <w:rPr>
            <w:noProof/>
            <w:webHidden/>
          </w:rPr>
          <w:fldChar w:fldCharType="begin"/>
        </w:r>
        <w:r w:rsidR="00F056D1">
          <w:rPr>
            <w:noProof/>
            <w:webHidden/>
          </w:rPr>
          <w:instrText xml:space="preserve"> PAGEREF _Toc519083701 \h </w:instrText>
        </w:r>
        <w:r w:rsidR="00F056D1">
          <w:rPr>
            <w:noProof/>
            <w:webHidden/>
          </w:rPr>
        </w:r>
        <w:r w:rsidR="00F056D1">
          <w:rPr>
            <w:noProof/>
            <w:webHidden/>
          </w:rPr>
          <w:fldChar w:fldCharType="separate"/>
        </w:r>
        <w:r w:rsidR="00F056D1">
          <w:rPr>
            <w:noProof/>
            <w:webHidden/>
          </w:rPr>
          <w:t>17</w:t>
        </w:r>
        <w:r w:rsidR="00F056D1">
          <w:rPr>
            <w:noProof/>
            <w:webHidden/>
          </w:rPr>
          <w:fldChar w:fldCharType="end"/>
        </w:r>
      </w:hyperlink>
    </w:p>
    <w:p w:rsidR="00F056D1" w:rsidRDefault="0090112A">
      <w:pPr>
        <w:pStyle w:val="TOC2"/>
        <w:rPr>
          <w:rFonts w:eastAsiaTheme="minorEastAsia"/>
          <w:noProof/>
          <w:lang w:eastAsia="en-AU"/>
        </w:rPr>
      </w:pPr>
      <w:hyperlink w:anchor="_Toc519083702" w:history="1">
        <w:r w:rsidR="00F056D1" w:rsidRPr="006665B1">
          <w:rPr>
            <w:rStyle w:val="Hyperlink"/>
            <w:noProof/>
          </w:rPr>
          <w:t>12.3</w:t>
        </w:r>
        <w:r w:rsidR="00F056D1">
          <w:rPr>
            <w:rFonts w:eastAsiaTheme="minorEastAsia"/>
            <w:noProof/>
            <w:lang w:eastAsia="en-AU"/>
          </w:rPr>
          <w:tab/>
        </w:r>
        <w:r w:rsidR="00F056D1" w:rsidRPr="006665B1">
          <w:rPr>
            <w:rStyle w:val="Hyperlink"/>
            <w:noProof/>
          </w:rPr>
          <w:t>Grant payments and GST</w:t>
        </w:r>
        <w:r w:rsidR="00F056D1">
          <w:rPr>
            <w:noProof/>
            <w:webHidden/>
          </w:rPr>
          <w:tab/>
        </w:r>
        <w:r w:rsidR="00F056D1">
          <w:rPr>
            <w:noProof/>
            <w:webHidden/>
          </w:rPr>
          <w:fldChar w:fldCharType="begin"/>
        </w:r>
        <w:r w:rsidR="00F056D1">
          <w:rPr>
            <w:noProof/>
            <w:webHidden/>
          </w:rPr>
          <w:instrText xml:space="preserve"> PAGEREF _Toc519083702 \h </w:instrText>
        </w:r>
        <w:r w:rsidR="00F056D1">
          <w:rPr>
            <w:noProof/>
            <w:webHidden/>
          </w:rPr>
        </w:r>
        <w:r w:rsidR="00F056D1">
          <w:rPr>
            <w:noProof/>
            <w:webHidden/>
          </w:rPr>
          <w:fldChar w:fldCharType="separate"/>
        </w:r>
        <w:r w:rsidR="00F056D1">
          <w:rPr>
            <w:noProof/>
            <w:webHidden/>
          </w:rPr>
          <w:t>18</w:t>
        </w:r>
        <w:r w:rsidR="00F056D1">
          <w:rPr>
            <w:noProof/>
            <w:webHidden/>
          </w:rPr>
          <w:fldChar w:fldCharType="end"/>
        </w:r>
      </w:hyperlink>
    </w:p>
    <w:p w:rsidR="00F056D1" w:rsidRDefault="0090112A">
      <w:pPr>
        <w:pStyle w:val="TOC2"/>
        <w:rPr>
          <w:rFonts w:eastAsiaTheme="minorEastAsia"/>
          <w:noProof/>
          <w:lang w:eastAsia="en-AU"/>
        </w:rPr>
      </w:pPr>
      <w:hyperlink w:anchor="_Toc519083703" w:history="1">
        <w:r w:rsidR="00F056D1" w:rsidRPr="006665B1">
          <w:rPr>
            <w:rStyle w:val="Hyperlink"/>
            <w:noProof/>
          </w:rPr>
          <w:t>12.4</w:t>
        </w:r>
        <w:r w:rsidR="00F056D1">
          <w:rPr>
            <w:rFonts w:eastAsiaTheme="minorEastAsia"/>
            <w:noProof/>
            <w:lang w:eastAsia="en-AU"/>
          </w:rPr>
          <w:tab/>
        </w:r>
        <w:r w:rsidR="00F056D1" w:rsidRPr="006665B1">
          <w:rPr>
            <w:rStyle w:val="Hyperlink"/>
            <w:noProof/>
          </w:rPr>
          <w:t>Reporting</w:t>
        </w:r>
        <w:r w:rsidR="00F056D1">
          <w:rPr>
            <w:noProof/>
            <w:webHidden/>
          </w:rPr>
          <w:tab/>
        </w:r>
        <w:r w:rsidR="00F056D1">
          <w:rPr>
            <w:noProof/>
            <w:webHidden/>
          </w:rPr>
          <w:fldChar w:fldCharType="begin"/>
        </w:r>
        <w:r w:rsidR="00F056D1">
          <w:rPr>
            <w:noProof/>
            <w:webHidden/>
          </w:rPr>
          <w:instrText xml:space="preserve"> PAGEREF _Toc519083703 \h </w:instrText>
        </w:r>
        <w:r w:rsidR="00F056D1">
          <w:rPr>
            <w:noProof/>
            <w:webHidden/>
          </w:rPr>
        </w:r>
        <w:r w:rsidR="00F056D1">
          <w:rPr>
            <w:noProof/>
            <w:webHidden/>
          </w:rPr>
          <w:fldChar w:fldCharType="separate"/>
        </w:r>
        <w:r w:rsidR="00F056D1">
          <w:rPr>
            <w:noProof/>
            <w:webHidden/>
          </w:rPr>
          <w:t>18</w:t>
        </w:r>
        <w:r w:rsidR="00F056D1">
          <w:rPr>
            <w:noProof/>
            <w:webHidden/>
          </w:rPr>
          <w:fldChar w:fldCharType="end"/>
        </w:r>
      </w:hyperlink>
    </w:p>
    <w:p w:rsidR="00F056D1" w:rsidRDefault="0090112A">
      <w:pPr>
        <w:pStyle w:val="TOC2"/>
        <w:rPr>
          <w:rFonts w:eastAsiaTheme="minorEastAsia"/>
          <w:noProof/>
          <w:lang w:eastAsia="en-AU"/>
        </w:rPr>
      </w:pPr>
      <w:hyperlink w:anchor="_Toc519083704" w:history="1">
        <w:r w:rsidR="00F056D1" w:rsidRPr="006665B1">
          <w:rPr>
            <w:rStyle w:val="Hyperlink"/>
            <w:noProof/>
          </w:rPr>
          <w:t>12.5</w:t>
        </w:r>
        <w:r w:rsidR="00F056D1">
          <w:rPr>
            <w:rFonts w:eastAsiaTheme="minorEastAsia"/>
            <w:noProof/>
            <w:lang w:eastAsia="en-AU"/>
          </w:rPr>
          <w:tab/>
        </w:r>
        <w:r w:rsidR="00F056D1" w:rsidRPr="006665B1">
          <w:rPr>
            <w:rStyle w:val="Hyperlink"/>
            <w:noProof/>
          </w:rPr>
          <w:t>Evaluation</w:t>
        </w:r>
        <w:r w:rsidR="00F056D1">
          <w:rPr>
            <w:noProof/>
            <w:webHidden/>
          </w:rPr>
          <w:tab/>
        </w:r>
        <w:r w:rsidR="00F056D1">
          <w:rPr>
            <w:noProof/>
            <w:webHidden/>
          </w:rPr>
          <w:fldChar w:fldCharType="begin"/>
        </w:r>
        <w:r w:rsidR="00F056D1">
          <w:rPr>
            <w:noProof/>
            <w:webHidden/>
          </w:rPr>
          <w:instrText xml:space="preserve"> PAGEREF _Toc519083704 \h </w:instrText>
        </w:r>
        <w:r w:rsidR="00F056D1">
          <w:rPr>
            <w:noProof/>
            <w:webHidden/>
          </w:rPr>
        </w:r>
        <w:r w:rsidR="00F056D1">
          <w:rPr>
            <w:noProof/>
            <w:webHidden/>
          </w:rPr>
          <w:fldChar w:fldCharType="separate"/>
        </w:r>
        <w:r w:rsidR="00F056D1">
          <w:rPr>
            <w:noProof/>
            <w:webHidden/>
          </w:rPr>
          <w:t>19</w:t>
        </w:r>
        <w:r w:rsidR="00F056D1">
          <w:rPr>
            <w:noProof/>
            <w:webHidden/>
          </w:rPr>
          <w:fldChar w:fldCharType="end"/>
        </w:r>
      </w:hyperlink>
    </w:p>
    <w:p w:rsidR="00F056D1" w:rsidRDefault="0090112A">
      <w:pPr>
        <w:pStyle w:val="TOC2"/>
        <w:rPr>
          <w:rFonts w:eastAsiaTheme="minorEastAsia"/>
          <w:noProof/>
          <w:lang w:eastAsia="en-AU"/>
        </w:rPr>
      </w:pPr>
      <w:hyperlink w:anchor="_Toc519083705" w:history="1">
        <w:r w:rsidR="00F056D1" w:rsidRPr="006665B1">
          <w:rPr>
            <w:rStyle w:val="Hyperlink"/>
            <w:noProof/>
          </w:rPr>
          <w:t>12.6</w:t>
        </w:r>
        <w:r w:rsidR="00F056D1">
          <w:rPr>
            <w:rFonts w:eastAsiaTheme="minorEastAsia"/>
            <w:noProof/>
            <w:lang w:eastAsia="en-AU"/>
          </w:rPr>
          <w:tab/>
        </w:r>
        <w:r w:rsidR="00F056D1" w:rsidRPr="006665B1">
          <w:rPr>
            <w:rStyle w:val="Hyperlink"/>
            <w:noProof/>
          </w:rPr>
          <w:t>Multicultural Access and Equity</w:t>
        </w:r>
        <w:r w:rsidR="00F056D1">
          <w:rPr>
            <w:noProof/>
            <w:webHidden/>
          </w:rPr>
          <w:tab/>
        </w:r>
        <w:r w:rsidR="00F056D1">
          <w:rPr>
            <w:noProof/>
            <w:webHidden/>
          </w:rPr>
          <w:fldChar w:fldCharType="begin"/>
        </w:r>
        <w:r w:rsidR="00F056D1">
          <w:rPr>
            <w:noProof/>
            <w:webHidden/>
          </w:rPr>
          <w:instrText xml:space="preserve"> PAGEREF _Toc519083705 \h </w:instrText>
        </w:r>
        <w:r w:rsidR="00F056D1">
          <w:rPr>
            <w:noProof/>
            <w:webHidden/>
          </w:rPr>
        </w:r>
        <w:r w:rsidR="00F056D1">
          <w:rPr>
            <w:noProof/>
            <w:webHidden/>
          </w:rPr>
          <w:fldChar w:fldCharType="separate"/>
        </w:r>
        <w:r w:rsidR="00F056D1">
          <w:rPr>
            <w:noProof/>
            <w:webHidden/>
          </w:rPr>
          <w:t>19</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706" w:history="1">
        <w:r w:rsidR="00F056D1" w:rsidRPr="006665B1">
          <w:rPr>
            <w:rStyle w:val="Hyperlink"/>
            <w:noProof/>
          </w:rPr>
          <w:t>13.</w:t>
        </w:r>
        <w:r w:rsidR="00F056D1">
          <w:rPr>
            <w:rFonts w:eastAsiaTheme="minorEastAsia"/>
            <w:b w:val="0"/>
            <w:noProof/>
            <w:sz w:val="22"/>
            <w:lang w:eastAsia="en-AU"/>
          </w:rPr>
          <w:tab/>
        </w:r>
        <w:r w:rsidR="00F056D1" w:rsidRPr="006665B1">
          <w:rPr>
            <w:rStyle w:val="Hyperlink"/>
            <w:noProof/>
          </w:rPr>
          <w:t>Probity</w:t>
        </w:r>
        <w:r w:rsidR="00F056D1">
          <w:rPr>
            <w:noProof/>
            <w:webHidden/>
          </w:rPr>
          <w:tab/>
        </w:r>
        <w:r w:rsidR="00F056D1">
          <w:rPr>
            <w:noProof/>
            <w:webHidden/>
          </w:rPr>
          <w:fldChar w:fldCharType="begin"/>
        </w:r>
        <w:r w:rsidR="00F056D1">
          <w:rPr>
            <w:noProof/>
            <w:webHidden/>
          </w:rPr>
          <w:instrText xml:space="preserve"> PAGEREF _Toc519083706 \h </w:instrText>
        </w:r>
        <w:r w:rsidR="00F056D1">
          <w:rPr>
            <w:noProof/>
            <w:webHidden/>
          </w:rPr>
        </w:r>
        <w:r w:rsidR="00F056D1">
          <w:rPr>
            <w:noProof/>
            <w:webHidden/>
          </w:rPr>
          <w:fldChar w:fldCharType="separate"/>
        </w:r>
        <w:r w:rsidR="00F056D1">
          <w:rPr>
            <w:noProof/>
            <w:webHidden/>
          </w:rPr>
          <w:t>19</w:t>
        </w:r>
        <w:r w:rsidR="00F056D1">
          <w:rPr>
            <w:noProof/>
            <w:webHidden/>
          </w:rPr>
          <w:fldChar w:fldCharType="end"/>
        </w:r>
      </w:hyperlink>
    </w:p>
    <w:p w:rsidR="00F056D1" w:rsidRDefault="0090112A">
      <w:pPr>
        <w:pStyle w:val="TOC2"/>
        <w:rPr>
          <w:rFonts w:eastAsiaTheme="minorEastAsia"/>
          <w:noProof/>
          <w:lang w:eastAsia="en-AU"/>
        </w:rPr>
      </w:pPr>
      <w:hyperlink w:anchor="_Toc519083707" w:history="1">
        <w:r w:rsidR="00F056D1" w:rsidRPr="006665B1">
          <w:rPr>
            <w:rStyle w:val="Hyperlink"/>
            <w:noProof/>
          </w:rPr>
          <w:t>13.1</w:t>
        </w:r>
        <w:r w:rsidR="00F056D1">
          <w:rPr>
            <w:rFonts w:eastAsiaTheme="minorEastAsia"/>
            <w:noProof/>
            <w:lang w:eastAsia="en-AU"/>
          </w:rPr>
          <w:tab/>
        </w:r>
        <w:r w:rsidR="00F056D1" w:rsidRPr="006665B1">
          <w:rPr>
            <w:rStyle w:val="Hyperlink"/>
            <w:noProof/>
          </w:rPr>
          <w:t>Complaints process</w:t>
        </w:r>
        <w:r w:rsidR="00F056D1">
          <w:rPr>
            <w:noProof/>
            <w:webHidden/>
          </w:rPr>
          <w:tab/>
        </w:r>
        <w:r w:rsidR="00F056D1">
          <w:rPr>
            <w:noProof/>
            <w:webHidden/>
          </w:rPr>
          <w:fldChar w:fldCharType="begin"/>
        </w:r>
        <w:r w:rsidR="00F056D1">
          <w:rPr>
            <w:noProof/>
            <w:webHidden/>
          </w:rPr>
          <w:instrText xml:space="preserve"> PAGEREF _Toc519083707 \h </w:instrText>
        </w:r>
        <w:r w:rsidR="00F056D1">
          <w:rPr>
            <w:noProof/>
            <w:webHidden/>
          </w:rPr>
        </w:r>
        <w:r w:rsidR="00F056D1">
          <w:rPr>
            <w:noProof/>
            <w:webHidden/>
          </w:rPr>
          <w:fldChar w:fldCharType="separate"/>
        </w:r>
        <w:r w:rsidR="00F056D1">
          <w:rPr>
            <w:noProof/>
            <w:webHidden/>
          </w:rPr>
          <w:t>20</w:t>
        </w:r>
        <w:r w:rsidR="00F056D1">
          <w:rPr>
            <w:noProof/>
            <w:webHidden/>
          </w:rPr>
          <w:fldChar w:fldCharType="end"/>
        </w:r>
      </w:hyperlink>
    </w:p>
    <w:p w:rsidR="00F056D1" w:rsidRDefault="0090112A">
      <w:pPr>
        <w:pStyle w:val="TOC2"/>
        <w:rPr>
          <w:rFonts w:eastAsiaTheme="minorEastAsia"/>
          <w:noProof/>
          <w:lang w:eastAsia="en-AU"/>
        </w:rPr>
      </w:pPr>
      <w:hyperlink w:anchor="_Toc519083708" w:history="1">
        <w:r w:rsidR="00F056D1" w:rsidRPr="006665B1">
          <w:rPr>
            <w:rStyle w:val="Hyperlink"/>
            <w:noProof/>
          </w:rPr>
          <w:t>13.2</w:t>
        </w:r>
        <w:r w:rsidR="00F056D1">
          <w:rPr>
            <w:rFonts w:eastAsiaTheme="minorEastAsia"/>
            <w:noProof/>
            <w:lang w:eastAsia="en-AU"/>
          </w:rPr>
          <w:tab/>
        </w:r>
        <w:r w:rsidR="00F056D1" w:rsidRPr="006665B1">
          <w:rPr>
            <w:rStyle w:val="Hyperlink"/>
            <w:noProof/>
          </w:rPr>
          <w:t>Conflict of interest</w:t>
        </w:r>
        <w:r w:rsidR="00F056D1">
          <w:rPr>
            <w:noProof/>
            <w:webHidden/>
          </w:rPr>
          <w:tab/>
        </w:r>
        <w:r w:rsidR="00F056D1">
          <w:rPr>
            <w:noProof/>
            <w:webHidden/>
          </w:rPr>
          <w:fldChar w:fldCharType="begin"/>
        </w:r>
        <w:r w:rsidR="00F056D1">
          <w:rPr>
            <w:noProof/>
            <w:webHidden/>
          </w:rPr>
          <w:instrText xml:space="preserve"> PAGEREF _Toc519083708 \h </w:instrText>
        </w:r>
        <w:r w:rsidR="00F056D1">
          <w:rPr>
            <w:noProof/>
            <w:webHidden/>
          </w:rPr>
        </w:r>
        <w:r w:rsidR="00F056D1">
          <w:rPr>
            <w:noProof/>
            <w:webHidden/>
          </w:rPr>
          <w:fldChar w:fldCharType="separate"/>
        </w:r>
        <w:r w:rsidR="00F056D1">
          <w:rPr>
            <w:noProof/>
            <w:webHidden/>
          </w:rPr>
          <w:t>20</w:t>
        </w:r>
        <w:r w:rsidR="00F056D1">
          <w:rPr>
            <w:noProof/>
            <w:webHidden/>
          </w:rPr>
          <w:fldChar w:fldCharType="end"/>
        </w:r>
      </w:hyperlink>
    </w:p>
    <w:p w:rsidR="00F056D1" w:rsidRDefault="0090112A">
      <w:pPr>
        <w:pStyle w:val="TOC2"/>
        <w:rPr>
          <w:rFonts w:eastAsiaTheme="minorEastAsia"/>
          <w:noProof/>
          <w:lang w:eastAsia="en-AU"/>
        </w:rPr>
      </w:pPr>
      <w:hyperlink w:anchor="_Toc519083709" w:history="1">
        <w:r w:rsidR="00F056D1" w:rsidRPr="006665B1">
          <w:rPr>
            <w:rStyle w:val="Hyperlink"/>
            <w:noProof/>
          </w:rPr>
          <w:t>13.3</w:t>
        </w:r>
        <w:r w:rsidR="00F056D1">
          <w:rPr>
            <w:rFonts w:eastAsiaTheme="minorEastAsia"/>
            <w:noProof/>
            <w:lang w:eastAsia="en-AU"/>
          </w:rPr>
          <w:tab/>
        </w:r>
        <w:r w:rsidR="00F056D1" w:rsidRPr="006665B1">
          <w:rPr>
            <w:rStyle w:val="Hyperlink"/>
            <w:noProof/>
          </w:rPr>
          <w:t>Privacy: confidentiality and protection of personal information</w:t>
        </w:r>
        <w:r w:rsidR="00F056D1">
          <w:rPr>
            <w:noProof/>
            <w:webHidden/>
          </w:rPr>
          <w:tab/>
        </w:r>
        <w:r w:rsidR="00F056D1">
          <w:rPr>
            <w:noProof/>
            <w:webHidden/>
          </w:rPr>
          <w:fldChar w:fldCharType="begin"/>
        </w:r>
        <w:r w:rsidR="00F056D1">
          <w:rPr>
            <w:noProof/>
            <w:webHidden/>
          </w:rPr>
          <w:instrText xml:space="preserve"> PAGEREF _Toc519083709 \h </w:instrText>
        </w:r>
        <w:r w:rsidR="00F056D1">
          <w:rPr>
            <w:noProof/>
            <w:webHidden/>
          </w:rPr>
        </w:r>
        <w:r w:rsidR="00F056D1">
          <w:rPr>
            <w:noProof/>
            <w:webHidden/>
          </w:rPr>
          <w:fldChar w:fldCharType="separate"/>
        </w:r>
        <w:r w:rsidR="00F056D1">
          <w:rPr>
            <w:noProof/>
            <w:webHidden/>
          </w:rPr>
          <w:t>21</w:t>
        </w:r>
        <w:r w:rsidR="00F056D1">
          <w:rPr>
            <w:noProof/>
            <w:webHidden/>
          </w:rPr>
          <w:fldChar w:fldCharType="end"/>
        </w:r>
      </w:hyperlink>
    </w:p>
    <w:p w:rsidR="00F056D1" w:rsidRDefault="0090112A">
      <w:pPr>
        <w:pStyle w:val="TOC2"/>
        <w:rPr>
          <w:rFonts w:eastAsiaTheme="minorEastAsia"/>
          <w:noProof/>
          <w:lang w:eastAsia="en-AU"/>
        </w:rPr>
      </w:pPr>
      <w:hyperlink w:anchor="_Toc519083710" w:history="1">
        <w:r w:rsidR="00F056D1" w:rsidRPr="006665B1">
          <w:rPr>
            <w:rStyle w:val="Hyperlink"/>
            <w:noProof/>
          </w:rPr>
          <w:t>13.4</w:t>
        </w:r>
        <w:r w:rsidR="00F056D1">
          <w:rPr>
            <w:rFonts w:eastAsiaTheme="minorEastAsia"/>
            <w:noProof/>
            <w:lang w:eastAsia="en-AU"/>
          </w:rPr>
          <w:tab/>
        </w:r>
        <w:r w:rsidR="00F056D1" w:rsidRPr="006665B1">
          <w:rPr>
            <w:rStyle w:val="Hyperlink"/>
            <w:noProof/>
          </w:rPr>
          <w:t>Freedom of information</w:t>
        </w:r>
        <w:r w:rsidR="00F056D1">
          <w:rPr>
            <w:noProof/>
            <w:webHidden/>
          </w:rPr>
          <w:tab/>
        </w:r>
        <w:r w:rsidR="00F056D1">
          <w:rPr>
            <w:noProof/>
            <w:webHidden/>
          </w:rPr>
          <w:fldChar w:fldCharType="begin"/>
        </w:r>
        <w:r w:rsidR="00F056D1">
          <w:rPr>
            <w:noProof/>
            <w:webHidden/>
          </w:rPr>
          <w:instrText xml:space="preserve"> PAGEREF _Toc519083710 \h </w:instrText>
        </w:r>
        <w:r w:rsidR="00F056D1">
          <w:rPr>
            <w:noProof/>
            <w:webHidden/>
          </w:rPr>
        </w:r>
        <w:r w:rsidR="00F056D1">
          <w:rPr>
            <w:noProof/>
            <w:webHidden/>
          </w:rPr>
          <w:fldChar w:fldCharType="separate"/>
        </w:r>
        <w:r w:rsidR="00F056D1">
          <w:rPr>
            <w:noProof/>
            <w:webHidden/>
          </w:rPr>
          <w:t>22</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711" w:history="1">
        <w:r w:rsidR="00F056D1" w:rsidRPr="006665B1">
          <w:rPr>
            <w:rStyle w:val="Hyperlink"/>
            <w:noProof/>
          </w:rPr>
          <w:t>14.</w:t>
        </w:r>
        <w:r w:rsidR="00F056D1">
          <w:rPr>
            <w:rFonts w:eastAsiaTheme="minorEastAsia"/>
            <w:b w:val="0"/>
            <w:noProof/>
            <w:sz w:val="22"/>
            <w:lang w:eastAsia="en-AU"/>
          </w:rPr>
          <w:tab/>
        </w:r>
        <w:r w:rsidR="00F056D1" w:rsidRPr="006665B1">
          <w:rPr>
            <w:rStyle w:val="Hyperlink"/>
            <w:noProof/>
          </w:rPr>
          <w:t>Consultation</w:t>
        </w:r>
        <w:r w:rsidR="00F056D1">
          <w:rPr>
            <w:noProof/>
            <w:webHidden/>
          </w:rPr>
          <w:tab/>
        </w:r>
        <w:r w:rsidR="00F056D1">
          <w:rPr>
            <w:noProof/>
            <w:webHidden/>
          </w:rPr>
          <w:fldChar w:fldCharType="begin"/>
        </w:r>
        <w:r w:rsidR="00F056D1">
          <w:rPr>
            <w:noProof/>
            <w:webHidden/>
          </w:rPr>
          <w:instrText xml:space="preserve"> PAGEREF _Toc519083711 \h </w:instrText>
        </w:r>
        <w:r w:rsidR="00F056D1">
          <w:rPr>
            <w:noProof/>
            <w:webHidden/>
          </w:rPr>
        </w:r>
        <w:r w:rsidR="00F056D1">
          <w:rPr>
            <w:noProof/>
            <w:webHidden/>
          </w:rPr>
          <w:fldChar w:fldCharType="separate"/>
        </w:r>
        <w:r w:rsidR="00F056D1">
          <w:rPr>
            <w:noProof/>
            <w:webHidden/>
          </w:rPr>
          <w:t>23</w:t>
        </w:r>
        <w:r w:rsidR="00F056D1">
          <w:rPr>
            <w:noProof/>
            <w:webHidden/>
          </w:rPr>
          <w:fldChar w:fldCharType="end"/>
        </w:r>
      </w:hyperlink>
    </w:p>
    <w:p w:rsidR="00F056D1" w:rsidRDefault="0090112A">
      <w:pPr>
        <w:pStyle w:val="TOC1"/>
        <w:rPr>
          <w:rFonts w:eastAsiaTheme="minorEastAsia"/>
          <w:b w:val="0"/>
          <w:noProof/>
          <w:sz w:val="22"/>
          <w:lang w:eastAsia="en-AU"/>
        </w:rPr>
      </w:pPr>
      <w:hyperlink w:anchor="_Toc519083712" w:history="1">
        <w:r w:rsidR="00F056D1" w:rsidRPr="006665B1">
          <w:rPr>
            <w:rStyle w:val="Hyperlink"/>
            <w:noProof/>
          </w:rPr>
          <w:t>15.</w:t>
        </w:r>
        <w:r w:rsidR="00F056D1">
          <w:rPr>
            <w:rFonts w:eastAsiaTheme="minorEastAsia"/>
            <w:b w:val="0"/>
            <w:noProof/>
            <w:sz w:val="22"/>
            <w:lang w:eastAsia="en-AU"/>
          </w:rPr>
          <w:tab/>
        </w:r>
        <w:r w:rsidR="00F056D1" w:rsidRPr="006665B1">
          <w:rPr>
            <w:rStyle w:val="Hyperlink"/>
            <w:noProof/>
          </w:rPr>
          <w:t>Glossary</w:t>
        </w:r>
        <w:r w:rsidR="00F056D1">
          <w:rPr>
            <w:noProof/>
            <w:webHidden/>
          </w:rPr>
          <w:tab/>
        </w:r>
        <w:r w:rsidR="00F056D1">
          <w:rPr>
            <w:noProof/>
            <w:webHidden/>
          </w:rPr>
          <w:fldChar w:fldCharType="begin"/>
        </w:r>
        <w:r w:rsidR="00F056D1">
          <w:rPr>
            <w:noProof/>
            <w:webHidden/>
          </w:rPr>
          <w:instrText xml:space="preserve"> PAGEREF _Toc519083712 \h </w:instrText>
        </w:r>
        <w:r w:rsidR="00F056D1">
          <w:rPr>
            <w:noProof/>
            <w:webHidden/>
          </w:rPr>
        </w:r>
        <w:r w:rsidR="00F056D1">
          <w:rPr>
            <w:noProof/>
            <w:webHidden/>
          </w:rPr>
          <w:fldChar w:fldCharType="separate"/>
        </w:r>
        <w:r w:rsidR="00F056D1">
          <w:rPr>
            <w:noProof/>
            <w:webHidden/>
          </w:rPr>
          <w:t>24</w:t>
        </w:r>
        <w:r w:rsidR="00F056D1">
          <w:rPr>
            <w:noProof/>
            <w:webHidden/>
          </w:rPr>
          <w:fldChar w:fldCharType="end"/>
        </w:r>
      </w:hyperlink>
    </w:p>
    <w:p w:rsidR="00934587" w:rsidRDefault="0020122A" w:rsidP="00CC2AA4">
      <w:r>
        <w:fldChar w:fldCharType="end"/>
      </w:r>
    </w:p>
    <w:p w:rsidR="00157C34" w:rsidRDefault="00157C34" w:rsidP="00934587">
      <w:pPr>
        <w:pBdr>
          <w:bottom w:val="single" w:sz="4" w:space="1" w:color="auto"/>
        </w:pBdr>
        <w:rPr>
          <w:b/>
          <w:color w:val="745B00"/>
        </w:rPr>
        <w:sectPr w:rsidR="00157C34" w:rsidSect="00564C6D">
          <w:pgSz w:w="11906" w:h="16838" w:code="9"/>
          <w:pgMar w:top="2268" w:right="1418" w:bottom="1418" w:left="1418" w:header="567" w:footer="624" w:gutter="0"/>
          <w:cols w:space="708"/>
          <w:docGrid w:linePitch="360"/>
        </w:sectPr>
      </w:pPr>
    </w:p>
    <w:p w:rsidR="00157C34" w:rsidRPr="007475A5" w:rsidRDefault="00157C34" w:rsidP="00157C34">
      <w:pPr>
        <w:pStyle w:val="Heading1Numbered"/>
        <w:numPr>
          <w:ilvl w:val="0"/>
          <w:numId w:val="45"/>
        </w:numPr>
        <w:rPr>
          <w:sz w:val="34"/>
          <w:szCs w:val="34"/>
        </w:rPr>
      </w:pPr>
      <w:bookmarkStart w:id="0" w:name="_Toc513631396"/>
      <w:bookmarkStart w:id="1" w:name="_Toc513637904"/>
      <w:bookmarkStart w:id="2" w:name="_Toc514068254"/>
      <w:bookmarkStart w:id="3" w:name="_Toc513631397"/>
      <w:bookmarkStart w:id="4" w:name="_Toc513637905"/>
      <w:bookmarkStart w:id="5" w:name="_Toc514068255"/>
      <w:bookmarkStart w:id="6" w:name="_Toc513631398"/>
      <w:bookmarkStart w:id="7" w:name="_Toc513637906"/>
      <w:bookmarkStart w:id="8" w:name="_Toc514068256"/>
      <w:bookmarkStart w:id="9" w:name="_Toc513631399"/>
      <w:bookmarkStart w:id="10" w:name="_Toc513637907"/>
      <w:bookmarkStart w:id="11" w:name="_Toc514068257"/>
      <w:bookmarkStart w:id="12" w:name="_Toc513631400"/>
      <w:bookmarkStart w:id="13" w:name="_Toc513637908"/>
      <w:bookmarkStart w:id="14" w:name="_Toc514068258"/>
      <w:bookmarkStart w:id="15" w:name="_Toc513631401"/>
      <w:bookmarkStart w:id="16" w:name="_Toc513637909"/>
      <w:bookmarkStart w:id="17" w:name="_Toc514068259"/>
      <w:bookmarkStart w:id="18" w:name="_Toc513631402"/>
      <w:bookmarkStart w:id="19" w:name="_Toc513637910"/>
      <w:bookmarkStart w:id="20" w:name="_Toc514068260"/>
      <w:bookmarkStart w:id="21" w:name="_Toc513631403"/>
      <w:bookmarkStart w:id="22" w:name="_Toc513637911"/>
      <w:bookmarkStart w:id="23" w:name="_Toc514068261"/>
      <w:bookmarkStart w:id="24" w:name="_Toc513631404"/>
      <w:bookmarkStart w:id="25" w:name="_Toc513637912"/>
      <w:bookmarkStart w:id="26" w:name="_Toc514068262"/>
      <w:bookmarkStart w:id="27" w:name="_Toc513631405"/>
      <w:bookmarkStart w:id="28" w:name="_Toc513637913"/>
      <w:bookmarkStart w:id="29" w:name="_Toc514068263"/>
      <w:bookmarkStart w:id="30" w:name="_Toc513631406"/>
      <w:bookmarkStart w:id="31" w:name="_Toc513637914"/>
      <w:bookmarkStart w:id="32" w:name="_Toc514068264"/>
      <w:bookmarkStart w:id="33" w:name="_Toc513631407"/>
      <w:bookmarkStart w:id="34" w:name="_Toc513637915"/>
      <w:bookmarkStart w:id="35" w:name="_Toc514068265"/>
      <w:bookmarkStart w:id="36" w:name="_Toc513631408"/>
      <w:bookmarkStart w:id="37" w:name="_Toc513637916"/>
      <w:bookmarkStart w:id="38" w:name="_Toc514068266"/>
      <w:bookmarkStart w:id="39" w:name="_Toc513631409"/>
      <w:bookmarkStart w:id="40" w:name="_Toc513637917"/>
      <w:bookmarkStart w:id="41" w:name="_Toc514068267"/>
      <w:bookmarkStart w:id="42" w:name="_Toc513631410"/>
      <w:bookmarkStart w:id="43" w:name="_Toc513637918"/>
      <w:bookmarkStart w:id="44" w:name="_Toc514068268"/>
      <w:bookmarkStart w:id="45" w:name="_Toc513631411"/>
      <w:bookmarkStart w:id="46" w:name="_Toc513637919"/>
      <w:bookmarkStart w:id="47" w:name="_Toc514068269"/>
      <w:bookmarkStart w:id="48" w:name="_Toc513631412"/>
      <w:bookmarkStart w:id="49" w:name="_Toc513637920"/>
      <w:bookmarkStart w:id="50" w:name="_Toc514068270"/>
      <w:bookmarkStart w:id="51" w:name="_Toc511649913"/>
      <w:bookmarkStart w:id="52" w:name="_Toc519083669"/>
      <w:bookmarkStart w:id="53" w:name="_Toc458420391"/>
      <w:bookmarkStart w:id="54" w:name="_Toc4677739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475A5">
        <w:rPr>
          <w:color w:val="auto"/>
          <w:sz w:val="34"/>
          <w:szCs w:val="34"/>
        </w:rPr>
        <w:lastRenderedPageBreak/>
        <w:t>Financial Wellbeing and Capability</w:t>
      </w:r>
      <w:r w:rsidR="00A16196" w:rsidRPr="007475A5">
        <w:rPr>
          <w:color w:val="auto"/>
          <w:sz w:val="34"/>
          <w:szCs w:val="34"/>
        </w:rPr>
        <w:t xml:space="preserve"> Activity</w:t>
      </w:r>
      <w:r w:rsidRPr="007475A5">
        <w:rPr>
          <w:color w:val="auto"/>
          <w:sz w:val="34"/>
          <w:szCs w:val="34"/>
        </w:rPr>
        <w:t xml:space="preserve">: Financial Counselling to Support People Affected by Problem Gambling Grant Opportunity </w:t>
      </w:r>
      <w:r w:rsidRPr="007475A5">
        <w:rPr>
          <w:sz w:val="34"/>
          <w:szCs w:val="34"/>
        </w:rPr>
        <w:t>Processes</w:t>
      </w:r>
      <w:bookmarkEnd w:id="51"/>
      <w:bookmarkEnd w:id="52"/>
    </w:p>
    <w:bookmarkEnd w:id="53"/>
    <w:bookmarkEnd w:id="54"/>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570527" w:rsidP="00EE2B1C">
      <w:pPr>
        <w:pBdr>
          <w:top w:val="single" w:sz="4" w:space="1" w:color="auto"/>
          <w:left w:val="single" w:sz="4" w:space="4" w:color="auto"/>
          <w:bottom w:val="single" w:sz="4" w:space="1" w:color="auto"/>
          <w:right w:val="single" w:sz="4" w:space="4" w:color="auto"/>
        </w:pBdr>
        <w:spacing w:after="0"/>
        <w:jc w:val="center"/>
      </w:pPr>
      <w:r w:rsidRPr="006913FB">
        <w:t>This grant opportunity</w:t>
      </w:r>
      <w:r w:rsidR="00BB5869">
        <w:t xml:space="preserve"> </w:t>
      </w:r>
      <w:r w:rsidRPr="006913FB">
        <w:t xml:space="preserve">is part of the </w:t>
      </w:r>
      <w:r w:rsidR="0044601E">
        <w:t>above Grant Program</w:t>
      </w:r>
      <w:r w:rsidRPr="006913FB">
        <w:t xml:space="preserve">, which contributes to </w:t>
      </w:r>
      <w:r>
        <w:t xml:space="preserve">the </w:t>
      </w:r>
      <w:r w:rsidRPr="006913FB">
        <w:t xml:space="preserve">Department of Social Services’ Outcome 2: Families and Communities. The Department of Social Services </w:t>
      </w:r>
      <w:r w:rsidRPr="00F40BDA">
        <w:t xml:space="preserve">works with stakeholders to plan and design the </w:t>
      </w:r>
      <w:r>
        <w:t>G</w:t>
      </w:r>
      <w:r w:rsidRPr="00F40BDA">
        <w:t xml:space="preserve">rant </w:t>
      </w:r>
      <w:r>
        <w:t>Program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2" w:history="1">
        <w:r w:rsidRPr="00566242">
          <w:rPr>
            <w:rStyle w:val="Hyperlink"/>
            <w:rFonts w:cstheme="minorBidi"/>
          </w:rPr>
          <w:t>GrantConnect</w:t>
        </w:r>
      </w:hyperlink>
      <w:r w:rsidR="00BD1DD2">
        <w:t xml:space="preserve"> and </w:t>
      </w:r>
      <w:hyperlink r:id="rId13" w:history="1">
        <w:r w:rsidR="00BD1DD2" w:rsidRPr="00566242">
          <w:rPr>
            <w:rStyle w:val="Hyperlink"/>
            <w:rFonts w:cstheme="minorBidi"/>
          </w:rPr>
          <w:t>Community Grants Hub</w:t>
        </w:r>
      </w:hyperlink>
      <w:r w:rsidR="00BD1DD2">
        <w:t xml:space="preserve"> websites</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4" w:history="1">
        <w:r w:rsidR="0097683A" w:rsidRPr="0097683A">
          <w:rPr>
            <w:rStyle w:val="Hyperlink"/>
            <w:rFonts w:cstheme="minorBidi"/>
          </w:rPr>
          <w:t>GrantConnect</w:t>
        </w:r>
      </w:hyperlink>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7A62C2"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475A5">
        <w:rPr>
          <w:rStyle w:val="highlightedtextChar"/>
          <w:color w:val="auto"/>
        </w:rPr>
        <w:t>We enter into a grant agreement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The type of grant agreement is based on the nature of the grant and</w:t>
      </w:r>
      <w:r w:rsidR="009A05FF">
        <w:t xml:space="preserve"> is</w:t>
      </w:r>
      <w:r w:rsidRPr="00F40BDA">
        <w:t xml:space="preserve">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7475A5">
        <w:rPr>
          <w:rStyle w:val="highlightedtextChar"/>
          <w:b w:val="0"/>
          <w:color w:val="auto"/>
        </w:rPr>
        <w:t>grant agreement</w:t>
      </w:r>
      <w:r w:rsidRPr="00F40BDA">
        <w:rPr>
          <w:bCs/>
        </w:rPr>
        <w:t xml:space="preserve">. </w:t>
      </w:r>
      <w:r w:rsidR="000F2AB5">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DC3FFB" w:rsidRDefault="00EE2B1C" w:rsidP="00DC3FFB">
      <w:pPr>
        <w:pBdr>
          <w:top w:val="single" w:sz="2" w:space="1" w:color="auto"/>
          <w:left w:val="single" w:sz="2" w:space="4" w:color="auto"/>
          <w:bottom w:val="single" w:sz="2" w:space="1" w:color="auto"/>
          <w:right w:val="single" w:sz="2" w:space="4" w:color="auto"/>
        </w:pBdr>
        <w:spacing w:after="0"/>
        <w:jc w:val="center"/>
        <w:rPr>
          <w:b/>
        </w:rPr>
      </w:pPr>
      <w:r w:rsidRPr="00DC3FFB">
        <w:rPr>
          <w:b/>
        </w:rPr>
        <w:t xml:space="preserve">Evaluation of the grant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564C6D" w:rsidRPr="00B1438C">
        <w:t>Financial Counselling to Support People Affected by Problem Gambling</w:t>
      </w:r>
      <w:r w:rsidR="00564C6D">
        <w:t xml:space="preserve"> </w:t>
      </w:r>
      <w:r>
        <w:t>as a whole</w:t>
      </w:r>
      <w:r w:rsidRPr="00F40BDA">
        <w:t xml:space="preserve">. </w:t>
      </w:r>
      <w:r w:rsidR="000F2AB5">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367A67" w:rsidRDefault="001A0777" w:rsidP="00056305">
      <w:pPr>
        <w:pStyle w:val="Heading2Numbered"/>
      </w:pPr>
      <w:bookmarkStart w:id="55" w:name="_Toc484677032"/>
      <w:bookmarkStart w:id="56" w:name="_Toc519083670"/>
      <w:bookmarkStart w:id="57" w:name="_Toc467773951"/>
      <w:r w:rsidRPr="00367A67">
        <w:t>Role of the Community Grants Hub</w:t>
      </w:r>
      <w:bookmarkEnd w:id="55"/>
      <w:bookmarkEnd w:id="56"/>
    </w:p>
    <w:p w:rsidR="001A0777" w:rsidRPr="00367A67" w:rsidRDefault="00D268E6" w:rsidP="001A0777">
      <w:r w:rsidRPr="00367A67">
        <w:t xml:space="preserve">This grant opportunity will be administered by the Community Grants Hub on behalf of the </w:t>
      </w:r>
      <w:r w:rsidR="00570527" w:rsidRPr="00330B71">
        <w:t>Department of Social Services</w:t>
      </w:r>
      <w:r w:rsidR="00570527" w:rsidRPr="00330B71">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58" w:name="_Toc519083671"/>
      <w:r w:rsidRPr="00367A67">
        <w:t>1.2</w:t>
      </w:r>
      <w:r w:rsidRPr="00367A67">
        <w:tab/>
      </w:r>
      <w:r w:rsidR="00045933" w:rsidRPr="00367A67">
        <w:t>About the grant program</w:t>
      </w:r>
      <w:bookmarkEnd w:id="57"/>
      <w:bookmarkEnd w:id="58"/>
    </w:p>
    <w:p w:rsidR="00E3105D" w:rsidRDefault="00E3105D" w:rsidP="00E3105D">
      <w:r>
        <w:t xml:space="preserve">The </w:t>
      </w:r>
      <w:r w:rsidR="00435D19">
        <w:t>Financial Wellbeing and Capability</w:t>
      </w:r>
      <w:r w:rsidR="00A16196">
        <w:t xml:space="preserve"> </w:t>
      </w:r>
      <w:r>
        <w:t xml:space="preserve">Activity is a component of the Families and Communities Program. </w:t>
      </w:r>
      <w:r w:rsidR="00B25767">
        <w:t xml:space="preserve"> </w:t>
      </w:r>
      <w:r>
        <w:t>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rsidR="00E3105D" w:rsidRPr="007D0980" w:rsidRDefault="00E3105D" w:rsidP="00E3105D">
      <w:pPr>
        <w:spacing w:after="120"/>
        <w:rPr>
          <w:rFonts w:cstheme="minorHAnsi"/>
        </w:rPr>
      </w:pPr>
      <w:r>
        <w:t xml:space="preserve">The objectives of the </w:t>
      </w:r>
      <w:r w:rsidR="00435D19">
        <w:t xml:space="preserve">Financial Wellbeing and Capability </w:t>
      </w:r>
      <w:r>
        <w:t xml:space="preserve">Activity are to support eligible individuals and families to navigate financial crises and build financial wellbeing, financial </w:t>
      </w:r>
      <w:r w:rsidRPr="00AD2EB2">
        <w:rPr>
          <w:rFonts w:cstheme="minorHAnsi"/>
        </w:rPr>
        <w:t>capability, and resilience for vulnerable people and those most at risk of financial and social exclusion and disadvantage.</w:t>
      </w:r>
    </w:p>
    <w:p w:rsidR="00E3105D" w:rsidRPr="00EE7E77" w:rsidRDefault="00E3105D" w:rsidP="00E3105D">
      <w:pPr>
        <w:rPr>
          <w:rFonts w:cstheme="minorHAnsi"/>
        </w:rPr>
      </w:pPr>
      <w:r>
        <w:rPr>
          <w:rFonts w:cstheme="minorHAnsi"/>
        </w:rPr>
        <w:t>S</w:t>
      </w:r>
      <w:r w:rsidRPr="00EE7E77">
        <w:rPr>
          <w:rFonts w:cstheme="minorHAnsi"/>
        </w:rPr>
        <w:t xml:space="preserve">ervices provided under the </w:t>
      </w:r>
      <w:r w:rsidR="00435D19">
        <w:t xml:space="preserve">Financial Wellbeing and Capability </w:t>
      </w:r>
      <w:r w:rsidRPr="00EE7E77">
        <w:rPr>
          <w:rFonts w:cstheme="minorHAnsi"/>
        </w:rPr>
        <w:t xml:space="preserve">Activity include the provision of crisis support, broad financial capability building services, financial counselling, and access to microfinance products. </w:t>
      </w:r>
      <w:r w:rsidR="00B25767">
        <w:rPr>
          <w:rFonts w:cstheme="minorHAnsi"/>
        </w:rPr>
        <w:t xml:space="preserve"> </w:t>
      </w:r>
      <w:r w:rsidRPr="00EE7E77">
        <w:rPr>
          <w:rFonts w:cstheme="minorHAnsi"/>
        </w:rPr>
        <w:t xml:space="preserve">Funding may also be provided to ensure the organisations </w:t>
      </w:r>
      <w:r w:rsidRPr="00EE7E77">
        <w:rPr>
          <w:rFonts w:cstheme="minorHAnsi"/>
        </w:rPr>
        <w:lastRenderedPageBreak/>
        <w:t xml:space="preserve">and staff (paid and voluntary) delivering the Activity have adequate capacity and capability to deliver high quality, high functioning services. </w:t>
      </w:r>
      <w:r w:rsidR="00B25767">
        <w:rPr>
          <w:rFonts w:cstheme="minorHAnsi"/>
        </w:rPr>
        <w:t xml:space="preserve"> </w:t>
      </w:r>
      <w:r w:rsidRPr="00EE7E77">
        <w:rPr>
          <w:rFonts w:cstheme="minorHAnsi"/>
        </w:rPr>
        <w:t>Services are free, voluntary and confidential and are delivered by community and local government organisations.</w:t>
      </w:r>
    </w:p>
    <w:p w:rsidR="00E3105D" w:rsidRPr="00B56FC7" w:rsidRDefault="00E3105D" w:rsidP="00E3105D">
      <w:pPr>
        <w:spacing w:after="120"/>
        <w:rPr>
          <w:rFonts w:cstheme="minorHAnsi"/>
        </w:rPr>
      </w:pPr>
      <w:r w:rsidRPr="00AC34CB">
        <w:rPr>
          <w:rFonts w:cstheme="minorHAnsi"/>
          <w:color w:val="000000"/>
        </w:rPr>
        <w:t xml:space="preserve">The </w:t>
      </w:r>
      <w:r w:rsidR="00387914">
        <w:t xml:space="preserve">Financial Wellbeing and Capability </w:t>
      </w:r>
      <w:r w:rsidRPr="00AC34CB">
        <w:rPr>
          <w:rFonts w:cstheme="minorHAnsi"/>
        </w:rPr>
        <w:t>Activity contributes to improved outcomes for eligible vulnerable people, families and communities by:</w:t>
      </w:r>
    </w:p>
    <w:p w:rsidR="00E3105D" w:rsidRPr="00DD7B6D" w:rsidRDefault="00E3105D" w:rsidP="00E3105D">
      <w:pPr>
        <w:pStyle w:val="Bullet1"/>
        <w:numPr>
          <w:ilvl w:val="0"/>
          <w:numId w:val="46"/>
        </w:numPr>
      </w:pPr>
      <w:r w:rsidRPr="00DD7B6D">
        <w:t>helping people who are unable to pay their bills or are at imminent risk of not being able to pay their bills</w:t>
      </w:r>
      <w:r w:rsidR="00435D19">
        <w:t>;</w:t>
      </w:r>
    </w:p>
    <w:p w:rsidR="00E3105D" w:rsidRPr="00DD7B6D" w:rsidRDefault="00E3105D" w:rsidP="00E3105D">
      <w:pPr>
        <w:pStyle w:val="Bullet1"/>
        <w:numPr>
          <w:ilvl w:val="0"/>
          <w:numId w:val="46"/>
        </w:numPr>
      </w:pPr>
      <w:r w:rsidRPr="00DD7B6D">
        <w:t>improving financial capability by helping people to make informed choices to address their financial problems, and by fostering the improved use and management of money</w:t>
      </w:r>
      <w:r w:rsidR="00435D19">
        <w:t>;</w:t>
      </w:r>
    </w:p>
    <w:p w:rsidR="00E3105D" w:rsidRPr="00DD7B6D" w:rsidRDefault="00E3105D" w:rsidP="00E3105D">
      <w:pPr>
        <w:pStyle w:val="Bullet1"/>
        <w:numPr>
          <w:ilvl w:val="0"/>
          <w:numId w:val="46"/>
        </w:numPr>
      </w:pPr>
      <w:r w:rsidRPr="00DD7B6D">
        <w:t>assisting clients to navigate life transitions and/or financial stress or crisis which may negatively impact on their wellbeing</w:t>
      </w:r>
      <w:r w:rsidR="00435D19">
        <w:t>;</w:t>
      </w:r>
    </w:p>
    <w:p w:rsidR="00E3105D" w:rsidRPr="00DD7B6D" w:rsidRDefault="00E3105D" w:rsidP="00E3105D">
      <w:pPr>
        <w:pStyle w:val="Bullet1"/>
        <w:numPr>
          <w:ilvl w:val="0"/>
          <w:numId w:val="46"/>
        </w:numPr>
      </w:pPr>
      <w:r w:rsidRPr="00DD7B6D">
        <w:t>improving financial resilience and pathways to mainstream financial services by providing access to savings products and affordable credit products</w:t>
      </w:r>
      <w:r w:rsidR="00435D19">
        <w:t>; and</w:t>
      </w:r>
    </w:p>
    <w:p w:rsidR="00E3105D" w:rsidRPr="00DD7B6D" w:rsidRDefault="00E3105D" w:rsidP="00E3105D">
      <w:pPr>
        <w:pStyle w:val="Bullet1"/>
        <w:numPr>
          <w:ilvl w:val="0"/>
          <w:numId w:val="46"/>
        </w:numPr>
      </w:pPr>
      <w:r w:rsidRPr="00DD7B6D">
        <w:t xml:space="preserve">implementing research and evaluation activities to contribute to program and service improvement. </w:t>
      </w:r>
    </w:p>
    <w:p w:rsidR="00045933" w:rsidRPr="000F576B" w:rsidRDefault="00045933" w:rsidP="00045933">
      <w:pPr>
        <w:spacing w:after="120"/>
      </w:pPr>
      <w:r w:rsidRPr="00045933">
        <w:t xml:space="preserve">The </w:t>
      </w:r>
      <w:r w:rsidR="00E3105D">
        <w:t xml:space="preserve">Activity </w:t>
      </w:r>
      <w:r w:rsidRPr="00045933">
        <w:t xml:space="preserve">will be undertaken according to the </w:t>
      </w:r>
      <w:r w:rsidRPr="00045933">
        <w:rPr>
          <w:i/>
        </w:rPr>
        <w:t xml:space="preserve">Commonwealth Grants Rules and Guidelines </w:t>
      </w:r>
      <w:r w:rsidR="00BE78B1">
        <w:rPr>
          <w:i/>
        </w:rPr>
        <w:t>2017</w:t>
      </w:r>
      <w:r w:rsidR="00700D81">
        <w:rPr>
          <w:i/>
        </w:rPr>
        <w:t>.</w:t>
      </w:r>
    </w:p>
    <w:p w:rsidR="00045933" w:rsidRPr="00DF4FFA" w:rsidRDefault="00045933" w:rsidP="00D268E6">
      <w:pPr>
        <w:pStyle w:val="Heading2Numbered"/>
        <w:numPr>
          <w:ilvl w:val="1"/>
          <w:numId w:val="17"/>
        </w:numPr>
        <w:ind w:left="567"/>
      </w:pPr>
      <w:bookmarkStart w:id="59" w:name="_Toc467773952"/>
      <w:bookmarkStart w:id="60" w:name="_Toc519083672"/>
      <w:r w:rsidRPr="00141248">
        <w:t xml:space="preserve">About the </w:t>
      </w:r>
      <w:r w:rsidRPr="00045933">
        <w:t>Grant Opportunity</w:t>
      </w:r>
      <w:bookmarkEnd w:id="59"/>
      <w:bookmarkEnd w:id="60"/>
    </w:p>
    <w:p w:rsidR="00045933" w:rsidRPr="00045933" w:rsidRDefault="00045933" w:rsidP="007A62C2">
      <w:bookmarkStart w:id="61" w:name="_Ref421783365"/>
      <w:r w:rsidRPr="00045933">
        <w:t xml:space="preserve">These guidelines contain information for the </w:t>
      </w:r>
      <w:r w:rsidR="00E3105D">
        <w:t>Financial Counselling to Support People Affected by Problem Gambling (FC for Problem Gambling)</w:t>
      </w:r>
      <w:r w:rsidRPr="00045933">
        <w:t xml:space="preserve"> grants. </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97683A" w:rsidRDefault="00045933" w:rsidP="0097683A">
      <w:pPr>
        <w:pStyle w:val="Bullet1"/>
      </w:pPr>
      <w:r w:rsidRPr="000A271A">
        <w:t>the eligibility and assessment criteria</w:t>
      </w:r>
    </w:p>
    <w:p w:rsidR="0097683A" w:rsidRPr="000A271A" w:rsidRDefault="0097683A" w:rsidP="0097683A">
      <w:pPr>
        <w:pStyle w:val="Bullet1"/>
      </w:pPr>
      <w:r>
        <w:t>how to apply for the grant opportunity</w:t>
      </w:r>
    </w:p>
    <w:p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rsidR="00045933" w:rsidRPr="000A271A" w:rsidRDefault="00045933" w:rsidP="000A271A">
      <w:pPr>
        <w:pStyle w:val="Bullet1"/>
      </w:pPr>
      <w:r w:rsidRPr="000A271A">
        <w:t xml:space="preserve">responsibilities and expectations in relation to the opportunity. </w:t>
      </w:r>
    </w:p>
    <w:p w:rsidR="000A271A" w:rsidRDefault="000A271A" w:rsidP="00045933">
      <w:pPr>
        <w:pStyle w:val="NoSpacing"/>
        <w:rPr>
          <w:rFonts w:asciiTheme="majorHAnsi" w:hAnsiTheme="majorHAnsi" w:cstheme="majorHAnsi"/>
        </w:rPr>
      </w:pPr>
    </w:p>
    <w:p w:rsid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E3105D" w:rsidRDefault="00E3105D" w:rsidP="00E3105D">
      <w:pPr>
        <w:pStyle w:val="NoSpacing"/>
        <w:rPr>
          <w:rFonts w:asciiTheme="majorHAnsi" w:hAnsiTheme="majorHAnsi" w:cstheme="majorHAnsi"/>
        </w:rPr>
      </w:pPr>
    </w:p>
    <w:p w:rsidR="00E3105D" w:rsidRPr="00045933" w:rsidRDefault="00E3105D" w:rsidP="00E3105D">
      <w:pPr>
        <w:pStyle w:val="NoSpacing"/>
        <w:rPr>
          <w:rFonts w:asciiTheme="majorHAnsi" w:hAnsiTheme="majorHAnsi" w:cstheme="majorHAnsi"/>
        </w:rPr>
      </w:pPr>
      <w:r>
        <w:rPr>
          <w:rFonts w:asciiTheme="majorHAnsi" w:hAnsiTheme="majorHAnsi" w:cstheme="majorHAnsi"/>
        </w:rPr>
        <w:t xml:space="preserve">The grant agreement will only be entered into once there is legislative authority in place for the Program. </w:t>
      </w:r>
    </w:p>
    <w:p w:rsidR="00045933" w:rsidRPr="00DC3FFB" w:rsidRDefault="00E3105D" w:rsidP="00056305">
      <w:pPr>
        <w:pStyle w:val="Heading2Numbered"/>
        <w:rPr>
          <w:color w:val="auto"/>
        </w:rPr>
      </w:pPr>
      <w:bookmarkStart w:id="62" w:name="_Toc461105052"/>
      <w:bookmarkStart w:id="63" w:name="_Toc467773953"/>
      <w:bookmarkStart w:id="64" w:name="_Toc519083673"/>
      <w:bookmarkEnd w:id="62"/>
      <w:r w:rsidRPr="00DC3FFB">
        <w:rPr>
          <w:color w:val="auto"/>
        </w:rPr>
        <w:t>FC for Problem Gambling</w:t>
      </w:r>
      <w:r w:rsidR="00045933" w:rsidRPr="00DC3FFB">
        <w:rPr>
          <w:color w:val="auto"/>
        </w:rPr>
        <w:t xml:space="preserve"> </w:t>
      </w:r>
      <w:r w:rsidR="001173C8">
        <w:rPr>
          <w:color w:val="auto"/>
        </w:rPr>
        <w:t xml:space="preserve">Grant Opportunity </w:t>
      </w:r>
      <w:r w:rsidR="00045933" w:rsidRPr="00DC3FFB">
        <w:rPr>
          <w:color w:val="auto"/>
        </w:rPr>
        <w:t>outcomes</w:t>
      </w:r>
      <w:bookmarkEnd w:id="63"/>
      <w:bookmarkEnd w:id="64"/>
      <w:r w:rsidR="00045933" w:rsidRPr="00DC3FFB">
        <w:rPr>
          <w:color w:val="auto"/>
        </w:rPr>
        <w:t xml:space="preserve"> </w:t>
      </w:r>
      <w:bookmarkEnd w:id="61"/>
    </w:p>
    <w:p w:rsidR="00D16D62" w:rsidRPr="00B967DB" w:rsidRDefault="00D16D62" w:rsidP="00157316">
      <w:pPr>
        <w:rPr>
          <w:rFonts w:cstheme="minorHAnsi"/>
        </w:rPr>
      </w:pPr>
      <w:r>
        <w:rPr>
          <w:rFonts w:cstheme="minorHAnsi"/>
        </w:rPr>
        <w:t xml:space="preserve">Under the </w:t>
      </w:r>
      <w:r w:rsidR="00FF323E">
        <w:t xml:space="preserve">Financial Wellbeing and Capability </w:t>
      </w:r>
      <w:r>
        <w:rPr>
          <w:rFonts w:cstheme="minorHAnsi"/>
        </w:rPr>
        <w:t>Activity, funding is provided for</w:t>
      </w:r>
      <w:r w:rsidR="00FF323E">
        <w:rPr>
          <w:rFonts w:cstheme="minorHAnsi"/>
        </w:rPr>
        <w:t xml:space="preserve"> </w:t>
      </w:r>
      <w:r>
        <w:rPr>
          <w:rFonts w:cstheme="minorHAnsi"/>
        </w:rPr>
        <w:t>FC for Problem Gambling.</w:t>
      </w:r>
    </w:p>
    <w:p w:rsidR="00D16D62" w:rsidRPr="00B967DB" w:rsidRDefault="00D16D62">
      <w:pPr>
        <w:pStyle w:val="NoSpacing"/>
        <w:rPr>
          <w:rFonts w:asciiTheme="majorHAnsi" w:hAnsiTheme="majorHAnsi" w:cstheme="majorHAnsi"/>
        </w:rPr>
      </w:pPr>
      <w:r w:rsidRPr="00DC3FFB">
        <w:rPr>
          <w:rFonts w:asciiTheme="minorHAnsi" w:hAnsiTheme="minorHAnsi" w:cstheme="minorHAnsi"/>
          <w:b/>
        </w:rPr>
        <w:lastRenderedPageBreak/>
        <w:t>Commonwealth Financial Counselling</w:t>
      </w:r>
      <w:r w:rsidRPr="00B967DB">
        <w:rPr>
          <w:rFonts w:asciiTheme="minorHAnsi" w:hAnsiTheme="minorHAnsi" w:cstheme="minorHAnsi"/>
        </w:rPr>
        <w:t xml:space="preserve"> </w:t>
      </w:r>
      <w:r>
        <w:rPr>
          <w:rFonts w:asciiTheme="minorHAnsi" w:hAnsiTheme="minorHAnsi" w:cstheme="minorHAnsi"/>
        </w:rPr>
        <w:t>services contribute</w:t>
      </w:r>
      <w:r w:rsidRPr="00B967DB">
        <w:rPr>
          <w:rFonts w:asciiTheme="minorHAnsi" w:hAnsiTheme="minorHAnsi" w:cstheme="minorHAnsi"/>
        </w:rPr>
        <w:t xml:space="preserve"> to the </w:t>
      </w:r>
      <w:r w:rsidR="00271202">
        <w:rPr>
          <w:rFonts w:asciiTheme="minorHAnsi" w:hAnsiTheme="minorHAnsi" w:cstheme="minorHAnsi"/>
        </w:rPr>
        <w:t xml:space="preserve">Financial Wellbeing and Capability </w:t>
      </w:r>
      <w:r w:rsidRPr="00B967DB">
        <w:rPr>
          <w:rFonts w:asciiTheme="minorHAnsi" w:hAnsiTheme="minorHAnsi" w:cstheme="minorHAnsi"/>
        </w:rPr>
        <w:t>Activity</w:t>
      </w:r>
      <w:r w:rsidRPr="00B967DB">
        <w:rPr>
          <w:rFonts w:asciiTheme="majorHAnsi" w:hAnsiTheme="majorHAnsi" w:cstheme="majorHAnsi"/>
        </w:rPr>
        <w:t xml:space="preserve"> outcomes by helping </w:t>
      </w:r>
      <w:r w:rsidR="00FE1CEE">
        <w:rPr>
          <w:rFonts w:asciiTheme="majorHAnsi" w:hAnsiTheme="majorHAnsi" w:cstheme="majorHAnsi"/>
        </w:rPr>
        <w:t xml:space="preserve">eligible </w:t>
      </w:r>
      <w:r w:rsidRPr="00B967DB">
        <w:rPr>
          <w:rFonts w:asciiTheme="majorHAnsi" w:hAnsiTheme="majorHAnsi" w:cstheme="majorHAnsi"/>
        </w:rPr>
        <w:t>people to address their financial problems, make informed choices and build longer-term capability to budget and manage their money.</w:t>
      </w:r>
    </w:p>
    <w:p w:rsidR="00D16D62" w:rsidRPr="00B967DB" w:rsidRDefault="00D16D62" w:rsidP="00D16D62">
      <w:pPr>
        <w:pStyle w:val="NoSpacing"/>
        <w:rPr>
          <w:rFonts w:asciiTheme="minorHAnsi" w:hAnsiTheme="minorHAnsi" w:cstheme="minorHAnsi"/>
          <w:b/>
        </w:rPr>
      </w:pPr>
    </w:p>
    <w:p w:rsidR="00D16D62" w:rsidRPr="00B967DB" w:rsidRDefault="00D16D62" w:rsidP="00D16D62">
      <w:pPr>
        <w:pStyle w:val="NoSpacing"/>
        <w:rPr>
          <w:rFonts w:asciiTheme="minorHAnsi" w:hAnsiTheme="minorHAnsi" w:cstheme="minorHAnsi"/>
        </w:rPr>
      </w:pPr>
      <w:r w:rsidRPr="00B967DB">
        <w:rPr>
          <w:rFonts w:asciiTheme="minorHAnsi" w:hAnsiTheme="minorHAnsi" w:cstheme="minorHAnsi"/>
        </w:rPr>
        <w:t xml:space="preserve">Commonwealth Financial Counselling helps </w:t>
      </w:r>
      <w:r w:rsidR="00FE1CEE">
        <w:rPr>
          <w:rFonts w:asciiTheme="minorHAnsi" w:hAnsiTheme="minorHAnsi" w:cstheme="minorHAnsi"/>
        </w:rPr>
        <w:t xml:space="preserve">eligible </w:t>
      </w:r>
      <w:r w:rsidRPr="00B967DB">
        <w:rPr>
          <w:rFonts w:asciiTheme="minorHAnsi" w:hAnsiTheme="minorHAnsi" w:cstheme="minorHAnsi"/>
        </w:rPr>
        <w:t>people address their financial problems through the provision of information, advocacy and/or negotiation</w:t>
      </w:r>
      <w:r w:rsidR="00FE1CEE">
        <w:rPr>
          <w:rFonts w:asciiTheme="minorHAnsi" w:hAnsiTheme="minorHAnsi" w:cstheme="minorHAnsi"/>
        </w:rPr>
        <w:t xml:space="preserve"> on behalf of the client</w:t>
      </w:r>
      <w:r w:rsidRPr="00B967DB">
        <w:rPr>
          <w:rFonts w:asciiTheme="minorHAnsi" w:hAnsiTheme="minorHAnsi" w:cstheme="minorHAnsi"/>
        </w:rPr>
        <w:t>.</w:t>
      </w:r>
      <w:r>
        <w:rPr>
          <w:rFonts w:asciiTheme="minorHAnsi" w:hAnsiTheme="minorHAnsi" w:cstheme="minorHAnsi"/>
        </w:rPr>
        <w:t xml:space="preserve">  These </w:t>
      </w:r>
      <w:r w:rsidRPr="00B967DB">
        <w:rPr>
          <w:rFonts w:asciiTheme="minorHAnsi" w:hAnsiTheme="minorHAnsi" w:cstheme="minorHAnsi"/>
        </w:rPr>
        <w:t xml:space="preserve">services support </w:t>
      </w:r>
      <w:r w:rsidR="00FE1CEE">
        <w:rPr>
          <w:rFonts w:asciiTheme="minorHAnsi" w:hAnsiTheme="minorHAnsi" w:cstheme="minorHAnsi"/>
        </w:rPr>
        <w:t xml:space="preserve">eligible </w:t>
      </w:r>
      <w:r w:rsidRPr="00B967DB">
        <w:rPr>
          <w:rFonts w:asciiTheme="minorHAnsi" w:hAnsiTheme="minorHAnsi" w:cstheme="minorHAnsi"/>
        </w:rPr>
        <w:t>people with employment readiness</w:t>
      </w:r>
      <w:r w:rsidRPr="00B967DB">
        <w:rPr>
          <w:rFonts w:asciiTheme="minorHAnsi" w:hAnsiTheme="minorHAnsi" w:cstheme="minorHAnsi"/>
          <w:color w:val="FF0000"/>
        </w:rPr>
        <w:t xml:space="preserve"> </w:t>
      </w:r>
      <w:r w:rsidRPr="00B967DB">
        <w:rPr>
          <w:rFonts w:asciiTheme="minorHAnsi" w:hAnsiTheme="minorHAnsi" w:cstheme="minorHAnsi"/>
        </w:rPr>
        <w:t>through improving financial knowledge, skills and capabilities to assist them to achieve employment.</w:t>
      </w:r>
    </w:p>
    <w:p w:rsidR="00D16D62" w:rsidRDefault="00D16D62" w:rsidP="00D16D62">
      <w:pPr>
        <w:rPr>
          <w:rFonts w:cstheme="minorHAnsi"/>
        </w:rPr>
      </w:pPr>
      <w:r w:rsidRPr="00B967DB">
        <w:rPr>
          <w:rFonts w:cstheme="minorHAnsi"/>
        </w:rPr>
        <w:t xml:space="preserve">Financial counsellors provide intensive support through an in-depth assessment of a person’s financial situation to understand the extent of the person’s financial difficulties and to identify options to address these. They encourage the person to participate in the planning and decision-making process. </w:t>
      </w:r>
      <w:r>
        <w:rPr>
          <w:rFonts w:cstheme="minorHAnsi"/>
        </w:rPr>
        <w:t xml:space="preserve"> </w:t>
      </w:r>
      <w:r w:rsidRPr="00B967DB">
        <w:rPr>
          <w:rFonts w:cstheme="minorHAnsi"/>
        </w:rPr>
        <w:t xml:space="preserve">Financial counsellors may also refer clients to </w:t>
      </w:r>
      <w:r w:rsidR="00155D45">
        <w:rPr>
          <w:rFonts w:cstheme="minorHAnsi"/>
        </w:rPr>
        <w:t xml:space="preserve">other </w:t>
      </w:r>
      <w:r w:rsidRPr="00B967DB">
        <w:rPr>
          <w:rFonts w:cstheme="minorHAnsi"/>
        </w:rPr>
        <w:t>sources of support and assistance</w:t>
      </w:r>
      <w:r w:rsidR="00155D45">
        <w:rPr>
          <w:rFonts w:cstheme="minorHAnsi"/>
        </w:rPr>
        <w:t xml:space="preserve">, such as </w:t>
      </w:r>
      <w:r w:rsidR="00E738F8">
        <w:rPr>
          <w:rFonts w:cstheme="minorHAnsi"/>
        </w:rPr>
        <w:t>addiction</w:t>
      </w:r>
      <w:r w:rsidR="00155D45">
        <w:rPr>
          <w:rFonts w:cstheme="minorHAnsi"/>
        </w:rPr>
        <w:t xml:space="preserve"> support services,</w:t>
      </w:r>
      <w:r w:rsidRPr="00B967DB">
        <w:rPr>
          <w:rFonts w:cstheme="minorHAnsi"/>
        </w:rPr>
        <w:t xml:space="preserve"> as necessary.</w:t>
      </w:r>
    </w:p>
    <w:p w:rsidR="00D16D62" w:rsidRPr="00DC3FFB" w:rsidRDefault="00D16D62" w:rsidP="00D16D62">
      <w:pPr>
        <w:spacing w:after="0" w:line="240" w:lineRule="auto"/>
        <w:rPr>
          <w:rFonts w:asciiTheme="majorHAnsi" w:hAnsiTheme="majorHAnsi" w:cstheme="majorHAnsi"/>
        </w:rPr>
      </w:pPr>
      <w:r w:rsidRPr="00DC3FFB">
        <w:rPr>
          <w:rFonts w:asciiTheme="majorHAnsi" w:hAnsiTheme="majorHAnsi" w:cstheme="majorHAnsi"/>
          <w:b/>
        </w:rPr>
        <w:t>FC for Problem Gambling</w:t>
      </w:r>
      <w:r w:rsidRPr="00DC3FFB">
        <w:rPr>
          <w:rFonts w:asciiTheme="majorHAnsi" w:hAnsiTheme="majorHAnsi" w:cstheme="majorHAnsi"/>
        </w:rPr>
        <w:t xml:space="preserve"> provides specialised financial counselling services in </w:t>
      </w:r>
      <w:r w:rsidR="00686951">
        <w:rPr>
          <w:rFonts w:asciiTheme="majorHAnsi" w:hAnsiTheme="majorHAnsi" w:cstheme="majorHAnsi"/>
        </w:rPr>
        <w:t xml:space="preserve">targeted </w:t>
      </w:r>
      <w:r w:rsidRPr="00DC3FFB">
        <w:rPr>
          <w:rFonts w:asciiTheme="majorHAnsi" w:hAnsiTheme="majorHAnsi" w:cstheme="majorHAnsi"/>
        </w:rPr>
        <w:t xml:space="preserve">locations to support eligible people affected by problem gambling.  </w:t>
      </w:r>
    </w:p>
    <w:p w:rsidR="004661E2" w:rsidRPr="00516F31" w:rsidRDefault="006337ED" w:rsidP="004661E2">
      <w:pPr>
        <w:spacing w:after="0" w:line="240" w:lineRule="auto"/>
        <w:rPr>
          <w:rFonts w:asciiTheme="majorHAnsi" w:hAnsiTheme="majorHAnsi" w:cstheme="majorHAnsi"/>
          <w:b/>
        </w:rPr>
      </w:pPr>
      <w:r>
        <w:rPr>
          <w:rFonts w:asciiTheme="majorHAnsi" w:hAnsiTheme="majorHAnsi" w:cstheme="majorHAnsi"/>
          <w:b/>
        </w:rPr>
        <w:t>Client e</w:t>
      </w:r>
      <w:r w:rsidR="004661E2" w:rsidRPr="00516F31">
        <w:rPr>
          <w:rFonts w:asciiTheme="majorHAnsi" w:hAnsiTheme="majorHAnsi" w:cstheme="majorHAnsi"/>
          <w:b/>
        </w:rPr>
        <w:t xml:space="preserve">ligibility </w:t>
      </w:r>
      <w:r>
        <w:rPr>
          <w:rFonts w:asciiTheme="majorHAnsi" w:hAnsiTheme="majorHAnsi" w:cstheme="majorHAnsi"/>
          <w:b/>
        </w:rPr>
        <w:t xml:space="preserve">to receive </w:t>
      </w:r>
      <w:r w:rsidR="004661E2">
        <w:rPr>
          <w:rFonts w:asciiTheme="majorHAnsi" w:hAnsiTheme="majorHAnsi" w:cstheme="majorHAnsi"/>
          <w:b/>
        </w:rPr>
        <w:t xml:space="preserve">FC for Problem Gambling </w:t>
      </w:r>
      <w:r w:rsidR="004661E2" w:rsidRPr="00516F31">
        <w:rPr>
          <w:rFonts w:asciiTheme="majorHAnsi" w:hAnsiTheme="majorHAnsi" w:cstheme="majorHAnsi"/>
          <w:b/>
        </w:rPr>
        <w:t xml:space="preserve">services </w:t>
      </w:r>
      <w:r w:rsidR="004661E2" w:rsidRPr="00F62CB7">
        <w:rPr>
          <w:rFonts w:asciiTheme="majorHAnsi" w:hAnsiTheme="majorHAnsi" w:cstheme="majorHAnsi"/>
          <w:b/>
        </w:rPr>
        <w:t>provided by the grant</w:t>
      </w:r>
      <w:r w:rsidR="00B25767">
        <w:rPr>
          <w:rFonts w:asciiTheme="majorHAnsi" w:hAnsiTheme="majorHAnsi" w:cstheme="majorHAnsi"/>
          <w:b/>
        </w:rPr>
        <w:t>ee</w:t>
      </w:r>
      <w:r w:rsidR="004661E2">
        <w:rPr>
          <w:rFonts w:asciiTheme="majorHAnsi" w:hAnsiTheme="majorHAnsi" w:cstheme="majorHAnsi"/>
          <w:b/>
        </w:rPr>
        <w:t xml:space="preserve">, </w:t>
      </w:r>
      <w:r w:rsidR="004661E2" w:rsidRPr="00F62CB7">
        <w:rPr>
          <w:rFonts w:asciiTheme="majorHAnsi" w:hAnsiTheme="majorHAnsi" w:cstheme="majorHAnsi"/>
          <w:b/>
        </w:rPr>
        <w:t xml:space="preserve">funded by </w:t>
      </w:r>
      <w:r w:rsidR="001D5AF1">
        <w:rPr>
          <w:rFonts w:asciiTheme="majorHAnsi" w:hAnsiTheme="majorHAnsi" w:cstheme="majorHAnsi"/>
          <w:b/>
        </w:rPr>
        <w:t xml:space="preserve">this </w:t>
      </w:r>
      <w:r w:rsidR="004661E2" w:rsidRPr="00F62CB7">
        <w:rPr>
          <w:rFonts w:asciiTheme="majorHAnsi" w:hAnsiTheme="majorHAnsi" w:cstheme="majorHAnsi"/>
          <w:b/>
        </w:rPr>
        <w:t>grant opportunity</w:t>
      </w:r>
      <w:r w:rsidR="004661E2">
        <w:rPr>
          <w:rFonts w:asciiTheme="majorHAnsi" w:hAnsiTheme="majorHAnsi" w:cstheme="majorHAnsi"/>
          <w:b/>
        </w:rPr>
        <w:t>,</w:t>
      </w:r>
      <w:r w:rsidR="004661E2" w:rsidRPr="00F62CB7">
        <w:rPr>
          <w:rFonts w:asciiTheme="majorHAnsi" w:hAnsiTheme="majorHAnsi" w:cstheme="majorHAnsi"/>
          <w:b/>
        </w:rPr>
        <w:t xml:space="preserve"> </w:t>
      </w:r>
      <w:r w:rsidR="004661E2" w:rsidRPr="00516F31">
        <w:rPr>
          <w:rFonts w:asciiTheme="majorHAnsi" w:hAnsiTheme="majorHAnsi" w:cstheme="majorHAnsi"/>
          <w:b/>
        </w:rPr>
        <w:t>will be restricted solely to people unable to pay their bills or at imminent risk of not being able to do so.</w:t>
      </w:r>
    </w:p>
    <w:p w:rsidR="00B64959" w:rsidRDefault="00B64959" w:rsidP="00B64959">
      <w:pPr>
        <w:pStyle w:val="Bullet1"/>
        <w:numPr>
          <w:ilvl w:val="0"/>
          <w:numId w:val="0"/>
        </w:numPr>
        <w:spacing w:before="180" w:after="0" w:line="240" w:lineRule="auto"/>
      </w:pPr>
      <w:r>
        <w:t>Please note outreach services will no longer be permissible under this grant opportunity.</w:t>
      </w:r>
    </w:p>
    <w:p w:rsidR="004661E2" w:rsidRPr="00DD7B6D" w:rsidRDefault="004661E2" w:rsidP="00B64959">
      <w:pPr>
        <w:pStyle w:val="Bullet1"/>
        <w:numPr>
          <w:ilvl w:val="0"/>
          <w:numId w:val="0"/>
        </w:numPr>
        <w:spacing w:before="180" w:after="0" w:line="240" w:lineRule="auto"/>
      </w:pPr>
      <w:r w:rsidRPr="009D32C3">
        <w:rPr>
          <w:rFonts w:asciiTheme="majorHAnsi" w:hAnsiTheme="majorHAnsi" w:cstheme="majorHAnsi"/>
        </w:rPr>
        <w:t xml:space="preserve">To enable effective delivery of </w:t>
      </w:r>
      <w:r>
        <w:t>FC for Problem Gambling</w:t>
      </w:r>
      <w:r w:rsidRPr="009D32C3">
        <w:rPr>
          <w:rFonts w:asciiTheme="majorHAnsi" w:hAnsiTheme="majorHAnsi" w:cstheme="majorHAnsi"/>
        </w:rPr>
        <w:t xml:space="preserve">, the Department </w:t>
      </w:r>
      <w:r w:rsidR="0044601E">
        <w:rPr>
          <w:rFonts w:asciiTheme="majorHAnsi" w:hAnsiTheme="majorHAnsi" w:cstheme="majorHAnsi"/>
        </w:rPr>
        <w:t xml:space="preserve">of Social Services </w:t>
      </w:r>
      <w:r w:rsidRPr="009D32C3">
        <w:rPr>
          <w:rFonts w:asciiTheme="majorHAnsi" w:hAnsiTheme="majorHAnsi" w:cstheme="majorHAnsi"/>
        </w:rPr>
        <w:t xml:space="preserve">is </w:t>
      </w:r>
      <w:r w:rsidR="00487D50">
        <w:rPr>
          <w:rFonts w:asciiTheme="majorHAnsi" w:hAnsiTheme="majorHAnsi" w:cstheme="majorHAnsi"/>
        </w:rPr>
        <w:t xml:space="preserve">inviting </w:t>
      </w:r>
      <w:r w:rsidRPr="009D32C3">
        <w:rPr>
          <w:rFonts w:asciiTheme="majorHAnsi" w:hAnsiTheme="majorHAnsi" w:cstheme="majorHAnsi"/>
        </w:rPr>
        <w:t xml:space="preserve">organisations to deliver services </w:t>
      </w:r>
      <w:r w:rsidR="00F64616">
        <w:rPr>
          <w:rFonts w:asciiTheme="majorHAnsi" w:hAnsiTheme="majorHAnsi" w:cstheme="majorHAnsi"/>
        </w:rPr>
        <w:t xml:space="preserve">in 50 targeted locations.  </w:t>
      </w:r>
      <w:r w:rsidR="00F64616" w:rsidRPr="00DC3FFB">
        <w:rPr>
          <w:rFonts w:asciiTheme="majorHAnsi" w:hAnsiTheme="majorHAnsi" w:cstheme="majorHAnsi"/>
        </w:rPr>
        <w:t xml:space="preserve">These locations </w:t>
      </w:r>
      <w:r w:rsidRPr="00F64616">
        <w:rPr>
          <w:rFonts w:asciiTheme="majorHAnsi" w:hAnsiTheme="majorHAnsi" w:cstheme="majorHAnsi"/>
        </w:rPr>
        <w:t xml:space="preserve">have been outlined in </w:t>
      </w:r>
      <w:r w:rsidRPr="004D280A">
        <w:rPr>
          <w:rFonts w:asciiTheme="majorHAnsi" w:hAnsiTheme="majorHAnsi" w:cstheme="majorHAnsi"/>
          <w:b/>
        </w:rPr>
        <w:t>Appendix A</w:t>
      </w:r>
      <w:r w:rsidRPr="00F64616">
        <w:rPr>
          <w:rFonts w:asciiTheme="majorHAnsi" w:hAnsiTheme="majorHAnsi" w:cstheme="majorHAnsi"/>
        </w:rPr>
        <w:t>.</w:t>
      </w:r>
    </w:p>
    <w:p w:rsidR="00045933" w:rsidRPr="00B72EE8" w:rsidRDefault="00045933" w:rsidP="00A668C8">
      <w:pPr>
        <w:pStyle w:val="Heading1Numbered"/>
      </w:pPr>
      <w:bookmarkStart w:id="65" w:name="_Toc513631418"/>
      <w:bookmarkStart w:id="66" w:name="_Toc513637926"/>
      <w:bookmarkStart w:id="67" w:name="_Toc514068276"/>
      <w:bookmarkStart w:id="68" w:name="_Toc513631419"/>
      <w:bookmarkStart w:id="69" w:name="_Toc513637927"/>
      <w:bookmarkStart w:id="70" w:name="_Toc514068277"/>
      <w:bookmarkStart w:id="71" w:name="_Toc513631420"/>
      <w:bookmarkStart w:id="72" w:name="_Toc513637928"/>
      <w:bookmarkStart w:id="73" w:name="_Toc514068278"/>
      <w:bookmarkStart w:id="74" w:name="_Toc513631421"/>
      <w:bookmarkStart w:id="75" w:name="_Toc513637929"/>
      <w:bookmarkStart w:id="76" w:name="_Toc514068279"/>
      <w:bookmarkStart w:id="77" w:name="_Toc513631422"/>
      <w:bookmarkStart w:id="78" w:name="_Toc513637930"/>
      <w:bookmarkStart w:id="79" w:name="_Toc514068280"/>
      <w:bookmarkStart w:id="80" w:name="_Toc513631423"/>
      <w:bookmarkStart w:id="81" w:name="_Toc513637931"/>
      <w:bookmarkStart w:id="82" w:name="_Toc514068281"/>
      <w:bookmarkStart w:id="83" w:name="_Toc513631424"/>
      <w:bookmarkStart w:id="84" w:name="_Toc513637932"/>
      <w:bookmarkStart w:id="85" w:name="_Toc514068282"/>
      <w:bookmarkStart w:id="86" w:name="_Toc467773954"/>
      <w:bookmarkStart w:id="87" w:name="_Toc51908367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Grant amount</w:t>
      </w:r>
      <w:bookmarkEnd w:id="86"/>
      <w:bookmarkEnd w:id="87"/>
    </w:p>
    <w:p w:rsidR="007A62C2" w:rsidRDefault="007A62C2" w:rsidP="007A62C2">
      <w:r w:rsidRPr="00045933">
        <w:t>The Australian Gov</w:t>
      </w:r>
      <w:r>
        <w:t>ernment has announced up to $</w:t>
      </w:r>
      <w:r w:rsidR="00E0549E">
        <w:t>8.2</w:t>
      </w:r>
      <w:r>
        <w:t xml:space="preserve"> million </w:t>
      </w:r>
      <w:r w:rsidRPr="00045933">
        <w:t xml:space="preserve">over </w:t>
      </w:r>
      <w:r>
        <w:t xml:space="preserve">one and a half years (1 January 2019 to 30 June 2020) </w:t>
      </w:r>
      <w:r w:rsidRPr="00045933">
        <w:t xml:space="preserve">for the </w:t>
      </w:r>
      <w:r w:rsidR="00FC483E">
        <w:t>FC for </w:t>
      </w:r>
      <w:r>
        <w:t>Problem Gambling</w:t>
      </w:r>
      <w:r w:rsidRPr="00340616">
        <w:t xml:space="preserve">. </w:t>
      </w:r>
    </w:p>
    <w:p w:rsidR="007A62C2" w:rsidRPr="00DF400A" w:rsidRDefault="007A62C2" w:rsidP="007A62C2">
      <w:pPr>
        <w:rPr>
          <w:b/>
        </w:rPr>
      </w:pPr>
      <w:r w:rsidRPr="00F62CB7">
        <w:t xml:space="preserve">Grant funding has been </w:t>
      </w:r>
      <w:r w:rsidR="00686951">
        <w:t>allocated to targeted locations</w:t>
      </w:r>
      <w:r w:rsidRPr="00F62CB7">
        <w:t xml:space="preserve">. </w:t>
      </w:r>
      <w:r w:rsidR="00FC08D2">
        <w:t xml:space="preserve"> </w:t>
      </w:r>
      <w:r w:rsidRPr="00F62CB7">
        <w:t xml:space="preserve">Applicants can apply to deliver services </w:t>
      </w:r>
      <w:r>
        <w:t xml:space="preserve">in </w:t>
      </w:r>
      <w:r w:rsidR="00CD4C5E">
        <w:t>these</w:t>
      </w:r>
      <w:r>
        <w:t xml:space="preserve"> locations</w:t>
      </w:r>
      <w:r w:rsidRPr="00F62CB7">
        <w:t>.</w:t>
      </w:r>
      <w:r>
        <w:t xml:space="preserve"> </w:t>
      </w:r>
      <w:r w:rsidR="00686951">
        <w:t xml:space="preserve"> </w:t>
      </w:r>
      <w:r>
        <w:t>A list of the maximum grant amount available</w:t>
      </w:r>
      <w:r w:rsidR="007B3AF7">
        <w:t>, per financial year (pro rat</w:t>
      </w:r>
      <w:r w:rsidR="001A0E01">
        <w:t>a</w:t>
      </w:r>
      <w:r w:rsidR="007B3AF7">
        <w:t xml:space="preserve"> for 2018</w:t>
      </w:r>
      <w:r w:rsidR="007B3AF7">
        <w:noBreakHyphen/>
        <w:t>19),</w:t>
      </w:r>
      <w:r>
        <w:t xml:space="preserve"> in </w:t>
      </w:r>
      <w:r w:rsidRPr="00C41ADE">
        <w:t xml:space="preserve">each </w:t>
      </w:r>
      <w:r w:rsidRPr="00686951">
        <w:t xml:space="preserve">area </w:t>
      </w:r>
      <w:r>
        <w:t xml:space="preserve">is included at </w:t>
      </w:r>
      <w:r>
        <w:rPr>
          <w:b/>
        </w:rPr>
        <w:t>Appendix A.</w:t>
      </w:r>
    </w:p>
    <w:p w:rsidR="00340616" w:rsidRPr="00B72EE8" w:rsidRDefault="00340616" w:rsidP="00340616">
      <w:pPr>
        <w:pStyle w:val="Heading1Numbered"/>
      </w:pPr>
      <w:bookmarkStart w:id="88" w:name="_Toc513631427"/>
      <w:bookmarkStart w:id="89" w:name="_Toc513637935"/>
      <w:bookmarkStart w:id="90" w:name="_Toc514068284"/>
      <w:bookmarkStart w:id="91" w:name="_Toc513631428"/>
      <w:bookmarkStart w:id="92" w:name="_Toc513637936"/>
      <w:bookmarkStart w:id="93" w:name="_Toc514068285"/>
      <w:bookmarkStart w:id="94" w:name="_Toc513631429"/>
      <w:bookmarkStart w:id="95" w:name="_Toc513637937"/>
      <w:bookmarkStart w:id="96" w:name="_Toc514068286"/>
      <w:bookmarkStart w:id="97" w:name="_Toc513631430"/>
      <w:bookmarkStart w:id="98" w:name="_Toc513637938"/>
      <w:bookmarkStart w:id="99" w:name="_Toc514068287"/>
      <w:bookmarkStart w:id="100" w:name="_Toc421777594"/>
      <w:bookmarkStart w:id="101" w:name="_Ref428266971"/>
      <w:bookmarkStart w:id="102" w:name="_Toc467773955"/>
      <w:bookmarkStart w:id="103" w:name="_Toc519083675"/>
      <w:bookmarkEnd w:id="88"/>
      <w:bookmarkEnd w:id="89"/>
      <w:bookmarkEnd w:id="90"/>
      <w:bookmarkEnd w:id="91"/>
      <w:bookmarkEnd w:id="92"/>
      <w:bookmarkEnd w:id="93"/>
      <w:bookmarkEnd w:id="94"/>
      <w:bookmarkEnd w:id="95"/>
      <w:bookmarkEnd w:id="96"/>
      <w:bookmarkEnd w:id="97"/>
      <w:bookmarkEnd w:id="98"/>
      <w:bookmarkEnd w:id="99"/>
      <w:r>
        <w:t>Grant e</w:t>
      </w:r>
      <w:r w:rsidRPr="00B72EE8">
        <w:t>ligibility</w:t>
      </w:r>
      <w:bookmarkEnd w:id="100"/>
      <w:bookmarkEnd w:id="101"/>
      <w:r>
        <w:t xml:space="preserve"> cr</w:t>
      </w:r>
      <w:r w:rsidRPr="00B72EE8">
        <w:t>iteria</w:t>
      </w:r>
      <w:bookmarkEnd w:id="102"/>
      <w:bookmarkEnd w:id="103"/>
      <w:r>
        <w:t xml:space="preserve"> </w:t>
      </w:r>
    </w:p>
    <w:p w:rsidR="00340616" w:rsidRDefault="00340616" w:rsidP="00340616">
      <w:pPr>
        <w:spacing w:after="120"/>
      </w:pPr>
      <w:bookmarkStart w:id="104"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rsidR="005660B6" w:rsidRPr="002D667B" w:rsidRDefault="005660B6" w:rsidP="00DC3FFB">
      <w:pPr>
        <w:pStyle w:val="Heading2Numbered"/>
        <w:numPr>
          <w:ilvl w:val="0"/>
          <w:numId w:val="0"/>
        </w:numPr>
        <w:contextualSpacing w:val="0"/>
      </w:pPr>
      <w:bookmarkStart w:id="105" w:name="_Toc519083676"/>
      <w:r>
        <w:t>3.1</w:t>
      </w:r>
      <w:r>
        <w:tab/>
      </w:r>
      <w:r w:rsidRPr="005660B6">
        <w:t>Who is eligible to apply for a grant?</w:t>
      </w:r>
      <w:bookmarkEnd w:id="105"/>
    </w:p>
    <w:p w:rsidR="00BB5CF6" w:rsidRPr="00700851" w:rsidRDefault="00BB5CF6" w:rsidP="00BB5CF6">
      <w:pPr>
        <w:pStyle w:val="NoSpacing"/>
        <w:rPr>
          <w:rFonts w:ascii="Arial" w:hAnsi="Arial" w:cs="Arial"/>
        </w:rPr>
      </w:pPr>
      <w:bookmarkStart w:id="106" w:name="_Toc467773958"/>
      <w:bookmarkEnd w:id="104"/>
      <w:r w:rsidRPr="00700851">
        <w:rPr>
          <w:rFonts w:ascii="Arial" w:hAnsi="Arial" w:cs="Arial"/>
        </w:rPr>
        <w:t>To be eligible to apply</w:t>
      </w:r>
      <w:r>
        <w:rPr>
          <w:rFonts w:ascii="Arial" w:hAnsi="Arial" w:cs="Arial"/>
        </w:rPr>
        <w:t>,</w:t>
      </w:r>
      <w:r w:rsidRPr="00700851">
        <w:rPr>
          <w:rFonts w:ascii="Arial" w:hAnsi="Arial" w:cs="Arial"/>
        </w:rPr>
        <w:t xml:space="preserve"> you must be one of the listed</w:t>
      </w:r>
      <w:r>
        <w:rPr>
          <w:rFonts w:ascii="Arial" w:hAnsi="Arial" w:cs="Arial"/>
        </w:rPr>
        <w:t xml:space="preserve"> invited</w:t>
      </w:r>
      <w:r w:rsidRPr="00700851">
        <w:rPr>
          <w:rFonts w:ascii="Arial" w:hAnsi="Arial" w:cs="Arial"/>
        </w:rPr>
        <w:t xml:space="preserve"> organisations and have received an invitation to apply through GrantConnect.</w:t>
      </w:r>
    </w:p>
    <w:p w:rsidR="00BB5CF6" w:rsidRPr="00700851" w:rsidRDefault="00BB5CF6" w:rsidP="00BB5CF6">
      <w:pPr>
        <w:pStyle w:val="NoSpacing"/>
        <w:rPr>
          <w:rFonts w:ascii="Arial" w:hAnsi="Arial" w:cs="Arial"/>
        </w:rPr>
      </w:pPr>
    </w:p>
    <w:p w:rsidR="00A16196" w:rsidRDefault="00760BE9" w:rsidP="00BB5CF6">
      <w:pPr>
        <w:pStyle w:val="NoSpacing"/>
        <w:rPr>
          <w:rFonts w:ascii="Arial" w:hAnsi="Arial" w:cs="Arial"/>
          <w:color w:val="000000" w:themeColor="text1"/>
        </w:rPr>
      </w:pPr>
      <w:r>
        <w:rPr>
          <w:rFonts w:ascii="Arial" w:hAnsi="Arial" w:cs="Arial"/>
        </w:rPr>
        <w:t>T</w:t>
      </w:r>
      <w:r w:rsidR="00BB5CF6" w:rsidRPr="00692B4D">
        <w:rPr>
          <w:rFonts w:ascii="Arial" w:hAnsi="Arial" w:cs="Arial"/>
          <w:color w:val="000000" w:themeColor="text1"/>
        </w:rPr>
        <w:t xml:space="preserve">he Department of </w:t>
      </w:r>
      <w:r w:rsidR="00CE0B8C" w:rsidRPr="00DC3FFB">
        <w:rPr>
          <w:rFonts w:ascii="Arial" w:hAnsi="Arial" w:cs="Arial"/>
          <w:color w:val="000000" w:themeColor="text1"/>
        </w:rPr>
        <w:t>Social Services</w:t>
      </w:r>
      <w:r w:rsidR="00516107">
        <w:rPr>
          <w:rFonts w:ascii="Arial" w:hAnsi="Arial" w:cs="Arial"/>
          <w:color w:val="000000" w:themeColor="text1"/>
        </w:rPr>
        <w:t xml:space="preserve"> is</w:t>
      </w:r>
      <w:r w:rsidR="00BB5CF6" w:rsidRPr="00692B4D">
        <w:rPr>
          <w:rFonts w:ascii="Arial" w:hAnsi="Arial" w:cs="Arial"/>
          <w:color w:val="000000" w:themeColor="text1"/>
        </w:rPr>
        <w:t xml:space="preserve"> </w:t>
      </w:r>
      <w:r w:rsidR="00516107" w:rsidRPr="00271202">
        <w:rPr>
          <w:rFonts w:ascii="Arial" w:hAnsi="Arial" w:cs="Arial"/>
          <w:color w:val="000000" w:themeColor="text1"/>
        </w:rPr>
        <w:t xml:space="preserve">inviting </w:t>
      </w:r>
      <w:r w:rsidR="00ED1CDD">
        <w:rPr>
          <w:rFonts w:ascii="Arial" w:hAnsi="Arial" w:cs="Arial"/>
          <w:color w:val="000000" w:themeColor="text1"/>
        </w:rPr>
        <w:t xml:space="preserve">of the </w:t>
      </w:r>
      <w:r w:rsidR="00BB5CF6" w:rsidRPr="00692B4D">
        <w:rPr>
          <w:rFonts w:ascii="Arial" w:hAnsi="Arial" w:cs="Arial"/>
          <w:color w:val="000000" w:themeColor="text1"/>
        </w:rPr>
        <w:t xml:space="preserve">organisations </w:t>
      </w:r>
      <w:r w:rsidR="00ED1CDD">
        <w:rPr>
          <w:rFonts w:ascii="Arial" w:hAnsi="Arial" w:cs="Arial"/>
          <w:color w:val="000000" w:themeColor="text1"/>
        </w:rPr>
        <w:t xml:space="preserve">listed </w:t>
      </w:r>
      <w:r w:rsidR="00BB5CF6" w:rsidRPr="00692B4D">
        <w:rPr>
          <w:rFonts w:ascii="Arial" w:hAnsi="Arial" w:cs="Arial"/>
          <w:color w:val="000000" w:themeColor="text1"/>
        </w:rPr>
        <w:t xml:space="preserve">to apply </w:t>
      </w:r>
      <w:r w:rsidR="00A16196">
        <w:rPr>
          <w:rFonts w:ascii="Arial" w:hAnsi="Arial" w:cs="Arial"/>
          <w:color w:val="000000" w:themeColor="text1"/>
        </w:rPr>
        <w:t xml:space="preserve">to deliver services in the target locations outlined in </w:t>
      </w:r>
      <w:r w:rsidR="00A16196">
        <w:rPr>
          <w:rFonts w:ascii="Arial" w:hAnsi="Arial" w:cs="Arial"/>
          <w:b/>
          <w:color w:val="000000" w:themeColor="text1"/>
        </w:rPr>
        <w:t>Appendix A</w:t>
      </w:r>
      <w:r w:rsidR="00A16196">
        <w:rPr>
          <w:rFonts w:ascii="Arial" w:hAnsi="Arial" w:cs="Arial"/>
          <w:color w:val="000000" w:themeColor="text1"/>
        </w:rPr>
        <w:t>.</w:t>
      </w:r>
    </w:p>
    <w:p w:rsidR="00F056D1" w:rsidRDefault="00F056D1">
      <w:pPr>
        <w:suppressAutoHyphens w:val="0"/>
        <w:spacing w:before="0" w:after="120" w:line="440" w:lineRule="atLeast"/>
        <w:rPr>
          <w:rFonts w:ascii="Arial" w:eastAsia="Times New Roman" w:hAnsi="Arial" w:cs="Arial"/>
          <w:color w:val="000000" w:themeColor="text1"/>
        </w:rPr>
      </w:pPr>
      <w:r>
        <w:rPr>
          <w:rFonts w:ascii="Arial" w:hAnsi="Arial" w:cs="Arial"/>
          <w:color w:val="000000" w:themeColor="text1"/>
        </w:rPr>
        <w:br w:type="page"/>
      </w:r>
    </w:p>
    <w:p w:rsidR="00760BE9" w:rsidRDefault="00760BE9" w:rsidP="00BB5CF6">
      <w:pPr>
        <w:pStyle w:val="NoSpacing"/>
        <w:rPr>
          <w:rFonts w:ascii="Arial" w:hAnsi="Arial" w:cs="Arial"/>
          <w:color w:val="000000" w:themeColor="text1"/>
        </w:rPr>
      </w:pPr>
    </w:p>
    <w:p w:rsidR="00760BE9" w:rsidRPr="00DC3FFB" w:rsidRDefault="00760BE9" w:rsidP="00BB5CF6">
      <w:pPr>
        <w:pStyle w:val="NoSpacing"/>
        <w:rPr>
          <w:rFonts w:ascii="Arial" w:hAnsi="Arial" w:cs="Arial"/>
          <w:b/>
          <w:color w:val="000000" w:themeColor="text1"/>
        </w:rPr>
      </w:pPr>
      <w:r w:rsidRPr="00DC3FFB">
        <w:rPr>
          <w:rFonts w:ascii="Arial" w:hAnsi="Arial" w:cs="Arial"/>
          <w:b/>
          <w:color w:val="000000" w:themeColor="text1"/>
        </w:rPr>
        <w:t>Rationale for Invitation</w:t>
      </w:r>
    </w:p>
    <w:p w:rsidR="00760BE9" w:rsidRPr="00157316" w:rsidRDefault="00A16196" w:rsidP="00157316">
      <w:r w:rsidRPr="00157316">
        <w:t>T</w:t>
      </w:r>
      <w:r w:rsidR="00BB5CF6" w:rsidRPr="00157316">
        <w:t xml:space="preserve">he </w:t>
      </w:r>
      <w:r w:rsidR="00564C6D" w:rsidRPr="00157316">
        <w:t xml:space="preserve">Department of Social Services </w:t>
      </w:r>
      <w:r w:rsidRPr="00157316">
        <w:t>chose</w:t>
      </w:r>
      <w:r w:rsidR="00564C6D" w:rsidRPr="00157316">
        <w:t xml:space="preserve"> the organisations listed in </w:t>
      </w:r>
      <w:r w:rsidR="00564C6D" w:rsidRPr="00157316">
        <w:rPr>
          <w:b/>
        </w:rPr>
        <w:t>Appendix A</w:t>
      </w:r>
      <w:r w:rsidRPr="00157316">
        <w:t xml:space="preserve"> </w:t>
      </w:r>
      <w:r w:rsidR="00BB5CF6" w:rsidRPr="00157316">
        <w:t xml:space="preserve">because they have a specific focus on working with </w:t>
      </w:r>
      <w:r w:rsidRPr="00157316">
        <w:t xml:space="preserve">the </w:t>
      </w:r>
      <w:r w:rsidR="00BB5CF6" w:rsidRPr="00157316">
        <w:t>communities in the</w:t>
      </w:r>
      <w:r w:rsidR="00686951" w:rsidRPr="00157316">
        <w:t xml:space="preserve"> target locations for this grant opportunity</w:t>
      </w:r>
      <w:r w:rsidR="00BB5CF6" w:rsidRPr="00157316">
        <w:t xml:space="preserve">, </w:t>
      </w:r>
      <w:r w:rsidR="00686951" w:rsidRPr="00157316">
        <w:t xml:space="preserve">they have specialised qualifications relevant to the grant, </w:t>
      </w:r>
      <w:r w:rsidR="00BB5CF6" w:rsidRPr="00157316">
        <w:t>as well as experience delivering similar activities and relevant outcomes in the</w:t>
      </w:r>
      <w:r w:rsidR="00686951" w:rsidRPr="00157316">
        <w:t xml:space="preserve"> target</w:t>
      </w:r>
      <w:r w:rsidR="00BB5CF6" w:rsidRPr="00157316">
        <w:t xml:space="preserve"> locations.</w:t>
      </w:r>
      <w:r w:rsidR="00157316" w:rsidRPr="00157316">
        <w:t xml:space="preserve"> </w:t>
      </w:r>
    </w:p>
    <w:p w:rsidR="006B1B4F" w:rsidRPr="00157316" w:rsidRDefault="00760BE9" w:rsidP="00157316">
      <w:r w:rsidRPr="00157316">
        <w:t>No further organisations will be invited to apply.</w:t>
      </w:r>
    </w:p>
    <w:p w:rsidR="00890646" w:rsidRDefault="00760BE9" w:rsidP="00157316">
      <w:pPr>
        <w:pStyle w:val="Heading2Numbered"/>
        <w:numPr>
          <w:ilvl w:val="0"/>
          <w:numId w:val="0"/>
        </w:numPr>
        <w:spacing w:line="240" w:lineRule="auto"/>
        <w:ind w:left="567" w:hanging="567"/>
        <w:rPr>
          <w:color w:val="000000" w:themeColor="text1"/>
          <w:sz w:val="22"/>
          <w:szCs w:val="22"/>
        </w:rPr>
      </w:pPr>
      <w:r w:rsidRPr="00692B4D" w:rsidDel="00686951">
        <w:rPr>
          <w:rFonts w:ascii="Arial" w:hAnsi="Arial" w:cs="Arial"/>
          <w:b/>
          <w:color w:val="000000" w:themeColor="text1"/>
        </w:rPr>
        <w:t xml:space="preserve"> </w:t>
      </w:r>
      <w:bookmarkStart w:id="107" w:name="_Toc519083677"/>
      <w:r w:rsidR="00BB5CF6" w:rsidRPr="00DB614C">
        <w:t>3.</w:t>
      </w:r>
      <w:r w:rsidR="0004625C">
        <w:t>2</w:t>
      </w:r>
      <w:r w:rsidR="00BB5CF6">
        <w:tab/>
      </w:r>
      <w:r w:rsidR="00BB5CF6" w:rsidRPr="00DB614C">
        <w:t>Who is not eligible to apply for a grant?</w:t>
      </w:r>
      <w:bookmarkEnd w:id="107"/>
      <w:r w:rsidR="00BB5CF6">
        <w:t xml:space="preserve"> </w:t>
      </w:r>
    </w:p>
    <w:p w:rsidR="002F29D6" w:rsidRPr="002F145D" w:rsidRDefault="00BB5CF6" w:rsidP="00DC3FFB">
      <w:pPr>
        <w:spacing w:before="60"/>
        <w:rPr>
          <w:rFonts w:ascii="Arial" w:hAnsi="Arial" w:cs="Arial"/>
          <w:color w:val="0070C0"/>
        </w:rPr>
      </w:pPr>
      <w:r w:rsidRPr="007314EC">
        <w:rPr>
          <w:rFonts w:ascii="Arial" w:hAnsi="Arial" w:cs="Arial"/>
        </w:rPr>
        <w:t xml:space="preserve">You are not eligible to apply if you </w:t>
      </w:r>
      <w:r w:rsidR="0004625C">
        <w:rPr>
          <w:rFonts w:ascii="Arial" w:hAnsi="Arial" w:cs="Arial"/>
        </w:rPr>
        <w:t>have not been approached through an invitation to apply.</w:t>
      </w:r>
    </w:p>
    <w:p w:rsidR="00340616" w:rsidRPr="00B72EE8" w:rsidRDefault="0004625C" w:rsidP="00DC3FFB">
      <w:pPr>
        <w:pStyle w:val="Heading2Numbered"/>
        <w:numPr>
          <w:ilvl w:val="0"/>
          <w:numId w:val="0"/>
        </w:numPr>
        <w:ind w:left="567" w:hanging="567"/>
      </w:pPr>
      <w:bookmarkStart w:id="108" w:name="_Toc519083678"/>
      <w:r>
        <w:t>3.3</w:t>
      </w:r>
      <w:r>
        <w:tab/>
      </w:r>
      <w:bookmarkStart w:id="109" w:name="_Toc513637945"/>
      <w:bookmarkStart w:id="110" w:name="_Toc513637946"/>
      <w:bookmarkStart w:id="111" w:name="_Toc513637947"/>
      <w:bookmarkStart w:id="112" w:name="_Toc513637948"/>
      <w:bookmarkStart w:id="113" w:name="_Toc513637949"/>
      <w:bookmarkStart w:id="114" w:name="_Toc513637950"/>
      <w:bookmarkStart w:id="115" w:name="_Toc513637951"/>
      <w:bookmarkStart w:id="116" w:name="_Toc513637952"/>
      <w:bookmarkStart w:id="117" w:name="_Toc513637953"/>
      <w:bookmarkStart w:id="118" w:name="_Toc513637954"/>
      <w:bookmarkStart w:id="119" w:name="_Toc513637955"/>
      <w:bookmarkStart w:id="120" w:name="_Toc513637956"/>
      <w:bookmarkStart w:id="121" w:name="_Toc513637957"/>
      <w:bookmarkStart w:id="122" w:name="_Toc513637958"/>
      <w:bookmarkStart w:id="123" w:name="_Toc51363795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340616">
        <w:t xml:space="preserve">What </w:t>
      </w:r>
      <w:r w:rsidR="00340616" w:rsidRPr="00B72EE8">
        <w:t>qualifications or skills</w:t>
      </w:r>
      <w:r w:rsidR="00340616">
        <w:t xml:space="preserve"> are required?</w:t>
      </w:r>
      <w:bookmarkEnd w:id="106"/>
      <w:bookmarkEnd w:id="108"/>
    </w:p>
    <w:p w:rsidR="00340616" w:rsidRPr="00B72EE8" w:rsidRDefault="00340616" w:rsidP="00C41ADE">
      <w:r>
        <w:t xml:space="preserve">If you </w:t>
      </w:r>
      <w:r w:rsidR="00CE251D">
        <w:t>accept a grant</w:t>
      </w:r>
      <w:r w:rsidR="00043B4D">
        <w:t xml:space="preserve"> offer</w:t>
      </w:r>
      <w:r>
        <w:t xml:space="preserve">, </w:t>
      </w:r>
      <w:r w:rsidR="006337ED">
        <w:t xml:space="preserve">it is a requirement </w:t>
      </w:r>
      <w:r>
        <w:t>that staff</w:t>
      </w:r>
      <w:r w:rsidRPr="00B72EE8">
        <w:t xml:space="preserve"> </w:t>
      </w:r>
      <w:r>
        <w:t xml:space="preserve">working on the </w:t>
      </w:r>
      <w:r w:rsidRPr="008D642A">
        <w:t>grant</w:t>
      </w:r>
      <w:r w:rsidRPr="001457EB">
        <w:t xml:space="preserve"> </w:t>
      </w:r>
      <w:r>
        <w:t xml:space="preserve">activity </w:t>
      </w:r>
      <w:r w:rsidR="006337ED">
        <w:t xml:space="preserve">have and </w:t>
      </w:r>
      <w:r w:rsidRPr="00C41ADE">
        <w:t>maintain</w:t>
      </w:r>
      <w:r w:rsidRPr="00625F40">
        <w:t xml:space="preserve"> the following </w:t>
      </w:r>
      <w:r w:rsidRPr="00DC3FFB">
        <w:rPr>
          <w:rStyle w:val="highlightedtextChar"/>
          <w:b w:val="0"/>
          <w:color w:val="auto"/>
        </w:rPr>
        <w:t>qualifications/ skills/ accreditation/ registration/ checks</w:t>
      </w:r>
      <w:r w:rsidRPr="00C41ADE">
        <w:t>:</w:t>
      </w:r>
    </w:p>
    <w:p w:rsidR="00C2590D" w:rsidRDefault="00C2590D" w:rsidP="00C2590D">
      <w:pPr>
        <w:pStyle w:val="Heading4"/>
        <w:spacing w:before="0" w:after="0" w:line="240" w:lineRule="auto"/>
        <w:rPr>
          <w:rFonts w:asciiTheme="minorHAnsi" w:hAnsiTheme="minorHAnsi" w:cstheme="minorHAnsi"/>
          <w:b/>
          <w:sz w:val="22"/>
          <w:szCs w:val="22"/>
        </w:rPr>
      </w:pPr>
    </w:p>
    <w:p w:rsidR="00C2590D" w:rsidRPr="00B967DB" w:rsidRDefault="00760BE9" w:rsidP="00C2590D">
      <w:pPr>
        <w:pStyle w:val="Heading4"/>
        <w:spacing w:before="0" w:after="0" w:line="240" w:lineRule="auto"/>
        <w:rPr>
          <w:rFonts w:asciiTheme="minorHAnsi" w:hAnsiTheme="minorHAnsi" w:cstheme="minorHAnsi"/>
          <w:b/>
          <w:sz w:val="22"/>
          <w:szCs w:val="22"/>
        </w:rPr>
      </w:pPr>
      <w:r w:rsidRPr="00DC3FFB">
        <w:rPr>
          <w:rFonts w:asciiTheme="minorHAnsi" w:hAnsiTheme="minorHAnsi" w:cstheme="minorHAnsi"/>
          <w:b/>
          <w:sz w:val="22"/>
          <w:szCs w:val="22"/>
        </w:rPr>
        <w:t>FC for Problem Gambling</w:t>
      </w:r>
    </w:p>
    <w:p w:rsidR="00C2590D" w:rsidRPr="00B967DB" w:rsidRDefault="00C2590D" w:rsidP="00C2590D">
      <w:pPr>
        <w:spacing w:before="0" w:after="0" w:line="240" w:lineRule="auto"/>
      </w:pPr>
    </w:p>
    <w:p w:rsidR="00C2590D" w:rsidRPr="00B967DB" w:rsidRDefault="00C2590D" w:rsidP="00157316">
      <w:pPr>
        <w:tabs>
          <w:tab w:val="num" w:pos="3270"/>
        </w:tabs>
        <w:spacing w:line="240" w:lineRule="auto"/>
        <w:rPr>
          <w:rFonts w:cs="Arial"/>
        </w:rPr>
      </w:pPr>
      <w:r w:rsidRPr="00B967DB">
        <w:rPr>
          <w:rFonts w:cs="Arial"/>
        </w:rPr>
        <w:t xml:space="preserve">In delivering </w:t>
      </w:r>
      <w:r w:rsidR="00760BE9" w:rsidRPr="00DC3FFB">
        <w:rPr>
          <w:rFonts w:cs="Arial"/>
        </w:rPr>
        <w:t>FC for Problem Gambling</w:t>
      </w:r>
      <w:r w:rsidRPr="00B967DB">
        <w:rPr>
          <w:rFonts w:cs="Arial"/>
        </w:rPr>
        <w:t xml:space="preserve">, organisations must take account of relevant legal and regulatory requirements (including as specified by the Australian Securities and Investments Commission Class Order (CO.03/1063) Licensing Relief for financial counselling agencies, </w:t>
      </w:r>
      <w:r w:rsidRPr="00B967DB">
        <w:t>and other appropriate legislation). </w:t>
      </w:r>
    </w:p>
    <w:p w:rsidR="00C2590D" w:rsidRPr="00B967DB" w:rsidRDefault="00C2590D" w:rsidP="00157316">
      <w:pPr>
        <w:spacing w:line="240" w:lineRule="auto"/>
        <w:contextualSpacing/>
        <w:rPr>
          <w:rFonts w:cstheme="minorHAnsi"/>
        </w:rPr>
      </w:pPr>
    </w:p>
    <w:p w:rsidR="00C2590D" w:rsidRPr="00B967DB" w:rsidRDefault="00C2590D" w:rsidP="00157316">
      <w:pPr>
        <w:spacing w:line="240" w:lineRule="auto"/>
        <w:contextualSpacing/>
        <w:rPr>
          <w:rFonts w:cstheme="minorHAnsi"/>
        </w:rPr>
      </w:pPr>
      <w:r w:rsidRPr="00B967DB">
        <w:rPr>
          <w:rFonts w:cstheme="minorHAnsi"/>
        </w:rPr>
        <w:t xml:space="preserve">All financial counsellors employed by organisations with </w:t>
      </w:r>
      <w:r w:rsidR="00760BE9" w:rsidRPr="00F95146">
        <w:rPr>
          <w:rFonts w:cs="Arial"/>
        </w:rPr>
        <w:t>FC for Problem Gambling</w:t>
      </w:r>
      <w:r w:rsidR="00760BE9">
        <w:rPr>
          <w:rFonts w:cstheme="minorHAnsi"/>
        </w:rPr>
        <w:t xml:space="preserve"> </w:t>
      </w:r>
      <w:r w:rsidRPr="00B967DB">
        <w:rPr>
          <w:rFonts w:cstheme="minorHAnsi"/>
        </w:rPr>
        <w:t>funding must:</w:t>
      </w:r>
    </w:p>
    <w:p w:rsidR="00C2590D" w:rsidRPr="00B967DB" w:rsidRDefault="00C2590D" w:rsidP="00157316">
      <w:pPr>
        <w:numPr>
          <w:ilvl w:val="0"/>
          <w:numId w:val="48"/>
        </w:numPr>
        <w:suppressAutoHyphens w:val="0"/>
        <w:spacing w:line="240" w:lineRule="auto"/>
        <w:rPr>
          <w:rFonts w:cstheme="minorHAnsi"/>
        </w:rPr>
      </w:pPr>
      <w:r w:rsidRPr="00B967DB">
        <w:rPr>
          <w:rFonts w:cstheme="minorHAnsi"/>
        </w:rPr>
        <w:t>ensure that no fees or charges are applied to the services provided</w:t>
      </w:r>
      <w:r w:rsidR="00FC08D2">
        <w:rPr>
          <w:rFonts w:cstheme="minorHAnsi"/>
        </w:rPr>
        <w:t>,</w:t>
      </w:r>
    </w:p>
    <w:p w:rsidR="00C2590D" w:rsidRDefault="00C2590D" w:rsidP="00157316">
      <w:pPr>
        <w:numPr>
          <w:ilvl w:val="0"/>
          <w:numId w:val="48"/>
        </w:numPr>
        <w:suppressAutoHyphens w:val="0"/>
        <w:spacing w:line="240" w:lineRule="auto"/>
        <w:rPr>
          <w:rFonts w:cstheme="minorHAnsi"/>
        </w:rPr>
      </w:pPr>
      <w:r w:rsidRPr="00B967DB">
        <w:rPr>
          <w:rFonts w:cstheme="minorHAnsi"/>
        </w:rPr>
        <w:t>have undertaken appropriate training, in order to have adequate skills and knowledge to satisfactorily provide financial counselling services</w:t>
      </w:r>
      <w:r w:rsidR="00FC08D2">
        <w:rPr>
          <w:rFonts w:cstheme="minorHAnsi"/>
        </w:rPr>
        <w:t>,</w:t>
      </w:r>
    </w:p>
    <w:p w:rsidR="00FC08D2" w:rsidRPr="00B967DB" w:rsidRDefault="00FC08D2" w:rsidP="00157316">
      <w:pPr>
        <w:numPr>
          <w:ilvl w:val="0"/>
          <w:numId w:val="48"/>
        </w:numPr>
        <w:suppressAutoHyphens w:val="0"/>
        <w:spacing w:line="240" w:lineRule="auto"/>
        <w:rPr>
          <w:rFonts w:cstheme="minorHAnsi"/>
        </w:rPr>
      </w:pPr>
      <w:r w:rsidRPr="005030A5">
        <w:t>have undertaken</w:t>
      </w:r>
      <w:r>
        <w:t xml:space="preserve"> additional training or qualifications, relevant to supporting people affected by </w:t>
      </w:r>
      <w:r w:rsidRPr="005030A5">
        <w:t>problem gambling</w:t>
      </w:r>
      <w:r>
        <w:t>, and</w:t>
      </w:r>
      <w:r w:rsidRPr="005030A5">
        <w:t xml:space="preserve"> </w:t>
      </w:r>
    </w:p>
    <w:p w:rsidR="0051349B" w:rsidRPr="00B967DB" w:rsidRDefault="00C2590D" w:rsidP="00157316">
      <w:pPr>
        <w:numPr>
          <w:ilvl w:val="0"/>
          <w:numId w:val="48"/>
        </w:numPr>
        <w:suppressAutoHyphens w:val="0"/>
        <w:autoSpaceDE w:val="0"/>
        <w:autoSpaceDN w:val="0"/>
        <w:adjustRightInd w:val="0"/>
        <w:spacing w:line="240" w:lineRule="auto"/>
        <w:rPr>
          <w:rFonts w:cstheme="minorHAnsi"/>
        </w:rPr>
      </w:pPr>
      <w:r w:rsidRPr="00B967DB">
        <w:rPr>
          <w:rFonts w:cstheme="minorHAnsi"/>
        </w:rPr>
        <w:t>be a member of, or be eligible for membership of, a relevant financial counselling association</w:t>
      </w:r>
      <w:r w:rsidR="00FC08D2">
        <w:rPr>
          <w:rFonts w:cstheme="minorHAnsi"/>
        </w:rPr>
        <w:t>,</w:t>
      </w:r>
    </w:p>
    <w:p w:rsidR="00C2590D" w:rsidRDefault="00C2590D" w:rsidP="00157316">
      <w:pPr>
        <w:numPr>
          <w:ilvl w:val="1"/>
          <w:numId w:val="48"/>
        </w:numPr>
        <w:suppressAutoHyphens w:val="0"/>
        <w:autoSpaceDE w:val="0"/>
        <w:autoSpaceDN w:val="0"/>
        <w:adjustRightInd w:val="0"/>
        <w:spacing w:line="240" w:lineRule="auto"/>
        <w:rPr>
          <w:rFonts w:cstheme="minorHAnsi"/>
        </w:rPr>
      </w:pPr>
      <w:r w:rsidRPr="00B967DB">
        <w:rPr>
          <w:rFonts w:cstheme="minorHAnsi"/>
        </w:rPr>
        <w:t>The conditions for full/accredited membership of most state and territory financial counselling associations includes the attainment of the Diploma of Community Services (Financial Counselling) or an equivalent qualification.</w:t>
      </w:r>
    </w:p>
    <w:p w:rsidR="00FC08D2" w:rsidRPr="00A23FFD" w:rsidRDefault="00FC08D2" w:rsidP="00157316">
      <w:pPr>
        <w:spacing w:line="240" w:lineRule="auto"/>
        <w:rPr>
          <w:rFonts w:cstheme="majorHAnsi"/>
          <w:b/>
          <w:color w:val="745B00"/>
        </w:rPr>
      </w:pPr>
      <w:r w:rsidRPr="00FC08D2">
        <w:rPr>
          <w:rFonts w:cstheme="minorHAnsi"/>
        </w:rPr>
        <w:t xml:space="preserve">Organisations delivering </w:t>
      </w:r>
      <w:r>
        <w:rPr>
          <w:rFonts w:cstheme="minorHAnsi"/>
        </w:rPr>
        <w:t xml:space="preserve">FC for Problem Gambling </w:t>
      </w:r>
      <w:r w:rsidRPr="00FC08D2">
        <w:rPr>
          <w:rFonts w:cstheme="minorHAnsi"/>
        </w:rPr>
        <w:t xml:space="preserve">are expected to provide ongoing workforce development to ensure that Financial Counsellors have long-term capability to continue to support clients. </w:t>
      </w:r>
      <w:r>
        <w:rPr>
          <w:rFonts w:cstheme="minorHAnsi"/>
        </w:rPr>
        <w:t xml:space="preserve"> </w:t>
      </w:r>
      <w:r w:rsidRPr="00FC08D2">
        <w:rPr>
          <w:rFonts w:cstheme="minorHAnsi"/>
        </w:rPr>
        <w:t>Examples of relevant workforce development include</w:t>
      </w:r>
      <w:r w:rsidR="00A47733">
        <w:rPr>
          <w:rFonts w:cstheme="minorHAnsi"/>
        </w:rPr>
        <w:t xml:space="preserve"> training that addresses emerging trends (i.e. online gambling)</w:t>
      </w:r>
      <w:r w:rsidR="00A23FFD">
        <w:rPr>
          <w:rFonts w:cstheme="minorHAnsi"/>
        </w:rPr>
        <w:t>,</w:t>
      </w:r>
      <w:r w:rsidRPr="00A23FFD">
        <w:rPr>
          <w:rFonts w:cstheme="minorHAnsi"/>
        </w:rPr>
        <w:t xml:space="preserve"> s</w:t>
      </w:r>
      <w:r w:rsidR="00157316">
        <w:rPr>
          <w:rFonts w:cstheme="minorHAnsi"/>
        </w:rPr>
        <w:t>ector specific conferences etc.</w:t>
      </w:r>
    </w:p>
    <w:p w:rsidR="00340616" w:rsidRPr="00A668C8" w:rsidRDefault="00340616" w:rsidP="00A668C8">
      <w:pPr>
        <w:pStyle w:val="Heading1Numbered"/>
      </w:pPr>
      <w:bookmarkStart w:id="124" w:name="_Toc513637964"/>
      <w:bookmarkStart w:id="125" w:name="_Toc514068296"/>
      <w:bookmarkStart w:id="126" w:name="_Toc467773959"/>
      <w:bookmarkStart w:id="127" w:name="_Toc519083679"/>
      <w:bookmarkEnd w:id="124"/>
      <w:bookmarkEnd w:id="125"/>
      <w:r w:rsidRPr="00A668C8">
        <w:lastRenderedPageBreak/>
        <w:t>Eligible grant activities</w:t>
      </w:r>
      <w:bookmarkEnd w:id="126"/>
      <w:bookmarkEnd w:id="127"/>
    </w:p>
    <w:p w:rsidR="00340616" w:rsidRPr="00F56535" w:rsidRDefault="00340616" w:rsidP="00056305">
      <w:pPr>
        <w:pStyle w:val="Heading2Numbered"/>
      </w:pPr>
      <w:bookmarkStart w:id="128" w:name="_Toc467773960"/>
      <w:bookmarkStart w:id="129" w:name="_Toc519083680"/>
      <w:r w:rsidRPr="00F56535">
        <w:t>What can the grant money be used for?</w:t>
      </w:r>
      <w:bookmarkEnd w:id="128"/>
      <w:bookmarkEnd w:id="129"/>
    </w:p>
    <w:p w:rsidR="0088371D" w:rsidRDefault="0088371D" w:rsidP="0088371D">
      <w:pPr>
        <w:rPr>
          <w:rFonts w:cstheme="minorHAnsi"/>
        </w:rPr>
      </w:pPr>
      <w:r w:rsidRPr="000A271A">
        <w:rPr>
          <w:rFonts w:cstheme="minorHAnsi"/>
        </w:rPr>
        <w:t xml:space="preserve">You can use the grant to pay for: </w:t>
      </w:r>
    </w:p>
    <w:p w:rsidR="0088371D" w:rsidRPr="00DD7B6D" w:rsidRDefault="0088371D" w:rsidP="0088371D">
      <w:pPr>
        <w:pStyle w:val="Bullet1"/>
        <w:numPr>
          <w:ilvl w:val="0"/>
          <w:numId w:val="46"/>
        </w:numPr>
      </w:pPr>
      <w:r w:rsidRPr="008E754C">
        <w:t>s</w:t>
      </w:r>
      <w:r w:rsidRPr="00DD7B6D">
        <w:t>taff salaries and on-costs which can be directly attributed to the provision of services in identified service area or areas as per the grant agreement</w:t>
      </w:r>
    </w:p>
    <w:p w:rsidR="0088371D" w:rsidRDefault="0088371D" w:rsidP="0088371D">
      <w:pPr>
        <w:pStyle w:val="Bullet1"/>
        <w:numPr>
          <w:ilvl w:val="0"/>
          <w:numId w:val="46"/>
        </w:numPr>
      </w:pPr>
      <w:r w:rsidRPr="00DD7B6D">
        <w:t xml:space="preserve">employee training for </w:t>
      </w:r>
      <w:r>
        <w:t xml:space="preserve">paid </w:t>
      </w:r>
      <w:r w:rsidRPr="00DD7B6D">
        <w:t xml:space="preserve">staff delivering activities that are relevant, appropriate and in line with the activity objectives </w:t>
      </w:r>
    </w:p>
    <w:p w:rsidR="0088371D" w:rsidRPr="00DD7B6D" w:rsidRDefault="0088371D" w:rsidP="0088371D">
      <w:pPr>
        <w:pStyle w:val="Bullet1"/>
        <w:numPr>
          <w:ilvl w:val="0"/>
          <w:numId w:val="46"/>
        </w:numPr>
      </w:pPr>
      <w:r w:rsidRPr="00DD7B6D">
        <w:t>administration expenses directly related to the delivery of services such as:</w:t>
      </w:r>
    </w:p>
    <w:p w:rsidR="0088371D" w:rsidRDefault="0088371D" w:rsidP="0088371D">
      <w:pPr>
        <w:pStyle w:val="Bullet2"/>
        <w:numPr>
          <w:ilvl w:val="1"/>
          <w:numId w:val="46"/>
        </w:numPr>
        <w:rPr>
          <w:rFonts w:cstheme="minorHAnsi"/>
        </w:rPr>
      </w:pPr>
      <w:r>
        <w:rPr>
          <w:rFonts w:cstheme="minorHAnsi"/>
        </w:rPr>
        <w:t>interpreting services</w:t>
      </w:r>
    </w:p>
    <w:p w:rsidR="0088371D" w:rsidRPr="00ED1B83" w:rsidRDefault="0088371D" w:rsidP="0088371D">
      <w:pPr>
        <w:pStyle w:val="Bullet2"/>
        <w:numPr>
          <w:ilvl w:val="1"/>
          <w:numId w:val="46"/>
        </w:numPr>
        <w:rPr>
          <w:rFonts w:cstheme="minorHAnsi"/>
        </w:rPr>
      </w:pPr>
      <w:r w:rsidRPr="00ED1B83">
        <w:rPr>
          <w:rFonts w:cstheme="minorHAnsi"/>
        </w:rPr>
        <w:t xml:space="preserve">telephones </w:t>
      </w:r>
    </w:p>
    <w:p w:rsidR="0088371D" w:rsidRDefault="0088371D" w:rsidP="0088371D">
      <w:pPr>
        <w:pStyle w:val="Bullet2"/>
        <w:numPr>
          <w:ilvl w:val="1"/>
          <w:numId w:val="46"/>
        </w:numPr>
        <w:rPr>
          <w:rFonts w:cstheme="minorHAnsi"/>
        </w:rPr>
      </w:pPr>
      <w:r w:rsidRPr="00ED1B83">
        <w:rPr>
          <w:rFonts w:cstheme="minorHAnsi"/>
        </w:rPr>
        <w:t xml:space="preserve">rent and outgoings  </w:t>
      </w:r>
    </w:p>
    <w:p w:rsidR="0088371D" w:rsidRPr="00ED1B83" w:rsidRDefault="0088371D" w:rsidP="0088371D">
      <w:pPr>
        <w:pStyle w:val="Bullet2"/>
        <w:numPr>
          <w:ilvl w:val="1"/>
          <w:numId w:val="46"/>
        </w:numPr>
        <w:rPr>
          <w:rFonts w:cstheme="minorHAnsi"/>
        </w:rPr>
      </w:pPr>
      <w:r>
        <w:rPr>
          <w:rFonts w:cstheme="minorHAnsi"/>
        </w:rPr>
        <w:t>c</w:t>
      </w:r>
      <w:r w:rsidRPr="00ED1B83">
        <w:rPr>
          <w:rFonts w:cstheme="minorHAnsi"/>
        </w:rPr>
        <w:t xml:space="preserve">omputer /information technology/website/ software </w:t>
      </w:r>
    </w:p>
    <w:p w:rsidR="0088371D" w:rsidRPr="00ED1B83" w:rsidRDefault="0088371D" w:rsidP="0088371D">
      <w:pPr>
        <w:pStyle w:val="Bullet2"/>
        <w:numPr>
          <w:ilvl w:val="1"/>
          <w:numId w:val="46"/>
        </w:numPr>
        <w:rPr>
          <w:rFonts w:cstheme="minorHAnsi"/>
        </w:rPr>
      </w:pPr>
      <w:r w:rsidRPr="00ED1B83">
        <w:rPr>
          <w:rFonts w:cstheme="minorHAnsi"/>
        </w:rPr>
        <w:t xml:space="preserve">insurance </w:t>
      </w:r>
    </w:p>
    <w:p w:rsidR="0088371D" w:rsidRPr="00ED1B83" w:rsidRDefault="0088371D" w:rsidP="0088371D">
      <w:pPr>
        <w:pStyle w:val="Bullet2"/>
        <w:numPr>
          <w:ilvl w:val="1"/>
          <w:numId w:val="46"/>
        </w:numPr>
        <w:rPr>
          <w:rFonts w:cstheme="minorHAnsi"/>
        </w:rPr>
      </w:pPr>
      <w:r w:rsidRPr="00ED1B83">
        <w:rPr>
          <w:rFonts w:cstheme="minorHAnsi"/>
        </w:rPr>
        <w:t>utilities</w:t>
      </w:r>
    </w:p>
    <w:p w:rsidR="0088371D" w:rsidRPr="00ED1B83" w:rsidRDefault="0088371D" w:rsidP="0088371D">
      <w:pPr>
        <w:pStyle w:val="Bullet2"/>
        <w:numPr>
          <w:ilvl w:val="1"/>
          <w:numId w:val="46"/>
        </w:numPr>
        <w:rPr>
          <w:rFonts w:cstheme="minorHAnsi"/>
        </w:rPr>
      </w:pPr>
      <w:r w:rsidRPr="00ED1B83">
        <w:rPr>
          <w:rFonts w:cstheme="minorHAnsi"/>
        </w:rPr>
        <w:t xml:space="preserve">postage </w:t>
      </w:r>
    </w:p>
    <w:p w:rsidR="0088371D" w:rsidRPr="00ED1B83" w:rsidRDefault="0088371D" w:rsidP="0088371D">
      <w:pPr>
        <w:pStyle w:val="Bullet2"/>
        <w:numPr>
          <w:ilvl w:val="1"/>
          <w:numId w:val="46"/>
        </w:numPr>
        <w:rPr>
          <w:rFonts w:cstheme="minorHAnsi"/>
        </w:rPr>
      </w:pPr>
      <w:r w:rsidRPr="00ED1B83">
        <w:rPr>
          <w:rFonts w:cstheme="minorHAnsi"/>
        </w:rPr>
        <w:t xml:space="preserve">stationery and printing </w:t>
      </w:r>
    </w:p>
    <w:p w:rsidR="0088371D" w:rsidRPr="00ED1B83" w:rsidRDefault="0088371D" w:rsidP="0088371D">
      <w:pPr>
        <w:pStyle w:val="Bullet2"/>
        <w:numPr>
          <w:ilvl w:val="1"/>
          <w:numId w:val="46"/>
        </w:numPr>
        <w:rPr>
          <w:rFonts w:cstheme="minorHAnsi"/>
        </w:rPr>
      </w:pPr>
      <w:r w:rsidRPr="00ED1B83">
        <w:rPr>
          <w:rFonts w:cstheme="minorHAnsi"/>
        </w:rPr>
        <w:t>accounting and auditing</w:t>
      </w:r>
    </w:p>
    <w:p w:rsidR="0088371D" w:rsidRPr="005F3DAD" w:rsidRDefault="0088371D" w:rsidP="0088371D">
      <w:pPr>
        <w:pStyle w:val="Bullet2"/>
        <w:numPr>
          <w:ilvl w:val="1"/>
          <w:numId w:val="46"/>
        </w:numPr>
        <w:rPr>
          <w:rFonts w:cstheme="minorHAnsi"/>
        </w:rPr>
      </w:pPr>
      <w:r w:rsidRPr="00ED1B83">
        <w:rPr>
          <w:rFonts w:cstheme="minorHAnsi"/>
        </w:rPr>
        <w:t>assets as defined in the terms and conditions that can be reasonably attributed to meeting agreement deliverables</w:t>
      </w:r>
      <w:r>
        <w:rPr>
          <w:rFonts w:cstheme="minorHAnsi"/>
        </w:rPr>
        <w:t>.</w:t>
      </w:r>
    </w:p>
    <w:p w:rsidR="00340616" w:rsidRPr="000A271A" w:rsidRDefault="00340616" w:rsidP="00101FF0">
      <w:pPr>
        <w:spacing w:after="0" w:line="240" w:lineRule="auto"/>
        <w:contextualSpacing/>
        <w:rPr>
          <w:highlight w:val="lightGray"/>
        </w:rPr>
      </w:pPr>
      <w:r w:rsidRPr="000A271A">
        <w:rPr>
          <w:rFonts w:cstheme="minorHAnsi"/>
        </w:rPr>
        <w:t xml:space="preserve">You can only spend grant funds on eligible grant activities as defined in the grant details in your grant agreement. </w:t>
      </w:r>
    </w:p>
    <w:p w:rsidR="00340616" w:rsidRPr="00B72EE8" w:rsidRDefault="00340616" w:rsidP="00056305">
      <w:pPr>
        <w:pStyle w:val="Heading2Numbered"/>
      </w:pPr>
      <w:bookmarkStart w:id="130" w:name="_Toc513637969"/>
      <w:bookmarkStart w:id="131" w:name="_Toc514068301"/>
      <w:bookmarkStart w:id="132" w:name="_Toc467773961"/>
      <w:bookmarkStart w:id="133" w:name="_Toc519083681"/>
      <w:bookmarkEnd w:id="130"/>
      <w:bookmarkEnd w:id="131"/>
      <w:r w:rsidRPr="00B72EE8">
        <w:t xml:space="preserve">What </w:t>
      </w:r>
      <w:r>
        <w:t>the grant money cannot be used for?</w:t>
      </w:r>
      <w:bookmarkEnd w:id="132"/>
      <w:bookmarkEnd w:id="133"/>
    </w:p>
    <w:p w:rsidR="0088371D" w:rsidRPr="005B3E54" w:rsidRDefault="0088371D" w:rsidP="0088371D">
      <w:pPr>
        <w:rPr>
          <w:rFonts w:cstheme="minorHAnsi"/>
        </w:rPr>
      </w:pPr>
      <w:r w:rsidRPr="005B3E54">
        <w:rPr>
          <w:rFonts w:cstheme="minorHAnsi"/>
        </w:rPr>
        <w:t xml:space="preserve">You cannot use the grant for the following activities: </w:t>
      </w:r>
    </w:p>
    <w:p w:rsidR="0088371D" w:rsidRPr="005B3E54" w:rsidRDefault="0088371D" w:rsidP="0088371D">
      <w:pPr>
        <w:pStyle w:val="Bullet1"/>
        <w:numPr>
          <w:ilvl w:val="0"/>
          <w:numId w:val="46"/>
        </w:numPr>
      </w:pPr>
      <w:r w:rsidRPr="005B3E54">
        <w:rPr>
          <w:rFonts w:cstheme="minorHAnsi"/>
        </w:rPr>
        <w:t xml:space="preserve">unidentified </w:t>
      </w:r>
      <w:r w:rsidRPr="005B3E54">
        <w:t xml:space="preserve">clients (where identity and demographic characteristics are not collected (see </w:t>
      </w:r>
      <w:r w:rsidR="000C00B7">
        <w:t xml:space="preserve">section </w:t>
      </w:r>
      <w:r w:rsidRPr="005B3E54">
        <w:t>1</w:t>
      </w:r>
      <w:r w:rsidR="000C00B7">
        <w:t>2</w:t>
      </w:r>
      <w:r w:rsidRPr="005B3E54">
        <w:t>.4 Reporting)</w:t>
      </w:r>
      <w:r w:rsidR="001D1242">
        <w:t>)</w:t>
      </w:r>
      <w:r w:rsidRPr="005B3E54" w:rsidDel="000915F7">
        <w:t xml:space="preserve"> </w:t>
      </w:r>
    </w:p>
    <w:p w:rsidR="0088371D" w:rsidRPr="005B3E54" w:rsidRDefault="0088371D" w:rsidP="0088371D">
      <w:pPr>
        <w:pStyle w:val="Bullet1"/>
        <w:numPr>
          <w:ilvl w:val="0"/>
          <w:numId w:val="46"/>
        </w:numPr>
      </w:pPr>
      <w:r w:rsidRPr="005B3E54">
        <w:t xml:space="preserve">purchase of land </w:t>
      </w:r>
    </w:p>
    <w:p w:rsidR="0088371D" w:rsidRPr="005B3E54" w:rsidRDefault="0088371D" w:rsidP="0088371D">
      <w:pPr>
        <w:pStyle w:val="Bullet1"/>
        <w:numPr>
          <w:ilvl w:val="0"/>
          <w:numId w:val="46"/>
        </w:numPr>
      </w:pPr>
      <w:r w:rsidRPr="005B3E54">
        <w:t xml:space="preserve">wages not directly related to the delivery of </w:t>
      </w:r>
      <w:r>
        <w:t>FC for Problem Gambling</w:t>
      </w:r>
    </w:p>
    <w:p w:rsidR="0088371D" w:rsidRPr="005B3E54" w:rsidRDefault="0088371D" w:rsidP="0088371D">
      <w:pPr>
        <w:pStyle w:val="Bullet1"/>
        <w:numPr>
          <w:ilvl w:val="0"/>
          <w:numId w:val="46"/>
        </w:numPr>
      </w:pPr>
      <w:r w:rsidRPr="005B3E54">
        <w:t xml:space="preserve">major capital expenditure </w:t>
      </w:r>
    </w:p>
    <w:p w:rsidR="0088371D" w:rsidRPr="005B3E54" w:rsidRDefault="0088371D" w:rsidP="0088371D">
      <w:pPr>
        <w:pStyle w:val="Bullet1"/>
        <w:numPr>
          <w:ilvl w:val="0"/>
          <w:numId w:val="46"/>
        </w:numPr>
      </w:pPr>
      <w:r w:rsidRPr="005B3E54">
        <w:t xml:space="preserve">the covering of retrospective costs </w:t>
      </w:r>
    </w:p>
    <w:p w:rsidR="0088371D" w:rsidRPr="005B3E54" w:rsidRDefault="0088371D" w:rsidP="0088371D">
      <w:pPr>
        <w:pStyle w:val="Bullet1"/>
        <w:numPr>
          <w:ilvl w:val="0"/>
          <w:numId w:val="46"/>
        </w:numPr>
      </w:pPr>
      <w:r w:rsidRPr="005B3E54">
        <w:t xml:space="preserve">costs incurred in the preparation of a grant application or related documentation </w:t>
      </w:r>
    </w:p>
    <w:p w:rsidR="0088371D" w:rsidRPr="005B3E54" w:rsidRDefault="0088371D" w:rsidP="0088371D">
      <w:pPr>
        <w:pStyle w:val="Bullet1"/>
        <w:numPr>
          <w:ilvl w:val="0"/>
          <w:numId w:val="46"/>
        </w:numPr>
      </w:pPr>
      <w:r w:rsidRPr="005B3E54">
        <w:t xml:space="preserve">subsidy of general ongoing administration of an organisation such as electricity, phone and rent not directly related to the delivery of </w:t>
      </w:r>
      <w:r>
        <w:t>FC for Problem Gambling</w:t>
      </w:r>
    </w:p>
    <w:p w:rsidR="0088371D" w:rsidRPr="005B3E54" w:rsidRDefault="0088371D" w:rsidP="0088371D">
      <w:pPr>
        <w:pStyle w:val="Bullet1"/>
        <w:numPr>
          <w:ilvl w:val="0"/>
          <w:numId w:val="46"/>
        </w:numPr>
      </w:pPr>
      <w:r w:rsidRPr="005B3E54">
        <w:lastRenderedPageBreak/>
        <w:t xml:space="preserve">major construction/capital works  </w:t>
      </w:r>
    </w:p>
    <w:p w:rsidR="0088371D" w:rsidRPr="005B3E54" w:rsidRDefault="0088371D" w:rsidP="0088371D">
      <w:pPr>
        <w:pStyle w:val="Bullet1"/>
        <w:numPr>
          <w:ilvl w:val="0"/>
          <w:numId w:val="46"/>
        </w:numPr>
      </w:pPr>
      <w:r w:rsidRPr="005B3E54">
        <w:t>overseas travel</w:t>
      </w:r>
    </w:p>
    <w:p w:rsidR="0088371D" w:rsidRPr="005B3E54" w:rsidRDefault="0088371D" w:rsidP="0088371D">
      <w:pPr>
        <w:pStyle w:val="Bullet1"/>
        <w:numPr>
          <w:ilvl w:val="0"/>
          <w:numId w:val="46"/>
        </w:numPr>
      </w:pPr>
      <w:r w:rsidRPr="005B3E54">
        <w:t>activities for which other Commonwealth, State, Territory or Local Government bodies have primary responsibility</w:t>
      </w:r>
    </w:p>
    <w:p w:rsidR="0088371D" w:rsidRPr="005B3E54" w:rsidRDefault="0088371D" w:rsidP="0088371D">
      <w:pPr>
        <w:pStyle w:val="Bullet1"/>
        <w:numPr>
          <w:ilvl w:val="0"/>
          <w:numId w:val="46"/>
        </w:numPr>
      </w:pPr>
      <w:r w:rsidRPr="005B3E54">
        <w:t>loan capital or matched savings payments</w:t>
      </w:r>
    </w:p>
    <w:p w:rsidR="0088371D" w:rsidRPr="005B3E54" w:rsidRDefault="0088371D" w:rsidP="0088371D">
      <w:pPr>
        <w:pStyle w:val="Bullet1"/>
        <w:numPr>
          <w:ilvl w:val="0"/>
          <w:numId w:val="46"/>
        </w:numPr>
      </w:pPr>
      <w:r w:rsidRPr="005B3E54">
        <w:t>funding or establishing grants for peak bodies or other new organisations (legal entities).</w:t>
      </w:r>
    </w:p>
    <w:p w:rsidR="0088371D" w:rsidRPr="005B3E54" w:rsidRDefault="0088371D" w:rsidP="0088371D">
      <w:pPr>
        <w:spacing w:before="0" w:after="0" w:line="240" w:lineRule="auto"/>
        <w:rPr>
          <w:rFonts w:cstheme="minorHAnsi"/>
        </w:rPr>
      </w:pPr>
    </w:p>
    <w:p w:rsidR="0088371D" w:rsidRPr="005B3E54" w:rsidRDefault="00972D12" w:rsidP="0088371D">
      <w:pPr>
        <w:spacing w:before="0" w:after="0" w:line="240" w:lineRule="auto"/>
        <w:rPr>
          <w:rFonts w:cstheme="minorHAnsi"/>
        </w:rPr>
      </w:pPr>
      <w:r>
        <w:rPr>
          <w:rFonts w:cstheme="minorHAnsi"/>
        </w:rPr>
        <w:t xml:space="preserve">When providing Commonwealth Financial Counselling services, funded by this FC for Problem Gambling grant opportunity, organisations are </w:t>
      </w:r>
      <w:r w:rsidR="0088371D" w:rsidRPr="005B3E54">
        <w:rPr>
          <w:rFonts w:cstheme="minorHAnsi"/>
        </w:rPr>
        <w:t xml:space="preserve">not </w:t>
      </w:r>
      <w:r>
        <w:rPr>
          <w:rFonts w:cstheme="minorHAnsi"/>
        </w:rPr>
        <w:t xml:space="preserve">to </w:t>
      </w:r>
      <w:r w:rsidR="0088371D" w:rsidRPr="005B3E54">
        <w:rPr>
          <w:rFonts w:cstheme="minorHAnsi"/>
        </w:rPr>
        <w:t>provide:</w:t>
      </w:r>
    </w:p>
    <w:p w:rsidR="0088371D" w:rsidRPr="005B3E54" w:rsidRDefault="0088371D" w:rsidP="0088371D">
      <w:pPr>
        <w:pStyle w:val="Bullet1"/>
        <w:numPr>
          <w:ilvl w:val="0"/>
          <w:numId w:val="46"/>
        </w:numPr>
      </w:pPr>
      <w:r w:rsidRPr="005B3E54">
        <w:t>financial planning advice (including in relation to shares, superannuation, retirement)</w:t>
      </w:r>
    </w:p>
    <w:p w:rsidR="0088371D" w:rsidRPr="005B3E54" w:rsidRDefault="0088371D" w:rsidP="0088371D">
      <w:pPr>
        <w:pStyle w:val="Bullet1"/>
        <w:numPr>
          <w:ilvl w:val="0"/>
          <w:numId w:val="46"/>
        </w:numPr>
      </w:pPr>
      <w:r w:rsidRPr="005B3E54">
        <w:t>finance lending</w:t>
      </w:r>
    </w:p>
    <w:p w:rsidR="0088371D" w:rsidRPr="005B3E54" w:rsidRDefault="0088371D" w:rsidP="0088371D">
      <w:pPr>
        <w:pStyle w:val="Bullet1"/>
        <w:numPr>
          <w:ilvl w:val="0"/>
          <w:numId w:val="46"/>
        </w:numPr>
      </w:pPr>
      <w:r w:rsidRPr="005B3E54">
        <w:t>endorsement of specific financial products or services (including debt repayment schemes)</w:t>
      </w:r>
    </w:p>
    <w:p w:rsidR="0088371D" w:rsidRPr="005B3E54" w:rsidRDefault="0088371D" w:rsidP="0088371D">
      <w:pPr>
        <w:pStyle w:val="Bullet1"/>
        <w:numPr>
          <w:ilvl w:val="0"/>
          <w:numId w:val="46"/>
        </w:numPr>
      </w:pPr>
      <w:r w:rsidRPr="005B3E54">
        <w:t>business /small business advice</w:t>
      </w:r>
    </w:p>
    <w:p w:rsidR="00340616" w:rsidRPr="000A271A" w:rsidRDefault="0088371D" w:rsidP="00BA47CE">
      <w:pPr>
        <w:pStyle w:val="Bullet1"/>
        <w:rPr>
          <w:b/>
        </w:rPr>
      </w:pPr>
      <w:r w:rsidRPr="005B3E54">
        <w:t>legal advice</w:t>
      </w:r>
      <w:r w:rsidRPr="00C41ADE">
        <w:rPr>
          <w:rFonts w:cstheme="minorHAnsi"/>
        </w:rPr>
        <w:t>.</w:t>
      </w:r>
    </w:p>
    <w:p w:rsidR="00340616" w:rsidRPr="00B72EE8" w:rsidRDefault="00340616" w:rsidP="00A632E3">
      <w:pPr>
        <w:pStyle w:val="Heading1Numbered"/>
      </w:pPr>
      <w:bookmarkStart w:id="134" w:name="_Toc513637971"/>
      <w:bookmarkStart w:id="135" w:name="_Toc514068303"/>
      <w:bookmarkStart w:id="136" w:name="_Toc513637973"/>
      <w:bookmarkStart w:id="137" w:name="_Toc514068305"/>
      <w:bookmarkStart w:id="138" w:name="_Toc513637977"/>
      <w:bookmarkStart w:id="139" w:name="_Toc514068309"/>
      <w:bookmarkStart w:id="140" w:name="_Toc414983554"/>
      <w:bookmarkStart w:id="141" w:name="_Toc414983971"/>
      <w:bookmarkStart w:id="142" w:name="_Toc414984731"/>
      <w:bookmarkStart w:id="143" w:name="_Toc414984825"/>
      <w:bookmarkStart w:id="144" w:name="_Toc414984929"/>
      <w:bookmarkStart w:id="145" w:name="_Toc414985033"/>
      <w:bookmarkStart w:id="146" w:name="_Toc414985136"/>
      <w:bookmarkStart w:id="147" w:name="_Toc414985238"/>
      <w:bookmarkStart w:id="148" w:name="_Toc467773963"/>
      <w:bookmarkStart w:id="149" w:name="_Toc519083682"/>
      <w:bookmarkStart w:id="150" w:name="_Ref416444108"/>
      <w:bookmarkStart w:id="151" w:name="_Toc42177759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t>The grant s</w:t>
      </w:r>
      <w:r w:rsidRPr="00B72EE8">
        <w:t xml:space="preserve">election </w:t>
      </w:r>
      <w:r>
        <w:t>p</w:t>
      </w:r>
      <w:r w:rsidRPr="00B72EE8">
        <w:t>rocess</w:t>
      </w:r>
      <w:bookmarkEnd w:id="148"/>
      <w:bookmarkEnd w:id="149"/>
    </w:p>
    <w:p w:rsidR="00340616" w:rsidRPr="00A632E3" w:rsidRDefault="00340616" w:rsidP="00340616">
      <w:pPr>
        <w:rPr>
          <w:rFonts w:cstheme="minorHAnsi"/>
        </w:rPr>
      </w:pPr>
      <w:r w:rsidRPr="00A632E3">
        <w:rPr>
          <w:rFonts w:cstheme="minorHAnsi"/>
        </w:rPr>
        <w:t xml:space="preserve">First we will assess your application against the eligibility criteria. </w:t>
      </w:r>
      <w:r w:rsidR="00C41ADE">
        <w:rPr>
          <w:rFonts w:cstheme="minorHAnsi"/>
        </w:rPr>
        <w:t xml:space="preserve"> </w:t>
      </w:r>
      <w:r w:rsidRPr="00A632E3">
        <w:rPr>
          <w:rFonts w:cstheme="minorHAnsi"/>
        </w:rPr>
        <w:t xml:space="preserve">Only eligible applications will move to the next stage. </w:t>
      </w:r>
      <w:r w:rsidR="00C41ADE">
        <w:rPr>
          <w:rFonts w:cstheme="minorHAnsi"/>
        </w:rPr>
        <w:t xml:space="preserve"> </w:t>
      </w:r>
      <w:r w:rsidRPr="00A632E3">
        <w:rPr>
          <w:rFonts w:cstheme="minorHAnsi"/>
        </w:rPr>
        <w:t>Eli</w:t>
      </w:r>
      <w:r w:rsidRPr="00C41ADE">
        <w:rPr>
          <w:rFonts w:cstheme="minorHAnsi"/>
        </w:rPr>
        <w:t xml:space="preserve">gible applications will be considered through a </w:t>
      </w:r>
      <w:r w:rsidRPr="00101FF0">
        <w:rPr>
          <w:rFonts w:cstheme="minorHAnsi"/>
        </w:rPr>
        <w:t>restricted non</w:t>
      </w:r>
      <w:r w:rsidR="008C7240">
        <w:rPr>
          <w:rFonts w:cstheme="minorHAnsi"/>
        </w:rPr>
        <w:noBreakHyphen/>
      </w:r>
      <w:r w:rsidRPr="00C41ADE">
        <w:rPr>
          <w:rFonts w:cstheme="minorHAnsi"/>
        </w:rPr>
        <w:t>competitive process.</w:t>
      </w:r>
    </w:p>
    <w:p w:rsidR="00340616" w:rsidRPr="00A632E3" w:rsidRDefault="00340616" w:rsidP="00101FF0">
      <w:pPr>
        <w:pStyle w:val="Bullet1"/>
        <w:numPr>
          <w:ilvl w:val="0"/>
          <w:numId w:val="0"/>
        </w:numPr>
        <w:rPr>
          <w:rFonts w:cstheme="minorHAnsi"/>
        </w:rPr>
      </w:pPr>
      <w:r w:rsidRPr="00A632E3">
        <w:rPr>
          <w:rFonts w:cstheme="minorHAnsi"/>
        </w:rPr>
        <w:t xml:space="preserve">We will then assess your application against the criteria set out below. Your application will be considered on its merits, based on: </w:t>
      </w:r>
    </w:p>
    <w:p w:rsidR="00340616" w:rsidRPr="00A632E3" w:rsidRDefault="00564C6D" w:rsidP="00A632E3">
      <w:pPr>
        <w:pStyle w:val="Bullet1"/>
      </w:pPr>
      <w:r>
        <w:t>how well it meets the criteria;</w:t>
      </w:r>
    </w:p>
    <w:p w:rsidR="007D6B17" w:rsidRDefault="00340616" w:rsidP="00101FF0">
      <w:pPr>
        <w:pStyle w:val="Bullet1"/>
      </w:pPr>
      <w:r w:rsidRPr="00A632E3">
        <w:t>whether it provides value for money</w:t>
      </w:r>
      <w:r w:rsidR="00564C6D">
        <w:t xml:space="preserve">; and </w:t>
      </w:r>
    </w:p>
    <w:p w:rsidR="00864EFA" w:rsidRDefault="007D6B17" w:rsidP="00101FF0">
      <w:pPr>
        <w:pStyle w:val="Bullet1"/>
      </w:pPr>
      <w:r>
        <w:t>the type of organisation you are and the experience you provide</w:t>
      </w:r>
      <w:r w:rsidR="00340616" w:rsidRPr="00A632E3">
        <w:t>.</w:t>
      </w:r>
    </w:p>
    <w:p w:rsidR="00340616" w:rsidRPr="00B72EE8" w:rsidRDefault="00340616" w:rsidP="00A632E3">
      <w:pPr>
        <w:pStyle w:val="Heading1Numbered"/>
      </w:pPr>
      <w:bookmarkStart w:id="152" w:name="_Toc514068312"/>
      <w:bookmarkStart w:id="153" w:name="_Ref421697890"/>
      <w:bookmarkStart w:id="154" w:name="_Ref421697892"/>
      <w:bookmarkStart w:id="155" w:name="_Toc421777600"/>
      <w:bookmarkStart w:id="156" w:name="_Toc467773964"/>
      <w:bookmarkStart w:id="157" w:name="_Toc519083683"/>
      <w:bookmarkEnd w:id="150"/>
      <w:bookmarkEnd w:id="151"/>
      <w:bookmarkEnd w:id="152"/>
      <w:r>
        <w:t>The a</w:t>
      </w:r>
      <w:r w:rsidRPr="00B72EE8">
        <w:t xml:space="preserve">ssessment </w:t>
      </w:r>
      <w:r>
        <w:t>c</w:t>
      </w:r>
      <w:r w:rsidRPr="00B72EE8">
        <w:t>riteria</w:t>
      </w:r>
      <w:bookmarkEnd w:id="153"/>
      <w:bookmarkEnd w:id="154"/>
      <w:bookmarkEnd w:id="155"/>
      <w:bookmarkEnd w:id="156"/>
      <w:bookmarkEnd w:id="157"/>
    </w:p>
    <w:p w:rsidR="00340616" w:rsidRDefault="00340616" w:rsidP="00340616">
      <w:r w:rsidRPr="00E44E21">
        <w:t xml:space="preserve">You will need to address </w:t>
      </w:r>
      <w:r w:rsidRPr="00101FF0">
        <w:t xml:space="preserve">all of </w:t>
      </w:r>
      <w:r w:rsidRPr="00E44E21">
        <w:t xml:space="preserve">the following assessment criteria in your application. </w:t>
      </w:r>
      <w:r w:rsidR="00564C6D">
        <w:t xml:space="preserve"> </w:t>
      </w:r>
      <w:r w:rsidRPr="00E44E21">
        <w:t xml:space="preserve">The amount of detail and supporting evidence you provide in your application should be relative to the project size, complexity and grant amount requested. </w:t>
      </w:r>
    </w:p>
    <w:p w:rsidR="00E8130F" w:rsidRPr="005B3E54" w:rsidRDefault="00E8130F" w:rsidP="00E8130F">
      <w:pPr>
        <w:spacing w:before="0" w:after="0" w:line="240" w:lineRule="auto"/>
        <w:rPr>
          <w:rFonts w:cstheme="minorHAnsi"/>
          <w:b/>
        </w:rPr>
      </w:pPr>
    </w:p>
    <w:p w:rsidR="00E8130F" w:rsidRPr="005B3E54" w:rsidRDefault="00E8130F" w:rsidP="00D31439">
      <w:pPr>
        <w:spacing w:before="0" w:after="0" w:line="240" w:lineRule="auto"/>
        <w:rPr>
          <w:rFonts w:cstheme="minorHAnsi"/>
          <w:b/>
        </w:rPr>
      </w:pPr>
      <w:r>
        <w:rPr>
          <w:rFonts w:cstheme="minorHAnsi"/>
          <w:b/>
        </w:rPr>
        <w:t>Criterion</w:t>
      </w:r>
      <w:r w:rsidRPr="005B3E54">
        <w:rPr>
          <w:rFonts w:cstheme="minorHAnsi"/>
          <w:b/>
        </w:rPr>
        <w:t xml:space="preserve"> 1: Describe your organisation and its capacity to deliver Financial Counselling </w:t>
      </w:r>
      <w:r w:rsidR="003104E0">
        <w:rPr>
          <w:rFonts w:cstheme="minorHAnsi"/>
          <w:b/>
        </w:rPr>
        <w:t>to Support People Affected by Problem Gambling</w:t>
      </w:r>
      <w:r w:rsidRPr="005B3E54">
        <w:rPr>
          <w:rFonts w:cstheme="minorHAnsi"/>
          <w:b/>
        </w:rPr>
        <w:t xml:space="preserve"> in the target area.</w:t>
      </w:r>
    </w:p>
    <w:p w:rsidR="00E8130F" w:rsidRPr="005B3E54" w:rsidRDefault="00E8130F" w:rsidP="00E8130F">
      <w:pPr>
        <w:spacing w:before="0" w:after="0" w:line="240" w:lineRule="auto"/>
        <w:rPr>
          <w:rFonts w:cstheme="minorHAnsi"/>
          <w:b/>
        </w:rPr>
      </w:pPr>
    </w:p>
    <w:p w:rsidR="00E8130F" w:rsidRPr="005B3E54" w:rsidRDefault="00E8130F" w:rsidP="00E8130F">
      <w:pPr>
        <w:spacing w:before="0" w:after="0" w:line="240" w:lineRule="auto"/>
        <w:rPr>
          <w:rFonts w:asciiTheme="majorHAnsi" w:hAnsiTheme="majorHAnsi" w:cstheme="majorHAnsi"/>
        </w:rPr>
      </w:pPr>
      <w:r w:rsidRPr="005B3E54">
        <w:rPr>
          <w:rFonts w:cstheme="minorHAnsi"/>
        </w:rPr>
        <w:t>Your</w:t>
      </w:r>
      <w:r w:rsidRPr="005B3E54">
        <w:rPr>
          <w:rFonts w:asciiTheme="majorHAnsi" w:hAnsiTheme="majorHAnsi" w:cstheme="majorHAnsi"/>
        </w:rPr>
        <w:t xml:space="preserve"> response </w:t>
      </w:r>
      <w:r w:rsidR="00D77328">
        <w:rPr>
          <w:rFonts w:asciiTheme="majorHAnsi" w:hAnsiTheme="majorHAnsi" w:cstheme="majorHAnsi"/>
        </w:rPr>
        <w:t>must</w:t>
      </w:r>
      <w:r w:rsidR="00D77328" w:rsidRPr="005B3E54">
        <w:rPr>
          <w:rFonts w:asciiTheme="majorHAnsi" w:hAnsiTheme="majorHAnsi" w:cstheme="majorHAnsi"/>
        </w:rPr>
        <w:t xml:space="preserve"> </w:t>
      </w:r>
      <w:r w:rsidRPr="005B3E54">
        <w:rPr>
          <w:rFonts w:asciiTheme="majorHAnsi" w:hAnsiTheme="majorHAnsi" w:cstheme="majorHAnsi"/>
        </w:rPr>
        <w:t>include information about:</w:t>
      </w:r>
    </w:p>
    <w:p w:rsidR="00E8130F" w:rsidRPr="005B3E54" w:rsidRDefault="00E8130F" w:rsidP="00E8130F">
      <w:pPr>
        <w:pStyle w:val="Bullet1"/>
        <w:numPr>
          <w:ilvl w:val="0"/>
          <w:numId w:val="46"/>
        </w:numPr>
      </w:pPr>
      <w:r w:rsidRPr="005B3E54">
        <w:t>your organisation and what services it delivers (ie type of services, outlet locations, hours of operation, proximity to transport, size).</w:t>
      </w:r>
    </w:p>
    <w:p w:rsidR="00E8130F" w:rsidRPr="005B3E54" w:rsidRDefault="00134925" w:rsidP="00134925">
      <w:pPr>
        <w:pStyle w:val="Bullet1"/>
        <w:numPr>
          <w:ilvl w:val="0"/>
          <w:numId w:val="46"/>
        </w:numPr>
      </w:pPr>
      <w:r>
        <w:lastRenderedPageBreak/>
        <w:t xml:space="preserve">the relevant capabilities (experience, skills and qualifications) of staff who are directly and indirectly delivering </w:t>
      </w:r>
      <w:r w:rsidR="0030347F" w:rsidRPr="00134925">
        <w:rPr>
          <w:rFonts w:cstheme="minorHAnsi"/>
        </w:rPr>
        <w:t xml:space="preserve">Financial Counselling to Support People Affected by Problem Gambling </w:t>
      </w:r>
      <w:r w:rsidR="00E8130F">
        <w:t>services</w:t>
      </w:r>
      <w:r w:rsidR="00E8130F" w:rsidRPr="005B3E54">
        <w:t>.</w:t>
      </w:r>
    </w:p>
    <w:p w:rsidR="00E8130F" w:rsidRPr="005B3E54" w:rsidRDefault="00E8130F" w:rsidP="00E8130F">
      <w:pPr>
        <w:pStyle w:val="Bullet1"/>
        <w:numPr>
          <w:ilvl w:val="0"/>
          <w:numId w:val="46"/>
        </w:numPr>
      </w:pPr>
      <w:r w:rsidRPr="005B3E54">
        <w:t xml:space="preserve">development and training </w:t>
      </w:r>
      <w:r>
        <w:t>you will be providing</w:t>
      </w:r>
      <w:r w:rsidRPr="005B3E54">
        <w:t xml:space="preserve"> to staff to ensure they have the necessary skills, qualifications and support to deliver services to people under financial stress. </w:t>
      </w:r>
    </w:p>
    <w:p w:rsidR="00E8130F" w:rsidRPr="00E8130F" w:rsidRDefault="00E8130F" w:rsidP="00101FF0">
      <w:pPr>
        <w:pStyle w:val="Bullet1"/>
        <w:numPr>
          <w:ilvl w:val="0"/>
          <w:numId w:val="0"/>
        </w:numPr>
        <w:spacing w:before="0" w:after="0" w:line="240" w:lineRule="auto"/>
        <w:ind w:left="284"/>
        <w:rPr>
          <w:rFonts w:cstheme="minorHAnsi"/>
          <w:b/>
        </w:rPr>
      </w:pPr>
    </w:p>
    <w:p w:rsidR="00E8130F" w:rsidRPr="005B3E54" w:rsidRDefault="00E8130F" w:rsidP="00E8130F">
      <w:pPr>
        <w:spacing w:before="0" w:after="0" w:line="240" w:lineRule="auto"/>
        <w:rPr>
          <w:rFonts w:cstheme="minorHAnsi"/>
          <w:b/>
        </w:rPr>
      </w:pPr>
      <w:r>
        <w:rPr>
          <w:rFonts w:cstheme="minorHAnsi"/>
          <w:b/>
        </w:rPr>
        <w:t>Criterion</w:t>
      </w:r>
      <w:r w:rsidRPr="005B3E54">
        <w:rPr>
          <w:rFonts w:cstheme="minorHAnsi"/>
          <w:b/>
        </w:rPr>
        <w:t xml:space="preserve"> 2: Explain how your organisation will deliver </w:t>
      </w:r>
      <w:r w:rsidR="0030347F" w:rsidRPr="005B3E54">
        <w:rPr>
          <w:rFonts w:cstheme="minorHAnsi"/>
          <w:b/>
        </w:rPr>
        <w:t xml:space="preserve">Financial Counselling </w:t>
      </w:r>
      <w:r w:rsidR="0030347F">
        <w:rPr>
          <w:rFonts w:cstheme="minorHAnsi"/>
          <w:b/>
        </w:rPr>
        <w:t>to Support People Affected by Problem Gambling</w:t>
      </w:r>
      <w:r w:rsidR="0030347F" w:rsidRPr="005B3E54">
        <w:rPr>
          <w:rFonts w:cstheme="minorHAnsi"/>
          <w:b/>
        </w:rPr>
        <w:t xml:space="preserve"> </w:t>
      </w:r>
      <w:r w:rsidRPr="005B3E54">
        <w:rPr>
          <w:rFonts w:cstheme="minorHAnsi"/>
          <w:b/>
        </w:rPr>
        <w:t xml:space="preserve">services. </w:t>
      </w:r>
    </w:p>
    <w:p w:rsidR="00E8130F" w:rsidRPr="005B3E54" w:rsidRDefault="00E8130F" w:rsidP="00E8130F">
      <w:pPr>
        <w:spacing w:before="0" w:after="0" w:line="240" w:lineRule="auto"/>
        <w:rPr>
          <w:rFonts w:cstheme="minorHAnsi"/>
          <w:b/>
        </w:rPr>
      </w:pPr>
    </w:p>
    <w:p w:rsidR="00E8130F" w:rsidRPr="005B3E54" w:rsidRDefault="00E8130F" w:rsidP="00E8130F">
      <w:pPr>
        <w:spacing w:before="0" w:after="0" w:line="240" w:lineRule="auto"/>
        <w:rPr>
          <w:rFonts w:cstheme="minorHAnsi"/>
        </w:rPr>
      </w:pPr>
      <w:r w:rsidRPr="005B3E54">
        <w:rPr>
          <w:rFonts w:cstheme="minorHAnsi"/>
        </w:rPr>
        <w:t xml:space="preserve">Your response </w:t>
      </w:r>
      <w:r>
        <w:rPr>
          <w:rFonts w:cstheme="minorHAnsi"/>
        </w:rPr>
        <w:t>must</w:t>
      </w:r>
      <w:r w:rsidRPr="005B3E54">
        <w:rPr>
          <w:rFonts w:cstheme="minorHAnsi"/>
        </w:rPr>
        <w:t xml:space="preserve"> include information about how your organisation will:</w:t>
      </w:r>
    </w:p>
    <w:p w:rsidR="00E8130F" w:rsidRPr="005B3E54" w:rsidRDefault="00E8130F" w:rsidP="0030347F">
      <w:pPr>
        <w:pStyle w:val="Bullet1"/>
        <w:numPr>
          <w:ilvl w:val="0"/>
          <w:numId w:val="46"/>
        </w:numPr>
      </w:pPr>
      <w:r w:rsidRPr="005B3E54">
        <w:t>assess clients to determine they are eligible (see eligibility information under 1.4) to receive se</w:t>
      </w:r>
      <w:r w:rsidRPr="0030347F">
        <w:t xml:space="preserve">rvices under </w:t>
      </w:r>
      <w:r w:rsidR="0030347F" w:rsidRPr="00101FF0">
        <w:rPr>
          <w:rFonts w:cstheme="minorHAnsi"/>
        </w:rPr>
        <w:t>Financial Counselling to Support People Affected by Problem Gambling</w:t>
      </w:r>
    </w:p>
    <w:p w:rsidR="00E8130F" w:rsidRPr="006250DF" w:rsidRDefault="00E8130F" w:rsidP="00E8130F">
      <w:pPr>
        <w:pStyle w:val="Bullet1"/>
        <w:numPr>
          <w:ilvl w:val="0"/>
          <w:numId w:val="46"/>
        </w:numPr>
      </w:pPr>
      <w:r w:rsidRPr="006250DF">
        <w:t>assist clients to address their financial problems, make informed choices and buil</w:t>
      </w:r>
      <w:r w:rsidR="00B50BFA">
        <w:t>d longer</w:t>
      </w:r>
      <w:r w:rsidR="00B50BFA">
        <w:noBreakHyphen/>
      </w:r>
      <w:r w:rsidRPr="006250DF">
        <w:t>term capability to budget and manage their money.</w:t>
      </w:r>
    </w:p>
    <w:p w:rsidR="00E8130F" w:rsidRPr="005B3E54" w:rsidRDefault="00E8130F" w:rsidP="00E8130F">
      <w:pPr>
        <w:spacing w:before="0" w:after="0" w:line="240" w:lineRule="auto"/>
        <w:rPr>
          <w:rFonts w:cstheme="minorHAnsi"/>
          <w:b/>
        </w:rPr>
      </w:pPr>
    </w:p>
    <w:p w:rsidR="00E8130F" w:rsidRPr="005B3E54" w:rsidRDefault="00E8130F" w:rsidP="00E8130F">
      <w:pPr>
        <w:spacing w:before="0" w:after="0" w:line="240" w:lineRule="auto"/>
        <w:rPr>
          <w:rFonts w:cstheme="minorHAnsi"/>
          <w:b/>
        </w:rPr>
      </w:pPr>
      <w:r w:rsidRPr="005B3E54">
        <w:rPr>
          <w:rFonts w:cstheme="minorHAnsi"/>
          <w:b/>
        </w:rPr>
        <w:t>Criteri</w:t>
      </w:r>
      <w:r>
        <w:rPr>
          <w:rFonts w:cstheme="minorHAnsi"/>
          <w:b/>
        </w:rPr>
        <w:t>on</w:t>
      </w:r>
      <w:r w:rsidRPr="005B3E54">
        <w:rPr>
          <w:rFonts w:cstheme="minorHAnsi"/>
          <w:b/>
        </w:rPr>
        <w:t xml:space="preserve"> 3: Explain how your organisation will work to recognise and support vulnerable people with complex needs (including collaboratively with other services).</w:t>
      </w:r>
    </w:p>
    <w:p w:rsidR="00E8130F" w:rsidRPr="005B3E54" w:rsidRDefault="00E8130F" w:rsidP="00E8130F">
      <w:pPr>
        <w:rPr>
          <w:rFonts w:cstheme="minorHAnsi"/>
        </w:rPr>
      </w:pPr>
      <w:r w:rsidRPr="005B3E54">
        <w:rPr>
          <w:rFonts w:cstheme="minorHAnsi"/>
        </w:rPr>
        <w:t xml:space="preserve">Your response </w:t>
      </w:r>
      <w:r>
        <w:rPr>
          <w:rFonts w:cstheme="minorHAnsi"/>
        </w:rPr>
        <w:t>must</w:t>
      </w:r>
      <w:r w:rsidRPr="005B3E54">
        <w:rPr>
          <w:rFonts w:cstheme="minorHAnsi"/>
        </w:rPr>
        <w:t xml:space="preserve"> include information about how your organisation will: </w:t>
      </w:r>
    </w:p>
    <w:p w:rsidR="00E8130F" w:rsidRPr="005B3E54" w:rsidRDefault="00E8130F" w:rsidP="00E8130F">
      <w:pPr>
        <w:pStyle w:val="Bullet1"/>
        <w:numPr>
          <w:ilvl w:val="0"/>
          <w:numId w:val="46"/>
        </w:numPr>
      </w:pPr>
      <w:r w:rsidRPr="005B3E54">
        <w:t>maintain or develop strong collaborative relationships with local support services (ie family relationship services, job active providers, refugee services, domestic violence services, mental health, housing programs and other financial wellbeing and capability services).</w:t>
      </w:r>
    </w:p>
    <w:p w:rsidR="00E8130F" w:rsidRPr="005B3E54" w:rsidRDefault="00E8130F" w:rsidP="00E8130F">
      <w:pPr>
        <w:pStyle w:val="Bullet1"/>
        <w:numPr>
          <w:ilvl w:val="0"/>
          <w:numId w:val="46"/>
        </w:numPr>
      </w:pPr>
      <w:r w:rsidRPr="005B3E54">
        <w:t>provide effective referral pathways internally and/or with local support services to address underlying causes of financial stress (ie mental health, housing, substance abuse).</w:t>
      </w:r>
    </w:p>
    <w:p w:rsidR="00E8130F" w:rsidRPr="00DB0937" w:rsidRDefault="00E8130F" w:rsidP="00E8130F">
      <w:r w:rsidRPr="00E44E21">
        <w:t xml:space="preserve">All assessment criteria are given equal weighting. </w:t>
      </w:r>
    </w:p>
    <w:p w:rsidR="00E8130F" w:rsidRPr="00B72EE8" w:rsidRDefault="00E8130F" w:rsidP="00E8130F">
      <w:r w:rsidRPr="00E44E21">
        <w:t>The application form includes word limits</w:t>
      </w:r>
      <w:r>
        <w:t xml:space="preserve"> – up to 900 words per criterion</w:t>
      </w:r>
      <w:r w:rsidRPr="00E44E21">
        <w:t>.</w:t>
      </w:r>
      <w:r>
        <w:t xml:space="preserve"> The application form will not accept words beyond this limit</w:t>
      </w:r>
      <w:r w:rsidR="001310EE">
        <w:t>.</w:t>
      </w:r>
    </w:p>
    <w:p w:rsidR="00340616" w:rsidRPr="00B72EE8" w:rsidRDefault="00340616" w:rsidP="00A632E3">
      <w:pPr>
        <w:pStyle w:val="Heading1Numbered"/>
      </w:pPr>
      <w:bookmarkStart w:id="158" w:name="_Toc421777611"/>
      <w:bookmarkStart w:id="159" w:name="_Toc467773965"/>
      <w:bookmarkStart w:id="160" w:name="_Toc519083684"/>
      <w:bookmarkStart w:id="161" w:name="_Toc421777601"/>
      <w:r>
        <w:t>The grant application p</w:t>
      </w:r>
      <w:r w:rsidRPr="00B72EE8">
        <w:t>rocess</w:t>
      </w:r>
      <w:bookmarkEnd w:id="158"/>
      <w:bookmarkEnd w:id="159"/>
      <w:bookmarkEnd w:id="160"/>
    </w:p>
    <w:p w:rsidR="00340616" w:rsidRPr="009D325B" w:rsidRDefault="00340616" w:rsidP="003717CD">
      <w:pPr>
        <w:pStyle w:val="Heading2Numbered"/>
      </w:pPr>
      <w:bookmarkStart w:id="162" w:name="_Toc421777612"/>
      <w:bookmarkStart w:id="163" w:name="_Toc467773966"/>
      <w:bookmarkStart w:id="164" w:name="_Toc519083685"/>
      <w:r w:rsidRPr="009D325B">
        <w:t>Overview of application process</w:t>
      </w:r>
      <w:bookmarkEnd w:id="162"/>
      <w:bookmarkEnd w:id="163"/>
      <w:bookmarkEnd w:id="164"/>
    </w:p>
    <w:p w:rsidR="00340616" w:rsidRDefault="00340616" w:rsidP="00340616">
      <w:r>
        <w:t>You</w:t>
      </w:r>
      <w:r w:rsidRPr="00B72EE8">
        <w:t xml:space="preserve"> </w:t>
      </w:r>
      <w:r>
        <w:t>must</w:t>
      </w:r>
      <w:r w:rsidRPr="00B72EE8">
        <w:t xml:space="preserve"> read these grant guidelines, </w:t>
      </w:r>
      <w:r w:rsidRPr="0028767B">
        <w:t>the application form</w:t>
      </w:r>
      <w:r>
        <w:rPr>
          <w:b/>
        </w:rPr>
        <w:t>,</w:t>
      </w:r>
      <w:r w:rsidRPr="00B72EE8">
        <w:t xml:space="preserve"> </w:t>
      </w:r>
      <w:r w:rsidRPr="0028767B">
        <w:t xml:space="preserve">the </w:t>
      </w:r>
      <w:r w:rsidR="00043B4D" w:rsidRPr="00101FF0">
        <w:t>Questions and Answers</w:t>
      </w:r>
      <w:r w:rsidR="003104E0">
        <w:t xml:space="preserve"> document</w:t>
      </w:r>
      <w:r>
        <w:rPr>
          <w:b/>
        </w:rPr>
        <w:t>,</w:t>
      </w:r>
      <w:r w:rsidRPr="00B72EE8">
        <w:t xml:space="preserve"> and the </w:t>
      </w:r>
      <w:r w:rsidRPr="0028767B">
        <w:t xml:space="preserve">draft grant agreement </w:t>
      </w:r>
      <w:r w:rsidR="00FF04DE">
        <w:t xml:space="preserve">terms and conditions </w:t>
      </w:r>
      <w:r>
        <w:t>before you</w:t>
      </w:r>
      <w:r w:rsidRPr="00B72EE8">
        <w:t xml:space="preserve"> submit an application. </w:t>
      </w:r>
    </w:p>
    <w:p w:rsidR="003104E0" w:rsidRPr="00FE7AE6" w:rsidRDefault="003104E0" w:rsidP="003104E0">
      <w:r w:rsidRPr="00101FF0">
        <w:t>Please only provide one application per organisation</w:t>
      </w:r>
      <w:r w:rsidR="001D5AF1">
        <w:t xml:space="preserve"> in this grant opportunity,</w:t>
      </w:r>
      <w:r w:rsidRPr="00101FF0">
        <w:t xml:space="preserve"> regardless of the number of areas you </w:t>
      </w:r>
      <w:r w:rsidR="00CD4C5E">
        <w:t xml:space="preserve">are </w:t>
      </w:r>
      <w:r w:rsidRPr="00101FF0">
        <w:t>apply</w:t>
      </w:r>
      <w:r w:rsidR="00CD4C5E">
        <w:t>ing</w:t>
      </w:r>
      <w:r w:rsidRPr="00101FF0">
        <w:t xml:space="preserve"> for. Please ensure you select all relevant locations relating to the areas you are applying for</w:t>
      </w:r>
      <w:r w:rsidR="000C00B7">
        <w:t xml:space="preserve">. </w:t>
      </w:r>
    </w:p>
    <w:p w:rsidR="006C2B8C" w:rsidRPr="00D31439" w:rsidRDefault="00DD622B" w:rsidP="003104E0">
      <w:r w:rsidRPr="00101FF0">
        <w:t xml:space="preserve">Should an </w:t>
      </w:r>
      <w:r w:rsidR="00AB3CD5" w:rsidRPr="00101FF0">
        <w:t>a</w:t>
      </w:r>
      <w:r w:rsidRPr="00101FF0">
        <w:t xml:space="preserve">pplicant submit more than </w:t>
      </w:r>
      <w:r w:rsidR="001930E4" w:rsidRPr="00101FF0">
        <w:t xml:space="preserve">one </w:t>
      </w:r>
      <w:r w:rsidR="00AB3CD5" w:rsidRPr="00101FF0">
        <w:t>a</w:t>
      </w:r>
      <w:r w:rsidRPr="00101FF0">
        <w:t xml:space="preserve">pplication, only the latest on time </w:t>
      </w:r>
      <w:r w:rsidR="001930E4" w:rsidRPr="00101FF0">
        <w:t>a</w:t>
      </w:r>
      <w:r w:rsidRPr="00101FF0">
        <w:t xml:space="preserve">pplication received will be progressed. </w:t>
      </w:r>
    </w:p>
    <w:p w:rsidR="00340616" w:rsidRDefault="00340616" w:rsidP="00340616">
      <w:r>
        <w:lastRenderedPageBreak/>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F6159">
        <w:t xml:space="preserve">  </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3717CD">
      <w:pPr>
        <w:pStyle w:val="Heading2Numbered"/>
      </w:pPr>
      <w:bookmarkStart w:id="165" w:name="_Toc467773967"/>
      <w:bookmarkStart w:id="166" w:name="_Toc519083686"/>
      <w:bookmarkStart w:id="167" w:name="_Toc421777613"/>
      <w:bookmarkStart w:id="168" w:name="_Ref421787098"/>
      <w:bookmarkStart w:id="169" w:name="_Ref422127559"/>
      <w:bookmarkStart w:id="170" w:name="_Ref422128505"/>
      <w:r>
        <w:t>Application p</w:t>
      </w:r>
      <w:r w:rsidRPr="00B72EE8">
        <w:t xml:space="preserve">rocess </w:t>
      </w:r>
      <w:r>
        <w:t>t</w:t>
      </w:r>
      <w:r w:rsidRPr="00B72EE8">
        <w:t>iming</w:t>
      </w:r>
      <w:bookmarkEnd w:id="165"/>
      <w:bookmarkEnd w:id="166"/>
      <w:r w:rsidRPr="00B72EE8">
        <w:t xml:space="preserve"> </w:t>
      </w:r>
      <w:bookmarkEnd w:id="167"/>
      <w:bookmarkEnd w:id="168"/>
      <w:bookmarkEnd w:id="169"/>
      <w:bookmarkEnd w:id="170"/>
    </w:p>
    <w:p w:rsidR="004F6159" w:rsidRDefault="006338CC" w:rsidP="006338CC">
      <w:r w:rsidRPr="0089786A">
        <w:t xml:space="preserve">Submit your application by the closing time and date below. </w:t>
      </w:r>
    </w:p>
    <w:p w:rsidR="006338CC" w:rsidRPr="0089786A" w:rsidRDefault="006338CC" w:rsidP="006338CC">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89786A" w:rsidRDefault="006338CC" w:rsidP="006338CC">
      <w:pPr>
        <w:numPr>
          <w:ilvl w:val="0"/>
          <w:numId w:val="18"/>
        </w:numPr>
        <w:suppressAutoHyphens w:val="0"/>
        <w:spacing w:before="0" w:after="0" w:line="240" w:lineRule="auto"/>
        <w:ind w:left="714" w:hanging="357"/>
      </w:pPr>
      <w:r w:rsidRPr="0089786A">
        <w:t>Community Gra</w:t>
      </w:r>
      <w:r w:rsidR="004F1C5D">
        <w:t>nts Hub infrastructure failures</w:t>
      </w:r>
    </w:p>
    <w:p w:rsidR="006338CC" w:rsidRPr="0089786A" w:rsidRDefault="004F1C5D" w:rsidP="006338CC">
      <w:pPr>
        <w:numPr>
          <w:ilvl w:val="0"/>
          <w:numId w:val="18"/>
        </w:numPr>
        <w:suppressAutoHyphens w:val="0"/>
        <w:spacing w:before="0" w:after="0" w:line="240" w:lineRule="auto"/>
        <w:ind w:left="714" w:hanging="357"/>
      </w:pPr>
      <w:r>
        <w:t>natural disasters</w:t>
      </w:r>
    </w:p>
    <w:p w:rsidR="006338CC" w:rsidRPr="0089786A" w:rsidRDefault="006338CC" w:rsidP="006338CC">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rsidR="006338CC" w:rsidRPr="0089786A" w:rsidRDefault="006338CC" w:rsidP="006338CC">
      <w:pPr>
        <w:numPr>
          <w:ilvl w:val="0"/>
          <w:numId w:val="18"/>
        </w:numPr>
        <w:suppressAutoHyphens w:val="0"/>
        <w:spacing w:before="0" w:after="0" w:line="240" w:lineRule="auto"/>
        <w:ind w:left="714" w:hanging="357"/>
      </w:pPr>
      <w:r w:rsidRPr="0089786A">
        <w:t>death or disability of key personnel.</w:t>
      </w:r>
    </w:p>
    <w:p w:rsidR="006338CC" w:rsidRPr="00E51BD6" w:rsidRDefault="006338CC" w:rsidP="006338CC">
      <w:r w:rsidRPr="0089786A">
        <w:t xml:space="preserve">Information on the Community Grants Hub </w:t>
      </w:r>
      <w:hyperlink r:id="rId15" w:tooltip="late application policy" w:history="1">
        <w:r w:rsidRPr="0089786A">
          <w:rPr>
            <w:rStyle w:val="Hyperlink"/>
          </w:rPr>
          <w:t>late application policy</w:t>
        </w:r>
      </w:hyperlink>
      <w:r w:rsidRPr="0089786A">
        <w:t xml:space="preserve"> is available on the </w:t>
      </w:r>
      <w:hyperlink r:id="rId16" w:tooltip="late application policy" w:history="1">
        <w:r w:rsidRPr="0089786A">
          <w:rPr>
            <w:rStyle w:val="Hyperlink"/>
          </w:rPr>
          <w:t>Community Grants Hub</w:t>
        </w:r>
      </w:hyperlink>
      <w:r w:rsidRPr="0089786A">
        <w:t xml:space="preserve"> website.</w:t>
      </w:r>
    </w:p>
    <w:p w:rsidR="00340616"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593AF5">
        <w:t>1 January 2019</w:t>
      </w:r>
      <w:r w:rsidRPr="00A632E3">
        <w:rPr>
          <w:color w:val="745B00" w:themeColor="accent3" w:themeShade="80"/>
        </w:rPr>
        <w:t xml:space="preserve"> </w:t>
      </w:r>
      <w:r w:rsidRPr="00B72EE8">
        <w:t xml:space="preserve">and the expected </w:t>
      </w:r>
      <w:r>
        <w:t>completion</w:t>
      </w:r>
      <w:r w:rsidRPr="00B72EE8">
        <w:t xml:space="preserve"> date is</w:t>
      </w:r>
      <w:r w:rsidR="00593AF5">
        <w:t xml:space="preserve"> 30 June 2020.</w:t>
      </w:r>
      <w:r w:rsidRPr="00A632E3">
        <w:rPr>
          <w:b/>
          <w:color w:val="745B00" w:themeColor="accent3" w:themeShade="80"/>
        </w:rPr>
        <w:t xml:space="preserve"> </w:t>
      </w:r>
      <w:r w:rsidR="00593AF5">
        <w:rPr>
          <w:b/>
          <w:color w:val="745B00" w:themeColor="accent3" w:themeShade="80"/>
        </w:rPr>
        <w:t xml:space="preserve"> </w:t>
      </w:r>
      <w:r>
        <w:t xml:space="preserve">You must spend the grant by </w:t>
      </w:r>
      <w:r w:rsidRPr="00B72EE8">
        <w:t>the end date</w:t>
      </w:r>
      <w:r w:rsidR="00564C6D">
        <w:t>, any unspent funding must be returned to the Commonwealth</w:t>
      </w:r>
      <w:r w:rsidRPr="00B72EE8">
        <w:t>.</w:t>
      </w:r>
    </w:p>
    <w:p w:rsidR="0054078D" w:rsidRDefault="0054078D" w:rsidP="0054078D">
      <w:pPr>
        <w:pStyle w:val="Caption"/>
        <w:keepNext/>
      </w:pPr>
      <w:bookmarkStart w:id="171" w:name="_Toc467773968"/>
      <w:r w:rsidRPr="0054078D">
        <w:rPr>
          <w:bCs/>
          <w:iCs w:val="0"/>
        </w:rPr>
        <w:t>Table 1: Expected timing for this grant opportunity</w:t>
      </w:r>
      <w:bookmarkEnd w:id="171"/>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AC6D7B" w:rsidRPr="00AC6D7B" w:rsidRDefault="00DC66AE" w:rsidP="00AC6D7B">
            <w:pPr>
              <w:pStyle w:val="TableText"/>
              <w:rPr>
                <w:rFonts w:eastAsia="Arial" w:cs="Times New Roman"/>
              </w:rPr>
            </w:pPr>
            <w:r w:rsidRPr="00AC6D7B">
              <w:rPr>
                <w:rFonts w:eastAsia="Arial" w:cs="Times New Roman"/>
              </w:rPr>
              <w:t xml:space="preserve">Open: </w:t>
            </w:r>
            <w:r w:rsidR="00AC6D7B" w:rsidRPr="00AC6D7B">
              <w:rPr>
                <w:rFonts w:eastAsia="Arial" w:cs="Times New Roman"/>
              </w:rPr>
              <w:t>12 July 2018</w:t>
            </w:r>
          </w:p>
          <w:p w:rsidR="0054078D" w:rsidRPr="0054078D" w:rsidRDefault="00DC66AE">
            <w:pPr>
              <w:pStyle w:val="TableText"/>
            </w:pPr>
            <w:r w:rsidRPr="00AC6D7B">
              <w:rPr>
                <w:rFonts w:eastAsia="Arial" w:cs="Times New Roman"/>
              </w:rPr>
              <w:t xml:space="preserve">Close: </w:t>
            </w:r>
            <w:r w:rsidR="00AC6D7B">
              <w:rPr>
                <w:rFonts w:eastAsia="Arial" w:cs="Times New Roman"/>
              </w:rPr>
              <w:t>2pm AEST 8 August 2018</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54078D" w:rsidRDefault="0054078D" w:rsidP="00D31439">
            <w:pPr>
              <w:pStyle w:val="TableText"/>
            </w:pPr>
            <w:r w:rsidRPr="0054078D">
              <w:t>4 weeks</w:t>
            </w:r>
          </w:p>
        </w:tc>
      </w:tr>
      <w:tr w:rsidR="0054078D" w:rsidTr="0054078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54078D" w:rsidRDefault="0054078D" w:rsidP="00D31439">
            <w:pPr>
              <w:pStyle w:val="TableText"/>
            </w:pPr>
            <w:r w:rsidRPr="0054078D">
              <w:t>4 weeks</w:t>
            </w:r>
          </w:p>
        </w:tc>
      </w:tr>
      <w:tr w:rsidR="0054078D" w:rsidTr="0054078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54078D" w:rsidRDefault="00DC66AE">
            <w:pPr>
              <w:pStyle w:val="TableText"/>
            </w:pPr>
            <w:r>
              <w:t>Up to 6</w:t>
            </w:r>
            <w:r w:rsidR="0054078D" w:rsidRPr="0054078D">
              <w:t xml:space="preserve"> weeks </w:t>
            </w:r>
          </w:p>
        </w:tc>
      </w:tr>
      <w:tr w:rsidR="0054078D" w:rsidTr="0054078D">
        <w:tc>
          <w:tcPr>
            <w:tcW w:w="5387" w:type="dxa"/>
          </w:tcPr>
          <w:p w:rsidR="0054078D" w:rsidRPr="00B72EE8" w:rsidRDefault="0054078D" w:rsidP="0054078D">
            <w:pPr>
              <w:pStyle w:val="TableText"/>
            </w:pPr>
            <w:r w:rsidRPr="00B72EE8">
              <w:t>Notification to unsuccessful applicants</w:t>
            </w:r>
          </w:p>
        </w:tc>
        <w:tc>
          <w:tcPr>
            <w:tcW w:w="3402" w:type="dxa"/>
          </w:tcPr>
          <w:p w:rsidR="0054078D" w:rsidRPr="0054078D" w:rsidRDefault="0054078D" w:rsidP="00D31439">
            <w:pPr>
              <w:pStyle w:val="TableText"/>
            </w:pPr>
            <w:r w:rsidRPr="0054078D">
              <w:t>2 weeks</w:t>
            </w:r>
          </w:p>
        </w:tc>
      </w:tr>
      <w:tr w:rsidR="0054078D" w:rsidTr="0054078D">
        <w:tc>
          <w:tcPr>
            <w:tcW w:w="5387" w:type="dxa"/>
          </w:tcPr>
          <w:p w:rsidR="0054078D" w:rsidRDefault="0054078D" w:rsidP="0054078D">
            <w:pPr>
              <w:pStyle w:val="TableText"/>
            </w:pPr>
            <w:r>
              <w:t>Activity commences</w:t>
            </w:r>
          </w:p>
        </w:tc>
        <w:tc>
          <w:tcPr>
            <w:tcW w:w="3402" w:type="dxa"/>
          </w:tcPr>
          <w:p w:rsidR="0054078D" w:rsidRPr="0054078D" w:rsidRDefault="00101FF0" w:rsidP="00564C6D">
            <w:pPr>
              <w:pStyle w:val="TableText"/>
            </w:pPr>
            <w:r>
              <w:t>1 January 201</w:t>
            </w:r>
            <w:r w:rsidR="00564C6D">
              <w:t>9</w:t>
            </w:r>
          </w:p>
        </w:tc>
      </w:tr>
      <w:tr w:rsidR="00EC15DD" w:rsidRPr="00EC15DD"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54078D" w:rsidRPr="00EC15DD" w:rsidRDefault="00BA7BFB" w:rsidP="0054078D">
            <w:pPr>
              <w:pStyle w:val="TableText"/>
              <w:rPr>
                <w:b/>
                <w:color w:val="FFFFFF" w:themeColor="background1"/>
              </w:rPr>
            </w:pPr>
            <w:r w:rsidRPr="00EC15DD">
              <w:rPr>
                <w:b/>
                <w:color w:val="FFFFFF" w:themeColor="background1"/>
              </w:rPr>
              <w:t>E</w:t>
            </w:r>
            <w:r w:rsidR="006858D0" w:rsidRPr="00EC15DD">
              <w:rPr>
                <w:b/>
                <w:color w:val="FFFFFF" w:themeColor="background1"/>
              </w:rPr>
              <w:t>nd date</w:t>
            </w:r>
          </w:p>
        </w:tc>
        <w:tc>
          <w:tcPr>
            <w:tcW w:w="3402" w:type="dxa"/>
          </w:tcPr>
          <w:p w:rsidR="0054078D" w:rsidRPr="00EC15DD" w:rsidRDefault="006858D0" w:rsidP="00564C6D">
            <w:pPr>
              <w:pStyle w:val="TableText"/>
              <w:rPr>
                <w:b/>
                <w:color w:val="FFFFFF" w:themeColor="background1"/>
              </w:rPr>
            </w:pPr>
            <w:r w:rsidRPr="00EC15DD">
              <w:rPr>
                <w:b/>
                <w:color w:val="FFFFFF" w:themeColor="background1"/>
              </w:rPr>
              <w:t>30 June 20</w:t>
            </w:r>
            <w:r w:rsidR="00564C6D" w:rsidRPr="00EC15DD">
              <w:rPr>
                <w:b/>
                <w:color w:val="FFFFFF" w:themeColor="background1"/>
              </w:rPr>
              <w:t>20</w:t>
            </w:r>
          </w:p>
        </w:tc>
      </w:tr>
    </w:tbl>
    <w:p w:rsidR="00E95846" w:rsidRDefault="00E95846" w:rsidP="00E95846">
      <w:pPr>
        <w:rPr>
          <w:rStyle w:val="BookTitle"/>
          <w:i w:val="0"/>
          <w:iCs w:val="0"/>
          <w:smallCaps w:val="0"/>
        </w:rPr>
      </w:pPr>
      <w:bookmarkStart w:id="172" w:name="_Toc421777614"/>
      <w:bookmarkStart w:id="173" w:name="_Toc433641169"/>
      <w:bookmarkStart w:id="174" w:name="_Toc467773969"/>
    </w:p>
    <w:p w:rsidR="00340616" w:rsidRPr="00B72EE8" w:rsidRDefault="00340616" w:rsidP="003717CD">
      <w:pPr>
        <w:pStyle w:val="Heading2Numbered"/>
      </w:pPr>
      <w:bookmarkStart w:id="175" w:name="_Toc519083687"/>
      <w:r>
        <w:lastRenderedPageBreak/>
        <w:t>Completing the grant a</w:t>
      </w:r>
      <w:r w:rsidRPr="00B72EE8">
        <w:t>pplication</w:t>
      </w:r>
      <w:bookmarkEnd w:id="172"/>
      <w:bookmarkEnd w:id="173"/>
      <w:bookmarkEnd w:id="174"/>
      <w:bookmarkEnd w:id="175"/>
    </w:p>
    <w:p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7" w:history="1">
        <w:r w:rsidR="00031305" w:rsidRPr="00A92A2E">
          <w:rPr>
            <w:rStyle w:val="Hyperlink"/>
            <w:rFonts w:cstheme="minorBidi"/>
          </w:rPr>
          <w:t>GrantConnect</w:t>
        </w:r>
      </w:hyperlink>
      <w:r w:rsidR="00031305">
        <w:t xml:space="preserve"> </w:t>
      </w:r>
      <w:r w:rsidR="00031305">
        <w:rPr>
          <w:rStyle w:val="Hyperlink"/>
          <w:rFonts w:cstheme="minorBidi"/>
          <w:u w:val="none"/>
        </w:rPr>
        <w:t xml:space="preserve">website.  The </w:t>
      </w:r>
      <w:r w:rsidR="00B50215">
        <w:rPr>
          <w:rStyle w:val="Hyperlink"/>
          <w:rFonts w:cstheme="minorBidi"/>
          <w:u w:val="none"/>
        </w:rPr>
        <w:t>a</w:t>
      </w:r>
      <w:r w:rsidR="00031305">
        <w:rPr>
          <w:rStyle w:val="Hyperlink"/>
          <w:rFonts w:cstheme="minorBidi"/>
          <w:u w:val="none"/>
        </w:rPr>
        <w:t xml:space="preserve">pplication </w:t>
      </w:r>
      <w:r w:rsidR="00B50215">
        <w:rPr>
          <w:rStyle w:val="Hyperlink"/>
          <w:rFonts w:cstheme="minorBidi"/>
          <w:u w:val="none"/>
        </w:rPr>
        <w:t>f</w:t>
      </w:r>
      <w:r w:rsidR="00031305">
        <w:rPr>
          <w:rStyle w:val="Hyperlink"/>
          <w:rFonts w:cstheme="minorBidi"/>
          <w:u w:val="none"/>
        </w:rPr>
        <w:t xml:space="preserve">orm can only be accessed </w:t>
      </w:r>
      <w:r w:rsidR="00A92A2E">
        <w:t xml:space="preserve">by invitees </w:t>
      </w:r>
      <w:r w:rsidR="00031305">
        <w:t xml:space="preserve">for this grant opportunity.  The </w:t>
      </w:r>
      <w:r w:rsidRPr="00103A95">
        <w:t xml:space="preserve">application form includes help information. </w:t>
      </w:r>
    </w:p>
    <w:p w:rsidR="00984B3C" w:rsidRPr="004475DB" w:rsidRDefault="00984B3C" w:rsidP="00984B3C">
      <w:r w:rsidRPr="004475DB">
        <w:t xml:space="preserve">This is an online application form that you must submit electronically. </w:t>
      </w:r>
      <w:r w:rsidR="00D31439">
        <w:t xml:space="preserve"> </w:t>
      </w:r>
      <w:r w:rsidRPr="004475DB">
        <w:t xml:space="preserve">If you have any technical difficulties please contact 1800 020 283 or email </w:t>
      </w:r>
      <w:hyperlink r:id="rId18" w:history="1">
        <w:r w:rsidRPr="004475DB">
          <w:rPr>
            <w:rStyle w:val="Hyperlink"/>
          </w:rPr>
          <w:t>support@communitygrants.gov.au</w:t>
        </w:r>
      </w:hyperlink>
      <w:r w:rsidRPr="004475DB">
        <w:t>.</w:t>
      </w:r>
    </w:p>
    <w:p w:rsidR="00984B3C" w:rsidRPr="004475DB" w:rsidRDefault="00984B3C" w:rsidP="00984B3C">
      <w:r w:rsidRPr="004475DB">
        <w:t xml:space="preserve">The </w:t>
      </w:r>
      <w:r w:rsidRPr="00101FF0">
        <w:rPr>
          <w:rStyle w:val="highlightedtextChar"/>
          <w:b w:val="0"/>
          <w:color w:val="auto"/>
        </w:rPr>
        <w:t>Community Grants Hub</w:t>
      </w:r>
      <w:r w:rsidRPr="0053097A">
        <w:t xml:space="preserve"> will not provide application forms or accep</w:t>
      </w:r>
      <w:r w:rsidRPr="00365CD4">
        <w:t xml:space="preserve">t applications for this </w:t>
      </w:r>
      <w:r w:rsidRPr="004475DB">
        <w:t xml:space="preserve">grant opportunity by fax or mail. </w:t>
      </w:r>
    </w:p>
    <w:p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8F26BF">
        <w:t>grant opportunity g</w:t>
      </w:r>
      <w:r w:rsidRPr="004475DB">
        <w:t>uidelines.</w:t>
      </w:r>
    </w:p>
    <w:p w:rsidR="00065224" w:rsidRDefault="003A4403" w:rsidP="003A4403">
      <w:r w:rsidRPr="004475DB">
        <w:t xml:space="preserve">If you find a mistake in your application after it has been submitted, you should contact the Community Grants Hub by phone on 1800 020 283 or by email at </w:t>
      </w:r>
      <w:hyperlink r:id="rId19" w:history="1">
        <w:r w:rsidRPr="004475DB">
          <w:rPr>
            <w:rStyle w:val="Hyperlink"/>
          </w:rPr>
          <w:t>support@communitygrants.gov.au</w:t>
        </w:r>
      </w:hyperlink>
      <w:r w:rsidRPr="004475DB">
        <w:t xml:space="preserve"> straight away. </w:t>
      </w:r>
    </w:p>
    <w:p w:rsidR="00E255D2" w:rsidRPr="00103A95" w:rsidRDefault="003A4403" w:rsidP="00E255D2">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r w:rsidR="00340616" w:rsidRPr="00B72EE8">
        <w:t xml:space="preserve"> </w:t>
      </w:r>
    </w:p>
    <w:p w:rsidR="00340616" w:rsidRPr="00B72EE8" w:rsidRDefault="00340616" w:rsidP="003717CD">
      <w:pPr>
        <w:pStyle w:val="Heading2Numbered"/>
      </w:pPr>
      <w:bookmarkStart w:id="176" w:name="_Toc384307739"/>
      <w:bookmarkStart w:id="177" w:name="_Toc384307810"/>
      <w:bookmarkStart w:id="178" w:name="_Toc389141038"/>
      <w:bookmarkStart w:id="179" w:name="_Toc433641171"/>
      <w:bookmarkStart w:id="180" w:name="_Toc467773972"/>
      <w:bookmarkStart w:id="181" w:name="_Toc519083688"/>
      <w:bookmarkStart w:id="182" w:name="_Toc421777609"/>
      <w:bookmarkEnd w:id="161"/>
      <w:r w:rsidRPr="00B72EE8">
        <w:t xml:space="preserve">Questions during the application </w:t>
      </w:r>
      <w:bookmarkEnd w:id="176"/>
      <w:bookmarkEnd w:id="177"/>
      <w:bookmarkEnd w:id="178"/>
      <w:bookmarkEnd w:id="179"/>
      <w:r>
        <w:t>process</w:t>
      </w:r>
      <w:bookmarkEnd w:id="180"/>
      <w:bookmarkEnd w:id="181"/>
    </w:p>
    <w:p w:rsidR="00E96706" w:rsidRDefault="003357B0" w:rsidP="00340616">
      <w:r>
        <w:t xml:space="preserve">Only invited applicants’ questions will be responded to during the application period, please call the Community Grants Hub on 1800 020 283 or email to </w:t>
      </w:r>
      <w:hyperlink r:id="rId20"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Answers to questions</w:t>
      </w:r>
      <w:r w:rsidR="00EB4889" w:rsidRPr="00EA3E47">
        <w:t xml:space="preserve"> </w:t>
      </w:r>
      <w:r w:rsidR="00EB4889">
        <w:t xml:space="preserve">will </w:t>
      </w:r>
      <w:r w:rsidR="00EB4889" w:rsidRPr="00EA3E47">
        <w:t xml:space="preserve">be posted on </w:t>
      </w:r>
      <w:hyperlink r:id="rId21" w:history="1">
        <w:r w:rsidR="00EB4889" w:rsidRPr="00BC0C62">
          <w:rPr>
            <w:rStyle w:val="Hyperlink"/>
            <w:rFonts w:cstheme="minorBidi"/>
          </w:rPr>
          <w:t>GrantConnect</w:t>
        </w:r>
      </w:hyperlink>
      <w:r w:rsidR="00EB4889">
        <w:rPr>
          <w:rStyle w:val="Hyperlink"/>
          <w:rFonts w:cstheme="minorBidi"/>
        </w:rPr>
        <w:t xml:space="preserve"> and only accessible by invited applicants</w:t>
      </w:r>
      <w:r w:rsidR="00EB4889" w:rsidRPr="00EA3E47">
        <w:t>.</w:t>
      </w:r>
    </w:p>
    <w:p w:rsidR="00023327" w:rsidRDefault="00023327" w:rsidP="00023327">
      <w:r>
        <w:t xml:space="preserve">The question period will close at </w:t>
      </w:r>
      <w:r w:rsidR="008612F0">
        <w:t>5.</w:t>
      </w:r>
      <w:r w:rsidR="008612F0" w:rsidRPr="001536AC">
        <w:t>00pm</w:t>
      </w:r>
      <w:r w:rsidRPr="001536AC">
        <w:t xml:space="preserve"> AEST on </w:t>
      </w:r>
      <w:r w:rsidR="00453B94" w:rsidRPr="001536AC">
        <w:t>1 August 2018</w:t>
      </w:r>
      <w:r w:rsidRPr="001536AC">
        <w:t>.</w:t>
      </w:r>
      <w:r>
        <w:t xml:space="preserve">  Following this time, only questions relating to using and/or submitting the application form will be answered.</w:t>
      </w:r>
    </w:p>
    <w:p w:rsidR="00340616" w:rsidRPr="00B72EE8" w:rsidRDefault="00340616" w:rsidP="003717CD">
      <w:pPr>
        <w:pStyle w:val="Heading2Numbered"/>
      </w:pPr>
      <w:bookmarkStart w:id="183" w:name="_Toc467773973"/>
      <w:bookmarkStart w:id="184" w:name="_Toc519083689"/>
      <w:bookmarkEnd w:id="182"/>
      <w:r>
        <w:t>Further grant opportunities</w:t>
      </w:r>
      <w:bookmarkEnd w:id="183"/>
      <w:bookmarkEnd w:id="184"/>
    </w:p>
    <w:p w:rsidR="00340616" w:rsidRDefault="00AD16EC" w:rsidP="00340616">
      <w:r w:rsidRPr="00AD16EC">
        <w:rPr>
          <w:rStyle w:val="highlightedtextChar"/>
          <w:b w:val="0"/>
          <w:color w:val="auto"/>
        </w:rPr>
        <w:t>In the event</w:t>
      </w:r>
      <w:r>
        <w:rPr>
          <w:rStyle w:val="highlightedtextChar"/>
        </w:rPr>
        <w:t xml:space="preserve"> </w:t>
      </w:r>
      <w:r w:rsidRPr="00A75BF8">
        <w:rPr>
          <w:rStyle w:val="highlightedtextChar"/>
          <w:b w:val="0"/>
          <w:color w:val="auto"/>
        </w:rPr>
        <w:t>that there are insufficient suitable applications to meet program objectives,</w:t>
      </w:r>
      <w:r>
        <w:rPr>
          <w:rStyle w:val="highlightedtextChar"/>
        </w:rPr>
        <w:t xml:space="preserve"> </w:t>
      </w:r>
      <w:r w:rsidRPr="00AD16EC">
        <w:rPr>
          <w:rStyle w:val="highlightedtextChar"/>
          <w:b w:val="0"/>
          <w:color w:val="auto"/>
        </w:rPr>
        <w:t>the</w:t>
      </w:r>
      <w:r w:rsidRPr="00AD16EC">
        <w:rPr>
          <w:rStyle w:val="highlightedtextChar"/>
        </w:rPr>
        <w:t xml:space="preserve"> </w:t>
      </w:r>
      <w:r w:rsidR="00365CD4" w:rsidRPr="00101FF0">
        <w:rPr>
          <w:rStyle w:val="highlightedtextChar"/>
          <w:b w:val="0"/>
          <w:color w:val="auto"/>
        </w:rPr>
        <w:t xml:space="preserve">Department of Social Services </w:t>
      </w:r>
      <w:r w:rsidR="00A75BF8">
        <w:rPr>
          <w:rStyle w:val="highlightedtextChar"/>
          <w:b w:val="0"/>
          <w:color w:val="auto"/>
        </w:rPr>
        <w:t>may approach organisations directly and invite them to apply</w:t>
      </w:r>
      <w:r w:rsidR="0067746C">
        <w:rPr>
          <w:rStyle w:val="highlightedtextChar"/>
          <w:b w:val="0"/>
          <w:color w:val="auto"/>
        </w:rPr>
        <w:t xml:space="preserve"> through a </w:t>
      </w:r>
      <w:r w:rsidR="00365CD4">
        <w:rPr>
          <w:rStyle w:val="highlightedtextChar"/>
          <w:b w:val="0"/>
          <w:color w:val="auto"/>
        </w:rPr>
        <w:t xml:space="preserve">subsequent </w:t>
      </w:r>
      <w:r w:rsidR="0067746C">
        <w:rPr>
          <w:rStyle w:val="highlightedtextChar"/>
          <w:b w:val="0"/>
          <w:color w:val="auto"/>
        </w:rPr>
        <w:t>restricted non</w:t>
      </w:r>
      <w:r w:rsidR="00365CD4">
        <w:rPr>
          <w:rStyle w:val="highlightedtextChar"/>
          <w:b w:val="0"/>
          <w:color w:val="auto"/>
        </w:rPr>
        <w:t>-</w:t>
      </w:r>
      <w:r w:rsidR="0067746C">
        <w:rPr>
          <w:rStyle w:val="highlightedtextChar"/>
          <w:b w:val="0"/>
          <w:color w:val="auto"/>
        </w:rPr>
        <w:t>competitive selection process</w:t>
      </w:r>
      <w:r w:rsidR="00340616" w:rsidRPr="00103A95">
        <w:rPr>
          <w:rStyle w:val="highlightedtextChar"/>
        </w:rPr>
        <w:t>.</w:t>
      </w:r>
      <w:r w:rsidR="00340616" w:rsidRPr="00B72EE8">
        <w:t xml:space="preserve"> </w:t>
      </w:r>
    </w:p>
    <w:p w:rsidR="00340616" w:rsidRPr="00B72EE8" w:rsidRDefault="00340616" w:rsidP="0054078D">
      <w:pPr>
        <w:pStyle w:val="Heading1Numbered"/>
      </w:pPr>
      <w:bookmarkStart w:id="185" w:name="_Toc467773974"/>
      <w:bookmarkStart w:id="186" w:name="_Toc519083690"/>
      <w:r>
        <w:lastRenderedPageBreak/>
        <w:t>Assessment of grant ap</w:t>
      </w:r>
      <w:r w:rsidRPr="00B72EE8">
        <w:t>plications</w:t>
      </w:r>
      <w:bookmarkEnd w:id="185"/>
      <w:bookmarkEnd w:id="186"/>
    </w:p>
    <w:p w:rsidR="00340616" w:rsidRPr="00B72EE8" w:rsidRDefault="00340616" w:rsidP="003717CD">
      <w:pPr>
        <w:pStyle w:val="Heading2Numbered"/>
      </w:pPr>
      <w:bookmarkStart w:id="187" w:name="_Toc467773975"/>
      <w:bookmarkStart w:id="188" w:name="_Toc519083691"/>
      <w:bookmarkStart w:id="189" w:name="_Toc421777603"/>
      <w:r w:rsidRPr="00B72EE8">
        <w:t xml:space="preserve">Who will assess </w:t>
      </w:r>
      <w:r>
        <w:t>applications?</w:t>
      </w:r>
      <w:bookmarkEnd w:id="187"/>
      <w:bookmarkEnd w:id="188"/>
      <w:r>
        <w:t xml:space="preserve"> </w:t>
      </w:r>
      <w:bookmarkEnd w:id="189"/>
    </w:p>
    <w:p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w:t>
      </w:r>
      <w:r w:rsidR="00365CD4">
        <w:rPr>
          <w:rFonts w:cs="Times New Roman"/>
        </w:rPr>
        <w:t xml:space="preserve"> </w:t>
      </w:r>
      <w:r w:rsidRPr="00A75BF8">
        <w:rPr>
          <w:rFonts w:cs="Times New Roman"/>
        </w:rPr>
        <w:t xml:space="preserve">The assessment team will undertake training to ensure consistent assessment of all applications. </w:t>
      </w:r>
    </w:p>
    <w:p w:rsidR="00DC1682" w:rsidRPr="00A75BF8" w:rsidRDefault="00DC1682" w:rsidP="00DC1682">
      <w:r w:rsidRPr="00A75BF8">
        <w:t>If the selection process identifies unintentional errors in your application, you may be contacted to correct or explain the information.</w:t>
      </w:r>
    </w:p>
    <w:p w:rsidR="00DC1682" w:rsidRPr="00A75BF8" w:rsidRDefault="00DC1682" w:rsidP="00DC1682">
      <w:pPr>
        <w:pStyle w:val="CABNETParagraphAtt"/>
        <w:spacing w:after="240"/>
        <w:rPr>
          <w:rFonts w:cs="Times New Roman"/>
        </w:rPr>
      </w:pPr>
      <w:r w:rsidRPr="00A75BF8">
        <w:rPr>
          <w:rFonts w:cs="Times New Roman"/>
        </w:rPr>
        <w:t xml:space="preserve">An expert panel comprised of </w:t>
      </w:r>
      <w:r w:rsidR="00593AF5">
        <w:rPr>
          <w:rFonts w:cs="Times New Roman"/>
        </w:rPr>
        <w:t>Department of Social Services staff</w:t>
      </w:r>
      <w:r w:rsidRPr="00A75BF8">
        <w:rPr>
          <w:rFonts w:cs="Times New Roman"/>
        </w:rPr>
        <w:t xml:space="preserve"> will then review all ranked applications to inform the final recommendations for funding. </w:t>
      </w:r>
    </w:p>
    <w:p w:rsidR="00DC1682" w:rsidRPr="00A75BF8" w:rsidRDefault="00DC1682" w:rsidP="00DC1682">
      <w:pPr>
        <w:spacing w:before="120"/>
      </w:pPr>
      <w:r w:rsidRPr="00A75BF8">
        <w:t xml:space="preserve">The </w:t>
      </w:r>
      <w:r w:rsidR="00B0789D">
        <w:t>e</w:t>
      </w:r>
      <w:r w:rsidRPr="00A75BF8">
        <w:t xml:space="preserve">xpert </w:t>
      </w:r>
      <w:r w:rsidR="00B0789D">
        <w:t>p</w:t>
      </w:r>
      <w:r w:rsidRPr="00A75BF8">
        <w:t>anel will make recommendations having regards to:</w:t>
      </w:r>
    </w:p>
    <w:p w:rsidR="00DC1682" w:rsidRPr="00A75BF8" w:rsidRDefault="00DC1682" w:rsidP="00DC1682">
      <w:pPr>
        <w:spacing w:before="120"/>
      </w:pPr>
      <w:r w:rsidRPr="00A75BF8">
        <w:t>•</w:t>
      </w:r>
      <w:r w:rsidRPr="00A75BF8">
        <w:tab/>
        <w:t>overall objectives for each Program</w:t>
      </w:r>
    </w:p>
    <w:p w:rsidR="00DC1682" w:rsidRPr="00A75BF8" w:rsidRDefault="00DC1682" w:rsidP="00DC1682">
      <w:pPr>
        <w:spacing w:before="120"/>
      </w:pPr>
      <w:r w:rsidRPr="00A75BF8">
        <w:t>•</w:t>
      </w:r>
      <w:r w:rsidRPr="00A75BF8">
        <w:tab/>
        <w:t>conformance with eligibility criteria</w:t>
      </w:r>
    </w:p>
    <w:p w:rsidR="00DC1682" w:rsidRPr="00A75BF8" w:rsidRDefault="00DC1682" w:rsidP="00DC1682">
      <w:pPr>
        <w:spacing w:before="120"/>
      </w:pPr>
      <w:r w:rsidRPr="00A75BF8">
        <w:t>•</w:t>
      </w:r>
      <w:r w:rsidRPr="00A75BF8">
        <w:tab/>
        <w:t>distribution of providers across all locations</w:t>
      </w:r>
    </w:p>
    <w:p w:rsidR="00DC1682" w:rsidRPr="00A75BF8" w:rsidRDefault="00DC1682" w:rsidP="00DC1682">
      <w:pPr>
        <w:spacing w:before="120"/>
      </w:pPr>
      <w:r w:rsidRPr="00A75BF8">
        <w:t>•</w:t>
      </w:r>
      <w:r w:rsidRPr="00A75BF8">
        <w:tab/>
        <w:t>how the services and/or project will be delivered</w:t>
      </w:r>
    </w:p>
    <w:p w:rsidR="00DC1682" w:rsidRPr="00A75BF8" w:rsidRDefault="00DC1682" w:rsidP="00DC1682">
      <w:pPr>
        <w:spacing w:before="120"/>
      </w:pPr>
      <w:r w:rsidRPr="00A75BF8">
        <w:t>•</w:t>
      </w:r>
      <w:r w:rsidRPr="00A75BF8">
        <w:tab/>
        <w:t>value for money</w:t>
      </w:r>
      <w:r w:rsidR="00B27A14">
        <w:t>,</w:t>
      </w:r>
      <w:r w:rsidRPr="00A75BF8">
        <w:t xml:space="preserve"> and</w:t>
      </w:r>
    </w:p>
    <w:p w:rsidR="00DC1682" w:rsidRPr="00A75BF8" w:rsidRDefault="00DC1682" w:rsidP="00DC1682">
      <w:pPr>
        <w:spacing w:before="120"/>
      </w:pPr>
      <w:r w:rsidRPr="00A75BF8">
        <w:t>•</w:t>
      </w:r>
      <w:r w:rsidRPr="00A75BF8">
        <w:tab/>
      </w:r>
      <w:r w:rsidR="004A1562">
        <w:t xml:space="preserve">where there is </w:t>
      </w:r>
      <w:r w:rsidRPr="00A75BF8">
        <w:t>duplication with other Commonwealth/State/Territory government programs/service delivery.</w:t>
      </w:r>
    </w:p>
    <w:p w:rsidR="00DC1682" w:rsidRDefault="00DC1682" w:rsidP="00DC1682">
      <w:pPr>
        <w:spacing w:before="120"/>
      </w:pPr>
      <w:r w:rsidRPr="00A75BF8">
        <w:t xml:space="preserve">The expert panel may seek information about you or your application. </w:t>
      </w:r>
      <w:r w:rsidR="00B0789D">
        <w:t xml:space="preserve"> </w:t>
      </w:r>
      <w:r w:rsidRPr="00A75BF8">
        <w:t>They may do this from within the Commonwealth, even if the sources are not nominated by you as referees. The</w:t>
      </w:r>
      <w:r w:rsidR="00B0789D">
        <w:t> </w:t>
      </w:r>
      <w:r w:rsidRPr="00A75BF8">
        <w:t>expert panel may also consider information about you or your application that is available through the normal course of business.</w:t>
      </w:r>
    </w:p>
    <w:p w:rsidR="00340616" w:rsidRPr="00647D91" w:rsidRDefault="00340616" w:rsidP="003717CD">
      <w:pPr>
        <w:pStyle w:val="Heading2Numbered"/>
      </w:pPr>
      <w:bookmarkStart w:id="190" w:name="_Toc467773976"/>
      <w:bookmarkStart w:id="191" w:name="_Toc519083692"/>
      <w:r w:rsidRPr="00647D91">
        <w:t>Who will approve grants?</w:t>
      </w:r>
      <w:bookmarkEnd w:id="190"/>
      <w:bookmarkEnd w:id="191"/>
    </w:p>
    <w:p w:rsidR="00340616" w:rsidRPr="00103A95" w:rsidRDefault="00340616" w:rsidP="00340616">
      <w:r w:rsidRPr="00103A95">
        <w:t xml:space="preserve">The </w:t>
      </w:r>
      <w:r w:rsidR="00062C0E">
        <w:t>e</w:t>
      </w:r>
      <w:r w:rsidR="00A22DDB" w:rsidRPr="00647D91">
        <w:t xml:space="preserve">xpert </w:t>
      </w:r>
      <w:r w:rsidR="00062C0E">
        <w:t>p</w:t>
      </w:r>
      <w:r w:rsidR="00A22DDB" w:rsidRPr="00647D91">
        <w:t>anel</w:t>
      </w:r>
      <w:r w:rsidR="004003E2" w:rsidRPr="00647D91">
        <w:rPr>
          <w:color w:val="745B00" w:themeColor="accent3" w:themeShade="80"/>
        </w:rPr>
        <w:t xml:space="preserve"> </w:t>
      </w:r>
      <w:r w:rsidRPr="00103A95">
        <w:t xml:space="preserve">will make recommendations to the </w:t>
      </w:r>
      <w:r w:rsidR="00062C0E" w:rsidRPr="003E6B2C">
        <w:t>Branch Manager</w:t>
      </w:r>
      <w:r w:rsidR="008A077C">
        <w:t xml:space="preserve"> responsible for the Financial Wellbeing and Capability Activity.</w:t>
      </w:r>
      <w:r w:rsidRPr="00103A95">
        <w:rPr>
          <w:color w:val="745B00" w:themeColor="accent3" w:themeShade="80"/>
        </w:rPr>
        <w:t xml:space="preserve"> </w:t>
      </w:r>
      <w:r w:rsidR="00062C0E">
        <w:rPr>
          <w:color w:val="745B00" w:themeColor="accent3" w:themeShade="80"/>
        </w:rPr>
        <w:t xml:space="preserve"> </w:t>
      </w:r>
      <w:r w:rsidRPr="00103A95">
        <w:t xml:space="preserve">The </w:t>
      </w:r>
      <w:r w:rsidR="00062C0E" w:rsidRPr="003E6B2C">
        <w:t>Branch Manager</w:t>
      </w:r>
      <w:r w:rsidRPr="00103A95">
        <w:rPr>
          <w:b/>
          <w:color w:val="745B00" w:themeColor="accent3" w:themeShade="80"/>
        </w:rPr>
        <w:t xml:space="preserve"> </w:t>
      </w:r>
      <w:r w:rsidRPr="00103A95">
        <w:t>will make the final decision to approve a grant.</w:t>
      </w:r>
    </w:p>
    <w:p w:rsidR="00340616" w:rsidRPr="00103A95" w:rsidRDefault="00340616" w:rsidP="00340616">
      <w:r w:rsidRPr="00103A95">
        <w:t xml:space="preserve">The </w:t>
      </w:r>
      <w:r w:rsidR="00062C0E" w:rsidRPr="003E6B2C">
        <w:t>Branch Manager</w:t>
      </w:r>
      <w:r w:rsidR="00062C0E">
        <w:t>’</w:t>
      </w:r>
      <w:r w:rsidRPr="00103A95">
        <w:rPr>
          <w:color w:val="745B00" w:themeColor="accent3" w:themeShade="80"/>
        </w:rPr>
        <w:t xml:space="preserve">s </w:t>
      </w:r>
      <w:r w:rsidRPr="00103A95">
        <w:t>decision is final in all matters, including:</w:t>
      </w:r>
    </w:p>
    <w:p w:rsidR="00340616" w:rsidRPr="00103A95" w:rsidRDefault="00340616" w:rsidP="00103A95">
      <w:pPr>
        <w:pStyle w:val="Bullet1"/>
      </w:pPr>
      <w:r w:rsidRPr="00103A95">
        <w:t>approval of the grant</w:t>
      </w:r>
      <w:r w:rsidR="00062C0E">
        <w:t>,</w:t>
      </w:r>
    </w:p>
    <w:p w:rsidR="00340616" w:rsidRPr="00103A95" w:rsidRDefault="00340616" w:rsidP="00103A95">
      <w:pPr>
        <w:pStyle w:val="Bullet1"/>
      </w:pPr>
      <w:r w:rsidRPr="00103A95">
        <w:t>grant funding amount to be awarded</w:t>
      </w:r>
      <w:r w:rsidR="00062C0E">
        <w:t>, and</w:t>
      </w:r>
    </w:p>
    <w:p w:rsidR="00340616" w:rsidRPr="00103A95" w:rsidRDefault="00340616" w:rsidP="00103A95">
      <w:pPr>
        <w:pStyle w:val="Bullet1"/>
      </w:pPr>
      <w:r w:rsidRPr="00103A95">
        <w:t xml:space="preserve">terms and conditions of the grant. </w:t>
      </w:r>
    </w:p>
    <w:p w:rsidR="00340616" w:rsidRPr="00103A95" w:rsidRDefault="00340616" w:rsidP="00340616">
      <w:r w:rsidRPr="00103A95">
        <w:t xml:space="preserve">The </w:t>
      </w:r>
      <w:r w:rsidR="00062C0E" w:rsidRPr="003E6B2C">
        <w:t>Branch Manager</w:t>
      </w:r>
      <w:r w:rsidR="00062C0E" w:rsidRPr="00103A95" w:rsidDel="00062C0E">
        <w:rPr>
          <w:b/>
          <w:color w:val="745B00" w:themeColor="accent3" w:themeShade="80"/>
        </w:rPr>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192" w:name="_Toc467773977"/>
      <w:bookmarkStart w:id="193" w:name="_Toc519083693"/>
      <w:r w:rsidRPr="00B72EE8">
        <w:lastRenderedPageBreak/>
        <w:t>Notification of application outcomes</w:t>
      </w:r>
      <w:bookmarkEnd w:id="192"/>
      <w:bookmarkEnd w:id="193"/>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062C0E" w:rsidRPr="003E6B2C">
        <w:t>Branch Manager</w:t>
      </w:r>
      <w:r w:rsidRPr="00C25555">
        <w:rPr>
          <w:b/>
        </w:rPr>
        <w:t xml:space="preserve">. </w:t>
      </w:r>
      <w:r w:rsidR="00062C0E">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340616" w:rsidRPr="00B72EE8" w:rsidRDefault="00340616" w:rsidP="003717CD">
      <w:pPr>
        <w:pStyle w:val="Heading2Numbered"/>
      </w:pPr>
      <w:bookmarkStart w:id="194" w:name="_Toc467773978"/>
      <w:bookmarkStart w:id="195" w:name="_Toc519083694"/>
      <w:r w:rsidRPr="00B72EE8">
        <w:t xml:space="preserve">Feedback on </w:t>
      </w:r>
      <w:r>
        <w:t xml:space="preserve">your </w:t>
      </w:r>
      <w:r w:rsidRPr="00B72EE8">
        <w:t>application</w:t>
      </w:r>
      <w:bookmarkEnd w:id="194"/>
      <w:bookmarkEnd w:id="195"/>
    </w:p>
    <w:p w:rsidR="00831521" w:rsidRDefault="00A76EC7" w:rsidP="00831521">
      <w:r>
        <w:t>A F</w:t>
      </w:r>
      <w:r w:rsidR="00831521">
        <w:t xml:space="preserve">eedback </w:t>
      </w:r>
      <w:r>
        <w:t>S</w:t>
      </w:r>
      <w:r w:rsidR="00831521">
        <w:t>ummar</w:t>
      </w:r>
      <w:r>
        <w:t>y</w:t>
      </w:r>
      <w:r w:rsidR="00831521">
        <w:t xml:space="preserve"> will be published on the Community Grants Hub website to provide all organisations with easy to access information about the assessment process and the main strengths and areas for improving their applications.</w:t>
      </w:r>
    </w:p>
    <w:p w:rsidR="00A76EC7" w:rsidRDefault="00A76EC7" w:rsidP="00831521">
      <w:r>
        <w:t xml:space="preserve">Individual feedback </w:t>
      </w:r>
      <w:r w:rsidR="00C94D37">
        <w:t>for this grant opportunity may be requested within 30 days of receiving an outcome notification.</w:t>
      </w:r>
      <w:r w:rsidR="006378E2">
        <w:t xml:space="preserve"> </w:t>
      </w:r>
      <w:r w:rsidR="006378E2" w:rsidRPr="00CF1BD1">
        <w:t>Feedback will be provided within 30 days of receiving the request.</w:t>
      </w:r>
    </w:p>
    <w:p w:rsidR="00340616" w:rsidRDefault="00340616" w:rsidP="0054078D">
      <w:pPr>
        <w:pStyle w:val="Heading1Numbered"/>
      </w:pPr>
      <w:bookmarkStart w:id="196" w:name="_Toc421777622"/>
      <w:bookmarkStart w:id="197" w:name="_Toc433641183"/>
      <w:r>
        <w:t xml:space="preserve"> </w:t>
      </w:r>
      <w:bookmarkStart w:id="198" w:name="_Toc467773979"/>
      <w:bookmarkStart w:id="199" w:name="_Toc519083695"/>
      <w:r>
        <w:t>Successful grant applications</w:t>
      </w:r>
      <w:bookmarkEnd w:id="198"/>
      <w:bookmarkEnd w:id="199"/>
    </w:p>
    <w:p w:rsidR="00340616" w:rsidRDefault="00340616" w:rsidP="00892C8B">
      <w:pPr>
        <w:pStyle w:val="Heading2Numbered"/>
        <w:ind w:left="709" w:hanging="709"/>
      </w:pPr>
      <w:bookmarkStart w:id="200" w:name="_Toc467773980"/>
      <w:bookmarkStart w:id="201" w:name="_Toc519083696"/>
      <w:r>
        <w:t xml:space="preserve">The </w:t>
      </w:r>
      <w:r w:rsidRPr="0054078D">
        <w:t>grant agreement</w:t>
      </w:r>
      <w:bookmarkEnd w:id="200"/>
      <w:bookmarkEnd w:id="201"/>
    </w:p>
    <w:bookmarkEnd w:id="196"/>
    <w:bookmarkEnd w:id="197"/>
    <w:p w:rsidR="00B82540" w:rsidRPr="00101FF0" w:rsidRDefault="00704535" w:rsidP="00340616">
      <w:r>
        <w:t xml:space="preserve">If you are successful and you choose to accept a grant offer, </w:t>
      </w:r>
      <w:r w:rsidR="00340616" w:rsidRPr="00103A95">
        <w:t>you must enter into a legally binding grant agreement with the Commonwealth represented by</w:t>
      </w:r>
      <w:r w:rsidR="00340616" w:rsidRPr="00103A95">
        <w:rPr>
          <w:rStyle w:val="highlightedtextChar"/>
        </w:rPr>
        <w:t xml:space="preserve"> </w:t>
      </w:r>
      <w:r w:rsidR="0001393D" w:rsidRPr="00101FF0">
        <w:rPr>
          <w:rStyle w:val="highlightedtextChar"/>
          <w:b w:val="0"/>
          <w:color w:val="auto"/>
        </w:rPr>
        <w:t>the Department of Social Services</w:t>
      </w:r>
      <w:r w:rsidR="00DB0937" w:rsidRPr="00101FF0">
        <w:rPr>
          <w:rStyle w:val="highlightedtextChar"/>
          <w:b w:val="0"/>
          <w:color w:val="auto"/>
        </w:rPr>
        <w:t>.</w:t>
      </w:r>
      <w:r w:rsidR="00340616" w:rsidRPr="00DB0937">
        <w:rPr>
          <w:rStyle w:val="highlightedtextChar"/>
          <w:color w:val="auto"/>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CC2BF1" w:rsidRPr="009C0326">
        <w:rPr>
          <w:rStyle w:val="highlightedtextChar"/>
          <w:b w:val="0"/>
          <w:color w:val="auto"/>
        </w:rPr>
        <w:t>Department of Social Services</w:t>
      </w:r>
      <w:r w:rsidR="00CC2BF1" w:rsidDel="00CC2BF1">
        <w:rPr>
          <w:rStyle w:val="highlightedtextChar"/>
        </w:rPr>
        <w:t xml:space="preserve"> </w:t>
      </w:r>
      <w:r w:rsidR="00340616" w:rsidRPr="00103A95">
        <w:t xml:space="preserve">will use the </w:t>
      </w:r>
      <w:hyperlink r:id="rId22" w:history="1">
        <w:r w:rsidR="00340616" w:rsidRPr="00103A95">
          <w:rPr>
            <w:rStyle w:val="Hyperlink"/>
            <w:i/>
            <w:u w:val="none"/>
          </w:rPr>
          <w:t xml:space="preserve">Commonwealth </w:t>
        </w:r>
        <w:r w:rsidR="00340616" w:rsidRPr="00101FF0">
          <w:rPr>
            <w:rStyle w:val="Hyperlink"/>
            <w:i/>
            <w:u w:val="none"/>
          </w:rPr>
          <w:t>Standard</w:t>
        </w:r>
        <w:r w:rsidR="00340616" w:rsidRPr="00103A95">
          <w:rPr>
            <w:rStyle w:val="Hyperlink"/>
            <w:b/>
            <w:i/>
            <w:u w:val="none"/>
          </w:rPr>
          <w:t xml:space="preserve"> </w:t>
        </w:r>
        <w:r w:rsidR="00340616" w:rsidRPr="00103A95">
          <w:rPr>
            <w:rStyle w:val="Hyperlink"/>
            <w:i/>
            <w:u w:val="none"/>
          </w:rPr>
          <w:t>Grant Agreement</w:t>
        </w:r>
      </w:hyperlink>
      <w:r w:rsidR="00340616" w:rsidRPr="00103A95">
        <w:rPr>
          <w:rStyle w:val="highlightedtextChar"/>
        </w:rPr>
        <w:t>.</w:t>
      </w:r>
      <w:r w:rsidR="00340616" w:rsidRPr="00103A95">
        <w:t xml:space="preserve"> </w:t>
      </w:r>
      <w:r w:rsidR="00CC2BF1">
        <w:t xml:space="preserve"> </w:t>
      </w:r>
      <w:r w:rsidR="00340616" w:rsidRPr="00103A95">
        <w:t xml:space="preserve">Standard terms and conditions for the grant agreement will apply and cannot be changed. </w:t>
      </w:r>
      <w:r w:rsidR="00CC2BF1">
        <w:t xml:space="preserve"> </w:t>
      </w:r>
      <w:r w:rsidR="00B82540" w:rsidRPr="00101FF0">
        <w:t xml:space="preserve">A schedule may be used to outline the specific grant requirements.  Any additional conditions attached to the grant will be identified in the grant offer or during the grant agreement negotiations. </w:t>
      </w:r>
    </w:p>
    <w:p w:rsidR="00340616" w:rsidRPr="00726710" w:rsidRDefault="00340616" w:rsidP="00101FF0">
      <w:pPr>
        <w:rPr>
          <w:b/>
          <w:color w:val="745B00" w:themeColor="accent3" w:themeShade="80"/>
        </w:rPr>
      </w:pPr>
      <w:r>
        <w:t>You</w:t>
      </w:r>
      <w:r w:rsidRPr="00B72EE8">
        <w:t xml:space="preserve"> will </w:t>
      </w:r>
      <w:r>
        <w:t>b</w:t>
      </w:r>
      <w:r w:rsidRPr="00B72EE8">
        <w:t>e required to</w:t>
      </w:r>
      <w:r w:rsidR="00CC2BF1">
        <w:t xml:space="preserve"> deliver the project and meet the performance reporting and financial acquittal requirements as outlined in your grant agreement.</w:t>
      </w:r>
    </w:p>
    <w:p w:rsidR="00340616" w:rsidRPr="00726710" w:rsidRDefault="00340616" w:rsidP="00340616">
      <w:pPr>
        <w:rPr>
          <w:lang w:eastAsia="en-AU"/>
        </w:rPr>
      </w:pPr>
      <w:r w:rsidRPr="00B72EE8">
        <w:t>The</w:t>
      </w:r>
      <w:r>
        <w:t xml:space="preserve"> </w:t>
      </w:r>
      <w:r w:rsidR="00CC2BF1" w:rsidRPr="009C0326">
        <w:rPr>
          <w:rStyle w:val="highlightedtextChar"/>
          <w:b w:val="0"/>
          <w:color w:val="auto"/>
        </w:rPr>
        <w:t>Department of Social Services</w:t>
      </w:r>
      <w:r w:rsidR="00CC2BF1" w:rsidRPr="00726710" w:rsidDel="00CC2BF1">
        <w:rPr>
          <w:rStyle w:val="highlightedtextChar"/>
        </w:rPr>
        <w:t xml:space="preserve"> </w:t>
      </w:r>
      <w:r w:rsidRPr="00726710">
        <w:t xml:space="preserve">will negotiate agreements with successful applicants </w:t>
      </w:r>
      <w:r w:rsidR="00134925">
        <w:t>within 30 business days.</w:t>
      </w:r>
      <w:r w:rsidR="00134925" w:rsidRPr="00726710">
        <w:t xml:space="preserve"> </w:t>
      </w:r>
      <w:r w:rsidRPr="00726710">
        <w:rPr>
          <w:rStyle w:val="Strong"/>
        </w:rPr>
        <w:t xml:space="preserve"> </w:t>
      </w:r>
      <w:r w:rsidR="00CC2BF1">
        <w:rPr>
          <w:rStyle w:val="Strong"/>
        </w:rPr>
        <w:t xml:space="preserve"> </w:t>
      </w:r>
      <w:r w:rsidRPr="00564C6D">
        <w:rPr>
          <w:rStyle w:val="Strong"/>
        </w:rPr>
        <w:t>If there are unreasonable delays in finalising</w:t>
      </w:r>
      <w:r w:rsidRPr="00747D3A">
        <w:rPr>
          <w:rStyle w:val="Strong"/>
          <w:b w:val="0"/>
        </w:rPr>
        <w:t xml:space="preserve"> </w:t>
      </w:r>
      <w:r w:rsidRPr="00726710">
        <w:rPr>
          <w:lang w:eastAsia="en-AU"/>
        </w:rPr>
        <w:t>a grant agreement, the grant offer may be withdrawn and the grant may be awarded to a different applicant.</w:t>
      </w:r>
    </w:p>
    <w:p w:rsidR="00340616" w:rsidRPr="00726710" w:rsidRDefault="00340616" w:rsidP="00340616">
      <w:r w:rsidRPr="00726710">
        <w:rPr>
          <w:lang w:eastAsia="en-AU"/>
        </w:rPr>
        <w:t xml:space="preserve">Where a grantee fails to meet the obligations of the grant agreement, </w:t>
      </w:r>
      <w:r w:rsidRPr="00726710">
        <w:t>the</w:t>
      </w:r>
      <w:r w:rsidRPr="00726710">
        <w:rPr>
          <w:lang w:eastAsia="en-AU"/>
        </w:rPr>
        <w:t xml:space="preserve"> </w:t>
      </w:r>
      <w:r w:rsidR="00CC2BF1" w:rsidRPr="009C0326">
        <w:rPr>
          <w:rStyle w:val="highlightedtextChar"/>
          <w:b w:val="0"/>
          <w:color w:val="auto"/>
        </w:rPr>
        <w:t xml:space="preserve">Department of </w:t>
      </w:r>
      <w:r w:rsidR="00CC2BF1" w:rsidRPr="0053097A">
        <w:rPr>
          <w:rStyle w:val="highlightedtextChar"/>
          <w:b w:val="0"/>
          <w:color w:val="auto"/>
        </w:rPr>
        <w:t>Social Services</w:t>
      </w:r>
      <w:r w:rsidR="00CC2BF1" w:rsidRPr="00CC2BF1">
        <w:rPr>
          <w:lang w:eastAsia="en-AU"/>
        </w:rPr>
        <w:t xml:space="preserve"> </w:t>
      </w:r>
      <w:r w:rsidRPr="00CC2BF1">
        <w:rPr>
          <w:lang w:eastAsia="en-AU"/>
        </w:rPr>
        <w:t>may</w:t>
      </w:r>
      <w:r w:rsidRPr="00101FF0">
        <w:t xml:space="preserve"> </w:t>
      </w:r>
      <w:r w:rsidR="00CC2BF1" w:rsidRPr="00101FF0">
        <w:t>terminate the agreement</w:t>
      </w:r>
      <w:r w:rsidRPr="00101FF0">
        <w:t>.</w:t>
      </w:r>
      <w:r w:rsidRPr="00726710">
        <w:rPr>
          <w:b/>
          <w:color w:val="745B00" w:themeColor="accent3" w:themeShade="80"/>
        </w:rPr>
        <w:t xml:space="preserve"> </w:t>
      </w:r>
    </w:p>
    <w:p w:rsidR="00340616" w:rsidRDefault="00340616" w:rsidP="00340616">
      <w:pPr>
        <w:rPr>
          <w:bCs/>
          <w:lang w:eastAsia="en-AU"/>
        </w:rPr>
      </w:pPr>
      <w:r w:rsidRPr="00726710">
        <w:rPr>
          <w:bCs/>
          <w:lang w:eastAsia="en-AU"/>
        </w:rPr>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r>
        <w:rPr>
          <w:bCs/>
          <w:lang w:eastAsia="en-AU"/>
        </w:rPr>
        <w:t xml:space="preserve"> </w:t>
      </w:r>
    </w:p>
    <w:p w:rsidR="00340616" w:rsidRDefault="00340616" w:rsidP="00892C8B">
      <w:pPr>
        <w:pStyle w:val="Heading2Numbered"/>
      </w:pPr>
      <w:bookmarkStart w:id="202" w:name="_Toc467773981"/>
      <w:bookmarkStart w:id="203" w:name="_Toc519083697"/>
      <w:r>
        <w:t>How the grant will be paid</w:t>
      </w:r>
      <w:bookmarkEnd w:id="202"/>
      <w:bookmarkEnd w:id="203"/>
    </w:p>
    <w:p w:rsidR="00340616" w:rsidRPr="00DB0315" w:rsidRDefault="00340616" w:rsidP="00101FF0">
      <w:pPr>
        <w:tabs>
          <w:tab w:val="left" w:pos="0"/>
        </w:tabs>
      </w:pPr>
      <w:r w:rsidRPr="00DB0315">
        <w:rPr>
          <w:bCs/>
          <w:lang w:eastAsia="en-AU"/>
        </w:rPr>
        <w:t>The grant agreement will state the</w:t>
      </w:r>
      <w:r w:rsidR="00CC2BF1">
        <w:rPr>
          <w:bCs/>
          <w:lang w:eastAsia="en-AU"/>
        </w:rPr>
        <w:t xml:space="preserve"> </w:t>
      </w:r>
      <w:r w:rsidRPr="00DB0315">
        <w:t>maximum grant amount to be paid</w:t>
      </w:r>
      <w:r w:rsidR="00CC2BF1">
        <w:t>.</w:t>
      </w:r>
    </w:p>
    <w:p w:rsidR="00340616" w:rsidRPr="00DB0315" w:rsidRDefault="00340616" w:rsidP="0053097A">
      <w:pPr>
        <w:tabs>
          <w:tab w:val="left" w:pos="0"/>
        </w:tabs>
        <w:rPr>
          <w:bCs/>
          <w:lang w:eastAsia="en-AU"/>
        </w:rPr>
      </w:pPr>
      <w:r w:rsidRPr="00DB0315">
        <w:rPr>
          <w:bCs/>
          <w:lang w:eastAsia="en-AU"/>
        </w:rPr>
        <w:t xml:space="preserve">We will not exceed the maximum grant amount under any circumstances. </w:t>
      </w:r>
    </w:p>
    <w:p w:rsidR="00CC2BF1" w:rsidRDefault="00340616" w:rsidP="00340616">
      <w:pPr>
        <w:tabs>
          <w:tab w:val="left" w:pos="0"/>
        </w:tabs>
        <w:rPr>
          <w:bCs/>
          <w:lang w:eastAsia="en-AU"/>
        </w:rPr>
      </w:pPr>
      <w:r w:rsidRPr="00DB0315">
        <w:rPr>
          <w:bCs/>
          <w:lang w:eastAsia="en-AU"/>
        </w:rPr>
        <w:lastRenderedPageBreak/>
        <w:t xml:space="preserve">We will make an initial payment </w:t>
      </w:r>
      <w:r w:rsidR="00CC2BF1">
        <w:rPr>
          <w:bCs/>
          <w:lang w:eastAsia="en-AU"/>
        </w:rPr>
        <w:t xml:space="preserve">in January 2019, or </w:t>
      </w:r>
      <w:r w:rsidRPr="00DB0315">
        <w:rPr>
          <w:bCs/>
          <w:lang w:eastAsia="en-AU"/>
        </w:rPr>
        <w:t>on execution of the grant agreement</w:t>
      </w:r>
      <w:r w:rsidR="00CC2BF1">
        <w:rPr>
          <w:bCs/>
          <w:lang w:eastAsia="en-AU"/>
        </w:rPr>
        <w:t>, whichever is first</w:t>
      </w:r>
      <w:r w:rsidR="00564C6D">
        <w:rPr>
          <w:bCs/>
          <w:lang w:eastAsia="en-AU"/>
        </w:rPr>
        <w:t xml:space="preserve"> and further payments </w:t>
      </w:r>
      <w:r w:rsidR="000C0EAC">
        <w:rPr>
          <w:bCs/>
          <w:lang w:eastAsia="en-AU"/>
        </w:rPr>
        <w:t xml:space="preserve">in July and December </w:t>
      </w:r>
      <w:r w:rsidR="00564C6D">
        <w:rPr>
          <w:bCs/>
          <w:lang w:eastAsia="en-AU"/>
        </w:rPr>
        <w:t>annually</w:t>
      </w:r>
      <w:r w:rsidR="000C0EAC">
        <w:rPr>
          <w:bCs/>
          <w:lang w:eastAsia="en-AU"/>
        </w:rPr>
        <w:t>.</w:t>
      </w:r>
    </w:p>
    <w:p w:rsidR="00340616" w:rsidRDefault="00340616" w:rsidP="0054078D">
      <w:pPr>
        <w:pStyle w:val="Heading1Numbered"/>
      </w:pPr>
      <w:bookmarkStart w:id="204" w:name="_Toc514068355"/>
      <w:bookmarkStart w:id="205" w:name="_Toc514068357"/>
      <w:bookmarkStart w:id="206" w:name="_Toc514068360"/>
      <w:bookmarkStart w:id="207" w:name="_Toc514068363"/>
      <w:bookmarkStart w:id="208" w:name="_Toc514068370"/>
      <w:bookmarkStart w:id="209" w:name="_Toc467773983"/>
      <w:bookmarkStart w:id="210" w:name="_Toc519083698"/>
      <w:bookmarkEnd w:id="204"/>
      <w:bookmarkEnd w:id="205"/>
      <w:bookmarkEnd w:id="206"/>
      <w:bookmarkEnd w:id="207"/>
      <w:bookmarkEnd w:id="208"/>
      <w:r w:rsidRPr="001607E9">
        <w:t>Announcement</w:t>
      </w:r>
      <w:r>
        <w:t xml:space="preserve"> of grants</w:t>
      </w:r>
      <w:bookmarkEnd w:id="209"/>
      <w:bookmarkEnd w:id="210"/>
    </w:p>
    <w:p w:rsidR="00966462" w:rsidRPr="00966462" w:rsidRDefault="00966462" w:rsidP="00966462">
      <w:pPr>
        <w:rPr>
          <w:iCs/>
        </w:rPr>
      </w:pPr>
      <w:r>
        <w:t xml:space="preserve">If successful, your grant will be listed on </w:t>
      </w:r>
      <w:hyperlink r:id="rId23" w:history="1">
        <w:r w:rsidRPr="000510F7">
          <w:rPr>
            <w:rStyle w:val="Hyperlink"/>
            <w:rFonts w:cstheme="minorBidi"/>
          </w:rPr>
          <w:t>GrantConnect</w:t>
        </w:r>
      </w:hyperlink>
      <w:r>
        <w:t xml:space="preserve"> </w:t>
      </w:r>
      <w:r w:rsidR="000510F7">
        <w:t>21 calendar days</w:t>
      </w:r>
      <w:r>
        <w:t xml:space="preserve"> after the date of effect as required by Section 5.3 of the</w:t>
      </w:r>
      <w:r w:rsidR="00700D81">
        <w:rPr>
          <w:i/>
          <w:iCs/>
        </w:rPr>
        <w:t xml:space="preserve"> </w:t>
      </w:r>
      <w:r w:rsidR="00700D81" w:rsidRPr="00045933">
        <w:rPr>
          <w:i/>
        </w:rPr>
        <w:t xml:space="preserve">Commonwealth Grants Rules and Guidelines </w:t>
      </w:r>
      <w:r w:rsidR="00700D81">
        <w:rPr>
          <w:i/>
        </w:rPr>
        <w:t>2017.</w:t>
      </w:r>
    </w:p>
    <w:p w:rsidR="00340616" w:rsidRPr="00B72EE8" w:rsidRDefault="00340616" w:rsidP="0054078D">
      <w:pPr>
        <w:pStyle w:val="Heading1Numbered"/>
      </w:pPr>
      <w:bookmarkStart w:id="211" w:name="_Toc421777623"/>
      <w:bookmarkStart w:id="212" w:name="_Toc467773984"/>
      <w:bookmarkStart w:id="213" w:name="_Toc519083699"/>
      <w:r w:rsidRPr="00B72EE8">
        <w:t xml:space="preserve">Delivery of </w:t>
      </w:r>
      <w:r>
        <w:t>g</w:t>
      </w:r>
      <w:r w:rsidRPr="00B72EE8">
        <w:t>rant</w:t>
      </w:r>
      <w:r>
        <w:t xml:space="preserve"> activities</w:t>
      </w:r>
      <w:bookmarkEnd w:id="211"/>
      <w:bookmarkEnd w:id="212"/>
      <w:bookmarkEnd w:id="213"/>
    </w:p>
    <w:p w:rsidR="00340616" w:rsidRPr="00B72EE8" w:rsidDel="00D505A5" w:rsidRDefault="00340616" w:rsidP="00892C8B">
      <w:pPr>
        <w:pStyle w:val="Heading2Numbered"/>
        <w:ind w:left="709" w:hanging="709"/>
      </w:pPr>
      <w:bookmarkStart w:id="214" w:name="_Toc421777624"/>
      <w:bookmarkStart w:id="215" w:name="_Toc433641185"/>
      <w:bookmarkStart w:id="216" w:name="_Toc467773985"/>
      <w:bookmarkStart w:id="217" w:name="_Toc519083700"/>
      <w:r>
        <w:t>Your</w:t>
      </w:r>
      <w:r w:rsidRPr="00B72EE8" w:rsidDel="00D505A5">
        <w:t xml:space="preserve"> responsibilities</w:t>
      </w:r>
      <w:bookmarkEnd w:id="214"/>
      <w:bookmarkEnd w:id="215"/>
      <w:bookmarkEnd w:id="216"/>
      <w:bookmarkEnd w:id="217"/>
    </w:p>
    <w:p w:rsidR="00CD3AA1" w:rsidRPr="00726710" w:rsidRDefault="00CD3AA1" w:rsidP="00CD3AA1">
      <w:pPr>
        <w:rPr>
          <w:rFonts w:cstheme="minorHAnsi"/>
        </w:rPr>
      </w:pPr>
      <w:bookmarkStart w:id="218" w:name="_Toc421777629"/>
      <w:bookmarkStart w:id="219" w:name="_Toc467773988"/>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4" w:history="1">
        <w:r w:rsidRPr="00726710">
          <w:rPr>
            <w:rFonts w:cstheme="minorHAnsi"/>
          </w:rPr>
          <w:t>grant agreement</w:t>
        </w:r>
      </w:hyperlink>
      <w:r w:rsidRPr="00726710">
        <w:rPr>
          <w:rFonts w:cstheme="minorHAnsi"/>
        </w:rPr>
        <w:t xml:space="preserve">. </w:t>
      </w:r>
      <w:r>
        <w:rPr>
          <w:rFonts w:cstheme="minorHAnsi"/>
        </w:rPr>
        <w:t xml:space="preserve"> </w:t>
      </w:r>
      <w:r w:rsidRPr="00726710">
        <w:rPr>
          <w:rFonts w:cstheme="minorHAnsi"/>
        </w:rPr>
        <w:t>We will expect you to report on</w:t>
      </w:r>
      <w:r>
        <w:rPr>
          <w:rFonts w:cstheme="minorHAnsi"/>
        </w:rPr>
        <w:t>:</w:t>
      </w:r>
    </w:p>
    <w:p w:rsidR="00CD3AA1" w:rsidRPr="00726710" w:rsidRDefault="00CD3AA1" w:rsidP="00CD3AA1">
      <w:pPr>
        <w:pStyle w:val="Bullet1"/>
      </w:pPr>
      <w:r w:rsidRPr="00726710">
        <w:t>progress against agreed project milestones</w:t>
      </w:r>
    </w:p>
    <w:p w:rsidR="00CD3AA1" w:rsidRPr="00726710" w:rsidRDefault="00CD3AA1" w:rsidP="00CD3AA1">
      <w:pPr>
        <w:pStyle w:val="Bullet1"/>
      </w:pPr>
      <w:r w:rsidRPr="00726710">
        <w:t>contributions of participants directly related to the project</w:t>
      </w:r>
    </w:p>
    <w:p w:rsidR="00CD3AA1" w:rsidRPr="00726710" w:rsidRDefault="00CD3AA1" w:rsidP="00CD3AA1">
      <w:pPr>
        <w:pStyle w:val="Bullet1"/>
      </w:pPr>
      <w:r w:rsidRPr="00726710">
        <w:t>eligible expenditure of grant funds.</w:t>
      </w:r>
    </w:p>
    <w:p w:rsidR="00CD3AA1" w:rsidRPr="00726710" w:rsidRDefault="00CD3AA1" w:rsidP="00CD3AA1">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101FF0">
        <w:rPr>
          <w:rFonts w:cstheme="minorHAnsi"/>
        </w:rPr>
        <w:t>also</w:t>
      </w:r>
      <w:r w:rsidRPr="00101FF0">
        <w:rPr>
          <w:rFonts w:cstheme="minorHAnsi"/>
          <w:b/>
        </w:rPr>
        <w:t xml:space="preserve"> </w:t>
      </w:r>
      <w:r w:rsidRPr="00726710">
        <w:rPr>
          <w:rFonts w:cstheme="minorHAnsi"/>
        </w:rPr>
        <w:t>be</w:t>
      </w:r>
      <w:r w:rsidRPr="00726710" w:rsidDel="00D505A5">
        <w:rPr>
          <w:rFonts w:cstheme="minorHAnsi"/>
        </w:rPr>
        <w:t xml:space="preserve"> responsible for:</w:t>
      </w:r>
    </w:p>
    <w:p w:rsidR="00CD3AA1" w:rsidRDefault="00CD3AA1" w:rsidP="00CD3AA1">
      <w:pPr>
        <w:pStyle w:val="Bullet1"/>
      </w:pPr>
      <w:r>
        <w:t>ensuring that anyone working directly with vulnerable people has the appropriate qualifications under relevant state or territory legislation.</w:t>
      </w:r>
    </w:p>
    <w:p w:rsidR="00CD3AA1" w:rsidRDefault="00CD3AA1" w:rsidP="00CD3AA1">
      <w:pPr>
        <w:pStyle w:val="Bullet1"/>
      </w:pPr>
      <w:r>
        <w:t>ensuring that organisation and outlet details are listed and up to date on the Department of Social Services Data Exchange</w:t>
      </w:r>
    </w:p>
    <w:p w:rsidR="00CD3AA1" w:rsidRPr="00726710" w:rsidDel="00D505A5" w:rsidRDefault="00CD3AA1" w:rsidP="00CD3AA1">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CD3AA1" w:rsidRPr="00726710" w:rsidDel="00D505A5" w:rsidRDefault="00CD3AA1" w:rsidP="00CD3AA1">
      <w:pPr>
        <w:pStyle w:val="Bullet1"/>
      </w:pPr>
      <w:r w:rsidRPr="00726710" w:rsidDel="00D505A5">
        <w:t xml:space="preserve">complying with record keeping, reporting and acquittal requirements </w:t>
      </w:r>
      <w:r w:rsidRPr="00726710">
        <w:t>as set out in the grant agreement</w:t>
      </w:r>
    </w:p>
    <w:p w:rsidR="00CD3AA1" w:rsidRDefault="00CD3AA1" w:rsidP="00CD3AA1">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rsidR="00CD3AA1" w:rsidRPr="00726710" w:rsidDel="00D505A5" w:rsidRDefault="00CD3AA1" w:rsidP="00CD3AA1">
      <w:pPr>
        <w:pStyle w:val="Bullet1"/>
      </w:pPr>
      <w:r>
        <w:t xml:space="preserve">having appropriate practices and procedures in place to mitigate fraud. </w:t>
      </w:r>
    </w:p>
    <w:p w:rsidR="00CD3AA1" w:rsidRPr="00B72EE8" w:rsidRDefault="00CD3AA1" w:rsidP="00CD3AA1">
      <w:pPr>
        <w:pStyle w:val="Heading2Numbered"/>
        <w:ind w:left="709" w:hanging="709"/>
      </w:pPr>
      <w:bookmarkStart w:id="220" w:name="_Toc420671454"/>
      <w:bookmarkStart w:id="221" w:name="_Toc433641186"/>
      <w:bookmarkStart w:id="222" w:name="_Toc467773986"/>
      <w:bookmarkStart w:id="223" w:name="_Toc514852302"/>
      <w:bookmarkStart w:id="224" w:name="_Toc519083701"/>
      <w:r w:rsidRPr="005A3C34">
        <w:rPr>
          <w:color w:val="auto"/>
        </w:rPr>
        <w:t xml:space="preserve">The </w:t>
      </w:r>
      <w:r>
        <w:rPr>
          <w:color w:val="auto"/>
        </w:rPr>
        <w:t>Department of Social Services’</w:t>
      </w:r>
      <w:r w:rsidRPr="005A3C34">
        <w:rPr>
          <w:color w:val="auto"/>
        </w:rPr>
        <w:t xml:space="preserve"> </w:t>
      </w:r>
      <w:r w:rsidRPr="00B72EE8">
        <w:t>responsibilities</w:t>
      </w:r>
      <w:bookmarkEnd w:id="220"/>
      <w:bookmarkEnd w:id="221"/>
      <w:bookmarkEnd w:id="222"/>
      <w:bookmarkEnd w:id="223"/>
      <w:bookmarkEnd w:id="224"/>
    </w:p>
    <w:p w:rsidR="00CD3AA1" w:rsidRPr="00726710" w:rsidRDefault="00CD3AA1" w:rsidP="00CD3AA1">
      <w:pPr>
        <w:rPr>
          <w:rFonts w:cstheme="minorHAnsi"/>
        </w:rPr>
      </w:pPr>
      <w:r w:rsidRPr="00726710">
        <w:rPr>
          <w:rFonts w:cstheme="minorHAnsi"/>
        </w:rPr>
        <w:t>The</w:t>
      </w:r>
      <w:r w:rsidRPr="00726710">
        <w:rPr>
          <w:rFonts w:cstheme="minorHAnsi"/>
          <w:b/>
        </w:rPr>
        <w:t xml:space="preserve"> </w:t>
      </w:r>
      <w:r>
        <w:rPr>
          <w:rFonts w:cstheme="minorHAnsi"/>
        </w:rPr>
        <w:t>Department of Social Services</w:t>
      </w:r>
      <w:r>
        <w:rPr>
          <w:rFonts w:cstheme="minorHAnsi"/>
          <w:b/>
        </w:rPr>
        <w:t xml:space="preserve"> </w:t>
      </w:r>
      <w:r w:rsidRPr="005A3C34">
        <w:rPr>
          <w:rFonts w:cstheme="minorHAnsi"/>
        </w:rPr>
        <w:t>will</w:t>
      </w:r>
      <w:r w:rsidRPr="00726710">
        <w:rPr>
          <w:rFonts w:cstheme="minorHAnsi"/>
        </w:rPr>
        <w:t xml:space="preserve">: </w:t>
      </w:r>
    </w:p>
    <w:p w:rsidR="00CD3AA1" w:rsidRPr="00726710" w:rsidRDefault="00CD3AA1" w:rsidP="00CD3AA1">
      <w:pPr>
        <w:pStyle w:val="Bullet1"/>
      </w:pPr>
      <w:r w:rsidRPr="00726710">
        <w:t>meet the terms and conditions</w:t>
      </w:r>
      <w:r>
        <w:t xml:space="preserve"> set out in the grant agreement</w:t>
      </w:r>
    </w:p>
    <w:p w:rsidR="00CD3AA1" w:rsidRPr="00726710" w:rsidRDefault="00CD3AA1" w:rsidP="00CD3AA1">
      <w:pPr>
        <w:pStyle w:val="Bullet1"/>
      </w:pPr>
      <w:r w:rsidRPr="00726710">
        <w:t>provide time</w:t>
      </w:r>
      <w:r>
        <w:t>ly administration of the grant</w:t>
      </w:r>
    </w:p>
    <w:p w:rsidR="00CD3AA1" w:rsidRPr="00726710" w:rsidRDefault="00CD3AA1" w:rsidP="00CD3AA1">
      <w:pPr>
        <w:pStyle w:val="Bullet1"/>
      </w:pPr>
      <w:r w:rsidRPr="00726710">
        <w:t>evaluate the grantee’s performance.</w:t>
      </w:r>
    </w:p>
    <w:p w:rsidR="00CD3AA1" w:rsidRPr="00726710" w:rsidRDefault="00CD3AA1" w:rsidP="00CD3AA1">
      <w:pPr>
        <w:rPr>
          <w:rFonts w:cstheme="minorHAnsi"/>
        </w:rPr>
      </w:pPr>
      <w:r w:rsidRPr="00726710">
        <w:rPr>
          <w:rFonts w:cstheme="minorHAnsi"/>
        </w:rPr>
        <w:t xml:space="preserve">We will monitor the progress of your project by assessing reports you submit and may conduct site visits to confirm details of your reports if necessary. </w:t>
      </w:r>
      <w:r>
        <w:rPr>
          <w:rFonts w:cstheme="minorHAnsi"/>
        </w:rPr>
        <w:t xml:space="preserve"> </w:t>
      </w:r>
      <w:r w:rsidRPr="00726710">
        <w:rPr>
          <w:rFonts w:cstheme="minorHAnsi"/>
        </w:rPr>
        <w:t xml:space="preserve">Occasionally we may need </w:t>
      </w:r>
      <w:r w:rsidRPr="00726710">
        <w:rPr>
          <w:rFonts w:cstheme="minorHAnsi"/>
        </w:rPr>
        <w:lastRenderedPageBreak/>
        <w:t xml:space="preserve">to re-examine claims, seek further information or request an independent audit of claims and payments. </w:t>
      </w:r>
    </w:p>
    <w:p w:rsidR="00CD3AA1" w:rsidRPr="00B72EE8" w:rsidRDefault="00CD3AA1" w:rsidP="00CD3AA1">
      <w:pPr>
        <w:pStyle w:val="Heading2Numbered"/>
        <w:ind w:left="709" w:hanging="709"/>
      </w:pPr>
      <w:bookmarkStart w:id="225" w:name="_Toc421777626"/>
      <w:bookmarkStart w:id="226" w:name="_Toc467773987"/>
      <w:bookmarkStart w:id="227" w:name="_Toc514852303"/>
      <w:bookmarkStart w:id="228" w:name="_Toc519083702"/>
      <w:bookmarkStart w:id="229" w:name="_Toc433641188"/>
      <w:r>
        <w:t>Grant p</w:t>
      </w:r>
      <w:r w:rsidRPr="00B72EE8">
        <w:t>ayments</w:t>
      </w:r>
      <w:bookmarkEnd w:id="225"/>
      <w:r>
        <w:t xml:space="preserve"> and GST</w:t>
      </w:r>
      <w:bookmarkEnd w:id="226"/>
      <w:bookmarkEnd w:id="227"/>
      <w:bookmarkEnd w:id="228"/>
      <w:r>
        <w:t xml:space="preserve"> </w:t>
      </w:r>
      <w:bookmarkEnd w:id="229"/>
    </w:p>
    <w:p w:rsidR="00CD3AA1" w:rsidRPr="00B72EE8" w:rsidRDefault="00CD3AA1" w:rsidP="00CD3AA1">
      <w:r>
        <w:t xml:space="preserve">If applicable, GST will be payable on this grant funding and will be made as set out in </w:t>
      </w:r>
      <w:r w:rsidRPr="00B72EE8">
        <w:t>the</w:t>
      </w:r>
      <w:r>
        <w:t xml:space="preserve"> grant agreement</w:t>
      </w:r>
      <w:r w:rsidRPr="00726710">
        <w:rPr>
          <w:color w:val="745B00" w:themeColor="accent3" w:themeShade="80"/>
        </w:rPr>
        <w:t xml:space="preserve">. </w:t>
      </w:r>
    </w:p>
    <w:p w:rsidR="00CD3AA1" w:rsidRPr="00DE3325" w:rsidRDefault="00CD3AA1" w:rsidP="00CD3AA1">
      <w:r w:rsidRPr="000715D5">
        <w:t>If you receive a grant,</w:t>
      </w:r>
      <w:r w:rsidRPr="00C44FAA">
        <w:t xml:space="preserve"> you should consider speaking to a tax advisor </w:t>
      </w:r>
      <w:r w:rsidRPr="00433E7D">
        <w:t xml:space="preserve">about the effect of receiving a grant before you enter into a grant agreement. </w:t>
      </w:r>
      <w:r>
        <w:t xml:space="preserve"> </w:t>
      </w:r>
      <w:r w:rsidRPr="00430E14">
        <w:t>You can also visit the</w:t>
      </w:r>
      <w:r w:rsidRPr="00C033CD">
        <w:t xml:space="preserve"> </w:t>
      </w:r>
      <w:hyperlink r:id="rId25" w:history="1">
        <w:r w:rsidRPr="00AE5A5C">
          <w:rPr>
            <w:rStyle w:val="Hyperlink"/>
            <w:rFonts w:cstheme="minorBidi"/>
          </w:rPr>
          <w:t>Australian Taxation Office website</w:t>
        </w:r>
      </w:hyperlink>
      <w:r w:rsidRPr="00E620C7">
        <w:t xml:space="preserve"> for more information.</w:t>
      </w:r>
    </w:p>
    <w:p w:rsidR="00CD3AA1" w:rsidRPr="00305665" w:rsidRDefault="00CD3AA1" w:rsidP="00CD3AA1">
      <w:pPr>
        <w:pStyle w:val="Heading2Numbered"/>
        <w:ind w:left="709" w:hanging="709"/>
      </w:pPr>
      <w:bookmarkStart w:id="230" w:name="_Toc514852304"/>
      <w:bookmarkStart w:id="231" w:name="_Toc519083703"/>
      <w:r>
        <w:t>Reporting</w:t>
      </w:r>
      <w:bookmarkEnd w:id="230"/>
      <w:bookmarkEnd w:id="231"/>
    </w:p>
    <w:p w:rsidR="00CD3AA1" w:rsidRPr="000048E2" w:rsidRDefault="00CD3AA1" w:rsidP="00CD3AA1">
      <w:pPr>
        <w:rPr>
          <w:rFonts w:cstheme="minorHAnsi"/>
          <w:lang w:val="en-GB"/>
        </w:rPr>
      </w:pPr>
      <w:r w:rsidRPr="00C359D3">
        <w:rPr>
          <w:rFonts w:cstheme="minorHAnsi"/>
        </w:rPr>
        <w:t xml:space="preserve">Grantees </w:t>
      </w:r>
      <w:r w:rsidRPr="000048E2">
        <w:rPr>
          <w:rFonts w:cstheme="minorHAnsi"/>
          <w:lang w:val="en-GB"/>
        </w:rPr>
        <w:t xml:space="preserve">must have systems in place to allow them to meet their data collection and reporting obligations outlined in their </w:t>
      </w:r>
      <w:r>
        <w:rPr>
          <w:rFonts w:cstheme="minorHAnsi"/>
          <w:lang w:val="en-GB"/>
        </w:rPr>
        <w:t>grant agreement</w:t>
      </w:r>
      <w:r w:rsidRPr="000048E2">
        <w:rPr>
          <w:rFonts w:cstheme="minorHAnsi"/>
          <w:lang w:val="en-GB"/>
        </w:rPr>
        <w:t>.  </w:t>
      </w:r>
    </w:p>
    <w:p w:rsidR="00CD3AA1" w:rsidRDefault="00CD3AA1" w:rsidP="00CD3AA1">
      <w:pPr>
        <w:rPr>
          <w:rFonts w:cstheme="minorHAnsi"/>
        </w:rPr>
      </w:pPr>
      <w:r w:rsidRPr="000048E2">
        <w:rPr>
          <w:rFonts w:cstheme="minorHAnsi"/>
        </w:rPr>
        <w:t xml:space="preserve">Performance information (e.g. client characteristics and service delivery information) will be required to be collected by service providers at the client level and entered directly into the department’s </w:t>
      </w:r>
      <w:r>
        <w:rPr>
          <w:rFonts w:cstheme="minorHAnsi"/>
        </w:rPr>
        <w:t xml:space="preserve">performance reporting solution, the Data Exchange.  </w:t>
      </w:r>
    </w:p>
    <w:p w:rsidR="00CD3AA1" w:rsidRDefault="00CD3AA1" w:rsidP="00CD3AA1">
      <w:r>
        <w:t>The performance information required includes:</w:t>
      </w:r>
    </w:p>
    <w:p w:rsidR="00CD3AA1" w:rsidRPr="00B3578C" w:rsidRDefault="00CD3AA1" w:rsidP="00CD3AA1">
      <w:pPr>
        <w:pStyle w:val="Bullet1"/>
        <w:numPr>
          <w:ilvl w:val="0"/>
          <w:numId w:val="22"/>
        </w:numPr>
      </w:pPr>
      <w:r w:rsidRPr="00B3578C">
        <w:t>Client identity characteristics (given and family names, date of birth, gender and residential address)</w:t>
      </w:r>
    </w:p>
    <w:p w:rsidR="00CD3AA1" w:rsidRPr="00B3578C" w:rsidRDefault="00CD3AA1" w:rsidP="00CD3AA1">
      <w:pPr>
        <w:pStyle w:val="Bullet1"/>
        <w:numPr>
          <w:ilvl w:val="0"/>
          <w:numId w:val="22"/>
        </w:numPr>
      </w:pPr>
      <w:r w:rsidRPr="00B3578C">
        <w:t>Client demographic characteristics (Indigenous status, cultural and linguistic diversity, and disability</w:t>
      </w:r>
      <w:r>
        <w:t xml:space="preserve"> status</w:t>
      </w:r>
      <w:r w:rsidRPr="00B3578C">
        <w:t>, impairment or condition)</w:t>
      </w:r>
    </w:p>
    <w:p w:rsidR="00CD3AA1" w:rsidRPr="00B3578C" w:rsidRDefault="00CD3AA1" w:rsidP="00CD3AA1">
      <w:pPr>
        <w:pStyle w:val="Bullet1"/>
        <w:numPr>
          <w:ilvl w:val="0"/>
          <w:numId w:val="22"/>
        </w:numPr>
      </w:pPr>
      <w:r w:rsidRPr="00B3578C">
        <w:t>Service delivery information</w:t>
      </w:r>
    </w:p>
    <w:p w:rsidR="00CD3AA1" w:rsidRDefault="00CD3AA1" w:rsidP="00CD3AA1">
      <w:pPr>
        <w:pStyle w:val="Bullet1"/>
        <w:numPr>
          <w:ilvl w:val="0"/>
          <w:numId w:val="22"/>
        </w:numPr>
      </w:pPr>
      <w:r w:rsidRPr="00B3578C">
        <w:t>Client outcomes</w:t>
      </w:r>
      <w:r>
        <w:t>.</w:t>
      </w:r>
    </w:p>
    <w:p w:rsidR="00CD3AA1" w:rsidRDefault="00CD3AA1" w:rsidP="00CD3AA1">
      <w:pPr>
        <w:spacing w:line="288" w:lineRule="auto"/>
        <w:rPr>
          <w:rFonts w:ascii="Arial" w:hAnsi="Arial" w:cs="Arial"/>
          <w:sz w:val="20"/>
          <w:szCs w:val="20"/>
          <w:lang w:eastAsia="en-AU"/>
        </w:rPr>
      </w:pPr>
      <w:r>
        <w:rPr>
          <w:rFonts w:ascii="Arial" w:hAnsi="Arial" w:cs="Arial"/>
        </w:rPr>
        <w:t>The Data Exchange has two standardised six monthly performance reporting periods each year:</w:t>
      </w:r>
    </w:p>
    <w:p w:rsidR="00CD3AA1" w:rsidRDefault="00CD3AA1" w:rsidP="00CD3AA1">
      <w:pPr>
        <w:pStyle w:val="ListParagraph"/>
        <w:numPr>
          <w:ilvl w:val="0"/>
          <w:numId w:val="54"/>
        </w:numPr>
        <w:spacing w:before="120" w:after="120" w:line="288" w:lineRule="auto"/>
        <w:ind w:left="709" w:hanging="425"/>
        <w:contextualSpacing/>
        <w:rPr>
          <w:rFonts w:ascii="Arial" w:hAnsi="Arial" w:cs="Arial"/>
          <w:b/>
          <w:bCs/>
          <w:sz w:val="20"/>
          <w:szCs w:val="20"/>
          <w:lang w:eastAsia="en-AU"/>
        </w:rPr>
      </w:pPr>
      <w:r>
        <w:rPr>
          <w:rFonts w:ascii="Arial" w:hAnsi="Arial" w:cs="Arial"/>
          <w:b/>
          <w:bCs/>
        </w:rPr>
        <w:t xml:space="preserve">Reporting Period 1 </w:t>
      </w:r>
      <w:r>
        <w:rPr>
          <w:rFonts w:ascii="Arial" w:hAnsi="Arial" w:cs="Arial"/>
        </w:rPr>
        <w:t>runs from 1 July to 31 December</w:t>
      </w:r>
      <w:r>
        <w:rPr>
          <w:rFonts w:ascii="Arial" w:hAnsi="Arial" w:cs="Arial"/>
          <w:b/>
          <w:bCs/>
        </w:rPr>
        <w:t xml:space="preserve"> </w:t>
      </w:r>
    </w:p>
    <w:p w:rsidR="00CD3AA1" w:rsidRDefault="00CD3AA1" w:rsidP="00CD3AA1">
      <w:pPr>
        <w:pStyle w:val="ListParagraph"/>
        <w:numPr>
          <w:ilvl w:val="0"/>
          <w:numId w:val="54"/>
        </w:numPr>
        <w:spacing w:before="120" w:after="120" w:line="288" w:lineRule="auto"/>
        <w:ind w:left="709" w:hanging="425"/>
        <w:contextualSpacing/>
        <w:rPr>
          <w:rFonts w:ascii="Arial" w:hAnsi="Arial" w:cs="Arial"/>
        </w:rPr>
      </w:pPr>
      <w:r>
        <w:rPr>
          <w:rFonts w:ascii="Arial" w:hAnsi="Arial" w:cs="Arial"/>
          <w:b/>
          <w:bCs/>
        </w:rPr>
        <w:t>Reporting Period 2</w:t>
      </w:r>
      <w:r>
        <w:rPr>
          <w:rFonts w:ascii="Arial" w:hAnsi="Arial" w:cs="Arial"/>
        </w:rPr>
        <w:t xml:space="preserve"> runs from 1 January to 30 June </w:t>
      </w:r>
    </w:p>
    <w:p w:rsidR="00CD3AA1" w:rsidRPr="00C359D3" w:rsidRDefault="00CD3AA1" w:rsidP="00CD3AA1">
      <w:pPr>
        <w:pStyle w:val="Bullet1"/>
        <w:numPr>
          <w:ilvl w:val="0"/>
          <w:numId w:val="0"/>
        </w:numPr>
        <w:ind w:left="284" w:hanging="284"/>
      </w:pPr>
      <w:r>
        <w:rPr>
          <w:rFonts w:ascii="Arial" w:hAnsi="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rsidR="00CD3AA1" w:rsidRPr="00B76933" w:rsidRDefault="00CD3AA1" w:rsidP="00CD3AA1">
      <w:pPr>
        <w:rPr>
          <w:rStyle w:val="Hyperlink"/>
          <w:rFonts w:eastAsia="Arial" w:cs="Arial"/>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 xml:space="preserve">Data Exchange Protocols </w:t>
      </w:r>
      <w:r w:rsidR="00B76933">
        <w:rPr>
          <w:rFonts w:cstheme="minorHAnsi"/>
        </w:rPr>
        <w:t xml:space="preserve">available on the </w:t>
      </w:r>
      <w:hyperlink r:id="rId26" w:history="1">
        <w:r w:rsidR="00B76933" w:rsidRPr="00E312A1">
          <w:rPr>
            <w:rFonts w:eastAsia="Arial" w:cs="Arial"/>
            <w:u w:val="single" w:color="0070C0"/>
          </w:rPr>
          <w:t>Data Exchang</w:t>
        </w:r>
        <w:bookmarkStart w:id="232" w:name="_GoBack"/>
        <w:bookmarkEnd w:id="232"/>
        <w:r w:rsidR="00B76933" w:rsidRPr="00E312A1">
          <w:rPr>
            <w:rFonts w:eastAsia="Arial" w:cs="Arial"/>
            <w:u w:val="single" w:color="0070C0"/>
          </w:rPr>
          <w:t>e</w:t>
        </w:r>
        <w:r w:rsidR="00B76933" w:rsidRPr="00E312A1">
          <w:rPr>
            <w:rFonts w:eastAsia="Arial" w:cs="Arial"/>
            <w:u w:val="single" w:color="0070C0"/>
          </w:rPr>
          <w:t xml:space="preserve"> website</w:t>
        </w:r>
      </w:hyperlink>
      <w:r w:rsidR="00B76933" w:rsidRPr="00E312A1">
        <w:rPr>
          <w:rFonts w:eastAsia="Arial" w:cs="Arial"/>
          <w:u w:val="single" w:color="0070C0"/>
          <w:lang w:val="en-GB"/>
        </w:rPr>
        <w:t>.</w:t>
      </w:r>
    </w:p>
    <w:p w:rsidR="00305665" w:rsidRDefault="00CD3AA1" w:rsidP="00CD3AA1">
      <w:pPr>
        <w:rPr>
          <w:rStyle w:val="Hyperlink"/>
          <w:rFonts w:cstheme="minorHAnsi"/>
          <w:lang w:val="en-GB"/>
        </w:rPr>
      </w:pPr>
      <w:r w:rsidRPr="00432CF9">
        <w:rPr>
          <w:rStyle w:val="Hyperlink"/>
          <w:rFonts w:cstheme="minorHAnsi"/>
          <w:u w:val="none"/>
          <w:lang w:val="en-GB"/>
        </w:rPr>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w:t>
      </w:r>
      <w:r w:rsidRPr="00432CF9">
        <w:rPr>
          <w:rStyle w:val="Hyperlink"/>
          <w:rFonts w:cstheme="minorHAnsi"/>
          <w:u w:val="none"/>
          <w:lang w:val="en-GB"/>
        </w:rPr>
        <w:lastRenderedPageBreak/>
        <w:t>partnership approach also includes some extended data items that provide additional information about client demographics, needs and circumstances</w:t>
      </w:r>
      <w:r>
        <w:rPr>
          <w:rStyle w:val="Hyperlink"/>
          <w:rFonts w:cstheme="minorHAnsi"/>
          <w:u w:val="none"/>
          <w:lang w:val="en-GB"/>
        </w:rPr>
        <w:t>.</w:t>
      </w:r>
      <w:r w:rsidR="00305665" w:rsidRPr="000048E2">
        <w:rPr>
          <w:rFonts w:cstheme="minorHAnsi"/>
        </w:rPr>
        <w:t xml:space="preserve"> </w:t>
      </w:r>
    </w:p>
    <w:p w:rsidR="00340616" w:rsidRPr="00B72EE8" w:rsidRDefault="00340616" w:rsidP="00892C8B">
      <w:pPr>
        <w:pStyle w:val="Heading2Numbered"/>
      </w:pPr>
      <w:bookmarkStart w:id="233" w:name="_Toc514068379"/>
      <w:bookmarkStart w:id="234" w:name="_Toc519083704"/>
      <w:bookmarkEnd w:id="233"/>
      <w:r>
        <w:t>E</w:t>
      </w:r>
      <w:r w:rsidRPr="00B72EE8">
        <w:t>valuation</w:t>
      </w:r>
      <w:bookmarkEnd w:id="218"/>
      <w:bookmarkEnd w:id="219"/>
      <w:bookmarkEnd w:id="234"/>
    </w:p>
    <w:p w:rsidR="001566F9" w:rsidRDefault="00726710" w:rsidP="00340616">
      <w:r>
        <w:t>The</w:t>
      </w:r>
      <w:r w:rsidRPr="00726710">
        <w:rPr>
          <w:b/>
          <w:color w:val="745B00" w:themeColor="accent3" w:themeShade="80"/>
        </w:rPr>
        <w:t xml:space="preserve"> </w:t>
      </w:r>
      <w:r w:rsidR="0024035E">
        <w:t xml:space="preserve">Department of Social Services </w:t>
      </w:r>
      <w:r w:rsidR="00243A26">
        <w:t>will</w:t>
      </w:r>
      <w:r w:rsidR="0024035E" w:rsidRPr="00C359D3">
        <w:rPr>
          <w:b/>
        </w:rPr>
        <w:t xml:space="preserve"> </w:t>
      </w:r>
      <w:r w:rsidR="00340616" w:rsidRPr="00B72EE8">
        <w:t>evaluat</w:t>
      </w:r>
      <w:r w:rsidR="00340616">
        <w:t>e</w:t>
      </w:r>
      <w:r w:rsidR="00340616" w:rsidRPr="00B72EE8">
        <w:t xml:space="preserve"> </w:t>
      </w:r>
      <w:r w:rsidR="0024035E">
        <w:t xml:space="preserve">FC for </w:t>
      </w:r>
      <w:r w:rsidR="00564C6D">
        <w:t>P</w:t>
      </w:r>
      <w:r w:rsidR="0024035E">
        <w:t xml:space="preserve">roblem </w:t>
      </w:r>
      <w:r w:rsidR="00564C6D">
        <w:t>G</w:t>
      </w:r>
      <w:r w:rsidR="0024035E">
        <w:t xml:space="preserve">ambling </w:t>
      </w:r>
      <w:r w:rsidR="00340616" w:rsidRPr="00B72EE8">
        <w:t>to</w:t>
      </w:r>
      <w:r w:rsidR="00340616">
        <w:t xml:space="preserve"> measure how well </w:t>
      </w:r>
      <w:r w:rsidR="00340616" w:rsidRPr="00B72EE8">
        <w:t xml:space="preserve">the outcomes and objectives have been achieved. </w:t>
      </w:r>
    </w:p>
    <w:p w:rsidR="001566F9" w:rsidRDefault="001566F9" w:rsidP="001566F9">
      <w:r>
        <w:t xml:space="preserve">The </w:t>
      </w:r>
      <w:r w:rsidR="00365CD4">
        <w:t xml:space="preserve">Department of Social Services </w:t>
      </w:r>
      <w:r w:rsidR="00365CD4" w:rsidRPr="00761228">
        <w:t>may</w:t>
      </w:r>
      <w:r w:rsidR="00365CD4">
        <w:t xml:space="preserve"> </w:t>
      </w:r>
      <w:r>
        <w:t>evaluate a range of issues, including but not limited to the p</w:t>
      </w:r>
      <w:r w:rsidRPr="001566F9">
        <w:t>erformance of the program, including the efficiency of implementation and effectiveness of the program meeting the outcomes</w:t>
      </w:r>
      <w:r>
        <w:t>.</w:t>
      </w:r>
    </w:p>
    <w:p w:rsidR="001C04AA" w:rsidRPr="00564C6D" w:rsidRDefault="001566F9" w:rsidP="001566F9">
      <w:r w:rsidRPr="00564C6D">
        <w:t xml:space="preserve">Your performance against the grant agreement will be monitored on an on-going basis by the Funding Arrangement Manager assigned by </w:t>
      </w:r>
      <w:r w:rsidR="0070488E" w:rsidRPr="00564C6D">
        <w:t>the Department of Social Services</w:t>
      </w:r>
      <w:r w:rsidRPr="00564C6D">
        <w:t>.  The Funding Arrangement Manager will ensure all milestones recorded in your grant agreement are met.</w:t>
      </w:r>
    </w:p>
    <w:p w:rsidR="00340616" w:rsidRPr="00564C6D" w:rsidRDefault="0070488E" w:rsidP="001566F9">
      <w:r w:rsidRPr="00564C6D">
        <w:t>Where a grantee fails to meet the outcomes and objectives of the funded activity, actions will be outlined in the grant agreement.</w:t>
      </w:r>
    </w:p>
    <w:p w:rsidR="00564C6D" w:rsidRPr="00564C6D" w:rsidRDefault="00564C6D" w:rsidP="001566F9">
      <w:r>
        <w:rPr>
          <w:rFonts w:asciiTheme="majorHAnsi" w:eastAsia="Times New Roman" w:hAnsiTheme="majorHAnsi" w:cstheme="majorHAnsi"/>
          <w:lang w:eastAsia="en-AU"/>
        </w:rPr>
        <w:t>Your grant agreement requires you to provide information to help with this evaluation.</w:t>
      </w:r>
    </w:p>
    <w:p w:rsidR="002A2026" w:rsidRDefault="002A2026" w:rsidP="002A2026">
      <w:pPr>
        <w:pStyle w:val="Heading2Numbered"/>
        <w:ind w:left="709" w:hanging="709"/>
      </w:pPr>
      <w:bookmarkStart w:id="235" w:name="_Toc514068382"/>
      <w:bookmarkStart w:id="236" w:name="_Toc514068383"/>
      <w:bookmarkStart w:id="237" w:name="_Toc519083705"/>
      <w:bookmarkEnd w:id="235"/>
      <w:bookmarkEnd w:id="236"/>
      <w:r>
        <w:t>Multicultural Access and Equity</w:t>
      </w:r>
      <w:bookmarkEnd w:id="237"/>
    </w:p>
    <w:p w:rsidR="000104CF" w:rsidRPr="000104CF" w:rsidRDefault="00025F09" w:rsidP="00025F09">
      <w:pPr>
        <w:pStyle w:val="Dash"/>
        <w:tabs>
          <w:tab w:val="clear" w:pos="567"/>
        </w:tabs>
        <w:ind w:left="0" w:hanging="1"/>
        <w:rPr>
          <w:rFonts w:asciiTheme="majorHAnsi" w:hAnsiTheme="majorHAnsi" w:cstheme="majorHAnsi"/>
        </w:rPr>
      </w:pPr>
      <w:r>
        <w:rPr>
          <w:rFonts w:asciiTheme="majorHAnsi" w:hAnsiTheme="majorHAnsi" w:cstheme="majorHAnsi"/>
        </w:rPr>
        <w:t>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Department of Home Affairs website.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Australian Government Language Services Guidelines on the Department of Social Services website may also assist grant recipients implement language services for their clients.</w:t>
      </w:r>
    </w:p>
    <w:p w:rsidR="00340616" w:rsidRPr="00B72EE8" w:rsidRDefault="00340616" w:rsidP="0054078D">
      <w:pPr>
        <w:pStyle w:val="Heading1Numbered"/>
      </w:pPr>
      <w:bookmarkStart w:id="238" w:name="_Toc467773990"/>
      <w:bookmarkStart w:id="239" w:name="_Toc519083706"/>
      <w:bookmarkStart w:id="240" w:name="_Toc421777631"/>
      <w:r w:rsidRPr="00B72EE8">
        <w:t>Probity</w:t>
      </w:r>
      <w:bookmarkEnd w:id="238"/>
      <w:bookmarkEnd w:id="239"/>
      <w:r w:rsidRPr="00B72EE8">
        <w:t xml:space="preserve"> </w:t>
      </w:r>
      <w:bookmarkEnd w:id="240"/>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700D81" w:rsidRPr="00045933">
        <w:rPr>
          <w:i/>
        </w:rPr>
        <w:t xml:space="preserve">Commonwealth Grants Rules and Guidelines </w:t>
      </w:r>
      <w:r w:rsidR="00700D81">
        <w:rPr>
          <w:i/>
        </w:rPr>
        <w:t>2017.</w:t>
      </w:r>
    </w:p>
    <w:p w:rsidR="00340616" w:rsidRPr="00B72EE8" w:rsidRDefault="00340616" w:rsidP="00340616">
      <w:r w:rsidRPr="00726710">
        <w:rPr>
          <w:b/>
        </w:rPr>
        <w:t>Note:</w:t>
      </w:r>
      <w:r w:rsidRPr="00726710">
        <w:t xml:space="preserve"> These </w:t>
      </w:r>
      <w:r w:rsidR="008F26BF">
        <w:t xml:space="preserve">grant opportunity </w:t>
      </w:r>
      <w:r w:rsidRPr="00726710">
        <w:t>guidelines may be changed from time-to-time by</w:t>
      </w:r>
      <w:r w:rsidRPr="00726710">
        <w:rPr>
          <w:b/>
        </w:rPr>
        <w:t xml:space="preserve"> </w:t>
      </w:r>
      <w:r w:rsidR="0024035E" w:rsidRPr="0053097A">
        <w:t>the Department of Soc</w:t>
      </w:r>
      <w:r w:rsidR="0024035E">
        <w:t>i</w:t>
      </w:r>
      <w:r w:rsidR="0024035E" w:rsidRPr="0053097A">
        <w:t>a</w:t>
      </w:r>
      <w:r w:rsidR="0024035E" w:rsidRPr="00C359D3">
        <w:t>l Services</w:t>
      </w:r>
      <w:r w:rsidRPr="00726710">
        <w:t xml:space="preserve">. </w:t>
      </w:r>
      <w:r w:rsidR="0024035E">
        <w:t xml:space="preserve"> </w:t>
      </w:r>
      <w:r w:rsidRPr="00726710">
        <w:t xml:space="preserve">When this happens the revised guidelines will be published on </w:t>
      </w:r>
      <w:hyperlink r:id="rId27" w:history="1">
        <w:r w:rsidR="00DD52C8" w:rsidRPr="00DD52C8">
          <w:rPr>
            <w:rStyle w:val="Hyperlink"/>
            <w:rFonts w:cstheme="minorBidi"/>
          </w:rPr>
          <w:t>GrantConnect</w:t>
        </w:r>
      </w:hyperlink>
      <w:r w:rsidR="00181073">
        <w:rPr>
          <w:rStyle w:val="Hyperlink"/>
          <w:rFonts w:cstheme="minorBidi"/>
          <w:u w:val="none"/>
        </w:rPr>
        <w:t xml:space="preserve"> and the </w:t>
      </w:r>
      <w:hyperlink r:id="rId28"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rsidR="00340616" w:rsidRPr="0054078D" w:rsidRDefault="00340616" w:rsidP="00892C8B">
      <w:pPr>
        <w:pStyle w:val="Heading2Numbered"/>
        <w:ind w:left="709" w:hanging="709"/>
      </w:pPr>
      <w:bookmarkStart w:id="241" w:name="_Toc414983585"/>
      <w:bookmarkStart w:id="242" w:name="_Toc414984002"/>
      <w:bookmarkStart w:id="243" w:name="_Toc414984762"/>
      <w:bookmarkStart w:id="244" w:name="_Toc414984856"/>
      <w:bookmarkStart w:id="245" w:name="_Toc414984960"/>
      <w:bookmarkStart w:id="246" w:name="_Toc414985063"/>
      <w:bookmarkStart w:id="247" w:name="_Toc414985166"/>
      <w:bookmarkStart w:id="248" w:name="_Toc414985268"/>
      <w:bookmarkStart w:id="249" w:name="_Toc421777632"/>
      <w:bookmarkStart w:id="250" w:name="_Toc467773991"/>
      <w:bookmarkStart w:id="251" w:name="_Toc519083707"/>
      <w:bookmarkEnd w:id="241"/>
      <w:bookmarkEnd w:id="242"/>
      <w:bookmarkEnd w:id="243"/>
      <w:bookmarkEnd w:id="244"/>
      <w:bookmarkEnd w:id="245"/>
      <w:bookmarkEnd w:id="246"/>
      <w:bookmarkEnd w:id="247"/>
      <w:bookmarkEnd w:id="248"/>
      <w:r w:rsidRPr="0054078D">
        <w:lastRenderedPageBreak/>
        <w:t>Complaints process</w:t>
      </w:r>
      <w:bookmarkEnd w:id="249"/>
      <w:bookmarkEnd w:id="250"/>
      <w:bookmarkEnd w:id="251"/>
    </w:p>
    <w:p w:rsidR="008F4C2E" w:rsidRPr="00C2163B" w:rsidRDefault="008F4C2E" w:rsidP="008F4C2E">
      <w:pPr>
        <w:rPr>
          <w:b/>
        </w:rPr>
      </w:pPr>
      <w:bookmarkStart w:id="252" w:name="_Toc421777633"/>
      <w:bookmarkStart w:id="253" w:name="_Toc467773992"/>
      <w:r>
        <w:rPr>
          <w:b/>
        </w:rPr>
        <w:t>Complaints about the Program</w:t>
      </w:r>
    </w:p>
    <w:p w:rsidR="008F4C2E" w:rsidRDefault="008F4C2E" w:rsidP="008F4C2E">
      <w:r>
        <w:t>The</w:t>
      </w:r>
      <w:r w:rsidRPr="00726710">
        <w:rPr>
          <w:b/>
          <w:color w:val="745B00" w:themeColor="accent3" w:themeShade="80"/>
        </w:rPr>
        <w:t xml:space="preserve"> </w:t>
      </w:r>
      <w:r w:rsidR="00BE399B">
        <w:t>Department of Social Services</w:t>
      </w:r>
      <w:r w:rsidR="00BE399B" w:rsidRPr="006E102A">
        <w:rPr>
          <w:rFonts w:cstheme="minorHAnsi"/>
          <w:b/>
          <w:color w:val="745B00" w:themeColor="accent3" w:themeShade="80"/>
        </w:rPr>
        <w:t xml:space="preserve"> </w:t>
      </w:r>
      <w:hyperlink r:id="rId29" w:history="1">
        <w:r w:rsidR="00BE399B" w:rsidRPr="006E102A">
          <w:rPr>
            <w:rFonts w:eastAsia="Times New Roman" w:cstheme="minorHAnsi"/>
            <w:color w:val="0000FF"/>
            <w:u w:val="single"/>
          </w:rPr>
          <w:t>Complaints Procedures</w:t>
        </w:r>
      </w:hyperlink>
      <w:r w:rsidR="00BE399B">
        <w:t xml:space="preserve"> a</w:t>
      </w:r>
      <w:r w:rsidRPr="00B72EE8">
        <w:t xml:space="preserve">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rsidR="008F4C2E" w:rsidRPr="00B72EE8" w:rsidRDefault="008F4C2E" w:rsidP="008F4C2E">
      <w:r>
        <w:t xml:space="preserve">Any questions you have about grant decisions for the Program should be sent to </w:t>
      </w:r>
      <w:hyperlink r:id="rId30" w:history="1">
        <w:r w:rsidR="00BE399B" w:rsidRPr="006E102A">
          <w:rPr>
            <w:rFonts w:eastAsia="Times New Roman" w:cstheme="minorHAnsi"/>
            <w:color w:val="0000FF"/>
            <w:u w:val="single"/>
          </w:rPr>
          <w:t>support@communitygrants.gov.au</w:t>
        </w:r>
      </w:hyperlink>
      <w:r w:rsidR="00BE399B" w:rsidRPr="008F4C2E">
        <w:rPr>
          <w:b/>
          <w:color w:val="745B00" w:themeColor="accent3" w:themeShade="80"/>
        </w:rPr>
        <w:t xml:space="preserve"> </w:t>
      </w:r>
    </w:p>
    <w:p w:rsidR="001C022C" w:rsidRDefault="001C022C" w:rsidP="001C022C">
      <w:pPr>
        <w:rPr>
          <w:b/>
        </w:rPr>
      </w:pPr>
      <w:r w:rsidRPr="00A916BA">
        <w:rPr>
          <w:b/>
        </w:rPr>
        <w:t>Complaints about the Process</w:t>
      </w:r>
    </w:p>
    <w:p w:rsidR="001C022C" w:rsidRPr="00A916BA" w:rsidRDefault="001C022C" w:rsidP="001C022C">
      <w:r w:rsidRPr="00A916BA">
        <w:t xml:space="preserve">Applicants can contact the complaints service with complaints about Community Grants Hub’s service(s) or the application process. </w:t>
      </w:r>
    </w:p>
    <w:p w:rsidR="001C022C" w:rsidRDefault="001C022C" w:rsidP="001C022C">
      <w:r w:rsidRPr="00A916BA">
        <w:t xml:space="preserve">Details of what constitutes an eligible complaint can be provided upon request by the Community Grants Hub.  Applicants can lodge complaints using the </w:t>
      </w:r>
      <w:hyperlink r:id="rId31" w:history="1">
        <w:r w:rsidRPr="0011101F">
          <w:rPr>
            <w:rStyle w:val="Hyperlink"/>
            <w:rFonts w:cstheme="minorBidi"/>
          </w:rPr>
          <w:t>complaints form</w:t>
        </w:r>
      </w:hyperlink>
      <w:r w:rsidRPr="00A916BA">
        <w:t xml:space="preserve"> on the Department</w:t>
      </w:r>
      <w:r w:rsidR="0044601E">
        <w:t xml:space="preserve"> of Social Services’</w:t>
      </w:r>
      <w:r w:rsidRPr="00A916BA">
        <w:t xml:space="preserve"> webs</w:t>
      </w:r>
      <w:r>
        <w:t>ite or by phone or mail.</w:t>
      </w:r>
    </w:p>
    <w:p w:rsidR="00592EB3" w:rsidRDefault="00592EB3" w:rsidP="00592EB3">
      <w:pPr>
        <w:spacing w:before="0" w:after="0" w:line="240" w:lineRule="auto"/>
      </w:pPr>
    </w:p>
    <w:p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rsidR="0090794D" w:rsidRPr="00A916BA" w:rsidRDefault="0090794D" w:rsidP="00592EB3">
      <w:pPr>
        <w:spacing w:before="0" w:after="0" w:line="240" w:lineRule="auto"/>
      </w:pPr>
      <w:r w:rsidRPr="00A916BA">
        <w:t>Mail:</w:t>
      </w:r>
      <w:r w:rsidR="008C6A77">
        <w:tab/>
      </w:r>
      <w:r w:rsidR="008C6A77">
        <w:tab/>
      </w:r>
      <w:r w:rsidRPr="00A916BA">
        <w:t>Complaints</w:t>
      </w:r>
    </w:p>
    <w:p w:rsidR="0090794D" w:rsidRPr="00A916BA" w:rsidRDefault="0090794D" w:rsidP="008C6A77">
      <w:pPr>
        <w:spacing w:before="0" w:after="0" w:line="240" w:lineRule="auto"/>
        <w:ind w:left="720" w:firstLine="720"/>
      </w:pPr>
      <w:r w:rsidRPr="00A916BA">
        <w:t>GPO Box 9820</w:t>
      </w:r>
    </w:p>
    <w:p w:rsidR="0090794D" w:rsidRPr="00A916BA" w:rsidRDefault="0090794D" w:rsidP="008C6A77">
      <w:pPr>
        <w:spacing w:before="0" w:after="0" w:line="240" w:lineRule="auto"/>
        <w:ind w:left="720" w:firstLine="720"/>
      </w:pPr>
      <w:r w:rsidRPr="00A916BA">
        <w:t>Canberra ACT 2601</w:t>
      </w:r>
    </w:p>
    <w:p w:rsidR="001C022C" w:rsidRPr="00A916BA" w:rsidRDefault="001C022C" w:rsidP="001C022C">
      <w:pPr>
        <w:rPr>
          <w:b/>
        </w:rPr>
      </w:pPr>
      <w:r>
        <w:rPr>
          <w:b/>
        </w:rPr>
        <w:t>Complaints to the Ombudsman</w:t>
      </w:r>
    </w:p>
    <w:p w:rsidR="001C022C" w:rsidRDefault="001C022C" w:rsidP="001C022C">
      <w:r>
        <w:t xml:space="preserve">If you do not agree with the way the </w:t>
      </w:r>
      <w:r w:rsidR="00BE399B">
        <w:t xml:space="preserve">Department of Social Services </w:t>
      </w:r>
      <w:r>
        <w:t xml:space="preserve">has handled your complaint, you may complain to the Commonwealth Ombudsman. </w:t>
      </w:r>
      <w:r w:rsidR="00BE399B">
        <w:t xml:space="preserve"> </w:t>
      </w:r>
      <w:r>
        <w:t xml:space="preserve">The Ombudsman will not usually look into a complaint unless the matter has first been raised directly with the </w:t>
      </w:r>
      <w:r w:rsidR="00BE399B">
        <w:t>Department of Social Services</w:t>
      </w:r>
      <w:r>
        <w:t>.</w:t>
      </w:r>
    </w:p>
    <w:p w:rsidR="001C022C" w:rsidRDefault="001C022C" w:rsidP="001C022C">
      <w:pPr>
        <w:ind w:left="5040" w:hanging="5040"/>
      </w:pPr>
      <w:r>
        <w:t xml:space="preserve">The Commonwealth Ombudsman can be contacted on: </w:t>
      </w:r>
    </w:p>
    <w:p w:rsidR="00302DEE" w:rsidRDefault="001C022C" w:rsidP="001C022C">
      <w:pPr>
        <w:ind w:left="1440"/>
      </w:pPr>
      <w:r>
        <w:t>Phone (Toll free): 1300 362 072</w:t>
      </w:r>
      <w:r>
        <w:br/>
        <w:t xml:space="preserve">Email: </w:t>
      </w:r>
      <w:hyperlink r:id="rId32" w:history="1">
        <w:r>
          <w:rPr>
            <w:rStyle w:val="Hyperlink"/>
          </w:rPr>
          <w:t>ombudsman@ombudsman.gov.au</w:t>
        </w:r>
      </w:hyperlink>
      <w:r>
        <w:t xml:space="preserve"> </w:t>
      </w:r>
      <w:r>
        <w:br/>
        <w:t xml:space="preserve">Website: </w:t>
      </w:r>
      <w:hyperlink r:id="rId33" w:history="1">
        <w:r>
          <w:rPr>
            <w:rStyle w:val="Hyperlink"/>
          </w:rPr>
          <w:t>www.ombudsman.gov.au</w:t>
        </w:r>
      </w:hyperlink>
    </w:p>
    <w:p w:rsidR="00340616" w:rsidRPr="00B72EE8" w:rsidRDefault="00340616" w:rsidP="00892C8B">
      <w:pPr>
        <w:pStyle w:val="Heading2Numbered"/>
        <w:ind w:left="709" w:hanging="709"/>
      </w:pPr>
      <w:bookmarkStart w:id="254" w:name="_Toc519083708"/>
      <w:r w:rsidRPr="00B72EE8">
        <w:t>Conflict of interest</w:t>
      </w:r>
      <w:bookmarkEnd w:id="252"/>
      <w:bookmarkEnd w:id="253"/>
      <w:bookmarkEnd w:id="254"/>
    </w:p>
    <w:p w:rsidR="00340616" w:rsidRPr="00B72EE8" w:rsidRDefault="00340616" w:rsidP="00340616">
      <w:r>
        <w:t xml:space="preserve">Any </w:t>
      </w:r>
      <w:r w:rsidRPr="00726710">
        <w:t xml:space="preserve">conflicts of interest could affect the performance of the grant.  There may be a </w:t>
      </w:r>
      <w:hyperlink r:id="rId34"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BE399B">
        <w:t xml:space="preserve">the Department of Social Services </w:t>
      </w:r>
      <w:r w:rsidR="00533BCE" w:rsidRPr="00C359D3">
        <w:t>and the Community Grants Hub</w:t>
      </w:r>
      <w:r w:rsidR="00533BCE" w:rsidRPr="00C359D3">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r w:rsidRPr="00B72EE8">
        <w:lastRenderedPageBreak/>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BE399B">
        <w:t xml:space="preserve">Department of Social Services </w:t>
      </w:r>
      <w:r w:rsidR="00533BCE" w:rsidRPr="00C359D3">
        <w:t>and the Community Grants Hub</w:t>
      </w:r>
      <w:r w:rsidRPr="00C359D3">
        <w:t xml:space="preserve"> </w:t>
      </w:r>
      <w:r w:rsidRPr="00B72EE8">
        <w:t xml:space="preserve">in writing immediately. </w:t>
      </w:r>
      <w:r w:rsidR="00900236">
        <w:t xml:space="preserve"> </w:t>
      </w:r>
      <w:r>
        <w:t>Committee members and other officials including the decision maker must also declare any conflicts of interest.</w:t>
      </w:r>
    </w:p>
    <w:p w:rsidR="00340616" w:rsidRPr="00B72EE8" w:rsidRDefault="00340616" w:rsidP="00340616">
      <w:r w:rsidRPr="00B72EE8">
        <w:t xml:space="preserve">The chair of the </w:t>
      </w:r>
      <w:r w:rsidR="00906C07">
        <w:t>e</w:t>
      </w:r>
      <w:r w:rsidR="00647D91">
        <w:t xml:space="preserve">xpert </w:t>
      </w:r>
      <w:r w:rsidR="00906C07">
        <w:t>p</w:t>
      </w:r>
      <w:r w:rsidR="00647D91">
        <w:t>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00900236">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5"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rsidR="00340616" w:rsidRPr="00440282" w:rsidRDefault="00340616" w:rsidP="00892C8B">
      <w:pPr>
        <w:pStyle w:val="Heading2Numbered"/>
        <w:ind w:left="709" w:hanging="709"/>
      </w:pPr>
      <w:bookmarkStart w:id="255" w:name="_Toc421777634"/>
      <w:bookmarkStart w:id="256" w:name="_Toc467773993"/>
      <w:bookmarkStart w:id="257" w:name="_Toc519083709"/>
      <w:r w:rsidRPr="00B72EE8">
        <w:t>Privacy: confidentiality and protection of personal information</w:t>
      </w:r>
      <w:bookmarkEnd w:id="255"/>
      <w:bookmarkEnd w:id="256"/>
      <w:bookmarkEnd w:id="257"/>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w:t>
      </w:r>
      <w:r w:rsidR="00732D4D">
        <w:t xml:space="preserve"> </w:t>
      </w:r>
      <w:r w:rsidRPr="000D1F02">
        <w:t xml:space="preserve">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r w:rsidRPr="00E86A67">
        <w:t>who we gi</w:t>
      </w:r>
      <w:r>
        <w:t>ve your personal information to</w:t>
      </w:r>
      <w:r w:rsidR="001D1242">
        <w:t>.</w:t>
      </w:r>
    </w:p>
    <w:p w:rsidR="00340616" w:rsidRPr="00E86A67" w:rsidRDefault="00340616" w:rsidP="00340616">
      <w:r w:rsidRPr="00E86A67">
        <w:t xml:space="preserve">You are required, as part of your application, to declare your ability to comply with the </w:t>
      </w:r>
      <w:hyperlink r:id="rId36"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w:t>
      </w:r>
      <w:r w:rsidR="0003040E">
        <w:t xml:space="preserve"> </w:t>
      </w:r>
      <w:r w:rsidRPr="00E86A67">
        <w:t>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grant</w:t>
      </w:r>
      <w:r w:rsidR="00074E15">
        <w:t>ees</w:t>
      </w:r>
      <w:r>
        <w:t xml:space="preserve"> </w:t>
      </w:r>
      <w:r w:rsidRPr="00763129">
        <w:t>under the Program 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lastRenderedPageBreak/>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r w:rsidRPr="0033741C">
        <w:t xml:space="preserve">a House or a Committee of the </w:t>
      </w:r>
      <w:r>
        <w:t xml:space="preserve">Australian </w:t>
      </w:r>
      <w:r w:rsidRPr="0033741C">
        <w:t>Parliament</w:t>
      </w:r>
      <w:r>
        <w: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726710">
      <w:pPr>
        <w:pStyle w:val="NumberedList1"/>
        <w:numPr>
          <w:ilvl w:val="0"/>
          <w:numId w:val="16"/>
        </w:numPr>
      </w:pPr>
      <w:r>
        <w:t>y</w:t>
      </w:r>
      <w:r w:rsidRPr="00AB0818">
        <w:t>ou clearly identify the information as confidential and explain why we should treat it as conf</w:t>
      </w:r>
      <w:r>
        <w:t>idential</w:t>
      </w:r>
    </w:p>
    <w:p w:rsidR="00340616" w:rsidRPr="00AB0818" w:rsidRDefault="00340616" w:rsidP="0054078D">
      <w:pPr>
        <w:pStyle w:val="NumberedList1"/>
      </w:pPr>
      <w:r>
        <w:t>t</w:t>
      </w:r>
      <w:r w:rsidRPr="00AB0818">
        <w:t>he inform</w:t>
      </w:r>
      <w:r>
        <w:t>ation is commercially sensitive</w:t>
      </w:r>
    </w:p>
    <w:p w:rsidR="00340616" w:rsidRPr="00AB0818" w:rsidRDefault="00340616" w:rsidP="0054078D">
      <w:pPr>
        <w:pStyle w:val="NumberedList1"/>
      </w:pPr>
      <w:r>
        <w:t>r</w:t>
      </w:r>
      <w:r w:rsidRPr="00AB0818">
        <w:t>evealing the information would cause unreasona</w:t>
      </w:r>
      <w:r>
        <w:t>ble harm to you or someone else</w:t>
      </w:r>
    </w:p>
    <w:p w:rsidR="00340616" w:rsidRDefault="00340616" w:rsidP="0054078D">
      <w:pPr>
        <w:pStyle w:val="NumberedList1"/>
      </w:pPr>
      <w:r>
        <w:t>y</w:t>
      </w:r>
      <w:r w:rsidRPr="00AB0818">
        <w:t>ou provide the information with an understanding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892C8B">
      <w:pPr>
        <w:pStyle w:val="Heading2Numbered"/>
        <w:ind w:left="709" w:hanging="709"/>
      </w:pPr>
      <w:bookmarkStart w:id="258" w:name="_Toc421777635"/>
      <w:bookmarkStart w:id="259" w:name="_Toc467773994"/>
      <w:bookmarkStart w:id="260" w:name="_Toc519083710"/>
      <w:r w:rsidRPr="00B72EE8">
        <w:t>Freedom of information</w:t>
      </w:r>
      <w:bookmarkEnd w:id="258"/>
      <w:bookmarkEnd w:id="259"/>
      <w:bookmarkEnd w:id="260"/>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w:t>
      </w:r>
      <w:r w:rsidR="00D44875">
        <w:t xml:space="preserve"> </w:t>
      </w:r>
      <w:r w:rsidRPr="00B72EE8">
        <w:t xml:space="preserve">Under the FOI Act, members of the public can seek access to documents held by the </w:t>
      </w:r>
      <w:r>
        <w:t>Australian Government</w:t>
      </w:r>
      <w:r w:rsidRPr="00B72EE8">
        <w:t xml:space="preserve">. </w:t>
      </w:r>
      <w:r w:rsidR="00D44875">
        <w:t xml:space="preserve"> </w:t>
      </w:r>
      <w:r w:rsidRPr="00B72EE8">
        <w:t>This right of access is limited only by the exceptions and exemptions necessary to protect essential public interests and private and business affairs of persons in respect of whom the information relates.</w:t>
      </w:r>
    </w:p>
    <w:p w:rsidR="00340616" w:rsidRDefault="00340616" w:rsidP="00605824">
      <w:r w:rsidRPr="00B72EE8">
        <w:t>All F</w:t>
      </w:r>
      <w:r>
        <w:t xml:space="preserve">reedom of Information </w:t>
      </w:r>
      <w:r w:rsidRPr="00B72EE8">
        <w:t>requests must be referred to the Freedom of Information Coordinator in writing.</w:t>
      </w:r>
    </w:p>
    <w:p w:rsidR="00B50215" w:rsidRPr="00B72EE8" w:rsidRDefault="00B50215" w:rsidP="00605824">
      <w:pPr>
        <w:spacing w:before="0" w:after="0"/>
      </w:pP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192E36" w:rsidP="00A9798A">
      <w:pPr>
        <w:tabs>
          <w:tab w:val="left" w:pos="1418"/>
        </w:tabs>
        <w:spacing w:before="0" w:after="0" w:line="240" w:lineRule="auto"/>
        <w:ind w:left="2836" w:hanging="1418"/>
      </w:pPr>
      <w:r>
        <w:t>Government and Executive Services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t>Canberra  ACT  2601</w:t>
      </w:r>
    </w:p>
    <w:p w:rsidR="00340616" w:rsidRPr="00B72EE8" w:rsidRDefault="00340616" w:rsidP="00340616">
      <w:r w:rsidRPr="00B72EE8">
        <w:t>By email:</w:t>
      </w:r>
      <w:r w:rsidRPr="00B72EE8">
        <w:tab/>
      </w:r>
      <w:hyperlink r:id="rId37" w:history="1">
        <w:r w:rsidR="00533BCE" w:rsidRPr="00367A67">
          <w:rPr>
            <w:rStyle w:val="Hyperlink"/>
            <w:rFonts w:cstheme="minorBidi"/>
          </w:rPr>
          <w:t>foi@dss.gov.au</w:t>
        </w:r>
      </w:hyperlink>
      <w:r w:rsidR="00533BCE" w:rsidRPr="00367A67">
        <w:rPr>
          <w:color w:val="745B00" w:themeColor="accent3" w:themeShade="80"/>
        </w:rPr>
        <w:t xml:space="preserve"> </w:t>
      </w:r>
    </w:p>
    <w:p w:rsidR="00340616" w:rsidRPr="00B72EE8" w:rsidRDefault="00340616" w:rsidP="0054078D">
      <w:pPr>
        <w:pStyle w:val="Heading1Numbered"/>
      </w:pPr>
      <w:bookmarkStart w:id="261" w:name="_Toc421777637"/>
      <w:bookmarkStart w:id="262" w:name="_Toc467773995"/>
      <w:bookmarkStart w:id="263" w:name="_Toc519083711"/>
      <w:r w:rsidRPr="00B72EE8">
        <w:t>Consultation</w:t>
      </w:r>
      <w:bookmarkEnd w:id="261"/>
      <w:bookmarkEnd w:id="262"/>
      <w:bookmarkEnd w:id="263"/>
    </w:p>
    <w:p w:rsidR="0053097A" w:rsidRPr="00641F21" w:rsidRDefault="0053097A" w:rsidP="00C359D3">
      <w:r w:rsidRPr="0053097A">
        <w:t>In January 2017, the Department</w:t>
      </w:r>
      <w:r w:rsidR="0044601E">
        <w:t xml:space="preserve"> of Social Services</w:t>
      </w:r>
      <w:r w:rsidRPr="0053097A">
        <w:t xml:space="preserve"> commenced a consultation process for the redesign</w:t>
      </w:r>
      <w:r w:rsidRPr="001173C8">
        <w:t xml:space="preserve"> of the Financial Wellbeing and Capability Activity. This included releasing a discussion paper in February 2017. Additionally, some face-to-face meet</w:t>
      </w:r>
      <w:r w:rsidRPr="00641F21">
        <w:t xml:space="preserve">ings were held with selected peak organisations. </w:t>
      </w:r>
    </w:p>
    <w:p w:rsidR="002B5F2C" w:rsidRDefault="0053097A" w:rsidP="00C359D3">
      <w:r w:rsidRPr="00641F21">
        <w:t xml:space="preserve">The Department </w:t>
      </w:r>
      <w:r w:rsidR="001C04AA">
        <w:t>o</w:t>
      </w:r>
      <w:r w:rsidR="0044601E">
        <w:t xml:space="preserve">f Social Services </w:t>
      </w:r>
      <w:r w:rsidRPr="00641F21">
        <w:t>received around 100 submissions on the discussion paper, mostly from Financial Wellbeing and Capability funded organisations. All submissions were analysed and considered in the development of the redesign.</w:t>
      </w:r>
    </w:p>
    <w:p w:rsidR="002B5F2C" w:rsidRDefault="002B5F2C">
      <w:pPr>
        <w:suppressAutoHyphens w:val="0"/>
        <w:spacing w:before="0" w:after="120" w:line="440" w:lineRule="atLeast"/>
      </w:pPr>
      <w:r>
        <w:br w:type="page"/>
      </w:r>
    </w:p>
    <w:p w:rsidR="00340616" w:rsidRDefault="00340616" w:rsidP="0054078D">
      <w:pPr>
        <w:pStyle w:val="Heading1Numbered"/>
      </w:pPr>
      <w:bookmarkStart w:id="264" w:name="_Toc467773996"/>
      <w:bookmarkStart w:id="265" w:name="_Toc519083712"/>
      <w:r w:rsidRPr="00B72EE8">
        <w:lastRenderedPageBreak/>
        <w:t>Glossary</w:t>
      </w:r>
      <w:bookmarkEnd w:id="264"/>
      <w:bookmarkEnd w:id="265"/>
    </w:p>
    <w:p w:rsidR="00340616" w:rsidRDefault="00340616" w:rsidP="00340616">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03793B" w:rsidRPr="00FF507B" w:rsidRDefault="0003793B" w:rsidP="002A2026">
            <w:pPr>
              <w:tabs>
                <w:tab w:val="left" w:pos="2835"/>
              </w:tabs>
              <w:spacing w:after="120"/>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grant activity. </w:t>
            </w:r>
          </w:p>
        </w:tc>
      </w:tr>
      <w:tr w:rsidR="0003793B" w:rsidRPr="001B21A4" w:rsidTr="002A2026">
        <w:tc>
          <w:tcPr>
            <w:tcW w:w="2513" w:type="dxa"/>
          </w:tcPr>
          <w:p w:rsidR="0003793B" w:rsidRPr="00463AB3" w:rsidRDefault="0003793B" w:rsidP="002A2026">
            <w:pPr>
              <w:tabs>
                <w:tab w:val="left" w:pos="2835"/>
              </w:tabs>
              <w:spacing w:after="120"/>
            </w:pPr>
            <w:r>
              <w:t>c</w:t>
            </w:r>
            <w:r w:rsidRPr="00463AB3">
              <w:t>ompletion date</w:t>
            </w:r>
          </w:p>
        </w:tc>
        <w:tc>
          <w:tcPr>
            <w:tcW w:w="6395" w:type="dxa"/>
          </w:tcPr>
          <w:p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rsidTr="002A2026">
        <w:tc>
          <w:tcPr>
            <w:tcW w:w="2513" w:type="dxa"/>
          </w:tcPr>
          <w:p w:rsidR="0003793B" w:rsidRPr="001B21A4" w:rsidRDefault="0003793B" w:rsidP="002A2026">
            <w:pPr>
              <w:spacing w:after="120"/>
            </w:pPr>
            <w:r w:rsidRPr="0007627E">
              <w:t xml:space="preserve">cost shifting </w:t>
            </w:r>
          </w:p>
        </w:tc>
        <w:tc>
          <w:tcPr>
            <w:tcW w:w="6395" w:type="dxa"/>
          </w:tcPr>
          <w:p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rsidTr="002A2026">
        <w:tc>
          <w:tcPr>
            <w:tcW w:w="2513" w:type="dxa"/>
          </w:tcPr>
          <w:p w:rsidR="0003793B" w:rsidRDefault="0003793B" w:rsidP="002A2026">
            <w:r>
              <w:t>date of effect</w:t>
            </w:r>
          </w:p>
        </w:tc>
        <w:tc>
          <w:tcPr>
            <w:tcW w:w="6395" w:type="dxa"/>
          </w:tcPr>
          <w:p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rsidTr="002A2026">
        <w:tc>
          <w:tcPr>
            <w:tcW w:w="2513" w:type="dxa"/>
          </w:tcPr>
          <w:p w:rsidR="0003793B" w:rsidRPr="001B21A4" w:rsidRDefault="0003793B" w:rsidP="002A2026">
            <w:r w:rsidRPr="001B21A4">
              <w:t>decision maker</w:t>
            </w:r>
          </w:p>
        </w:tc>
        <w:tc>
          <w:tcPr>
            <w:tcW w:w="6395" w:type="dxa"/>
          </w:tcPr>
          <w:p w:rsidR="0003793B" w:rsidRPr="00710FAB" w:rsidRDefault="0003793B" w:rsidP="002A2026">
            <w:r w:rsidRPr="00710FAB">
              <w:rPr>
                <w:rFonts w:cs="Arial"/>
                <w:lang w:eastAsia="en-AU"/>
              </w:rPr>
              <w:t>The person who makes a decision to award a grant.</w:t>
            </w:r>
          </w:p>
        </w:tc>
      </w:tr>
      <w:tr w:rsidR="0003793B" w:rsidRPr="001B21A4" w:rsidTr="002A2026">
        <w:tc>
          <w:tcPr>
            <w:tcW w:w="2513" w:type="dxa"/>
          </w:tcPr>
          <w:p w:rsidR="0003793B" w:rsidRPr="001B21A4" w:rsidRDefault="0003793B" w:rsidP="002A2026">
            <w:r>
              <w:t>double dipping</w:t>
            </w:r>
          </w:p>
        </w:tc>
        <w:tc>
          <w:tcPr>
            <w:tcW w:w="6395" w:type="dxa"/>
          </w:tcPr>
          <w:p w:rsidR="0003793B" w:rsidRPr="00710FAB" w:rsidRDefault="0003793B">
            <w:r w:rsidRPr="00710FAB">
              <w:t>Double dipping occurs where a grant</w:t>
            </w:r>
            <w:r w:rsidR="00771237">
              <w: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03793B" w:rsidRPr="001B21A4" w:rsidTr="002A2026">
        <w:tc>
          <w:tcPr>
            <w:tcW w:w="2513" w:type="dxa"/>
          </w:tcPr>
          <w:p w:rsidR="0003793B" w:rsidRPr="001B21A4" w:rsidRDefault="0003793B" w:rsidP="002A2026">
            <w:pPr>
              <w:tabs>
                <w:tab w:val="left" w:pos="2835"/>
              </w:tabs>
              <w:spacing w:after="120"/>
            </w:pPr>
            <w:r w:rsidRPr="001B21A4">
              <w:t>eligibility criteria</w:t>
            </w:r>
          </w:p>
        </w:tc>
        <w:tc>
          <w:tcPr>
            <w:tcW w:w="6395" w:type="dxa"/>
          </w:tcPr>
          <w:p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E12860" w:rsidRPr="00463AB3" w:rsidTr="002A2026">
        <w:tc>
          <w:tcPr>
            <w:tcW w:w="2513" w:type="dxa"/>
          </w:tcPr>
          <w:p w:rsidR="00E12860" w:rsidRPr="00463AB3" w:rsidRDefault="00D16C3F" w:rsidP="002A2026">
            <w:pPr>
              <w:tabs>
                <w:tab w:val="left" w:pos="2835"/>
              </w:tabs>
              <w:spacing w:after="120"/>
              <w:rPr>
                <w:rFonts w:cs="Arial"/>
                <w:lang w:eastAsia="en-AU"/>
              </w:rPr>
            </w:pPr>
            <w:r w:rsidRPr="00D16C3F">
              <w:rPr>
                <w:rFonts w:cs="Arial"/>
                <w:lang w:eastAsia="en-AU"/>
              </w:rPr>
              <w:t>funding arrangement manager</w:t>
            </w:r>
          </w:p>
        </w:tc>
        <w:tc>
          <w:tcPr>
            <w:tcW w:w="6395" w:type="dxa"/>
          </w:tcPr>
          <w:p w:rsidR="00E12860" w:rsidRDefault="00D16C3F" w:rsidP="00D16C3F">
            <w:pPr>
              <w:rPr>
                <w:lang w:eastAsia="en-AU"/>
              </w:rPr>
            </w:pPr>
            <w:r w:rsidRPr="00D16C3F">
              <w:rPr>
                <w:lang w:eastAsia="en-AU"/>
              </w:rPr>
              <w:t xml:space="preserve">The person in the agency responsible for the process of engaging and working with </w:t>
            </w:r>
            <w:r>
              <w:rPr>
                <w:lang w:eastAsia="en-AU"/>
              </w:rPr>
              <w:t>grantees</w:t>
            </w:r>
            <w:r w:rsidRPr="00D16C3F">
              <w:rPr>
                <w:lang w:eastAsia="en-AU"/>
              </w:rPr>
              <w:t xml:space="preserve"> to provide support and ensure reporting requirements and outcomes under the Agreement are met and related funds are effectively managed.</w:t>
            </w:r>
          </w:p>
        </w:tc>
      </w:tr>
      <w:tr w:rsidR="0003793B" w:rsidRPr="00463AB3" w:rsidTr="002A2026">
        <w:tc>
          <w:tcPr>
            <w:tcW w:w="2513" w:type="dxa"/>
          </w:tcPr>
          <w:p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rsidR="0003793B" w:rsidRDefault="0003793B" w:rsidP="002A2026">
            <w:pPr>
              <w:rPr>
                <w:lang w:eastAsia="en-AU"/>
              </w:rPr>
            </w:pPr>
            <w:r>
              <w:rPr>
                <w:lang w:eastAsia="en-AU"/>
              </w:rPr>
              <w:t>A grant is an arrangement for the provision of financial assistance by the Commonwealth or on behalf of the Commonwealth:</w:t>
            </w:r>
          </w:p>
          <w:p w:rsidR="0003793B" w:rsidRDefault="0003793B" w:rsidP="002A2026">
            <w:pPr>
              <w:numPr>
                <w:ilvl w:val="0"/>
                <w:numId w:val="2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rsidR="0003793B" w:rsidRPr="00190651" w:rsidRDefault="0003793B" w:rsidP="002A2026">
            <w:pPr>
              <w:numPr>
                <w:ilvl w:val="0"/>
                <w:numId w:val="28"/>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rsidTr="002A2026">
        <w:tc>
          <w:tcPr>
            <w:tcW w:w="2513" w:type="dxa"/>
          </w:tcPr>
          <w:p w:rsidR="0003793B" w:rsidRPr="0007627E" w:rsidRDefault="0003793B" w:rsidP="002A2026">
            <w:pPr>
              <w:tabs>
                <w:tab w:val="left" w:pos="2835"/>
              </w:tabs>
              <w:spacing w:after="120"/>
            </w:pPr>
            <w:r>
              <w:t xml:space="preserve">grant </w:t>
            </w:r>
            <w:r w:rsidRPr="001B21A4">
              <w:t>activity</w:t>
            </w:r>
          </w:p>
        </w:tc>
        <w:tc>
          <w:tcPr>
            <w:tcW w:w="6395" w:type="dxa"/>
          </w:tcPr>
          <w:p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rsidTr="002A2026">
        <w:tc>
          <w:tcPr>
            <w:tcW w:w="2513" w:type="dxa"/>
          </w:tcPr>
          <w:p w:rsidR="0003793B" w:rsidRPr="001B21A4" w:rsidRDefault="0003793B" w:rsidP="002A2026">
            <w:pPr>
              <w:tabs>
                <w:tab w:val="left" w:pos="2835"/>
              </w:tabs>
              <w:spacing w:after="120"/>
            </w:pPr>
            <w:r w:rsidRPr="001B21A4">
              <w:t>grant agreement</w:t>
            </w:r>
          </w:p>
        </w:tc>
        <w:tc>
          <w:tcPr>
            <w:tcW w:w="6395" w:type="dxa"/>
          </w:tcPr>
          <w:p w:rsidR="0003793B" w:rsidRPr="00710FAB" w:rsidRDefault="002E5AA1" w:rsidP="00710966">
            <w:pPr>
              <w:tabs>
                <w:tab w:val="left" w:pos="2835"/>
              </w:tabs>
              <w:spacing w:after="120"/>
            </w:pPr>
            <w:r>
              <w:t>Sets out the relationship between the parties to the agreement, and specifies the details of the grant.</w:t>
            </w:r>
          </w:p>
        </w:tc>
      </w:tr>
      <w:tr w:rsidR="0003793B" w:rsidRPr="001B21A4" w:rsidTr="002A2026">
        <w:tc>
          <w:tcPr>
            <w:tcW w:w="2513" w:type="dxa"/>
          </w:tcPr>
          <w:p w:rsidR="0003793B" w:rsidRPr="001B21A4" w:rsidRDefault="0003793B" w:rsidP="002A2026">
            <w:pPr>
              <w:tabs>
                <w:tab w:val="left" w:pos="2835"/>
              </w:tabs>
              <w:spacing w:after="120"/>
            </w:pPr>
            <w:r>
              <w:t>grant opportunity</w:t>
            </w:r>
          </w:p>
        </w:tc>
        <w:tc>
          <w:tcPr>
            <w:tcW w:w="6395" w:type="dxa"/>
          </w:tcPr>
          <w:p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rsidTr="002A2026">
        <w:tc>
          <w:tcPr>
            <w:tcW w:w="2513" w:type="dxa"/>
          </w:tcPr>
          <w:p w:rsidR="0003793B" w:rsidRPr="001B21A4" w:rsidRDefault="0003793B" w:rsidP="002A2026">
            <w:pPr>
              <w:tabs>
                <w:tab w:val="left" w:pos="2835"/>
              </w:tabs>
              <w:spacing w:after="120"/>
            </w:pPr>
            <w:r w:rsidRPr="001B21A4">
              <w:t xml:space="preserve">grant </w:t>
            </w:r>
            <w:r>
              <w:t>program</w:t>
            </w:r>
          </w:p>
        </w:tc>
        <w:tc>
          <w:tcPr>
            <w:tcW w:w="6395" w:type="dxa"/>
          </w:tcPr>
          <w:p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rsidTr="002A2026">
        <w:tc>
          <w:tcPr>
            <w:tcW w:w="2513" w:type="dxa"/>
          </w:tcPr>
          <w:p w:rsidR="0003793B" w:rsidRPr="001B21A4" w:rsidRDefault="0003793B" w:rsidP="002A2026">
            <w:pPr>
              <w:tabs>
                <w:tab w:val="left" w:pos="2835"/>
              </w:tabs>
              <w:spacing w:after="120"/>
            </w:pPr>
            <w:r>
              <w:t>grantee</w:t>
            </w:r>
          </w:p>
        </w:tc>
        <w:tc>
          <w:tcPr>
            <w:tcW w:w="6395" w:type="dxa"/>
          </w:tcPr>
          <w:p w:rsidR="0003793B" w:rsidRPr="00710FAB" w:rsidRDefault="0003793B" w:rsidP="002A2026">
            <w:pPr>
              <w:tabs>
                <w:tab w:val="left" w:pos="2835"/>
              </w:tabs>
              <w:spacing w:after="120"/>
            </w:pPr>
            <w:r w:rsidRPr="00710FAB">
              <w:t xml:space="preserve">An individual/organisation that has been awarded a grant. </w:t>
            </w:r>
          </w:p>
        </w:tc>
      </w:tr>
      <w:tr w:rsidR="00B14361" w:rsidRPr="001B21A4" w:rsidTr="002A2026">
        <w:tc>
          <w:tcPr>
            <w:tcW w:w="2513" w:type="dxa"/>
          </w:tcPr>
          <w:p w:rsidR="00B14361" w:rsidRDefault="00B14361" w:rsidP="002A2026">
            <w:pPr>
              <w:tabs>
                <w:tab w:val="left" w:pos="2835"/>
              </w:tabs>
              <w:spacing w:after="120"/>
            </w:pPr>
            <w:r>
              <w:t>invitee</w:t>
            </w:r>
          </w:p>
        </w:tc>
        <w:tc>
          <w:tcPr>
            <w:tcW w:w="6395" w:type="dxa"/>
          </w:tcPr>
          <w:p w:rsidR="00B14361" w:rsidRDefault="00B14361" w:rsidP="00B14361">
            <w:pPr>
              <w:tabs>
                <w:tab w:val="left" w:pos="2835"/>
              </w:tabs>
              <w:spacing w:before="0" w:after="0" w:line="240" w:lineRule="auto"/>
              <w:rPr>
                <w:rFonts w:cs="Arial"/>
              </w:rPr>
            </w:pPr>
            <w:r>
              <w:rPr>
                <w:rFonts w:cs="Arial"/>
              </w:rPr>
              <w:t>An individual/organisation that has been invited to apply for a</w:t>
            </w:r>
          </w:p>
          <w:p w:rsidR="00B14361" w:rsidRPr="00710FAB" w:rsidRDefault="00B14361" w:rsidP="00B14361">
            <w:pPr>
              <w:tabs>
                <w:tab w:val="left" w:pos="2835"/>
              </w:tabs>
              <w:spacing w:before="0" w:after="0" w:line="240" w:lineRule="auto"/>
            </w:pPr>
            <w:r>
              <w:rPr>
                <w:rFonts w:cs="Arial"/>
              </w:rPr>
              <w:t>specific grant opportunity.</w:t>
            </w:r>
          </w:p>
        </w:tc>
      </w:tr>
      <w:tr w:rsidR="004B1B27" w:rsidRPr="001B21A4" w:rsidTr="00061F40">
        <w:tc>
          <w:tcPr>
            <w:tcW w:w="2513" w:type="dxa"/>
          </w:tcPr>
          <w:p w:rsidR="004B1B27" w:rsidRDefault="004B1B27" w:rsidP="00061F40">
            <w:pPr>
              <w:tabs>
                <w:tab w:val="left" w:pos="2835"/>
              </w:tabs>
              <w:spacing w:after="120"/>
            </w:pPr>
            <w:r>
              <w:t>Microfinance Products</w:t>
            </w:r>
          </w:p>
        </w:tc>
        <w:tc>
          <w:tcPr>
            <w:tcW w:w="6395" w:type="dxa"/>
          </w:tcPr>
          <w:p w:rsidR="004B1B27" w:rsidRPr="00710FAB" w:rsidRDefault="004B1B27" w:rsidP="00061F40">
            <w:pPr>
              <w:tabs>
                <w:tab w:val="left" w:pos="2835"/>
              </w:tabs>
              <w:spacing w:after="120"/>
            </w:pPr>
            <w:r>
              <w:t>S</w:t>
            </w:r>
            <w:r w:rsidRPr="0098005C">
              <w:t>afe and affordable financial products that are not available through mainstream providers of financial services</w:t>
            </w:r>
            <w:r>
              <w:t xml:space="preserve">. Includes No Interest Loan Scheme, StepUp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03793B" w:rsidRPr="00463AB3" w:rsidTr="002A2026">
        <w:tc>
          <w:tcPr>
            <w:tcW w:w="2513" w:type="dxa"/>
          </w:tcPr>
          <w:p w:rsidR="0003793B" w:rsidRPr="00463AB3" w:rsidRDefault="0003793B" w:rsidP="002A2026">
            <w:pPr>
              <w:tabs>
                <w:tab w:val="left" w:pos="2835"/>
              </w:tabs>
              <w:spacing w:after="120"/>
            </w:pPr>
            <w:r w:rsidRPr="00463AB3">
              <w:t>PBS Program</w:t>
            </w:r>
          </w:p>
        </w:tc>
        <w:tc>
          <w:tcPr>
            <w:tcW w:w="6395" w:type="dxa"/>
          </w:tcPr>
          <w:p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03793B" w:rsidRPr="001B21A4" w:rsidTr="002A2026">
        <w:tc>
          <w:tcPr>
            <w:tcW w:w="2513" w:type="dxa"/>
          </w:tcPr>
          <w:p w:rsidR="0003793B" w:rsidRPr="001B21A4" w:rsidRDefault="0003793B" w:rsidP="002A2026">
            <w:pPr>
              <w:tabs>
                <w:tab w:val="left" w:pos="2835"/>
              </w:tabs>
              <w:spacing w:after="120"/>
            </w:pPr>
            <w:r w:rsidRPr="001B21A4">
              <w:lastRenderedPageBreak/>
              <w:t>selection criteria</w:t>
            </w:r>
          </w:p>
        </w:tc>
        <w:tc>
          <w:tcPr>
            <w:tcW w:w="6395" w:type="dxa"/>
          </w:tcPr>
          <w:p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rsidTr="002A2026">
        <w:tc>
          <w:tcPr>
            <w:tcW w:w="2513" w:type="dxa"/>
          </w:tcPr>
          <w:p w:rsidR="0003793B" w:rsidRPr="001B21A4" w:rsidRDefault="0003793B" w:rsidP="002A2026">
            <w:pPr>
              <w:tabs>
                <w:tab w:val="left" w:pos="2835"/>
              </w:tabs>
              <w:spacing w:after="120"/>
            </w:pPr>
            <w:r w:rsidRPr="001B21A4">
              <w:t>selection process</w:t>
            </w:r>
          </w:p>
        </w:tc>
        <w:tc>
          <w:tcPr>
            <w:tcW w:w="6395" w:type="dxa"/>
          </w:tcPr>
          <w:p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rsidR="00340616" w:rsidRDefault="00340616" w:rsidP="00340616">
      <w:pPr>
        <w:spacing w:after="0" w:line="240" w:lineRule="auto"/>
      </w:pPr>
      <w:r>
        <w:br w:type="page"/>
      </w:r>
    </w:p>
    <w:p w:rsidR="00F60D41" w:rsidRDefault="00F60D41" w:rsidP="00F60D41">
      <w:pPr>
        <w:spacing w:after="0" w:line="240" w:lineRule="auto"/>
        <w:rPr>
          <w:sz w:val="40"/>
        </w:rPr>
      </w:pPr>
      <w:bookmarkStart w:id="266" w:name="_Toc467773997"/>
      <w:r w:rsidRPr="0054078D">
        <w:rPr>
          <w:sz w:val="40"/>
        </w:rPr>
        <w:lastRenderedPageBreak/>
        <w:t xml:space="preserve">Appendix A: </w:t>
      </w:r>
      <w:r>
        <w:rPr>
          <w:sz w:val="40"/>
        </w:rPr>
        <w:t xml:space="preserve">Funding in </w:t>
      </w:r>
      <w:r w:rsidRPr="00C359D3">
        <w:rPr>
          <w:sz w:val="40"/>
        </w:rPr>
        <w:t>target locations</w:t>
      </w:r>
    </w:p>
    <w:p w:rsidR="00F60D41" w:rsidRDefault="00F60D41" w:rsidP="00F60D41">
      <w:pPr>
        <w:spacing w:after="0" w:line="240" w:lineRule="auto"/>
        <w:rPr>
          <w:sz w:val="40"/>
        </w:rPr>
      </w:pPr>
    </w:p>
    <w:tbl>
      <w:tblPr>
        <w:tblW w:w="9065" w:type="dxa"/>
        <w:tblInd w:w="-5" w:type="dxa"/>
        <w:tblLook w:val="04A0" w:firstRow="1" w:lastRow="0" w:firstColumn="1" w:lastColumn="0" w:noHBand="0" w:noVBand="1"/>
        <w:tblCaption w:val="Appendix A: Funding in target locations"/>
        <w:tblDescription w:val="List of funding in target locations for States and Territories and Organisation"/>
      </w:tblPr>
      <w:tblGrid>
        <w:gridCol w:w="1097"/>
        <w:gridCol w:w="1559"/>
        <w:gridCol w:w="1720"/>
        <w:gridCol w:w="1497"/>
        <w:gridCol w:w="3192"/>
      </w:tblGrid>
      <w:tr w:rsidR="00F60D41" w:rsidRPr="00157316" w:rsidTr="00F056D1">
        <w:trPr>
          <w:cantSplit/>
          <w:trHeight w:val="567"/>
          <w:tblHeader/>
        </w:trPr>
        <w:tc>
          <w:tcPr>
            <w:tcW w:w="1112" w:type="dxa"/>
            <w:tcBorders>
              <w:top w:val="single" w:sz="4" w:space="0" w:color="auto"/>
              <w:left w:val="single" w:sz="4" w:space="0" w:color="auto"/>
              <w:bottom w:val="single" w:sz="4" w:space="0" w:color="auto"/>
              <w:right w:val="single" w:sz="4" w:space="0" w:color="auto"/>
            </w:tcBorders>
            <w:shd w:val="clear" w:color="000000" w:fill="D9D9D9"/>
            <w:noWrap/>
            <w:hideMark/>
          </w:tcPr>
          <w:p w:rsidR="00F60D41" w:rsidRPr="00157316" w:rsidRDefault="00F056D1" w:rsidP="002F52FB">
            <w:pPr>
              <w:suppressAutoHyphens w:val="0"/>
              <w:spacing w:before="0" w:after="0" w:line="240" w:lineRule="auto"/>
              <w:rPr>
                <w:rFonts w:eastAsia="Times New Roman" w:cstheme="minorHAnsi"/>
                <w:lang w:eastAsia="en-AU"/>
              </w:rPr>
            </w:pPr>
            <w:r>
              <w:rPr>
                <w:rFonts w:cstheme="minorHAnsi"/>
                <w:lang w:eastAsia="en-AU"/>
              </w:rPr>
              <w:t>State</w:t>
            </w:r>
            <w:r w:rsidR="00F60D41" w:rsidRPr="00157316">
              <w:rPr>
                <w:rFonts w:cstheme="minorHAnsi"/>
                <w:lang w:eastAsia="en-AU"/>
              </w:rPr>
              <w:t>/ Territory</w:t>
            </w:r>
          </w:p>
        </w:tc>
        <w:tc>
          <w:tcPr>
            <w:tcW w:w="1582" w:type="dxa"/>
            <w:tcBorders>
              <w:top w:val="single" w:sz="4" w:space="0" w:color="auto"/>
              <w:left w:val="nil"/>
              <w:bottom w:val="single" w:sz="4" w:space="0" w:color="auto"/>
              <w:right w:val="single" w:sz="4" w:space="0" w:color="auto"/>
            </w:tcBorders>
            <w:shd w:val="clear" w:color="000000" w:fill="D9D9D9"/>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cstheme="minorHAnsi"/>
                <w:lang w:eastAsia="en-AU"/>
              </w:rPr>
              <w:t>Area Classification</w:t>
            </w:r>
          </w:p>
        </w:tc>
        <w:tc>
          <w:tcPr>
            <w:tcW w:w="1610" w:type="dxa"/>
            <w:tcBorders>
              <w:top w:val="single" w:sz="4" w:space="0" w:color="auto"/>
              <w:left w:val="nil"/>
              <w:bottom w:val="single" w:sz="4" w:space="0" w:color="auto"/>
              <w:right w:val="single" w:sz="4" w:space="0" w:color="auto"/>
            </w:tcBorders>
            <w:shd w:val="clear" w:color="000000" w:fill="D9D9D9"/>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cstheme="minorHAnsi"/>
                <w:lang w:eastAsia="en-AU"/>
              </w:rPr>
              <w:t xml:space="preserve">Area Name </w:t>
            </w:r>
          </w:p>
        </w:tc>
        <w:tc>
          <w:tcPr>
            <w:tcW w:w="1519" w:type="dxa"/>
            <w:tcBorders>
              <w:top w:val="single" w:sz="4" w:space="0" w:color="auto"/>
              <w:left w:val="nil"/>
              <w:bottom w:val="single" w:sz="4" w:space="0" w:color="auto"/>
              <w:right w:val="single" w:sz="4" w:space="0" w:color="auto"/>
            </w:tcBorders>
            <w:shd w:val="clear" w:color="000000" w:fill="D9D9D9"/>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cstheme="minorHAnsi"/>
                <w:lang w:eastAsia="en-AU"/>
              </w:rPr>
              <w:t>Amount per financial year* (GST Exc)</w:t>
            </w:r>
          </w:p>
        </w:tc>
        <w:tc>
          <w:tcPr>
            <w:tcW w:w="3242" w:type="dxa"/>
            <w:tcBorders>
              <w:top w:val="single" w:sz="4" w:space="0" w:color="auto"/>
              <w:left w:val="nil"/>
              <w:bottom w:val="single" w:sz="4" w:space="0" w:color="auto"/>
              <w:right w:val="single" w:sz="4" w:space="0" w:color="auto"/>
            </w:tcBorders>
            <w:shd w:val="clear" w:color="000000" w:fill="D9D9D9"/>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cstheme="minorHAnsi"/>
                <w:lang w:eastAsia="en-AU"/>
              </w:rPr>
              <w:t>Organisation</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ACT</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Australian Capital Territory</w:t>
            </w:r>
          </w:p>
        </w:tc>
        <w:tc>
          <w:tcPr>
            <w:tcW w:w="1519" w:type="dxa"/>
            <w:tcBorders>
              <w:top w:val="single" w:sz="4" w:space="0" w:color="auto"/>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C.A.R.E.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Capital Region</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$218,226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Mission Australia</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Richmond - Tweed</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North Coast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Inner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CatholicCare Sydney Limited ATF CatholicCare Sydney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Inner South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Creating Links (N.S.W.)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Parramatta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Granville Multicultural Community Centre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Dapto - Port Kembla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$32,734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Illawarra Legal Centre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Kiama - Shellharbour</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Illawarra Legal Centre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Wollongong</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Illawarra Legal Centre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Mid North Coast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Kempsey Neighbourhood Centre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Central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Lifeline Central West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Hunter Valley exc Newcastle</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Samaritans Foundation Diocese of Newcastle</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Blacktown</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Roman Catholic Church for the Diocese of Parramatta</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New England and North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Salvation Army (NSW) Property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Far West and Orana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Trustees of the Roman Catholic Church for the Diocese of Wilcannia-Forbes</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Young - Yass</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Wagga Wagga Family Support Service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Tumut - Tumbarumba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$43,645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Wagga Wagga Family Support Service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lastRenderedPageBreak/>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Wagga Wagga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$43,645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Wagga Wagga Family Support Service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South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$163,669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Wesley Community Services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City and Inner South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Wesley Community Services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Sydney - Sutherland</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Wesley Community Services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NSW</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Central Coast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Wyong Neighborhood Centre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NT</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Darwin</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N.T.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NT</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Katherine</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N.T.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NT</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Alice Springs</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$163,669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N.T.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SA2</w:t>
            </w:r>
          </w:p>
        </w:tc>
        <w:tc>
          <w:tcPr>
            <w:tcW w:w="1610" w:type="dxa"/>
            <w:tcBorders>
              <w:top w:val="nil"/>
              <w:left w:val="nil"/>
              <w:bottom w:val="nil"/>
              <w:right w:val="nil"/>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Leinster - Leonora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Ngaanyatjarra Council Aboriginal Corporation</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single" w:sz="4" w:space="0" w:color="auto"/>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Sunshine Coast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$114,568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Salvation Army (NSW) Property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Moreton Bay - North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Salvation Army (NSW) Property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Cairns</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Salvation Army (NSW) Property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Moreton Bay - South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$49,101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Trustee for The Salvation Army (NSW) Property Trust</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Darling Downs - Maranoa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$54,557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Lifeline Darling Downs and South West Queensland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Toowoomba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Lifeline Darling Downs and South West Queensland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Ipswich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$190,948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Gold Coast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Mackay - Isaac - Whitsunday</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$136,391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Outback - North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$27,278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Townsville</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$27,278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lastRenderedPageBreak/>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Wide Bay</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Uniting Church in Australia Property Trust (Q.)</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QLD</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Logan - Beaudesert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YFS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Eyre Peninsula and South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$98,202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SA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Outback - North and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SA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Adelaide - Central and Hills</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$54,557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Relationships Australia South Australia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Adelaide - North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$54,557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Relationships Australia South Australia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Adelaide - South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Relationships Australia South Australia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Adelaide -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Relationships Australia South Australia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Murray and Mallee</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Country SA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Limestone Coast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$65,467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Country SA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Yorke Peninsula</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Country SA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TAS</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Hobart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$98,202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Tasmania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TAS</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West and North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$98,202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Tasmania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TAS</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Launceston and North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$98,202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Tasmania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TAS</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South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$32,733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Anglicare Tasmania Inc.</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Geelong</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Geelong Ethnic Communities Council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Melbourne -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$218,226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IPC Health Ltd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Latrobe - Gippsland</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Latrobe Community Health Service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Banyule</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$81,835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Odyssey House, Victoria</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Melbourne - Inner</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$27,278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Odyssey House, Victoria</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lastRenderedPageBreak/>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Melbourne - South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South East Community Links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Brunswick - Coburg</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(Victoria and Tasmania)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Moreland - North</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$54,556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(Victoria and Tasmania)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SA3</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Tullamarine - Broadmeadows</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$109,114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Uniting (Victoria and Tasmania)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Melbourne - Inner</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$65,468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Victorian Aboriginal Health Service Co-operative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VIC</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Melbourne - North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$43,645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The Victorian Aboriginal Health Service Co-operative Limited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Perth - North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CentreCare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Perth - South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CentreCare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Perth - South West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$21,823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CentreCare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Perth - North East</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CentreCare Incorporated</w:t>
            </w:r>
          </w:p>
        </w:tc>
      </w:tr>
      <w:tr w:rsidR="00F60D41" w:rsidRPr="00157316" w:rsidTr="00F056D1">
        <w:trPr>
          <w:cantSplit/>
          <w:trHeight w:val="567"/>
        </w:trPr>
        <w:tc>
          <w:tcPr>
            <w:tcW w:w="1112"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WA</w:t>
            </w:r>
          </w:p>
        </w:tc>
        <w:tc>
          <w:tcPr>
            <w:tcW w:w="158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SA4</w:t>
            </w:r>
          </w:p>
        </w:tc>
        <w:tc>
          <w:tcPr>
            <w:tcW w:w="1610"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Perth - Inner</w:t>
            </w:r>
          </w:p>
        </w:tc>
        <w:tc>
          <w:tcPr>
            <w:tcW w:w="1519" w:type="dxa"/>
            <w:tcBorders>
              <w:top w:val="nil"/>
              <w:left w:val="single" w:sz="4" w:space="0" w:color="auto"/>
              <w:bottom w:val="single" w:sz="4" w:space="0" w:color="auto"/>
              <w:right w:val="single" w:sz="4" w:space="0" w:color="auto"/>
            </w:tcBorders>
            <w:shd w:val="clear" w:color="auto" w:fill="auto"/>
            <w:noWrap/>
            <w:hideMark/>
          </w:tcPr>
          <w:p w:rsidR="00F60D41" w:rsidRPr="00157316" w:rsidRDefault="00F60D41" w:rsidP="00801841">
            <w:pPr>
              <w:suppressAutoHyphens w:val="0"/>
              <w:spacing w:before="0" w:after="0" w:line="240" w:lineRule="auto"/>
              <w:rPr>
                <w:rFonts w:eastAsia="Times New Roman" w:cstheme="minorHAnsi"/>
                <w:lang w:eastAsia="en-AU"/>
              </w:rPr>
            </w:pPr>
            <w:r w:rsidRPr="00157316">
              <w:rPr>
                <w:rFonts w:cstheme="minorHAnsi"/>
              </w:rPr>
              <w:t xml:space="preserve"> $21,822 </w:t>
            </w:r>
          </w:p>
        </w:tc>
        <w:tc>
          <w:tcPr>
            <w:tcW w:w="3242" w:type="dxa"/>
            <w:tcBorders>
              <w:top w:val="nil"/>
              <w:left w:val="nil"/>
              <w:bottom w:val="single" w:sz="4" w:space="0" w:color="auto"/>
              <w:right w:val="single" w:sz="4" w:space="0" w:color="auto"/>
            </w:tcBorders>
            <w:shd w:val="clear" w:color="auto" w:fill="auto"/>
            <w:noWrap/>
            <w:hideMark/>
          </w:tcPr>
          <w:p w:rsidR="00F60D41" w:rsidRPr="00157316" w:rsidRDefault="00F60D41" w:rsidP="002F52FB">
            <w:pPr>
              <w:suppressAutoHyphens w:val="0"/>
              <w:spacing w:before="0" w:after="0" w:line="240" w:lineRule="auto"/>
              <w:rPr>
                <w:rFonts w:eastAsia="Times New Roman" w:cstheme="minorHAnsi"/>
                <w:lang w:eastAsia="en-AU"/>
              </w:rPr>
            </w:pPr>
            <w:r w:rsidRPr="00157316">
              <w:rPr>
                <w:rFonts w:eastAsia="Times New Roman" w:cstheme="minorHAnsi"/>
                <w:lang w:eastAsia="en-AU"/>
              </w:rPr>
              <w:t>CentreCare Incorporated</w:t>
            </w:r>
          </w:p>
        </w:tc>
      </w:tr>
    </w:tbl>
    <w:p w:rsidR="00F60D41" w:rsidRPr="00157316" w:rsidRDefault="00F60D41" w:rsidP="00F60D41">
      <w:pPr>
        <w:pStyle w:val="Bullet1"/>
        <w:numPr>
          <w:ilvl w:val="0"/>
          <w:numId w:val="0"/>
        </w:numPr>
        <w:rPr>
          <w:rFonts w:cstheme="minorHAnsi"/>
        </w:rPr>
      </w:pPr>
      <w:r w:rsidRPr="00157316">
        <w:rPr>
          <w:rFonts w:cstheme="minorHAnsi"/>
        </w:rPr>
        <w:t>* Pro rata for 2018-19</w:t>
      </w:r>
    </w:p>
    <w:p w:rsidR="00F60D41" w:rsidRDefault="00F60D41" w:rsidP="00FD71C2">
      <w:pPr>
        <w:pStyle w:val="Bullet1"/>
        <w:numPr>
          <w:ilvl w:val="0"/>
          <w:numId w:val="0"/>
        </w:numPr>
      </w:pPr>
    </w:p>
    <w:bookmarkEnd w:id="266"/>
    <w:p w:rsidR="00641F21" w:rsidRDefault="00641F21" w:rsidP="00FD71C2">
      <w:pPr>
        <w:pStyle w:val="Heading2"/>
        <w:spacing w:before="240"/>
        <w:ind w:left="360" w:hanging="360"/>
      </w:pPr>
    </w:p>
    <w:sectPr w:rsidR="00641F21" w:rsidSect="00564C6D">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2A" w:rsidRDefault="0090112A" w:rsidP="00EF4574">
      <w:pPr>
        <w:spacing w:before="0" w:after="0" w:line="240" w:lineRule="auto"/>
      </w:pPr>
      <w:r>
        <w:separator/>
      </w:r>
    </w:p>
    <w:p w:rsidR="0090112A" w:rsidRDefault="0090112A"/>
  </w:endnote>
  <w:endnote w:type="continuationSeparator" w:id="0">
    <w:p w:rsidR="0090112A" w:rsidRDefault="0090112A" w:rsidP="00EF4574">
      <w:pPr>
        <w:spacing w:before="0" w:after="0" w:line="240" w:lineRule="auto"/>
      </w:pPr>
      <w:r>
        <w:continuationSeparator/>
      </w:r>
    </w:p>
    <w:p w:rsidR="0090112A" w:rsidRDefault="0090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94" w:rsidRDefault="00453B94" w:rsidP="002B5F2C">
    <w:pPr>
      <w:pStyle w:val="Footer"/>
      <w:ind w:left="-709"/>
      <w:rPr>
        <w:noProof/>
      </w:rPr>
    </w:pPr>
    <w:r w:rsidRPr="002B5F2C">
      <w:rPr>
        <w:bCs/>
      </w:rPr>
      <w:t>Financial Wellbeing and Capability Activity -</w:t>
    </w:r>
    <w:r>
      <w:rPr>
        <w:bCs/>
      </w:rPr>
      <w:t xml:space="preserve"> </w:t>
    </w:r>
    <w:r w:rsidRPr="002B5F2C">
      <w:rPr>
        <w:bCs/>
      </w:rPr>
      <w:t>Financial Counselling to Support People Affected by Problem Gambling</w:t>
    </w:r>
    <w:r>
      <w:rPr>
        <w:bCs/>
      </w:rPr>
      <w:t xml:space="preserve"> </w:t>
    </w:r>
    <w:r w:rsidRPr="002B5F2C">
      <w:rPr>
        <w:bCs/>
      </w:rPr>
      <w:t>Grant Opportunity Guidelines</w:t>
    </w:r>
    <w:r>
      <w:rPr>
        <w:bCs/>
      </w:rPr>
      <w:t xml:space="preserve"> </w:t>
    </w:r>
    <w:r>
      <w:tab/>
    </w:r>
    <w:r>
      <w:tab/>
    </w:r>
    <w:r>
      <w:fldChar w:fldCharType="begin"/>
    </w:r>
    <w:r>
      <w:instrText xml:space="preserve"> PAGE   \* MERGEFORMAT </w:instrText>
    </w:r>
    <w:r>
      <w:fldChar w:fldCharType="separate"/>
    </w:r>
    <w:r w:rsidR="00B76933">
      <w:rPr>
        <w:noProof/>
      </w:rPr>
      <w:t>18</w:t>
    </w:r>
    <w:r>
      <w:rPr>
        <w:noProof/>
      </w:rPr>
      <w:fldChar w:fldCharType="end"/>
    </w:r>
  </w:p>
  <w:p w:rsidR="00453B94" w:rsidRDefault="00453B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2A" w:rsidRDefault="0090112A" w:rsidP="0020122A">
      <w:pPr>
        <w:pStyle w:val="FootnoteSeparator"/>
      </w:pPr>
    </w:p>
  </w:footnote>
  <w:footnote w:type="continuationSeparator" w:id="0">
    <w:p w:rsidR="0090112A" w:rsidRDefault="0090112A" w:rsidP="00EF4574">
      <w:pPr>
        <w:spacing w:before="0" w:after="0" w:line="240" w:lineRule="auto"/>
      </w:pPr>
      <w:r>
        <w:continuationSeparator/>
      </w:r>
    </w:p>
    <w:p w:rsidR="0090112A" w:rsidRDefault="009011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94" w:rsidRPr="000A6A8B" w:rsidRDefault="00453B94"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94" w:rsidRDefault="00453B94"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1135"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A811871"/>
    <w:multiLevelType w:val="hybridMultilevel"/>
    <w:tmpl w:val="B528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02064B"/>
    <w:multiLevelType w:val="hybridMultilevel"/>
    <w:tmpl w:val="496E6FBA"/>
    <w:lvl w:ilvl="0" w:tplc="3114515A">
      <w:start w:val="3"/>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num w:numId="1">
    <w:abstractNumId w:val="29"/>
  </w:num>
  <w:num w:numId="2">
    <w:abstractNumId w:val="0"/>
  </w:num>
  <w:num w:numId="3">
    <w:abstractNumId w:val="11"/>
    <w:lvlOverride w:ilvl="1">
      <w:lvl w:ilvl="1">
        <w:start w:val="1"/>
        <w:numFmt w:val="decimal"/>
        <w:pStyle w:val="Heading2Numbered"/>
        <w:lvlText w:val="%1.%2"/>
        <w:lvlJc w:val="left"/>
        <w:pPr>
          <w:ind w:left="567" w:hanging="567"/>
        </w:pPr>
        <w:rPr>
          <w:rFonts w:hint="default"/>
        </w:rPr>
      </w:lvl>
    </w:lvlOverride>
  </w:num>
  <w:num w:numId="4">
    <w:abstractNumId w:val="22"/>
  </w:num>
  <w:num w:numId="5">
    <w:abstractNumId w:val="23"/>
  </w:num>
  <w:num w:numId="6">
    <w:abstractNumId w:val="2"/>
  </w:num>
  <w:num w:numId="7">
    <w:abstractNumId w:val="4"/>
  </w:num>
  <w:num w:numId="8">
    <w:abstractNumId w:val="3"/>
  </w:num>
  <w:num w:numId="9">
    <w:abstractNumId w:val="9"/>
  </w:num>
  <w:num w:numId="10">
    <w:abstractNumId w:val="20"/>
  </w:num>
  <w:num w:numId="11">
    <w:abstractNumId w:val="26"/>
  </w:num>
  <w:num w:numId="12">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0"/>
  </w:num>
  <w:num w:numId="14">
    <w:abstractNumId w:val="5"/>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3"/>
    </w:lvlOverride>
  </w:num>
  <w:num w:numId="18">
    <w:abstractNumId w:val="15"/>
  </w:num>
  <w:num w:numId="19">
    <w:abstractNumId w:val="17"/>
  </w:num>
  <w:num w:numId="20">
    <w:abstractNumId w:val="11"/>
  </w:num>
  <w:num w:numId="21">
    <w:abstractNumId w:val="6"/>
  </w:num>
  <w:num w:numId="22">
    <w:abstractNumId w:val="16"/>
  </w:num>
  <w:num w:numId="23">
    <w:abstractNumId w:val="7"/>
  </w:num>
  <w:num w:numId="24">
    <w:abstractNumId w:val="11"/>
    <w:lvlOverride w:ilvl="1">
      <w:lvl w:ilvl="1">
        <w:start w:val="1"/>
        <w:numFmt w:val="decimal"/>
        <w:pStyle w:val="Heading2Numbered"/>
        <w:lvlText w:val="%1.%2"/>
        <w:lvlJc w:val="left"/>
        <w:pPr>
          <w:ind w:left="993" w:hanging="567"/>
        </w:pPr>
        <w:rPr>
          <w:rFonts w:hint="default"/>
        </w:rPr>
      </w:lvl>
    </w:lvlOverride>
  </w:num>
  <w:num w:numId="25">
    <w:abstractNumId w:val="24"/>
  </w:num>
  <w:num w:numId="26">
    <w:abstractNumId w:val="11"/>
    <w:lvlOverride w:ilvl="1">
      <w:lvl w:ilvl="1">
        <w:start w:val="1"/>
        <w:numFmt w:val="decimal"/>
        <w:pStyle w:val="Heading2Numbered"/>
        <w:lvlText w:val="%1.%2"/>
        <w:lvlJc w:val="left"/>
        <w:pPr>
          <w:ind w:left="993" w:hanging="567"/>
        </w:pPr>
        <w:rPr>
          <w:rFonts w:hint="default"/>
        </w:rPr>
      </w:lvl>
    </w:lvlOverride>
  </w:num>
  <w:num w:numId="27">
    <w:abstractNumId w:val="2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1">
      <w:lvl w:ilvl="1">
        <w:start w:val="1"/>
        <w:numFmt w:val="decimal"/>
        <w:pStyle w:val="Heading2Numbered"/>
        <w:lvlText w:val="%1.%2"/>
        <w:lvlJc w:val="left"/>
        <w:pPr>
          <w:ind w:left="567" w:hanging="567"/>
        </w:pPr>
        <w:rPr>
          <w:rFonts w:hint="default"/>
        </w:rPr>
      </w:lvl>
    </w:lvlOverride>
  </w:num>
  <w:num w:numId="30">
    <w:abstractNumId w:val="28"/>
  </w:num>
  <w:num w:numId="31">
    <w:abstractNumId w:val="1"/>
  </w:num>
  <w:num w:numId="32">
    <w:abstractNumId w:val="21"/>
  </w:num>
  <w:num w:numId="33">
    <w:abstractNumId w:val="13"/>
  </w:num>
  <w:num w:numId="34">
    <w:abstractNumId w:val="11"/>
    <w:lvlOverride w:ilvl="1">
      <w:lvl w:ilvl="1">
        <w:start w:val="1"/>
        <w:numFmt w:val="decimal"/>
        <w:pStyle w:val="Heading2Numbered"/>
        <w:lvlText w:val="%1.%2"/>
        <w:lvlJc w:val="left"/>
        <w:pPr>
          <w:ind w:left="567" w:hanging="567"/>
        </w:pPr>
        <w:rPr>
          <w:rFonts w:hint="default"/>
        </w:rPr>
      </w:lvl>
    </w:lvlOverride>
  </w:num>
  <w:num w:numId="35">
    <w:abstractNumId w:val="11"/>
    <w:lvlOverride w:ilvl="1">
      <w:lvl w:ilvl="1">
        <w:start w:val="1"/>
        <w:numFmt w:val="decimal"/>
        <w:pStyle w:val="Heading2Numbered"/>
        <w:lvlText w:val="%1.%2"/>
        <w:lvlJc w:val="left"/>
        <w:pPr>
          <w:ind w:left="567" w:hanging="567"/>
        </w:pPr>
        <w:rPr>
          <w:rFonts w:hint="default"/>
        </w:rPr>
      </w:lvl>
    </w:lvlOverride>
  </w:num>
  <w:num w:numId="36">
    <w:abstractNumId w:val="11"/>
    <w:lvlOverride w:ilvl="1">
      <w:lvl w:ilvl="1">
        <w:start w:val="1"/>
        <w:numFmt w:val="decimal"/>
        <w:pStyle w:val="Heading2Numbered"/>
        <w:lvlText w:val="%1.%2"/>
        <w:lvlJc w:val="left"/>
        <w:pPr>
          <w:ind w:left="567" w:hanging="567"/>
        </w:pPr>
        <w:rPr>
          <w:rFonts w:hint="default"/>
        </w:rPr>
      </w:lvl>
    </w:lvlOverride>
  </w:num>
  <w:num w:numId="37">
    <w:abstractNumId w:val="11"/>
    <w:lvlOverride w:ilvl="1">
      <w:lvl w:ilvl="1">
        <w:start w:val="1"/>
        <w:numFmt w:val="decimal"/>
        <w:pStyle w:val="Heading2Numbered"/>
        <w:lvlText w:val="%1.%2"/>
        <w:lvlJc w:val="left"/>
        <w:pPr>
          <w:ind w:left="567" w:hanging="567"/>
        </w:pPr>
        <w:rPr>
          <w:rFonts w:hint="default"/>
        </w:rPr>
      </w:lvl>
    </w:lvlOverride>
  </w:num>
  <w:num w:numId="38">
    <w:abstractNumId w:val="11"/>
    <w:lvlOverride w:ilvl="1">
      <w:lvl w:ilvl="1">
        <w:start w:val="1"/>
        <w:numFmt w:val="decimal"/>
        <w:pStyle w:val="Heading2Numbered"/>
        <w:lvlText w:val="%1.%2"/>
        <w:lvlJc w:val="left"/>
        <w:pPr>
          <w:ind w:left="567" w:hanging="567"/>
        </w:pPr>
        <w:rPr>
          <w:rFonts w:hint="default"/>
        </w:rPr>
      </w:lvl>
    </w:lvlOverride>
  </w:num>
  <w:num w:numId="39">
    <w:abstractNumId w:val="27"/>
  </w:num>
  <w:num w:numId="40">
    <w:abstractNumId w:val="11"/>
    <w:lvlOverride w:ilvl="1">
      <w:lvl w:ilvl="1">
        <w:start w:val="1"/>
        <w:numFmt w:val="decimal"/>
        <w:pStyle w:val="Heading2Numbered"/>
        <w:lvlText w:val="%1.%2"/>
        <w:lvlJc w:val="left"/>
        <w:pPr>
          <w:ind w:left="567" w:hanging="567"/>
        </w:pPr>
        <w:rPr>
          <w:rFonts w:hint="default"/>
        </w:rPr>
      </w:lvl>
    </w:lvlOverride>
  </w:num>
  <w:num w:numId="41">
    <w:abstractNumId w:val="11"/>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6"/>
  </w:num>
  <w:num w:numId="4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abstractNumId w:val="29"/>
    <w:lvlOverride w:ilvl="0">
      <w:lvl w:ilvl="0">
        <w:start w:val="1"/>
        <w:numFmt w:val="bullet"/>
        <w:pStyle w:val="Bullet1"/>
        <w:lvlText w:val=""/>
        <w:lvlJc w:val="left"/>
        <w:pPr>
          <w:ind w:left="284" w:hanging="284"/>
        </w:pPr>
        <w:rPr>
          <w:rFonts w:ascii="Symbol" w:hAnsi="Symbol" w:hint="default"/>
          <w:color w:val="auto"/>
        </w:rPr>
      </w:lvl>
    </w:lvlOverride>
  </w:num>
  <w:num w:numId="47">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836"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8">
    <w:abstractNumId w:val="8"/>
  </w:num>
  <w:num w:numId="49">
    <w:abstractNumId w:val="18"/>
  </w:num>
  <w:num w:numId="50">
    <w:abstractNumId w:val="29"/>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abstractNumId w:val="29"/>
  </w:num>
  <w:num w:numId="52">
    <w:abstractNumId w:val="12"/>
  </w:num>
  <w:num w:numId="53">
    <w:abstractNumId w:val="25"/>
  </w:num>
  <w:num w:numId="54">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04CF"/>
    <w:rsid w:val="000119BE"/>
    <w:rsid w:val="0001243A"/>
    <w:rsid w:val="0001393D"/>
    <w:rsid w:val="00023327"/>
    <w:rsid w:val="00025F09"/>
    <w:rsid w:val="0002782F"/>
    <w:rsid w:val="0003040E"/>
    <w:rsid w:val="00031305"/>
    <w:rsid w:val="0003793B"/>
    <w:rsid w:val="00043B4D"/>
    <w:rsid w:val="00045933"/>
    <w:rsid w:val="0004625C"/>
    <w:rsid w:val="00050D65"/>
    <w:rsid w:val="000510F7"/>
    <w:rsid w:val="000532B3"/>
    <w:rsid w:val="00054E4D"/>
    <w:rsid w:val="00056305"/>
    <w:rsid w:val="00057E50"/>
    <w:rsid w:val="00060073"/>
    <w:rsid w:val="000603C7"/>
    <w:rsid w:val="00061A22"/>
    <w:rsid w:val="00061F40"/>
    <w:rsid w:val="000623A2"/>
    <w:rsid w:val="0006243E"/>
    <w:rsid w:val="00062C0E"/>
    <w:rsid w:val="0006355E"/>
    <w:rsid w:val="00064FF1"/>
    <w:rsid w:val="00065224"/>
    <w:rsid w:val="00074B2F"/>
    <w:rsid w:val="00074E15"/>
    <w:rsid w:val="000829F4"/>
    <w:rsid w:val="00083F2A"/>
    <w:rsid w:val="00096839"/>
    <w:rsid w:val="000969FA"/>
    <w:rsid w:val="000A0E15"/>
    <w:rsid w:val="000A271A"/>
    <w:rsid w:val="000A4B30"/>
    <w:rsid w:val="000A6A8B"/>
    <w:rsid w:val="000B0F49"/>
    <w:rsid w:val="000B2A9D"/>
    <w:rsid w:val="000C00B7"/>
    <w:rsid w:val="000C0E58"/>
    <w:rsid w:val="000C0EAC"/>
    <w:rsid w:val="000C2A48"/>
    <w:rsid w:val="000C2A8F"/>
    <w:rsid w:val="000C5F75"/>
    <w:rsid w:val="000C74F1"/>
    <w:rsid w:val="000D60B1"/>
    <w:rsid w:val="000E1AD1"/>
    <w:rsid w:val="000E1D06"/>
    <w:rsid w:val="000E33A0"/>
    <w:rsid w:val="000E3BF5"/>
    <w:rsid w:val="000E6ABA"/>
    <w:rsid w:val="000F2AB5"/>
    <w:rsid w:val="000F3482"/>
    <w:rsid w:val="000F64F9"/>
    <w:rsid w:val="000F7DC4"/>
    <w:rsid w:val="00100BAD"/>
    <w:rsid w:val="00101FF0"/>
    <w:rsid w:val="00103A95"/>
    <w:rsid w:val="00104AF2"/>
    <w:rsid w:val="0011101F"/>
    <w:rsid w:val="001173C8"/>
    <w:rsid w:val="00120A25"/>
    <w:rsid w:val="001310EE"/>
    <w:rsid w:val="00131C22"/>
    <w:rsid w:val="00134925"/>
    <w:rsid w:val="00135427"/>
    <w:rsid w:val="00136530"/>
    <w:rsid w:val="0014334C"/>
    <w:rsid w:val="001459AB"/>
    <w:rsid w:val="001536AC"/>
    <w:rsid w:val="001541EA"/>
    <w:rsid w:val="00155903"/>
    <w:rsid w:val="00155D45"/>
    <w:rsid w:val="001566F9"/>
    <w:rsid w:val="00157316"/>
    <w:rsid w:val="00157662"/>
    <w:rsid w:val="00157C34"/>
    <w:rsid w:val="001612A4"/>
    <w:rsid w:val="0016738D"/>
    <w:rsid w:val="0017002F"/>
    <w:rsid w:val="00173FA3"/>
    <w:rsid w:val="001777FE"/>
    <w:rsid w:val="001807F0"/>
    <w:rsid w:val="00180C60"/>
    <w:rsid w:val="00181073"/>
    <w:rsid w:val="00184162"/>
    <w:rsid w:val="00186E42"/>
    <w:rsid w:val="00190579"/>
    <w:rsid w:val="00190651"/>
    <w:rsid w:val="00192CC4"/>
    <w:rsid w:val="00192E36"/>
    <w:rsid w:val="001930E4"/>
    <w:rsid w:val="00197CC3"/>
    <w:rsid w:val="001A0777"/>
    <w:rsid w:val="001A0E01"/>
    <w:rsid w:val="001B0E3E"/>
    <w:rsid w:val="001C022C"/>
    <w:rsid w:val="001C04AA"/>
    <w:rsid w:val="001C07FC"/>
    <w:rsid w:val="001C5431"/>
    <w:rsid w:val="001C71EB"/>
    <w:rsid w:val="001D1242"/>
    <w:rsid w:val="001D22E7"/>
    <w:rsid w:val="001D33EB"/>
    <w:rsid w:val="001D5AF1"/>
    <w:rsid w:val="001D7A14"/>
    <w:rsid w:val="001D7EB4"/>
    <w:rsid w:val="001E18C1"/>
    <w:rsid w:val="001E1DC0"/>
    <w:rsid w:val="001E6020"/>
    <w:rsid w:val="001F6504"/>
    <w:rsid w:val="001F6517"/>
    <w:rsid w:val="00200637"/>
    <w:rsid w:val="0020122A"/>
    <w:rsid w:val="002263E0"/>
    <w:rsid w:val="002274A7"/>
    <w:rsid w:val="00227627"/>
    <w:rsid w:val="00235C6C"/>
    <w:rsid w:val="00236D9D"/>
    <w:rsid w:val="0024035E"/>
    <w:rsid w:val="00241945"/>
    <w:rsid w:val="00243A26"/>
    <w:rsid w:val="00243D70"/>
    <w:rsid w:val="00244E37"/>
    <w:rsid w:val="002475E8"/>
    <w:rsid w:val="00250AEF"/>
    <w:rsid w:val="00254A95"/>
    <w:rsid w:val="00256AF9"/>
    <w:rsid w:val="0025763F"/>
    <w:rsid w:val="00262B5B"/>
    <w:rsid w:val="00263AD9"/>
    <w:rsid w:val="0026564C"/>
    <w:rsid w:val="00271202"/>
    <w:rsid w:val="00272313"/>
    <w:rsid w:val="0028602A"/>
    <w:rsid w:val="002A2026"/>
    <w:rsid w:val="002B0C2A"/>
    <w:rsid w:val="002B5F2C"/>
    <w:rsid w:val="002C2526"/>
    <w:rsid w:val="002C3D2B"/>
    <w:rsid w:val="002C7BB1"/>
    <w:rsid w:val="002D2E49"/>
    <w:rsid w:val="002D3448"/>
    <w:rsid w:val="002D667B"/>
    <w:rsid w:val="002E10BE"/>
    <w:rsid w:val="002E2271"/>
    <w:rsid w:val="002E5AA1"/>
    <w:rsid w:val="002E6011"/>
    <w:rsid w:val="002F145D"/>
    <w:rsid w:val="002F29D6"/>
    <w:rsid w:val="002F4A72"/>
    <w:rsid w:val="00301144"/>
    <w:rsid w:val="00302DEE"/>
    <w:rsid w:val="0030347F"/>
    <w:rsid w:val="00305665"/>
    <w:rsid w:val="00306F1F"/>
    <w:rsid w:val="003104E0"/>
    <w:rsid w:val="003142DD"/>
    <w:rsid w:val="003148B7"/>
    <w:rsid w:val="003158C3"/>
    <w:rsid w:val="003165AC"/>
    <w:rsid w:val="00324623"/>
    <w:rsid w:val="003274CD"/>
    <w:rsid w:val="003307E2"/>
    <w:rsid w:val="003357B0"/>
    <w:rsid w:val="00340616"/>
    <w:rsid w:val="00340B33"/>
    <w:rsid w:val="00340C83"/>
    <w:rsid w:val="00346479"/>
    <w:rsid w:val="00350C2C"/>
    <w:rsid w:val="0035119D"/>
    <w:rsid w:val="00363D8C"/>
    <w:rsid w:val="00364162"/>
    <w:rsid w:val="00365CD4"/>
    <w:rsid w:val="0036664E"/>
    <w:rsid w:val="00367765"/>
    <w:rsid w:val="00367A67"/>
    <w:rsid w:val="00367A9B"/>
    <w:rsid w:val="003717CD"/>
    <w:rsid w:val="00376B7C"/>
    <w:rsid w:val="0038323C"/>
    <w:rsid w:val="00384A37"/>
    <w:rsid w:val="003858CE"/>
    <w:rsid w:val="00387914"/>
    <w:rsid w:val="00396FF1"/>
    <w:rsid w:val="003A4403"/>
    <w:rsid w:val="003A71C5"/>
    <w:rsid w:val="003B4C5C"/>
    <w:rsid w:val="003B4F12"/>
    <w:rsid w:val="003B72E0"/>
    <w:rsid w:val="003D016A"/>
    <w:rsid w:val="003D0DB2"/>
    <w:rsid w:val="003D1805"/>
    <w:rsid w:val="003D20DC"/>
    <w:rsid w:val="003E5B35"/>
    <w:rsid w:val="003E60A5"/>
    <w:rsid w:val="003F2970"/>
    <w:rsid w:val="003F3468"/>
    <w:rsid w:val="003F495B"/>
    <w:rsid w:val="003F4BE9"/>
    <w:rsid w:val="003F4C26"/>
    <w:rsid w:val="003F6C38"/>
    <w:rsid w:val="004003E2"/>
    <w:rsid w:val="0041108C"/>
    <w:rsid w:val="00423350"/>
    <w:rsid w:val="00423F31"/>
    <w:rsid w:val="00431899"/>
    <w:rsid w:val="00433C93"/>
    <w:rsid w:val="00435D19"/>
    <w:rsid w:val="00444BA5"/>
    <w:rsid w:val="0044601E"/>
    <w:rsid w:val="004475DB"/>
    <w:rsid w:val="00453B94"/>
    <w:rsid w:val="00453D73"/>
    <w:rsid w:val="004661E2"/>
    <w:rsid w:val="0046745D"/>
    <w:rsid w:val="00472A15"/>
    <w:rsid w:val="00482F1B"/>
    <w:rsid w:val="0048503D"/>
    <w:rsid w:val="00486804"/>
    <w:rsid w:val="00487D50"/>
    <w:rsid w:val="004A0F4F"/>
    <w:rsid w:val="004A1562"/>
    <w:rsid w:val="004A44B8"/>
    <w:rsid w:val="004B1B27"/>
    <w:rsid w:val="004B3775"/>
    <w:rsid w:val="004B53C4"/>
    <w:rsid w:val="004C27DB"/>
    <w:rsid w:val="004C2A06"/>
    <w:rsid w:val="004C68FC"/>
    <w:rsid w:val="004D280A"/>
    <w:rsid w:val="004D6264"/>
    <w:rsid w:val="004E058F"/>
    <w:rsid w:val="004E1259"/>
    <w:rsid w:val="004E3B87"/>
    <w:rsid w:val="004E408F"/>
    <w:rsid w:val="004F1C5D"/>
    <w:rsid w:val="004F6159"/>
    <w:rsid w:val="00510921"/>
    <w:rsid w:val="005109D5"/>
    <w:rsid w:val="00510AD3"/>
    <w:rsid w:val="00511DD6"/>
    <w:rsid w:val="00513348"/>
    <w:rsid w:val="0051349B"/>
    <w:rsid w:val="00514857"/>
    <w:rsid w:val="00516107"/>
    <w:rsid w:val="00521A5F"/>
    <w:rsid w:val="0053097A"/>
    <w:rsid w:val="00533B5D"/>
    <w:rsid w:val="00533BCE"/>
    <w:rsid w:val="005344DB"/>
    <w:rsid w:val="0054078D"/>
    <w:rsid w:val="00544D3A"/>
    <w:rsid w:val="005570E8"/>
    <w:rsid w:val="00560903"/>
    <w:rsid w:val="00561435"/>
    <w:rsid w:val="00564C6D"/>
    <w:rsid w:val="005660B6"/>
    <w:rsid w:val="00566242"/>
    <w:rsid w:val="00570527"/>
    <w:rsid w:val="005732A1"/>
    <w:rsid w:val="00576C34"/>
    <w:rsid w:val="00592EB3"/>
    <w:rsid w:val="00593AF5"/>
    <w:rsid w:val="00596635"/>
    <w:rsid w:val="005970EA"/>
    <w:rsid w:val="005A333E"/>
    <w:rsid w:val="005A35F8"/>
    <w:rsid w:val="005A3C34"/>
    <w:rsid w:val="005A41E0"/>
    <w:rsid w:val="005A6BEE"/>
    <w:rsid w:val="005B1D56"/>
    <w:rsid w:val="005B6F05"/>
    <w:rsid w:val="005C37F0"/>
    <w:rsid w:val="005D00E1"/>
    <w:rsid w:val="005D2C06"/>
    <w:rsid w:val="005D2D36"/>
    <w:rsid w:val="005D670A"/>
    <w:rsid w:val="005E0682"/>
    <w:rsid w:val="005E68FB"/>
    <w:rsid w:val="005F0384"/>
    <w:rsid w:val="005F3DD0"/>
    <w:rsid w:val="005F4245"/>
    <w:rsid w:val="005F790C"/>
    <w:rsid w:val="00600B0B"/>
    <w:rsid w:val="00601E84"/>
    <w:rsid w:val="00605824"/>
    <w:rsid w:val="00623BA1"/>
    <w:rsid w:val="00625F40"/>
    <w:rsid w:val="006267A3"/>
    <w:rsid w:val="006330A1"/>
    <w:rsid w:val="006337ED"/>
    <w:rsid w:val="006338CC"/>
    <w:rsid w:val="006346BC"/>
    <w:rsid w:val="006378E2"/>
    <w:rsid w:val="00640DE4"/>
    <w:rsid w:val="006417DE"/>
    <w:rsid w:val="00641F21"/>
    <w:rsid w:val="00647D91"/>
    <w:rsid w:val="00650146"/>
    <w:rsid w:val="006539C9"/>
    <w:rsid w:val="00656E7F"/>
    <w:rsid w:val="00661C4A"/>
    <w:rsid w:val="00664CEA"/>
    <w:rsid w:val="00666291"/>
    <w:rsid w:val="0066652A"/>
    <w:rsid w:val="00672581"/>
    <w:rsid w:val="00673063"/>
    <w:rsid w:val="0067746C"/>
    <w:rsid w:val="00681C88"/>
    <w:rsid w:val="00682167"/>
    <w:rsid w:val="006858D0"/>
    <w:rsid w:val="00685ACF"/>
    <w:rsid w:val="00686951"/>
    <w:rsid w:val="0068793B"/>
    <w:rsid w:val="00687BAA"/>
    <w:rsid w:val="00694DF9"/>
    <w:rsid w:val="006A07FB"/>
    <w:rsid w:val="006A31BC"/>
    <w:rsid w:val="006A7309"/>
    <w:rsid w:val="006B11FB"/>
    <w:rsid w:val="006B1B4F"/>
    <w:rsid w:val="006B5D03"/>
    <w:rsid w:val="006B7D0A"/>
    <w:rsid w:val="006C2B8C"/>
    <w:rsid w:val="006C42AF"/>
    <w:rsid w:val="006C4DD1"/>
    <w:rsid w:val="006C6E91"/>
    <w:rsid w:val="006D09F8"/>
    <w:rsid w:val="006F71F6"/>
    <w:rsid w:val="00700D81"/>
    <w:rsid w:val="0070162F"/>
    <w:rsid w:val="00704535"/>
    <w:rsid w:val="0070488E"/>
    <w:rsid w:val="007060AA"/>
    <w:rsid w:val="007065A0"/>
    <w:rsid w:val="00710966"/>
    <w:rsid w:val="007119DE"/>
    <w:rsid w:val="00711D6F"/>
    <w:rsid w:val="00711D8E"/>
    <w:rsid w:val="00712672"/>
    <w:rsid w:val="00714DD4"/>
    <w:rsid w:val="007168FF"/>
    <w:rsid w:val="00726710"/>
    <w:rsid w:val="007310EF"/>
    <w:rsid w:val="00732D4D"/>
    <w:rsid w:val="00734E3F"/>
    <w:rsid w:val="00736985"/>
    <w:rsid w:val="00737A13"/>
    <w:rsid w:val="007475A5"/>
    <w:rsid w:val="00747D3A"/>
    <w:rsid w:val="00754666"/>
    <w:rsid w:val="00760BE9"/>
    <w:rsid w:val="00761228"/>
    <w:rsid w:val="00767611"/>
    <w:rsid w:val="00771237"/>
    <w:rsid w:val="00794773"/>
    <w:rsid w:val="007A0CD6"/>
    <w:rsid w:val="007A25F0"/>
    <w:rsid w:val="007A62C2"/>
    <w:rsid w:val="007B1202"/>
    <w:rsid w:val="007B1A1A"/>
    <w:rsid w:val="007B3AF7"/>
    <w:rsid w:val="007B6200"/>
    <w:rsid w:val="007C24EA"/>
    <w:rsid w:val="007C6E0F"/>
    <w:rsid w:val="007D1C9C"/>
    <w:rsid w:val="007D6319"/>
    <w:rsid w:val="007D6B17"/>
    <w:rsid w:val="007E58A6"/>
    <w:rsid w:val="007F5F85"/>
    <w:rsid w:val="00801841"/>
    <w:rsid w:val="00801B9F"/>
    <w:rsid w:val="00801DB6"/>
    <w:rsid w:val="00801FF1"/>
    <w:rsid w:val="00815AB3"/>
    <w:rsid w:val="00821F0D"/>
    <w:rsid w:val="0082468B"/>
    <w:rsid w:val="00831521"/>
    <w:rsid w:val="00846AE6"/>
    <w:rsid w:val="00855BCA"/>
    <w:rsid w:val="0085618E"/>
    <w:rsid w:val="008612F0"/>
    <w:rsid w:val="00864EFA"/>
    <w:rsid w:val="00872C9A"/>
    <w:rsid w:val="0087474B"/>
    <w:rsid w:val="00875A16"/>
    <w:rsid w:val="00876CDB"/>
    <w:rsid w:val="0087734C"/>
    <w:rsid w:val="00880B3F"/>
    <w:rsid w:val="0088371D"/>
    <w:rsid w:val="00883780"/>
    <w:rsid w:val="008873D4"/>
    <w:rsid w:val="00890646"/>
    <w:rsid w:val="00892C8B"/>
    <w:rsid w:val="00894217"/>
    <w:rsid w:val="00894F94"/>
    <w:rsid w:val="0089786A"/>
    <w:rsid w:val="008A077C"/>
    <w:rsid w:val="008A6420"/>
    <w:rsid w:val="008A77A2"/>
    <w:rsid w:val="008B62C7"/>
    <w:rsid w:val="008C6A77"/>
    <w:rsid w:val="008C7240"/>
    <w:rsid w:val="008D1E4C"/>
    <w:rsid w:val="008D4A99"/>
    <w:rsid w:val="008E0EB8"/>
    <w:rsid w:val="008E2331"/>
    <w:rsid w:val="008E42E8"/>
    <w:rsid w:val="008F26BF"/>
    <w:rsid w:val="008F4C2E"/>
    <w:rsid w:val="00900236"/>
    <w:rsid w:val="0090112A"/>
    <w:rsid w:val="00906C07"/>
    <w:rsid w:val="0090794D"/>
    <w:rsid w:val="00911AC6"/>
    <w:rsid w:val="0091452D"/>
    <w:rsid w:val="00925ECE"/>
    <w:rsid w:val="0092699E"/>
    <w:rsid w:val="00934587"/>
    <w:rsid w:val="0093505F"/>
    <w:rsid w:val="00940F40"/>
    <w:rsid w:val="00943028"/>
    <w:rsid w:val="00950336"/>
    <w:rsid w:val="009525F4"/>
    <w:rsid w:val="00953463"/>
    <w:rsid w:val="00954ABA"/>
    <w:rsid w:val="00957D11"/>
    <w:rsid w:val="009625B7"/>
    <w:rsid w:val="00965D80"/>
    <w:rsid w:val="00966462"/>
    <w:rsid w:val="00966B6F"/>
    <w:rsid w:val="00971FF6"/>
    <w:rsid w:val="00972D12"/>
    <w:rsid w:val="0097683A"/>
    <w:rsid w:val="00984B3C"/>
    <w:rsid w:val="009A05FF"/>
    <w:rsid w:val="009A0845"/>
    <w:rsid w:val="009A1F11"/>
    <w:rsid w:val="009A2DA7"/>
    <w:rsid w:val="009B4D3B"/>
    <w:rsid w:val="009C4265"/>
    <w:rsid w:val="009D7407"/>
    <w:rsid w:val="009E0866"/>
    <w:rsid w:val="009E676B"/>
    <w:rsid w:val="009F2602"/>
    <w:rsid w:val="009F35C5"/>
    <w:rsid w:val="00A16196"/>
    <w:rsid w:val="00A20E8E"/>
    <w:rsid w:val="00A22DDB"/>
    <w:rsid w:val="00A23FFD"/>
    <w:rsid w:val="00A24A62"/>
    <w:rsid w:val="00A256BF"/>
    <w:rsid w:val="00A275FD"/>
    <w:rsid w:val="00A31C9F"/>
    <w:rsid w:val="00A33D11"/>
    <w:rsid w:val="00A35BEB"/>
    <w:rsid w:val="00A35DDC"/>
    <w:rsid w:val="00A40701"/>
    <w:rsid w:val="00A41108"/>
    <w:rsid w:val="00A45D97"/>
    <w:rsid w:val="00A46C53"/>
    <w:rsid w:val="00A47733"/>
    <w:rsid w:val="00A47BAD"/>
    <w:rsid w:val="00A47BAF"/>
    <w:rsid w:val="00A47C17"/>
    <w:rsid w:val="00A632E3"/>
    <w:rsid w:val="00A668C8"/>
    <w:rsid w:val="00A714E4"/>
    <w:rsid w:val="00A75639"/>
    <w:rsid w:val="00A75BF8"/>
    <w:rsid w:val="00A76EC7"/>
    <w:rsid w:val="00A90EFA"/>
    <w:rsid w:val="00A916BA"/>
    <w:rsid w:val="00A92A2E"/>
    <w:rsid w:val="00A92DC3"/>
    <w:rsid w:val="00A9798A"/>
    <w:rsid w:val="00A97C9C"/>
    <w:rsid w:val="00A97E00"/>
    <w:rsid w:val="00AB19CF"/>
    <w:rsid w:val="00AB2F67"/>
    <w:rsid w:val="00AB3CD5"/>
    <w:rsid w:val="00AC164A"/>
    <w:rsid w:val="00AC40A4"/>
    <w:rsid w:val="00AC568C"/>
    <w:rsid w:val="00AC6D7B"/>
    <w:rsid w:val="00AC7E68"/>
    <w:rsid w:val="00AD16EC"/>
    <w:rsid w:val="00AE5A5C"/>
    <w:rsid w:val="00AE73BE"/>
    <w:rsid w:val="00AF2050"/>
    <w:rsid w:val="00AF23B9"/>
    <w:rsid w:val="00B04AFC"/>
    <w:rsid w:val="00B0789D"/>
    <w:rsid w:val="00B136A1"/>
    <w:rsid w:val="00B14361"/>
    <w:rsid w:val="00B15626"/>
    <w:rsid w:val="00B16143"/>
    <w:rsid w:val="00B233A5"/>
    <w:rsid w:val="00B24D17"/>
    <w:rsid w:val="00B25767"/>
    <w:rsid w:val="00B27A14"/>
    <w:rsid w:val="00B328B0"/>
    <w:rsid w:val="00B35A3A"/>
    <w:rsid w:val="00B424E7"/>
    <w:rsid w:val="00B50215"/>
    <w:rsid w:val="00B50BFA"/>
    <w:rsid w:val="00B563B4"/>
    <w:rsid w:val="00B64959"/>
    <w:rsid w:val="00B655D0"/>
    <w:rsid w:val="00B6687E"/>
    <w:rsid w:val="00B67736"/>
    <w:rsid w:val="00B76933"/>
    <w:rsid w:val="00B813A0"/>
    <w:rsid w:val="00B82540"/>
    <w:rsid w:val="00B82CE5"/>
    <w:rsid w:val="00B90A32"/>
    <w:rsid w:val="00B95DE4"/>
    <w:rsid w:val="00BA47CE"/>
    <w:rsid w:val="00BA6AA8"/>
    <w:rsid w:val="00BA7BFB"/>
    <w:rsid w:val="00BB212F"/>
    <w:rsid w:val="00BB26C5"/>
    <w:rsid w:val="00BB5869"/>
    <w:rsid w:val="00BB5CF6"/>
    <w:rsid w:val="00BB7BA0"/>
    <w:rsid w:val="00BC0C62"/>
    <w:rsid w:val="00BC1314"/>
    <w:rsid w:val="00BC29E7"/>
    <w:rsid w:val="00BC4777"/>
    <w:rsid w:val="00BC4F34"/>
    <w:rsid w:val="00BD1DD2"/>
    <w:rsid w:val="00BE0F17"/>
    <w:rsid w:val="00BE2552"/>
    <w:rsid w:val="00BE263C"/>
    <w:rsid w:val="00BE399B"/>
    <w:rsid w:val="00BE78B1"/>
    <w:rsid w:val="00BF18F9"/>
    <w:rsid w:val="00BF4DE6"/>
    <w:rsid w:val="00C10A41"/>
    <w:rsid w:val="00C13514"/>
    <w:rsid w:val="00C2590D"/>
    <w:rsid w:val="00C25A62"/>
    <w:rsid w:val="00C26150"/>
    <w:rsid w:val="00C34D4A"/>
    <w:rsid w:val="00C359D3"/>
    <w:rsid w:val="00C362A5"/>
    <w:rsid w:val="00C41ADE"/>
    <w:rsid w:val="00C41D2A"/>
    <w:rsid w:val="00C42CDE"/>
    <w:rsid w:val="00C50ADB"/>
    <w:rsid w:val="00C5798D"/>
    <w:rsid w:val="00C836BC"/>
    <w:rsid w:val="00C90A5A"/>
    <w:rsid w:val="00C91C79"/>
    <w:rsid w:val="00C939FD"/>
    <w:rsid w:val="00C94D37"/>
    <w:rsid w:val="00C966CD"/>
    <w:rsid w:val="00CA37B1"/>
    <w:rsid w:val="00CA440F"/>
    <w:rsid w:val="00CB1959"/>
    <w:rsid w:val="00CB304D"/>
    <w:rsid w:val="00CC2AA4"/>
    <w:rsid w:val="00CC2BF1"/>
    <w:rsid w:val="00CC759F"/>
    <w:rsid w:val="00CD3AA1"/>
    <w:rsid w:val="00CD4C5E"/>
    <w:rsid w:val="00CE0B8C"/>
    <w:rsid w:val="00CE251D"/>
    <w:rsid w:val="00CE449A"/>
    <w:rsid w:val="00CF0CF0"/>
    <w:rsid w:val="00CF3DF7"/>
    <w:rsid w:val="00CF5970"/>
    <w:rsid w:val="00D0168A"/>
    <w:rsid w:val="00D0296C"/>
    <w:rsid w:val="00D14978"/>
    <w:rsid w:val="00D16C3F"/>
    <w:rsid w:val="00D16D62"/>
    <w:rsid w:val="00D22869"/>
    <w:rsid w:val="00D268E6"/>
    <w:rsid w:val="00D31439"/>
    <w:rsid w:val="00D3569B"/>
    <w:rsid w:val="00D44875"/>
    <w:rsid w:val="00D46D82"/>
    <w:rsid w:val="00D55622"/>
    <w:rsid w:val="00D57A17"/>
    <w:rsid w:val="00D747C1"/>
    <w:rsid w:val="00D77328"/>
    <w:rsid w:val="00D915A7"/>
    <w:rsid w:val="00D9453C"/>
    <w:rsid w:val="00DB0937"/>
    <w:rsid w:val="00DB2CCD"/>
    <w:rsid w:val="00DB3432"/>
    <w:rsid w:val="00DB4BB4"/>
    <w:rsid w:val="00DB5D1B"/>
    <w:rsid w:val="00DB6D69"/>
    <w:rsid w:val="00DC1682"/>
    <w:rsid w:val="00DC322C"/>
    <w:rsid w:val="00DC3FFB"/>
    <w:rsid w:val="00DC430B"/>
    <w:rsid w:val="00DC66AE"/>
    <w:rsid w:val="00DC683E"/>
    <w:rsid w:val="00DD0392"/>
    <w:rsid w:val="00DD52C8"/>
    <w:rsid w:val="00DD55C0"/>
    <w:rsid w:val="00DD622B"/>
    <w:rsid w:val="00DE3434"/>
    <w:rsid w:val="00DE3E90"/>
    <w:rsid w:val="00DE54A9"/>
    <w:rsid w:val="00DF0952"/>
    <w:rsid w:val="00DF25F7"/>
    <w:rsid w:val="00DF67B7"/>
    <w:rsid w:val="00E0320C"/>
    <w:rsid w:val="00E03D94"/>
    <w:rsid w:val="00E0549E"/>
    <w:rsid w:val="00E12860"/>
    <w:rsid w:val="00E12B2D"/>
    <w:rsid w:val="00E17504"/>
    <w:rsid w:val="00E255D2"/>
    <w:rsid w:val="00E27EA0"/>
    <w:rsid w:val="00E3105D"/>
    <w:rsid w:val="00E3479A"/>
    <w:rsid w:val="00E357B7"/>
    <w:rsid w:val="00E3624C"/>
    <w:rsid w:val="00E44E21"/>
    <w:rsid w:val="00E472B4"/>
    <w:rsid w:val="00E53800"/>
    <w:rsid w:val="00E6081F"/>
    <w:rsid w:val="00E60953"/>
    <w:rsid w:val="00E673E5"/>
    <w:rsid w:val="00E67963"/>
    <w:rsid w:val="00E71B07"/>
    <w:rsid w:val="00E738F8"/>
    <w:rsid w:val="00E7435B"/>
    <w:rsid w:val="00E8130F"/>
    <w:rsid w:val="00E85D42"/>
    <w:rsid w:val="00E95846"/>
    <w:rsid w:val="00E963D2"/>
    <w:rsid w:val="00E96706"/>
    <w:rsid w:val="00EA04B2"/>
    <w:rsid w:val="00EA20F3"/>
    <w:rsid w:val="00EA3B0E"/>
    <w:rsid w:val="00EA4635"/>
    <w:rsid w:val="00EA75C1"/>
    <w:rsid w:val="00EB3060"/>
    <w:rsid w:val="00EB4889"/>
    <w:rsid w:val="00EB5C8A"/>
    <w:rsid w:val="00EC0A9F"/>
    <w:rsid w:val="00EC15DD"/>
    <w:rsid w:val="00ED1CDD"/>
    <w:rsid w:val="00ED43D1"/>
    <w:rsid w:val="00ED44FE"/>
    <w:rsid w:val="00ED6663"/>
    <w:rsid w:val="00EE05E1"/>
    <w:rsid w:val="00EE2B1C"/>
    <w:rsid w:val="00EE4EE1"/>
    <w:rsid w:val="00EF2072"/>
    <w:rsid w:val="00EF4574"/>
    <w:rsid w:val="00EF6F72"/>
    <w:rsid w:val="00EF7B34"/>
    <w:rsid w:val="00F00CFE"/>
    <w:rsid w:val="00F056D1"/>
    <w:rsid w:val="00F07425"/>
    <w:rsid w:val="00F2684E"/>
    <w:rsid w:val="00F43EFC"/>
    <w:rsid w:val="00F500DB"/>
    <w:rsid w:val="00F5019A"/>
    <w:rsid w:val="00F60D41"/>
    <w:rsid w:val="00F61589"/>
    <w:rsid w:val="00F63BC9"/>
    <w:rsid w:val="00F64616"/>
    <w:rsid w:val="00F729EF"/>
    <w:rsid w:val="00F77CAE"/>
    <w:rsid w:val="00F95B3A"/>
    <w:rsid w:val="00F96BB9"/>
    <w:rsid w:val="00F96E58"/>
    <w:rsid w:val="00FA299B"/>
    <w:rsid w:val="00FA2D3B"/>
    <w:rsid w:val="00FB44AA"/>
    <w:rsid w:val="00FC030A"/>
    <w:rsid w:val="00FC08D2"/>
    <w:rsid w:val="00FC483E"/>
    <w:rsid w:val="00FD04C9"/>
    <w:rsid w:val="00FD416B"/>
    <w:rsid w:val="00FD71C2"/>
    <w:rsid w:val="00FE1CEE"/>
    <w:rsid w:val="00FE6D51"/>
    <w:rsid w:val="00FF04DE"/>
    <w:rsid w:val="00FF323E"/>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A165"/>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ind w:left="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24035E"/>
    <w:pPr>
      <w:spacing w:after="120"/>
    </w:pPr>
  </w:style>
  <w:style w:type="character" w:customStyle="1" w:styleId="BodyTextChar">
    <w:name w:val="Body Text Char"/>
    <w:basedOn w:val="DefaultParagraphFont"/>
    <w:link w:val="BodyText"/>
    <w:uiPriority w:val="99"/>
    <w:rsid w:val="0024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105544806">
      <w:bodyDiv w:val="1"/>
      <w:marLeft w:val="0"/>
      <w:marRight w:val="0"/>
      <w:marTop w:val="0"/>
      <w:marBottom w:val="0"/>
      <w:divBdr>
        <w:top w:val="none" w:sz="0" w:space="0" w:color="auto"/>
        <w:left w:val="none" w:sz="0" w:space="0" w:color="auto"/>
        <w:bottom w:val="none" w:sz="0" w:space="0" w:color="auto"/>
        <w:right w:val="none" w:sz="0" w:space="0" w:color="auto"/>
      </w:divBdr>
    </w:div>
    <w:div w:id="116067738">
      <w:bodyDiv w:val="1"/>
      <w:marLeft w:val="0"/>
      <w:marRight w:val="0"/>
      <w:marTop w:val="0"/>
      <w:marBottom w:val="0"/>
      <w:divBdr>
        <w:top w:val="none" w:sz="0" w:space="0" w:color="auto"/>
        <w:left w:val="none" w:sz="0" w:space="0" w:color="auto"/>
        <w:bottom w:val="none" w:sz="0" w:space="0" w:color="auto"/>
        <w:right w:val="none" w:sz="0" w:space="0" w:color="auto"/>
      </w:divBdr>
    </w:div>
    <w:div w:id="147988473">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60534168">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communitygrants.gov.au/grants" TargetMode="External"/><Relationship Id="rId18" Type="http://schemas.openxmlformats.org/officeDocument/2006/relationships/hyperlink" Target="mailto:support@communitygrants.gov.au" TargetMode="External"/><Relationship Id="rId26" Type="http://schemas.openxmlformats.org/officeDocument/2006/relationships/hyperlink" Target="https://dex.dss.gov.au/policy-guidance/dex_data_exchange_protocol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http://www.apsc.gov.au/publications-and-media/current-publications/aps-values-and-code-of-conduct-in-practice/conflict-of-interest" TargetMode="Externa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https://www.grants.gov.au/" TargetMode="External"/><Relationship Id="rId25" Type="http://schemas.openxmlformats.org/officeDocument/2006/relationships/hyperlink" Target="http://www.ato.gov.au/" TargetMode="External"/><Relationship Id="rId33" Type="http://schemas.openxmlformats.org/officeDocument/2006/relationships/hyperlink" Target="http://www.ombudsman.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s://www.dss.gov.au/about-the-department/doing-business-with-dss/complaints-process-for-grant-recipi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prod.protected.ind/User/user03/LLau2/insert%20link%20here" TargetMode="External"/><Relationship Id="rId32" Type="http://schemas.openxmlformats.org/officeDocument/2006/relationships/hyperlink" Target="mailto:ombudsman@ombudsman.gov.au" TargetMode="External"/><Relationship Id="rId37" Type="http://schemas.openxmlformats.org/officeDocument/2006/relationships/hyperlink" Target="mailto:foi@dss.gov.au" TargetMode="Externa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www.grants.gov.au/?event=public.home" TargetMode="External"/><Relationship Id="rId28" Type="http://schemas.openxmlformats.org/officeDocument/2006/relationships/hyperlink" Target="http://www.communitygrants.gov.au/" TargetMode="External"/><Relationship Id="rId36" Type="http://schemas.openxmlformats.org/officeDocument/2006/relationships/hyperlink" Target="http://www.comlaw.gov.au/Details/C2014C00757" TargetMode="External"/><Relationship Id="rId10" Type="http://schemas.openxmlformats.org/officeDocument/2006/relationships/footer" Target="footer1.xml"/><Relationship Id="rId19" Type="http://schemas.openxmlformats.org/officeDocument/2006/relationships/hyperlink" Target="mailto:support@communitygrants.gov.au" TargetMode="External"/><Relationship Id="rId31" Type="http://schemas.openxmlformats.org/officeDocument/2006/relationships/hyperlink" Target="https://www.dss.gov.au/contact/feedback-compliments-complaints-and-enquiries/feedback-for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rants.gov.au/?event=public.home" TargetMode="External"/><Relationship Id="rId22" Type="http://schemas.openxmlformats.org/officeDocument/2006/relationships/hyperlink" Target="http://www.finance.gov.au/financial-framework/financial-management-policy-guidance/grants/grant-agreement-template-project.html"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communitygrants.gov.au/open-grants/how-apply/conflict-interest-policy-commonwealth-government-employee"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57A6-D1C1-4792-B06D-346828DE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2018-07-10T06:02:00Z</cp:lastPrinted>
  <dcterms:created xsi:type="dcterms:W3CDTF">2018-07-11T07:13:00Z</dcterms:created>
  <dcterms:modified xsi:type="dcterms:W3CDTF">2018-07-11T07:13:00Z</dcterms:modified>
  <cp:contentStatus/>
</cp:coreProperties>
</file>