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73" w:rsidRPr="00D03B5D" w:rsidRDefault="00D03B5D" w:rsidP="003A739E">
      <w:pPr>
        <w:pStyle w:val="Title"/>
        <w:spacing w:before="3000"/>
        <w:rPr>
          <w:color w:val="auto"/>
        </w:rPr>
      </w:pPr>
      <w:bookmarkStart w:id="0" w:name="_GoBack"/>
      <w:bookmarkEnd w:id="0"/>
      <w:r w:rsidRPr="00D03B5D">
        <w:rPr>
          <w:color w:val="auto"/>
        </w:rPr>
        <w:t>Financial Wellbeing and Capability</w:t>
      </w:r>
      <w:r w:rsidR="00B928AB">
        <w:rPr>
          <w:color w:val="auto"/>
        </w:rPr>
        <w:t xml:space="preserve"> Activity</w:t>
      </w:r>
      <w:r w:rsidR="003A739E">
        <w:rPr>
          <w:color w:val="auto"/>
        </w:rPr>
        <w:t xml:space="preserve"> -</w:t>
      </w:r>
    </w:p>
    <w:p w:rsidR="0060650D" w:rsidRDefault="00D03B5D" w:rsidP="00554142">
      <w:pPr>
        <w:pStyle w:val="Title"/>
        <w:rPr>
          <w:color w:val="auto"/>
        </w:rPr>
      </w:pPr>
      <w:r w:rsidRPr="00D03B5D">
        <w:rPr>
          <w:color w:val="auto"/>
        </w:rPr>
        <w:t>Financial Crisis and Material Aid</w:t>
      </w:r>
      <w:r w:rsidR="0060650D">
        <w:rPr>
          <w:color w:val="auto"/>
        </w:rPr>
        <w:t>:</w:t>
      </w:r>
      <w:r w:rsidR="00B928AB">
        <w:rPr>
          <w:color w:val="auto"/>
        </w:rPr>
        <w:t xml:space="preserve"> </w:t>
      </w:r>
    </w:p>
    <w:p w:rsidR="00554142" w:rsidRPr="00D03B5D" w:rsidRDefault="00B928AB" w:rsidP="00554142">
      <w:pPr>
        <w:pStyle w:val="Title"/>
      </w:pPr>
      <w:r>
        <w:rPr>
          <w:color w:val="auto"/>
        </w:rPr>
        <w:t>E</w:t>
      </w:r>
      <w:r w:rsidR="00554142" w:rsidRPr="00D03B5D">
        <w:rPr>
          <w:color w:val="auto"/>
        </w:rPr>
        <w:t>mergency Relief</w:t>
      </w:r>
      <w:r w:rsidR="00FD789E">
        <w:t xml:space="preserve"> </w:t>
      </w:r>
      <w:r w:rsidR="00554142" w:rsidRPr="00C836BC">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rsidTr="00096839">
        <w:trPr>
          <w:tblHeader/>
        </w:trPr>
        <w:tc>
          <w:tcPr>
            <w:tcW w:w="2977" w:type="dxa"/>
          </w:tcPr>
          <w:p w:rsidR="00794773" w:rsidRPr="007040EB" w:rsidRDefault="00794773" w:rsidP="00694DF9">
            <w:pPr>
              <w:spacing w:line="240" w:lineRule="auto"/>
              <w:jc w:val="both"/>
            </w:pPr>
            <w:r w:rsidRPr="007040EB">
              <w:t>Opening date</w:t>
            </w:r>
            <w:r>
              <w:t>:</w:t>
            </w:r>
          </w:p>
        </w:tc>
        <w:tc>
          <w:tcPr>
            <w:tcW w:w="6404" w:type="dxa"/>
            <w:shd w:val="clear" w:color="auto" w:fill="auto"/>
          </w:tcPr>
          <w:p w:rsidR="00794773" w:rsidRPr="008927F0" w:rsidRDefault="008927F0" w:rsidP="002C7BB1">
            <w:pPr>
              <w:pStyle w:val="inputcomment"/>
              <w:rPr>
                <w:b w:val="0"/>
                <w:color w:val="auto"/>
              </w:rPr>
            </w:pPr>
            <w:r w:rsidRPr="008927F0">
              <w:rPr>
                <w:b w:val="0"/>
                <w:color w:val="auto"/>
              </w:rPr>
              <w:t>12 July 2018</w:t>
            </w:r>
          </w:p>
        </w:tc>
      </w:tr>
      <w:tr w:rsidR="00794773" w:rsidRPr="007040EB" w:rsidTr="002C7BB1">
        <w:tc>
          <w:tcPr>
            <w:tcW w:w="2977" w:type="dxa"/>
          </w:tcPr>
          <w:p w:rsidR="00794773" w:rsidRPr="007040EB" w:rsidRDefault="00794773" w:rsidP="00694DF9">
            <w:pPr>
              <w:spacing w:line="240" w:lineRule="auto"/>
              <w:jc w:val="both"/>
            </w:pPr>
            <w:r w:rsidRPr="007040EB">
              <w:t>Closing date and time</w:t>
            </w:r>
            <w:r>
              <w:t>:</w:t>
            </w:r>
          </w:p>
        </w:tc>
        <w:tc>
          <w:tcPr>
            <w:tcW w:w="6404" w:type="dxa"/>
            <w:shd w:val="clear" w:color="auto" w:fill="auto"/>
          </w:tcPr>
          <w:p w:rsidR="00794773" w:rsidRPr="008927F0" w:rsidRDefault="008927F0" w:rsidP="008927F0">
            <w:pPr>
              <w:pStyle w:val="inputcomment"/>
              <w:rPr>
                <w:b w:val="0"/>
                <w:color w:val="auto"/>
              </w:rPr>
            </w:pPr>
            <w:r w:rsidRPr="008927F0">
              <w:rPr>
                <w:b w:val="0"/>
                <w:color w:val="auto"/>
              </w:rPr>
              <w:t xml:space="preserve">2 pm </w:t>
            </w:r>
            <w:r w:rsidR="00794773" w:rsidRPr="008927F0">
              <w:rPr>
                <w:b w:val="0"/>
                <w:color w:val="auto"/>
              </w:rPr>
              <w:t xml:space="preserve">AEST on </w:t>
            </w:r>
            <w:r w:rsidRPr="008927F0">
              <w:rPr>
                <w:b w:val="0"/>
                <w:color w:val="auto"/>
              </w:rPr>
              <w:t>22 August 2018</w:t>
            </w:r>
          </w:p>
        </w:tc>
      </w:tr>
      <w:tr w:rsidR="00794773" w:rsidRPr="007040EB" w:rsidTr="002C7BB1">
        <w:tc>
          <w:tcPr>
            <w:tcW w:w="2977" w:type="dxa"/>
          </w:tcPr>
          <w:p w:rsidR="00794773" w:rsidRPr="007040EB" w:rsidRDefault="00794773" w:rsidP="00694DF9">
            <w:pPr>
              <w:spacing w:line="240" w:lineRule="auto"/>
            </w:pPr>
            <w:r w:rsidRPr="007040EB">
              <w:t>Commonwealth policy entity</w:t>
            </w:r>
            <w:r>
              <w:t>:</w:t>
            </w:r>
          </w:p>
        </w:tc>
        <w:tc>
          <w:tcPr>
            <w:tcW w:w="6404" w:type="dxa"/>
            <w:shd w:val="clear" w:color="auto" w:fill="auto"/>
          </w:tcPr>
          <w:p w:rsidR="00794773" w:rsidRPr="00D03B5D" w:rsidRDefault="00D03B5D" w:rsidP="00694DF9">
            <w:pPr>
              <w:spacing w:line="240" w:lineRule="auto"/>
            </w:pPr>
            <w:r w:rsidRPr="00D03B5D">
              <w:t>Department of Social Services</w:t>
            </w:r>
          </w:p>
        </w:tc>
      </w:tr>
      <w:tr w:rsidR="00794773" w:rsidRPr="007040EB" w:rsidTr="002C7BB1">
        <w:tc>
          <w:tcPr>
            <w:tcW w:w="2977" w:type="dxa"/>
          </w:tcPr>
          <w:p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rsidR="003D7AF4" w:rsidRPr="003D7AF4" w:rsidRDefault="003D7AF4" w:rsidP="003D7AF4">
            <w:pPr>
              <w:suppressAutoHyphens w:val="0"/>
              <w:autoSpaceDE w:val="0"/>
              <w:autoSpaceDN w:val="0"/>
              <w:adjustRightInd w:val="0"/>
              <w:spacing w:before="0" w:after="0" w:line="240" w:lineRule="auto"/>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252"/>
            </w:tblGrid>
            <w:tr w:rsidR="003D7AF4" w:rsidRPr="003D7AF4">
              <w:trPr>
                <w:trHeight w:val="804"/>
              </w:trPr>
              <w:tc>
                <w:tcPr>
                  <w:tcW w:w="0" w:type="auto"/>
                </w:tcPr>
                <w:p w:rsidR="003D7AF4" w:rsidRPr="003D7AF4" w:rsidRDefault="003D7AF4" w:rsidP="003D7AF4">
                  <w:pPr>
                    <w:suppressAutoHyphens w:val="0"/>
                    <w:autoSpaceDE w:val="0"/>
                    <w:autoSpaceDN w:val="0"/>
                    <w:adjustRightInd w:val="0"/>
                    <w:spacing w:before="0" w:after="0" w:line="240" w:lineRule="auto"/>
                    <w:rPr>
                      <w:rFonts w:ascii="Arial" w:hAnsi="Arial" w:cs="Arial"/>
                      <w:color w:val="000000"/>
                    </w:rPr>
                  </w:pPr>
                  <w:r w:rsidRPr="003D7AF4">
                    <w:rPr>
                      <w:rFonts w:ascii="Arial" w:hAnsi="Arial" w:cs="Arial"/>
                      <w:color w:val="000000"/>
                    </w:rPr>
                    <w:t xml:space="preserve">If you have any questions, please contact </w:t>
                  </w:r>
                </w:p>
                <w:p w:rsidR="003D7AF4" w:rsidRPr="00C82FE4" w:rsidRDefault="003D7AF4" w:rsidP="003D7AF4">
                  <w:pPr>
                    <w:suppressAutoHyphens w:val="0"/>
                    <w:autoSpaceDE w:val="0"/>
                    <w:autoSpaceDN w:val="0"/>
                    <w:adjustRightInd w:val="0"/>
                    <w:spacing w:before="0" w:after="0" w:line="240" w:lineRule="auto"/>
                    <w:rPr>
                      <w:rFonts w:ascii="Arial" w:hAnsi="Arial" w:cs="Arial"/>
                      <w:color w:val="000000"/>
                    </w:rPr>
                  </w:pPr>
                  <w:r w:rsidRPr="00A37CC2">
                    <w:rPr>
                      <w:rFonts w:ascii="Arial" w:hAnsi="Arial" w:cs="Arial"/>
                      <w:bCs/>
                      <w:color w:val="000000"/>
                    </w:rPr>
                    <w:t xml:space="preserve">Community Grants Hub </w:t>
                  </w:r>
                </w:p>
                <w:p w:rsidR="003D7AF4" w:rsidRPr="00A37CC2" w:rsidRDefault="003D7AF4" w:rsidP="003D7AF4">
                  <w:pPr>
                    <w:suppressAutoHyphens w:val="0"/>
                    <w:autoSpaceDE w:val="0"/>
                    <w:autoSpaceDN w:val="0"/>
                    <w:adjustRightInd w:val="0"/>
                    <w:spacing w:before="0" w:after="0" w:line="240" w:lineRule="auto"/>
                    <w:rPr>
                      <w:rFonts w:ascii="Arial" w:hAnsi="Arial" w:cs="Arial"/>
                      <w:bCs/>
                      <w:color w:val="000000"/>
                    </w:rPr>
                  </w:pPr>
                  <w:r w:rsidRPr="00A37CC2">
                    <w:rPr>
                      <w:rFonts w:ascii="Arial" w:hAnsi="Arial" w:cs="Arial"/>
                      <w:bCs/>
                      <w:color w:val="000000"/>
                    </w:rPr>
                    <w:t>Phone: 1800 020 28</w:t>
                  </w:r>
                  <w:r w:rsidR="00230912">
                    <w:rPr>
                      <w:rFonts w:ascii="Arial" w:hAnsi="Arial" w:cs="Arial"/>
                      <w:bCs/>
                      <w:color w:val="000000"/>
                    </w:rPr>
                    <w:t>3</w:t>
                  </w:r>
                </w:p>
                <w:p w:rsidR="00C82FE4" w:rsidRPr="00C82FE4" w:rsidRDefault="00C82FE4" w:rsidP="003D7AF4">
                  <w:pPr>
                    <w:suppressAutoHyphens w:val="0"/>
                    <w:autoSpaceDE w:val="0"/>
                    <w:autoSpaceDN w:val="0"/>
                    <w:adjustRightInd w:val="0"/>
                    <w:spacing w:before="0" w:after="0" w:line="240" w:lineRule="auto"/>
                    <w:rPr>
                      <w:rFonts w:ascii="Arial" w:hAnsi="Arial" w:cs="Arial"/>
                      <w:color w:val="000000"/>
                    </w:rPr>
                  </w:pPr>
                </w:p>
                <w:p w:rsidR="003D7AF4" w:rsidRPr="003D7AF4" w:rsidRDefault="003D7AF4" w:rsidP="003D7AF4">
                  <w:pPr>
                    <w:suppressAutoHyphens w:val="0"/>
                    <w:autoSpaceDE w:val="0"/>
                    <w:autoSpaceDN w:val="0"/>
                    <w:adjustRightInd w:val="0"/>
                    <w:spacing w:before="0" w:after="0" w:line="240" w:lineRule="auto"/>
                    <w:rPr>
                      <w:rFonts w:ascii="Arial" w:hAnsi="Arial" w:cs="Arial"/>
                      <w:color w:val="000000"/>
                    </w:rPr>
                  </w:pPr>
                  <w:r w:rsidRPr="00A37CC2">
                    <w:rPr>
                      <w:rFonts w:ascii="Arial" w:hAnsi="Arial" w:cs="Arial"/>
                      <w:bCs/>
                      <w:color w:val="000000"/>
                    </w:rPr>
                    <w:t xml:space="preserve">Email: </w:t>
                  </w:r>
                  <w:hyperlink r:id="rId8" w:history="1">
                    <w:r w:rsidRPr="00A37CC2">
                      <w:rPr>
                        <w:rStyle w:val="Hyperlink"/>
                        <w:rFonts w:ascii="Arial" w:hAnsi="Arial" w:cs="Arial"/>
                        <w:bCs/>
                      </w:rPr>
                      <w:t>support@communitygrants.gov.au</w:t>
                    </w:r>
                  </w:hyperlink>
                  <w:r>
                    <w:rPr>
                      <w:rFonts w:ascii="Arial" w:hAnsi="Arial" w:cs="Arial"/>
                      <w:b/>
                      <w:bCs/>
                      <w:color w:val="000000"/>
                    </w:rPr>
                    <w:t xml:space="preserve"> </w:t>
                  </w:r>
                  <w:r w:rsidRPr="003D7AF4">
                    <w:rPr>
                      <w:rFonts w:ascii="Arial" w:hAnsi="Arial" w:cs="Arial"/>
                      <w:b/>
                      <w:bCs/>
                      <w:color w:val="000000"/>
                    </w:rPr>
                    <w:t xml:space="preserve"> </w:t>
                  </w:r>
                </w:p>
              </w:tc>
            </w:tr>
          </w:tbl>
          <w:p w:rsidR="00794773" w:rsidRPr="002C7BB1" w:rsidRDefault="00794773" w:rsidP="006C6E91">
            <w:pPr>
              <w:spacing w:line="240" w:lineRule="auto"/>
            </w:pPr>
            <w:r w:rsidRPr="002C7BB1">
              <w:br/>
            </w:r>
          </w:p>
        </w:tc>
      </w:tr>
      <w:tr w:rsidR="00794773" w:rsidRPr="007040EB" w:rsidTr="002C7BB1">
        <w:tc>
          <w:tcPr>
            <w:tcW w:w="2977" w:type="dxa"/>
          </w:tcPr>
          <w:p w:rsidR="00794773" w:rsidRPr="007040EB" w:rsidRDefault="00794773" w:rsidP="00694DF9">
            <w:pPr>
              <w:spacing w:line="240" w:lineRule="auto"/>
              <w:jc w:val="both"/>
            </w:pPr>
            <w:r w:rsidRPr="007040EB">
              <w:t>Date guidelines released</w:t>
            </w:r>
            <w:r>
              <w:t>:</w:t>
            </w:r>
          </w:p>
        </w:tc>
        <w:tc>
          <w:tcPr>
            <w:tcW w:w="6404" w:type="dxa"/>
            <w:shd w:val="clear" w:color="auto" w:fill="auto"/>
          </w:tcPr>
          <w:p w:rsidR="00794773" w:rsidRPr="002C7BB1" w:rsidRDefault="00861260" w:rsidP="00694DF9">
            <w:pPr>
              <w:spacing w:line="240" w:lineRule="auto"/>
            </w:pPr>
            <w:r w:rsidRPr="008927F0">
              <w:t>12 July 2018</w:t>
            </w:r>
          </w:p>
        </w:tc>
      </w:tr>
      <w:tr w:rsidR="00794773" w:rsidTr="002C7BB1">
        <w:tc>
          <w:tcPr>
            <w:tcW w:w="2977" w:type="dxa"/>
          </w:tcPr>
          <w:p w:rsidR="00794773" w:rsidRPr="007040EB" w:rsidRDefault="00794773" w:rsidP="00694DF9">
            <w:pPr>
              <w:spacing w:line="240" w:lineRule="auto"/>
              <w:jc w:val="both"/>
            </w:pPr>
            <w:r w:rsidRPr="007040EB">
              <w:t>Type of grant opportunity</w:t>
            </w:r>
            <w:r>
              <w:t>:</w:t>
            </w:r>
          </w:p>
        </w:tc>
        <w:tc>
          <w:tcPr>
            <w:tcW w:w="6404" w:type="dxa"/>
            <w:shd w:val="clear" w:color="auto" w:fill="auto"/>
          </w:tcPr>
          <w:p w:rsidR="00B6687E" w:rsidRPr="00D03B5D" w:rsidRDefault="00BA1017" w:rsidP="00D03B5D">
            <w:pPr>
              <w:spacing w:line="240" w:lineRule="auto"/>
              <w:rPr>
                <w:color w:val="AD8800" w:themeColor="accent3" w:themeShade="BF"/>
              </w:rPr>
            </w:pPr>
            <w:r w:rsidRPr="00D03B5D">
              <w:t>Open competitive</w:t>
            </w:r>
          </w:p>
        </w:tc>
      </w:tr>
    </w:tbl>
    <w:p w:rsidR="00E57F1B" w:rsidRDefault="00E57F1B" w:rsidP="0020122A">
      <w:pPr>
        <w:pStyle w:val="TOCHeading"/>
      </w:pPr>
    </w:p>
    <w:p w:rsidR="00E57F1B" w:rsidRDefault="00E57F1B">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rsidR="0020122A" w:rsidRDefault="0020122A" w:rsidP="0020122A">
      <w:pPr>
        <w:pStyle w:val="TOCHeading"/>
      </w:pPr>
      <w:r>
        <w:lastRenderedPageBreak/>
        <w:t>Contents</w:t>
      </w:r>
    </w:p>
    <w:p w:rsidR="00737C4A"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9001774" w:history="1">
        <w:r w:rsidR="00737C4A" w:rsidRPr="00320B36">
          <w:rPr>
            <w:rStyle w:val="Hyperlink"/>
            <w:noProof/>
          </w:rPr>
          <w:t>1.</w:t>
        </w:r>
        <w:r w:rsidR="00737C4A">
          <w:rPr>
            <w:rFonts w:eastAsiaTheme="minorEastAsia"/>
            <w:b w:val="0"/>
            <w:noProof/>
            <w:sz w:val="22"/>
            <w:lang w:eastAsia="en-AU"/>
          </w:rPr>
          <w:tab/>
        </w:r>
        <w:r w:rsidR="00737C4A" w:rsidRPr="00320B36">
          <w:rPr>
            <w:rStyle w:val="Hyperlink"/>
            <w:noProof/>
          </w:rPr>
          <w:t>Financial Wellbeing and Capability Activity -Financial Crisis and Material Aid: Emergency Relief Grant Opportunity Processes</w:t>
        </w:r>
        <w:r w:rsidR="00737C4A">
          <w:rPr>
            <w:noProof/>
            <w:webHidden/>
          </w:rPr>
          <w:tab/>
        </w:r>
        <w:r w:rsidR="00737C4A">
          <w:rPr>
            <w:noProof/>
            <w:webHidden/>
          </w:rPr>
          <w:fldChar w:fldCharType="begin"/>
        </w:r>
        <w:r w:rsidR="00737C4A">
          <w:rPr>
            <w:noProof/>
            <w:webHidden/>
          </w:rPr>
          <w:instrText xml:space="preserve"> PAGEREF _Toc519001774 \h </w:instrText>
        </w:r>
        <w:r w:rsidR="00737C4A">
          <w:rPr>
            <w:noProof/>
            <w:webHidden/>
          </w:rPr>
        </w:r>
        <w:r w:rsidR="00737C4A">
          <w:rPr>
            <w:noProof/>
            <w:webHidden/>
          </w:rPr>
          <w:fldChar w:fldCharType="separate"/>
        </w:r>
        <w:r w:rsidR="00B00455">
          <w:rPr>
            <w:noProof/>
            <w:webHidden/>
          </w:rPr>
          <w:t>4</w:t>
        </w:r>
        <w:r w:rsidR="00737C4A">
          <w:rPr>
            <w:noProof/>
            <w:webHidden/>
          </w:rPr>
          <w:fldChar w:fldCharType="end"/>
        </w:r>
      </w:hyperlink>
    </w:p>
    <w:p w:rsidR="00737C4A" w:rsidRDefault="00FA50C6">
      <w:pPr>
        <w:pStyle w:val="TOC2"/>
        <w:rPr>
          <w:rFonts w:eastAsiaTheme="minorEastAsia"/>
          <w:noProof/>
          <w:lang w:eastAsia="en-AU"/>
        </w:rPr>
      </w:pPr>
      <w:hyperlink w:anchor="_Toc519001775" w:history="1">
        <w:r w:rsidR="00737C4A" w:rsidRPr="00320B36">
          <w:rPr>
            <w:rStyle w:val="Hyperlink"/>
            <w:noProof/>
          </w:rPr>
          <w:t>1.1</w:t>
        </w:r>
        <w:r w:rsidR="00737C4A">
          <w:rPr>
            <w:rFonts w:eastAsiaTheme="minorEastAsia"/>
            <w:noProof/>
            <w:lang w:eastAsia="en-AU"/>
          </w:rPr>
          <w:tab/>
        </w:r>
        <w:r w:rsidR="00737C4A" w:rsidRPr="00320B36">
          <w:rPr>
            <w:rStyle w:val="Hyperlink"/>
            <w:noProof/>
          </w:rPr>
          <w:t>Role of the Community Grants Hub</w:t>
        </w:r>
        <w:r w:rsidR="00737C4A">
          <w:rPr>
            <w:noProof/>
            <w:webHidden/>
          </w:rPr>
          <w:tab/>
        </w:r>
        <w:r w:rsidR="00737C4A">
          <w:rPr>
            <w:noProof/>
            <w:webHidden/>
          </w:rPr>
          <w:fldChar w:fldCharType="begin"/>
        </w:r>
        <w:r w:rsidR="00737C4A">
          <w:rPr>
            <w:noProof/>
            <w:webHidden/>
          </w:rPr>
          <w:instrText xml:space="preserve"> PAGEREF _Toc519001775 \h </w:instrText>
        </w:r>
        <w:r w:rsidR="00737C4A">
          <w:rPr>
            <w:noProof/>
            <w:webHidden/>
          </w:rPr>
        </w:r>
        <w:r w:rsidR="00737C4A">
          <w:rPr>
            <w:noProof/>
            <w:webHidden/>
          </w:rPr>
          <w:fldChar w:fldCharType="separate"/>
        </w:r>
        <w:r w:rsidR="00B00455">
          <w:rPr>
            <w:noProof/>
            <w:webHidden/>
          </w:rPr>
          <w:t>5</w:t>
        </w:r>
        <w:r w:rsidR="00737C4A">
          <w:rPr>
            <w:noProof/>
            <w:webHidden/>
          </w:rPr>
          <w:fldChar w:fldCharType="end"/>
        </w:r>
      </w:hyperlink>
    </w:p>
    <w:p w:rsidR="00737C4A" w:rsidRDefault="00FA50C6">
      <w:pPr>
        <w:pStyle w:val="TOC2"/>
        <w:rPr>
          <w:rFonts w:eastAsiaTheme="minorEastAsia"/>
          <w:noProof/>
          <w:lang w:eastAsia="en-AU"/>
        </w:rPr>
      </w:pPr>
      <w:hyperlink w:anchor="_Toc519001776" w:history="1">
        <w:r w:rsidR="00737C4A" w:rsidRPr="00320B36">
          <w:rPr>
            <w:rStyle w:val="Hyperlink"/>
            <w:noProof/>
          </w:rPr>
          <w:t>1.2</w:t>
        </w:r>
        <w:r w:rsidR="00737C4A">
          <w:rPr>
            <w:rFonts w:eastAsiaTheme="minorEastAsia"/>
            <w:noProof/>
            <w:lang w:eastAsia="en-AU"/>
          </w:rPr>
          <w:tab/>
        </w:r>
        <w:r w:rsidR="00737C4A" w:rsidRPr="00320B36">
          <w:rPr>
            <w:rStyle w:val="Hyperlink"/>
            <w:noProof/>
          </w:rPr>
          <w:t>About the grant program</w:t>
        </w:r>
        <w:r w:rsidR="00737C4A">
          <w:rPr>
            <w:noProof/>
            <w:webHidden/>
          </w:rPr>
          <w:tab/>
        </w:r>
        <w:r w:rsidR="00737C4A">
          <w:rPr>
            <w:noProof/>
            <w:webHidden/>
          </w:rPr>
          <w:fldChar w:fldCharType="begin"/>
        </w:r>
        <w:r w:rsidR="00737C4A">
          <w:rPr>
            <w:noProof/>
            <w:webHidden/>
          </w:rPr>
          <w:instrText xml:space="preserve"> PAGEREF _Toc519001776 \h </w:instrText>
        </w:r>
        <w:r w:rsidR="00737C4A">
          <w:rPr>
            <w:noProof/>
            <w:webHidden/>
          </w:rPr>
        </w:r>
        <w:r w:rsidR="00737C4A">
          <w:rPr>
            <w:noProof/>
            <w:webHidden/>
          </w:rPr>
          <w:fldChar w:fldCharType="separate"/>
        </w:r>
        <w:r w:rsidR="00B00455">
          <w:rPr>
            <w:noProof/>
            <w:webHidden/>
          </w:rPr>
          <w:t>5</w:t>
        </w:r>
        <w:r w:rsidR="00737C4A">
          <w:rPr>
            <w:noProof/>
            <w:webHidden/>
          </w:rPr>
          <w:fldChar w:fldCharType="end"/>
        </w:r>
      </w:hyperlink>
    </w:p>
    <w:p w:rsidR="00737C4A" w:rsidRDefault="00FA50C6">
      <w:pPr>
        <w:pStyle w:val="TOC2"/>
        <w:rPr>
          <w:rFonts w:eastAsiaTheme="minorEastAsia"/>
          <w:noProof/>
          <w:lang w:eastAsia="en-AU"/>
        </w:rPr>
      </w:pPr>
      <w:hyperlink w:anchor="_Toc519001777" w:history="1">
        <w:r w:rsidR="00737C4A" w:rsidRPr="00320B36">
          <w:rPr>
            <w:rStyle w:val="Hyperlink"/>
            <w:noProof/>
          </w:rPr>
          <w:t>1.3</w:t>
        </w:r>
        <w:r w:rsidR="00737C4A">
          <w:rPr>
            <w:rFonts w:eastAsiaTheme="minorEastAsia"/>
            <w:noProof/>
            <w:lang w:eastAsia="en-AU"/>
          </w:rPr>
          <w:tab/>
        </w:r>
        <w:r w:rsidR="00737C4A" w:rsidRPr="00320B36">
          <w:rPr>
            <w:rStyle w:val="Hyperlink"/>
            <w:noProof/>
          </w:rPr>
          <w:t>About the Grant Opportunity</w:t>
        </w:r>
        <w:r w:rsidR="00737C4A">
          <w:rPr>
            <w:noProof/>
            <w:webHidden/>
          </w:rPr>
          <w:tab/>
        </w:r>
        <w:r w:rsidR="00737C4A">
          <w:rPr>
            <w:noProof/>
            <w:webHidden/>
          </w:rPr>
          <w:fldChar w:fldCharType="begin"/>
        </w:r>
        <w:r w:rsidR="00737C4A">
          <w:rPr>
            <w:noProof/>
            <w:webHidden/>
          </w:rPr>
          <w:instrText xml:space="preserve"> PAGEREF _Toc519001777 \h </w:instrText>
        </w:r>
        <w:r w:rsidR="00737C4A">
          <w:rPr>
            <w:noProof/>
            <w:webHidden/>
          </w:rPr>
        </w:r>
        <w:r w:rsidR="00737C4A">
          <w:rPr>
            <w:noProof/>
            <w:webHidden/>
          </w:rPr>
          <w:fldChar w:fldCharType="separate"/>
        </w:r>
        <w:r w:rsidR="00B00455">
          <w:rPr>
            <w:noProof/>
            <w:webHidden/>
          </w:rPr>
          <w:t>6</w:t>
        </w:r>
        <w:r w:rsidR="00737C4A">
          <w:rPr>
            <w:noProof/>
            <w:webHidden/>
          </w:rPr>
          <w:fldChar w:fldCharType="end"/>
        </w:r>
      </w:hyperlink>
    </w:p>
    <w:p w:rsidR="00737C4A" w:rsidRDefault="00FA50C6">
      <w:pPr>
        <w:pStyle w:val="TOC2"/>
        <w:rPr>
          <w:rFonts w:eastAsiaTheme="minorEastAsia"/>
          <w:noProof/>
          <w:lang w:eastAsia="en-AU"/>
        </w:rPr>
      </w:pPr>
      <w:hyperlink w:anchor="_Toc519001778" w:history="1">
        <w:r w:rsidR="00737C4A" w:rsidRPr="00320B36">
          <w:rPr>
            <w:rStyle w:val="Hyperlink"/>
            <w:noProof/>
          </w:rPr>
          <w:t>1.4</w:t>
        </w:r>
        <w:r w:rsidR="00737C4A">
          <w:rPr>
            <w:rFonts w:eastAsiaTheme="minorEastAsia"/>
            <w:noProof/>
            <w:lang w:eastAsia="en-AU"/>
          </w:rPr>
          <w:tab/>
        </w:r>
        <w:r w:rsidR="00737C4A" w:rsidRPr="00320B36">
          <w:rPr>
            <w:rStyle w:val="Hyperlink"/>
            <w:noProof/>
          </w:rPr>
          <w:t>Emergency Relief Grant Opportunity outcomes</w:t>
        </w:r>
        <w:r w:rsidR="00737C4A">
          <w:rPr>
            <w:noProof/>
            <w:webHidden/>
          </w:rPr>
          <w:tab/>
        </w:r>
        <w:r w:rsidR="00737C4A">
          <w:rPr>
            <w:noProof/>
            <w:webHidden/>
          </w:rPr>
          <w:fldChar w:fldCharType="begin"/>
        </w:r>
        <w:r w:rsidR="00737C4A">
          <w:rPr>
            <w:noProof/>
            <w:webHidden/>
          </w:rPr>
          <w:instrText xml:space="preserve"> PAGEREF _Toc519001778 \h </w:instrText>
        </w:r>
        <w:r w:rsidR="00737C4A">
          <w:rPr>
            <w:noProof/>
            <w:webHidden/>
          </w:rPr>
        </w:r>
        <w:r w:rsidR="00737C4A">
          <w:rPr>
            <w:noProof/>
            <w:webHidden/>
          </w:rPr>
          <w:fldChar w:fldCharType="separate"/>
        </w:r>
        <w:r w:rsidR="00B00455">
          <w:rPr>
            <w:noProof/>
            <w:webHidden/>
          </w:rPr>
          <w:t>7</w:t>
        </w:r>
        <w:r w:rsidR="00737C4A">
          <w:rPr>
            <w:noProof/>
            <w:webHidden/>
          </w:rPr>
          <w:fldChar w:fldCharType="end"/>
        </w:r>
      </w:hyperlink>
    </w:p>
    <w:p w:rsidR="00737C4A" w:rsidRDefault="00FA50C6">
      <w:pPr>
        <w:pStyle w:val="TOC1"/>
        <w:rPr>
          <w:rFonts w:eastAsiaTheme="minorEastAsia"/>
          <w:b w:val="0"/>
          <w:noProof/>
          <w:sz w:val="22"/>
          <w:lang w:eastAsia="en-AU"/>
        </w:rPr>
      </w:pPr>
      <w:hyperlink w:anchor="_Toc519001779" w:history="1">
        <w:r w:rsidR="00737C4A" w:rsidRPr="00320B36">
          <w:rPr>
            <w:rStyle w:val="Hyperlink"/>
            <w:noProof/>
          </w:rPr>
          <w:t>2.</w:t>
        </w:r>
        <w:r w:rsidR="00737C4A">
          <w:rPr>
            <w:rFonts w:eastAsiaTheme="minorEastAsia"/>
            <w:b w:val="0"/>
            <w:noProof/>
            <w:sz w:val="22"/>
            <w:lang w:eastAsia="en-AU"/>
          </w:rPr>
          <w:tab/>
        </w:r>
        <w:r w:rsidR="00737C4A" w:rsidRPr="00320B36">
          <w:rPr>
            <w:rStyle w:val="Hyperlink"/>
            <w:noProof/>
          </w:rPr>
          <w:t>Grant amount</w:t>
        </w:r>
        <w:r w:rsidR="00737C4A">
          <w:rPr>
            <w:noProof/>
            <w:webHidden/>
          </w:rPr>
          <w:tab/>
        </w:r>
        <w:r w:rsidR="00737C4A">
          <w:rPr>
            <w:noProof/>
            <w:webHidden/>
          </w:rPr>
          <w:fldChar w:fldCharType="begin"/>
        </w:r>
        <w:r w:rsidR="00737C4A">
          <w:rPr>
            <w:noProof/>
            <w:webHidden/>
          </w:rPr>
          <w:instrText xml:space="preserve"> PAGEREF _Toc519001779 \h </w:instrText>
        </w:r>
        <w:r w:rsidR="00737C4A">
          <w:rPr>
            <w:noProof/>
            <w:webHidden/>
          </w:rPr>
        </w:r>
        <w:r w:rsidR="00737C4A">
          <w:rPr>
            <w:noProof/>
            <w:webHidden/>
          </w:rPr>
          <w:fldChar w:fldCharType="separate"/>
        </w:r>
        <w:r w:rsidR="00B00455">
          <w:rPr>
            <w:noProof/>
            <w:webHidden/>
          </w:rPr>
          <w:t>7</w:t>
        </w:r>
        <w:r w:rsidR="00737C4A">
          <w:rPr>
            <w:noProof/>
            <w:webHidden/>
          </w:rPr>
          <w:fldChar w:fldCharType="end"/>
        </w:r>
      </w:hyperlink>
    </w:p>
    <w:p w:rsidR="00737C4A" w:rsidRDefault="00FA50C6">
      <w:pPr>
        <w:pStyle w:val="TOC2"/>
        <w:rPr>
          <w:rFonts w:eastAsiaTheme="minorEastAsia"/>
          <w:noProof/>
          <w:lang w:eastAsia="en-AU"/>
        </w:rPr>
      </w:pPr>
      <w:hyperlink w:anchor="_Toc519001780" w:history="1">
        <w:r w:rsidR="00737C4A" w:rsidRPr="00320B36">
          <w:rPr>
            <w:rStyle w:val="Hyperlink"/>
            <w:noProof/>
          </w:rPr>
          <w:t>2.1</w:t>
        </w:r>
        <w:r w:rsidR="00737C4A">
          <w:rPr>
            <w:rFonts w:eastAsiaTheme="minorEastAsia"/>
            <w:noProof/>
            <w:lang w:eastAsia="en-AU"/>
          </w:rPr>
          <w:tab/>
        </w:r>
        <w:r w:rsidR="00737C4A" w:rsidRPr="00320B36">
          <w:rPr>
            <w:rStyle w:val="Hyperlink"/>
            <w:noProof/>
          </w:rPr>
          <w:t>Social and Community Services (SACS) Supplementation</w:t>
        </w:r>
        <w:r w:rsidR="00737C4A">
          <w:rPr>
            <w:noProof/>
            <w:webHidden/>
          </w:rPr>
          <w:tab/>
        </w:r>
        <w:r w:rsidR="00737C4A">
          <w:rPr>
            <w:noProof/>
            <w:webHidden/>
          </w:rPr>
          <w:fldChar w:fldCharType="begin"/>
        </w:r>
        <w:r w:rsidR="00737C4A">
          <w:rPr>
            <w:noProof/>
            <w:webHidden/>
          </w:rPr>
          <w:instrText xml:space="preserve"> PAGEREF _Toc519001780 \h </w:instrText>
        </w:r>
        <w:r w:rsidR="00737C4A">
          <w:rPr>
            <w:noProof/>
            <w:webHidden/>
          </w:rPr>
        </w:r>
        <w:r w:rsidR="00737C4A">
          <w:rPr>
            <w:noProof/>
            <w:webHidden/>
          </w:rPr>
          <w:fldChar w:fldCharType="separate"/>
        </w:r>
        <w:r w:rsidR="00B00455">
          <w:rPr>
            <w:noProof/>
            <w:webHidden/>
          </w:rPr>
          <w:t>8</w:t>
        </w:r>
        <w:r w:rsidR="00737C4A">
          <w:rPr>
            <w:noProof/>
            <w:webHidden/>
          </w:rPr>
          <w:fldChar w:fldCharType="end"/>
        </w:r>
      </w:hyperlink>
    </w:p>
    <w:p w:rsidR="00737C4A" w:rsidRDefault="00FA50C6">
      <w:pPr>
        <w:pStyle w:val="TOC1"/>
        <w:rPr>
          <w:rFonts w:eastAsiaTheme="minorEastAsia"/>
          <w:b w:val="0"/>
          <w:noProof/>
          <w:sz w:val="22"/>
          <w:lang w:eastAsia="en-AU"/>
        </w:rPr>
      </w:pPr>
      <w:hyperlink w:anchor="_Toc519001781" w:history="1">
        <w:r w:rsidR="00737C4A" w:rsidRPr="00320B36">
          <w:rPr>
            <w:rStyle w:val="Hyperlink"/>
            <w:noProof/>
          </w:rPr>
          <w:t>3.</w:t>
        </w:r>
        <w:r w:rsidR="00737C4A">
          <w:rPr>
            <w:rFonts w:eastAsiaTheme="minorEastAsia"/>
            <w:b w:val="0"/>
            <w:noProof/>
            <w:sz w:val="22"/>
            <w:lang w:eastAsia="en-AU"/>
          </w:rPr>
          <w:tab/>
        </w:r>
        <w:r w:rsidR="00737C4A" w:rsidRPr="00320B36">
          <w:rPr>
            <w:rStyle w:val="Hyperlink"/>
            <w:noProof/>
          </w:rPr>
          <w:t>Grant eligibility criteria</w:t>
        </w:r>
        <w:r w:rsidR="00737C4A">
          <w:rPr>
            <w:noProof/>
            <w:webHidden/>
          </w:rPr>
          <w:tab/>
        </w:r>
        <w:r w:rsidR="00737C4A">
          <w:rPr>
            <w:noProof/>
            <w:webHidden/>
          </w:rPr>
          <w:fldChar w:fldCharType="begin"/>
        </w:r>
        <w:r w:rsidR="00737C4A">
          <w:rPr>
            <w:noProof/>
            <w:webHidden/>
          </w:rPr>
          <w:instrText xml:space="preserve"> PAGEREF _Toc519001781 \h </w:instrText>
        </w:r>
        <w:r w:rsidR="00737C4A">
          <w:rPr>
            <w:noProof/>
            <w:webHidden/>
          </w:rPr>
        </w:r>
        <w:r w:rsidR="00737C4A">
          <w:rPr>
            <w:noProof/>
            <w:webHidden/>
          </w:rPr>
          <w:fldChar w:fldCharType="separate"/>
        </w:r>
        <w:r w:rsidR="00B00455">
          <w:rPr>
            <w:noProof/>
            <w:webHidden/>
          </w:rPr>
          <w:t>8</w:t>
        </w:r>
        <w:r w:rsidR="00737C4A">
          <w:rPr>
            <w:noProof/>
            <w:webHidden/>
          </w:rPr>
          <w:fldChar w:fldCharType="end"/>
        </w:r>
      </w:hyperlink>
    </w:p>
    <w:p w:rsidR="00737C4A" w:rsidRDefault="00FA50C6">
      <w:pPr>
        <w:pStyle w:val="TOC2"/>
        <w:rPr>
          <w:rFonts w:eastAsiaTheme="minorEastAsia"/>
          <w:noProof/>
          <w:lang w:eastAsia="en-AU"/>
        </w:rPr>
      </w:pPr>
      <w:hyperlink w:anchor="_Toc519001782" w:history="1">
        <w:r w:rsidR="00737C4A" w:rsidRPr="00320B36">
          <w:rPr>
            <w:rStyle w:val="Hyperlink"/>
            <w:noProof/>
          </w:rPr>
          <w:t>3.1</w:t>
        </w:r>
        <w:r w:rsidR="00737C4A">
          <w:rPr>
            <w:rFonts w:eastAsiaTheme="minorEastAsia"/>
            <w:noProof/>
            <w:lang w:eastAsia="en-AU"/>
          </w:rPr>
          <w:tab/>
        </w:r>
        <w:r w:rsidR="00737C4A" w:rsidRPr="00320B36">
          <w:rPr>
            <w:rStyle w:val="Hyperlink"/>
            <w:noProof/>
          </w:rPr>
          <w:t>Who is eligible to apply for a grant?</w:t>
        </w:r>
        <w:r w:rsidR="00737C4A">
          <w:rPr>
            <w:noProof/>
            <w:webHidden/>
          </w:rPr>
          <w:tab/>
        </w:r>
        <w:r w:rsidR="00737C4A">
          <w:rPr>
            <w:noProof/>
            <w:webHidden/>
          </w:rPr>
          <w:fldChar w:fldCharType="begin"/>
        </w:r>
        <w:r w:rsidR="00737C4A">
          <w:rPr>
            <w:noProof/>
            <w:webHidden/>
          </w:rPr>
          <w:instrText xml:space="preserve"> PAGEREF _Toc519001782 \h </w:instrText>
        </w:r>
        <w:r w:rsidR="00737C4A">
          <w:rPr>
            <w:noProof/>
            <w:webHidden/>
          </w:rPr>
        </w:r>
        <w:r w:rsidR="00737C4A">
          <w:rPr>
            <w:noProof/>
            <w:webHidden/>
          </w:rPr>
          <w:fldChar w:fldCharType="separate"/>
        </w:r>
        <w:r w:rsidR="00B00455">
          <w:rPr>
            <w:noProof/>
            <w:webHidden/>
          </w:rPr>
          <w:t>8</w:t>
        </w:r>
        <w:r w:rsidR="00737C4A">
          <w:rPr>
            <w:noProof/>
            <w:webHidden/>
          </w:rPr>
          <w:fldChar w:fldCharType="end"/>
        </w:r>
      </w:hyperlink>
    </w:p>
    <w:p w:rsidR="00737C4A" w:rsidRDefault="00FA50C6">
      <w:pPr>
        <w:pStyle w:val="TOC3"/>
        <w:rPr>
          <w:rFonts w:eastAsiaTheme="minorEastAsia"/>
          <w:noProof/>
          <w:lang w:eastAsia="en-AU"/>
        </w:rPr>
      </w:pPr>
      <w:hyperlink w:anchor="_Toc519001783" w:history="1">
        <w:r w:rsidR="00737C4A" w:rsidRPr="00320B36">
          <w:rPr>
            <w:rStyle w:val="Hyperlink"/>
            <w:rFonts w:cstheme="majorHAnsi"/>
            <w:noProof/>
          </w:rPr>
          <w:t>3.1.1</w:t>
        </w:r>
        <w:r w:rsidR="00737C4A">
          <w:rPr>
            <w:rFonts w:eastAsiaTheme="minorEastAsia"/>
            <w:noProof/>
            <w:lang w:eastAsia="en-AU"/>
          </w:rPr>
          <w:tab/>
        </w:r>
        <w:r w:rsidR="00737C4A" w:rsidRPr="00320B36">
          <w:rPr>
            <w:rStyle w:val="Hyperlink"/>
            <w:noProof/>
          </w:rPr>
          <w:t>Legal entities</w:t>
        </w:r>
        <w:r w:rsidR="00737C4A">
          <w:rPr>
            <w:noProof/>
            <w:webHidden/>
          </w:rPr>
          <w:tab/>
        </w:r>
        <w:r w:rsidR="00737C4A">
          <w:rPr>
            <w:noProof/>
            <w:webHidden/>
          </w:rPr>
          <w:fldChar w:fldCharType="begin"/>
        </w:r>
        <w:r w:rsidR="00737C4A">
          <w:rPr>
            <w:noProof/>
            <w:webHidden/>
          </w:rPr>
          <w:instrText xml:space="preserve"> PAGEREF _Toc519001783 \h </w:instrText>
        </w:r>
        <w:r w:rsidR="00737C4A">
          <w:rPr>
            <w:noProof/>
            <w:webHidden/>
          </w:rPr>
        </w:r>
        <w:r w:rsidR="00737C4A">
          <w:rPr>
            <w:noProof/>
            <w:webHidden/>
          </w:rPr>
          <w:fldChar w:fldCharType="separate"/>
        </w:r>
        <w:r w:rsidR="00B00455">
          <w:rPr>
            <w:noProof/>
            <w:webHidden/>
          </w:rPr>
          <w:t>8</w:t>
        </w:r>
        <w:r w:rsidR="00737C4A">
          <w:rPr>
            <w:noProof/>
            <w:webHidden/>
          </w:rPr>
          <w:fldChar w:fldCharType="end"/>
        </w:r>
      </w:hyperlink>
    </w:p>
    <w:p w:rsidR="00737C4A" w:rsidRDefault="00FA50C6">
      <w:pPr>
        <w:pStyle w:val="TOC3"/>
        <w:rPr>
          <w:rFonts w:eastAsiaTheme="minorEastAsia"/>
          <w:noProof/>
          <w:lang w:eastAsia="en-AU"/>
        </w:rPr>
      </w:pPr>
      <w:hyperlink w:anchor="_Toc519001784" w:history="1">
        <w:r w:rsidR="00737C4A" w:rsidRPr="00320B36">
          <w:rPr>
            <w:rStyle w:val="Hyperlink"/>
            <w:rFonts w:cstheme="majorHAnsi"/>
            <w:noProof/>
          </w:rPr>
          <w:t>3.1.2</w:t>
        </w:r>
        <w:r w:rsidR="00737C4A">
          <w:rPr>
            <w:rFonts w:eastAsiaTheme="minorEastAsia"/>
            <w:noProof/>
            <w:lang w:eastAsia="en-AU"/>
          </w:rPr>
          <w:tab/>
        </w:r>
        <w:r w:rsidR="00737C4A" w:rsidRPr="00320B36">
          <w:rPr>
            <w:rStyle w:val="Hyperlink"/>
            <w:noProof/>
          </w:rPr>
          <w:t>Non-legal entities</w:t>
        </w:r>
        <w:r w:rsidR="00737C4A">
          <w:rPr>
            <w:noProof/>
            <w:webHidden/>
          </w:rPr>
          <w:tab/>
        </w:r>
        <w:r w:rsidR="00737C4A">
          <w:rPr>
            <w:noProof/>
            <w:webHidden/>
          </w:rPr>
          <w:fldChar w:fldCharType="begin"/>
        </w:r>
        <w:r w:rsidR="00737C4A">
          <w:rPr>
            <w:noProof/>
            <w:webHidden/>
          </w:rPr>
          <w:instrText xml:space="preserve"> PAGEREF _Toc519001784 \h </w:instrText>
        </w:r>
        <w:r w:rsidR="00737C4A">
          <w:rPr>
            <w:noProof/>
            <w:webHidden/>
          </w:rPr>
        </w:r>
        <w:r w:rsidR="00737C4A">
          <w:rPr>
            <w:noProof/>
            <w:webHidden/>
          </w:rPr>
          <w:fldChar w:fldCharType="separate"/>
        </w:r>
        <w:r w:rsidR="00B00455">
          <w:rPr>
            <w:noProof/>
            <w:webHidden/>
          </w:rPr>
          <w:t>8</w:t>
        </w:r>
        <w:r w:rsidR="00737C4A">
          <w:rPr>
            <w:noProof/>
            <w:webHidden/>
          </w:rPr>
          <w:fldChar w:fldCharType="end"/>
        </w:r>
      </w:hyperlink>
    </w:p>
    <w:p w:rsidR="00737C4A" w:rsidRDefault="00FA50C6">
      <w:pPr>
        <w:pStyle w:val="TOC3"/>
        <w:rPr>
          <w:rFonts w:eastAsiaTheme="minorEastAsia"/>
          <w:noProof/>
          <w:lang w:eastAsia="en-AU"/>
        </w:rPr>
      </w:pPr>
      <w:hyperlink w:anchor="_Toc519001785" w:history="1">
        <w:r w:rsidR="00737C4A" w:rsidRPr="00320B36">
          <w:rPr>
            <w:rStyle w:val="Hyperlink"/>
            <w:rFonts w:cstheme="majorHAnsi"/>
            <w:noProof/>
          </w:rPr>
          <w:t>3.1.3</w:t>
        </w:r>
        <w:r w:rsidR="00737C4A">
          <w:rPr>
            <w:rFonts w:eastAsiaTheme="minorEastAsia"/>
            <w:noProof/>
            <w:lang w:eastAsia="en-AU"/>
          </w:rPr>
          <w:tab/>
        </w:r>
        <w:r w:rsidR="00737C4A" w:rsidRPr="00320B36">
          <w:rPr>
            <w:rStyle w:val="Hyperlink"/>
            <w:noProof/>
          </w:rPr>
          <w:t>Who is not eligible to apply for a grant?</w:t>
        </w:r>
        <w:r w:rsidR="00737C4A">
          <w:rPr>
            <w:noProof/>
            <w:webHidden/>
          </w:rPr>
          <w:tab/>
        </w:r>
        <w:r w:rsidR="00737C4A">
          <w:rPr>
            <w:noProof/>
            <w:webHidden/>
          </w:rPr>
          <w:fldChar w:fldCharType="begin"/>
        </w:r>
        <w:r w:rsidR="00737C4A">
          <w:rPr>
            <w:noProof/>
            <w:webHidden/>
          </w:rPr>
          <w:instrText xml:space="preserve"> PAGEREF _Toc519001785 \h </w:instrText>
        </w:r>
        <w:r w:rsidR="00737C4A">
          <w:rPr>
            <w:noProof/>
            <w:webHidden/>
          </w:rPr>
        </w:r>
        <w:r w:rsidR="00737C4A">
          <w:rPr>
            <w:noProof/>
            <w:webHidden/>
          </w:rPr>
          <w:fldChar w:fldCharType="separate"/>
        </w:r>
        <w:r w:rsidR="00B00455">
          <w:rPr>
            <w:noProof/>
            <w:webHidden/>
          </w:rPr>
          <w:t>8</w:t>
        </w:r>
        <w:r w:rsidR="00737C4A">
          <w:rPr>
            <w:noProof/>
            <w:webHidden/>
          </w:rPr>
          <w:fldChar w:fldCharType="end"/>
        </w:r>
      </w:hyperlink>
    </w:p>
    <w:p w:rsidR="00737C4A" w:rsidRDefault="00FA50C6">
      <w:pPr>
        <w:pStyle w:val="TOC2"/>
        <w:rPr>
          <w:rFonts w:eastAsiaTheme="minorEastAsia"/>
          <w:noProof/>
          <w:lang w:eastAsia="en-AU"/>
        </w:rPr>
      </w:pPr>
      <w:hyperlink w:anchor="_Toc519001786" w:history="1">
        <w:r w:rsidR="00737C4A" w:rsidRPr="00320B36">
          <w:rPr>
            <w:rStyle w:val="Hyperlink"/>
            <w:noProof/>
          </w:rPr>
          <w:t>3.2</w:t>
        </w:r>
        <w:r w:rsidR="00737C4A">
          <w:rPr>
            <w:rFonts w:eastAsiaTheme="minorEastAsia"/>
            <w:noProof/>
            <w:lang w:eastAsia="en-AU"/>
          </w:rPr>
          <w:tab/>
        </w:r>
        <w:r w:rsidR="00737C4A" w:rsidRPr="00320B36">
          <w:rPr>
            <w:rStyle w:val="Hyperlink"/>
            <w:noProof/>
          </w:rPr>
          <w:t>Eligible grant activities</w:t>
        </w:r>
        <w:r w:rsidR="00737C4A">
          <w:rPr>
            <w:noProof/>
            <w:webHidden/>
          </w:rPr>
          <w:tab/>
        </w:r>
        <w:r w:rsidR="00737C4A">
          <w:rPr>
            <w:noProof/>
            <w:webHidden/>
          </w:rPr>
          <w:fldChar w:fldCharType="begin"/>
        </w:r>
        <w:r w:rsidR="00737C4A">
          <w:rPr>
            <w:noProof/>
            <w:webHidden/>
          </w:rPr>
          <w:instrText xml:space="preserve"> PAGEREF _Toc519001786 \h </w:instrText>
        </w:r>
        <w:r w:rsidR="00737C4A">
          <w:rPr>
            <w:noProof/>
            <w:webHidden/>
          </w:rPr>
        </w:r>
        <w:r w:rsidR="00737C4A">
          <w:rPr>
            <w:noProof/>
            <w:webHidden/>
          </w:rPr>
          <w:fldChar w:fldCharType="separate"/>
        </w:r>
        <w:r w:rsidR="00B00455">
          <w:rPr>
            <w:noProof/>
            <w:webHidden/>
          </w:rPr>
          <w:t>9</w:t>
        </w:r>
        <w:r w:rsidR="00737C4A">
          <w:rPr>
            <w:noProof/>
            <w:webHidden/>
          </w:rPr>
          <w:fldChar w:fldCharType="end"/>
        </w:r>
      </w:hyperlink>
    </w:p>
    <w:p w:rsidR="00737C4A" w:rsidRDefault="00FA50C6">
      <w:pPr>
        <w:pStyle w:val="TOC3"/>
        <w:rPr>
          <w:rFonts w:eastAsiaTheme="minorEastAsia"/>
          <w:noProof/>
          <w:lang w:eastAsia="en-AU"/>
        </w:rPr>
      </w:pPr>
      <w:hyperlink w:anchor="_Toc519001787" w:history="1">
        <w:r w:rsidR="00737C4A" w:rsidRPr="00320B36">
          <w:rPr>
            <w:rStyle w:val="Hyperlink"/>
            <w:rFonts w:cstheme="majorHAnsi"/>
            <w:noProof/>
          </w:rPr>
          <w:t>3.2.1</w:t>
        </w:r>
        <w:r w:rsidR="00737C4A">
          <w:rPr>
            <w:rFonts w:eastAsiaTheme="minorEastAsia"/>
            <w:noProof/>
            <w:lang w:eastAsia="en-AU"/>
          </w:rPr>
          <w:tab/>
        </w:r>
        <w:r w:rsidR="00737C4A" w:rsidRPr="00320B36">
          <w:rPr>
            <w:rStyle w:val="Hyperlink"/>
            <w:noProof/>
          </w:rPr>
          <w:t>What can the grant money be used for?</w:t>
        </w:r>
        <w:r w:rsidR="00737C4A">
          <w:rPr>
            <w:noProof/>
            <w:webHidden/>
          </w:rPr>
          <w:tab/>
        </w:r>
        <w:r w:rsidR="00737C4A">
          <w:rPr>
            <w:noProof/>
            <w:webHidden/>
          </w:rPr>
          <w:fldChar w:fldCharType="begin"/>
        </w:r>
        <w:r w:rsidR="00737C4A">
          <w:rPr>
            <w:noProof/>
            <w:webHidden/>
          </w:rPr>
          <w:instrText xml:space="preserve"> PAGEREF _Toc519001787 \h </w:instrText>
        </w:r>
        <w:r w:rsidR="00737C4A">
          <w:rPr>
            <w:noProof/>
            <w:webHidden/>
          </w:rPr>
        </w:r>
        <w:r w:rsidR="00737C4A">
          <w:rPr>
            <w:noProof/>
            <w:webHidden/>
          </w:rPr>
          <w:fldChar w:fldCharType="separate"/>
        </w:r>
        <w:r w:rsidR="00B00455">
          <w:rPr>
            <w:noProof/>
            <w:webHidden/>
          </w:rPr>
          <w:t>9</w:t>
        </w:r>
        <w:r w:rsidR="00737C4A">
          <w:rPr>
            <w:noProof/>
            <w:webHidden/>
          </w:rPr>
          <w:fldChar w:fldCharType="end"/>
        </w:r>
      </w:hyperlink>
    </w:p>
    <w:p w:rsidR="00737C4A" w:rsidRDefault="00FA50C6">
      <w:pPr>
        <w:pStyle w:val="TOC3"/>
        <w:rPr>
          <w:rFonts w:eastAsiaTheme="minorEastAsia"/>
          <w:noProof/>
          <w:lang w:eastAsia="en-AU"/>
        </w:rPr>
      </w:pPr>
      <w:hyperlink w:anchor="_Toc519001788" w:history="1">
        <w:r w:rsidR="00737C4A" w:rsidRPr="00320B36">
          <w:rPr>
            <w:rStyle w:val="Hyperlink"/>
            <w:rFonts w:cstheme="majorHAnsi"/>
            <w:noProof/>
          </w:rPr>
          <w:t>3.2.2</w:t>
        </w:r>
        <w:r w:rsidR="00737C4A">
          <w:rPr>
            <w:rFonts w:eastAsiaTheme="minorEastAsia"/>
            <w:noProof/>
            <w:lang w:eastAsia="en-AU"/>
          </w:rPr>
          <w:tab/>
        </w:r>
        <w:r w:rsidR="00737C4A" w:rsidRPr="00320B36">
          <w:rPr>
            <w:rStyle w:val="Hyperlink"/>
            <w:noProof/>
          </w:rPr>
          <w:t>What the grant money cannot be used for?</w:t>
        </w:r>
        <w:r w:rsidR="00737C4A">
          <w:rPr>
            <w:noProof/>
            <w:webHidden/>
          </w:rPr>
          <w:tab/>
        </w:r>
        <w:r w:rsidR="00737C4A">
          <w:rPr>
            <w:noProof/>
            <w:webHidden/>
          </w:rPr>
          <w:fldChar w:fldCharType="begin"/>
        </w:r>
        <w:r w:rsidR="00737C4A">
          <w:rPr>
            <w:noProof/>
            <w:webHidden/>
          </w:rPr>
          <w:instrText xml:space="preserve"> PAGEREF _Toc519001788 \h </w:instrText>
        </w:r>
        <w:r w:rsidR="00737C4A">
          <w:rPr>
            <w:noProof/>
            <w:webHidden/>
          </w:rPr>
        </w:r>
        <w:r w:rsidR="00737C4A">
          <w:rPr>
            <w:noProof/>
            <w:webHidden/>
          </w:rPr>
          <w:fldChar w:fldCharType="separate"/>
        </w:r>
        <w:r w:rsidR="00B00455">
          <w:rPr>
            <w:noProof/>
            <w:webHidden/>
          </w:rPr>
          <w:t>10</w:t>
        </w:r>
        <w:r w:rsidR="00737C4A">
          <w:rPr>
            <w:noProof/>
            <w:webHidden/>
          </w:rPr>
          <w:fldChar w:fldCharType="end"/>
        </w:r>
      </w:hyperlink>
    </w:p>
    <w:p w:rsidR="00737C4A" w:rsidRDefault="00FA50C6">
      <w:pPr>
        <w:pStyle w:val="TOC1"/>
        <w:rPr>
          <w:rFonts w:eastAsiaTheme="minorEastAsia"/>
          <w:b w:val="0"/>
          <w:noProof/>
          <w:sz w:val="22"/>
          <w:lang w:eastAsia="en-AU"/>
        </w:rPr>
      </w:pPr>
      <w:hyperlink w:anchor="_Toc519001789" w:history="1">
        <w:r w:rsidR="00737C4A" w:rsidRPr="00320B36">
          <w:rPr>
            <w:rStyle w:val="Hyperlink"/>
            <w:noProof/>
          </w:rPr>
          <w:t>4.</w:t>
        </w:r>
        <w:r w:rsidR="00737C4A">
          <w:rPr>
            <w:rFonts w:eastAsiaTheme="minorEastAsia"/>
            <w:b w:val="0"/>
            <w:noProof/>
            <w:sz w:val="22"/>
            <w:lang w:eastAsia="en-AU"/>
          </w:rPr>
          <w:tab/>
        </w:r>
        <w:r w:rsidR="00737C4A" w:rsidRPr="00320B36">
          <w:rPr>
            <w:rStyle w:val="Hyperlink"/>
            <w:noProof/>
          </w:rPr>
          <w:t>The grant selection process</w:t>
        </w:r>
        <w:r w:rsidR="00737C4A">
          <w:rPr>
            <w:noProof/>
            <w:webHidden/>
          </w:rPr>
          <w:tab/>
        </w:r>
        <w:r w:rsidR="00737C4A">
          <w:rPr>
            <w:noProof/>
            <w:webHidden/>
          </w:rPr>
          <w:fldChar w:fldCharType="begin"/>
        </w:r>
        <w:r w:rsidR="00737C4A">
          <w:rPr>
            <w:noProof/>
            <w:webHidden/>
          </w:rPr>
          <w:instrText xml:space="preserve"> PAGEREF _Toc519001789 \h </w:instrText>
        </w:r>
        <w:r w:rsidR="00737C4A">
          <w:rPr>
            <w:noProof/>
            <w:webHidden/>
          </w:rPr>
        </w:r>
        <w:r w:rsidR="00737C4A">
          <w:rPr>
            <w:noProof/>
            <w:webHidden/>
          </w:rPr>
          <w:fldChar w:fldCharType="separate"/>
        </w:r>
        <w:r w:rsidR="00B00455">
          <w:rPr>
            <w:noProof/>
            <w:webHidden/>
          </w:rPr>
          <w:t>10</w:t>
        </w:r>
        <w:r w:rsidR="00737C4A">
          <w:rPr>
            <w:noProof/>
            <w:webHidden/>
          </w:rPr>
          <w:fldChar w:fldCharType="end"/>
        </w:r>
      </w:hyperlink>
    </w:p>
    <w:p w:rsidR="00737C4A" w:rsidRDefault="00FA50C6">
      <w:pPr>
        <w:pStyle w:val="TOC2"/>
        <w:rPr>
          <w:rFonts w:eastAsiaTheme="minorEastAsia"/>
          <w:noProof/>
          <w:lang w:eastAsia="en-AU"/>
        </w:rPr>
      </w:pPr>
      <w:hyperlink w:anchor="_Toc519001790" w:history="1">
        <w:r w:rsidR="00737C4A" w:rsidRPr="00320B36">
          <w:rPr>
            <w:rStyle w:val="Hyperlink"/>
            <w:noProof/>
          </w:rPr>
          <w:t>4.1</w:t>
        </w:r>
        <w:r w:rsidR="00737C4A">
          <w:rPr>
            <w:rFonts w:eastAsiaTheme="minorEastAsia"/>
            <w:noProof/>
            <w:lang w:eastAsia="en-AU"/>
          </w:rPr>
          <w:tab/>
        </w:r>
        <w:r w:rsidR="00737C4A" w:rsidRPr="00320B36">
          <w:rPr>
            <w:rStyle w:val="Hyperlink"/>
            <w:noProof/>
          </w:rPr>
          <w:t>Financial Viability</w:t>
        </w:r>
        <w:r w:rsidR="00737C4A">
          <w:rPr>
            <w:noProof/>
            <w:webHidden/>
          </w:rPr>
          <w:tab/>
        </w:r>
        <w:r w:rsidR="00737C4A">
          <w:rPr>
            <w:noProof/>
            <w:webHidden/>
          </w:rPr>
          <w:fldChar w:fldCharType="begin"/>
        </w:r>
        <w:r w:rsidR="00737C4A">
          <w:rPr>
            <w:noProof/>
            <w:webHidden/>
          </w:rPr>
          <w:instrText xml:space="preserve"> PAGEREF _Toc519001790 \h </w:instrText>
        </w:r>
        <w:r w:rsidR="00737C4A">
          <w:rPr>
            <w:noProof/>
            <w:webHidden/>
          </w:rPr>
        </w:r>
        <w:r w:rsidR="00737C4A">
          <w:rPr>
            <w:noProof/>
            <w:webHidden/>
          </w:rPr>
          <w:fldChar w:fldCharType="separate"/>
        </w:r>
        <w:r w:rsidR="00B00455">
          <w:rPr>
            <w:noProof/>
            <w:webHidden/>
          </w:rPr>
          <w:t>11</w:t>
        </w:r>
        <w:r w:rsidR="00737C4A">
          <w:rPr>
            <w:noProof/>
            <w:webHidden/>
          </w:rPr>
          <w:fldChar w:fldCharType="end"/>
        </w:r>
      </w:hyperlink>
    </w:p>
    <w:p w:rsidR="00737C4A" w:rsidRDefault="00FA50C6">
      <w:pPr>
        <w:pStyle w:val="TOC1"/>
        <w:rPr>
          <w:rFonts w:eastAsiaTheme="minorEastAsia"/>
          <w:b w:val="0"/>
          <w:noProof/>
          <w:sz w:val="22"/>
          <w:lang w:eastAsia="en-AU"/>
        </w:rPr>
      </w:pPr>
      <w:hyperlink w:anchor="_Toc519001791" w:history="1">
        <w:r w:rsidR="00737C4A" w:rsidRPr="00320B36">
          <w:rPr>
            <w:rStyle w:val="Hyperlink"/>
            <w:noProof/>
          </w:rPr>
          <w:t>5.</w:t>
        </w:r>
        <w:r w:rsidR="00737C4A">
          <w:rPr>
            <w:rFonts w:eastAsiaTheme="minorEastAsia"/>
            <w:b w:val="0"/>
            <w:noProof/>
            <w:sz w:val="22"/>
            <w:lang w:eastAsia="en-AU"/>
          </w:rPr>
          <w:tab/>
        </w:r>
        <w:r w:rsidR="00737C4A" w:rsidRPr="00320B36">
          <w:rPr>
            <w:rStyle w:val="Hyperlink"/>
            <w:noProof/>
          </w:rPr>
          <w:t>The assessment criteria</w:t>
        </w:r>
        <w:r w:rsidR="00737C4A">
          <w:rPr>
            <w:noProof/>
            <w:webHidden/>
          </w:rPr>
          <w:tab/>
        </w:r>
        <w:r w:rsidR="00737C4A">
          <w:rPr>
            <w:noProof/>
            <w:webHidden/>
          </w:rPr>
          <w:fldChar w:fldCharType="begin"/>
        </w:r>
        <w:r w:rsidR="00737C4A">
          <w:rPr>
            <w:noProof/>
            <w:webHidden/>
          </w:rPr>
          <w:instrText xml:space="preserve"> PAGEREF _Toc519001791 \h </w:instrText>
        </w:r>
        <w:r w:rsidR="00737C4A">
          <w:rPr>
            <w:noProof/>
            <w:webHidden/>
          </w:rPr>
        </w:r>
        <w:r w:rsidR="00737C4A">
          <w:rPr>
            <w:noProof/>
            <w:webHidden/>
          </w:rPr>
          <w:fldChar w:fldCharType="separate"/>
        </w:r>
        <w:r w:rsidR="00B00455">
          <w:rPr>
            <w:noProof/>
            <w:webHidden/>
          </w:rPr>
          <w:t>11</w:t>
        </w:r>
        <w:r w:rsidR="00737C4A">
          <w:rPr>
            <w:noProof/>
            <w:webHidden/>
          </w:rPr>
          <w:fldChar w:fldCharType="end"/>
        </w:r>
      </w:hyperlink>
    </w:p>
    <w:p w:rsidR="00737C4A" w:rsidRDefault="00FA50C6">
      <w:pPr>
        <w:pStyle w:val="TOC1"/>
        <w:rPr>
          <w:rFonts w:eastAsiaTheme="minorEastAsia"/>
          <w:b w:val="0"/>
          <w:noProof/>
          <w:sz w:val="22"/>
          <w:lang w:eastAsia="en-AU"/>
        </w:rPr>
      </w:pPr>
      <w:hyperlink w:anchor="_Toc519001792" w:history="1">
        <w:r w:rsidR="00737C4A" w:rsidRPr="00320B36">
          <w:rPr>
            <w:rStyle w:val="Hyperlink"/>
            <w:noProof/>
          </w:rPr>
          <w:t>6.</w:t>
        </w:r>
        <w:r w:rsidR="00737C4A">
          <w:rPr>
            <w:rFonts w:eastAsiaTheme="minorEastAsia"/>
            <w:b w:val="0"/>
            <w:noProof/>
            <w:sz w:val="22"/>
            <w:lang w:eastAsia="en-AU"/>
          </w:rPr>
          <w:tab/>
        </w:r>
        <w:r w:rsidR="00737C4A" w:rsidRPr="00320B36">
          <w:rPr>
            <w:rStyle w:val="Hyperlink"/>
            <w:noProof/>
          </w:rPr>
          <w:t>The grant application process</w:t>
        </w:r>
        <w:r w:rsidR="00737C4A">
          <w:rPr>
            <w:noProof/>
            <w:webHidden/>
          </w:rPr>
          <w:tab/>
        </w:r>
        <w:r w:rsidR="00737C4A">
          <w:rPr>
            <w:noProof/>
            <w:webHidden/>
          </w:rPr>
          <w:fldChar w:fldCharType="begin"/>
        </w:r>
        <w:r w:rsidR="00737C4A">
          <w:rPr>
            <w:noProof/>
            <w:webHidden/>
          </w:rPr>
          <w:instrText xml:space="preserve"> PAGEREF _Toc519001792 \h </w:instrText>
        </w:r>
        <w:r w:rsidR="00737C4A">
          <w:rPr>
            <w:noProof/>
            <w:webHidden/>
          </w:rPr>
        </w:r>
        <w:r w:rsidR="00737C4A">
          <w:rPr>
            <w:noProof/>
            <w:webHidden/>
          </w:rPr>
          <w:fldChar w:fldCharType="separate"/>
        </w:r>
        <w:r w:rsidR="00B00455">
          <w:rPr>
            <w:noProof/>
            <w:webHidden/>
          </w:rPr>
          <w:t>12</w:t>
        </w:r>
        <w:r w:rsidR="00737C4A">
          <w:rPr>
            <w:noProof/>
            <w:webHidden/>
          </w:rPr>
          <w:fldChar w:fldCharType="end"/>
        </w:r>
      </w:hyperlink>
    </w:p>
    <w:p w:rsidR="00737C4A" w:rsidRDefault="00FA50C6">
      <w:pPr>
        <w:pStyle w:val="TOC2"/>
        <w:rPr>
          <w:rFonts w:eastAsiaTheme="minorEastAsia"/>
          <w:noProof/>
          <w:lang w:eastAsia="en-AU"/>
        </w:rPr>
      </w:pPr>
      <w:hyperlink w:anchor="_Toc519001793" w:history="1">
        <w:r w:rsidR="00737C4A" w:rsidRPr="00320B36">
          <w:rPr>
            <w:rStyle w:val="Hyperlink"/>
            <w:noProof/>
          </w:rPr>
          <w:t>6.1</w:t>
        </w:r>
        <w:r w:rsidR="00737C4A">
          <w:rPr>
            <w:rFonts w:eastAsiaTheme="minorEastAsia"/>
            <w:noProof/>
            <w:lang w:eastAsia="en-AU"/>
          </w:rPr>
          <w:tab/>
        </w:r>
        <w:r w:rsidR="00737C4A" w:rsidRPr="00320B36">
          <w:rPr>
            <w:rStyle w:val="Hyperlink"/>
            <w:noProof/>
          </w:rPr>
          <w:t>Overview of application process</w:t>
        </w:r>
        <w:r w:rsidR="00737C4A">
          <w:rPr>
            <w:noProof/>
            <w:webHidden/>
          </w:rPr>
          <w:tab/>
        </w:r>
        <w:r w:rsidR="00737C4A">
          <w:rPr>
            <w:noProof/>
            <w:webHidden/>
          </w:rPr>
          <w:fldChar w:fldCharType="begin"/>
        </w:r>
        <w:r w:rsidR="00737C4A">
          <w:rPr>
            <w:noProof/>
            <w:webHidden/>
          </w:rPr>
          <w:instrText xml:space="preserve"> PAGEREF _Toc519001793 \h </w:instrText>
        </w:r>
        <w:r w:rsidR="00737C4A">
          <w:rPr>
            <w:noProof/>
            <w:webHidden/>
          </w:rPr>
        </w:r>
        <w:r w:rsidR="00737C4A">
          <w:rPr>
            <w:noProof/>
            <w:webHidden/>
          </w:rPr>
          <w:fldChar w:fldCharType="separate"/>
        </w:r>
        <w:r w:rsidR="00B00455">
          <w:rPr>
            <w:noProof/>
            <w:webHidden/>
          </w:rPr>
          <w:t>12</w:t>
        </w:r>
        <w:r w:rsidR="00737C4A">
          <w:rPr>
            <w:noProof/>
            <w:webHidden/>
          </w:rPr>
          <w:fldChar w:fldCharType="end"/>
        </w:r>
      </w:hyperlink>
    </w:p>
    <w:p w:rsidR="00737C4A" w:rsidRDefault="00FA50C6">
      <w:pPr>
        <w:pStyle w:val="TOC2"/>
        <w:rPr>
          <w:rFonts w:eastAsiaTheme="minorEastAsia"/>
          <w:noProof/>
          <w:lang w:eastAsia="en-AU"/>
        </w:rPr>
      </w:pPr>
      <w:hyperlink w:anchor="_Toc519001794" w:history="1">
        <w:r w:rsidR="00737C4A" w:rsidRPr="00320B36">
          <w:rPr>
            <w:rStyle w:val="Hyperlink"/>
            <w:noProof/>
          </w:rPr>
          <w:t>6.2</w:t>
        </w:r>
        <w:r w:rsidR="00737C4A">
          <w:rPr>
            <w:rFonts w:eastAsiaTheme="minorEastAsia"/>
            <w:noProof/>
            <w:lang w:eastAsia="en-AU"/>
          </w:rPr>
          <w:tab/>
        </w:r>
        <w:r w:rsidR="00737C4A" w:rsidRPr="00320B36">
          <w:rPr>
            <w:rStyle w:val="Hyperlink"/>
            <w:noProof/>
          </w:rPr>
          <w:t>Application process timing</w:t>
        </w:r>
        <w:r w:rsidR="00737C4A">
          <w:rPr>
            <w:noProof/>
            <w:webHidden/>
          </w:rPr>
          <w:tab/>
        </w:r>
        <w:r w:rsidR="00737C4A">
          <w:rPr>
            <w:noProof/>
            <w:webHidden/>
          </w:rPr>
          <w:fldChar w:fldCharType="begin"/>
        </w:r>
        <w:r w:rsidR="00737C4A">
          <w:rPr>
            <w:noProof/>
            <w:webHidden/>
          </w:rPr>
          <w:instrText xml:space="preserve"> PAGEREF _Toc519001794 \h </w:instrText>
        </w:r>
        <w:r w:rsidR="00737C4A">
          <w:rPr>
            <w:noProof/>
            <w:webHidden/>
          </w:rPr>
        </w:r>
        <w:r w:rsidR="00737C4A">
          <w:rPr>
            <w:noProof/>
            <w:webHidden/>
          </w:rPr>
          <w:fldChar w:fldCharType="separate"/>
        </w:r>
        <w:r w:rsidR="00B00455">
          <w:rPr>
            <w:noProof/>
            <w:webHidden/>
          </w:rPr>
          <w:t>13</w:t>
        </w:r>
        <w:r w:rsidR="00737C4A">
          <w:rPr>
            <w:noProof/>
            <w:webHidden/>
          </w:rPr>
          <w:fldChar w:fldCharType="end"/>
        </w:r>
      </w:hyperlink>
    </w:p>
    <w:p w:rsidR="00737C4A" w:rsidRDefault="00FA50C6">
      <w:pPr>
        <w:pStyle w:val="TOC2"/>
        <w:rPr>
          <w:rFonts w:eastAsiaTheme="minorEastAsia"/>
          <w:noProof/>
          <w:lang w:eastAsia="en-AU"/>
        </w:rPr>
      </w:pPr>
      <w:hyperlink w:anchor="_Toc519001795" w:history="1">
        <w:r w:rsidR="00737C4A" w:rsidRPr="00320B36">
          <w:rPr>
            <w:rStyle w:val="Hyperlink"/>
            <w:noProof/>
          </w:rPr>
          <w:t>6.3</w:t>
        </w:r>
        <w:r w:rsidR="00737C4A">
          <w:rPr>
            <w:rFonts w:eastAsiaTheme="minorEastAsia"/>
            <w:noProof/>
            <w:lang w:eastAsia="en-AU"/>
          </w:rPr>
          <w:tab/>
        </w:r>
        <w:r w:rsidR="00737C4A" w:rsidRPr="00320B36">
          <w:rPr>
            <w:rStyle w:val="Hyperlink"/>
            <w:noProof/>
          </w:rPr>
          <w:t>Completing the grant application/s</w:t>
        </w:r>
        <w:r w:rsidR="00737C4A">
          <w:rPr>
            <w:noProof/>
            <w:webHidden/>
          </w:rPr>
          <w:tab/>
        </w:r>
        <w:r w:rsidR="00737C4A">
          <w:rPr>
            <w:noProof/>
            <w:webHidden/>
          </w:rPr>
          <w:fldChar w:fldCharType="begin"/>
        </w:r>
        <w:r w:rsidR="00737C4A">
          <w:rPr>
            <w:noProof/>
            <w:webHidden/>
          </w:rPr>
          <w:instrText xml:space="preserve"> PAGEREF _Toc519001795 \h </w:instrText>
        </w:r>
        <w:r w:rsidR="00737C4A">
          <w:rPr>
            <w:noProof/>
            <w:webHidden/>
          </w:rPr>
        </w:r>
        <w:r w:rsidR="00737C4A">
          <w:rPr>
            <w:noProof/>
            <w:webHidden/>
          </w:rPr>
          <w:fldChar w:fldCharType="separate"/>
        </w:r>
        <w:r w:rsidR="00B00455">
          <w:rPr>
            <w:noProof/>
            <w:webHidden/>
          </w:rPr>
          <w:t>14</w:t>
        </w:r>
        <w:r w:rsidR="00737C4A">
          <w:rPr>
            <w:noProof/>
            <w:webHidden/>
          </w:rPr>
          <w:fldChar w:fldCharType="end"/>
        </w:r>
      </w:hyperlink>
    </w:p>
    <w:p w:rsidR="00737C4A" w:rsidRDefault="00FA50C6">
      <w:pPr>
        <w:pStyle w:val="TOC2"/>
        <w:rPr>
          <w:rFonts w:eastAsiaTheme="minorEastAsia"/>
          <w:noProof/>
          <w:lang w:eastAsia="en-AU"/>
        </w:rPr>
      </w:pPr>
      <w:hyperlink w:anchor="_Toc519001796" w:history="1">
        <w:r w:rsidR="00737C4A" w:rsidRPr="00320B36">
          <w:rPr>
            <w:rStyle w:val="Hyperlink"/>
            <w:noProof/>
          </w:rPr>
          <w:t>6.4</w:t>
        </w:r>
        <w:r w:rsidR="00737C4A">
          <w:rPr>
            <w:rFonts w:eastAsiaTheme="minorEastAsia"/>
            <w:noProof/>
            <w:lang w:eastAsia="en-AU"/>
          </w:rPr>
          <w:tab/>
        </w:r>
        <w:r w:rsidR="00737C4A" w:rsidRPr="00320B36">
          <w:rPr>
            <w:rStyle w:val="Hyperlink"/>
            <w:noProof/>
          </w:rPr>
          <w:t>Applications from consortia</w:t>
        </w:r>
        <w:r w:rsidR="00737C4A">
          <w:rPr>
            <w:noProof/>
            <w:webHidden/>
          </w:rPr>
          <w:tab/>
        </w:r>
        <w:r w:rsidR="00737C4A">
          <w:rPr>
            <w:noProof/>
            <w:webHidden/>
          </w:rPr>
          <w:fldChar w:fldCharType="begin"/>
        </w:r>
        <w:r w:rsidR="00737C4A">
          <w:rPr>
            <w:noProof/>
            <w:webHidden/>
          </w:rPr>
          <w:instrText xml:space="preserve"> PAGEREF _Toc519001796 \h </w:instrText>
        </w:r>
        <w:r w:rsidR="00737C4A">
          <w:rPr>
            <w:noProof/>
            <w:webHidden/>
          </w:rPr>
        </w:r>
        <w:r w:rsidR="00737C4A">
          <w:rPr>
            <w:noProof/>
            <w:webHidden/>
          </w:rPr>
          <w:fldChar w:fldCharType="separate"/>
        </w:r>
        <w:r w:rsidR="00B00455">
          <w:rPr>
            <w:noProof/>
            <w:webHidden/>
          </w:rPr>
          <w:t>14</w:t>
        </w:r>
        <w:r w:rsidR="00737C4A">
          <w:rPr>
            <w:noProof/>
            <w:webHidden/>
          </w:rPr>
          <w:fldChar w:fldCharType="end"/>
        </w:r>
      </w:hyperlink>
    </w:p>
    <w:p w:rsidR="00737C4A" w:rsidRDefault="00FA50C6">
      <w:pPr>
        <w:pStyle w:val="TOC2"/>
        <w:rPr>
          <w:rFonts w:eastAsiaTheme="minorEastAsia"/>
          <w:noProof/>
          <w:lang w:eastAsia="en-AU"/>
        </w:rPr>
      </w:pPr>
      <w:hyperlink w:anchor="_Toc519001797" w:history="1">
        <w:r w:rsidR="00737C4A" w:rsidRPr="00320B36">
          <w:rPr>
            <w:rStyle w:val="Hyperlink"/>
            <w:noProof/>
          </w:rPr>
          <w:t>6.5</w:t>
        </w:r>
        <w:r w:rsidR="00737C4A">
          <w:rPr>
            <w:rFonts w:eastAsiaTheme="minorEastAsia"/>
            <w:noProof/>
            <w:lang w:eastAsia="en-AU"/>
          </w:rPr>
          <w:tab/>
        </w:r>
        <w:r w:rsidR="00737C4A" w:rsidRPr="00320B36">
          <w:rPr>
            <w:rStyle w:val="Hyperlink"/>
            <w:noProof/>
          </w:rPr>
          <w:t>Questions during the application process</w:t>
        </w:r>
        <w:r w:rsidR="00737C4A">
          <w:rPr>
            <w:noProof/>
            <w:webHidden/>
          </w:rPr>
          <w:tab/>
        </w:r>
        <w:r w:rsidR="00737C4A">
          <w:rPr>
            <w:noProof/>
            <w:webHidden/>
          </w:rPr>
          <w:fldChar w:fldCharType="begin"/>
        </w:r>
        <w:r w:rsidR="00737C4A">
          <w:rPr>
            <w:noProof/>
            <w:webHidden/>
          </w:rPr>
          <w:instrText xml:space="preserve"> PAGEREF _Toc519001797 \h </w:instrText>
        </w:r>
        <w:r w:rsidR="00737C4A">
          <w:rPr>
            <w:noProof/>
            <w:webHidden/>
          </w:rPr>
        </w:r>
        <w:r w:rsidR="00737C4A">
          <w:rPr>
            <w:noProof/>
            <w:webHidden/>
          </w:rPr>
          <w:fldChar w:fldCharType="separate"/>
        </w:r>
        <w:r w:rsidR="00B00455">
          <w:rPr>
            <w:noProof/>
            <w:webHidden/>
          </w:rPr>
          <w:t>14</w:t>
        </w:r>
        <w:r w:rsidR="00737C4A">
          <w:rPr>
            <w:noProof/>
            <w:webHidden/>
          </w:rPr>
          <w:fldChar w:fldCharType="end"/>
        </w:r>
      </w:hyperlink>
    </w:p>
    <w:p w:rsidR="00737C4A" w:rsidRDefault="00FA50C6">
      <w:pPr>
        <w:pStyle w:val="TOC2"/>
        <w:rPr>
          <w:rFonts w:eastAsiaTheme="minorEastAsia"/>
          <w:noProof/>
          <w:lang w:eastAsia="en-AU"/>
        </w:rPr>
      </w:pPr>
      <w:hyperlink w:anchor="_Toc519001798" w:history="1">
        <w:r w:rsidR="00737C4A" w:rsidRPr="00320B36">
          <w:rPr>
            <w:rStyle w:val="Hyperlink"/>
            <w:noProof/>
          </w:rPr>
          <w:t>6.6</w:t>
        </w:r>
        <w:r w:rsidR="00737C4A">
          <w:rPr>
            <w:rFonts w:eastAsiaTheme="minorEastAsia"/>
            <w:noProof/>
            <w:lang w:eastAsia="en-AU"/>
          </w:rPr>
          <w:tab/>
        </w:r>
        <w:r w:rsidR="00737C4A" w:rsidRPr="00320B36">
          <w:rPr>
            <w:rStyle w:val="Hyperlink"/>
            <w:noProof/>
          </w:rPr>
          <w:t>Further grant opportunities</w:t>
        </w:r>
        <w:r w:rsidR="00737C4A">
          <w:rPr>
            <w:noProof/>
            <w:webHidden/>
          </w:rPr>
          <w:tab/>
        </w:r>
        <w:r w:rsidR="00737C4A">
          <w:rPr>
            <w:noProof/>
            <w:webHidden/>
          </w:rPr>
          <w:fldChar w:fldCharType="begin"/>
        </w:r>
        <w:r w:rsidR="00737C4A">
          <w:rPr>
            <w:noProof/>
            <w:webHidden/>
          </w:rPr>
          <w:instrText xml:space="preserve"> PAGEREF _Toc519001798 \h </w:instrText>
        </w:r>
        <w:r w:rsidR="00737C4A">
          <w:rPr>
            <w:noProof/>
            <w:webHidden/>
          </w:rPr>
        </w:r>
        <w:r w:rsidR="00737C4A">
          <w:rPr>
            <w:noProof/>
            <w:webHidden/>
          </w:rPr>
          <w:fldChar w:fldCharType="separate"/>
        </w:r>
        <w:r w:rsidR="00B00455">
          <w:rPr>
            <w:noProof/>
            <w:webHidden/>
          </w:rPr>
          <w:t>15</w:t>
        </w:r>
        <w:r w:rsidR="00737C4A">
          <w:rPr>
            <w:noProof/>
            <w:webHidden/>
          </w:rPr>
          <w:fldChar w:fldCharType="end"/>
        </w:r>
      </w:hyperlink>
    </w:p>
    <w:p w:rsidR="00737C4A" w:rsidRDefault="00FA50C6">
      <w:pPr>
        <w:pStyle w:val="TOC1"/>
        <w:rPr>
          <w:rFonts w:eastAsiaTheme="minorEastAsia"/>
          <w:b w:val="0"/>
          <w:noProof/>
          <w:sz w:val="22"/>
          <w:lang w:eastAsia="en-AU"/>
        </w:rPr>
      </w:pPr>
      <w:hyperlink w:anchor="_Toc519001799" w:history="1">
        <w:r w:rsidR="00737C4A" w:rsidRPr="00320B36">
          <w:rPr>
            <w:rStyle w:val="Hyperlink"/>
            <w:noProof/>
          </w:rPr>
          <w:t>7.</w:t>
        </w:r>
        <w:r w:rsidR="00737C4A">
          <w:rPr>
            <w:rFonts w:eastAsiaTheme="minorEastAsia"/>
            <w:b w:val="0"/>
            <w:noProof/>
            <w:sz w:val="22"/>
            <w:lang w:eastAsia="en-AU"/>
          </w:rPr>
          <w:tab/>
        </w:r>
        <w:r w:rsidR="00737C4A" w:rsidRPr="00320B36">
          <w:rPr>
            <w:rStyle w:val="Hyperlink"/>
            <w:noProof/>
          </w:rPr>
          <w:t>Assessment of grant applications</w:t>
        </w:r>
        <w:r w:rsidR="00737C4A">
          <w:rPr>
            <w:noProof/>
            <w:webHidden/>
          </w:rPr>
          <w:tab/>
        </w:r>
        <w:r w:rsidR="00737C4A">
          <w:rPr>
            <w:noProof/>
            <w:webHidden/>
          </w:rPr>
          <w:fldChar w:fldCharType="begin"/>
        </w:r>
        <w:r w:rsidR="00737C4A">
          <w:rPr>
            <w:noProof/>
            <w:webHidden/>
          </w:rPr>
          <w:instrText xml:space="preserve"> PAGEREF _Toc519001799 \h </w:instrText>
        </w:r>
        <w:r w:rsidR="00737C4A">
          <w:rPr>
            <w:noProof/>
            <w:webHidden/>
          </w:rPr>
        </w:r>
        <w:r w:rsidR="00737C4A">
          <w:rPr>
            <w:noProof/>
            <w:webHidden/>
          </w:rPr>
          <w:fldChar w:fldCharType="separate"/>
        </w:r>
        <w:r w:rsidR="00B00455">
          <w:rPr>
            <w:noProof/>
            <w:webHidden/>
          </w:rPr>
          <w:t>15</w:t>
        </w:r>
        <w:r w:rsidR="00737C4A">
          <w:rPr>
            <w:noProof/>
            <w:webHidden/>
          </w:rPr>
          <w:fldChar w:fldCharType="end"/>
        </w:r>
      </w:hyperlink>
    </w:p>
    <w:p w:rsidR="00737C4A" w:rsidRDefault="00FA50C6">
      <w:pPr>
        <w:pStyle w:val="TOC2"/>
        <w:rPr>
          <w:rFonts w:eastAsiaTheme="minorEastAsia"/>
          <w:noProof/>
          <w:lang w:eastAsia="en-AU"/>
        </w:rPr>
      </w:pPr>
      <w:hyperlink w:anchor="_Toc519001800" w:history="1">
        <w:r w:rsidR="00737C4A" w:rsidRPr="00320B36">
          <w:rPr>
            <w:rStyle w:val="Hyperlink"/>
            <w:noProof/>
          </w:rPr>
          <w:t>7.1</w:t>
        </w:r>
        <w:r w:rsidR="00737C4A">
          <w:rPr>
            <w:rFonts w:eastAsiaTheme="minorEastAsia"/>
            <w:noProof/>
            <w:lang w:eastAsia="en-AU"/>
          </w:rPr>
          <w:tab/>
        </w:r>
        <w:r w:rsidR="00737C4A" w:rsidRPr="00320B36">
          <w:rPr>
            <w:rStyle w:val="Hyperlink"/>
            <w:noProof/>
          </w:rPr>
          <w:t>Who will assess applications?</w:t>
        </w:r>
        <w:r w:rsidR="00737C4A">
          <w:rPr>
            <w:noProof/>
            <w:webHidden/>
          </w:rPr>
          <w:tab/>
        </w:r>
        <w:r w:rsidR="00737C4A">
          <w:rPr>
            <w:noProof/>
            <w:webHidden/>
          </w:rPr>
          <w:fldChar w:fldCharType="begin"/>
        </w:r>
        <w:r w:rsidR="00737C4A">
          <w:rPr>
            <w:noProof/>
            <w:webHidden/>
          </w:rPr>
          <w:instrText xml:space="preserve"> PAGEREF _Toc519001800 \h </w:instrText>
        </w:r>
        <w:r w:rsidR="00737C4A">
          <w:rPr>
            <w:noProof/>
            <w:webHidden/>
          </w:rPr>
        </w:r>
        <w:r w:rsidR="00737C4A">
          <w:rPr>
            <w:noProof/>
            <w:webHidden/>
          </w:rPr>
          <w:fldChar w:fldCharType="separate"/>
        </w:r>
        <w:r w:rsidR="00B00455">
          <w:rPr>
            <w:noProof/>
            <w:webHidden/>
          </w:rPr>
          <w:t>15</w:t>
        </w:r>
        <w:r w:rsidR="00737C4A">
          <w:rPr>
            <w:noProof/>
            <w:webHidden/>
          </w:rPr>
          <w:fldChar w:fldCharType="end"/>
        </w:r>
      </w:hyperlink>
    </w:p>
    <w:p w:rsidR="00737C4A" w:rsidRDefault="00FA50C6">
      <w:pPr>
        <w:pStyle w:val="TOC2"/>
        <w:rPr>
          <w:rFonts w:eastAsiaTheme="minorEastAsia"/>
          <w:noProof/>
          <w:lang w:eastAsia="en-AU"/>
        </w:rPr>
      </w:pPr>
      <w:hyperlink w:anchor="_Toc519001801" w:history="1">
        <w:r w:rsidR="00737C4A" w:rsidRPr="00320B36">
          <w:rPr>
            <w:rStyle w:val="Hyperlink"/>
            <w:noProof/>
          </w:rPr>
          <w:t>7.2</w:t>
        </w:r>
        <w:r w:rsidR="00737C4A">
          <w:rPr>
            <w:rFonts w:eastAsiaTheme="minorEastAsia"/>
            <w:noProof/>
            <w:lang w:eastAsia="en-AU"/>
          </w:rPr>
          <w:tab/>
        </w:r>
        <w:r w:rsidR="00737C4A" w:rsidRPr="00320B36">
          <w:rPr>
            <w:rStyle w:val="Hyperlink"/>
            <w:noProof/>
          </w:rPr>
          <w:t>Who will approve grants?</w:t>
        </w:r>
        <w:r w:rsidR="00737C4A">
          <w:rPr>
            <w:noProof/>
            <w:webHidden/>
          </w:rPr>
          <w:tab/>
        </w:r>
        <w:r w:rsidR="00737C4A">
          <w:rPr>
            <w:noProof/>
            <w:webHidden/>
          </w:rPr>
          <w:fldChar w:fldCharType="begin"/>
        </w:r>
        <w:r w:rsidR="00737C4A">
          <w:rPr>
            <w:noProof/>
            <w:webHidden/>
          </w:rPr>
          <w:instrText xml:space="preserve"> PAGEREF _Toc519001801 \h </w:instrText>
        </w:r>
        <w:r w:rsidR="00737C4A">
          <w:rPr>
            <w:noProof/>
            <w:webHidden/>
          </w:rPr>
        </w:r>
        <w:r w:rsidR="00737C4A">
          <w:rPr>
            <w:noProof/>
            <w:webHidden/>
          </w:rPr>
          <w:fldChar w:fldCharType="separate"/>
        </w:r>
        <w:r w:rsidR="00B00455">
          <w:rPr>
            <w:noProof/>
            <w:webHidden/>
          </w:rPr>
          <w:t>15</w:t>
        </w:r>
        <w:r w:rsidR="00737C4A">
          <w:rPr>
            <w:noProof/>
            <w:webHidden/>
          </w:rPr>
          <w:fldChar w:fldCharType="end"/>
        </w:r>
      </w:hyperlink>
    </w:p>
    <w:p w:rsidR="00737C4A" w:rsidRDefault="00FA50C6">
      <w:pPr>
        <w:pStyle w:val="TOC1"/>
        <w:rPr>
          <w:rFonts w:eastAsiaTheme="minorEastAsia"/>
          <w:b w:val="0"/>
          <w:noProof/>
          <w:sz w:val="22"/>
          <w:lang w:eastAsia="en-AU"/>
        </w:rPr>
      </w:pPr>
      <w:hyperlink w:anchor="_Toc519001802" w:history="1">
        <w:r w:rsidR="00737C4A" w:rsidRPr="00320B36">
          <w:rPr>
            <w:rStyle w:val="Hyperlink"/>
            <w:noProof/>
          </w:rPr>
          <w:t>8.</w:t>
        </w:r>
        <w:r w:rsidR="00737C4A">
          <w:rPr>
            <w:rFonts w:eastAsiaTheme="minorEastAsia"/>
            <w:b w:val="0"/>
            <w:noProof/>
            <w:sz w:val="22"/>
            <w:lang w:eastAsia="en-AU"/>
          </w:rPr>
          <w:tab/>
        </w:r>
        <w:r w:rsidR="00737C4A" w:rsidRPr="00320B36">
          <w:rPr>
            <w:rStyle w:val="Hyperlink"/>
            <w:noProof/>
          </w:rPr>
          <w:t>Notification of application outcomes</w:t>
        </w:r>
        <w:r w:rsidR="00737C4A">
          <w:rPr>
            <w:noProof/>
            <w:webHidden/>
          </w:rPr>
          <w:tab/>
        </w:r>
        <w:r w:rsidR="00737C4A">
          <w:rPr>
            <w:noProof/>
            <w:webHidden/>
          </w:rPr>
          <w:fldChar w:fldCharType="begin"/>
        </w:r>
        <w:r w:rsidR="00737C4A">
          <w:rPr>
            <w:noProof/>
            <w:webHidden/>
          </w:rPr>
          <w:instrText xml:space="preserve"> PAGEREF _Toc519001802 \h </w:instrText>
        </w:r>
        <w:r w:rsidR="00737C4A">
          <w:rPr>
            <w:noProof/>
            <w:webHidden/>
          </w:rPr>
        </w:r>
        <w:r w:rsidR="00737C4A">
          <w:rPr>
            <w:noProof/>
            <w:webHidden/>
          </w:rPr>
          <w:fldChar w:fldCharType="separate"/>
        </w:r>
        <w:r w:rsidR="00B00455">
          <w:rPr>
            <w:noProof/>
            <w:webHidden/>
          </w:rPr>
          <w:t>16</w:t>
        </w:r>
        <w:r w:rsidR="00737C4A">
          <w:rPr>
            <w:noProof/>
            <w:webHidden/>
          </w:rPr>
          <w:fldChar w:fldCharType="end"/>
        </w:r>
      </w:hyperlink>
    </w:p>
    <w:p w:rsidR="00737C4A" w:rsidRDefault="00FA50C6">
      <w:pPr>
        <w:pStyle w:val="TOC2"/>
        <w:rPr>
          <w:rFonts w:eastAsiaTheme="minorEastAsia"/>
          <w:noProof/>
          <w:lang w:eastAsia="en-AU"/>
        </w:rPr>
      </w:pPr>
      <w:hyperlink w:anchor="_Toc519001803" w:history="1">
        <w:r w:rsidR="00737C4A" w:rsidRPr="00320B36">
          <w:rPr>
            <w:rStyle w:val="Hyperlink"/>
            <w:noProof/>
          </w:rPr>
          <w:t>8.1</w:t>
        </w:r>
        <w:r w:rsidR="00737C4A">
          <w:rPr>
            <w:rFonts w:eastAsiaTheme="minorEastAsia"/>
            <w:noProof/>
            <w:lang w:eastAsia="en-AU"/>
          </w:rPr>
          <w:tab/>
        </w:r>
        <w:r w:rsidR="00737C4A" w:rsidRPr="00320B36">
          <w:rPr>
            <w:rStyle w:val="Hyperlink"/>
            <w:noProof/>
          </w:rPr>
          <w:t>Feedback on your application/s</w:t>
        </w:r>
        <w:r w:rsidR="00737C4A">
          <w:rPr>
            <w:noProof/>
            <w:webHidden/>
          </w:rPr>
          <w:tab/>
        </w:r>
        <w:r w:rsidR="00737C4A">
          <w:rPr>
            <w:noProof/>
            <w:webHidden/>
          </w:rPr>
          <w:fldChar w:fldCharType="begin"/>
        </w:r>
        <w:r w:rsidR="00737C4A">
          <w:rPr>
            <w:noProof/>
            <w:webHidden/>
          </w:rPr>
          <w:instrText xml:space="preserve"> PAGEREF _Toc519001803 \h </w:instrText>
        </w:r>
        <w:r w:rsidR="00737C4A">
          <w:rPr>
            <w:noProof/>
            <w:webHidden/>
          </w:rPr>
        </w:r>
        <w:r w:rsidR="00737C4A">
          <w:rPr>
            <w:noProof/>
            <w:webHidden/>
          </w:rPr>
          <w:fldChar w:fldCharType="separate"/>
        </w:r>
        <w:r w:rsidR="00B00455">
          <w:rPr>
            <w:noProof/>
            <w:webHidden/>
          </w:rPr>
          <w:t>16</w:t>
        </w:r>
        <w:r w:rsidR="00737C4A">
          <w:rPr>
            <w:noProof/>
            <w:webHidden/>
          </w:rPr>
          <w:fldChar w:fldCharType="end"/>
        </w:r>
      </w:hyperlink>
    </w:p>
    <w:p w:rsidR="00737C4A" w:rsidRDefault="00FA50C6">
      <w:pPr>
        <w:pStyle w:val="TOC1"/>
        <w:rPr>
          <w:rFonts w:eastAsiaTheme="minorEastAsia"/>
          <w:b w:val="0"/>
          <w:noProof/>
          <w:sz w:val="22"/>
          <w:lang w:eastAsia="en-AU"/>
        </w:rPr>
      </w:pPr>
      <w:hyperlink w:anchor="_Toc519001804" w:history="1">
        <w:r w:rsidR="00737C4A" w:rsidRPr="00320B36">
          <w:rPr>
            <w:rStyle w:val="Hyperlink"/>
            <w:noProof/>
          </w:rPr>
          <w:t>9.</w:t>
        </w:r>
        <w:r w:rsidR="00737C4A">
          <w:rPr>
            <w:rFonts w:eastAsiaTheme="minorEastAsia"/>
            <w:b w:val="0"/>
            <w:noProof/>
            <w:sz w:val="22"/>
            <w:lang w:eastAsia="en-AU"/>
          </w:rPr>
          <w:tab/>
        </w:r>
        <w:r w:rsidR="00737C4A" w:rsidRPr="00320B36">
          <w:rPr>
            <w:rStyle w:val="Hyperlink"/>
            <w:noProof/>
          </w:rPr>
          <w:t>Successful grant applications</w:t>
        </w:r>
        <w:r w:rsidR="00737C4A">
          <w:rPr>
            <w:noProof/>
            <w:webHidden/>
          </w:rPr>
          <w:tab/>
        </w:r>
        <w:r w:rsidR="00737C4A">
          <w:rPr>
            <w:noProof/>
            <w:webHidden/>
          </w:rPr>
          <w:fldChar w:fldCharType="begin"/>
        </w:r>
        <w:r w:rsidR="00737C4A">
          <w:rPr>
            <w:noProof/>
            <w:webHidden/>
          </w:rPr>
          <w:instrText xml:space="preserve"> PAGEREF _Toc519001804 \h </w:instrText>
        </w:r>
        <w:r w:rsidR="00737C4A">
          <w:rPr>
            <w:noProof/>
            <w:webHidden/>
          </w:rPr>
        </w:r>
        <w:r w:rsidR="00737C4A">
          <w:rPr>
            <w:noProof/>
            <w:webHidden/>
          </w:rPr>
          <w:fldChar w:fldCharType="separate"/>
        </w:r>
        <w:r w:rsidR="00B00455">
          <w:rPr>
            <w:noProof/>
            <w:webHidden/>
          </w:rPr>
          <w:t>16</w:t>
        </w:r>
        <w:r w:rsidR="00737C4A">
          <w:rPr>
            <w:noProof/>
            <w:webHidden/>
          </w:rPr>
          <w:fldChar w:fldCharType="end"/>
        </w:r>
      </w:hyperlink>
    </w:p>
    <w:p w:rsidR="00737C4A" w:rsidRDefault="00FA50C6">
      <w:pPr>
        <w:pStyle w:val="TOC2"/>
        <w:rPr>
          <w:rFonts w:eastAsiaTheme="minorEastAsia"/>
          <w:noProof/>
          <w:lang w:eastAsia="en-AU"/>
        </w:rPr>
      </w:pPr>
      <w:hyperlink w:anchor="_Toc519001805" w:history="1">
        <w:r w:rsidR="00737C4A" w:rsidRPr="00320B36">
          <w:rPr>
            <w:rStyle w:val="Hyperlink"/>
            <w:noProof/>
          </w:rPr>
          <w:t>9.1</w:t>
        </w:r>
        <w:r w:rsidR="00737C4A">
          <w:rPr>
            <w:rFonts w:eastAsiaTheme="minorEastAsia"/>
            <w:noProof/>
            <w:lang w:eastAsia="en-AU"/>
          </w:rPr>
          <w:tab/>
        </w:r>
        <w:r w:rsidR="00737C4A" w:rsidRPr="00320B36">
          <w:rPr>
            <w:rStyle w:val="Hyperlink"/>
            <w:noProof/>
          </w:rPr>
          <w:t>The grant agreement</w:t>
        </w:r>
        <w:r w:rsidR="00737C4A">
          <w:rPr>
            <w:noProof/>
            <w:webHidden/>
          </w:rPr>
          <w:tab/>
        </w:r>
        <w:r w:rsidR="00737C4A">
          <w:rPr>
            <w:noProof/>
            <w:webHidden/>
          </w:rPr>
          <w:fldChar w:fldCharType="begin"/>
        </w:r>
        <w:r w:rsidR="00737C4A">
          <w:rPr>
            <w:noProof/>
            <w:webHidden/>
          </w:rPr>
          <w:instrText xml:space="preserve"> PAGEREF _Toc519001805 \h </w:instrText>
        </w:r>
        <w:r w:rsidR="00737C4A">
          <w:rPr>
            <w:noProof/>
            <w:webHidden/>
          </w:rPr>
        </w:r>
        <w:r w:rsidR="00737C4A">
          <w:rPr>
            <w:noProof/>
            <w:webHidden/>
          </w:rPr>
          <w:fldChar w:fldCharType="separate"/>
        </w:r>
        <w:r w:rsidR="00B00455">
          <w:rPr>
            <w:noProof/>
            <w:webHidden/>
          </w:rPr>
          <w:t>16</w:t>
        </w:r>
        <w:r w:rsidR="00737C4A">
          <w:rPr>
            <w:noProof/>
            <w:webHidden/>
          </w:rPr>
          <w:fldChar w:fldCharType="end"/>
        </w:r>
      </w:hyperlink>
    </w:p>
    <w:p w:rsidR="00737C4A" w:rsidRDefault="00FA50C6">
      <w:pPr>
        <w:pStyle w:val="TOC2"/>
        <w:rPr>
          <w:rFonts w:eastAsiaTheme="minorEastAsia"/>
          <w:noProof/>
          <w:lang w:eastAsia="en-AU"/>
        </w:rPr>
      </w:pPr>
      <w:hyperlink w:anchor="_Toc519001806" w:history="1">
        <w:r w:rsidR="00737C4A" w:rsidRPr="00320B36">
          <w:rPr>
            <w:rStyle w:val="Hyperlink"/>
            <w:noProof/>
          </w:rPr>
          <w:t>9.2</w:t>
        </w:r>
        <w:r w:rsidR="00737C4A">
          <w:rPr>
            <w:rFonts w:eastAsiaTheme="minorEastAsia"/>
            <w:noProof/>
            <w:lang w:eastAsia="en-AU"/>
          </w:rPr>
          <w:tab/>
        </w:r>
        <w:r w:rsidR="00737C4A" w:rsidRPr="00320B36">
          <w:rPr>
            <w:rStyle w:val="Hyperlink"/>
            <w:noProof/>
          </w:rPr>
          <w:t>How the grant will be paid</w:t>
        </w:r>
        <w:r w:rsidR="00737C4A">
          <w:rPr>
            <w:noProof/>
            <w:webHidden/>
          </w:rPr>
          <w:tab/>
        </w:r>
        <w:r w:rsidR="00737C4A">
          <w:rPr>
            <w:noProof/>
            <w:webHidden/>
          </w:rPr>
          <w:fldChar w:fldCharType="begin"/>
        </w:r>
        <w:r w:rsidR="00737C4A">
          <w:rPr>
            <w:noProof/>
            <w:webHidden/>
          </w:rPr>
          <w:instrText xml:space="preserve"> PAGEREF _Toc519001806 \h </w:instrText>
        </w:r>
        <w:r w:rsidR="00737C4A">
          <w:rPr>
            <w:noProof/>
            <w:webHidden/>
          </w:rPr>
        </w:r>
        <w:r w:rsidR="00737C4A">
          <w:rPr>
            <w:noProof/>
            <w:webHidden/>
          </w:rPr>
          <w:fldChar w:fldCharType="separate"/>
        </w:r>
        <w:r w:rsidR="00B00455">
          <w:rPr>
            <w:noProof/>
            <w:webHidden/>
          </w:rPr>
          <w:t>17</w:t>
        </w:r>
        <w:r w:rsidR="00737C4A">
          <w:rPr>
            <w:noProof/>
            <w:webHidden/>
          </w:rPr>
          <w:fldChar w:fldCharType="end"/>
        </w:r>
      </w:hyperlink>
    </w:p>
    <w:p w:rsidR="00737C4A" w:rsidRDefault="00FA50C6">
      <w:pPr>
        <w:pStyle w:val="TOC1"/>
        <w:rPr>
          <w:rFonts w:eastAsiaTheme="minorEastAsia"/>
          <w:b w:val="0"/>
          <w:noProof/>
          <w:sz w:val="22"/>
          <w:lang w:eastAsia="en-AU"/>
        </w:rPr>
      </w:pPr>
      <w:hyperlink w:anchor="_Toc519001807" w:history="1">
        <w:r w:rsidR="00737C4A" w:rsidRPr="00320B36">
          <w:rPr>
            <w:rStyle w:val="Hyperlink"/>
            <w:noProof/>
          </w:rPr>
          <w:t>10.</w:t>
        </w:r>
        <w:r w:rsidR="00737C4A">
          <w:rPr>
            <w:rFonts w:eastAsiaTheme="minorEastAsia"/>
            <w:b w:val="0"/>
            <w:noProof/>
            <w:sz w:val="22"/>
            <w:lang w:eastAsia="en-AU"/>
          </w:rPr>
          <w:tab/>
        </w:r>
        <w:r w:rsidR="00737C4A" w:rsidRPr="00320B36">
          <w:rPr>
            <w:rStyle w:val="Hyperlink"/>
            <w:noProof/>
          </w:rPr>
          <w:t>Announcement of grants</w:t>
        </w:r>
        <w:r w:rsidR="00737C4A">
          <w:rPr>
            <w:noProof/>
            <w:webHidden/>
          </w:rPr>
          <w:tab/>
        </w:r>
        <w:r w:rsidR="00737C4A">
          <w:rPr>
            <w:noProof/>
            <w:webHidden/>
          </w:rPr>
          <w:fldChar w:fldCharType="begin"/>
        </w:r>
        <w:r w:rsidR="00737C4A">
          <w:rPr>
            <w:noProof/>
            <w:webHidden/>
          </w:rPr>
          <w:instrText xml:space="preserve"> PAGEREF _Toc519001807 \h </w:instrText>
        </w:r>
        <w:r w:rsidR="00737C4A">
          <w:rPr>
            <w:noProof/>
            <w:webHidden/>
          </w:rPr>
        </w:r>
        <w:r w:rsidR="00737C4A">
          <w:rPr>
            <w:noProof/>
            <w:webHidden/>
          </w:rPr>
          <w:fldChar w:fldCharType="separate"/>
        </w:r>
        <w:r w:rsidR="00B00455">
          <w:rPr>
            <w:noProof/>
            <w:webHidden/>
          </w:rPr>
          <w:t>17</w:t>
        </w:r>
        <w:r w:rsidR="00737C4A">
          <w:rPr>
            <w:noProof/>
            <w:webHidden/>
          </w:rPr>
          <w:fldChar w:fldCharType="end"/>
        </w:r>
      </w:hyperlink>
    </w:p>
    <w:p w:rsidR="00737C4A" w:rsidRDefault="00FA50C6">
      <w:pPr>
        <w:pStyle w:val="TOC1"/>
        <w:rPr>
          <w:rFonts w:eastAsiaTheme="minorEastAsia"/>
          <w:b w:val="0"/>
          <w:noProof/>
          <w:sz w:val="22"/>
          <w:lang w:eastAsia="en-AU"/>
        </w:rPr>
      </w:pPr>
      <w:hyperlink w:anchor="_Toc519001808" w:history="1">
        <w:r w:rsidR="00737C4A" w:rsidRPr="00320B36">
          <w:rPr>
            <w:rStyle w:val="Hyperlink"/>
            <w:noProof/>
          </w:rPr>
          <w:t>11.</w:t>
        </w:r>
        <w:r w:rsidR="00737C4A">
          <w:rPr>
            <w:rFonts w:eastAsiaTheme="minorEastAsia"/>
            <w:b w:val="0"/>
            <w:noProof/>
            <w:sz w:val="22"/>
            <w:lang w:eastAsia="en-AU"/>
          </w:rPr>
          <w:tab/>
        </w:r>
        <w:r w:rsidR="00737C4A" w:rsidRPr="00320B36">
          <w:rPr>
            <w:rStyle w:val="Hyperlink"/>
            <w:noProof/>
          </w:rPr>
          <w:t>Delivery of grant activities</w:t>
        </w:r>
        <w:r w:rsidR="00737C4A">
          <w:rPr>
            <w:noProof/>
            <w:webHidden/>
          </w:rPr>
          <w:tab/>
        </w:r>
        <w:r w:rsidR="00737C4A">
          <w:rPr>
            <w:noProof/>
            <w:webHidden/>
          </w:rPr>
          <w:fldChar w:fldCharType="begin"/>
        </w:r>
        <w:r w:rsidR="00737C4A">
          <w:rPr>
            <w:noProof/>
            <w:webHidden/>
          </w:rPr>
          <w:instrText xml:space="preserve"> PAGEREF _Toc519001808 \h </w:instrText>
        </w:r>
        <w:r w:rsidR="00737C4A">
          <w:rPr>
            <w:noProof/>
            <w:webHidden/>
          </w:rPr>
        </w:r>
        <w:r w:rsidR="00737C4A">
          <w:rPr>
            <w:noProof/>
            <w:webHidden/>
          </w:rPr>
          <w:fldChar w:fldCharType="separate"/>
        </w:r>
        <w:r w:rsidR="00B00455">
          <w:rPr>
            <w:noProof/>
            <w:webHidden/>
          </w:rPr>
          <w:t>17</w:t>
        </w:r>
        <w:r w:rsidR="00737C4A">
          <w:rPr>
            <w:noProof/>
            <w:webHidden/>
          </w:rPr>
          <w:fldChar w:fldCharType="end"/>
        </w:r>
      </w:hyperlink>
    </w:p>
    <w:p w:rsidR="00737C4A" w:rsidRDefault="00FA50C6">
      <w:pPr>
        <w:pStyle w:val="TOC2"/>
        <w:rPr>
          <w:rFonts w:eastAsiaTheme="minorEastAsia"/>
          <w:noProof/>
          <w:lang w:eastAsia="en-AU"/>
        </w:rPr>
      </w:pPr>
      <w:hyperlink w:anchor="_Toc519001809" w:history="1">
        <w:r w:rsidR="00737C4A" w:rsidRPr="00320B36">
          <w:rPr>
            <w:rStyle w:val="Hyperlink"/>
            <w:noProof/>
          </w:rPr>
          <w:t>11.1</w:t>
        </w:r>
        <w:r w:rsidR="00737C4A">
          <w:rPr>
            <w:rFonts w:eastAsiaTheme="minorEastAsia"/>
            <w:noProof/>
            <w:lang w:eastAsia="en-AU"/>
          </w:rPr>
          <w:tab/>
        </w:r>
        <w:r w:rsidR="00737C4A" w:rsidRPr="00320B36">
          <w:rPr>
            <w:rStyle w:val="Hyperlink"/>
            <w:noProof/>
          </w:rPr>
          <w:t>Your responsibilities</w:t>
        </w:r>
        <w:r w:rsidR="00737C4A">
          <w:rPr>
            <w:noProof/>
            <w:webHidden/>
          </w:rPr>
          <w:tab/>
        </w:r>
        <w:r w:rsidR="00737C4A">
          <w:rPr>
            <w:noProof/>
            <w:webHidden/>
          </w:rPr>
          <w:fldChar w:fldCharType="begin"/>
        </w:r>
        <w:r w:rsidR="00737C4A">
          <w:rPr>
            <w:noProof/>
            <w:webHidden/>
          </w:rPr>
          <w:instrText xml:space="preserve"> PAGEREF _Toc519001809 \h </w:instrText>
        </w:r>
        <w:r w:rsidR="00737C4A">
          <w:rPr>
            <w:noProof/>
            <w:webHidden/>
          </w:rPr>
        </w:r>
        <w:r w:rsidR="00737C4A">
          <w:rPr>
            <w:noProof/>
            <w:webHidden/>
          </w:rPr>
          <w:fldChar w:fldCharType="separate"/>
        </w:r>
        <w:r w:rsidR="00B00455">
          <w:rPr>
            <w:noProof/>
            <w:webHidden/>
          </w:rPr>
          <w:t>17</w:t>
        </w:r>
        <w:r w:rsidR="00737C4A">
          <w:rPr>
            <w:noProof/>
            <w:webHidden/>
          </w:rPr>
          <w:fldChar w:fldCharType="end"/>
        </w:r>
      </w:hyperlink>
    </w:p>
    <w:p w:rsidR="00737C4A" w:rsidRDefault="00FA50C6">
      <w:pPr>
        <w:pStyle w:val="TOC2"/>
        <w:rPr>
          <w:rFonts w:eastAsiaTheme="minorEastAsia"/>
          <w:noProof/>
          <w:lang w:eastAsia="en-AU"/>
        </w:rPr>
      </w:pPr>
      <w:hyperlink w:anchor="_Toc519001810" w:history="1">
        <w:r w:rsidR="00737C4A" w:rsidRPr="00320B36">
          <w:rPr>
            <w:rStyle w:val="Hyperlink"/>
            <w:noProof/>
          </w:rPr>
          <w:t>11.2</w:t>
        </w:r>
        <w:r w:rsidR="00737C4A">
          <w:rPr>
            <w:rFonts w:eastAsiaTheme="minorEastAsia"/>
            <w:noProof/>
            <w:lang w:eastAsia="en-AU"/>
          </w:rPr>
          <w:tab/>
        </w:r>
        <w:r w:rsidR="00737C4A" w:rsidRPr="00320B36">
          <w:rPr>
            <w:rStyle w:val="Hyperlink"/>
            <w:noProof/>
          </w:rPr>
          <w:t>Department of Social Services’ responsibilities</w:t>
        </w:r>
        <w:r w:rsidR="00737C4A">
          <w:rPr>
            <w:noProof/>
            <w:webHidden/>
          </w:rPr>
          <w:tab/>
        </w:r>
        <w:r w:rsidR="00737C4A">
          <w:rPr>
            <w:noProof/>
            <w:webHidden/>
          </w:rPr>
          <w:fldChar w:fldCharType="begin"/>
        </w:r>
        <w:r w:rsidR="00737C4A">
          <w:rPr>
            <w:noProof/>
            <w:webHidden/>
          </w:rPr>
          <w:instrText xml:space="preserve"> PAGEREF _Toc519001810 \h </w:instrText>
        </w:r>
        <w:r w:rsidR="00737C4A">
          <w:rPr>
            <w:noProof/>
            <w:webHidden/>
          </w:rPr>
        </w:r>
        <w:r w:rsidR="00737C4A">
          <w:rPr>
            <w:noProof/>
            <w:webHidden/>
          </w:rPr>
          <w:fldChar w:fldCharType="separate"/>
        </w:r>
        <w:r w:rsidR="00B00455">
          <w:rPr>
            <w:noProof/>
            <w:webHidden/>
          </w:rPr>
          <w:t>17</w:t>
        </w:r>
        <w:r w:rsidR="00737C4A">
          <w:rPr>
            <w:noProof/>
            <w:webHidden/>
          </w:rPr>
          <w:fldChar w:fldCharType="end"/>
        </w:r>
      </w:hyperlink>
    </w:p>
    <w:p w:rsidR="00737C4A" w:rsidRDefault="00FA50C6">
      <w:pPr>
        <w:pStyle w:val="TOC2"/>
        <w:rPr>
          <w:rFonts w:eastAsiaTheme="minorEastAsia"/>
          <w:noProof/>
          <w:lang w:eastAsia="en-AU"/>
        </w:rPr>
      </w:pPr>
      <w:hyperlink w:anchor="_Toc519001811" w:history="1">
        <w:r w:rsidR="00737C4A" w:rsidRPr="00320B36">
          <w:rPr>
            <w:rStyle w:val="Hyperlink"/>
            <w:noProof/>
          </w:rPr>
          <w:t>11.3</w:t>
        </w:r>
        <w:r w:rsidR="00737C4A">
          <w:rPr>
            <w:rFonts w:eastAsiaTheme="minorEastAsia"/>
            <w:noProof/>
            <w:lang w:eastAsia="en-AU"/>
          </w:rPr>
          <w:tab/>
        </w:r>
        <w:r w:rsidR="00737C4A" w:rsidRPr="00320B36">
          <w:rPr>
            <w:rStyle w:val="Hyperlink"/>
            <w:noProof/>
          </w:rPr>
          <w:t>Grant payments and GST</w:t>
        </w:r>
        <w:r w:rsidR="00737C4A">
          <w:rPr>
            <w:noProof/>
            <w:webHidden/>
          </w:rPr>
          <w:tab/>
        </w:r>
        <w:r w:rsidR="00737C4A">
          <w:rPr>
            <w:noProof/>
            <w:webHidden/>
          </w:rPr>
          <w:fldChar w:fldCharType="begin"/>
        </w:r>
        <w:r w:rsidR="00737C4A">
          <w:rPr>
            <w:noProof/>
            <w:webHidden/>
          </w:rPr>
          <w:instrText xml:space="preserve"> PAGEREF _Toc519001811 \h </w:instrText>
        </w:r>
        <w:r w:rsidR="00737C4A">
          <w:rPr>
            <w:noProof/>
            <w:webHidden/>
          </w:rPr>
        </w:r>
        <w:r w:rsidR="00737C4A">
          <w:rPr>
            <w:noProof/>
            <w:webHidden/>
          </w:rPr>
          <w:fldChar w:fldCharType="separate"/>
        </w:r>
        <w:r w:rsidR="00B00455">
          <w:rPr>
            <w:noProof/>
            <w:webHidden/>
          </w:rPr>
          <w:t>18</w:t>
        </w:r>
        <w:r w:rsidR="00737C4A">
          <w:rPr>
            <w:noProof/>
            <w:webHidden/>
          </w:rPr>
          <w:fldChar w:fldCharType="end"/>
        </w:r>
      </w:hyperlink>
    </w:p>
    <w:p w:rsidR="00737C4A" w:rsidRDefault="00FA50C6">
      <w:pPr>
        <w:pStyle w:val="TOC2"/>
        <w:rPr>
          <w:rFonts w:eastAsiaTheme="minorEastAsia"/>
          <w:noProof/>
          <w:lang w:eastAsia="en-AU"/>
        </w:rPr>
      </w:pPr>
      <w:hyperlink w:anchor="_Toc519001812" w:history="1">
        <w:r w:rsidR="00737C4A" w:rsidRPr="00320B36">
          <w:rPr>
            <w:rStyle w:val="Hyperlink"/>
            <w:noProof/>
          </w:rPr>
          <w:t>11.4</w:t>
        </w:r>
        <w:r w:rsidR="00737C4A">
          <w:rPr>
            <w:rFonts w:eastAsiaTheme="minorEastAsia"/>
            <w:noProof/>
            <w:lang w:eastAsia="en-AU"/>
          </w:rPr>
          <w:tab/>
        </w:r>
        <w:r w:rsidR="00737C4A" w:rsidRPr="00320B36">
          <w:rPr>
            <w:rStyle w:val="Hyperlink"/>
            <w:noProof/>
          </w:rPr>
          <w:t>Reporting</w:t>
        </w:r>
        <w:r w:rsidR="00737C4A">
          <w:rPr>
            <w:noProof/>
            <w:webHidden/>
          </w:rPr>
          <w:tab/>
        </w:r>
        <w:r w:rsidR="00737C4A">
          <w:rPr>
            <w:noProof/>
            <w:webHidden/>
          </w:rPr>
          <w:fldChar w:fldCharType="begin"/>
        </w:r>
        <w:r w:rsidR="00737C4A">
          <w:rPr>
            <w:noProof/>
            <w:webHidden/>
          </w:rPr>
          <w:instrText xml:space="preserve"> PAGEREF _Toc519001812 \h </w:instrText>
        </w:r>
        <w:r w:rsidR="00737C4A">
          <w:rPr>
            <w:noProof/>
            <w:webHidden/>
          </w:rPr>
        </w:r>
        <w:r w:rsidR="00737C4A">
          <w:rPr>
            <w:noProof/>
            <w:webHidden/>
          </w:rPr>
          <w:fldChar w:fldCharType="separate"/>
        </w:r>
        <w:r w:rsidR="00B00455">
          <w:rPr>
            <w:noProof/>
            <w:webHidden/>
          </w:rPr>
          <w:t>18</w:t>
        </w:r>
        <w:r w:rsidR="00737C4A">
          <w:rPr>
            <w:noProof/>
            <w:webHidden/>
          </w:rPr>
          <w:fldChar w:fldCharType="end"/>
        </w:r>
      </w:hyperlink>
    </w:p>
    <w:p w:rsidR="00737C4A" w:rsidRDefault="00FA50C6">
      <w:pPr>
        <w:pStyle w:val="TOC3"/>
        <w:rPr>
          <w:rFonts w:eastAsiaTheme="minorEastAsia"/>
          <w:noProof/>
          <w:lang w:eastAsia="en-AU"/>
        </w:rPr>
      </w:pPr>
      <w:hyperlink w:anchor="_Toc519001813" w:history="1">
        <w:r w:rsidR="00737C4A" w:rsidRPr="00320B36">
          <w:rPr>
            <w:rStyle w:val="Hyperlink"/>
            <w:rFonts w:cstheme="minorHAnsi"/>
            <w:noProof/>
          </w:rPr>
          <w:t>11.4.1</w:t>
        </w:r>
        <w:r w:rsidR="00737C4A">
          <w:rPr>
            <w:rFonts w:eastAsiaTheme="minorEastAsia"/>
            <w:noProof/>
            <w:lang w:eastAsia="en-AU"/>
          </w:rPr>
          <w:tab/>
        </w:r>
        <w:r w:rsidR="00737C4A" w:rsidRPr="00320B36">
          <w:rPr>
            <w:rStyle w:val="Hyperlink"/>
            <w:noProof/>
          </w:rPr>
          <w:t>DEX Partnership</w:t>
        </w:r>
        <w:r w:rsidR="00737C4A" w:rsidRPr="00320B36">
          <w:rPr>
            <w:rStyle w:val="Hyperlink"/>
            <w:rFonts w:cstheme="minorHAnsi"/>
            <w:noProof/>
          </w:rPr>
          <w:t xml:space="preserve"> Approach</w:t>
        </w:r>
        <w:r w:rsidR="00737C4A">
          <w:rPr>
            <w:noProof/>
            <w:webHidden/>
          </w:rPr>
          <w:tab/>
        </w:r>
        <w:r w:rsidR="00737C4A">
          <w:rPr>
            <w:noProof/>
            <w:webHidden/>
          </w:rPr>
          <w:fldChar w:fldCharType="begin"/>
        </w:r>
        <w:r w:rsidR="00737C4A">
          <w:rPr>
            <w:noProof/>
            <w:webHidden/>
          </w:rPr>
          <w:instrText xml:space="preserve"> PAGEREF _Toc519001813 \h </w:instrText>
        </w:r>
        <w:r w:rsidR="00737C4A">
          <w:rPr>
            <w:noProof/>
            <w:webHidden/>
          </w:rPr>
        </w:r>
        <w:r w:rsidR="00737C4A">
          <w:rPr>
            <w:noProof/>
            <w:webHidden/>
          </w:rPr>
          <w:fldChar w:fldCharType="separate"/>
        </w:r>
        <w:r w:rsidR="00B00455">
          <w:rPr>
            <w:noProof/>
            <w:webHidden/>
          </w:rPr>
          <w:t>19</w:t>
        </w:r>
        <w:r w:rsidR="00737C4A">
          <w:rPr>
            <w:noProof/>
            <w:webHidden/>
          </w:rPr>
          <w:fldChar w:fldCharType="end"/>
        </w:r>
      </w:hyperlink>
    </w:p>
    <w:p w:rsidR="00737C4A" w:rsidRDefault="00FA50C6">
      <w:pPr>
        <w:pStyle w:val="TOC2"/>
        <w:rPr>
          <w:rFonts w:eastAsiaTheme="minorEastAsia"/>
          <w:noProof/>
          <w:lang w:eastAsia="en-AU"/>
        </w:rPr>
      </w:pPr>
      <w:hyperlink w:anchor="_Toc519001814" w:history="1">
        <w:r w:rsidR="00737C4A" w:rsidRPr="00320B36">
          <w:rPr>
            <w:rStyle w:val="Hyperlink"/>
            <w:noProof/>
          </w:rPr>
          <w:t>11.5</w:t>
        </w:r>
        <w:r w:rsidR="00737C4A">
          <w:rPr>
            <w:rFonts w:eastAsiaTheme="minorEastAsia"/>
            <w:noProof/>
            <w:lang w:eastAsia="en-AU"/>
          </w:rPr>
          <w:tab/>
        </w:r>
        <w:r w:rsidR="00737C4A" w:rsidRPr="00320B36">
          <w:rPr>
            <w:rStyle w:val="Hyperlink"/>
            <w:noProof/>
          </w:rPr>
          <w:t>Evaluation</w:t>
        </w:r>
        <w:r w:rsidR="00737C4A">
          <w:rPr>
            <w:noProof/>
            <w:webHidden/>
          </w:rPr>
          <w:tab/>
        </w:r>
        <w:r w:rsidR="00737C4A">
          <w:rPr>
            <w:noProof/>
            <w:webHidden/>
          </w:rPr>
          <w:fldChar w:fldCharType="begin"/>
        </w:r>
        <w:r w:rsidR="00737C4A">
          <w:rPr>
            <w:noProof/>
            <w:webHidden/>
          </w:rPr>
          <w:instrText xml:space="preserve"> PAGEREF _Toc519001814 \h </w:instrText>
        </w:r>
        <w:r w:rsidR="00737C4A">
          <w:rPr>
            <w:noProof/>
            <w:webHidden/>
          </w:rPr>
        </w:r>
        <w:r w:rsidR="00737C4A">
          <w:rPr>
            <w:noProof/>
            <w:webHidden/>
          </w:rPr>
          <w:fldChar w:fldCharType="separate"/>
        </w:r>
        <w:r w:rsidR="00B00455">
          <w:rPr>
            <w:noProof/>
            <w:webHidden/>
          </w:rPr>
          <w:t>19</w:t>
        </w:r>
        <w:r w:rsidR="00737C4A">
          <w:rPr>
            <w:noProof/>
            <w:webHidden/>
          </w:rPr>
          <w:fldChar w:fldCharType="end"/>
        </w:r>
      </w:hyperlink>
    </w:p>
    <w:p w:rsidR="00737C4A" w:rsidRDefault="00FA50C6">
      <w:pPr>
        <w:pStyle w:val="TOC2"/>
        <w:rPr>
          <w:rFonts w:eastAsiaTheme="minorEastAsia"/>
          <w:noProof/>
          <w:lang w:eastAsia="en-AU"/>
        </w:rPr>
      </w:pPr>
      <w:hyperlink w:anchor="_Toc519001815" w:history="1">
        <w:r w:rsidR="00737C4A" w:rsidRPr="00320B36">
          <w:rPr>
            <w:rStyle w:val="Hyperlink"/>
            <w:noProof/>
          </w:rPr>
          <w:t>11.6</w:t>
        </w:r>
        <w:r w:rsidR="00737C4A">
          <w:rPr>
            <w:rFonts w:eastAsiaTheme="minorEastAsia"/>
            <w:noProof/>
            <w:lang w:eastAsia="en-AU"/>
          </w:rPr>
          <w:tab/>
        </w:r>
        <w:r w:rsidR="00737C4A" w:rsidRPr="00320B36">
          <w:rPr>
            <w:rStyle w:val="Hyperlink"/>
            <w:noProof/>
          </w:rPr>
          <w:t>Multicultural Access and Equity</w:t>
        </w:r>
        <w:r w:rsidR="00737C4A">
          <w:rPr>
            <w:noProof/>
            <w:webHidden/>
          </w:rPr>
          <w:tab/>
        </w:r>
        <w:r w:rsidR="00737C4A">
          <w:rPr>
            <w:noProof/>
            <w:webHidden/>
          </w:rPr>
          <w:fldChar w:fldCharType="begin"/>
        </w:r>
        <w:r w:rsidR="00737C4A">
          <w:rPr>
            <w:noProof/>
            <w:webHidden/>
          </w:rPr>
          <w:instrText xml:space="preserve"> PAGEREF _Toc519001815 \h </w:instrText>
        </w:r>
        <w:r w:rsidR="00737C4A">
          <w:rPr>
            <w:noProof/>
            <w:webHidden/>
          </w:rPr>
        </w:r>
        <w:r w:rsidR="00737C4A">
          <w:rPr>
            <w:noProof/>
            <w:webHidden/>
          </w:rPr>
          <w:fldChar w:fldCharType="separate"/>
        </w:r>
        <w:r w:rsidR="00B00455">
          <w:rPr>
            <w:noProof/>
            <w:webHidden/>
          </w:rPr>
          <w:t>20</w:t>
        </w:r>
        <w:r w:rsidR="00737C4A">
          <w:rPr>
            <w:noProof/>
            <w:webHidden/>
          </w:rPr>
          <w:fldChar w:fldCharType="end"/>
        </w:r>
      </w:hyperlink>
    </w:p>
    <w:p w:rsidR="00737C4A" w:rsidRDefault="00FA50C6">
      <w:pPr>
        <w:pStyle w:val="TOC1"/>
        <w:rPr>
          <w:rFonts w:eastAsiaTheme="minorEastAsia"/>
          <w:b w:val="0"/>
          <w:noProof/>
          <w:sz w:val="22"/>
          <w:lang w:eastAsia="en-AU"/>
        </w:rPr>
      </w:pPr>
      <w:hyperlink w:anchor="_Toc519001816" w:history="1">
        <w:r w:rsidR="00737C4A" w:rsidRPr="00320B36">
          <w:rPr>
            <w:rStyle w:val="Hyperlink"/>
            <w:noProof/>
          </w:rPr>
          <w:t>12.</w:t>
        </w:r>
        <w:r w:rsidR="00737C4A">
          <w:rPr>
            <w:rFonts w:eastAsiaTheme="minorEastAsia"/>
            <w:b w:val="0"/>
            <w:noProof/>
            <w:sz w:val="22"/>
            <w:lang w:eastAsia="en-AU"/>
          </w:rPr>
          <w:tab/>
        </w:r>
        <w:r w:rsidR="00737C4A" w:rsidRPr="00320B36">
          <w:rPr>
            <w:rStyle w:val="Hyperlink"/>
            <w:noProof/>
          </w:rPr>
          <w:t>Probity</w:t>
        </w:r>
        <w:r w:rsidR="00737C4A">
          <w:rPr>
            <w:noProof/>
            <w:webHidden/>
          </w:rPr>
          <w:tab/>
        </w:r>
        <w:r w:rsidR="00737C4A">
          <w:rPr>
            <w:noProof/>
            <w:webHidden/>
          </w:rPr>
          <w:fldChar w:fldCharType="begin"/>
        </w:r>
        <w:r w:rsidR="00737C4A">
          <w:rPr>
            <w:noProof/>
            <w:webHidden/>
          </w:rPr>
          <w:instrText xml:space="preserve"> PAGEREF _Toc519001816 \h </w:instrText>
        </w:r>
        <w:r w:rsidR="00737C4A">
          <w:rPr>
            <w:noProof/>
            <w:webHidden/>
          </w:rPr>
        </w:r>
        <w:r w:rsidR="00737C4A">
          <w:rPr>
            <w:noProof/>
            <w:webHidden/>
          </w:rPr>
          <w:fldChar w:fldCharType="separate"/>
        </w:r>
        <w:r w:rsidR="00B00455">
          <w:rPr>
            <w:noProof/>
            <w:webHidden/>
          </w:rPr>
          <w:t>20</w:t>
        </w:r>
        <w:r w:rsidR="00737C4A">
          <w:rPr>
            <w:noProof/>
            <w:webHidden/>
          </w:rPr>
          <w:fldChar w:fldCharType="end"/>
        </w:r>
      </w:hyperlink>
    </w:p>
    <w:p w:rsidR="00737C4A" w:rsidRDefault="00FA50C6">
      <w:pPr>
        <w:pStyle w:val="TOC2"/>
        <w:rPr>
          <w:rFonts w:eastAsiaTheme="minorEastAsia"/>
          <w:noProof/>
          <w:lang w:eastAsia="en-AU"/>
        </w:rPr>
      </w:pPr>
      <w:hyperlink w:anchor="_Toc519001817" w:history="1">
        <w:r w:rsidR="00737C4A" w:rsidRPr="00320B36">
          <w:rPr>
            <w:rStyle w:val="Hyperlink"/>
            <w:noProof/>
          </w:rPr>
          <w:t>12.1</w:t>
        </w:r>
        <w:r w:rsidR="00737C4A">
          <w:rPr>
            <w:rFonts w:eastAsiaTheme="minorEastAsia"/>
            <w:noProof/>
            <w:lang w:eastAsia="en-AU"/>
          </w:rPr>
          <w:tab/>
        </w:r>
        <w:r w:rsidR="00737C4A" w:rsidRPr="00320B36">
          <w:rPr>
            <w:rStyle w:val="Hyperlink"/>
            <w:noProof/>
          </w:rPr>
          <w:t>Complaints process</w:t>
        </w:r>
        <w:r w:rsidR="00737C4A">
          <w:rPr>
            <w:noProof/>
            <w:webHidden/>
          </w:rPr>
          <w:tab/>
        </w:r>
        <w:r w:rsidR="00737C4A">
          <w:rPr>
            <w:noProof/>
            <w:webHidden/>
          </w:rPr>
          <w:fldChar w:fldCharType="begin"/>
        </w:r>
        <w:r w:rsidR="00737C4A">
          <w:rPr>
            <w:noProof/>
            <w:webHidden/>
          </w:rPr>
          <w:instrText xml:space="preserve"> PAGEREF _Toc519001817 \h </w:instrText>
        </w:r>
        <w:r w:rsidR="00737C4A">
          <w:rPr>
            <w:noProof/>
            <w:webHidden/>
          </w:rPr>
        </w:r>
        <w:r w:rsidR="00737C4A">
          <w:rPr>
            <w:noProof/>
            <w:webHidden/>
          </w:rPr>
          <w:fldChar w:fldCharType="separate"/>
        </w:r>
        <w:r w:rsidR="00B00455">
          <w:rPr>
            <w:noProof/>
            <w:webHidden/>
          </w:rPr>
          <w:t>20</w:t>
        </w:r>
        <w:r w:rsidR="00737C4A">
          <w:rPr>
            <w:noProof/>
            <w:webHidden/>
          </w:rPr>
          <w:fldChar w:fldCharType="end"/>
        </w:r>
      </w:hyperlink>
    </w:p>
    <w:p w:rsidR="00737C4A" w:rsidRDefault="00FA50C6">
      <w:pPr>
        <w:pStyle w:val="TOC2"/>
        <w:rPr>
          <w:rFonts w:eastAsiaTheme="minorEastAsia"/>
          <w:noProof/>
          <w:lang w:eastAsia="en-AU"/>
        </w:rPr>
      </w:pPr>
      <w:hyperlink w:anchor="_Toc519001818" w:history="1">
        <w:r w:rsidR="00737C4A" w:rsidRPr="00320B36">
          <w:rPr>
            <w:rStyle w:val="Hyperlink"/>
            <w:noProof/>
          </w:rPr>
          <w:t>12.2</w:t>
        </w:r>
        <w:r w:rsidR="00737C4A">
          <w:rPr>
            <w:rFonts w:eastAsiaTheme="minorEastAsia"/>
            <w:noProof/>
            <w:lang w:eastAsia="en-AU"/>
          </w:rPr>
          <w:tab/>
        </w:r>
        <w:r w:rsidR="00737C4A" w:rsidRPr="00320B36">
          <w:rPr>
            <w:rStyle w:val="Hyperlink"/>
            <w:noProof/>
          </w:rPr>
          <w:t>Conflict of interest</w:t>
        </w:r>
        <w:r w:rsidR="00737C4A">
          <w:rPr>
            <w:noProof/>
            <w:webHidden/>
          </w:rPr>
          <w:tab/>
        </w:r>
        <w:r w:rsidR="00737C4A">
          <w:rPr>
            <w:noProof/>
            <w:webHidden/>
          </w:rPr>
          <w:fldChar w:fldCharType="begin"/>
        </w:r>
        <w:r w:rsidR="00737C4A">
          <w:rPr>
            <w:noProof/>
            <w:webHidden/>
          </w:rPr>
          <w:instrText xml:space="preserve"> PAGEREF _Toc519001818 \h </w:instrText>
        </w:r>
        <w:r w:rsidR="00737C4A">
          <w:rPr>
            <w:noProof/>
            <w:webHidden/>
          </w:rPr>
        </w:r>
        <w:r w:rsidR="00737C4A">
          <w:rPr>
            <w:noProof/>
            <w:webHidden/>
          </w:rPr>
          <w:fldChar w:fldCharType="separate"/>
        </w:r>
        <w:r w:rsidR="00B00455">
          <w:rPr>
            <w:noProof/>
            <w:webHidden/>
          </w:rPr>
          <w:t>21</w:t>
        </w:r>
        <w:r w:rsidR="00737C4A">
          <w:rPr>
            <w:noProof/>
            <w:webHidden/>
          </w:rPr>
          <w:fldChar w:fldCharType="end"/>
        </w:r>
      </w:hyperlink>
    </w:p>
    <w:p w:rsidR="00737C4A" w:rsidRDefault="00FA50C6">
      <w:pPr>
        <w:pStyle w:val="TOC2"/>
        <w:rPr>
          <w:rFonts w:eastAsiaTheme="minorEastAsia"/>
          <w:noProof/>
          <w:lang w:eastAsia="en-AU"/>
        </w:rPr>
      </w:pPr>
      <w:hyperlink w:anchor="_Toc519001819" w:history="1">
        <w:r w:rsidR="00737C4A" w:rsidRPr="00320B36">
          <w:rPr>
            <w:rStyle w:val="Hyperlink"/>
            <w:noProof/>
          </w:rPr>
          <w:t>12.3</w:t>
        </w:r>
        <w:r w:rsidR="00737C4A">
          <w:rPr>
            <w:rFonts w:eastAsiaTheme="minorEastAsia"/>
            <w:noProof/>
            <w:lang w:eastAsia="en-AU"/>
          </w:rPr>
          <w:tab/>
        </w:r>
        <w:r w:rsidR="00737C4A" w:rsidRPr="00320B36">
          <w:rPr>
            <w:rStyle w:val="Hyperlink"/>
            <w:noProof/>
          </w:rPr>
          <w:t>Privacy: confidentiality and protection of personal information</w:t>
        </w:r>
        <w:r w:rsidR="00737C4A">
          <w:rPr>
            <w:noProof/>
            <w:webHidden/>
          </w:rPr>
          <w:tab/>
        </w:r>
        <w:r w:rsidR="00737C4A">
          <w:rPr>
            <w:noProof/>
            <w:webHidden/>
          </w:rPr>
          <w:fldChar w:fldCharType="begin"/>
        </w:r>
        <w:r w:rsidR="00737C4A">
          <w:rPr>
            <w:noProof/>
            <w:webHidden/>
          </w:rPr>
          <w:instrText xml:space="preserve"> PAGEREF _Toc519001819 \h </w:instrText>
        </w:r>
        <w:r w:rsidR="00737C4A">
          <w:rPr>
            <w:noProof/>
            <w:webHidden/>
          </w:rPr>
        </w:r>
        <w:r w:rsidR="00737C4A">
          <w:rPr>
            <w:noProof/>
            <w:webHidden/>
          </w:rPr>
          <w:fldChar w:fldCharType="separate"/>
        </w:r>
        <w:r w:rsidR="00B00455">
          <w:rPr>
            <w:noProof/>
            <w:webHidden/>
          </w:rPr>
          <w:t>22</w:t>
        </w:r>
        <w:r w:rsidR="00737C4A">
          <w:rPr>
            <w:noProof/>
            <w:webHidden/>
          </w:rPr>
          <w:fldChar w:fldCharType="end"/>
        </w:r>
      </w:hyperlink>
    </w:p>
    <w:p w:rsidR="00737C4A" w:rsidRDefault="00FA50C6">
      <w:pPr>
        <w:pStyle w:val="TOC2"/>
        <w:rPr>
          <w:rFonts w:eastAsiaTheme="minorEastAsia"/>
          <w:noProof/>
          <w:lang w:eastAsia="en-AU"/>
        </w:rPr>
      </w:pPr>
      <w:hyperlink w:anchor="_Toc519001820" w:history="1">
        <w:r w:rsidR="00737C4A" w:rsidRPr="00320B36">
          <w:rPr>
            <w:rStyle w:val="Hyperlink"/>
            <w:noProof/>
          </w:rPr>
          <w:t>12.4</w:t>
        </w:r>
        <w:r w:rsidR="00737C4A">
          <w:rPr>
            <w:rFonts w:eastAsiaTheme="minorEastAsia"/>
            <w:noProof/>
            <w:lang w:eastAsia="en-AU"/>
          </w:rPr>
          <w:tab/>
        </w:r>
        <w:r w:rsidR="00737C4A" w:rsidRPr="00320B36">
          <w:rPr>
            <w:rStyle w:val="Hyperlink"/>
            <w:noProof/>
          </w:rPr>
          <w:t>Freedom of information</w:t>
        </w:r>
        <w:r w:rsidR="00737C4A">
          <w:rPr>
            <w:noProof/>
            <w:webHidden/>
          </w:rPr>
          <w:tab/>
        </w:r>
        <w:r w:rsidR="00737C4A">
          <w:rPr>
            <w:noProof/>
            <w:webHidden/>
          </w:rPr>
          <w:fldChar w:fldCharType="begin"/>
        </w:r>
        <w:r w:rsidR="00737C4A">
          <w:rPr>
            <w:noProof/>
            <w:webHidden/>
          </w:rPr>
          <w:instrText xml:space="preserve"> PAGEREF _Toc519001820 \h </w:instrText>
        </w:r>
        <w:r w:rsidR="00737C4A">
          <w:rPr>
            <w:noProof/>
            <w:webHidden/>
          </w:rPr>
        </w:r>
        <w:r w:rsidR="00737C4A">
          <w:rPr>
            <w:noProof/>
            <w:webHidden/>
          </w:rPr>
          <w:fldChar w:fldCharType="separate"/>
        </w:r>
        <w:r w:rsidR="00B00455">
          <w:rPr>
            <w:noProof/>
            <w:webHidden/>
          </w:rPr>
          <w:t>23</w:t>
        </w:r>
        <w:r w:rsidR="00737C4A">
          <w:rPr>
            <w:noProof/>
            <w:webHidden/>
          </w:rPr>
          <w:fldChar w:fldCharType="end"/>
        </w:r>
      </w:hyperlink>
    </w:p>
    <w:p w:rsidR="00737C4A" w:rsidRDefault="00FA50C6">
      <w:pPr>
        <w:pStyle w:val="TOC1"/>
        <w:rPr>
          <w:rFonts w:eastAsiaTheme="minorEastAsia"/>
          <w:b w:val="0"/>
          <w:noProof/>
          <w:sz w:val="22"/>
          <w:lang w:eastAsia="en-AU"/>
        </w:rPr>
      </w:pPr>
      <w:hyperlink w:anchor="_Toc519001821" w:history="1">
        <w:r w:rsidR="00737C4A" w:rsidRPr="00320B36">
          <w:rPr>
            <w:rStyle w:val="Hyperlink"/>
            <w:noProof/>
          </w:rPr>
          <w:t>13.</w:t>
        </w:r>
        <w:r w:rsidR="00737C4A">
          <w:rPr>
            <w:rFonts w:eastAsiaTheme="minorEastAsia"/>
            <w:b w:val="0"/>
            <w:noProof/>
            <w:sz w:val="22"/>
            <w:lang w:eastAsia="en-AU"/>
          </w:rPr>
          <w:tab/>
        </w:r>
        <w:r w:rsidR="00737C4A" w:rsidRPr="00320B36">
          <w:rPr>
            <w:rStyle w:val="Hyperlink"/>
            <w:noProof/>
          </w:rPr>
          <w:t>Consultation</w:t>
        </w:r>
        <w:r w:rsidR="00737C4A">
          <w:rPr>
            <w:noProof/>
            <w:webHidden/>
          </w:rPr>
          <w:tab/>
        </w:r>
        <w:r w:rsidR="00737C4A">
          <w:rPr>
            <w:noProof/>
            <w:webHidden/>
          </w:rPr>
          <w:fldChar w:fldCharType="begin"/>
        </w:r>
        <w:r w:rsidR="00737C4A">
          <w:rPr>
            <w:noProof/>
            <w:webHidden/>
          </w:rPr>
          <w:instrText xml:space="preserve"> PAGEREF _Toc519001821 \h </w:instrText>
        </w:r>
        <w:r w:rsidR="00737C4A">
          <w:rPr>
            <w:noProof/>
            <w:webHidden/>
          </w:rPr>
        </w:r>
        <w:r w:rsidR="00737C4A">
          <w:rPr>
            <w:noProof/>
            <w:webHidden/>
          </w:rPr>
          <w:fldChar w:fldCharType="separate"/>
        </w:r>
        <w:r w:rsidR="00B00455">
          <w:rPr>
            <w:noProof/>
            <w:webHidden/>
          </w:rPr>
          <w:t>24</w:t>
        </w:r>
        <w:r w:rsidR="00737C4A">
          <w:rPr>
            <w:noProof/>
            <w:webHidden/>
          </w:rPr>
          <w:fldChar w:fldCharType="end"/>
        </w:r>
      </w:hyperlink>
    </w:p>
    <w:p w:rsidR="00737C4A" w:rsidRDefault="00FA50C6">
      <w:pPr>
        <w:pStyle w:val="TOC1"/>
        <w:rPr>
          <w:rFonts w:eastAsiaTheme="minorEastAsia"/>
          <w:b w:val="0"/>
          <w:noProof/>
          <w:sz w:val="22"/>
          <w:lang w:eastAsia="en-AU"/>
        </w:rPr>
      </w:pPr>
      <w:hyperlink w:anchor="_Toc519001822" w:history="1">
        <w:r w:rsidR="00737C4A" w:rsidRPr="00320B36">
          <w:rPr>
            <w:rStyle w:val="Hyperlink"/>
            <w:noProof/>
          </w:rPr>
          <w:t>Glossary</w:t>
        </w:r>
        <w:r w:rsidR="00737C4A">
          <w:rPr>
            <w:noProof/>
            <w:webHidden/>
          </w:rPr>
          <w:tab/>
        </w:r>
        <w:r w:rsidR="00737C4A">
          <w:rPr>
            <w:noProof/>
            <w:webHidden/>
          </w:rPr>
          <w:fldChar w:fldCharType="begin"/>
        </w:r>
        <w:r w:rsidR="00737C4A">
          <w:rPr>
            <w:noProof/>
            <w:webHidden/>
          </w:rPr>
          <w:instrText xml:space="preserve"> PAGEREF _Toc519001822 \h </w:instrText>
        </w:r>
        <w:r w:rsidR="00737C4A">
          <w:rPr>
            <w:noProof/>
            <w:webHidden/>
          </w:rPr>
        </w:r>
        <w:r w:rsidR="00737C4A">
          <w:rPr>
            <w:noProof/>
            <w:webHidden/>
          </w:rPr>
          <w:fldChar w:fldCharType="separate"/>
        </w:r>
        <w:r w:rsidR="00B00455">
          <w:rPr>
            <w:noProof/>
            <w:webHidden/>
          </w:rPr>
          <w:t>25</w:t>
        </w:r>
        <w:r w:rsidR="00737C4A">
          <w:rPr>
            <w:noProof/>
            <w:webHidden/>
          </w:rPr>
          <w:fldChar w:fldCharType="end"/>
        </w:r>
      </w:hyperlink>
    </w:p>
    <w:p w:rsidR="00737C4A" w:rsidRDefault="00FA50C6">
      <w:pPr>
        <w:pStyle w:val="TOC2"/>
        <w:rPr>
          <w:rFonts w:eastAsiaTheme="minorEastAsia"/>
          <w:noProof/>
          <w:lang w:eastAsia="en-AU"/>
        </w:rPr>
      </w:pPr>
      <w:hyperlink w:anchor="_Toc519001823" w:history="1">
        <w:r w:rsidR="00737C4A" w:rsidRPr="00320B36">
          <w:rPr>
            <w:rStyle w:val="Hyperlink"/>
            <w:b/>
            <w:noProof/>
          </w:rPr>
          <w:t>Appendix A:</w:t>
        </w:r>
        <w:r w:rsidR="00737C4A" w:rsidRPr="00320B36">
          <w:rPr>
            <w:rStyle w:val="Hyperlink"/>
            <w:noProof/>
          </w:rPr>
          <w:t xml:space="preserve"> Amounts available in SA4 area.</w:t>
        </w:r>
        <w:r w:rsidR="00737C4A">
          <w:rPr>
            <w:noProof/>
            <w:webHidden/>
          </w:rPr>
          <w:tab/>
        </w:r>
        <w:r w:rsidR="00737C4A">
          <w:rPr>
            <w:noProof/>
            <w:webHidden/>
          </w:rPr>
          <w:fldChar w:fldCharType="begin"/>
        </w:r>
        <w:r w:rsidR="00737C4A">
          <w:rPr>
            <w:noProof/>
            <w:webHidden/>
          </w:rPr>
          <w:instrText xml:space="preserve"> PAGEREF _Toc519001823 \h </w:instrText>
        </w:r>
        <w:r w:rsidR="00737C4A">
          <w:rPr>
            <w:noProof/>
            <w:webHidden/>
          </w:rPr>
        </w:r>
        <w:r w:rsidR="00737C4A">
          <w:rPr>
            <w:noProof/>
            <w:webHidden/>
          </w:rPr>
          <w:fldChar w:fldCharType="separate"/>
        </w:r>
        <w:r w:rsidR="00B00455">
          <w:rPr>
            <w:noProof/>
            <w:webHidden/>
          </w:rPr>
          <w:t>28</w:t>
        </w:r>
        <w:r w:rsidR="00737C4A">
          <w:rPr>
            <w:noProof/>
            <w:webHidden/>
          </w:rPr>
          <w:fldChar w:fldCharType="end"/>
        </w:r>
      </w:hyperlink>
    </w:p>
    <w:p w:rsidR="009B50D4" w:rsidRDefault="0020122A" w:rsidP="00CC2AA4">
      <w:r>
        <w:fldChar w:fldCharType="end"/>
      </w:r>
    </w:p>
    <w:p w:rsidR="009B50D4" w:rsidRDefault="009B50D4" w:rsidP="009B50D4">
      <w:r>
        <w:br w:type="page"/>
      </w:r>
    </w:p>
    <w:p w:rsidR="004E058F" w:rsidRPr="00A37CC2" w:rsidRDefault="00726710" w:rsidP="00934587">
      <w:pPr>
        <w:pBdr>
          <w:bottom w:val="single" w:sz="4" w:space="1" w:color="auto"/>
        </w:pBdr>
        <w:rPr>
          <w:b/>
        </w:rPr>
      </w:pPr>
      <w:r w:rsidRPr="00A37CC2">
        <w:rPr>
          <w:b/>
        </w:rPr>
        <w:lastRenderedPageBreak/>
        <w:t>Introduction</w:t>
      </w:r>
    </w:p>
    <w:p w:rsidR="003B512C" w:rsidRDefault="003B512C" w:rsidP="007A25F0">
      <w:pPr>
        <w:pStyle w:val="BodyText1"/>
      </w:pPr>
    </w:p>
    <w:p w:rsidR="00EE2B1C" w:rsidRPr="00F40BDA" w:rsidRDefault="00D03B5D" w:rsidP="00EE2B1C">
      <w:pPr>
        <w:pStyle w:val="Heading1Numbered"/>
      </w:pPr>
      <w:bookmarkStart w:id="1" w:name="_Toc458420391"/>
      <w:bookmarkStart w:id="2" w:name="_Toc467773950"/>
      <w:bookmarkStart w:id="3" w:name="_Toc519001774"/>
      <w:r w:rsidRPr="00D03B5D">
        <w:rPr>
          <w:color w:val="auto"/>
        </w:rPr>
        <w:t>Financial Wellbeing and Capability</w:t>
      </w:r>
      <w:r w:rsidR="00FD789E">
        <w:rPr>
          <w:color w:val="auto"/>
        </w:rPr>
        <w:t xml:space="preserve"> </w:t>
      </w:r>
      <w:r w:rsidR="00B928AB">
        <w:rPr>
          <w:color w:val="auto"/>
        </w:rPr>
        <w:t>Activity</w:t>
      </w:r>
      <w:r w:rsidR="003A739E">
        <w:rPr>
          <w:color w:val="auto"/>
        </w:rPr>
        <w:t xml:space="preserve"> -</w:t>
      </w:r>
      <w:r w:rsidRPr="00D03B5D">
        <w:rPr>
          <w:color w:val="auto"/>
        </w:rPr>
        <w:t>Financial Crisis and Material Aid</w:t>
      </w:r>
      <w:r w:rsidR="003A739E">
        <w:rPr>
          <w:color w:val="auto"/>
        </w:rPr>
        <w:t>:</w:t>
      </w:r>
      <w:r w:rsidRPr="00D03B5D">
        <w:rPr>
          <w:color w:val="auto"/>
        </w:rPr>
        <w:t xml:space="preserve"> Emergency Relief</w:t>
      </w:r>
      <w:r w:rsidR="00466D34">
        <w:rPr>
          <w:color w:val="auto"/>
        </w:rPr>
        <w:t xml:space="preserve"> </w:t>
      </w:r>
      <w:r w:rsidRPr="00D03B5D">
        <w:rPr>
          <w:color w:val="auto"/>
        </w:rPr>
        <w:t>Grant Opportunity</w:t>
      </w:r>
      <w:r w:rsidR="00EE2B1C" w:rsidRPr="00D03B5D">
        <w:rPr>
          <w:color w:val="auto"/>
        </w:rPr>
        <w:t xml:space="preserve"> </w:t>
      </w:r>
      <w:r w:rsidR="00EE2B1C" w:rsidRPr="00F40BDA">
        <w:t>Process</w:t>
      </w:r>
      <w:r w:rsidR="00EE2B1C">
        <w:t>es</w:t>
      </w:r>
      <w:bookmarkEnd w:id="1"/>
      <w:bookmarkEnd w:id="2"/>
      <w:bookmarkEnd w:id="3"/>
    </w:p>
    <w:p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Program </w:t>
      </w:r>
      <w:proofErr w:type="gramStart"/>
      <w:r w:rsidRPr="00EE2B1C">
        <w:rPr>
          <w:b/>
        </w:rPr>
        <w:t>is designed</w:t>
      </w:r>
      <w:proofErr w:type="gramEnd"/>
      <w:r w:rsidRPr="00EE2B1C">
        <w:rPr>
          <w:b/>
        </w:rPr>
        <w:t xml:space="preserve"> to achieve Australian</w:t>
      </w:r>
      <w:r w:rsidRPr="00F40BDA">
        <w:rPr>
          <w:b/>
        </w:rPr>
        <w:t xml:space="preserve"> Government </w:t>
      </w:r>
      <w:r>
        <w:rPr>
          <w:b/>
        </w:rPr>
        <w:t>objectives</w:t>
      </w:r>
      <w:r w:rsidRPr="00F40BDA">
        <w:rPr>
          <w:b/>
        </w:rPr>
        <w:t xml:space="preserve"> </w:t>
      </w:r>
    </w:p>
    <w:p w:rsidR="00EE2B1C" w:rsidRDefault="00EE2B1C" w:rsidP="00EE2B1C">
      <w:pPr>
        <w:pBdr>
          <w:top w:val="single" w:sz="4" w:space="1" w:color="auto"/>
          <w:left w:val="single" w:sz="4" w:space="4" w:color="auto"/>
          <w:bottom w:val="single" w:sz="4" w:space="1" w:color="auto"/>
          <w:right w:val="single" w:sz="4" w:space="4" w:color="auto"/>
        </w:pBdr>
        <w:spacing w:after="0"/>
        <w:jc w:val="center"/>
      </w:pPr>
      <w:r w:rsidRPr="006913FB">
        <w:t xml:space="preserve">This grant opportunity is part of the above Grant </w:t>
      </w:r>
      <w:r w:rsidR="00D73B0F" w:rsidRPr="006913FB">
        <w:t>Program, which</w:t>
      </w:r>
      <w:r w:rsidRPr="006913FB">
        <w:t xml:space="preserve"> contributes to </w:t>
      </w:r>
      <w:r w:rsidR="0011195F">
        <w:t xml:space="preserve">the </w:t>
      </w:r>
      <w:r w:rsidR="00D03B5D" w:rsidRPr="006913FB">
        <w:t xml:space="preserve">Department of Social Services’ Outcome 2: </w:t>
      </w:r>
      <w:r w:rsidR="006913FB" w:rsidRPr="006913FB">
        <w:t>Families and Communities</w:t>
      </w:r>
      <w:r w:rsidRPr="006913FB">
        <w:t xml:space="preserve">. The </w:t>
      </w:r>
      <w:r w:rsidR="006913FB" w:rsidRPr="006913FB">
        <w:t>Department of Social Services</w:t>
      </w:r>
      <w:r w:rsidRPr="006913FB">
        <w:t xml:space="preserve"> </w:t>
      </w:r>
      <w:r w:rsidRPr="00F40BDA">
        <w:t xml:space="preserve">works with stakeholders to plan and design the </w:t>
      </w:r>
      <w:r w:rsidR="00566242">
        <w:t>G</w:t>
      </w:r>
      <w:r w:rsidRPr="00F40BDA">
        <w:t xml:space="preserve">rant </w:t>
      </w:r>
      <w:r w:rsidR="00566242">
        <w:t>P</w:t>
      </w:r>
      <w:r>
        <w:t>rogram according to</w:t>
      </w:r>
      <w:r w:rsidRPr="00F40BDA">
        <w:t xml:space="preserve"> the </w:t>
      </w:r>
      <w:r w:rsidRPr="00F40BDA">
        <w:rPr>
          <w:i/>
        </w:rPr>
        <w:t>Commonwealth Grants Rules and Guidelines</w:t>
      </w:r>
      <w:r w:rsidRPr="00F40BDA">
        <w:t>.</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C82FE4">
        <w:t xml:space="preserve">the </w:t>
      </w:r>
      <w:hyperlink r:id="rId9" w:history="1">
        <w:r w:rsidRPr="00566242">
          <w:rPr>
            <w:rStyle w:val="Hyperlink"/>
            <w:rFonts w:cstheme="minorBidi"/>
          </w:rPr>
          <w:t>GrantConnect</w:t>
        </w:r>
      </w:hyperlink>
      <w:r w:rsidR="00BD1DD2">
        <w:t xml:space="preserve"> and </w:t>
      </w:r>
      <w:hyperlink r:id="rId10" w:history="1">
        <w:r w:rsidR="00BD1DD2" w:rsidRPr="00566242">
          <w:rPr>
            <w:rStyle w:val="Hyperlink"/>
            <w:rFonts w:cstheme="minorBidi"/>
          </w:rPr>
          <w:t>Community Grants Hub</w:t>
        </w:r>
      </w:hyperlink>
      <w:r w:rsidR="00BD1DD2">
        <w:t xml:space="preserve"> websites</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r w:rsidR="00963B07">
        <w:rPr>
          <w:b/>
        </w:rPr>
        <w:t>/s</w:t>
      </w:r>
    </w:p>
    <w:p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963B07">
        <w:t>application/s</w:t>
      </w:r>
      <w:r w:rsidRPr="004B61BC">
        <w:t xml:space="preserve">. </w:t>
      </w:r>
      <w:r w:rsidR="000D662C">
        <w:t>Further information</w:t>
      </w:r>
      <w:r w:rsidRPr="004B61BC">
        <w:t xml:space="preserve"> </w:t>
      </w:r>
      <w:proofErr w:type="gramStart"/>
      <w:r w:rsidRPr="004B61BC">
        <w:t>can be found</w:t>
      </w:r>
      <w:proofErr w:type="gramEnd"/>
      <w:r w:rsidRPr="004B61BC">
        <w:t xml:space="preserve"> on </w:t>
      </w:r>
      <w:hyperlink r:id="rId11" w:history="1">
        <w:r w:rsidRPr="00AE5A5C">
          <w:rPr>
            <w:rStyle w:val="Hyperlink"/>
            <w:rFonts w:cstheme="minorBidi"/>
          </w:rPr>
          <w:t>GrantConnect</w:t>
        </w:r>
      </w:hyperlink>
      <w:r w:rsidRPr="004B61BC">
        <w:t>, the Australian Government’s whole</w:t>
      </w:r>
      <w:r w:rsidR="003A739E">
        <w:t xml:space="preserve"> </w:t>
      </w:r>
      <w:r w:rsidRPr="004B61BC">
        <w:t>of</w:t>
      </w:r>
      <w:r w:rsidR="003A739E">
        <w:t xml:space="preserve"> </w:t>
      </w:r>
      <w:r w:rsidRPr="004B61BC">
        <w:t xml:space="preserve">government grants information system. Note: Any addenda for this grant opportunity will be published on GrantConnect, and by registering on this </w:t>
      </w:r>
      <w:proofErr w:type="gramStart"/>
      <w:r w:rsidRPr="004B61BC">
        <w:t>website</w:t>
      </w:r>
      <w:proofErr w:type="gramEnd"/>
      <w:r w:rsidRPr="004B61BC">
        <w:t xml:space="preserve"> you will be automatic</w:t>
      </w:r>
      <w:r w:rsidR="00157662">
        <w:t>ally notified o</w:t>
      </w:r>
      <w:r w:rsidR="009A05FF">
        <w:t>f</w:t>
      </w:r>
      <w:r w:rsidR="00157662">
        <w:t xml:space="preserve"> any changes.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Pr="003A6C28" w:rsidRDefault="00EE2B1C" w:rsidP="00EE2B1C">
      <w:pPr>
        <w:pBdr>
          <w:top w:val="single" w:sz="2" w:space="1" w:color="auto"/>
          <w:left w:val="single" w:sz="2" w:space="4" w:color="auto"/>
          <w:bottom w:val="single" w:sz="2" w:space="1" w:color="auto"/>
          <w:right w:val="single" w:sz="2" w:space="4" w:color="auto"/>
        </w:pBdr>
        <w:spacing w:after="0"/>
        <w:jc w:val="center"/>
        <w:rPr>
          <w:bCs/>
        </w:rPr>
      </w:pPr>
      <w:r w:rsidRPr="003A6C28">
        <w:rPr>
          <w:b/>
        </w:rPr>
        <w:t>We assess all grant applications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rsidRPr="003A6C28">
        <w:t xml:space="preserve">We assess the applications against eligibility criteria and notify you if you are not eligible.  We then assess </w:t>
      </w:r>
      <w:r w:rsidR="00F116FB">
        <w:t>each</w:t>
      </w:r>
      <w:r w:rsidRPr="003A6C28">
        <w:t xml:space="preserve"> application against the assessment criteria including an overall consideration of value for money and compare it to other applications.</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Grant </w:t>
      </w:r>
      <w:r w:rsidR="003A739E">
        <w:rPr>
          <w:b/>
        </w:rPr>
        <w:t>d</w:t>
      </w:r>
      <w:r w:rsidRPr="00DB0315">
        <w:rPr>
          <w:b/>
        </w:rPr>
        <w:t>ecision</w:t>
      </w:r>
      <w:r>
        <w:rPr>
          <w:b/>
        </w:rPr>
        <w:t xml:space="preserve">s </w:t>
      </w:r>
      <w:proofErr w:type="gramStart"/>
      <w:r>
        <w:rPr>
          <w:b/>
        </w:rPr>
        <w:t>are made</w:t>
      </w:r>
      <w:proofErr w:type="gramEnd"/>
    </w:p>
    <w:p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lastRenderedPageBreak/>
        <w:t>The</w:t>
      </w:r>
      <w:r w:rsidRPr="00123D11">
        <w:t xml:space="preserve"> </w:t>
      </w:r>
      <w:r>
        <w:t xml:space="preserve">decision </w:t>
      </w:r>
      <w:r w:rsidRPr="00123D11">
        <w:t xml:space="preserve">maker </w:t>
      </w:r>
      <w:r>
        <w:t xml:space="preserve">decides </w:t>
      </w:r>
      <w:r w:rsidRPr="00123D11">
        <w:t>which grant applications are successful.</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advise you of the outcome of your </w:t>
      </w:r>
      <w:r w:rsidR="00963B07">
        <w:t>application/s</w:t>
      </w:r>
      <w:r>
        <w:t>.  We may not notify un</w:t>
      </w:r>
      <w:r w:rsidRPr="00F40BDA">
        <w:t xml:space="preserve">successful applicants until grant agreements </w:t>
      </w:r>
      <w:proofErr w:type="gramStart"/>
      <w:r>
        <w:t>have been executed</w:t>
      </w:r>
      <w:proofErr w:type="gramEnd"/>
      <w:r>
        <w:t xml:space="preserve"> </w:t>
      </w:r>
      <w:r w:rsidRPr="00F40BDA">
        <w:t>with successful applicants.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Pr="00DC0C92"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DC0C92">
        <w:rPr>
          <w:rStyle w:val="highlightedtextChar"/>
          <w:color w:val="auto"/>
        </w:rPr>
        <w:t xml:space="preserve">We enter into a grant agreement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with successful applicants.  </w:t>
      </w:r>
      <w:r w:rsidRPr="00F40BDA">
        <w:t xml:space="preserve">The type of grant agreement </w:t>
      </w:r>
      <w:proofErr w:type="gramStart"/>
      <w:r w:rsidRPr="00F40BDA">
        <w:t>is based</w:t>
      </w:r>
      <w:proofErr w:type="gramEnd"/>
      <w:r w:rsidRPr="00F40BDA">
        <w:t xml:space="preserve"> on the nature of the grant and</w:t>
      </w:r>
      <w:r w:rsidR="009A05FF">
        <w:t xml:space="preserve"> is</w:t>
      </w:r>
      <w:r w:rsidRPr="00F40BDA">
        <w:t xml:space="preserve"> proportional to the risks involved.</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DC0C92">
        <w:rPr>
          <w:rStyle w:val="highlightedtextChar"/>
          <w:b w:val="0"/>
          <w:color w:val="auto"/>
        </w:rPr>
        <w:t>grant agreement</w:t>
      </w:r>
      <w:r w:rsidRPr="00F40BDA">
        <w:rPr>
          <w:bCs/>
        </w:rPr>
        <w:t xml:space="preserve">. </w:t>
      </w:r>
      <w:r>
        <w:rPr>
          <w:bCs/>
        </w:rPr>
        <w:t>We</w:t>
      </w:r>
      <w:r w:rsidR="00DC0C92">
        <w:rPr>
          <w:rStyle w:val="highlightedtextChar"/>
        </w:rPr>
        <w:t xml:space="preserve"> </w:t>
      </w:r>
      <w:r w:rsidRPr="00F40BDA">
        <w:rPr>
          <w:bCs/>
        </w:rPr>
        <w:t>manage the grant</w:t>
      </w:r>
      <w:r>
        <w:rPr>
          <w:bCs/>
        </w:rPr>
        <w:t xml:space="preserve"> by working with you, monitoring your progress and </w:t>
      </w:r>
      <w:r w:rsidRPr="00F40BDA">
        <w:rPr>
          <w:bCs/>
        </w:rPr>
        <w:t>making payments.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A11749">
      <w:pPr>
        <w:pBdr>
          <w:top w:val="single" w:sz="2" w:space="0" w:color="auto"/>
          <w:left w:val="single" w:sz="2" w:space="4" w:color="auto"/>
          <w:bottom w:val="single" w:sz="2" w:space="1" w:color="auto"/>
          <w:right w:val="single" w:sz="2" w:space="4" w:color="auto"/>
        </w:pBdr>
        <w:spacing w:after="0"/>
        <w:jc w:val="center"/>
        <w:rPr>
          <w:b/>
        </w:rPr>
      </w:pPr>
      <w:r w:rsidRPr="00F40BDA">
        <w:rPr>
          <w:b/>
        </w:rPr>
        <w:t xml:space="preserve">Evaluation of </w:t>
      </w:r>
      <w:r w:rsidR="00C579FB">
        <w:rPr>
          <w:b/>
        </w:rPr>
        <w:t>grant</w:t>
      </w:r>
    </w:p>
    <w:p w:rsidR="00EE2B1C" w:rsidRDefault="00EE2B1C" w:rsidP="00A11749">
      <w:pPr>
        <w:pBdr>
          <w:top w:val="single" w:sz="2" w:space="0" w:color="auto"/>
          <w:left w:val="single" w:sz="2" w:space="4" w:color="auto"/>
          <w:bottom w:val="single" w:sz="2" w:space="1" w:color="auto"/>
          <w:right w:val="single" w:sz="2" w:space="4" w:color="auto"/>
        </w:pBdr>
        <w:spacing w:after="0"/>
        <w:jc w:val="center"/>
      </w:pPr>
      <w:r>
        <w:t>We evaluate t</w:t>
      </w:r>
      <w:r w:rsidRPr="00F40BDA">
        <w:t xml:space="preserve">he specific grant </w:t>
      </w:r>
      <w:r>
        <w:t xml:space="preserve">activity </w:t>
      </w:r>
      <w:r w:rsidRPr="00565B54">
        <w:t xml:space="preserve">and </w:t>
      </w:r>
      <w:r w:rsidR="00C579FB" w:rsidRPr="00565B54">
        <w:t>Financial Wellbeing and Capability Activity</w:t>
      </w:r>
      <w:r>
        <w:t xml:space="preserve"> 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rsidR="001A0777" w:rsidRPr="00367A67" w:rsidRDefault="001A0777" w:rsidP="00D940EF">
      <w:pPr>
        <w:pStyle w:val="Heading2Numbered"/>
      </w:pPr>
      <w:bookmarkStart w:id="4" w:name="_Toc484677032"/>
      <w:bookmarkStart w:id="5" w:name="_Toc519001775"/>
      <w:bookmarkStart w:id="6" w:name="_Toc467773951"/>
      <w:r w:rsidRPr="00367A67">
        <w:t>Role of the Community Grants Hub</w:t>
      </w:r>
      <w:bookmarkEnd w:id="4"/>
      <w:bookmarkEnd w:id="5"/>
    </w:p>
    <w:p w:rsidR="001A0777" w:rsidRPr="00367A67" w:rsidRDefault="00D268E6" w:rsidP="001A0777">
      <w:r w:rsidRPr="00367A67">
        <w:t xml:space="preserve">This grant opportunity </w:t>
      </w:r>
      <w:proofErr w:type="gramStart"/>
      <w:r w:rsidRPr="00367A67">
        <w:t>will be administered</w:t>
      </w:r>
      <w:proofErr w:type="gramEnd"/>
      <w:r w:rsidRPr="00367A67">
        <w:t xml:space="preserve"> by the Community Grants Hub on behalf of the </w:t>
      </w:r>
      <w:r w:rsidR="00330B71" w:rsidRPr="00330B71">
        <w:t>Department of Social Services</w:t>
      </w:r>
      <w:r w:rsidR="00186E42" w:rsidRPr="00330B71">
        <w:rPr>
          <w:rStyle w:val="highlightedtextChar"/>
          <w:color w:val="auto"/>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 xml:space="preserve">a </w:t>
      </w:r>
      <w:r w:rsidR="00566242">
        <w:rPr>
          <w:rStyle w:val="highlightedtextChar"/>
          <w:b w:val="0"/>
          <w:color w:val="auto"/>
        </w:rPr>
        <w:t>Whole</w:t>
      </w:r>
      <w:r w:rsidR="00D73B0F">
        <w:rPr>
          <w:rStyle w:val="highlightedtextChar"/>
          <w:b w:val="0"/>
          <w:color w:val="auto"/>
        </w:rPr>
        <w:t xml:space="preserve"> </w:t>
      </w:r>
      <w:r w:rsidR="00566242">
        <w:rPr>
          <w:rStyle w:val="highlightedtextChar"/>
          <w:b w:val="0"/>
          <w:color w:val="auto"/>
        </w:rPr>
        <w:t>of</w:t>
      </w:r>
      <w:r w:rsidR="00D73B0F">
        <w:rPr>
          <w:rStyle w:val="highlightedtextChar"/>
          <w:b w:val="0"/>
          <w:color w:val="auto"/>
        </w:rPr>
        <w:t xml:space="preserve"> </w:t>
      </w:r>
      <w:r w:rsidR="00186E42" w:rsidRPr="00367A67">
        <w:rPr>
          <w:rStyle w:val="highlightedtextChar"/>
          <w:b w:val="0"/>
          <w:color w:val="auto"/>
        </w:rPr>
        <w:t>Australian Government initiative to streamline grant processes across agencies.</w:t>
      </w:r>
    </w:p>
    <w:p w:rsidR="00045933" w:rsidRPr="00B72EE8" w:rsidRDefault="001A0777" w:rsidP="001A0777">
      <w:pPr>
        <w:pStyle w:val="Heading2Numbered"/>
        <w:numPr>
          <w:ilvl w:val="0"/>
          <w:numId w:val="0"/>
        </w:numPr>
        <w:ind w:left="567" w:hanging="567"/>
      </w:pPr>
      <w:bookmarkStart w:id="7" w:name="_Toc519001776"/>
      <w:proofErr w:type="gramStart"/>
      <w:r w:rsidRPr="00367A67">
        <w:t>1.2</w:t>
      </w:r>
      <w:proofErr w:type="gramEnd"/>
      <w:r w:rsidRPr="00367A67">
        <w:tab/>
      </w:r>
      <w:r w:rsidR="00045933" w:rsidRPr="00367A67">
        <w:t>About the grant program</w:t>
      </w:r>
      <w:bookmarkEnd w:id="6"/>
      <w:bookmarkEnd w:id="7"/>
    </w:p>
    <w:p w:rsidR="00AD2EB2" w:rsidRDefault="00AD2EB2" w:rsidP="00AD2EB2">
      <w:r>
        <w:t>The Financial Wellbeing and Capability Activity is a component of the Families and Communities Program. The Families and Communities Program aims to strengthen relationships, improve the wellbeing of children and young people, reduce the cost of family breakdown, strengthen family and community functioning and facilitate the settlement of migrants and humanitarian entrants in the community.</w:t>
      </w:r>
    </w:p>
    <w:p w:rsidR="00AD2EB2" w:rsidRPr="007D0980" w:rsidRDefault="00AD2EB2" w:rsidP="00AD2EB2">
      <w:pPr>
        <w:spacing w:after="120"/>
        <w:rPr>
          <w:rFonts w:cstheme="minorHAnsi"/>
        </w:rPr>
      </w:pPr>
      <w:r>
        <w:t xml:space="preserve">The objectives of the Financial Wellbeing and Capability Activity are to support eligible individuals and families to navigate financial crises and build financial wellbeing, financial </w:t>
      </w:r>
      <w:r w:rsidRPr="00AD2EB2">
        <w:rPr>
          <w:rFonts w:cstheme="minorHAnsi"/>
        </w:rPr>
        <w:t>capability, and resilience for vulnerable people and those most at risk of financial and social exclusion and disadvantage.</w:t>
      </w:r>
    </w:p>
    <w:p w:rsidR="00AD2EB2" w:rsidRPr="00EE7E77" w:rsidRDefault="00EE7E77" w:rsidP="00AD2EB2">
      <w:pPr>
        <w:rPr>
          <w:rFonts w:cstheme="minorHAnsi"/>
        </w:rPr>
      </w:pPr>
      <w:r>
        <w:rPr>
          <w:rFonts w:cstheme="minorHAnsi"/>
        </w:rPr>
        <w:lastRenderedPageBreak/>
        <w:t>S</w:t>
      </w:r>
      <w:r w:rsidR="00AD2EB2" w:rsidRPr="00EE7E77">
        <w:rPr>
          <w:rFonts w:cstheme="minorHAnsi"/>
        </w:rPr>
        <w:t xml:space="preserve">ervices provided under the Financial Wellbeing and Capability Activity include the provision of crisis support, broad financial capability building services, financial counselling, and access to microfinance products. Funding </w:t>
      </w:r>
      <w:proofErr w:type="gramStart"/>
      <w:r w:rsidR="00AD2EB2" w:rsidRPr="00EE7E77">
        <w:rPr>
          <w:rFonts w:cstheme="minorHAnsi"/>
        </w:rPr>
        <w:t>may also be provided</w:t>
      </w:r>
      <w:proofErr w:type="gramEnd"/>
      <w:r w:rsidR="00AD2EB2" w:rsidRPr="00EE7E77">
        <w:rPr>
          <w:rFonts w:cstheme="minorHAnsi"/>
        </w:rPr>
        <w:t xml:space="preserve"> to ensure the organisations and staff (paid and voluntary) delivering the Activity have adequate capacity and capability to deliver high quality, high functioning services. Services are free, voluntary and confidential and </w:t>
      </w:r>
      <w:proofErr w:type="gramStart"/>
      <w:r w:rsidR="00AD2EB2" w:rsidRPr="00EE7E77">
        <w:rPr>
          <w:rFonts w:cstheme="minorHAnsi"/>
        </w:rPr>
        <w:t>are delivered</w:t>
      </w:r>
      <w:proofErr w:type="gramEnd"/>
      <w:r w:rsidR="00AD2EB2" w:rsidRPr="00EE7E77">
        <w:rPr>
          <w:rFonts w:cstheme="minorHAnsi"/>
        </w:rPr>
        <w:t xml:space="preserve"> by community and local government organisations.</w:t>
      </w:r>
    </w:p>
    <w:p w:rsidR="00AD2EB2" w:rsidRPr="00B56FC7" w:rsidRDefault="00AD2EB2" w:rsidP="00AD2EB2">
      <w:pPr>
        <w:spacing w:after="120"/>
        <w:rPr>
          <w:rFonts w:cstheme="minorHAnsi"/>
        </w:rPr>
      </w:pPr>
      <w:r w:rsidRPr="00AC34CB">
        <w:rPr>
          <w:rFonts w:cstheme="minorHAnsi"/>
          <w:color w:val="000000"/>
        </w:rPr>
        <w:t xml:space="preserve">The </w:t>
      </w:r>
      <w:r w:rsidRPr="00AC34CB">
        <w:rPr>
          <w:rFonts w:cstheme="minorHAnsi"/>
        </w:rPr>
        <w:t>Financial Wellbeing and Capability Activity contributes to improved outcomes for eligible vulnerable people, families and communities by:</w:t>
      </w:r>
    </w:p>
    <w:p w:rsidR="00AD2EB2" w:rsidRPr="00DD7B6D" w:rsidRDefault="00AD2EB2" w:rsidP="00DD7B6D">
      <w:pPr>
        <w:pStyle w:val="Bullet1"/>
      </w:pPr>
      <w:r w:rsidRPr="00DD7B6D">
        <w:t>helping people who are unable to pay their bills or are at imminent risk of no</w:t>
      </w:r>
      <w:r w:rsidR="0025171C" w:rsidRPr="00DD7B6D">
        <w:t>t being able to pay their bills</w:t>
      </w:r>
    </w:p>
    <w:p w:rsidR="00AD2EB2" w:rsidRPr="00DD7B6D" w:rsidRDefault="00AD2EB2" w:rsidP="00DD7B6D">
      <w:pPr>
        <w:pStyle w:val="Bullet1"/>
      </w:pPr>
      <w:r w:rsidRPr="00DD7B6D">
        <w:t>improving financial capability by helping people to make informed choices to address their financial problems, and by fostering the improved use and management of mone</w:t>
      </w:r>
      <w:r w:rsidR="00DD7B6D" w:rsidRPr="00DD7B6D">
        <w:t>y</w:t>
      </w:r>
    </w:p>
    <w:p w:rsidR="00AD2EB2" w:rsidRPr="00DD7B6D" w:rsidRDefault="00AD2EB2" w:rsidP="00DD7B6D">
      <w:pPr>
        <w:pStyle w:val="Bullet1"/>
      </w:pPr>
      <w:r w:rsidRPr="00DD7B6D">
        <w:t>assisting clients to navigate life transitions and/or financial stress or crisis which may negat</w:t>
      </w:r>
      <w:r w:rsidR="00DD7B6D" w:rsidRPr="00DD7B6D">
        <w:t>ively impact on their wellbeing</w:t>
      </w:r>
    </w:p>
    <w:p w:rsidR="00AD2EB2" w:rsidRPr="00DD7B6D" w:rsidRDefault="00AD2EB2" w:rsidP="00DD7B6D">
      <w:pPr>
        <w:pStyle w:val="Bullet1"/>
      </w:pPr>
      <w:r w:rsidRPr="00DD7B6D">
        <w:t xml:space="preserve">improving financial resilience and pathways to mainstream financial services by providing access to savings products and </w:t>
      </w:r>
      <w:r w:rsidR="00DD7B6D" w:rsidRPr="00DD7B6D">
        <w:t>affordable credit products</w:t>
      </w:r>
    </w:p>
    <w:p w:rsidR="00AD2EB2" w:rsidRPr="00DD7B6D" w:rsidRDefault="00AD2EB2" w:rsidP="00DD7B6D">
      <w:pPr>
        <w:pStyle w:val="Bullet1"/>
      </w:pPr>
      <w:proofErr w:type="gramStart"/>
      <w:r w:rsidRPr="00DD7B6D">
        <w:t>implementing</w:t>
      </w:r>
      <w:proofErr w:type="gramEnd"/>
      <w:r w:rsidRPr="00DD7B6D">
        <w:t xml:space="preserve"> research and evaluation activities to contribute to program and service improvement. </w:t>
      </w:r>
    </w:p>
    <w:p w:rsidR="00045933" w:rsidRPr="000F576B" w:rsidRDefault="00045933" w:rsidP="00045933">
      <w:pPr>
        <w:spacing w:after="120"/>
      </w:pPr>
      <w:r w:rsidRPr="00045933">
        <w:t xml:space="preserve">The </w:t>
      </w:r>
      <w:r w:rsidR="00B928AB">
        <w:t>Program</w:t>
      </w:r>
      <w:r w:rsidRPr="00045933">
        <w:t xml:space="preserve"> </w:t>
      </w:r>
      <w:proofErr w:type="gramStart"/>
      <w:r w:rsidRPr="00045933">
        <w:t>will be undertaken</w:t>
      </w:r>
      <w:proofErr w:type="gramEnd"/>
      <w:r w:rsidRPr="00045933">
        <w:t xml:space="preserve"> according to the </w:t>
      </w:r>
      <w:r w:rsidRPr="00045933">
        <w:rPr>
          <w:i/>
        </w:rPr>
        <w:t xml:space="preserve">Commonwealth Grants Rules and Guidelines </w:t>
      </w:r>
      <w:r w:rsidR="00BE78B1">
        <w:rPr>
          <w:i/>
        </w:rPr>
        <w:t xml:space="preserve">2017 </w:t>
      </w:r>
      <w:r w:rsidR="00BE78B1" w:rsidRPr="00045933">
        <w:rPr>
          <w:i/>
        </w:rPr>
        <w:t>(</w:t>
      </w:r>
      <w:r w:rsidR="00BE78B1" w:rsidRPr="00A37CC2">
        <w:t>CGRGs</w:t>
      </w:r>
      <w:r w:rsidR="00BE78B1" w:rsidRPr="00045933">
        <w:rPr>
          <w:i/>
        </w:rPr>
        <w:t>)</w:t>
      </w:r>
      <w:r w:rsidR="00BE78B1">
        <w:rPr>
          <w:i/>
        </w:rPr>
        <w:t>.</w:t>
      </w:r>
    </w:p>
    <w:p w:rsidR="00045933" w:rsidRPr="00DF4FFA" w:rsidRDefault="00045933" w:rsidP="00665038">
      <w:pPr>
        <w:pStyle w:val="Heading2Numbered"/>
        <w:numPr>
          <w:ilvl w:val="1"/>
          <w:numId w:val="14"/>
        </w:numPr>
        <w:ind w:left="567"/>
      </w:pPr>
      <w:bookmarkStart w:id="8" w:name="_Toc467773952"/>
      <w:bookmarkStart w:id="9" w:name="_Toc519001777"/>
      <w:r w:rsidRPr="00141248">
        <w:t xml:space="preserve">About the </w:t>
      </w:r>
      <w:r w:rsidRPr="00045933">
        <w:t>Grant Opportunity</w:t>
      </w:r>
      <w:bookmarkEnd w:id="8"/>
      <w:bookmarkEnd w:id="9"/>
    </w:p>
    <w:p w:rsidR="00B4202A" w:rsidRDefault="00045933" w:rsidP="00751CD3">
      <w:pPr>
        <w:spacing w:before="0" w:after="0"/>
      </w:pPr>
      <w:bookmarkStart w:id="10" w:name="_Ref421783365"/>
      <w:r w:rsidRPr="00045933">
        <w:t xml:space="preserve">These guidelines contain information for </w:t>
      </w:r>
      <w:r w:rsidR="001F597D">
        <w:rPr>
          <w:rStyle w:val="highlightedtextChar"/>
          <w:b w:val="0"/>
          <w:color w:val="auto"/>
        </w:rPr>
        <w:t>Emergency Relief</w:t>
      </w:r>
      <w:r w:rsidRPr="00A8089C">
        <w:t xml:space="preserve"> grants. </w:t>
      </w:r>
    </w:p>
    <w:p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rsidR="00045933" w:rsidRPr="000A271A" w:rsidRDefault="00045933" w:rsidP="000A271A">
      <w:pPr>
        <w:pStyle w:val="Bullet1"/>
      </w:pPr>
      <w:r w:rsidRPr="000A271A">
        <w:t>the purpose of the grant opportunity</w:t>
      </w:r>
    </w:p>
    <w:p w:rsidR="00045933" w:rsidRDefault="00045933" w:rsidP="000A271A">
      <w:pPr>
        <w:pStyle w:val="Bullet1"/>
      </w:pPr>
      <w:r w:rsidRPr="000A271A">
        <w:t>the eligibility and assessment criteria</w:t>
      </w:r>
    </w:p>
    <w:p w:rsidR="00125876" w:rsidRPr="0019527D" w:rsidRDefault="00125876" w:rsidP="000A271A">
      <w:pPr>
        <w:pStyle w:val="Bullet1"/>
      </w:pPr>
      <w:r w:rsidRPr="0019527D">
        <w:t>how to apply for the grant opportunity</w:t>
      </w:r>
    </w:p>
    <w:p w:rsidR="00045933" w:rsidRPr="000A271A" w:rsidRDefault="00045933" w:rsidP="000A271A">
      <w:pPr>
        <w:pStyle w:val="Bullet1"/>
      </w:pPr>
      <w:r w:rsidRPr="000A271A">
        <w:t xml:space="preserve">how grant applications are </w:t>
      </w:r>
      <w:r w:rsidR="00566242">
        <w:t>checked</w:t>
      </w:r>
      <w:r w:rsidRPr="000A271A">
        <w:t xml:space="preserve"> and </w:t>
      </w:r>
      <w:r w:rsidR="00566242">
        <w:t>assessed</w:t>
      </w:r>
    </w:p>
    <w:p w:rsidR="00045933" w:rsidRPr="000A271A" w:rsidRDefault="00045933" w:rsidP="000A271A">
      <w:pPr>
        <w:pStyle w:val="Bullet1"/>
      </w:pPr>
      <w:proofErr w:type="gramStart"/>
      <w:r w:rsidRPr="000A271A">
        <w:t>responsibilities</w:t>
      </w:r>
      <w:proofErr w:type="gramEnd"/>
      <w:r w:rsidRPr="000A271A">
        <w:t xml:space="preserve"> and expectations in relation to the opportunity. </w:t>
      </w:r>
    </w:p>
    <w:p w:rsidR="000A271A" w:rsidRDefault="000A271A" w:rsidP="00045933">
      <w:pPr>
        <w:pStyle w:val="NoSpacing"/>
        <w:rPr>
          <w:rFonts w:asciiTheme="majorHAnsi" w:hAnsiTheme="majorHAnsi" w:cstheme="majorHAnsi"/>
        </w:rPr>
      </w:pPr>
    </w:p>
    <w:p w:rsid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w:t>
      </w:r>
      <w:r w:rsidR="00963B07">
        <w:rPr>
          <w:rFonts w:asciiTheme="majorHAnsi" w:hAnsiTheme="majorHAnsi" w:cstheme="majorHAnsi"/>
        </w:rPr>
        <w:t>application/s</w:t>
      </w:r>
      <w:r w:rsidRPr="00045933">
        <w:rPr>
          <w:rFonts w:asciiTheme="majorHAnsi" w:hAnsiTheme="majorHAnsi" w:cstheme="majorHAnsi"/>
        </w:rPr>
        <w:t xml:space="preserve">. </w:t>
      </w:r>
    </w:p>
    <w:p w:rsidR="00CB1CAB" w:rsidRDefault="00CB1CAB" w:rsidP="00045933">
      <w:pPr>
        <w:pStyle w:val="NoSpacing"/>
        <w:rPr>
          <w:rFonts w:asciiTheme="majorHAnsi" w:hAnsiTheme="majorHAnsi" w:cstheme="majorHAnsi"/>
        </w:rPr>
      </w:pPr>
    </w:p>
    <w:p w:rsidR="00CB1CAB" w:rsidRPr="00045933" w:rsidRDefault="00CB1CAB" w:rsidP="00CB1CAB">
      <w:pPr>
        <w:pStyle w:val="NoSpacing"/>
        <w:rPr>
          <w:rFonts w:asciiTheme="majorHAnsi" w:hAnsiTheme="majorHAnsi" w:cstheme="majorHAnsi"/>
        </w:rPr>
      </w:pPr>
      <w:r>
        <w:rPr>
          <w:rFonts w:asciiTheme="majorHAnsi" w:hAnsiTheme="majorHAnsi" w:cstheme="majorHAnsi"/>
        </w:rPr>
        <w:t xml:space="preserve">The grant agreement </w:t>
      </w:r>
      <w:proofErr w:type="gramStart"/>
      <w:r>
        <w:rPr>
          <w:rFonts w:asciiTheme="majorHAnsi" w:hAnsiTheme="majorHAnsi" w:cstheme="majorHAnsi"/>
        </w:rPr>
        <w:t>will only be entered into</w:t>
      </w:r>
      <w:proofErr w:type="gramEnd"/>
      <w:r>
        <w:rPr>
          <w:rFonts w:asciiTheme="majorHAnsi" w:hAnsiTheme="majorHAnsi" w:cstheme="majorHAnsi"/>
        </w:rPr>
        <w:t xml:space="preserve"> once there is legislative authority in place for the Program.</w:t>
      </w:r>
    </w:p>
    <w:p w:rsidR="00CB1CAB" w:rsidRDefault="00CB1CAB" w:rsidP="00045933">
      <w:pPr>
        <w:pStyle w:val="NoSpacing"/>
        <w:rPr>
          <w:rFonts w:asciiTheme="majorHAnsi" w:hAnsiTheme="majorHAnsi" w:cstheme="majorHAnsi"/>
        </w:rPr>
      </w:pPr>
    </w:p>
    <w:p w:rsidR="00B4202A" w:rsidRDefault="00B4202A" w:rsidP="00045933">
      <w:pPr>
        <w:pStyle w:val="NoSpacing"/>
        <w:rPr>
          <w:rFonts w:asciiTheme="majorHAnsi" w:hAnsiTheme="majorHAnsi" w:cstheme="majorHAnsi"/>
        </w:rPr>
      </w:pPr>
    </w:p>
    <w:p w:rsidR="00045933" w:rsidRPr="00B72EE8" w:rsidRDefault="00B611E5" w:rsidP="00665038">
      <w:pPr>
        <w:pStyle w:val="Heading2Numbered"/>
        <w:numPr>
          <w:ilvl w:val="1"/>
          <w:numId w:val="18"/>
        </w:numPr>
        <w:ind w:left="567"/>
      </w:pPr>
      <w:bookmarkStart w:id="11" w:name="_Toc461105052"/>
      <w:bookmarkStart w:id="12" w:name="_Toc467773953"/>
      <w:bookmarkStart w:id="13" w:name="_Toc519001778"/>
      <w:bookmarkEnd w:id="11"/>
      <w:r w:rsidRPr="00DF400A">
        <w:rPr>
          <w:color w:val="auto"/>
        </w:rPr>
        <w:lastRenderedPageBreak/>
        <w:t xml:space="preserve">Emergency Relief </w:t>
      </w:r>
      <w:r w:rsidR="004C6EDC" w:rsidRPr="00DF400A">
        <w:rPr>
          <w:color w:val="auto"/>
        </w:rPr>
        <w:t xml:space="preserve">Grant Opportunity </w:t>
      </w:r>
      <w:r w:rsidR="00045933">
        <w:t>o</w:t>
      </w:r>
      <w:r w:rsidR="00045933" w:rsidRPr="00B72EE8">
        <w:t>utcomes</w:t>
      </w:r>
      <w:bookmarkEnd w:id="12"/>
      <w:bookmarkEnd w:id="13"/>
      <w:r w:rsidR="00045933" w:rsidRPr="00B72EE8">
        <w:t xml:space="preserve"> </w:t>
      </w:r>
      <w:bookmarkEnd w:id="10"/>
    </w:p>
    <w:p w:rsidR="00B56FC7" w:rsidRDefault="007715B8">
      <w:pPr>
        <w:rPr>
          <w:rFonts w:cstheme="minorHAnsi"/>
        </w:rPr>
      </w:pPr>
      <w:r>
        <w:rPr>
          <w:rFonts w:cstheme="minorHAnsi"/>
        </w:rPr>
        <w:t>Under the Financial Wellbeing and Capability</w:t>
      </w:r>
      <w:r w:rsidR="00DD7B6D">
        <w:rPr>
          <w:rFonts w:cstheme="minorHAnsi"/>
        </w:rPr>
        <w:t xml:space="preserve"> Activity</w:t>
      </w:r>
      <w:r>
        <w:rPr>
          <w:rFonts w:cstheme="minorHAnsi"/>
        </w:rPr>
        <w:t xml:space="preserve">, funding </w:t>
      </w:r>
      <w:proofErr w:type="gramStart"/>
      <w:r>
        <w:rPr>
          <w:rFonts w:cstheme="minorHAnsi"/>
        </w:rPr>
        <w:t>is provided</w:t>
      </w:r>
      <w:proofErr w:type="gramEnd"/>
      <w:r>
        <w:rPr>
          <w:rFonts w:cstheme="minorHAnsi"/>
        </w:rPr>
        <w:t xml:space="preserve"> for Emergency Relief.  </w:t>
      </w:r>
    </w:p>
    <w:p w:rsidR="001478A7" w:rsidRPr="00F55801" w:rsidRDefault="00E37A5A">
      <w:pPr>
        <w:rPr>
          <w:rFonts w:cstheme="minorHAnsi"/>
        </w:rPr>
      </w:pPr>
      <w:r>
        <w:rPr>
          <w:rFonts w:cstheme="minorHAnsi"/>
        </w:rPr>
        <w:t>Emergency Relief</w:t>
      </w:r>
      <w:r w:rsidR="001478A7" w:rsidRPr="00F55801">
        <w:rPr>
          <w:rFonts w:cstheme="minorHAnsi"/>
        </w:rPr>
        <w:t xml:space="preserve"> </w:t>
      </w:r>
      <w:r w:rsidR="007715B8">
        <w:rPr>
          <w:rFonts w:cstheme="minorHAnsi"/>
        </w:rPr>
        <w:t xml:space="preserve">contributes to the Financial Wellbeing and Capability Activity </w:t>
      </w:r>
      <w:r w:rsidR="00EE7E77">
        <w:rPr>
          <w:rFonts w:cstheme="minorHAnsi"/>
        </w:rPr>
        <w:t>o</w:t>
      </w:r>
      <w:r w:rsidR="007715B8">
        <w:rPr>
          <w:rFonts w:cstheme="minorHAnsi"/>
        </w:rPr>
        <w:t xml:space="preserve">utcomes by </w:t>
      </w:r>
      <w:r w:rsidR="00EE7E77">
        <w:rPr>
          <w:rFonts w:cstheme="minorHAnsi"/>
        </w:rPr>
        <w:t xml:space="preserve">providing immediate financial or material aid to eligible people. </w:t>
      </w:r>
      <w:r w:rsidR="001478A7" w:rsidRPr="00F55801">
        <w:rPr>
          <w:rFonts w:cstheme="minorHAnsi"/>
        </w:rPr>
        <w:t>This may constitute food parcels, clothes or vouchers (for example for supermarket, utilities or petrol).</w:t>
      </w:r>
    </w:p>
    <w:p w:rsidR="00EE7E77" w:rsidRPr="00516F31" w:rsidRDefault="00A510EA" w:rsidP="00EE7E77">
      <w:pPr>
        <w:spacing w:after="0" w:line="240" w:lineRule="auto"/>
        <w:rPr>
          <w:rFonts w:asciiTheme="majorHAnsi" w:hAnsiTheme="majorHAnsi" w:cstheme="majorHAnsi"/>
          <w:b/>
        </w:rPr>
      </w:pPr>
      <w:r w:rsidRPr="00565B54">
        <w:rPr>
          <w:rFonts w:asciiTheme="majorHAnsi" w:hAnsiTheme="majorHAnsi" w:cstheme="majorHAnsi"/>
          <w:b/>
        </w:rPr>
        <w:t>Client e</w:t>
      </w:r>
      <w:r w:rsidR="00EE7E77" w:rsidRPr="00565B54">
        <w:rPr>
          <w:rFonts w:asciiTheme="majorHAnsi" w:hAnsiTheme="majorHAnsi" w:cstheme="majorHAnsi"/>
          <w:b/>
        </w:rPr>
        <w:t xml:space="preserve">ligibility </w:t>
      </w:r>
      <w:r w:rsidR="004C22D7" w:rsidRPr="00565B54">
        <w:rPr>
          <w:rFonts w:asciiTheme="majorHAnsi" w:hAnsiTheme="majorHAnsi" w:cstheme="majorHAnsi"/>
          <w:b/>
        </w:rPr>
        <w:t xml:space="preserve">to receive services provided </w:t>
      </w:r>
      <w:r w:rsidR="00F62CB7" w:rsidRPr="00565B54">
        <w:rPr>
          <w:rFonts w:asciiTheme="majorHAnsi" w:hAnsiTheme="majorHAnsi" w:cstheme="majorHAnsi"/>
          <w:b/>
        </w:rPr>
        <w:t xml:space="preserve">by the </w:t>
      </w:r>
      <w:r w:rsidR="00B77B1C" w:rsidRPr="00565B54">
        <w:rPr>
          <w:rFonts w:asciiTheme="majorHAnsi" w:hAnsiTheme="majorHAnsi" w:cstheme="majorHAnsi"/>
          <w:b/>
        </w:rPr>
        <w:t>grant</w:t>
      </w:r>
      <w:r w:rsidRPr="00565B54">
        <w:rPr>
          <w:rFonts w:asciiTheme="majorHAnsi" w:hAnsiTheme="majorHAnsi" w:cstheme="majorHAnsi"/>
          <w:b/>
        </w:rPr>
        <w:t>ee</w:t>
      </w:r>
      <w:r w:rsidR="001F597D" w:rsidRPr="00565B54">
        <w:rPr>
          <w:rFonts w:asciiTheme="majorHAnsi" w:hAnsiTheme="majorHAnsi" w:cstheme="majorHAnsi"/>
          <w:b/>
        </w:rPr>
        <w:t>,</w:t>
      </w:r>
      <w:r w:rsidR="004C22D7" w:rsidRPr="00565B54">
        <w:rPr>
          <w:rFonts w:asciiTheme="majorHAnsi" w:hAnsiTheme="majorHAnsi" w:cstheme="majorHAnsi"/>
          <w:b/>
        </w:rPr>
        <w:t xml:space="preserve"> funded </w:t>
      </w:r>
      <w:r w:rsidRPr="00565B54">
        <w:rPr>
          <w:rFonts w:asciiTheme="majorHAnsi" w:hAnsiTheme="majorHAnsi" w:cstheme="majorHAnsi"/>
          <w:b/>
        </w:rPr>
        <w:t xml:space="preserve">under the Emergency Relief </w:t>
      </w:r>
      <w:r w:rsidR="00F62CB7" w:rsidRPr="00565B54">
        <w:rPr>
          <w:rFonts w:asciiTheme="majorHAnsi" w:hAnsiTheme="majorHAnsi" w:cstheme="majorHAnsi"/>
          <w:b/>
        </w:rPr>
        <w:t>grant opportunity</w:t>
      </w:r>
      <w:r w:rsidR="00170C6B" w:rsidRPr="00565B54">
        <w:rPr>
          <w:rFonts w:asciiTheme="majorHAnsi" w:hAnsiTheme="majorHAnsi" w:cstheme="majorHAnsi"/>
          <w:b/>
        </w:rPr>
        <w:t>,</w:t>
      </w:r>
      <w:r w:rsidR="00F62CB7" w:rsidRPr="00F62CB7">
        <w:rPr>
          <w:rFonts w:asciiTheme="majorHAnsi" w:hAnsiTheme="majorHAnsi" w:cstheme="majorHAnsi"/>
          <w:b/>
        </w:rPr>
        <w:t xml:space="preserve"> </w:t>
      </w:r>
      <w:r w:rsidR="00EE7E77" w:rsidRPr="00516F31">
        <w:rPr>
          <w:rFonts w:asciiTheme="majorHAnsi" w:hAnsiTheme="majorHAnsi" w:cstheme="majorHAnsi"/>
          <w:b/>
        </w:rPr>
        <w:t>will be restricted solely to people unable to pay their bills or at imminent risk of not being able to do so.</w:t>
      </w:r>
    </w:p>
    <w:p w:rsidR="00EE7E77" w:rsidRPr="00F55801" w:rsidRDefault="00EE7E77" w:rsidP="00EE7E77">
      <w:pPr>
        <w:spacing w:after="0" w:line="240" w:lineRule="auto"/>
        <w:rPr>
          <w:rFonts w:asciiTheme="majorHAnsi" w:hAnsiTheme="majorHAnsi" w:cstheme="majorHAnsi"/>
        </w:rPr>
      </w:pPr>
      <w:r w:rsidRPr="00F55801">
        <w:rPr>
          <w:rFonts w:asciiTheme="majorHAnsi" w:hAnsiTheme="majorHAnsi" w:cstheme="majorHAnsi"/>
        </w:rPr>
        <w:t>Emergency Relief aims and objectives include:</w:t>
      </w:r>
    </w:p>
    <w:p w:rsidR="00EE7E77" w:rsidRPr="00DD7B6D" w:rsidRDefault="00EE7E77" w:rsidP="00DD7B6D">
      <w:pPr>
        <w:pStyle w:val="Bullet1"/>
      </w:pPr>
      <w:r w:rsidRPr="00DD7B6D">
        <w:t>assisting people to deal with their immediate crisis situation</w:t>
      </w:r>
      <w:r w:rsidR="00565B54">
        <w:t>;</w:t>
      </w:r>
    </w:p>
    <w:p w:rsidR="00EE7E77" w:rsidRPr="00DD7B6D" w:rsidRDefault="00EE7E77" w:rsidP="00DD7B6D">
      <w:pPr>
        <w:pStyle w:val="Bullet1"/>
      </w:pPr>
      <w:r w:rsidRPr="00DD7B6D">
        <w:t>delivering services in a way that maintains the dignity of the individual and families</w:t>
      </w:r>
      <w:r w:rsidR="00565B54">
        <w:t>;</w:t>
      </w:r>
    </w:p>
    <w:p w:rsidR="00EE7E77" w:rsidRPr="00DD7B6D" w:rsidRDefault="00EE7E77" w:rsidP="00DD7B6D">
      <w:pPr>
        <w:pStyle w:val="Bullet1"/>
      </w:pPr>
      <w:r w:rsidRPr="00DD7B6D">
        <w:t>referring people to other relevant services, to help them pay bills or reduce the risk of being unable to pay their bills</w:t>
      </w:r>
      <w:r w:rsidR="00565B54">
        <w:t>; and</w:t>
      </w:r>
    </w:p>
    <w:p w:rsidR="00AC34CB" w:rsidRDefault="00EE7E77" w:rsidP="00DD7B6D">
      <w:pPr>
        <w:pStyle w:val="Bullet1"/>
      </w:pPr>
      <w:proofErr w:type="gramStart"/>
      <w:r w:rsidRPr="00DD7B6D">
        <w:t>encouraging</w:t>
      </w:r>
      <w:proofErr w:type="gramEnd"/>
      <w:r w:rsidRPr="00DD7B6D">
        <w:t xml:space="preserve"> greater self-reliance.</w:t>
      </w:r>
    </w:p>
    <w:p w:rsidR="00C40D53" w:rsidRDefault="00C40D53" w:rsidP="00C40D53">
      <w:pPr>
        <w:pStyle w:val="Bullet1"/>
        <w:numPr>
          <w:ilvl w:val="0"/>
          <w:numId w:val="0"/>
        </w:numPr>
        <w:spacing w:before="0" w:after="0" w:line="240" w:lineRule="atLeast"/>
        <w:rPr>
          <w:rFonts w:asciiTheme="majorHAnsi" w:hAnsiTheme="majorHAnsi" w:cstheme="majorHAnsi"/>
        </w:rPr>
      </w:pPr>
    </w:p>
    <w:p w:rsidR="00C40D53" w:rsidRPr="00DD7B6D" w:rsidRDefault="000E0E04" w:rsidP="00C40D53">
      <w:pPr>
        <w:pStyle w:val="Bullet1"/>
        <w:numPr>
          <w:ilvl w:val="0"/>
          <w:numId w:val="0"/>
        </w:numPr>
      </w:pPr>
      <w:r w:rsidRPr="000E0E04">
        <w:rPr>
          <w:rFonts w:asciiTheme="majorHAnsi" w:hAnsiTheme="majorHAnsi" w:cstheme="majorHAnsi"/>
        </w:rPr>
        <w:t xml:space="preserve">To enable effective delivery of the aims of Emergency Relief, the Department is seeking a range of organisations </w:t>
      </w:r>
      <w:r w:rsidR="006C3385" w:rsidRPr="005110D3">
        <w:rPr>
          <w:rFonts w:asciiTheme="majorHAnsi" w:hAnsiTheme="majorHAnsi" w:cstheme="majorHAnsi"/>
        </w:rPr>
        <w:t xml:space="preserve">to deliver services </w:t>
      </w:r>
      <w:r w:rsidRPr="000E0E04">
        <w:rPr>
          <w:rFonts w:asciiTheme="majorHAnsi" w:hAnsiTheme="majorHAnsi" w:cstheme="majorHAnsi"/>
        </w:rPr>
        <w:t>across the</w:t>
      </w:r>
      <w:r w:rsidR="00033AD9">
        <w:rPr>
          <w:rFonts w:asciiTheme="majorHAnsi" w:hAnsiTheme="majorHAnsi" w:cstheme="majorHAnsi"/>
        </w:rPr>
        <w:t xml:space="preserve"> </w:t>
      </w:r>
      <w:r w:rsidRPr="000E0E04">
        <w:rPr>
          <w:rFonts w:asciiTheme="majorHAnsi" w:hAnsiTheme="majorHAnsi" w:cstheme="majorHAnsi"/>
        </w:rPr>
        <w:t>SA4s and SA2s</w:t>
      </w:r>
      <w:r w:rsidR="005110D3">
        <w:rPr>
          <w:rFonts w:asciiTheme="majorHAnsi" w:hAnsiTheme="majorHAnsi" w:cstheme="majorHAnsi"/>
        </w:rPr>
        <w:t>. The SA4s</w:t>
      </w:r>
      <w:r w:rsidRPr="000E0E04">
        <w:rPr>
          <w:rFonts w:asciiTheme="majorHAnsi" w:hAnsiTheme="majorHAnsi" w:cstheme="majorHAnsi"/>
        </w:rPr>
        <w:t xml:space="preserve"> </w:t>
      </w:r>
      <w:proofErr w:type="gramStart"/>
      <w:r w:rsidR="005110D3">
        <w:rPr>
          <w:rFonts w:asciiTheme="majorHAnsi" w:hAnsiTheme="majorHAnsi" w:cstheme="majorHAnsi"/>
        </w:rPr>
        <w:t>have been</w:t>
      </w:r>
      <w:r w:rsidRPr="000E0E04">
        <w:rPr>
          <w:rFonts w:asciiTheme="majorHAnsi" w:hAnsiTheme="majorHAnsi" w:cstheme="majorHAnsi"/>
        </w:rPr>
        <w:t xml:space="preserve"> outlined</w:t>
      </w:r>
      <w:proofErr w:type="gramEnd"/>
      <w:r w:rsidRPr="000E0E04">
        <w:rPr>
          <w:rFonts w:asciiTheme="majorHAnsi" w:hAnsiTheme="majorHAnsi" w:cstheme="majorHAnsi"/>
        </w:rPr>
        <w:t xml:space="preserve"> in Appendix </w:t>
      </w:r>
      <w:r w:rsidR="006C3385">
        <w:rPr>
          <w:rFonts w:asciiTheme="majorHAnsi" w:hAnsiTheme="majorHAnsi" w:cstheme="majorHAnsi"/>
        </w:rPr>
        <w:t>A.</w:t>
      </w:r>
    </w:p>
    <w:p w:rsidR="00045933" w:rsidRPr="00B72EE8" w:rsidRDefault="00045933" w:rsidP="00A668C8">
      <w:pPr>
        <w:pStyle w:val="Heading1Numbered"/>
      </w:pPr>
      <w:bookmarkStart w:id="14" w:name="_Toc509834912"/>
      <w:bookmarkStart w:id="15" w:name="_Toc467773954"/>
      <w:bookmarkStart w:id="16" w:name="_Toc519001779"/>
      <w:bookmarkEnd w:id="14"/>
      <w:r>
        <w:t>Grant amount</w:t>
      </w:r>
      <w:bookmarkEnd w:id="15"/>
      <w:bookmarkEnd w:id="16"/>
    </w:p>
    <w:p w:rsidR="004776E8" w:rsidRDefault="00045933" w:rsidP="00045933">
      <w:r w:rsidRPr="00045933">
        <w:t>The Australian Gov</w:t>
      </w:r>
      <w:r w:rsidR="0082082E">
        <w:t xml:space="preserve">ernment has announced up to $200 million </w:t>
      </w:r>
      <w:r w:rsidRPr="00045933">
        <w:t xml:space="preserve">over </w:t>
      </w:r>
      <w:r w:rsidR="00D940EF">
        <w:t>four</w:t>
      </w:r>
      <w:r w:rsidR="00C82FE4">
        <w:t xml:space="preserve"> and a half</w:t>
      </w:r>
      <w:r w:rsidR="00D940EF">
        <w:t xml:space="preserve"> </w:t>
      </w:r>
      <w:r w:rsidR="00661D10">
        <w:t xml:space="preserve">years </w:t>
      </w:r>
      <w:r w:rsidR="000D01A0">
        <w:t>(</w:t>
      </w:r>
      <w:r w:rsidR="00E55F9C">
        <w:t>1 </w:t>
      </w:r>
      <w:r w:rsidR="000D01A0">
        <w:t xml:space="preserve">January 2019 to 30 June 2023) </w:t>
      </w:r>
      <w:r w:rsidRPr="00045933">
        <w:t xml:space="preserve">for the </w:t>
      </w:r>
      <w:r w:rsidR="00654625" w:rsidRPr="00654625">
        <w:rPr>
          <w:rStyle w:val="highlightedtextChar"/>
          <w:b w:val="0"/>
          <w:color w:val="auto"/>
        </w:rPr>
        <w:t xml:space="preserve">Financial Wellbeing and Capability </w:t>
      </w:r>
      <w:r w:rsidR="00C309EB">
        <w:t>Activity</w:t>
      </w:r>
      <w:r w:rsidR="00E55F9C">
        <w:t xml:space="preserve"> – Emergency Relief</w:t>
      </w:r>
      <w:r w:rsidRPr="00340616">
        <w:t xml:space="preserve">. </w:t>
      </w:r>
    </w:p>
    <w:p w:rsidR="00070B0B" w:rsidRDefault="00F62CB7" w:rsidP="00045933">
      <w:r w:rsidRPr="00F62CB7">
        <w:t xml:space="preserve">Grant funding </w:t>
      </w:r>
      <w:proofErr w:type="gramStart"/>
      <w:r w:rsidRPr="00F62CB7">
        <w:t>has been divided</w:t>
      </w:r>
      <w:proofErr w:type="gramEnd"/>
      <w:r w:rsidRPr="00F62CB7">
        <w:t xml:space="preserve"> by SA4 regions</w:t>
      </w:r>
      <w:r w:rsidR="00493FC9" w:rsidRPr="00565B54">
        <w:t>, with the same funding amount available per financial year (pro rata)</w:t>
      </w:r>
      <w:r w:rsidRPr="00F62CB7">
        <w:t>. Applicants can apply to deliver services at the</w:t>
      </w:r>
      <w:r w:rsidR="00A45B5A">
        <w:t xml:space="preserve"> </w:t>
      </w:r>
      <w:r w:rsidRPr="00F62CB7">
        <w:t>SA4 or the SA2 level, or may cover a collection of SA4s or SA2s.</w:t>
      </w:r>
    </w:p>
    <w:p w:rsidR="00661D10" w:rsidRPr="00DF400A" w:rsidRDefault="00070B0B" w:rsidP="00045933">
      <w:pPr>
        <w:rPr>
          <w:b/>
        </w:rPr>
      </w:pPr>
      <w:r>
        <w:t>In all instances, applicants should select the highest applicable area. For example if you are applying to deliver services in a</w:t>
      </w:r>
      <w:r w:rsidR="00A45B5A">
        <w:t>n entire</w:t>
      </w:r>
      <w:r>
        <w:t xml:space="preserve"> SA4, select the SA4. If you are only seeking to apply for part of an SA4, then select the relevant SA2</w:t>
      </w:r>
      <w:r w:rsidR="00A45B5A">
        <w:t>s</w:t>
      </w:r>
      <w:r>
        <w:t xml:space="preserve"> in your application. </w:t>
      </w:r>
      <w:r w:rsidR="00661D10">
        <w:t xml:space="preserve">A list of the amounts available in </w:t>
      </w:r>
      <w:r w:rsidR="00EB04D7">
        <w:t xml:space="preserve">each SA4 area </w:t>
      </w:r>
      <w:r w:rsidR="00661D10">
        <w:t xml:space="preserve">that you can apply for is included at </w:t>
      </w:r>
      <w:r w:rsidR="00112B6A">
        <w:rPr>
          <w:b/>
        </w:rPr>
        <w:t>A</w:t>
      </w:r>
      <w:r w:rsidR="00C82FE4">
        <w:rPr>
          <w:b/>
        </w:rPr>
        <w:t>ppendix</w:t>
      </w:r>
      <w:r w:rsidR="00112B6A">
        <w:rPr>
          <w:b/>
        </w:rPr>
        <w:t xml:space="preserve"> A</w:t>
      </w:r>
      <w:r w:rsidR="00C935F5">
        <w:rPr>
          <w:b/>
        </w:rPr>
        <w:t>.</w:t>
      </w:r>
    </w:p>
    <w:p w:rsidR="007F383D" w:rsidRDefault="00C04637" w:rsidP="00045933">
      <w:pPr>
        <w:rPr>
          <w:rFonts w:asciiTheme="majorHAnsi" w:eastAsiaTheme="majorEastAsia" w:hAnsiTheme="majorHAnsi" w:cstheme="majorBidi"/>
          <w:bCs/>
          <w:color w:val="1C1C1C" w:themeColor="text2"/>
        </w:rPr>
      </w:pPr>
      <w:r w:rsidRPr="00DF400A">
        <w:t xml:space="preserve">The </w:t>
      </w:r>
      <w:r>
        <w:t xml:space="preserve">minimum grant amount that </w:t>
      </w:r>
      <w:proofErr w:type="gramStart"/>
      <w:r>
        <w:t>will be of</w:t>
      </w:r>
      <w:r w:rsidR="0099502B">
        <w:t>fered</w:t>
      </w:r>
      <w:proofErr w:type="gramEnd"/>
      <w:r w:rsidR="0099502B">
        <w:t xml:space="preserve"> to successfu</w:t>
      </w:r>
      <w:r w:rsidR="0099502B" w:rsidRPr="0019527D">
        <w:t xml:space="preserve">l </w:t>
      </w:r>
      <w:r w:rsidR="00FB613C" w:rsidRPr="0019527D">
        <w:t>applicants</w:t>
      </w:r>
      <w:r w:rsidRPr="0019527D">
        <w:t xml:space="preserve"> is </w:t>
      </w:r>
      <w:r w:rsidR="00045933" w:rsidRPr="0019527D">
        <w:t>$</w:t>
      </w:r>
      <w:r w:rsidR="00A16B2E" w:rsidRPr="0019527D">
        <w:t>7,000</w:t>
      </w:r>
      <w:r w:rsidR="0062012E">
        <w:t xml:space="preserve"> </w:t>
      </w:r>
      <w:r w:rsidR="00493FC9" w:rsidRPr="00565B54">
        <w:t>per financial year (pro rata)</w:t>
      </w:r>
      <w:r w:rsidR="00493FC9" w:rsidRPr="00565B54">
        <w:rPr>
          <w:b/>
        </w:rPr>
        <w:t xml:space="preserve">. </w:t>
      </w:r>
      <w:r w:rsidR="00232A7C" w:rsidRPr="00565B54">
        <w:t xml:space="preserve">The exception to this </w:t>
      </w:r>
      <w:r w:rsidR="00493FC9" w:rsidRPr="00565B54">
        <w:t xml:space="preserve">minimum funding amount </w:t>
      </w:r>
      <w:r w:rsidR="00232A7C" w:rsidRPr="00565B54">
        <w:t>is for Norfolk Island</w:t>
      </w:r>
      <w:r w:rsidR="00232A7C" w:rsidRPr="00565B54">
        <w:rPr>
          <w:b/>
        </w:rPr>
        <w:t>.</w:t>
      </w:r>
      <w:r w:rsidR="00232A7C">
        <w:rPr>
          <w:rStyle w:val="highlightedtextChar"/>
          <w:color w:val="auto"/>
        </w:rPr>
        <w:t xml:space="preserve"> </w:t>
      </w:r>
      <w:r w:rsidR="000D662C" w:rsidRPr="0019527D">
        <w:rPr>
          <w:rStyle w:val="highlightedtextChar"/>
          <w:b w:val="0"/>
          <w:color w:val="auto"/>
        </w:rPr>
        <w:t xml:space="preserve">The maximum grant amount offered in </w:t>
      </w:r>
      <w:r w:rsidR="000D662C" w:rsidRPr="0019527D">
        <w:rPr>
          <w:rFonts w:asciiTheme="majorHAnsi" w:eastAsiaTheme="majorEastAsia" w:hAnsiTheme="majorHAnsi" w:cstheme="majorBidi"/>
          <w:bCs/>
        </w:rPr>
        <w:t xml:space="preserve">each service area </w:t>
      </w:r>
      <w:proofErr w:type="gramStart"/>
      <w:r w:rsidR="000D662C" w:rsidRPr="0019527D">
        <w:rPr>
          <w:rFonts w:asciiTheme="majorHAnsi" w:eastAsiaTheme="majorEastAsia" w:hAnsiTheme="majorHAnsi" w:cstheme="majorBidi"/>
          <w:bCs/>
        </w:rPr>
        <w:t xml:space="preserve">has been </w:t>
      </w:r>
      <w:r w:rsidR="000D662C" w:rsidRPr="000D662C">
        <w:rPr>
          <w:rFonts w:asciiTheme="majorHAnsi" w:eastAsiaTheme="majorEastAsia" w:hAnsiTheme="majorHAnsi" w:cstheme="majorBidi"/>
          <w:bCs/>
          <w:color w:val="1C1C1C" w:themeColor="text2"/>
        </w:rPr>
        <w:t>identified</w:t>
      </w:r>
      <w:proofErr w:type="gramEnd"/>
      <w:r w:rsidR="000D662C" w:rsidRPr="000D662C">
        <w:rPr>
          <w:rFonts w:asciiTheme="majorHAnsi" w:eastAsiaTheme="majorEastAsia" w:hAnsiTheme="majorHAnsi" w:cstheme="majorBidi"/>
          <w:bCs/>
          <w:color w:val="1C1C1C" w:themeColor="text2"/>
        </w:rPr>
        <w:t xml:space="preserve"> in </w:t>
      </w:r>
      <w:r w:rsidR="000D662C" w:rsidRPr="00A11749">
        <w:rPr>
          <w:rFonts w:asciiTheme="majorHAnsi" w:eastAsiaTheme="majorEastAsia" w:hAnsiTheme="majorHAnsi" w:cstheme="majorBidi"/>
          <w:b/>
          <w:bCs/>
          <w:color w:val="1C1C1C" w:themeColor="text2"/>
        </w:rPr>
        <w:t>Appendix A</w:t>
      </w:r>
      <w:r w:rsidR="000D662C" w:rsidRPr="000D662C">
        <w:rPr>
          <w:rFonts w:asciiTheme="majorHAnsi" w:eastAsiaTheme="majorEastAsia" w:hAnsiTheme="majorHAnsi" w:cstheme="majorBidi"/>
          <w:bCs/>
          <w:color w:val="1C1C1C" w:themeColor="text2"/>
        </w:rPr>
        <w:t>.</w:t>
      </w:r>
    </w:p>
    <w:p w:rsidR="00AE7FFD" w:rsidRPr="000D662C" w:rsidRDefault="007F383D" w:rsidP="00045933">
      <w:pPr>
        <w:rPr>
          <w:rFonts w:asciiTheme="majorHAnsi" w:eastAsiaTheme="majorEastAsia" w:hAnsiTheme="majorHAnsi" w:cstheme="majorBidi"/>
          <w:bCs/>
          <w:color w:val="1C1C1C" w:themeColor="text2"/>
          <w:sz w:val="34"/>
          <w:szCs w:val="26"/>
        </w:rPr>
      </w:pPr>
      <w:r>
        <w:rPr>
          <w:rFonts w:asciiTheme="majorHAnsi" w:eastAsiaTheme="majorEastAsia" w:hAnsiTheme="majorHAnsi" w:cstheme="majorBidi"/>
          <w:bCs/>
          <w:color w:val="1C1C1C" w:themeColor="text2"/>
        </w:rPr>
        <w:t xml:space="preserve">Funding applied for must be exclusive of GST and SACS </w:t>
      </w:r>
      <w:r w:rsidR="003A739E">
        <w:rPr>
          <w:rFonts w:asciiTheme="majorHAnsi" w:eastAsiaTheme="majorEastAsia" w:hAnsiTheme="majorHAnsi" w:cstheme="majorBidi"/>
          <w:bCs/>
          <w:color w:val="1C1C1C" w:themeColor="text2"/>
        </w:rPr>
        <w:t xml:space="preserve">supplementation </w:t>
      </w:r>
      <w:r>
        <w:rPr>
          <w:rFonts w:asciiTheme="majorHAnsi" w:eastAsiaTheme="majorEastAsia" w:hAnsiTheme="majorHAnsi" w:cstheme="majorBidi"/>
          <w:bCs/>
          <w:color w:val="1C1C1C" w:themeColor="text2"/>
        </w:rPr>
        <w:t>amounts.</w:t>
      </w:r>
      <w:r w:rsidR="000D662C">
        <w:rPr>
          <w:rFonts w:asciiTheme="majorHAnsi" w:eastAsiaTheme="majorEastAsia" w:hAnsiTheme="majorHAnsi" w:cstheme="majorBidi"/>
          <w:bCs/>
          <w:color w:val="1C1C1C" w:themeColor="text2"/>
          <w:sz w:val="34"/>
          <w:szCs w:val="26"/>
        </w:rPr>
        <w:t xml:space="preserve"> </w:t>
      </w:r>
      <w:r w:rsidR="000D662C" w:rsidRPr="000D662C">
        <w:rPr>
          <w:rFonts w:asciiTheme="majorHAnsi" w:eastAsiaTheme="majorEastAsia" w:hAnsiTheme="majorHAnsi" w:cstheme="majorBidi"/>
          <w:bCs/>
          <w:color w:val="1C1C1C" w:themeColor="text2"/>
          <w:sz w:val="34"/>
          <w:szCs w:val="26"/>
        </w:rPr>
        <w:t xml:space="preserve"> </w:t>
      </w:r>
    </w:p>
    <w:p w:rsidR="00AE7FFD" w:rsidRPr="00433ED3" w:rsidRDefault="00AE7FFD" w:rsidP="00DF400A">
      <w:pPr>
        <w:pStyle w:val="Heading2Numbered"/>
      </w:pPr>
      <w:bookmarkStart w:id="17" w:name="_Toc509839453"/>
      <w:bookmarkStart w:id="18" w:name="_Toc519001780"/>
      <w:r w:rsidRPr="002C5140">
        <w:lastRenderedPageBreak/>
        <w:t>Social and Community Services</w:t>
      </w:r>
      <w:r w:rsidR="00D41DEF">
        <w:t xml:space="preserve"> </w:t>
      </w:r>
      <w:r w:rsidR="00B928AB">
        <w:t xml:space="preserve">(SACS) </w:t>
      </w:r>
      <w:r w:rsidRPr="00433ED3">
        <w:t>Supplementation</w:t>
      </w:r>
      <w:bookmarkEnd w:id="17"/>
      <w:bookmarkEnd w:id="18"/>
    </w:p>
    <w:p w:rsidR="00493FC9" w:rsidRPr="00565B54" w:rsidRDefault="00493FC9" w:rsidP="00493FC9">
      <w:r w:rsidRPr="00565B54">
        <w:t>Emergency Relief grant</w:t>
      </w:r>
      <w:r w:rsidR="004303F5" w:rsidRPr="00565B54">
        <w:t>ee</w:t>
      </w:r>
      <w:r w:rsidRPr="00565B54">
        <w:t xml:space="preserve">s may be eligible to receive SACS supplementation. Further information is available on the </w:t>
      </w:r>
      <w:hyperlink r:id="rId12" w:tooltip="fair pay for social and community services workers" w:history="1">
        <w:r w:rsidRPr="00565B54">
          <w:t>Department of Social Services</w:t>
        </w:r>
      </w:hyperlink>
      <w:r w:rsidRPr="00565B54">
        <w:t xml:space="preserve"> website. </w:t>
      </w:r>
    </w:p>
    <w:p w:rsidR="00493FC9" w:rsidRPr="00217D7B" w:rsidRDefault="00493FC9" w:rsidP="00217D7B">
      <w:r w:rsidRPr="00565B54">
        <w:t xml:space="preserve">SACS supplementation ceases on 30 June 2021. </w:t>
      </w:r>
    </w:p>
    <w:p w:rsidR="00340616" w:rsidRPr="00B72EE8" w:rsidRDefault="00340616" w:rsidP="00340616">
      <w:pPr>
        <w:pStyle w:val="Heading1Numbered"/>
      </w:pPr>
      <w:bookmarkStart w:id="19" w:name="_Toc514411055"/>
      <w:bookmarkStart w:id="20" w:name="_Toc514674224"/>
      <w:bookmarkStart w:id="21" w:name="_Toc514674717"/>
      <w:bookmarkStart w:id="22" w:name="_Toc514411060"/>
      <w:bookmarkStart w:id="23" w:name="_Toc514674229"/>
      <w:bookmarkStart w:id="24" w:name="_Toc514674722"/>
      <w:bookmarkStart w:id="25" w:name="_Toc509834914"/>
      <w:bookmarkStart w:id="26" w:name="_Toc509834916"/>
      <w:bookmarkStart w:id="27" w:name="_Toc421777594"/>
      <w:bookmarkStart w:id="28" w:name="_Ref428266971"/>
      <w:bookmarkStart w:id="29" w:name="_Toc467773955"/>
      <w:bookmarkStart w:id="30" w:name="_Toc519001781"/>
      <w:bookmarkEnd w:id="19"/>
      <w:bookmarkEnd w:id="20"/>
      <w:bookmarkEnd w:id="21"/>
      <w:bookmarkEnd w:id="22"/>
      <w:bookmarkEnd w:id="23"/>
      <w:bookmarkEnd w:id="24"/>
      <w:bookmarkEnd w:id="25"/>
      <w:bookmarkEnd w:id="26"/>
      <w:r>
        <w:t>Grant e</w:t>
      </w:r>
      <w:r w:rsidRPr="00B72EE8">
        <w:t>ligibility</w:t>
      </w:r>
      <w:bookmarkEnd w:id="27"/>
      <w:bookmarkEnd w:id="28"/>
      <w:r>
        <w:t xml:space="preserve"> cr</w:t>
      </w:r>
      <w:r w:rsidRPr="00B72EE8">
        <w:t>iteria</w:t>
      </w:r>
      <w:bookmarkEnd w:id="29"/>
      <w:bookmarkEnd w:id="30"/>
      <w:r>
        <w:t xml:space="preserve"> </w:t>
      </w:r>
    </w:p>
    <w:p w:rsidR="00340616" w:rsidRDefault="00340616" w:rsidP="00340616">
      <w:pPr>
        <w:spacing w:after="120"/>
      </w:pPr>
      <w:bookmarkStart w:id="31" w:name="_Ref414285977"/>
      <w:r>
        <w:t xml:space="preserve">We cannot consider your </w:t>
      </w:r>
      <w:r w:rsidR="00963B07">
        <w:t>application/s</w:t>
      </w:r>
      <w:r>
        <w:t xml:space="preserve"> if it does not </w:t>
      </w:r>
      <w:r w:rsidR="00BB5CF6">
        <w:t>meet</w:t>
      </w:r>
      <w:r>
        <w:t xml:space="preserve"> </w:t>
      </w:r>
      <w:r w:rsidRPr="00BB5CF6">
        <w:rPr>
          <w:b/>
        </w:rPr>
        <w:t>all</w:t>
      </w:r>
      <w:r>
        <w:t xml:space="preserve"> the eligibility criteri</w:t>
      </w:r>
      <w:r w:rsidR="00B27953">
        <w:t>a.</w:t>
      </w:r>
      <w:r w:rsidRPr="00B72EE8">
        <w:t xml:space="preserve"> </w:t>
      </w:r>
    </w:p>
    <w:p w:rsidR="005660B6" w:rsidRDefault="005660B6" w:rsidP="00DF400A">
      <w:pPr>
        <w:pStyle w:val="Heading2Numbered"/>
      </w:pPr>
      <w:bookmarkStart w:id="32" w:name="_Toc519001782"/>
      <w:r w:rsidRPr="005660B6">
        <w:t>Who is eligible to apply for a grant?</w:t>
      </w:r>
      <w:bookmarkEnd w:id="32"/>
    </w:p>
    <w:p w:rsidR="00BC29E7" w:rsidRDefault="00BC29E7" w:rsidP="00DF400A">
      <w:pPr>
        <w:pStyle w:val="Heading3Numbered"/>
      </w:pPr>
      <w:bookmarkStart w:id="33" w:name="_Toc519001783"/>
      <w:bookmarkStart w:id="34" w:name="_Toc467773958"/>
      <w:bookmarkEnd w:id="31"/>
      <w:r>
        <w:t>Legal entities</w:t>
      </w:r>
      <w:bookmarkEnd w:id="33"/>
    </w:p>
    <w:p w:rsidR="00BB5CF6" w:rsidRPr="00CF3DF7" w:rsidRDefault="00BB5CF6" w:rsidP="00CF3DF7">
      <w:r w:rsidRPr="00CF3DF7">
        <w:t>To be eligible you must be one of the following entity types</w:t>
      </w:r>
      <w:r w:rsidR="0070523D">
        <w:t xml:space="preserve"> as stated in the dropdown list in the </w:t>
      </w:r>
      <w:r w:rsidR="003A739E">
        <w:t>a</w:t>
      </w:r>
      <w:r w:rsidR="0070523D">
        <w:t>pplication form</w:t>
      </w:r>
      <w:r w:rsidR="00963B07">
        <w:t>/s</w:t>
      </w:r>
      <w:r w:rsidRPr="00CF3DF7">
        <w:t>:</w:t>
      </w:r>
    </w:p>
    <w:p w:rsidR="00BB5CF6" w:rsidRPr="00DD7B6D" w:rsidRDefault="00BB5CF6" w:rsidP="00DD7B6D">
      <w:pPr>
        <w:pStyle w:val="Bullet1"/>
      </w:pPr>
      <w:r w:rsidRPr="00DD7B6D">
        <w:t>Indigenous Corporation</w:t>
      </w:r>
    </w:p>
    <w:p w:rsidR="00BB5CF6" w:rsidRPr="00DD7B6D" w:rsidRDefault="00BB5CF6" w:rsidP="00DD7B6D">
      <w:pPr>
        <w:pStyle w:val="Bullet1"/>
      </w:pPr>
      <w:r w:rsidRPr="00DD7B6D">
        <w:t>Company</w:t>
      </w:r>
    </w:p>
    <w:p w:rsidR="00BB5CF6" w:rsidRPr="00DD7B6D" w:rsidRDefault="00BB5CF6" w:rsidP="00DD7B6D">
      <w:pPr>
        <w:pStyle w:val="Bullet1"/>
      </w:pPr>
      <w:r w:rsidRPr="00DD7B6D">
        <w:t>Local Government</w:t>
      </w:r>
    </w:p>
    <w:p w:rsidR="00DE6E8E" w:rsidRPr="00DD7B6D" w:rsidRDefault="00DE6E8E" w:rsidP="00DD7B6D">
      <w:pPr>
        <w:pStyle w:val="Bullet1"/>
      </w:pPr>
      <w:r w:rsidRPr="00DD7B6D">
        <w:t>Corporate State or Territory Entity</w:t>
      </w:r>
    </w:p>
    <w:p w:rsidR="007731DF" w:rsidRPr="00DD7B6D" w:rsidRDefault="00BB5CF6" w:rsidP="00DD7B6D">
      <w:pPr>
        <w:pStyle w:val="Bullet1"/>
      </w:pPr>
      <w:r w:rsidRPr="00DD7B6D">
        <w:t>Cooperative</w:t>
      </w:r>
    </w:p>
    <w:p w:rsidR="007731DF" w:rsidRPr="00DD7B6D" w:rsidRDefault="00BB5CF6" w:rsidP="00DD7B6D">
      <w:pPr>
        <w:pStyle w:val="Bullet1"/>
      </w:pPr>
      <w:r w:rsidRPr="00DD7B6D">
        <w:t>Incorporated Association</w:t>
      </w:r>
    </w:p>
    <w:p w:rsidR="007731DF" w:rsidRPr="00DD7B6D" w:rsidRDefault="00BB5CF6" w:rsidP="00DD7B6D">
      <w:pPr>
        <w:pStyle w:val="Bullet1"/>
      </w:pPr>
      <w:r w:rsidRPr="00DD7B6D">
        <w:t>Statutory Entity</w:t>
      </w:r>
    </w:p>
    <w:p w:rsidR="00BB5CF6" w:rsidRPr="00DD7B6D" w:rsidRDefault="00BB5CF6" w:rsidP="00DD7B6D">
      <w:pPr>
        <w:pStyle w:val="Bullet1"/>
      </w:pPr>
      <w:r w:rsidRPr="00DD7B6D">
        <w:t>Trustee on behalf of a Trust</w:t>
      </w:r>
      <w:r w:rsidR="00DD7B6D">
        <w:t>.</w:t>
      </w:r>
    </w:p>
    <w:p w:rsidR="00BB5CF6" w:rsidRPr="00CF3DF7" w:rsidRDefault="00BB5CF6" w:rsidP="00DF400A">
      <w:pPr>
        <w:pStyle w:val="Heading3Numbered"/>
        <w:rPr>
          <w:color w:val="auto"/>
        </w:rPr>
      </w:pPr>
      <w:bookmarkStart w:id="35" w:name="_Toc519001784"/>
      <w:r w:rsidRPr="00CF3DF7">
        <w:rPr>
          <w:color w:val="auto"/>
        </w:rPr>
        <w:t>Non-legal entities</w:t>
      </w:r>
      <w:bookmarkEnd w:id="35"/>
      <w:r w:rsidRPr="00CF3DF7">
        <w:rPr>
          <w:color w:val="auto"/>
        </w:rPr>
        <w:t xml:space="preserve"> </w:t>
      </w:r>
    </w:p>
    <w:p w:rsidR="00BB5CF6" w:rsidRPr="00DF400A" w:rsidRDefault="00BB5CF6" w:rsidP="00BB5CF6">
      <w:pPr>
        <w:rPr>
          <w:rFonts w:ascii="Arial" w:hAnsi="Arial" w:cs="Arial"/>
        </w:rPr>
      </w:pPr>
      <w:r>
        <w:rPr>
          <w:rFonts w:ascii="Arial" w:hAnsi="Arial" w:cs="Arial"/>
        </w:rPr>
        <w:t>Certain non-legal entity type</w:t>
      </w:r>
      <w:r w:rsidRPr="00DF400A">
        <w:rPr>
          <w:rFonts w:ascii="Arial" w:hAnsi="Arial" w:cs="Arial"/>
        </w:rPr>
        <w:t>s</w:t>
      </w:r>
      <w:r>
        <w:rPr>
          <w:rFonts w:ascii="Arial" w:hAnsi="Arial" w:cs="Arial"/>
        </w:rPr>
        <w:t xml:space="preserve"> </w:t>
      </w:r>
      <w:proofErr w:type="gramStart"/>
      <w:r>
        <w:rPr>
          <w:rFonts w:ascii="Arial" w:hAnsi="Arial" w:cs="Arial"/>
        </w:rPr>
        <w:t>can be considered</w:t>
      </w:r>
      <w:proofErr w:type="gramEnd"/>
      <w:r>
        <w:rPr>
          <w:rFonts w:ascii="Arial" w:hAnsi="Arial" w:cs="Arial"/>
        </w:rPr>
        <w:t xml:space="preserve"> eligible for this</w:t>
      </w:r>
      <w:r w:rsidR="00F65237">
        <w:rPr>
          <w:rFonts w:ascii="Arial" w:hAnsi="Arial" w:cs="Arial"/>
        </w:rPr>
        <w:t xml:space="preserve"> Emergency Relief grant opportunity.</w:t>
      </w:r>
      <w:r>
        <w:rPr>
          <w:rFonts w:ascii="Arial" w:hAnsi="Arial" w:cs="Arial"/>
          <w:b/>
          <w:color w:val="745B00"/>
        </w:rPr>
        <w:t xml:space="preserve"> </w:t>
      </w:r>
      <w:r>
        <w:rPr>
          <w:rFonts w:ascii="Arial" w:hAnsi="Arial" w:cs="Arial"/>
        </w:rPr>
        <w:t xml:space="preserve">The relevant Delegate </w:t>
      </w:r>
      <w:r w:rsidRPr="00CF3DF7">
        <w:rPr>
          <w:rFonts w:ascii="Arial" w:hAnsi="Arial" w:cs="Arial"/>
          <w:color w:val="000000" w:themeColor="text1"/>
        </w:rPr>
        <w:t xml:space="preserve">approves </w:t>
      </w:r>
      <w:r w:rsidR="00E57F1B">
        <w:rPr>
          <w:rFonts w:ascii="Arial" w:hAnsi="Arial" w:cs="Arial"/>
        </w:rPr>
        <w:t>t</w:t>
      </w:r>
      <w:r w:rsidRPr="00DF400A">
        <w:rPr>
          <w:rFonts w:ascii="Arial" w:hAnsi="Arial" w:cs="Arial"/>
        </w:rPr>
        <w:t>he following non-legal entity type may be eligible for this grant opportunity:</w:t>
      </w:r>
    </w:p>
    <w:p w:rsidR="006D6A71" w:rsidRPr="00DD7B6D" w:rsidRDefault="00BB5CF6" w:rsidP="00DD7B6D">
      <w:pPr>
        <w:pStyle w:val="Bullet1"/>
      </w:pPr>
      <w:r w:rsidRPr="00DD7B6D">
        <w:t>Unincorporated Associations</w:t>
      </w:r>
      <w:r w:rsidR="00280A5E">
        <w:t>.</w:t>
      </w:r>
      <w:r w:rsidRPr="00DD7B6D">
        <w:t xml:space="preserve"> </w:t>
      </w:r>
    </w:p>
    <w:p w:rsidR="00890646" w:rsidRDefault="00BB5CF6" w:rsidP="004429ED">
      <w:pPr>
        <w:pStyle w:val="Heading3Numbered"/>
        <w:rPr>
          <w:color w:val="0070C0"/>
          <w:sz w:val="22"/>
        </w:rPr>
      </w:pPr>
      <w:bookmarkStart w:id="36" w:name="_Toc519001785"/>
      <w:r w:rsidRPr="00DB614C">
        <w:t>Who is not eligible to apply for a grant?</w:t>
      </w:r>
      <w:bookmarkEnd w:id="36"/>
      <w:r>
        <w:t xml:space="preserve"> </w:t>
      </w:r>
    </w:p>
    <w:p w:rsidR="00BB5CF6" w:rsidRDefault="00BB5CF6" w:rsidP="00BB5CF6">
      <w:pPr>
        <w:spacing w:before="60"/>
        <w:rPr>
          <w:rFonts w:ascii="Arial" w:hAnsi="Arial" w:cs="Arial"/>
        </w:rPr>
      </w:pPr>
      <w:r w:rsidRPr="007314EC">
        <w:rPr>
          <w:rFonts w:ascii="Arial" w:hAnsi="Arial" w:cs="Arial"/>
        </w:rPr>
        <w:t>You are not eligible to apply if you are:</w:t>
      </w:r>
    </w:p>
    <w:p w:rsidR="00E57F1B" w:rsidRPr="00DD7B6D" w:rsidRDefault="00E57F1B" w:rsidP="00DD7B6D">
      <w:pPr>
        <w:pStyle w:val="Bullet1"/>
      </w:pPr>
      <w:r w:rsidRPr="00DD7B6D">
        <w:t>Corporate Commonwealth Entity</w:t>
      </w:r>
    </w:p>
    <w:p w:rsidR="00E57F1B" w:rsidRPr="00DD7B6D" w:rsidRDefault="00E57F1B" w:rsidP="00DD7B6D">
      <w:pPr>
        <w:pStyle w:val="Bullet1"/>
      </w:pPr>
      <w:r w:rsidRPr="00DD7B6D">
        <w:t>Non-Corporate Commonwealth Entity</w:t>
      </w:r>
    </w:p>
    <w:p w:rsidR="00E57F1B" w:rsidRPr="00DD7B6D" w:rsidRDefault="00E57F1B" w:rsidP="00DD7B6D">
      <w:pPr>
        <w:pStyle w:val="Bullet1"/>
      </w:pPr>
      <w:r w:rsidRPr="00DD7B6D">
        <w:t>Non-Corporate Commonwealth Statutory Authority</w:t>
      </w:r>
    </w:p>
    <w:p w:rsidR="00E57F1B" w:rsidRPr="00DD7B6D" w:rsidRDefault="00E57F1B" w:rsidP="00DD7B6D">
      <w:pPr>
        <w:pStyle w:val="Bullet1"/>
      </w:pPr>
      <w:r w:rsidRPr="00DD7B6D">
        <w:lastRenderedPageBreak/>
        <w:t>Commonwealth Company</w:t>
      </w:r>
    </w:p>
    <w:p w:rsidR="00E57F1B" w:rsidRPr="00DD7B6D" w:rsidRDefault="00E57F1B" w:rsidP="00DD7B6D">
      <w:pPr>
        <w:pStyle w:val="Bullet1"/>
      </w:pPr>
      <w:r w:rsidRPr="00DD7B6D">
        <w:t>Non-corporate State or Territory Entity</w:t>
      </w:r>
    </w:p>
    <w:p w:rsidR="00E57F1B" w:rsidRPr="00DD7B6D" w:rsidRDefault="00E57F1B" w:rsidP="00DD7B6D">
      <w:pPr>
        <w:pStyle w:val="Bullet1"/>
      </w:pPr>
      <w:r w:rsidRPr="00DD7B6D">
        <w:t>Non-corporate State or Territory Statutory Authority</w:t>
      </w:r>
    </w:p>
    <w:p w:rsidR="00E57F1B" w:rsidRPr="00DD7B6D" w:rsidRDefault="00E57F1B" w:rsidP="00DD7B6D">
      <w:pPr>
        <w:pStyle w:val="Bullet1"/>
      </w:pPr>
      <w:r w:rsidRPr="00DD7B6D">
        <w:t>International Entity</w:t>
      </w:r>
    </w:p>
    <w:p w:rsidR="008A1276" w:rsidRPr="00DD7B6D" w:rsidRDefault="00E57F1B" w:rsidP="00DD7B6D">
      <w:pPr>
        <w:pStyle w:val="Bullet1"/>
      </w:pPr>
      <w:r w:rsidRPr="00DD7B6D">
        <w:t xml:space="preserve">Sole Trader </w:t>
      </w:r>
    </w:p>
    <w:p w:rsidR="00E57F1B" w:rsidRPr="00DD7B6D" w:rsidRDefault="00E57F1B" w:rsidP="00DD7B6D">
      <w:pPr>
        <w:pStyle w:val="Bullet1"/>
      </w:pPr>
      <w:r w:rsidRPr="00DD7B6D">
        <w:t>Partnership</w:t>
      </w:r>
    </w:p>
    <w:p w:rsidR="00E57F1B" w:rsidRPr="00DD7B6D" w:rsidRDefault="00E57F1B" w:rsidP="00DD7B6D">
      <w:pPr>
        <w:pStyle w:val="Bullet1"/>
      </w:pPr>
      <w:r w:rsidRPr="00DD7B6D">
        <w:t>Perso</w:t>
      </w:r>
      <w:r w:rsidR="007731DF" w:rsidRPr="00DD7B6D">
        <w:t>n</w:t>
      </w:r>
      <w:r w:rsidR="00DD7B6D">
        <w:t>.</w:t>
      </w:r>
    </w:p>
    <w:p w:rsidR="0070523D" w:rsidRPr="007E5775" w:rsidRDefault="00DD7B6D">
      <w:pPr>
        <w:spacing w:before="60"/>
        <w:contextualSpacing/>
        <w:rPr>
          <w:rFonts w:ascii="Arial" w:hAnsi="Arial" w:cs="Arial"/>
          <w:lang w:val="en-GB"/>
        </w:rPr>
      </w:pPr>
      <w:r>
        <w:rPr>
          <w:rFonts w:ascii="Arial" w:hAnsi="Arial" w:cs="Arial"/>
          <w:lang w:val="en-GB"/>
        </w:rPr>
        <w:t>Please n</w:t>
      </w:r>
      <w:r w:rsidR="0070523D" w:rsidRPr="00E57F1B">
        <w:rPr>
          <w:rFonts w:ascii="Arial" w:hAnsi="Arial" w:cs="Arial"/>
          <w:lang w:val="en-GB"/>
        </w:rPr>
        <w:t xml:space="preserve">ote:  The above list is not definitive.  If your entity type </w:t>
      </w:r>
      <w:proofErr w:type="gramStart"/>
      <w:r w:rsidR="0070523D" w:rsidRPr="00E57F1B">
        <w:rPr>
          <w:rFonts w:ascii="Arial" w:hAnsi="Arial" w:cs="Arial"/>
          <w:lang w:val="en-GB"/>
        </w:rPr>
        <w:t>is not listed</w:t>
      </w:r>
      <w:proofErr w:type="gramEnd"/>
      <w:r w:rsidR="0070523D" w:rsidRPr="00E57F1B">
        <w:rPr>
          <w:rFonts w:ascii="Arial" w:hAnsi="Arial" w:cs="Arial"/>
          <w:lang w:val="en-GB"/>
        </w:rPr>
        <w:t xml:space="preserve"> in 3.1</w:t>
      </w:r>
      <w:r w:rsidR="00C82FE4">
        <w:rPr>
          <w:rFonts w:ascii="Arial" w:hAnsi="Arial" w:cs="Arial"/>
          <w:lang w:val="en-GB"/>
        </w:rPr>
        <w:t>.1</w:t>
      </w:r>
      <w:r w:rsidR="00E62B98">
        <w:rPr>
          <w:rFonts w:ascii="Arial" w:hAnsi="Arial" w:cs="Arial"/>
          <w:lang w:val="en-GB"/>
        </w:rPr>
        <w:t xml:space="preserve"> or 3.1.2</w:t>
      </w:r>
      <w:r w:rsidR="0070523D" w:rsidRPr="00E57F1B">
        <w:rPr>
          <w:rFonts w:ascii="Arial" w:hAnsi="Arial" w:cs="Arial"/>
          <w:lang w:val="en-GB"/>
        </w:rPr>
        <w:t xml:space="preserve"> abov</w:t>
      </w:r>
      <w:r w:rsidR="0070523D" w:rsidRPr="007E5775">
        <w:rPr>
          <w:rFonts w:ascii="Arial" w:hAnsi="Arial" w:cs="Arial"/>
          <w:lang w:val="en-GB"/>
        </w:rPr>
        <w:t xml:space="preserve">e, </w:t>
      </w:r>
      <w:r w:rsidR="0070523D" w:rsidRPr="00E57F1B">
        <w:rPr>
          <w:rFonts w:ascii="Arial" w:hAnsi="Arial" w:cs="Arial"/>
          <w:lang w:val="en-GB"/>
        </w:rPr>
        <w:t xml:space="preserve">you are not </w:t>
      </w:r>
      <w:r w:rsidR="00433A1C">
        <w:rPr>
          <w:rFonts w:ascii="Arial" w:hAnsi="Arial" w:cs="Arial"/>
          <w:lang w:val="en-GB"/>
        </w:rPr>
        <w:t xml:space="preserve">eligible </w:t>
      </w:r>
      <w:r w:rsidR="007E5775">
        <w:rPr>
          <w:rFonts w:ascii="Arial" w:hAnsi="Arial" w:cs="Arial"/>
          <w:lang w:val="en-GB"/>
        </w:rPr>
        <w:t xml:space="preserve">to </w:t>
      </w:r>
      <w:r w:rsidR="0070523D" w:rsidRPr="00E57F1B">
        <w:rPr>
          <w:rFonts w:ascii="Arial" w:hAnsi="Arial" w:cs="Arial"/>
          <w:lang w:val="en-GB"/>
        </w:rPr>
        <w:t xml:space="preserve">apply and your </w:t>
      </w:r>
      <w:r w:rsidR="00963B07">
        <w:rPr>
          <w:rFonts w:ascii="Arial" w:hAnsi="Arial" w:cs="Arial"/>
          <w:lang w:val="en-GB"/>
        </w:rPr>
        <w:t>application/s</w:t>
      </w:r>
      <w:r w:rsidR="0070523D" w:rsidRPr="00E57F1B">
        <w:rPr>
          <w:rFonts w:ascii="Arial" w:hAnsi="Arial" w:cs="Arial"/>
          <w:lang w:val="en-GB"/>
        </w:rPr>
        <w:t xml:space="preserve"> will not be assessed.</w:t>
      </w:r>
    </w:p>
    <w:p w:rsidR="00F66431" w:rsidRPr="00803A79" w:rsidRDefault="00340616" w:rsidP="00FE7AE6">
      <w:pPr>
        <w:pStyle w:val="Heading2Numbered"/>
      </w:pPr>
      <w:bookmarkStart w:id="37" w:name="_Toc509834922"/>
      <w:bookmarkStart w:id="38" w:name="_Toc509834929"/>
      <w:bookmarkStart w:id="39" w:name="_Toc509834930"/>
      <w:bookmarkStart w:id="40" w:name="_Toc509834933"/>
      <w:bookmarkStart w:id="41" w:name="_Toc509834937"/>
      <w:bookmarkStart w:id="42" w:name="_Toc509834938"/>
      <w:bookmarkStart w:id="43" w:name="_Toc509834943"/>
      <w:bookmarkStart w:id="44" w:name="_Toc467773959"/>
      <w:bookmarkStart w:id="45" w:name="_Toc519001786"/>
      <w:bookmarkEnd w:id="34"/>
      <w:bookmarkEnd w:id="37"/>
      <w:bookmarkEnd w:id="38"/>
      <w:bookmarkEnd w:id="39"/>
      <w:bookmarkEnd w:id="40"/>
      <w:bookmarkEnd w:id="41"/>
      <w:bookmarkEnd w:id="42"/>
      <w:bookmarkEnd w:id="43"/>
      <w:r w:rsidRPr="00A668C8">
        <w:t>Eligible grant activitie</w:t>
      </w:r>
      <w:r w:rsidR="00F66431">
        <w:t>s</w:t>
      </w:r>
      <w:bookmarkEnd w:id="44"/>
      <w:bookmarkEnd w:id="45"/>
    </w:p>
    <w:p w:rsidR="00340616" w:rsidRPr="00F56535" w:rsidRDefault="00340616" w:rsidP="00FE7AE6">
      <w:pPr>
        <w:pStyle w:val="Heading3Numbered"/>
      </w:pPr>
      <w:bookmarkStart w:id="46" w:name="_Toc509834946"/>
      <w:bookmarkStart w:id="47" w:name="_Toc511120347"/>
      <w:bookmarkStart w:id="48" w:name="_Toc467773960"/>
      <w:bookmarkStart w:id="49" w:name="_Toc519001787"/>
      <w:bookmarkEnd w:id="46"/>
      <w:bookmarkEnd w:id="47"/>
      <w:r w:rsidRPr="00F56535">
        <w:t xml:space="preserve">What can the grant money </w:t>
      </w:r>
      <w:proofErr w:type="gramStart"/>
      <w:r w:rsidRPr="00F56535">
        <w:t>be used</w:t>
      </w:r>
      <w:proofErr w:type="gramEnd"/>
      <w:r w:rsidRPr="00F56535">
        <w:t xml:space="preserve"> for?</w:t>
      </w:r>
      <w:bookmarkEnd w:id="48"/>
      <w:bookmarkEnd w:id="49"/>
    </w:p>
    <w:p w:rsidR="00340616" w:rsidRDefault="00BD6936" w:rsidP="00340616">
      <w:pPr>
        <w:rPr>
          <w:rFonts w:cstheme="minorHAnsi"/>
        </w:rPr>
      </w:pPr>
      <w:r>
        <w:t xml:space="preserve">Funding </w:t>
      </w:r>
      <w:proofErr w:type="gramStart"/>
      <w:r>
        <w:t>must predominantly be spent</w:t>
      </w:r>
      <w:proofErr w:type="gramEnd"/>
      <w:r>
        <w:t xml:space="preserve"> on providing Emergency Relief services. </w:t>
      </w:r>
      <w:r w:rsidR="00340616" w:rsidRPr="000A271A">
        <w:rPr>
          <w:rFonts w:cstheme="minorHAnsi"/>
        </w:rPr>
        <w:t xml:space="preserve">You can use the grant to pay for: </w:t>
      </w:r>
    </w:p>
    <w:p w:rsidR="00987D69" w:rsidRPr="00DD7B6D" w:rsidRDefault="008A1276" w:rsidP="00D2282B">
      <w:pPr>
        <w:pStyle w:val="Bullet1"/>
      </w:pPr>
      <w:r w:rsidRPr="008E754C">
        <w:t>s</w:t>
      </w:r>
      <w:r w:rsidR="00987D69" w:rsidRPr="00DD7B6D">
        <w:t>taff salaries and on-costs which can be directly attributed to the provision of services in identified service area or a</w:t>
      </w:r>
      <w:r w:rsidR="00DD7B6D" w:rsidRPr="00DD7B6D">
        <w:t>reas as per the grant agreement</w:t>
      </w:r>
      <w:r w:rsidR="00987D69" w:rsidRPr="00DD7B6D">
        <w:t xml:space="preserve"> </w:t>
      </w:r>
    </w:p>
    <w:p w:rsidR="00987D69" w:rsidRPr="00DD7B6D" w:rsidRDefault="008A1276" w:rsidP="00987D69">
      <w:pPr>
        <w:pStyle w:val="Bullet1"/>
      </w:pPr>
      <w:r w:rsidRPr="00DD7B6D">
        <w:t>e</w:t>
      </w:r>
      <w:r w:rsidR="00987D69" w:rsidRPr="00DD7B6D">
        <w:t xml:space="preserve">mployee training for paid and unpaid staff delivering activities that are relevant, appropriate and in line with the activity objectives </w:t>
      </w:r>
    </w:p>
    <w:p w:rsidR="005F3DAD" w:rsidRDefault="008A1276" w:rsidP="005F3DAD">
      <w:pPr>
        <w:pStyle w:val="Bullet1"/>
      </w:pPr>
      <w:proofErr w:type="gramStart"/>
      <w:r w:rsidRPr="00DD7B6D">
        <w:t>i</w:t>
      </w:r>
      <w:r w:rsidR="00987D69" w:rsidRPr="00DD7B6D">
        <w:t>tems</w:t>
      </w:r>
      <w:proofErr w:type="gramEnd"/>
      <w:r w:rsidR="00987D69" w:rsidRPr="00DD7B6D">
        <w:t xml:space="preserve"> needed for immed</w:t>
      </w:r>
      <w:r w:rsidR="00DD7B6D" w:rsidRPr="00DD7B6D">
        <w:t>iate emergency relief,</w:t>
      </w:r>
      <w:r w:rsidR="00987D69" w:rsidRPr="00DD7B6D">
        <w:t xml:space="preserve"> </w:t>
      </w:r>
      <w:r w:rsidR="00DD7B6D" w:rsidRPr="00DD7B6D">
        <w:t>f</w:t>
      </w:r>
      <w:r w:rsidR="00FB2ACC" w:rsidRPr="00DD7B6D">
        <w:t xml:space="preserve">or example </w:t>
      </w:r>
      <w:r w:rsidR="00AE443F" w:rsidRPr="00DD7B6D">
        <w:t xml:space="preserve">food parcels, clothing and vouchers (such as utilities and </w:t>
      </w:r>
      <w:r w:rsidR="00DD7B6D" w:rsidRPr="00DD7B6D">
        <w:t>supermarket)</w:t>
      </w:r>
      <w:r w:rsidR="005F3DAD">
        <w:t>.</w:t>
      </w:r>
    </w:p>
    <w:p w:rsidR="00BD6936" w:rsidRDefault="00BD6936" w:rsidP="005F3DAD">
      <w:pPr>
        <w:pStyle w:val="Bullet1"/>
        <w:numPr>
          <w:ilvl w:val="0"/>
          <w:numId w:val="0"/>
        </w:numPr>
        <w:spacing w:after="0"/>
        <w:contextualSpacing/>
        <w:rPr>
          <w:rFonts w:cstheme="minorHAnsi"/>
        </w:rPr>
      </w:pPr>
    </w:p>
    <w:p w:rsidR="005F3DAD" w:rsidRPr="005F3DAD" w:rsidRDefault="00BD6936" w:rsidP="005F3DAD">
      <w:pPr>
        <w:pStyle w:val="Bullet1"/>
        <w:numPr>
          <w:ilvl w:val="0"/>
          <w:numId w:val="0"/>
        </w:numPr>
        <w:spacing w:after="0"/>
        <w:contextualSpacing/>
        <w:rPr>
          <w:rFonts w:cstheme="minorHAnsi"/>
        </w:rPr>
      </w:pPr>
      <w:r>
        <w:rPr>
          <w:rFonts w:cstheme="minorHAnsi"/>
        </w:rPr>
        <w:t>A</w:t>
      </w:r>
      <w:r w:rsidR="005F3DAD" w:rsidRPr="005F3DAD">
        <w:rPr>
          <w:rFonts w:cstheme="minorHAnsi"/>
        </w:rPr>
        <w:t xml:space="preserve"> small proportion of funds </w:t>
      </w:r>
      <w:proofErr w:type="gramStart"/>
      <w:r w:rsidR="005F3DAD">
        <w:rPr>
          <w:rFonts w:cstheme="minorHAnsi"/>
        </w:rPr>
        <w:t xml:space="preserve">may </w:t>
      </w:r>
      <w:r>
        <w:rPr>
          <w:rFonts w:cstheme="minorHAnsi"/>
        </w:rPr>
        <w:t xml:space="preserve">also </w:t>
      </w:r>
      <w:r w:rsidR="005F3DAD">
        <w:rPr>
          <w:rFonts w:cstheme="minorHAnsi"/>
        </w:rPr>
        <w:t>be spent</w:t>
      </w:r>
      <w:proofErr w:type="gramEnd"/>
      <w:r w:rsidR="005F3DAD">
        <w:rPr>
          <w:rFonts w:cstheme="minorHAnsi"/>
        </w:rPr>
        <w:t xml:space="preserve"> on administration</w:t>
      </w:r>
      <w:r w:rsidR="00280A5E">
        <w:rPr>
          <w:rFonts w:cstheme="minorHAnsi"/>
        </w:rPr>
        <w:t xml:space="preserve"> expenses directly related to the delivery of services, such as</w:t>
      </w:r>
      <w:r w:rsidR="005F3DAD">
        <w:rPr>
          <w:rFonts w:cstheme="minorHAnsi"/>
        </w:rPr>
        <w:t>:</w:t>
      </w:r>
    </w:p>
    <w:p w:rsidR="00987D69" w:rsidRPr="00280A5E" w:rsidRDefault="008A1276" w:rsidP="00F57D77">
      <w:pPr>
        <w:pStyle w:val="Bullet1"/>
        <w:rPr>
          <w:rFonts w:cstheme="minorHAnsi"/>
        </w:rPr>
      </w:pPr>
      <w:r w:rsidRPr="00280A5E">
        <w:rPr>
          <w:rFonts w:cstheme="minorHAnsi"/>
        </w:rPr>
        <w:t>interpreting services</w:t>
      </w:r>
    </w:p>
    <w:p w:rsidR="00987D69" w:rsidRPr="00332AC3" w:rsidRDefault="008A1276" w:rsidP="00F57D77">
      <w:pPr>
        <w:pStyle w:val="Bullet1"/>
        <w:rPr>
          <w:rFonts w:cstheme="minorHAnsi"/>
        </w:rPr>
      </w:pPr>
      <w:r w:rsidRPr="00332AC3">
        <w:rPr>
          <w:rFonts w:cstheme="minorHAnsi"/>
        </w:rPr>
        <w:t xml:space="preserve">telephones </w:t>
      </w:r>
    </w:p>
    <w:p w:rsidR="00987D69" w:rsidRPr="00332AC3" w:rsidRDefault="008A1276" w:rsidP="00F57D77">
      <w:pPr>
        <w:pStyle w:val="Bullet1"/>
        <w:rPr>
          <w:rFonts w:cstheme="minorHAnsi"/>
        </w:rPr>
      </w:pPr>
      <w:r w:rsidRPr="00332AC3">
        <w:rPr>
          <w:rFonts w:cstheme="minorHAnsi"/>
        </w:rPr>
        <w:t xml:space="preserve">rent and outgoings  </w:t>
      </w:r>
    </w:p>
    <w:p w:rsidR="00987D69" w:rsidRPr="00332AC3" w:rsidRDefault="008A1276" w:rsidP="00F57D77">
      <w:pPr>
        <w:pStyle w:val="Bullet1"/>
        <w:rPr>
          <w:rFonts w:cstheme="minorHAnsi"/>
        </w:rPr>
      </w:pPr>
      <w:r w:rsidRPr="00332AC3">
        <w:rPr>
          <w:rFonts w:cstheme="minorHAnsi"/>
        </w:rPr>
        <w:t xml:space="preserve">computer /information technology/website/ software </w:t>
      </w:r>
    </w:p>
    <w:p w:rsidR="00987D69" w:rsidRPr="00332AC3" w:rsidRDefault="008A1276" w:rsidP="00F57D77">
      <w:pPr>
        <w:pStyle w:val="Bullet1"/>
        <w:rPr>
          <w:rFonts w:cstheme="minorHAnsi"/>
        </w:rPr>
      </w:pPr>
      <w:r w:rsidRPr="00332AC3">
        <w:rPr>
          <w:rFonts w:cstheme="minorHAnsi"/>
        </w:rPr>
        <w:t xml:space="preserve">insurance </w:t>
      </w:r>
    </w:p>
    <w:p w:rsidR="00987D69" w:rsidRPr="00332AC3" w:rsidRDefault="008A1276" w:rsidP="00F57D77">
      <w:pPr>
        <w:pStyle w:val="Bullet1"/>
        <w:rPr>
          <w:rFonts w:cstheme="minorHAnsi"/>
        </w:rPr>
      </w:pPr>
      <w:r w:rsidRPr="00332AC3">
        <w:rPr>
          <w:rFonts w:cstheme="minorHAnsi"/>
        </w:rPr>
        <w:t>utilities</w:t>
      </w:r>
    </w:p>
    <w:p w:rsidR="00987D69" w:rsidRPr="00C16602" w:rsidRDefault="008A1276" w:rsidP="00F57D77">
      <w:pPr>
        <w:pStyle w:val="Bullet1"/>
        <w:rPr>
          <w:rFonts w:cstheme="minorHAnsi"/>
        </w:rPr>
      </w:pPr>
      <w:r w:rsidRPr="00C16602">
        <w:rPr>
          <w:rFonts w:cstheme="minorHAnsi"/>
        </w:rPr>
        <w:t xml:space="preserve">postage </w:t>
      </w:r>
    </w:p>
    <w:p w:rsidR="00987D69" w:rsidRPr="00EA6832" w:rsidRDefault="008A1276" w:rsidP="00F57D77">
      <w:pPr>
        <w:pStyle w:val="Bullet1"/>
        <w:rPr>
          <w:rFonts w:cstheme="minorHAnsi"/>
        </w:rPr>
      </w:pPr>
      <w:r w:rsidRPr="00EA6832">
        <w:rPr>
          <w:rFonts w:cstheme="minorHAnsi"/>
        </w:rPr>
        <w:t xml:space="preserve">stationery and printing </w:t>
      </w:r>
    </w:p>
    <w:p w:rsidR="00987D69" w:rsidRPr="00E67035" w:rsidRDefault="008A1276" w:rsidP="00F57D77">
      <w:pPr>
        <w:pStyle w:val="Bullet1"/>
        <w:rPr>
          <w:rFonts w:cstheme="minorHAnsi"/>
        </w:rPr>
      </w:pPr>
      <w:r w:rsidRPr="00E67035">
        <w:rPr>
          <w:rFonts w:cstheme="minorHAnsi"/>
        </w:rPr>
        <w:t>accounting and auditing</w:t>
      </w:r>
    </w:p>
    <w:p w:rsidR="00987D69" w:rsidRPr="00D61A2F" w:rsidRDefault="008A1276" w:rsidP="00F57D77">
      <w:pPr>
        <w:pStyle w:val="Bullet1"/>
        <w:rPr>
          <w:rFonts w:cstheme="minorHAnsi"/>
        </w:rPr>
      </w:pPr>
      <w:proofErr w:type="gramStart"/>
      <w:r w:rsidRPr="00D61A2F">
        <w:rPr>
          <w:rFonts w:cstheme="minorHAnsi"/>
        </w:rPr>
        <w:t>assets</w:t>
      </w:r>
      <w:proofErr w:type="gramEnd"/>
      <w:r w:rsidRPr="00D61A2F">
        <w:rPr>
          <w:rFonts w:cstheme="minorHAnsi"/>
        </w:rPr>
        <w:t xml:space="preserve"> as defined in the terms and conditions that can be reasonably attributed to meeting agreement deliverables.</w:t>
      </w:r>
    </w:p>
    <w:p w:rsidR="005F65A5" w:rsidRPr="00565B54" w:rsidRDefault="005F65A5" w:rsidP="00565B54">
      <w:pPr>
        <w:pStyle w:val="Bullet1"/>
        <w:numPr>
          <w:ilvl w:val="0"/>
          <w:numId w:val="0"/>
        </w:numPr>
        <w:spacing w:after="0"/>
        <w:contextualSpacing/>
        <w:rPr>
          <w:rFonts w:cstheme="minorHAnsi"/>
        </w:rPr>
      </w:pPr>
      <w:r w:rsidRPr="00565B54">
        <w:rPr>
          <w:rFonts w:cstheme="minorHAnsi"/>
        </w:rPr>
        <w:lastRenderedPageBreak/>
        <w:t xml:space="preserve">Where a specific need emerges in an SA4, funding </w:t>
      </w:r>
      <w:proofErr w:type="gramStart"/>
      <w:r w:rsidRPr="00565B54">
        <w:rPr>
          <w:rFonts w:cstheme="minorHAnsi"/>
        </w:rPr>
        <w:t>may be reallocated</w:t>
      </w:r>
      <w:proofErr w:type="gramEnd"/>
      <w:r w:rsidRPr="00565B54">
        <w:rPr>
          <w:rFonts w:cstheme="minorHAnsi"/>
        </w:rPr>
        <w:t xml:space="preserve"> to that SA4.  In each case where a need </w:t>
      </w:r>
      <w:proofErr w:type="gramStart"/>
      <w:r w:rsidRPr="00565B54">
        <w:rPr>
          <w:rFonts w:cstheme="minorHAnsi"/>
        </w:rPr>
        <w:t>is identified</w:t>
      </w:r>
      <w:proofErr w:type="gramEnd"/>
      <w:r w:rsidRPr="00565B54">
        <w:rPr>
          <w:rFonts w:cstheme="minorHAnsi"/>
        </w:rPr>
        <w:t>, the organisation must:</w:t>
      </w:r>
    </w:p>
    <w:p w:rsidR="005F65A5" w:rsidRPr="00565B54" w:rsidRDefault="005F65A5" w:rsidP="00565B54">
      <w:pPr>
        <w:pStyle w:val="Bullet1"/>
        <w:rPr>
          <w:rFonts w:cstheme="minorHAnsi"/>
        </w:rPr>
      </w:pPr>
      <w:r w:rsidRPr="00565B54">
        <w:rPr>
          <w:rFonts w:cstheme="minorHAnsi"/>
        </w:rPr>
        <w:t xml:space="preserve">already be funded to deliver </w:t>
      </w:r>
      <w:r w:rsidR="00744F12">
        <w:rPr>
          <w:rFonts w:cstheme="minorHAnsi"/>
        </w:rPr>
        <w:t>Emergency Relief</w:t>
      </w:r>
      <w:r w:rsidRPr="00565B54">
        <w:rPr>
          <w:rFonts w:cstheme="minorHAnsi"/>
        </w:rPr>
        <w:t xml:space="preserve"> services in that SA4, and</w:t>
      </w:r>
    </w:p>
    <w:p w:rsidR="005F65A5" w:rsidRPr="00565B54" w:rsidRDefault="005F65A5" w:rsidP="00565B54">
      <w:pPr>
        <w:pStyle w:val="Bullet1"/>
        <w:rPr>
          <w:rFonts w:cstheme="minorHAnsi"/>
        </w:rPr>
      </w:pPr>
      <w:proofErr w:type="gramStart"/>
      <w:r w:rsidRPr="00565B54">
        <w:rPr>
          <w:rFonts w:cstheme="minorHAnsi"/>
        </w:rPr>
        <w:t>consult</w:t>
      </w:r>
      <w:proofErr w:type="gramEnd"/>
      <w:r w:rsidRPr="00565B54">
        <w:rPr>
          <w:rFonts w:cstheme="minorHAnsi"/>
        </w:rPr>
        <w:t xml:space="preserve"> with their Funding Arrangement Manager, prior to reallocation of funds occurring to ensure appropriate management of changes.  </w:t>
      </w:r>
    </w:p>
    <w:p w:rsidR="00987D69" w:rsidRPr="00ED1B83" w:rsidRDefault="00C63EA1" w:rsidP="00987D69">
      <w:pPr>
        <w:spacing w:after="0"/>
        <w:contextualSpacing/>
        <w:rPr>
          <w:rFonts w:cstheme="minorHAnsi"/>
        </w:rPr>
      </w:pPr>
      <w:r>
        <w:rPr>
          <w:rFonts w:cstheme="minorHAnsi"/>
        </w:rPr>
        <w:t xml:space="preserve">Any changes to the service areas may require a formal variation to the </w:t>
      </w:r>
      <w:r w:rsidR="005F65A5">
        <w:rPr>
          <w:rFonts w:cstheme="minorHAnsi"/>
        </w:rPr>
        <w:t>grant agreement</w:t>
      </w:r>
      <w:r w:rsidR="009B50D4">
        <w:rPr>
          <w:rFonts w:cstheme="minorHAnsi"/>
        </w:rPr>
        <w:t>.</w:t>
      </w:r>
    </w:p>
    <w:p w:rsidR="00340616" w:rsidRPr="000A271A" w:rsidRDefault="00340616" w:rsidP="00340616">
      <w:pPr>
        <w:spacing w:after="0" w:line="240" w:lineRule="auto"/>
        <w:contextualSpacing/>
        <w:rPr>
          <w:rFonts w:cstheme="minorHAnsi"/>
        </w:rPr>
      </w:pPr>
    </w:p>
    <w:p w:rsidR="00340616" w:rsidRPr="000A271A" w:rsidRDefault="00340616" w:rsidP="00340616">
      <w:pPr>
        <w:spacing w:after="0" w:line="240" w:lineRule="auto"/>
        <w:contextualSpacing/>
        <w:rPr>
          <w:rFonts w:cstheme="minorHAnsi"/>
          <w:highlight w:val="cyan"/>
        </w:rPr>
      </w:pPr>
      <w:r w:rsidRPr="000A271A">
        <w:rPr>
          <w:rFonts w:cstheme="minorHAnsi"/>
        </w:rPr>
        <w:t xml:space="preserve">You can only spend grant funds on eligible grant activities as defined in the grant details in your grant agreement. </w:t>
      </w:r>
    </w:p>
    <w:p w:rsidR="00340616" w:rsidRPr="00B72EE8" w:rsidRDefault="00340616" w:rsidP="00FE7AE6">
      <w:pPr>
        <w:pStyle w:val="Heading3Numbered"/>
      </w:pPr>
      <w:bookmarkStart w:id="50" w:name="_Toc509834948"/>
      <w:bookmarkStart w:id="51" w:name="_Toc509834950"/>
      <w:bookmarkStart w:id="52" w:name="_Toc467773961"/>
      <w:bookmarkStart w:id="53" w:name="_Toc519001788"/>
      <w:bookmarkEnd w:id="50"/>
      <w:bookmarkEnd w:id="51"/>
      <w:r w:rsidRPr="00B72EE8">
        <w:t xml:space="preserve">What </w:t>
      </w:r>
      <w:r>
        <w:t xml:space="preserve">the grant money </w:t>
      </w:r>
      <w:proofErr w:type="gramStart"/>
      <w:r>
        <w:t>cannot be used</w:t>
      </w:r>
      <w:proofErr w:type="gramEnd"/>
      <w:r>
        <w:t xml:space="preserve"> for?</w:t>
      </w:r>
      <w:bookmarkEnd w:id="52"/>
      <w:bookmarkEnd w:id="53"/>
    </w:p>
    <w:p w:rsidR="00340616" w:rsidRPr="000A271A" w:rsidRDefault="00340616" w:rsidP="00340616">
      <w:pPr>
        <w:rPr>
          <w:rFonts w:cstheme="minorHAnsi"/>
        </w:rPr>
      </w:pPr>
      <w:r w:rsidRPr="000A271A">
        <w:rPr>
          <w:rFonts w:cstheme="minorHAnsi"/>
        </w:rPr>
        <w:t xml:space="preserve">You cannot use the grant for the following activities: </w:t>
      </w:r>
    </w:p>
    <w:p w:rsidR="00340616" w:rsidRPr="000A271A" w:rsidRDefault="000915F7">
      <w:pPr>
        <w:pStyle w:val="Bullet1"/>
      </w:pPr>
      <w:r>
        <w:rPr>
          <w:rFonts w:cstheme="minorHAnsi"/>
        </w:rPr>
        <w:t xml:space="preserve">unidentified </w:t>
      </w:r>
      <w:r>
        <w:t xml:space="preserve">clients (where identity and demographic characteristics are not collected – see 11.4 Reporting) </w:t>
      </w:r>
      <w:r w:rsidRPr="000A271A" w:rsidDel="000915F7">
        <w:t xml:space="preserve"> </w:t>
      </w:r>
    </w:p>
    <w:p w:rsidR="000915F7" w:rsidRDefault="000915F7" w:rsidP="000A271A">
      <w:pPr>
        <w:pStyle w:val="Bullet1"/>
      </w:pPr>
      <w:r>
        <w:t xml:space="preserve">purchase of land </w:t>
      </w:r>
    </w:p>
    <w:p w:rsidR="00340616" w:rsidRDefault="00340616" w:rsidP="000A271A">
      <w:pPr>
        <w:pStyle w:val="Bullet1"/>
      </w:pPr>
      <w:r w:rsidRPr="000A271A">
        <w:t>wages</w:t>
      </w:r>
      <w:r w:rsidR="00FE3B5E">
        <w:t xml:space="preserve"> not directly related to the delivery of Emergency Relief</w:t>
      </w:r>
    </w:p>
    <w:p w:rsidR="00FE3B5E" w:rsidRPr="000A271A" w:rsidRDefault="00FE3B5E" w:rsidP="000A271A">
      <w:pPr>
        <w:pStyle w:val="Bullet1"/>
      </w:pPr>
      <w:r>
        <w:t>domestic travel/accommodation costs</w:t>
      </w:r>
    </w:p>
    <w:p w:rsidR="00340616" w:rsidRPr="000A271A" w:rsidRDefault="00340616" w:rsidP="000A271A">
      <w:pPr>
        <w:pStyle w:val="Bullet1"/>
      </w:pPr>
      <w:r w:rsidRPr="000A271A">
        <w:t xml:space="preserve">major capital expenditure </w:t>
      </w:r>
    </w:p>
    <w:p w:rsidR="00340616" w:rsidRPr="000A271A" w:rsidRDefault="00340616" w:rsidP="000A271A">
      <w:pPr>
        <w:pStyle w:val="Bullet1"/>
      </w:pPr>
      <w:r w:rsidRPr="000A271A">
        <w:t xml:space="preserve">the covering of retrospective costs </w:t>
      </w:r>
    </w:p>
    <w:p w:rsidR="00340616" w:rsidRPr="000A271A" w:rsidRDefault="00340616" w:rsidP="000A271A">
      <w:pPr>
        <w:pStyle w:val="Bullet1"/>
      </w:pPr>
      <w:r w:rsidRPr="000A271A">
        <w:t xml:space="preserve">costs incurred in the preparation of a grant application or related documentation </w:t>
      </w:r>
    </w:p>
    <w:p w:rsidR="00340616" w:rsidRPr="000A271A" w:rsidRDefault="00340616" w:rsidP="000A271A">
      <w:pPr>
        <w:pStyle w:val="Bullet1"/>
      </w:pPr>
      <w:r w:rsidRPr="000A271A">
        <w:t xml:space="preserve">subsidy of general ongoing administration of an organisation such as electricity, phone and rent </w:t>
      </w:r>
      <w:r w:rsidR="00FE3B5E">
        <w:t>not directly related to the delivery of Emergency Relief</w:t>
      </w:r>
    </w:p>
    <w:p w:rsidR="00340616" w:rsidRPr="000A271A" w:rsidRDefault="00340616" w:rsidP="000A271A">
      <w:pPr>
        <w:pStyle w:val="Bullet1"/>
      </w:pPr>
      <w:r w:rsidRPr="000A271A">
        <w:t xml:space="preserve">major construction/capital works  </w:t>
      </w:r>
    </w:p>
    <w:p w:rsidR="00340616" w:rsidRPr="000A271A" w:rsidRDefault="00B3578C" w:rsidP="000A271A">
      <w:pPr>
        <w:pStyle w:val="Bullet1"/>
      </w:pPr>
      <w:r>
        <w:t>overseas travel</w:t>
      </w:r>
    </w:p>
    <w:p w:rsidR="00340616" w:rsidRDefault="00340616" w:rsidP="000A271A">
      <w:pPr>
        <w:pStyle w:val="Bullet1"/>
      </w:pPr>
      <w:r w:rsidRPr="000A271A">
        <w:t>activities for which other Commonwealth, State, Territory or Local Government bod</w:t>
      </w:r>
      <w:r w:rsidR="00B3578C">
        <w:t>ies have primary responsibility</w:t>
      </w:r>
    </w:p>
    <w:p w:rsidR="00FE3B5E" w:rsidRDefault="008A1276" w:rsidP="000A271A">
      <w:pPr>
        <w:pStyle w:val="Bullet1"/>
      </w:pPr>
      <w:r>
        <w:t>l</w:t>
      </w:r>
      <w:r w:rsidR="00FE3B5E">
        <w:t>oan capital or matched savings payments</w:t>
      </w:r>
    </w:p>
    <w:p w:rsidR="00FE3B5E" w:rsidRPr="000A271A" w:rsidRDefault="008A1276" w:rsidP="000A271A">
      <w:pPr>
        <w:pStyle w:val="Bullet1"/>
      </w:pPr>
      <w:proofErr w:type="gramStart"/>
      <w:r>
        <w:t>f</w:t>
      </w:r>
      <w:r w:rsidR="00FE3B5E">
        <w:t>unding</w:t>
      </w:r>
      <w:proofErr w:type="gramEnd"/>
      <w:r w:rsidR="00FE3B5E">
        <w:t xml:space="preserve"> or establishing grants for peak bodies or other new organisations (legal entities</w:t>
      </w:r>
      <w:r w:rsidR="00AE443F">
        <w:t>)</w:t>
      </w:r>
      <w:r w:rsidR="00B3578C">
        <w:t>.</w:t>
      </w:r>
    </w:p>
    <w:p w:rsidR="00340616" w:rsidRPr="00B72EE8" w:rsidRDefault="00340616" w:rsidP="00A632E3">
      <w:pPr>
        <w:pStyle w:val="Heading1Numbered"/>
      </w:pPr>
      <w:bookmarkStart w:id="54" w:name="_Toc509834954"/>
      <w:bookmarkStart w:id="55" w:name="_Toc509834955"/>
      <w:bookmarkStart w:id="56" w:name="_Toc509834957"/>
      <w:bookmarkStart w:id="57" w:name="_Toc509834961"/>
      <w:bookmarkStart w:id="58" w:name="_Toc414983554"/>
      <w:bookmarkStart w:id="59" w:name="_Toc414983971"/>
      <w:bookmarkStart w:id="60" w:name="_Toc414984731"/>
      <w:bookmarkStart w:id="61" w:name="_Toc414984825"/>
      <w:bookmarkStart w:id="62" w:name="_Toc414984929"/>
      <w:bookmarkStart w:id="63" w:name="_Toc414985033"/>
      <w:bookmarkStart w:id="64" w:name="_Toc414985136"/>
      <w:bookmarkStart w:id="65" w:name="_Toc414985238"/>
      <w:bookmarkStart w:id="66" w:name="_Toc467773963"/>
      <w:bookmarkStart w:id="67" w:name="_Toc519001789"/>
      <w:bookmarkStart w:id="68" w:name="_Ref416444108"/>
      <w:bookmarkStart w:id="69" w:name="_Toc421777599"/>
      <w:bookmarkEnd w:id="54"/>
      <w:bookmarkEnd w:id="55"/>
      <w:bookmarkEnd w:id="56"/>
      <w:bookmarkEnd w:id="57"/>
      <w:bookmarkEnd w:id="58"/>
      <w:bookmarkEnd w:id="59"/>
      <w:bookmarkEnd w:id="60"/>
      <w:bookmarkEnd w:id="61"/>
      <w:bookmarkEnd w:id="62"/>
      <w:bookmarkEnd w:id="63"/>
      <w:bookmarkEnd w:id="64"/>
      <w:bookmarkEnd w:id="65"/>
      <w:r>
        <w:t>The grant s</w:t>
      </w:r>
      <w:r w:rsidRPr="00B72EE8">
        <w:t xml:space="preserve">election </w:t>
      </w:r>
      <w:r>
        <w:t>p</w:t>
      </w:r>
      <w:r w:rsidRPr="00B72EE8">
        <w:t>rocess</w:t>
      </w:r>
      <w:bookmarkEnd w:id="66"/>
      <w:bookmarkEnd w:id="67"/>
    </w:p>
    <w:p w:rsidR="00340616" w:rsidRPr="00A632E3" w:rsidRDefault="00340616" w:rsidP="00340616">
      <w:pPr>
        <w:rPr>
          <w:rFonts w:cstheme="minorHAnsi"/>
        </w:rPr>
      </w:pPr>
      <w:proofErr w:type="gramStart"/>
      <w:r w:rsidRPr="00A632E3">
        <w:rPr>
          <w:rFonts w:cstheme="minorHAnsi"/>
        </w:rPr>
        <w:t>First</w:t>
      </w:r>
      <w:proofErr w:type="gramEnd"/>
      <w:r w:rsidRPr="00A632E3">
        <w:rPr>
          <w:rFonts w:cstheme="minorHAnsi"/>
        </w:rPr>
        <w:t xml:space="preserve"> we will assess your </w:t>
      </w:r>
      <w:r w:rsidR="00963B07">
        <w:rPr>
          <w:rFonts w:cstheme="minorHAnsi"/>
        </w:rPr>
        <w:t>application/s</w:t>
      </w:r>
      <w:r w:rsidRPr="00A632E3">
        <w:rPr>
          <w:rFonts w:cstheme="minorHAnsi"/>
        </w:rPr>
        <w:t xml:space="preserve"> against the eligibility criteria. Only eligible applications will move to the next stage. Eligible applications </w:t>
      </w:r>
      <w:proofErr w:type="gramStart"/>
      <w:r w:rsidRPr="00A632E3">
        <w:rPr>
          <w:rFonts w:cstheme="minorHAnsi"/>
        </w:rPr>
        <w:t>will be considered</w:t>
      </w:r>
      <w:proofErr w:type="gramEnd"/>
      <w:r w:rsidRPr="00A632E3">
        <w:rPr>
          <w:rFonts w:cstheme="minorHAnsi"/>
        </w:rPr>
        <w:t xml:space="preserve"> through an </w:t>
      </w:r>
      <w:r w:rsidRPr="008E754C">
        <w:rPr>
          <w:rFonts w:cstheme="minorHAnsi"/>
        </w:rPr>
        <w:t>open</w:t>
      </w:r>
      <w:r w:rsidRPr="00A632E3">
        <w:rPr>
          <w:rFonts w:cstheme="minorHAnsi"/>
          <w:b/>
          <w:color w:val="745B00" w:themeColor="accent3" w:themeShade="80"/>
        </w:rPr>
        <w:t xml:space="preserve"> </w:t>
      </w:r>
      <w:r w:rsidRPr="00A632E3">
        <w:rPr>
          <w:rFonts w:cstheme="minorHAnsi"/>
        </w:rPr>
        <w:t>competitive grant process.</w:t>
      </w:r>
    </w:p>
    <w:p w:rsidR="00340616" w:rsidRPr="00A632E3" w:rsidRDefault="00340616" w:rsidP="00A632E3">
      <w:pPr>
        <w:pStyle w:val="Bullet1"/>
        <w:numPr>
          <w:ilvl w:val="0"/>
          <w:numId w:val="0"/>
        </w:numPr>
      </w:pPr>
      <w:r w:rsidRPr="00A632E3">
        <w:rPr>
          <w:rFonts w:cstheme="minorHAnsi"/>
        </w:rPr>
        <w:t xml:space="preserve">We will then assess your </w:t>
      </w:r>
      <w:r w:rsidR="00963B07">
        <w:rPr>
          <w:rFonts w:cstheme="minorHAnsi"/>
        </w:rPr>
        <w:t>application/s</w:t>
      </w:r>
      <w:r w:rsidRPr="00A632E3">
        <w:rPr>
          <w:rFonts w:cstheme="minorHAnsi"/>
        </w:rPr>
        <w:t xml:space="preserve"> against the criteria set out below and against other applications. Your </w:t>
      </w:r>
      <w:r w:rsidR="00963B07">
        <w:rPr>
          <w:rFonts w:cstheme="minorHAnsi"/>
        </w:rPr>
        <w:t>application/s</w:t>
      </w:r>
      <w:r w:rsidRPr="00A632E3">
        <w:rPr>
          <w:rFonts w:cstheme="minorHAnsi"/>
        </w:rPr>
        <w:t xml:space="preserve"> </w:t>
      </w:r>
      <w:proofErr w:type="gramStart"/>
      <w:r w:rsidRPr="00A632E3">
        <w:rPr>
          <w:rFonts w:cstheme="minorHAnsi"/>
        </w:rPr>
        <w:t>will be considered</w:t>
      </w:r>
      <w:proofErr w:type="gramEnd"/>
      <w:r w:rsidRPr="00A632E3">
        <w:rPr>
          <w:rFonts w:cstheme="minorHAnsi"/>
        </w:rPr>
        <w:t xml:space="preserve"> on its merits, based </w:t>
      </w:r>
      <w:r w:rsidRPr="00A632E3">
        <w:t>on:</w:t>
      </w:r>
    </w:p>
    <w:p w:rsidR="00340616" w:rsidRPr="00A632E3" w:rsidRDefault="00340616" w:rsidP="00A632E3">
      <w:pPr>
        <w:pStyle w:val="Bullet1"/>
      </w:pPr>
      <w:r w:rsidRPr="00A632E3">
        <w:t>how well it meets the criteria</w:t>
      </w:r>
      <w:r w:rsidR="00565B54">
        <w:t>;</w:t>
      </w:r>
    </w:p>
    <w:p w:rsidR="00340616" w:rsidRPr="00A632E3" w:rsidRDefault="00340616" w:rsidP="00A632E3">
      <w:pPr>
        <w:pStyle w:val="Bullet1"/>
      </w:pPr>
      <w:r w:rsidRPr="00A632E3">
        <w:lastRenderedPageBreak/>
        <w:t>how it compares to other appli</w:t>
      </w:r>
      <w:r w:rsidR="00B3578C">
        <w:t>cations</w:t>
      </w:r>
      <w:r w:rsidR="00565B54">
        <w:t>;</w:t>
      </w:r>
    </w:p>
    <w:p w:rsidR="005F65A5" w:rsidRDefault="00340616" w:rsidP="00DC317A">
      <w:pPr>
        <w:pStyle w:val="Bullet1"/>
      </w:pPr>
      <w:r w:rsidRPr="00A632E3">
        <w:t>whether it provides value for money</w:t>
      </w:r>
      <w:r w:rsidR="00565B54">
        <w:t>; and</w:t>
      </w:r>
    </w:p>
    <w:p w:rsidR="00CF49AB" w:rsidRDefault="005F65A5" w:rsidP="003A739E">
      <w:pPr>
        <w:pStyle w:val="Bullet1"/>
      </w:pPr>
      <w:proofErr w:type="gramStart"/>
      <w:r w:rsidRPr="00565B54">
        <w:t>the</w:t>
      </w:r>
      <w:proofErr w:type="gramEnd"/>
      <w:r w:rsidRPr="00565B54">
        <w:t xml:space="preserve"> type of organisation you are and experience you provide</w:t>
      </w:r>
      <w:r>
        <w:t>.</w:t>
      </w:r>
    </w:p>
    <w:p w:rsidR="00CF49AB" w:rsidRPr="003A739E" w:rsidRDefault="00CF49AB" w:rsidP="00CF49AB">
      <w:pPr>
        <w:pStyle w:val="Heading2Numbered"/>
        <w:numPr>
          <w:ilvl w:val="0"/>
          <w:numId w:val="0"/>
        </w:numPr>
        <w:tabs>
          <w:tab w:val="left" w:pos="567"/>
        </w:tabs>
      </w:pPr>
      <w:bookmarkStart w:id="70" w:name="_Toc500489699"/>
      <w:bookmarkStart w:id="71" w:name="_Toc511377650"/>
      <w:bookmarkStart w:id="72" w:name="_Toc519001790"/>
      <w:r w:rsidRPr="003A739E">
        <w:t>4.1</w:t>
      </w:r>
      <w:r w:rsidRPr="003A739E">
        <w:tab/>
        <w:t>Financial Viability</w:t>
      </w:r>
      <w:bookmarkEnd w:id="70"/>
      <w:bookmarkEnd w:id="71"/>
      <w:bookmarkEnd w:id="72"/>
    </w:p>
    <w:p w:rsidR="00CF49AB" w:rsidRPr="003A739E" w:rsidRDefault="00CF49AB" w:rsidP="00CF49AB">
      <w:pPr>
        <w:rPr>
          <w:rFonts w:cstheme="minorHAnsi"/>
        </w:rPr>
      </w:pPr>
      <w:r w:rsidRPr="003A739E">
        <w:rPr>
          <w:rFonts w:cstheme="minorHAnsi"/>
        </w:rPr>
        <w:t xml:space="preserve">Grant applicants may be subject to a Financial Viability assessment. The Financial Viability assessment forms part of the risk mitigation strategy and can include: </w:t>
      </w:r>
    </w:p>
    <w:p w:rsidR="00CF49AB" w:rsidRPr="003A739E" w:rsidRDefault="00CF49AB" w:rsidP="00CF49AB">
      <w:pPr>
        <w:numPr>
          <w:ilvl w:val="0"/>
          <w:numId w:val="21"/>
        </w:numPr>
        <w:suppressAutoHyphens w:val="0"/>
        <w:spacing w:before="120"/>
        <w:rPr>
          <w:rFonts w:cstheme="minorHAnsi"/>
        </w:rPr>
      </w:pPr>
      <w:r w:rsidRPr="003A739E">
        <w:rPr>
          <w:rFonts w:cstheme="minorHAnsi"/>
        </w:rPr>
        <w:t>establishing whether relevant persons have any adverse business history (for example current or past bankruptcy)</w:t>
      </w:r>
    </w:p>
    <w:p w:rsidR="00CF49AB" w:rsidRPr="003A739E" w:rsidRDefault="00CF49AB" w:rsidP="00CF49AB">
      <w:pPr>
        <w:numPr>
          <w:ilvl w:val="0"/>
          <w:numId w:val="21"/>
        </w:numPr>
        <w:suppressAutoHyphens w:val="0"/>
        <w:spacing w:before="120"/>
        <w:rPr>
          <w:rFonts w:cstheme="minorHAnsi"/>
        </w:rPr>
      </w:pPr>
      <w:r w:rsidRPr="003A739E">
        <w:rPr>
          <w:rFonts w:cstheme="minorHAnsi"/>
        </w:rPr>
        <w:t xml:space="preserve">assessment of the financial health of an entity </w:t>
      </w:r>
    </w:p>
    <w:p w:rsidR="00340616" w:rsidRPr="00B72EE8" w:rsidRDefault="00340616" w:rsidP="00A632E3">
      <w:pPr>
        <w:pStyle w:val="Heading1Numbered"/>
      </w:pPr>
      <w:bookmarkStart w:id="73" w:name="_Toc515533455"/>
      <w:bookmarkStart w:id="74" w:name="_Ref421697890"/>
      <w:bookmarkStart w:id="75" w:name="_Ref421697892"/>
      <w:bookmarkStart w:id="76" w:name="_Toc421777600"/>
      <w:bookmarkStart w:id="77" w:name="_Toc467773964"/>
      <w:bookmarkStart w:id="78" w:name="_Toc519001791"/>
      <w:bookmarkEnd w:id="68"/>
      <w:bookmarkEnd w:id="69"/>
      <w:bookmarkEnd w:id="73"/>
      <w:r>
        <w:t>The a</w:t>
      </w:r>
      <w:r w:rsidRPr="00B72EE8">
        <w:t xml:space="preserve">ssessment </w:t>
      </w:r>
      <w:r>
        <w:t>c</w:t>
      </w:r>
      <w:r w:rsidRPr="00B72EE8">
        <w:t>riteria</w:t>
      </w:r>
      <w:bookmarkEnd w:id="74"/>
      <w:bookmarkEnd w:id="75"/>
      <w:bookmarkEnd w:id="76"/>
      <w:bookmarkEnd w:id="77"/>
      <w:bookmarkEnd w:id="78"/>
    </w:p>
    <w:p w:rsidR="00340616" w:rsidRPr="003D7AF4" w:rsidRDefault="00340616" w:rsidP="0096666A">
      <w:pPr>
        <w:rPr>
          <w:rFonts w:cstheme="minorHAnsi"/>
        </w:rPr>
      </w:pPr>
      <w:r w:rsidRPr="00E44E21">
        <w:t xml:space="preserve">You will need to address </w:t>
      </w:r>
      <w:r w:rsidRPr="008E754C">
        <w:t xml:space="preserve">all of </w:t>
      </w:r>
      <w:r w:rsidRPr="00E44E21">
        <w:t xml:space="preserve">the following assessment criteria in your </w:t>
      </w:r>
      <w:r w:rsidR="00963B07">
        <w:t>application/s</w:t>
      </w:r>
      <w:r w:rsidRPr="00E44E21">
        <w:t xml:space="preserve">. The </w:t>
      </w:r>
      <w:r w:rsidRPr="00070397">
        <w:rPr>
          <w:rFonts w:cstheme="minorHAnsi"/>
        </w:rPr>
        <w:t xml:space="preserve">amount of detail and supporting evidence you provide in your </w:t>
      </w:r>
      <w:r w:rsidR="00963B07">
        <w:rPr>
          <w:rFonts w:cstheme="minorHAnsi"/>
        </w:rPr>
        <w:t>application/s</w:t>
      </w:r>
      <w:r w:rsidRPr="003D7AF4">
        <w:rPr>
          <w:rFonts w:cstheme="minorHAnsi"/>
        </w:rPr>
        <w:t xml:space="preserve"> should be relative to the project size, complexity and grant amount requested. </w:t>
      </w:r>
    </w:p>
    <w:p w:rsidR="005D106F" w:rsidRPr="00DF400A" w:rsidRDefault="005D106F" w:rsidP="005D106F">
      <w:pPr>
        <w:spacing w:before="0" w:after="0" w:line="240" w:lineRule="auto"/>
        <w:rPr>
          <w:rFonts w:cstheme="minorHAnsi"/>
          <w:b/>
          <w:highlight w:val="yellow"/>
        </w:rPr>
      </w:pPr>
    </w:p>
    <w:p w:rsidR="00671AE0" w:rsidRPr="003D7AF4" w:rsidRDefault="00671AE0" w:rsidP="00671AE0">
      <w:pPr>
        <w:spacing w:before="0" w:after="0" w:line="240" w:lineRule="auto"/>
        <w:rPr>
          <w:rFonts w:cstheme="minorHAnsi"/>
          <w:b/>
        </w:rPr>
      </w:pPr>
      <w:r w:rsidRPr="00070397">
        <w:rPr>
          <w:rFonts w:cstheme="minorHAnsi"/>
          <w:b/>
        </w:rPr>
        <w:t>Criteria 1: Describe your organisation and its capacity to deliver Commonwealth Em</w:t>
      </w:r>
      <w:r w:rsidRPr="003D7AF4">
        <w:rPr>
          <w:rFonts w:cstheme="minorHAnsi"/>
          <w:b/>
        </w:rPr>
        <w:t xml:space="preserve">ergency Relief </w:t>
      </w:r>
      <w:r w:rsidR="001C19E4">
        <w:rPr>
          <w:rFonts w:cstheme="minorHAnsi"/>
          <w:b/>
        </w:rPr>
        <w:t xml:space="preserve">services </w:t>
      </w:r>
      <w:r w:rsidRPr="003D7AF4">
        <w:rPr>
          <w:rFonts w:cstheme="minorHAnsi"/>
          <w:b/>
        </w:rPr>
        <w:t xml:space="preserve">in the target area </w:t>
      </w:r>
      <w:r w:rsidR="00F86961" w:rsidRPr="003D7AF4">
        <w:rPr>
          <w:rFonts w:cstheme="minorHAnsi"/>
          <w:b/>
        </w:rPr>
        <w:t>(relevant SA4</w:t>
      </w:r>
      <w:r w:rsidR="00864908">
        <w:rPr>
          <w:rFonts w:cstheme="minorHAnsi"/>
          <w:b/>
        </w:rPr>
        <w:t>/SA2</w:t>
      </w:r>
      <w:r w:rsidR="00F86961" w:rsidRPr="003D7AF4">
        <w:rPr>
          <w:rFonts w:cstheme="minorHAnsi"/>
          <w:b/>
        </w:rPr>
        <w:t>).</w:t>
      </w:r>
    </w:p>
    <w:p w:rsidR="00671AE0" w:rsidRPr="007531C3" w:rsidRDefault="00671AE0" w:rsidP="00671AE0">
      <w:pPr>
        <w:spacing w:before="0" w:after="0" w:line="240" w:lineRule="auto"/>
        <w:rPr>
          <w:rFonts w:cstheme="minorHAnsi"/>
          <w:b/>
        </w:rPr>
      </w:pPr>
    </w:p>
    <w:p w:rsidR="00671AE0" w:rsidRPr="007531C3" w:rsidRDefault="00671AE0" w:rsidP="007531C3">
      <w:pPr>
        <w:spacing w:before="0" w:after="0" w:line="240" w:lineRule="auto"/>
        <w:rPr>
          <w:rFonts w:asciiTheme="majorHAnsi" w:hAnsiTheme="majorHAnsi" w:cstheme="majorHAnsi"/>
        </w:rPr>
      </w:pPr>
      <w:r w:rsidRPr="007531C3">
        <w:rPr>
          <w:rFonts w:cstheme="minorHAnsi"/>
        </w:rPr>
        <w:t>Your</w:t>
      </w:r>
      <w:r w:rsidRPr="007531C3">
        <w:rPr>
          <w:rFonts w:asciiTheme="majorHAnsi" w:hAnsiTheme="majorHAnsi" w:cstheme="majorHAnsi"/>
        </w:rPr>
        <w:t xml:space="preserve"> response should include information about:</w:t>
      </w:r>
    </w:p>
    <w:p w:rsidR="00671AE0" w:rsidRPr="00B3578C" w:rsidRDefault="00671AE0" w:rsidP="00B3578C">
      <w:pPr>
        <w:pStyle w:val="Bullet1"/>
      </w:pPr>
      <w:r w:rsidRPr="00B3578C">
        <w:t>your organisation and what services it de</w:t>
      </w:r>
      <w:r w:rsidR="0051570D" w:rsidRPr="00B3578C">
        <w:t>livers (i</w:t>
      </w:r>
      <w:r w:rsidR="00280A5E">
        <w:t>.</w:t>
      </w:r>
      <w:r w:rsidR="0051570D" w:rsidRPr="00B3578C">
        <w:t>e</w:t>
      </w:r>
      <w:r w:rsidR="00280A5E">
        <w:t>.</w:t>
      </w:r>
      <w:r w:rsidR="0051570D" w:rsidRPr="00B3578C">
        <w:t xml:space="preserve"> </w:t>
      </w:r>
      <w:r w:rsidR="00CA6E22" w:rsidRPr="00B3578C">
        <w:t xml:space="preserve">type of services, </w:t>
      </w:r>
      <w:r w:rsidRPr="00B3578C">
        <w:t>outlet locations, hours of operatio</w:t>
      </w:r>
      <w:r w:rsidR="00CA6E22" w:rsidRPr="00B3578C">
        <w:t>n, proximity to transport, size</w:t>
      </w:r>
      <w:r w:rsidR="00B3578C">
        <w:t>)</w:t>
      </w:r>
    </w:p>
    <w:p w:rsidR="00671AE0" w:rsidRPr="00B3578C" w:rsidRDefault="00671AE0" w:rsidP="00B3578C">
      <w:pPr>
        <w:pStyle w:val="Bullet1"/>
      </w:pPr>
      <w:r w:rsidRPr="00B3578C">
        <w:t xml:space="preserve">staff/volunteers </w:t>
      </w:r>
      <w:r w:rsidR="00765846">
        <w:t xml:space="preserve">who will be </w:t>
      </w:r>
      <w:r w:rsidRPr="00B3578C">
        <w:t>directly and indirectly delivering Emergency Relief (i</w:t>
      </w:r>
      <w:r w:rsidR="00280A5E">
        <w:t>.</w:t>
      </w:r>
      <w:r w:rsidRPr="00B3578C">
        <w:t>e</w:t>
      </w:r>
      <w:r w:rsidR="00280A5E">
        <w:t>.</w:t>
      </w:r>
      <w:r w:rsidRPr="00B3578C">
        <w:t xml:space="preserve"> paid and unpaid staff, administration suppo</w:t>
      </w:r>
      <w:r w:rsidR="00B3578C">
        <w:t>rt)</w:t>
      </w:r>
    </w:p>
    <w:p w:rsidR="00E22ED6" w:rsidRDefault="00671AE0" w:rsidP="00B3578C">
      <w:pPr>
        <w:pStyle w:val="Bullet1"/>
      </w:pPr>
      <w:proofErr w:type="gramStart"/>
      <w:r w:rsidRPr="00B3578C">
        <w:t>development</w:t>
      </w:r>
      <w:proofErr w:type="gramEnd"/>
      <w:r w:rsidRPr="00B3578C">
        <w:t xml:space="preserve"> and training </w:t>
      </w:r>
      <w:r w:rsidR="00765846">
        <w:t xml:space="preserve">you will be </w:t>
      </w:r>
      <w:r w:rsidRPr="00B3578C">
        <w:t>provid</w:t>
      </w:r>
      <w:r w:rsidR="00765846">
        <w:t>ing</w:t>
      </w:r>
      <w:r w:rsidRPr="00B3578C">
        <w:t xml:space="preserve"> staff (paid and unpaid) to ensure they have the necessary skills and support to deliver services to</w:t>
      </w:r>
      <w:r w:rsidR="00053443">
        <w:t xml:space="preserve"> people under financial stress</w:t>
      </w:r>
      <w:r w:rsidR="00280A5E">
        <w:t>.</w:t>
      </w:r>
      <w:r w:rsidR="00BD70D0" w:rsidRPr="00B3578C">
        <w:t xml:space="preserve"> </w:t>
      </w:r>
    </w:p>
    <w:p w:rsidR="00B3578C" w:rsidRPr="00B3578C" w:rsidRDefault="00B3578C" w:rsidP="00A11749">
      <w:pPr>
        <w:pStyle w:val="Bullet1"/>
        <w:numPr>
          <w:ilvl w:val="0"/>
          <w:numId w:val="0"/>
        </w:numPr>
        <w:ind w:left="284"/>
      </w:pPr>
    </w:p>
    <w:p w:rsidR="00671AE0" w:rsidRDefault="00671AE0" w:rsidP="00671AE0">
      <w:pPr>
        <w:spacing w:before="0" w:after="0" w:line="240" w:lineRule="auto"/>
        <w:rPr>
          <w:rFonts w:cstheme="minorHAnsi"/>
          <w:b/>
        </w:rPr>
      </w:pPr>
      <w:r w:rsidRPr="003D7AF4">
        <w:rPr>
          <w:rFonts w:cstheme="minorHAnsi"/>
          <w:b/>
        </w:rPr>
        <w:t>Criteria 2: Explain how your organisation will deliver Commonwealth Emergency Relief</w:t>
      </w:r>
      <w:r w:rsidR="00A90073">
        <w:rPr>
          <w:rFonts w:cstheme="minorHAnsi"/>
          <w:b/>
        </w:rPr>
        <w:t xml:space="preserve"> </w:t>
      </w:r>
      <w:r w:rsidRPr="003D7AF4">
        <w:rPr>
          <w:rFonts w:cstheme="minorHAnsi"/>
          <w:b/>
        </w:rPr>
        <w:t xml:space="preserve">services to people in financial crisis. </w:t>
      </w:r>
    </w:p>
    <w:p w:rsidR="007531C3" w:rsidRPr="003D7AF4" w:rsidRDefault="007531C3" w:rsidP="00671AE0">
      <w:pPr>
        <w:spacing w:before="0" w:after="0" w:line="240" w:lineRule="auto"/>
        <w:rPr>
          <w:rFonts w:cstheme="minorHAnsi"/>
          <w:b/>
        </w:rPr>
      </w:pPr>
    </w:p>
    <w:p w:rsidR="00671AE0" w:rsidRPr="00B3578C" w:rsidRDefault="007531C3" w:rsidP="007531C3">
      <w:pPr>
        <w:spacing w:before="0" w:after="0" w:line="240" w:lineRule="auto"/>
        <w:rPr>
          <w:rFonts w:cstheme="minorHAnsi"/>
        </w:rPr>
      </w:pPr>
      <w:r>
        <w:rPr>
          <w:rFonts w:cstheme="minorHAnsi"/>
        </w:rPr>
        <w:t>Y</w:t>
      </w:r>
      <w:r w:rsidR="00671AE0" w:rsidRPr="00DF400A">
        <w:rPr>
          <w:rFonts w:cstheme="minorHAnsi"/>
        </w:rPr>
        <w:t xml:space="preserve">our response should </w:t>
      </w:r>
      <w:r w:rsidR="00671AE0" w:rsidRPr="00B3578C">
        <w:rPr>
          <w:rFonts w:cstheme="minorHAnsi"/>
        </w:rPr>
        <w:t>include</w:t>
      </w:r>
      <w:r w:rsidR="005F3DAD">
        <w:rPr>
          <w:rFonts w:cstheme="minorHAnsi"/>
        </w:rPr>
        <w:t xml:space="preserve"> information about</w:t>
      </w:r>
      <w:r w:rsidR="00671AE0" w:rsidRPr="00B3578C">
        <w:rPr>
          <w:rFonts w:cstheme="minorHAnsi"/>
        </w:rPr>
        <w:t xml:space="preserve"> how your organisation will:</w:t>
      </w:r>
    </w:p>
    <w:p w:rsidR="00671AE0" w:rsidRPr="00B3578C" w:rsidRDefault="00F86961" w:rsidP="00B3578C">
      <w:pPr>
        <w:pStyle w:val="Bullet1"/>
      </w:pPr>
      <w:r w:rsidRPr="00B3578C">
        <w:t xml:space="preserve">assess clients to determine </w:t>
      </w:r>
      <w:r w:rsidR="00A66BC3" w:rsidRPr="00B3578C">
        <w:t>they are eligible</w:t>
      </w:r>
      <w:r w:rsidRPr="00B3578C">
        <w:t xml:space="preserve"> </w:t>
      </w:r>
      <w:r w:rsidR="00FE7AE6" w:rsidRPr="00B3578C">
        <w:t xml:space="preserve">(see </w:t>
      </w:r>
      <w:r w:rsidR="0051570D" w:rsidRPr="00B3578C">
        <w:t>eligibility information under 1.4) t</w:t>
      </w:r>
      <w:r w:rsidR="00671AE0" w:rsidRPr="00B3578C">
        <w:t>o receive services unde</w:t>
      </w:r>
      <w:r w:rsidR="00552849">
        <w:t>r</w:t>
      </w:r>
      <w:r w:rsidR="00B3578C">
        <w:t xml:space="preserve"> </w:t>
      </w:r>
      <w:r w:rsidR="00053443">
        <w:t>Emergency Relief</w:t>
      </w:r>
    </w:p>
    <w:p w:rsidR="00671AE0" w:rsidRPr="00053443" w:rsidRDefault="00671AE0" w:rsidP="00B3578C">
      <w:pPr>
        <w:pStyle w:val="Bullet1"/>
      </w:pPr>
      <w:r w:rsidRPr="00053443">
        <w:t xml:space="preserve">provide </w:t>
      </w:r>
      <w:r w:rsidR="00FA2AC3" w:rsidRPr="00053443">
        <w:t xml:space="preserve">services within a framework of engagement and referral </w:t>
      </w:r>
      <w:r w:rsidRPr="00053443">
        <w:t xml:space="preserve">that looks beyond </w:t>
      </w:r>
      <w:r w:rsidR="00280A5E" w:rsidRPr="00053443">
        <w:t>the</w:t>
      </w:r>
      <w:r w:rsidR="00280A5E">
        <w:t xml:space="preserve"> clients’ </w:t>
      </w:r>
      <w:r w:rsidRPr="00053443">
        <w:t>need for immediate financial assistance (i</w:t>
      </w:r>
      <w:r w:rsidR="00280A5E">
        <w:t>.</w:t>
      </w:r>
      <w:r w:rsidRPr="00053443">
        <w:t>e</w:t>
      </w:r>
      <w:r w:rsidR="00280A5E">
        <w:t>.</w:t>
      </w:r>
      <w:r w:rsidRPr="00053443">
        <w:t xml:space="preserve"> housing, b</w:t>
      </w:r>
      <w:r w:rsidR="00B3578C" w:rsidRPr="00053443">
        <w:t>udgeting skills, education)</w:t>
      </w:r>
      <w:r w:rsidR="0025171C" w:rsidRPr="00053443">
        <w:t xml:space="preserve"> </w:t>
      </w:r>
    </w:p>
    <w:p w:rsidR="00671AE0" w:rsidRPr="00B3578C" w:rsidRDefault="00671AE0" w:rsidP="00B3578C">
      <w:pPr>
        <w:pStyle w:val="Bullet1"/>
      </w:pPr>
      <w:proofErr w:type="gramStart"/>
      <w:r w:rsidRPr="00B3578C">
        <w:t>leverage</w:t>
      </w:r>
      <w:proofErr w:type="gramEnd"/>
      <w:r w:rsidRPr="00B3578C">
        <w:t xml:space="preserve"> other sources of funding, resources and/or support to address </w:t>
      </w:r>
      <w:r w:rsidR="00F86961" w:rsidRPr="00B3578C">
        <w:t xml:space="preserve">the need </w:t>
      </w:r>
      <w:r w:rsidR="00053443">
        <w:t>for Emergency Relief service</w:t>
      </w:r>
      <w:r w:rsidR="00433A1C">
        <w:t>s</w:t>
      </w:r>
      <w:r w:rsidR="00280A5E">
        <w:t>.</w:t>
      </w:r>
    </w:p>
    <w:p w:rsidR="00CF17A8" w:rsidRDefault="00CF17A8" w:rsidP="00671AE0">
      <w:pPr>
        <w:spacing w:before="0" w:after="0" w:line="240" w:lineRule="auto"/>
        <w:rPr>
          <w:rFonts w:cstheme="minorHAnsi"/>
          <w:b/>
        </w:rPr>
      </w:pPr>
    </w:p>
    <w:p w:rsidR="00671AE0" w:rsidRPr="003D7AF4" w:rsidRDefault="00671AE0" w:rsidP="00671AE0">
      <w:pPr>
        <w:spacing w:before="0" w:after="0" w:line="240" w:lineRule="auto"/>
        <w:rPr>
          <w:rFonts w:cstheme="minorHAnsi"/>
          <w:b/>
        </w:rPr>
      </w:pPr>
      <w:r w:rsidRPr="003D7AF4">
        <w:rPr>
          <w:rFonts w:cstheme="minorHAnsi"/>
          <w:b/>
        </w:rPr>
        <w:lastRenderedPageBreak/>
        <w:t xml:space="preserve">Criteria 3: </w:t>
      </w:r>
      <w:r w:rsidR="007F1A93">
        <w:rPr>
          <w:rFonts w:cstheme="minorHAnsi"/>
          <w:b/>
        </w:rPr>
        <w:t xml:space="preserve">Explain how your </w:t>
      </w:r>
      <w:r w:rsidRPr="003D7AF4">
        <w:rPr>
          <w:rFonts w:cstheme="minorHAnsi"/>
          <w:b/>
        </w:rPr>
        <w:t xml:space="preserve">organisation will work </w:t>
      </w:r>
      <w:r w:rsidR="007F1A93">
        <w:rPr>
          <w:rFonts w:cstheme="minorHAnsi"/>
          <w:b/>
        </w:rPr>
        <w:t xml:space="preserve">to recognise and support vulnerable people with complex needs (including </w:t>
      </w:r>
      <w:r w:rsidRPr="003D7AF4">
        <w:rPr>
          <w:rFonts w:cstheme="minorHAnsi"/>
          <w:b/>
        </w:rPr>
        <w:t>collaboratively with other services</w:t>
      </w:r>
      <w:r w:rsidR="007F1A93">
        <w:rPr>
          <w:rFonts w:cstheme="minorHAnsi"/>
          <w:b/>
        </w:rPr>
        <w:t>)</w:t>
      </w:r>
      <w:r w:rsidRPr="003D7AF4">
        <w:rPr>
          <w:rFonts w:cstheme="minorHAnsi"/>
          <w:b/>
        </w:rPr>
        <w:t>.</w:t>
      </w:r>
    </w:p>
    <w:p w:rsidR="00671AE0" w:rsidRPr="00DF400A" w:rsidRDefault="00671AE0" w:rsidP="00671AE0">
      <w:pPr>
        <w:rPr>
          <w:rFonts w:cstheme="minorHAnsi"/>
        </w:rPr>
      </w:pPr>
      <w:r w:rsidRPr="00DF400A">
        <w:rPr>
          <w:rFonts w:cstheme="minorHAnsi"/>
        </w:rPr>
        <w:t>Your response should include</w:t>
      </w:r>
      <w:r w:rsidR="005F3DAD">
        <w:rPr>
          <w:rFonts w:cstheme="minorHAnsi"/>
        </w:rPr>
        <w:t xml:space="preserve"> information about </w:t>
      </w:r>
      <w:r w:rsidRPr="00DF400A">
        <w:rPr>
          <w:rFonts w:cstheme="minorHAnsi"/>
        </w:rPr>
        <w:t xml:space="preserve">how your organisation will: </w:t>
      </w:r>
    </w:p>
    <w:p w:rsidR="00671AE0" w:rsidRPr="00B3578C" w:rsidRDefault="00671AE0" w:rsidP="00B3578C">
      <w:pPr>
        <w:pStyle w:val="Bullet1"/>
      </w:pPr>
      <w:r w:rsidRPr="00B3578C">
        <w:t>maintain or develop strong collaborative relationships with local support services (i</w:t>
      </w:r>
      <w:r w:rsidR="00280A5E">
        <w:t>.</w:t>
      </w:r>
      <w:r w:rsidRPr="00B3578C">
        <w:t>e</w:t>
      </w:r>
      <w:r w:rsidR="00280A5E">
        <w:t>.</w:t>
      </w:r>
      <w:r w:rsidRPr="00B3578C">
        <w:t xml:space="preserve"> family relationship services, job active providers, </w:t>
      </w:r>
      <w:r w:rsidR="007F1A93" w:rsidRPr="00B3578C">
        <w:t xml:space="preserve">refugee services, </w:t>
      </w:r>
      <w:r w:rsidRPr="00B3578C">
        <w:t>domestic violence services, mental h</w:t>
      </w:r>
      <w:r w:rsidR="00FA2AC3">
        <w:t xml:space="preserve">ealth, </w:t>
      </w:r>
      <w:r w:rsidR="00B3578C">
        <w:t>housing programs</w:t>
      </w:r>
      <w:r w:rsidR="00FA2AC3">
        <w:t xml:space="preserve"> </w:t>
      </w:r>
      <w:r w:rsidR="00FA2AC3" w:rsidRPr="00A6501E">
        <w:t>and other financial wellbeing and capability services</w:t>
      </w:r>
      <w:r w:rsidR="00B3578C" w:rsidRPr="00A6501E">
        <w:t>)</w:t>
      </w:r>
    </w:p>
    <w:p w:rsidR="00671AE0" w:rsidRPr="00B3578C" w:rsidRDefault="00671AE0" w:rsidP="00B3578C">
      <w:pPr>
        <w:pStyle w:val="Bullet1"/>
      </w:pPr>
      <w:proofErr w:type="gramStart"/>
      <w:r w:rsidRPr="00B3578C">
        <w:t>provide</w:t>
      </w:r>
      <w:proofErr w:type="gramEnd"/>
      <w:r w:rsidRPr="00B3578C">
        <w:t xml:space="preserve"> effective referral pathways </w:t>
      </w:r>
      <w:r w:rsidR="00A66BC3" w:rsidRPr="00B3578C">
        <w:t xml:space="preserve">internally and/or </w:t>
      </w:r>
      <w:r w:rsidRPr="00B3578C">
        <w:t>with local support services to address underlying causes of financial stress (i</w:t>
      </w:r>
      <w:r w:rsidR="00280A5E">
        <w:t>.</w:t>
      </w:r>
      <w:r w:rsidRPr="00B3578C">
        <w:t>e</w:t>
      </w:r>
      <w:r w:rsidR="00280A5E">
        <w:t>.</w:t>
      </w:r>
      <w:r w:rsidRPr="00B3578C">
        <w:t xml:space="preserve"> mental health, housing, substance abuse, gambling).</w:t>
      </w:r>
    </w:p>
    <w:p w:rsidR="00340616" w:rsidRPr="00DB0937" w:rsidRDefault="00340616" w:rsidP="008E754C">
      <w:r w:rsidRPr="00E44E21">
        <w:t xml:space="preserve">All assessment criteria </w:t>
      </w:r>
      <w:proofErr w:type="gramStart"/>
      <w:r w:rsidRPr="00E44E21">
        <w:t>are given</w:t>
      </w:r>
      <w:proofErr w:type="gramEnd"/>
      <w:r w:rsidRPr="00E44E21">
        <w:t xml:space="preserve"> equal weighting. </w:t>
      </w:r>
    </w:p>
    <w:p w:rsidR="00CE251D" w:rsidRPr="00B72EE8" w:rsidRDefault="00CE251D" w:rsidP="00340616">
      <w:bookmarkStart w:id="79" w:name="_Toc421777611"/>
      <w:bookmarkStart w:id="80" w:name="_Toc421777601"/>
      <w:r w:rsidRPr="00E44E21">
        <w:t>The application form includes word limits</w:t>
      </w:r>
      <w:r w:rsidR="000920B4">
        <w:t xml:space="preserve"> –</w:t>
      </w:r>
      <w:r w:rsidR="00FE7AE6">
        <w:t xml:space="preserve"> up to 900 </w:t>
      </w:r>
      <w:r w:rsidR="000920B4">
        <w:t>words per criteria</w:t>
      </w:r>
      <w:r w:rsidRPr="00E44E21">
        <w:t>.</w:t>
      </w:r>
      <w:r w:rsidR="005F3DAD">
        <w:t xml:space="preserve"> The application form will not accept words beyond this limit.</w:t>
      </w:r>
    </w:p>
    <w:p w:rsidR="00340616" w:rsidRPr="00B72EE8" w:rsidRDefault="00340616" w:rsidP="00A632E3">
      <w:pPr>
        <w:pStyle w:val="Heading1Numbered"/>
      </w:pPr>
      <w:bookmarkStart w:id="81" w:name="_Toc467773965"/>
      <w:bookmarkStart w:id="82" w:name="_Toc519001792"/>
      <w:r>
        <w:t>The grant application p</w:t>
      </w:r>
      <w:r w:rsidRPr="00B72EE8">
        <w:t>rocess</w:t>
      </w:r>
      <w:bookmarkEnd w:id="79"/>
      <w:bookmarkEnd w:id="81"/>
      <w:bookmarkEnd w:id="82"/>
    </w:p>
    <w:p w:rsidR="00340616" w:rsidRPr="009D325B" w:rsidRDefault="00340616" w:rsidP="008E761C">
      <w:pPr>
        <w:pStyle w:val="Heading2Numbered"/>
      </w:pPr>
      <w:bookmarkStart w:id="83" w:name="_Toc421777612"/>
      <w:bookmarkStart w:id="84" w:name="_Toc467773966"/>
      <w:bookmarkStart w:id="85" w:name="_Toc519001793"/>
      <w:r w:rsidRPr="009D325B">
        <w:t>Overview of application process</w:t>
      </w:r>
      <w:bookmarkEnd w:id="83"/>
      <w:bookmarkEnd w:id="84"/>
      <w:bookmarkEnd w:id="85"/>
    </w:p>
    <w:p w:rsidR="00340616" w:rsidRDefault="00340616" w:rsidP="00340616">
      <w:r>
        <w:t>You</w:t>
      </w:r>
      <w:r w:rsidRPr="00B72EE8">
        <w:t xml:space="preserve"> </w:t>
      </w:r>
      <w:r>
        <w:t>must</w:t>
      </w:r>
      <w:r w:rsidRPr="00B72EE8">
        <w:t xml:space="preserve"> read these grant guidelines, </w:t>
      </w:r>
      <w:r w:rsidRPr="0028767B">
        <w:t>the application form</w:t>
      </w:r>
      <w:r>
        <w:rPr>
          <w:b/>
        </w:rPr>
        <w:t>,</w:t>
      </w:r>
      <w:r w:rsidRPr="00B72EE8">
        <w:t xml:space="preserve"> </w:t>
      </w:r>
      <w:r w:rsidR="00F66431">
        <w:t xml:space="preserve">the </w:t>
      </w:r>
      <w:r w:rsidR="00043B4D" w:rsidRPr="008E754C">
        <w:t>Questions and Answers</w:t>
      </w:r>
      <w:r w:rsidR="00AE443F">
        <w:t xml:space="preserve"> document</w:t>
      </w:r>
      <w:r w:rsidRPr="008E754C">
        <w:t>,</w:t>
      </w:r>
      <w:r w:rsidRPr="00B72EE8">
        <w:t xml:space="preserve"> and the </w:t>
      </w:r>
      <w:r w:rsidRPr="0028767B">
        <w:t xml:space="preserve">draft grant agreement </w:t>
      </w:r>
      <w:r w:rsidR="00AE443F">
        <w:t xml:space="preserve">terms and conditions </w:t>
      </w:r>
      <w:r>
        <w:t>before you</w:t>
      </w:r>
      <w:r w:rsidRPr="00B72EE8">
        <w:t xml:space="preserve"> submit </w:t>
      </w:r>
      <w:r w:rsidR="00963B07">
        <w:t xml:space="preserve">your </w:t>
      </w:r>
      <w:r w:rsidRPr="00B72EE8">
        <w:t>application</w:t>
      </w:r>
      <w:r w:rsidR="00963B07">
        <w:t>/s</w:t>
      </w:r>
      <w:r w:rsidRPr="00B72EE8">
        <w:t xml:space="preserve">. </w:t>
      </w:r>
    </w:p>
    <w:p w:rsidR="00F116FB" w:rsidRDefault="00E931B2" w:rsidP="007F4F8B">
      <w:r>
        <w:t>Please note that one application can cover a maximum of 40</w:t>
      </w:r>
      <w:r w:rsidR="00643E09">
        <w:t xml:space="preserve"> service</w:t>
      </w:r>
      <w:r>
        <w:t xml:space="preserve"> areas</w:t>
      </w:r>
      <w:r w:rsidR="00643E09">
        <w:t xml:space="preserve"> (refer to </w:t>
      </w:r>
      <w:r w:rsidR="00643E09" w:rsidRPr="006E3570">
        <w:rPr>
          <w:b/>
        </w:rPr>
        <w:t>Appendix A</w:t>
      </w:r>
      <w:r w:rsidR="00643E09">
        <w:t>)</w:t>
      </w:r>
      <w:r>
        <w:t xml:space="preserve">. If you are </w:t>
      </w:r>
      <w:r w:rsidR="00643E09">
        <w:t xml:space="preserve">applying to deliver services in less than 40 areas, you must complete </w:t>
      </w:r>
      <w:r w:rsidR="00643E09" w:rsidRPr="005D4D31">
        <w:rPr>
          <w:i/>
          <w:u w:val="single"/>
        </w:rPr>
        <w:t>one application only</w:t>
      </w:r>
      <w:r w:rsidR="00643E09">
        <w:t xml:space="preserve">. </w:t>
      </w:r>
    </w:p>
    <w:p w:rsidR="00803A79" w:rsidRPr="00FE7AE6" w:rsidRDefault="00643E09" w:rsidP="007F4F8B">
      <w:r>
        <w:t xml:space="preserve">If you are applying to deliver services </w:t>
      </w:r>
      <w:r w:rsidR="00E931B2">
        <w:t>in more than 40 areas, please complete an application for the first 40 areas and a separate application for</w:t>
      </w:r>
      <w:r>
        <w:t xml:space="preserve"> the next group of </w:t>
      </w:r>
      <w:r w:rsidR="00F116FB">
        <w:t xml:space="preserve">up to 40 </w:t>
      </w:r>
      <w:r>
        <w:t xml:space="preserve">areas, and so on. </w:t>
      </w:r>
      <w:r w:rsidR="00803A79" w:rsidRPr="00FE7AE6">
        <w:t xml:space="preserve">Please ensure you select all relevant locations relating to the areas you are applying for, as per </w:t>
      </w:r>
      <w:r w:rsidR="00803A79" w:rsidRPr="00FE7AE6">
        <w:rPr>
          <w:b/>
        </w:rPr>
        <w:t>Appendix A</w:t>
      </w:r>
      <w:r w:rsidR="00803A79" w:rsidRPr="00FE7AE6">
        <w:t xml:space="preserve">. </w:t>
      </w:r>
    </w:p>
    <w:p w:rsidR="007F4F8B" w:rsidRPr="000037AB" w:rsidRDefault="00B3578C" w:rsidP="007F4F8B">
      <w:r>
        <w:t>If duplicate a</w:t>
      </w:r>
      <w:r w:rsidR="007F4F8B" w:rsidRPr="00FE7AE6">
        <w:t xml:space="preserve">pplications </w:t>
      </w:r>
      <w:proofErr w:type="gramStart"/>
      <w:r w:rsidR="007F4F8B" w:rsidRPr="00FE7AE6">
        <w:t>are received</w:t>
      </w:r>
      <w:proofErr w:type="gramEnd"/>
      <w:r w:rsidR="007F4F8B" w:rsidRPr="00FE7AE6">
        <w:t xml:space="preserve"> (applications that are for the same project and delivered in the same locations</w:t>
      </w:r>
      <w:r>
        <w:t>), the latest of the duplicate a</w:t>
      </w:r>
      <w:r w:rsidR="007F4F8B" w:rsidRPr="00FE7AE6">
        <w:t>pplications received will be progressed.</w:t>
      </w:r>
      <w:r w:rsidR="007F4F8B" w:rsidRPr="004B5742">
        <w:t xml:space="preserve"> </w:t>
      </w:r>
      <w:r w:rsidR="007F4F8B">
        <w:t xml:space="preserve"> </w:t>
      </w:r>
    </w:p>
    <w:p w:rsidR="00340616" w:rsidRDefault="00340616" w:rsidP="00340616">
      <w:r>
        <w:t>You</w:t>
      </w:r>
      <w:r w:rsidRPr="00B72EE8">
        <w:t xml:space="preserve"> are</w:t>
      </w:r>
      <w:r>
        <w:t xml:space="preserve"> responsible for ensuring that your</w:t>
      </w:r>
      <w:r w:rsidRPr="00B72EE8">
        <w:t xml:space="preserve"> </w:t>
      </w:r>
      <w:r w:rsidR="00963B07">
        <w:t>application/s</w:t>
      </w:r>
      <w:r w:rsidRPr="00B72EE8">
        <w:t xml:space="preserve"> is complete and accurate. Giving false or misleading information </w:t>
      </w:r>
      <w:r>
        <w:t xml:space="preserve">will </w:t>
      </w:r>
      <w:r w:rsidRPr="00B72EE8">
        <w:t xml:space="preserve">exclude your </w:t>
      </w:r>
      <w:r w:rsidR="00963B07">
        <w:t>application/s</w:t>
      </w:r>
      <w:r w:rsidRPr="00B72EE8">
        <w:t xml:space="preserve"> from </w:t>
      </w:r>
      <w:r>
        <w:t xml:space="preserve">further </w:t>
      </w:r>
      <w:r w:rsidRPr="00B72EE8">
        <w:t xml:space="preserve">consideration. </w:t>
      </w:r>
    </w:p>
    <w:p w:rsidR="004F6159" w:rsidRDefault="00340616" w:rsidP="004F6159">
      <w:r>
        <w:t>You</w:t>
      </w:r>
      <w:r w:rsidRPr="00B72EE8">
        <w:t xml:space="preserve"> </w:t>
      </w:r>
      <w:r>
        <w:t>must</w:t>
      </w:r>
      <w:r w:rsidRPr="00B72EE8">
        <w:t xml:space="preserve"> address all of the eligibility </w:t>
      </w:r>
      <w:r>
        <w:t xml:space="preserve">and </w:t>
      </w:r>
      <w:r w:rsidRPr="00B72EE8">
        <w:t xml:space="preserve">assessment criteria to </w:t>
      </w:r>
      <w:proofErr w:type="gramStart"/>
      <w:r w:rsidRPr="00B72EE8">
        <w:t>be considered</w:t>
      </w:r>
      <w:proofErr w:type="gramEnd"/>
      <w:r w:rsidRPr="00B72EE8">
        <w:t xml:space="preserve"> for </w:t>
      </w:r>
      <w:r>
        <w:t>a grant</w:t>
      </w:r>
      <w:r w:rsidR="004F6159">
        <w:t xml:space="preserve"> otherwise your </w:t>
      </w:r>
      <w:r w:rsidR="00963B07">
        <w:t>application/s</w:t>
      </w:r>
      <w:r w:rsidR="004F6159">
        <w:t xml:space="preserve"> will not progress to assessment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r w:rsidR="004F6159">
        <w:t xml:space="preserve">  </w:t>
      </w:r>
    </w:p>
    <w:p w:rsidR="00340616" w:rsidRDefault="00340616" w:rsidP="00340616">
      <w:r>
        <w:t>Please</w:t>
      </w:r>
      <w:r w:rsidRPr="00B72EE8">
        <w:t xml:space="preserve"> keep a copy of your </w:t>
      </w:r>
      <w:r w:rsidR="00963B07">
        <w:t>application/s</w:t>
      </w:r>
      <w:r>
        <w:t xml:space="preserve"> and any supporting papers</w:t>
      </w:r>
      <w:r w:rsidRPr="00B72EE8">
        <w:t xml:space="preserve">. </w:t>
      </w:r>
    </w:p>
    <w:p w:rsidR="005C3C81" w:rsidRDefault="005C3C81" w:rsidP="005C3C81">
      <w:pPr>
        <w:spacing w:before="0" w:after="0" w:line="240" w:lineRule="auto"/>
        <w:rPr>
          <w:rFonts w:cstheme="minorHAnsi"/>
        </w:rPr>
      </w:pPr>
    </w:p>
    <w:p w:rsidR="005C3C81" w:rsidRDefault="005C3C81" w:rsidP="005C3C81">
      <w:pPr>
        <w:spacing w:before="0" w:after="0" w:line="240" w:lineRule="auto"/>
        <w:rPr>
          <w:rFonts w:cstheme="minorHAnsi"/>
        </w:rPr>
      </w:pPr>
      <w:r>
        <w:rPr>
          <w:rFonts w:cstheme="minorHAnsi"/>
        </w:rPr>
        <w:t>Once you have completed the application form</w:t>
      </w:r>
      <w:r w:rsidR="00963B07">
        <w:rPr>
          <w:rFonts w:cstheme="minorHAnsi"/>
        </w:rPr>
        <w:t>/s</w:t>
      </w:r>
      <w:r>
        <w:rPr>
          <w:rFonts w:cstheme="minorHAnsi"/>
        </w:rPr>
        <w:t xml:space="preserve">, you must submit it electronically by using the submission section at the end of the form. Following electronic submission, a message </w:t>
      </w:r>
      <w:r>
        <w:rPr>
          <w:rFonts w:cstheme="minorHAnsi"/>
        </w:rPr>
        <w:lastRenderedPageBreak/>
        <w:t xml:space="preserve">with your Submission Reference ID will appear on your screen. An email </w:t>
      </w:r>
      <w:proofErr w:type="gramStart"/>
      <w:r>
        <w:rPr>
          <w:rFonts w:cstheme="minorHAnsi"/>
        </w:rPr>
        <w:t>will be sent</w:t>
      </w:r>
      <w:proofErr w:type="gramEnd"/>
      <w:r>
        <w:rPr>
          <w:rFonts w:cstheme="minorHAnsi"/>
        </w:rPr>
        <w:t xml:space="preserve"> to the main email contact provided in the application form. A PDF version of your </w:t>
      </w:r>
      <w:r w:rsidR="00F116FB">
        <w:rPr>
          <w:rFonts w:cstheme="minorHAnsi"/>
        </w:rPr>
        <w:t xml:space="preserve">completed </w:t>
      </w:r>
      <w:r>
        <w:rPr>
          <w:rFonts w:cstheme="minorHAnsi"/>
        </w:rPr>
        <w:t>application form is also included in this email.</w:t>
      </w:r>
    </w:p>
    <w:p w:rsidR="00340616" w:rsidRPr="00B72EE8" w:rsidRDefault="00340616" w:rsidP="003717CD">
      <w:pPr>
        <w:pStyle w:val="Heading2Numbered"/>
      </w:pPr>
      <w:bookmarkStart w:id="86" w:name="_Toc467773967"/>
      <w:bookmarkStart w:id="87" w:name="_Toc519001794"/>
      <w:bookmarkStart w:id="88" w:name="_Toc421777613"/>
      <w:bookmarkStart w:id="89" w:name="_Ref421787098"/>
      <w:bookmarkStart w:id="90" w:name="_Ref422127559"/>
      <w:bookmarkStart w:id="91" w:name="_Ref422128505"/>
      <w:r>
        <w:t>Application p</w:t>
      </w:r>
      <w:r w:rsidRPr="00B72EE8">
        <w:t xml:space="preserve">rocess </w:t>
      </w:r>
      <w:r>
        <w:t>t</w:t>
      </w:r>
      <w:r w:rsidRPr="00B72EE8">
        <w:t>iming</w:t>
      </w:r>
      <w:bookmarkEnd w:id="86"/>
      <w:bookmarkEnd w:id="87"/>
      <w:r w:rsidRPr="00B72EE8">
        <w:t xml:space="preserve"> </w:t>
      </w:r>
      <w:bookmarkEnd w:id="88"/>
      <w:bookmarkEnd w:id="89"/>
      <w:bookmarkEnd w:id="90"/>
      <w:bookmarkEnd w:id="91"/>
    </w:p>
    <w:p w:rsidR="004F6159" w:rsidRDefault="006338CC" w:rsidP="006338CC">
      <w:r w:rsidRPr="0089786A">
        <w:t xml:space="preserve">Submit your </w:t>
      </w:r>
      <w:r w:rsidR="00963B07">
        <w:t>application/s</w:t>
      </w:r>
      <w:r w:rsidRPr="0089786A">
        <w:t xml:space="preserve"> by the closing time and date below. </w:t>
      </w:r>
    </w:p>
    <w:p w:rsidR="006338CC" w:rsidRPr="0089786A" w:rsidRDefault="006338CC" w:rsidP="006338CC">
      <w:r w:rsidRPr="0089786A">
        <w:t xml:space="preserve">If an application is late or the Community Grants Hub </w:t>
      </w:r>
      <w:proofErr w:type="gramStart"/>
      <w:r w:rsidRPr="0089786A">
        <w:t>is requested</w:t>
      </w:r>
      <w:proofErr w:type="gramEnd"/>
      <w:r w:rsidRPr="0089786A">
        <w:t xml:space="preserve"> to approve a lodgement after the closing date, the Community Grants Hub may determine that there were exceptional circumstances beyond the applicant’s control that meant they could not meet the deadline. Examples of exceptional circumstances could include, but </w:t>
      </w:r>
      <w:proofErr w:type="gramStart"/>
      <w:r w:rsidRPr="0089786A">
        <w:t>may not be limited</w:t>
      </w:r>
      <w:proofErr w:type="gramEnd"/>
      <w:r w:rsidRPr="0089786A">
        <w:t xml:space="preserve"> to:</w:t>
      </w:r>
    </w:p>
    <w:p w:rsidR="006338CC" w:rsidRPr="0089786A" w:rsidRDefault="006338CC" w:rsidP="00B3578C">
      <w:pPr>
        <w:pStyle w:val="Bullet1"/>
      </w:pPr>
      <w:r w:rsidRPr="0089786A">
        <w:t>Community Gra</w:t>
      </w:r>
      <w:r w:rsidR="00B3578C">
        <w:t>nts Hub infrastructure failures</w:t>
      </w:r>
      <w:r w:rsidR="00565B54">
        <w:t>;</w:t>
      </w:r>
    </w:p>
    <w:p w:rsidR="006338CC" w:rsidRPr="0089786A" w:rsidRDefault="00B3578C" w:rsidP="00B3578C">
      <w:pPr>
        <w:pStyle w:val="Bullet1"/>
      </w:pPr>
      <w:r>
        <w:t>natural disasters</w:t>
      </w:r>
      <w:r w:rsidR="00565B54">
        <w:t>;</w:t>
      </w:r>
    </w:p>
    <w:p w:rsidR="006338CC" w:rsidRPr="0089786A" w:rsidRDefault="006338CC" w:rsidP="00B3578C">
      <w:pPr>
        <w:pStyle w:val="Bullet1"/>
      </w:pPr>
      <w:r w:rsidRPr="0089786A">
        <w:t xml:space="preserve">power outages affecting the ability of the applicant to submit their </w:t>
      </w:r>
      <w:r w:rsidR="00963B07">
        <w:t>application/s</w:t>
      </w:r>
      <w:r w:rsidR="00B3578C">
        <w:t xml:space="preserve"> by the deadline</w:t>
      </w:r>
      <w:r w:rsidR="00565B54">
        <w:t>; and</w:t>
      </w:r>
    </w:p>
    <w:p w:rsidR="006338CC" w:rsidRPr="0089786A" w:rsidRDefault="006338CC" w:rsidP="00B3578C">
      <w:pPr>
        <w:pStyle w:val="Bullet1"/>
      </w:pPr>
      <w:proofErr w:type="gramStart"/>
      <w:r w:rsidRPr="0089786A">
        <w:t>death</w:t>
      </w:r>
      <w:proofErr w:type="gramEnd"/>
      <w:r w:rsidRPr="0089786A">
        <w:t xml:space="preserve"> or disability of key personnel.</w:t>
      </w:r>
    </w:p>
    <w:p w:rsidR="006338CC" w:rsidRPr="00E51BD6" w:rsidRDefault="006338CC" w:rsidP="006338CC">
      <w:r w:rsidRPr="0089786A">
        <w:t xml:space="preserve">Information on the Community Grants Hub </w:t>
      </w:r>
      <w:hyperlink r:id="rId13" w:tooltip="late application policy" w:history="1">
        <w:r w:rsidRPr="0089786A">
          <w:rPr>
            <w:rStyle w:val="Hyperlink"/>
          </w:rPr>
          <w:t>late application policy</w:t>
        </w:r>
      </w:hyperlink>
      <w:r w:rsidRPr="0089786A">
        <w:t xml:space="preserve"> is available on the </w:t>
      </w:r>
      <w:hyperlink r:id="rId14" w:tooltip="late application policy" w:history="1">
        <w:r w:rsidRPr="0089786A">
          <w:rPr>
            <w:rStyle w:val="Hyperlink"/>
          </w:rPr>
          <w:t>Community Grants Hub</w:t>
        </w:r>
      </w:hyperlink>
      <w:r w:rsidRPr="0089786A">
        <w:t xml:space="preserve"> website.</w:t>
      </w:r>
    </w:p>
    <w:p w:rsidR="00340616" w:rsidRDefault="004776E8" w:rsidP="00340616">
      <w:pPr>
        <w:spacing w:before="200"/>
      </w:pPr>
      <w:r>
        <w:t xml:space="preserve">The </w:t>
      </w:r>
      <w:r w:rsidR="00340616">
        <w:t>commencement date for the g</w:t>
      </w:r>
      <w:r w:rsidR="00340616" w:rsidRPr="00B72EE8">
        <w:t xml:space="preserve">ranting </w:t>
      </w:r>
      <w:r w:rsidR="00340616">
        <w:t>activities</w:t>
      </w:r>
      <w:r w:rsidR="00340616" w:rsidRPr="00B72EE8">
        <w:t xml:space="preserve"> is </w:t>
      </w:r>
      <w:r w:rsidR="00FC4D7E" w:rsidRPr="008E754C">
        <w:t>1 January 2019</w:t>
      </w:r>
      <w:r w:rsidR="00340616" w:rsidRPr="008E754C">
        <w:t xml:space="preserve"> </w:t>
      </w:r>
      <w:r>
        <w:t>and the</w:t>
      </w:r>
      <w:r w:rsidR="00340616" w:rsidRPr="00B72EE8">
        <w:t xml:space="preserve"> </w:t>
      </w:r>
      <w:r w:rsidR="00340616">
        <w:t>completion</w:t>
      </w:r>
      <w:r w:rsidR="00340616" w:rsidRPr="00B72EE8">
        <w:t xml:space="preserve"> date is </w:t>
      </w:r>
      <w:r w:rsidR="00FC4D7E">
        <w:t>30 June 2023</w:t>
      </w:r>
      <w:r w:rsidR="00340616" w:rsidRPr="008E754C">
        <w:t xml:space="preserve">. </w:t>
      </w:r>
      <w:r w:rsidR="00340616">
        <w:t xml:space="preserve">You must spend the grant by </w:t>
      </w:r>
      <w:r w:rsidR="00340616" w:rsidRPr="00B72EE8">
        <w:t>the end date</w:t>
      </w:r>
      <w:r w:rsidR="00F62CB7">
        <w:t xml:space="preserve">, any unspent funding </w:t>
      </w:r>
      <w:proofErr w:type="gramStart"/>
      <w:r w:rsidR="00F62CB7">
        <w:t>must be returned</w:t>
      </w:r>
      <w:proofErr w:type="gramEnd"/>
      <w:r w:rsidR="00F62CB7">
        <w:t xml:space="preserve"> to the Commonwealth. </w:t>
      </w:r>
    </w:p>
    <w:p w:rsidR="0054078D" w:rsidRDefault="0054078D" w:rsidP="0054078D">
      <w:pPr>
        <w:pStyle w:val="Caption"/>
        <w:keepNext/>
      </w:pPr>
      <w:bookmarkStart w:id="92" w:name="_Toc467773968"/>
      <w:r w:rsidRPr="0054078D">
        <w:rPr>
          <w:bCs/>
          <w:iCs w:val="0"/>
        </w:rPr>
        <w:t>Table 1: Expected timing for this grant opportunity</w:t>
      </w:r>
      <w:bookmarkEnd w:id="92"/>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Tr="003E60A5">
        <w:trPr>
          <w:cnfStyle w:val="100000000000" w:firstRow="1" w:lastRow="0" w:firstColumn="0" w:lastColumn="0" w:oddVBand="0" w:evenVBand="0" w:oddHBand="0" w:evenHBand="0" w:firstRowFirstColumn="0" w:firstRowLastColumn="0" w:lastRowFirstColumn="0" w:lastRowLastColumn="0"/>
        </w:trPr>
        <w:tc>
          <w:tcPr>
            <w:tcW w:w="5387" w:type="dxa"/>
          </w:tcPr>
          <w:p w:rsidR="0054078D" w:rsidRDefault="0054078D" w:rsidP="00E44E21">
            <w:pPr>
              <w:pStyle w:val="TableText"/>
            </w:pPr>
            <w:r>
              <w:t>Activity</w:t>
            </w:r>
          </w:p>
        </w:tc>
        <w:tc>
          <w:tcPr>
            <w:tcW w:w="3402" w:type="dxa"/>
          </w:tcPr>
          <w:p w:rsidR="0054078D" w:rsidRDefault="0054078D" w:rsidP="0054078D">
            <w:pPr>
              <w:pStyle w:val="TableText"/>
              <w:jc w:val="center"/>
            </w:pPr>
            <w:r>
              <w:t>Timeframe</w:t>
            </w:r>
          </w:p>
        </w:tc>
      </w:tr>
      <w:tr w:rsidR="0054078D" w:rsidTr="0054078D">
        <w:tc>
          <w:tcPr>
            <w:tcW w:w="5387" w:type="dxa"/>
          </w:tcPr>
          <w:p w:rsidR="0054078D" w:rsidRPr="000D60B1" w:rsidRDefault="0054078D" w:rsidP="0054078D">
            <w:pPr>
              <w:pStyle w:val="TableText"/>
            </w:pPr>
            <w:r>
              <w:t>Application period</w:t>
            </w:r>
            <w:r w:rsidRPr="000D60B1">
              <w:t xml:space="preserve"> </w:t>
            </w:r>
          </w:p>
        </w:tc>
        <w:tc>
          <w:tcPr>
            <w:tcW w:w="3402" w:type="dxa"/>
          </w:tcPr>
          <w:p w:rsidR="0054078D" w:rsidRPr="0054078D" w:rsidRDefault="0054078D" w:rsidP="00EF4D29">
            <w:pPr>
              <w:pStyle w:val="TableText"/>
            </w:pPr>
            <w:r w:rsidRPr="0054078D">
              <w:t xml:space="preserve">Open: </w:t>
            </w:r>
            <w:r w:rsidR="008061D7">
              <w:t xml:space="preserve">12 July </w:t>
            </w:r>
            <w:r w:rsidR="00F62CB7">
              <w:t>2018</w:t>
            </w:r>
            <w:r w:rsidRPr="0054078D">
              <w:t xml:space="preserve"> </w:t>
            </w:r>
            <w:r w:rsidRPr="0054078D">
              <w:br/>
              <w:t xml:space="preserve">Close: </w:t>
            </w:r>
            <w:r w:rsidR="00F62CB7">
              <w:t>2pm</w:t>
            </w:r>
            <w:r w:rsidR="008061D7">
              <w:t xml:space="preserve"> AEST</w:t>
            </w:r>
            <w:r w:rsidR="00F62CB7">
              <w:t xml:space="preserve"> 22</w:t>
            </w:r>
            <w:r w:rsidR="008061D7">
              <w:t xml:space="preserve"> August </w:t>
            </w:r>
            <w:r w:rsidR="00F62CB7">
              <w:t>2018</w:t>
            </w:r>
          </w:p>
        </w:tc>
      </w:tr>
      <w:tr w:rsidR="0054078D" w:rsidTr="0054078D">
        <w:tc>
          <w:tcPr>
            <w:tcW w:w="5387" w:type="dxa"/>
          </w:tcPr>
          <w:p w:rsidR="0054078D" w:rsidRPr="00B72EE8" w:rsidRDefault="0054078D" w:rsidP="0054078D">
            <w:pPr>
              <w:pStyle w:val="TableText"/>
            </w:pPr>
            <w:r w:rsidRPr="00B72EE8">
              <w:t>Assessment of applications</w:t>
            </w:r>
          </w:p>
        </w:tc>
        <w:tc>
          <w:tcPr>
            <w:tcW w:w="3402" w:type="dxa"/>
          </w:tcPr>
          <w:p w:rsidR="0054078D" w:rsidRPr="0054078D" w:rsidRDefault="00CC26A1" w:rsidP="00CC26A1">
            <w:pPr>
              <w:pStyle w:val="TableText"/>
            </w:pPr>
            <w:r>
              <w:t>4 weeks</w:t>
            </w:r>
          </w:p>
        </w:tc>
      </w:tr>
      <w:tr w:rsidR="0054078D" w:rsidTr="0054078D">
        <w:tc>
          <w:tcPr>
            <w:tcW w:w="5387" w:type="dxa"/>
          </w:tcPr>
          <w:p w:rsidR="0054078D" w:rsidRPr="00B72EE8" w:rsidRDefault="0054078D" w:rsidP="0054078D">
            <w:pPr>
              <w:pStyle w:val="TableText"/>
            </w:pPr>
            <w:r w:rsidRPr="00B72EE8">
              <w:t>Approval of outcomes of selection process</w:t>
            </w:r>
          </w:p>
        </w:tc>
        <w:tc>
          <w:tcPr>
            <w:tcW w:w="3402" w:type="dxa"/>
          </w:tcPr>
          <w:p w:rsidR="0054078D" w:rsidRPr="0054078D" w:rsidRDefault="00CC26A1" w:rsidP="00CC26A1">
            <w:pPr>
              <w:pStyle w:val="TableText"/>
            </w:pPr>
            <w:r>
              <w:t>4 weeks</w:t>
            </w:r>
          </w:p>
        </w:tc>
      </w:tr>
      <w:tr w:rsidR="0054078D" w:rsidTr="0054078D">
        <w:tc>
          <w:tcPr>
            <w:tcW w:w="5387" w:type="dxa"/>
          </w:tcPr>
          <w:p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rsidR="0054078D" w:rsidRPr="0054078D" w:rsidRDefault="00C16602" w:rsidP="005D14BE">
            <w:pPr>
              <w:pStyle w:val="TableText"/>
            </w:pPr>
            <w:r>
              <w:t>6</w:t>
            </w:r>
            <w:r w:rsidR="00433A1C">
              <w:t xml:space="preserve"> </w:t>
            </w:r>
            <w:r w:rsidR="00CC26A1">
              <w:t>weeks</w:t>
            </w:r>
          </w:p>
        </w:tc>
      </w:tr>
      <w:tr w:rsidR="0054078D" w:rsidTr="0054078D">
        <w:tc>
          <w:tcPr>
            <w:tcW w:w="5387" w:type="dxa"/>
          </w:tcPr>
          <w:p w:rsidR="0054078D" w:rsidRPr="00B72EE8" w:rsidRDefault="0054078D" w:rsidP="0054078D">
            <w:pPr>
              <w:pStyle w:val="TableText"/>
            </w:pPr>
            <w:r w:rsidRPr="00B72EE8">
              <w:t>Notification to unsuccessful applicants</w:t>
            </w:r>
          </w:p>
        </w:tc>
        <w:tc>
          <w:tcPr>
            <w:tcW w:w="3402" w:type="dxa"/>
          </w:tcPr>
          <w:p w:rsidR="0054078D" w:rsidRPr="0054078D" w:rsidRDefault="00CC26A1" w:rsidP="00CC26A1">
            <w:pPr>
              <w:pStyle w:val="TableText"/>
            </w:pPr>
            <w:r>
              <w:t>2 weeks</w:t>
            </w:r>
          </w:p>
        </w:tc>
      </w:tr>
      <w:tr w:rsidR="0054078D" w:rsidTr="0054078D">
        <w:tc>
          <w:tcPr>
            <w:tcW w:w="5387" w:type="dxa"/>
          </w:tcPr>
          <w:p w:rsidR="0054078D" w:rsidRDefault="0054078D" w:rsidP="0054078D">
            <w:pPr>
              <w:pStyle w:val="TableText"/>
            </w:pPr>
            <w:r>
              <w:t>Activity commences</w:t>
            </w:r>
          </w:p>
        </w:tc>
        <w:tc>
          <w:tcPr>
            <w:tcW w:w="3402" w:type="dxa"/>
          </w:tcPr>
          <w:p w:rsidR="0054078D" w:rsidRPr="0054078D" w:rsidRDefault="00CC26A1" w:rsidP="00CC26A1">
            <w:pPr>
              <w:pStyle w:val="TableText"/>
            </w:pPr>
            <w:r>
              <w:t>1</w:t>
            </w:r>
            <w:r w:rsidR="008061D7">
              <w:t xml:space="preserve"> January </w:t>
            </w:r>
            <w:r>
              <w:t>2019</w:t>
            </w:r>
          </w:p>
        </w:tc>
      </w:tr>
      <w:tr w:rsidR="008061D7" w:rsidTr="0054078D">
        <w:trPr>
          <w:cnfStyle w:val="010000000000" w:firstRow="0" w:lastRow="1" w:firstColumn="0" w:lastColumn="0" w:oddVBand="0" w:evenVBand="0" w:oddHBand="0" w:evenHBand="0" w:firstRowFirstColumn="0" w:firstRowLastColumn="0" w:lastRowFirstColumn="0" w:lastRowLastColumn="0"/>
        </w:trPr>
        <w:tc>
          <w:tcPr>
            <w:tcW w:w="5387" w:type="dxa"/>
          </w:tcPr>
          <w:p w:rsidR="008061D7" w:rsidRDefault="008061D7" w:rsidP="0054078D">
            <w:pPr>
              <w:pStyle w:val="TableText"/>
            </w:pPr>
            <w:r>
              <w:t>Activity end date</w:t>
            </w:r>
          </w:p>
        </w:tc>
        <w:tc>
          <w:tcPr>
            <w:tcW w:w="3402" w:type="dxa"/>
          </w:tcPr>
          <w:p w:rsidR="008061D7" w:rsidRDefault="008061D7" w:rsidP="00CC26A1">
            <w:pPr>
              <w:pStyle w:val="TableText"/>
            </w:pPr>
            <w:r>
              <w:t>30 June 2023</w:t>
            </w:r>
          </w:p>
        </w:tc>
      </w:tr>
    </w:tbl>
    <w:p w:rsidR="00E95846" w:rsidRDefault="00E95846" w:rsidP="00E95846">
      <w:pPr>
        <w:rPr>
          <w:rStyle w:val="BookTitle"/>
          <w:i w:val="0"/>
          <w:iCs w:val="0"/>
          <w:smallCaps w:val="0"/>
        </w:rPr>
      </w:pPr>
      <w:bookmarkStart w:id="93" w:name="_Toc421777614"/>
      <w:bookmarkStart w:id="94" w:name="_Toc433641169"/>
      <w:bookmarkStart w:id="95" w:name="_Toc467773969"/>
    </w:p>
    <w:p w:rsidR="00340616" w:rsidRPr="00B72EE8" w:rsidRDefault="00340616" w:rsidP="00B3578C">
      <w:pPr>
        <w:pStyle w:val="Heading2Numbered"/>
        <w:spacing w:before="180"/>
      </w:pPr>
      <w:bookmarkStart w:id="96" w:name="_Toc509834972"/>
      <w:bookmarkStart w:id="97" w:name="_Toc519001795"/>
      <w:bookmarkEnd w:id="96"/>
      <w:r>
        <w:lastRenderedPageBreak/>
        <w:t xml:space="preserve">Completing the grant </w:t>
      </w:r>
      <w:bookmarkEnd w:id="93"/>
      <w:bookmarkEnd w:id="94"/>
      <w:bookmarkEnd w:id="95"/>
      <w:r w:rsidR="00963B07">
        <w:t>application/s</w:t>
      </w:r>
      <w:bookmarkEnd w:id="97"/>
    </w:p>
    <w:p w:rsidR="00340616" w:rsidRDefault="00340616" w:rsidP="00340616">
      <w:r>
        <w:t>You must submit your</w:t>
      </w:r>
      <w:r w:rsidR="009C4265">
        <w:t xml:space="preserve"> </w:t>
      </w:r>
      <w:r>
        <w:t xml:space="preserve">grant </w:t>
      </w:r>
      <w:r w:rsidR="00963B07">
        <w:t>application/s</w:t>
      </w:r>
      <w:r w:rsidRPr="00B72EE8">
        <w:t xml:space="preserve"> </w:t>
      </w:r>
      <w:r w:rsidR="00031305">
        <w:t>using</w:t>
      </w:r>
      <w:r w:rsidRPr="00B72EE8">
        <w:t xml:space="preserve"> the application form, w</w:t>
      </w:r>
      <w:r>
        <w:t xml:space="preserve">hich </w:t>
      </w:r>
      <w:r w:rsidR="00031305">
        <w:t>is available on</w:t>
      </w:r>
      <w:r w:rsidR="009C4265">
        <w:t xml:space="preserve"> </w:t>
      </w:r>
      <w:r w:rsidR="00031305">
        <w:t xml:space="preserve">the </w:t>
      </w:r>
      <w:hyperlink r:id="rId15" w:history="1">
        <w:r w:rsidR="009C4265" w:rsidRPr="00A92A2E">
          <w:rPr>
            <w:rStyle w:val="Hyperlink"/>
            <w:rFonts w:cstheme="minorBidi"/>
          </w:rPr>
          <w:t>GrantConnect</w:t>
        </w:r>
      </w:hyperlink>
      <w:r w:rsidR="00A92A2E">
        <w:t xml:space="preserve"> </w:t>
      </w:r>
      <w:r w:rsidR="009C4265">
        <w:t xml:space="preserve">and </w:t>
      </w:r>
      <w:hyperlink r:id="rId16" w:history="1">
        <w:r w:rsidR="009C4265" w:rsidRPr="00A92A2E">
          <w:rPr>
            <w:rStyle w:val="Hyperlink"/>
            <w:rFonts w:cstheme="minorBidi"/>
          </w:rPr>
          <w:t xml:space="preserve">Community Grants </w:t>
        </w:r>
        <w:r w:rsidR="00925ECE" w:rsidRPr="00A92A2E">
          <w:rPr>
            <w:rStyle w:val="Hyperlink"/>
            <w:rFonts w:cstheme="minorBidi"/>
          </w:rPr>
          <w:t>Hub</w:t>
        </w:r>
      </w:hyperlink>
      <w:r w:rsidR="00031305" w:rsidRPr="00031305">
        <w:rPr>
          <w:rStyle w:val="Hyperlink"/>
          <w:rFonts w:cstheme="minorBidi"/>
          <w:u w:val="none"/>
        </w:rPr>
        <w:t xml:space="preserve"> </w:t>
      </w:r>
      <w:r w:rsidR="00031305">
        <w:rPr>
          <w:rStyle w:val="Hyperlink"/>
          <w:rFonts w:cstheme="minorBidi"/>
          <w:u w:val="none"/>
        </w:rPr>
        <w:t>websites</w:t>
      </w:r>
      <w:r w:rsidR="00031305" w:rsidRPr="00031305">
        <w:rPr>
          <w:rStyle w:val="Hyperlink"/>
          <w:rFonts w:cstheme="minorBidi"/>
          <w:u w:val="none"/>
        </w:rPr>
        <w:t>.</w:t>
      </w:r>
      <w:r w:rsidRPr="00031305">
        <w:t xml:space="preserve"> </w:t>
      </w:r>
      <w:r w:rsidRPr="00103A95">
        <w:t xml:space="preserve">The application form includes help information. </w:t>
      </w:r>
    </w:p>
    <w:p w:rsidR="00984B3C" w:rsidRPr="004475DB" w:rsidRDefault="00984B3C" w:rsidP="00984B3C">
      <w:r w:rsidRPr="004475DB">
        <w:t xml:space="preserve">The </w:t>
      </w:r>
      <w:r w:rsidRPr="00475BB1">
        <w:rPr>
          <w:rStyle w:val="highlightedtextChar"/>
          <w:b w:val="0"/>
          <w:color w:val="auto"/>
        </w:rPr>
        <w:t>Community Grants Hub</w:t>
      </w:r>
      <w:r w:rsidRPr="004475DB">
        <w:t xml:space="preserve"> will not provide application forms or accept applications for this grant opportunity by fax or mail. </w:t>
      </w:r>
    </w:p>
    <w:p w:rsidR="00984B3C" w:rsidRDefault="00984B3C" w:rsidP="00984B3C">
      <w:r w:rsidRPr="004475DB">
        <w:t xml:space="preserve">You must make sure </w:t>
      </w:r>
      <w:r w:rsidRPr="004475DB" w:rsidDel="00D505A5">
        <w:t xml:space="preserve">that </w:t>
      </w:r>
      <w:r w:rsidRPr="004475DB">
        <w:t>you</w:t>
      </w:r>
      <w:r w:rsidRPr="004475DB" w:rsidDel="00D505A5">
        <w:t xml:space="preserve">r </w:t>
      </w:r>
      <w:r w:rsidR="00963B07">
        <w:t>application/s</w:t>
      </w:r>
      <w:r w:rsidRPr="004475DB">
        <w:t xml:space="preserve"> is</w:t>
      </w:r>
      <w:r w:rsidR="00963B07">
        <w:t>/are</w:t>
      </w:r>
      <w:r w:rsidRPr="004475DB" w:rsidDel="00D505A5">
        <w:t xml:space="preserve"> complete</w:t>
      </w:r>
      <w:r w:rsidR="00875A16">
        <w:t>,</w:t>
      </w:r>
      <w:r w:rsidRPr="004475DB" w:rsidDel="00D505A5">
        <w:t xml:space="preserve"> accurate and submitted</w:t>
      </w:r>
      <w:r w:rsidRPr="004475DB">
        <w:t xml:space="preserve"> </w:t>
      </w:r>
      <w:r w:rsidR="00875A16">
        <w:t xml:space="preserve">by the closing date and time </w:t>
      </w:r>
      <w:r w:rsidRPr="004475DB" w:rsidDel="00D505A5">
        <w:t>in accordance with the</w:t>
      </w:r>
      <w:r w:rsidRPr="004475DB">
        <w:t>se</w:t>
      </w:r>
      <w:r w:rsidRPr="004475DB" w:rsidDel="00D505A5">
        <w:t xml:space="preserve"> </w:t>
      </w:r>
      <w:r w:rsidRPr="004475DB">
        <w:t>Guidelines.</w:t>
      </w:r>
    </w:p>
    <w:p w:rsidR="003A4403" w:rsidRPr="00B72EE8" w:rsidDel="00D505A5" w:rsidRDefault="003A4403" w:rsidP="003A4403">
      <w:r w:rsidRPr="004475DB">
        <w:t xml:space="preserve">If you find a mistake in your </w:t>
      </w:r>
      <w:r w:rsidR="00963B07">
        <w:t>application/s</w:t>
      </w:r>
      <w:r w:rsidRPr="004475DB">
        <w:t xml:space="preserve"> after </w:t>
      </w:r>
      <w:r w:rsidR="00963B07">
        <w:t>submission</w:t>
      </w:r>
      <w:r w:rsidRPr="004475DB">
        <w:t xml:space="preserve">, you should contact the Community Grants Hub by phone on 1800 020 283 or by email at </w:t>
      </w:r>
      <w:hyperlink r:id="rId17" w:history="1">
        <w:r w:rsidRPr="004475DB">
          <w:rPr>
            <w:rStyle w:val="Hyperlink"/>
          </w:rPr>
          <w:t>support@communitygrants.gov.au</w:t>
        </w:r>
      </w:hyperlink>
      <w:r w:rsidRPr="004475DB">
        <w:t xml:space="preserve"> straight away. 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 xml:space="preserve">your </w:t>
      </w:r>
      <w:r w:rsidR="00963B07">
        <w:t>application/s</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rsidR="00340616" w:rsidRPr="00B72EE8" w:rsidRDefault="00340616" w:rsidP="003717CD">
      <w:pPr>
        <w:pStyle w:val="Heading2Numbered"/>
      </w:pPr>
      <w:bookmarkStart w:id="98" w:name="_Toc509834999"/>
      <w:bookmarkStart w:id="99" w:name="_Toc509835006"/>
      <w:bookmarkStart w:id="100" w:name="_Toc509835011"/>
      <w:bookmarkStart w:id="101" w:name="_Toc509835012"/>
      <w:bookmarkStart w:id="102" w:name="_Ref416444523"/>
      <w:bookmarkStart w:id="103" w:name="_Toc421777619"/>
      <w:bookmarkStart w:id="104" w:name="_Toc433641173"/>
      <w:bookmarkStart w:id="105" w:name="_Toc467773971"/>
      <w:bookmarkStart w:id="106" w:name="_Toc519001796"/>
      <w:bookmarkEnd w:id="98"/>
      <w:bookmarkEnd w:id="99"/>
      <w:bookmarkEnd w:id="100"/>
      <w:bookmarkEnd w:id="101"/>
      <w:r>
        <w:t>Applications from consortia</w:t>
      </w:r>
      <w:bookmarkEnd w:id="102"/>
      <w:bookmarkEnd w:id="103"/>
      <w:bookmarkEnd w:id="104"/>
      <w:bookmarkEnd w:id="105"/>
      <w:bookmarkEnd w:id="106"/>
    </w:p>
    <w:p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w:t>
      </w:r>
      <w:r w:rsidR="00AE443F" w:rsidRPr="00D56877">
        <w:t>organisations</w:t>
      </w:r>
      <w:r w:rsidR="00AE443F">
        <w:t xml:space="preserve"> </w:t>
      </w:r>
      <w:r>
        <w:t>who are working together to</w:t>
      </w:r>
      <w:r w:rsidRPr="00621BBB">
        <w:t xml:space="preserve"> combine their capabilities when developing and delivering a grant activity</w:t>
      </w:r>
      <w:r>
        <w:t>.</w:t>
      </w:r>
    </w:p>
    <w:p w:rsidR="00E255D2" w:rsidRPr="00103A95" w:rsidRDefault="00340616" w:rsidP="00E255D2">
      <w:r w:rsidRPr="00B72EE8">
        <w:t xml:space="preserve">If </w:t>
      </w:r>
      <w:r>
        <w:t xml:space="preserve">you are </w:t>
      </w:r>
      <w:r w:rsidRPr="00B72EE8">
        <w:t>submitting a</w:t>
      </w:r>
      <w:r>
        <w:t xml:space="preserve"> grant</w:t>
      </w:r>
      <w:r w:rsidRPr="00B72EE8">
        <w:t xml:space="preserve"> </w:t>
      </w:r>
      <w:r w:rsidR="00963B07">
        <w:t>application/s</w:t>
      </w:r>
      <w:r w:rsidRPr="00B72EE8">
        <w:t xml:space="preserve"> on behalf of a consortium, a member </w:t>
      </w:r>
      <w:r>
        <w:t>organisation</w:t>
      </w:r>
      <w:r w:rsidRPr="00B72EE8">
        <w:t xml:space="preserve"> or a newly created </w:t>
      </w:r>
      <w:r>
        <w:t>organisation</w:t>
      </w:r>
      <w:r w:rsidRPr="00B72EE8">
        <w:t xml:space="preserve"> </w:t>
      </w:r>
      <w:proofErr w:type="gramStart"/>
      <w:r w:rsidRPr="00B72EE8">
        <w:t>must be appointed</w:t>
      </w:r>
      <w:proofErr w:type="gramEnd"/>
      <w:r w:rsidRPr="00B72EE8">
        <w:t xml:space="preserve">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orm</w:t>
      </w:r>
      <w:r w:rsidR="00963B07">
        <w:t>/s</w:t>
      </w:r>
      <w:r w:rsidRPr="00B72EE8">
        <w:t xml:space="preserve"> and identify all other members of the proposed consortium in the </w:t>
      </w:r>
      <w:r w:rsidR="00963B07">
        <w:t>application/s</w:t>
      </w:r>
      <w:r w:rsidRPr="00B72EE8">
        <w:t xml:space="preserve">. </w:t>
      </w:r>
    </w:p>
    <w:p w:rsidR="00340616" w:rsidRPr="00B72EE8" w:rsidRDefault="00340616" w:rsidP="003717CD">
      <w:pPr>
        <w:pStyle w:val="Heading2Numbered"/>
      </w:pPr>
      <w:bookmarkStart w:id="107" w:name="_Toc384307739"/>
      <w:bookmarkStart w:id="108" w:name="_Toc384307810"/>
      <w:bookmarkStart w:id="109" w:name="_Toc389141038"/>
      <w:bookmarkStart w:id="110" w:name="_Toc433641171"/>
      <w:bookmarkStart w:id="111" w:name="_Toc467773972"/>
      <w:bookmarkStart w:id="112" w:name="_Toc519001797"/>
      <w:bookmarkStart w:id="113" w:name="_Toc421777609"/>
      <w:bookmarkEnd w:id="80"/>
      <w:r w:rsidRPr="00B72EE8">
        <w:t xml:space="preserve">Questions during the application </w:t>
      </w:r>
      <w:bookmarkEnd w:id="107"/>
      <w:bookmarkEnd w:id="108"/>
      <w:bookmarkEnd w:id="109"/>
      <w:bookmarkEnd w:id="110"/>
      <w:r>
        <w:t>process</w:t>
      </w:r>
      <w:bookmarkEnd w:id="111"/>
      <w:bookmarkEnd w:id="112"/>
    </w:p>
    <w:p w:rsidR="00340616" w:rsidRPr="00B72EE8" w:rsidRDefault="00340616" w:rsidP="00340616">
      <w:r w:rsidRPr="00103A95">
        <w:t>If you have any questions during the application period, please contact</w:t>
      </w:r>
      <w:r w:rsidR="00D14978">
        <w:t xml:space="preserve"> the Community Grants Hub on 1800 020 283 or email to </w:t>
      </w:r>
      <w:hyperlink r:id="rId18" w:history="1">
        <w:r w:rsidR="00D14978" w:rsidRPr="004E1173">
          <w:rPr>
            <w:rStyle w:val="Hyperlink"/>
            <w:rFonts w:cstheme="minorBidi"/>
          </w:rPr>
          <w:t>support@communitygrants.gov.au</w:t>
        </w:r>
      </w:hyperlink>
      <w:r w:rsidR="00D14978">
        <w:t xml:space="preserve">. </w:t>
      </w:r>
      <w:r w:rsidRPr="00103A95">
        <w:t xml:space="preserve"> The </w:t>
      </w:r>
      <w:r w:rsidR="00061A22">
        <w:rPr>
          <w:rStyle w:val="highlightedtextChar"/>
          <w:b w:val="0"/>
          <w:color w:val="auto"/>
        </w:rPr>
        <w:t>Community Grants 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rsidR="00340616" w:rsidRDefault="00340616" w:rsidP="00340616">
      <w:r>
        <w:t>Answers to questions</w:t>
      </w:r>
      <w:r w:rsidRPr="00EA3E47">
        <w:t xml:space="preserve"> </w:t>
      </w:r>
      <w:proofErr w:type="gramStart"/>
      <w:r w:rsidRPr="00EA3E47">
        <w:t>may be posted</w:t>
      </w:r>
      <w:proofErr w:type="gramEnd"/>
      <w:r w:rsidRPr="00EA3E47">
        <w:t xml:space="preserve"> on </w:t>
      </w:r>
      <w:hyperlink r:id="rId19" w:history="1">
        <w:r w:rsidRPr="003D016A">
          <w:rPr>
            <w:rStyle w:val="Hyperlink"/>
            <w:rFonts w:cstheme="minorBidi"/>
          </w:rPr>
          <w:t>GrantConnect</w:t>
        </w:r>
      </w:hyperlink>
      <w:r w:rsidR="00192CC4">
        <w:rPr>
          <w:rStyle w:val="Hyperlink"/>
          <w:rFonts w:cstheme="minorBidi"/>
        </w:rPr>
        <w:t xml:space="preserve"> </w:t>
      </w:r>
      <w:r w:rsidR="00192CC4" w:rsidRPr="003D016A">
        <w:rPr>
          <w:rStyle w:val="Hyperlink"/>
          <w:rFonts w:cstheme="minorBidi"/>
          <w:u w:val="none"/>
        </w:rPr>
        <w:t xml:space="preserve">and on the </w:t>
      </w:r>
      <w:hyperlink r:id="rId20" w:history="1">
        <w:r w:rsidR="00192CC4" w:rsidRPr="00192CC4">
          <w:rPr>
            <w:rStyle w:val="Hyperlink"/>
            <w:rFonts w:cstheme="minorBidi"/>
          </w:rPr>
          <w:t>Community Grants Hub</w:t>
        </w:r>
      </w:hyperlink>
      <w:r w:rsidR="003D016A">
        <w:rPr>
          <w:rStyle w:val="Hyperlink"/>
          <w:rFonts w:cstheme="minorBidi"/>
          <w:u w:val="none"/>
        </w:rPr>
        <w:t xml:space="preserve"> website</w:t>
      </w:r>
      <w:r w:rsidRPr="00EA3E47">
        <w:t>.</w:t>
      </w:r>
      <w:r w:rsidDel="00FA6425">
        <w:t xml:space="preserve"> </w:t>
      </w:r>
    </w:p>
    <w:p w:rsidR="00BC0C62" w:rsidRDefault="00BC0C62" w:rsidP="00340616">
      <w:r>
        <w:t xml:space="preserve">The question period will </w:t>
      </w:r>
      <w:r w:rsidR="003357B0">
        <w:t>c</w:t>
      </w:r>
      <w:r>
        <w:t xml:space="preserve">lose </w:t>
      </w:r>
      <w:r w:rsidR="00DB7272">
        <w:t xml:space="preserve">at </w:t>
      </w:r>
      <w:r w:rsidR="00DB7272" w:rsidRPr="00EF4D29">
        <w:rPr>
          <w:shd w:val="clear" w:color="auto" w:fill="FFFFFF" w:themeFill="background1"/>
        </w:rPr>
        <w:t>5.00pm</w:t>
      </w:r>
      <w:r w:rsidR="00940F88" w:rsidRPr="00EF4D29">
        <w:rPr>
          <w:shd w:val="clear" w:color="auto" w:fill="FFFFFF" w:themeFill="background1"/>
        </w:rPr>
        <w:t xml:space="preserve"> </w:t>
      </w:r>
      <w:r w:rsidRPr="00EF4D29">
        <w:rPr>
          <w:shd w:val="clear" w:color="auto" w:fill="FFFFFF" w:themeFill="background1"/>
        </w:rPr>
        <w:t xml:space="preserve">AEST on </w:t>
      </w:r>
      <w:r w:rsidR="00EF4D29" w:rsidRPr="00EF4D29">
        <w:rPr>
          <w:shd w:val="clear" w:color="auto" w:fill="FFFFFF" w:themeFill="background1"/>
        </w:rPr>
        <w:t>15 August 2018</w:t>
      </w:r>
      <w:r w:rsidR="00E96706" w:rsidRPr="00EF4D29">
        <w:rPr>
          <w:b/>
          <w:color w:val="745B00" w:themeColor="accent3" w:themeShade="80"/>
          <w:shd w:val="clear" w:color="auto" w:fill="FFFFFF" w:themeFill="background1"/>
        </w:rPr>
        <w:t>.</w:t>
      </w:r>
      <w:r w:rsidR="00E96706">
        <w:t xml:space="preserve">  Following this time, only questions relating to using and/or submitting the application form</w:t>
      </w:r>
      <w:r w:rsidR="00963B07">
        <w:t>/s</w:t>
      </w:r>
      <w:r w:rsidR="00E96706">
        <w:t xml:space="preserve"> </w:t>
      </w:r>
      <w:proofErr w:type="gramStart"/>
      <w:r w:rsidR="00E96706">
        <w:t>will be answered</w:t>
      </w:r>
      <w:proofErr w:type="gramEnd"/>
      <w:r w:rsidR="00E96706">
        <w:t>.</w:t>
      </w:r>
    </w:p>
    <w:p w:rsidR="00340616" w:rsidRPr="00B72EE8" w:rsidRDefault="00340616" w:rsidP="003717CD">
      <w:pPr>
        <w:pStyle w:val="Heading2Numbered"/>
      </w:pPr>
      <w:bookmarkStart w:id="114" w:name="_Toc509835015"/>
      <w:bookmarkStart w:id="115" w:name="_Toc467773973"/>
      <w:bookmarkStart w:id="116" w:name="_Toc519001798"/>
      <w:bookmarkEnd w:id="113"/>
      <w:bookmarkEnd w:id="114"/>
      <w:r>
        <w:lastRenderedPageBreak/>
        <w:t>Further grant opportunities</w:t>
      </w:r>
      <w:bookmarkEnd w:id="115"/>
      <w:bookmarkEnd w:id="116"/>
    </w:p>
    <w:p w:rsidR="00340616" w:rsidRDefault="00AD16EC" w:rsidP="00340616">
      <w:r w:rsidRPr="00AD16EC">
        <w:rPr>
          <w:rStyle w:val="highlightedtextChar"/>
          <w:b w:val="0"/>
          <w:color w:val="auto"/>
        </w:rPr>
        <w:t>In the event</w:t>
      </w:r>
      <w:r>
        <w:rPr>
          <w:rStyle w:val="highlightedtextChar"/>
        </w:rPr>
        <w:t xml:space="preserve"> </w:t>
      </w:r>
      <w:r w:rsidRPr="00A75BF8">
        <w:rPr>
          <w:rStyle w:val="highlightedtextChar"/>
          <w:b w:val="0"/>
          <w:color w:val="auto"/>
        </w:rPr>
        <w:t>that there are insufficient suitable applications to meet program objectives,</w:t>
      </w:r>
      <w:r>
        <w:rPr>
          <w:rStyle w:val="highlightedtextChar"/>
        </w:rPr>
        <w:t xml:space="preserve"> </w:t>
      </w:r>
      <w:r w:rsidRPr="00AD16EC">
        <w:rPr>
          <w:rStyle w:val="highlightedtextChar"/>
          <w:b w:val="0"/>
          <w:color w:val="auto"/>
        </w:rPr>
        <w:t>the</w:t>
      </w:r>
      <w:r w:rsidRPr="00AD16EC">
        <w:rPr>
          <w:rStyle w:val="highlightedtextChar"/>
        </w:rPr>
        <w:t xml:space="preserve"> </w:t>
      </w:r>
      <w:r w:rsidR="00E7779C" w:rsidRPr="00475BB1">
        <w:rPr>
          <w:rStyle w:val="highlightedtextChar"/>
          <w:b w:val="0"/>
          <w:color w:val="auto"/>
        </w:rPr>
        <w:t>Department of Social Services</w:t>
      </w:r>
      <w:r w:rsidR="00E7779C" w:rsidRPr="00475BB1">
        <w:rPr>
          <w:rStyle w:val="highlightedtextChar"/>
          <w:color w:val="auto"/>
        </w:rPr>
        <w:t xml:space="preserve"> </w:t>
      </w:r>
      <w:r w:rsidR="00A75BF8">
        <w:rPr>
          <w:rStyle w:val="highlightedtextChar"/>
          <w:b w:val="0"/>
          <w:color w:val="auto"/>
        </w:rPr>
        <w:t>may approach organisations directly and invite them to apply</w:t>
      </w:r>
      <w:r w:rsidR="00A35597">
        <w:rPr>
          <w:rStyle w:val="highlightedtextChar"/>
          <w:b w:val="0"/>
          <w:color w:val="auto"/>
        </w:rPr>
        <w:t xml:space="preserve"> through a </w:t>
      </w:r>
      <w:r w:rsidR="003F03BE">
        <w:rPr>
          <w:rStyle w:val="highlightedtextChar"/>
          <w:b w:val="0"/>
          <w:color w:val="auto"/>
        </w:rPr>
        <w:t xml:space="preserve">subsequent </w:t>
      </w:r>
      <w:r w:rsidR="00A35597">
        <w:rPr>
          <w:rStyle w:val="highlightedtextChar"/>
          <w:b w:val="0"/>
          <w:color w:val="auto"/>
        </w:rPr>
        <w:t>restricted selection process</w:t>
      </w:r>
      <w:r w:rsidR="00FD4C25">
        <w:rPr>
          <w:rStyle w:val="highlightedtextChar"/>
          <w:b w:val="0"/>
          <w:color w:val="auto"/>
        </w:rPr>
        <w:t xml:space="preserve"> for the relevant SA4/s</w:t>
      </w:r>
      <w:r w:rsidR="00340616" w:rsidRPr="00103A95">
        <w:rPr>
          <w:rStyle w:val="highlightedtextChar"/>
        </w:rPr>
        <w:t>.</w:t>
      </w:r>
      <w:r w:rsidR="00340616" w:rsidRPr="00B72EE8">
        <w:t xml:space="preserve"> </w:t>
      </w:r>
    </w:p>
    <w:p w:rsidR="00340616" w:rsidRPr="00B72EE8" w:rsidRDefault="00340616" w:rsidP="0054078D">
      <w:pPr>
        <w:pStyle w:val="Heading1Numbered"/>
      </w:pPr>
      <w:bookmarkStart w:id="117" w:name="_Toc467773974"/>
      <w:bookmarkStart w:id="118" w:name="_Toc519001799"/>
      <w:r>
        <w:t>Assessment of grant ap</w:t>
      </w:r>
      <w:r w:rsidRPr="00B72EE8">
        <w:t>plications</w:t>
      </w:r>
      <w:bookmarkEnd w:id="117"/>
      <w:bookmarkEnd w:id="118"/>
    </w:p>
    <w:p w:rsidR="00340616" w:rsidRPr="00B72EE8" w:rsidRDefault="00340616" w:rsidP="003717CD">
      <w:pPr>
        <w:pStyle w:val="Heading2Numbered"/>
      </w:pPr>
      <w:bookmarkStart w:id="119" w:name="_Toc467773975"/>
      <w:bookmarkStart w:id="120" w:name="_Toc519001800"/>
      <w:bookmarkStart w:id="121" w:name="_Toc421777603"/>
      <w:r w:rsidRPr="00B72EE8">
        <w:t xml:space="preserve">Who will assess </w:t>
      </w:r>
      <w:r>
        <w:t>applications?</w:t>
      </w:r>
      <w:bookmarkEnd w:id="119"/>
      <w:bookmarkEnd w:id="120"/>
      <w:r>
        <w:t xml:space="preserve"> </w:t>
      </w:r>
      <w:bookmarkEnd w:id="121"/>
    </w:p>
    <w:p w:rsidR="00DC1682" w:rsidRPr="00A75BF8" w:rsidRDefault="00DC1682" w:rsidP="00DC1682">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rsidR="00DC1682" w:rsidRPr="00A75BF8" w:rsidRDefault="00DC1682" w:rsidP="00DC1682">
      <w:r w:rsidRPr="00A75BF8">
        <w:t xml:space="preserve">If the selection process identifies unintentional errors in your </w:t>
      </w:r>
      <w:r w:rsidR="00963B07">
        <w:t>application/s</w:t>
      </w:r>
      <w:r w:rsidRPr="00A75BF8">
        <w:t xml:space="preserve">, you </w:t>
      </w:r>
      <w:proofErr w:type="gramStart"/>
      <w:r w:rsidRPr="00A75BF8">
        <w:t>may be contacted</w:t>
      </w:r>
      <w:proofErr w:type="gramEnd"/>
      <w:r w:rsidRPr="00A75BF8">
        <w:t xml:space="preserve"> to correct or explain the information.</w:t>
      </w:r>
    </w:p>
    <w:p w:rsidR="00DC1682" w:rsidRPr="00A75BF8" w:rsidRDefault="00DC1682" w:rsidP="00DC1682">
      <w:pPr>
        <w:pStyle w:val="CABNETParagraphAtt"/>
        <w:spacing w:after="240"/>
        <w:rPr>
          <w:rFonts w:cs="Times New Roman"/>
        </w:rPr>
      </w:pPr>
      <w:r w:rsidRPr="00A75BF8">
        <w:rPr>
          <w:rFonts w:cs="Times New Roman"/>
        </w:rPr>
        <w:t xml:space="preserve">An expert panel comprised of </w:t>
      </w:r>
      <w:r w:rsidR="00940F88">
        <w:rPr>
          <w:rFonts w:cs="Times New Roman"/>
        </w:rPr>
        <w:t xml:space="preserve">Department of Social Services </w:t>
      </w:r>
      <w:r w:rsidR="00E7779C">
        <w:rPr>
          <w:rFonts w:cs="Times New Roman"/>
        </w:rPr>
        <w:t>staff</w:t>
      </w:r>
      <w:r w:rsidR="00707812">
        <w:rPr>
          <w:rFonts w:cs="Times New Roman"/>
        </w:rPr>
        <w:t xml:space="preserve"> </w:t>
      </w:r>
      <w:r w:rsidRPr="00A75BF8">
        <w:rPr>
          <w:rFonts w:cs="Times New Roman"/>
        </w:rPr>
        <w:t xml:space="preserve">will then review all ranked applications to inform the final recommendations for funding. </w:t>
      </w:r>
    </w:p>
    <w:p w:rsidR="00DC1682" w:rsidRPr="00A75BF8" w:rsidRDefault="00B3578C" w:rsidP="00DC1682">
      <w:pPr>
        <w:spacing w:before="120"/>
      </w:pPr>
      <w:r>
        <w:t>The expert p</w:t>
      </w:r>
      <w:r w:rsidR="00DC1682" w:rsidRPr="00A75BF8">
        <w:t>anel will make recommendations having regards to:</w:t>
      </w:r>
    </w:p>
    <w:p w:rsidR="00DC1682" w:rsidRPr="00B3578C" w:rsidRDefault="00DC1682" w:rsidP="00B3578C">
      <w:pPr>
        <w:pStyle w:val="Bullet1"/>
      </w:pPr>
      <w:r w:rsidRPr="00B3578C">
        <w:t>overall objectives for each Program</w:t>
      </w:r>
    </w:p>
    <w:p w:rsidR="00DC1682" w:rsidRPr="00B3578C" w:rsidRDefault="00DC1682" w:rsidP="00B3578C">
      <w:pPr>
        <w:pStyle w:val="Bullet1"/>
      </w:pPr>
      <w:r w:rsidRPr="00B3578C">
        <w:t>conformance with eligibility criteria</w:t>
      </w:r>
    </w:p>
    <w:p w:rsidR="00707812" w:rsidRPr="00B3578C" w:rsidRDefault="00DC1682" w:rsidP="00B3578C">
      <w:pPr>
        <w:pStyle w:val="Bullet1"/>
      </w:pPr>
      <w:r w:rsidRPr="00B3578C">
        <w:t>distribution of providers across all locations</w:t>
      </w:r>
    </w:p>
    <w:p w:rsidR="00707812" w:rsidRPr="00B3578C" w:rsidRDefault="00707812" w:rsidP="00B3578C">
      <w:pPr>
        <w:pStyle w:val="Bullet1"/>
      </w:pPr>
      <w:r w:rsidRPr="00B3578C">
        <w:t xml:space="preserve">mix of large and small community organisations in each area </w:t>
      </w:r>
    </w:p>
    <w:p w:rsidR="00DC1682" w:rsidRPr="00B3578C" w:rsidRDefault="00DC1682" w:rsidP="00B3578C">
      <w:pPr>
        <w:pStyle w:val="Bullet1"/>
      </w:pPr>
      <w:r w:rsidRPr="00B3578C">
        <w:t>how the services and/or project will be delivered</w:t>
      </w:r>
    </w:p>
    <w:p w:rsidR="000D09B5" w:rsidRPr="00B3578C" w:rsidRDefault="000D09B5" w:rsidP="00B3578C">
      <w:pPr>
        <w:pStyle w:val="Bullet1"/>
      </w:pPr>
      <w:r>
        <w:t>the availability of suitable organisations in each area</w:t>
      </w:r>
    </w:p>
    <w:p w:rsidR="00DC1682" w:rsidRPr="00B3578C" w:rsidRDefault="00DC1682" w:rsidP="00B3578C">
      <w:pPr>
        <w:pStyle w:val="Bullet1"/>
      </w:pPr>
      <w:r w:rsidRPr="00B3578C">
        <w:t>value for money</w:t>
      </w:r>
    </w:p>
    <w:p w:rsidR="00DC1682" w:rsidRPr="00B3578C" w:rsidRDefault="00847C4A" w:rsidP="00B3578C">
      <w:pPr>
        <w:pStyle w:val="Bullet1"/>
      </w:pPr>
      <w:proofErr w:type="gramStart"/>
      <w:r>
        <w:t>whether</w:t>
      </w:r>
      <w:proofErr w:type="gramEnd"/>
      <w:r>
        <w:t xml:space="preserve"> there is</w:t>
      </w:r>
      <w:r w:rsidR="00DC1682" w:rsidRPr="00B3578C">
        <w:t xml:space="preserve"> duplication with other Commonwealth/State/Territory government programs/service delivery.</w:t>
      </w:r>
    </w:p>
    <w:p w:rsidR="00DC1682" w:rsidRDefault="00DC1682" w:rsidP="00DC1682">
      <w:pPr>
        <w:spacing w:before="120"/>
      </w:pPr>
      <w:r w:rsidRPr="00A75BF8">
        <w:t xml:space="preserve">The expert panel may seek </w:t>
      </w:r>
      <w:r w:rsidR="007B30CE">
        <w:t xml:space="preserve">and consider </w:t>
      </w:r>
      <w:r w:rsidRPr="00A75BF8">
        <w:t xml:space="preserve">information about you or your </w:t>
      </w:r>
      <w:r w:rsidR="00963B07">
        <w:t>application/s</w:t>
      </w:r>
      <w:r w:rsidRPr="00A75BF8">
        <w:t xml:space="preserve">. They may do this from within the Commonwealth, even if </w:t>
      </w:r>
      <w:proofErr w:type="gramStart"/>
      <w:r w:rsidRPr="00A75BF8">
        <w:t>the sources are not nominated by you</w:t>
      </w:r>
      <w:proofErr w:type="gramEnd"/>
      <w:r w:rsidRPr="00A75BF8">
        <w:t xml:space="preserve"> as referees. The expert panel may also consider information about you or your </w:t>
      </w:r>
      <w:r w:rsidR="00963B07">
        <w:t>application/s</w:t>
      </w:r>
      <w:r w:rsidRPr="00A75BF8">
        <w:t xml:space="preserve"> that is available through the normal course of business.</w:t>
      </w:r>
    </w:p>
    <w:p w:rsidR="00340616" w:rsidRPr="00647D91" w:rsidRDefault="00340616" w:rsidP="002B048F">
      <w:pPr>
        <w:pStyle w:val="Heading2Numbered"/>
      </w:pPr>
      <w:bookmarkStart w:id="122" w:name="_Toc467773976"/>
      <w:bookmarkStart w:id="123" w:name="_Toc519001801"/>
      <w:r w:rsidRPr="00647D91">
        <w:t>Who will approve grants?</w:t>
      </w:r>
      <w:bookmarkEnd w:id="122"/>
      <w:bookmarkEnd w:id="123"/>
    </w:p>
    <w:p w:rsidR="00340616" w:rsidRPr="00103A95" w:rsidRDefault="00340616" w:rsidP="00340616">
      <w:r w:rsidRPr="005D4D31">
        <w:t xml:space="preserve">The </w:t>
      </w:r>
      <w:r w:rsidR="00B3578C" w:rsidRPr="005D4D31">
        <w:t>e</w:t>
      </w:r>
      <w:r w:rsidR="00A22DDB" w:rsidRPr="005D4D31">
        <w:t xml:space="preserve">xpert </w:t>
      </w:r>
      <w:r w:rsidR="00B3578C" w:rsidRPr="005D4D31">
        <w:t>p</w:t>
      </w:r>
      <w:r w:rsidR="00A22DDB" w:rsidRPr="005D4D31">
        <w:t>anel</w:t>
      </w:r>
      <w:r w:rsidR="004003E2" w:rsidRPr="005D4D31">
        <w:rPr>
          <w:color w:val="745B00" w:themeColor="accent3" w:themeShade="80"/>
        </w:rPr>
        <w:t xml:space="preserve"> </w:t>
      </w:r>
      <w:r w:rsidRPr="005D4D31">
        <w:t xml:space="preserve">will make recommendations to the </w:t>
      </w:r>
      <w:r w:rsidR="00E7779C" w:rsidRPr="005D4D31">
        <w:t>Branch Manager</w:t>
      </w:r>
      <w:r w:rsidR="000E4CE6" w:rsidRPr="005D4D31">
        <w:t xml:space="preserve"> responsible for the FWC Activity</w:t>
      </w:r>
      <w:r w:rsidR="00E7779C" w:rsidRPr="005D4D31">
        <w:t>.</w:t>
      </w:r>
      <w:r w:rsidRPr="005D4D31">
        <w:t xml:space="preserve"> The </w:t>
      </w:r>
      <w:r w:rsidR="00E7779C" w:rsidRPr="005D4D31">
        <w:t xml:space="preserve">Branch Manager </w:t>
      </w:r>
      <w:r w:rsidRPr="005D4D31">
        <w:t>will make the final decision to approve a grant.</w:t>
      </w:r>
    </w:p>
    <w:p w:rsidR="00340616" w:rsidRPr="00103A95" w:rsidRDefault="00340616" w:rsidP="00340616">
      <w:r w:rsidRPr="00103A95">
        <w:t xml:space="preserve">The </w:t>
      </w:r>
      <w:r w:rsidR="00E7779C" w:rsidRPr="008D5DA8">
        <w:t>Branch Manager</w:t>
      </w:r>
      <w:r w:rsidR="00E7779C">
        <w:t>’s</w:t>
      </w:r>
      <w:r w:rsidR="00E7779C" w:rsidRPr="00103A95" w:rsidDel="00E7779C">
        <w:rPr>
          <w:b/>
          <w:color w:val="745B00" w:themeColor="accent3" w:themeShade="80"/>
        </w:rPr>
        <w:t xml:space="preserve"> </w:t>
      </w:r>
      <w:r w:rsidRPr="00103A95">
        <w:t>decision is final in all matters, including:</w:t>
      </w:r>
    </w:p>
    <w:p w:rsidR="00340616" w:rsidRPr="00103A95" w:rsidRDefault="00340616" w:rsidP="00103A95">
      <w:pPr>
        <w:pStyle w:val="Bullet1"/>
      </w:pPr>
      <w:r w:rsidRPr="00103A95">
        <w:t>the approval of the grant</w:t>
      </w:r>
    </w:p>
    <w:p w:rsidR="00340616" w:rsidRPr="00103A95" w:rsidRDefault="00340616" w:rsidP="00103A95">
      <w:pPr>
        <w:pStyle w:val="Bullet1"/>
      </w:pPr>
      <w:proofErr w:type="gramStart"/>
      <w:r w:rsidRPr="00103A95">
        <w:lastRenderedPageBreak/>
        <w:t>the</w:t>
      </w:r>
      <w:proofErr w:type="gramEnd"/>
      <w:r w:rsidRPr="00103A95">
        <w:t xml:space="preserve"> grant funding amount to be awarded</w:t>
      </w:r>
      <w:r w:rsidR="00280A5E">
        <w:t>.</w:t>
      </w:r>
    </w:p>
    <w:p w:rsidR="00340616" w:rsidRPr="00103A95" w:rsidRDefault="00340616" w:rsidP="00340616">
      <w:r w:rsidRPr="00103A95">
        <w:t xml:space="preserve">The </w:t>
      </w:r>
      <w:r w:rsidR="00E7779C" w:rsidRPr="003E6B2C">
        <w:t>Branch Manager</w:t>
      </w:r>
      <w:r w:rsidR="00A8089C" w:rsidRPr="003E6B2C">
        <w:t xml:space="preserve"> </w:t>
      </w:r>
      <w:r w:rsidRPr="00103A95">
        <w:t xml:space="preserve">must not approve funding if they reasonably consider the program funding available across financial years will not accommodate the funding offer, and/or the </w:t>
      </w:r>
      <w:r w:rsidR="00963B07">
        <w:t>application/s</w:t>
      </w:r>
      <w:r w:rsidRPr="00103A95">
        <w:t xml:space="preserve"> does not represent value for money. </w:t>
      </w:r>
    </w:p>
    <w:p w:rsidR="00340616" w:rsidRPr="002E0C03" w:rsidRDefault="00340616" w:rsidP="00340616">
      <w:r w:rsidRPr="00103A95">
        <w:t>There is no appeal mechanism for decisions to approve or not approve a grant.</w:t>
      </w:r>
    </w:p>
    <w:p w:rsidR="00340616" w:rsidRPr="00B72EE8" w:rsidRDefault="00340616" w:rsidP="0054078D">
      <w:pPr>
        <w:pStyle w:val="Heading1Numbered"/>
      </w:pPr>
      <w:bookmarkStart w:id="124" w:name="_Toc467773977"/>
      <w:bookmarkStart w:id="125" w:name="_Toc519001802"/>
      <w:r w:rsidRPr="00B72EE8">
        <w:t>Notification of application outcomes</w:t>
      </w:r>
      <w:bookmarkEnd w:id="124"/>
      <w:bookmarkEnd w:id="125"/>
    </w:p>
    <w:p w:rsidR="00340616" w:rsidRDefault="00340616" w:rsidP="00340616">
      <w:r>
        <w:t>You</w:t>
      </w:r>
      <w:r w:rsidRPr="00B72EE8">
        <w:t xml:space="preserve"> </w:t>
      </w:r>
      <w:proofErr w:type="gramStart"/>
      <w:r>
        <w:t>will be advised</w:t>
      </w:r>
      <w:proofErr w:type="gramEnd"/>
      <w:r>
        <w:t xml:space="preserve"> </w:t>
      </w:r>
      <w:r w:rsidRPr="00B72EE8">
        <w:t xml:space="preserve">of the outcomes of </w:t>
      </w:r>
      <w:r>
        <w:t xml:space="preserve">your </w:t>
      </w:r>
      <w:r w:rsidR="00963B07">
        <w:t>application/s</w:t>
      </w:r>
      <w:r w:rsidRPr="002E0C03">
        <w:t xml:space="preserve"> in writing,</w:t>
      </w:r>
      <w:r w:rsidRPr="00B72EE8">
        <w:t xml:space="preserve"> following a decision by the </w:t>
      </w:r>
      <w:r w:rsidR="00E7779C" w:rsidRPr="008D5DA8">
        <w:t>Branch Manager, Housing Programs and Homelessness</w:t>
      </w:r>
      <w:r w:rsidR="00E7779C">
        <w:t>.</w:t>
      </w:r>
      <w:r w:rsidR="00E7779C" w:rsidRPr="00103A95" w:rsidDel="00E7779C">
        <w:rPr>
          <w:b/>
          <w:color w:val="745B00" w:themeColor="accent3" w:themeShade="80"/>
        </w:rPr>
        <w:t xml:space="preserve"> </w:t>
      </w:r>
      <w:r w:rsidRPr="00C25555">
        <w:t xml:space="preserve">If you are successful, you </w:t>
      </w:r>
      <w:proofErr w:type="gramStart"/>
      <w:r w:rsidRPr="00C25555">
        <w:t>will also be advised</w:t>
      </w:r>
      <w:proofErr w:type="gramEnd"/>
      <w:r w:rsidRPr="00C25555">
        <w:rPr>
          <w:b/>
        </w:rPr>
        <w:t xml:space="preserve"> </w:t>
      </w:r>
      <w:r w:rsidRPr="00C25555">
        <w:t xml:space="preserve">about any </w:t>
      </w:r>
      <w:r w:rsidRPr="00B72EE8">
        <w:t xml:space="preserve">specific conditions attached to the </w:t>
      </w:r>
      <w:r>
        <w:t>grant</w:t>
      </w:r>
      <w:r w:rsidRPr="00B72EE8">
        <w:t xml:space="preserve">. </w:t>
      </w:r>
    </w:p>
    <w:p w:rsidR="00340616" w:rsidRPr="00B72EE8" w:rsidRDefault="00340616" w:rsidP="002B048F">
      <w:pPr>
        <w:pStyle w:val="Heading2Numbered"/>
      </w:pPr>
      <w:bookmarkStart w:id="126" w:name="_Toc467773978"/>
      <w:bookmarkStart w:id="127" w:name="_Toc519001803"/>
      <w:r w:rsidRPr="00B72EE8">
        <w:t xml:space="preserve">Feedback on </w:t>
      </w:r>
      <w:r>
        <w:t xml:space="preserve">your </w:t>
      </w:r>
      <w:bookmarkEnd w:id="126"/>
      <w:r w:rsidR="00963B07">
        <w:t>application/s</w:t>
      </w:r>
      <w:bookmarkEnd w:id="127"/>
    </w:p>
    <w:p w:rsidR="00831521" w:rsidRDefault="00B3578C" w:rsidP="00831521">
      <w:r>
        <w:t>A f</w:t>
      </w:r>
      <w:r w:rsidR="00831521">
        <w:t xml:space="preserve">eedback </w:t>
      </w:r>
      <w:r>
        <w:t>s</w:t>
      </w:r>
      <w:r w:rsidR="00831521">
        <w:t>ummar</w:t>
      </w:r>
      <w:r w:rsidR="00A76EC7">
        <w:t>y</w:t>
      </w:r>
      <w:r w:rsidR="00831521">
        <w:t xml:space="preserve"> </w:t>
      </w:r>
      <w:proofErr w:type="gramStart"/>
      <w:r w:rsidR="00831521">
        <w:t>will be published</w:t>
      </w:r>
      <w:proofErr w:type="gramEnd"/>
      <w:r w:rsidR="00831521">
        <w:t xml:space="preserve"> on the Community Grants Hub website to provide all organisations with easy to access information about the assessment process and the main strengths and areas for improving their applications.</w:t>
      </w:r>
    </w:p>
    <w:p w:rsidR="00831521" w:rsidRDefault="00831521" w:rsidP="00831521">
      <w:r>
        <w:t xml:space="preserve">Individual feedback </w:t>
      </w:r>
      <w:r w:rsidR="00BA6474">
        <w:t xml:space="preserve">for this grant opportunity </w:t>
      </w:r>
      <w:proofErr w:type="gramStart"/>
      <w:r w:rsidR="00BA6474">
        <w:t>may</w:t>
      </w:r>
      <w:r w:rsidR="00BA6474" w:rsidRPr="00BA6474">
        <w:t xml:space="preserve"> be requested</w:t>
      </w:r>
      <w:proofErr w:type="gramEnd"/>
      <w:r w:rsidR="00BA6474" w:rsidRPr="00BA6474">
        <w:t xml:space="preserve"> within 30 days of receiving an outcome notification</w:t>
      </w:r>
      <w:r w:rsidR="00BA6474">
        <w:t>.</w:t>
      </w:r>
      <w:r w:rsidR="00182438">
        <w:t xml:space="preserve"> </w:t>
      </w:r>
      <w:r w:rsidR="00182438" w:rsidRPr="00565B54">
        <w:t xml:space="preserve">Feedback </w:t>
      </w:r>
      <w:proofErr w:type="gramStart"/>
      <w:r w:rsidR="00182438" w:rsidRPr="00565B54">
        <w:t>will be provided</w:t>
      </w:r>
      <w:proofErr w:type="gramEnd"/>
      <w:r w:rsidR="00182438" w:rsidRPr="00565B54">
        <w:t xml:space="preserve"> within 30 days of receiving the request.</w:t>
      </w:r>
    </w:p>
    <w:p w:rsidR="00340616" w:rsidRDefault="00340616" w:rsidP="0054078D">
      <w:pPr>
        <w:pStyle w:val="Heading1Numbered"/>
      </w:pPr>
      <w:bookmarkStart w:id="128" w:name="_Toc509835023"/>
      <w:bookmarkStart w:id="129" w:name="_Toc509835024"/>
      <w:bookmarkStart w:id="130" w:name="_Toc467773979"/>
      <w:bookmarkStart w:id="131" w:name="_Toc519001804"/>
      <w:bookmarkStart w:id="132" w:name="_Toc421777622"/>
      <w:bookmarkStart w:id="133" w:name="_Toc433641183"/>
      <w:bookmarkEnd w:id="128"/>
      <w:bookmarkEnd w:id="129"/>
      <w:r>
        <w:t>Successful grant applications</w:t>
      </w:r>
      <w:bookmarkEnd w:id="130"/>
      <w:bookmarkEnd w:id="131"/>
    </w:p>
    <w:p w:rsidR="00340616" w:rsidRDefault="00340616" w:rsidP="00892C8B">
      <w:pPr>
        <w:pStyle w:val="Heading2Numbered"/>
        <w:ind w:left="709" w:hanging="709"/>
      </w:pPr>
      <w:bookmarkStart w:id="134" w:name="_Toc467773980"/>
      <w:bookmarkStart w:id="135" w:name="_Toc519001805"/>
      <w:r>
        <w:t xml:space="preserve">The </w:t>
      </w:r>
      <w:r w:rsidRPr="0054078D">
        <w:t>grant agreement</w:t>
      </w:r>
      <w:bookmarkEnd w:id="134"/>
      <w:bookmarkEnd w:id="135"/>
    </w:p>
    <w:bookmarkEnd w:id="132"/>
    <w:bookmarkEnd w:id="133"/>
    <w:p w:rsidR="00340616" w:rsidRDefault="00704535" w:rsidP="00340616">
      <w:r>
        <w:t xml:space="preserve">If you are successful and you choose to accept a grant offer, </w:t>
      </w:r>
      <w:r w:rsidR="00340616" w:rsidRPr="00103A95">
        <w:t>you must enter into a legally binding grant agreement with the Commonwealth represented by</w:t>
      </w:r>
      <w:r w:rsidR="007D7447">
        <w:t xml:space="preserve"> the Department of Social Services.</w:t>
      </w:r>
      <w:r w:rsidR="00340616" w:rsidRPr="00103A95">
        <w:rPr>
          <w:rStyle w:val="highlightedtextChar"/>
        </w:rPr>
        <w:t xml:space="preserve"> </w:t>
      </w:r>
      <w:r w:rsidR="00340616" w:rsidRPr="00DB0937">
        <w:rPr>
          <w:rStyle w:val="highlightedtextChar"/>
          <w:color w:val="auto"/>
        </w:rPr>
        <w:t xml:space="preserve"> </w:t>
      </w:r>
      <w:r w:rsidR="00DB0937">
        <w:rPr>
          <w:rStyle w:val="highlightedtextChar"/>
          <w:b w:val="0"/>
          <w:color w:val="auto"/>
        </w:rPr>
        <w:t>Th</w:t>
      </w:r>
      <w:r w:rsidR="00DB0937" w:rsidRPr="00DB0937">
        <w:rPr>
          <w:rStyle w:val="highlightedtextChar"/>
          <w:b w:val="0"/>
          <w:color w:val="auto"/>
        </w:rPr>
        <w:t>e</w:t>
      </w:r>
      <w:r w:rsidR="00340616" w:rsidRPr="00103A95">
        <w:rPr>
          <w:rStyle w:val="highlightedtextChar"/>
        </w:rPr>
        <w:t xml:space="preserve"> </w:t>
      </w:r>
      <w:r w:rsidR="007D7447" w:rsidRPr="003E6B2C">
        <w:rPr>
          <w:rStyle w:val="highlightedtextChar"/>
          <w:b w:val="0"/>
          <w:color w:val="auto"/>
        </w:rPr>
        <w:t>Department of Social Services</w:t>
      </w:r>
      <w:r w:rsidR="00DB0937" w:rsidRPr="003E6B2C">
        <w:rPr>
          <w:rStyle w:val="highlightedtextChar"/>
          <w:color w:val="auto"/>
        </w:rPr>
        <w:t xml:space="preserve"> </w:t>
      </w:r>
      <w:r w:rsidR="00340616" w:rsidRPr="00103A95">
        <w:t xml:space="preserve">will use the </w:t>
      </w:r>
      <w:hyperlink r:id="rId21" w:history="1">
        <w:r w:rsidR="00340616" w:rsidRPr="00103A95">
          <w:rPr>
            <w:rStyle w:val="Hyperlink"/>
            <w:i/>
            <w:u w:val="none"/>
          </w:rPr>
          <w:t xml:space="preserve">Commonwealth </w:t>
        </w:r>
        <w:r w:rsidR="00340616" w:rsidRPr="00FE7AE6">
          <w:rPr>
            <w:rStyle w:val="Hyperlink"/>
            <w:i/>
            <w:u w:val="none"/>
          </w:rPr>
          <w:t xml:space="preserve">Standard </w:t>
        </w:r>
        <w:r w:rsidR="00340616" w:rsidRPr="00103A95">
          <w:rPr>
            <w:rStyle w:val="Hyperlink"/>
            <w:i/>
            <w:u w:val="none"/>
          </w:rPr>
          <w:t>Grant Agreement</w:t>
        </w:r>
      </w:hyperlink>
      <w:r w:rsidR="00940F88">
        <w:rPr>
          <w:rStyle w:val="highlightedtextChar"/>
        </w:rPr>
        <w:t>.</w:t>
      </w:r>
      <w:r w:rsidR="00340616" w:rsidRPr="00103A95">
        <w:t xml:space="preserve"> Standard terms and conditions for the grant agreement will apply and </w:t>
      </w:r>
      <w:proofErr w:type="gramStart"/>
      <w:r w:rsidR="00340616" w:rsidRPr="00103A95">
        <w:t>cannot be changed</w:t>
      </w:r>
      <w:proofErr w:type="gramEnd"/>
      <w:r w:rsidR="00340616" w:rsidRPr="00103A95">
        <w:t xml:space="preserve">. A schedule </w:t>
      </w:r>
      <w:proofErr w:type="gramStart"/>
      <w:r w:rsidR="00340616" w:rsidRPr="00103A95">
        <w:t>may be used</w:t>
      </w:r>
      <w:proofErr w:type="gramEnd"/>
      <w:r w:rsidR="00340616" w:rsidRPr="00103A95">
        <w:t xml:space="preserve"> to outline the specific grant</w:t>
      </w:r>
      <w:r w:rsidR="00340616" w:rsidRPr="002E0C03">
        <w:t xml:space="preserve"> requirements.  Any additional conditions attached to the grant </w:t>
      </w:r>
      <w:proofErr w:type="gramStart"/>
      <w:r w:rsidR="00340616" w:rsidRPr="002E0C03">
        <w:t>will be identified</w:t>
      </w:r>
      <w:proofErr w:type="gramEnd"/>
      <w:r w:rsidR="00340616" w:rsidRPr="002E0C03">
        <w:t xml:space="preserve"> in the grant offer or during the grant agreement negotiations.</w:t>
      </w:r>
    </w:p>
    <w:p w:rsidR="007D7447" w:rsidRPr="003E6B2C" w:rsidRDefault="00340616" w:rsidP="00F57D77">
      <w:pPr>
        <w:rPr>
          <w:color w:val="745B00" w:themeColor="accent3" w:themeShade="80"/>
        </w:rPr>
      </w:pPr>
      <w:r>
        <w:t>You</w:t>
      </w:r>
      <w:r w:rsidRPr="00B72EE8">
        <w:t xml:space="preserve"> will </w:t>
      </w:r>
      <w:r>
        <w:t>b</w:t>
      </w:r>
      <w:r w:rsidRPr="00B72EE8">
        <w:t>e required to</w:t>
      </w:r>
      <w:r w:rsidR="00433A1C">
        <w:t xml:space="preserve"> d</w:t>
      </w:r>
      <w:r w:rsidR="007D7447" w:rsidRPr="00BB2A65">
        <w:t>eliver the project and meet the performance reporting and financial acquittal requirements as outlined in your grant agreement.</w:t>
      </w:r>
    </w:p>
    <w:p w:rsidR="00340616" w:rsidRPr="00A8089C" w:rsidRDefault="00340616" w:rsidP="00340616">
      <w:pPr>
        <w:rPr>
          <w:lang w:eastAsia="en-AU"/>
        </w:rPr>
      </w:pPr>
      <w:r w:rsidRPr="00B72EE8">
        <w:t>The</w:t>
      </w:r>
      <w:r>
        <w:t xml:space="preserve"> </w:t>
      </w:r>
      <w:r w:rsidR="007D7447" w:rsidRPr="003E6B2C">
        <w:rPr>
          <w:rStyle w:val="highlightedtextChar"/>
          <w:b w:val="0"/>
          <w:color w:val="auto"/>
        </w:rPr>
        <w:t>Department of Social Services</w:t>
      </w:r>
      <w:r w:rsidR="00DB0937" w:rsidRPr="003E6B2C">
        <w:rPr>
          <w:rStyle w:val="highlightedtextChar"/>
          <w:b w:val="0"/>
          <w:color w:val="auto"/>
        </w:rPr>
        <w:t xml:space="preserve"> </w:t>
      </w:r>
      <w:r w:rsidRPr="00A8089C">
        <w:t>will negotiate agreements with successful applicants</w:t>
      </w:r>
      <w:r w:rsidR="007D7447" w:rsidRPr="00A8089C">
        <w:t xml:space="preserve"> within 30 business days</w:t>
      </w:r>
      <w:r w:rsidR="007D7447" w:rsidRPr="003E6B2C">
        <w:rPr>
          <w:b/>
        </w:rPr>
        <w:t>.</w:t>
      </w:r>
      <w:r w:rsidRPr="00A8089C">
        <w:rPr>
          <w:rStyle w:val="Strong"/>
        </w:rPr>
        <w:t xml:space="preserve"> If there are unreasonable delays in finalising </w:t>
      </w:r>
      <w:r w:rsidRPr="00A8089C">
        <w:rPr>
          <w:lang w:eastAsia="en-AU"/>
        </w:rPr>
        <w:t xml:space="preserve">a grant agreement, the grant offer </w:t>
      </w:r>
      <w:proofErr w:type="gramStart"/>
      <w:r w:rsidRPr="00A8089C">
        <w:rPr>
          <w:lang w:eastAsia="en-AU"/>
        </w:rPr>
        <w:t>may be withdrawn</w:t>
      </w:r>
      <w:proofErr w:type="gramEnd"/>
      <w:r w:rsidRPr="00A8089C">
        <w:rPr>
          <w:lang w:eastAsia="en-AU"/>
        </w:rPr>
        <w:t xml:space="preserve"> and the grant may be awarded to a different applicant.</w:t>
      </w:r>
    </w:p>
    <w:p w:rsidR="00340616" w:rsidRPr="00A8089C" w:rsidRDefault="00340616" w:rsidP="00340616">
      <w:r w:rsidRPr="00A8089C">
        <w:rPr>
          <w:lang w:eastAsia="en-AU"/>
        </w:rPr>
        <w:t xml:space="preserve">Where a grantee fails to meet the obligations of the grant agreement, </w:t>
      </w:r>
      <w:r w:rsidRPr="00A8089C">
        <w:t>the</w:t>
      </w:r>
      <w:r w:rsidRPr="00A8089C">
        <w:rPr>
          <w:lang w:eastAsia="en-AU"/>
        </w:rPr>
        <w:t xml:space="preserve"> </w:t>
      </w:r>
      <w:r w:rsidR="007D7447" w:rsidRPr="00A8089C">
        <w:rPr>
          <w:lang w:eastAsia="en-AU"/>
        </w:rPr>
        <w:t>Department of Social Services</w:t>
      </w:r>
      <w:r w:rsidRPr="00A8089C">
        <w:t xml:space="preserve"> </w:t>
      </w:r>
      <w:r w:rsidRPr="00A8089C">
        <w:rPr>
          <w:lang w:eastAsia="en-AU"/>
        </w:rPr>
        <w:t>may</w:t>
      </w:r>
      <w:r w:rsidRPr="003E6B2C">
        <w:t xml:space="preserve"> </w:t>
      </w:r>
      <w:r w:rsidR="007D7447" w:rsidRPr="003E6B2C">
        <w:t>terminate the agreement.</w:t>
      </w:r>
    </w:p>
    <w:p w:rsidR="00340616" w:rsidRDefault="00340616" w:rsidP="00340616">
      <w:pPr>
        <w:rPr>
          <w:bCs/>
          <w:lang w:eastAsia="en-AU"/>
        </w:rPr>
      </w:pPr>
      <w:r w:rsidRPr="00726710">
        <w:rPr>
          <w:bCs/>
          <w:lang w:eastAsia="en-AU"/>
        </w:rPr>
        <w:t xml:space="preserve">You should not make financial commitments </w:t>
      </w:r>
      <w:r w:rsidR="00704535">
        <w:rPr>
          <w:bCs/>
          <w:lang w:eastAsia="en-AU"/>
        </w:rPr>
        <w:t xml:space="preserve">related to this grant, </w:t>
      </w:r>
      <w:r w:rsidRPr="00726710">
        <w:rPr>
          <w:bCs/>
          <w:lang w:eastAsia="en-AU"/>
        </w:rPr>
        <w:t xml:space="preserve">until </w:t>
      </w:r>
      <w:proofErr w:type="gramStart"/>
      <w:r w:rsidRPr="00726710">
        <w:rPr>
          <w:bCs/>
          <w:lang w:eastAsia="en-AU"/>
        </w:rPr>
        <w:t>a grant agreement has been executed by the Commonwealth</w:t>
      </w:r>
      <w:proofErr w:type="gramEnd"/>
      <w:r w:rsidRPr="00726710">
        <w:rPr>
          <w:bCs/>
          <w:lang w:eastAsia="en-AU"/>
        </w:rPr>
        <w:t>.</w:t>
      </w:r>
      <w:r>
        <w:rPr>
          <w:bCs/>
          <w:lang w:eastAsia="en-AU"/>
        </w:rPr>
        <w:t xml:space="preserve"> </w:t>
      </w:r>
    </w:p>
    <w:p w:rsidR="00340616" w:rsidRDefault="00340616" w:rsidP="002B048F">
      <w:pPr>
        <w:pStyle w:val="Heading2Numbered"/>
      </w:pPr>
      <w:bookmarkStart w:id="136" w:name="_Toc467773981"/>
      <w:bookmarkStart w:id="137" w:name="_Toc519001806"/>
      <w:r>
        <w:lastRenderedPageBreak/>
        <w:t>How the grant will be paid</w:t>
      </w:r>
      <w:bookmarkEnd w:id="136"/>
      <w:bookmarkEnd w:id="137"/>
    </w:p>
    <w:p w:rsidR="00340616" w:rsidRPr="00DB0315" w:rsidRDefault="00340616" w:rsidP="00396BB6">
      <w:pPr>
        <w:tabs>
          <w:tab w:val="left" w:pos="0"/>
        </w:tabs>
      </w:pPr>
      <w:r w:rsidRPr="00DB0315">
        <w:rPr>
          <w:bCs/>
          <w:lang w:eastAsia="en-AU"/>
        </w:rPr>
        <w:t>The grant agreement will state the</w:t>
      </w:r>
      <w:r w:rsidR="005D106F">
        <w:rPr>
          <w:bCs/>
          <w:lang w:eastAsia="en-AU"/>
        </w:rPr>
        <w:t xml:space="preserve"> </w:t>
      </w:r>
      <w:r w:rsidRPr="00DB0315">
        <w:t>maximum grant amount to be paid</w:t>
      </w:r>
      <w:r w:rsidR="005D106F">
        <w:t>.</w:t>
      </w:r>
    </w:p>
    <w:p w:rsidR="00340616" w:rsidRPr="00DB0315" w:rsidRDefault="00340616" w:rsidP="00340616">
      <w:pPr>
        <w:tabs>
          <w:tab w:val="left" w:pos="0"/>
        </w:tabs>
        <w:rPr>
          <w:bCs/>
          <w:lang w:eastAsia="en-AU"/>
        </w:rPr>
      </w:pPr>
      <w:r w:rsidRPr="00DB0315">
        <w:rPr>
          <w:bCs/>
          <w:lang w:eastAsia="en-AU"/>
        </w:rPr>
        <w:t>We will not exceed the maximum grant amount under any circumstances.</w:t>
      </w:r>
    </w:p>
    <w:p w:rsidR="00340616" w:rsidRPr="00DB0315" w:rsidRDefault="00340616" w:rsidP="00340616">
      <w:pPr>
        <w:tabs>
          <w:tab w:val="left" w:pos="0"/>
        </w:tabs>
        <w:rPr>
          <w:bCs/>
          <w:lang w:eastAsia="en-AU"/>
        </w:rPr>
      </w:pPr>
      <w:r w:rsidRPr="00DB0315">
        <w:rPr>
          <w:bCs/>
          <w:lang w:eastAsia="en-AU"/>
        </w:rPr>
        <w:t xml:space="preserve">We will make an initial payment </w:t>
      </w:r>
      <w:r w:rsidR="00A01AB3">
        <w:rPr>
          <w:bCs/>
          <w:lang w:eastAsia="en-AU"/>
        </w:rPr>
        <w:t xml:space="preserve">in January 2019 </w:t>
      </w:r>
      <w:r w:rsidR="00491C6B">
        <w:rPr>
          <w:bCs/>
          <w:lang w:eastAsia="en-AU"/>
        </w:rPr>
        <w:t xml:space="preserve">or on execution of the grant, whichever is first, </w:t>
      </w:r>
      <w:r w:rsidR="007D7447">
        <w:rPr>
          <w:bCs/>
          <w:lang w:eastAsia="en-AU"/>
        </w:rPr>
        <w:t>and further payment</w:t>
      </w:r>
      <w:r w:rsidR="002B048F">
        <w:rPr>
          <w:bCs/>
          <w:lang w:eastAsia="en-AU"/>
        </w:rPr>
        <w:t>/s</w:t>
      </w:r>
      <w:r w:rsidR="007D7447">
        <w:rPr>
          <w:bCs/>
          <w:lang w:eastAsia="en-AU"/>
        </w:rPr>
        <w:t xml:space="preserve"> in </w:t>
      </w:r>
      <w:r w:rsidR="00A01AB3">
        <w:rPr>
          <w:bCs/>
          <w:lang w:eastAsia="en-AU"/>
        </w:rPr>
        <w:t xml:space="preserve">July </w:t>
      </w:r>
      <w:r w:rsidR="002B048F">
        <w:rPr>
          <w:bCs/>
          <w:lang w:eastAsia="en-AU"/>
        </w:rPr>
        <w:t>and December annually</w:t>
      </w:r>
      <w:r w:rsidR="00A01AB3">
        <w:rPr>
          <w:bCs/>
          <w:lang w:eastAsia="en-AU"/>
        </w:rPr>
        <w:t>.</w:t>
      </w:r>
      <w:r w:rsidRPr="00DB0315">
        <w:rPr>
          <w:bCs/>
          <w:lang w:eastAsia="en-AU"/>
        </w:rPr>
        <w:t xml:space="preserve"> </w:t>
      </w:r>
    </w:p>
    <w:p w:rsidR="00340616" w:rsidRDefault="00340616" w:rsidP="0054078D">
      <w:pPr>
        <w:pStyle w:val="Heading1Numbered"/>
      </w:pPr>
      <w:bookmarkStart w:id="138" w:name="_Toc509835028"/>
      <w:bookmarkStart w:id="139" w:name="_Toc509835030"/>
      <w:bookmarkStart w:id="140" w:name="_Toc509835033"/>
      <w:bookmarkStart w:id="141" w:name="_Toc509835036"/>
      <w:bookmarkStart w:id="142" w:name="_Toc509835043"/>
      <w:bookmarkStart w:id="143" w:name="_Toc467773983"/>
      <w:bookmarkStart w:id="144" w:name="_Toc519001807"/>
      <w:bookmarkEnd w:id="138"/>
      <w:bookmarkEnd w:id="139"/>
      <w:bookmarkEnd w:id="140"/>
      <w:bookmarkEnd w:id="141"/>
      <w:bookmarkEnd w:id="142"/>
      <w:r w:rsidRPr="001607E9">
        <w:t>Announcement</w:t>
      </w:r>
      <w:r>
        <w:t xml:space="preserve"> of grants</w:t>
      </w:r>
      <w:bookmarkEnd w:id="143"/>
      <w:bookmarkEnd w:id="144"/>
    </w:p>
    <w:p w:rsidR="00966462" w:rsidRPr="00966462" w:rsidRDefault="00966462" w:rsidP="00966462">
      <w:pPr>
        <w:rPr>
          <w:iCs/>
        </w:rPr>
      </w:pPr>
      <w:r>
        <w:t xml:space="preserve">If successful, your grant </w:t>
      </w:r>
      <w:proofErr w:type="gramStart"/>
      <w:r>
        <w:t>will be listed</w:t>
      </w:r>
      <w:proofErr w:type="gramEnd"/>
      <w:r>
        <w:t xml:space="preserve"> on </w:t>
      </w:r>
      <w:hyperlink r:id="rId22" w:history="1">
        <w:r w:rsidRPr="000510F7">
          <w:rPr>
            <w:rStyle w:val="Hyperlink"/>
            <w:rFonts w:cstheme="minorBidi"/>
          </w:rPr>
          <w:t>GrantConnect</w:t>
        </w:r>
      </w:hyperlink>
      <w:r>
        <w:t xml:space="preserve"> </w:t>
      </w:r>
      <w:r w:rsidR="000510F7">
        <w:t>21 calendar days</w:t>
      </w:r>
      <w:r>
        <w:t xml:space="preserve"> after the date of effect as required by Section 5.3 of the</w:t>
      </w:r>
      <w:r w:rsidR="0099502B">
        <w:rPr>
          <w:i/>
          <w:iCs/>
        </w:rPr>
        <w:t xml:space="preserve"> </w:t>
      </w:r>
      <w:r w:rsidR="0099502B" w:rsidRPr="00045933">
        <w:rPr>
          <w:i/>
        </w:rPr>
        <w:t xml:space="preserve">Commonwealth Grants Rules and Guidelines </w:t>
      </w:r>
      <w:r w:rsidR="0099502B">
        <w:rPr>
          <w:i/>
        </w:rPr>
        <w:t>2017</w:t>
      </w:r>
      <w:r>
        <w:rPr>
          <w:i/>
          <w:iCs/>
        </w:rPr>
        <w:t xml:space="preserve">. </w:t>
      </w:r>
    </w:p>
    <w:p w:rsidR="00340616" w:rsidRPr="00B72EE8" w:rsidRDefault="00340616" w:rsidP="0054078D">
      <w:pPr>
        <w:pStyle w:val="Heading1Numbered"/>
      </w:pPr>
      <w:bookmarkStart w:id="145" w:name="_Toc421777623"/>
      <w:bookmarkStart w:id="146" w:name="_Toc467773984"/>
      <w:bookmarkStart w:id="147" w:name="_Toc519001808"/>
      <w:r w:rsidRPr="00B72EE8">
        <w:t xml:space="preserve">Delivery of </w:t>
      </w:r>
      <w:r>
        <w:t>g</w:t>
      </w:r>
      <w:r w:rsidRPr="00B72EE8">
        <w:t>rant</w:t>
      </w:r>
      <w:r>
        <w:t xml:space="preserve"> activities</w:t>
      </w:r>
      <w:bookmarkEnd w:id="145"/>
      <w:bookmarkEnd w:id="146"/>
      <w:bookmarkEnd w:id="147"/>
    </w:p>
    <w:p w:rsidR="00340616" w:rsidRPr="00B72EE8" w:rsidDel="00D505A5" w:rsidRDefault="00340616" w:rsidP="00892C8B">
      <w:pPr>
        <w:pStyle w:val="Heading2Numbered"/>
        <w:ind w:left="709" w:hanging="709"/>
      </w:pPr>
      <w:bookmarkStart w:id="148" w:name="_Toc421777624"/>
      <w:bookmarkStart w:id="149" w:name="_Toc433641185"/>
      <w:bookmarkStart w:id="150" w:name="_Toc467773985"/>
      <w:bookmarkStart w:id="151" w:name="_Toc519001809"/>
      <w:r>
        <w:t>Your</w:t>
      </w:r>
      <w:r w:rsidRPr="00B72EE8" w:rsidDel="00D505A5">
        <w:t xml:space="preserve"> responsibilities</w:t>
      </w:r>
      <w:bookmarkEnd w:id="148"/>
      <w:bookmarkEnd w:id="149"/>
      <w:bookmarkEnd w:id="150"/>
      <w:bookmarkEnd w:id="151"/>
    </w:p>
    <w:p w:rsidR="00737C4A" w:rsidRPr="00726710" w:rsidRDefault="00737C4A" w:rsidP="00737C4A">
      <w:pPr>
        <w:rPr>
          <w:rFonts w:cstheme="minorHAnsi"/>
        </w:rPr>
      </w:pPr>
      <w:bookmarkStart w:id="152" w:name="_Toc421777629"/>
      <w:bookmarkStart w:id="153" w:name="_Toc467773988"/>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3" w:history="1">
        <w:r w:rsidRPr="00726710">
          <w:rPr>
            <w:rFonts w:cstheme="minorHAnsi"/>
          </w:rPr>
          <w:t>grant agreement</w:t>
        </w:r>
      </w:hyperlink>
      <w:r w:rsidRPr="00726710">
        <w:rPr>
          <w:rFonts w:cstheme="minorHAnsi"/>
        </w:rPr>
        <w:t>. We will expect you to report on</w:t>
      </w:r>
    </w:p>
    <w:p w:rsidR="00737C4A" w:rsidRPr="00726710" w:rsidRDefault="00737C4A" w:rsidP="00737C4A">
      <w:pPr>
        <w:pStyle w:val="Bullet1"/>
      </w:pPr>
      <w:r w:rsidRPr="00726710">
        <w:t>progress against agreed project milestones</w:t>
      </w:r>
    </w:p>
    <w:p w:rsidR="00737C4A" w:rsidRPr="00726710" w:rsidRDefault="00737C4A" w:rsidP="00737C4A">
      <w:pPr>
        <w:pStyle w:val="Bullet1"/>
      </w:pPr>
      <w:proofErr w:type="gramStart"/>
      <w:r w:rsidRPr="00726710">
        <w:t>eligible</w:t>
      </w:r>
      <w:proofErr w:type="gramEnd"/>
      <w:r w:rsidRPr="00726710">
        <w:t xml:space="preserve"> expenditure of grant funds.</w:t>
      </w:r>
    </w:p>
    <w:p w:rsidR="00737C4A" w:rsidRPr="00726710" w:rsidRDefault="00737C4A" w:rsidP="00737C4A">
      <w:pPr>
        <w:rPr>
          <w:rFonts w:cstheme="minorHAnsi"/>
        </w:rPr>
      </w:pPr>
      <w:r w:rsidRPr="00726710">
        <w:rPr>
          <w:rFonts w:cstheme="minorHAnsi"/>
        </w:rPr>
        <w:t>You</w:t>
      </w:r>
      <w:r w:rsidRPr="00726710" w:rsidDel="00D505A5">
        <w:rPr>
          <w:rFonts w:cstheme="minorHAnsi"/>
        </w:rPr>
        <w:t xml:space="preserve"> </w:t>
      </w:r>
      <w:r w:rsidRPr="00726710">
        <w:rPr>
          <w:rFonts w:cstheme="minorHAnsi"/>
        </w:rPr>
        <w:t xml:space="preserve">will </w:t>
      </w:r>
      <w:r w:rsidRPr="003E6B2C">
        <w:rPr>
          <w:rFonts w:cstheme="minorHAnsi"/>
        </w:rPr>
        <w:t xml:space="preserve">also </w:t>
      </w:r>
      <w:r w:rsidRPr="00A01AB3">
        <w:rPr>
          <w:rFonts w:cstheme="minorHAnsi"/>
        </w:rPr>
        <w:t>be</w:t>
      </w:r>
      <w:r w:rsidRPr="00A01AB3" w:rsidDel="00D505A5">
        <w:rPr>
          <w:rFonts w:cstheme="minorHAnsi"/>
        </w:rPr>
        <w:t xml:space="preserve"> </w:t>
      </w:r>
      <w:r w:rsidRPr="00726710" w:rsidDel="00D505A5">
        <w:rPr>
          <w:rFonts w:cstheme="minorHAnsi"/>
        </w:rPr>
        <w:t xml:space="preserve">responsible </w:t>
      </w:r>
      <w:proofErr w:type="gramStart"/>
      <w:r w:rsidRPr="00726710" w:rsidDel="00D505A5">
        <w:rPr>
          <w:rFonts w:cstheme="minorHAnsi"/>
        </w:rPr>
        <w:t>for</w:t>
      </w:r>
      <w:proofErr w:type="gramEnd"/>
      <w:r w:rsidRPr="00726710" w:rsidDel="00D505A5">
        <w:rPr>
          <w:rFonts w:cstheme="minorHAnsi"/>
        </w:rPr>
        <w:t>:</w:t>
      </w:r>
    </w:p>
    <w:p w:rsidR="00737C4A" w:rsidRPr="00F27A20" w:rsidRDefault="00737C4A" w:rsidP="00737C4A">
      <w:pPr>
        <w:pStyle w:val="Bullet1"/>
      </w:pPr>
      <w:r>
        <w:t>e</w:t>
      </w:r>
      <w:r w:rsidRPr="00F27A20">
        <w:t xml:space="preserve">nsuring that organisation and outlet details are listed and up to date on </w:t>
      </w:r>
      <w:r>
        <w:t>the Department of Social Services</w:t>
      </w:r>
      <w:r w:rsidRPr="00F27A20">
        <w:t xml:space="preserve"> </w:t>
      </w:r>
      <w:r>
        <w:t>Data Exchange</w:t>
      </w:r>
    </w:p>
    <w:p w:rsidR="00737C4A" w:rsidRPr="00726710" w:rsidDel="00D505A5" w:rsidRDefault="00737C4A" w:rsidP="00737C4A">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rsidR="00737C4A" w:rsidRPr="00726710" w:rsidDel="00D505A5" w:rsidRDefault="00737C4A" w:rsidP="00737C4A">
      <w:pPr>
        <w:pStyle w:val="Bullet1"/>
      </w:pPr>
      <w:r w:rsidRPr="00726710" w:rsidDel="00D505A5">
        <w:t xml:space="preserve">complying with record keeping, reporting and acquittal requirements </w:t>
      </w:r>
      <w:r w:rsidRPr="00726710">
        <w:t>as set out in the grant agreement</w:t>
      </w:r>
    </w:p>
    <w:p w:rsidR="00737C4A" w:rsidRDefault="00737C4A" w:rsidP="00737C4A">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p>
    <w:p w:rsidR="00737C4A" w:rsidRPr="00726710" w:rsidDel="00D505A5" w:rsidRDefault="00737C4A" w:rsidP="00737C4A">
      <w:pPr>
        <w:pStyle w:val="Bullet1"/>
      </w:pPr>
      <w:proofErr w:type="gramStart"/>
      <w:r>
        <w:t>having</w:t>
      </w:r>
      <w:proofErr w:type="gramEnd"/>
      <w:r>
        <w:t xml:space="preserve"> appropriate practices and procedures in place to mitigate fraud. </w:t>
      </w:r>
    </w:p>
    <w:p w:rsidR="00737C4A" w:rsidRPr="00B72EE8" w:rsidRDefault="00737C4A" w:rsidP="00737C4A">
      <w:pPr>
        <w:pStyle w:val="Heading2Numbered"/>
        <w:ind w:left="709" w:hanging="709"/>
      </w:pPr>
      <w:bookmarkStart w:id="154" w:name="_Toc420671454"/>
      <w:bookmarkStart w:id="155" w:name="_Toc433641186"/>
      <w:bookmarkStart w:id="156" w:name="_Toc467773986"/>
      <w:bookmarkStart w:id="157" w:name="_Toc519001810"/>
      <w:r w:rsidRPr="003E6B2C">
        <w:rPr>
          <w:color w:val="auto"/>
        </w:rPr>
        <w:t>Department of Social Services</w:t>
      </w:r>
      <w:r>
        <w:rPr>
          <w:color w:val="auto"/>
        </w:rPr>
        <w:t>’</w:t>
      </w:r>
      <w:r w:rsidRPr="003E6B2C">
        <w:rPr>
          <w:color w:val="auto"/>
        </w:rPr>
        <w:t xml:space="preserve"> </w:t>
      </w:r>
      <w:r w:rsidRPr="00B72EE8">
        <w:t>responsibilities</w:t>
      </w:r>
      <w:bookmarkEnd w:id="154"/>
      <w:bookmarkEnd w:id="155"/>
      <w:bookmarkEnd w:id="156"/>
      <w:bookmarkEnd w:id="157"/>
    </w:p>
    <w:p w:rsidR="00737C4A" w:rsidRPr="00726710" w:rsidRDefault="00737C4A" w:rsidP="00737C4A">
      <w:pPr>
        <w:rPr>
          <w:rFonts w:cstheme="minorHAnsi"/>
        </w:rPr>
      </w:pPr>
      <w:r w:rsidRPr="00726710">
        <w:rPr>
          <w:rFonts w:cstheme="minorHAnsi"/>
        </w:rPr>
        <w:t>The</w:t>
      </w:r>
      <w:r w:rsidRPr="00726710">
        <w:rPr>
          <w:rFonts w:cstheme="minorHAnsi"/>
          <w:b/>
        </w:rPr>
        <w:t xml:space="preserve"> </w:t>
      </w:r>
      <w:r w:rsidRPr="003E6B2C">
        <w:rPr>
          <w:rFonts w:cstheme="minorHAnsi"/>
        </w:rPr>
        <w:t xml:space="preserve">Department of Social Services </w:t>
      </w:r>
      <w:r w:rsidRPr="00726710">
        <w:rPr>
          <w:rFonts w:cstheme="minorHAnsi"/>
        </w:rPr>
        <w:t xml:space="preserve">will: </w:t>
      </w:r>
    </w:p>
    <w:p w:rsidR="00737C4A" w:rsidRPr="00726710" w:rsidRDefault="00737C4A" w:rsidP="00737C4A">
      <w:pPr>
        <w:pStyle w:val="Bullet1"/>
      </w:pPr>
      <w:r w:rsidRPr="00726710">
        <w:t>meet the terms and conditions</w:t>
      </w:r>
      <w:r>
        <w:t xml:space="preserve"> set out in the grant agreement</w:t>
      </w:r>
    </w:p>
    <w:p w:rsidR="00737C4A" w:rsidRPr="00726710" w:rsidRDefault="00737C4A" w:rsidP="00737C4A">
      <w:pPr>
        <w:pStyle w:val="Bullet1"/>
      </w:pPr>
      <w:r w:rsidRPr="00726710">
        <w:t>provide time</w:t>
      </w:r>
      <w:r>
        <w:t>ly administration of the grant</w:t>
      </w:r>
    </w:p>
    <w:p w:rsidR="00737C4A" w:rsidRPr="00726710" w:rsidRDefault="00737C4A" w:rsidP="00737C4A">
      <w:pPr>
        <w:pStyle w:val="Bullet1"/>
      </w:pPr>
      <w:proofErr w:type="gramStart"/>
      <w:r w:rsidRPr="00726710">
        <w:t>evaluate</w:t>
      </w:r>
      <w:proofErr w:type="gramEnd"/>
      <w:r w:rsidRPr="00726710">
        <w:t xml:space="preserve"> the grantee’s performance.</w:t>
      </w:r>
    </w:p>
    <w:p w:rsidR="00737C4A" w:rsidRPr="00726710" w:rsidRDefault="00737C4A" w:rsidP="00737C4A">
      <w:pPr>
        <w:rPr>
          <w:rFonts w:cstheme="minorHAnsi"/>
        </w:rPr>
      </w:pPr>
      <w:r w:rsidRPr="00726710">
        <w:rPr>
          <w:rFonts w:cstheme="minorHAnsi"/>
        </w:rPr>
        <w:lastRenderedPageBreak/>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rsidR="00737C4A" w:rsidRPr="00B72EE8" w:rsidRDefault="00737C4A" w:rsidP="00737C4A">
      <w:pPr>
        <w:pStyle w:val="Heading2Numbered"/>
        <w:ind w:left="709" w:hanging="709"/>
      </w:pPr>
      <w:bookmarkStart w:id="158" w:name="_Toc421777626"/>
      <w:bookmarkStart w:id="159" w:name="_Toc467773987"/>
      <w:bookmarkStart w:id="160" w:name="_Toc519001811"/>
      <w:bookmarkStart w:id="161" w:name="_Toc433641188"/>
      <w:r>
        <w:t>Grant p</w:t>
      </w:r>
      <w:r w:rsidRPr="00B72EE8">
        <w:t>ayments</w:t>
      </w:r>
      <w:bookmarkEnd w:id="158"/>
      <w:r>
        <w:t xml:space="preserve"> and GST</w:t>
      </w:r>
      <w:bookmarkEnd w:id="159"/>
      <w:bookmarkEnd w:id="160"/>
      <w:r>
        <w:t xml:space="preserve"> </w:t>
      </w:r>
      <w:bookmarkEnd w:id="161"/>
    </w:p>
    <w:p w:rsidR="00737C4A" w:rsidRDefault="00737C4A" w:rsidP="00737C4A">
      <w:r w:rsidRPr="00565B54">
        <w:t>If applicable, GST will be payable on this grant funding and will be</w:t>
      </w:r>
      <w:r>
        <w:t xml:space="preserve"> set out in the grant agreement.</w:t>
      </w:r>
    </w:p>
    <w:p w:rsidR="00737C4A" w:rsidRPr="00DE3325" w:rsidRDefault="00737C4A" w:rsidP="00737C4A">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4" w:history="1">
        <w:r w:rsidRPr="00AE5A5C">
          <w:rPr>
            <w:rStyle w:val="Hyperlink"/>
            <w:rFonts w:cstheme="minorBidi"/>
          </w:rPr>
          <w:t>Australian Taxation Office website</w:t>
        </w:r>
      </w:hyperlink>
      <w:r w:rsidRPr="00E620C7">
        <w:t xml:space="preserve"> for more information.</w:t>
      </w:r>
    </w:p>
    <w:p w:rsidR="00737C4A" w:rsidRPr="00305665" w:rsidRDefault="00737C4A" w:rsidP="00737C4A">
      <w:pPr>
        <w:pStyle w:val="Heading2Numbered"/>
        <w:ind w:left="709" w:hanging="709"/>
      </w:pPr>
      <w:bookmarkStart w:id="162" w:name="_Toc519001812"/>
      <w:r>
        <w:t>Reporting</w:t>
      </w:r>
      <w:bookmarkEnd w:id="162"/>
    </w:p>
    <w:p w:rsidR="00737C4A" w:rsidRPr="000048E2" w:rsidRDefault="00737C4A" w:rsidP="00737C4A">
      <w:pPr>
        <w:rPr>
          <w:rFonts w:cstheme="minorHAnsi"/>
          <w:lang w:val="en-GB"/>
        </w:rPr>
      </w:pPr>
      <w:r w:rsidRPr="00565B54">
        <w:rPr>
          <w:rFonts w:cstheme="minorHAnsi"/>
          <w:lang w:val="en-GB"/>
        </w:rPr>
        <w:t>Grantees</w:t>
      </w:r>
      <w:r>
        <w:rPr>
          <w:rFonts w:cstheme="minorHAnsi"/>
          <w:lang w:val="en-GB"/>
        </w:rPr>
        <w:t xml:space="preserve"> </w:t>
      </w:r>
      <w:r w:rsidRPr="00CE71D8">
        <w:rPr>
          <w:rFonts w:cstheme="minorHAnsi"/>
          <w:lang w:val="en-GB"/>
        </w:rPr>
        <w:t xml:space="preserve">must have systems in place to allow them to meet their data collection and </w:t>
      </w:r>
      <w:r w:rsidRPr="000048E2">
        <w:rPr>
          <w:rFonts w:cstheme="minorHAnsi"/>
          <w:lang w:val="en-GB"/>
        </w:rPr>
        <w:t xml:space="preserve">reporting obligations outlined in their </w:t>
      </w:r>
      <w:r>
        <w:rPr>
          <w:rFonts w:cstheme="minorHAnsi"/>
          <w:lang w:val="en-GB"/>
        </w:rPr>
        <w:t>grant agreement</w:t>
      </w:r>
      <w:r w:rsidRPr="000048E2">
        <w:rPr>
          <w:rFonts w:cstheme="minorHAnsi"/>
          <w:lang w:val="en-GB"/>
        </w:rPr>
        <w:t>.  </w:t>
      </w:r>
    </w:p>
    <w:p w:rsidR="00737C4A" w:rsidRDefault="00737C4A" w:rsidP="00737C4A">
      <w:pPr>
        <w:rPr>
          <w:rFonts w:cstheme="minorHAnsi"/>
        </w:rPr>
      </w:pPr>
      <w:r w:rsidRPr="000048E2">
        <w:rPr>
          <w:rFonts w:cstheme="minorHAnsi"/>
        </w:rPr>
        <w:t xml:space="preserve">Performance information (e.g. client characteristics and service delivery information) </w:t>
      </w:r>
      <w:proofErr w:type="gramStart"/>
      <w:r w:rsidRPr="000048E2">
        <w:rPr>
          <w:rFonts w:cstheme="minorHAnsi"/>
        </w:rPr>
        <w:t>will be required to be collected by service providers at the client level and</w:t>
      </w:r>
      <w:proofErr w:type="gramEnd"/>
      <w:r w:rsidRPr="000048E2">
        <w:rPr>
          <w:rFonts w:cstheme="minorHAnsi"/>
        </w:rPr>
        <w:t xml:space="preserve"> entered directly into the department’s </w:t>
      </w:r>
      <w:r>
        <w:rPr>
          <w:rFonts w:cstheme="minorHAnsi"/>
        </w:rPr>
        <w:t xml:space="preserve">performance reporting solution, the Data Exchange. </w:t>
      </w:r>
    </w:p>
    <w:p w:rsidR="00737C4A" w:rsidRDefault="00737C4A" w:rsidP="00737C4A">
      <w:r>
        <w:t>The performance information required includes:</w:t>
      </w:r>
    </w:p>
    <w:p w:rsidR="00737C4A" w:rsidRPr="00B3578C" w:rsidRDefault="00737C4A" w:rsidP="00737C4A">
      <w:pPr>
        <w:pStyle w:val="Bullet1"/>
      </w:pPr>
      <w:r w:rsidRPr="00B3578C">
        <w:t>Client identity characteristics (given and family names, date of birth, gender and residential address)</w:t>
      </w:r>
    </w:p>
    <w:p w:rsidR="00737C4A" w:rsidRPr="00B3578C" w:rsidRDefault="00737C4A" w:rsidP="00737C4A">
      <w:pPr>
        <w:pStyle w:val="Bullet1"/>
      </w:pPr>
      <w:r w:rsidRPr="00B3578C">
        <w:t>Client demographic characteristics (Indigenous status, cultural and linguistic diversity, and disability</w:t>
      </w:r>
      <w:r>
        <w:t xml:space="preserve"> status</w:t>
      </w:r>
      <w:r w:rsidRPr="00B3578C">
        <w:t>, impairment or condition).</w:t>
      </w:r>
    </w:p>
    <w:p w:rsidR="00737C4A" w:rsidRPr="00B3578C" w:rsidRDefault="00737C4A" w:rsidP="00737C4A">
      <w:pPr>
        <w:pStyle w:val="Bullet1"/>
      </w:pPr>
      <w:r w:rsidRPr="00B3578C">
        <w:t>Service delivery information</w:t>
      </w:r>
    </w:p>
    <w:p w:rsidR="00737C4A" w:rsidRDefault="00737C4A" w:rsidP="00737C4A">
      <w:pPr>
        <w:pStyle w:val="Bullet1"/>
      </w:pPr>
      <w:r w:rsidRPr="00B3578C">
        <w:t>Client outcomes</w:t>
      </w:r>
      <w:r>
        <w:t>.</w:t>
      </w:r>
    </w:p>
    <w:p w:rsidR="00737C4A" w:rsidRPr="00565B54" w:rsidRDefault="00737C4A" w:rsidP="00737C4A">
      <w:pPr>
        <w:spacing w:line="288" w:lineRule="auto"/>
        <w:rPr>
          <w:rFonts w:ascii="Arial" w:hAnsi="Arial" w:cs="Arial"/>
          <w:sz w:val="20"/>
          <w:szCs w:val="20"/>
          <w:lang w:eastAsia="en-AU"/>
        </w:rPr>
      </w:pPr>
      <w:r w:rsidRPr="00565B54">
        <w:rPr>
          <w:rFonts w:ascii="Arial" w:hAnsi="Arial" w:cs="Arial"/>
        </w:rPr>
        <w:t>The Data Exchange has two standardised six monthly performance reporting periods each year:</w:t>
      </w:r>
    </w:p>
    <w:p w:rsidR="00737C4A" w:rsidRPr="00565B54" w:rsidRDefault="00737C4A" w:rsidP="00737C4A">
      <w:pPr>
        <w:pStyle w:val="ListParagraph"/>
        <w:numPr>
          <w:ilvl w:val="0"/>
          <w:numId w:val="22"/>
        </w:numPr>
        <w:spacing w:before="120" w:after="120" w:line="288" w:lineRule="auto"/>
        <w:ind w:left="709" w:hanging="425"/>
        <w:contextualSpacing/>
        <w:rPr>
          <w:rFonts w:ascii="Arial" w:hAnsi="Arial" w:cs="Arial"/>
          <w:b/>
          <w:bCs/>
          <w:sz w:val="20"/>
          <w:szCs w:val="20"/>
          <w:lang w:eastAsia="en-AU"/>
        </w:rPr>
      </w:pPr>
      <w:r w:rsidRPr="00565B54">
        <w:rPr>
          <w:rFonts w:ascii="Arial" w:hAnsi="Arial" w:cs="Arial"/>
          <w:b/>
          <w:bCs/>
        </w:rPr>
        <w:t xml:space="preserve">Reporting Period 1 </w:t>
      </w:r>
      <w:r w:rsidRPr="00565B54">
        <w:rPr>
          <w:rFonts w:ascii="Arial" w:hAnsi="Arial" w:cs="Arial"/>
        </w:rPr>
        <w:t>runs from 1 July to 31 December</w:t>
      </w:r>
      <w:r w:rsidRPr="00565B54">
        <w:rPr>
          <w:rFonts w:ascii="Arial" w:hAnsi="Arial" w:cs="Arial"/>
          <w:b/>
          <w:bCs/>
        </w:rPr>
        <w:t xml:space="preserve"> </w:t>
      </w:r>
    </w:p>
    <w:p w:rsidR="00737C4A" w:rsidRPr="00565B54" w:rsidRDefault="00737C4A" w:rsidP="00737C4A">
      <w:pPr>
        <w:pStyle w:val="ListParagraph"/>
        <w:numPr>
          <w:ilvl w:val="0"/>
          <w:numId w:val="22"/>
        </w:numPr>
        <w:spacing w:before="120" w:after="120" w:line="288" w:lineRule="auto"/>
        <w:ind w:left="709" w:hanging="425"/>
        <w:contextualSpacing/>
        <w:rPr>
          <w:rFonts w:ascii="Arial" w:hAnsi="Arial" w:cs="Arial"/>
        </w:rPr>
      </w:pPr>
      <w:r w:rsidRPr="00565B54">
        <w:rPr>
          <w:rFonts w:ascii="Arial" w:hAnsi="Arial" w:cs="Arial"/>
          <w:b/>
          <w:bCs/>
        </w:rPr>
        <w:t>Reporting Period 2</w:t>
      </w:r>
      <w:r w:rsidRPr="00565B54">
        <w:rPr>
          <w:rFonts w:ascii="Arial" w:hAnsi="Arial" w:cs="Arial"/>
        </w:rPr>
        <w:t xml:space="preserve"> runs from 1 January to 30 June </w:t>
      </w:r>
    </w:p>
    <w:p w:rsidR="00737C4A" w:rsidRDefault="00737C4A" w:rsidP="00737C4A">
      <w:pPr>
        <w:spacing w:line="288" w:lineRule="auto"/>
        <w:rPr>
          <w:rFonts w:ascii="Arial" w:hAnsi="Arial" w:cs="Arial"/>
          <w:sz w:val="20"/>
          <w:szCs w:val="20"/>
          <w:lang w:eastAsia="en-AU"/>
        </w:rPr>
      </w:pPr>
      <w:r w:rsidRPr="00565B54">
        <w:rPr>
          <w:rFonts w:ascii="Arial" w:hAnsi="Arial" w:cs="Arial"/>
        </w:rPr>
        <w:t>Users of the Data Exchange also have an extra 30 days at the end of each reporting period, known as ‘closing periods’, to allow time to quality check their data before the reporting period automatically closes at the end of the 30 days (i.e. 30 July and 30 January each year).</w:t>
      </w:r>
    </w:p>
    <w:p w:rsidR="00305665" w:rsidRPr="00565B54" w:rsidRDefault="00737C4A" w:rsidP="00737C4A">
      <w:pPr>
        <w:rPr>
          <w:rStyle w:val="Hyperlink"/>
          <w:rFonts w:cstheme="minorHAnsi"/>
          <w:lang w:val="en-GB"/>
        </w:rPr>
      </w:pPr>
      <w:r w:rsidRPr="000048E2">
        <w:rPr>
          <w:rFonts w:cstheme="minorHAnsi"/>
        </w:rPr>
        <w:t xml:space="preserve">Information </w:t>
      </w:r>
      <w:proofErr w:type="gramStart"/>
      <w:r w:rsidRPr="000048E2">
        <w:rPr>
          <w:rFonts w:cstheme="minorHAnsi"/>
        </w:rPr>
        <w:t>must be provided</w:t>
      </w:r>
      <w:proofErr w:type="gramEnd"/>
      <w:r w:rsidRPr="000048E2">
        <w:rPr>
          <w:rFonts w:cstheme="minorHAnsi"/>
        </w:rPr>
        <w:t xml:space="preserve"> in accordance with the</w:t>
      </w:r>
      <w:r w:rsidRPr="000048E2">
        <w:rPr>
          <w:rFonts w:cstheme="minorHAnsi"/>
          <w:i/>
        </w:rPr>
        <w:t xml:space="preserve"> </w:t>
      </w:r>
      <w:r>
        <w:rPr>
          <w:rFonts w:cstheme="minorHAnsi"/>
        </w:rPr>
        <w:t>Data Exchange</w:t>
      </w:r>
      <w:r w:rsidRPr="000048E2">
        <w:rPr>
          <w:rFonts w:cstheme="minorHAnsi"/>
        </w:rPr>
        <w:t xml:space="preserve"> Protocols available at </w:t>
      </w:r>
      <w:r w:rsidR="000C6C69">
        <w:rPr>
          <w:rFonts w:cstheme="minorHAnsi"/>
        </w:rPr>
        <w:t xml:space="preserve">the </w:t>
      </w:r>
      <w:hyperlink r:id="rId25" w:history="1">
        <w:r w:rsidR="000C6C69" w:rsidRPr="00891413">
          <w:rPr>
            <w:rStyle w:val="Hyperlink"/>
            <w:rFonts w:cstheme="minorHAnsi"/>
          </w:rPr>
          <w:t>Data Exchange website.</w:t>
        </w:r>
      </w:hyperlink>
    </w:p>
    <w:p w:rsidR="00061C32" w:rsidRPr="00565B54" w:rsidRDefault="00061C32" w:rsidP="00061C32">
      <w:pPr>
        <w:pStyle w:val="Heading3Numbered"/>
        <w:numPr>
          <w:ilvl w:val="2"/>
          <w:numId w:val="26"/>
        </w:numPr>
        <w:spacing w:before="240" w:after="240"/>
        <w:ind w:left="993" w:hanging="993"/>
        <w:rPr>
          <w:rFonts w:cstheme="minorHAnsi"/>
        </w:rPr>
      </w:pPr>
      <w:bookmarkStart w:id="163" w:name="_Toc514674262"/>
      <w:bookmarkStart w:id="164" w:name="_Toc514674755"/>
      <w:bookmarkStart w:id="165" w:name="_Toc501360815"/>
      <w:bookmarkStart w:id="166" w:name="_Toc509841133"/>
      <w:bookmarkStart w:id="167" w:name="_Toc514411133"/>
      <w:bookmarkStart w:id="168" w:name="_Toc519001813"/>
      <w:bookmarkEnd w:id="163"/>
      <w:bookmarkEnd w:id="164"/>
      <w:r w:rsidRPr="00565B54">
        <w:lastRenderedPageBreak/>
        <w:t>DEX Partnership</w:t>
      </w:r>
      <w:r w:rsidRPr="00565B54">
        <w:rPr>
          <w:rFonts w:cstheme="minorHAnsi"/>
        </w:rPr>
        <w:t xml:space="preserve"> Approach</w:t>
      </w:r>
      <w:bookmarkEnd w:id="165"/>
      <w:bookmarkEnd w:id="166"/>
      <w:bookmarkEnd w:id="167"/>
      <w:bookmarkEnd w:id="168"/>
      <w:r w:rsidRPr="00565B54">
        <w:rPr>
          <w:rFonts w:cstheme="minorHAnsi"/>
        </w:rPr>
        <w:t xml:space="preserve"> </w:t>
      </w:r>
    </w:p>
    <w:p w:rsidR="00061C32" w:rsidRPr="00565B54" w:rsidRDefault="00061C32" w:rsidP="00061C32">
      <w:pPr>
        <w:rPr>
          <w:rFonts w:cstheme="minorHAnsi"/>
        </w:rPr>
      </w:pPr>
      <w:r w:rsidRPr="00565B54">
        <w:rPr>
          <w:rFonts w:cstheme="minorHAnsi"/>
        </w:rPr>
        <w:t xml:space="preserve">Participation in the partnership, through DEX, is optional. </w:t>
      </w:r>
    </w:p>
    <w:p w:rsidR="00061C32" w:rsidRPr="00565B54" w:rsidRDefault="00061C32" w:rsidP="00061C32">
      <w:pPr>
        <w:rPr>
          <w:rFonts w:cstheme="minorHAnsi"/>
        </w:rPr>
      </w:pPr>
      <w:r w:rsidRPr="00565B54">
        <w:rPr>
          <w:rFonts w:cstheme="minorHAnsi"/>
        </w:rPr>
        <w:t xml:space="preserve">The partnership approach will improve the data available to the Department of Social Services for all </w:t>
      </w:r>
      <w:r w:rsidRPr="00565B54">
        <w:t>Commonwealth Financial Counselling and Financial Capability</w:t>
      </w:r>
      <w:r w:rsidRPr="00565B54" w:rsidDel="00F77306">
        <w:rPr>
          <w:rFonts w:cstheme="minorHAnsi"/>
        </w:rPr>
        <w:t xml:space="preserve"> </w:t>
      </w:r>
      <w:r w:rsidRPr="00565B54">
        <w:rPr>
          <w:rFonts w:cstheme="minorHAnsi"/>
        </w:rPr>
        <w:t xml:space="preserve">grants. </w:t>
      </w:r>
    </w:p>
    <w:p w:rsidR="00061C32" w:rsidRPr="00565B54" w:rsidRDefault="00061C32" w:rsidP="00061C32">
      <w:pPr>
        <w:spacing w:before="120" w:after="120"/>
        <w:rPr>
          <w:rFonts w:eastAsiaTheme="minorEastAsia" w:cs="Arial"/>
        </w:rPr>
      </w:pPr>
      <w:r w:rsidRPr="00565B54">
        <w:rPr>
          <w:rFonts w:eastAsiaTheme="minorEastAsia" w:cs="Arial"/>
        </w:rPr>
        <w:t xml:space="preserve">The </w:t>
      </w:r>
      <w:proofErr w:type="gramStart"/>
      <w:r w:rsidRPr="00565B54">
        <w:rPr>
          <w:rFonts w:eastAsiaTheme="minorEastAsia" w:cs="Arial"/>
        </w:rPr>
        <w:t>main focus</w:t>
      </w:r>
      <w:proofErr w:type="gramEnd"/>
      <w:r w:rsidRPr="00565B54">
        <w:rPr>
          <w:rFonts w:eastAsiaTheme="minorEastAsia" w:cs="Arial"/>
        </w:rPr>
        <w:t xml:space="preserve"> of the partnership approach is collecting information about the outcomes achieved by clients. Client outcomes can be achieved in a variety of different ways and progressively over different </w:t>
      </w:r>
      <w:proofErr w:type="gramStart"/>
      <w:r w:rsidRPr="00565B54">
        <w:rPr>
          <w:rFonts w:eastAsiaTheme="minorEastAsia" w:cs="Arial"/>
        </w:rPr>
        <w:t>periods of time</w:t>
      </w:r>
      <w:proofErr w:type="gramEnd"/>
      <w:r w:rsidRPr="00565B54">
        <w:rPr>
          <w:rFonts w:eastAsiaTheme="minorEastAsia" w:cs="Arial"/>
        </w:rPr>
        <w:t xml:space="preserve">. </w:t>
      </w:r>
    </w:p>
    <w:p w:rsidR="00061C32" w:rsidRPr="00565B54" w:rsidRDefault="00061C32" w:rsidP="00061C32">
      <w:pPr>
        <w:spacing w:before="120" w:after="120"/>
        <w:rPr>
          <w:rFonts w:eastAsiaTheme="minorEastAsia" w:cs="Arial"/>
        </w:rPr>
      </w:pPr>
      <w:r w:rsidRPr="00565B54">
        <w:rPr>
          <w:rFonts w:eastAsiaTheme="minorEastAsia" w:cs="Arial"/>
        </w:rPr>
        <w:t xml:space="preserve">The partnership approach includes a </w:t>
      </w:r>
      <w:r w:rsidRPr="00565B54">
        <w:rPr>
          <w:lang w:val="en-US"/>
        </w:rPr>
        <w:t xml:space="preserve">Standard Client/Community Outcomes Reporting (SCORE) element, which </w:t>
      </w:r>
      <w:proofErr w:type="gramStart"/>
      <w:r w:rsidRPr="00565B54">
        <w:rPr>
          <w:rFonts w:eastAsiaTheme="minorEastAsia" w:cs="Arial"/>
        </w:rPr>
        <w:t>has been designed</w:t>
      </w:r>
      <w:proofErr w:type="gramEnd"/>
      <w:r w:rsidRPr="00565B54">
        <w:rPr>
          <w:rFonts w:eastAsiaTheme="minorEastAsia" w:cs="Arial"/>
        </w:rPr>
        <w:t xml:space="preserve"> to collect information in ways that do not impose additional administrative costs on providers. There are four different types of outcomes measured through SCORE to help tell the story of what </w:t>
      </w:r>
      <w:proofErr w:type="gramStart"/>
      <w:r w:rsidRPr="00565B54">
        <w:rPr>
          <w:rFonts w:eastAsiaTheme="minorEastAsia" w:cs="Arial"/>
        </w:rPr>
        <w:t>has been achieved</w:t>
      </w:r>
      <w:proofErr w:type="gramEnd"/>
      <w:r w:rsidRPr="00565B54">
        <w:rPr>
          <w:rFonts w:eastAsiaTheme="minorEastAsia" w:cs="Arial"/>
        </w:rPr>
        <w:t xml:space="preserve">. The following SCORE components and domains are important for </w:t>
      </w:r>
      <w:r w:rsidRPr="00565B54">
        <w:t>Commonwealth Financial Counselling and Financial Capability</w:t>
      </w:r>
      <w:r w:rsidRPr="00565B54">
        <w:rPr>
          <w:rFonts w:eastAsiaTheme="minorEastAsia" w:cs="Arial"/>
        </w:rPr>
        <w:t xml:space="preserve">: </w:t>
      </w:r>
    </w:p>
    <w:p w:rsidR="00061C32" w:rsidRPr="00565B54" w:rsidRDefault="00061C32" w:rsidP="00061C32">
      <w:pPr>
        <w:pStyle w:val="BodyText"/>
        <w:widowControl w:val="0"/>
        <w:numPr>
          <w:ilvl w:val="0"/>
          <w:numId w:val="28"/>
        </w:numPr>
        <w:suppressAutoHyphens w:val="0"/>
        <w:spacing w:before="120" w:line="288" w:lineRule="auto"/>
        <w:ind w:left="709" w:hanging="318"/>
        <w:rPr>
          <w:rFonts w:ascii="Arial" w:eastAsiaTheme="minorEastAsia" w:hAnsi="Arial" w:cs="Arial"/>
        </w:rPr>
      </w:pPr>
      <w:r w:rsidRPr="00565B54">
        <w:rPr>
          <w:rFonts w:ascii="Arial" w:eastAsiaTheme="minorEastAsia" w:hAnsi="Arial" w:cs="Arial"/>
          <w:u w:val="single"/>
        </w:rPr>
        <w:t>Circumstance</w:t>
      </w:r>
      <w:r w:rsidRPr="00565B54">
        <w:rPr>
          <w:rFonts w:ascii="Arial" w:eastAsiaTheme="minorEastAsia" w:hAnsi="Arial" w:cs="Arial"/>
        </w:rPr>
        <w:t xml:space="preserve">: </w:t>
      </w:r>
      <w:r w:rsidRPr="00565B54">
        <w:t xml:space="preserve"> Employment, education and training; Family functioning; Managing money; Material Wellbeing and Mental health, wellbeing and self-care. </w:t>
      </w:r>
    </w:p>
    <w:p w:rsidR="00061C32" w:rsidRPr="00565B54" w:rsidRDefault="00061C32" w:rsidP="00061C32">
      <w:pPr>
        <w:pStyle w:val="BodyText"/>
        <w:numPr>
          <w:ilvl w:val="0"/>
          <w:numId w:val="28"/>
        </w:numPr>
        <w:rPr>
          <w:rFonts w:ascii="Arial" w:eastAsiaTheme="minorEastAsia" w:hAnsi="Arial" w:cs="Arial"/>
        </w:rPr>
      </w:pPr>
      <w:r w:rsidRPr="00565B54">
        <w:rPr>
          <w:rFonts w:ascii="Arial" w:eastAsiaTheme="minorEastAsia" w:hAnsi="Arial" w:cs="Arial"/>
          <w:u w:val="single"/>
        </w:rPr>
        <w:t>Goal</w:t>
      </w:r>
      <w:r w:rsidRPr="00565B54">
        <w:rPr>
          <w:rFonts w:ascii="Arial" w:eastAsiaTheme="minorEastAsia" w:hAnsi="Arial" w:cs="Arial"/>
        </w:rPr>
        <w:t xml:space="preserve">: Changed knowledge and access to information; Changed skills; Changed behaviours; Changed confidence to make own decisions; Changed engagement with relevant support services; Changed impact of immediate crisis. </w:t>
      </w:r>
    </w:p>
    <w:p w:rsidR="00061C32" w:rsidRPr="00565B54" w:rsidRDefault="00061C32" w:rsidP="00061C32">
      <w:pPr>
        <w:pStyle w:val="ListParagraph"/>
        <w:numPr>
          <w:ilvl w:val="0"/>
          <w:numId w:val="27"/>
        </w:numPr>
        <w:spacing w:before="120" w:after="120"/>
        <w:contextualSpacing/>
        <w:rPr>
          <w:rFonts w:ascii="Arial" w:eastAsiaTheme="minorEastAsia" w:hAnsi="Arial" w:cs="Arial"/>
          <w:u w:val="single"/>
        </w:rPr>
      </w:pPr>
      <w:r w:rsidRPr="00565B54">
        <w:rPr>
          <w:rFonts w:ascii="Arial" w:eastAsiaTheme="minorEastAsia" w:hAnsi="Arial" w:cs="Arial"/>
          <w:u w:val="single"/>
        </w:rPr>
        <w:t>Satisfaction</w:t>
      </w:r>
      <w:r w:rsidRPr="00565B54">
        <w:rPr>
          <w:rFonts w:ascii="Arial" w:eastAsiaTheme="minorEastAsia" w:hAnsi="Arial" w:cs="Arial"/>
        </w:rPr>
        <w:t>: satisfied with the service received; the service listened and understood the issues of the client; and better able to deal with issue that client sought help with.</w:t>
      </w:r>
    </w:p>
    <w:p w:rsidR="00061C32" w:rsidRPr="00565B54" w:rsidRDefault="00061C32" w:rsidP="00061C32">
      <w:pPr>
        <w:pStyle w:val="ListParagraph"/>
        <w:spacing w:before="120" w:after="120"/>
        <w:contextualSpacing/>
        <w:rPr>
          <w:rFonts w:ascii="Arial" w:eastAsiaTheme="minorEastAsia" w:hAnsi="Arial" w:cs="Arial"/>
          <w:u w:val="single"/>
        </w:rPr>
      </w:pPr>
    </w:p>
    <w:p w:rsidR="00061C32" w:rsidRPr="00565B54" w:rsidRDefault="00061C32" w:rsidP="00061C32">
      <w:pPr>
        <w:pStyle w:val="ListParagraph"/>
        <w:numPr>
          <w:ilvl w:val="0"/>
          <w:numId w:val="27"/>
        </w:numPr>
        <w:spacing w:before="120" w:after="120"/>
        <w:contextualSpacing/>
        <w:rPr>
          <w:rFonts w:ascii="Arial" w:eastAsiaTheme="minorEastAsia" w:hAnsi="Arial" w:cs="Arial"/>
        </w:rPr>
      </w:pPr>
      <w:r w:rsidRPr="00565B54">
        <w:rPr>
          <w:rFonts w:ascii="Arial" w:eastAsiaTheme="minorEastAsia" w:hAnsi="Arial" w:cs="Arial"/>
          <w:u w:val="single"/>
        </w:rPr>
        <w:t xml:space="preserve">Community: </w:t>
      </w:r>
      <w:r w:rsidRPr="00565B54">
        <w:rPr>
          <w:rFonts w:ascii="Arial" w:eastAsiaTheme="minorEastAsia" w:hAnsi="Arial" w:cs="Arial"/>
        </w:rPr>
        <w:t>Group / community knowledge, skills, behaviours to better address their own needs; Organisation’s knowledge, skills and practices to better respond to the needs of targeted clients / communities; and Community structures and networks to respond to the needs of targeted clients / communities.</w:t>
      </w:r>
    </w:p>
    <w:p w:rsidR="00061C32" w:rsidRPr="00565B54" w:rsidRDefault="00061C32" w:rsidP="00061C32">
      <w:pPr>
        <w:rPr>
          <w:rFonts w:cstheme="minorHAnsi"/>
        </w:rPr>
      </w:pPr>
      <w:r w:rsidRPr="00565B54">
        <w:rPr>
          <w:rFonts w:cstheme="minorHAnsi"/>
        </w:rPr>
        <w:t xml:space="preserve">The partnership approach also includes some extended data items that provide additional information about clients. </w:t>
      </w:r>
    </w:p>
    <w:p w:rsidR="00061C32" w:rsidRPr="00565B54" w:rsidRDefault="00061C32" w:rsidP="00061C32">
      <w:pPr>
        <w:rPr>
          <w:rFonts w:cstheme="minorHAnsi"/>
        </w:rPr>
      </w:pPr>
      <w:r w:rsidRPr="00565B54">
        <w:rPr>
          <w:rFonts w:cstheme="minorHAnsi"/>
        </w:rPr>
        <w:t xml:space="preserve">Data </w:t>
      </w:r>
      <w:proofErr w:type="gramStart"/>
      <w:r w:rsidRPr="00565B54">
        <w:rPr>
          <w:rFonts w:cstheme="minorHAnsi"/>
        </w:rPr>
        <w:t>must be provided</w:t>
      </w:r>
      <w:proofErr w:type="gramEnd"/>
      <w:r w:rsidRPr="00565B54">
        <w:rPr>
          <w:rFonts w:cstheme="minorHAnsi"/>
        </w:rPr>
        <w:t xml:space="preserve"> in accordance with the</w:t>
      </w:r>
      <w:r w:rsidRPr="00565B54">
        <w:rPr>
          <w:rFonts w:cstheme="minorHAnsi"/>
          <w:i/>
        </w:rPr>
        <w:t xml:space="preserve"> </w:t>
      </w:r>
      <w:r w:rsidRPr="00565B54">
        <w:rPr>
          <w:u w:color="0070C0"/>
        </w:rPr>
        <w:t>DEX Protocols</w:t>
      </w:r>
      <w:r w:rsidRPr="00565B54">
        <w:rPr>
          <w:rFonts w:cstheme="minorHAnsi"/>
        </w:rPr>
        <w:t xml:space="preserve"> available on the </w:t>
      </w:r>
      <w:hyperlink r:id="rId26" w:tooltip="Data Exchange Protocols" w:history="1">
        <w:r w:rsidRPr="00565B54">
          <w:rPr>
            <w:rStyle w:val="Hyperlink"/>
            <w:rFonts w:cstheme="minorBidi"/>
          </w:rPr>
          <w:t>Department of Social Services</w:t>
        </w:r>
      </w:hyperlink>
      <w:r w:rsidRPr="00565B54">
        <w:rPr>
          <w:rFonts w:cstheme="minorHAnsi"/>
        </w:rPr>
        <w:t xml:space="preserve"> website.</w:t>
      </w:r>
    </w:p>
    <w:p w:rsidR="00061C32" w:rsidRPr="00565B54" w:rsidRDefault="00061C32" w:rsidP="00061C32">
      <w:pPr>
        <w:rPr>
          <w:rFonts w:cstheme="minorHAnsi"/>
        </w:rPr>
      </w:pPr>
      <w:r w:rsidRPr="00565B54">
        <w:rPr>
          <w:rFonts w:cstheme="minorHAnsi"/>
        </w:rPr>
        <w:t>It is expected participation in the partnership approach will support organisations to be better informed and connected to other services.</w:t>
      </w:r>
    </w:p>
    <w:p w:rsidR="00340616" w:rsidRPr="00565B54" w:rsidRDefault="00340616" w:rsidP="00892C8B">
      <w:pPr>
        <w:pStyle w:val="Heading2Numbered"/>
      </w:pPr>
      <w:bookmarkStart w:id="169" w:name="_Toc519001814"/>
      <w:r w:rsidRPr="00565B54">
        <w:t>Evaluation</w:t>
      </w:r>
      <w:bookmarkEnd w:id="152"/>
      <w:bookmarkEnd w:id="153"/>
      <w:bookmarkEnd w:id="169"/>
    </w:p>
    <w:p w:rsidR="00340616" w:rsidRPr="00565B54" w:rsidRDefault="00726710" w:rsidP="00340616">
      <w:r w:rsidRPr="00565B54">
        <w:t>The</w:t>
      </w:r>
      <w:r w:rsidRPr="00565B54">
        <w:rPr>
          <w:b/>
          <w:color w:val="745B00" w:themeColor="accent3" w:themeShade="80"/>
        </w:rPr>
        <w:t xml:space="preserve"> </w:t>
      </w:r>
      <w:r w:rsidR="00B95F0E" w:rsidRPr="00565B54">
        <w:t>Department of Social Services</w:t>
      </w:r>
      <w:r w:rsidR="00340616" w:rsidRPr="00565B54">
        <w:t xml:space="preserve"> </w:t>
      </w:r>
      <w:r w:rsidR="00B95F0E" w:rsidRPr="00565B54">
        <w:t xml:space="preserve">may </w:t>
      </w:r>
      <w:r w:rsidR="00340616" w:rsidRPr="00565B54">
        <w:t xml:space="preserve">evaluate </w:t>
      </w:r>
      <w:r w:rsidR="00B95F0E" w:rsidRPr="00565B54">
        <w:t>Emergency Relief</w:t>
      </w:r>
      <w:r w:rsidR="00340616" w:rsidRPr="00565B54">
        <w:t xml:space="preserve"> to measure how well the outcomes and objectives </w:t>
      </w:r>
      <w:proofErr w:type="gramStart"/>
      <w:r w:rsidR="00340616" w:rsidRPr="00565B54">
        <w:t>have been achieved</w:t>
      </w:r>
      <w:proofErr w:type="gramEnd"/>
      <w:r w:rsidR="00340616" w:rsidRPr="00565B54">
        <w:t>. Your grant agreement requires you to provide information to help with this evaluation.</w:t>
      </w:r>
    </w:p>
    <w:p w:rsidR="00617882" w:rsidRPr="00565B54" w:rsidRDefault="001A2E20" w:rsidP="001A2E20">
      <w:pPr>
        <w:spacing w:after="0" w:line="240" w:lineRule="auto"/>
        <w:rPr>
          <w:rFonts w:asciiTheme="majorHAnsi" w:eastAsia="Times New Roman" w:hAnsiTheme="majorHAnsi" w:cstheme="majorHAnsi"/>
          <w:color w:val="1A1A1A"/>
          <w:lang w:eastAsia="en-AU"/>
        </w:rPr>
      </w:pPr>
      <w:r w:rsidRPr="00565B54">
        <w:rPr>
          <w:rFonts w:asciiTheme="majorHAnsi" w:eastAsia="Times New Roman" w:hAnsiTheme="majorHAnsi" w:cstheme="majorHAnsi"/>
          <w:color w:val="1A1A1A"/>
          <w:lang w:eastAsia="en-AU"/>
        </w:rPr>
        <w:lastRenderedPageBreak/>
        <w:t>The Department of Social Services will evaluate a range of issues, including but not limited to, performance of the program, including efficiency of implementation and effectiveness of the program meeting policy outcomes.</w:t>
      </w:r>
    </w:p>
    <w:p w:rsidR="001A2E20" w:rsidRPr="00565B54" w:rsidRDefault="001A2E20" w:rsidP="001A2E20">
      <w:pPr>
        <w:spacing w:after="0" w:line="240" w:lineRule="auto"/>
        <w:rPr>
          <w:rFonts w:asciiTheme="majorHAnsi" w:eastAsia="Times New Roman" w:hAnsiTheme="majorHAnsi" w:cstheme="majorHAnsi"/>
          <w:color w:val="1A1A1A"/>
          <w:lang w:eastAsia="en-AU"/>
        </w:rPr>
      </w:pPr>
      <w:r w:rsidRPr="00565B54">
        <w:rPr>
          <w:rFonts w:asciiTheme="majorHAnsi" w:eastAsia="Times New Roman" w:hAnsiTheme="majorHAnsi" w:cstheme="majorHAnsi"/>
          <w:color w:val="1A1A1A"/>
          <w:lang w:eastAsia="en-AU"/>
        </w:rPr>
        <w:br/>
      </w:r>
      <w:proofErr w:type="gramStart"/>
      <w:r w:rsidRPr="00565B54">
        <w:rPr>
          <w:rFonts w:asciiTheme="majorHAnsi" w:eastAsia="Times New Roman" w:hAnsiTheme="majorHAnsi" w:cstheme="majorHAnsi"/>
          <w:color w:val="1A1A1A"/>
          <w:lang w:eastAsia="en-AU"/>
        </w:rPr>
        <w:t xml:space="preserve">Your performance against the grant agreement will be monitored on an on-going basis by the </w:t>
      </w:r>
      <w:r w:rsidR="00617882" w:rsidRPr="00565B54">
        <w:rPr>
          <w:rFonts w:asciiTheme="majorHAnsi" w:eastAsia="Times New Roman" w:hAnsiTheme="majorHAnsi" w:cstheme="majorHAnsi"/>
          <w:color w:val="1A1A1A"/>
          <w:lang w:eastAsia="en-AU"/>
        </w:rPr>
        <w:t>Funding Arrangement</w:t>
      </w:r>
      <w:r w:rsidRPr="00565B54">
        <w:rPr>
          <w:rFonts w:asciiTheme="majorHAnsi" w:eastAsia="Times New Roman" w:hAnsiTheme="majorHAnsi" w:cstheme="majorHAnsi"/>
          <w:color w:val="1A1A1A"/>
          <w:lang w:eastAsia="en-AU"/>
        </w:rPr>
        <w:t xml:space="preserve"> Manager assigned by the Department of Social Services</w:t>
      </w:r>
      <w:proofErr w:type="gramEnd"/>
      <w:r w:rsidRPr="00565B54">
        <w:rPr>
          <w:rFonts w:asciiTheme="majorHAnsi" w:eastAsia="Times New Roman" w:hAnsiTheme="majorHAnsi" w:cstheme="majorHAnsi"/>
          <w:color w:val="1A1A1A"/>
          <w:lang w:eastAsia="en-AU"/>
        </w:rPr>
        <w:t xml:space="preserve">. The </w:t>
      </w:r>
      <w:r w:rsidR="00617882" w:rsidRPr="00565B54">
        <w:rPr>
          <w:rFonts w:asciiTheme="majorHAnsi" w:eastAsia="Times New Roman" w:hAnsiTheme="majorHAnsi" w:cstheme="majorHAnsi"/>
          <w:color w:val="1A1A1A"/>
          <w:lang w:eastAsia="en-AU"/>
        </w:rPr>
        <w:t>Funding Arrangement Manager</w:t>
      </w:r>
      <w:r w:rsidRPr="00565B54">
        <w:rPr>
          <w:rFonts w:asciiTheme="majorHAnsi" w:eastAsia="Times New Roman" w:hAnsiTheme="majorHAnsi" w:cstheme="majorHAnsi"/>
          <w:color w:val="1A1A1A"/>
          <w:lang w:eastAsia="en-AU"/>
        </w:rPr>
        <w:t xml:space="preserve"> will ensure all milestones shown in your grant agreement </w:t>
      </w:r>
      <w:proofErr w:type="gramStart"/>
      <w:r w:rsidRPr="00565B54">
        <w:rPr>
          <w:rFonts w:asciiTheme="majorHAnsi" w:eastAsia="Times New Roman" w:hAnsiTheme="majorHAnsi" w:cstheme="majorHAnsi"/>
          <w:color w:val="1A1A1A"/>
          <w:lang w:eastAsia="en-AU"/>
        </w:rPr>
        <w:t>are met</w:t>
      </w:r>
      <w:proofErr w:type="gramEnd"/>
      <w:r w:rsidRPr="00565B54">
        <w:rPr>
          <w:rFonts w:asciiTheme="majorHAnsi" w:eastAsia="Times New Roman" w:hAnsiTheme="majorHAnsi" w:cstheme="majorHAnsi"/>
          <w:color w:val="1A1A1A"/>
          <w:lang w:eastAsia="en-AU"/>
        </w:rPr>
        <w:t>.</w:t>
      </w:r>
      <w:r w:rsidR="00BD0A19" w:rsidRPr="00565B54">
        <w:rPr>
          <w:rFonts w:asciiTheme="majorHAnsi" w:eastAsia="Times New Roman" w:hAnsiTheme="majorHAnsi" w:cstheme="majorHAnsi"/>
          <w:color w:val="1A1A1A"/>
          <w:lang w:eastAsia="en-AU"/>
        </w:rPr>
        <w:t xml:space="preserve"> Where a grantee fails to meet the outcomes and objectives of the funded activity, actions </w:t>
      </w:r>
      <w:proofErr w:type="gramStart"/>
      <w:r w:rsidR="00BD0A19" w:rsidRPr="00565B54">
        <w:rPr>
          <w:rFonts w:asciiTheme="majorHAnsi" w:eastAsia="Times New Roman" w:hAnsiTheme="majorHAnsi" w:cstheme="majorHAnsi"/>
          <w:color w:val="1A1A1A"/>
          <w:lang w:eastAsia="en-AU"/>
        </w:rPr>
        <w:t>will be outlined</w:t>
      </w:r>
      <w:proofErr w:type="gramEnd"/>
      <w:r w:rsidR="00BD0A19" w:rsidRPr="00565B54">
        <w:rPr>
          <w:rFonts w:asciiTheme="majorHAnsi" w:eastAsia="Times New Roman" w:hAnsiTheme="majorHAnsi" w:cstheme="majorHAnsi"/>
          <w:color w:val="1A1A1A"/>
          <w:lang w:eastAsia="en-AU"/>
        </w:rPr>
        <w:t xml:space="preserve"> in the grant agreement.</w:t>
      </w:r>
    </w:p>
    <w:p w:rsidR="002A2026" w:rsidRPr="00565B54" w:rsidRDefault="002A2026" w:rsidP="002A2026">
      <w:pPr>
        <w:pStyle w:val="Heading2Numbered"/>
        <w:ind w:left="709" w:hanging="709"/>
      </w:pPr>
      <w:bookmarkStart w:id="170" w:name="_Toc514674264"/>
      <w:bookmarkStart w:id="171" w:name="_Toc514674757"/>
      <w:bookmarkStart w:id="172" w:name="_Toc509835053"/>
      <w:bookmarkStart w:id="173" w:name="_Toc519001815"/>
      <w:bookmarkEnd w:id="170"/>
      <w:bookmarkEnd w:id="171"/>
      <w:bookmarkEnd w:id="172"/>
      <w:r w:rsidRPr="00565B54">
        <w:t>Multicultural Access and Equity</w:t>
      </w:r>
      <w:bookmarkEnd w:id="173"/>
    </w:p>
    <w:p w:rsidR="002A2026" w:rsidRPr="00565B54" w:rsidRDefault="002A2026" w:rsidP="002A2026">
      <w:pPr>
        <w:rPr>
          <w:rFonts w:cstheme="minorHAnsi"/>
        </w:rPr>
      </w:pPr>
      <w:r w:rsidRPr="00565B54">
        <w:rPr>
          <w:rFonts w:cstheme="min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Grant applicants should consider how they </w:t>
      </w:r>
      <w:proofErr w:type="gramStart"/>
      <w:r w:rsidRPr="00565B54">
        <w:rPr>
          <w:rFonts w:cstheme="minorHAnsi"/>
        </w:rPr>
        <w:t>will</w:t>
      </w:r>
      <w:proofErr w:type="gramEnd"/>
      <w:r w:rsidRPr="00565B54">
        <w:rPr>
          <w:rFonts w:cstheme="minorHAnsi"/>
        </w:rPr>
        <w:t xml:space="preserve">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non-English speakers. If required, based on an assessment of the target group, costs for translating and interpreting services (and other requirements for ensuring accessibility) </w:t>
      </w:r>
      <w:proofErr w:type="gramStart"/>
      <w:r w:rsidRPr="00565B54">
        <w:rPr>
          <w:rFonts w:cstheme="minorHAnsi"/>
        </w:rPr>
        <w:t>should be factored</w:t>
      </w:r>
      <w:proofErr w:type="gramEnd"/>
      <w:r w:rsidRPr="00565B54">
        <w:rPr>
          <w:rFonts w:cstheme="minorHAnsi"/>
        </w:rPr>
        <w:t xml:space="preserve"> into grant applications.  For further information on the Multicultural Access and Equity </w:t>
      </w:r>
      <w:proofErr w:type="gramStart"/>
      <w:r w:rsidRPr="00565B54">
        <w:rPr>
          <w:rFonts w:cstheme="minorHAnsi"/>
        </w:rPr>
        <w:t>Policy</w:t>
      </w:r>
      <w:proofErr w:type="gramEnd"/>
      <w:r w:rsidRPr="00565B54">
        <w:rPr>
          <w:rFonts w:cstheme="minorHAnsi"/>
        </w:rPr>
        <w:t xml:space="preserve"> please refer to </w:t>
      </w:r>
      <w:hyperlink r:id="rId27" w:history="1">
        <w:r w:rsidRPr="00565B54">
          <w:rPr>
            <w:rFonts w:cstheme="minorHAnsi"/>
          </w:rPr>
          <w:t>the</w:t>
        </w:r>
        <w:r w:rsidR="0081388D" w:rsidRPr="00565B54">
          <w:rPr>
            <w:rFonts w:cstheme="minorHAnsi"/>
          </w:rPr>
          <w:t xml:space="preserve"> </w:t>
        </w:r>
        <w:hyperlink r:id="rId28" w:history="1">
          <w:r w:rsidR="005005FE" w:rsidRPr="00565B54">
            <w:rPr>
              <w:rStyle w:val="Hyperlink"/>
              <w:rFonts w:cstheme="minorHAnsi"/>
            </w:rPr>
            <w:t>Department of Home Affairs</w:t>
          </w:r>
        </w:hyperlink>
        <w:r w:rsidR="005005FE" w:rsidRPr="00565B54">
          <w:rPr>
            <w:rFonts w:cstheme="minorHAnsi"/>
            <w:u w:val="single"/>
          </w:rPr>
          <w:t xml:space="preserve"> </w:t>
        </w:r>
        <w:r w:rsidRPr="00565B54">
          <w:rPr>
            <w:rFonts w:cstheme="minorHAnsi"/>
          </w:rPr>
          <w:t>website</w:t>
        </w:r>
      </w:hyperlink>
      <w:r w:rsidR="00CB304D" w:rsidRPr="00565B54">
        <w:rPr>
          <w:rFonts w:cstheme="minorHAnsi"/>
        </w:rPr>
        <w:t>.</w:t>
      </w:r>
    </w:p>
    <w:p w:rsidR="00340616" w:rsidRPr="00565B54" w:rsidRDefault="00340616" w:rsidP="0054078D">
      <w:pPr>
        <w:pStyle w:val="Heading1Numbered"/>
      </w:pPr>
      <w:bookmarkStart w:id="174" w:name="_Toc467773990"/>
      <w:bookmarkStart w:id="175" w:name="_Toc519001816"/>
      <w:bookmarkStart w:id="176" w:name="_Toc421777631"/>
      <w:r w:rsidRPr="00565B54">
        <w:t>Probity</w:t>
      </w:r>
      <w:bookmarkEnd w:id="174"/>
      <w:bookmarkEnd w:id="175"/>
      <w:r w:rsidRPr="00565B54">
        <w:t xml:space="preserve"> </w:t>
      </w:r>
      <w:bookmarkEnd w:id="176"/>
    </w:p>
    <w:p w:rsidR="00340616" w:rsidRPr="00565B54" w:rsidRDefault="00340616" w:rsidP="00340616">
      <w:r w:rsidRPr="00565B54">
        <w:t>The Australian Government will make sure that the program</w:t>
      </w:r>
      <w:r w:rsidRPr="00565B54">
        <w:rPr>
          <w:b/>
        </w:rPr>
        <w:t xml:space="preserve"> </w:t>
      </w:r>
      <w:r w:rsidRPr="00565B54">
        <w:t xml:space="preserve">process is fair, according to the published guidelines, incorporates appropriate safeguards against fraud, unlawful activities and other inappropriate conduct and is consistent with the </w:t>
      </w:r>
      <w:r w:rsidR="0099502B" w:rsidRPr="00565B54">
        <w:rPr>
          <w:i/>
        </w:rPr>
        <w:t>Commonwealth Grants Rules and Guidelines 2017</w:t>
      </w:r>
      <w:r w:rsidRPr="00565B54">
        <w:t>.</w:t>
      </w:r>
    </w:p>
    <w:p w:rsidR="00340616" w:rsidRPr="00565B54" w:rsidRDefault="00340616" w:rsidP="00340616">
      <w:r w:rsidRPr="00565B54">
        <w:rPr>
          <w:b/>
        </w:rPr>
        <w:t>Note:</w:t>
      </w:r>
      <w:r w:rsidRPr="00565B54">
        <w:t xml:space="preserve"> These guidelines </w:t>
      </w:r>
      <w:proofErr w:type="gramStart"/>
      <w:r w:rsidRPr="00565B54">
        <w:t>may be changed</w:t>
      </w:r>
      <w:proofErr w:type="gramEnd"/>
      <w:r w:rsidRPr="00565B54">
        <w:t xml:space="preserve"> from time-to-time by</w:t>
      </w:r>
      <w:r w:rsidR="00B95F0E" w:rsidRPr="00565B54">
        <w:t xml:space="preserve"> the Department of Social Services</w:t>
      </w:r>
      <w:r w:rsidR="00B95F0E" w:rsidRPr="00565B54">
        <w:rPr>
          <w:b/>
          <w:color w:val="745B00" w:themeColor="accent3" w:themeShade="80"/>
        </w:rPr>
        <w:t>.</w:t>
      </w:r>
      <w:r w:rsidR="0055249E" w:rsidRPr="00565B54">
        <w:rPr>
          <w:b/>
          <w:color w:val="745B00" w:themeColor="accent3" w:themeShade="80"/>
        </w:rPr>
        <w:t xml:space="preserve"> </w:t>
      </w:r>
      <w:r w:rsidRPr="00565B54">
        <w:t xml:space="preserve">When this </w:t>
      </w:r>
      <w:proofErr w:type="gramStart"/>
      <w:r w:rsidRPr="00565B54">
        <w:t>happens</w:t>
      </w:r>
      <w:proofErr w:type="gramEnd"/>
      <w:r w:rsidRPr="00565B54">
        <w:t xml:space="preserve"> the revised guidelines will be published on </w:t>
      </w:r>
      <w:hyperlink r:id="rId29" w:history="1">
        <w:r w:rsidR="00DD52C8" w:rsidRPr="00565B54">
          <w:rPr>
            <w:rStyle w:val="Hyperlink"/>
            <w:rFonts w:cstheme="minorBidi"/>
          </w:rPr>
          <w:t>GrantConnect</w:t>
        </w:r>
      </w:hyperlink>
      <w:r w:rsidR="00181073" w:rsidRPr="00565B54">
        <w:rPr>
          <w:rStyle w:val="Hyperlink"/>
          <w:rFonts w:cstheme="minorBidi"/>
          <w:u w:val="none"/>
        </w:rPr>
        <w:t xml:space="preserve"> and the </w:t>
      </w:r>
      <w:hyperlink r:id="rId30" w:history="1">
        <w:r w:rsidR="00181073" w:rsidRPr="00565B54">
          <w:rPr>
            <w:rStyle w:val="Hyperlink"/>
            <w:rFonts w:cstheme="minorBidi"/>
          </w:rPr>
          <w:t>Community Grants Hub</w:t>
        </w:r>
      </w:hyperlink>
      <w:r w:rsidR="00181073" w:rsidRPr="00565B54">
        <w:rPr>
          <w:rStyle w:val="Hyperlink"/>
          <w:rFonts w:cstheme="minorBidi"/>
          <w:u w:val="none"/>
        </w:rPr>
        <w:t xml:space="preserve"> websites</w:t>
      </w:r>
      <w:r w:rsidR="00DD52C8" w:rsidRPr="00565B54">
        <w:t>.</w:t>
      </w:r>
    </w:p>
    <w:p w:rsidR="00340616" w:rsidRPr="00565B54" w:rsidRDefault="00340616" w:rsidP="00892C8B">
      <w:pPr>
        <w:pStyle w:val="Heading2Numbered"/>
        <w:ind w:left="709" w:hanging="709"/>
      </w:pPr>
      <w:bookmarkStart w:id="177" w:name="_Toc414983585"/>
      <w:bookmarkStart w:id="178" w:name="_Toc414984002"/>
      <w:bookmarkStart w:id="179" w:name="_Toc414984762"/>
      <w:bookmarkStart w:id="180" w:name="_Toc414984856"/>
      <w:bookmarkStart w:id="181" w:name="_Toc414984960"/>
      <w:bookmarkStart w:id="182" w:name="_Toc414985063"/>
      <w:bookmarkStart w:id="183" w:name="_Toc414985166"/>
      <w:bookmarkStart w:id="184" w:name="_Toc414985268"/>
      <w:bookmarkStart w:id="185" w:name="_Toc421777632"/>
      <w:bookmarkStart w:id="186" w:name="_Toc467773991"/>
      <w:bookmarkStart w:id="187" w:name="_Toc519001817"/>
      <w:bookmarkEnd w:id="177"/>
      <w:bookmarkEnd w:id="178"/>
      <w:bookmarkEnd w:id="179"/>
      <w:bookmarkEnd w:id="180"/>
      <w:bookmarkEnd w:id="181"/>
      <w:bookmarkEnd w:id="182"/>
      <w:bookmarkEnd w:id="183"/>
      <w:bookmarkEnd w:id="184"/>
      <w:r w:rsidRPr="00565B54">
        <w:t>Complaints process</w:t>
      </w:r>
      <w:bookmarkEnd w:id="185"/>
      <w:bookmarkEnd w:id="186"/>
      <w:bookmarkEnd w:id="187"/>
    </w:p>
    <w:p w:rsidR="008F4C2E" w:rsidRPr="00565B54" w:rsidRDefault="008F4C2E" w:rsidP="008F4C2E">
      <w:pPr>
        <w:rPr>
          <w:b/>
        </w:rPr>
      </w:pPr>
      <w:bookmarkStart w:id="188" w:name="_Toc421777633"/>
      <w:bookmarkStart w:id="189" w:name="_Toc467773992"/>
      <w:r w:rsidRPr="00565B54">
        <w:rPr>
          <w:b/>
        </w:rPr>
        <w:t>Complaints about the Program</w:t>
      </w:r>
    </w:p>
    <w:p w:rsidR="008F4C2E" w:rsidRPr="00565B54" w:rsidRDefault="008F4C2E" w:rsidP="008F4C2E">
      <w:r w:rsidRPr="00565B54">
        <w:t>The</w:t>
      </w:r>
      <w:r w:rsidRPr="00565B54">
        <w:rPr>
          <w:b/>
          <w:color w:val="745B00" w:themeColor="accent3" w:themeShade="80"/>
        </w:rPr>
        <w:t xml:space="preserve"> </w:t>
      </w:r>
      <w:r w:rsidR="00057C54" w:rsidRPr="00565B54">
        <w:t>Department of Social Services</w:t>
      </w:r>
      <w:r w:rsidR="00057C54" w:rsidRPr="00565B54">
        <w:rPr>
          <w:rFonts w:cstheme="minorHAnsi"/>
          <w:b/>
          <w:color w:val="745B00" w:themeColor="accent3" w:themeShade="80"/>
        </w:rPr>
        <w:t xml:space="preserve"> </w:t>
      </w:r>
      <w:hyperlink r:id="rId31" w:history="1">
        <w:r w:rsidR="00057C54" w:rsidRPr="00565B54">
          <w:rPr>
            <w:rFonts w:eastAsia="Times New Roman" w:cstheme="minorHAnsi"/>
            <w:color w:val="0000FF"/>
            <w:u w:val="single"/>
          </w:rPr>
          <w:t>Complaints Procedures</w:t>
        </w:r>
      </w:hyperlink>
      <w:r w:rsidR="00B95F0E" w:rsidRPr="00565B54">
        <w:rPr>
          <w:rFonts w:eastAsia="Times New Roman" w:cstheme="minorHAnsi"/>
          <w:color w:val="0000FF"/>
          <w:u w:val="single"/>
        </w:rPr>
        <w:t xml:space="preserve"> </w:t>
      </w:r>
      <w:r w:rsidRPr="00565B54">
        <w:t>apply to complaints about the Program.</w:t>
      </w:r>
      <w:r w:rsidRPr="00565B54">
        <w:rPr>
          <w:b/>
        </w:rPr>
        <w:t xml:space="preserve"> </w:t>
      </w:r>
      <w:r w:rsidRPr="00565B54">
        <w:t xml:space="preserve">All complaints about the program, including grant decisions, </w:t>
      </w:r>
      <w:proofErr w:type="gramStart"/>
      <w:r w:rsidRPr="00565B54">
        <w:t>must be lodged</w:t>
      </w:r>
      <w:proofErr w:type="gramEnd"/>
      <w:r w:rsidRPr="00565B54">
        <w:t xml:space="preserve"> in writing.</w:t>
      </w:r>
    </w:p>
    <w:p w:rsidR="008F4C2E" w:rsidRPr="00565B54" w:rsidRDefault="008F4C2E" w:rsidP="008F4C2E">
      <w:r w:rsidRPr="00565B54">
        <w:t xml:space="preserve">Any questions you have about grant decisions for the Program </w:t>
      </w:r>
      <w:proofErr w:type="gramStart"/>
      <w:r w:rsidRPr="00565B54">
        <w:t>should be sent</w:t>
      </w:r>
      <w:proofErr w:type="gramEnd"/>
      <w:r w:rsidRPr="00565B54">
        <w:t xml:space="preserve"> to</w:t>
      </w:r>
      <w:r w:rsidR="00B95F0E" w:rsidRPr="00565B54">
        <w:t xml:space="preserve"> </w:t>
      </w:r>
      <w:hyperlink r:id="rId32" w:history="1">
        <w:r w:rsidR="00B95F0E" w:rsidRPr="00565B54">
          <w:rPr>
            <w:rFonts w:eastAsia="Times New Roman" w:cstheme="minorHAnsi"/>
            <w:color w:val="0000FF"/>
            <w:u w:val="single"/>
          </w:rPr>
          <w:t>support@communitygrants.gov.au</w:t>
        </w:r>
      </w:hyperlink>
    </w:p>
    <w:p w:rsidR="001C022C" w:rsidRPr="00565B54" w:rsidRDefault="001C022C" w:rsidP="001C022C">
      <w:pPr>
        <w:rPr>
          <w:b/>
        </w:rPr>
      </w:pPr>
      <w:r w:rsidRPr="00565B54">
        <w:rPr>
          <w:b/>
        </w:rPr>
        <w:lastRenderedPageBreak/>
        <w:t>Complaints about the Process</w:t>
      </w:r>
    </w:p>
    <w:p w:rsidR="001C022C" w:rsidRPr="00565B54" w:rsidRDefault="001C022C" w:rsidP="001C022C">
      <w:r w:rsidRPr="00565B54">
        <w:t xml:space="preserve">Applicants can contact the complaints service with complaints about Community Grants Hub’s service(s) or the application process. </w:t>
      </w:r>
    </w:p>
    <w:p w:rsidR="001C022C" w:rsidRPr="00565B54" w:rsidRDefault="001C022C" w:rsidP="001C022C">
      <w:proofErr w:type="gramStart"/>
      <w:r w:rsidRPr="00565B54">
        <w:t>Details of what constitutes an eligible complaint can be provided upon request by the Community Grants Hub</w:t>
      </w:r>
      <w:proofErr w:type="gramEnd"/>
      <w:r w:rsidRPr="00565B54">
        <w:t xml:space="preserve">.  Applicants can lodge complaints using the </w:t>
      </w:r>
      <w:hyperlink r:id="rId33" w:history="1">
        <w:r w:rsidRPr="00565B54">
          <w:rPr>
            <w:rStyle w:val="Hyperlink"/>
            <w:rFonts w:cstheme="minorBidi"/>
          </w:rPr>
          <w:t>complaints form</w:t>
        </w:r>
      </w:hyperlink>
      <w:r w:rsidRPr="00565B54">
        <w:t xml:space="preserve"> on the Department’s website or by phone or mail.</w:t>
      </w:r>
    </w:p>
    <w:p w:rsidR="00592EB3" w:rsidRPr="00565B54" w:rsidRDefault="00592EB3" w:rsidP="00592EB3">
      <w:pPr>
        <w:spacing w:before="0" w:after="0" w:line="240" w:lineRule="auto"/>
      </w:pPr>
    </w:p>
    <w:p w:rsidR="0090794D" w:rsidRPr="00565B54" w:rsidRDefault="0090794D" w:rsidP="00592EB3">
      <w:pPr>
        <w:spacing w:before="0" w:after="0" w:line="240" w:lineRule="auto"/>
      </w:pPr>
      <w:r w:rsidRPr="00565B54">
        <w:t>Phone:</w:t>
      </w:r>
      <w:r w:rsidR="009B50D4">
        <w:tab/>
      </w:r>
      <w:r w:rsidR="009B50D4">
        <w:tab/>
      </w:r>
      <w:r w:rsidRPr="00565B54">
        <w:t xml:space="preserve">1800 634 035 </w:t>
      </w:r>
    </w:p>
    <w:p w:rsidR="0090794D" w:rsidRPr="00565B54" w:rsidRDefault="0090794D" w:rsidP="00592EB3">
      <w:pPr>
        <w:spacing w:before="0" w:after="0" w:line="240" w:lineRule="auto"/>
      </w:pPr>
      <w:r w:rsidRPr="00565B54">
        <w:t>Mail:</w:t>
      </w:r>
      <w:r w:rsidR="009B50D4">
        <w:tab/>
      </w:r>
      <w:r w:rsidR="009B50D4">
        <w:tab/>
      </w:r>
      <w:r w:rsidRPr="00565B54">
        <w:t>Complaints</w:t>
      </w:r>
    </w:p>
    <w:p w:rsidR="0090794D" w:rsidRPr="00565B54" w:rsidRDefault="0090794D" w:rsidP="009B50D4">
      <w:pPr>
        <w:spacing w:before="0" w:after="0" w:line="240" w:lineRule="auto"/>
        <w:ind w:left="720" w:firstLine="720"/>
      </w:pPr>
      <w:r w:rsidRPr="00565B54">
        <w:t>GPO Box 9820</w:t>
      </w:r>
    </w:p>
    <w:p w:rsidR="0090794D" w:rsidRPr="00565B54" w:rsidRDefault="0090794D" w:rsidP="009B50D4">
      <w:pPr>
        <w:spacing w:before="0" w:after="0" w:line="240" w:lineRule="auto"/>
        <w:ind w:left="720" w:firstLine="720"/>
      </w:pPr>
      <w:r w:rsidRPr="00565B54">
        <w:t>Canberra ACT 2601</w:t>
      </w:r>
    </w:p>
    <w:p w:rsidR="001C022C" w:rsidRPr="00565B54" w:rsidRDefault="001C022C" w:rsidP="001C022C">
      <w:pPr>
        <w:rPr>
          <w:b/>
        </w:rPr>
      </w:pPr>
      <w:r w:rsidRPr="00565B54">
        <w:rPr>
          <w:b/>
        </w:rPr>
        <w:t>Complaints to the Ombudsman</w:t>
      </w:r>
    </w:p>
    <w:p w:rsidR="001C022C" w:rsidRPr="00565B54" w:rsidRDefault="001C022C" w:rsidP="001C022C">
      <w:r w:rsidRPr="00565B54">
        <w:t>If you do not agree with the way the</w:t>
      </w:r>
      <w:r w:rsidR="00B95F0E" w:rsidRPr="00565B54">
        <w:t xml:space="preserve"> Department of Social Services</w:t>
      </w:r>
      <w:r w:rsidRPr="00565B54">
        <w:t xml:space="preserve"> has handled your complaint, you may complain to the Commonwealth Ombudsman. The Ombudsman will not usually look into a complaint unless the matter </w:t>
      </w:r>
      <w:proofErr w:type="gramStart"/>
      <w:r w:rsidRPr="00565B54">
        <w:t>has first been raised</w:t>
      </w:r>
      <w:proofErr w:type="gramEnd"/>
      <w:r w:rsidRPr="00565B54">
        <w:t xml:space="preserve"> directly with the </w:t>
      </w:r>
      <w:r w:rsidR="00B95F0E" w:rsidRPr="00565B54">
        <w:t>Department of Social Services</w:t>
      </w:r>
      <w:r w:rsidR="00B95F0E" w:rsidRPr="00565B54">
        <w:rPr>
          <w:rFonts w:cstheme="minorHAnsi"/>
          <w:b/>
          <w:color w:val="745B00" w:themeColor="accent3" w:themeShade="80"/>
        </w:rPr>
        <w:t>.</w:t>
      </w:r>
    </w:p>
    <w:p w:rsidR="001C022C" w:rsidRPr="00565B54" w:rsidRDefault="001C022C" w:rsidP="001C022C">
      <w:pPr>
        <w:ind w:left="5040" w:hanging="5040"/>
      </w:pPr>
      <w:r w:rsidRPr="00565B54">
        <w:t xml:space="preserve">The Commonwealth Ombudsman </w:t>
      </w:r>
      <w:proofErr w:type="gramStart"/>
      <w:r w:rsidRPr="00565B54">
        <w:t>can be contacted</w:t>
      </w:r>
      <w:proofErr w:type="gramEnd"/>
      <w:r w:rsidRPr="00565B54">
        <w:t xml:space="preserve"> on: </w:t>
      </w:r>
    </w:p>
    <w:p w:rsidR="00302DEE" w:rsidRPr="00565B54" w:rsidRDefault="001C022C" w:rsidP="001C022C">
      <w:pPr>
        <w:ind w:left="1440"/>
      </w:pPr>
      <w:r w:rsidRPr="00565B54">
        <w:t>Phone (Toll free): 1300 362 072</w:t>
      </w:r>
      <w:r w:rsidRPr="00565B54">
        <w:br/>
        <w:t xml:space="preserve">Email: </w:t>
      </w:r>
      <w:hyperlink r:id="rId34" w:history="1">
        <w:r w:rsidRPr="00565B54">
          <w:rPr>
            <w:rStyle w:val="Hyperlink"/>
          </w:rPr>
          <w:t>ombudsman@ombudsman.gov.au</w:t>
        </w:r>
      </w:hyperlink>
      <w:r w:rsidRPr="00565B54">
        <w:t xml:space="preserve"> </w:t>
      </w:r>
      <w:r w:rsidRPr="00565B54">
        <w:br/>
        <w:t xml:space="preserve">Website: </w:t>
      </w:r>
      <w:hyperlink r:id="rId35" w:history="1">
        <w:r w:rsidRPr="00565B54">
          <w:rPr>
            <w:rStyle w:val="Hyperlink"/>
          </w:rPr>
          <w:t>www.ombudsman.gov.au</w:t>
        </w:r>
      </w:hyperlink>
    </w:p>
    <w:p w:rsidR="00340616" w:rsidRPr="00565B54" w:rsidRDefault="00340616" w:rsidP="00892C8B">
      <w:pPr>
        <w:pStyle w:val="Heading2Numbered"/>
        <w:ind w:left="709" w:hanging="709"/>
      </w:pPr>
      <w:bookmarkStart w:id="190" w:name="_Toc519001818"/>
      <w:r w:rsidRPr="00565B54">
        <w:t>Conflict of interest</w:t>
      </w:r>
      <w:bookmarkEnd w:id="188"/>
      <w:bookmarkEnd w:id="189"/>
      <w:bookmarkEnd w:id="190"/>
    </w:p>
    <w:p w:rsidR="00340616" w:rsidRPr="00565B54" w:rsidRDefault="00340616" w:rsidP="00340616">
      <w:r w:rsidRPr="00565B54">
        <w:t xml:space="preserve">Any conflicts of interest could affect the performance of the grant.  There may be a </w:t>
      </w:r>
      <w:hyperlink r:id="rId36" w:history="1">
        <w:r w:rsidRPr="00565B54">
          <w:t>conflict of interest</w:t>
        </w:r>
      </w:hyperlink>
      <w:r w:rsidRPr="00565B54">
        <w:t xml:space="preserve">, or perceived conflict of interest, if </w:t>
      </w:r>
      <w:r w:rsidR="00B95F0E" w:rsidRPr="00565B54">
        <w:t xml:space="preserve">the Department of Social Services </w:t>
      </w:r>
      <w:r w:rsidR="00533BCE" w:rsidRPr="00565B54">
        <w:t>and the Community Grants Hub</w:t>
      </w:r>
      <w:r w:rsidR="00533BCE" w:rsidRPr="00565B54">
        <w:rPr>
          <w:b/>
        </w:rPr>
        <w:t xml:space="preserve"> </w:t>
      </w:r>
      <w:r w:rsidR="00DB0937" w:rsidRPr="00565B54">
        <w:t>st</w:t>
      </w:r>
      <w:r w:rsidRPr="00565B54">
        <w:t>aff, any member of a committee or advisor and/or you or any of your personnel:</w:t>
      </w:r>
    </w:p>
    <w:p w:rsidR="00340616" w:rsidRPr="00565B54" w:rsidRDefault="00340616" w:rsidP="00726710">
      <w:pPr>
        <w:pStyle w:val="Bullet1"/>
      </w:pPr>
      <w:r w:rsidRPr="00565B54">
        <w:t>has a professional, commercial or personal relationship with a party who is able to influence the application selection process, such as an Australian Government officer</w:t>
      </w:r>
    </w:p>
    <w:p w:rsidR="00340616" w:rsidRPr="00565B54" w:rsidRDefault="00340616" w:rsidP="00726710">
      <w:pPr>
        <w:pStyle w:val="Bullet1"/>
      </w:pPr>
      <w:r w:rsidRPr="00565B54">
        <w:t>has a relationship with an organisation</w:t>
      </w:r>
      <w:r w:rsidR="007A0CD6" w:rsidRPr="00565B54">
        <w:t>, or in</w:t>
      </w:r>
      <w:r w:rsidRPr="00565B54">
        <w:t xml:space="preserve"> an organisation, which is likely to interfere with or restrict the applicants from carrying out the proposed activities fairly and independently or</w:t>
      </w:r>
    </w:p>
    <w:p w:rsidR="00340616" w:rsidRPr="00565B54" w:rsidRDefault="00340616" w:rsidP="00726710">
      <w:pPr>
        <w:pStyle w:val="Bullet1"/>
      </w:pPr>
      <w:proofErr w:type="gramStart"/>
      <w:r w:rsidRPr="00565B54">
        <w:t>has</w:t>
      </w:r>
      <w:proofErr w:type="gramEnd"/>
      <w:r w:rsidRPr="00565B54">
        <w:t xml:space="preserve"> a relationship with, or interest in, an organisation from which they will receive personal gain because the organisation receives funding under the Program.</w:t>
      </w:r>
    </w:p>
    <w:p w:rsidR="00340616" w:rsidRPr="00565B54" w:rsidRDefault="00340616" w:rsidP="00340616">
      <w:r w:rsidRPr="00565B54">
        <w:t xml:space="preserve">You </w:t>
      </w:r>
      <w:proofErr w:type="gramStart"/>
      <w:r w:rsidRPr="00565B54">
        <w:t>will be asked</w:t>
      </w:r>
      <w:proofErr w:type="gramEnd"/>
      <w:r w:rsidRPr="00565B54">
        <w:t xml:space="preserve"> to declare, as part of your </w:t>
      </w:r>
      <w:r w:rsidR="00963B07">
        <w:t>application/s</w:t>
      </w:r>
      <w:r w:rsidRPr="00565B54">
        <w:t>, any perceived or existing conflicts of interests or that, to the best of your knowledge, there is no conflict of interest.</w:t>
      </w:r>
    </w:p>
    <w:p w:rsidR="00340616" w:rsidRPr="00565B54" w:rsidRDefault="00340616" w:rsidP="00340616">
      <w:r w:rsidRPr="00565B54">
        <w:t>If you later identify that there is an actual, apparent, or potential conflict of interest or that one might arise in relation to a grant application, you must inform the</w:t>
      </w:r>
      <w:r w:rsidRPr="00565B54">
        <w:rPr>
          <w:b/>
          <w:color w:val="745B00" w:themeColor="accent3" w:themeShade="80"/>
        </w:rPr>
        <w:t xml:space="preserve"> </w:t>
      </w:r>
      <w:r w:rsidR="00B95F0E" w:rsidRPr="00565B54">
        <w:t xml:space="preserve">Department of Social Services </w:t>
      </w:r>
      <w:r w:rsidR="00533BCE" w:rsidRPr="00565B54">
        <w:t>and the Community Grants Hub</w:t>
      </w:r>
      <w:r w:rsidRPr="00565B54">
        <w:t xml:space="preserve"> in writing immediately. Committee members and other officials including the decision maker must also declare any conflicts of interest.</w:t>
      </w:r>
    </w:p>
    <w:p w:rsidR="00340616" w:rsidRPr="00565B54" w:rsidRDefault="00340616" w:rsidP="00340616">
      <w:r w:rsidRPr="00565B54">
        <w:lastRenderedPageBreak/>
        <w:t xml:space="preserve">The chair of the </w:t>
      </w:r>
      <w:r w:rsidR="00B3578C" w:rsidRPr="00565B54">
        <w:t>expert p</w:t>
      </w:r>
      <w:r w:rsidR="00647D91" w:rsidRPr="00565B54">
        <w:t>anel</w:t>
      </w:r>
      <w:r w:rsidRPr="00565B54">
        <w:t xml:space="preserve"> </w:t>
      </w:r>
      <w:proofErr w:type="gramStart"/>
      <w:r w:rsidRPr="00565B54">
        <w:t>will be made</w:t>
      </w:r>
      <w:proofErr w:type="gramEnd"/>
      <w:r w:rsidRPr="00565B54">
        <w:t xml:space="preserve"> aware of any conflicts of interest and will handle them as set out in Australian Government policies and procedures. Conflicts of interest for Australian Government staff </w:t>
      </w:r>
      <w:proofErr w:type="gramStart"/>
      <w:r w:rsidRPr="00565B54">
        <w:t>will be handled</w:t>
      </w:r>
      <w:proofErr w:type="gramEnd"/>
      <w:r w:rsidRPr="00565B54">
        <w:t xml:space="preserve"> as set out in the Australian Public Service Code of Conduct (Section 13(7)) of the </w:t>
      </w:r>
      <w:r w:rsidRPr="00565B54">
        <w:rPr>
          <w:i/>
        </w:rPr>
        <w:t>Public Service Act 1999</w:t>
      </w:r>
      <w:r w:rsidRPr="00565B54">
        <w:t>. We publish our conflict of i</w:t>
      </w:r>
      <w:r w:rsidR="00533BCE" w:rsidRPr="00565B54">
        <w:t>nterest policy available on the</w:t>
      </w:r>
      <w:r w:rsidRPr="00565B54">
        <w:rPr>
          <w:b/>
          <w:color w:val="745B00" w:themeColor="accent3" w:themeShade="80"/>
        </w:rPr>
        <w:t xml:space="preserve"> </w:t>
      </w:r>
      <w:hyperlink r:id="rId37" w:history="1">
        <w:r w:rsidR="00533BCE" w:rsidRPr="00565B54">
          <w:rPr>
            <w:rStyle w:val="Hyperlink"/>
            <w:rFonts w:cstheme="minorBidi"/>
          </w:rPr>
          <w:t>Community Grant Hub</w:t>
        </w:r>
      </w:hyperlink>
      <w:r w:rsidRPr="00565B54">
        <w:rPr>
          <w:color w:val="745B00" w:themeColor="accent3" w:themeShade="80"/>
        </w:rPr>
        <w:t xml:space="preserve"> </w:t>
      </w:r>
      <w:r w:rsidRPr="00565B54">
        <w:t xml:space="preserve">website. </w:t>
      </w:r>
    </w:p>
    <w:p w:rsidR="00340616" w:rsidRPr="00565B54" w:rsidRDefault="00340616" w:rsidP="00892C8B">
      <w:pPr>
        <w:pStyle w:val="Heading2Numbered"/>
        <w:ind w:left="709" w:hanging="709"/>
      </w:pPr>
      <w:bookmarkStart w:id="191" w:name="_Toc421777634"/>
      <w:bookmarkStart w:id="192" w:name="_Toc467773993"/>
      <w:bookmarkStart w:id="193" w:name="_Toc519001819"/>
      <w:r w:rsidRPr="00565B54">
        <w:t>Privacy: confidentiality and protection of personal information</w:t>
      </w:r>
      <w:bookmarkEnd w:id="191"/>
      <w:bookmarkEnd w:id="192"/>
      <w:bookmarkEnd w:id="193"/>
    </w:p>
    <w:p w:rsidR="00340616" w:rsidRPr="00565B54" w:rsidRDefault="00340616" w:rsidP="00340616">
      <w:r w:rsidRPr="00565B54">
        <w:t xml:space="preserve">We treat your personal information according to the 13 Australian Privacy Principles and the </w:t>
      </w:r>
      <w:r w:rsidRPr="00565B54">
        <w:rPr>
          <w:i/>
        </w:rPr>
        <w:t>Privacy Act 1988</w:t>
      </w:r>
      <w:r w:rsidRPr="00565B54">
        <w:t xml:space="preserve">. This includes letting you know: </w:t>
      </w:r>
    </w:p>
    <w:p w:rsidR="00340616" w:rsidRPr="00565B54" w:rsidRDefault="00340616" w:rsidP="00726710">
      <w:pPr>
        <w:pStyle w:val="Bullet1"/>
      </w:pPr>
      <w:r w:rsidRPr="00565B54">
        <w:t>what personal information we collect</w:t>
      </w:r>
    </w:p>
    <w:p w:rsidR="00340616" w:rsidRPr="00565B54" w:rsidRDefault="00340616" w:rsidP="00726710">
      <w:pPr>
        <w:pStyle w:val="Bullet1"/>
      </w:pPr>
      <w:r w:rsidRPr="00565B54">
        <w:t>why we collect your personal information</w:t>
      </w:r>
    </w:p>
    <w:p w:rsidR="00340616" w:rsidRPr="00565B54" w:rsidRDefault="00340616" w:rsidP="00726710">
      <w:pPr>
        <w:pStyle w:val="Bullet1"/>
      </w:pPr>
      <w:proofErr w:type="gramStart"/>
      <w:r w:rsidRPr="00565B54">
        <w:t>who</w:t>
      </w:r>
      <w:proofErr w:type="gramEnd"/>
      <w:r w:rsidRPr="00565B54">
        <w:t xml:space="preserve"> we give your personal information to</w:t>
      </w:r>
      <w:r w:rsidR="00B3578C" w:rsidRPr="00565B54">
        <w:t>.</w:t>
      </w:r>
    </w:p>
    <w:p w:rsidR="00340616" w:rsidRPr="00565B54" w:rsidRDefault="00340616" w:rsidP="00340616">
      <w:r w:rsidRPr="00565B54">
        <w:t xml:space="preserve">You are required, as part of your </w:t>
      </w:r>
      <w:r w:rsidR="00963B07">
        <w:t>application/s</w:t>
      </w:r>
      <w:r w:rsidRPr="00565B54">
        <w:t xml:space="preserve">, to declare your ability to comply with the </w:t>
      </w:r>
      <w:hyperlink r:id="rId38" w:history="1">
        <w:r w:rsidRPr="00565B54">
          <w:rPr>
            <w:i/>
          </w:rPr>
          <w:t>Privacy Act 1988</w:t>
        </w:r>
      </w:hyperlink>
      <w:r w:rsidRPr="00565B54">
        <w:rPr>
          <w:i/>
        </w:rPr>
        <w:t>,</w:t>
      </w:r>
      <w:r w:rsidRPr="00565B54">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rsidR="00340616" w:rsidRPr="00565B54" w:rsidRDefault="00340616" w:rsidP="00340616">
      <w:proofErr w:type="gramStart"/>
      <w:r w:rsidRPr="00565B54">
        <w:t>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roofErr w:type="gramEnd"/>
      <w:r w:rsidRPr="00565B54">
        <w:t xml:space="preserve"> </w:t>
      </w:r>
    </w:p>
    <w:p w:rsidR="00340616" w:rsidRPr="00565B54" w:rsidRDefault="00340616" w:rsidP="00340616">
      <w:r w:rsidRPr="00565B54">
        <w:t xml:space="preserve">The Australian Government may also use and disclose information about grant applicants and </w:t>
      </w:r>
      <w:r w:rsidR="00B77B1C" w:rsidRPr="00565B54">
        <w:t>grantee</w:t>
      </w:r>
      <w:r w:rsidRPr="00565B54">
        <w:t>s under the Program in any other Australian Government business or function. This includes giving information to the Australian Taxation Office for compliance purposes.</w:t>
      </w:r>
    </w:p>
    <w:p w:rsidR="00340616" w:rsidRPr="00565B54" w:rsidRDefault="00340616" w:rsidP="00340616">
      <w:pPr>
        <w:rPr>
          <w:lang w:eastAsia="en-AU"/>
        </w:rPr>
      </w:pPr>
      <w:r w:rsidRPr="00565B54">
        <w:rPr>
          <w:lang w:eastAsia="en-AU"/>
        </w:rPr>
        <w:t xml:space="preserve">We may reveal confidential information </w:t>
      </w:r>
      <w:proofErr w:type="gramStart"/>
      <w:r w:rsidRPr="00565B54">
        <w:rPr>
          <w:lang w:eastAsia="en-AU"/>
        </w:rPr>
        <w:t>to</w:t>
      </w:r>
      <w:proofErr w:type="gramEnd"/>
      <w:r w:rsidRPr="00565B54">
        <w:rPr>
          <w:lang w:eastAsia="en-AU"/>
        </w:rPr>
        <w:t>:</w:t>
      </w:r>
    </w:p>
    <w:p w:rsidR="00340616" w:rsidRPr="00565B54" w:rsidRDefault="00340616" w:rsidP="00726710">
      <w:pPr>
        <w:pStyle w:val="Bullet1"/>
      </w:pPr>
      <w:r w:rsidRPr="00565B54">
        <w:t>employees and contractors of our department so we can research, assess, monitor and analyse our programs and activities</w:t>
      </w:r>
    </w:p>
    <w:p w:rsidR="00340616" w:rsidRPr="00565B54" w:rsidRDefault="00340616" w:rsidP="00726710">
      <w:pPr>
        <w:pStyle w:val="Bullet1"/>
      </w:pPr>
      <w:r w:rsidRPr="00565B54">
        <w:t>employees and contractors of other Commonwealth agencies for any purposes, including government administration, research or service delivery</w:t>
      </w:r>
    </w:p>
    <w:p w:rsidR="00340616" w:rsidRPr="00565B54" w:rsidRDefault="00340616" w:rsidP="00726710">
      <w:pPr>
        <w:pStyle w:val="Bullet1"/>
      </w:pPr>
      <w:r w:rsidRPr="00565B54">
        <w:t>other Commonwealth, State, Territory or local government agencies in program reports and consultations</w:t>
      </w:r>
    </w:p>
    <w:p w:rsidR="00340616" w:rsidRPr="00565B54" w:rsidRDefault="00340616" w:rsidP="00726710">
      <w:pPr>
        <w:pStyle w:val="Bullet1"/>
      </w:pPr>
      <w:r w:rsidRPr="00565B54">
        <w:t>the Auditor-General, Ombudsman or Privacy Commissioner</w:t>
      </w:r>
    </w:p>
    <w:p w:rsidR="00340616" w:rsidRPr="00565B54" w:rsidRDefault="00340616" w:rsidP="00726710">
      <w:pPr>
        <w:pStyle w:val="Bullet1"/>
      </w:pPr>
      <w:r w:rsidRPr="00565B54">
        <w:t>the responsible Minister or Parliamentary Secretary</w:t>
      </w:r>
    </w:p>
    <w:p w:rsidR="00340616" w:rsidRPr="00565B54" w:rsidRDefault="00340616" w:rsidP="00726710">
      <w:pPr>
        <w:pStyle w:val="Bullet1"/>
      </w:pPr>
      <w:proofErr w:type="gramStart"/>
      <w:r w:rsidRPr="00565B54">
        <w:t>a</w:t>
      </w:r>
      <w:proofErr w:type="gramEnd"/>
      <w:r w:rsidRPr="00565B54">
        <w:t xml:space="preserve"> House or a Committee of the Australian Parliament.</w:t>
      </w:r>
    </w:p>
    <w:p w:rsidR="00340616" w:rsidRPr="00565B54" w:rsidRDefault="00340616" w:rsidP="00340616">
      <w:r w:rsidRPr="00565B54">
        <w:t>We may share the information you give us with other Commonwealth agencies for any purposes including government administration, research or service delivery and according to Australian laws, including the:</w:t>
      </w:r>
    </w:p>
    <w:p w:rsidR="00340616" w:rsidRPr="00565B54" w:rsidRDefault="00340616" w:rsidP="00726710">
      <w:pPr>
        <w:pStyle w:val="Bullet1"/>
        <w:rPr>
          <w:i/>
        </w:rPr>
      </w:pPr>
      <w:r w:rsidRPr="00565B54">
        <w:rPr>
          <w:i/>
        </w:rPr>
        <w:lastRenderedPageBreak/>
        <w:t>Public Service Act 1999</w:t>
      </w:r>
    </w:p>
    <w:p w:rsidR="00340616" w:rsidRPr="00565B54" w:rsidRDefault="00340616" w:rsidP="00726710">
      <w:pPr>
        <w:pStyle w:val="Bullet1"/>
        <w:rPr>
          <w:i/>
        </w:rPr>
      </w:pPr>
      <w:r w:rsidRPr="00565B54">
        <w:rPr>
          <w:i/>
        </w:rPr>
        <w:t>Public Service Regulations 1999</w:t>
      </w:r>
    </w:p>
    <w:p w:rsidR="00340616" w:rsidRPr="00565B54" w:rsidRDefault="00340616" w:rsidP="00726710">
      <w:pPr>
        <w:pStyle w:val="Bullet1"/>
        <w:rPr>
          <w:i/>
        </w:rPr>
      </w:pPr>
      <w:r w:rsidRPr="00565B54">
        <w:rPr>
          <w:i/>
        </w:rPr>
        <w:t>Public Governance, Performance and Accountability Act</w:t>
      </w:r>
    </w:p>
    <w:p w:rsidR="00340616" w:rsidRPr="00565B54" w:rsidRDefault="00340616" w:rsidP="00726710">
      <w:pPr>
        <w:pStyle w:val="Bullet1"/>
        <w:rPr>
          <w:i/>
        </w:rPr>
      </w:pPr>
      <w:r w:rsidRPr="00565B54">
        <w:rPr>
          <w:i/>
        </w:rPr>
        <w:t xml:space="preserve">Privacy Act 1988 </w:t>
      </w:r>
    </w:p>
    <w:p w:rsidR="00340616" w:rsidRPr="00565B54" w:rsidRDefault="00340616" w:rsidP="00726710">
      <w:pPr>
        <w:pStyle w:val="Bullet1"/>
        <w:rPr>
          <w:i/>
        </w:rPr>
      </w:pPr>
      <w:r w:rsidRPr="00565B54">
        <w:rPr>
          <w:i/>
        </w:rPr>
        <w:t>Crimes Act 1914</w:t>
      </w:r>
    </w:p>
    <w:p w:rsidR="00340616" w:rsidRPr="00565B54" w:rsidRDefault="00340616" w:rsidP="00726710">
      <w:pPr>
        <w:pStyle w:val="Bullet1"/>
        <w:rPr>
          <w:i/>
        </w:rPr>
      </w:pPr>
      <w:r w:rsidRPr="00565B54">
        <w:rPr>
          <w:i/>
        </w:rPr>
        <w:t>Criminal Code Act 1995</w:t>
      </w:r>
    </w:p>
    <w:p w:rsidR="00340616" w:rsidRPr="00565B54" w:rsidRDefault="003A331D" w:rsidP="00340616">
      <w:pPr>
        <w:keepNext/>
      </w:pPr>
      <w:r w:rsidRPr="00565B54">
        <w:t>We will</w:t>
      </w:r>
      <w:r w:rsidR="00340616" w:rsidRPr="00565B54">
        <w:t xml:space="preserve"> treat the information you give us as sensitive and therefore confidential if it meets all of the four conditions below:</w:t>
      </w:r>
    </w:p>
    <w:p w:rsidR="00340616" w:rsidRPr="00565B54" w:rsidRDefault="00340616" w:rsidP="00665038">
      <w:pPr>
        <w:pStyle w:val="NumberedList1"/>
        <w:numPr>
          <w:ilvl w:val="0"/>
          <w:numId w:val="13"/>
        </w:numPr>
      </w:pPr>
      <w:r w:rsidRPr="00565B54">
        <w:t>you clearly identify the information as confidential and explain why we should treat it as confidential</w:t>
      </w:r>
    </w:p>
    <w:p w:rsidR="00340616" w:rsidRPr="00565B54" w:rsidRDefault="00340616" w:rsidP="0054078D">
      <w:pPr>
        <w:pStyle w:val="NumberedList1"/>
      </w:pPr>
      <w:r w:rsidRPr="00565B54">
        <w:t>the information is commercially sensitive</w:t>
      </w:r>
    </w:p>
    <w:p w:rsidR="00340616" w:rsidRPr="00565B54" w:rsidRDefault="00340616" w:rsidP="0054078D">
      <w:pPr>
        <w:pStyle w:val="NumberedList1"/>
      </w:pPr>
      <w:r w:rsidRPr="00565B54">
        <w:t>revealing the information would cause unreasonable harm to you or someone else</w:t>
      </w:r>
    </w:p>
    <w:p w:rsidR="00340616" w:rsidRPr="00565B54" w:rsidRDefault="00340616" w:rsidP="0054078D">
      <w:pPr>
        <w:pStyle w:val="NumberedList1"/>
      </w:pPr>
      <w:proofErr w:type="gramStart"/>
      <w:r w:rsidRPr="00565B54">
        <w:t>you</w:t>
      </w:r>
      <w:proofErr w:type="gramEnd"/>
      <w:r w:rsidRPr="00565B54">
        <w:t xml:space="preserve"> provide the information with an understanding</w:t>
      </w:r>
      <w:r w:rsidR="003A331D" w:rsidRPr="00565B54">
        <w:t xml:space="preserve"> that it will stay confidential.</w:t>
      </w:r>
    </w:p>
    <w:p w:rsidR="00340616" w:rsidRPr="00565B54" w:rsidRDefault="00340616" w:rsidP="00340616">
      <w:r w:rsidRPr="00565B54">
        <w:t xml:space="preserve">The grant agreement will include any specific requirements about special categories of information collected, created or held under the grant agreement. </w:t>
      </w:r>
    </w:p>
    <w:p w:rsidR="00340616" w:rsidRPr="00565B54" w:rsidRDefault="00340616" w:rsidP="00892C8B">
      <w:pPr>
        <w:pStyle w:val="Heading2Numbered"/>
        <w:ind w:left="709" w:hanging="709"/>
      </w:pPr>
      <w:bookmarkStart w:id="194" w:name="_Toc421777635"/>
      <w:bookmarkStart w:id="195" w:name="_Toc467773994"/>
      <w:bookmarkStart w:id="196" w:name="_Toc519001820"/>
      <w:r w:rsidRPr="00565B54">
        <w:t>Freedom of information</w:t>
      </w:r>
      <w:bookmarkEnd w:id="194"/>
      <w:bookmarkEnd w:id="195"/>
      <w:bookmarkEnd w:id="196"/>
    </w:p>
    <w:p w:rsidR="00340616" w:rsidRPr="00565B54" w:rsidRDefault="00340616" w:rsidP="00340616">
      <w:r w:rsidRPr="00565B54">
        <w:t xml:space="preserve">All documents in the possession of the Australian Government, including those about the Program, are subject to the </w:t>
      </w:r>
      <w:r w:rsidRPr="00565B54">
        <w:rPr>
          <w:i/>
        </w:rPr>
        <w:t>Freedom of Information Act 1982</w:t>
      </w:r>
      <w:r w:rsidRPr="00565B54">
        <w:t xml:space="preserve"> </w:t>
      </w:r>
      <w:r w:rsidRPr="00565B54">
        <w:rPr>
          <w:i/>
        </w:rPr>
        <w:t>(FOI Act).</w:t>
      </w:r>
    </w:p>
    <w:p w:rsidR="00340616" w:rsidRPr="00565B54" w:rsidRDefault="00340616" w:rsidP="00340616">
      <w:r w:rsidRPr="00565B54">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rsidRPr="00565B54">
        <w:t>is limited</w:t>
      </w:r>
      <w:proofErr w:type="gramEnd"/>
      <w:r w:rsidRPr="00565B54">
        <w:t xml:space="preserve"> only by the exceptions and exemptions necessary to protect essential public interests and private and business affairs of persons in respect of whom the information relates.</w:t>
      </w:r>
    </w:p>
    <w:p w:rsidR="003A331D" w:rsidRPr="00565B54" w:rsidRDefault="003A331D" w:rsidP="003A331D">
      <w:pPr>
        <w:spacing w:before="0" w:after="0"/>
      </w:pPr>
    </w:p>
    <w:p w:rsidR="00340616" w:rsidRPr="00565B54" w:rsidRDefault="00340616" w:rsidP="003A331D">
      <w:pPr>
        <w:suppressAutoHyphens w:val="0"/>
        <w:spacing w:before="0" w:after="120"/>
      </w:pPr>
      <w:r w:rsidRPr="00565B54">
        <w:t xml:space="preserve">All Freedom of Information requests </w:t>
      </w:r>
      <w:proofErr w:type="gramStart"/>
      <w:r w:rsidRPr="00565B54">
        <w:t>must be referre</w:t>
      </w:r>
      <w:r w:rsidR="003A331D" w:rsidRPr="00565B54">
        <w:t>d</w:t>
      </w:r>
      <w:proofErr w:type="gramEnd"/>
      <w:r w:rsidR="003A331D" w:rsidRPr="00565B54">
        <w:t xml:space="preserve"> to the Freedom of Information </w:t>
      </w:r>
      <w:r w:rsidRPr="00565B54">
        <w:t>Coordinator in writing.</w:t>
      </w:r>
    </w:p>
    <w:p w:rsidR="00340616" w:rsidRPr="00565B54" w:rsidRDefault="00340616" w:rsidP="00340616">
      <w:pPr>
        <w:tabs>
          <w:tab w:val="left" w:pos="1418"/>
        </w:tabs>
        <w:ind w:left="1418" w:hanging="1418"/>
        <w:contextualSpacing/>
      </w:pPr>
      <w:r w:rsidRPr="00565B54">
        <w:t>By mail:</w:t>
      </w:r>
      <w:r w:rsidRPr="00565B54">
        <w:tab/>
        <w:t>Freedom of Information Coordinator</w:t>
      </w:r>
    </w:p>
    <w:p w:rsidR="00340616" w:rsidRPr="00565B54" w:rsidRDefault="00533BCE" w:rsidP="00A9798A">
      <w:pPr>
        <w:tabs>
          <w:tab w:val="left" w:pos="1418"/>
        </w:tabs>
        <w:spacing w:before="0" w:after="0" w:line="240" w:lineRule="auto"/>
        <w:ind w:left="2836" w:hanging="1418"/>
      </w:pPr>
      <w:r w:rsidRPr="00565B54">
        <w:t>The Department of Social Services</w:t>
      </w:r>
    </w:p>
    <w:p w:rsidR="00533BCE" w:rsidRPr="00565B54" w:rsidRDefault="00192E36" w:rsidP="00A9798A">
      <w:pPr>
        <w:tabs>
          <w:tab w:val="left" w:pos="1418"/>
        </w:tabs>
        <w:spacing w:before="0" w:after="0" w:line="240" w:lineRule="auto"/>
        <w:ind w:left="2836" w:hanging="1418"/>
      </w:pPr>
      <w:r w:rsidRPr="00565B54">
        <w:t>Government and Executive Services Branch</w:t>
      </w:r>
    </w:p>
    <w:p w:rsidR="00533BCE" w:rsidRPr="00565B54" w:rsidRDefault="00533BCE" w:rsidP="00A9798A">
      <w:pPr>
        <w:tabs>
          <w:tab w:val="left" w:pos="1418"/>
        </w:tabs>
        <w:spacing w:before="0" w:after="0" w:line="240" w:lineRule="auto"/>
        <w:ind w:left="2836" w:hanging="1418"/>
      </w:pPr>
      <w:r w:rsidRPr="00565B54">
        <w:t>GPO Box 9820</w:t>
      </w:r>
    </w:p>
    <w:p w:rsidR="00533BCE" w:rsidRPr="00565B54" w:rsidRDefault="00533BCE" w:rsidP="00A9798A">
      <w:pPr>
        <w:tabs>
          <w:tab w:val="left" w:pos="1418"/>
        </w:tabs>
        <w:spacing w:before="0" w:after="0" w:line="240" w:lineRule="auto"/>
        <w:ind w:left="2836" w:hanging="1418"/>
      </w:pPr>
      <w:proofErr w:type="gramStart"/>
      <w:r w:rsidRPr="00565B54">
        <w:t>Canberra  ACT</w:t>
      </w:r>
      <w:proofErr w:type="gramEnd"/>
      <w:r w:rsidRPr="00565B54">
        <w:t xml:space="preserve">  2601</w:t>
      </w:r>
    </w:p>
    <w:p w:rsidR="00340616" w:rsidRPr="00565B54" w:rsidRDefault="00340616" w:rsidP="00340616">
      <w:r w:rsidRPr="00565B54">
        <w:t>By email:</w:t>
      </w:r>
      <w:r w:rsidRPr="00565B54">
        <w:tab/>
      </w:r>
      <w:hyperlink r:id="rId39" w:history="1">
        <w:r w:rsidR="00533BCE" w:rsidRPr="00565B54">
          <w:rPr>
            <w:rStyle w:val="Hyperlink"/>
            <w:rFonts w:cstheme="minorBidi"/>
          </w:rPr>
          <w:t>foi@dss.gov.au</w:t>
        </w:r>
      </w:hyperlink>
      <w:r w:rsidR="00533BCE" w:rsidRPr="00565B54">
        <w:rPr>
          <w:color w:val="745B00" w:themeColor="accent3" w:themeShade="80"/>
        </w:rPr>
        <w:t xml:space="preserve"> </w:t>
      </w:r>
    </w:p>
    <w:p w:rsidR="00340616" w:rsidRPr="00565B54" w:rsidRDefault="00340616" w:rsidP="0054078D">
      <w:pPr>
        <w:pStyle w:val="Heading1Numbered"/>
        <w:rPr>
          <w:szCs w:val="40"/>
        </w:rPr>
      </w:pPr>
      <w:bookmarkStart w:id="197" w:name="_Toc421777637"/>
      <w:bookmarkStart w:id="198" w:name="_Toc467773995"/>
      <w:bookmarkStart w:id="199" w:name="_Toc519001821"/>
      <w:r w:rsidRPr="00565B54">
        <w:rPr>
          <w:szCs w:val="40"/>
        </w:rPr>
        <w:lastRenderedPageBreak/>
        <w:t>Consultation</w:t>
      </w:r>
      <w:bookmarkEnd w:id="197"/>
      <w:bookmarkEnd w:id="198"/>
      <w:bookmarkEnd w:id="199"/>
    </w:p>
    <w:p w:rsidR="0055249E" w:rsidRPr="00565B54" w:rsidRDefault="0055249E" w:rsidP="0055249E">
      <w:bookmarkStart w:id="200" w:name="_Toc467773996"/>
      <w:r w:rsidRPr="00565B54">
        <w:t>In January 2017, the Department commenced a consultation process for the redesign</w:t>
      </w:r>
      <w:r w:rsidR="00A76BDC" w:rsidRPr="00565B54">
        <w:t xml:space="preserve"> of the Financial Wellbeing and Capability Activity</w:t>
      </w:r>
      <w:r w:rsidRPr="00565B54">
        <w:t xml:space="preserve">. This included releasing a discussion paper in February 2017. Additionally, some face-to-face meetings </w:t>
      </w:r>
      <w:proofErr w:type="gramStart"/>
      <w:r w:rsidRPr="00565B54">
        <w:t>were held</w:t>
      </w:r>
      <w:proofErr w:type="gramEnd"/>
      <w:r w:rsidRPr="00565B54">
        <w:t xml:space="preserve"> with selected peak organisations. </w:t>
      </w:r>
    </w:p>
    <w:p w:rsidR="0055249E" w:rsidRPr="00565B54" w:rsidRDefault="0055249E" w:rsidP="0055249E">
      <w:r w:rsidRPr="00565B54">
        <w:t>The Department received around 100 submissions on the discussion paper, mostly from F</w:t>
      </w:r>
      <w:r w:rsidR="00382625" w:rsidRPr="00565B54">
        <w:t>inancial Wellbeing and Capability</w:t>
      </w:r>
      <w:r w:rsidRPr="00565B54">
        <w:t xml:space="preserve"> funded organisations. All submissions were analysed and considered in the development of the redesign.</w:t>
      </w:r>
    </w:p>
    <w:p w:rsidR="0055249E" w:rsidRPr="00565B54" w:rsidRDefault="0055249E">
      <w:pPr>
        <w:suppressAutoHyphens w:val="0"/>
        <w:spacing w:before="0" w:after="120" w:line="440" w:lineRule="atLeast"/>
        <w:rPr>
          <w:rFonts w:asciiTheme="majorHAnsi" w:eastAsiaTheme="majorEastAsia" w:hAnsiTheme="majorHAnsi" w:cstheme="majorBidi"/>
          <w:bCs/>
          <w:color w:val="1C1C1C" w:themeColor="text2"/>
          <w:sz w:val="40"/>
          <w:szCs w:val="28"/>
        </w:rPr>
      </w:pPr>
      <w:r w:rsidRPr="00565B54">
        <w:br w:type="page"/>
      </w:r>
    </w:p>
    <w:p w:rsidR="00340616" w:rsidRPr="00565B54" w:rsidRDefault="00340616" w:rsidP="00396BB6">
      <w:pPr>
        <w:pStyle w:val="Heading1Numbered"/>
        <w:numPr>
          <w:ilvl w:val="0"/>
          <w:numId w:val="0"/>
        </w:numPr>
      </w:pPr>
      <w:bookmarkStart w:id="201" w:name="_Toc519001822"/>
      <w:r w:rsidRPr="00565B54">
        <w:lastRenderedPageBreak/>
        <w:t>Glossary</w:t>
      </w:r>
      <w:bookmarkEnd w:id="200"/>
      <w:bookmarkEnd w:id="201"/>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565B54" w:rsidTr="002A2026">
        <w:trPr>
          <w:tblHeader/>
        </w:trPr>
        <w:tc>
          <w:tcPr>
            <w:tcW w:w="2513" w:type="dxa"/>
          </w:tcPr>
          <w:p w:rsidR="0003793B" w:rsidRPr="00565B54" w:rsidRDefault="0003793B" w:rsidP="002A2026">
            <w:pPr>
              <w:tabs>
                <w:tab w:val="left" w:pos="2835"/>
              </w:tabs>
              <w:spacing w:after="120"/>
            </w:pPr>
            <w:r w:rsidRPr="00565B54">
              <w:rPr>
                <w:b/>
              </w:rPr>
              <w:t>Term</w:t>
            </w:r>
          </w:p>
        </w:tc>
        <w:tc>
          <w:tcPr>
            <w:tcW w:w="6395" w:type="dxa"/>
          </w:tcPr>
          <w:p w:rsidR="0003793B" w:rsidRPr="00565B54" w:rsidRDefault="0003793B" w:rsidP="002A2026">
            <w:pPr>
              <w:tabs>
                <w:tab w:val="left" w:pos="2835"/>
              </w:tabs>
              <w:spacing w:after="120"/>
              <w:rPr>
                <w:rFonts w:cs="Arial"/>
                <w:lang w:eastAsia="en-AU"/>
              </w:rPr>
            </w:pPr>
            <w:r w:rsidRPr="00565B54">
              <w:rPr>
                <w:b/>
              </w:rPr>
              <w:t>Definition</w:t>
            </w:r>
          </w:p>
        </w:tc>
      </w:tr>
      <w:tr w:rsidR="0003793B" w:rsidRPr="00565B54" w:rsidTr="002A2026">
        <w:tc>
          <w:tcPr>
            <w:tcW w:w="2513" w:type="dxa"/>
          </w:tcPr>
          <w:p w:rsidR="0003793B" w:rsidRPr="00565B54" w:rsidRDefault="0003793B" w:rsidP="002A2026">
            <w:pPr>
              <w:tabs>
                <w:tab w:val="left" w:pos="2835"/>
              </w:tabs>
              <w:spacing w:after="120"/>
            </w:pPr>
            <w:r w:rsidRPr="00565B54">
              <w:t>assessment criteria</w:t>
            </w:r>
          </w:p>
        </w:tc>
        <w:tc>
          <w:tcPr>
            <w:tcW w:w="6395" w:type="dxa"/>
          </w:tcPr>
          <w:p w:rsidR="0003793B" w:rsidRPr="00565B54" w:rsidRDefault="0003793B" w:rsidP="002A2026">
            <w:pPr>
              <w:tabs>
                <w:tab w:val="left" w:pos="2835"/>
              </w:tabs>
              <w:spacing w:after="120"/>
            </w:pPr>
            <w:r w:rsidRPr="00565B54">
              <w:rPr>
                <w:rFonts w:cs="Arial"/>
                <w:lang w:eastAsia="en-AU"/>
              </w:rPr>
              <w:t xml:space="preserve">The specified principles or standards against which applications </w:t>
            </w:r>
            <w:proofErr w:type="gramStart"/>
            <w:r w:rsidRPr="00565B54">
              <w:rPr>
                <w:rFonts w:cs="Arial"/>
                <w:lang w:eastAsia="en-AU"/>
              </w:rPr>
              <w:t>will be judged</w:t>
            </w:r>
            <w:proofErr w:type="gramEnd"/>
            <w:r w:rsidRPr="00565B54">
              <w:rPr>
                <w:rFonts w:cs="Arial"/>
                <w:lang w:eastAsia="en-AU"/>
              </w:rPr>
              <w:t xml:space="preserve">. These criteria </w:t>
            </w:r>
            <w:proofErr w:type="gramStart"/>
            <w:r w:rsidRPr="00565B54">
              <w:rPr>
                <w:rFonts w:cs="Arial"/>
                <w:lang w:eastAsia="en-AU"/>
              </w:rPr>
              <w:t>are also used</w:t>
            </w:r>
            <w:proofErr w:type="gramEnd"/>
            <w:r w:rsidRPr="00565B54">
              <w:rPr>
                <w:rFonts w:cs="Arial"/>
                <w:lang w:eastAsia="en-AU"/>
              </w:rPr>
              <w:t xml:space="preserve"> to assess the merits of proposals and, in the case of a competitive granting activity, to determine applicant rankings. </w:t>
            </w:r>
          </w:p>
        </w:tc>
      </w:tr>
      <w:tr w:rsidR="0003793B" w:rsidRPr="00565B54" w:rsidTr="002A2026">
        <w:tc>
          <w:tcPr>
            <w:tcW w:w="2513" w:type="dxa"/>
          </w:tcPr>
          <w:p w:rsidR="0003793B" w:rsidRPr="00565B54" w:rsidRDefault="0003793B" w:rsidP="002A2026">
            <w:pPr>
              <w:tabs>
                <w:tab w:val="left" w:pos="2835"/>
              </w:tabs>
              <w:spacing w:after="120"/>
            </w:pPr>
            <w:r w:rsidRPr="00565B54">
              <w:t>commencement date</w:t>
            </w:r>
          </w:p>
        </w:tc>
        <w:tc>
          <w:tcPr>
            <w:tcW w:w="6395" w:type="dxa"/>
          </w:tcPr>
          <w:p w:rsidR="0003793B" w:rsidRPr="00565B54" w:rsidRDefault="0003793B" w:rsidP="002A2026">
            <w:pPr>
              <w:tabs>
                <w:tab w:val="left" w:pos="2835"/>
              </w:tabs>
              <w:spacing w:after="120"/>
            </w:pPr>
            <w:r w:rsidRPr="00565B54">
              <w:t xml:space="preserve">The expected start date for the grant activity. </w:t>
            </w:r>
          </w:p>
        </w:tc>
      </w:tr>
      <w:tr w:rsidR="0003793B" w:rsidRPr="00565B54" w:rsidTr="002A2026">
        <w:tc>
          <w:tcPr>
            <w:tcW w:w="2513" w:type="dxa"/>
          </w:tcPr>
          <w:p w:rsidR="0003793B" w:rsidRPr="00565B54" w:rsidRDefault="0003793B" w:rsidP="002A2026">
            <w:pPr>
              <w:tabs>
                <w:tab w:val="left" w:pos="2835"/>
              </w:tabs>
              <w:spacing w:after="120"/>
            </w:pPr>
            <w:r w:rsidRPr="00565B54">
              <w:t>completion date</w:t>
            </w:r>
          </w:p>
        </w:tc>
        <w:tc>
          <w:tcPr>
            <w:tcW w:w="6395" w:type="dxa"/>
          </w:tcPr>
          <w:p w:rsidR="0003793B" w:rsidRPr="00565B54" w:rsidRDefault="0003793B" w:rsidP="002A2026">
            <w:pPr>
              <w:tabs>
                <w:tab w:val="left" w:pos="2835"/>
              </w:tabs>
              <w:spacing w:after="120"/>
            </w:pPr>
            <w:r w:rsidRPr="00565B54">
              <w:t xml:space="preserve">The expected date that the grant activity </w:t>
            </w:r>
            <w:proofErr w:type="gramStart"/>
            <w:r w:rsidRPr="00565B54">
              <w:t>must be completed</w:t>
            </w:r>
            <w:proofErr w:type="gramEnd"/>
            <w:r w:rsidRPr="00565B54">
              <w:t xml:space="preserve"> and the grant spent by. </w:t>
            </w:r>
          </w:p>
        </w:tc>
      </w:tr>
      <w:tr w:rsidR="0003793B" w:rsidRPr="00565B54" w:rsidTr="002A2026">
        <w:tc>
          <w:tcPr>
            <w:tcW w:w="2513" w:type="dxa"/>
          </w:tcPr>
          <w:p w:rsidR="0003793B" w:rsidRPr="00565B54" w:rsidRDefault="0003793B" w:rsidP="002A2026">
            <w:pPr>
              <w:tabs>
                <w:tab w:val="left" w:pos="2835"/>
              </w:tabs>
              <w:spacing w:after="120"/>
            </w:pPr>
            <w:r w:rsidRPr="00565B54">
              <w:t>Commonwealth entity</w:t>
            </w:r>
          </w:p>
        </w:tc>
        <w:tc>
          <w:tcPr>
            <w:tcW w:w="6395" w:type="dxa"/>
          </w:tcPr>
          <w:p w:rsidR="0003793B" w:rsidRPr="00565B54" w:rsidRDefault="0003793B" w:rsidP="002A2026">
            <w:pPr>
              <w:tabs>
                <w:tab w:val="left" w:pos="2835"/>
              </w:tabs>
              <w:spacing w:after="120"/>
            </w:pPr>
            <w:r w:rsidRPr="00565B54">
              <w:rPr>
                <w:rFonts w:cs="Arial"/>
                <w:lang w:eastAsia="en-AU"/>
              </w:rPr>
              <w:t>A Department of State, or a Parliamentary Department, or a listed entity or a body corporate established by a law of the Commonwealth. See subsections 10(1) and (2) of the PGPA Act.</w:t>
            </w:r>
          </w:p>
        </w:tc>
      </w:tr>
      <w:tr w:rsidR="0003793B" w:rsidRPr="00565B54" w:rsidTr="002A2026">
        <w:tc>
          <w:tcPr>
            <w:tcW w:w="2513" w:type="dxa"/>
          </w:tcPr>
          <w:p w:rsidR="0003793B" w:rsidRPr="00565B54" w:rsidRDefault="0003793B" w:rsidP="002A2026">
            <w:pPr>
              <w:spacing w:after="120"/>
            </w:pPr>
            <w:r w:rsidRPr="00565B54">
              <w:t xml:space="preserve">cost shifting </w:t>
            </w:r>
          </w:p>
        </w:tc>
        <w:tc>
          <w:tcPr>
            <w:tcW w:w="6395" w:type="dxa"/>
          </w:tcPr>
          <w:p w:rsidR="0003793B" w:rsidRPr="00565B54" w:rsidRDefault="0003793B" w:rsidP="002A2026">
            <w:r w:rsidRPr="00565B54">
              <w:t xml:space="preserve">Involves ‘substitution of effort’ by the Commonwealth for activities of another organisation or level of government. For example, cost shifting occurs where the Commonwealth provides a grant for an activity that </w:t>
            </w:r>
            <w:proofErr w:type="gramStart"/>
            <w:r w:rsidRPr="00565B54">
              <w:t>would usually be paid for</w:t>
            </w:r>
            <w:proofErr w:type="gramEnd"/>
            <w:r w:rsidRPr="00565B54">
              <w:t xml:space="preserve"> by a state, territory, or local government, such as municipal services. </w:t>
            </w:r>
          </w:p>
        </w:tc>
      </w:tr>
      <w:tr w:rsidR="0003793B" w:rsidRPr="00565B54" w:rsidTr="002A2026">
        <w:tc>
          <w:tcPr>
            <w:tcW w:w="2513" w:type="dxa"/>
          </w:tcPr>
          <w:p w:rsidR="0003793B" w:rsidRPr="00565B54" w:rsidRDefault="0003793B" w:rsidP="002A2026">
            <w:r w:rsidRPr="00565B54">
              <w:t>date of effect</w:t>
            </w:r>
          </w:p>
        </w:tc>
        <w:tc>
          <w:tcPr>
            <w:tcW w:w="6395" w:type="dxa"/>
          </w:tcPr>
          <w:p w:rsidR="0003793B" w:rsidRPr="00565B54" w:rsidRDefault="0003793B" w:rsidP="002A2026">
            <w:pPr>
              <w:rPr>
                <w:rFonts w:cs="Arial"/>
                <w:lang w:eastAsia="en-AU"/>
              </w:rPr>
            </w:pPr>
            <w:r w:rsidRPr="00565B54">
              <w:rPr>
                <w:rFonts w:cs="Arial"/>
                <w:lang w:eastAsia="en-AU"/>
              </w:rPr>
              <w:t xml:space="preserve">This will depend on the particular grant. It can be the date in which a grant agreement </w:t>
            </w:r>
            <w:proofErr w:type="gramStart"/>
            <w:r w:rsidRPr="00565B54">
              <w:rPr>
                <w:rFonts w:cs="Arial"/>
                <w:lang w:eastAsia="en-AU"/>
              </w:rPr>
              <w:t>is signed</w:t>
            </w:r>
            <w:proofErr w:type="gramEnd"/>
            <w:r w:rsidRPr="00565B54">
              <w:rPr>
                <w:rFonts w:cs="Arial"/>
                <w:lang w:eastAsia="en-AU"/>
              </w:rPr>
              <w:t xml:space="preserve"> or a specified starting date. Where there is no grant agreement, entities must publish information on individual grants as soon as practicable. </w:t>
            </w:r>
          </w:p>
        </w:tc>
      </w:tr>
      <w:tr w:rsidR="0003793B" w:rsidRPr="00565B54" w:rsidTr="002A2026">
        <w:tc>
          <w:tcPr>
            <w:tcW w:w="2513" w:type="dxa"/>
          </w:tcPr>
          <w:p w:rsidR="0003793B" w:rsidRPr="00565B54" w:rsidRDefault="0003793B" w:rsidP="002A2026">
            <w:r w:rsidRPr="00565B54">
              <w:t>decision maker</w:t>
            </w:r>
          </w:p>
        </w:tc>
        <w:tc>
          <w:tcPr>
            <w:tcW w:w="6395" w:type="dxa"/>
          </w:tcPr>
          <w:p w:rsidR="0003793B" w:rsidRPr="00565B54" w:rsidRDefault="0003793B" w:rsidP="002A2026">
            <w:r w:rsidRPr="00565B54">
              <w:rPr>
                <w:rFonts w:cs="Arial"/>
                <w:lang w:eastAsia="en-AU"/>
              </w:rPr>
              <w:t>The person who makes a decision to award a grant.</w:t>
            </w:r>
          </w:p>
        </w:tc>
      </w:tr>
      <w:tr w:rsidR="0003793B" w:rsidRPr="00565B54" w:rsidTr="002A2026">
        <w:tc>
          <w:tcPr>
            <w:tcW w:w="2513" w:type="dxa"/>
          </w:tcPr>
          <w:p w:rsidR="0003793B" w:rsidRPr="00565B54" w:rsidRDefault="0003793B" w:rsidP="002A2026">
            <w:r w:rsidRPr="00565B54">
              <w:t>double dipping</w:t>
            </w:r>
          </w:p>
        </w:tc>
        <w:tc>
          <w:tcPr>
            <w:tcW w:w="6395" w:type="dxa"/>
          </w:tcPr>
          <w:p w:rsidR="0003793B" w:rsidRPr="00565B54" w:rsidRDefault="0003793B" w:rsidP="002A2026">
            <w:r w:rsidRPr="00565B54">
              <w:t xml:space="preserve">Double dipping occurs where a </w:t>
            </w:r>
            <w:r w:rsidR="00B77B1C" w:rsidRPr="00565B54">
              <w:t>grantee</w:t>
            </w:r>
            <w:r w:rsidRPr="00565B54">
              <w:t xml:space="preserve"> is able to obtain a grant for the same project or activity from more than one source. </w:t>
            </w:r>
          </w:p>
        </w:tc>
      </w:tr>
      <w:tr w:rsidR="0003793B" w:rsidRPr="00565B54" w:rsidTr="002A2026">
        <w:tc>
          <w:tcPr>
            <w:tcW w:w="2513" w:type="dxa"/>
          </w:tcPr>
          <w:p w:rsidR="0003793B" w:rsidRPr="00565B54" w:rsidRDefault="0003793B" w:rsidP="002A2026">
            <w:pPr>
              <w:tabs>
                <w:tab w:val="left" w:pos="2835"/>
              </w:tabs>
              <w:spacing w:after="120"/>
            </w:pPr>
            <w:r w:rsidRPr="00565B54">
              <w:t>eligibility criteria</w:t>
            </w:r>
          </w:p>
        </w:tc>
        <w:tc>
          <w:tcPr>
            <w:tcW w:w="6395" w:type="dxa"/>
          </w:tcPr>
          <w:p w:rsidR="0003793B" w:rsidRPr="00565B54" w:rsidRDefault="0003793B" w:rsidP="002A2026">
            <w:pPr>
              <w:tabs>
                <w:tab w:val="left" w:pos="2835"/>
              </w:tabs>
              <w:spacing w:after="120"/>
            </w:pPr>
            <w:r w:rsidRPr="00565B54">
              <w:rPr>
                <w:rFonts w:cs="Arial"/>
                <w:lang w:eastAsia="en-AU"/>
              </w:rPr>
              <w:t xml:space="preserve">The principles, standards or rules that a grant applicant must meet to qualify for consideration of a grant. Eligibility criteria may apply in addition to assessment criteria. </w:t>
            </w:r>
          </w:p>
        </w:tc>
      </w:tr>
      <w:tr w:rsidR="00745EE7" w:rsidRPr="00565B54" w:rsidTr="00745EE7">
        <w:tc>
          <w:tcPr>
            <w:tcW w:w="2513" w:type="dxa"/>
            <w:tcBorders>
              <w:top w:val="single" w:sz="4" w:space="0" w:color="auto"/>
              <w:left w:val="single" w:sz="4" w:space="0" w:color="auto"/>
              <w:bottom w:val="single" w:sz="4" w:space="0" w:color="auto"/>
              <w:right w:val="single" w:sz="4" w:space="0" w:color="auto"/>
            </w:tcBorders>
            <w:hideMark/>
          </w:tcPr>
          <w:p w:rsidR="00745EE7" w:rsidRPr="00565B54" w:rsidRDefault="00745EE7">
            <w:pPr>
              <w:tabs>
                <w:tab w:val="left" w:pos="2835"/>
              </w:tabs>
              <w:spacing w:after="120"/>
              <w:rPr>
                <w:rFonts w:cs="Arial"/>
                <w:lang w:eastAsia="en-AU"/>
              </w:rPr>
            </w:pPr>
            <w:r w:rsidRPr="00565B54">
              <w:rPr>
                <w:rFonts w:cs="Arial"/>
                <w:lang w:eastAsia="en-AU"/>
              </w:rPr>
              <w:t>funding arrangement manager</w:t>
            </w:r>
          </w:p>
        </w:tc>
        <w:tc>
          <w:tcPr>
            <w:tcW w:w="6395" w:type="dxa"/>
            <w:tcBorders>
              <w:top w:val="single" w:sz="4" w:space="0" w:color="auto"/>
              <w:left w:val="single" w:sz="4" w:space="0" w:color="auto"/>
              <w:bottom w:val="single" w:sz="4" w:space="0" w:color="auto"/>
              <w:right w:val="single" w:sz="4" w:space="0" w:color="auto"/>
            </w:tcBorders>
            <w:hideMark/>
          </w:tcPr>
          <w:p w:rsidR="00745EE7" w:rsidRPr="00565B54" w:rsidRDefault="00745EE7" w:rsidP="00B77B1C">
            <w:pPr>
              <w:rPr>
                <w:lang w:eastAsia="en-AU"/>
              </w:rPr>
            </w:pPr>
            <w:r w:rsidRPr="00565B54">
              <w:rPr>
                <w:lang w:eastAsia="en-AU"/>
              </w:rPr>
              <w:t xml:space="preserve">The person in the agency responsible for the process of engaging and working with </w:t>
            </w:r>
            <w:r w:rsidR="00B77B1C" w:rsidRPr="00565B54">
              <w:rPr>
                <w:lang w:eastAsia="en-AU"/>
              </w:rPr>
              <w:t>grantee</w:t>
            </w:r>
            <w:r w:rsidRPr="00565B54">
              <w:rPr>
                <w:lang w:eastAsia="en-AU"/>
              </w:rPr>
              <w:t>s to provide support and ensure reporting requirements and outcomes under the Agreement are met and related funds are effectively managed.</w:t>
            </w:r>
          </w:p>
        </w:tc>
      </w:tr>
      <w:tr w:rsidR="0003793B" w:rsidRPr="00565B54" w:rsidTr="002A2026">
        <w:tc>
          <w:tcPr>
            <w:tcW w:w="2513" w:type="dxa"/>
          </w:tcPr>
          <w:p w:rsidR="0003793B" w:rsidRPr="00565B54" w:rsidRDefault="0003793B" w:rsidP="002A2026">
            <w:pPr>
              <w:tabs>
                <w:tab w:val="left" w:pos="2835"/>
              </w:tabs>
              <w:spacing w:after="120"/>
            </w:pPr>
            <w:r w:rsidRPr="00565B54">
              <w:rPr>
                <w:rFonts w:cs="Arial"/>
                <w:lang w:eastAsia="en-AU"/>
              </w:rPr>
              <w:lastRenderedPageBreak/>
              <w:t xml:space="preserve">grant </w:t>
            </w:r>
          </w:p>
        </w:tc>
        <w:tc>
          <w:tcPr>
            <w:tcW w:w="6395" w:type="dxa"/>
          </w:tcPr>
          <w:p w:rsidR="0003793B" w:rsidRPr="00565B54" w:rsidRDefault="0003793B" w:rsidP="002A2026">
            <w:pPr>
              <w:rPr>
                <w:lang w:eastAsia="en-AU"/>
              </w:rPr>
            </w:pPr>
            <w:r w:rsidRPr="00565B54">
              <w:rPr>
                <w:lang w:eastAsia="en-AU"/>
              </w:rPr>
              <w:t>A grant is an arrangement for the provision of financial assistance by the Commonwealth or on behalf of the Commonwealth:</w:t>
            </w:r>
          </w:p>
          <w:p w:rsidR="0003793B" w:rsidRPr="00565B54" w:rsidRDefault="0003793B" w:rsidP="00665038">
            <w:pPr>
              <w:numPr>
                <w:ilvl w:val="0"/>
                <w:numId w:val="17"/>
              </w:numPr>
              <w:suppressAutoHyphens w:val="0"/>
              <w:spacing w:before="0" w:after="40" w:line="240" w:lineRule="auto"/>
              <w:ind w:left="459" w:hanging="425"/>
              <w:rPr>
                <w:lang w:eastAsia="en-AU"/>
              </w:rPr>
            </w:pPr>
            <w:r w:rsidRPr="00565B54">
              <w:rPr>
                <w:lang w:eastAsia="en-AU"/>
              </w:rPr>
              <w:t xml:space="preserve">under which relevant money or other </w:t>
            </w:r>
            <w:r w:rsidR="00F97C24">
              <w:rPr>
                <w:lang w:eastAsia="en-AU"/>
              </w:rPr>
              <w:t>Consolidated Revenue Fund (</w:t>
            </w:r>
            <w:r w:rsidRPr="00565B54">
              <w:rPr>
                <w:lang w:eastAsia="en-AU"/>
              </w:rPr>
              <w:t>CRF</w:t>
            </w:r>
            <w:r w:rsidR="00F97C24">
              <w:rPr>
                <w:lang w:eastAsia="en-AU"/>
              </w:rPr>
              <w:t>)</w:t>
            </w:r>
            <w:r w:rsidRPr="00565B54">
              <w:rPr>
                <w:lang w:eastAsia="en-AU"/>
              </w:rPr>
              <w:t xml:space="preserve"> money, is to be paid to a grantee other than the Commonwealth</w:t>
            </w:r>
          </w:p>
          <w:p w:rsidR="0003793B" w:rsidRPr="00565B54" w:rsidRDefault="0003793B" w:rsidP="00665038">
            <w:pPr>
              <w:numPr>
                <w:ilvl w:val="0"/>
                <w:numId w:val="17"/>
              </w:numPr>
              <w:suppressAutoHyphens w:val="0"/>
              <w:spacing w:before="0" w:after="40" w:line="240" w:lineRule="auto"/>
              <w:ind w:left="459" w:hanging="425"/>
              <w:rPr>
                <w:lang w:eastAsia="en-AU"/>
              </w:rPr>
            </w:pPr>
            <w:proofErr w:type="gramStart"/>
            <w:r w:rsidRPr="00565B54">
              <w:rPr>
                <w:lang w:eastAsia="en-AU"/>
              </w:rPr>
              <w:t>which</w:t>
            </w:r>
            <w:proofErr w:type="gramEnd"/>
            <w:r w:rsidRPr="00565B54">
              <w:rPr>
                <w:lang w:eastAsia="en-AU"/>
              </w:rPr>
              <w:t xml:space="preserve"> is intended to help address one or more of the Australian Government’s policy outcomes while assisting the grantee achieve its objectives.</w:t>
            </w:r>
          </w:p>
        </w:tc>
      </w:tr>
      <w:tr w:rsidR="0003793B" w:rsidRPr="00565B54" w:rsidTr="002A2026">
        <w:tc>
          <w:tcPr>
            <w:tcW w:w="2513" w:type="dxa"/>
          </w:tcPr>
          <w:p w:rsidR="0003793B" w:rsidRPr="00565B54" w:rsidRDefault="0003793B" w:rsidP="002A2026">
            <w:pPr>
              <w:tabs>
                <w:tab w:val="left" w:pos="2835"/>
              </w:tabs>
              <w:spacing w:after="120"/>
            </w:pPr>
            <w:r w:rsidRPr="00565B54">
              <w:t>grant activity</w:t>
            </w:r>
          </w:p>
        </w:tc>
        <w:tc>
          <w:tcPr>
            <w:tcW w:w="6395" w:type="dxa"/>
          </w:tcPr>
          <w:p w:rsidR="0003793B" w:rsidRPr="00565B54" w:rsidRDefault="0003793B" w:rsidP="00B77B1C">
            <w:pPr>
              <w:tabs>
                <w:tab w:val="left" w:pos="2835"/>
              </w:tabs>
              <w:spacing w:after="120"/>
            </w:pPr>
            <w:r w:rsidRPr="00565B54">
              <w:t xml:space="preserve">Is the project /tasks /services that the </w:t>
            </w:r>
            <w:r w:rsidR="00B77B1C" w:rsidRPr="00565B54">
              <w:t>g</w:t>
            </w:r>
            <w:r w:rsidRPr="00565B54">
              <w:t xml:space="preserve">rantee is required to undertake with the grant money. It </w:t>
            </w:r>
            <w:proofErr w:type="gramStart"/>
            <w:r w:rsidRPr="00565B54">
              <w:t>is described</w:t>
            </w:r>
            <w:proofErr w:type="gramEnd"/>
            <w:r w:rsidRPr="00565B54">
              <w:t xml:space="preserve"> in the Grant Agreement. </w:t>
            </w:r>
          </w:p>
        </w:tc>
      </w:tr>
      <w:tr w:rsidR="0003793B" w:rsidRPr="00565B54" w:rsidTr="002A2026">
        <w:tc>
          <w:tcPr>
            <w:tcW w:w="2513" w:type="dxa"/>
          </w:tcPr>
          <w:p w:rsidR="0003793B" w:rsidRPr="00565B54" w:rsidRDefault="0003793B" w:rsidP="002A2026">
            <w:pPr>
              <w:tabs>
                <w:tab w:val="left" w:pos="2835"/>
              </w:tabs>
              <w:spacing w:after="120"/>
            </w:pPr>
            <w:r w:rsidRPr="00565B54">
              <w:t>grant agreement</w:t>
            </w:r>
          </w:p>
        </w:tc>
        <w:tc>
          <w:tcPr>
            <w:tcW w:w="6395" w:type="dxa"/>
          </w:tcPr>
          <w:p w:rsidR="0003793B" w:rsidRPr="00565B54" w:rsidRDefault="0003793B" w:rsidP="002A2026">
            <w:pPr>
              <w:tabs>
                <w:tab w:val="left" w:pos="2835"/>
              </w:tabs>
              <w:spacing w:after="120"/>
            </w:pPr>
            <w:r w:rsidRPr="00565B54">
              <w:t xml:space="preserve">Grant agreement means the contract template used by Australian Government entities to set out the mutual obligations relating to the provision of the grant. The Australian Government is standardising and streamlining grant agreements between the Commonwealth and </w:t>
            </w:r>
            <w:r w:rsidR="00B77B1C" w:rsidRPr="00565B54">
              <w:t>grantee</w:t>
            </w:r>
            <w:r w:rsidRPr="00565B54">
              <w:t xml:space="preserve">s to allow </w:t>
            </w:r>
            <w:r w:rsidR="00B77B1C" w:rsidRPr="00565B54">
              <w:t>grantee</w:t>
            </w:r>
            <w:r w:rsidRPr="00565B54">
              <w:t xml:space="preserve">s to engage more easily and efficiently with the Commonwealth. </w:t>
            </w:r>
          </w:p>
        </w:tc>
      </w:tr>
      <w:tr w:rsidR="0003793B" w:rsidRPr="00565B54" w:rsidTr="002A2026">
        <w:tc>
          <w:tcPr>
            <w:tcW w:w="2513" w:type="dxa"/>
          </w:tcPr>
          <w:p w:rsidR="0003793B" w:rsidRPr="00565B54" w:rsidRDefault="0003793B" w:rsidP="002A2026">
            <w:pPr>
              <w:tabs>
                <w:tab w:val="left" w:pos="2835"/>
              </w:tabs>
              <w:spacing w:after="120"/>
            </w:pPr>
            <w:r w:rsidRPr="00565B54">
              <w:t>grant opportunity</w:t>
            </w:r>
          </w:p>
        </w:tc>
        <w:tc>
          <w:tcPr>
            <w:tcW w:w="6395" w:type="dxa"/>
          </w:tcPr>
          <w:p w:rsidR="0003793B" w:rsidRPr="00565B54" w:rsidRDefault="0003793B" w:rsidP="002A2026">
            <w:pPr>
              <w:tabs>
                <w:tab w:val="left" w:pos="2835"/>
              </w:tabs>
              <w:spacing w:after="120"/>
            </w:pPr>
            <w:r w:rsidRPr="00565B54">
              <w:t xml:space="preserve">A notice published on GrantConnect advertising the availability of Commonwealth grants. </w:t>
            </w:r>
          </w:p>
        </w:tc>
      </w:tr>
      <w:tr w:rsidR="0003793B" w:rsidRPr="00565B54" w:rsidTr="002A2026">
        <w:tc>
          <w:tcPr>
            <w:tcW w:w="2513" w:type="dxa"/>
          </w:tcPr>
          <w:p w:rsidR="0003793B" w:rsidRPr="00565B54" w:rsidRDefault="0003793B" w:rsidP="002A2026">
            <w:pPr>
              <w:tabs>
                <w:tab w:val="left" w:pos="2835"/>
              </w:tabs>
              <w:spacing w:after="120"/>
            </w:pPr>
            <w:r w:rsidRPr="00565B54">
              <w:t>grant program</w:t>
            </w:r>
          </w:p>
        </w:tc>
        <w:tc>
          <w:tcPr>
            <w:tcW w:w="6395" w:type="dxa"/>
          </w:tcPr>
          <w:p w:rsidR="0003793B" w:rsidRPr="00565B54" w:rsidRDefault="0003793B" w:rsidP="002A2026">
            <w:pPr>
              <w:tabs>
                <w:tab w:val="left" w:pos="2835"/>
              </w:tabs>
              <w:spacing w:after="120"/>
            </w:pPr>
            <w:r w:rsidRPr="00565B54">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565B54" w:rsidTr="002A2026">
        <w:tc>
          <w:tcPr>
            <w:tcW w:w="2513" w:type="dxa"/>
          </w:tcPr>
          <w:p w:rsidR="0003793B" w:rsidRPr="00565B54" w:rsidRDefault="0003793B" w:rsidP="002A2026">
            <w:pPr>
              <w:tabs>
                <w:tab w:val="left" w:pos="2835"/>
              </w:tabs>
              <w:spacing w:after="120"/>
            </w:pPr>
            <w:r w:rsidRPr="00565B54">
              <w:t>grantee</w:t>
            </w:r>
          </w:p>
        </w:tc>
        <w:tc>
          <w:tcPr>
            <w:tcW w:w="6395" w:type="dxa"/>
          </w:tcPr>
          <w:p w:rsidR="0003793B" w:rsidRPr="00565B54" w:rsidRDefault="0003793B" w:rsidP="002A2026">
            <w:pPr>
              <w:tabs>
                <w:tab w:val="left" w:pos="2835"/>
              </w:tabs>
              <w:spacing w:after="120"/>
            </w:pPr>
            <w:r w:rsidRPr="00565B54">
              <w:t xml:space="preserve">An individual/organisation that </w:t>
            </w:r>
            <w:proofErr w:type="gramStart"/>
            <w:r w:rsidRPr="00565B54">
              <w:t>has been awarded</w:t>
            </w:r>
            <w:proofErr w:type="gramEnd"/>
            <w:r w:rsidRPr="00565B54">
              <w:t xml:space="preserve"> a grant. </w:t>
            </w:r>
          </w:p>
        </w:tc>
      </w:tr>
      <w:tr w:rsidR="005005FE" w:rsidRPr="00565B54" w:rsidTr="002A2026">
        <w:tc>
          <w:tcPr>
            <w:tcW w:w="2513" w:type="dxa"/>
          </w:tcPr>
          <w:p w:rsidR="005005FE" w:rsidRPr="00565B54" w:rsidRDefault="005005FE" w:rsidP="005005FE">
            <w:pPr>
              <w:tabs>
                <w:tab w:val="left" w:pos="2835"/>
              </w:tabs>
              <w:spacing w:after="120"/>
            </w:pPr>
            <w:r w:rsidRPr="00565B54">
              <w:t>immigrants/ non-citizens</w:t>
            </w:r>
          </w:p>
        </w:tc>
        <w:tc>
          <w:tcPr>
            <w:tcW w:w="6395" w:type="dxa"/>
          </w:tcPr>
          <w:p w:rsidR="005005FE" w:rsidRPr="00565B54" w:rsidRDefault="005005FE" w:rsidP="005005FE">
            <w:pPr>
              <w:tabs>
                <w:tab w:val="left" w:pos="2835"/>
              </w:tabs>
              <w:spacing w:after="120"/>
            </w:pPr>
            <w:r w:rsidRPr="00565B54">
              <w:t>A person who is not an Australian citizen</w:t>
            </w:r>
          </w:p>
        </w:tc>
      </w:tr>
      <w:tr w:rsidR="005005FE" w:rsidRPr="00565B54" w:rsidTr="002A2026">
        <w:tc>
          <w:tcPr>
            <w:tcW w:w="2513" w:type="dxa"/>
          </w:tcPr>
          <w:p w:rsidR="005005FE" w:rsidRPr="00565B54" w:rsidRDefault="005005FE" w:rsidP="005005FE">
            <w:pPr>
              <w:tabs>
                <w:tab w:val="left" w:pos="2835"/>
              </w:tabs>
              <w:spacing w:after="120"/>
            </w:pPr>
            <w:r w:rsidRPr="00565B54">
              <w:t>invitee</w:t>
            </w:r>
          </w:p>
        </w:tc>
        <w:tc>
          <w:tcPr>
            <w:tcW w:w="6395" w:type="dxa"/>
          </w:tcPr>
          <w:p w:rsidR="005005FE" w:rsidRPr="00565B54" w:rsidRDefault="005005FE" w:rsidP="005005FE">
            <w:pPr>
              <w:tabs>
                <w:tab w:val="left" w:pos="2835"/>
              </w:tabs>
              <w:spacing w:after="120"/>
            </w:pPr>
            <w:r w:rsidRPr="00565B54">
              <w:t xml:space="preserve">An individual/organisation that </w:t>
            </w:r>
            <w:proofErr w:type="gramStart"/>
            <w:r w:rsidRPr="00565B54">
              <w:t>has been invited</w:t>
            </w:r>
            <w:proofErr w:type="gramEnd"/>
            <w:r w:rsidRPr="00565B54">
              <w:t xml:space="preserve"> to apply for a specific grant opportunity.</w:t>
            </w:r>
          </w:p>
        </w:tc>
      </w:tr>
      <w:tr w:rsidR="006E4A5C" w:rsidRPr="00565B54" w:rsidTr="002A2026">
        <w:tc>
          <w:tcPr>
            <w:tcW w:w="2513" w:type="dxa"/>
          </w:tcPr>
          <w:p w:rsidR="006E4A5C" w:rsidRPr="00565B54" w:rsidRDefault="006E4A5C" w:rsidP="006E4A5C">
            <w:pPr>
              <w:tabs>
                <w:tab w:val="left" w:pos="2835"/>
              </w:tabs>
              <w:spacing w:after="120"/>
            </w:pPr>
            <w:r w:rsidRPr="00565B54">
              <w:t>Microfinance Products</w:t>
            </w:r>
          </w:p>
        </w:tc>
        <w:tc>
          <w:tcPr>
            <w:tcW w:w="6395" w:type="dxa"/>
          </w:tcPr>
          <w:p w:rsidR="006E4A5C" w:rsidRPr="00565B54" w:rsidRDefault="006E4A5C" w:rsidP="006E4A5C">
            <w:pPr>
              <w:tabs>
                <w:tab w:val="left" w:pos="2835"/>
              </w:tabs>
              <w:spacing w:after="120"/>
              <w:rPr>
                <w:rFonts w:cs="Arial"/>
              </w:rPr>
            </w:pPr>
            <w:r w:rsidRPr="00565B54">
              <w:t xml:space="preserve">Safe and affordable financial products that are not available through mainstream providers of financial services. Includes No Interest Loan Scheme, StepUp (provides low interest loans), Saver Plus (matched savings scheme) and </w:t>
            </w:r>
            <w:r w:rsidRPr="00565B54">
              <w:lastRenderedPageBreak/>
              <w:t xml:space="preserve">Microenterprise Development (supports the development of small businesses). </w:t>
            </w:r>
          </w:p>
        </w:tc>
      </w:tr>
      <w:tr w:rsidR="006E4A5C" w:rsidRPr="00565B54" w:rsidTr="002A2026">
        <w:tc>
          <w:tcPr>
            <w:tcW w:w="2513" w:type="dxa"/>
          </w:tcPr>
          <w:p w:rsidR="006E4A5C" w:rsidRPr="00565B54" w:rsidRDefault="006E4A5C" w:rsidP="006E4A5C">
            <w:pPr>
              <w:tabs>
                <w:tab w:val="left" w:pos="2835"/>
              </w:tabs>
              <w:spacing w:after="120"/>
            </w:pPr>
            <w:r w:rsidRPr="00565B54">
              <w:lastRenderedPageBreak/>
              <w:t>PBS Program</w:t>
            </w:r>
          </w:p>
        </w:tc>
        <w:tc>
          <w:tcPr>
            <w:tcW w:w="6395" w:type="dxa"/>
          </w:tcPr>
          <w:p w:rsidR="006E4A5C" w:rsidRPr="00565B54" w:rsidRDefault="006E4A5C" w:rsidP="006E4A5C">
            <w:pPr>
              <w:tabs>
                <w:tab w:val="left" w:pos="2835"/>
              </w:tabs>
              <w:spacing w:after="120"/>
            </w:pPr>
            <w:r w:rsidRPr="00565B54">
              <w:rPr>
                <w:rFonts w:cs="Arial"/>
              </w:rPr>
              <w:t xml:space="preserve">Described within the entity’s Portfolio Budget Statement, </w:t>
            </w:r>
            <w:r w:rsidRPr="00565B54">
              <w:t xml:space="preserve">PBS programs each link to a single outcome and provide transparency for funding decisions. These </w:t>
            </w:r>
            <w:proofErr w:type="gramStart"/>
            <w:r w:rsidRPr="00565B54">
              <w:t>high level</w:t>
            </w:r>
            <w:proofErr w:type="gramEnd"/>
            <w:r w:rsidRPr="00565B54">
              <w:t xml:space="preserve"> PBS programs often comprise a number of lower level, more publicly recognised programs, some of which will be Grant Programs. A PBS Program may have more than one Grant Program associated with it, and each of these may have </w:t>
            </w:r>
            <w:r w:rsidRPr="00565B54">
              <w:rPr>
                <w:rFonts w:cs="Arial"/>
              </w:rPr>
              <w:t>one or more grant opportunities</w:t>
            </w:r>
          </w:p>
        </w:tc>
      </w:tr>
      <w:tr w:rsidR="006E4A5C" w:rsidRPr="00565B54" w:rsidTr="002A2026">
        <w:tc>
          <w:tcPr>
            <w:tcW w:w="2513" w:type="dxa"/>
          </w:tcPr>
          <w:p w:rsidR="006E4A5C" w:rsidRPr="00565B54" w:rsidRDefault="006E4A5C" w:rsidP="006E4A5C">
            <w:pPr>
              <w:tabs>
                <w:tab w:val="left" w:pos="2835"/>
              </w:tabs>
              <w:spacing w:after="120"/>
            </w:pPr>
            <w:r w:rsidRPr="00565B54">
              <w:t>selection criteria</w:t>
            </w:r>
          </w:p>
        </w:tc>
        <w:tc>
          <w:tcPr>
            <w:tcW w:w="6395" w:type="dxa"/>
          </w:tcPr>
          <w:p w:rsidR="006E4A5C" w:rsidRPr="00565B54" w:rsidRDefault="006E4A5C" w:rsidP="006E4A5C">
            <w:pPr>
              <w:tabs>
                <w:tab w:val="left" w:pos="2835"/>
              </w:tabs>
              <w:spacing w:after="120"/>
            </w:pPr>
            <w:r w:rsidRPr="00565B54">
              <w:t xml:space="preserve">Comprise eligibility criteria and assessment criteria. </w:t>
            </w:r>
          </w:p>
        </w:tc>
      </w:tr>
      <w:tr w:rsidR="006E4A5C" w:rsidRPr="00565B54" w:rsidTr="002A2026">
        <w:tc>
          <w:tcPr>
            <w:tcW w:w="2513" w:type="dxa"/>
          </w:tcPr>
          <w:p w:rsidR="006E4A5C" w:rsidRPr="00565B54" w:rsidRDefault="006E4A5C" w:rsidP="006E4A5C">
            <w:pPr>
              <w:tabs>
                <w:tab w:val="left" w:pos="2835"/>
              </w:tabs>
              <w:spacing w:after="120"/>
            </w:pPr>
            <w:r w:rsidRPr="00565B54">
              <w:t>selection process</w:t>
            </w:r>
          </w:p>
        </w:tc>
        <w:tc>
          <w:tcPr>
            <w:tcW w:w="6395" w:type="dxa"/>
          </w:tcPr>
          <w:p w:rsidR="006E4A5C" w:rsidRPr="00565B54" w:rsidRDefault="006E4A5C" w:rsidP="006E4A5C">
            <w:pPr>
              <w:tabs>
                <w:tab w:val="left" w:pos="2835"/>
              </w:tabs>
              <w:spacing w:after="120"/>
            </w:pPr>
            <w:r w:rsidRPr="00565B54">
              <w:t>The method used to select potential grantees. This process may involve comparative assessment of applications or the assessment of applications against the eligibility criteria and/or the assessment criteria.</w:t>
            </w:r>
          </w:p>
        </w:tc>
      </w:tr>
    </w:tbl>
    <w:p w:rsidR="00E03AD4" w:rsidRPr="00565B54" w:rsidRDefault="00340616" w:rsidP="00BF11B1">
      <w:pPr>
        <w:pStyle w:val="Heading2"/>
        <w:spacing w:before="240"/>
        <w:rPr>
          <w:color w:val="745B00" w:themeColor="accent3" w:themeShade="80"/>
          <w:sz w:val="40"/>
        </w:rPr>
      </w:pPr>
      <w:r w:rsidRPr="00565B54">
        <w:br w:type="page"/>
      </w:r>
      <w:bookmarkStart w:id="202" w:name="_Toc467773997"/>
      <w:bookmarkStart w:id="203" w:name="_Toc501532904"/>
      <w:bookmarkStart w:id="204" w:name="_Toc519001823"/>
      <w:r w:rsidR="00E03AD4" w:rsidRPr="00737C4A">
        <w:rPr>
          <w:b/>
          <w:sz w:val="40"/>
        </w:rPr>
        <w:lastRenderedPageBreak/>
        <w:t>Appendix A:</w:t>
      </w:r>
      <w:r w:rsidR="00E03AD4" w:rsidRPr="00565B54">
        <w:rPr>
          <w:sz w:val="40"/>
        </w:rPr>
        <w:t xml:space="preserve"> </w:t>
      </w:r>
      <w:bookmarkEnd w:id="202"/>
      <w:bookmarkEnd w:id="203"/>
      <w:r w:rsidR="00C054A1" w:rsidRPr="00565B54">
        <w:rPr>
          <w:color w:val="auto"/>
          <w:sz w:val="40"/>
        </w:rPr>
        <w:t>A</w:t>
      </w:r>
      <w:r w:rsidR="00EB04D7" w:rsidRPr="00565B54">
        <w:rPr>
          <w:color w:val="auto"/>
          <w:sz w:val="40"/>
        </w:rPr>
        <w:t>mounts available in SA4 area.</w:t>
      </w:r>
      <w:bookmarkEnd w:id="204"/>
    </w:p>
    <w:p w:rsidR="00747536" w:rsidRDefault="00B103FE" w:rsidP="00B103FE">
      <w:r w:rsidRPr="00565B54">
        <w:t>Your organisation can apply to deliver servic</w:t>
      </w:r>
      <w:r w:rsidR="00BF11B1" w:rsidRPr="00565B54">
        <w:t>es at the</w:t>
      </w:r>
      <w:r w:rsidR="00981D3F">
        <w:t xml:space="preserve">, </w:t>
      </w:r>
      <w:r w:rsidR="00BF11B1" w:rsidRPr="00565B54">
        <w:t>SA4 or SA2</w:t>
      </w:r>
      <w:r w:rsidR="004B56A8" w:rsidRPr="00565B54">
        <w:t xml:space="preserve"> level</w:t>
      </w:r>
      <w:r w:rsidRPr="00565B54">
        <w:t xml:space="preserve">, or may cover a </w:t>
      </w:r>
      <w:r w:rsidR="00EB04D7" w:rsidRPr="00565B54">
        <w:rPr>
          <w:rFonts w:cstheme="minorHAnsi"/>
        </w:rPr>
        <w:t>collection of SA4s or SA2</w:t>
      </w:r>
      <w:r w:rsidRPr="00565B54">
        <w:rPr>
          <w:rFonts w:cstheme="minorHAnsi"/>
        </w:rPr>
        <w:t xml:space="preserve">s. </w:t>
      </w:r>
      <w:r w:rsidR="001C5BAB">
        <w:t>.</w:t>
      </w:r>
    </w:p>
    <w:p w:rsidR="001C5BAB" w:rsidRDefault="001C5BAB" w:rsidP="001C5BAB">
      <w:r>
        <w:t xml:space="preserve">In all instances, applicants should select the highest applicable area. For example if you are applying to deliver services in an entire SA4, select the SA4. If you are only seeking to apply for part of an SA4, then select the relevant SA2s in your application. </w:t>
      </w:r>
    </w:p>
    <w:p w:rsidR="0034612A" w:rsidRPr="00565B54" w:rsidRDefault="00BF11B1" w:rsidP="0034612A">
      <w:pPr>
        <w:suppressAutoHyphens w:val="0"/>
        <w:spacing w:before="0" w:after="0" w:line="240" w:lineRule="auto"/>
      </w:pPr>
      <w:r w:rsidRPr="00565B54">
        <w:rPr>
          <w:rFonts w:eastAsia="Times New Roman" w:cstheme="minorHAnsi"/>
          <w:color w:val="1A1A1A"/>
          <w:lang w:eastAsia="en-AU"/>
        </w:rPr>
        <w:br/>
        <w:t xml:space="preserve">Each SA4 </w:t>
      </w:r>
      <w:r w:rsidR="00EB04D7" w:rsidRPr="00565B54">
        <w:rPr>
          <w:rFonts w:eastAsia="Times New Roman" w:cstheme="minorHAnsi"/>
          <w:color w:val="1A1A1A"/>
          <w:lang w:eastAsia="en-AU"/>
        </w:rPr>
        <w:t>area contains multiple SA2s</w:t>
      </w:r>
      <w:r w:rsidRPr="00565B54">
        <w:rPr>
          <w:rFonts w:eastAsia="Times New Roman" w:cstheme="minorHAnsi"/>
          <w:color w:val="1A1A1A"/>
          <w:lang w:eastAsia="en-AU"/>
        </w:rPr>
        <w:t>, and you can select coverage areas from a list in your application form</w:t>
      </w:r>
      <w:r w:rsidR="00963B07">
        <w:rPr>
          <w:rFonts w:eastAsia="Times New Roman" w:cstheme="minorHAnsi"/>
          <w:color w:val="1A1A1A"/>
          <w:lang w:eastAsia="en-AU"/>
        </w:rPr>
        <w:t>/s</w:t>
      </w:r>
      <w:r w:rsidRPr="00565B54">
        <w:rPr>
          <w:rFonts w:eastAsia="Times New Roman" w:cstheme="minorHAnsi"/>
          <w:color w:val="1A1A1A"/>
          <w:lang w:eastAsia="en-AU"/>
        </w:rPr>
        <w:t xml:space="preserve">. The </w:t>
      </w:r>
      <w:r w:rsidR="00EB04D7" w:rsidRPr="00565B54">
        <w:rPr>
          <w:rFonts w:eastAsia="Times New Roman" w:cstheme="minorHAnsi"/>
          <w:color w:val="1A1A1A"/>
          <w:lang w:eastAsia="en-AU"/>
        </w:rPr>
        <w:t xml:space="preserve">structure </w:t>
      </w:r>
      <w:r w:rsidRPr="00565B54">
        <w:rPr>
          <w:rFonts w:eastAsia="Times New Roman" w:cstheme="minorHAnsi"/>
          <w:color w:val="1A1A1A"/>
          <w:lang w:eastAsia="en-AU"/>
        </w:rPr>
        <w:t>is described on the Australian Bureau of Statistics website, at</w:t>
      </w:r>
      <w:r w:rsidR="00A45452" w:rsidRPr="00565B54">
        <w:rPr>
          <w:rFonts w:eastAsia="Times New Roman" w:cstheme="minorHAnsi"/>
          <w:color w:val="1A1A1A"/>
          <w:lang w:eastAsia="en-AU"/>
        </w:rPr>
        <w:t> </w:t>
      </w:r>
      <w:r w:rsidRPr="00565B54">
        <w:rPr>
          <w:rFonts w:eastAsia="Times New Roman" w:cstheme="minorHAnsi"/>
          <w:color w:val="1A1A1A"/>
          <w:lang w:eastAsia="en-AU"/>
        </w:rPr>
        <w:t>the following link</w:t>
      </w:r>
      <w:proofErr w:type="gramStart"/>
      <w:r w:rsidRPr="00565B54">
        <w:rPr>
          <w:rFonts w:eastAsia="Times New Roman" w:cstheme="minorHAnsi"/>
          <w:color w:val="1A1A1A"/>
          <w:lang w:eastAsia="en-AU"/>
        </w:rPr>
        <w:t>:</w:t>
      </w:r>
      <w:proofErr w:type="gramEnd"/>
      <w:r w:rsidRPr="00565B54">
        <w:rPr>
          <w:rFonts w:eastAsia="Times New Roman" w:cstheme="minorHAnsi"/>
          <w:color w:val="1A1A1A"/>
          <w:lang w:eastAsia="en-AU"/>
        </w:rPr>
        <w:br/>
      </w:r>
      <w:r w:rsidRPr="00565B54">
        <w:rPr>
          <w:rFonts w:eastAsia="Times New Roman" w:cstheme="minorHAnsi"/>
          <w:color w:val="1A1A1A"/>
          <w:lang w:eastAsia="en-AU"/>
        </w:rPr>
        <w:br/>
      </w:r>
      <w:r w:rsidRPr="00565B54">
        <w:rPr>
          <w:rFonts w:eastAsia="Times New Roman" w:cstheme="minorHAnsi"/>
          <w:color w:val="0000FF"/>
          <w:u w:val="single"/>
          <w:lang w:eastAsia="en-AU"/>
        </w:rPr>
        <w:t>http://www.abs.gov.au/websitedbs/D3310114.nsf/home/Australian+Statistical+Geography+Standard+(ASGS</w:t>
      </w:r>
      <w:r w:rsidRPr="00565B54">
        <w:rPr>
          <w:rFonts w:eastAsia="Times New Roman" w:cstheme="minorHAnsi"/>
          <w:color w:val="1A1A1A"/>
          <w:lang w:eastAsia="en-AU"/>
        </w:rPr>
        <w:t xml:space="preserve">) </w:t>
      </w:r>
      <w:r w:rsidRPr="00565B54">
        <w:rPr>
          <w:rFonts w:eastAsia="Times New Roman" w:cstheme="minorHAnsi"/>
          <w:color w:val="1A1A1A"/>
          <w:lang w:eastAsia="en-AU"/>
        </w:rPr>
        <w:br/>
      </w:r>
      <w:r w:rsidRPr="00565B54">
        <w:rPr>
          <w:rFonts w:eastAsia="Times New Roman" w:cstheme="minorHAnsi"/>
          <w:color w:val="1A1A1A"/>
          <w:lang w:eastAsia="en-AU"/>
        </w:rPr>
        <w:br/>
      </w:r>
      <w:r w:rsidRPr="00565B54">
        <w:t>T</w:t>
      </w:r>
      <w:r w:rsidR="00747536" w:rsidRPr="00565B54">
        <w:t>he minimum grant amount that will be offered to successful applicants is $7,000 (GST Exc)</w:t>
      </w:r>
      <w:r w:rsidR="00620B3F" w:rsidRPr="00565B54">
        <w:t xml:space="preserve"> </w:t>
      </w:r>
    </w:p>
    <w:p w:rsidR="00A45452" w:rsidRPr="00565B54" w:rsidRDefault="00A45452" w:rsidP="0034612A">
      <w:pPr>
        <w:suppressAutoHyphens w:val="0"/>
        <w:spacing w:before="0" w:after="0" w:line="240" w:lineRule="auto"/>
      </w:pPr>
      <w:proofErr w:type="gramStart"/>
      <w:r w:rsidRPr="00565B54">
        <w:t>per</w:t>
      </w:r>
      <w:proofErr w:type="gramEnd"/>
      <w:r w:rsidRPr="00565B54">
        <w:t xml:space="preserve"> financial year (pro rata for 2018-19). The exception to this is funding for Norfolk Island.</w:t>
      </w:r>
      <w:r w:rsidRPr="00565B54">
        <w:br/>
      </w:r>
    </w:p>
    <w:tbl>
      <w:tblPr>
        <w:tblW w:w="8075" w:type="dxa"/>
        <w:tblLook w:val="04A0" w:firstRow="1" w:lastRow="0" w:firstColumn="1" w:lastColumn="0" w:noHBand="0" w:noVBand="1"/>
      </w:tblPr>
      <w:tblGrid>
        <w:gridCol w:w="1838"/>
        <w:gridCol w:w="3969"/>
        <w:gridCol w:w="2268"/>
      </w:tblGrid>
      <w:tr w:rsidR="0034612A" w:rsidRPr="00565B54" w:rsidTr="00861260">
        <w:trPr>
          <w:cantSplit/>
          <w:trHeight w:val="300"/>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4612A" w:rsidRPr="00861260" w:rsidRDefault="0034612A" w:rsidP="00D96026">
            <w:pPr>
              <w:suppressAutoHyphens w:val="0"/>
              <w:spacing w:before="0" w:after="0" w:line="240" w:lineRule="auto"/>
            </w:pPr>
            <w:r w:rsidRPr="00861260">
              <w:t>State / Territory</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4612A" w:rsidRPr="00861260" w:rsidRDefault="0034612A" w:rsidP="00D96026">
            <w:pPr>
              <w:suppressAutoHyphens w:val="0"/>
              <w:spacing w:before="0" w:after="0" w:line="240" w:lineRule="auto"/>
            </w:pPr>
            <w:r w:rsidRPr="00861260">
              <w:t>SA4 Name (2016)</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4612A" w:rsidRPr="00861260" w:rsidRDefault="0034612A" w:rsidP="00D96026">
            <w:pPr>
              <w:suppressAutoHyphens w:val="0"/>
              <w:spacing w:before="0" w:after="0" w:line="240" w:lineRule="auto"/>
              <w:jc w:val="right"/>
            </w:pPr>
            <w:r w:rsidRPr="00861260">
              <w:t xml:space="preserve">Amount per </w:t>
            </w:r>
            <w:r w:rsidR="00A45452" w:rsidRPr="00861260">
              <w:t xml:space="preserve">financial </w:t>
            </w:r>
            <w:r w:rsidRPr="00861260">
              <w:t>year</w:t>
            </w:r>
          </w:p>
          <w:p w:rsidR="0034612A" w:rsidRPr="00861260" w:rsidRDefault="0034612A" w:rsidP="00D96026">
            <w:pPr>
              <w:suppressAutoHyphens w:val="0"/>
              <w:spacing w:before="0" w:after="0" w:line="240" w:lineRule="auto"/>
              <w:jc w:val="right"/>
            </w:pPr>
            <w:r w:rsidRPr="00861260">
              <w:t>(GST Exc)</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Capital Region</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$441,073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Central Coast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$756,873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Central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$476,590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Coffs Harbour - Grafton</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$406,615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Far West and Orana</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$364,495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Hunter Valley exc Newcastle</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$602,824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Illawarra</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$544,917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Mid North Coast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$547,508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Murray</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$206,413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New England and North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$474,061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Newcastle and Lake Macquarie</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$764,816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Richmond - Tweed</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$648,802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Riverina</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$351,177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Southern Highlands and Shoalhaven</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$341,341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Baulkham Hills and Hawkesbury</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$102,226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Blacktown</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$709,559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City and Inner South</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$598,437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Eastern Suburbs</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$209,449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Inner South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$1,188,225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Inner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$398,689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North Sydney and Hornsby</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$264,681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Northern Beaches</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$156,539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lastRenderedPageBreak/>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Outer South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$584,029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Outer West and Blue Mountains</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$559,845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Parramatta</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$1,048,809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Ryde</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$134,312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South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$1,067,969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NSW</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Sydney - Sutherland</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$171,629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Ballarat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$371,959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Bendigo</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$323,394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Geelong</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$471,793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Hume</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$424,297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Latrobe - Gippsland</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$764,575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Melbourne - Inner</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$771,904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Melbourne - Inner East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$231,747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Melbourne - Inner South</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$277,247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Melbourne - North East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$752,889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Melbourne - North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$716,782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Melbourne - Outer East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$564,551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Melbourne - South East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$1,349,666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Melbourne -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$1,448,694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Mornington Peninsula</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$515,411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North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$401,191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Shepparton</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$365,371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VIC</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Warrnambool and South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$356,703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Brisbane - East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$308,665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Brisbane - North</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$278,357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Brisbane - South</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$412,961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Brisbane -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$82,084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Brisbane Inner City</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$258,111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Cairns</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$657,742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Darling Downs - Maranoa</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$360,282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Central Queensland</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$513,664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Gold Coast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$929,715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Ipswich</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$736,020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Logan - Beaudesert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$722,403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Mackay - Isaac - Whitsunday</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$340,675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Moreton Bay - North</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$493,895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Moreton Bay - South</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$169,256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Queensland - Outback</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$224,344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Sunshine Coast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$609,030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lastRenderedPageBreak/>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Toowoomba</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$302,408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Townsville</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$475,848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QLD</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Wide Bay</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$946,858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Adelaide - Central and Hills</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$395,502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Adelaide - North</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$1,143,957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Adelaide - South</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$652,203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Adelaide -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$533,759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Barossa - Yorke - Mid North</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$294,173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South Australia - Outback</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$404,223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South Australia - South East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$556,924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Bunbury</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$356,182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Mandurah</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$180,169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Perth - Inner</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$581,741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Perth - North East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$287,157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Perth - North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$490,991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Perth - South East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$606,175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Perth - South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$352,001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Western Australia - Wheat Belt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$289,024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Western Australia - Outback (North)</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$357,355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WA</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Western Australia - Outback (South)</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$357,355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TAS</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Hobart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$677,863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TAS</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Launceston and North East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$421,079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TAS</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South East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$78,253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TAS</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West and North West</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$320,199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NT</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Darwin</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$520,344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NT</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Northern Territory - Outback</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$854,702 </w:t>
            </w:r>
          </w:p>
        </w:tc>
      </w:tr>
      <w:tr w:rsidR="0034612A" w:rsidRPr="00565B54"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ACT</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Australian Capital Territory</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$406,370 </w:t>
            </w:r>
          </w:p>
        </w:tc>
      </w:tr>
      <w:tr w:rsidR="0034612A" w:rsidRPr="002700AA" w:rsidTr="00861260">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Other Territories</w:t>
            </w:r>
          </w:p>
        </w:tc>
        <w:tc>
          <w:tcPr>
            <w:tcW w:w="3969"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D96026">
            <w:pPr>
              <w:suppressAutoHyphens w:val="0"/>
              <w:spacing w:before="0" w:after="0" w:line="240" w:lineRule="auto"/>
            </w:pPr>
            <w:r w:rsidRPr="00861260">
              <w:t>Other Territories (Norfolk Island SA3)</w:t>
            </w:r>
          </w:p>
        </w:tc>
        <w:tc>
          <w:tcPr>
            <w:tcW w:w="2268" w:type="dxa"/>
            <w:tcBorders>
              <w:top w:val="nil"/>
              <w:left w:val="nil"/>
              <w:bottom w:val="single" w:sz="4" w:space="0" w:color="auto"/>
              <w:right w:val="single" w:sz="4" w:space="0" w:color="auto"/>
            </w:tcBorders>
            <w:shd w:val="clear" w:color="auto" w:fill="auto"/>
            <w:noWrap/>
            <w:vAlign w:val="bottom"/>
            <w:hideMark/>
          </w:tcPr>
          <w:p w:rsidR="0034612A" w:rsidRPr="00861260" w:rsidRDefault="0034612A" w:rsidP="00F20B12">
            <w:pPr>
              <w:suppressAutoHyphens w:val="0"/>
              <w:spacing w:before="0" w:after="0" w:line="240" w:lineRule="auto"/>
            </w:pPr>
            <w:r w:rsidRPr="00861260">
              <w:t xml:space="preserve"> $5,020 </w:t>
            </w:r>
          </w:p>
        </w:tc>
      </w:tr>
    </w:tbl>
    <w:p w:rsidR="00340616" w:rsidRDefault="00340616" w:rsidP="0034612A">
      <w:pPr>
        <w:suppressAutoHyphens w:val="0"/>
        <w:spacing w:before="0" w:after="0" w:line="240" w:lineRule="auto"/>
      </w:pPr>
    </w:p>
    <w:sectPr w:rsidR="00340616" w:rsidSect="005A41E0">
      <w:headerReference w:type="default" r:id="rId40"/>
      <w:footerReference w:type="default" r:id="rId41"/>
      <w:headerReference w:type="first" r:id="rId42"/>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C6" w:rsidRDefault="00FA50C6" w:rsidP="00EF4574">
      <w:pPr>
        <w:spacing w:before="0" w:after="0" w:line="240" w:lineRule="auto"/>
      </w:pPr>
      <w:r>
        <w:separator/>
      </w:r>
    </w:p>
    <w:p w:rsidR="00FA50C6" w:rsidRDefault="00FA50C6"/>
  </w:endnote>
  <w:endnote w:type="continuationSeparator" w:id="0">
    <w:p w:rsidR="00FA50C6" w:rsidRDefault="00FA50C6" w:rsidP="00EF4574">
      <w:pPr>
        <w:spacing w:before="0" w:after="0" w:line="240" w:lineRule="auto"/>
      </w:pPr>
      <w:r>
        <w:continuationSeparator/>
      </w:r>
    </w:p>
    <w:p w:rsidR="00FA50C6" w:rsidRDefault="00FA5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F4B" w:rsidRDefault="00E40F4B" w:rsidP="005970EA">
    <w:pPr>
      <w:pStyle w:val="Footer"/>
      <w:rPr>
        <w:noProof/>
      </w:rPr>
    </w:pPr>
    <w:r>
      <w:tab/>
    </w:r>
    <w:r>
      <w:tab/>
    </w:r>
    <w:r>
      <w:fldChar w:fldCharType="begin"/>
    </w:r>
    <w:r>
      <w:instrText xml:space="preserve"> PAGE   \* MERGEFORMAT </w:instrText>
    </w:r>
    <w:r>
      <w:fldChar w:fldCharType="separate"/>
    </w:r>
    <w:r w:rsidR="009624D8">
      <w:rPr>
        <w:noProof/>
      </w:rPr>
      <w:t>21</w:t>
    </w:r>
    <w:r>
      <w:rPr>
        <w:noProof/>
      </w:rPr>
      <w:fldChar w:fldCharType="end"/>
    </w:r>
  </w:p>
  <w:p w:rsidR="00E40F4B" w:rsidRDefault="00E40F4B"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C6" w:rsidRDefault="00FA50C6" w:rsidP="0020122A">
      <w:pPr>
        <w:pStyle w:val="FootnoteSeparator"/>
      </w:pPr>
    </w:p>
  </w:footnote>
  <w:footnote w:type="continuationSeparator" w:id="0">
    <w:p w:rsidR="00FA50C6" w:rsidRDefault="00FA50C6" w:rsidP="00EF4574">
      <w:pPr>
        <w:spacing w:before="0" w:after="0" w:line="240" w:lineRule="auto"/>
      </w:pPr>
      <w:r>
        <w:continuationSeparator/>
      </w:r>
    </w:p>
    <w:p w:rsidR="00FA50C6" w:rsidRDefault="00FA50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F4B" w:rsidRPr="000A6A8B" w:rsidRDefault="00E40F4B"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F4B" w:rsidRDefault="00E40F4B"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B9B159F"/>
    <w:multiLevelType w:val="multilevel"/>
    <w:tmpl w:val="EA08EF5E"/>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22318D7"/>
    <w:multiLevelType w:val="hybridMultilevel"/>
    <w:tmpl w:val="5826F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C830110"/>
    <w:multiLevelType w:val="hybridMultilevel"/>
    <w:tmpl w:val="D99612DE"/>
    <w:lvl w:ilvl="0" w:tplc="0C090001">
      <w:start w:val="1"/>
      <w:numFmt w:val="bullet"/>
      <w:lvlText w:val=""/>
      <w:lvlJc w:val="left"/>
      <w:pPr>
        <w:ind w:left="861" w:hanging="360"/>
      </w:pPr>
      <w:rPr>
        <w:rFonts w:ascii="Symbol" w:hAnsi="Symbol" w:hint="default"/>
      </w:rPr>
    </w:lvl>
    <w:lvl w:ilvl="1" w:tplc="0C090003">
      <w:start w:val="1"/>
      <w:numFmt w:val="bullet"/>
      <w:lvlText w:val="o"/>
      <w:lvlJc w:val="left"/>
      <w:pPr>
        <w:ind w:left="1581" w:hanging="360"/>
      </w:pPr>
      <w:rPr>
        <w:rFonts w:ascii="Courier New" w:hAnsi="Courier New" w:cs="Courier New" w:hint="default"/>
      </w:rPr>
    </w:lvl>
    <w:lvl w:ilvl="2" w:tplc="0C090005">
      <w:start w:val="1"/>
      <w:numFmt w:val="bullet"/>
      <w:lvlText w:val=""/>
      <w:lvlJc w:val="left"/>
      <w:pPr>
        <w:ind w:left="2301" w:hanging="360"/>
      </w:pPr>
      <w:rPr>
        <w:rFonts w:ascii="Wingdings" w:hAnsi="Wingdings" w:hint="default"/>
      </w:rPr>
    </w:lvl>
    <w:lvl w:ilvl="3" w:tplc="0C090001">
      <w:start w:val="1"/>
      <w:numFmt w:val="bullet"/>
      <w:lvlText w:val=""/>
      <w:lvlJc w:val="left"/>
      <w:pPr>
        <w:ind w:left="3021" w:hanging="360"/>
      </w:pPr>
      <w:rPr>
        <w:rFonts w:ascii="Symbol" w:hAnsi="Symbol" w:hint="default"/>
      </w:rPr>
    </w:lvl>
    <w:lvl w:ilvl="4" w:tplc="0C090003">
      <w:start w:val="1"/>
      <w:numFmt w:val="bullet"/>
      <w:lvlText w:val="o"/>
      <w:lvlJc w:val="left"/>
      <w:pPr>
        <w:ind w:left="3741" w:hanging="360"/>
      </w:pPr>
      <w:rPr>
        <w:rFonts w:ascii="Courier New" w:hAnsi="Courier New" w:cs="Courier New" w:hint="default"/>
      </w:rPr>
    </w:lvl>
    <w:lvl w:ilvl="5" w:tplc="0C090005">
      <w:start w:val="1"/>
      <w:numFmt w:val="bullet"/>
      <w:lvlText w:val=""/>
      <w:lvlJc w:val="left"/>
      <w:pPr>
        <w:ind w:left="4461" w:hanging="360"/>
      </w:pPr>
      <w:rPr>
        <w:rFonts w:ascii="Wingdings" w:hAnsi="Wingdings" w:hint="default"/>
      </w:rPr>
    </w:lvl>
    <w:lvl w:ilvl="6" w:tplc="0C090001">
      <w:start w:val="1"/>
      <w:numFmt w:val="bullet"/>
      <w:lvlText w:val=""/>
      <w:lvlJc w:val="left"/>
      <w:pPr>
        <w:ind w:left="5181" w:hanging="360"/>
      </w:pPr>
      <w:rPr>
        <w:rFonts w:ascii="Symbol" w:hAnsi="Symbol" w:hint="default"/>
      </w:rPr>
    </w:lvl>
    <w:lvl w:ilvl="7" w:tplc="0C090003">
      <w:start w:val="1"/>
      <w:numFmt w:val="bullet"/>
      <w:lvlText w:val="o"/>
      <w:lvlJc w:val="left"/>
      <w:pPr>
        <w:ind w:left="5901" w:hanging="360"/>
      </w:pPr>
      <w:rPr>
        <w:rFonts w:ascii="Courier New" w:hAnsi="Courier New" w:cs="Courier New" w:hint="default"/>
      </w:rPr>
    </w:lvl>
    <w:lvl w:ilvl="8" w:tplc="0C090005">
      <w:start w:val="1"/>
      <w:numFmt w:val="bullet"/>
      <w:lvlText w:val=""/>
      <w:lvlJc w:val="left"/>
      <w:pPr>
        <w:ind w:left="6621" w:hanging="360"/>
      </w:pPr>
      <w:rPr>
        <w:rFonts w:ascii="Wingdings" w:hAnsi="Wingdings" w:hint="default"/>
      </w:rPr>
    </w:lvl>
  </w:abstractNum>
  <w:abstractNum w:abstractNumId="9"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0"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A662A9A"/>
    <w:multiLevelType w:val="hybridMultilevel"/>
    <w:tmpl w:val="2284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5" w15:restartNumberingAfterBreak="0">
    <w:nsid w:val="73107305"/>
    <w:multiLevelType w:val="multilevel"/>
    <w:tmpl w:val="54EAF51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8040C48"/>
    <w:multiLevelType w:val="hybridMultilevel"/>
    <w:tmpl w:val="CDA81CF4"/>
    <w:lvl w:ilvl="0" w:tplc="0C090005">
      <w:start w:val="1"/>
      <w:numFmt w:val="bullet"/>
      <w:lvlText w:val=""/>
      <w:lvlJc w:val="left"/>
      <w:pPr>
        <w:ind w:left="861" w:hanging="360"/>
      </w:pPr>
      <w:rPr>
        <w:rFonts w:ascii="Wingdings" w:hAnsi="Wingdings" w:hint="default"/>
      </w:rPr>
    </w:lvl>
    <w:lvl w:ilvl="1" w:tplc="0C090003">
      <w:start w:val="1"/>
      <w:numFmt w:val="bullet"/>
      <w:lvlText w:val="o"/>
      <w:lvlJc w:val="left"/>
      <w:pPr>
        <w:ind w:left="1581" w:hanging="360"/>
      </w:pPr>
      <w:rPr>
        <w:rFonts w:ascii="Courier New" w:hAnsi="Courier New" w:cs="Courier New" w:hint="default"/>
      </w:rPr>
    </w:lvl>
    <w:lvl w:ilvl="2" w:tplc="0C090005">
      <w:start w:val="1"/>
      <w:numFmt w:val="bullet"/>
      <w:lvlText w:val=""/>
      <w:lvlJc w:val="left"/>
      <w:pPr>
        <w:ind w:left="2301" w:hanging="360"/>
      </w:pPr>
      <w:rPr>
        <w:rFonts w:ascii="Wingdings" w:hAnsi="Wingdings" w:hint="default"/>
      </w:rPr>
    </w:lvl>
    <w:lvl w:ilvl="3" w:tplc="0C090001">
      <w:start w:val="1"/>
      <w:numFmt w:val="bullet"/>
      <w:lvlText w:val=""/>
      <w:lvlJc w:val="left"/>
      <w:pPr>
        <w:ind w:left="3021" w:hanging="360"/>
      </w:pPr>
      <w:rPr>
        <w:rFonts w:ascii="Symbol" w:hAnsi="Symbol" w:hint="default"/>
      </w:rPr>
    </w:lvl>
    <w:lvl w:ilvl="4" w:tplc="0C090003">
      <w:start w:val="1"/>
      <w:numFmt w:val="bullet"/>
      <w:lvlText w:val="o"/>
      <w:lvlJc w:val="left"/>
      <w:pPr>
        <w:ind w:left="3741" w:hanging="360"/>
      </w:pPr>
      <w:rPr>
        <w:rFonts w:ascii="Courier New" w:hAnsi="Courier New" w:cs="Courier New" w:hint="default"/>
      </w:rPr>
    </w:lvl>
    <w:lvl w:ilvl="5" w:tplc="0C090005">
      <w:start w:val="1"/>
      <w:numFmt w:val="bullet"/>
      <w:lvlText w:val=""/>
      <w:lvlJc w:val="left"/>
      <w:pPr>
        <w:ind w:left="4461" w:hanging="360"/>
      </w:pPr>
      <w:rPr>
        <w:rFonts w:ascii="Wingdings" w:hAnsi="Wingdings" w:hint="default"/>
      </w:rPr>
    </w:lvl>
    <w:lvl w:ilvl="6" w:tplc="0C090001">
      <w:start w:val="1"/>
      <w:numFmt w:val="bullet"/>
      <w:lvlText w:val=""/>
      <w:lvlJc w:val="left"/>
      <w:pPr>
        <w:ind w:left="5181" w:hanging="360"/>
      </w:pPr>
      <w:rPr>
        <w:rFonts w:ascii="Symbol" w:hAnsi="Symbol" w:hint="default"/>
      </w:rPr>
    </w:lvl>
    <w:lvl w:ilvl="7" w:tplc="0C090003">
      <w:start w:val="1"/>
      <w:numFmt w:val="bullet"/>
      <w:lvlText w:val="o"/>
      <w:lvlJc w:val="left"/>
      <w:pPr>
        <w:ind w:left="5901" w:hanging="360"/>
      </w:pPr>
      <w:rPr>
        <w:rFonts w:ascii="Courier New" w:hAnsi="Courier New" w:cs="Courier New" w:hint="default"/>
      </w:rPr>
    </w:lvl>
    <w:lvl w:ilvl="8" w:tplc="0C090005">
      <w:start w:val="1"/>
      <w:numFmt w:val="bullet"/>
      <w:lvlText w:val=""/>
      <w:lvlJc w:val="left"/>
      <w:pPr>
        <w:ind w:left="6621" w:hanging="360"/>
      </w:pPr>
      <w:rPr>
        <w:rFonts w:ascii="Wingdings" w:hAnsi="Wingdings" w:hint="default"/>
      </w:rPr>
    </w:lvl>
  </w:abstractNum>
  <w:num w:numId="1">
    <w:abstractNumId w:val="15"/>
    <w:lvlOverride w:ilvl="0">
      <w:lvl w:ilvl="0">
        <w:start w:val="1"/>
        <w:numFmt w:val="bullet"/>
        <w:pStyle w:val="Bullet1"/>
        <w:lvlText w:val=""/>
        <w:lvlJc w:val="left"/>
        <w:pPr>
          <w:ind w:left="284" w:hanging="284"/>
        </w:pPr>
        <w:rPr>
          <w:rFonts w:ascii="Symbol" w:hAnsi="Symbol" w:hint="default"/>
          <w:color w:val="auto"/>
        </w:rPr>
      </w:lvl>
    </w:lvlOverride>
  </w:num>
  <w:num w:numId="2">
    <w:abstractNumId w:val="0"/>
  </w:num>
  <w:num w:numId="3">
    <w:abstractNumId w:val="11"/>
  </w:num>
  <w:num w:numId="4">
    <w:abstractNumId w:val="12"/>
  </w:num>
  <w:num w:numId="5">
    <w:abstractNumId w:val="1"/>
  </w:num>
  <w:num w:numId="6">
    <w:abstractNumId w:val="2"/>
  </w:num>
  <w:num w:numId="7">
    <w:abstractNumId w:val="4"/>
  </w:num>
  <w:num w:numId="8">
    <w:abstractNumId w:val="10"/>
  </w:num>
  <w:num w:numId="9">
    <w:abstractNumId w:val="14"/>
  </w:num>
  <w:num w:numId="10">
    <w:abstractNumId w:val="9"/>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1">
    <w:abstractNumId w:val="5"/>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3"/>
    </w:lvlOverride>
  </w:num>
  <w:num w:numId="15">
    <w:abstractNumId w:val="6"/>
  </w:num>
  <w:num w:numId="16">
    <w:abstractNumId w:val="1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9">
    <w:abstractNumId w:val="6"/>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0">
    <w:abstractNumId w:val="15"/>
    <w:lvlOverride w:ilvl="0">
      <w:lvl w:ilvl="0">
        <w:start w:val="1"/>
        <w:numFmt w:val="bullet"/>
        <w:pStyle w:val="Bullet1"/>
        <w:lvlText w:val=""/>
        <w:lvlJc w:val="left"/>
        <w:pPr>
          <w:ind w:left="284" w:hanging="284"/>
        </w:pPr>
        <w:rPr>
          <w:rFonts w:ascii="Symbol" w:hAnsi="Symbol" w:hint="default"/>
          <w:color w:val="auto"/>
        </w:rPr>
      </w:lvl>
    </w:lvlOverride>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
  </w:num>
  <w:num w:numId="24">
    <w:abstractNumId w:val="8"/>
  </w:num>
  <w:num w:numId="25">
    <w:abstractNumId w:val="15"/>
    <w:lvlOverride w:ilvl="0">
      <w:lvl w:ilvl="0">
        <w:start w:val="1"/>
        <w:numFmt w:val="bullet"/>
        <w:pStyle w:val="Bullet1"/>
        <w:lvlText w:val=""/>
        <w:lvlJc w:val="left"/>
        <w:pPr>
          <w:ind w:left="284" w:hanging="284"/>
        </w:pPr>
        <w:rPr>
          <w:rFonts w:ascii="Symbol" w:hAnsi="Symbol" w:hint="default"/>
          <w:color w:val="auto"/>
        </w:rPr>
      </w:lvl>
    </w:lvlOverride>
  </w:num>
  <w:num w:numId="26">
    <w:abstractNumId w:val="6"/>
    <w:lvlOverride w:ilvl="1">
      <w:lvl w:ilvl="1">
        <w:start w:val="1"/>
        <w:numFmt w:val="decimal"/>
        <w:pStyle w:val="Heading2Numbered"/>
        <w:lvlText w:val="%1.%2"/>
        <w:lvlJc w:val="left"/>
        <w:pPr>
          <w:ind w:left="567" w:hanging="567"/>
        </w:pPr>
        <w:rPr>
          <w:rFonts w:hint="default"/>
        </w:rPr>
      </w:lvl>
    </w:lvlOverride>
  </w:num>
  <w:num w:numId="27">
    <w:abstractNumId w:val="7"/>
  </w:num>
  <w:num w:numId="28">
    <w:abstractNumId w:val="13"/>
  </w:num>
  <w:num w:numId="29">
    <w:abstractNumId w:val="15"/>
    <w:lvlOverride w:ilvl="0">
      <w:startOverride w:val="1"/>
      <w:lvl w:ilvl="0">
        <w:start w:val="1"/>
        <w:numFmt w:val="bullet"/>
        <w:pStyle w:val="Bullet1"/>
        <w:lvlText w:val=""/>
        <w:lvlJc w:val="left"/>
        <w:pPr>
          <w:ind w:left="284" w:hanging="284"/>
        </w:pPr>
        <w:rPr>
          <w:rFonts w:ascii="Symbol" w:hAnsi="Symbol" w:hint="default"/>
          <w:color w:val="auto"/>
        </w:rPr>
      </w:lvl>
    </w:lvlOverride>
    <w:lvlOverride w:ilvl="1">
      <w:lvl w:ilvl="1">
        <w:numFmt w:val="decimal"/>
        <w:pStyle w:val="Bullet2"/>
        <w:lvlText w:val=""/>
        <w:lvlJc w:val="left"/>
      </w:lvl>
    </w:lvlOverride>
    <w:lvlOverride w:ilvl="2">
      <w:lvl w:ilvl="2">
        <w:numFmt w:val="decimal"/>
        <w:pStyle w:val="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15"/>
    <w:lvlOverride w:ilvl="0">
      <w:lvl w:ilvl="0">
        <w:start w:val="1"/>
        <w:numFmt w:val="bullet"/>
        <w:pStyle w:val="Bullet1"/>
        <w:lvlText w:val=""/>
        <w:lvlJc w:val="left"/>
        <w:pPr>
          <w:ind w:left="284" w:hanging="284"/>
        </w:pPr>
        <w:rPr>
          <w:rFonts w:ascii="Symbol" w:hAnsi="Symbol" w:hint="default"/>
          <w:color w:val="auto"/>
        </w:rPr>
      </w:lvl>
    </w:lvlOverride>
  </w:num>
  <w:num w:numId="31">
    <w:abstractNumId w:val="15"/>
    <w:lvlOverride w:ilvl="0">
      <w:lvl w:ilvl="0">
        <w:start w:val="1"/>
        <w:numFmt w:val="bullet"/>
        <w:pStyle w:val="Bullet1"/>
        <w:lvlText w:val=""/>
        <w:lvlJc w:val="left"/>
        <w:pPr>
          <w:ind w:left="284" w:hanging="284"/>
        </w:pPr>
        <w:rPr>
          <w:rFonts w:ascii="Symbol" w:hAnsi="Symbol" w:hint="default"/>
          <w:color w:val="auto"/>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18B"/>
    <w:rsid w:val="000048E2"/>
    <w:rsid w:val="00006F70"/>
    <w:rsid w:val="000123B1"/>
    <w:rsid w:val="00022045"/>
    <w:rsid w:val="00023327"/>
    <w:rsid w:val="0002782F"/>
    <w:rsid w:val="00031305"/>
    <w:rsid w:val="00033AD9"/>
    <w:rsid w:val="0003793B"/>
    <w:rsid w:val="0004099A"/>
    <w:rsid w:val="00041BC3"/>
    <w:rsid w:val="00043B4D"/>
    <w:rsid w:val="00045933"/>
    <w:rsid w:val="00050D65"/>
    <w:rsid w:val="000510F7"/>
    <w:rsid w:val="00053443"/>
    <w:rsid w:val="00054018"/>
    <w:rsid w:val="00054E4D"/>
    <w:rsid w:val="00056305"/>
    <w:rsid w:val="00056D6B"/>
    <w:rsid w:val="00057C54"/>
    <w:rsid w:val="00060073"/>
    <w:rsid w:val="000603C7"/>
    <w:rsid w:val="00061A22"/>
    <w:rsid w:val="00061C32"/>
    <w:rsid w:val="000623A2"/>
    <w:rsid w:val="0006243E"/>
    <w:rsid w:val="00064687"/>
    <w:rsid w:val="00067C5E"/>
    <w:rsid w:val="00070397"/>
    <w:rsid w:val="00070B0B"/>
    <w:rsid w:val="00071EBB"/>
    <w:rsid w:val="00074B2F"/>
    <w:rsid w:val="000829F4"/>
    <w:rsid w:val="000915BC"/>
    <w:rsid w:val="000915F7"/>
    <w:rsid w:val="000920B4"/>
    <w:rsid w:val="00093BC5"/>
    <w:rsid w:val="00096839"/>
    <w:rsid w:val="000969FA"/>
    <w:rsid w:val="000A271A"/>
    <w:rsid w:val="000A4B30"/>
    <w:rsid w:val="000A5247"/>
    <w:rsid w:val="000A6A8B"/>
    <w:rsid w:val="000B0F49"/>
    <w:rsid w:val="000B2A9D"/>
    <w:rsid w:val="000B6ABF"/>
    <w:rsid w:val="000C2A48"/>
    <w:rsid w:val="000C2A8F"/>
    <w:rsid w:val="000C2B7F"/>
    <w:rsid w:val="000C5F75"/>
    <w:rsid w:val="000C6C69"/>
    <w:rsid w:val="000C74F1"/>
    <w:rsid w:val="000C779B"/>
    <w:rsid w:val="000D01A0"/>
    <w:rsid w:val="000D09B5"/>
    <w:rsid w:val="000D60B1"/>
    <w:rsid w:val="000D662C"/>
    <w:rsid w:val="000D6A75"/>
    <w:rsid w:val="000E0E04"/>
    <w:rsid w:val="000E1485"/>
    <w:rsid w:val="000E1AD1"/>
    <w:rsid w:val="000E1D06"/>
    <w:rsid w:val="000E4666"/>
    <w:rsid w:val="000E4CE6"/>
    <w:rsid w:val="000E6ABA"/>
    <w:rsid w:val="000F3482"/>
    <w:rsid w:val="00100BAD"/>
    <w:rsid w:val="00103A95"/>
    <w:rsid w:val="00104AF2"/>
    <w:rsid w:val="00105243"/>
    <w:rsid w:val="0011101F"/>
    <w:rsid w:val="0011195F"/>
    <w:rsid w:val="00112B6A"/>
    <w:rsid w:val="00120A25"/>
    <w:rsid w:val="00123FF7"/>
    <w:rsid w:val="00125876"/>
    <w:rsid w:val="00131C22"/>
    <w:rsid w:val="00135427"/>
    <w:rsid w:val="00136530"/>
    <w:rsid w:val="0014189D"/>
    <w:rsid w:val="001459AB"/>
    <w:rsid w:val="001478A7"/>
    <w:rsid w:val="001541EA"/>
    <w:rsid w:val="00155903"/>
    <w:rsid w:val="00157662"/>
    <w:rsid w:val="001612A4"/>
    <w:rsid w:val="00167C58"/>
    <w:rsid w:val="0017002F"/>
    <w:rsid w:val="00170C6B"/>
    <w:rsid w:val="00173FA3"/>
    <w:rsid w:val="00174EE2"/>
    <w:rsid w:val="001777FE"/>
    <w:rsid w:val="00181073"/>
    <w:rsid w:val="00182438"/>
    <w:rsid w:val="00184BF3"/>
    <w:rsid w:val="00186E42"/>
    <w:rsid w:val="00190579"/>
    <w:rsid w:val="00190651"/>
    <w:rsid w:val="00192CC4"/>
    <w:rsid w:val="00192E36"/>
    <w:rsid w:val="0019527D"/>
    <w:rsid w:val="001A0777"/>
    <w:rsid w:val="001A2E20"/>
    <w:rsid w:val="001B3742"/>
    <w:rsid w:val="001B7579"/>
    <w:rsid w:val="001C022C"/>
    <w:rsid w:val="001C1768"/>
    <w:rsid w:val="001C19E4"/>
    <w:rsid w:val="001C27ED"/>
    <w:rsid w:val="001C3929"/>
    <w:rsid w:val="001C5431"/>
    <w:rsid w:val="001C5BAB"/>
    <w:rsid w:val="001C71EB"/>
    <w:rsid w:val="001D22E7"/>
    <w:rsid w:val="001D2529"/>
    <w:rsid w:val="001D33EB"/>
    <w:rsid w:val="001D7EB4"/>
    <w:rsid w:val="001E18C1"/>
    <w:rsid w:val="001E1DC0"/>
    <w:rsid w:val="001E459D"/>
    <w:rsid w:val="001E69FD"/>
    <w:rsid w:val="001F597D"/>
    <w:rsid w:val="001F5FA1"/>
    <w:rsid w:val="001F6504"/>
    <w:rsid w:val="001F6517"/>
    <w:rsid w:val="00200637"/>
    <w:rsid w:val="0020122A"/>
    <w:rsid w:val="002025E7"/>
    <w:rsid w:val="00217D7B"/>
    <w:rsid w:val="00222E07"/>
    <w:rsid w:val="00230912"/>
    <w:rsid w:val="00232A7C"/>
    <w:rsid w:val="00235C6C"/>
    <w:rsid w:val="00236D9D"/>
    <w:rsid w:val="00241945"/>
    <w:rsid w:val="00243D70"/>
    <w:rsid w:val="00244E37"/>
    <w:rsid w:val="00246382"/>
    <w:rsid w:val="00250AEF"/>
    <w:rsid w:val="0025171C"/>
    <w:rsid w:val="002526BF"/>
    <w:rsid w:val="0025763F"/>
    <w:rsid w:val="00262765"/>
    <w:rsid w:val="00262B5B"/>
    <w:rsid w:val="002631CB"/>
    <w:rsid w:val="00263AD9"/>
    <w:rsid w:val="0026564C"/>
    <w:rsid w:val="00270D19"/>
    <w:rsid w:val="00272313"/>
    <w:rsid w:val="00273547"/>
    <w:rsid w:val="00280A5E"/>
    <w:rsid w:val="0028593C"/>
    <w:rsid w:val="0028602A"/>
    <w:rsid w:val="002919BB"/>
    <w:rsid w:val="002919D7"/>
    <w:rsid w:val="00293123"/>
    <w:rsid w:val="00297FBA"/>
    <w:rsid w:val="002A2026"/>
    <w:rsid w:val="002B048F"/>
    <w:rsid w:val="002B0C2A"/>
    <w:rsid w:val="002B1916"/>
    <w:rsid w:val="002B6792"/>
    <w:rsid w:val="002B73C8"/>
    <w:rsid w:val="002C2526"/>
    <w:rsid w:val="002C7BB1"/>
    <w:rsid w:val="002D38D6"/>
    <w:rsid w:val="002D3FE4"/>
    <w:rsid w:val="002E0A43"/>
    <w:rsid w:val="002E10BE"/>
    <w:rsid w:val="002E2271"/>
    <w:rsid w:val="00301144"/>
    <w:rsid w:val="00302DEE"/>
    <w:rsid w:val="00305665"/>
    <w:rsid w:val="00306F1F"/>
    <w:rsid w:val="00307336"/>
    <w:rsid w:val="003125D0"/>
    <w:rsid w:val="00313B87"/>
    <w:rsid w:val="00313F5B"/>
    <w:rsid w:val="003142DD"/>
    <w:rsid w:val="003148B7"/>
    <w:rsid w:val="00315423"/>
    <w:rsid w:val="003158C3"/>
    <w:rsid w:val="003165AC"/>
    <w:rsid w:val="00320DED"/>
    <w:rsid w:val="003274CD"/>
    <w:rsid w:val="00330B71"/>
    <w:rsid w:val="00332AC3"/>
    <w:rsid w:val="003357B0"/>
    <w:rsid w:val="003366F2"/>
    <w:rsid w:val="00340616"/>
    <w:rsid w:val="0034612A"/>
    <w:rsid w:val="0035119D"/>
    <w:rsid w:val="00351710"/>
    <w:rsid w:val="00351786"/>
    <w:rsid w:val="00351EF1"/>
    <w:rsid w:val="00355D6F"/>
    <w:rsid w:val="00361EAE"/>
    <w:rsid w:val="0036620E"/>
    <w:rsid w:val="0036664E"/>
    <w:rsid w:val="00367A67"/>
    <w:rsid w:val="003717CD"/>
    <w:rsid w:val="00376B7C"/>
    <w:rsid w:val="00382625"/>
    <w:rsid w:val="00385A86"/>
    <w:rsid w:val="0039591A"/>
    <w:rsid w:val="00396BB6"/>
    <w:rsid w:val="00396FF1"/>
    <w:rsid w:val="003A1CC0"/>
    <w:rsid w:val="003A216B"/>
    <w:rsid w:val="003A2662"/>
    <w:rsid w:val="003A331D"/>
    <w:rsid w:val="003A4403"/>
    <w:rsid w:val="003A6C28"/>
    <w:rsid w:val="003A71C5"/>
    <w:rsid w:val="003A739E"/>
    <w:rsid w:val="003B055C"/>
    <w:rsid w:val="003B4C5C"/>
    <w:rsid w:val="003B4F12"/>
    <w:rsid w:val="003B512C"/>
    <w:rsid w:val="003D016A"/>
    <w:rsid w:val="003D0DB2"/>
    <w:rsid w:val="003D1805"/>
    <w:rsid w:val="003D20DC"/>
    <w:rsid w:val="003D2C02"/>
    <w:rsid w:val="003D7AF4"/>
    <w:rsid w:val="003E1C9F"/>
    <w:rsid w:val="003E5B97"/>
    <w:rsid w:val="003E60A5"/>
    <w:rsid w:val="003E6B2C"/>
    <w:rsid w:val="003F03BE"/>
    <w:rsid w:val="003F2970"/>
    <w:rsid w:val="003F3468"/>
    <w:rsid w:val="003F46DD"/>
    <w:rsid w:val="003F6C38"/>
    <w:rsid w:val="004003E2"/>
    <w:rsid w:val="00405EE5"/>
    <w:rsid w:val="0041108C"/>
    <w:rsid w:val="004205E0"/>
    <w:rsid w:val="00423350"/>
    <w:rsid w:val="00423F31"/>
    <w:rsid w:val="00427B38"/>
    <w:rsid w:val="004303F5"/>
    <w:rsid w:val="00431203"/>
    <w:rsid w:val="00431899"/>
    <w:rsid w:val="00433A1C"/>
    <w:rsid w:val="00433C93"/>
    <w:rsid w:val="004343C1"/>
    <w:rsid w:val="00437F2E"/>
    <w:rsid w:val="004429ED"/>
    <w:rsid w:val="004475DB"/>
    <w:rsid w:val="00450234"/>
    <w:rsid w:val="0045139A"/>
    <w:rsid w:val="0045293E"/>
    <w:rsid w:val="004574E6"/>
    <w:rsid w:val="00466D34"/>
    <w:rsid w:val="0046745D"/>
    <w:rsid w:val="004679E7"/>
    <w:rsid w:val="00475BB1"/>
    <w:rsid w:val="004776E8"/>
    <w:rsid w:val="004804A8"/>
    <w:rsid w:val="00486804"/>
    <w:rsid w:val="00491C6B"/>
    <w:rsid w:val="00493FC9"/>
    <w:rsid w:val="004A06F8"/>
    <w:rsid w:val="004A475A"/>
    <w:rsid w:val="004A72C9"/>
    <w:rsid w:val="004B3775"/>
    <w:rsid w:val="004B53C4"/>
    <w:rsid w:val="004B56A8"/>
    <w:rsid w:val="004B5742"/>
    <w:rsid w:val="004C22D7"/>
    <w:rsid w:val="004C27DB"/>
    <w:rsid w:val="004C2A06"/>
    <w:rsid w:val="004C47AC"/>
    <w:rsid w:val="004C68FC"/>
    <w:rsid w:val="004C6EDC"/>
    <w:rsid w:val="004E058F"/>
    <w:rsid w:val="004E3B87"/>
    <w:rsid w:val="004E408F"/>
    <w:rsid w:val="004E418F"/>
    <w:rsid w:val="004E5734"/>
    <w:rsid w:val="004E71AF"/>
    <w:rsid w:val="004F50D1"/>
    <w:rsid w:val="004F6159"/>
    <w:rsid w:val="005005FE"/>
    <w:rsid w:val="00503518"/>
    <w:rsid w:val="005057E5"/>
    <w:rsid w:val="00510921"/>
    <w:rsid w:val="005109D5"/>
    <w:rsid w:val="00510AD3"/>
    <w:rsid w:val="005110D3"/>
    <w:rsid w:val="00511DD6"/>
    <w:rsid w:val="00513348"/>
    <w:rsid w:val="00514857"/>
    <w:rsid w:val="0051570D"/>
    <w:rsid w:val="00516F31"/>
    <w:rsid w:val="00521A5F"/>
    <w:rsid w:val="00523E3A"/>
    <w:rsid w:val="005321C0"/>
    <w:rsid w:val="00533B5D"/>
    <w:rsid w:val="00533BCE"/>
    <w:rsid w:val="0054078D"/>
    <w:rsid w:val="0055249E"/>
    <w:rsid w:val="00552849"/>
    <w:rsid w:val="00554142"/>
    <w:rsid w:val="00555555"/>
    <w:rsid w:val="005570E8"/>
    <w:rsid w:val="00560903"/>
    <w:rsid w:val="00565B54"/>
    <w:rsid w:val="005660B6"/>
    <w:rsid w:val="00566242"/>
    <w:rsid w:val="00567DFE"/>
    <w:rsid w:val="00570EBC"/>
    <w:rsid w:val="00576C34"/>
    <w:rsid w:val="005843EB"/>
    <w:rsid w:val="0058588C"/>
    <w:rsid w:val="00592EB3"/>
    <w:rsid w:val="00596635"/>
    <w:rsid w:val="005970EA"/>
    <w:rsid w:val="005975BC"/>
    <w:rsid w:val="005A35F8"/>
    <w:rsid w:val="005A41E0"/>
    <w:rsid w:val="005A6BEE"/>
    <w:rsid w:val="005B352D"/>
    <w:rsid w:val="005C0775"/>
    <w:rsid w:val="005C2DF9"/>
    <w:rsid w:val="005C37F0"/>
    <w:rsid w:val="005C3C81"/>
    <w:rsid w:val="005D00E1"/>
    <w:rsid w:val="005D106F"/>
    <w:rsid w:val="005D14BE"/>
    <w:rsid w:val="005D2D36"/>
    <w:rsid w:val="005D4D31"/>
    <w:rsid w:val="005E0682"/>
    <w:rsid w:val="005E5E56"/>
    <w:rsid w:val="005F3DAD"/>
    <w:rsid w:val="005F3DD0"/>
    <w:rsid w:val="005F65A5"/>
    <w:rsid w:val="00601E84"/>
    <w:rsid w:val="0060650D"/>
    <w:rsid w:val="006105CF"/>
    <w:rsid w:val="00617882"/>
    <w:rsid w:val="0062012E"/>
    <w:rsid w:val="00620B3F"/>
    <w:rsid w:val="00623BA1"/>
    <w:rsid w:val="006330A1"/>
    <w:rsid w:val="006338CC"/>
    <w:rsid w:val="006346BC"/>
    <w:rsid w:val="006417DE"/>
    <w:rsid w:val="00641B9E"/>
    <w:rsid w:val="00643E09"/>
    <w:rsid w:val="00647D91"/>
    <w:rsid w:val="00650146"/>
    <w:rsid w:val="006539C9"/>
    <w:rsid w:val="00654625"/>
    <w:rsid w:val="00661C4A"/>
    <w:rsid w:val="00661D10"/>
    <w:rsid w:val="00664CEA"/>
    <w:rsid w:val="00665038"/>
    <w:rsid w:val="00666291"/>
    <w:rsid w:val="0066652A"/>
    <w:rsid w:val="00671AE0"/>
    <w:rsid w:val="00674C55"/>
    <w:rsid w:val="00674CD5"/>
    <w:rsid w:val="00681C88"/>
    <w:rsid w:val="00682167"/>
    <w:rsid w:val="00685ACF"/>
    <w:rsid w:val="00687BAA"/>
    <w:rsid w:val="006913FB"/>
    <w:rsid w:val="00694DF9"/>
    <w:rsid w:val="006A31BC"/>
    <w:rsid w:val="006B11FB"/>
    <w:rsid w:val="006B251C"/>
    <w:rsid w:val="006B32B8"/>
    <w:rsid w:val="006B5D03"/>
    <w:rsid w:val="006B78E0"/>
    <w:rsid w:val="006C3385"/>
    <w:rsid w:val="006C42AF"/>
    <w:rsid w:val="006C4DD1"/>
    <w:rsid w:val="006C6E91"/>
    <w:rsid w:val="006D0068"/>
    <w:rsid w:val="006D09F8"/>
    <w:rsid w:val="006D4720"/>
    <w:rsid w:val="006D6A71"/>
    <w:rsid w:val="006E236A"/>
    <w:rsid w:val="006E3570"/>
    <w:rsid w:val="006E4A5C"/>
    <w:rsid w:val="0070162F"/>
    <w:rsid w:val="00704535"/>
    <w:rsid w:val="0070523D"/>
    <w:rsid w:val="00707812"/>
    <w:rsid w:val="007119DE"/>
    <w:rsid w:val="00711D6F"/>
    <w:rsid w:val="00711D8E"/>
    <w:rsid w:val="00712672"/>
    <w:rsid w:val="007138D6"/>
    <w:rsid w:val="00715A53"/>
    <w:rsid w:val="00726710"/>
    <w:rsid w:val="007310EF"/>
    <w:rsid w:val="00732F71"/>
    <w:rsid w:val="00734E3F"/>
    <w:rsid w:val="00736985"/>
    <w:rsid w:val="00737A13"/>
    <w:rsid w:val="00737C4A"/>
    <w:rsid w:val="00744F12"/>
    <w:rsid w:val="00745EE7"/>
    <w:rsid w:val="00747536"/>
    <w:rsid w:val="00750616"/>
    <w:rsid w:val="00751CD3"/>
    <w:rsid w:val="007531C3"/>
    <w:rsid w:val="00765846"/>
    <w:rsid w:val="00770FD4"/>
    <w:rsid w:val="007715B8"/>
    <w:rsid w:val="00771BA6"/>
    <w:rsid w:val="007731DF"/>
    <w:rsid w:val="00783BA2"/>
    <w:rsid w:val="0078523D"/>
    <w:rsid w:val="00786135"/>
    <w:rsid w:val="00794773"/>
    <w:rsid w:val="007A0CD6"/>
    <w:rsid w:val="007A25F0"/>
    <w:rsid w:val="007A7DAE"/>
    <w:rsid w:val="007B1A1A"/>
    <w:rsid w:val="007B30CE"/>
    <w:rsid w:val="007B4C1D"/>
    <w:rsid w:val="007B6200"/>
    <w:rsid w:val="007C24EA"/>
    <w:rsid w:val="007C6E0F"/>
    <w:rsid w:val="007D0980"/>
    <w:rsid w:val="007D1C9C"/>
    <w:rsid w:val="007D6319"/>
    <w:rsid w:val="007D725C"/>
    <w:rsid w:val="007D7447"/>
    <w:rsid w:val="007E5775"/>
    <w:rsid w:val="007E58A6"/>
    <w:rsid w:val="007F0A18"/>
    <w:rsid w:val="007F1A93"/>
    <w:rsid w:val="007F383D"/>
    <w:rsid w:val="007F4F8B"/>
    <w:rsid w:val="007F5F85"/>
    <w:rsid w:val="00801B9F"/>
    <w:rsid w:val="00801F3C"/>
    <w:rsid w:val="00803A79"/>
    <w:rsid w:val="008061D7"/>
    <w:rsid w:val="00807DBE"/>
    <w:rsid w:val="0081388D"/>
    <w:rsid w:val="0082082E"/>
    <w:rsid w:val="00821F0D"/>
    <w:rsid w:val="00822A9C"/>
    <w:rsid w:val="0082468B"/>
    <w:rsid w:val="00824CEA"/>
    <w:rsid w:val="00831521"/>
    <w:rsid w:val="00840760"/>
    <w:rsid w:val="00841BF0"/>
    <w:rsid w:val="00846AE6"/>
    <w:rsid w:val="008472D9"/>
    <w:rsid w:val="00847C4A"/>
    <w:rsid w:val="00861260"/>
    <w:rsid w:val="008626F4"/>
    <w:rsid w:val="00864908"/>
    <w:rsid w:val="00875A16"/>
    <w:rsid w:val="00876CDB"/>
    <w:rsid w:val="00880B3F"/>
    <w:rsid w:val="008834B3"/>
    <w:rsid w:val="00883D18"/>
    <w:rsid w:val="008873D4"/>
    <w:rsid w:val="00890646"/>
    <w:rsid w:val="008927F0"/>
    <w:rsid w:val="00892C8B"/>
    <w:rsid w:val="008947F2"/>
    <w:rsid w:val="0089786A"/>
    <w:rsid w:val="008A1276"/>
    <w:rsid w:val="008B62C7"/>
    <w:rsid w:val="008B7487"/>
    <w:rsid w:val="008B785E"/>
    <w:rsid w:val="008C3F33"/>
    <w:rsid w:val="008D3BFC"/>
    <w:rsid w:val="008D4A99"/>
    <w:rsid w:val="008D6B02"/>
    <w:rsid w:val="008D718C"/>
    <w:rsid w:val="008E2331"/>
    <w:rsid w:val="008E3CBB"/>
    <w:rsid w:val="008E754C"/>
    <w:rsid w:val="008E761C"/>
    <w:rsid w:val="008F1942"/>
    <w:rsid w:val="008F4C2E"/>
    <w:rsid w:val="009000B0"/>
    <w:rsid w:val="0090794D"/>
    <w:rsid w:val="00907A81"/>
    <w:rsid w:val="00907D39"/>
    <w:rsid w:val="00911AC6"/>
    <w:rsid w:val="0091452D"/>
    <w:rsid w:val="00920633"/>
    <w:rsid w:val="0092576C"/>
    <w:rsid w:val="00925ECE"/>
    <w:rsid w:val="0092699E"/>
    <w:rsid w:val="00934587"/>
    <w:rsid w:val="0093505F"/>
    <w:rsid w:val="00940F40"/>
    <w:rsid w:val="00940F88"/>
    <w:rsid w:val="00943028"/>
    <w:rsid w:val="00950336"/>
    <w:rsid w:val="009525F4"/>
    <w:rsid w:val="00953AEC"/>
    <w:rsid w:val="00954ABA"/>
    <w:rsid w:val="00957D11"/>
    <w:rsid w:val="009624D8"/>
    <w:rsid w:val="009625B7"/>
    <w:rsid w:val="00963B07"/>
    <w:rsid w:val="00965D80"/>
    <w:rsid w:val="00966462"/>
    <w:rsid w:val="0096666A"/>
    <w:rsid w:val="00970D02"/>
    <w:rsid w:val="00971FF6"/>
    <w:rsid w:val="00981D3F"/>
    <w:rsid w:val="00984B3C"/>
    <w:rsid w:val="00987D69"/>
    <w:rsid w:val="0099502B"/>
    <w:rsid w:val="009A05FF"/>
    <w:rsid w:val="009A2DA7"/>
    <w:rsid w:val="009A349A"/>
    <w:rsid w:val="009B3569"/>
    <w:rsid w:val="009B4D3B"/>
    <w:rsid w:val="009B50D4"/>
    <w:rsid w:val="009C4265"/>
    <w:rsid w:val="009D7407"/>
    <w:rsid w:val="009E0866"/>
    <w:rsid w:val="009E676B"/>
    <w:rsid w:val="009F21A6"/>
    <w:rsid w:val="009F2B99"/>
    <w:rsid w:val="00A01AB3"/>
    <w:rsid w:val="00A07187"/>
    <w:rsid w:val="00A07C58"/>
    <w:rsid w:val="00A11749"/>
    <w:rsid w:val="00A13B6D"/>
    <w:rsid w:val="00A16B2E"/>
    <w:rsid w:val="00A20E8E"/>
    <w:rsid w:val="00A22DDB"/>
    <w:rsid w:val="00A24A62"/>
    <w:rsid w:val="00A256BF"/>
    <w:rsid w:val="00A275FD"/>
    <w:rsid w:val="00A31C9F"/>
    <w:rsid w:val="00A35597"/>
    <w:rsid w:val="00A35BEB"/>
    <w:rsid w:val="00A35DDC"/>
    <w:rsid w:val="00A37CC2"/>
    <w:rsid w:val="00A40701"/>
    <w:rsid w:val="00A45452"/>
    <w:rsid w:val="00A45B5A"/>
    <w:rsid w:val="00A45D97"/>
    <w:rsid w:val="00A50C64"/>
    <w:rsid w:val="00A510EA"/>
    <w:rsid w:val="00A632E3"/>
    <w:rsid w:val="00A6501E"/>
    <w:rsid w:val="00A6573C"/>
    <w:rsid w:val="00A668C8"/>
    <w:rsid w:val="00A66BC3"/>
    <w:rsid w:val="00A67CA5"/>
    <w:rsid w:val="00A74691"/>
    <w:rsid w:val="00A75639"/>
    <w:rsid w:val="00A75BF8"/>
    <w:rsid w:val="00A76BDC"/>
    <w:rsid w:val="00A76CCC"/>
    <w:rsid w:val="00A76EC7"/>
    <w:rsid w:val="00A8089C"/>
    <w:rsid w:val="00A86EDA"/>
    <w:rsid w:val="00A90073"/>
    <w:rsid w:val="00A9018A"/>
    <w:rsid w:val="00A90B0E"/>
    <w:rsid w:val="00A90EFA"/>
    <w:rsid w:val="00A916BA"/>
    <w:rsid w:val="00A92A2E"/>
    <w:rsid w:val="00A95134"/>
    <w:rsid w:val="00A9798A"/>
    <w:rsid w:val="00A97C9C"/>
    <w:rsid w:val="00A97E00"/>
    <w:rsid w:val="00AB19CF"/>
    <w:rsid w:val="00AB2F67"/>
    <w:rsid w:val="00AC164A"/>
    <w:rsid w:val="00AC34CB"/>
    <w:rsid w:val="00AC41B4"/>
    <w:rsid w:val="00AD16EC"/>
    <w:rsid w:val="00AD2EB2"/>
    <w:rsid w:val="00AD69E1"/>
    <w:rsid w:val="00AE443F"/>
    <w:rsid w:val="00AE5A5C"/>
    <w:rsid w:val="00AE7FFD"/>
    <w:rsid w:val="00AF2050"/>
    <w:rsid w:val="00AF23B9"/>
    <w:rsid w:val="00B00455"/>
    <w:rsid w:val="00B103FE"/>
    <w:rsid w:val="00B136A1"/>
    <w:rsid w:val="00B16BE7"/>
    <w:rsid w:val="00B233A5"/>
    <w:rsid w:val="00B26633"/>
    <w:rsid w:val="00B27953"/>
    <w:rsid w:val="00B27A14"/>
    <w:rsid w:val="00B30174"/>
    <w:rsid w:val="00B328B0"/>
    <w:rsid w:val="00B3578C"/>
    <w:rsid w:val="00B359E3"/>
    <w:rsid w:val="00B36D4C"/>
    <w:rsid w:val="00B37633"/>
    <w:rsid w:val="00B4202A"/>
    <w:rsid w:val="00B424E7"/>
    <w:rsid w:val="00B46276"/>
    <w:rsid w:val="00B47330"/>
    <w:rsid w:val="00B5111F"/>
    <w:rsid w:val="00B56025"/>
    <w:rsid w:val="00B56042"/>
    <w:rsid w:val="00B56FC7"/>
    <w:rsid w:val="00B6031E"/>
    <w:rsid w:val="00B611E5"/>
    <w:rsid w:val="00B6495A"/>
    <w:rsid w:val="00B6687E"/>
    <w:rsid w:val="00B73EBB"/>
    <w:rsid w:val="00B7667E"/>
    <w:rsid w:val="00B77B1C"/>
    <w:rsid w:val="00B813A0"/>
    <w:rsid w:val="00B82540"/>
    <w:rsid w:val="00B82CE5"/>
    <w:rsid w:val="00B90A32"/>
    <w:rsid w:val="00B928AB"/>
    <w:rsid w:val="00B93AE9"/>
    <w:rsid w:val="00B95F0E"/>
    <w:rsid w:val="00BA1017"/>
    <w:rsid w:val="00BA2E8C"/>
    <w:rsid w:val="00BA6474"/>
    <w:rsid w:val="00BB02EE"/>
    <w:rsid w:val="00BB26C5"/>
    <w:rsid w:val="00BB45B9"/>
    <w:rsid w:val="00BB5CF6"/>
    <w:rsid w:val="00BB62F4"/>
    <w:rsid w:val="00BB7BA0"/>
    <w:rsid w:val="00BC0C62"/>
    <w:rsid w:val="00BC29E7"/>
    <w:rsid w:val="00BD0A19"/>
    <w:rsid w:val="00BD1DD2"/>
    <w:rsid w:val="00BD6936"/>
    <w:rsid w:val="00BD70D0"/>
    <w:rsid w:val="00BE0F17"/>
    <w:rsid w:val="00BE2411"/>
    <w:rsid w:val="00BE263C"/>
    <w:rsid w:val="00BE78B1"/>
    <w:rsid w:val="00BE7B81"/>
    <w:rsid w:val="00BF11B1"/>
    <w:rsid w:val="00BF18F9"/>
    <w:rsid w:val="00BF4DE6"/>
    <w:rsid w:val="00BF67FB"/>
    <w:rsid w:val="00C04637"/>
    <w:rsid w:val="00C054A1"/>
    <w:rsid w:val="00C10A41"/>
    <w:rsid w:val="00C13514"/>
    <w:rsid w:val="00C16602"/>
    <w:rsid w:val="00C25A62"/>
    <w:rsid w:val="00C26150"/>
    <w:rsid w:val="00C309EB"/>
    <w:rsid w:val="00C32118"/>
    <w:rsid w:val="00C365B9"/>
    <w:rsid w:val="00C40D53"/>
    <w:rsid w:val="00C41104"/>
    <w:rsid w:val="00C41D2A"/>
    <w:rsid w:val="00C42CDE"/>
    <w:rsid w:val="00C4352D"/>
    <w:rsid w:val="00C43B89"/>
    <w:rsid w:val="00C50ADB"/>
    <w:rsid w:val="00C515B6"/>
    <w:rsid w:val="00C51822"/>
    <w:rsid w:val="00C53C6B"/>
    <w:rsid w:val="00C579FB"/>
    <w:rsid w:val="00C63EA1"/>
    <w:rsid w:val="00C6510B"/>
    <w:rsid w:val="00C70140"/>
    <w:rsid w:val="00C70C9C"/>
    <w:rsid w:val="00C82FE4"/>
    <w:rsid w:val="00C8316D"/>
    <w:rsid w:val="00C836BC"/>
    <w:rsid w:val="00C8684A"/>
    <w:rsid w:val="00C935F5"/>
    <w:rsid w:val="00C966CD"/>
    <w:rsid w:val="00CA2C4F"/>
    <w:rsid w:val="00CA37B1"/>
    <w:rsid w:val="00CA6E22"/>
    <w:rsid w:val="00CB1959"/>
    <w:rsid w:val="00CB1CAB"/>
    <w:rsid w:val="00CB304D"/>
    <w:rsid w:val="00CB3B55"/>
    <w:rsid w:val="00CC26A1"/>
    <w:rsid w:val="00CC2AA4"/>
    <w:rsid w:val="00CE1DB2"/>
    <w:rsid w:val="00CE251D"/>
    <w:rsid w:val="00CE71D8"/>
    <w:rsid w:val="00CF0CF0"/>
    <w:rsid w:val="00CF17A8"/>
    <w:rsid w:val="00CF3DF7"/>
    <w:rsid w:val="00CF49AB"/>
    <w:rsid w:val="00D0296C"/>
    <w:rsid w:val="00D03B5D"/>
    <w:rsid w:val="00D14978"/>
    <w:rsid w:val="00D163A5"/>
    <w:rsid w:val="00D2282B"/>
    <w:rsid w:val="00D22869"/>
    <w:rsid w:val="00D268E6"/>
    <w:rsid w:val="00D3569B"/>
    <w:rsid w:val="00D41DEF"/>
    <w:rsid w:val="00D46D82"/>
    <w:rsid w:val="00D55622"/>
    <w:rsid w:val="00D5621C"/>
    <w:rsid w:val="00D56877"/>
    <w:rsid w:val="00D61A2F"/>
    <w:rsid w:val="00D629AA"/>
    <w:rsid w:val="00D724BA"/>
    <w:rsid w:val="00D73B0F"/>
    <w:rsid w:val="00D80C44"/>
    <w:rsid w:val="00D905B2"/>
    <w:rsid w:val="00D940EF"/>
    <w:rsid w:val="00D96026"/>
    <w:rsid w:val="00DA25DA"/>
    <w:rsid w:val="00DB0937"/>
    <w:rsid w:val="00DB2569"/>
    <w:rsid w:val="00DB3432"/>
    <w:rsid w:val="00DB5D1B"/>
    <w:rsid w:val="00DB6D69"/>
    <w:rsid w:val="00DB7272"/>
    <w:rsid w:val="00DB75BC"/>
    <w:rsid w:val="00DC0C92"/>
    <w:rsid w:val="00DC1682"/>
    <w:rsid w:val="00DC317A"/>
    <w:rsid w:val="00DC322C"/>
    <w:rsid w:val="00DC430B"/>
    <w:rsid w:val="00DD52C8"/>
    <w:rsid w:val="00DD7B6D"/>
    <w:rsid w:val="00DE27D8"/>
    <w:rsid w:val="00DE3434"/>
    <w:rsid w:val="00DE3E90"/>
    <w:rsid w:val="00DE4DB7"/>
    <w:rsid w:val="00DE4ED4"/>
    <w:rsid w:val="00DE6E8E"/>
    <w:rsid w:val="00DF25F7"/>
    <w:rsid w:val="00DF400A"/>
    <w:rsid w:val="00E00F0B"/>
    <w:rsid w:val="00E03AD4"/>
    <w:rsid w:val="00E0430A"/>
    <w:rsid w:val="00E17504"/>
    <w:rsid w:val="00E2221D"/>
    <w:rsid w:val="00E22ED6"/>
    <w:rsid w:val="00E255D2"/>
    <w:rsid w:val="00E25A2B"/>
    <w:rsid w:val="00E31FD9"/>
    <w:rsid w:val="00E32C34"/>
    <w:rsid w:val="00E357B7"/>
    <w:rsid w:val="00E3624C"/>
    <w:rsid w:val="00E378DB"/>
    <w:rsid w:val="00E37A5A"/>
    <w:rsid w:val="00E40F4B"/>
    <w:rsid w:val="00E44E21"/>
    <w:rsid w:val="00E472B4"/>
    <w:rsid w:val="00E53800"/>
    <w:rsid w:val="00E5523A"/>
    <w:rsid w:val="00E55F9C"/>
    <w:rsid w:val="00E57F1B"/>
    <w:rsid w:val="00E6081F"/>
    <w:rsid w:val="00E60953"/>
    <w:rsid w:val="00E62B98"/>
    <w:rsid w:val="00E66662"/>
    <w:rsid w:val="00E67035"/>
    <w:rsid w:val="00E67423"/>
    <w:rsid w:val="00E67963"/>
    <w:rsid w:val="00E71B07"/>
    <w:rsid w:val="00E734E6"/>
    <w:rsid w:val="00E74A9A"/>
    <w:rsid w:val="00E7779C"/>
    <w:rsid w:val="00E931B2"/>
    <w:rsid w:val="00E95846"/>
    <w:rsid w:val="00E963D2"/>
    <w:rsid w:val="00E96706"/>
    <w:rsid w:val="00EA04B2"/>
    <w:rsid w:val="00EA20F3"/>
    <w:rsid w:val="00EA3B0E"/>
    <w:rsid w:val="00EA4635"/>
    <w:rsid w:val="00EA6832"/>
    <w:rsid w:val="00EA698D"/>
    <w:rsid w:val="00EA75C1"/>
    <w:rsid w:val="00EB04D7"/>
    <w:rsid w:val="00EB4889"/>
    <w:rsid w:val="00ED43D1"/>
    <w:rsid w:val="00ED44FE"/>
    <w:rsid w:val="00EE2B1C"/>
    <w:rsid w:val="00EE3F8B"/>
    <w:rsid w:val="00EE4EE1"/>
    <w:rsid w:val="00EE7E77"/>
    <w:rsid w:val="00EF202A"/>
    <w:rsid w:val="00EF4574"/>
    <w:rsid w:val="00EF4D29"/>
    <w:rsid w:val="00EF68E6"/>
    <w:rsid w:val="00EF7B34"/>
    <w:rsid w:val="00F00CFE"/>
    <w:rsid w:val="00F02477"/>
    <w:rsid w:val="00F02FFA"/>
    <w:rsid w:val="00F06AA4"/>
    <w:rsid w:val="00F07425"/>
    <w:rsid w:val="00F116FB"/>
    <w:rsid w:val="00F159B0"/>
    <w:rsid w:val="00F16EBD"/>
    <w:rsid w:val="00F20B12"/>
    <w:rsid w:val="00F22D56"/>
    <w:rsid w:val="00F24D8D"/>
    <w:rsid w:val="00F2684E"/>
    <w:rsid w:val="00F30D84"/>
    <w:rsid w:val="00F36F1F"/>
    <w:rsid w:val="00F43EFC"/>
    <w:rsid w:val="00F500DB"/>
    <w:rsid w:val="00F5019A"/>
    <w:rsid w:val="00F55801"/>
    <w:rsid w:val="00F57D77"/>
    <w:rsid w:val="00F61589"/>
    <w:rsid w:val="00F62CB7"/>
    <w:rsid w:val="00F65237"/>
    <w:rsid w:val="00F66431"/>
    <w:rsid w:val="00F66A05"/>
    <w:rsid w:val="00F729EF"/>
    <w:rsid w:val="00F73462"/>
    <w:rsid w:val="00F77CAE"/>
    <w:rsid w:val="00F86961"/>
    <w:rsid w:val="00F96BB9"/>
    <w:rsid w:val="00F96E58"/>
    <w:rsid w:val="00F97C24"/>
    <w:rsid w:val="00FA2AC3"/>
    <w:rsid w:val="00FA50C6"/>
    <w:rsid w:val="00FB2ACC"/>
    <w:rsid w:val="00FB44AA"/>
    <w:rsid w:val="00FB613C"/>
    <w:rsid w:val="00FC4D7E"/>
    <w:rsid w:val="00FC69B0"/>
    <w:rsid w:val="00FD04C9"/>
    <w:rsid w:val="00FD1735"/>
    <w:rsid w:val="00FD416B"/>
    <w:rsid w:val="00FD4B02"/>
    <w:rsid w:val="00FD4C25"/>
    <w:rsid w:val="00FD789E"/>
    <w:rsid w:val="00FE3B5E"/>
    <w:rsid w:val="00FE6B79"/>
    <w:rsid w:val="00FE6D51"/>
    <w:rsid w:val="00FE7AE6"/>
    <w:rsid w:val="00FF2976"/>
    <w:rsid w:val="00FF507B"/>
    <w:rsid w:val="00FF7D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19"/>
      </w:numPr>
    </w:pPr>
  </w:style>
  <w:style w:type="paragraph" w:customStyle="1" w:styleId="Heading2Numbered">
    <w:name w:val="Heading 2 Numbered"/>
    <w:basedOn w:val="Heading2"/>
    <w:next w:val="Normal"/>
    <w:qFormat/>
    <w:rsid w:val="00D46D82"/>
    <w:pPr>
      <w:numPr>
        <w:ilvl w:val="1"/>
        <w:numId w:val="19"/>
      </w:numPr>
      <w:ind w:left="567"/>
    </w:pPr>
    <w:rPr>
      <w:bCs/>
    </w:rPr>
  </w:style>
  <w:style w:type="paragraph" w:customStyle="1" w:styleId="Heading3Numbered">
    <w:name w:val="Heading 3 Numbered"/>
    <w:basedOn w:val="Heading3"/>
    <w:next w:val="Normal"/>
    <w:qFormat/>
    <w:rsid w:val="001D7EB4"/>
    <w:pPr>
      <w:numPr>
        <w:ilvl w:val="2"/>
        <w:numId w:val="19"/>
      </w:numPr>
    </w:pPr>
    <w:rPr>
      <w:szCs w:val="22"/>
    </w:rPr>
  </w:style>
  <w:style w:type="numbering" w:customStyle="1" w:styleId="BulletsList">
    <w:name w:val="Bullets List"/>
    <w:uiPriority w:val="99"/>
    <w:rsid w:val="00F2684E"/>
    <w:pPr>
      <w:numPr>
        <w:numId w:val="16"/>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6105CF"/>
    <w:pPr>
      <w:tabs>
        <w:tab w:val="left" w:pos="1134"/>
        <w:tab w:val="right" w:pos="9072"/>
      </w:tabs>
      <w:spacing w:before="60"/>
      <w:ind w:left="680"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6"/>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5"/>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7"/>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8"/>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9"/>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1"/>
      </w:numPr>
    </w:pPr>
  </w:style>
  <w:style w:type="paragraph" w:customStyle="1" w:styleId="Bullets2ndindent">
    <w:name w:val="Bullets (2nd indent)"/>
    <w:basedOn w:val="BodyText1"/>
    <w:rsid w:val="00340616"/>
    <w:pPr>
      <w:numPr>
        <w:ilvl w:val="1"/>
        <w:numId w:val="11"/>
      </w:numPr>
    </w:pPr>
  </w:style>
  <w:style w:type="numbering" w:customStyle="1" w:styleId="Bullets">
    <w:name w:val="Bullets"/>
    <w:basedOn w:val="NoList"/>
    <w:uiPriority w:val="99"/>
    <w:rsid w:val="00340616"/>
    <w:pPr>
      <w:numPr>
        <w:numId w:val="11"/>
      </w:numPr>
    </w:pPr>
  </w:style>
  <w:style w:type="paragraph" w:customStyle="1" w:styleId="Figuretitle">
    <w:name w:val="Figure title"/>
    <w:basedOn w:val="Heading2"/>
    <w:next w:val="BodyText1"/>
    <w:rsid w:val="00340616"/>
    <w:pPr>
      <w:keepNext w:val="0"/>
      <w:keepLines w:val="0"/>
      <w:numPr>
        <w:ilvl w:val="6"/>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1"/>
      </w:numPr>
    </w:pPr>
  </w:style>
  <w:style w:type="numbering" w:customStyle="1" w:styleId="Numbers">
    <w:name w:val="Numbers"/>
    <w:basedOn w:val="NoList"/>
    <w:rsid w:val="00340616"/>
    <w:pPr>
      <w:numPr>
        <w:numId w:val="12"/>
      </w:numPr>
    </w:pPr>
  </w:style>
  <w:style w:type="paragraph" w:customStyle="1" w:styleId="Bulletslast2ndindent">
    <w:name w:val="Bullets last (2nd indent)"/>
    <w:basedOn w:val="BodyText1"/>
    <w:rsid w:val="00340616"/>
    <w:pPr>
      <w:numPr>
        <w:ilvl w:val="3"/>
        <w:numId w:val="11"/>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1"/>
      </w:numPr>
    </w:pPr>
  </w:style>
  <w:style w:type="paragraph" w:customStyle="1" w:styleId="Tablebullets1stindent">
    <w:name w:val="Table bullets (1st indent)"/>
    <w:basedOn w:val="Tablebodytext"/>
    <w:qFormat/>
    <w:rsid w:val="00340616"/>
    <w:pPr>
      <w:numPr>
        <w:ilvl w:val="5"/>
        <w:numId w:val="11"/>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0"/>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0"/>
      </w:numPr>
    </w:pPr>
  </w:style>
  <w:style w:type="paragraph" w:customStyle="1" w:styleId="Numberedpara2ndindent">
    <w:name w:val="Numbered para (2nd indent)"/>
    <w:basedOn w:val="BodyText1"/>
    <w:rsid w:val="00340616"/>
    <w:pPr>
      <w:numPr>
        <w:ilvl w:val="4"/>
        <w:numId w:val="10"/>
      </w:numPr>
    </w:pPr>
  </w:style>
  <w:style w:type="paragraph" w:customStyle="1" w:styleId="Numberedpara3rdindent">
    <w:name w:val="Numbered para (3rd indent)"/>
    <w:basedOn w:val="BodyText1"/>
    <w:rsid w:val="00340616"/>
    <w:pPr>
      <w:numPr>
        <w:ilvl w:val="5"/>
        <w:numId w:val="10"/>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styleId="NormalWeb">
    <w:name w:val="Normal (Web)"/>
    <w:basedOn w:val="Normal"/>
    <w:uiPriority w:val="99"/>
    <w:semiHidden/>
    <w:unhideWhenUsed/>
    <w:rsid w:val="00AE7FFD"/>
    <w:pPr>
      <w:suppressAutoHyphens w:val="0"/>
      <w:spacing w:before="240" w:after="240" w:line="384" w:lineRule="atLeast"/>
    </w:pPr>
    <w:rPr>
      <w:rFonts w:ascii="Times New Roman" w:hAnsi="Times New Roman" w:cs="Times New Roman"/>
      <w:sz w:val="24"/>
      <w:szCs w:val="24"/>
      <w:lang w:eastAsia="en-AU"/>
    </w:rPr>
  </w:style>
  <w:style w:type="paragraph" w:styleId="BodyText">
    <w:name w:val="Body Text"/>
    <w:basedOn w:val="Normal"/>
    <w:link w:val="BodyTextChar"/>
    <w:uiPriority w:val="99"/>
    <w:unhideWhenUsed/>
    <w:rsid w:val="00B928AB"/>
    <w:pPr>
      <w:spacing w:after="120"/>
    </w:pPr>
  </w:style>
  <w:style w:type="character" w:customStyle="1" w:styleId="BodyTextChar">
    <w:name w:val="Body Text Char"/>
    <w:basedOn w:val="DefaultParagraphFont"/>
    <w:link w:val="BodyText"/>
    <w:uiPriority w:val="99"/>
    <w:rsid w:val="00B9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1707">
      <w:bodyDiv w:val="1"/>
      <w:marLeft w:val="0"/>
      <w:marRight w:val="0"/>
      <w:marTop w:val="0"/>
      <w:marBottom w:val="0"/>
      <w:divBdr>
        <w:top w:val="none" w:sz="0" w:space="0" w:color="auto"/>
        <w:left w:val="none" w:sz="0" w:space="0" w:color="auto"/>
        <w:bottom w:val="none" w:sz="0" w:space="0" w:color="auto"/>
        <w:right w:val="none" w:sz="0" w:space="0" w:color="auto"/>
      </w:divBdr>
    </w:div>
    <w:div w:id="178931529">
      <w:bodyDiv w:val="1"/>
      <w:marLeft w:val="0"/>
      <w:marRight w:val="0"/>
      <w:marTop w:val="0"/>
      <w:marBottom w:val="0"/>
      <w:divBdr>
        <w:top w:val="none" w:sz="0" w:space="0" w:color="auto"/>
        <w:left w:val="none" w:sz="0" w:space="0" w:color="auto"/>
        <w:bottom w:val="none" w:sz="0" w:space="0" w:color="auto"/>
        <w:right w:val="none" w:sz="0" w:space="0" w:color="auto"/>
      </w:divBdr>
    </w:div>
    <w:div w:id="260646978">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540828238">
      <w:bodyDiv w:val="1"/>
      <w:marLeft w:val="0"/>
      <w:marRight w:val="0"/>
      <w:marTop w:val="0"/>
      <w:marBottom w:val="0"/>
      <w:divBdr>
        <w:top w:val="none" w:sz="0" w:space="0" w:color="auto"/>
        <w:left w:val="none" w:sz="0" w:space="0" w:color="auto"/>
        <w:bottom w:val="none" w:sz="0" w:space="0" w:color="auto"/>
        <w:right w:val="none" w:sz="0" w:space="0" w:color="auto"/>
      </w:divBdr>
    </w:div>
    <w:div w:id="591087333">
      <w:bodyDiv w:val="1"/>
      <w:marLeft w:val="0"/>
      <w:marRight w:val="0"/>
      <w:marTop w:val="0"/>
      <w:marBottom w:val="0"/>
      <w:divBdr>
        <w:top w:val="none" w:sz="0" w:space="0" w:color="auto"/>
        <w:left w:val="none" w:sz="0" w:space="0" w:color="auto"/>
        <w:bottom w:val="none" w:sz="0" w:space="0" w:color="auto"/>
        <w:right w:val="none" w:sz="0" w:space="0" w:color="auto"/>
      </w:divBdr>
    </w:div>
    <w:div w:id="623121676">
      <w:bodyDiv w:val="1"/>
      <w:marLeft w:val="0"/>
      <w:marRight w:val="0"/>
      <w:marTop w:val="0"/>
      <w:marBottom w:val="0"/>
      <w:divBdr>
        <w:top w:val="none" w:sz="0" w:space="0" w:color="auto"/>
        <w:left w:val="none" w:sz="0" w:space="0" w:color="auto"/>
        <w:bottom w:val="none" w:sz="0" w:space="0" w:color="auto"/>
        <w:right w:val="none" w:sz="0" w:space="0" w:color="auto"/>
      </w:divBdr>
    </w:div>
    <w:div w:id="724571435">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935134555">
      <w:bodyDiv w:val="1"/>
      <w:marLeft w:val="0"/>
      <w:marRight w:val="0"/>
      <w:marTop w:val="0"/>
      <w:marBottom w:val="0"/>
      <w:divBdr>
        <w:top w:val="none" w:sz="0" w:space="0" w:color="auto"/>
        <w:left w:val="none" w:sz="0" w:space="0" w:color="auto"/>
        <w:bottom w:val="none" w:sz="0" w:space="0" w:color="auto"/>
        <w:right w:val="none" w:sz="0" w:space="0" w:color="auto"/>
      </w:divBdr>
    </w:div>
    <w:div w:id="1034159044">
      <w:bodyDiv w:val="1"/>
      <w:marLeft w:val="0"/>
      <w:marRight w:val="0"/>
      <w:marTop w:val="0"/>
      <w:marBottom w:val="0"/>
      <w:divBdr>
        <w:top w:val="none" w:sz="0" w:space="0" w:color="auto"/>
        <w:left w:val="none" w:sz="0" w:space="0" w:color="auto"/>
        <w:bottom w:val="none" w:sz="0" w:space="0" w:color="auto"/>
        <w:right w:val="none" w:sz="0" w:space="0" w:color="auto"/>
      </w:divBdr>
    </w:div>
    <w:div w:id="1305617912">
      <w:bodyDiv w:val="1"/>
      <w:marLeft w:val="0"/>
      <w:marRight w:val="0"/>
      <w:marTop w:val="0"/>
      <w:marBottom w:val="0"/>
      <w:divBdr>
        <w:top w:val="none" w:sz="0" w:space="0" w:color="auto"/>
        <w:left w:val="none" w:sz="0" w:space="0" w:color="auto"/>
        <w:bottom w:val="none" w:sz="0" w:space="0" w:color="auto"/>
        <w:right w:val="none" w:sz="0" w:space="0" w:color="auto"/>
      </w:divBdr>
      <w:divsChild>
        <w:div w:id="1642222833">
          <w:marLeft w:val="0"/>
          <w:marRight w:val="0"/>
          <w:marTop w:val="0"/>
          <w:marBottom w:val="0"/>
          <w:divBdr>
            <w:top w:val="none" w:sz="0" w:space="0" w:color="auto"/>
            <w:left w:val="none" w:sz="0" w:space="0" w:color="auto"/>
            <w:bottom w:val="none" w:sz="0" w:space="0" w:color="auto"/>
            <w:right w:val="none" w:sz="0" w:space="0" w:color="auto"/>
          </w:divBdr>
          <w:divsChild>
            <w:div w:id="929050426">
              <w:marLeft w:val="0"/>
              <w:marRight w:val="0"/>
              <w:marTop w:val="0"/>
              <w:marBottom w:val="0"/>
              <w:divBdr>
                <w:top w:val="none" w:sz="0" w:space="0" w:color="auto"/>
                <w:left w:val="none" w:sz="0" w:space="0" w:color="auto"/>
                <w:bottom w:val="none" w:sz="0" w:space="0" w:color="auto"/>
                <w:right w:val="none" w:sz="0" w:space="0" w:color="auto"/>
              </w:divBdr>
              <w:divsChild>
                <w:div w:id="8895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47318949">
      <w:bodyDiv w:val="1"/>
      <w:marLeft w:val="0"/>
      <w:marRight w:val="0"/>
      <w:marTop w:val="0"/>
      <w:marBottom w:val="0"/>
      <w:divBdr>
        <w:top w:val="none" w:sz="0" w:space="0" w:color="auto"/>
        <w:left w:val="none" w:sz="0" w:space="0" w:color="auto"/>
        <w:bottom w:val="none" w:sz="0" w:space="0" w:color="auto"/>
        <w:right w:val="none" w:sz="0" w:space="0" w:color="auto"/>
      </w:divBdr>
    </w:div>
    <w:div w:id="1380011005">
      <w:bodyDiv w:val="1"/>
      <w:marLeft w:val="0"/>
      <w:marRight w:val="0"/>
      <w:marTop w:val="0"/>
      <w:marBottom w:val="0"/>
      <w:divBdr>
        <w:top w:val="none" w:sz="0" w:space="0" w:color="auto"/>
        <w:left w:val="none" w:sz="0" w:space="0" w:color="auto"/>
        <w:bottom w:val="none" w:sz="0" w:space="0" w:color="auto"/>
        <w:right w:val="none" w:sz="0" w:space="0" w:color="auto"/>
      </w:divBdr>
    </w:div>
    <w:div w:id="1393581220">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9048554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09237698">
      <w:bodyDiv w:val="1"/>
      <w:marLeft w:val="0"/>
      <w:marRight w:val="0"/>
      <w:marTop w:val="0"/>
      <w:marBottom w:val="0"/>
      <w:divBdr>
        <w:top w:val="none" w:sz="0" w:space="0" w:color="auto"/>
        <w:left w:val="none" w:sz="0" w:space="0" w:color="auto"/>
        <w:bottom w:val="none" w:sz="0" w:space="0" w:color="auto"/>
        <w:right w:val="none" w:sz="0" w:space="0" w:color="auto"/>
      </w:divBdr>
    </w:div>
    <w:div w:id="1756510738">
      <w:bodyDiv w:val="1"/>
      <w:marLeft w:val="0"/>
      <w:marRight w:val="0"/>
      <w:marTop w:val="0"/>
      <w:marBottom w:val="0"/>
      <w:divBdr>
        <w:top w:val="none" w:sz="0" w:space="0" w:color="auto"/>
        <w:left w:val="none" w:sz="0" w:space="0" w:color="auto"/>
        <w:bottom w:val="none" w:sz="0" w:space="0" w:color="auto"/>
        <w:right w:val="none" w:sz="0" w:space="0" w:color="auto"/>
      </w:divBdr>
    </w:div>
    <w:div w:id="1786266317">
      <w:bodyDiv w:val="1"/>
      <w:marLeft w:val="0"/>
      <w:marRight w:val="0"/>
      <w:marTop w:val="0"/>
      <w:marBottom w:val="0"/>
      <w:divBdr>
        <w:top w:val="none" w:sz="0" w:space="0" w:color="auto"/>
        <w:left w:val="none" w:sz="0" w:space="0" w:color="auto"/>
        <w:bottom w:val="none" w:sz="0" w:space="0" w:color="auto"/>
        <w:right w:val="none" w:sz="0" w:space="0" w:color="auto"/>
      </w:divBdr>
    </w:div>
    <w:div w:id="1955358453">
      <w:bodyDiv w:val="1"/>
      <w:marLeft w:val="0"/>
      <w:marRight w:val="0"/>
      <w:marTop w:val="0"/>
      <w:marBottom w:val="0"/>
      <w:divBdr>
        <w:top w:val="none" w:sz="0" w:space="0" w:color="auto"/>
        <w:left w:val="none" w:sz="0" w:space="0" w:color="auto"/>
        <w:bottom w:val="none" w:sz="0" w:space="0" w:color="auto"/>
        <w:right w:val="none" w:sz="0" w:space="0" w:color="auto"/>
      </w:divBdr>
    </w:div>
    <w:div w:id="2092506539">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communitygrants.gov.au/information-applicants/late-applications-policy" TargetMode="External"/><Relationship Id="rId18" Type="http://schemas.openxmlformats.org/officeDocument/2006/relationships/hyperlink" Target="mailto:support@communitygrants.gov.au" TargetMode="External"/><Relationship Id="rId26" Type="http://schemas.openxmlformats.org/officeDocument/2006/relationships/hyperlink" Target="https://dex.dss.gov.au/policy-guidance/dex_data_exchange_protocols/" TargetMode="External"/><Relationship Id="rId39" Type="http://schemas.openxmlformats.org/officeDocument/2006/relationships/hyperlink" Target="mailto:foi@dss.gov.au" TargetMode="External"/><Relationship Id="rId3" Type="http://schemas.openxmlformats.org/officeDocument/2006/relationships/styles" Target="styles.xml"/><Relationship Id="rId21" Type="http://schemas.openxmlformats.org/officeDocument/2006/relationships/hyperlink" Target="http://www.finance.gov.au/financial-framework/financial-management-policy-guidance/grants/grant-agreement-template-project.html" TargetMode="External"/><Relationship Id="rId34" Type="http://schemas.openxmlformats.org/officeDocument/2006/relationships/hyperlink" Target="mailto:ombudsman@ombudsman.gov.a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ss.gov.au/communities-and-vulnerable-people/fair-pay-for-social-and-community-services-workers" TargetMode="External"/><Relationship Id="rId17" Type="http://schemas.openxmlformats.org/officeDocument/2006/relationships/hyperlink" Target="mailto:support@communitygrants.gov.au" TargetMode="External"/><Relationship Id="rId25" Type="http://schemas.openxmlformats.org/officeDocument/2006/relationships/hyperlink" Target="https://dex.dss.gov.au/policy-guidance/dex_data_exchange_protocols/" TargetMode="External"/><Relationship Id="rId33" Type="http://schemas.openxmlformats.org/officeDocument/2006/relationships/hyperlink" Target="https://www.dss.gov.au/contact/feedback-compliments-complaints-and-enquiries/feedback-form" TargetMode="External"/><Relationship Id="rId38" Type="http://schemas.openxmlformats.org/officeDocument/2006/relationships/hyperlink" Target="http://www.comlaw.gov.au/Details/C2014C00757" TargetMode="External"/><Relationship Id="rId2" Type="http://schemas.openxmlformats.org/officeDocument/2006/relationships/numbering" Target="numbering.xml"/><Relationship Id="rId16" Type="http://schemas.openxmlformats.org/officeDocument/2006/relationships/hyperlink" Target="https://www.communitygrants.gov.au/grants" TargetMode="External"/><Relationship Id="rId20" Type="http://schemas.openxmlformats.org/officeDocument/2006/relationships/hyperlink" Target="https://www.communitygrants@gov.au/" TargetMode="External"/><Relationship Id="rId29" Type="http://schemas.openxmlformats.org/officeDocument/2006/relationships/hyperlink" Target="https://www.grants.gov.a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http://www.ato.gov.au/" TargetMode="External"/><Relationship Id="rId32" Type="http://schemas.openxmlformats.org/officeDocument/2006/relationships/hyperlink" Target="mailto:support@communitygrants.gov.au" TargetMode="External"/><Relationship Id="rId37" Type="http://schemas.openxmlformats.org/officeDocument/2006/relationships/hyperlink" Target="https://www.communitygrants.gov.au/open-grants/how-apply/conflict-interest-policy-commonwealth-government-employe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rants.gov.au/" TargetMode="External"/><Relationship Id="rId23" Type="http://schemas.openxmlformats.org/officeDocument/2006/relationships/hyperlink" Target="file://prod.protected.ind/User/user03/LLau2/insert%20link%20here" TargetMode="External"/><Relationship Id="rId28" Type="http://schemas.openxmlformats.org/officeDocument/2006/relationships/hyperlink" Target="https://www.homeaffairs.gov.au/busi/Doin/Cont/Multicultural-access-and-equity-policy-guidance-on-procurement-and-contracting" TargetMode="External"/><Relationship Id="rId36" Type="http://schemas.openxmlformats.org/officeDocument/2006/relationships/hyperlink" Target="http://www.apsc.gov.au/publications-and-media/current-publications/aps-values-and-code-of-conduct-in-practice/conflict-of-interest" TargetMode="External"/><Relationship Id="rId10" Type="http://schemas.openxmlformats.org/officeDocument/2006/relationships/hyperlink" Target="https://www.communitygrants.gov.au/grants" TargetMode="External"/><Relationship Id="rId19" Type="http://schemas.openxmlformats.org/officeDocument/2006/relationships/hyperlink" Target="https://www.grants.gov.au/" TargetMode="External"/><Relationship Id="rId31" Type="http://schemas.openxmlformats.org/officeDocument/2006/relationships/hyperlink" Target="https://www.dss.gov.au/about-the-department/doing-business-with-dss/complaints-process-for-grant-recipient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https://www.communitygrants.gov.au/information-applicants/late-applications-policy" TargetMode="External"/><Relationship Id="rId22" Type="http://schemas.openxmlformats.org/officeDocument/2006/relationships/hyperlink" Target="https://www.grants.gov.au/?event=public.home" TargetMode="External"/><Relationship Id="rId27" Type="http://schemas.openxmlformats.org/officeDocument/2006/relationships/hyperlink" Target="http://www.dss.gov.au/accessandequity" TargetMode="External"/><Relationship Id="rId30" Type="http://schemas.openxmlformats.org/officeDocument/2006/relationships/hyperlink" Target="http://www.communitygrants.gov.au" TargetMode="External"/><Relationship Id="rId35" Type="http://schemas.openxmlformats.org/officeDocument/2006/relationships/hyperlink" Target="http://www.ombudsman.gov.au" TargetMode="External"/><Relationship Id="rId43"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98DC4-09F3-4CD4-AB3E-70090C71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8511</Words>
  <Characters>48519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DONATH, Kristen</cp:lastModifiedBy>
  <cp:revision>2</cp:revision>
  <cp:lastPrinted>2018-07-10T05:59:00Z</cp:lastPrinted>
  <dcterms:created xsi:type="dcterms:W3CDTF">2018-07-23T03:35:00Z</dcterms:created>
  <dcterms:modified xsi:type="dcterms:W3CDTF">2018-07-23T03:35:00Z</dcterms:modified>
  <cp:contentStatus/>
</cp:coreProperties>
</file>