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0F6" w:rsidRDefault="004C30F6" w:rsidP="004C30F6">
      <w:pPr>
        <w:pStyle w:val="Title"/>
        <w:spacing w:before="3000"/>
        <w:rPr>
          <w:rFonts w:cstheme="majorHAnsi"/>
          <w:color w:val="auto"/>
        </w:rPr>
      </w:pPr>
      <w:r>
        <w:rPr>
          <w:rFonts w:cstheme="majorHAnsi"/>
          <w:color w:val="auto"/>
        </w:rPr>
        <w:t>Families and Communities Program</w:t>
      </w:r>
    </w:p>
    <w:p w:rsidR="004C30F6" w:rsidRDefault="004C30F6" w:rsidP="004C30F6">
      <w:pPr>
        <w:pStyle w:val="Title"/>
        <w:spacing w:before="3000"/>
        <w:rPr>
          <w:rFonts w:cstheme="majorHAnsi"/>
          <w:color w:val="auto"/>
        </w:rPr>
      </w:pPr>
      <w:r>
        <w:rPr>
          <w:rFonts w:cstheme="majorHAnsi"/>
          <w:color w:val="auto"/>
        </w:rPr>
        <w:t>Redress Support Services</w:t>
      </w:r>
    </w:p>
    <w:p w:rsidR="004C30F6" w:rsidRDefault="004C30F6" w:rsidP="004C30F6">
      <w:pPr>
        <w:pStyle w:val="Title"/>
        <w:spacing w:before="3000"/>
        <w:rPr>
          <w:color w:val="auto"/>
        </w:rPr>
      </w:pPr>
      <w:r>
        <w:rPr>
          <w:color w:val="auto"/>
        </w:rPr>
        <w:t>Grant Opportunity</w:t>
      </w:r>
    </w:p>
    <w:p w:rsidR="00794773" w:rsidRPr="00C836BC" w:rsidRDefault="00794773" w:rsidP="00C836BC">
      <w:pPr>
        <w:pStyle w:val="Title"/>
      </w:pPr>
      <w:r w:rsidRPr="00C836BC">
        <w:t>Guidelines</w:t>
      </w:r>
    </w:p>
    <w:p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rsidTr="00232236">
        <w:trPr>
          <w:tblHeader/>
        </w:trPr>
        <w:tc>
          <w:tcPr>
            <w:tcW w:w="2977" w:type="dxa"/>
          </w:tcPr>
          <w:p w:rsidR="00794773" w:rsidRPr="007040EB" w:rsidRDefault="00794773" w:rsidP="00694DF9">
            <w:pPr>
              <w:spacing w:line="240" w:lineRule="auto"/>
              <w:jc w:val="both"/>
            </w:pPr>
            <w:r w:rsidRPr="007040EB">
              <w:t>Opening date</w:t>
            </w:r>
            <w:r>
              <w:t>:</w:t>
            </w:r>
          </w:p>
        </w:tc>
        <w:tc>
          <w:tcPr>
            <w:tcW w:w="6404" w:type="dxa"/>
            <w:shd w:val="clear" w:color="auto" w:fill="auto"/>
          </w:tcPr>
          <w:p w:rsidR="00794773" w:rsidRPr="008D20E2" w:rsidRDefault="001A0364" w:rsidP="00A02399">
            <w:pPr>
              <w:pStyle w:val="inputcomment"/>
              <w:rPr>
                <w:b w:val="0"/>
                <w:color w:val="auto"/>
              </w:rPr>
            </w:pPr>
            <w:r w:rsidRPr="008D20E2">
              <w:rPr>
                <w:b w:val="0"/>
                <w:color w:val="auto"/>
              </w:rPr>
              <w:t>1</w:t>
            </w:r>
            <w:r w:rsidR="00A02399" w:rsidRPr="008D20E2">
              <w:rPr>
                <w:b w:val="0"/>
                <w:color w:val="auto"/>
              </w:rPr>
              <w:t>7</w:t>
            </w:r>
            <w:r w:rsidRPr="008D20E2">
              <w:rPr>
                <w:b w:val="0"/>
                <w:color w:val="auto"/>
              </w:rPr>
              <w:t xml:space="preserve"> August 2018</w:t>
            </w:r>
          </w:p>
        </w:tc>
      </w:tr>
      <w:tr w:rsidR="00794773" w:rsidRPr="007040EB" w:rsidTr="00232236">
        <w:tc>
          <w:tcPr>
            <w:tcW w:w="2977" w:type="dxa"/>
          </w:tcPr>
          <w:p w:rsidR="00794773" w:rsidRPr="007040EB" w:rsidRDefault="00794773" w:rsidP="00694DF9">
            <w:pPr>
              <w:spacing w:line="240" w:lineRule="auto"/>
              <w:jc w:val="both"/>
            </w:pPr>
            <w:r w:rsidRPr="007040EB">
              <w:t>Closing date and time</w:t>
            </w:r>
            <w:r>
              <w:t>:</w:t>
            </w:r>
          </w:p>
        </w:tc>
        <w:tc>
          <w:tcPr>
            <w:tcW w:w="6404" w:type="dxa"/>
            <w:shd w:val="clear" w:color="auto" w:fill="auto"/>
          </w:tcPr>
          <w:p w:rsidR="00794773" w:rsidRPr="008D20E2" w:rsidRDefault="00856018" w:rsidP="008D20E2">
            <w:pPr>
              <w:pStyle w:val="inputcomment"/>
              <w:rPr>
                <w:b w:val="0"/>
                <w:color w:val="auto"/>
              </w:rPr>
            </w:pPr>
            <w:r w:rsidRPr="008D20E2">
              <w:rPr>
                <w:b w:val="0"/>
                <w:color w:val="auto"/>
              </w:rPr>
              <w:t>2pm AES</w:t>
            </w:r>
            <w:r w:rsidR="00D2023E" w:rsidRPr="008D20E2">
              <w:rPr>
                <w:b w:val="0"/>
                <w:color w:val="auto"/>
              </w:rPr>
              <w:t>T</w:t>
            </w:r>
            <w:r w:rsidR="00794773" w:rsidRPr="008D20E2">
              <w:rPr>
                <w:b w:val="0"/>
                <w:color w:val="auto"/>
              </w:rPr>
              <w:t xml:space="preserve"> on</w:t>
            </w:r>
            <w:r w:rsidR="00D2023E" w:rsidRPr="008D20E2">
              <w:rPr>
                <w:b w:val="0"/>
                <w:color w:val="auto"/>
              </w:rPr>
              <w:t xml:space="preserve"> </w:t>
            </w:r>
            <w:r w:rsidR="001A0364" w:rsidRPr="008D20E2">
              <w:rPr>
                <w:b w:val="0"/>
                <w:color w:val="auto"/>
              </w:rPr>
              <w:t>2</w:t>
            </w:r>
            <w:r w:rsidR="008D20E2" w:rsidRPr="008D20E2">
              <w:rPr>
                <w:b w:val="0"/>
                <w:color w:val="auto"/>
              </w:rPr>
              <w:t>7</w:t>
            </w:r>
            <w:r w:rsidR="001A0364" w:rsidRPr="008D20E2">
              <w:rPr>
                <w:b w:val="0"/>
                <w:color w:val="auto"/>
              </w:rPr>
              <w:t xml:space="preserve"> August 2018</w:t>
            </w:r>
          </w:p>
        </w:tc>
      </w:tr>
      <w:tr w:rsidR="00794773" w:rsidRPr="007040EB" w:rsidTr="00232236">
        <w:tc>
          <w:tcPr>
            <w:tcW w:w="2977" w:type="dxa"/>
          </w:tcPr>
          <w:p w:rsidR="00794773" w:rsidRPr="007040EB" w:rsidRDefault="00794773" w:rsidP="00694DF9">
            <w:pPr>
              <w:spacing w:line="240" w:lineRule="auto"/>
            </w:pPr>
            <w:r w:rsidRPr="007040EB">
              <w:t>Commonwealth policy entity</w:t>
            </w:r>
            <w:r>
              <w:t>:</w:t>
            </w:r>
          </w:p>
        </w:tc>
        <w:tc>
          <w:tcPr>
            <w:tcW w:w="6404" w:type="dxa"/>
            <w:shd w:val="clear" w:color="auto" w:fill="auto"/>
          </w:tcPr>
          <w:p w:rsidR="00794773" w:rsidRPr="003F7EAD" w:rsidRDefault="00232236" w:rsidP="00694DF9">
            <w:pPr>
              <w:spacing w:line="240" w:lineRule="auto"/>
            </w:pPr>
            <w:r w:rsidRPr="003F7EAD">
              <w:t>Department of Social Services</w:t>
            </w:r>
          </w:p>
        </w:tc>
      </w:tr>
      <w:tr w:rsidR="00232236" w:rsidRPr="007040EB" w:rsidTr="00232236">
        <w:tc>
          <w:tcPr>
            <w:tcW w:w="2977" w:type="dxa"/>
          </w:tcPr>
          <w:p w:rsidR="00232236" w:rsidRPr="007040EB" w:rsidRDefault="00232236" w:rsidP="00694DF9">
            <w:pPr>
              <w:spacing w:line="240" w:lineRule="auto"/>
              <w:jc w:val="both"/>
            </w:pPr>
            <w:r w:rsidRPr="007040EB">
              <w:t>Enquir</w:t>
            </w:r>
            <w:r>
              <w:t>i</w:t>
            </w:r>
            <w:r w:rsidRPr="007040EB">
              <w:t>es</w:t>
            </w:r>
            <w:r>
              <w:t>:</w:t>
            </w:r>
          </w:p>
        </w:tc>
        <w:tc>
          <w:tcPr>
            <w:tcW w:w="6404" w:type="dxa"/>
            <w:shd w:val="clear" w:color="auto" w:fill="auto"/>
          </w:tcPr>
          <w:p w:rsidR="00232236" w:rsidRDefault="00232236" w:rsidP="00232236">
            <w:pPr>
              <w:spacing w:line="240" w:lineRule="auto"/>
            </w:pPr>
            <w:r>
              <w:t>If you have any questions, please contact:</w:t>
            </w:r>
          </w:p>
          <w:p w:rsidR="00232236" w:rsidRDefault="00232236" w:rsidP="00232236">
            <w:pPr>
              <w:spacing w:line="240" w:lineRule="auto"/>
            </w:pPr>
            <w:r>
              <w:t>Phone: 1800 020 283</w:t>
            </w:r>
          </w:p>
          <w:p w:rsidR="00232236" w:rsidRDefault="00232236" w:rsidP="00232236">
            <w:pPr>
              <w:spacing w:line="240" w:lineRule="auto"/>
            </w:pPr>
            <w:r>
              <w:t>Email: support@communitygrants.gov.au</w:t>
            </w:r>
          </w:p>
          <w:p w:rsidR="00232236" w:rsidRPr="002C7BB1" w:rsidRDefault="00232236" w:rsidP="00A97C9C">
            <w:pPr>
              <w:spacing w:line="240" w:lineRule="auto"/>
            </w:pPr>
          </w:p>
        </w:tc>
      </w:tr>
      <w:tr w:rsidR="00232236" w:rsidRPr="007040EB" w:rsidTr="00232236">
        <w:tc>
          <w:tcPr>
            <w:tcW w:w="2977" w:type="dxa"/>
          </w:tcPr>
          <w:p w:rsidR="00232236" w:rsidRPr="008D20E2" w:rsidRDefault="00232236" w:rsidP="00694DF9">
            <w:pPr>
              <w:spacing w:line="240" w:lineRule="auto"/>
              <w:jc w:val="both"/>
            </w:pPr>
            <w:r w:rsidRPr="008D20E2">
              <w:t>Date guidelines released:</w:t>
            </w:r>
          </w:p>
        </w:tc>
        <w:tc>
          <w:tcPr>
            <w:tcW w:w="6404" w:type="dxa"/>
            <w:shd w:val="clear" w:color="auto" w:fill="auto"/>
          </w:tcPr>
          <w:p w:rsidR="00232236" w:rsidRPr="008D20E2" w:rsidRDefault="00A02399" w:rsidP="006C6E91">
            <w:pPr>
              <w:spacing w:line="240" w:lineRule="auto"/>
            </w:pPr>
            <w:r w:rsidRPr="008D20E2">
              <w:t>17</w:t>
            </w:r>
            <w:r w:rsidR="001A0364" w:rsidRPr="008D20E2">
              <w:t xml:space="preserve"> August 2018</w:t>
            </w:r>
          </w:p>
        </w:tc>
      </w:tr>
      <w:tr w:rsidR="00232236" w:rsidRPr="007040EB" w:rsidTr="00232236">
        <w:tc>
          <w:tcPr>
            <w:tcW w:w="2977" w:type="dxa"/>
          </w:tcPr>
          <w:p w:rsidR="00232236" w:rsidRPr="007040EB" w:rsidRDefault="00232236" w:rsidP="00694DF9">
            <w:pPr>
              <w:spacing w:line="240" w:lineRule="auto"/>
              <w:jc w:val="both"/>
            </w:pPr>
            <w:r w:rsidRPr="007040EB">
              <w:t>Type of grant opportunity</w:t>
            </w:r>
            <w:r>
              <w:t>:</w:t>
            </w:r>
          </w:p>
        </w:tc>
        <w:tc>
          <w:tcPr>
            <w:tcW w:w="6404" w:type="dxa"/>
            <w:shd w:val="clear" w:color="auto" w:fill="auto"/>
          </w:tcPr>
          <w:p w:rsidR="00232236" w:rsidRPr="003F7EAD" w:rsidRDefault="00232236" w:rsidP="00694DF9">
            <w:pPr>
              <w:spacing w:line="240" w:lineRule="auto"/>
            </w:pPr>
            <w:r w:rsidRPr="003F7EAD">
              <w:t>Restricted non-competitive</w:t>
            </w:r>
          </w:p>
        </w:tc>
      </w:tr>
    </w:tbl>
    <w:p w:rsidR="00232236" w:rsidRDefault="00232236"/>
    <w:p w:rsidR="001A0364" w:rsidRDefault="001A0364" w:rsidP="0020122A">
      <w:pPr>
        <w:pStyle w:val="TOCHeading"/>
      </w:pPr>
    </w:p>
    <w:p w:rsidR="001A0364" w:rsidRDefault="001A0364" w:rsidP="001A0364">
      <w:pPr>
        <w:rPr>
          <w:rFonts w:asciiTheme="majorHAnsi" w:eastAsiaTheme="majorEastAsia" w:hAnsiTheme="majorHAnsi" w:cstheme="majorBidi"/>
          <w:color w:val="1C1C1C" w:themeColor="text2"/>
          <w:sz w:val="40"/>
          <w:szCs w:val="32"/>
          <w:lang w:val="en-US"/>
        </w:rPr>
      </w:pPr>
      <w:r>
        <w:br w:type="page"/>
      </w:r>
    </w:p>
    <w:p w:rsidR="0020122A" w:rsidRDefault="0020122A" w:rsidP="0020122A">
      <w:pPr>
        <w:pStyle w:val="TOCHeading"/>
      </w:pPr>
      <w:r>
        <w:lastRenderedPageBreak/>
        <w:t>Contents</w:t>
      </w:r>
    </w:p>
    <w:p w:rsidR="00FD3D79"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22006551" w:history="1">
        <w:r w:rsidR="00FD3D79" w:rsidRPr="00D21A1D">
          <w:rPr>
            <w:rStyle w:val="Hyperlink"/>
            <w:rFonts w:cstheme="majorHAnsi"/>
            <w:noProof/>
          </w:rPr>
          <w:t>Families and Communities Program: Redress Support Services Processes</w:t>
        </w:r>
        <w:r w:rsidR="00FD3D79">
          <w:rPr>
            <w:noProof/>
            <w:webHidden/>
          </w:rPr>
          <w:tab/>
        </w:r>
        <w:r w:rsidR="00FD3D79">
          <w:rPr>
            <w:noProof/>
            <w:webHidden/>
          </w:rPr>
          <w:fldChar w:fldCharType="begin"/>
        </w:r>
        <w:r w:rsidR="00FD3D79">
          <w:rPr>
            <w:noProof/>
            <w:webHidden/>
          </w:rPr>
          <w:instrText xml:space="preserve"> PAGEREF _Toc522006551 \h </w:instrText>
        </w:r>
        <w:r w:rsidR="00FD3D79">
          <w:rPr>
            <w:noProof/>
            <w:webHidden/>
          </w:rPr>
        </w:r>
        <w:r w:rsidR="00FD3D79">
          <w:rPr>
            <w:noProof/>
            <w:webHidden/>
          </w:rPr>
          <w:fldChar w:fldCharType="separate"/>
        </w:r>
        <w:r w:rsidR="00D45B00">
          <w:rPr>
            <w:noProof/>
            <w:webHidden/>
          </w:rPr>
          <w:t>4</w:t>
        </w:r>
        <w:r w:rsidR="00FD3D79">
          <w:rPr>
            <w:noProof/>
            <w:webHidden/>
          </w:rPr>
          <w:fldChar w:fldCharType="end"/>
        </w:r>
      </w:hyperlink>
    </w:p>
    <w:p w:rsidR="00FD3D79" w:rsidRDefault="00D45B00">
      <w:pPr>
        <w:pStyle w:val="TOC2"/>
        <w:rPr>
          <w:rFonts w:eastAsiaTheme="minorEastAsia"/>
          <w:noProof/>
          <w:lang w:eastAsia="en-AU"/>
        </w:rPr>
      </w:pPr>
      <w:hyperlink w:anchor="_Toc522006552" w:history="1">
        <w:r w:rsidR="00FD3D79" w:rsidRPr="00D21A1D">
          <w:rPr>
            <w:rStyle w:val="Hyperlink"/>
            <w:noProof/>
          </w:rPr>
          <w:t>1.1</w:t>
        </w:r>
        <w:r w:rsidR="00FD3D79">
          <w:rPr>
            <w:rFonts w:eastAsiaTheme="minorEastAsia"/>
            <w:noProof/>
            <w:lang w:eastAsia="en-AU"/>
          </w:rPr>
          <w:tab/>
        </w:r>
        <w:r w:rsidR="00FD3D79" w:rsidRPr="00D21A1D">
          <w:rPr>
            <w:rStyle w:val="Hyperlink"/>
            <w:noProof/>
          </w:rPr>
          <w:t>Role of the Community Grants Hub</w:t>
        </w:r>
        <w:r w:rsidR="00FD3D79">
          <w:rPr>
            <w:noProof/>
            <w:webHidden/>
          </w:rPr>
          <w:tab/>
        </w:r>
        <w:r w:rsidR="00FD3D79">
          <w:rPr>
            <w:noProof/>
            <w:webHidden/>
          </w:rPr>
          <w:fldChar w:fldCharType="begin"/>
        </w:r>
        <w:r w:rsidR="00FD3D79">
          <w:rPr>
            <w:noProof/>
            <w:webHidden/>
          </w:rPr>
          <w:instrText xml:space="preserve"> PAGEREF _Toc522006552 \h </w:instrText>
        </w:r>
        <w:r w:rsidR="00FD3D79">
          <w:rPr>
            <w:noProof/>
            <w:webHidden/>
          </w:rPr>
        </w:r>
        <w:r w:rsidR="00FD3D79">
          <w:rPr>
            <w:noProof/>
            <w:webHidden/>
          </w:rPr>
          <w:fldChar w:fldCharType="separate"/>
        </w:r>
        <w:r>
          <w:rPr>
            <w:noProof/>
            <w:webHidden/>
          </w:rPr>
          <w:t>5</w:t>
        </w:r>
        <w:r w:rsidR="00FD3D79">
          <w:rPr>
            <w:noProof/>
            <w:webHidden/>
          </w:rPr>
          <w:fldChar w:fldCharType="end"/>
        </w:r>
      </w:hyperlink>
    </w:p>
    <w:p w:rsidR="00FD3D79" w:rsidRDefault="00D45B00">
      <w:pPr>
        <w:pStyle w:val="TOC2"/>
        <w:rPr>
          <w:rFonts w:eastAsiaTheme="minorEastAsia"/>
          <w:noProof/>
          <w:lang w:eastAsia="en-AU"/>
        </w:rPr>
      </w:pPr>
      <w:hyperlink w:anchor="_Toc522006553" w:history="1">
        <w:r w:rsidR="00FD3D79" w:rsidRPr="00D21A1D">
          <w:rPr>
            <w:rStyle w:val="Hyperlink"/>
            <w:noProof/>
          </w:rPr>
          <w:t>1.2</w:t>
        </w:r>
        <w:r w:rsidR="00FD3D79">
          <w:rPr>
            <w:rFonts w:eastAsiaTheme="minorEastAsia"/>
            <w:noProof/>
            <w:lang w:eastAsia="en-AU"/>
          </w:rPr>
          <w:tab/>
        </w:r>
        <w:r w:rsidR="00FD3D79" w:rsidRPr="00D21A1D">
          <w:rPr>
            <w:rStyle w:val="Hyperlink"/>
            <w:noProof/>
          </w:rPr>
          <w:t>About the grant program</w:t>
        </w:r>
        <w:r w:rsidR="00FD3D79">
          <w:rPr>
            <w:noProof/>
            <w:webHidden/>
          </w:rPr>
          <w:tab/>
        </w:r>
        <w:r w:rsidR="00FD3D79">
          <w:rPr>
            <w:noProof/>
            <w:webHidden/>
          </w:rPr>
          <w:fldChar w:fldCharType="begin"/>
        </w:r>
        <w:r w:rsidR="00FD3D79">
          <w:rPr>
            <w:noProof/>
            <w:webHidden/>
          </w:rPr>
          <w:instrText xml:space="preserve"> PAGEREF _Toc522006553 \h </w:instrText>
        </w:r>
        <w:r w:rsidR="00FD3D79">
          <w:rPr>
            <w:noProof/>
            <w:webHidden/>
          </w:rPr>
        </w:r>
        <w:r w:rsidR="00FD3D79">
          <w:rPr>
            <w:noProof/>
            <w:webHidden/>
          </w:rPr>
          <w:fldChar w:fldCharType="separate"/>
        </w:r>
        <w:r>
          <w:rPr>
            <w:noProof/>
            <w:webHidden/>
          </w:rPr>
          <w:t>5</w:t>
        </w:r>
        <w:r w:rsidR="00FD3D79">
          <w:rPr>
            <w:noProof/>
            <w:webHidden/>
          </w:rPr>
          <w:fldChar w:fldCharType="end"/>
        </w:r>
      </w:hyperlink>
    </w:p>
    <w:p w:rsidR="00FD3D79" w:rsidRDefault="00D45B00">
      <w:pPr>
        <w:pStyle w:val="TOC2"/>
        <w:rPr>
          <w:rFonts w:eastAsiaTheme="minorEastAsia"/>
          <w:noProof/>
          <w:lang w:eastAsia="en-AU"/>
        </w:rPr>
      </w:pPr>
      <w:hyperlink w:anchor="_Toc522006554" w:history="1">
        <w:r w:rsidR="00FD3D79" w:rsidRPr="00D21A1D">
          <w:rPr>
            <w:rStyle w:val="Hyperlink"/>
            <w:noProof/>
          </w:rPr>
          <w:t>1.3</w:t>
        </w:r>
        <w:r w:rsidR="00FD3D79">
          <w:rPr>
            <w:rFonts w:eastAsiaTheme="minorEastAsia"/>
            <w:noProof/>
            <w:lang w:eastAsia="en-AU"/>
          </w:rPr>
          <w:tab/>
        </w:r>
        <w:r w:rsidR="00FD3D79" w:rsidRPr="00D21A1D">
          <w:rPr>
            <w:rStyle w:val="Hyperlink"/>
            <w:noProof/>
          </w:rPr>
          <w:t>About the Grant Opportunity</w:t>
        </w:r>
        <w:r w:rsidR="00FD3D79">
          <w:rPr>
            <w:noProof/>
            <w:webHidden/>
          </w:rPr>
          <w:tab/>
        </w:r>
        <w:r w:rsidR="00FD3D79">
          <w:rPr>
            <w:noProof/>
            <w:webHidden/>
          </w:rPr>
          <w:fldChar w:fldCharType="begin"/>
        </w:r>
        <w:r w:rsidR="00FD3D79">
          <w:rPr>
            <w:noProof/>
            <w:webHidden/>
          </w:rPr>
          <w:instrText xml:space="preserve"> PAGEREF _Toc522006554 \h </w:instrText>
        </w:r>
        <w:r w:rsidR="00FD3D79">
          <w:rPr>
            <w:noProof/>
            <w:webHidden/>
          </w:rPr>
        </w:r>
        <w:r w:rsidR="00FD3D79">
          <w:rPr>
            <w:noProof/>
            <w:webHidden/>
          </w:rPr>
          <w:fldChar w:fldCharType="separate"/>
        </w:r>
        <w:r>
          <w:rPr>
            <w:noProof/>
            <w:webHidden/>
          </w:rPr>
          <w:t>7</w:t>
        </w:r>
        <w:r w:rsidR="00FD3D79">
          <w:rPr>
            <w:noProof/>
            <w:webHidden/>
          </w:rPr>
          <w:fldChar w:fldCharType="end"/>
        </w:r>
      </w:hyperlink>
    </w:p>
    <w:p w:rsidR="00FD3D79" w:rsidRDefault="00D45B00">
      <w:pPr>
        <w:pStyle w:val="TOC2"/>
        <w:rPr>
          <w:rFonts w:eastAsiaTheme="minorEastAsia"/>
          <w:noProof/>
          <w:lang w:eastAsia="en-AU"/>
        </w:rPr>
      </w:pPr>
      <w:hyperlink w:anchor="_Toc522006555" w:history="1">
        <w:r w:rsidR="00FD3D79" w:rsidRPr="00D21A1D">
          <w:rPr>
            <w:rStyle w:val="Hyperlink"/>
            <w:noProof/>
          </w:rPr>
          <w:t>1.4</w:t>
        </w:r>
        <w:r w:rsidR="00FD3D79">
          <w:rPr>
            <w:rFonts w:eastAsiaTheme="minorEastAsia"/>
            <w:noProof/>
            <w:lang w:eastAsia="en-AU"/>
          </w:rPr>
          <w:tab/>
        </w:r>
        <w:r w:rsidR="00FD3D79" w:rsidRPr="00D21A1D">
          <w:rPr>
            <w:rStyle w:val="Hyperlink"/>
            <w:noProof/>
          </w:rPr>
          <w:t>Grant Opportunity outcomes</w:t>
        </w:r>
        <w:r w:rsidR="00FD3D79">
          <w:rPr>
            <w:noProof/>
            <w:webHidden/>
          </w:rPr>
          <w:tab/>
        </w:r>
        <w:r w:rsidR="00FD3D79">
          <w:rPr>
            <w:noProof/>
            <w:webHidden/>
          </w:rPr>
          <w:fldChar w:fldCharType="begin"/>
        </w:r>
        <w:r w:rsidR="00FD3D79">
          <w:rPr>
            <w:noProof/>
            <w:webHidden/>
          </w:rPr>
          <w:instrText xml:space="preserve"> PAGEREF _Toc522006555 \h </w:instrText>
        </w:r>
        <w:r w:rsidR="00FD3D79">
          <w:rPr>
            <w:noProof/>
            <w:webHidden/>
          </w:rPr>
        </w:r>
        <w:r w:rsidR="00FD3D79">
          <w:rPr>
            <w:noProof/>
            <w:webHidden/>
          </w:rPr>
          <w:fldChar w:fldCharType="separate"/>
        </w:r>
        <w:r>
          <w:rPr>
            <w:noProof/>
            <w:webHidden/>
          </w:rPr>
          <w:t>9</w:t>
        </w:r>
        <w:r w:rsidR="00FD3D79">
          <w:rPr>
            <w:noProof/>
            <w:webHidden/>
          </w:rPr>
          <w:fldChar w:fldCharType="end"/>
        </w:r>
      </w:hyperlink>
    </w:p>
    <w:p w:rsidR="00FD3D79" w:rsidRDefault="00D45B00">
      <w:pPr>
        <w:pStyle w:val="TOC2"/>
        <w:rPr>
          <w:rFonts w:eastAsiaTheme="minorEastAsia"/>
          <w:noProof/>
          <w:lang w:eastAsia="en-AU"/>
        </w:rPr>
      </w:pPr>
      <w:hyperlink w:anchor="_Toc522006556" w:history="1">
        <w:r w:rsidR="00FD3D79" w:rsidRPr="00D21A1D">
          <w:rPr>
            <w:rStyle w:val="Hyperlink"/>
            <w:noProof/>
          </w:rPr>
          <w:t>1.5</w:t>
        </w:r>
        <w:r w:rsidR="00FD3D79">
          <w:rPr>
            <w:rFonts w:eastAsiaTheme="minorEastAsia"/>
            <w:noProof/>
            <w:lang w:eastAsia="en-AU"/>
          </w:rPr>
          <w:tab/>
        </w:r>
        <w:r w:rsidR="00FD3D79" w:rsidRPr="00D21A1D">
          <w:rPr>
            <w:rStyle w:val="Hyperlink"/>
            <w:noProof/>
          </w:rPr>
          <w:t>Target Group</w:t>
        </w:r>
        <w:r w:rsidR="00FD3D79">
          <w:rPr>
            <w:noProof/>
            <w:webHidden/>
          </w:rPr>
          <w:tab/>
        </w:r>
        <w:r w:rsidR="00FD3D79">
          <w:rPr>
            <w:noProof/>
            <w:webHidden/>
          </w:rPr>
          <w:fldChar w:fldCharType="begin"/>
        </w:r>
        <w:r w:rsidR="00FD3D79">
          <w:rPr>
            <w:noProof/>
            <w:webHidden/>
          </w:rPr>
          <w:instrText xml:space="preserve"> PAGEREF _Toc522006556 \h </w:instrText>
        </w:r>
        <w:r w:rsidR="00FD3D79">
          <w:rPr>
            <w:noProof/>
            <w:webHidden/>
          </w:rPr>
        </w:r>
        <w:r w:rsidR="00FD3D79">
          <w:rPr>
            <w:noProof/>
            <w:webHidden/>
          </w:rPr>
          <w:fldChar w:fldCharType="separate"/>
        </w:r>
        <w:r>
          <w:rPr>
            <w:noProof/>
            <w:webHidden/>
          </w:rPr>
          <w:t>10</w:t>
        </w:r>
        <w:r w:rsidR="00FD3D79">
          <w:rPr>
            <w:noProof/>
            <w:webHidden/>
          </w:rPr>
          <w:fldChar w:fldCharType="end"/>
        </w:r>
      </w:hyperlink>
    </w:p>
    <w:p w:rsidR="00FD3D79" w:rsidRDefault="00D45B00">
      <w:pPr>
        <w:pStyle w:val="TOC1"/>
        <w:rPr>
          <w:rFonts w:eastAsiaTheme="minorEastAsia"/>
          <w:b w:val="0"/>
          <w:noProof/>
          <w:sz w:val="22"/>
          <w:lang w:eastAsia="en-AU"/>
        </w:rPr>
      </w:pPr>
      <w:hyperlink w:anchor="_Toc522006557" w:history="1">
        <w:r w:rsidR="00FD3D79" w:rsidRPr="00D21A1D">
          <w:rPr>
            <w:rStyle w:val="Hyperlink"/>
            <w:noProof/>
          </w:rPr>
          <w:t>2.</w:t>
        </w:r>
        <w:r w:rsidR="00FD3D79">
          <w:rPr>
            <w:rFonts w:eastAsiaTheme="minorEastAsia"/>
            <w:b w:val="0"/>
            <w:noProof/>
            <w:sz w:val="22"/>
            <w:lang w:eastAsia="en-AU"/>
          </w:rPr>
          <w:tab/>
        </w:r>
        <w:r w:rsidR="00FD3D79" w:rsidRPr="00D21A1D">
          <w:rPr>
            <w:rStyle w:val="Hyperlink"/>
            <w:noProof/>
          </w:rPr>
          <w:t>Grant amount</w:t>
        </w:r>
        <w:r w:rsidR="00FD3D79">
          <w:rPr>
            <w:noProof/>
            <w:webHidden/>
          </w:rPr>
          <w:tab/>
        </w:r>
        <w:r w:rsidR="00FD3D79">
          <w:rPr>
            <w:noProof/>
            <w:webHidden/>
          </w:rPr>
          <w:fldChar w:fldCharType="begin"/>
        </w:r>
        <w:r w:rsidR="00FD3D79">
          <w:rPr>
            <w:noProof/>
            <w:webHidden/>
          </w:rPr>
          <w:instrText xml:space="preserve"> PAGEREF _Toc522006557 \h </w:instrText>
        </w:r>
        <w:r w:rsidR="00FD3D79">
          <w:rPr>
            <w:noProof/>
            <w:webHidden/>
          </w:rPr>
        </w:r>
        <w:r w:rsidR="00FD3D79">
          <w:rPr>
            <w:noProof/>
            <w:webHidden/>
          </w:rPr>
          <w:fldChar w:fldCharType="separate"/>
        </w:r>
        <w:r>
          <w:rPr>
            <w:noProof/>
            <w:webHidden/>
          </w:rPr>
          <w:t>11</w:t>
        </w:r>
        <w:r w:rsidR="00FD3D79">
          <w:rPr>
            <w:noProof/>
            <w:webHidden/>
          </w:rPr>
          <w:fldChar w:fldCharType="end"/>
        </w:r>
      </w:hyperlink>
    </w:p>
    <w:p w:rsidR="00FD3D79" w:rsidRDefault="00D45B00">
      <w:pPr>
        <w:pStyle w:val="TOC1"/>
        <w:rPr>
          <w:rFonts w:eastAsiaTheme="minorEastAsia"/>
          <w:b w:val="0"/>
          <w:noProof/>
          <w:sz w:val="22"/>
          <w:lang w:eastAsia="en-AU"/>
        </w:rPr>
      </w:pPr>
      <w:hyperlink w:anchor="_Toc522006558" w:history="1">
        <w:r w:rsidR="00FD3D79" w:rsidRPr="00D21A1D">
          <w:rPr>
            <w:rStyle w:val="Hyperlink"/>
            <w:noProof/>
          </w:rPr>
          <w:t>3.</w:t>
        </w:r>
        <w:r w:rsidR="00FD3D79">
          <w:rPr>
            <w:rFonts w:eastAsiaTheme="minorEastAsia"/>
            <w:b w:val="0"/>
            <w:noProof/>
            <w:sz w:val="22"/>
            <w:lang w:eastAsia="en-AU"/>
          </w:rPr>
          <w:tab/>
        </w:r>
        <w:r w:rsidR="00FD3D79" w:rsidRPr="00D21A1D">
          <w:rPr>
            <w:rStyle w:val="Hyperlink"/>
            <w:noProof/>
          </w:rPr>
          <w:t>Grant eligibility criteria</w:t>
        </w:r>
        <w:r w:rsidR="00FD3D79">
          <w:rPr>
            <w:noProof/>
            <w:webHidden/>
          </w:rPr>
          <w:tab/>
        </w:r>
        <w:r w:rsidR="00FD3D79">
          <w:rPr>
            <w:noProof/>
            <w:webHidden/>
          </w:rPr>
          <w:fldChar w:fldCharType="begin"/>
        </w:r>
        <w:r w:rsidR="00FD3D79">
          <w:rPr>
            <w:noProof/>
            <w:webHidden/>
          </w:rPr>
          <w:instrText xml:space="preserve"> PAGEREF _Toc522006558 \h </w:instrText>
        </w:r>
        <w:r w:rsidR="00FD3D79">
          <w:rPr>
            <w:noProof/>
            <w:webHidden/>
          </w:rPr>
        </w:r>
        <w:r w:rsidR="00FD3D79">
          <w:rPr>
            <w:noProof/>
            <w:webHidden/>
          </w:rPr>
          <w:fldChar w:fldCharType="separate"/>
        </w:r>
        <w:r>
          <w:rPr>
            <w:noProof/>
            <w:webHidden/>
          </w:rPr>
          <w:t>11</w:t>
        </w:r>
        <w:r w:rsidR="00FD3D79">
          <w:rPr>
            <w:noProof/>
            <w:webHidden/>
          </w:rPr>
          <w:fldChar w:fldCharType="end"/>
        </w:r>
      </w:hyperlink>
    </w:p>
    <w:p w:rsidR="00FD3D79" w:rsidRDefault="00D45B00">
      <w:pPr>
        <w:pStyle w:val="TOC2"/>
        <w:rPr>
          <w:rFonts w:eastAsiaTheme="minorEastAsia"/>
          <w:noProof/>
          <w:lang w:eastAsia="en-AU"/>
        </w:rPr>
      </w:pPr>
      <w:hyperlink w:anchor="_Toc522006559" w:history="1">
        <w:r w:rsidR="00FD3D79" w:rsidRPr="00D21A1D">
          <w:rPr>
            <w:rStyle w:val="Hyperlink"/>
            <w:rFonts w:cstheme="majorHAnsi"/>
            <w:noProof/>
          </w:rPr>
          <w:t>3.1</w:t>
        </w:r>
        <w:r w:rsidR="00FD3D79">
          <w:rPr>
            <w:rFonts w:eastAsiaTheme="minorEastAsia"/>
            <w:noProof/>
            <w:lang w:eastAsia="en-AU"/>
          </w:rPr>
          <w:tab/>
        </w:r>
        <w:r w:rsidR="00FD3D79" w:rsidRPr="00D21A1D">
          <w:rPr>
            <w:rStyle w:val="Hyperlink"/>
            <w:rFonts w:cstheme="majorHAnsi"/>
            <w:noProof/>
          </w:rPr>
          <w:t>Who is eligible to apply for a grant?</w:t>
        </w:r>
        <w:r w:rsidR="00FD3D79">
          <w:rPr>
            <w:noProof/>
            <w:webHidden/>
          </w:rPr>
          <w:tab/>
        </w:r>
        <w:r w:rsidR="00FD3D79">
          <w:rPr>
            <w:noProof/>
            <w:webHidden/>
          </w:rPr>
          <w:fldChar w:fldCharType="begin"/>
        </w:r>
        <w:r w:rsidR="00FD3D79">
          <w:rPr>
            <w:noProof/>
            <w:webHidden/>
          </w:rPr>
          <w:instrText xml:space="preserve"> PAGEREF _Toc522006559 \h </w:instrText>
        </w:r>
        <w:r w:rsidR="00FD3D79">
          <w:rPr>
            <w:noProof/>
            <w:webHidden/>
          </w:rPr>
        </w:r>
        <w:r w:rsidR="00FD3D79">
          <w:rPr>
            <w:noProof/>
            <w:webHidden/>
          </w:rPr>
          <w:fldChar w:fldCharType="separate"/>
        </w:r>
        <w:r>
          <w:rPr>
            <w:noProof/>
            <w:webHidden/>
          </w:rPr>
          <w:t>11</w:t>
        </w:r>
        <w:r w:rsidR="00FD3D79">
          <w:rPr>
            <w:noProof/>
            <w:webHidden/>
          </w:rPr>
          <w:fldChar w:fldCharType="end"/>
        </w:r>
      </w:hyperlink>
    </w:p>
    <w:p w:rsidR="00FD3D79" w:rsidRDefault="00D45B00">
      <w:pPr>
        <w:pStyle w:val="TOC2"/>
        <w:rPr>
          <w:rFonts w:eastAsiaTheme="minorEastAsia"/>
          <w:noProof/>
          <w:lang w:eastAsia="en-AU"/>
        </w:rPr>
      </w:pPr>
      <w:hyperlink w:anchor="_Toc522006560" w:history="1">
        <w:r w:rsidR="00FD3D79" w:rsidRPr="00D21A1D">
          <w:rPr>
            <w:rStyle w:val="Hyperlink"/>
            <w:noProof/>
          </w:rPr>
          <w:t>3.2</w:t>
        </w:r>
        <w:r w:rsidR="00FD3D79">
          <w:rPr>
            <w:rFonts w:eastAsiaTheme="minorEastAsia"/>
            <w:noProof/>
            <w:lang w:eastAsia="en-AU"/>
          </w:rPr>
          <w:tab/>
        </w:r>
        <w:r w:rsidR="00FD3D79" w:rsidRPr="00D21A1D">
          <w:rPr>
            <w:rStyle w:val="Hyperlink"/>
            <w:noProof/>
          </w:rPr>
          <w:t>Who is not eligible to apply for a grant?</w:t>
        </w:r>
        <w:r w:rsidR="00FD3D79">
          <w:rPr>
            <w:noProof/>
            <w:webHidden/>
          </w:rPr>
          <w:tab/>
        </w:r>
        <w:r w:rsidR="00FD3D79">
          <w:rPr>
            <w:noProof/>
            <w:webHidden/>
          </w:rPr>
          <w:fldChar w:fldCharType="begin"/>
        </w:r>
        <w:r w:rsidR="00FD3D79">
          <w:rPr>
            <w:noProof/>
            <w:webHidden/>
          </w:rPr>
          <w:instrText xml:space="preserve"> PAGEREF _Toc522006560 \h </w:instrText>
        </w:r>
        <w:r w:rsidR="00FD3D79">
          <w:rPr>
            <w:noProof/>
            <w:webHidden/>
          </w:rPr>
        </w:r>
        <w:r w:rsidR="00FD3D79">
          <w:rPr>
            <w:noProof/>
            <w:webHidden/>
          </w:rPr>
          <w:fldChar w:fldCharType="separate"/>
        </w:r>
        <w:r>
          <w:rPr>
            <w:noProof/>
            <w:webHidden/>
          </w:rPr>
          <w:t>13</w:t>
        </w:r>
        <w:r w:rsidR="00FD3D79">
          <w:rPr>
            <w:noProof/>
            <w:webHidden/>
          </w:rPr>
          <w:fldChar w:fldCharType="end"/>
        </w:r>
      </w:hyperlink>
    </w:p>
    <w:p w:rsidR="00FD3D79" w:rsidRDefault="00D45B00">
      <w:pPr>
        <w:pStyle w:val="TOC2"/>
        <w:rPr>
          <w:rFonts w:eastAsiaTheme="minorEastAsia"/>
          <w:noProof/>
          <w:lang w:eastAsia="en-AU"/>
        </w:rPr>
      </w:pPr>
      <w:hyperlink w:anchor="_Toc522006561" w:history="1">
        <w:r w:rsidR="00FD3D79" w:rsidRPr="00D21A1D">
          <w:rPr>
            <w:rStyle w:val="Hyperlink"/>
            <w:noProof/>
          </w:rPr>
          <w:t>3.3</w:t>
        </w:r>
        <w:r w:rsidR="00FD3D79">
          <w:rPr>
            <w:rFonts w:eastAsiaTheme="minorEastAsia"/>
            <w:noProof/>
            <w:lang w:eastAsia="en-AU"/>
          </w:rPr>
          <w:tab/>
        </w:r>
        <w:r w:rsidR="00FD3D79" w:rsidRPr="00D21A1D">
          <w:rPr>
            <w:rStyle w:val="Hyperlink"/>
            <w:noProof/>
          </w:rPr>
          <w:t>What qualifications or skills are required?</w:t>
        </w:r>
        <w:r w:rsidR="00FD3D79">
          <w:rPr>
            <w:noProof/>
            <w:webHidden/>
          </w:rPr>
          <w:tab/>
        </w:r>
        <w:r w:rsidR="00FD3D79">
          <w:rPr>
            <w:noProof/>
            <w:webHidden/>
          </w:rPr>
          <w:fldChar w:fldCharType="begin"/>
        </w:r>
        <w:r w:rsidR="00FD3D79">
          <w:rPr>
            <w:noProof/>
            <w:webHidden/>
          </w:rPr>
          <w:instrText xml:space="preserve"> PAGEREF _Toc522006561 \h </w:instrText>
        </w:r>
        <w:r w:rsidR="00FD3D79">
          <w:rPr>
            <w:noProof/>
            <w:webHidden/>
          </w:rPr>
        </w:r>
        <w:r w:rsidR="00FD3D79">
          <w:rPr>
            <w:noProof/>
            <w:webHidden/>
          </w:rPr>
          <w:fldChar w:fldCharType="separate"/>
        </w:r>
        <w:r>
          <w:rPr>
            <w:noProof/>
            <w:webHidden/>
          </w:rPr>
          <w:t>13</w:t>
        </w:r>
        <w:r w:rsidR="00FD3D79">
          <w:rPr>
            <w:noProof/>
            <w:webHidden/>
          </w:rPr>
          <w:fldChar w:fldCharType="end"/>
        </w:r>
      </w:hyperlink>
    </w:p>
    <w:p w:rsidR="00FD3D79" w:rsidRDefault="00D45B00">
      <w:pPr>
        <w:pStyle w:val="TOC1"/>
        <w:rPr>
          <w:rFonts w:eastAsiaTheme="minorEastAsia"/>
          <w:b w:val="0"/>
          <w:noProof/>
          <w:sz w:val="22"/>
          <w:lang w:eastAsia="en-AU"/>
        </w:rPr>
      </w:pPr>
      <w:hyperlink w:anchor="_Toc522006562" w:history="1">
        <w:r w:rsidR="00FD3D79" w:rsidRPr="00D21A1D">
          <w:rPr>
            <w:rStyle w:val="Hyperlink"/>
            <w:noProof/>
          </w:rPr>
          <w:t>4.</w:t>
        </w:r>
        <w:r w:rsidR="00FD3D79">
          <w:rPr>
            <w:rFonts w:eastAsiaTheme="minorEastAsia"/>
            <w:b w:val="0"/>
            <w:noProof/>
            <w:sz w:val="22"/>
            <w:lang w:eastAsia="en-AU"/>
          </w:rPr>
          <w:tab/>
        </w:r>
        <w:r w:rsidR="00FD3D79" w:rsidRPr="00D21A1D">
          <w:rPr>
            <w:rStyle w:val="Hyperlink"/>
            <w:noProof/>
          </w:rPr>
          <w:t>Eligible grant activities</w:t>
        </w:r>
        <w:r w:rsidR="00FD3D79">
          <w:rPr>
            <w:noProof/>
            <w:webHidden/>
          </w:rPr>
          <w:tab/>
        </w:r>
        <w:r w:rsidR="00FD3D79">
          <w:rPr>
            <w:noProof/>
            <w:webHidden/>
          </w:rPr>
          <w:fldChar w:fldCharType="begin"/>
        </w:r>
        <w:r w:rsidR="00FD3D79">
          <w:rPr>
            <w:noProof/>
            <w:webHidden/>
          </w:rPr>
          <w:instrText xml:space="preserve"> PAGEREF _Toc522006562 \h </w:instrText>
        </w:r>
        <w:r w:rsidR="00FD3D79">
          <w:rPr>
            <w:noProof/>
            <w:webHidden/>
          </w:rPr>
        </w:r>
        <w:r w:rsidR="00FD3D79">
          <w:rPr>
            <w:noProof/>
            <w:webHidden/>
          </w:rPr>
          <w:fldChar w:fldCharType="separate"/>
        </w:r>
        <w:r>
          <w:rPr>
            <w:noProof/>
            <w:webHidden/>
          </w:rPr>
          <w:t>14</w:t>
        </w:r>
        <w:r w:rsidR="00FD3D79">
          <w:rPr>
            <w:noProof/>
            <w:webHidden/>
          </w:rPr>
          <w:fldChar w:fldCharType="end"/>
        </w:r>
      </w:hyperlink>
    </w:p>
    <w:p w:rsidR="00FD3D79" w:rsidRDefault="00D45B00">
      <w:pPr>
        <w:pStyle w:val="TOC2"/>
        <w:rPr>
          <w:rFonts w:eastAsiaTheme="minorEastAsia"/>
          <w:noProof/>
          <w:lang w:eastAsia="en-AU"/>
        </w:rPr>
      </w:pPr>
      <w:hyperlink w:anchor="_Toc522006563" w:history="1">
        <w:r w:rsidR="00FD3D79" w:rsidRPr="00D21A1D">
          <w:rPr>
            <w:rStyle w:val="Hyperlink"/>
            <w:noProof/>
          </w:rPr>
          <w:t>4.1</w:t>
        </w:r>
        <w:r w:rsidR="00FD3D79">
          <w:rPr>
            <w:rFonts w:eastAsiaTheme="minorEastAsia"/>
            <w:noProof/>
            <w:lang w:eastAsia="en-AU"/>
          </w:rPr>
          <w:tab/>
        </w:r>
        <w:r w:rsidR="00FD3D79" w:rsidRPr="00D21A1D">
          <w:rPr>
            <w:rStyle w:val="Hyperlink"/>
            <w:noProof/>
          </w:rPr>
          <w:t>What can the grant money be used for?</w:t>
        </w:r>
        <w:r w:rsidR="00FD3D79">
          <w:rPr>
            <w:noProof/>
            <w:webHidden/>
          </w:rPr>
          <w:tab/>
        </w:r>
        <w:r w:rsidR="00FD3D79">
          <w:rPr>
            <w:noProof/>
            <w:webHidden/>
          </w:rPr>
          <w:fldChar w:fldCharType="begin"/>
        </w:r>
        <w:r w:rsidR="00FD3D79">
          <w:rPr>
            <w:noProof/>
            <w:webHidden/>
          </w:rPr>
          <w:instrText xml:space="preserve"> PAGEREF _Toc522006563 \h </w:instrText>
        </w:r>
        <w:r w:rsidR="00FD3D79">
          <w:rPr>
            <w:noProof/>
            <w:webHidden/>
          </w:rPr>
        </w:r>
        <w:r w:rsidR="00FD3D79">
          <w:rPr>
            <w:noProof/>
            <w:webHidden/>
          </w:rPr>
          <w:fldChar w:fldCharType="separate"/>
        </w:r>
        <w:r>
          <w:rPr>
            <w:noProof/>
            <w:webHidden/>
          </w:rPr>
          <w:t>14</w:t>
        </w:r>
        <w:r w:rsidR="00FD3D79">
          <w:rPr>
            <w:noProof/>
            <w:webHidden/>
          </w:rPr>
          <w:fldChar w:fldCharType="end"/>
        </w:r>
      </w:hyperlink>
    </w:p>
    <w:p w:rsidR="00FD3D79" w:rsidRDefault="00D45B00">
      <w:pPr>
        <w:pStyle w:val="TOC2"/>
        <w:rPr>
          <w:rFonts w:eastAsiaTheme="minorEastAsia"/>
          <w:noProof/>
          <w:lang w:eastAsia="en-AU"/>
        </w:rPr>
      </w:pPr>
      <w:hyperlink w:anchor="_Toc522006564" w:history="1">
        <w:r w:rsidR="00FD3D79" w:rsidRPr="00D21A1D">
          <w:rPr>
            <w:rStyle w:val="Hyperlink"/>
            <w:noProof/>
          </w:rPr>
          <w:t>4.2</w:t>
        </w:r>
        <w:r w:rsidR="00FD3D79">
          <w:rPr>
            <w:rFonts w:eastAsiaTheme="minorEastAsia"/>
            <w:noProof/>
            <w:lang w:eastAsia="en-AU"/>
          </w:rPr>
          <w:tab/>
        </w:r>
        <w:r w:rsidR="00FD3D79" w:rsidRPr="00D21A1D">
          <w:rPr>
            <w:rStyle w:val="Hyperlink"/>
            <w:noProof/>
          </w:rPr>
          <w:t>What the grant money cannot be used for?</w:t>
        </w:r>
        <w:r w:rsidR="00FD3D79">
          <w:rPr>
            <w:noProof/>
            <w:webHidden/>
          </w:rPr>
          <w:tab/>
        </w:r>
        <w:r w:rsidR="00FD3D79">
          <w:rPr>
            <w:noProof/>
            <w:webHidden/>
          </w:rPr>
          <w:fldChar w:fldCharType="begin"/>
        </w:r>
        <w:r w:rsidR="00FD3D79">
          <w:rPr>
            <w:noProof/>
            <w:webHidden/>
          </w:rPr>
          <w:instrText xml:space="preserve"> PAGEREF _Toc522006564 \h </w:instrText>
        </w:r>
        <w:r w:rsidR="00FD3D79">
          <w:rPr>
            <w:noProof/>
            <w:webHidden/>
          </w:rPr>
        </w:r>
        <w:r w:rsidR="00FD3D79">
          <w:rPr>
            <w:noProof/>
            <w:webHidden/>
          </w:rPr>
          <w:fldChar w:fldCharType="separate"/>
        </w:r>
        <w:r>
          <w:rPr>
            <w:noProof/>
            <w:webHidden/>
          </w:rPr>
          <w:t>14</w:t>
        </w:r>
        <w:r w:rsidR="00FD3D79">
          <w:rPr>
            <w:noProof/>
            <w:webHidden/>
          </w:rPr>
          <w:fldChar w:fldCharType="end"/>
        </w:r>
      </w:hyperlink>
    </w:p>
    <w:p w:rsidR="00FD3D79" w:rsidRDefault="00D45B00">
      <w:pPr>
        <w:pStyle w:val="TOC1"/>
        <w:rPr>
          <w:rFonts w:eastAsiaTheme="minorEastAsia"/>
          <w:b w:val="0"/>
          <w:noProof/>
          <w:sz w:val="22"/>
          <w:lang w:eastAsia="en-AU"/>
        </w:rPr>
      </w:pPr>
      <w:hyperlink w:anchor="_Toc522006565" w:history="1">
        <w:r w:rsidR="00FD3D79" w:rsidRPr="00D21A1D">
          <w:rPr>
            <w:rStyle w:val="Hyperlink"/>
            <w:noProof/>
          </w:rPr>
          <w:t>5.</w:t>
        </w:r>
        <w:r w:rsidR="00FD3D79">
          <w:rPr>
            <w:rFonts w:eastAsiaTheme="minorEastAsia"/>
            <w:b w:val="0"/>
            <w:noProof/>
            <w:sz w:val="22"/>
            <w:lang w:eastAsia="en-AU"/>
          </w:rPr>
          <w:tab/>
        </w:r>
        <w:r w:rsidR="00FD3D79" w:rsidRPr="00D21A1D">
          <w:rPr>
            <w:rStyle w:val="Hyperlink"/>
            <w:noProof/>
          </w:rPr>
          <w:t>The grant selection process</w:t>
        </w:r>
        <w:r w:rsidR="00FD3D79">
          <w:rPr>
            <w:noProof/>
            <w:webHidden/>
          </w:rPr>
          <w:tab/>
        </w:r>
        <w:r w:rsidR="00FD3D79">
          <w:rPr>
            <w:noProof/>
            <w:webHidden/>
          </w:rPr>
          <w:fldChar w:fldCharType="begin"/>
        </w:r>
        <w:r w:rsidR="00FD3D79">
          <w:rPr>
            <w:noProof/>
            <w:webHidden/>
          </w:rPr>
          <w:instrText xml:space="preserve"> PAGEREF _Toc522006565 \h </w:instrText>
        </w:r>
        <w:r w:rsidR="00FD3D79">
          <w:rPr>
            <w:noProof/>
            <w:webHidden/>
          </w:rPr>
        </w:r>
        <w:r w:rsidR="00FD3D79">
          <w:rPr>
            <w:noProof/>
            <w:webHidden/>
          </w:rPr>
          <w:fldChar w:fldCharType="separate"/>
        </w:r>
        <w:r>
          <w:rPr>
            <w:noProof/>
            <w:webHidden/>
          </w:rPr>
          <w:t>15</w:t>
        </w:r>
        <w:r w:rsidR="00FD3D79">
          <w:rPr>
            <w:noProof/>
            <w:webHidden/>
          </w:rPr>
          <w:fldChar w:fldCharType="end"/>
        </w:r>
      </w:hyperlink>
    </w:p>
    <w:p w:rsidR="00FD3D79" w:rsidRDefault="00D45B00">
      <w:pPr>
        <w:pStyle w:val="TOC1"/>
        <w:rPr>
          <w:rFonts w:eastAsiaTheme="minorEastAsia"/>
          <w:b w:val="0"/>
          <w:noProof/>
          <w:sz w:val="22"/>
          <w:lang w:eastAsia="en-AU"/>
        </w:rPr>
      </w:pPr>
      <w:hyperlink w:anchor="_Toc522006566" w:history="1">
        <w:r w:rsidR="00FD3D79" w:rsidRPr="00D21A1D">
          <w:rPr>
            <w:rStyle w:val="Hyperlink"/>
            <w:noProof/>
          </w:rPr>
          <w:t>6.</w:t>
        </w:r>
        <w:r w:rsidR="00FD3D79">
          <w:rPr>
            <w:rFonts w:eastAsiaTheme="minorEastAsia"/>
            <w:b w:val="0"/>
            <w:noProof/>
            <w:sz w:val="22"/>
            <w:lang w:eastAsia="en-AU"/>
          </w:rPr>
          <w:tab/>
        </w:r>
        <w:r w:rsidR="00FD3D79" w:rsidRPr="00D21A1D">
          <w:rPr>
            <w:rStyle w:val="Hyperlink"/>
            <w:noProof/>
          </w:rPr>
          <w:t>The grant application process</w:t>
        </w:r>
        <w:r w:rsidR="00FD3D79">
          <w:rPr>
            <w:noProof/>
            <w:webHidden/>
          </w:rPr>
          <w:tab/>
        </w:r>
        <w:r w:rsidR="00FD3D79">
          <w:rPr>
            <w:noProof/>
            <w:webHidden/>
          </w:rPr>
          <w:fldChar w:fldCharType="begin"/>
        </w:r>
        <w:r w:rsidR="00FD3D79">
          <w:rPr>
            <w:noProof/>
            <w:webHidden/>
          </w:rPr>
          <w:instrText xml:space="preserve"> PAGEREF _Toc522006566 \h </w:instrText>
        </w:r>
        <w:r w:rsidR="00FD3D79">
          <w:rPr>
            <w:noProof/>
            <w:webHidden/>
          </w:rPr>
        </w:r>
        <w:r w:rsidR="00FD3D79">
          <w:rPr>
            <w:noProof/>
            <w:webHidden/>
          </w:rPr>
          <w:fldChar w:fldCharType="separate"/>
        </w:r>
        <w:r>
          <w:rPr>
            <w:noProof/>
            <w:webHidden/>
          </w:rPr>
          <w:t>15</w:t>
        </w:r>
        <w:r w:rsidR="00FD3D79">
          <w:rPr>
            <w:noProof/>
            <w:webHidden/>
          </w:rPr>
          <w:fldChar w:fldCharType="end"/>
        </w:r>
      </w:hyperlink>
    </w:p>
    <w:p w:rsidR="00FD3D79" w:rsidRDefault="00D45B00">
      <w:pPr>
        <w:pStyle w:val="TOC2"/>
        <w:rPr>
          <w:rFonts w:eastAsiaTheme="minorEastAsia"/>
          <w:noProof/>
          <w:lang w:eastAsia="en-AU"/>
        </w:rPr>
      </w:pPr>
      <w:hyperlink w:anchor="_Toc522006567" w:history="1">
        <w:r w:rsidR="00FD3D79" w:rsidRPr="00D21A1D">
          <w:rPr>
            <w:rStyle w:val="Hyperlink"/>
            <w:noProof/>
          </w:rPr>
          <w:t>6.1</w:t>
        </w:r>
        <w:r w:rsidR="00FD3D79">
          <w:rPr>
            <w:rFonts w:eastAsiaTheme="minorEastAsia"/>
            <w:noProof/>
            <w:lang w:eastAsia="en-AU"/>
          </w:rPr>
          <w:tab/>
        </w:r>
        <w:r w:rsidR="00FD3D79" w:rsidRPr="00D21A1D">
          <w:rPr>
            <w:rStyle w:val="Hyperlink"/>
            <w:noProof/>
          </w:rPr>
          <w:t>Overview of application process</w:t>
        </w:r>
        <w:r w:rsidR="00FD3D79">
          <w:rPr>
            <w:noProof/>
            <w:webHidden/>
          </w:rPr>
          <w:tab/>
        </w:r>
        <w:r w:rsidR="00FD3D79">
          <w:rPr>
            <w:noProof/>
            <w:webHidden/>
          </w:rPr>
          <w:fldChar w:fldCharType="begin"/>
        </w:r>
        <w:r w:rsidR="00FD3D79">
          <w:rPr>
            <w:noProof/>
            <w:webHidden/>
          </w:rPr>
          <w:instrText xml:space="preserve"> PAGEREF _Toc522006567 \h </w:instrText>
        </w:r>
        <w:r w:rsidR="00FD3D79">
          <w:rPr>
            <w:noProof/>
            <w:webHidden/>
          </w:rPr>
        </w:r>
        <w:r w:rsidR="00FD3D79">
          <w:rPr>
            <w:noProof/>
            <w:webHidden/>
          </w:rPr>
          <w:fldChar w:fldCharType="separate"/>
        </w:r>
        <w:r>
          <w:rPr>
            <w:noProof/>
            <w:webHidden/>
          </w:rPr>
          <w:t>15</w:t>
        </w:r>
        <w:r w:rsidR="00FD3D79">
          <w:rPr>
            <w:noProof/>
            <w:webHidden/>
          </w:rPr>
          <w:fldChar w:fldCharType="end"/>
        </w:r>
      </w:hyperlink>
    </w:p>
    <w:p w:rsidR="00FD3D79" w:rsidRDefault="00D45B00">
      <w:pPr>
        <w:pStyle w:val="TOC2"/>
        <w:rPr>
          <w:rFonts w:eastAsiaTheme="minorEastAsia"/>
          <w:noProof/>
          <w:lang w:eastAsia="en-AU"/>
        </w:rPr>
      </w:pPr>
      <w:hyperlink w:anchor="_Toc522006568" w:history="1">
        <w:r w:rsidR="00FD3D79" w:rsidRPr="00D21A1D">
          <w:rPr>
            <w:rStyle w:val="Hyperlink"/>
            <w:noProof/>
          </w:rPr>
          <w:t>6.2</w:t>
        </w:r>
        <w:r w:rsidR="00FD3D79">
          <w:rPr>
            <w:rFonts w:eastAsiaTheme="minorEastAsia"/>
            <w:noProof/>
            <w:lang w:eastAsia="en-AU"/>
          </w:rPr>
          <w:tab/>
        </w:r>
        <w:r w:rsidR="00FD3D79" w:rsidRPr="00D21A1D">
          <w:rPr>
            <w:rStyle w:val="Hyperlink"/>
            <w:noProof/>
          </w:rPr>
          <w:t>Application process timing</w:t>
        </w:r>
        <w:r w:rsidR="00FD3D79">
          <w:rPr>
            <w:noProof/>
            <w:webHidden/>
          </w:rPr>
          <w:tab/>
        </w:r>
        <w:r w:rsidR="00FD3D79">
          <w:rPr>
            <w:noProof/>
            <w:webHidden/>
          </w:rPr>
          <w:fldChar w:fldCharType="begin"/>
        </w:r>
        <w:r w:rsidR="00FD3D79">
          <w:rPr>
            <w:noProof/>
            <w:webHidden/>
          </w:rPr>
          <w:instrText xml:space="preserve"> PAGEREF _Toc522006568 \h </w:instrText>
        </w:r>
        <w:r w:rsidR="00FD3D79">
          <w:rPr>
            <w:noProof/>
            <w:webHidden/>
          </w:rPr>
        </w:r>
        <w:r w:rsidR="00FD3D79">
          <w:rPr>
            <w:noProof/>
            <w:webHidden/>
          </w:rPr>
          <w:fldChar w:fldCharType="separate"/>
        </w:r>
        <w:r>
          <w:rPr>
            <w:noProof/>
            <w:webHidden/>
          </w:rPr>
          <w:t>15</w:t>
        </w:r>
        <w:r w:rsidR="00FD3D79">
          <w:rPr>
            <w:noProof/>
            <w:webHidden/>
          </w:rPr>
          <w:fldChar w:fldCharType="end"/>
        </w:r>
      </w:hyperlink>
    </w:p>
    <w:p w:rsidR="00FD3D79" w:rsidRDefault="00D45B00">
      <w:pPr>
        <w:pStyle w:val="TOC2"/>
        <w:rPr>
          <w:rFonts w:eastAsiaTheme="minorEastAsia"/>
          <w:noProof/>
          <w:lang w:eastAsia="en-AU"/>
        </w:rPr>
      </w:pPr>
      <w:hyperlink w:anchor="_Toc522006569" w:history="1">
        <w:r w:rsidR="00FD3D79" w:rsidRPr="00D21A1D">
          <w:rPr>
            <w:rStyle w:val="Hyperlink"/>
            <w:noProof/>
          </w:rPr>
          <w:t>6.3</w:t>
        </w:r>
        <w:r w:rsidR="00FD3D79">
          <w:rPr>
            <w:rFonts w:eastAsiaTheme="minorEastAsia"/>
            <w:noProof/>
            <w:lang w:eastAsia="en-AU"/>
          </w:rPr>
          <w:tab/>
        </w:r>
        <w:r w:rsidR="00FD3D79" w:rsidRPr="00D21A1D">
          <w:rPr>
            <w:rStyle w:val="Hyperlink"/>
            <w:noProof/>
          </w:rPr>
          <w:t>Completing the Letter of Invitation</w:t>
        </w:r>
        <w:r w:rsidR="00FD3D79">
          <w:rPr>
            <w:noProof/>
            <w:webHidden/>
          </w:rPr>
          <w:tab/>
        </w:r>
        <w:r w:rsidR="00FD3D79">
          <w:rPr>
            <w:noProof/>
            <w:webHidden/>
          </w:rPr>
          <w:fldChar w:fldCharType="begin"/>
        </w:r>
        <w:r w:rsidR="00FD3D79">
          <w:rPr>
            <w:noProof/>
            <w:webHidden/>
          </w:rPr>
          <w:instrText xml:space="preserve"> PAGEREF _Toc522006569 \h </w:instrText>
        </w:r>
        <w:r w:rsidR="00FD3D79">
          <w:rPr>
            <w:noProof/>
            <w:webHidden/>
          </w:rPr>
        </w:r>
        <w:r w:rsidR="00FD3D79">
          <w:rPr>
            <w:noProof/>
            <w:webHidden/>
          </w:rPr>
          <w:fldChar w:fldCharType="separate"/>
        </w:r>
        <w:r>
          <w:rPr>
            <w:noProof/>
            <w:webHidden/>
          </w:rPr>
          <w:t>16</w:t>
        </w:r>
        <w:r w:rsidR="00FD3D79">
          <w:rPr>
            <w:noProof/>
            <w:webHidden/>
          </w:rPr>
          <w:fldChar w:fldCharType="end"/>
        </w:r>
      </w:hyperlink>
    </w:p>
    <w:p w:rsidR="00FD3D79" w:rsidRDefault="00D45B00">
      <w:pPr>
        <w:pStyle w:val="TOC2"/>
        <w:rPr>
          <w:rFonts w:eastAsiaTheme="minorEastAsia"/>
          <w:noProof/>
          <w:lang w:eastAsia="en-AU"/>
        </w:rPr>
      </w:pPr>
      <w:hyperlink w:anchor="_Toc522006570" w:history="1">
        <w:r w:rsidR="00FD3D79" w:rsidRPr="00D21A1D">
          <w:rPr>
            <w:rStyle w:val="Hyperlink"/>
            <w:noProof/>
          </w:rPr>
          <w:t>6.4</w:t>
        </w:r>
        <w:r w:rsidR="00FD3D79">
          <w:rPr>
            <w:rFonts w:eastAsiaTheme="minorEastAsia"/>
            <w:noProof/>
            <w:lang w:eastAsia="en-AU"/>
          </w:rPr>
          <w:tab/>
        </w:r>
        <w:r w:rsidR="00FD3D79" w:rsidRPr="00D21A1D">
          <w:rPr>
            <w:rStyle w:val="Hyperlink"/>
            <w:noProof/>
          </w:rPr>
          <w:t>Questions during the application process</w:t>
        </w:r>
        <w:r w:rsidR="00FD3D79">
          <w:rPr>
            <w:noProof/>
            <w:webHidden/>
          </w:rPr>
          <w:tab/>
        </w:r>
        <w:r w:rsidR="00FD3D79">
          <w:rPr>
            <w:noProof/>
            <w:webHidden/>
          </w:rPr>
          <w:fldChar w:fldCharType="begin"/>
        </w:r>
        <w:r w:rsidR="00FD3D79">
          <w:rPr>
            <w:noProof/>
            <w:webHidden/>
          </w:rPr>
          <w:instrText xml:space="preserve"> PAGEREF _Toc522006570 \h </w:instrText>
        </w:r>
        <w:r w:rsidR="00FD3D79">
          <w:rPr>
            <w:noProof/>
            <w:webHidden/>
          </w:rPr>
        </w:r>
        <w:r w:rsidR="00FD3D79">
          <w:rPr>
            <w:noProof/>
            <w:webHidden/>
          </w:rPr>
          <w:fldChar w:fldCharType="separate"/>
        </w:r>
        <w:r>
          <w:rPr>
            <w:noProof/>
            <w:webHidden/>
          </w:rPr>
          <w:t>16</w:t>
        </w:r>
        <w:r w:rsidR="00FD3D79">
          <w:rPr>
            <w:noProof/>
            <w:webHidden/>
          </w:rPr>
          <w:fldChar w:fldCharType="end"/>
        </w:r>
      </w:hyperlink>
    </w:p>
    <w:p w:rsidR="00FD3D79" w:rsidRDefault="00D45B00">
      <w:pPr>
        <w:pStyle w:val="TOC2"/>
        <w:rPr>
          <w:rFonts w:eastAsiaTheme="minorEastAsia"/>
          <w:noProof/>
          <w:lang w:eastAsia="en-AU"/>
        </w:rPr>
      </w:pPr>
      <w:hyperlink w:anchor="_Toc522006571" w:history="1">
        <w:r w:rsidR="00FD3D79" w:rsidRPr="00D21A1D">
          <w:rPr>
            <w:rStyle w:val="Hyperlink"/>
            <w:noProof/>
          </w:rPr>
          <w:t>6.5</w:t>
        </w:r>
        <w:r w:rsidR="00FD3D79">
          <w:rPr>
            <w:rFonts w:eastAsiaTheme="minorEastAsia"/>
            <w:noProof/>
            <w:lang w:eastAsia="en-AU"/>
          </w:rPr>
          <w:tab/>
        </w:r>
        <w:r w:rsidR="00FD3D79" w:rsidRPr="00D21A1D">
          <w:rPr>
            <w:rStyle w:val="Hyperlink"/>
            <w:noProof/>
          </w:rPr>
          <w:t>Further grant opportunities</w:t>
        </w:r>
        <w:r w:rsidR="00FD3D79">
          <w:rPr>
            <w:noProof/>
            <w:webHidden/>
          </w:rPr>
          <w:tab/>
        </w:r>
        <w:r w:rsidR="00FD3D79">
          <w:rPr>
            <w:noProof/>
            <w:webHidden/>
          </w:rPr>
          <w:fldChar w:fldCharType="begin"/>
        </w:r>
        <w:r w:rsidR="00FD3D79">
          <w:rPr>
            <w:noProof/>
            <w:webHidden/>
          </w:rPr>
          <w:instrText xml:space="preserve"> PAGEREF _Toc522006571 \h </w:instrText>
        </w:r>
        <w:r w:rsidR="00FD3D79">
          <w:rPr>
            <w:noProof/>
            <w:webHidden/>
          </w:rPr>
        </w:r>
        <w:r w:rsidR="00FD3D79">
          <w:rPr>
            <w:noProof/>
            <w:webHidden/>
          </w:rPr>
          <w:fldChar w:fldCharType="separate"/>
        </w:r>
        <w:r>
          <w:rPr>
            <w:noProof/>
            <w:webHidden/>
          </w:rPr>
          <w:t>17</w:t>
        </w:r>
        <w:r w:rsidR="00FD3D79">
          <w:rPr>
            <w:noProof/>
            <w:webHidden/>
          </w:rPr>
          <w:fldChar w:fldCharType="end"/>
        </w:r>
      </w:hyperlink>
    </w:p>
    <w:p w:rsidR="00FD3D79" w:rsidRDefault="00D45B00">
      <w:pPr>
        <w:pStyle w:val="TOC1"/>
        <w:rPr>
          <w:rFonts w:eastAsiaTheme="minorEastAsia"/>
          <w:b w:val="0"/>
          <w:noProof/>
          <w:sz w:val="22"/>
          <w:lang w:eastAsia="en-AU"/>
        </w:rPr>
      </w:pPr>
      <w:hyperlink w:anchor="_Toc522006572" w:history="1">
        <w:r w:rsidR="00FD3D79" w:rsidRPr="00D21A1D">
          <w:rPr>
            <w:rStyle w:val="Hyperlink"/>
            <w:noProof/>
          </w:rPr>
          <w:t>7.</w:t>
        </w:r>
        <w:r w:rsidR="00FD3D79">
          <w:rPr>
            <w:rFonts w:eastAsiaTheme="minorEastAsia"/>
            <w:b w:val="0"/>
            <w:noProof/>
            <w:sz w:val="22"/>
            <w:lang w:eastAsia="en-AU"/>
          </w:rPr>
          <w:tab/>
        </w:r>
        <w:r w:rsidR="00FD3D79" w:rsidRPr="00D21A1D">
          <w:rPr>
            <w:rStyle w:val="Hyperlink"/>
            <w:noProof/>
          </w:rPr>
          <w:t>Assessment of grant applications</w:t>
        </w:r>
        <w:r w:rsidR="00FD3D79">
          <w:rPr>
            <w:noProof/>
            <w:webHidden/>
          </w:rPr>
          <w:tab/>
        </w:r>
        <w:r w:rsidR="00FD3D79">
          <w:rPr>
            <w:noProof/>
            <w:webHidden/>
          </w:rPr>
          <w:fldChar w:fldCharType="begin"/>
        </w:r>
        <w:r w:rsidR="00FD3D79">
          <w:rPr>
            <w:noProof/>
            <w:webHidden/>
          </w:rPr>
          <w:instrText xml:space="preserve"> PAGEREF _Toc522006572 \h </w:instrText>
        </w:r>
        <w:r w:rsidR="00FD3D79">
          <w:rPr>
            <w:noProof/>
            <w:webHidden/>
          </w:rPr>
        </w:r>
        <w:r w:rsidR="00FD3D79">
          <w:rPr>
            <w:noProof/>
            <w:webHidden/>
          </w:rPr>
          <w:fldChar w:fldCharType="separate"/>
        </w:r>
        <w:r>
          <w:rPr>
            <w:noProof/>
            <w:webHidden/>
          </w:rPr>
          <w:t>17</w:t>
        </w:r>
        <w:r w:rsidR="00FD3D79">
          <w:rPr>
            <w:noProof/>
            <w:webHidden/>
          </w:rPr>
          <w:fldChar w:fldCharType="end"/>
        </w:r>
      </w:hyperlink>
    </w:p>
    <w:p w:rsidR="00FD3D79" w:rsidRDefault="00D45B00">
      <w:pPr>
        <w:pStyle w:val="TOC1"/>
        <w:rPr>
          <w:rFonts w:eastAsiaTheme="minorEastAsia"/>
          <w:b w:val="0"/>
          <w:noProof/>
          <w:sz w:val="22"/>
          <w:lang w:eastAsia="en-AU"/>
        </w:rPr>
      </w:pPr>
      <w:hyperlink w:anchor="_Toc522006573" w:history="1">
        <w:r w:rsidR="00FD3D79" w:rsidRPr="00D21A1D">
          <w:rPr>
            <w:rStyle w:val="Hyperlink"/>
            <w:noProof/>
          </w:rPr>
          <w:t>8.</w:t>
        </w:r>
        <w:r w:rsidR="00FD3D79">
          <w:rPr>
            <w:rFonts w:eastAsiaTheme="minorEastAsia"/>
            <w:b w:val="0"/>
            <w:noProof/>
            <w:sz w:val="22"/>
            <w:lang w:eastAsia="en-AU"/>
          </w:rPr>
          <w:tab/>
        </w:r>
        <w:r w:rsidR="00FD3D79" w:rsidRPr="00D21A1D">
          <w:rPr>
            <w:rStyle w:val="Hyperlink"/>
            <w:noProof/>
          </w:rPr>
          <w:t>Who will approve grants?</w:t>
        </w:r>
        <w:r w:rsidR="00FD3D79">
          <w:rPr>
            <w:noProof/>
            <w:webHidden/>
          </w:rPr>
          <w:tab/>
        </w:r>
        <w:r w:rsidR="00FD3D79">
          <w:rPr>
            <w:noProof/>
            <w:webHidden/>
          </w:rPr>
          <w:fldChar w:fldCharType="begin"/>
        </w:r>
        <w:r w:rsidR="00FD3D79">
          <w:rPr>
            <w:noProof/>
            <w:webHidden/>
          </w:rPr>
          <w:instrText xml:space="preserve"> PAGEREF _Toc522006573 \h </w:instrText>
        </w:r>
        <w:r w:rsidR="00FD3D79">
          <w:rPr>
            <w:noProof/>
            <w:webHidden/>
          </w:rPr>
        </w:r>
        <w:r w:rsidR="00FD3D79">
          <w:rPr>
            <w:noProof/>
            <w:webHidden/>
          </w:rPr>
          <w:fldChar w:fldCharType="separate"/>
        </w:r>
        <w:r>
          <w:rPr>
            <w:noProof/>
            <w:webHidden/>
          </w:rPr>
          <w:t>17</w:t>
        </w:r>
        <w:r w:rsidR="00FD3D79">
          <w:rPr>
            <w:noProof/>
            <w:webHidden/>
          </w:rPr>
          <w:fldChar w:fldCharType="end"/>
        </w:r>
      </w:hyperlink>
    </w:p>
    <w:p w:rsidR="00FD3D79" w:rsidRDefault="00D45B00">
      <w:pPr>
        <w:pStyle w:val="TOC1"/>
        <w:rPr>
          <w:rFonts w:eastAsiaTheme="minorEastAsia"/>
          <w:b w:val="0"/>
          <w:noProof/>
          <w:sz w:val="22"/>
          <w:lang w:eastAsia="en-AU"/>
        </w:rPr>
      </w:pPr>
      <w:hyperlink w:anchor="_Toc522006574" w:history="1">
        <w:r w:rsidR="00FD3D79" w:rsidRPr="00D21A1D">
          <w:rPr>
            <w:rStyle w:val="Hyperlink"/>
            <w:noProof/>
          </w:rPr>
          <w:t>9.</w:t>
        </w:r>
        <w:r w:rsidR="00FD3D79">
          <w:rPr>
            <w:rFonts w:eastAsiaTheme="minorEastAsia"/>
            <w:b w:val="0"/>
            <w:noProof/>
            <w:sz w:val="22"/>
            <w:lang w:eastAsia="en-AU"/>
          </w:rPr>
          <w:tab/>
        </w:r>
        <w:r w:rsidR="00FD3D79" w:rsidRPr="00D21A1D">
          <w:rPr>
            <w:rStyle w:val="Hyperlink"/>
            <w:noProof/>
          </w:rPr>
          <w:t>Notification of application outcomes</w:t>
        </w:r>
        <w:r w:rsidR="00FD3D79">
          <w:rPr>
            <w:noProof/>
            <w:webHidden/>
          </w:rPr>
          <w:tab/>
        </w:r>
        <w:r w:rsidR="00FD3D79">
          <w:rPr>
            <w:noProof/>
            <w:webHidden/>
          </w:rPr>
          <w:fldChar w:fldCharType="begin"/>
        </w:r>
        <w:r w:rsidR="00FD3D79">
          <w:rPr>
            <w:noProof/>
            <w:webHidden/>
          </w:rPr>
          <w:instrText xml:space="preserve"> PAGEREF _Toc522006574 \h </w:instrText>
        </w:r>
        <w:r w:rsidR="00FD3D79">
          <w:rPr>
            <w:noProof/>
            <w:webHidden/>
          </w:rPr>
        </w:r>
        <w:r w:rsidR="00FD3D79">
          <w:rPr>
            <w:noProof/>
            <w:webHidden/>
          </w:rPr>
          <w:fldChar w:fldCharType="separate"/>
        </w:r>
        <w:r>
          <w:rPr>
            <w:noProof/>
            <w:webHidden/>
          </w:rPr>
          <w:t>17</w:t>
        </w:r>
        <w:r w:rsidR="00FD3D79">
          <w:rPr>
            <w:noProof/>
            <w:webHidden/>
          </w:rPr>
          <w:fldChar w:fldCharType="end"/>
        </w:r>
      </w:hyperlink>
    </w:p>
    <w:p w:rsidR="00FD3D79" w:rsidRDefault="00D45B00">
      <w:pPr>
        <w:pStyle w:val="TOC1"/>
        <w:rPr>
          <w:rFonts w:eastAsiaTheme="minorEastAsia"/>
          <w:b w:val="0"/>
          <w:noProof/>
          <w:sz w:val="22"/>
          <w:lang w:eastAsia="en-AU"/>
        </w:rPr>
      </w:pPr>
      <w:hyperlink w:anchor="_Toc522006575" w:history="1">
        <w:r w:rsidR="00FD3D79" w:rsidRPr="00D21A1D">
          <w:rPr>
            <w:rStyle w:val="Hyperlink"/>
            <w:noProof/>
          </w:rPr>
          <w:t>10.</w:t>
        </w:r>
        <w:r w:rsidR="00FD3D79">
          <w:rPr>
            <w:rFonts w:eastAsiaTheme="minorEastAsia"/>
            <w:b w:val="0"/>
            <w:noProof/>
            <w:sz w:val="22"/>
            <w:lang w:eastAsia="en-AU"/>
          </w:rPr>
          <w:tab/>
        </w:r>
        <w:r w:rsidR="00FD3D79" w:rsidRPr="00D21A1D">
          <w:rPr>
            <w:rStyle w:val="Hyperlink"/>
            <w:noProof/>
          </w:rPr>
          <w:t>Successful grant applications</w:t>
        </w:r>
        <w:r w:rsidR="00FD3D79">
          <w:rPr>
            <w:noProof/>
            <w:webHidden/>
          </w:rPr>
          <w:tab/>
        </w:r>
        <w:r w:rsidR="00FD3D79">
          <w:rPr>
            <w:noProof/>
            <w:webHidden/>
          </w:rPr>
          <w:fldChar w:fldCharType="begin"/>
        </w:r>
        <w:r w:rsidR="00FD3D79">
          <w:rPr>
            <w:noProof/>
            <w:webHidden/>
          </w:rPr>
          <w:instrText xml:space="preserve"> PAGEREF _Toc522006575 \h </w:instrText>
        </w:r>
        <w:r w:rsidR="00FD3D79">
          <w:rPr>
            <w:noProof/>
            <w:webHidden/>
          </w:rPr>
        </w:r>
        <w:r w:rsidR="00FD3D79">
          <w:rPr>
            <w:noProof/>
            <w:webHidden/>
          </w:rPr>
          <w:fldChar w:fldCharType="separate"/>
        </w:r>
        <w:r>
          <w:rPr>
            <w:noProof/>
            <w:webHidden/>
          </w:rPr>
          <w:t>18</w:t>
        </w:r>
        <w:r w:rsidR="00FD3D79">
          <w:rPr>
            <w:noProof/>
            <w:webHidden/>
          </w:rPr>
          <w:fldChar w:fldCharType="end"/>
        </w:r>
      </w:hyperlink>
    </w:p>
    <w:p w:rsidR="00FD3D79" w:rsidRDefault="00D45B00">
      <w:pPr>
        <w:pStyle w:val="TOC2"/>
        <w:rPr>
          <w:rFonts w:eastAsiaTheme="minorEastAsia"/>
          <w:noProof/>
          <w:lang w:eastAsia="en-AU"/>
        </w:rPr>
      </w:pPr>
      <w:hyperlink w:anchor="_Toc522006576" w:history="1">
        <w:r w:rsidR="00FD3D79" w:rsidRPr="00D21A1D">
          <w:rPr>
            <w:rStyle w:val="Hyperlink"/>
            <w:noProof/>
          </w:rPr>
          <w:t>10.1</w:t>
        </w:r>
        <w:r w:rsidR="00FD3D79">
          <w:rPr>
            <w:rFonts w:eastAsiaTheme="minorEastAsia"/>
            <w:noProof/>
            <w:lang w:eastAsia="en-AU"/>
          </w:rPr>
          <w:tab/>
        </w:r>
        <w:r w:rsidR="00FD3D79" w:rsidRPr="00D21A1D">
          <w:rPr>
            <w:rStyle w:val="Hyperlink"/>
            <w:noProof/>
          </w:rPr>
          <w:t>The grant agreement</w:t>
        </w:r>
        <w:r w:rsidR="00FD3D79">
          <w:rPr>
            <w:noProof/>
            <w:webHidden/>
          </w:rPr>
          <w:tab/>
        </w:r>
        <w:r w:rsidR="00FD3D79">
          <w:rPr>
            <w:noProof/>
            <w:webHidden/>
          </w:rPr>
          <w:fldChar w:fldCharType="begin"/>
        </w:r>
        <w:r w:rsidR="00FD3D79">
          <w:rPr>
            <w:noProof/>
            <w:webHidden/>
          </w:rPr>
          <w:instrText xml:space="preserve"> PAGEREF _Toc522006576 \h </w:instrText>
        </w:r>
        <w:r w:rsidR="00FD3D79">
          <w:rPr>
            <w:noProof/>
            <w:webHidden/>
          </w:rPr>
        </w:r>
        <w:r w:rsidR="00FD3D79">
          <w:rPr>
            <w:noProof/>
            <w:webHidden/>
          </w:rPr>
          <w:fldChar w:fldCharType="separate"/>
        </w:r>
        <w:r>
          <w:rPr>
            <w:noProof/>
            <w:webHidden/>
          </w:rPr>
          <w:t>18</w:t>
        </w:r>
        <w:r w:rsidR="00FD3D79">
          <w:rPr>
            <w:noProof/>
            <w:webHidden/>
          </w:rPr>
          <w:fldChar w:fldCharType="end"/>
        </w:r>
      </w:hyperlink>
    </w:p>
    <w:p w:rsidR="00FD3D79" w:rsidRDefault="00D45B00">
      <w:pPr>
        <w:pStyle w:val="TOC2"/>
        <w:rPr>
          <w:rFonts w:eastAsiaTheme="minorEastAsia"/>
          <w:noProof/>
          <w:lang w:eastAsia="en-AU"/>
        </w:rPr>
      </w:pPr>
      <w:hyperlink w:anchor="_Toc522006577" w:history="1">
        <w:r w:rsidR="00FD3D79" w:rsidRPr="00D21A1D">
          <w:rPr>
            <w:rStyle w:val="Hyperlink"/>
            <w:noProof/>
          </w:rPr>
          <w:t>10.2</w:t>
        </w:r>
        <w:r w:rsidR="00FD3D79">
          <w:rPr>
            <w:rFonts w:eastAsiaTheme="minorEastAsia"/>
            <w:noProof/>
            <w:lang w:eastAsia="en-AU"/>
          </w:rPr>
          <w:tab/>
        </w:r>
        <w:r w:rsidR="00FD3D79" w:rsidRPr="00D21A1D">
          <w:rPr>
            <w:rStyle w:val="Hyperlink"/>
            <w:noProof/>
          </w:rPr>
          <w:t>How the grant will be paid</w:t>
        </w:r>
        <w:r w:rsidR="00FD3D79">
          <w:rPr>
            <w:noProof/>
            <w:webHidden/>
          </w:rPr>
          <w:tab/>
        </w:r>
        <w:r w:rsidR="00FD3D79">
          <w:rPr>
            <w:noProof/>
            <w:webHidden/>
          </w:rPr>
          <w:fldChar w:fldCharType="begin"/>
        </w:r>
        <w:r w:rsidR="00FD3D79">
          <w:rPr>
            <w:noProof/>
            <w:webHidden/>
          </w:rPr>
          <w:instrText xml:space="preserve"> PAGEREF _Toc522006577 \h </w:instrText>
        </w:r>
        <w:r w:rsidR="00FD3D79">
          <w:rPr>
            <w:noProof/>
            <w:webHidden/>
          </w:rPr>
        </w:r>
        <w:r w:rsidR="00FD3D79">
          <w:rPr>
            <w:noProof/>
            <w:webHidden/>
          </w:rPr>
          <w:fldChar w:fldCharType="separate"/>
        </w:r>
        <w:r>
          <w:rPr>
            <w:noProof/>
            <w:webHidden/>
          </w:rPr>
          <w:t>18</w:t>
        </w:r>
        <w:r w:rsidR="00FD3D79">
          <w:rPr>
            <w:noProof/>
            <w:webHidden/>
          </w:rPr>
          <w:fldChar w:fldCharType="end"/>
        </w:r>
      </w:hyperlink>
    </w:p>
    <w:p w:rsidR="00FD3D79" w:rsidRDefault="00D45B00">
      <w:pPr>
        <w:pStyle w:val="TOC1"/>
        <w:rPr>
          <w:rFonts w:eastAsiaTheme="minorEastAsia"/>
          <w:b w:val="0"/>
          <w:noProof/>
          <w:sz w:val="22"/>
          <w:lang w:eastAsia="en-AU"/>
        </w:rPr>
      </w:pPr>
      <w:hyperlink w:anchor="_Toc522006578" w:history="1">
        <w:r w:rsidR="00FD3D79" w:rsidRPr="00D21A1D">
          <w:rPr>
            <w:rStyle w:val="Hyperlink"/>
            <w:noProof/>
          </w:rPr>
          <w:t>11.</w:t>
        </w:r>
        <w:r w:rsidR="00FD3D79">
          <w:rPr>
            <w:rFonts w:eastAsiaTheme="minorEastAsia"/>
            <w:b w:val="0"/>
            <w:noProof/>
            <w:sz w:val="22"/>
            <w:lang w:eastAsia="en-AU"/>
          </w:rPr>
          <w:tab/>
        </w:r>
        <w:r w:rsidR="00FD3D79" w:rsidRPr="00D21A1D">
          <w:rPr>
            <w:rStyle w:val="Hyperlink"/>
            <w:noProof/>
          </w:rPr>
          <w:t>Announcement of grants</w:t>
        </w:r>
        <w:r w:rsidR="00FD3D79">
          <w:rPr>
            <w:noProof/>
            <w:webHidden/>
          </w:rPr>
          <w:tab/>
        </w:r>
        <w:r w:rsidR="00FD3D79">
          <w:rPr>
            <w:noProof/>
            <w:webHidden/>
          </w:rPr>
          <w:fldChar w:fldCharType="begin"/>
        </w:r>
        <w:r w:rsidR="00FD3D79">
          <w:rPr>
            <w:noProof/>
            <w:webHidden/>
          </w:rPr>
          <w:instrText xml:space="preserve"> PAGEREF _Toc522006578 \h </w:instrText>
        </w:r>
        <w:r w:rsidR="00FD3D79">
          <w:rPr>
            <w:noProof/>
            <w:webHidden/>
          </w:rPr>
        </w:r>
        <w:r w:rsidR="00FD3D79">
          <w:rPr>
            <w:noProof/>
            <w:webHidden/>
          </w:rPr>
          <w:fldChar w:fldCharType="separate"/>
        </w:r>
        <w:r>
          <w:rPr>
            <w:noProof/>
            <w:webHidden/>
          </w:rPr>
          <w:t>19</w:t>
        </w:r>
        <w:r w:rsidR="00FD3D79">
          <w:rPr>
            <w:noProof/>
            <w:webHidden/>
          </w:rPr>
          <w:fldChar w:fldCharType="end"/>
        </w:r>
      </w:hyperlink>
    </w:p>
    <w:p w:rsidR="00FD3D79" w:rsidRDefault="00D45B00">
      <w:pPr>
        <w:pStyle w:val="TOC1"/>
        <w:rPr>
          <w:rFonts w:eastAsiaTheme="minorEastAsia"/>
          <w:b w:val="0"/>
          <w:noProof/>
          <w:sz w:val="22"/>
          <w:lang w:eastAsia="en-AU"/>
        </w:rPr>
      </w:pPr>
      <w:hyperlink w:anchor="_Toc522006579" w:history="1">
        <w:r w:rsidR="00FD3D79" w:rsidRPr="00D21A1D">
          <w:rPr>
            <w:rStyle w:val="Hyperlink"/>
            <w:noProof/>
          </w:rPr>
          <w:t>12.</w:t>
        </w:r>
        <w:r w:rsidR="00FD3D79">
          <w:rPr>
            <w:rFonts w:eastAsiaTheme="minorEastAsia"/>
            <w:b w:val="0"/>
            <w:noProof/>
            <w:sz w:val="22"/>
            <w:lang w:eastAsia="en-AU"/>
          </w:rPr>
          <w:tab/>
        </w:r>
        <w:r w:rsidR="00FD3D79" w:rsidRPr="00D21A1D">
          <w:rPr>
            <w:rStyle w:val="Hyperlink"/>
            <w:noProof/>
          </w:rPr>
          <w:t>Delivery of grant activities</w:t>
        </w:r>
        <w:r w:rsidR="00FD3D79">
          <w:rPr>
            <w:noProof/>
            <w:webHidden/>
          </w:rPr>
          <w:tab/>
        </w:r>
        <w:r w:rsidR="00FD3D79">
          <w:rPr>
            <w:noProof/>
            <w:webHidden/>
          </w:rPr>
          <w:fldChar w:fldCharType="begin"/>
        </w:r>
        <w:r w:rsidR="00FD3D79">
          <w:rPr>
            <w:noProof/>
            <w:webHidden/>
          </w:rPr>
          <w:instrText xml:space="preserve"> PAGEREF _Toc522006579 \h </w:instrText>
        </w:r>
        <w:r w:rsidR="00FD3D79">
          <w:rPr>
            <w:noProof/>
            <w:webHidden/>
          </w:rPr>
        </w:r>
        <w:r w:rsidR="00FD3D79">
          <w:rPr>
            <w:noProof/>
            <w:webHidden/>
          </w:rPr>
          <w:fldChar w:fldCharType="separate"/>
        </w:r>
        <w:r>
          <w:rPr>
            <w:noProof/>
            <w:webHidden/>
          </w:rPr>
          <w:t>19</w:t>
        </w:r>
        <w:r w:rsidR="00FD3D79">
          <w:rPr>
            <w:noProof/>
            <w:webHidden/>
          </w:rPr>
          <w:fldChar w:fldCharType="end"/>
        </w:r>
      </w:hyperlink>
    </w:p>
    <w:p w:rsidR="00FD3D79" w:rsidRDefault="00D45B00">
      <w:pPr>
        <w:pStyle w:val="TOC2"/>
        <w:rPr>
          <w:rFonts w:eastAsiaTheme="minorEastAsia"/>
          <w:noProof/>
          <w:lang w:eastAsia="en-AU"/>
        </w:rPr>
      </w:pPr>
      <w:hyperlink w:anchor="_Toc522006580" w:history="1">
        <w:r w:rsidR="00FD3D79" w:rsidRPr="00D21A1D">
          <w:rPr>
            <w:rStyle w:val="Hyperlink"/>
            <w:noProof/>
          </w:rPr>
          <w:t>12.1</w:t>
        </w:r>
        <w:r w:rsidR="00FD3D79">
          <w:rPr>
            <w:rFonts w:eastAsiaTheme="minorEastAsia"/>
            <w:noProof/>
            <w:lang w:eastAsia="en-AU"/>
          </w:rPr>
          <w:tab/>
        </w:r>
        <w:r w:rsidR="00FD3D79" w:rsidRPr="00D21A1D">
          <w:rPr>
            <w:rStyle w:val="Hyperlink"/>
            <w:noProof/>
          </w:rPr>
          <w:t>Your responsibilities</w:t>
        </w:r>
        <w:r w:rsidR="00FD3D79">
          <w:rPr>
            <w:noProof/>
            <w:webHidden/>
          </w:rPr>
          <w:tab/>
        </w:r>
        <w:r w:rsidR="00FD3D79">
          <w:rPr>
            <w:noProof/>
            <w:webHidden/>
          </w:rPr>
          <w:fldChar w:fldCharType="begin"/>
        </w:r>
        <w:r w:rsidR="00FD3D79">
          <w:rPr>
            <w:noProof/>
            <w:webHidden/>
          </w:rPr>
          <w:instrText xml:space="preserve"> PAGEREF _Toc522006580 \h </w:instrText>
        </w:r>
        <w:r w:rsidR="00FD3D79">
          <w:rPr>
            <w:noProof/>
            <w:webHidden/>
          </w:rPr>
        </w:r>
        <w:r w:rsidR="00FD3D79">
          <w:rPr>
            <w:noProof/>
            <w:webHidden/>
          </w:rPr>
          <w:fldChar w:fldCharType="separate"/>
        </w:r>
        <w:r>
          <w:rPr>
            <w:noProof/>
            <w:webHidden/>
          </w:rPr>
          <w:t>19</w:t>
        </w:r>
        <w:r w:rsidR="00FD3D79">
          <w:rPr>
            <w:noProof/>
            <w:webHidden/>
          </w:rPr>
          <w:fldChar w:fldCharType="end"/>
        </w:r>
      </w:hyperlink>
    </w:p>
    <w:p w:rsidR="00FD3D79" w:rsidRDefault="00D45B00">
      <w:pPr>
        <w:pStyle w:val="TOC2"/>
        <w:rPr>
          <w:rFonts w:eastAsiaTheme="minorEastAsia"/>
          <w:noProof/>
          <w:lang w:eastAsia="en-AU"/>
        </w:rPr>
      </w:pPr>
      <w:hyperlink w:anchor="_Toc522006581" w:history="1">
        <w:r w:rsidR="00FD3D79" w:rsidRPr="00D21A1D">
          <w:rPr>
            <w:rStyle w:val="Hyperlink"/>
            <w:noProof/>
          </w:rPr>
          <w:t>12.2</w:t>
        </w:r>
        <w:r w:rsidR="00FD3D79">
          <w:rPr>
            <w:rFonts w:eastAsiaTheme="minorEastAsia"/>
            <w:noProof/>
            <w:lang w:eastAsia="en-AU"/>
          </w:rPr>
          <w:tab/>
        </w:r>
        <w:r w:rsidR="00FD3D79" w:rsidRPr="00D21A1D">
          <w:rPr>
            <w:rStyle w:val="Hyperlink"/>
            <w:noProof/>
          </w:rPr>
          <w:t>Department of Social Services’ responsibilities</w:t>
        </w:r>
        <w:r w:rsidR="00FD3D79">
          <w:rPr>
            <w:noProof/>
            <w:webHidden/>
          </w:rPr>
          <w:tab/>
        </w:r>
        <w:r w:rsidR="00FD3D79">
          <w:rPr>
            <w:noProof/>
            <w:webHidden/>
          </w:rPr>
          <w:fldChar w:fldCharType="begin"/>
        </w:r>
        <w:r w:rsidR="00FD3D79">
          <w:rPr>
            <w:noProof/>
            <w:webHidden/>
          </w:rPr>
          <w:instrText xml:space="preserve"> PAGEREF _Toc522006581 \h </w:instrText>
        </w:r>
        <w:r w:rsidR="00FD3D79">
          <w:rPr>
            <w:noProof/>
            <w:webHidden/>
          </w:rPr>
        </w:r>
        <w:r w:rsidR="00FD3D79">
          <w:rPr>
            <w:noProof/>
            <w:webHidden/>
          </w:rPr>
          <w:fldChar w:fldCharType="separate"/>
        </w:r>
        <w:r>
          <w:rPr>
            <w:noProof/>
            <w:webHidden/>
          </w:rPr>
          <w:t>20</w:t>
        </w:r>
        <w:r w:rsidR="00FD3D79">
          <w:rPr>
            <w:noProof/>
            <w:webHidden/>
          </w:rPr>
          <w:fldChar w:fldCharType="end"/>
        </w:r>
      </w:hyperlink>
    </w:p>
    <w:p w:rsidR="00FD3D79" w:rsidRDefault="00D45B00">
      <w:pPr>
        <w:pStyle w:val="TOC2"/>
        <w:rPr>
          <w:rFonts w:eastAsiaTheme="minorEastAsia"/>
          <w:noProof/>
          <w:lang w:eastAsia="en-AU"/>
        </w:rPr>
      </w:pPr>
      <w:hyperlink w:anchor="_Toc522006582" w:history="1">
        <w:r w:rsidR="00FD3D79" w:rsidRPr="00D21A1D">
          <w:rPr>
            <w:rStyle w:val="Hyperlink"/>
            <w:noProof/>
          </w:rPr>
          <w:t>12.3</w:t>
        </w:r>
        <w:r w:rsidR="00FD3D79">
          <w:rPr>
            <w:rFonts w:eastAsiaTheme="minorEastAsia"/>
            <w:noProof/>
            <w:lang w:eastAsia="en-AU"/>
          </w:rPr>
          <w:tab/>
        </w:r>
        <w:r w:rsidR="00FD3D79" w:rsidRPr="00D21A1D">
          <w:rPr>
            <w:rStyle w:val="Hyperlink"/>
            <w:noProof/>
          </w:rPr>
          <w:t>Grant payments and GST</w:t>
        </w:r>
        <w:r w:rsidR="00FD3D79">
          <w:rPr>
            <w:noProof/>
            <w:webHidden/>
          </w:rPr>
          <w:tab/>
        </w:r>
        <w:r w:rsidR="00FD3D79">
          <w:rPr>
            <w:noProof/>
            <w:webHidden/>
          </w:rPr>
          <w:fldChar w:fldCharType="begin"/>
        </w:r>
        <w:r w:rsidR="00FD3D79">
          <w:rPr>
            <w:noProof/>
            <w:webHidden/>
          </w:rPr>
          <w:instrText xml:space="preserve"> PAGEREF _Toc522006582 \h </w:instrText>
        </w:r>
        <w:r w:rsidR="00FD3D79">
          <w:rPr>
            <w:noProof/>
            <w:webHidden/>
          </w:rPr>
        </w:r>
        <w:r w:rsidR="00FD3D79">
          <w:rPr>
            <w:noProof/>
            <w:webHidden/>
          </w:rPr>
          <w:fldChar w:fldCharType="separate"/>
        </w:r>
        <w:r>
          <w:rPr>
            <w:noProof/>
            <w:webHidden/>
          </w:rPr>
          <w:t>20</w:t>
        </w:r>
        <w:r w:rsidR="00FD3D79">
          <w:rPr>
            <w:noProof/>
            <w:webHidden/>
          </w:rPr>
          <w:fldChar w:fldCharType="end"/>
        </w:r>
      </w:hyperlink>
    </w:p>
    <w:p w:rsidR="00FD3D79" w:rsidRDefault="00D45B00">
      <w:pPr>
        <w:pStyle w:val="TOC2"/>
        <w:rPr>
          <w:rFonts w:eastAsiaTheme="minorEastAsia"/>
          <w:noProof/>
          <w:lang w:eastAsia="en-AU"/>
        </w:rPr>
      </w:pPr>
      <w:hyperlink w:anchor="_Toc522006583" w:history="1">
        <w:r w:rsidR="00FD3D79" w:rsidRPr="00D21A1D">
          <w:rPr>
            <w:rStyle w:val="Hyperlink"/>
            <w:noProof/>
          </w:rPr>
          <w:t>12.4</w:t>
        </w:r>
        <w:r w:rsidR="00FD3D79">
          <w:rPr>
            <w:rFonts w:eastAsiaTheme="minorEastAsia"/>
            <w:noProof/>
            <w:lang w:eastAsia="en-AU"/>
          </w:rPr>
          <w:tab/>
        </w:r>
        <w:r w:rsidR="00FD3D79" w:rsidRPr="00D21A1D">
          <w:rPr>
            <w:rStyle w:val="Hyperlink"/>
            <w:noProof/>
          </w:rPr>
          <w:t>Reporting</w:t>
        </w:r>
        <w:r w:rsidR="00FD3D79">
          <w:rPr>
            <w:noProof/>
            <w:webHidden/>
          </w:rPr>
          <w:tab/>
        </w:r>
        <w:r w:rsidR="00FD3D79">
          <w:rPr>
            <w:noProof/>
            <w:webHidden/>
          </w:rPr>
          <w:fldChar w:fldCharType="begin"/>
        </w:r>
        <w:r w:rsidR="00FD3D79">
          <w:rPr>
            <w:noProof/>
            <w:webHidden/>
          </w:rPr>
          <w:instrText xml:space="preserve"> PAGEREF _Toc522006583 \h </w:instrText>
        </w:r>
        <w:r w:rsidR="00FD3D79">
          <w:rPr>
            <w:noProof/>
            <w:webHidden/>
          </w:rPr>
        </w:r>
        <w:r w:rsidR="00FD3D79">
          <w:rPr>
            <w:noProof/>
            <w:webHidden/>
          </w:rPr>
          <w:fldChar w:fldCharType="separate"/>
        </w:r>
        <w:r>
          <w:rPr>
            <w:noProof/>
            <w:webHidden/>
          </w:rPr>
          <w:t>20</w:t>
        </w:r>
        <w:r w:rsidR="00FD3D79">
          <w:rPr>
            <w:noProof/>
            <w:webHidden/>
          </w:rPr>
          <w:fldChar w:fldCharType="end"/>
        </w:r>
      </w:hyperlink>
    </w:p>
    <w:p w:rsidR="00FD3D79" w:rsidRDefault="00D45B00">
      <w:pPr>
        <w:pStyle w:val="TOC2"/>
        <w:rPr>
          <w:rFonts w:eastAsiaTheme="minorEastAsia"/>
          <w:noProof/>
          <w:lang w:eastAsia="en-AU"/>
        </w:rPr>
      </w:pPr>
      <w:hyperlink w:anchor="_Toc522006584" w:history="1">
        <w:r w:rsidR="00FD3D79" w:rsidRPr="00D21A1D">
          <w:rPr>
            <w:rStyle w:val="Hyperlink"/>
            <w:noProof/>
          </w:rPr>
          <w:t>12.5</w:t>
        </w:r>
        <w:r w:rsidR="00FD3D79">
          <w:rPr>
            <w:rFonts w:eastAsiaTheme="minorEastAsia"/>
            <w:noProof/>
            <w:lang w:eastAsia="en-AU"/>
          </w:rPr>
          <w:tab/>
        </w:r>
        <w:r w:rsidR="00FD3D79" w:rsidRPr="00D21A1D">
          <w:rPr>
            <w:rStyle w:val="Hyperlink"/>
            <w:noProof/>
          </w:rPr>
          <w:t>Evaluation</w:t>
        </w:r>
        <w:r w:rsidR="00FD3D79">
          <w:rPr>
            <w:noProof/>
            <w:webHidden/>
          </w:rPr>
          <w:tab/>
        </w:r>
        <w:r w:rsidR="00FD3D79">
          <w:rPr>
            <w:noProof/>
            <w:webHidden/>
          </w:rPr>
          <w:fldChar w:fldCharType="begin"/>
        </w:r>
        <w:r w:rsidR="00FD3D79">
          <w:rPr>
            <w:noProof/>
            <w:webHidden/>
          </w:rPr>
          <w:instrText xml:space="preserve"> PAGEREF _Toc522006584 \h </w:instrText>
        </w:r>
        <w:r w:rsidR="00FD3D79">
          <w:rPr>
            <w:noProof/>
            <w:webHidden/>
          </w:rPr>
        </w:r>
        <w:r w:rsidR="00FD3D79">
          <w:rPr>
            <w:noProof/>
            <w:webHidden/>
          </w:rPr>
          <w:fldChar w:fldCharType="separate"/>
        </w:r>
        <w:r>
          <w:rPr>
            <w:noProof/>
            <w:webHidden/>
          </w:rPr>
          <w:t>21</w:t>
        </w:r>
        <w:r w:rsidR="00FD3D79">
          <w:rPr>
            <w:noProof/>
            <w:webHidden/>
          </w:rPr>
          <w:fldChar w:fldCharType="end"/>
        </w:r>
      </w:hyperlink>
    </w:p>
    <w:p w:rsidR="00FD3D79" w:rsidRDefault="00D45B00">
      <w:pPr>
        <w:pStyle w:val="TOC2"/>
        <w:rPr>
          <w:rFonts w:eastAsiaTheme="minorEastAsia"/>
          <w:noProof/>
          <w:lang w:eastAsia="en-AU"/>
        </w:rPr>
      </w:pPr>
      <w:hyperlink w:anchor="_Toc522006585" w:history="1">
        <w:r w:rsidR="00FD3D79" w:rsidRPr="00D21A1D">
          <w:rPr>
            <w:rStyle w:val="Hyperlink"/>
            <w:noProof/>
          </w:rPr>
          <w:t>12.6</w:t>
        </w:r>
        <w:r w:rsidR="00FD3D79">
          <w:rPr>
            <w:rFonts w:eastAsiaTheme="minorEastAsia"/>
            <w:noProof/>
            <w:lang w:eastAsia="en-AU"/>
          </w:rPr>
          <w:tab/>
        </w:r>
        <w:r w:rsidR="00FD3D79" w:rsidRPr="00D21A1D">
          <w:rPr>
            <w:rStyle w:val="Hyperlink"/>
            <w:noProof/>
          </w:rPr>
          <w:t>Acknowledgement</w:t>
        </w:r>
        <w:r w:rsidR="00FD3D79">
          <w:rPr>
            <w:noProof/>
            <w:webHidden/>
          </w:rPr>
          <w:tab/>
        </w:r>
        <w:r w:rsidR="00FD3D79">
          <w:rPr>
            <w:noProof/>
            <w:webHidden/>
          </w:rPr>
          <w:fldChar w:fldCharType="begin"/>
        </w:r>
        <w:r w:rsidR="00FD3D79">
          <w:rPr>
            <w:noProof/>
            <w:webHidden/>
          </w:rPr>
          <w:instrText xml:space="preserve"> PAGEREF _Toc522006585 \h </w:instrText>
        </w:r>
        <w:r w:rsidR="00FD3D79">
          <w:rPr>
            <w:noProof/>
            <w:webHidden/>
          </w:rPr>
        </w:r>
        <w:r w:rsidR="00FD3D79">
          <w:rPr>
            <w:noProof/>
            <w:webHidden/>
          </w:rPr>
          <w:fldChar w:fldCharType="separate"/>
        </w:r>
        <w:r>
          <w:rPr>
            <w:noProof/>
            <w:webHidden/>
          </w:rPr>
          <w:t>21</w:t>
        </w:r>
        <w:r w:rsidR="00FD3D79">
          <w:rPr>
            <w:noProof/>
            <w:webHidden/>
          </w:rPr>
          <w:fldChar w:fldCharType="end"/>
        </w:r>
      </w:hyperlink>
    </w:p>
    <w:p w:rsidR="00FD3D79" w:rsidRDefault="00D45B00">
      <w:pPr>
        <w:pStyle w:val="TOC2"/>
        <w:rPr>
          <w:rFonts w:eastAsiaTheme="minorEastAsia"/>
          <w:noProof/>
          <w:lang w:eastAsia="en-AU"/>
        </w:rPr>
      </w:pPr>
      <w:hyperlink w:anchor="_Toc522006586" w:history="1">
        <w:r w:rsidR="00FD3D79" w:rsidRPr="00D21A1D">
          <w:rPr>
            <w:rStyle w:val="Hyperlink"/>
            <w:noProof/>
          </w:rPr>
          <w:t>12.7</w:t>
        </w:r>
        <w:r w:rsidR="00FD3D79">
          <w:rPr>
            <w:rFonts w:eastAsiaTheme="minorEastAsia"/>
            <w:noProof/>
            <w:lang w:eastAsia="en-AU"/>
          </w:rPr>
          <w:tab/>
        </w:r>
        <w:r w:rsidR="00FD3D79" w:rsidRPr="00D21A1D">
          <w:rPr>
            <w:rStyle w:val="Hyperlink"/>
            <w:noProof/>
          </w:rPr>
          <w:t>Multicultural Access and Equity</w:t>
        </w:r>
        <w:r w:rsidR="00FD3D79">
          <w:rPr>
            <w:noProof/>
            <w:webHidden/>
          </w:rPr>
          <w:tab/>
        </w:r>
        <w:r w:rsidR="00FD3D79">
          <w:rPr>
            <w:noProof/>
            <w:webHidden/>
          </w:rPr>
          <w:fldChar w:fldCharType="begin"/>
        </w:r>
        <w:r w:rsidR="00FD3D79">
          <w:rPr>
            <w:noProof/>
            <w:webHidden/>
          </w:rPr>
          <w:instrText xml:space="preserve"> PAGEREF _Toc522006586 \h </w:instrText>
        </w:r>
        <w:r w:rsidR="00FD3D79">
          <w:rPr>
            <w:noProof/>
            <w:webHidden/>
          </w:rPr>
        </w:r>
        <w:r w:rsidR="00FD3D79">
          <w:rPr>
            <w:noProof/>
            <w:webHidden/>
          </w:rPr>
          <w:fldChar w:fldCharType="separate"/>
        </w:r>
        <w:r>
          <w:rPr>
            <w:noProof/>
            <w:webHidden/>
          </w:rPr>
          <w:t>21</w:t>
        </w:r>
        <w:r w:rsidR="00FD3D79">
          <w:rPr>
            <w:noProof/>
            <w:webHidden/>
          </w:rPr>
          <w:fldChar w:fldCharType="end"/>
        </w:r>
      </w:hyperlink>
    </w:p>
    <w:p w:rsidR="00FD3D79" w:rsidRDefault="00D45B00">
      <w:pPr>
        <w:pStyle w:val="TOC1"/>
        <w:rPr>
          <w:rFonts w:eastAsiaTheme="minorEastAsia"/>
          <w:b w:val="0"/>
          <w:noProof/>
          <w:sz w:val="22"/>
          <w:lang w:eastAsia="en-AU"/>
        </w:rPr>
      </w:pPr>
      <w:hyperlink w:anchor="_Toc522006587" w:history="1">
        <w:r w:rsidR="00FD3D79" w:rsidRPr="00D21A1D">
          <w:rPr>
            <w:rStyle w:val="Hyperlink"/>
            <w:noProof/>
          </w:rPr>
          <w:t>13.</w:t>
        </w:r>
        <w:r w:rsidR="00FD3D79">
          <w:rPr>
            <w:rFonts w:eastAsiaTheme="minorEastAsia"/>
            <w:b w:val="0"/>
            <w:noProof/>
            <w:sz w:val="22"/>
            <w:lang w:eastAsia="en-AU"/>
          </w:rPr>
          <w:tab/>
        </w:r>
        <w:r w:rsidR="00FD3D79" w:rsidRPr="00D21A1D">
          <w:rPr>
            <w:rStyle w:val="Hyperlink"/>
            <w:noProof/>
          </w:rPr>
          <w:t>Probity</w:t>
        </w:r>
        <w:r w:rsidR="00FD3D79">
          <w:rPr>
            <w:noProof/>
            <w:webHidden/>
          </w:rPr>
          <w:tab/>
        </w:r>
        <w:r w:rsidR="00FD3D79">
          <w:rPr>
            <w:noProof/>
            <w:webHidden/>
          </w:rPr>
          <w:fldChar w:fldCharType="begin"/>
        </w:r>
        <w:r w:rsidR="00FD3D79">
          <w:rPr>
            <w:noProof/>
            <w:webHidden/>
          </w:rPr>
          <w:instrText xml:space="preserve"> PAGEREF _Toc522006587 \h </w:instrText>
        </w:r>
        <w:r w:rsidR="00FD3D79">
          <w:rPr>
            <w:noProof/>
            <w:webHidden/>
          </w:rPr>
        </w:r>
        <w:r w:rsidR="00FD3D79">
          <w:rPr>
            <w:noProof/>
            <w:webHidden/>
          </w:rPr>
          <w:fldChar w:fldCharType="separate"/>
        </w:r>
        <w:r>
          <w:rPr>
            <w:noProof/>
            <w:webHidden/>
          </w:rPr>
          <w:t>22</w:t>
        </w:r>
        <w:r w:rsidR="00FD3D79">
          <w:rPr>
            <w:noProof/>
            <w:webHidden/>
          </w:rPr>
          <w:fldChar w:fldCharType="end"/>
        </w:r>
      </w:hyperlink>
    </w:p>
    <w:p w:rsidR="00FD3D79" w:rsidRDefault="00D45B00">
      <w:pPr>
        <w:pStyle w:val="TOC2"/>
        <w:rPr>
          <w:rFonts w:eastAsiaTheme="minorEastAsia"/>
          <w:noProof/>
          <w:lang w:eastAsia="en-AU"/>
        </w:rPr>
      </w:pPr>
      <w:hyperlink w:anchor="_Toc522006588" w:history="1">
        <w:r w:rsidR="00FD3D79" w:rsidRPr="00D21A1D">
          <w:rPr>
            <w:rStyle w:val="Hyperlink"/>
            <w:noProof/>
          </w:rPr>
          <w:t>13.1</w:t>
        </w:r>
        <w:r w:rsidR="00FD3D79">
          <w:rPr>
            <w:rFonts w:eastAsiaTheme="minorEastAsia"/>
            <w:noProof/>
            <w:lang w:eastAsia="en-AU"/>
          </w:rPr>
          <w:tab/>
        </w:r>
        <w:r w:rsidR="00FD3D79" w:rsidRPr="00D21A1D">
          <w:rPr>
            <w:rStyle w:val="Hyperlink"/>
            <w:noProof/>
          </w:rPr>
          <w:t>Complaints process</w:t>
        </w:r>
        <w:r w:rsidR="00FD3D79">
          <w:rPr>
            <w:noProof/>
            <w:webHidden/>
          </w:rPr>
          <w:tab/>
        </w:r>
        <w:r w:rsidR="00FD3D79">
          <w:rPr>
            <w:noProof/>
            <w:webHidden/>
          </w:rPr>
          <w:fldChar w:fldCharType="begin"/>
        </w:r>
        <w:r w:rsidR="00FD3D79">
          <w:rPr>
            <w:noProof/>
            <w:webHidden/>
          </w:rPr>
          <w:instrText xml:space="preserve"> PAGEREF _Toc522006588 \h </w:instrText>
        </w:r>
        <w:r w:rsidR="00FD3D79">
          <w:rPr>
            <w:noProof/>
            <w:webHidden/>
          </w:rPr>
        </w:r>
        <w:r w:rsidR="00FD3D79">
          <w:rPr>
            <w:noProof/>
            <w:webHidden/>
          </w:rPr>
          <w:fldChar w:fldCharType="separate"/>
        </w:r>
        <w:r>
          <w:rPr>
            <w:noProof/>
            <w:webHidden/>
          </w:rPr>
          <w:t>22</w:t>
        </w:r>
        <w:r w:rsidR="00FD3D79">
          <w:rPr>
            <w:noProof/>
            <w:webHidden/>
          </w:rPr>
          <w:fldChar w:fldCharType="end"/>
        </w:r>
      </w:hyperlink>
    </w:p>
    <w:p w:rsidR="00FD3D79" w:rsidRDefault="00D45B00">
      <w:pPr>
        <w:pStyle w:val="TOC2"/>
        <w:rPr>
          <w:rFonts w:eastAsiaTheme="minorEastAsia"/>
          <w:noProof/>
          <w:lang w:eastAsia="en-AU"/>
        </w:rPr>
      </w:pPr>
      <w:hyperlink w:anchor="_Toc522006589" w:history="1">
        <w:r w:rsidR="00FD3D79" w:rsidRPr="00D21A1D">
          <w:rPr>
            <w:rStyle w:val="Hyperlink"/>
            <w:noProof/>
          </w:rPr>
          <w:t>13.2</w:t>
        </w:r>
        <w:r w:rsidR="00FD3D79">
          <w:rPr>
            <w:rFonts w:eastAsiaTheme="minorEastAsia"/>
            <w:noProof/>
            <w:lang w:eastAsia="en-AU"/>
          </w:rPr>
          <w:tab/>
        </w:r>
        <w:r w:rsidR="00FD3D79" w:rsidRPr="00D21A1D">
          <w:rPr>
            <w:rStyle w:val="Hyperlink"/>
            <w:noProof/>
          </w:rPr>
          <w:t>Conflict of interest</w:t>
        </w:r>
        <w:r w:rsidR="00FD3D79">
          <w:rPr>
            <w:noProof/>
            <w:webHidden/>
          </w:rPr>
          <w:tab/>
        </w:r>
        <w:r w:rsidR="00FD3D79">
          <w:rPr>
            <w:noProof/>
            <w:webHidden/>
          </w:rPr>
          <w:fldChar w:fldCharType="begin"/>
        </w:r>
        <w:r w:rsidR="00FD3D79">
          <w:rPr>
            <w:noProof/>
            <w:webHidden/>
          </w:rPr>
          <w:instrText xml:space="preserve"> PAGEREF _Toc522006589 \h </w:instrText>
        </w:r>
        <w:r w:rsidR="00FD3D79">
          <w:rPr>
            <w:noProof/>
            <w:webHidden/>
          </w:rPr>
        </w:r>
        <w:r w:rsidR="00FD3D79">
          <w:rPr>
            <w:noProof/>
            <w:webHidden/>
          </w:rPr>
          <w:fldChar w:fldCharType="separate"/>
        </w:r>
        <w:r>
          <w:rPr>
            <w:noProof/>
            <w:webHidden/>
          </w:rPr>
          <w:t>23</w:t>
        </w:r>
        <w:r w:rsidR="00FD3D79">
          <w:rPr>
            <w:noProof/>
            <w:webHidden/>
          </w:rPr>
          <w:fldChar w:fldCharType="end"/>
        </w:r>
      </w:hyperlink>
    </w:p>
    <w:p w:rsidR="00FD3D79" w:rsidRDefault="00D45B00">
      <w:pPr>
        <w:pStyle w:val="TOC2"/>
        <w:rPr>
          <w:rFonts w:eastAsiaTheme="minorEastAsia"/>
          <w:noProof/>
          <w:lang w:eastAsia="en-AU"/>
        </w:rPr>
      </w:pPr>
      <w:hyperlink w:anchor="_Toc522006590" w:history="1">
        <w:r w:rsidR="00FD3D79" w:rsidRPr="00D21A1D">
          <w:rPr>
            <w:rStyle w:val="Hyperlink"/>
            <w:noProof/>
          </w:rPr>
          <w:t>13.3</w:t>
        </w:r>
        <w:r w:rsidR="00FD3D79">
          <w:rPr>
            <w:rFonts w:eastAsiaTheme="minorEastAsia"/>
            <w:noProof/>
            <w:lang w:eastAsia="en-AU"/>
          </w:rPr>
          <w:tab/>
        </w:r>
        <w:r w:rsidR="00FD3D79" w:rsidRPr="00D21A1D">
          <w:rPr>
            <w:rStyle w:val="Hyperlink"/>
            <w:noProof/>
          </w:rPr>
          <w:t>Privacy: confidentiality and protection of personal information</w:t>
        </w:r>
        <w:r w:rsidR="00FD3D79">
          <w:rPr>
            <w:noProof/>
            <w:webHidden/>
          </w:rPr>
          <w:tab/>
        </w:r>
        <w:r w:rsidR="00FD3D79">
          <w:rPr>
            <w:noProof/>
            <w:webHidden/>
          </w:rPr>
          <w:fldChar w:fldCharType="begin"/>
        </w:r>
        <w:r w:rsidR="00FD3D79">
          <w:rPr>
            <w:noProof/>
            <w:webHidden/>
          </w:rPr>
          <w:instrText xml:space="preserve"> PAGEREF _Toc522006590 \h </w:instrText>
        </w:r>
        <w:r w:rsidR="00FD3D79">
          <w:rPr>
            <w:noProof/>
            <w:webHidden/>
          </w:rPr>
        </w:r>
        <w:r w:rsidR="00FD3D79">
          <w:rPr>
            <w:noProof/>
            <w:webHidden/>
          </w:rPr>
          <w:fldChar w:fldCharType="separate"/>
        </w:r>
        <w:r>
          <w:rPr>
            <w:noProof/>
            <w:webHidden/>
          </w:rPr>
          <w:t>23</w:t>
        </w:r>
        <w:r w:rsidR="00FD3D79">
          <w:rPr>
            <w:noProof/>
            <w:webHidden/>
          </w:rPr>
          <w:fldChar w:fldCharType="end"/>
        </w:r>
      </w:hyperlink>
    </w:p>
    <w:p w:rsidR="00FD3D79" w:rsidRDefault="00D45B00">
      <w:pPr>
        <w:pStyle w:val="TOC2"/>
        <w:rPr>
          <w:rFonts w:eastAsiaTheme="minorEastAsia"/>
          <w:noProof/>
          <w:lang w:eastAsia="en-AU"/>
        </w:rPr>
      </w:pPr>
      <w:hyperlink w:anchor="_Toc522006591" w:history="1">
        <w:r w:rsidR="00FD3D79" w:rsidRPr="00D21A1D">
          <w:rPr>
            <w:rStyle w:val="Hyperlink"/>
            <w:noProof/>
          </w:rPr>
          <w:t>13.4</w:t>
        </w:r>
        <w:r w:rsidR="00FD3D79">
          <w:rPr>
            <w:rFonts w:eastAsiaTheme="minorEastAsia"/>
            <w:noProof/>
            <w:lang w:eastAsia="en-AU"/>
          </w:rPr>
          <w:tab/>
        </w:r>
        <w:r w:rsidR="00FD3D79" w:rsidRPr="00D21A1D">
          <w:rPr>
            <w:rStyle w:val="Hyperlink"/>
            <w:noProof/>
          </w:rPr>
          <w:t>Freedom of information</w:t>
        </w:r>
        <w:r w:rsidR="00FD3D79">
          <w:rPr>
            <w:noProof/>
            <w:webHidden/>
          </w:rPr>
          <w:tab/>
        </w:r>
        <w:r w:rsidR="00FD3D79">
          <w:rPr>
            <w:noProof/>
            <w:webHidden/>
          </w:rPr>
          <w:fldChar w:fldCharType="begin"/>
        </w:r>
        <w:r w:rsidR="00FD3D79">
          <w:rPr>
            <w:noProof/>
            <w:webHidden/>
          </w:rPr>
          <w:instrText xml:space="preserve"> PAGEREF _Toc522006591 \h </w:instrText>
        </w:r>
        <w:r w:rsidR="00FD3D79">
          <w:rPr>
            <w:noProof/>
            <w:webHidden/>
          </w:rPr>
        </w:r>
        <w:r w:rsidR="00FD3D79">
          <w:rPr>
            <w:noProof/>
            <w:webHidden/>
          </w:rPr>
          <w:fldChar w:fldCharType="separate"/>
        </w:r>
        <w:r>
          <w:rPr>
            <w:noProof/>
            <w:webHidden/>
          </w:rPr>
          <w:t>25</w:t>
        </w:r>
        <w:r w:rsidR="00FD3D79">
          <w:rPr>
            <w:noProof/>
            <w:webHidden/>
          </w:rPr>
          <w:fldChar w:fldCharType="end"/>
        </w:r>
      </w:hyperlink>
    </w:p>
    <w:p w:rsidR="00FD3D79" w:rsidRDefault="00D45B00">
      <w:pPr>
        <w:pStyle w:val="TOC1"/>
        <w:rPr>
          <w:rFonts w:eastAsiaTheme="minorEastAsia"/>
          <w:b w:val="0"/>
          <w:noProof/>
          <w:sz w:val="22"/>
          <w:lang w:eastAsia="en-AU"/>
        </w:rPr>
      </w:pPr>
      <w:hyperlink w:anchor="_Toc522006592" w:history="1">
        <w:r w:rsidR="00FD3D79" w:rsidRPr="00D21A1D">
          <w:rPr>
            <w:rStyle w:val="Hyperlink"/>
            <w:noProof/>
          </w:rPr>
          <w:t>14.</w:t>
        </w:r>
        <w:r w:rsidR="00FD3D79">
          <w:rPr>
            <w:rFonts w:eastAsiaTheme="minorEastAsia"/>
            <w:b w:val="0"/>
            <w:noProof/>
            <w:sz w:val="22"/>
            <w:lang w:eastAsia="en-AU"/>
          </w:rPr>
          <w:tab/>
        </w:r>
        <w:r w:rsidR="00FD3D79" w:rsidRPr="00D21A1D">
          <w:rPr>
            <w:rStyle w:val="Hyperlink"/>
            <w:noProof/>
          </w:rPr>
          <w:t>Glossary</w:t>
        </w:r>
        <w:r w:rsidR="00FD3D79">
          <w:rPr>
            <w:noProof/>
            <w:webHidden/>
          </w:rPr>
          <w:tab/>
        </w:r>
        <w:r w:rsidR="00FD3D79">
          <w:rPr>
            <w:noProof/>
            <w:webHidden/>
          </w:rPr>
          <w:fldChar w:fldCharType="begin"/>
        </w:r>
        <w:r w:rsidR="00FD3D79">
          <w:rPr>
            <w:noProof/>
            <w:webHidden/>
          </w:rPr>
          <w:instrText xml:space="preserve"> PAGEREF _Toc522006592 \h </w:instrText>
        </w:r>
        <w:r w:rsidR="00FD3D79">
          <w:rPr>
            <w:noProof/>
            <w:webHidden/>
          </w:rPr>
        </w:r>
        <w:r w:rsidR="00FD3D79">
          <w:rPr>
            <w:noProof/>
            <w:webHidden/>
          </w:rPr>
          <w:fldChar w:fldCharType="separate"/>
        </w:r>
        <w:r>
          <w:rPr>
            <w:noProof/>
            <w:webHidden/>
          </w:rPr>
          <w:t>26</w:t>
        </w:r>
        <w:r w:rsidR="00FD3D79">
          <w:rPr>
            <w:noProof/>
            <w:webHidden/>
          </w:rPr>
          <w:fldChar w:fldCharType="end"/>
        </w:r>
      </w:hyperlink>
    </w:p>
    <w:p w:rsidR="00934587" w:rsidRDefault="0020122A" w:rsidP="00CC2AA4">
      <w:r>
        <w:fldChar w:fldCharType="end"/>
      </w:r>
    </w:p>
    <w:p w:rsidR="003F7EAD" w:rsidRDefault="003F7EAD">
      <w:pPr>
        <w:suppressAutoHyphens w:val="0"/>
        <w:spacing w:before="0" w:after="120" w:line="440" w:lineRule="atLeast"/>
        <w:rPr>
          <w:rFonts w:asciiTheme="majorHAnsi" w:eastAsiaTheme="majorEastAsia" w:hAnsiTheme="majorHAnsi" w:cstheme="majorHAnsi"/>
          <w:bCs/>
          <w:sz w:val="40"/>
          <w:szCs w:val="28"/>
        </w:rPr>
      </w:pPr>
      <w:bookmarkStart w:id="0" w:name="_Toc518633390"/>
      <w:bookmarkStart w:id="1" w:name="_Toc467773950"/>
      <w:bookmarkStart w:id="2" w:name="_Toc458420391"/>
      <w:r>
        <w:rPr>
          <w:rFonts w:cstheme="majorHAnsi"/>
        </w:rPr>
        <w:br w:type="page"/>
      </w:r>
    </w:p>
    <w:p w:rsidR="00070902" w:rsidRPr="00A72CEC" w:rsidRDefault="00A72CEC" w:rsidP="00A02399">
      <w:pPr>
        <w:pStyle w:val="Heading1Numbered"/>
        <w:numPr>
          <w:ilvl w:val="0"/>
          <w:numId w:val="23"/>
        </w:numPr>
      </w:pPr>
      <w:bookmarkStart w:id="3" w:name="_Toc522006551"/>
      <w:r>
        <w:lastRenderedPageBreak/>
        <w:t xml:space="preserve">1. </w:t>
      </w:r>
      <w:r w:rsidR="00070902" w:rsidRPr="00A02399">
        <w:t>Families and Communities Program: Redress Support Services Processes</w:t>
      </w:r>
      <w:bookmarkEnd w:id="0"/>
      <w:bookmarkEnd w:id="1"/>
      <w:bookmarkEnd w:id="2"/>
      <w:bookmarkEnd w:id="3"/>
    </w:p>
    <w:p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The Program is designed to achieve Australian</w:t>
      </w:r>
      <w:r w:rsidRPr="00F40BDA">
        <w:rPr>
          <w:b/>
        </w:rPr>
        <w:t xml:space="preserve"> Government </w:t>
      </w:r>
      <w:r>
        <w:rPr>
          <w:b/>
        </w:rPr>
        <w:t>objectives</w:t>
      </w:r>
      <w:r w:rsidRPr="00F40BDA">
        <w:rPr>
          <w:b/>
        </w:rPr>
        <w:t xml:space="preserve"> </w:t>
      </w:r>
    </w:p>
    <w:p w:rsidR="00232236" w:rsidRDefault="00232236" w:rsidP="00232236">
      <w:pPr>
        <w:pBdr>
          <w:top w:val="single" w:sz="4" w:space="1" w:color="auto"/>
          <w:left w:val="single" w:sz="4" w:space="4" w:color="auto"/>
          <w:bottom w:val="single" w:sz="4" w:space="1" w:color="auto"/>
          <w:right w:val="single" w:sz="4" w:space="4" w:color="auto"/>
        </w:pBdr>
        <w:spacing w:before="120" w:after="0"/>
        <w:jc w:val="center"/>
        <w:rPr>
          <w:rFonts w:asciiTheme="majorHAnsi" w:hAnsiTheme="majorHAnsi" w:cstheme="majorHAnsi"/>
        </w:rPr>
      </w:pPr>
      <w:r>
        <w:rPr>
          <w:rFonts w:asciiTheme="majorHAnsi" w:hAnsiTheme="majorHAnsi" w:cstheme="majorHAnsi"/>
        </w:rPr>
        <w:t xml:space="preserve">This grant opportunity is part of the National Redress Scheme for people who have experienced institutional child sexual abuse, which contributes to Department of Social Services Outcome 2: Families and Communities. The Department of Social Services works with stakeholders to plan and design the grant programs according to the </w:t>
      </w:r>
      <w:r>
        <w:rPr>
          <w:rFonts w:asciiTheme="majorHAnsi" w:hAnsiTheme="majorHAnsi" w:cstheme="majorHAnsi"/>
          <w:i/>
        </w:rPr>
        <w:t>Commonwealth Grants Rules and Guidelines</w:t>
      </w:r>
      <w:r>
        <w:rPr>
          <w:rFonts w:asciiTheme="majorHAnsi" w:hAnsiTheme="majorHAnsi" w:cstheme="majorHAnsi"/>
        </w:rPr>
        <w:t>.</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w:t>
      </w:r>
      <w:r w:rsidR="00801DB6">
        <w:t xml:space="preserve">the </w:t>
      </w:r>
      <w:hyperlink r:id="rId8" w:history="1">
        <w:r w:rsidRPr="00566242">
          <w:rPr>
            <w:rStyle w:val="Hyperlink"/>
            <w:rFonts w:cstheme="minorBidi"/>
          </w:rPr>
          <w:t>GrantConnect</w:t>
        </w:r>
      </w:hyperlink>
      <w:r w:rsidR="00BD1DD2">
        <w:t xml:space="preserve"> and </w:t>
      </w:r>
      <w:hyperlink r:id="rId9" w:history="1">
        <w:r w:rsidR="00BD1DD2" w:rsidRPr="00566242">
          <w:rPr>
            <w:rStyle w:val="Hyperlink"/>
            <w:rFonts w:cstheme="minorBidi"/>
          </w:rPr>
          <w:t>Community Grants Hub</w:t>
        </w:r>
      </w:hyperlink>
      <w:r w:rsidR="00BD1DD2">
        <w:t xml:space="preserve"> websites</w:t>
      </w:r>
      <w:r>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w:t>
      </w:r>
      <w:r w:rsidR="00F10669">
        <w:rPr>
          <w:b/>
        </w:rPr>
        <w:t>a Letter of Invitation, which forms your application</w:t>
      </w:r>
    </w:p>
    <w:p w:rsidR="007D1C9C" w:rsidRPr="00B005E0" w:rsidRDefault="007D1C9C" w:rsidP="007D1C9C">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rsidR="00CB17BD">
        <w:t>letter of invitation</w:t>
      </w:r>
      <w:r w:rsidRPr="004B61BC">
        <w:t xml:space="preserve">. </w:t>
      </w:r>
      <w:r w:rsidR="0097683A">
        <w:t xml:space="preserve">Further information can be found on </w:t>
      </w:r>
      <w:hyperlink r:id="rId10" w:history="1">
        <w:r w:rsidR="0097683A" w:rsidRPr="0097683A">
          <w:rPr>
            <w:rStyle w:val="Hyperlink"/>
            <w:rFonts w:cstheme="minorBidi"/>
          </w:rPr>
          <w:t>GrantConnect</w:t>
        </w:r>
      </w:hyperlink>
      <w:r w:rsidR="001002F4">
        <w:rPr>
          <w:rStyle w:val="Hyperlink"/>
          <w:rFonts w:cstheme="minorBidi"/>
        </w:rPr>
        <w:t xml:space="preserve">, </w:t>
      </w:r>
      <w:r w:rsidR="001002F4" w:rsidRPr="00570148">
        <w:rPr>
          <w:rFonts w:asciiTheme="majorHAnsi" w:eastAsia="Arial" w:hAnsiTheme="majorHAnsi" w:cstheme="majorHAnsi"/>
        </w:rPr>
        <w:t>the Australian Government’s whole-of-government grants information system.</w:t>
      </w:r>
      <w:r w:rsidR="0097683A">
        <w:t xml:space="preserve"> </w:t>
      </w:r>
      <w:r w:rsidRPr="004B61BC">
        <w:t xml:space="preserve">Note: Any addenda for this grant opportunity will be published on GrantConnect, and by </w:t>
      </w:r>
      <w:r w:rsidRPr="00B005E0">
        <w:t>registering on this website you will be automatic</w:t>
      </w:r>
      <w:r w:rsidR="00157662" w:rsidRPr="00B005E0">
        <w:t>ally notified o</w:t>
      </w:r>
      <w:r w:rsidR="009A05FF" w:rsidRPr="00B005E0">
        <w:t>f</w:t>
      </w:r>
      <w:r w:rsidR="00157662" w:rsidRPr="00B005E0">
        <w:t xml:space="preserve"> any changes.</w:t>
      </w:r>
    </w:p>
    <w:p w:rsidR="00EE2B1C" w:rsidRPr="00B005E0" w:rsidRDefault="00EE2B1C" w:rsidP="00EE2B1C">
      <w:pPr>
        <w:spacing w:after="0"/>
        <w:jc w:val="center"/>
        <w:rPr>
          <w:rFonts w:ascii="Wingdings" w:hAnsi="Wingdings"/>
          <w:sz w:val="20"/>
          <w:szCs w:val="20"/>
        </w:rPr>
      </w:pPr>
      <w:r w:rsidRPr="00B005E0">
        <w:rPr>
          <w:rFonts w:ascii="Wingdings" w:hAnsi="Wingdings"/>
          <w:sz w:val="20"/>
          <w:szCs w:val="20"/>
        </w:rPr>
        <w:t></w:t>
      </w:r>
    </w:p>
    <w:p w:rsidR="00EE2B1C" w:rsidRPr="00B005E0" w:rsidRDefault="00EE2B1C" w:rsidP="00EE2B1C">
      <w:pPr>
        <w:pBdr>
          <w:top w:val="single" w:sz="2" w:space="1" w:color="auto"/>
          <w:left w:val="single" w:sz="2" w:space="4" w:color="auto"/>
          <w:bottom w:val="single" w:sz="2" w:space="1" w:color="auto"/>
          <w:right w:val="single" w:sz="2" w:space="4" w:color="auto"/>
        </w:pBdr>
        <w:spacing w:after="0"/>
        <w:jc w:val="center"/>
        <w:rPr>
          <w:bCs/>
        </w:rPr>
      </w:pPr>
      <w:r w:rsidRPr="00B005E0">
        <w:rPr>
          <w:b/>
        </w:rPr>
        <w:t xml:space="preserve">We </w:t>
      </w:r>
      <w:r w:rsidR="00F367D4">
        <w:rPr>
          <w:b/>
        </w:rPr>
        <w:t>review</w:t>
      </w:r>
      <w:r w:rsidR="00F367D4" w:rsidRPr="00B005E0">
        <w:rPr>
          <w:b/>
        </w:rPr>
        <w:t xml:space="preserve"> </w:t>
      </w:r>
      <w:r w:rsidR="009B4847">
        <w:rPr>
          <w:b/>
        </w:rPr>
        <w:t>all grant applications</w:t>
      </w:r>
    </w:p>
    <w:p w:rsidR="00232236" w:rsidRPr="00B005E0" w:rsidRDefault="009B4847" w:rsidP="00232236">
      <w:pPr>
        <w:pBdr>
          <w:top w:val="single" w:sz="2" w:space="1" w:color="auto"/>
          <w:left w:val="single" w:sz="2" w:space="4" w:color="auto"/>
          <w:bottom w:val="single" w:sz="2" w:space="1" w:color="auto"/>
          <w:right w:val="single" w:sz="2" w:space="4" w:color="auto"/>
        </w:pBdr>
        <w:spacing w:after="0"/>
        <w:jc w:val="center"/>
      </w:pPr>
      <w:r>
        <w:t>We check the application against eligibility criteria and notify you if you are not eligible</w:t>
      </w:r>
      <w:r w:rsidR="008B3199">
        <w:t>.</w:t>
      </w:r>
    </w:p>
    <w:p w:rsidR="00EE2B1C" w:rsidRPr="00F40BDA" w:rsidRDefault="00EE2B1C" w:rsidP="00EE2B1C">
      <w:pPr>
        <w:spacing w:after="0"/>
        <w:jc w:val="center"/>
        <w:rPr>
          <w:rFonts w:ascii="Wingdings" w:hAnsi="Wingdings"/>
          <w:sz w:val="20"/>
          <w:szCs w:val="20"/>
        </w:rPr>
      </w:pPr>
      <w:r w:rsidRPr="00B005E0">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 xml:space="preserve">We provide advice to the decision maker on each </w:t>
      </w:r>
      <w:r w:rsidR="007572B9">
        <w:t>application</w:t>
      </w:r>
      <w:r w:rsidRPr="00123D11">
        <w:t>.</w:t>
      </w:r>
      <w:r w:rsidRPr="00A03DF3">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797669"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00EE2B1C" w:rsidRPr="00DB0315">
        <w:rPr>
          <w:b/>
        </w:rPr>
        <w:t>ecision</w:t>
      </w:r>
      <w:r w:rsidR="00EE2B1C">
        <w:rPr>
          <w:b/>
        </w:rPr>
        <w:t>s are made</w:t>
      </w:r>
    </w:p>
    <w:p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rsidR="00EE2B1C" w:rsidRDefault="00EE2B1C" w:rsidP="00EE2B1C">
      <w:pPr>
        <w:spacing w:after="0"/>
        <w:jc w:val="center"/>
        <w:rPr>
          <w:rFonts w:ascii="Wingdings" w:hAnsi="Wingdings"/>
          <w:sz w:val="20"/>
          <w:szCs w:val="20"/>
        </w:rPr>
      </w:pPr>
      <w:r w:rsidRPr="00F40BDA">
        <w:rPr>
          <w:rFonts w:ascii="Wingdings" w:hAnsi="Wingdings"/>
          <w:sz w:val="20"/>
          <w:szCs w:val="20"/>
        </w:rPr>
        <w:t></w:t>
      </w:r>
    </w:p>
    <w:p w:rsidR="003F7EAD" w:rsidRDefault="003F7EAD" w:rsidP="00EE2B1C">
      <w:pPr>
        <w:spacing w:after="0"/>
        <w:jc w:val="center"/>
        <w:rPr>
          <w:rFonts w:ascii="Wingdings" w:hAnsi="Wingdings"/>
          <w:sz w:val="20"/>
          <w:szCs w:val="20"/>
        </w:rPr>
      </w:pPr>
    </w:p>
    <w:p w:rsidR="0020082E" w:rsidRPr="00F40BDA" w:rsidRDefault="0020082E" w:rsidP="00EE2B1C">
      <w:pPr>
        <w:spacing w:after="0"/>
        <w:jc w:val="center"/>
        <w:rPr>
          <w:rFonts w:ascii="Wingdings" w:hAnsi="Wingdings"/>
          <w:sz w:val="20"/>
          <w:szCs w:val="20"/>
        </w:rPr>
      </w:pP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lastRenderedPageBreak/>
        <w:t xml:space="preserve">We notify you of the </w:t>
      </w:r>
      <w:r w:rsidRPr="00F40BDA">
        <w:rPr>
          <w:b/>
        </w:rPr>
        <w:t>outcome</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the outcome of your ap</w:t>
      </w:r>
      <w:r w:rsidR="009B4847">
        <w:t xml:space="preserve">plication.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Pr="00232236"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232236">
        <w:rPr>
          <w:rStyle w:val="highlightedtextChar"/>
          <w:color w:val="auto"/>
        </w:rPr>
        <w:t>We enter into a grant agreement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232236">
        <w:t xml:space="preserve">We enter into a grant agreement with successful applicants.  The type of grant agreement is based on the nature of the grant </w:t>
      </w:r>
      <w:r w:rsidRPr="00F40BDA">
        <w:t>and</w:t>
      </w:r>
      <w:r w:rsidR="009A05FF">
        <w:t xml:space="preserve"> is</w:t>
      </w:r>
      <w:r w:rsidRPr="00F40BDA">
        <w:t xml:space="preserve"> proportional to the risks involved.</w:t>
      </w:r>
      <w:r>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rsidR="00AA1B63" w:rsidRDefault="00AA1B63" w:rsidP="00AA1B63">
      <w:pPr>
        <w:pBdr>
          <w:top w:val="single" w:sz="2" w:space="1" w:color="auto"/>
          <w:left w:val="single" w:sz="2" w:space="4" w:color="auto"/>
          <w:bottom w:val="single" w:sz="2" w:space="1" w:color="auto"/>
          <w:right w:val="single" w:sz="2" w:space="4" w:color="auto"/>
        </w:pBdr>
        <w:spacing w:before="120" w:after="0"/>
        <w:jc w:val="center"/>
        <w:rPr>
          <w:rFonts w:asciiTheme="majorHAnsi" w:hAnsiTheme="majorHAnsi" w:cstheme="majorHAnsi"/>
          <w:bCs/>
        </w:rPr>
      </w:pPr>
      <w:r>
        <w:rPr>
          <w:rFonts w:asciiTheme="majorHAnsi" w:hAnsiTheme="majorHAnsi" w:cstheme="majorHAnsi"/>
          <w:bCs/>
        </w:rPr>
        <w:t xml:space="preserve">You undertake the grant activity as set out in your </w:t>
      </w:r>
      <w:r w:rsidRPr="00AA1B63">
        <w:rPr>
          <w:rFonts w:asciiTheme="majorHAnsi" w:hAnsiTheme="majorHAnsi"/>
          <w:bCs/>
        </w:rPr>
        <w:t>grant agreement</w:t>
      </w:r>
      <w:r w:rsidRPr="00AA1B63">
        <w:rPr>
          <w:rFonts w:asciiTheme="majorHAnsi" w:hAnsiTheme="majorHAnsi" w:cstheme="majorHAnsi"/>
          <w:bCs/>
        </w:rPr>
        <w:t>.</w:t>
      </w:r>
      <w:r>
        <w:rPr>
          <w:rFonts w:asciiTheme="majorHAnsi" w:hAnsiTheme="majorHAnsi" w:cstheme="majorHAnsi"/>
          <w:bCs/>
        </w:rPr>
        <w:t xml:space="preserve"> We manage the grant by working with you, monitoring your progress and making payments.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the</w:t>
      </w:r>
      <w:r w:rsidR="00AA1B63">
        <w:rPr>
          <w:b/>
        </w:rPr>
        <w:t xml:space="preserve"> </w:t>
      </w:r>
      <w:r w:rsidRPr="00B30747">
        <w:rPr>
          <w:b/>
        </w:rPr>
        <w:t>grant</w:t>
      </w:r>
      <w:r w:rsidR="00AA1B63">
        <w:rPr>
          <w:b/>
        </w:rPr>
        <w:t xml:space="preserve"> opportunity</w:t>
      </w:r>
    </w:p>
    <w:p w:rsidR="00EE2B1C" w:rsidRDefault="00AA1B63" w:rsidP="00AA1B63">
      <w:pPr>
        <w:pBdr>
          <w:top w:val="single" w:sz="2" w:space="1" w:color="auto"/>
          <w:left w:val="single" w:sz="2" w:space="4" w:color="auto"/>
          <w:bottom w:val="single" w:sz="2" w:space="1" w:color="auto"/>
          <w:right w:val="single" w:sz="2" w:space="4" w:color="auto"/>
        </w:pBdr>
        <w:spacing w:before="120" w:after="0"/>
        <w:jc w:val="center"/>
      </w:pPr>
      <w:r>
        <w:rPr>
          <w:rFonts w:asciiTheme="majorHAnsi" w:hAnsiTheme="majorHAnsi" w:cstheme="majorHAnsi"/>
        </w:rPr>
        <w:t>We evaluate the specific grant activity. We base this on information you provide to us and that we collect from various sources.</w:t>
      </w:r>
    </w:p>
    <w:p w:rsidR="001A0777" w:rsidRPr="00367A67" w:rsidRDefault="001A0777" w:rsidP="00056305">
      <w:pPr>
        <w:pStyle w:val="Heading2Numbered"/>
      </w:pPr>
      <w:bookmarkStart w:id="4" w:name="_Toc484677032"/>
      <w:bookmarkStart w:id="5" w:name="_Toc522006552"/>
      <w:bookmarkStart w:id="6" w:name="_Toc467773951"/>
      <w:r w:rsidRPr="00367A67">
        <w:t>Role of the Community Grants Hub</w:t>
      </w:r>
      <w:bookmarkEnd w:id="4"/>
      <w:bookmarkEnd w:id="5"/>
    </w:p>
    <w:p w:rsidR="00070902" w:rsidRDefault="00070902" w:rsidP="00070902">
      <w:pPr>
        <w:rPr>
          <w:rFonts w:asciiTheme="majorHAnsi" w:hAnsiTheme="majorHAnsi" w:cstheme="majorHAnsi"/>
        </w:rPr>
      </w:pPr>
      <w:r>
        <w:rPr>
          <w:rFonts w:asciiTheme="majorHAnsi" w:hAnsiTheme="majorHAnsi" w:cstheme="majorHAnsi"/>
        </w:rPr>
        <w:t>The Community Grants Hub will administer this grant opportunity on behalf of the Department of Social Services (the Department) un</w:t>
      </w:r>
      <w:r w:rsidRPr="00D2023E">
        <w:rPr>
          <w:rFonts w:asciiTheme="majorHAnsi" w:hAnsiTheme="majorHAnsi" w:cstheme="majorHAnsi"/>
        </w:rPr>
        <w:t>der</w:t>
      </w:r>
      <w:r w:rsidRPr="00D2023E">
        <w:rPr>
          <w:rStyle w:val="highlightedtextChar"/>
          <w:rFonts w:cstheme="majorHAnsi"/>
          <w:color w:val="auto"/>
        </w:rPr>
        <w:t xml:space="preserve"> </w:t>
      </w:r>
      <w:r w:rsidRPr="00070902">
        <w:rPr>
          <w:rStyle w:val="highlightedtextChar"/>
          <w:rFonts w:cstheme="majorHAnsi"/>
          <w:b w:val="0"/>
          <w:color w:val="auto"/>
        </w:rPr>
        <w:t>a whole of Australian Government initiative to streamline grant processes across agencies.</w:t>
      </w:r>
    </w:p>
    <w:p w:rsidR="00045933" w:rsidRPr="00B72EE8" w:rsidRDefault="001A0777" w:rsidP="001A0777">
      <w:pPr>
        <w:pStyle w:val="Heading2Numbered"/>
        <w:numPr>
          <w:ilvl w:val="0"/>
          <w:numId w:val="0"/>
        </w:numPr>
        <w:ind w:left="567" w:hanging="567"/>
      </w:pPr>
      <w:bookmarkStart w:id="7" w:name="_Toc522006553"/>
      <w:r w:rsidRPr="00367A67">
        <w:t>1.2</w:t>
      </w:r>
      <w:r w:rsidRPr="00367A67">
        <w:tab/>
      </w:r>
      <w:r w:rsidR="00045933" w:rsidRPr="00367A67">
        <w:t>About the grant program</w:t>
      </w:r>
      <w:bookmarkEnd w:id="6"/>
      <w:bookmarkEnd w:id="7"/>
    </w:p>
    <w:p w:rsidR="00070902" w:rsidRDefault="00070902" w:rsidP="00070902">
      <w:pPr>
        <w:spacing w:after="0"/>
        <w:rPr>
          <w:rFonts w:asciiTheme="majorHAnsi" w:hAnsiTheme="majorHAnsi" w:cstheme="majorHAnsi"/>
        </w:rPr>
      </w:pPr>
      <w:bookmarkStart w:id="8" w:name="_Toc467773952"/>
      <w:r>
        <w:rPr>
          <w:rFonts w:asciiTheme="majorHAnsi" w:hAnsiTheme="majorHAnsi" w:cstheme="majorHAnsi"/>
        </w:rPr>
        <w:t>Redress Support Services are a component of</w:t>
      </w:r>
      <w:r>
        <w:rPr>
          <w:rFonts w:asciiTheme="majorHAnsi" w:hAnsiTheme="majorHAnsi" w:cstheme="majorHAnsi"/>
          <w:b/>
        </w:rPr>
        <w:t xml:space="preserve"> </w:t>
      </w:r>
      <w:r>
        <w:rPr>
          <w:rFonts w:asciiTheme="majorHAnsi" w:eastAsia="Arial" w:hAnsiTheme="majorHAnsi" w:cstheme="majorHAnsi"/>
        </w:rPr>
        <w:t xml:space="preserve">Outcome 2: Families and Communities Program </w:t>
      </w:r>
      <w:r>
        <w:rPr>
          <w:rFonts w:asciiTheme="majorHAnsi" w:hAnsiTheme="majorHAnsi" w:cstheme="majorHAnsi"/>
        </w:rPr>
        <w:t xml:space="preserve">within the National Redress Scheme component of the Families and Children Activity. </w:t>
      </w:r>
    </w:p>
    <w:p w:rsidR="00070902" w:rsidRDefault="00070902" w:rsidP="00070902">
      <w:pPr>
        <w:spacing w:after="0"/>
        <w:rPr>
          <w:rFonts w:asciiTheme="majorHAnsi" w:hAnsiTheme="majorHAnsi" w:cstheme="majorHAnsi"/>
        </w:rPr>
      </w:pPr>
      <w:r>
        <w:rPr>
          <w:rFonts w:asciiTheme="majorHAnsi" w:hAnsiTheme="majorHAnsi" w:cstheme="majorHAnsi"/>
        </w:rPr>
        <w:t>Redress Support Services will provide timely and seamless access to trauma-informed and culturally appropriate community-based support services to support people’s engagement with the National Redress Scheme (the Scheme).</w:t>
      </w:r>
    </w:p>
    <w:p w:rsidR="00070902" w:rsidRDefault="00070902" w:rsidP="00B005E0">
      <w:pPr>
        <w:keepNext/>
        <w:keepLines/>
        <w:spacing w:after="0"/>
        <w:rPr>
          <w:rFonts w:asciiTheme="majorHAnsi" w:hAnsiTheme="majorHAnsi" w:cstheme="majorHAnsi"/>
          <w:b/>
        </w:rPr>
      </w:pPr>
      <w:r>
        <w:rPr>
          <w:rFonts w:asciiTheme="majorHAnsi" w:hAnsiTheme="majorHAnsi" w:cstheme="majorHAnsi"/>
          <w:b/>
        </w:rPr>
        <w:lastRenderedPageBreak/>
        <w:t>The National Redress Scheme</w:t>
      </w:r>
    </w:p>
    <w:p w:rsidR="00070902" w:rsidRDefault="00070902" w:rsidP="00B005E0">
      <w:pPr>
        <w:keepNext/>
        <w:keepLines/>
        <w:spacing w:after="0"/>
        <w:rPr>
          <w:rFonts w:asciiTheme="majorHAnsi" w:hAnsiTheme="majorHAnsi" w:cstheme="majorHAnsi"/>
        </w:rPr>
      </w:pPr>
      <w:r>
        <w:rPr>
          <w:rFonts w:asciiTheme="majorHAnsi" w:hAnsiTheme="majorHAnsi" w:cstheme="majorHAnsi"/>
        </w:rPr>
        <w:t>The Scheme was established in response to the Royal Commission into Institutional Responses to Child Sexual Abuse (the Royal Commission). It is a way to acknowledge that many children were sexually abused in Australian institutions, to hold institutions to account for this abuse, and help people who have experienced institutional child sexual abuse gain access to counselling and psychological services, a direct personal response, and a monetary payment. The Scheme started on 1 July 2018 and will run for 10 years.</w:t>
      </w:r>
    </w:p>
    <w:p w:rsidR="00070902" w:rsidRDefault="00070902" w:rsidP="00070902">
      <w:pPr>
        <w:keepNext/>
        <w:keepLines/>
        <w:spacing w:after="0"/>
        <w:rPr>
          <w:rFonts w:asciiTheme="majorHAnsi" w:hAnsiTheme="majorHAnsi" w:cstheme="majorHAnsi"/>
        </w:rPr>
      </w:pPr>
      <w:r>
        <w:rPr>
          <w:rFonts w:asciiTheme="majorHAnsi" w:hAnsiTheme="majorHAnsi" w:cstheme="majorHAnsi"/>
        </w:rPr>
        <w:t xml:space="preserve">The Scheme is available to people: </w:t>
      </w:r>
    </w:p>
    <w:p w:rsidR="00070902" w:rsidRDefault="00070902" w:rsidP="001002F4">
      <w:pPr>
        <w:pStyle w:val="ListParagraph"/>
        <w:numPr>
          <w:ilvl w:val="0"/>
          <w:numId w:val="24"/>
        </w:numPr>
        <w:spacing w:before="60" w:after="0"/>
        <w:ind w:left="714" w:hanging="357"/>
        <w:rPr>
          <w:rFonts w:asciiTheme="majorHAnsi" w:hAnsiTheme="majorHAnsi" w:cstheme="majorHAnsi"/>
        </w:rPr>
      </w:pPr>
      <w:r>
        <w:rPr>
          <w:rFonts w:asciiTheme="majorHAnsi" w:hAnsiTheme="majorHAnsi" w:cstheme="majorHAnsi"/>
        </w:rPr>
        <w:t>who experienced sexua</w:t>
      </w:r>
      <w:r w:rsidR="00AA4335">
        <w:rPr>
          <w:rFonts w:asciiTheme="majorHAnsi" w:hAnsiTheme="majorHAnsi" w:cstheme="majorHAnsi"/>
        </w:rPr>
        <w:t>l abuse when they were a child</w:t>
      </w:r>
    </w:p>
    <w:p w:rsidR="00070902" w:rsidRDefault="00AA4335" w:rsidP="001002F4">
      <w:pPr>
        <w:pStyle w:val="ListParagraph"/>
        <w:numPr>
          <w:ilvl w:val="0"/>
          <w:numId w:val="24"/>
        </w:numPr>
        <w:spacing w:before="60" w:after="0"/>
        <w:ind w:left="714" w:hanging="357"/>
        <w:rPr>
          <w:rFonts w:asciiTheme="majorHAnsi" w:hAnsiTheme="majorHAnsi" w:cstheme="majorHAnsi"/>
        </w:rPr>
      </w:pPr>
      <w:r>
        <w:rPr>
          <w:rFonts w:asciiTheme="majorHAnsi" w:hAnsiTheme="majorHAnsi" w:cstheme="majorHAnsi"/>
        </w:rPr>
        <w:t>before 1 July 2018</w:t>
      </w:r>
    </w:p>
    <w:p w:rsidR="00070902" w:rsidRDefault="00CE10F9" w:rsidP="001002F4">
      <w:pPr>
        <w:pStyle w:val="ListParagraph"/>
        <w:numPr>
          <w:ilvl w:val="0"/>
          <w:numId w:val="24"/>
        </w:numPr>
        <w:spacing w:before="60" w:after="0"/>
        <w:ind w:left="714" w:hanging="357"/>
        <w:rPr>
          <w:rFonts w:asciiTheme="majorHAnsi" w:hAnsiTheme="majorHAnsi" w:cstheme="majorHAnsi"/>
        </w:rPr>
      </w:pPr>
      <w:proofErr w:type="gramStart"/>
      <w:r>
        <w:rPr>
          <w:rFonts w:asciiTheme="majorHAnsi" w:hAnsiTheme="majorHAnsi" w:cstheme="majorHAnsi"/>
        </w:rPr>
        <w:t>in</w:t>
      </w:r>
      <w:proofErr w:type="gramEnd"/>
      <w:r>
        <w:rPr>
          <w:rFonts w:asciiTheme="majorHAnsi" w:hAnsiTheme="majorHAnsi" w:cstheme="majorHAnsi"/>
        </w:rPr>
        <w:t xml:space="preserve"> </w:t>
      </w:r>
      <w:r w:rsidR="00070902">
        <w:rPr>
          <w:rFonts w:asciiTheme="majorHAnsi" w:hAnsiTheme="majorHAnsi" w:cstheme="majorHAnsi"/>
        </w:rPr>
        <w:t>an institutional setting.</w:t>
      </w:r>
    </w:p>
    <w:p w:rsidR="001002F4" w:rsidRPr="00AB426F" w:rsidRDefault="001002F4" w:rsidP="001002F4">
      <w:pPr>
        <w:spacing w:before="120" w:after="0"/>
        <w:rPr>
          <w:rFonts w:asciiTheme="majorHAnsi" w:hAnsiTheme="majorHAnsi" w:cstheme="majorHAnsi"/>
        </w:rPr>
      </w:pPr>
      <w:r>
        <w:rPr>
          <w:rFonts w:asciiTheme="majorHAnsi" w:hAnsiTheme="majorHAnsi" w:cstheme="majorHAnsi"/>
        </w:rPr>
        <w:t>In addition, to access redress, a person must be:</w:t>
      </w:r>
    </w:p>
    <w:p w:rsidR="001002F4" w:rsidRDefault="00AA4335" w:rsidP="001002F4">
      <w:pPr>
        <w:pStyle w:val="ListParagraph"/>
        <w:numPr>
          <w:ilvl w:val="0"/>
          <w:numId w:val="24"/>
        </w:numPr>
        <w:spacing w:before="60" w:after="0"/>
        <w:ind w:left="714" w:hanging="357"/>
        <w:rPr>
          <w:rFonts w:asciiTheme="majorHAnsi" w:hAnsiTheme="majorHAnsi" w:cstheme="majorHAnsi"/>
        </w:rPr>
      </w:pPr>
      <w:r>
        <w:rPr>
          <w:rFonts w:asciiTheme="majorHAnsi" w:hAnsiTheme="majorHAnsi" w:cstheme="majorHAnsi"/>
        </w:rPr>
        <w:t xml:space="preserve"> born before 30 June 2010</w:t>
      </w:r>
    </w:p>
    <w:p w:rsidR="001002F4" w:rsidRPr="00A65A41" w:rsidRDefault="001002F4" w:rsidP="001002F4">
      <w:pPr>
        <w:pStyle w:val="ListParagraph"/>
        <w:numPr>
          <w:ilvl w:val="0"/>
          <w:numId w:val="24"/>
        </w:numPr>
        <w:spacing w:after="120"/>
        <w:ind w:left="714" w:hanging="357"/>
        <w:rPr>
          <w:rFonts w:asciiTheme="majorHAnsi" w:hAnsiTheme="majorHAnsi" w:cstheme="majorHAnsi"/>
        </w:rPr>
      </w:pPr>
      <w:r>
        <w:rPr>
          <w:rFonts w:asciiTheme="majorHAnsi" w:hAnsiTheme="majorHAnsi" w:cstheme="majorHAnsi"/>
        </w:rPr>
        <w:t xml:space="preserve"> </w:t>
      </w:r>
      <w:proofErr w:type="gramStart"/>
      <w:r>
        <w:rPr>
          <w:rFonts w:asciiTheme="majorHAnsi" w:hAnsiTheme="majorHAnsi" w:cstheme="majorHAnsi"/>
        </w:rPr>
        <w:t>an</w:t>
      </w:r>
      <w:proofErr w:type="gramEnd"/>
      <w:r>
        <w:rPr>
          <w:rFonts w:asciiTheme="majorHAnsi" w:hAnsiTheme="majorHAnsi" w:cstheme="majorHAnsi"/>
        </w:rPr>
        <w:t xml:space="preserve"> Australian citizen or permanent resident.</w:t>
      </w:r>
    </w:p>
    <w:p w:rsidR="00070902" w:rsidRDefault="00070902" w:rsidP="00070902">
      <w:pPr>
        <w:spacing w:beforeLines="100" w:before="240" w:after="120" w:line="278" w:lineRule="auto"/>
        <w:rPr>
          <w:rFonts w:asciiTheme="majorHAnsi" w:hAnsiTheme="majorHAnsi" w:cstheme="majorHAnsi"/>
        </w:rPr>
      </w:pPr>
      <w:r>
        <w:rPr>
          <w:rFonts w:asciiTheme="majorHAnsi" w:hAnsiTheme="majorHAnsi" w:cstheme="majorHAnsi"/>
        </w:rPr>
        <w:t xml:space="preserve">Up-to-date information on the Scheme is available on the </w:t>
      </w:r>
      <w:hyperlink r:id="rId11" w:history="1">
        <w:r>
          <w:rPr>
            <w:rStyle w:val="Hyperlink"/>
            <w:rFonts w:cstheme="majorHAnsi"/>
            <w:i/>
          </w:rPr>
          <w:t>National Redress Scheme</w:t>
        </w:r>
      </w:hyperlink>
      <w:r>
        <w:t xml:space="preserve"> website.</w:t>
      </w:r>
    </w:p>
    <w:p w:rsidR="00070902" w:rsidRDefault="00070902" w:rsidP="00070902">
      <w:pPr>
        <w:rPr>
          <w:rFonts w:asciiTheme="majorHAnsi" w:hAnsiTheme="majorHAnsi" w:cstheme="majorHAnsi"/>
          <w:b/>
        </w:rPr>
      </w:pPr>
      <w:r>
        <w:rPr>
          <w:rFonts w:asciiTheme="majorHAnsi" w:hAnsiTheme="majorHAnsi" w:cstheme="majorHAnsi"/>
          <w:b/>
        </w:rPr>
        <w:t>The role of Redress Support Services</w:t>
      </w:r>
    </w:p>
    <w:p w:rsidR="00070902" w:rsidRDefault="00070902" w:rsidP="00070902">
      <w:pPr>
        <w:rPr>
          <w:rFonts w:asciiTheme="majorHAnsi" w:hAnsiTheme="majorHAnsi" w:cstheme="majorHAnsi"/>
        </w:rPr>
      </w:pPr>
      <w:r>
        <w:rPr>
          <w:rFonts w:asciiTheme="majorHAnsi" w:hAnsiTheme="majorHAnsi" w:cstheme="majorHAnsi"/>
        </w:rPr>
        <w:t>Redress Support Services will support people’s engagement with the Scheme by:</w:t>
      </w:r>
    </w:p>
    <w:p w:rsidR="00070902" w:rsidRDefault="00070902" w:rsidP="00255987">
      <w:pPr>
        <w:pStyle w:val="ListParagraph"/>
        <w:numPr>
          <w:ilvl w:val="0"/>
          <w:numId w:val="26"/>
        </w:numPr>
        <w:spacing w:after="0"/>
        <w:rPr>
          <w:rFonts w:asciiTheme="majorHAnsi" w:hAnsiTheme="majorHAnsi" w:cstheme="majorHAnsi"/>
        </w:rPr>
      </w:pPr>
      <w:r>
        <w:rPr>
          <w:rFonts w:asciiTheme="majorHAnsi" w:hAnsiTheme="majorHAnsi" w:cstheme="majorHAnsi"/>
        </w:rPr>
        <w:t>communicating and promoting the Scheme to people affected by i</w:t>
      </w:r>
      <w:r w:rsidR="00D141E4">
        <w:rPr>
          <w:rFonts w:asciiTheme="majorHAnsi" w:hAnsiTheme="majorHAnsi" w:cstheme="majorHAnsi"/>
        </w:rPr>
        <w:t>nstitutional child sexual abuse</w:t>
      </w:r>
    </w:p>
    <w:p w:rsidR="00070902" w:rsidRDefault="00070902" w:rsidP="00255987">
      <w:pPr>
        <w:pStyle w:val="ListParagraph"/>
        <w:numPr>
          <w:ilvl w:val="0"/>
          <w:numId w:val="26"/>
        </w:numPr>
        <w:spacing w:after="0"/>
        <w:rPr>
          <w:rFonts w:asciiTheme="majorHAnsi" w:hAnsiTheme="majorHAnsi" w:cstheme="majorHAnsi"/>
        </w:rPr>
      </w:pPr>
      <w:r>
        <w:rPr>
          <w:rFonts w:asciiTheme="majorHAnsi" w:hAnsiTheme="majorHAnsi" w:cstheme="majorHAnsi"/>
        </w:rPr>
        <w:t>providing guidance and support</w:t>
      </w:r>
      <w:r w:rsidR="00D141E4">
        <w:rPr>
          <w:rFonts w:asciiTheme="majorHAnsi" w:hAnsiTheme="majorHAnsi" w:cstheme="majorHAnsi"/>
        </w:rPr>
        <w:t xml:space="preserve"> to people considering applying</w:t>
      </w:r>
    </w:p>
    <w:p w:rsidR="00070902" w:rsidRDefault="00070902" w:rsidP="00255987">
      <w:pPr>
        <w:pStyle w:val="ListParagraph"/>
        <w:numPr>
          <w:ilvl w:val="0"/>
          <w:numId w:val="26"/>
        </w:numPr>
        <w:spacing w:after="0"/>
        <w:rPr>
          <w:rFonts w:asciiTheme="majorHAnsi" w:hAnsiTheme="majorHAnsi" w:cstheme="majorHAnsi"/>
        </w:rPr>
      </w:pPr>
      <w:r>
        <w:rPr>
          <w:rFonts w:asciiTheme="majorHAnsi" w:hAnsiTheme="majorHAnsi" w:cstheme="majorHAnsi"/>
        </w:rPr>
        <w:t>providing timely and accurate i</w:t>
      </w:r>
      <w:r w:rsidR="00D02BDE">
        <w:rPr>
          <w:rFonts w:asciiTheme="majorHAnsi" w:hAnsiTheme="majorHAnsi" w:cstheme="majorHAnsi"/>
        </w:rPr>
        <w:t>nformation to people about the S</w:t>
      </w:r>
      <w:r w:rsidR="00D141E4">
        <w:rPr>
          <w:rFonts w:asciiTheme="majorHAnsi" w:hAnsiTheme="majorHAnsi" w:cstheme="majorHAnsi"/>
        </w:rPr>
        <w:t>cheme</w:t>
      </w:r>
    </w:p>
    <w:p w:rsidR="00070902" w:rsidRDefault="00070902" w:rsidP="00255987">
      <w:pPr>
        <w:pStyle w:val="ListParagraph"/>
        <w:numPr>
          <w:ilvl w:val="0"/>
          <w:numId w:val="26"/>
        </w:numPr>
        <w:spacing w:after="0"/>
        <w:rPr>
          <w:rFonts w:asciiTheme="majorHAnsi" w:hAnsiTheme="majorHAnsi" w:cstheme="majorHAnsi"/>
        </w:rPr>
      </w:pPr>
      <w:r>
        <w:rPr>
          <w:rFonts w:asciiTheme="majorHAnsi" w:hAnsiTheme="majorHAnsi" w:cstheme="majorHAnsi"/>
        </w:rPr>
        <w:t>providing practical support to people completi</w:t>
      </w:r>
      <w:r w:rsidR="00D141E4">
        <w:rPr>
          <w:rFonts w:asciiTheme="majorHAnsi" w:hAnsiTheme="majorHAnsi" w:cstheme="majorHAnsi"/>
        </w:rPr>
        <w:t>ng applications for redress</w:t>
      </w:r>
    </w:p>
    <w:p w:rsidR="00070902" w:rsidRDefault="00070902" w:rsidP="00255987">
      <w:pPr>
        <w:pStyle w:val="ListParagraph"/>
        <w:numPr>
          <w:ilvl w:val="0"/>
          <w:numId w:val="26"/>
        </w:numPr>
        <w:spacing w:after="0"/>
        <w:rPr>
          <w:rFonts w:asciiTheme="majorHAnsi" w:hAnsiTheme="majorHAnsi" w:cstheme="majorHAnsi"/>
        </w:rPr>
      </w:pPr>
      <w:proofErr w:type="gramStart"/>
      <w:r>
        <w:rPr>
          <w:rFonts w:asciiTheme="majorHAnsi" w:hAnsiTheme="majorHAnsi" w:cstheme="majorHAnsi"/>
        </w:rPr>
        <w:t>providing</w:t>
      </w:r>
      <w:proofErr w:type="gramEnd"/>
      <w:r>
        <w:rPr>
          <w:rFonts w:asciiTheme="majorHAnsi" w:hAnsiTheme="majorHAnsi" w:cstheme="majorHAnsi"/>
        </w:rPr>
        <w:t xml:space="preserve"> professional and trauma-informed support to people throughout their engagement with the Scheme.</w:t>
      </w:r>
    </w:p>
    <w:p w:rsidR="001002F4" w:rsidRDefault="00070902" w:rsidP="00070902">
      <w:r>
        <w:t xml:space="preserve">For many people who experienced institutional child sexual abuse, applying for redress may be the first time they disclose their abuse, and for many applicants it may trigger associated trauma. </w:t>
      </w:r>
    </w:p>
    <w:p w:rsidR="001002F4" w:rsidRDefault="001002F4" w:rsidP="001002F4">
      <w:pPr>
        <w:spacing w:before="120" w:after="120"/>
      </w:pPr>
      <w:r>
        <w:t>The</w:t>
      </w:r>
      <w:r w:rsidRPr="008A6A3C">
        <w:t xml:space="preserve"> target group </w:t>
      </w:r>
      <w:r>
        <w:t xml:space="preserve">seeking support from Redress Support Services </w:t>
      </w:r>
      <w:r w:rsidRPr="008A6A3C">
        <w:t xml:space="preserve">is highly diverse, and includes particularly vulnerable groups of people who may </w:t>
      </w:r>
      <w:r>
        <w:t xml:space="preserve">face complex barriers and other </w:t>
      </w:r>
      <w:r w:rsidRPr="008A6A3C">
        <w:t xml:space="preserve">difficulties engaging with the Scheme. </w:t>
      </w:r>
    </w:p>
    <w:p w:rsidR="001002F4" w:rsidRDefault="001002F4" w:rsidP="00070902">
      <w:pPr>
        <w:spacing w:before="0" w:after="120"/>
      </w:pPr>
      <w:r w:rsidRPr="001002F4">
        <w:t>Anticipating the extent of historical institutional child sexual abuse across Australia is difficult, however the Royal Commission estimated that there could be as many as 60,000 people who experienced institutionalised child sexual abuse.</w:t>
      </w:r>
    </w:p>
    <w:p w:rsidR="001002F4" w:rsidRDefault="001002F4" w:rsidP="001002F4">
      <w:pPr>
        <w:spacing w:before="0" w:after="120"/>
      </w:pPr>
      <w:r>
        <w:t>Although participation in the Scheme is voluntary, uptake has been highly encouraging. All state and territory governments and an increasing number of non-government institutions have joined the Scheme. Institutions continue to engage constructively and it is expected that the number of participating institutions will continue to grow. Institutions not currently participating in the Scheme will have two years from its commencement to join the Scheme.</w:t>
      </w:r>
    </w:p>
    <w:p w:rsidR="001002F4" w:rsidRDefault="001002F4" w:rsidP="001002F4">
      <w:pPr>
        <w:spacing w:before="0" w:after="120"/>
      </w:pPr>
      <w:r>
        <w:lastRenderedPageBreak/>
        <w:t>The strong willingness to join the Scheme means there is already a high demand for Redress Support Services within the community, and applicants should expect this demand to continue over the short-to medium term life of the Scheme.</w:t>
      </w:r>
    </w:p>
    <w:p w:rsidR="001002F4" w:rsidRDefault="001002F4" w:rsidP="001002F4">
      <w:pPr>
        <w:spacing w:before="0" w:after="120"/>
      </w:pPr>
      <w:r>
        <w:t>The Department is already funding organisations to deliver Redress Support Services across Australia. Prior to the Scheme commencing, these organisations delivered Royal Commission Support Services to assist people engaging with the Royal Commission.</w:t>
      </w:r>
    </w:p>
    <w:p w:rsidR="00D2023E" w:rsidRDefault="001002F4" w:rsidP="001002F4">
      <w:pPr>
        <w:spacing w:before="0" w:after="120"/>
      </w:pPr>
      <w:r w:rsidRPr="00C9678A">
        <w:t>This grant opportunity ensure</w:t>
      </w:r>
      <w:r w:rsidR="00D1304E">
        <w:t>s</w:t>
      </w:r>
      <w:r w:rsidRPr="00C9678A">
        <w:t xml:space="preserve"> continuity of support for </w:t>
      </w:r>
      <w:r w:rsidR="00E457A9" w:rsidRPr="00C9678A">
        <w:t>clients currently accessing these services for support with redress</w:t>
      </w:r>
      <w:r w:rsidRPr="00C9678A">
        <w:t xml:space="preserve"> by </w:t>
      </w:r>
      <w:r w:rsidR="00E457A9" w:rsidRPr="00C9678A">
        <w:t>inviting existing Royal Commission Support Services to deliver Redress Suppo</w:t>
      </w:r>
      <w:r w:rsidR="00D2023E">
        <w:t>rt Services until 30 June 2021.</w:t>
      </w:r>
    </w:p>
    <w:p w:rsidR="00D2023E" w:rsidRPr="00D2023E" w:rsidRDefault="00D2023E" w:rsidP="00D2023E">
      <w:pPr>
        <w:spacing w:before="0" w:after="120"/>
      </w:pPr>
      <w:r w:rsidRPr="00D2023E">
        <w:t xml:space="preserve">This approach aims to ensure survivors connected to these support services through the Royal Commission process are able to continue accessing support to apply for </w:t>
      </w:r>
      <w:r w:rsidR="00A00BDD">
        <w:t>r</w:t>
      </w:r>
      <w:r w:rsidR="00A00BDD" w:rsidRPr="00D2023E">
        <w:t>edress</w:t>
      </w:r>
      <w:r w:rsidRPr="00D2023E">
        <w:t>. It also aims to meet the earlier than anticipated surge in demand for support services.</w:t>
      </w:r>
    </w:p>
    <w:p w:rsidR="00070902" w:rsidRDefault="00070902" w:rsidP="00070902">
      <w:pPr>
        <w:spacing w:before="0" w:after="120"/>
        <w:rPr>
          <w:rFonts w:asciiTheme="majorHAnsi" w:hAnsiTheme="majorHAnsi" w:cstheme="majorHAnsi"/>
        </w:rPr>
      </w:pPr>
      <w:r>
        <w:rPr>
          <w:rFonts w:asciiTheme="majorHAnsi" w:hAnsiTheme="majorHAnsi" w:cstheme="majorHAnsi"/>
        </w:rPr>
        <w:t xml:space="preserve">The Program will be undertaken according to the </w:t>
      </w:r>
      <w:hyperlink r:id="rId12" w:history="1">
        <w:r>
          <w:rPr>
            <w:rStyle w:val="Hyperlink"/>
            <w:rFonts w:cstheme="majorHAnsi"/>
            <w:i/>
          </w:rPr>
          <w:t>Commonwealth Grants Rules and Guidelines 2017</w:t>
        </w:r>
      </w:hyperlink>
      <w:r>
        <w:rPr>
          <w:rFonts w:asciiTheme="majorHAnsi" w:hAnsiTheme="majorHAnsi" w:cstheme="majorHAnsi"/>
        </w:rPr>
        <w:t xml:space="preserve"> (CGRGs).</w:t>
      </w:r>
    </w:p>
    <w:p w:rsidR="00045933" w:rsidRPr="00DF4FFA" w:rsidRDefault="00045933" w:rsidP="00255987">
      <w:pPr>
        <w:pStyle w:val="Heading2Numbered"/>
        <w:numPr>
          <w:ilvl w:val="1"/>
          <w:numId w:val="15"/>
        </w:numPr>
        <w:ind w:left="567"/>
      </w:pPr>
      <w:bookmarkStart w:id="9" w:name="_Toc522006554"/>
      <w:r w:rsidRPr="00141248">
        <w:t xml:space="preserve">About the </w:t>
      </w:r>
      <w:r w:rsidRPr="00045933">
        <w:t>Grant Opportunity</w:t>
      </w:r>
      <w:bookmarkEnd w:id="8"/>
      <w:bookmarkEnd w:id="9"/>
    </w:p>
    <w:p w:rsidR="00070902" w:rsidRDefault="00070902" w:rsidP="00070902">
      <w:pPr>
        <w:spacing w:before="120" w:after="0"/>
        <w:rPr>
          <w:rFonts w:asciiTheme="majorHAnsi" w:hAnsiTheme="majorHAnsi" w:cstheme="majorHAnsi"/>
        </w:rPr>
      </w:pPr>
      <w:bookmarkStart w:id="10" w:name="_Toc461105052"/>
      <w:bookmarkStart w:id="11" w:name="_Toc467773953"/>
      <w:bookmarkStart w:id="12" w:name="_Ref421783365"/>
      <w:bookmarkEnd w:id="10"/>
      <w:r>
        <w:rPr>
          <w:rFonts w:asciiTheme="majorHAnsi" w:hAnsiTheme="majorHAnsi" w:cstheme="majorHAnsi"/>
        </w:rPr>
        <w:t xml:space="preserve">These guidelines outline the requirements for the new Redress Support Services. </w:t>
      </w:r>
    </w:p>
    <w:p w:rsidR="00070902" w:rsidRDefault="00070902" w:rsidP="00070902">
      <w:pPr>
        <w:spacing w:before="120" w:after="0"/>
        <w:rPr>
          <w:rFonts w:asciiTheme="majorHAnsi" w:hAnsiTheme="majorHAnsi" w:cstheme="majorHAnsi"/>
        </w:rPr>
      </w:pPr>
      <w:r>
        <w:rPr>
          <w:rFonts w:asciiTheme="majorHAnsi" w:hAnsiTheme="majorHAnsi" w:cstheme="majorHAnsi"/>
        </w:rPr>
        <w:t>This document sets out:</w:t>
      </w:r>
      <w:r>
        <w:rPr>
          <w:rFonts w:asciiTheme="majorHAnsi" w:hAnsiTheme="majorHAnsi" w:cstheme="majorHAnsi"/>
        </w:rPr>
        <w:tab/>
      </w:r>
    </w:p>
    <w:p w:rsidR="00070902" w:rsidRDefault="00070902" w:rsidP="00255987">
      <w:pPr>
        <w:pStyle w:val="ListParagraph"/>
        <w:numPr>
          <w:ilvl w:val="0"/>
          <w:numId w:val="26"/>
        </w:numPr>
        <w:spacing w:before="60" w:after="0"/>
        <w:ind w:left="714" w:hanging="357"/>
        <w:rPr>
          <w:rFonts w:asciiTheme="majorHAnsi" w:hAnsiTheme="majorHAnsi" w:cstheme="majorHAnsi"/>
        </w:rPr>
      </w:pPr>
      <w:r>
        <w:rPr>
          <w:rFonts w:asciiTheme="majorHAnsi" w:hAnsiTheme="majorHAnsi" w:cstheme="majorHAnsi"/>
        </w:rPr>
        <w:t>the purpose of the grant opportunity</w:t>
      </w:r>
    </w:p>
    <w:p w:rsidR="00070902" w:rsidRDefault="00070902" w:rsidP="00255987">
      <w:pPr>
        <w:pStyle w:val="ListParagraph"/>
        <w:numPr>
          <w:ilvl w:val="0"/>
          <w:numId w:val="26"/>
        </w:numPr>
        <w:spacing w:after="0"/>
        <w:rPr>
          <w:rFonts w:asciiTheme="majorHAnsi" w:hAnsiTheme="majorHAnsi" w:cstheme="majorHAnsi"/>
        </w:rPr>
      </w:pPr>
      <w:r>
        <w:rPr>
          <w:rFonts w:asciiTheme="majorHAnsi" w:hAnsiTheme="majorHAnsi" w:cstheme="majorHAnsi"/>
        </w:rPr>
        <w:t>the eligibility and assessment criteria</w:t>
      </w:r>
    </w:p>
    <w:p w:rsidR="00070902" w:rsidRDefault="00070902" w:rsidP="00255987">
      <w:pPr>
        <w:pStyle w:val="ListParagraph"/>
        <w:numPr>
          <w:ilvl w:val="0"/>
          <w:numId w:val="26"/>
        </w:numPr>
        <w:spacing w:after="0"/>
        <w:rPr>
          <w:rFonts w:asciiTheme="majorHAnsi" w:hAnsiTheme="majorHAnsi" w:cstheme="majorHAnsi"/>
        </w:rPr>
      </w:pPr>
      <w:r>
        <w:rPr>
          <w:rFonts w:asciiTheme="majorHAnsi" w:hAnsiTheme="majorHAnsi" w:cstheme="majorHAnsi"/>
        </w:rPr>
        <w:t>how to apply for the grant opportunity</w:t>
      </w:r>
    </w:p>
    <w:p w:rsidR="00070902" w:rsidRDefault="00070902" w:rsidP="00255987">
      <w:pPr>
        <w:pStyle w:val="ListParagraph"/>
        <w:numPr>
          <w:ilvl w:val="0"/>
          <w:numId w:val="26"/>
        </w:numPr>
        <w:spacing w:after="0"/>
        <w:rPr>
          <w:rFonts w:asciiTheme="majorHAnsi" w:hAnsiTheme="majorHAnsi" w:cstheme="majorHAnsi"/>
        </w:rPr>
      </w:pPr>
      <w:r>
        <w:rPr>
          <w:rFonts w:asciiTheme="majorHAnsi" w:hAnsiTheme="majorHAnsi" w:cstheme="majorHAnsi"/>
        </w:rPr>
        <w:t xml:space="preserve">how grant applications </w:t>
      </w:r>
      <w:r w:rsidR="00D141E4">
        <w:rPr>
          <w:rFonts w:asciiTheme="majorHAnsi" w:hAnsiTheme="majorHAnsi" w:cstheme="majorHAnsi"/>
        </w:rPr>
        <w:t>are monitored and evaluated</w:t>
      </w:r>
    </w:p>
    <w:p w:rsidR="00070902" w:rsidRDefault="00070902" w:rsidP="00255987">
      <w:pPr>
        <w:pStyle w:val="ListParagraph"/>
        <w:numPr>
          <w:ilvl w:val="0"/>
          <w:numId w:val="26"/>
        </w:numPr>
        <w:spacing w:after="0"/>
        <w:ind w:left="714" w:hanging="357"/>
        <w:rPr>
          <w:rFonts w:asciiTheme="majorHAnsi" w:hAnsiTheme="majorHAnsi" w:cstheme="majorHAnsi"/>
        </w:rPr>
      </w:pPr>
      <w:proofErr w:type="gramStart"/>
      <w:r>
        <w:rPr>
          <w:rFonts w:asciiTheme="majorHAnsi" w:hAnsiTheme="majorHAnsi" w:cstheme="majorHAnsi"/>
        </w:rPr>
        <w:t>the</w:t>
      </w:r>
      <w:proofErr w:type="gramEnd"/>
      <w:r>
        <w:rPr>
          <w:rFonts w:asciiTheme="majorHAnsi" w:hAnsiTheme="majorHAnsi" w:cstheme="majorHAnsi"/>
        </w:rPr>
        <w:t xml:space="preserve"> responsibilities and expectations in relation to the opportunity. </w:t>
      </w:r>
    </w:p>
    <w:p w:rsidR="00070902" w:rsidRDefault="00070902" w:rsidP="00070902">
      <w:pPr>
        <w:pStyle w:val="NoSpacing"/>
        <w:spacing w:before="120"/>
        <w:rPr>
          <w:rFonts w:asciiTheme="majorHAnsi" w:hAnsiTheme="majorHAnsi" w:cstheme="majorHAnsi"/>
        </w:rPr>
      </w:pPr>
      <w:r>
        <w:rPr>
          <w:rFonts w:asciiTheme="majorHAnsi" w:hAnsiTheme="majorHAnsi" w:cstheme="majorHAnsi"/>
        </w:rPr>
        <w:t xml:space="preserve">You must read this document before filling out an application. </w:t>
      </w:r>
    </w:p>
    <w:p w:rsidR="00070902" w:rsidRPr="00224374" w:rsidRDefault="00070902" w:rsidP="00070902">
      <w:pPr>
        <w:rPr>
          <w:b/>
        </w:rPr>
      </w:pPr>
      <w:r w:rsidRPr="00224374">
        <w:rPr>
          <w:b/>
        </w:rPr>
        <w:t>Purpose of this grant opportunity</w:t>
      </w:r>
    </w:p>
    <w:p w:rsidR="00D1304E" w:rsidRDefault="00070902" w:rsidP="00070902">
      <w:pPr>
        <w:spacing w:after="120"/>
        <w:rPr>
          <w:rFonts w:asciiTheme="majorHAnsi" w:hAnsiTheme="majorHAnsi" w:cstheme="majorHAnsi"/>
        </w:rPr>
      </w:pPr>
      <w:r>
        <w:rPr>
          <w:rFonts w:asciiTheme="majorHAnsi" w:hAnsiTheme="majorHAnsi" w:cstheme="majorHAnsi"/>
        </w:rPr>
        <w:t xml:space="preserve">The Australian Government </w:t>
      </w:r>
      <w:r w:rsidR="00D1304E">
        <w:rPr>
          <w:rFonts w:asciiTheme="majorHAnsi" w:hAnsiTheme="majorHAnsi" w:cstheme="majorHAnsi"/>
        </w:rPr>
        <w:t>is committed</w:t>
      </w:r>
      <w:r>
        <w:rPr>
          <w:rFonts w:asciiTheme="majorHAnsi" w:hAnsiTheme="majorHAnsi" w:cstheme="majorHAnsi"/>
        </w:rPr>
        <w:t xml:space="preserve"> to </w:t>
      </w:r>
      <w:r w:rsidR="00D1304E">
        <w:rPr>
          <w:rFonts w:asciiTheme="majorHAnsi" w:hAnsiTheme="majorHAnsi" w:cstheme="majorHAnsi"/>
        </w:rPr>
        <w:t>funding new Redress Support Services to assist people to apply to the Scheme.</w:t>
      </w:r>
    </w:p>
    <w:p w:rsidR="008C1F70" w:rsidRDefault="008C1F70" w:rsidP="00070902">
      <w:pPr>
        <w:spacing w:after="120"/>
        <w:rPr>
          <w:rFonts w:asciiTheme="majorHAnsi" w:hAnsiTheme="majorHAnsi" w:cstheme="majorHAnsi"/>
        </w:rPr>
      </w:pPr>
      <w:r>
        <w:rPr>
          <w:rFonts w:asciiTheme="majorHAnsi" w:hAnsiTheme="majorHAnsi" w:cstheme="majorHAnsi"/>
        </w:rPr>
        <w:t>Through interim arrangements, existing grants with Royal Commission Support Services were extended to 31 December 2018 to ensure continued support for people who experienced institutional child sexual abuse as the Scheme commenced.</w:t>
      </w:r>
    </w:p>
    <w:p w:rsidR="00265BFF" w:rsidRDefault="00265BFF" w:rsidP="00265BFF">
      <w:pPr>
        <w:spacing w:after="120"/>
        <w:rPr>
          <w:rFonts w:asciiTheme="majorHAnsi" w:hAnsiTheme="majorHAnsi" w:cstheme="majorHAnsi"/>
        </w:rPr>
      </w:pPr>
      <w:r>
        <w:rPr>
          <w:rFonts w:asciiTheme="majorHAnsi" w:hAnsiTheme="majorHAnsi" w:cstheme="majorHAnsi"/>
        </w:rPr>
        <w:t>This grant opportunity establishes new dedicated Redress Support Services to provide trauma-informed and culturally appropriate support to people who experienced institutional child sexual abuse as they engage with the Scheme.</w:t>
      </w:r>
    </w:p>
    <w:p w:rsidR="008B29B3" w:rsidRDefault="008B29B3" w:rsidP="008B29B3">
      <w:pPr>
        <w:spacing w:after="120"/>
        <w:rPr>
          <w:rFonts w:asciiTheme="majorHAnsi" w:hAnsiTheme="majorHAnsi" w:cstheme="majorHAnsi"/>
        </w:rPr>
      </w:pPr>
      <w:r>
        <w:rPr>
          <w:rFonts w:asciiTheme="majorHAnsi" w:hAnsiTheme="majorHAnsi" w:cstheme="majorHAnsi"/>
        </w:rPr>
        <w:t>This grant opportunity forms part of the Government’s strategy to deliver Redress Support Services.</w:t>
      </w:r>
    </w:p>
    <w:p w:rsidR="00265BFF" w:rsidRDefault="00265BFF" w:rsidP="00070902">
      <w:pPr>
        <w:spacing w:after="120"/>
        <w:rPr>
          <w:rFonts w:asciiTheme="majorHAnsi" w:hAnsiTheme="majorHAnsi" w:cstheme="majorHAnsi"/>
        </w:rPr>
      </w:pPr>
      <w:r>
        <w:rPr>
          <w:rFonts w:asciiTheme="majorHAnsi" w:hAnsiTheme="majorHAnsi" w:cstheme="majorHAnsi"/>
        </w:rPr>
        <w:t>Organisations funded through this grant opportunity will deliver Redress Support Services to 30 June 2021.</w:t>
      </w:r>
    </w:p>
    <w:p w:rsidR="00265BFF" w:rsidRDefault="00265BFF" w:rsidP="00070902">
      <w:pPr>
        <w:spacing w:after="120"/>
        <w:rPr>
          <w:rFonts w:asciiTheme="majorHAnsi" w:hAnsiTheme="majorHAnsi" w:cstheme="majorHAnsi"/>
        </w:rPr>
      </w:pPr>
      <w:r>
        <w:rPr>
          <w:rFonts w:asciiTheme="majorHAnsi" w:hAnsiTheme="majorHAnsi" w:cstheme="majorHAnsi"/>
        </w:rPr>
        <w:lastRenderedPageBreak/>
        <w:t>A short-term boost of funding is also provided through this grant opportunity to services offering specialised support to clients with complex needs, specifically Indigenous Australians, Forgotten Australians, Former Child Migrants, people with disability, and people in rural and remote locations</w:t>
      </w:r>
      <w:r w:rsidR="00F147A8">
        <w:rPr>
          <w:rFonts w:asciiTheme="majorHAnsi" w:hAnsiTheme="majorHAnsi" w:cstheme="majorHAnsi"/>
        </w:rPr>
        <w:t xml:space="preserve">, in </w:t>
      </w:r>
      <w:r>
        <w:rPr>
          <w:rFonts w:asciiTheme="majorHAnsi" w:hAnsiTheme="majorHAnsi" w:cstheme="majorHAnsi"/>
        </w:rPr>
        <w:t xml:space="preserve">recognition </w:t>
      </w:r>
      <w:r w:rsidR="00F147A8">
        <w:rPr>
          <w:rFonts w:asciiTheme="majorHAnsi" w:hAnsiTheme="majorHAnsi" w:cstheme="majorHAnsi"/>
        </w:rPr>
        <w:t>of the more intensive nature of this support.</w:t>
      </w:r>
    </w:p>
    <w:p w:rsidR="0089076E" w:rsidRPr="00570148" w:rsidRDefault="0089076E" w:rsidP="0089076E">
      <w:pPr>
        <w:keepNext/>
        <w:keepLines/>
        <w:spacing w:before="240" w:after="120"/>
        <w:rPr>
          <w:rFonts w:asciiTheme="majorHAnsi" w:hAnsiTheme="majorHAnsi" w:cstheme="majorHAnsi"/>
        </w:rPr>
      </w:pPr>
      <w:r>
        <w:rPr>
          <w:rFonts w:asciiTheme="majorHAnsi" w:hAnsiTheme="majorHAnsi" w:cstheme="majorHAnsi"/>
        </w:rPr>
        <w:t xml:space="preserve">Redress Support Services are </w:t>
      </w:r>
      <w:r w:rsidRPr="00FA3550">
        <w:rPr>
          <w:rFonts w:asciiTheme="majorHAnsi" w:hAnsiTheme="majorHAnsi" w:cstheme="majorHAnsi"/>
        </w:rPr>
        <w:t>underpinned</w:t>
      </w:r>
      <w:r w:rsidRPr="00570148">
        <w:rPr>
          <w:rFonts w:asciiTheme="majorHAnsi" w:hAnsiTheme="majorHAnsi" w:cstheme="majorHAnsi"/>
        </w:rPr>
        <w:t xml:space="preserve"> by evidence</w:t>
      </w:r>
      <w:r w:rsidRPr="00570148">
        <w:rPr>
          <w:rFonts w:asciiTheme="majorHAnsi" w:hAnsiTheme="majorHAnsi" w:cstheme="majorHAnsi"/>
        </w:rPr>
        <w:noBreakHyphen/>
        <w:t>based practice, design and delivery principles that ensure:</w:t>
      </w:r>
    </w:p>
    <w:p w:rsidR="0089076E" w:rsidRPr="001339C6" w:rsidRDefault="0089076E" w:rsidP="0089076E">
      <w:pPr>
        <w:pStyle w:val="ListParagraph"/>
        <w:keepNext/>
        <w:keepLines/>
        <w:numPr>
          <w:ilvl w:val="0"/>
          <w:numId w:val="28"/>
        </w:numPr>
        <w:spacing w:after="0"/>
        <w:rPr>
          <w:rFonts w:asciiTheme="minorHAnsi" w:hAnsiTheme="minorHAnsi" w:cstheme="minorHAnsi"/>
        </w:rPr>
      </w:pPr>
      <w:r w:rsidRPr="001339C6">
        <w:rPr>
          <w:rFonts w:asciiTheme="minorHAnsi" w:hAnsiTheme="minorHAnsi" w:cstheme="minorHAnsi"/>
        </w:rPr>
        <w:t>a tailored but flexible approach to support people to engage in the redress process</w:t>
      </w:r>
    </w:p>
    <w:p w:rsidR="0089076E" w:rsidRPr="001339C6" w:rsidRDefault="0089076E" w:rsidP="0089076E">
      <w:pPr>
        <w:pStyle w:val="ListParagraph"/>
        <w:keepNext/>
        <w:keepLines/>
        <w:numPr>
          <w:ilvl w:val="0"/>
          <w:numId w:val="28"/>
        </w:numPr>
        <w:spacing w:after="0"/>
        <w:rPr>
          <w:rFonts w:asciiTheme="minorHAnsi" w:hAnsiTheme="minorHAnsi" w:cstheme="minorHAnsi"/>
        </w:rPr>
      </w:pPr>
      <w:r w:rsidRPr="001339C6">
        <w:rPr>
          <w:rFonts w:asciiTheme="minorHAnsi" w:hAnsiTheme="minorHAnsi" w:cstheme="minorHAnsi"/>
        </w:rPr>
        <w:t>the importance of validating and respecting the different histories of people affected by insti</w:t>
      </w:r>
      <w:r w:rsidR="00D141E4">
        <w:rPr>
          <w:rFonts w:asciiTheme="minorHAnsi" w:hAnsiTheme="minorHAnsi" w:cstheme="minorHAnsi"/>
        </w:rPr>
        <w:t>tutional child sexual abuse</w:t>
      </w:r>
    </w:p>
    <w:p w:rsidR="0089076E" w:rsidRPr="001339C6" w:rsidRDefault="0089076E" w:rsidP="0089076E">
      <w:pPr>
        <w:pStyle w:val="ListParagraph"/>
        <w:keepNext/>
        <w:keepLines/>
        <w:numPr>
          <w:ilvl w:val="0"/>
          <w:numId w:val="28"/>
        </w:numPr>
        <w:spacing w:after="0"/>
        <w:rPr>
          <w:rFonts w:asciiTheme="minorHAnsi" w:hAnsiTheme="minorHAnsi" w:cstheme="minorHAnsi"/>
        </w:rPr>
      </w:pPr>
      <w:r w:rsidRPr="001339C6">
        <w:rPr>
          <w:rFonts w:asciiTheme="minorHAnsi" w:hAnsiTheme="minorHAnsi" w:cstheme="minorHAnsi"/>
        </w:rPr>
        <w:t xml:space="preserve">the person who experienced the child sexual abuse is central to </w:t>
      </w:r>
      <w:r w:rsidR="00D141E4">
        <w:rPr>
          <w:rFonts w:asciiTheme="minorHAnsi" w:hAnsiTheme="minorHAnsi" w:cstheme="minorHAnsi"/>
        </w:rPr>
        <w:t>all service design and delivery</w:t>
      </w:r>
    </w:p>
    <w:p w:rsidR="0089076E" w:rsidRPr="001339C6" w:rsidRDefault="0089076E" w:rsidP="0089076E">
      <w:pPr>
        <w:pStyle w:val="ListParagraph"/>
        <w:keepNext/>
        <w:keepLines/>
        <w:numPr>
          <w:ilvl w:val="0"/>
          <w:numId w:val="28"/>
        </w:numPr>
        <w:spacing w:after="0"/>
        <w:rPr>
          <w:rFonts w:asciiTheme="minorHAnsi" w:hAnsiTheme="minorHAnsi" w:cstheme="minorHAnsi"/>
        </w:rPr>
      </w:pPr>
      <w:r w:rsidRPr="001339C6">
        <w:rPr>
          <w:rFonts w:asciiTheme="minorHAnsi" w:hAnsiTheme="minorHAnsi" w:cstheme="minorHAnsi"/>
        </w:rPr>
        <w:t xml:space="preserve">people who experienced child sexual abuse are empowered to </w:t>
      </w:r>
      <w:r w:rsidR="00D141E4">
        <w:rPr>
          <w:rFonts w:asciiTheme="minorHAnsi" w:hAnsiTheme="minorHAnsi" w:cstheme="minorHAnsi"/>
        </w:rPr>
        <w:t>make their own informed choices</w:t>
      </w:r>
    </w:p>
    <w:p w:rsidR="0089076E" w:rsidRPr="001339C6" w:rsidRDefault="0089076E" w:rsidP="0089076E">
      <w:pPr>
        <w:pStyle w:val="ListParagraph"/>
        <w:keepNext/>
        <w:keepLines/>
        <w:numPr>
          <w:ilvl w:val="0"/>
          <w:numId w:val="28"/>
        </w:numPr>
        <w:spacing w:after="0"/>
        <w:rPr>
          <w:rFonts w:asciiTheme="minorHAnsi" w:hAnsiTheme="minorHAnsi" w:cstheme="minorHAnsi"/>
        </w:rPr>
      </w:pPr>
      <w:r w:rsidRPr="001339C6">
        <w:rPr>
          <w:rFonts w:asciiTheme="minorHAnsi" w:hAnsiTheme="minorHAnsi" w:cstheme="minorHAnsi"/>
        </w:rPr>
        <w:t>service delivery staff have appropriate specialist skills / training and understand trauma and the unique and varied impacts of p</w:t>
      </w:r>
      <w:r w:rsidR="00D141E4">
        <w:rPr>
          <w:rFonts w:asciiTheme="minorHAnsi" w:hAnsiTheme="minorHAnsi" w:cstheme="minorHAnsi"/>
        </w:rPr>
        <w:t>ast institutional practices</w:t>
      </w:r>
    </w:p>
    <w:p w:rsidR="0089076E" w:rsidRDefault="0089076E" w:rsidP="0089076E">
      <w:pPr>
        <w:pStyle w:val="ListParagraph"/>
        <w:numPr>
          <w:ilvl w:val="0"/>
          <w:numId w:val="28"/>
        </w:numPr>
        <w:spacing w:after="0"/>
        <w:rPr>
          <w:rFonts w:asciiTheme="minorHAnsi" w:hAnsiTheme="minorHAnsi" w:cstheme="minorHAnsi"/>
        </w:rPr>
      </w:pPr>
      <w:r w:rsidRPr="001339C6">
        <w:rPr>
          <w:rFonts w:asciiTheme="minorHAnsi" w:hAnsiTheme="minorHAnsi" w:cstheme="minorHAnsi"/>
        </w:rPr>
        <w:t>where service delivery organisations have existing or historical links to institutions, services will be transparent and, where necessary, publically acknowledge their involvement in past practices</w:t>
      </w:r>
      <w:r w:rsidR="00E863F1">
        <w:rPr>
          <w:rFonts w:asciiTheme="minorHAnsi" w:hAnsiTheme="minorHAnsi" w:cstheme="minorHAnsi"/>
        </w:rPr>
        <w:t xml:space="preserve"> and/or links to organisations and individuals involved in past practices</w:t>
      </w:r>
      <w:r w:rsidRPr="001339C6">
        <w:rPr>
          <w:rFonts w:asciiTheme="minorHAnsi" w:hAnsiTheme="minorHAnsi" w:cstheme="minorHAnsi"/>
        </w:rPr>
        <w:t>, confirm their commitment to deliver high-quality and independent services, and outline their policies for handling real and perceived conflicts of interest.</w:t>
      </w:r>
    </w:p>
    <w:p w:rsidR="0089076E" w:rsidRPr="0089076E" w:rsidRDefault="0089076E" w:rsidP="0089076E">
      <w:pPr>
        <w:spacing w:before="120" w:after="0"/>
      </w:pPr>
      <w:r w:rsidRPr="0089076E">
        <w:t>Services will be delivered nationally through various delivery methods to ensure accessibility for Scheme applications. Delivery methods may include, but are not limited to:</w:t>
      </w:r>
    </w:p>
    <w:p w:rsidR="0089076E" w:rsidRPr="0089076E" w:rsidRDefault="0089076E" w:rsidP="0089076E">
      <w:pPr>
        <w:numPr>
          <w:ilvl w:val="0"/>
          <w:numId w:val="28"/>
        </w:numPr>
        <w:suppressAutoHyphens w:val="0"/>
        <w:spacing w:before="60" w:after="0" w:line="276" w:lineRule="auto"/>
        <w:ind w:left="714" w:hanging="357"/>
        <w:rPr>
          <w:rFonts w:ascii="Calibri" w:eastAsia="Times New Roman" w:hAnsi="Calibri" w:cstheme="minorHAnsi"/>
        </w:rPr>
      </w:pPr>
      <w:r w:rsidRPr="0089076E">
        <w:rPr>
          <w:rFonts w:eastAsia="Times New Roman" w:cstheme="minorHAnsi"/>
        </w:rPr>
        <w:t>face-to-face settings</w:t>
      </w:r>
    </w:p>
    <w:p w:rsidR="0089076E" w:rsidRPr="0089076E" w:rsidRDefault="0089076E" w:rsidP="0089076E">
      <w:pPr>
        <w:numPr>
          <w:ilvl w:val="0"/>
          <w:numId w:val="28"/>
        </w:numPr>
        <w:suppressAutoHyphens w:val="0"/>
        <w:spacing w:before="0" w:after="0" w:line="276" w:lineRule="auto"/>
        <w:rPr>
          <w:rFonts w:ascii="Calibri" w:eastAsia="Times New Roman" w:hAnsi="Calibri" w:cstheme="minorHAnsi"/>
        </w:rPr>
      </w:pPr>
      <w:r w:rsidRPr="0089076E">
        <w:rPr>
          <w:rFonts w:eastAsia="Times New Roman" w:cstheme="minorHAnsi"/>
        </w:rPr>
        <w:t>outreach services</w:t>
      </w:r>
    </w:p>
    <w:p w:rsidR="0089076E" w:rsidRPr="0089076E" w:rsidRDefault="00D141E4" w:rsidP="0089076E">
      <w:pPr>
        <w:numPr>
          <w:ilvl w:val="0"/>
          <w:numId w:val="28"/>
        </w:numPr>
        <w:suppressAutoHyphens w:val="0"/>
        <w:spacing w:before="0" w:after="0" w:line="276" w:lineRule="auto"/>
        <w:rPr>
          <w:rFonts w:ascii="Calibri" w:eastAsia="Times New Roman" w:hAnsi="Calibri" w:cstheme="minorHAnsi"/>
        </w:rPr>
      </w:pPr>
      <w:r>
        <w:rPr>
          <w:rFonts w:eastAsia="Times New Roman" w:cstheme="minorHAnsi"/>
        </w:rPr>
        <w:t>national telephone support</w:t>
      </w:r>
    </w:p>
    <w:p w:rsidR="0089076E" w:rsidRPr="0089076E" w:rsidRDefault="0089076E" w:rsidP="0089076E">
      <w:pPr>
        <w:numPr>
          <w:ilvl w:val="0"/>
          <w:numId w:val="28"/>
        </w:numPr>
        <w:suppressAutoHyphens w:val="0"/>
        <w:spacing w:before="0" w:after="0" w:line="276" w:lineRule="auto"/>
        <w:rPr>
          <w:rFonts w:ascii="Calibri" w:eastAsia="Times New Roman" w:hAnsi="Calibri" w:cstheme="minorHAnsi"/>
        </w:rPr>
      </w:pPr>
      <w:proofErr w:type="gramStart"/>
      <w:r w:rsidRPr="0089076E">
        <w:rPr>
          <w:rFonts w:eastAsia="Times New Roman" w:cstheme="minorHAnsi"/>
        </w:rPr>
        <w:t>online</w:t>
      </w:r>
      <w:proofErr w:type="gramEnd"/>
      <w:r w:rsidRPr="0089076E">
        <w:rPr>
          <w:rFonts w:eastAsia="Times New Roman" w:cstheme="minorHAnsi"/>
        </w:rPr>
        <w:t xml:space="preserve"> support.</w:t>
      </w:r>
    </w:p>
    <w:p w:rsidR="00045933" w:rsidRPr="006A3B80" w:rsidRDefault="00045933" w:rsidP="00AD7C7D">
      <w:pPr>
        <w:pStyle w:val="Heading2Numbered"/>
        <w:rPr>
          <w:color w:val="auto"/>
        </w:rPr>
      </w:pPr>
      <w:bookmarkStart w:id="13" w:name="_Toc522006555"/>
      <w:r w:rsidRPr="006A3B80">
        <w:rPr>
          <w:color w:val="auto"/>
        </w:rPr>
        <w:lastRenderedPageBreak/>
        <w:t>Grant Opportunity outcomes</w:t>
      </w:r>
      <w:bookmarkEnd w:id="11"/>
      <w:bookmarkEnd w:id="13"/>
      <w:r w:rsidRPr="006A3B80">
        <w:rPr>
          <w:color w:val="auto"/>
        </w:rPr>
        <w:t xml:space="preserve"> </w:t>
      </w:r>
      <w:bookmarkEnd w:id="12"/>
    </w:p>
    <w:p w:rsidR="00070902" w:rsidRDefault="00070902" w:rsidP="00AD7C7D">
      <w:pPr>
        <w:keepNext/>
        <w:keepLines/>
        <w:spacing w:after="120"/>
        <w:rPr>
          <w:rFonts w:asciiTheme="majorHAnsi" w:hAnsiTheme="majorHAnsi" w:cstheme="majorHAnsi"/>
        </w:rPr>
      </w:pPr>
      <w:bookmarkStart w:id="14" w:name="_Toc467773954"/>
      <w:r w:rsidRPr="00FB1345">
        <w:rPr>
          <w:rFonts w:asciiTheme="majorHAnsi" w:hAnsiTheme="majorHAnsi" w:cstheme="majorHAnsi"/>
        </w:rPr>
        <w:t>The primary objective of Redress Support Services is to provide flexible, timely and transparent assistance and support to people engaging with the Scheme.</w:t>
      </w:r>
      <w:r>
        <w:rPr>
          <w:rFonts w:asciiTheme="majorHAnsi" w:hAnsiTheme="majorHAnsi" w:cstheme="majorHAnsi"/>
        </w:rPr>
        <w:t xml:space="preserve"> </w:t>
      </w:r>
    </w:p>
    <w:p w:rsidR="00070902" w:rsidRDefault="00070902" w:rsidP="00AD7C7D">
      <w:pPr>
        <w:keepNext/>
        <w:keepLines/>
        <w:spacing w:after="120"/>
      </w:pPr>
      <w:r>
        <w:t>The roles of the Redress Support Services are to:</w:t>
      </w:r>
    </w:p>
    <w:p w:rsidR="00070902" w:rsidRPr="001339C6" w:rsidRDefault="00070902" w:rsidP="00AD7C7D">
      <w:pPr>
        <w:pStyle w:val="ListParagraph"/>
        <w:keepNext/>
        <w:keepLines/>
        <w:numPr>
          <w:ilvl w:val="0"/>
          <w:numId w:val="27"/>
        </w:numPr>
        <w:contextualSpacing/>
        <w:rPr>
          <w:rFonts w:asciiTheme="minorHAnsi" w:hAnsiTheme="minorHAnsi" w:cstheme="minorHAnsi"/>
        </w:rPr>
      </w:pPr>
      <w:r w:rsidRPr="001339C6">
        <w:rPr>
          <w:rFonts w:asciiTheme="minorHAnsi" w:hAnsiTheme="minorHAnsi" w:cstheme="minorHAnsi"/>
        </w:rPr>
        <w:t>provide accessible, client-focused support and counsell</w:t>
      </w:r>
      <w:r w:rsidR="00D141E4">
        <w:rPr>
          <w:rFonts w:asciiTheme="minorHAnsi" w:hAnsiTheme="minorHAnsi" w:cstheme="minorHAnsi"/>
        </w:rPr>
        <w:t>ing at all stages of the Scheme</w:t>
      </w:r>
    </w:p>
    <w:p w:rsidR="00070902" w:rsidRPr="001339C6" w:rsidRDefault="00070902" w:rsidP="00255987">
      <w:pPr>
        <w:pStyle w:val="ListParagraph"/>
        <w:keepNext/>
        <w:keepLines/>
        <w:numPr>
          <w:ilvl w:val="0"/>
          <w:numId w:val="27"/>
        </w:numPr>
        <w:contextualSpacing/>
        <w:rPr>
          <w:rFonts w:asciiTheme="minorHAnsi" w:hAnsiTheme="minorHAnsi" w:cstheme="minorHAnsi"/>
        </w:rPr>
      </w:pPr>
      <w:r w:rsidRPr="001339C6">
        <w:rPr>
          <w:rFonts w:asciiTheme="minorHAnsi" w:hAnsiTheme="minorHAnsi" w:cstheme="minorHAnsi"/>
        </w:rPr>
        <w:t xml:space="preserve">support people to describe their </w:t>
      </w:r>
      <w:r w:rsidR="00D141E4">
        <w:rPr>
          <w:rFonts w:asciiTheme="minorHAnsi" w:hAnsiTheme="minorHAnsi" w:cstheme="minorHAnsi"/>
        </w:rPr>
        <w:t>experience in their application</w:t>
      </w:r>
    </w:p>
    <w:p w:rsidR="00070902" w:rsidRPr="001339C6" w:rsidRDefault="00070902" w:rsidP="00255987">
      <w:pPr>
        <w:pStyle w:val="ListParagraph"/>
        <w:keepNext/>
        <w:keepLines/>
        <w:numPr>
          <w:ilvl w:val="0"/>
          <w:numId w:val="27"/>
        </w:numPr>
        <w:contextualSpacing/>
        <w:rPr>
          <w:rFonts w:asciiTheme="minorHAnsi" w:hAnsiTheme="minorHAnsi" w:cstheme="minorHAnsi"/>
        </w:rPr>
      </w:pPr>
      <w:r w:rsidRPr="001339C6">
        <w:rPr>
          <w:rFonts w:asciiTheme="minorHAnsi" w:hAnsiTheme="minorHAnsi" w:cstheme="minorHAnsi"/>
        </w:rPr>
        <w:t>support people through the application and outcomes process, including providing support during stages of the process they may find difficult such as attending legal advice sessions to sign the acceptance document, which gives effect to the statutory release or participatin</w:t>
      </w:r>
      <w:r w:rsidR="00D141E4">
        <w:rPr>
          <w:rFonts w:asciiTheme="minorHAnsi" w:hAnsiTheme="minorHAnsi" w:cstheme="minorHAnsi"/>
        </w:rPr>
        <w:t>g in a Direct Personal Response</w:t>
      </w:r>
    </w:p>
    <w:p w:rsidR="00070902" w:rsidRPr="001339C6" w:rsidRDefault="00070902" w:rsidP="00255987">
      <w:pPr>
        <w:pStyle w:val="ListParagraph"/>
        <w:keepNext/>
        <w:keepLines/>
        <w:numPr>
          <w:ilvl w:val="0"/>
          <w:numId w:val="27"/>
        </w:numPr>
        <w:contextualSpacing/>
        <w:rPr>
          <w:rFonts w:asciiTheme="minorHAnsi" w:hAnsiTheme="minorHAnsi" w:cstheme="minorHAnsi"/>
        </w:rPr>
      </w:pPr>
      <w:r w:rsidRPr="001339C6">
        <w:rPr>
          <w:rFonts w:asciiTheme="minorHAnsi" w:hAnsiTheme="minorHAnsi" w:cstheme="minorHAnsi"/>
        </w:rPr>
        <w:t>provide support through qualified practiti</w:t>
      </w:r>
      <w:r w:rsidR="00D141E4">
        <w:rPr>
          <w:rFonts w:asciiTheme="minorHAnsi" w:hAnsiTheme="minorHAnsi" w:cstheme="minorHAnsi"/>
        </w:rPr>
        <w:t>oners and trained professionals</w:t>
      </w:r>
    </w:p>
    <w:p w:rsidR="00070902" w:rsidRPr="001339C6" w:rsidRDefault="00070902" w:rsidP="00255987">
      <w:pPr>
        <w:pStyle w:val="ListParagraph"/>
        <w:keepNext/>
        <w:keepLines/>
        <w:numPr>
          <w:ilvl w:val="0"/>
          <w:numId w:val="27"/>
        </w:numPr>
        <w:contextualSpacing/>
        <w:rPr>
          <w:rFonts w:asciiTheme="minorHAnsi" w:hAnsiTheme="minorHAnsi" w:cstheme="minorHAnsi"/>
        </w:rPr>
      </w:pPr>
      <w:r w:rsidRPr="001339C6">
        <w:rPr>
          <w:rFonts w:asciiTheme="minorHAnsi" w:hAnsiTheme="minorHAnsi" w:cstheme="minorHAnsi"/>
        </w:rPr>
        <w:t>ensure equitable and appropriate access for particularly vulnerable groups of people,</w:t>
      </w:r>
    </w:p>
    <w:p w:rsidR="00070902" w:rsidRPr="001339C6" w:rsidRDefault="00070902" w:rsidP="00255987">
      <w:pPr>
        <w:pStyle w:val="ListParagraph"/>
        <w:keepNext/>
        <w:keepLines/>
        <w:numPr>
          <w:ilvl w:val="0"/>
          <w:numId w:val="27"/>
        </w:numPr>
        <w:contextualSpacing/>
        <w:rPr>
          <w:rFonts w:asciiTheme="minorHAnsi" w:hAnsiTheme="minorHAnsi" w:cstheme="minorHAnsi"/>
        </w:rPr>
      </w:pPr>
      <w:r w:rsidRPr="001339C6">
        <w:rPr>
          <w:rFonts w:asciiTheme="minorHAnsi" w:hAnsiTheme="minorHAnsi" w:cstheme="minorHAnsi"/>
        </w:rPr>
        <w:t>provide access to interpreting or cultural t</w:t>
      </w:r>
      <w:r w:rsidR="00D141E4">
        <w:rPr>
          <w:rFonts w:asciiTheme="minorHAnsi" w:hAnsiTheme="minorHAnsi" w:cstheme="minorHAnsi"/>
        </w:rPr>
        <w:t>ranslation services as required</w:t>
      </w:r>
    </w:p>
    <w:p w:rsidR="00070902" w:rsidRPr="001339C6" w:rsidRDefault="00070902" w:rsidP="00255987">
      <w:pPr>
        <w:pStyle w:val="ListParagraph"/>
        <w:keepNext/>
        <w:keepLines/>
        <w:numPr>
          <w:ilvl w:val="0"/>
          <w:numId w:val="27"/>
        </w:numPr>
        <w:contextualSpacing/>
        <w:rPr>
          <w:rFonts w:asciiTheme="minorHAnsi" w:hAnsiTheme="minorHAnsi" w:cstheme="minorHAnsi"/>
        </w:rPr>
      </w:pPr>
      <w:r w:rsidRPr="001339C6">
        <w:rPr>
          <w:rFonts w:asciiTheme="minorHAnsi" w:hAnsiTheme="minorHAnsi" w:cstheme="minorHAnsi"/>
        </w:rPr>
        <w:t xml:space="preserve">support people who receive an offer of redress with supportive, warm-referrals to the </w:t>
      </w:r>
      <w:r w:rsidR="00D141E4">
        <w:rPr>
          <w:rFonts w:asciiTheme="minorHAnsi" w:hAnsiTheme="minorHAnsi" w:cstheme="minorHAnsi"/>
        </w:rPr>
        <w:t>Scheme’s legal support services</w:t>
      </w:r>
    </w:p>
    <w:p w:rsidR="00070902" w:rsidRPr="001339C6" w:rsidRDefault="00070902" w:rsidP="00255987">
      <w:pPr>
        <w:pStyle w:val="ListParagraph"/>
        <w:keepNext/>
        <w:keepLines/>
        <w:numPr>
          <w:ilvl w:val="0"/>
          <w:numId w:val="27"/>
        </w:numPr>
        <w:contextualSpacing/>
        <w:rPr>
          <w:rFonts w:asciiTheme="minorHAnsi" w:hAnsiTheme="minorHAnsi" w:cstheme="minorHAnsi"/>
        </w:rPr>
      </w:pPr>
      <w:r w:rsidRPr="001339C6">
        <w:rPr>
          <w:rFonts w:asciiTheme="minorHAnsi" w:hAnsiTheme="minorHAnsi" w:cstheme="minorHAnsi"/>
        </w:rPr>
        <w:t>assist people who accept an offer of redress support to engage with the relevant institution</w:t>
      </w:r>
      <w:r w:rsidR="00D141E4">
        <w:rPr>
          <w:rFonts w:asciiTheme="minorHAnsi" w:hAnsiTheme="minorHAnsi" w:cstheme="minorHAnsi"/>
        </w:rPr>
        <w:t xml:space="preserve"> for a Direct Personal Response</w:t>
      </w:r>
    </w:p>
    <w:p w:rsidR="00070902" w:rsidRPr="001339C6" w:rsidRDefault="00070902" w:rsidP="00255987">
      <w:pPr>
        <w:pStyle w:val="ListParagraph"/>
        <w:keepNext/>
        <w:keepLines/>
        <w:numPr>
          <w:ilvl w:val="0"/>
          <w:numId w:val="27"/>
        </w:numPr>
        <w:contextualSpacing/>
        <w:rPr>
          <w:rFonts w:asciiTheme="minorHAnsi" w:hAnsiTheme="minorHAnsi" w:cstheme="minorHAnsi"/>
        </w:rPr>
      </w:pPr>
      <w:r w:rsidRPr="001339C6">
        <w:rPr>
          <w:rFonts w:asciiTheme="minorHAnsi" w:hAnsiTheme="minorHAnsi" w:cstheme="minorHAnsi"/>
        </w:rPr>
        <w:t>provide supportive referrals to legal support services, financial support services, counselling a</w:t>
      </w:r>
      <w:r w:rsidR="00D141E4">
        <w:rPr>
          <w:rFonts w:asciiTheme="minorHAnsi" w:hAnsiTheme="minorHAnsi" w:cstheme="minorHAnsi"/>
        </w:rPr>
        <w:t>nd psychological care providers</w:t>
      </w:r>
    </w:p>
    <w:p w:rsidR="00070902" w:rsidRPr="001339C6" w:rsidRDefault="00070902" w:rsidP="00255987">
      <w:pPr>
        <w:pStyle w:val="ListParagraph"/>
        <w:keepNext/>
        <w:keepLines/>
        <w:numPr>
          <w:ilvl w:val="0"/>
          <w:numId w:val="27"/>
        </w:numPr>
        <w:contextualSpacing/>
        <w:rPr>
          <w:rFonts w:asciiTheme="minorHAnsi" w:hAnsiTheme="minorHAnsi" w:cstheme="minorHAnsi"/>
        </w:rPr>
      </w:pPr>
      <w:r w:rsidRPr="001339C6">
        <w:rPr>
          <w:rFonts w:asciiTheme="minorHAnsi" w:hAnsiTheme="minorHAnsi" w:cstheme="minorHAnsi"/>
        </w:rPr>
        <w:t>refer to or collaborate with appropriate services to provide social and practical support to clients during the application process such as housing, health, mental health, financial and aged care services to meet the c</w:t>
      </w:r>
      <w:r w:rsidR="00D141E4">
        <w:rPr>
          <w:rFonts w:asciiTheme="minorHAnsi" w:hAnsiTheme="minorHAnsi" w:cstheme="minorHAnsi"/>
        </w:rPr>
        <w:t>ritical needs of the individual</w:t>
      </w:r>
    </w:p>
    <w:p w:rsidR="00070902" w:rsidRPr="001339C6" w:rsidRDefault="00070902" w:rsidP="00255987">
      <w:pPr>
        <w:pStyle w:val="ListParagraph"/>
        <w:keepNext/>
        <w:keepLines/>
        <w:numPr>
          <w:ilvl w:val="0"/>
          <w:numId w:val="27"/>
        </w:numPr>
        <w:contextualSpacing/>
        <w:rPr>
          <w:rFonts w:asciiTheme="minorHAnsi" w:hAnsiTheme="minorHAnsi" w:cstheme="minorHAnsi"/>
        </w:rPr>
      </w:pPr>
      <w:r w:rsidRPr="001339C6">
        <w:rPr>
          <w:rFonts w:asciiTheme="minorHAnsi" w:hAnsiTheme="minorHAnsi" w:cstheme="minorHAnsi"/>
        </w:rPr>
        <w:t>collaborate with other organisations, such as local community groups, to support peop</w:t>
      </w:r>
      <w:r w:rsidR="00D141E4">
        <w:rPr>
          <w:rFonts w:asciiTheme="minorHAnsi" w:hAnsiTheme="minorHAnsi" w:cstheme="minorHAnsi"/>
        </w:rPr>
        <w:t>le’s engagement with the Scheme</w:t>
      </w:r>
    </w:p>
    <w:p w:rsidR="00070902" w:rsidRPr="001339C6" w:rsidRDefault="00070902" w:rsidP="00255987">
      <w:pPr>
        <w:pStyle w:val="ListParagraph"/>
        <w:keepNext/>
        <w:keepLines/>
        <w:numPr>
          <w:ilvl w:val="0"/>
          <w:numId w:val="27"/>
        </w:numPr>
        <w:contextualSpacing/>
        <w:rPr>
          <w:rFonts w:asciiTheme="minorHAnsi" w:hAnsiTheme="minorHAnsi" w:cstheme="minorHAnsi"/>
        </w:rPr>
      </w:pPr>
      <w:r w:rsidRPr="001339C6">
        <w:rPr>
          <w:rFonts w:asciiTheme="minorHAnsi" w:hAnsiTheme="minorHAnsi" w:cstheme="minorHAnsi"/>
        </w:rPr>
        <w:t xml:space="preserve">in cases where an individual is unable to access the Scheme, provide a warm referral to other existing support </w:t>
      </w:r>
      <w:r w:rsidR="00D141E4">
        <w:rPr>
          <w:rFonts w:asciiTheme="minorHAnsi" w:hAnsiTheme="minorHAnsi" w:cstheme="minorHAnsi"/>
        </w:rPr>
        <w:t>services to continue their care</w:t>
      </w:r>
    </w:p>
    <w:p w:rsidR="00070902" w:rsidRPr="001339C6" w:rsidRDefault="00070902" w:rsidP="00255987">
      <w:pPr>
        <w:pStyle w:val="ListParagraph"/>
        <w:numPr>
          <w:ilvl w:val="0"/>
          <w:numId w:val="27"/>
        </w:numPr>
        <w:contextualSpacing/>
        <w:rPr>
          <w:rFonts w:asciiTheme="minorHAnsi" w:hAnsiTheme="minorHAnsi" w:cstheme="minorHAnsi"/>
        </w:rPr>
      </w:pPr>
      <w:r w:rsidRPr="001339C6">
        <w:rPr>
          <w:rFonts w:asciiTheme="minorHAnsi" w:hAnsiTheme="minorHAnsi" w:cstheme="minorHAnsi"/>
        </w:rPr>
        <w:t>work with the relevant Australian Government departments and other relevant organisations as required to ensure successful implementation and continuous improvement of the</w:t>
      </w:r>
      <w:r w:rsidR="00D141E4">
        <w:rPr>
          <w:rFonts w:asciiTheme="minorHAnsi" w:hAnsiTheme="minorHAnsi" w:cstheme="minorHAnsi"/>
        </w:rPr>
        <w:t xml:space="preserve"> Redress Support Services</w:t>
      </w:r>
    </w:p>
    <w:p w:rsidR="00070902" w:rsidRPr="001339C6" w:rsidRDefault="00070902" w:rsidP="00255987">
      <w:pPr>
        <w:pStyle w:val="ListParagraph"/>
        <w:numPr>
          <w:ilvl w:val="0"/>
          <w:numId w:val="27"/>
        </w:numPr>
        <w:contextualSpacing/>
        <w:rPr>
          <w:rFonts w:asciiTheme="minorHAnsi" w:hAnsiTheme="minorHAnsi" w:cstheme="minorHAnsi"/>
        </w:rPr>
      </w:pPr>
      <w:proofErr w:type="gramStart"/>
      <w:r w:rsidRPr="001339C6">
        <w:rPr>
          <w:rFonts w:asciiTheme="minorHAnsi" w:hAnsiTheme="minorHAnsi" w:cstheme="minorHAnsi"/>
        </w:rPr>
        <w:t>support</w:t>
      </w:r>
      <w:proofErr w:type="gramEnd"/>
      <w:r w:rsidRPr="001339C6">
        <w:rPr>
          <w:rFonts w:asciiTheme="minorHAnsi" w:hAnsiTheme="minorHAnsi" w:cstheme="minorHAnsi"/>
        </w:rPr>
        <w:t xml:space="preserve"> and participate in the Scheme’s evaluation process.</w:t>
      </w:r>
    </w:p>
    <w:p w:rsidR="00070902" w:rsidRDefault="00070902" w:rsidP="00070902">
      <w:pPr>
        <w:spacing w:after="120"/>
      </w:pPr>
      <w:r>
        <w:t>Support is available to clients:</w:t>
      </w:r>
    </w:p>
    <w:p w:rsidR="00070902" w:rsidRPr="001339C6" w:rsidRDefault="00070902" w:rsidP="00255987">
      <w:pPr>
        <w:pStyle w:val="ListParagraph"/>
        <w:numPr>
          <w:ilvl w:val="0"/>
          <w:numId w:val="27"/>
        </w:numPr>
        <w:contextualSpacing/>
        <w:rPr>
          <w:rFonts w:asciiTheme="minorHAnsi" w:hAnsiTheme="minorHAnsi" w:cstheme="minorHAnsi"/>
        </w:rPr>
      </w:pPr>
      <w:r w:rsidRPr="001339C6">
        <w:rPr>
          <w:rFonts w:asciiTheme="minorHAnsi" w:hAnsiTheme="minorHAnsi" w:cstheme="minorHAnsi"/>
        </w:rPr>
        <w:t>prior to application so clients understand the application process from end to end, the eligibility requirements, and the steps invo</w:t>
      </w:r>
      <w:r w:rsidR="00D141E4">
        <w:rPr>
          <w:rFonts w:asciiTheme="minorHAnsi" w:hAnsiTheme="minorHAnsi" w:cstheme="minorHAnsi"/>
        </w:rPr>
        <w:t>lved,</w:t>
      </w:r>
    </w:p>
    <w:p w:rsidR="00070902" w:rsidRPr="001339C6" w:rsidRDefault="00070902" w:rsidP="00255987">
      <w:pPr>
        <w:pStyle w:val="ListParagraph"/>
        <w:numPr>
          <w:ilvl w:val="0"/>
          <w:numId w:val="27"/>
        </w:numPr>
        <w:contextualSpacing/>
        <w:rPr>
          <w:rFonts w:asciiTheme="minorHAnsi" w:hAnsiTheme="minorHAnsi" w:cstheme="minorHAnsi"/>
        </w:rPr>
      </w:pPr>
      <w:r w:rsidRPr="001339C6">
        <w:rPr>
          <w:rFonts w:asciiTheme="minorHAnsi" w:hAnsiTheme="minorHAnsi" w:cstheme="minorHAnsi"/>
        </w:rPr>
        <w:t xml:space="preserve">during the application process, answering questions clients may have, helping them </w:t>
      </w:r>
      <w:r w:rsidR="00D141E4">
        <w:rPr>
          <w:rFonts w:asciiTheme="minorHAnsi" w:hAnsiTheme="minorHAnsi" w:cstheme="minorHAnsi"/>
        </w:rPr>
        <w:t>complete and lodge applications</w:t>
      </w:r>
    </w:p>
    <w:p w:rsidR="00070902" w:rsidRPr="001339C6" w:rsidRDefault="00070902" w:rsidP="00255987">
      <w:pPr>
        <w:pStyle w:val="ListParagraph"/>
        <w:numPr>
          <w:ilvl w:val="0"/>
          <w:numId w:val="27"/>
        </w:numPr>
        <w:contextualSpacing/>
        <w:rPr>
          <w:rFonts w:asciiTheme="minorHAnsi" w:hAnsiTheme="minorHAnsi" w:cstheme="minorHAnsi"/>
        </w:rPr>
      </w:pPr>
      <w:r w:rsidRPr="001339C6">
        <w:rPr>
          <w:rFonts w:asciiTheme="minorHAnsi" w:hAnsiTheme="minorHAnsi" w:cstheme="minorHAnsi"/>
        </w:rPr>
        <w:t xml:space="preserve">during the notification periods so the client can understand what is being communicated and be provided with support to help process </w:t>
      </w:r>
      <w:r w:rsidR="00D141E4">
        <w:rPr>
          <w:rFonts w:asciiTheme="minorHAnsi" w:hAnsiTheme="minorHAnsi" w:cstheme="minorHAnsi"/>
        </w:rPr>
        <w:t>the information</w:t>
      </w:r>
    </w:p>
    <w:p w:rsidR="00070902" w:rsidRPr="001339C6" w:rsidRDefault="00070902" w:rsidP="00255987">
      <w:pPr>
        <w:pStyle w:val="ListParagraph"/>
        <w:numPr>
          <w:ilvl w:val="0"/>
          <w:numId w:val="27"/>
        </w:numPr>
        <w:contextualSpacing/>
        <w:rPr>
          <w:rFonts w:asciiTheme="minorHAnsi" w:hAnsiTheme="minorHAnsi" w:cstheme="minorHAnsi"/>
        </w:rPr>
      </w:pPr>
      <w:r w:rsidRPr="001339C6">
        <w:rPr>
          <w:rFonts w:asciiTheme="minorHAnsi" w:hAnsiTheme="minorHAnsi" w:cstheme="minorHAnsi"/>
        </w:rPr>
        <w:t xml:space="preserve">when a decision is made in </w:t>
      </w:r>
      <w:r w:rsidR="00D141E4">
        <w:rPr>
          <w:rFonts w:asciiTheme="minorHAnsi" w:hAnsiTheme="minorHAnsi" w:cstheme="minorHAnsi"/>
        </w:rPr>
        <w:t>respect to the application</w:t>
      </w:r>
    </w:p>
    <w:p w:rsidR="00070902" w:rsidRPr="00E457A9" w:rsidRDefault="00070902" w:rsidP="00E457A9">
      <w:pPr>
        <w:pStyle w:val="ListParagraph"/>
        <w:numPr>
          <w:ilvl w:val="0"/>
          <w:numId w:val="27"/>
        </w:numPr>
        <w:contextualSpacing/>
        <w:rPr>
          <w:rFonts w:asciiTheme="minorHAnsi" w:hAnsiTheme="minorHAnsi" w:cstheme="minorHAnsi"/>
        </w:rPr>
      </w:pPr>
      <w:proofErr w:type="gramStart"/>
      <w:r w:rsidRPr="001339C6">
        <w:rPr>
          <w:rFonts w:asciiTheme="minorHAnsi" w:hAnsiTheme="minorHAnsi" w:cstheme="minorHAnsi"/>
        </w:rPr>
        <w:t>after</w:t>
      </w:r>
      <w:proofErr w:type="gramEnd"/>
      <w:r w:rsidRPr="001339C6">
        <w:rPr>
          <w:rFonts w:asciiTheme="minorHAnsi" w:hAnsiTheme="minorHAnsi" w:cstheme="minorHAnsi"/>
        </w:rPr>
        <w:t xml:space="preserve"> the offer of redress is issued to the client to help them access Counselling and Psychological Care, Direct Personal Response or other related referral. </w:t>
      </w:r>
    </w:p>
    <w:p w:rsidR="00070902" w:rsidRDefault="00070902" w:rsidP="00070902">
      <w:pPr>
        <w:keepNext/>
        <w:keepLines/>
        <w:spacing w:after="120"/>
      </w:pPr>
      <w:r>
        <w:lastRenderedPageBreak/>
        <w:t>The expected outcomes of the proposed Redress Support Services are for people who have experienced institutional child sexual abuse to have:</w:t>
      </w:r>
    </w:p>
    <w:p w:rsidR="00070902" w:rsidRPr="006C016E" w:rsidRDefault="00070902" w:rsidP="00255987">
      <w:pPr>
        <w:pStyle w:val="ListParagraph"/>
        <w:keepNext/>
        <w:keepLines/>
        <w:numPr>
          <w:ilvl w:val="0"/>
          <w:numId w:val="27"/>
        </w:numPr>
        <w:contextualSpacing/>
        <w:rPr>
          <w:rFonts w:asciiTheme="majorHAnsi" w:hAnsiTheme="majorHAnsi" w:cstheme="majorHAnsi"/>
        </w:rPr>
      </w:pPr>
      <w:r w:rsidRPr="006C016E">
        <w:rPr>
          <w:rFonts w:asciiTheme="majorHAnsi" w:hAnsiTheme="majorHAnsi" w:cstheme="majorHAnsi"/>
        </w:rPr>
        <w:t>been treated with dignity and respect, with an acknowledgement that their experience of childhood sexual abuse was wrong and should ne</w:t>
      </w:r>
      <w:r w:rsidR="00D141E4">
        <w:rPr>
          <w:rFonts w:asciiTheme="majorHAnsi" w:hAnsiTheme="majorHAnsi" w:cstheme="majorHAnsi"/>
        </w:rPr>
        <w:t>ver have happened</w:t>
      </w:r>
    </w:p>
    <w:p w:rsidR="00070902" w:rsidRPr="006C016E" w:rsidRDefault="00070902" w:rsidP="00255987">
      <w:pPr>
        <w:pStyle w:val="ListParagraph"/>
        <w:keepNext/>
        <w:keepLines/>
        <w:numPr>
          <w:ilvl w:val="0"/>
          <w:numId w:val="27"/>
        </w:numPr>
        <w:contextualSpacing/>
        <w:rPr>
          <w:rFonts w:asciiTheme="majorHAnsi" w:hAnsiTheme="majorHAnsi" w:cstheme="majorHAnsi"/>
        </w:rPr>
      </w:pPr>
      <w:r w:rsidRPr="006C016E">
        <w:rPr>
          <w:rFonts w:asciiTheme="majorHAnsi" w:hAnsiTheme="majorHAnsi" w:cstheme="majorHAnsi"/>
        </w:rPr>
        <w:t>accessed flexible support services through the application process when needed</w:t>
      </w:r>
    </w:p>
    <w:p w:rsidR="00070902" w:rsidRPr="006C016E" w:rsidRDefault="00070902" w:rsidP="00255987">
      <w:pPr>
        <w:pStyle w:val="ListParagraph"/>
        <w:keepNext/>
        <w:keepLines/>
        <w:numPr>
          <w:ilvl w:val="0"/>
          <w:numId w:val="27"/>
        </w:numPr>
        <w:contextualSpacing/>
        <w:rPr>
          <w:rFonts w:asciiTheme="majorHAnsi" w:hAnsiTheme="majorHAnsi" w:cstheme="majorHAnsi"/>
        </w:rPr>
      </w:pPr>
      <w:r w:rsidRPr="006C016E">
        <w:rPr>
          <w:rFonts w:asciiTheme="majorHAnsi" w:hAnsiTheme="majorHAnsi" w:cstheme="majorHAnsi"/>
        </w:rPr>
        <w:t>been well</w:t>
      </w:r>
      <w:r w:rsidR="00D141E4">
        <w:rPr>
          <w:rFonts w:asciiTheme="majorHAnsi" w:hAnsiTheme="majorHAnsi" w:cstheme="majorHAnsi"/>
        </w:rPr>
        <w:t xml:space="preserve"> informed of the Scheme process</w:t>
      </w:r>
    </w:p>
    <w:p w:rsidR="00070902" w:rsidRPr="006C016E" w:rsidRDefault="00070902" w:rsidP="00255987">
      <w:pPr>
        <w:pStyle w:val="ListParagraph"/>
        <w:keepNext/>
        <w:keepLines/>
        <w:numPr>
          <w:ilvl w:val="0"/>
          <w:numId w:val="27"/>
        </w:numPr>
        <w:contextualSpacing/>
        <w:rPr>
          <w:rFonts w:asciiTheme="majorHAnsi" w:hAnsiTheme="majorHAnsi" w:cstheme="majorHAnsi"/>
        </w:rPr>
      </w:pPr>
      <w:r>
        <w:rPr>
          <w:rFonts w:asciiTheme="majorHAnsi" w:hAnsiTheme="majorHAnsi" w:cstheme="majorHAnsi"/>
        </w:rPr>
        <w:t xml:space="preserve">been </w:t>
      </w:r>
      <w:r w:rsidRPr="006C016E">
        <w:rPr>
          <w:rFonts w:asciiTheme="majorHAnsi" w:hAnsiTheme="majorHAnsi" w:cstheme="majorHAnsi"/>
        </w:rPr>
        <w:t>assist</w:t>
      </w:r>
      <w:r>
        <w:rPr>
          <w:rFonts w:asciiTheme="majorHAnsi" w:hAnsiTheme="majorHAnsi" w:cstheme="majorHAnsi"/>
        </w:rPr>
        <w:t>ed</w:t>
      </w:r>
      <w:r w:rsidRPr="006C016E">
        <w:rPr>
          <w:rFonts w:asciiTheme="majorHAnsi" w:hAnsiTheme="majorHAnsi" w:cstheme="majorHAnsi"/>
        </w:rPr>
        <w:t>, through sensitive support, to complete their application and</w:t>
      </w:r>
      <w:r w:rsidR="00D141E4">
        <w:rPr>
          <w:rFonts w:asciiTheme="majorHAnsi" w:hAnsiTheme="majorHAnsi" w:cstheme="majorHAnsi"/>
        </w:rPr>
        <w:t xml:space="preserve"> process the assessment outcome</w:t>
      </w:r>
    </w:p>
    <w:p w:rsidR="00070902" w:rsidRPr="006C016E" w:rsidRDefault="00070902" w:rsidP="00255987">
      <w:pPr>
        <w:pStyle w:val="ListParagraph"/>
        <w:keepNext/>
        <w:keepLines/>
        <w:numPr>
          <w:ilvl w:val="0"/>
          <w:numId w:val="27"/>
        </w:numPr>
        <w:contextualSpacing/>
        <w:rPr>
          <w:rFonts w:asciiTheme="majorHAnsi" w:hAnsiTheme="majorHAnsi" w:cstheme="majorHAnsi"/>
        </w:rPr>
      </w:pPr>
      <w:r w:rsidRPr="006C016E">
        <w:rPr>
          <w:rFonts w:asciiTheme="majorHAnsi" w:hAnsiTheme="majorHAnsi" w:cstheme="majorHAnsi"/>
        </w:rPr>
        <w:t>a good understanding of support services for themselves and</w:t>
      </w:r>
      <w:r w:rsidR="00D141E4">
        <w:rPr>
          <w:rFonts w:asciiTheme="majorHAnsi" w:hAnsiTheme="majorHAnsi" w:cstheme="majorHAnsi"/>
        </w:rPr>
        <w:t xml:space="preserve"> their families/support network</w:t>
      </w:r>
    </w:p>
    <w:p w:rsidR="00070902" w:rsidRPr="006C016E" w:rsidRDefault="00070902" w:rsidP="00255987">
      <w:pPr>
        <w:pStyle w:val="ListParagraph"/>
        <w:keepNext/>
        <w:keepLines/>
        <w:numPr>
          <w:ilvl w:val="0"/>
          <w:numId w:val="27"/>
        </w:numPr>
        <w:contextualSpacing/>
        <w:rPr>
          <w:rFonts w:asciiTheme="majorHAnsi" w:hAnsiTheme="majorHAnsi" w:cstheme="majorHAnsi"/>
        </w:rPr>
      </w:pPr>
      <w:r w:rsidRPr="006C016E">
        <w:rPr>
          <w:rFonts w:asciiTheme="majorHAnsi" w:hAnsiTheme="majorHAnsi" w:cstheme="majorHAnsi"/>
        </w:rPr>
        <w:t>support from individuals and organisations independent from past providers of care and/or institutions responsible for i</w:t>
      </w:r>
      <w:r w:rsidR="00D141E4">
        <w:rPr>
          <w:rFonts w:asciiTheme="majorHAnsi" w:hAnsiTheme="majorHAnsi" w:cstheme="majorHAnsi"/>
        </w:rPr>
        <w:t>nstitutional child sexual abuse</w:t>
      </w:r>
    </w:p>
    <w:p w:rsidR="00070902" w:rsidRPr="006C016E" w:rsidRDefault="00070902" w:rsidP="00255987">
      <w:pPr>
        <w:pStyle w:val="ListParagraph"/>
        <w:keepNext/>
        <w:keepLines/>
        <w:numPr>
          <w:ilvl w:val="0"/>
          <w:numId w:val="27"/>
        </w:numPr>
        <w:contextualSpacing/>
        <w:rPr>
          <w:rFonts w:asciiTheme="majorHAnsi" w:hAnsiTheme="majorHAnsi" w:cstheme="majorHAnsi"/>
        </w:rPr>
      </w:pPr>
      <w:r w:rsidRPr="006C016E">
        <w:rPr>
          <w:rFonts w:asciiTheme="majorHAnsi" w:hAnsiTheme="majorHAnsi" w:cstheme="majorHAnsi"/>
        </w:rPr>
        <w:t>support to understand and</w:t>
      </w:r>
      <w:r w:rsidR="00D141E4">
        <w:rPr>
          <w:rFonts w:asciiTheme="majorHAnsi" w:hAnsiTheme="majorHAnsi" w:cstheme="majorHAnsi"/>
        </w:rPr>
        <w:t xml:space="preserve"> manage an offer of redress</w:t>
      </w:r>
    </w:p>
    <w:p w:rsidR="00070902" w:rsidRDefault="00070902" w:rsidP="00255987">
      <w:pPr>
        <w:pStyle w:val="ListParagraph"/>
        <w:keepNext/>
        <w:keepLines/>
        <w:numPr>
          <w:ilvl w:val="0"/>
          <w:numId w:val="27"/>
        </w:numPr>
        <w:contextualSpacing/>
        <w:rPr>
          <w:rFonts w:asciiTheme="majorHAnsi" w:hAnsiTheme="majorHAnsi" w:cstheme="majorHAnsi"/>
        </w:rPr>
      </w:pPr>
      <w:proofErr w:type="gramStart"/>
      <w:r w:rsidRPr="006C016E">
        <w:rPr>
          <w:rFonts w:asciiTheme="majorHAnsi" w:hAnsiTheme="majorHAnsi" w:cstheme="majorHAnsi"/>
        </w:rPr>
        <w:t>to</w:t>
      </w:r>
      <w:proofErr w:type="gramEnd"/>
      <w:r w:rsidRPr="006C016E">
        <w:rPr>
          <w:rFonts w:asciiTheme="majorHAnsi" w:hAnsiTheme="majorHAnsi" w:cstheme="majorHAnsi"/>
        </w:rPr>
        <w:t xml:space="preserve"> be safely referred to ongoing supports once engagement with the Scheme has finished.</w:t>
      </w:r>
    </w:p>
    <w:p w:rsidR="00C879F8" w:rsidRDefault="00C879F8" w:rsidP="00C879F8">
      <w:pPr>
        <w:pStyle w:val="Heading2Numbered"/>
        <w:rPr>
          <w:color w:val="auto"/>
        </w:rPr>
      </w:pPr>
      <w:bookmarkStart w:id="15" w:name="_Toc522006556"/>
      <w:r w:rsidRPr="00C879F8">
        <w:rPr>
          <w:color w:val="auto"/>
        </w:rPr>
        <w:t>Target Group</w:t>
      </w:r>
      <w:bookmarkEnd w:id="15"/>
    </w:p>
    <w:p w:rsidR="00C879F8" w:rsidRDefault="00C879F8" w:rsidP="00C879F8">
      <w:pPr>
        <w:pStyle w:val="highlightedtext"/>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Pr>
          <w:rFonts w:asciiTheme="majorHAnsi" w:hAnsiTheme="majorHAnsi" w:cstheme="majorHAnsi"/>
          <w:b w:val="0"/>
          <w:color w:val="auto"/>
        </w:rPr>
        <w:t xml:space="preserve">The target group for Redress Support Services are people who have experienced sexual abuse as children (under the age of 18 years) in institutional contexts before the commencement of the Scheme on 1 July 2018. </w:t>
      </w:r>
    </w:p>
    <w:p w:rsidR="00C879F8" w:rsidRPr="00C4626D" w:rsidRDefault="00C879F8" w:rsidP="00C879F8">
      <w:pPr>
        <w:pStyle w:val="highlightedtext"/>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rPr>
      </w:pPr>
      <w:r>
        <w:rPr>
          <w:rFonts w:asciiTheme="majorHAnsi" w:hAnsiTheme="majorHAnsi" w:cstheme="majorHAnsi"/>
          <w:b w:val="0"/>
          <w:color w:val="auto"/>
        </w:rPr>
        <w:t xml:space="preserve">This target group is highly diverse, and includes particularly vulnerable groups of people who may have difficulties engaging with the Scheme. This includes people that </w:t>
      </w:r>
      <w:r w:rsidR="00E863F1">
        <w:rPr>
          <w:rFonts w:asciiTheme="majorHAnsi" w:hAnsiTheme="majorHAnsi" w:cstheme="majorHAnsi"/>
          <w:b w:val="0"/>
          <w:color w:val="auto"/>
        </w:rPr>
        <w:t>may face barriers accessing g</w:t>
      </w:r>
      <w:r>
        <w:rPr>
          <w:rFonts w:asciiTheme="majorHAnsi" w:hAnsiTheme="majorHAnsi" w:cstheme="majorHAnsi"/>
          <w:b w:val="0"/>
          <w:color w:val="auto"/>
        </w:rPr>
        <w:t>overnment services due to factors including lower levels of literacy, limited computer literacy</w:t>
      </w:r>
      <w:r w:rsidR="00E863F1">
        <w:rPr>
          <w:rFonts w:asciiTheme="majorHAnsi" w:hAnsiTheme="majorHAnsi" w:cstheme="majorHAnsi"/>
          <w:b w:val="0"/>
          <w:color w:val="auto"/>
        </w:rPr>
        <w:t xml:space="preserve"> or access</w:t>
      </w:r>
      <w:r>
        <w:rPr>
          <w:rFonts w:asciiTheme="majorHAnsi" w:hAnsiTheme="majorHAnsi" w:cstheme="majorHAnsi"/>
          <w:b w:val="0"/>
          <w:color w:val="auto"/>
        </w:rPr>
        <w:t xml:space="preserve">, and disengagement. Specific cohorts </w:t>
      </w:r>
      <w:r w:rsidRPr="00CF5647">
        <w:rPr>
          <w:rFonts w:asciiTheme="majorHAnsi" w:hAnsiTheme="majorHAnsi" w:cstheme="majorHAnsi"/>
          <w:b w:val="0"/>
          <w:color w:val="auto"/>
        </w:rPr>
        <w:t xml:space="preserve">may include, but </w:t>
      </w:r>
      <w:r>
        <w:rPr>
          <w:rFonts w:asciiTheme="majorHAnsi" w:hAnsiTheme="majorHAnsi" w:cstheme="majorHAnsi"/>
          <w:b w:val="0"/>
          <w:color w:val="auto"/>
        </w:rPr>
        <w:t xml:space="preserve">are </w:t>
      </w:r>
      <w:r w:rsidRPr="00CF5647">
        <w:rPr>
          <w:rFonts w:asciiTheme="majorHAnsi" w:hAnsiTheme="majorHAnsi" w:cstheme="majorHAnsi"/>
          <w:b w:val="0"/>
          <w:color w:val="auto"/>
        </w:rPr>
        <w:t>not limited to:</w:t>
      </w:r>
    </w:p>
    <w:p w:rsidR="00E863F1" w:rsidRDefault="00C879F8" w:rsidP="00E863F1">
      <w:pPr>
        <w:pStyle w:val="ListParagraph"/>
        <w:numPr>
          <w:ilvl w:val="0"/>
          <w:numId w:val="27"/>
        </w:numPr>
        <w:spacing w:before="120"/>
        <w:contextualSpacing/>
        <w:rPr>
          <w:rFonts w:asciiTheme="majorHAnsi" w:hAnsiTheme="majorHAnsi" w:cstheme="majorHAnsi"/>
        </w:rPr>
      </w:pPr>
      <w:r>
        <w:rPr>
          <w:rFonts w:asciiTheme="majorHAnsi" w:hAnsiTheme="majorHAnsi" w:cstheme="majorHAnsi"/>
        </w:rPr>
        <w:t>F</w:t>
      </w:r>
      <w:r w:rsidR="00E863F1">
        <w:rPr>
          <w:rFonts w:asciiTheme="majorHAnsi" w:hAnsiTheme="majorHAnsi" w:cstheme="majorHAnsi"/>
        </w:rPr>
        <w:t>orgotten Australians</w:t>
      </w:r>
    </w:p>
    <w:p w:rsidR="00C879F8" w:rsidRPr="00F91253" w:rsidRDefault="00C879F8" w:rsidP="00E863F1">
      <w:pPr>
        <w:pStyle w:val="ListParagraph"/>
        <w:numPr>
          <w:ilvl w:val="0"/>
          <w:numId w:val="27"/>
        </w:numPr>
        <w:contextualSpacing/>
        <w:rPr>
          <w:rFonts w:asciiTheme="majorHAnsi" w:hAnsiTheme="majorHAnsi" w:cstheme="majorHAnsi"/>
        </w:rPr>
      </w:pPr>
      <w:r w:rsidRPr="00F91253">
        <w:rPr>
          <w:rFonts w:asciiTheme="majorHAnsi" w:hAnsiTheme="majorHAnsi" w:cstheme="majorHAnsi"/>
        </w:rPr>
        <w:t>Former Child Migrants</w:t>
      </w:r>
    </w:p>
    <w:p w:rsidR="00C879F8" w:rsidRPr="00F91253" w:rsidRDefault="00C879F8" w:rsidP="00E863F1">
      <w:pPr>
        <w:pStyle w:val="ListParagraph"/>
        <w:numPr>
          <w:ilvl w:val="0"/>
          <w:numId w:val="27"/>
        </w:numPr>
        <w:contextualSpacing/>
        <w:rPr>
          <w:rFonts w:asciiTheme="majorHAnsi" w:hAnsiTheme="majorHAnsi" w:cstheme="majorHAnsi"/>
        </w:rPr>
      </w:pPr>
      <w:r w:rsidRPr="00F91253">
        <w:rPr>
          <w:rFonts w:asciiTheme="majorHAnsi" w:hAnsiTheme="majorHAnsi" w:cstheme="majorHAnsi"/>
        </w:rPr>
        <w:t>Indigenous Australians</w:t>
      </w:r>
      <w:r>
        <w:rPr>
          <w:rFonts w:asciiTheme="majorHAnsi" w:hAnsiTheme="majorHAnsi" w:cstheme="majorHAnsi"/>
        </w:rPr>
        <w:t>, including Stolen Generations</w:t>
      </w:r>
    </w:p>
    <w:p w:rsidR="00C879F8" w:rsidRPr="00F91253" w:rsidRDefault="00C879F8" w:rsidP="00C879F8">
      <w:pPr>
        <w:pStyle w:val="ListParagraph"/>
        <w:numPr>
          <w:ilvl w:val="0"/>
          <w:numId w:val="27"/>
        </w:numPr>
        <w:contextualSpacing/>
        <w:rPr>
          <w:rFonts w:asciiTheme="majorHAnsi" w:hAnsiTheme="majorHAnsi" w:cstheme="majorHAnsi"/>
        </w:rPr>
      </w:pPr>
      <w:r>
        <w:rPr>
          <w:rFonts w:asciiTheme="majorHAnsi" w:hAnsiTheme="majorHAnsi" w:cstheme="majorHAnsi"/>
        </w:rPr>
        <w:t>p</w:t>
      </w:r>
      <w:r w:rsidRPr="00F91253">
        <w:rPr>
          <w:rFonts w:asciiTheme="majorHAnsi" w:hAnsiTheme="majorHAnsi" w:cstheme="majorHAnsi"/>
        </w:rPr>
        <w:t>eople with disability</w:t>
      </w:r>
      <w:r>
        <w:rPr>
          <w:rFonts w:asciiTheme="majorHAnsi" w:hAnsiTheme="majorHAnsi" w:cstheme="majorHAnsi"/>
        </w:rPr>
        <w:t>,</w:t>
      </w:r>
      <w:r w:rsidRPr="00F91253">
        <w:rPr>
          <w:rFonts w:asciiTheme="majorHAnsi" w:hAnsiTheme="majorHAnsi" w:cstheme="majorHAnsi"/>
        </w:rPr>
        <w:t xml:space="preserve"> </w:t>
      </w:r>
      <w:r>
        <w:rPr>
          <w:rFonts w:asciiTheme="majorHAnsi" w:hAnsiTheme="majorHAnsi" w:cstheme="majorHAnsi"/>
        </w:rPr>
        <w:t>including people with an i</w:t>
      </w:r>
      <w:r w:rsidRPr="00F91253">
        <w:rPr>
          <w:rFonts w:asciiTheme="majorHAnsi" w:hAnsiTheme="majorHAnsi" w:cstheme="majorHAnsi"/>
        </w:rPr>
        <w:t>ntellectual disability</w:t>
      </w:r>
    </w:p>
    <w:p w:rsidR="00C879F8" w:rsidRPr="00F91253" w:rsidRDefault="00C879F8" w:rsidP="00C879F8">
      <w:pPr>
        <w:pStyle w:val="ListParagraph"/>
        <w:numPr>
          <w:ilvl w:val="0"/>
          <w:numId w:val="27"/>
        </w:numPr>
        <w:contextualSpacing/>
        <w:rPr>
          <w:rFonts w:asciiTheme="majorHAnsi" w:hAnsiTheme="majorHAnsi" w:cstheme="majorHAnsi"/>
        </w:rPr>
      </w:pPr>
      <w:r>
        <w:rPr>
          <w:rFonts w:asciiTheme="majorHAnsi" w:hAnsiTheme="majorHAnsi" w:cstheme="majorHAnsi"/>
        </w:rPr>
        <w:t>p</w:t>
      </w:r>
      <w:r w:rsidRPr="00F91253">
        <w:rPr>
          <w:rFonts w:asciiTheme="majorHAnsi" w:hAnsiTheme="majorHAnsi" w:cstheme="majorHAnsi"/>
        </w:rPr>
        <w:t>eople with mental health difficulties</w:t>
      </w:r>
    </w:p>
    <w:p w:rsidR="00C879F8" w:rsidRPr="00F91253" w:rsidRDefault="00C879F8" w:rsidP="00C879F8">
      <w:pPr>
        <w:pStyle w:val="ListParagraph"/>
        <w:numPr>
          <w:ilvl w:val="0"/>
          <w:numId w:val="27"/>
        </w:numPr>
        <w:contextualSpacing/>
        <w:rPr>
          <w:rFonts w:asciiTheme="majorHAnsi" w:hAnsiTheme="majorHAnsi" w:cstheme="majorHAnsi"/>
        </w:rPr>
      </w:pPr>
      <w:r>
        <w:rPr>
          <w:rFonts w:asciiTheme="majorHAnsi" w:hAnsiTheme="majorHAnsi" w:cstheme="majorHAnsi"/>
        </w:rPr>
        <w:t>p</w:t>
      </w:r>
      <w:r w:rsidRPr="00F91253">
        <w:rPr>
          <w:rFonts w:asciiTheme="majorHAnsi" w:hAnsiTheme="majorHAnsi" w:cstheme="majorHAnsi"/>
        </w:rPr>
        <w:t xml:space="preserve">eople from </w:t>
      </w:r>
      <w:r w:rsidR="00E863F1">
        <w:rPr>
          <w:rFonts w:asciiTheme="majorHAnsi" w:hAnsiTheme="majorHAnsi" w:cstheme="majorHAnsi"/>
        </w:rPr>
        <w:t>culturally and linguistically diverse backgrounds</w:t>
      </w:r>
    </w:p>
    <w:p w:rsidR="00C879F8" w:rsidRDefault="00C879F8" w:rsidP="00C879F8">
      <w:pPr>
        <w:pStyle w:val="ListParagraph"/>
        <w:numPr>
          <w:ilvl w:val="0"/>
          <w:numId w:val="27"/>
        </w:numPr>
        <w:contextualSpacing/>
        <w:rPr>
          <w:rFonts w:asciiTheme="majorHAnsi" w:hAnsiTheme="majorHAnsi" w:cstheme="majorHAnsi"/>
        </w:rPr>
      </w:pPr>
      <w:r>
        <w:rPr>
          <w:rFonts w:asciiTheme="majorHAnsi" w:hAnsiTheme="majorHAnsi" w:cstheme="majorHAnsi"/>
        </w:rPr>
        <w:t>p</w:t>
      </w:r>
      <w:r w:rsidRPr="00F91253">
        <w:rPr>
          <w:rFonts w:asciiTheme="majorHAnsi" w:hAnsiTheme="majorHAnsi" w:cstheme="majorHAnsi"/>
        </w:rPr>
        <w:t>eople with low literacy</w:t>
      </w:r>
    </w:p>
    <w:p w:rsidR="00C879F8" w:rsidRDefault="00C879F8" w:rsidP="00C879F8">
      <w:pPr>
        <w:pStyle w:val="ListParagraph"/>
        <w:numPr>
          <w:ilvl w:val="0"/>
          <w:numId w:val="27"/>
        </w:numPr>
        <w:contextualSpacing/>
        <w:rPr>
          <w:rFonts w:asciiTheme="majorHAnsi" w:hAnsiTheme="majorHAnsi" w:cstheme="majorHAnsi"/>
        </w:rPr>
      </w:pPr>
      <w:r>
        <w:rPr>
          <w:rFonts w:asciiTheme="majorHAnsi" w:hAnsiTheme="majorHAnsi" w:cstheme="majorHAnsi"/>
        </w:rPr>
        <w:t>people under the age of 18</w:t>
      </w:r>
    </w:p>
    <w:p w:rsidR="00C879F8" w:rsidRDefault="00C879F8" w:rsidP="00C879F8">
      <w:pPr>
        <w:pStyle w:val="ListParagraph"/>
        <w:numPr>
          <w:ilvl w:val="0"/>
          <w:numId w:val="27"/>
        </w:numPr>
        <w:contextualSpacing/>
        <w:rPr>
          <w:rFonts w:asciiTheme="majorHAnsi" w:hAnsiTheme="majorHAnsi" w:cstheme="majorHAnsi"/>
        </w:rPr>
      </w:pPr>
      <w:r w:rsidRPr="00A07B57">
        <w:rPr>
          <w:rFonts w:asciiTheme="majorHAnsi" w:hAnsiTheme="majorHAnsi" w:cstheme="majorHAnsi"/>
        </w:rPr>
        <w:t>people living in rural and remote areas</w:t>
      </w:r>
    </w:p>
    <w:p w:rsidR="00C879F8" w:rsidRPr="00F20835" w:rsidRDefault="00C879F8" w:rsidP="00C879F8">
      <w:pPr>
        <w:pStyle w:val="ListParagraph"/>
        <w:numPr>
          <w:ilvl w:val="0"/>
          <w:numId w:val="27"/>
        </w:numPr>
        <w:contextualSpacing/>
        <w:rPr>
          <w:rFonts w:asciiTheme="majorHAnsi" w:hAnsiTheme="majorHAnsi" w:cstheme="majorHAnsi"/>
        </w:rPr>
      </w:pPr>
      <w:r>
        <w:rPr>
          <w:rFonts w:asciiTheme="majorHAnsi" w:hAnsiTheme="majorHAnsi" w:cstheme="majorHAnsi"/>
        </w:rPr>
        <w:t>p</w:t>
      </w:r>
      <w:r w:rsidRPr="00F91253">
        <w:rPr>
          <w:rFonts w:asciiTheme="majorHAnsi" w:hAnsiTheme="majorHAnsi" w:cstheme="majorHAnsi"/>
        </w:rPr>
        <w:t xml:space="preserve">eople who are </w:t>
      </w:r>
      <w:r w:rsidRPr="00F20835">
        <w:rPr>
          <w:rFonts w:asciiTheme="majorHAnsi" w:hAnsiTheme="majorHAnsi" w:cstheme="majorHAnsi"/>
        </w:rPr>
        <w:t>experiencing homelessness</w:t>
      </w:r>
    </w:p>
    <w:p w:rsidR="00C879F8" w:rsidRPr="00F20835" w:rsidRDefault="00C879F8" w:rsidP="00C879F8">
      <w:pPr>
        <w:pStyle w:val="ListParagraph"/>
        <w:numPr>
          <w:ilvl w:val="0"/>
          <w:numId w:val="27"/>
        </w:numPr>
        <w:contextualSpacing/>
        <w:rPr>
          <w:rFonts w:asciiTheme="majorHAnsi" w:hAnsiTheme="majorHAnsi" w:cstheme="majorHAnsi"/>
        </w:rPr>
      </w:pPr>
      <w:r w:rsidRPr="00F20835">
        <w:rPr>
          <w:rFonts w:asciiTheme="majorHAnsi" w:hAnsiTheme="majorHAnsi" w:cstheme="majorHAnsi"/>
        </w:rPr>
        <w:t>people living in residential care</w:t>
      </w:r>
    </w:p>
    <w:p w:rsidR="00C879F8" w:rsidRDefault="00C879F8" w:rsidP="00C879F8">
      <w:pPr>
        <w:pStyle w:val="ListParagraph"/>
        <w:numPr>
          <w:ilvl w:val="0"/>
          <w:numId w:val="27"/>
        </w:numPr>
        <w:contextualSpacing/>
        <w:rPr>
          <w:rFonts w:asciiTheme="majorHAnsi" w:hAnsiTheme="majorHAnsi" w:cstheme="majorHAnsi"/>
        </w:rPr>
      </w:pPr>
      <w:r>
        <w:rPr>
          <w:rFonts w:asciiTheme="majorHAnsi" w:hAnsiTheme="majorHAnsi" w:cstheme="majorHAnsi"/>
        </w:rPr>
        <w:t>p</w:t>
      </w:r>
      <w:r w:rsidRPr="00F91253">
        <w:rPr>
          <w:rFonts w:asciiTheme="majorHAnsi" w:hAnsiTheme="majorHAnsi" w:cstheme="majorHAnsi"/>
        </w:rPr>
        <w:t>eople who experienced abuse in a religious or clerical institution</w:t>
      </w:r>
    </w:p>
    <w:p w:rsidR="0089076E" w:rsidRDefault="00C879F8" w:rsidP="00C879F8">
      <w:pPr>
        <w:pStyle w:val="ListParagraph"/>
        <w:numPr>
          <w:ilvl w:val="0"/>
          <w:numId w:val="27"/>
        </w:numPr>
        <w:contextualSpacing/>
        <w:rPr>
          <w:rFonts w:asciiTheme="majorHAnsi" w:hAnsiTheme="majorHAnsi" w:cstheme="majorHAnsi"/>
        </w:rPr>
      </w:pPr>
      <w:proofErr w:type="gramStart"/>
      <w:r>
        <w:rPr>
          <w:rFonts w:asciiTheme="majorHAnsi" w:hAnsiTheme="majorHAnsi" w:cstheme="majorHAnsi"/>
        </w:rPr>
        <w:t>other</w:t>
      </w:r>
      <w:proofErr w:type="gramEnd"/>
      <w:r>
        <w:rPr>
          <w:rFonts w:asciiTheme="majorHAnsi" w:hAnsiTheme="majorHAnsi" w:cstheme="majorHAnsi"/>
        </w:rPr>
        <w:t xml:space="preserve"> cohorts with specific support needs.</w:t>
      </w:r>
    </w:p>
    <w:p w:rsidR="00045933" w:rsidRPr="00B72EE8" w:rsidRDefault="00045933" w:rsidP="00A668C8">
      <w:pPr>
        <w:pStyle w:val="Heading1Numbered"/>
      </w:pPr>
      <w:bookmarkStart w:id="16" w:name="_Toc522006557"/>
      <w:r>
        <w:lastRenderedPageBreak/>
        <w:t>Grant amount</w:t>
      </w:r>
      <w:bookmarkEnd w:id="14"/>
      <w:bookmarkEnd w:id="16"/>
    </w:p>
    <w:p w:rsidR="00F07E14" w:rsidRPr="00F07E14" w:rsidRDefault="00F07E14" w:rsidP="00045933">
      <w:r>
        <w:t>Up to</w:t>
      </w:r>
      <w:r w:rsidR="00045933" w:rsidRPr="00FB6DA0">
        <w:t xml:space="preserve"> </w:t>
      </w:r>
      <w:r w:rsidR="00045933" w:rsidRPr="0089076E">
        <w:t>$</w:t>
      </w:r>
      <w:r w:rsidR="007F52FC">
        <w:rPr>
          <w:rStyle w:val="highlightedtextChar"/>
          <w:b w:val="0"/>
          <w:color w:val="auto"/>
        </w:rPr>
        <w:t>37.2</w:t>
      </w:r>
      <w:r w:rsidR="00FB6DA0" w:rsidRPr="0089076E">
        <w:rPr>
          <w:rStyle w:val="highlightedtextChar"/>
          <w:b w:val="0"/>
          <w:color w:val="auto"/>
        </w:rPr>
        <w:t xml:space="preserve"> million</w:t>
      </w:r>
      <w:r w:rsidR="00045933" w:rsidRPr="00FB6DA0">
        <w:rPr>
          <w:b/>
        </w:rPr>
        <w:t xml:space="preserve"> </w:t>
      </w:r>
      <w:r w:rsidR="00045933" w:rsidRPr="00FB6DA0">
        <w:t xml:space="preserve">over </w:t>
      </w:r>
      <w:r w:rsidR="00FB6DA0" w:rsidRPr="00FB6DA0">
        <w:rPr>
          <w:rStyle w:val="highlightedtextChar"/>
          <w:b w:val="0"/>
          <w:color w:val="auto"/>
        </w:rPr>
        <w:t>2</w:t>
      </w:r>
      <w:r w:rsidR="00045933" w:rsidRPr="00FB6DA0">
        <w:t xml:space="preserve"> years </w:t>
      </w:r>
      <w:r w:rsidR="00FB6DA0" w:rsidRPr="00FB6DA0">
        <w:t xml:space="preserve">and 9 months </w:t>
      </w:r>
      <w:r w:rsidR="00045933" w:rsidRPr="00FB6DA0">
        <w:t xml:space="preserve">is available for this grant opportunity, starting in </w:t>
      </w:r>
      <w:r w:rsidR="00FB6DA0" w:rsidRPr="00FB6DA0">
        <w:rPr>
          <w:rStyle w:val="highlightedtextChar"/>
          <w:b w:val="0"/>
          <w:color w:val="auto"/>
        </w:rPr>
        <w:t>October 2018 and finishing on 30 June 2021.</w:t>
      </w:r>
      <w:r w:rsidR="00FB6DA0">
        <w:rPr>
          <w:rStyle w:val="highlightedtextChar"/>
        </w:rPr>
        <w:t xml:space="preserve"> </w:t>
      </w:r>
    </w:p>
    <w:p w:rsidR="00045933" w:rsidRPr="00FB6DA0" w:rsidRDefault="00FB6DA0" w:rsidP="00045933">
      <w:pPr>
        <w:rPr>
          <w:b/>
        </w:rPr>
      </w:pPr>
      <w:r w:rsidRPr="00FB6DA0">
        <w:rPr>
          <w:rStyle w:val="highlightedtextChar"/>
          <w:b w:val="0"/>
          <w:color w:val="auto"/>
        </w:rPr>
        <w:t>Subsequent grant processes will be undertaken at a later stage to ensure community</w:t>
      </w:r>
      <w:r w:rsidRPr="00FB6DA0">
        <w:rPr>
          <w:rStyle w:val="highlightedtextChar"/>
          <w:b w:val="0"/>
          <w:color w:val="auto"/>
        </w:rPr>
        <w:noBreakHyphen/>
        <w:t>based Redress Support Services continue throughout the life o</w:t>
      </w:r>
      <w:r w:rsidR="00432DEF">
        <w:rPr>
          <w:rStyle w:val="highlightedtextChar"/>
          <w:b w:val="0"/>
          <w:color w:val="auto"/>
        </w:rPr>
        <w:t>f</w:t>
      </w:r>
      <w:r w:rsidRPr="00FB6DA0">
        <w:rPr>
          <w:rStyle w:val="highlightedtextChar"/>
          <w:b w:val="0"/>
          <w:color w:val="auto"/>
        </w:rPr>
        <w:t xml:space="preserve"> the Scheme (2018-28).</w:t>
      </w:r>
    </w:p>
    <w:p w:rsidR="00340616" w:rsidRPr="00B72EE8" w:rsidRDefault="00340616" w:rsidP="00340616">
      <w:pPr>
        <w:pStyle w:val="Heading1Numbered"/>
      </w:pPr>
      <w:bookmarkStart w:id="17" w:name="_Toc421777594"/>
      <w:bookmarkStart w:id="18" w:name="_Ref428266971"/>
      <w:bookmarkStart w:id="19" w:name="_Toc467773955"/>
      <w:bookmarkStart w:id="20" w:name="_Toc522006558"/>
      <w:r>
        <w:t>Grant e</w:t>
      </w:r>
      <w:r w:rsidRPr="00B72EE8">
        <w:t>ligibility</w:t>
      </w:r>
      <w:bookmarkEnd w:id="17"/>
      <w:bookmarkEnd w:id="18"/>
      <w:r>
        <w:t xml:space="preserve"> cr</w:t>
      </w:r>
      <w:r w:rsidRPr="00B72EE8">
        <w:t>iteria</w:t>
      </w:r>
      <w:bookmarkEnd w:id="19"/>
      <w:bookmarkEnd w:id="20"/>
      <w:r>
        <w:t xml:space="preserve"> </w:t>
      </w:r>
    </w:p>
    <w:p w:rsidR="00340616" w:rsidRDefault="00340616" w:rsidP="00340616">
      <w:pPr>
        <w:spacing w:after="120"/>
      </w:pPr>
      <w:bookmarkStart w:id="21" w:name="_Ref414285977"/>
      <w:r>
        <w:t xml:space="preserve">We cannot consider your application if it does not </w:t>
      </w:r>
      <w:r w:rsidR="00BB5CF6">
        <w:t>meet</w:t>
      </w:r>
      <w:r>
        <w:t xml:space="preserve"> </w:t>
      </w:r>
      <w:r w:rsidRPr="00BB5CF6">
        <w:rPr>
          <w:b/>
        </w:rPr>
        <w:t>all</w:t>
      </w:r>
      <w:r>
        <w:t xml:space="preserve"> </w:t>
      </w:r>
      <w:r w:rsidR="00FF793D">
        <w:t xml:space="preserve">of </w:t>
      </w:r>
      <w:r>
        <w:t>the eligibility criteria.</w:t>
      </w:r>
      <w:r w:rsidRPr="00B72EE8">
        <w:t xml:space="preserve"> </w:t>
      </w:r>
    </w:p>
    <w:p w:rsidR="0089076E" w:rsidRPr="0089076E" w:rsidRDefault="0089076E" w:rsidP="0089076E">
      <w:pPr>
        <w:pStyle w:val="Heading2Numbered"/>
        <w:rPr>
          <w:rFonts w:cstheme="majorHAnsi"/>
        </w:rPr>
      </w:pPr>
      <w:bookmarkStart w:id="22" w:name="_Toc518633402"/>
      <w:bookmarkStart w:id="23" w:name="_Toc522006559"/>
      <w:r w:rsidRPr="0089076E">
        <w:rPr>
          <w:rFonts w:cstheme="majorHAnsi"/>
        </w:rPr>
        <w:t>Who is eligible to apply for a grant?</w:t>
      </w:r>
      <w:bookmarkEnd w:id="22"/>
      <w:bookmarkEnd w:id="23"/>
    </w:p>
    <w:p w:rsidR="00E72151" w:rsidRPr="000A6494" w:rsidRDefault="00E72151" w:rsidP="00E72151">
      <w:pPr>
        <w:rPr>
          <w:rFonts w:cstheme="minorHAnsi"/>
        </w:rPr>
      </w:pPr>
      <w:r w:rsidRPr="00B3770E">
        <w:t>To be eligible to receive a grant</w:t>
      </w:r>
      <w:r>
        <w:t>,</w:t>
      </w:r>
      <w:r w:rsidRPr="00B3770E">
        <w:t xml:space="preserve"> the </w:t>
      </w:r>
      <w:r w:rsidR="00984C52">
        <w:t xml:space="preserve">potential grantee </w:t>
      </w:r>
      <w:r>
        <w:t xml:space="preserve">must </w:t>
      </w:r>
      <w:r w:rsidRPr="006C016E">
        <w:rPr>
          <w:rFonts w:asciiTheme="majorHAnsi" w:hAnsiTheme="majorHAnsi" w:cstheme="majorHAnsi"/>
        </w:rPr>
        <w:t xml:space="preserve">be </w:t>
      </w:r>
      <w:r>
        <w:rPr>
          <w:rFonts w:asciiTheme="majorHAnsi" w:hAnsiTheme="majorHAnsi" w:cstheme="majorHAnsi"/>
        </w:rPr>
        <w:t xml:space="preserve">currently </w:t>
      </w:r>
      <w:r w:rsidRPr="006C016E">
        <w:rPr>
          <w:rFonts w:asciiTheme="majorHAnsi" w:hAnsiTheme="majorHAnsi" w:cstheme="majorHAnsi"/>
        </w:rPr>
        <w:t>funded by the Department to deliver Royal Commission Community-Based Support Services</w:t>
      </w:r>
      <w:r w:rsidR="000A6494">
        <w:rPr>
          <w:rFonts w:asciiTheme="majorHAnsi" w:hAnsiTheme="majorHAnsi" w:cstheme="majorHAnsi"/>
        </w:rPr>
        <w:t>,</w:t>
      </w:r>
      <w:r w:rsidR="00782843">
        <w:rPr>
          <w:rFonts w:asciiTheme="majorHAnsi" w:hAnsiTheme="majorHAnsi" w:cstheme="majorHAnsi"/>
        </w:rPr>
        <w:t xml:space="preserve"> </w:t>
      </w:r>
      <w:r w:rsidR="0089076E">
        <w:rPr>
          <w:rFonts w:asciiTheme="majorHAnsi" w:hAnsiTheme="majorHAnsi" w:cstheme="majorHAnsi"/>
        </w:rPr>
        <w:t xml:space="preserve">be one of </w:t>
      </w:r>
      <w:r w:rsidR="0089076E" w:rsidRPr="000A6494">
        <w:rPr>
          <w:rFonts w:cstheme="minorHAnsi"/>
        </w:rPr>
        <w:t>the listed invited organisations and have received an invitation to apply through GrantConnect.</w:t>
      </w:r>
    </w:p>
    <w:p w:rsidR="006A3B80" w:rsidRPr="000A6494" w:rsidRDefault="006A3B80" w:rsidP="00BB5CF6">
      <w:pPr>
        <w:pStyle w:val="NoSpacing"/>
        <w:rPr>
          <w:rFonts w:asciiTheme="minorHAnsi" w:hAnsiTheme="minorHAnsi" w:cstheme="minorHAnsi"/>
        </w:rPr>
      </w:pPr>
      <w:bookmarkStart w:id="24" w:name="_Toc467773958"/>
      <w:bookmarkEnd w:id="21"/>
    </w:p>
    <w:tbl>
      <w:tblPr>
        <w:tblStyle w:val="TableGrid"/>
        <w:tblW w:w="9067" w:type="dxa"/>
        <w:tblLook w:val="04A0" w:firstRow="1" w:lastRow="0" w:firstColumn="1" w:lastColumn="0" w:noHBand="0" w:noVBand="1"/>
        <w:tblCaption w:val="List of invited organisations and rationale for invitation"/>
        <w:tblDescription w:val="List of invited organisations and rationale for invitation"/>
      </w:tblPr>
      <w:tblGrid>
        <w:gridCol w:w="1129"/>
        <w:gridCol w:w="7938"/>
      </w:tblGrid>
      <w:tr w:rsidR="00BD0CA1" w:rsidRPr="000A6494" w:rsidTr="00BD0CA1">
        <w:trPr>
          <w:trHeight w:val="297"/>
          <w:tblHeader/>
        </w:trPr>
        <w:tc>
          <w:tcPr>
            <w:tcW w:w="1129" w:type="dxa"/>
            <w:shd w:val="clear" w:color="auto" w:fill="F2F2F2" w:themeFill="background1" w:themeFillShade="F2"/>
          </w:tcPr>
          <w:p w:rsidR="00BD0CA1" w:rsidRPr="000A6494" w:rsidRDefault="00BD0CA1" w:rsidP="000A6494">
            <w:pPr>
              <w:pStyle w:val="NoSpacing"/>
              <w:spacing w:after="60"/>
              <w:rPr>
                <w:rFonts w:asciiTheme="minorHAnsi" w:hAnsiTheme="minorHAnsi" w:cstheme="minorHAnsi"/>
                <w:b/>
              </w:rPr>
            </w:pPr>
            <w:r w:rsidRPr="000A6494">
              <w:rPr>
                <w:rFonts w:asciiTheme="minorHAnsi" w:hAnsiTheme="minorHAnsi" w:cstheme="minorHAnsi"/>
                <w:b/>
              </w:rPr>
              <w:t>State</w:t>
            </w:r>
          </w:p>
        </w:tc>
        <w:tc>
          <w:tcPr>
            <w:tcW w:w="7938" w:type="dxa"/>
            <w:shd w:val="clear" w:color="auto" w:fill="F2F2F2" w:themeFill="background1" w:themeFillShade="F2"/>
          </w:tcPr>
          <w:p w:rsidR="00BD0CA1" w:rsidRPr="000A6494" w:rsidRDefault="00BD0CA1" w:rsidP="000A6494">
            <w:pPr>
              <w:pStyle w:val="NoSpacing"/>
              <w:spacing w:after="60"/>
              <w:rPr>
                <w:rFonts w:asciiTheme="minorHAnsi" w:hAnsiTheme="minorHAnsi" w:cstheme="minorHAnsi"/>
                <w:b/>
              </w:rPr>
            </w:pPr>
            <w:r w:rsidRPr="000A6494">
              <w:rPr>
                <w:rFonts w:asciiTheme="minorHAnsi" w:hAnsiTheme="minorHAnsi" w:cstheme="minorHAnsi"/>
                <w:b/>
              </w:rPr>
              <w:t>Invited Organisation</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ACT</w:t>
            </w:r>
          </w:p>
        </w:tc>
        <w:tc>
          <w:tcPr>
            <w:tcW w:w="7938" w:type="dxa"/>
            <w:vAlign w:val="bottom"/>
          </w:tcPr>
          <w:p w:rsidR="00BD0CA1" w:rsidRPr="000A6494" w:rsidRDefault="00BD0CA1" w:rsidP="000A6494">
            <w:pPr>
              <w:pStyle w:val="NoSpacing"/>
              <w:spacing w:after="60"/>
              <w:rPr>
                <w:rFonts w:asciiTheme="minorHAnsi" w:hAnsiTheme="minorHAnsi" w:cstheme="minorHAnsi"/>
              </w:rPr>
            </w:pPr>
            <w:r>
              <w:rPr>
                <w:rFonts w:asciiTheme="minorHAnsi" w:hAnsiTheme="minorHAnsi" w:cstheme="minorHAnsi"/>
              </w:rPr>
              <w:t>Aboriginal and Torres Strait Islander Healing Foundation</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Pr>
                <w:rFonts w:asciiTheme="minorHAnsi" w:hAnsiTheme="minorHAnsi" w:cstheme="minorHAnsi"/>
                <w:color w:val="000000"/>
                <w:lang w:eastAsia="en-AU"/>
              </w:rPr>
              <w:t>ACT</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Canberra Rape Crisis Centre Incorporated</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NSW</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Blue Knot Foundation</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NSW</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Care Leavers Australasia Network Incorporated</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NSW</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Hawkesbury Area Women’s &amp; Kids Services Collective</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NSW</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Interrelate Limited</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NSW</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Link-Up (N.S.W) Aboriginal Corporation</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NSW</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People with Disability Australia Ltd.</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NSW</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Rape &amp; Domestic Violence Services Australia Inc.</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NSW</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Relationships Australia (NSW) Limited</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NT</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 xml:space="preserve">Danila </w:t>
            </w:r>
            <w:proofErr w:type="spellStart"/>
            <w:r w:rsidRPr="000A6494">
              <w:rPr>
                <w:rFonts w:asciiTheme="minorHAnsi" w:hAnsiTheme="minorHAnsi" w:cstheme="minorHAnsi"/>
                <w:color w:val="000000"/>
                <w:lang w:eastAsia="en-AU"/>
              </w:rPr>
              <w:t>Dilba</w:t>
            </w:r>
            <w:proofErr w:type="spellEnd"/>
            <w:r w:rsidRPr="000A6494">
              <w:rPr>
                <w:rFonts w:asciiTheme="minorHAnsi" w:hAnsiTheme="minorHAnsi" w:cstheme="minorHAnsi"/>
                <w:color w:val="000000"/>
                <w:lang w:eastAsia="en-AU"/>
              </w:rPr>
              <w:t xml:space="preserve"> Aboriginal Corporation</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NT</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 xml:space="preserve">Relationships Australia - Northern Territory </w:t>
            </w:r>
            <w:proofErr w:type="spellStart"/>
            <w:r w:rsidRPr="000A6494">
              <w:rPr>
                <w:rFonts w:asciiTheme="minorHAnsi" w:hAnsiTheme="minorHAnsi" w:cstheme="minorHAnsi"/>
                <w:color w:val="000000"/>
                <w:lang w:eastAsia="en-AU"/>
              </w:rPr>
              <w:t>Inc</w:t>
            </w:r>
            <w:proofErr w:type="spellEnd"/>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QLD</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proofErr w:type="spellStart"/>
            <w:r w:rsidRPr="000A6494">
              <w:rPr>
                <w:rFonts w:asciiTheme="minorHAnsi" w:hAnsiTheme="minorHAnsi" w:cstheme="minorHAnsi"/>
                <w:color w:val="000000"/>
                <w:lang w:eastAsia="en-AU"/>
              </w:rPr>
              <w:t>Bravehearts</w:t>
            </w:r>
            <w:proofErr w:type="spellEnd"/>
            <w:r w:rsidRPr="000A6494">
              <w:rPr>
                <w:rFonts w:asciiTheme="minorHAnsi" w:hAnsiTheme="minorHAnsi" w:cstheme="minorHAnsi"/>
                <w:color w:val="000000"/>
                <w:lang w:eastAsia="en-AU"/>
              </w:rPr>
              <w:t xml:space="preserve"> Foundation Limited</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QLD</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Centre Against Sexual Violence Inc.</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QLD</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Link-Up (QLD) Aboriginal Corporation</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QLD</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Micah Projects Limited</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QLD</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Relationships Australia (Qld)</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SA</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proofErr w:type="spellStart"/>
            <w:r w:rsidRPr="000A6494">
              <w:rPr>
                <w:rFonts w:asciiTheme="minorHAnsi" w:hAnsiTheme="minorHAnsi" w:cstheme="minorHAnsi"/>
                <w:color w:val="000000"/>
                <w:lang w:eastAsia="en-AU"/>
              </w:rPr>
              <w:t>Nunkuwarrin</w:t>
            </w:r>
            <w:proofErr w:type="spellEnd"/>
            <w:r w:rsidRPr="000A6494">
              <w:rPr>
                <w:rFonts w:asciiTheme="minorHAnsi" w:hAnsiTheme="minorHAnsi" w:cstheme="minorHAnsi"/>
                <w:color w:val="000000"/>
                <w:lang w:eastAsia="en-AU"/>
              </w:rPr>
              <w:t xml:space="preserve"> </w:t>
            </w:r>
            <w:proofErr w:type="spellStart"/>
            <w:r w:rsidRPr="000A6494">
              <w:rPr>
                <w:rFonts w:asciiTheme="minorHAnsi" w:hAnsiTheme="minorHAnsi" w:cstheme="minorHAnsi"/>
                <w:color w:val="000000"/>
                <w:lang w:eastAsia="en-AU"/>
              </w:rPr>
              <w:t>Yunti</w:t>
            </w:r>
            <w:proofErr w:type="spellEnd"/>
            <w:r w:rsidRPr="000A6494">
              <w:rPr>
                <w:rFonts w:asciiTheme="minorHAnsi" w:hAnsiTheme="minorHAnsi" w:cstheme="minorHAnsi"/>
                <w:color w:val="000000"/>
                <w:lang w:eastAsia="en-AU"/>
              </w:rPr>
              <w:t xml:space="preserve"> of South Australia Incorporated</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SA</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Relationships Australia South Australia Limited</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SA</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Victim Support Service Incorporated</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TAS</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Relationships Australia Tasmania Incorporated</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TAS</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Sexual Assault Support Service Incorporated</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VIC</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Berry Street Victoria Inc.</w:t>
            </w:r>
            <w:r>
              <w:rPr>
                <w:rFonts w:asciiTheme="minorHAnsi" w:hAnsiTheme="minorHAnsi" w:cstheme="minorHAnsi"/>
                <w:color w:val="000000"/>
                <w:lang w:eastAsia="en-AU"/>
              </w:rPr>
              <w:t xml:space="preserve"> (Open Place)</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lastRenderedPageBreak/>
              <w:t>VIC</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 xml:space="preserve">Child Migrants Trust </w:t>
            </w:r>
            <w:proofErr w:type="spellStart"/>
            <w:r w:rsidRPr="000A6494">
              <w:rPr>
                <w:rFonts w:asciiTheme="minorHAnsi" w:hAnsiTheme="minorHAnsi" w:cstheme="minorHAnsi"/>
                <w:color w:val="000000"/>
                <w:lang w:eastAsia="en-AU"/>
              </w:rPr>
              <w:t>Inc</w:t>
            </w:r>
            <w:proofErr w:type="spellEnd"/>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VIC</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Child Wise Limited</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Pr>
                <w:rFonts w:asciiTheme="minorHAnsi" w:hAnsiTheme="minorHAnsi" w:cstheme="minorHAnsi"/>
                <w:color w:val="000000"/>
                <w:lang w:eastAsia="en-AU"/>
              </w:rPr>
              <w:t>VIC</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Pr>
                <w:rFonts w:asciiTheme="minorHAnsi" w:hAnsiTheme="minorHAnsi" w:cstheme="minorHAnsi"/>
                <w:color w:val="000000"/>
                <w:lang w:eastAsia="en-AU"/>
              </w:rPr>
              <w:t>Children and Young People with Disability Australia</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VIC</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Drummond Street Services Inc.</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VIC</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In Good Faith Foundation Ltd</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VIC</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On the Line Australia Limited</w:t>
            </w:r>
            <w:r>
              <w:rPr>
                <w:rFonts w:asciiTheme="minorHAnsi" w:hAnsiTheme="minorHAnsi" w:cstheme="minorHAnsi"/>
                <w:color w:val="000000"/>
                <w:lang w:eastAsia="en-AU"/>
              </w:rPr>
              <w:t xml:space="preserve"> (</w:t>
            </w:r>
            <w:proofErr w:type="spellStart"/>
            <w:r>
              <w:rPr>
                <w:rFonts w:asciiTheme="minorHAnsi" w:hAnsiTheme="minorHAnsi" w:cstheme="minorHAnsi"/>
                <w:color w:val="000000"/>
                <w:lang w:eastAsia="en-AU"/>
              </w:rPr>
              <w:t>Mensline</w:t>
            </w:r>
            <w:proofErr w:type="spellEnd"/>
            <w:r>
              <w:rPr>
                <w:rFonts w:asciiTheme="minorHAnsi" w:hAnsiTheme="minorHAnsi" w:cstheme="minorHAnsi"/>
                <w:color w:val="000000"/>
                <w:lang w:eastAsia="en-AU"/>
              </w:rPr>
              <w:t xml:space="preserve"> Australia)</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VIC</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Relationships Australia (Victoria) Inc.</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VIC</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proofErr w:type="spellStart"/>
            <w:r w:rsidRPr="000A6494">
              <w:rPr>
                <w:rFonts w:asciiTheme="minorHAnsi" w:hAnsiTheme="minorHAnsi" w:cstheme="minorHAnsi"/>
                <w:color w:val="000000"/>
                <w:lang w:eastAsia="en-AU"/>
              </w:rPr>
              <w:t>Tzedek</w:t>
            </w:r>
            <w:proofErr w:type="spellEnd"/>
            <w:r w:rsidRPr="000A6494">
              <w:rPr>
                <w:rFonts w:asciiTheme="minorHAnsi" w:hAnsiTheme="minorHAnsi" w:cstheme="minorHAnsi"/>
                <w:color w:val="000000"/>
                <w:lang w:eastAsia="en-AU"/>
              </w:rPr>
              <w:t xml:space="preserve"> </w:t>
            </w:r>
            <w:proofErr w:type="spellStart"/>
            <w:r w:rsidRPr="000A6494">
              <w:rPr>
                <w:rFonts w:asciiTheme="minorHAnsi" w:hAnsiTheme="minorHAnsi" w:cstheme="minorHAnsi"/>
                <w:color w:val="000000"/>
                <w:lang w:eastAsia="en-AU"/>
              </w:rPr>
              <w:t>Inc</w:t>
            </w:r>
            <w:proofErr w:type="spellEnd"/>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VIC</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Victorian Aboriginal Child Care Agency Co Op Ltd</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WA</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Kimberley Stolen Generation Aboriginal Corporation</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WA</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Relationships Australia (Western Australia) Inc.</w:t>
            </w:r>
          </w:p>
        </w:tc>
      </w:tr>
      <w:tr w:rsidR="00BD0CA1" w:rsidRPr="000A6494" w:rsidTr="00BD0CA1">
        <w:trPr>
          <w:trHeight w:val="306"/>
        </w:trPr>
        <w:tc>
          <w:tcPr>
            <w:tcW w:w="1129" w:type="dxa"/>
            <w:shd w:val="clear" w:color="auto" w:fill="auto"/>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WA</w:t>
            </w:r>
          </w:p>
        </w:tc>
        <w:tc>
          <w:tcPr>
            <w:tcW w:w="7938" w:type="dxa"/>
            <w:vAlign w:val="bottom"/>
          </w:tcPr>
          <w:p w:rsidR="00BD0CA1" w:rsidRPr="000A6494" w:rsidRDefault="00BD0CA1" w:rsidP="000A6494">
            <w:pPr>
              <w:pStyle w:val="NoSpacing"/>
              <w:spacing w:after="60"/>
              <w:rPr>
                <w:rFonts w:asciiTheme="minorHAnsi" w:hAnsiTheme="minorHAnsi" w:cstheme="minorHAnsi"/>
                <w:color w:val="000000"/>
                <w:lang w:eastAsia="en-AU"/>
              </w:rPr>
            </w:pPr>
            <w:r w:rsidRPr="000A6494">
              <w:rPr>
                <w:rFonts w:asciiTheme="minorHAnsi" w:hAnsiTheme="minorHAnsi" w:cstheme="minorHAnsi"/>
                <w:color w:val="000000"/>
                <w:lang w:eastAsia="en-AU"/>
              </w:rPr>
              <w:t>Yorgum Aboriginal Corporation</w:t>
            </w:r>
          </w:p>
        </w:tc>
      </w:tr>
    </w:tbl>
    <w:p w:rsidR="00E119F4" w:rsidRDefault="00432DEF" w:rsidP="00E119F4">
      <w:pPr>
        <w:spacing w:before="120"/>
        <w:rPr>
          <w:rFonts w:cstheme="minorHAnsi"/>
        </w:rPr>
      </w:pPr>
      <w:r w:rsidRPr="00336DAD">
        <w:rPr>
          <w:rFonts w:cstheme="minorHAnsi"/>
        </w:rPr>
        <w:t>The Department</w:t>
      </w:r>
      <w:r w:rsidRPr="00336DAD">
        <w:t xml:space="preserve"> </w:t>
      </w:r>
      <w:r w:rsidR="00B378FE" w:rsidRPr="00336DAD">
        <w:t>selected these organisations to deliver Redress Support Services to 30</w:t>
      </w:r>
      <w:r w:rsidR="008B29B3" w:rsidRPr="00336DAD">
        <w:t> </w:t>
      </w:r>
      <w:r w:rsidR="00B378FE" w:rsidRPr="00336DAD">
        <w:t>June 2021 as they have</w:t>
      </w:r>
      <w:r w:rsidR="00B378FE">
        <w:t xml:space="preserve"> established relationships with the target group and are well placed to support people to apply to the Scheme, particularly through the initial surge of interest in the Scheme’s first years of operation.</w:t>
      </w:r>
      <w:r w:rsidR="00A75216">
        <w:t xml:space="preserve"> </w:t>
      </w:r>
      <w:r w:rsidR="00E119F4">
        <w:rPr>
          <w:rFonts w:asciiTheme="majorHAnsi" w:hAnsiTheme="majorHAnsi" w:cstheme="majorHAnsi"/>
        </w:rPr>
        <w:t xml:space="preserve">These organisations have also demonstrated their </w:t>
      </w:r>
      <w:r w:rsidR="00E119F4">
        <w:rPr>
          <w:rFonts w:cstheme="minorHAnsi"/>
        </w:rPr>
        <w:t xml:space="preserve">understanding of the complex support needs of people </w:t>
      </w:r>
      <w:r w:rsidR="00E119F4">
        <w:rPr>
          <w:rFonts w:asciiTheme="majorHAnsi" w:hAnsiTheme="majorHAnsi" w:cstheme="majorHAnsi"/>
        </w:rPr>
        <w:t>who experienced institutional child sexual abuse, and their ability to provide trauma</w:t>
      </w:r>
      <w:r w:rsidR="00E119F4">
        <w:rPr>
          <w:rFonts w:asciiTheme="majorHAnsi" w:hAnsiTheme="majorHAnsi" w:cstheme="majorHAnsi"/>
        </w:rPr>
        <w:noBreakHyphen/>
        <w:t xml:space="preserve">informed specialist support delivered by appropriately qualified and </w:t>
      </w:r>
      <w:r w:rsidR="00E119F4" w:rsidRPr="00BD0763">
        <w:rPr>
          <w:rFonts w:cstheme="minorHAnsi"/>
        </w:rPr>
        <w:t xml:space="preserve">experienced </w:t>
      </w:r>
      <w:r w:rsidR="00E119F4">
        <w:rPr>
          <w:rFonts w:cstheme="minorHAnsi"/>
        </w:rPr>
        <w:t xml:space="preserve">professionals. </w:t>
      </w:r>
    </w:p>
    <w:p w:rsidR="00E119F4" w:rsidRDefault="00E119F4" w:rsidP="00E119F4">
      <w:pPr>
        <w:spacing w:before="120"/>
      </w:pPr>
      <w:r>
        <w:t xml:space="preserve">Applicants invited to this grant opportunity have been providing support to people who experienced institutional child sexual abuse as they engaged with the Royal Commission. Many people who engaged with the Royal Commission will now be considering applying to the National Redress Scheme, and therefore a continuation of existing support from trusted service providers will be important.  </w:t>
      </w:r>
    </w:p>
    <w:p w:rsidR="00E119F4" w:rsidRDefault="00E119F4" w:rsidP="00E119F4">
      <w:pPr>
        <w:spacing w:before="120"/>
      </w:pPr>
      <w:r>
        <w:t>The Department is satisfied that services provided during this time were trauma-informed, delivered by appropriately qualified and experienced professionals, and applied a deep understanding of the complex support needs of people who experienced institutional child sexual abuse, including particularly vulnerable client cohorts. These services therefore are most appropriate to continue to receive funding to support people who experienced institutional child sexual abuse to engage with the National Redress Scheme.</w:t>
      </w:r>
    </w:p>
    <w:p w:rsidR="00E119F4" w:rsidRPr="00E119F4" w:rsidRDefault="00E119F4" w:rsidP="00E119F4">
      <w:pPr>
        <w:spacing w:before="120"/>
      </w:pPr>
      <w:r>
        <w:t>Grantees will also be required to undertake further professional development to ensure the professional capabilities of their staff are appropriate for delivering specialist supports to people engaging with the Scheme.</w:t>
      </w:r>
    </w:p>
    <w:p w:rsidR="00215752" w:rsidRDefault="0089076E" w:rsidP="00215752">
      <w:r w:rsidRPr="0089076E">
        <w:t xml:space="preserve">The Department will determine eligibility for </w:t>
      </w:r>
      <w:r w:rsidR="000A6494">
        <w:t>surge</w:t>
      </w:r>
      <w:r w:rsidRPr="0089076E">
        <w:t xml:space="preserve"> funding to address demand based on </w:t>
      </w:r>
      <w:r w:rsidR="000A6494">
        <w:t>previous</w:t>
      </w:r>
      <w:r w:rsidRPr="0089076E">
        <w:t xml:space="preserve"> client-level service data, taking into consideration the complexity of client support needs (including Forgotten Australians, Stolen Generations and Indigenous people), and complexity of service delivery needs (e.g. people living in rural and remote locations and others with accessibility issues). </w:t>
      </w:r>
      <w:r w:rsidR="00215752">
        <w:t xml:space="preserve">The letter of invitation to these selected organisations will include the indicative funding amount per organisation that is available. </w:t>
      </w:r>
    </w:p>
    <w:p w:rsidR="00A72CEC" w:rsidRDefault="00BB5CF6" w:rsidP="00A00BDD">
      <w:pPr>
        <w:pStyle w:val="NoSpacing"/>
        <w:spacing w:before="240"/>
        <w:rPr>
          <w:rFonts w:ascii="Arial" w:hAnsi="Arial" w:cs="Arial"/>
        </w:rPr>
      </w:pPr>
      <w:r w:rsidRPr="00700851">
        <w:rPr>
          <w:rFonts w:ascii="Arial" w:hAnsi="Arial" w:cs="Arial"/>
        </w:rPr>
        <w:lastRenderedPageBreak/>
        <w:t>No further organis</w:t>
      </w:r>
      <w:r w:rsidR="000A6494">
        <w:rPr>
          <w:rFonts w:ascii="Arial" w:hAnsi="Arial" w:cs="Arial"/>
        </w:rPr>
        <w:t>ations will be invited to apply to this specific grant opportunity.</w:t>
      </w:r>
      <w:r w:rsidR="00FC48D1">
        <w:rPr>
          <w:rFonts w:ascii="Arial" w:hAnsi="Arial" w:cs="Arial"/>
        </w:rPr>
        <w:t xml:space="preserve"> However, </w:t>
      </w:r>
      <w:r w:rsidR="00F23354">
        <w:rPr>
          <w:rFonts w:ascii="Arial" w:hAnsi="Arial" w:cs="Arial"/>
        </w:rPr>
        <w:t xml:space="preserve">details of </w:t>
      </w:r>
      <w:r w:rsidR="00FC48D1">
        <w:rPr>
          <w:rFonts w:ascii="Arial" w:hAnsi="Arial" w:cs="Arial"/>
        </w:rPr>
        <w:t>a separate grant opportunity (described at 6.5) will be</w:t>
      </w:r>
      <w:r w:rsidR="00F23354">
        <w:rPr>
          <w:rFonts w:ascii="Arial" w:hAnsi="Arial" w:cs="Arial"/>
        </w:rPr>
        <w:t xml:space="preserve"> made available at a later date.</w:t>
      </w:r>
    </w:p>
    <w:p w:rsidR="00A72CEC" w:rsidRDefault="00A72CEC" w:rsidP="00A00BDD">
      <w:pPr>
        <w:pStyle w:val="NoSpacing"/>
        <w:spacing w:before="240"/>
        <w:rPr>
          <w:rFonts w:ascii="Arial" w:hAnsi="Arial" w:cs="Arial"/>
        </w:rPr>
      </w:pPr>
    </w:p>
    <w:p w:rsidR="00890646" w:rsidRPr="0020410B" w:rsidRDefault="00BB5CF6" w:rsidP="0020410B">
      <w:pPr>
        <w:pStyle w:val="Heading2Numbered"/>
        <w:spacing w:before="0" w:after="0" w:line="240" w:lineRule="auto"/>
        <w:rPr>
          <w:color w:val="000000" w:themeColor="text1"/>
        </w:rPr>
      </w:pPr>
      <w:bookmarkStart w:id="25" w:name="_Toc522006560"/>
      <w:r w:rsidRPr="00DB614C">
        <w:t>Who is not eligible to apply for a grant?</w:t>
      </w:r>
      <w:bookmarkEnd w:id="25"/>
      <w:r>
        <w:t xml:space="preserve"> </w:t>
      </w:r>
    </w:p>
    <w:p w:rsidR="00CC4D45" w:rsidRDefault="00CC4D45" w:rsidP="00CC4D45">
      <w:r>
        <w:t>An organisation is not eligible to apply for this grant opportunity if it is not identified in</w:t>
      </w:r>
      <w:bookmarkStart w:id="26" w:name="_Toc513792091"/>
      <w:bookmarkEnd w:id="26"/>
      <w:r>
        <w:t xml:space="preserve"> the table at Section 3.1</w:t>
      </w:r>
      <w:r w:rsidR="008B29B3">
        <w:t xml:space="preserve">. </w:t>
      </w:r>
    </w:p>
    <w:p w:rsidR="00CC4D45" w:rsidRDefault="00CC4D45" w:rsidP="00CC4D45">
      <w:pPr>
        <w:pStyle w:val="NormalIndented"/>
        <w:ind w:left="0"/>
      </w:pPr>
      <w:r>
        <w:t>The Department will not consider any applications submitted by ineligible organisations.</w:t>
      </w:r>
    </w:p>
    <w:p w:rsidR="00340616" w:rsidRPr="00B72EE8" w:rsidRDefault="00340616" w:rsidP="0020410B">
      <w:pPr>
        <w:pStyle w:val="Heading2Numbered"/>
        <w:numPr>
          <w:ilvl w:val="1"/>
          <w:numId w:val="20"/>
        </w:numPr>
        <w:ind w:left="567"/>
      </w:pPr>
      <w:bookmarkStart w:id="27" w:name="_Toc522006561"/>
      <w:r>
        <w:t xml:space="preserve">What </w:t>
      </w:r>
      <w:r w:rsidRPr="00B72EE8">
        <w:t>qualifications or skills</w:t>
      </w:r>
      <w:r>
        <w:t xml:space="preserve"> are required?</w:t>
      </w:r>
      <w:bookmarkEnd w:id="24"/>
      <w:bookmarkEnd w:id="27"/>
    </w:p>
    <w:p w:rsidR="00887073" w:rsidRDefault="00887073" w:rsidP="00887073">
      <w:pPr>
        <w:spacing w:before="120" w:after="0"/>
        <w:rPr>
          <w:rFonts w:asciiTheme="majorHAnsi" w:hAnsiTheme="majorHAnsi" w:cstheme="majorHAnsi"/>
        </w:rPr>
      </w:pPr>
      <w:bookmarkStart w:id="28" w:name="_Toc467773959"/>
      <w:r>
        <w:rPr>
          <w:rFonts w:asciiTheme="majorHAnsi" w:hAnsiTheme="majorHAnsi" w:cstheme="majorHAnsi"/>
        </w:rPr>
        <w:t>The scope of the Redress Support Services is specialised. Staff working on the grant activity must be suitably trained and experienced in responding to complex trauma, with a deep understanding of the often complex practical support and emotional needs of people affected by child sexual abuse and people affected by past institutional and child-welfare practices and policies.</w:t>
      </w:r>
    </w:p>
    <w:p w:rsidR="00887073" w:rsidRDefault="00887073" w:rsidP="00887073">
      <w:pPr>
        <w:spacing w:before="120" w:after="0"/>
        <w:rPr>
          <w:rFonts w:asciiTheme="majorHAnsi" w:hAnsiTheme="majorHAnsi" w:cstheme="majorHAnsi"/>
        </w:rPr>
      </w:pPr>
      <w:r>
        <w:rPr>
          <w:rFonts w:asciiTheme="majorHAnsi" w:hAnsiTheme="majorHAnsi" w:cstheme="majorHAnsi"/>
        </w:rPr>
        <w:t>Staff</w:t>
      </w:r>
      <w:r>
        <w:t xml:space="preserve"> </w:t>
      </w:r>
      <w:r>
        <w:rPr>
          <w:rFonts w:asciiTheme="majorHAnsi" w:hAnsiTheme="majorHAnsi" w:cstheme="majorHAnsi"/>
        </w:rPr>
        <w:t>must have relevant qualifications in psychology, social work, counselling or other relevant fields or substantial similar experience, with an understanding of child sexual abuse and trauma.</w:t>
      </w:r>
    </w:p>
    <w:p w:rsidR="00887073" w:rsidRDefault="00887073" w:rsidP="00887073">
      <w:pPr>
        <w:spacing w:before="120" w:after="0"/>
        <w:rPr>
          <w:rFonts w:asciiTheme="majorHAnsi" w:hAnsiTheme="majorHAnsi" w:cstheme="majorHAnsi"/>
        </w:rPr>
      </w:pPr>
      <w:r>
        <w:rPr>
          <w:rFonts w:asciiTheme="majorHAnsi" w:hAnsiTheme="majorHAnsi" w:cstheme="majorHAnsi"/>
        </w:rPr>
        <w:t>Services must ensure staff are trained in cultural safety/awareness and in supporting people from Aboriginal and Torres Strait Islander and culturally and linguistically diverse backgrounds.</w:t>
      </w:r>
    </w:p>
    <w:p w:rsidR="00887073" w:rsidRDefault="00887073" w:rsidP="00887073">
      <w:pPr>
        <w:spacing w:before="120" w:after="0"/>
        <w:rPr>
          <w:rFonts w:asciiTheme="majorHAnsi" w:hAnsiTheme="majorHAnsi" w:cstheme="majorHAnsi"/>
        </w:rPr>
      </w:pPr>
      <w:r>
        <w:rPr>
          <w:rFonts w:asciiTheme="majorHAnsi" w:hAnsiTheme="majorHAnsi" w:cstheme="majorHAnsi"/>
        </w:rPr>
        <w:t xml:space="preserve">Applicants must comply with the Department’s ‘Vulnerable Persons, Police Check and Criminal Offences’ policy available at </w:t>
      </w:r>
      <w:r w:rsidR="00A72CEC">
        <w:rPr>
          <w:rFonts w:asciiTheme="majorHAnsi" w:hAnsiTheme="majorHAnsi" w:cstheme="majorHAnsi"/>
        </w:rPr>
        <w:t xml:space="preserve">the </w:t>
      </w:r>
      <w:hyperlink r:id="rId13" w:history="1">
        <w:r w:rsidR="00A72CEC" w:rsidRPr="00A72CEC">
          <w:rPr>
            <w:rStyle w:val="Hyperlink"/>
            <w:rFonts w:asciiTheme="majorHAnsi" w:hAnsiTheme="majorHAnsi" w:cstheme="majorHAnsi"/>
          </w:rPr>
          <w:t>Department of Social Services website</w:t>
        </w:r>
      </w:hyperlink>
      <w:r w:rsidR="00A72CEC">
        <w:rPr>
          <w:rFonts w:asciiTheme="majorHAnsi" w:hAnsiTheme="majorHAnsi" w:cstheme="majorHAnsi"/>
        </w:rPr>
        <w:t xml:space="preserve"> </w:t>
      </w:r>
      <w:r>
        <w:rPr>
          <w:rFonts w:asciiTheme="majorHAnsi" w:hAnsiTheme="majorHAnsi" w:cstheme="majorHAnsi"/>
        </w:rPr>
        <w:t>as stated in the Commonwealth Standard Grant Conditions.</w:t>
      </w:r>
    </w:p>
    <w:p w:rsidR="00887073" w:rsidRDefault="00887073" w:rsidP="00887073">
      <w:pPr>
        <w:pStyle w:val="highlightedtext"/>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Pr>
          <w:rFonts w:asciiTheme="majorHAnsi" w:hAnsiTheme="majorHAnsi" w:cstheme="majorHAnsi"/>
          <w:b w:val="0"/>
          <w:color w:val="auto"/>
        </w:rPr>
        <w:t>Funding for professional development and access to supervision is included as part of the model. This reflects the specialised nature of the support services, and the importance of supporting staff through work that can be challenging</w:t>
      </w:r>
      <w:r w:rsidR="00B378FE">
        <w:rPr>
          <w:rFonts w:asciiTheme="majorHAnsi" w:hAnsiTheme="majorHAnsi" w:cstheme="majorHAnsi"/>
          <w:b w:val="0"/>
          <w:color w:val="auto"/>
        </w:rPr>
        <w:t>,</w:t>
      </w:r>
      <w:r>
        <w:rPr>
          <w:rFonts w:asciiTheme="majorHAnsi" w:hAnsiTheme="majorHAnsi" w:cstheme="majorHAnsi"/>
          <w:b w:val="0"/>
          <w:color w:val="auto"/>
        </w:rPr>
        <w:t xml:space="preserve"> professionally and personally.</w:t>
      </w:r>
    </w:p>
    <w:p w:rsidR="00887073" w:rsidRDefault="00887073" w:rsidP="00887073">
      <w:pPr>
        <w:pStyle w:val="highlightedtext"/>
        <w:keepNext/>
        <w:keepLines/>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Pr>
          <w:rFonts w:asciiTheme="majorHAnsi" w:hAnsiTheme="majorHAnsi" w:cstheme="majorHAnsi"/>
          <w:b w:val="0"/>
          <w:color w:val="auto"/>
        </w:rPr>
        <w:t>Redress Support Services are required to provide appropriate:</w:t>
      </w:r>
    </w:p>
    <w:p w:rsidR="00887073" w:rsidRDefault="00887073" w:rsidP="00255987">
      <w:pPr>
        <w:pStyle w:val="ListParagraph"/>
        <w:keepNext/>
        <w:keepLines/>
        <w:numPr>
          <w:ilvl w:val="0"/>
          <w:numId w:val="31"/>
        </w:numPr>
        <w:spacing w:before="60" w:after="0"/>
        <w:ind w:left="714" w:hanging="357"/>
        <w:rPr>
          <w:rFonts w:asciiTheme="majorHAnsi" w:hAnsiTheme="majorHAnsi" w:cstheme="majorHAnsi"/>
        </w:rPr>
      </w:pPr>
      <w:r>
        <w:rPr>
          <w:rFonts w:asciiTheme="majorHAnsi" w:hAnsiTheme="majorHAnsi" w:cstheme="majorHAnsi"/>
        </w:rPr>
        <w:t>Continuous professional development to support practitioners to maintain and improve appropriate skills and knowledge to support individuals affected by child sexual abuse.</w:t>
      </w:r>
    </w:p>
    <w:p w:rsidR="00887073" w:rsidRDefault="00887073" w:rsidP="00255987">
      <w:pPr>
        <w:pStyle w:val="ListParagraph"/>
        <w:keepNext/>
        <w:keepLines/>
        <w:numPr>
          <w:ilvl w:val="0"/>
          <w:numId w:val="31"/>
        </w:numPr>
        <w:spacing w:after="0"/>
        <w:ind w:left="714" w:hanging="357"/>
        <w:rPr>
          <w:rFonts w:asciiTheme="majorHAnsi" w:eastAsia="Calibri" w:hAnsiTheme="majorHAnsi" w:cstheme="majorHAnsi"/>
        </w:rPr>
      </w:pPr>
      <w:r>
        <w:rPr>
          <w:rFonts w:asciiTheme="majorHAnsi" w:hAnsiTheme="majorHAnsi" w:cstheme="majorHAnsi"/>
        </w:rPr>
        <w:t>Access</w:t>
      </w:r>
      <w:r>
        <w:rPr>
          <w:rFonts w:asciiTheme="majorHAnsi" w:eastAsia="Calibri" w:hAnsiTheme="majorHAnsi" w:cstheme="majorHAnsi"/>
        </w:rPr>
        <w:t xml:space="preserve"> to supervision, complemented by debriefing arrangements as appropriate, to support staff wellbeing with this challenging work.</w:t>
      </w:r>
    </w:p>
    <w:p w:rsidR="00887073" w:rsidRDefault="00887073" w:rsidP="00887073">
      <w:pPr>
        <w:pStyle w:val="highlightedtext"/>
        <w:pBdr>
          <w:top w:val="none" w:sz="0" w:space="0" w:color="auto"/>
          <w:left w:val="none" w:sz="0" w:space="0" w:color="auto"/>
          <w:bottom w:val="none" w:sz="0" w:space="0" w:color="auto"/>
          <w:right w:val="none" w:sz="0" w:space="0" w:color="auto"/>
        </w:pBdr>
        <w:spacing w:before="120"/>
        <w:jc w:val="left"/>
        <w:rPr>
          <w:rFonts w:asciiTheme="majorHAnsi" w:hAnsiTheme="majorHAnsi" w:cstheme="majorHAnsi"/>
          <w:b w:val="0"/>
          <w:color w:val="auto"/>
        </w:rPr>
      </w:pPr>
      <w:r>
        <w:rPr>
          <w:rFonts w:asciiTheme="majorHAnsi" w:hAnsiTheme="majorHAnsi" w:cstheme="majorHAnsi"/>
          <w:b w:val="0"/>
          <w:color w:val="auto"/>
        </w:rPr>
        <w:t>Redress Support Services staff are required to participate in training provided by any capacity building services and other Sch</w:t>
      </w:r>
      <w:r w:rsidR="008B29B3">
        <w:rPr>
          <w:rFonts w:asciiTheme="majorHAnsi" w:hAnsiTheme="majorHAnsi" w:cstheme="majorHAnsi"/>
          <w:b w:val="0"/>
          <w:color w:val="auto"/>
        </w:rPr>
        <w:t>eme-specific training sessions.</w:t>
      </w:r>
    </w:p>
    <w:p w:rsidR="00340616" w:rsidRPr="00A668C8" w:rsidRDefault="00340616" w:rsidP="00A668C8">
      <w:pPr>
        <w:pStyle w:val="Heading1Numbered"/>
      </w:pPr>
      <w:bookmarkStart w:id="29" w:name="_Toc522006562"/>
      <w:r w:rsidRPr="00A668C8">
        <w:lastRenderedPageBreak/>
        <w:t>Eligible grant activities</w:t>
      </w:r>
      <w:bookmarkEnd w:id="28"/>
      <w:bookmarkEnd w:id="29"/>
    </w:p>
    <w:p w:rsidR="00340616" w:rsidRPr="00F56535" w:rsidRDefault="00340616" w:rsidP="00056305">
      <w:pPr>
        <w:pStyle w:val="Heading2Numbered"/>
      </w:pPr>
      <w:bookmarkStart w:id="30" w:name="_Toc467773960"/>
      <w:bookmarkStart w:id="31" w:name="_Toc522006563"/>
      <w:r w:rsidRPr="00F56535">
        <w:t>What can the grant money be used for?</w:t>
      </w:r>
      <w:bookmarkEnd w:id="30"/>
      <w:bookmarkEnd w:id="31"/>
    </w:p>
    <w:p w:rsidR="00CC4D45" w:rsidRPr="00B72EE8" w:rsidRDefault="00CC4D45" w:rsidP="00CC4D45">
      <w:pPr>
        <w:keepNext/>
        <w:keepLines/>
      </w:pPr>
      <w:bookmarkStart w:id="32" w:name="_Toc467773961"/>
      <w:r>
        <w:t>T</w:t>
      </w:r>
      <w:r w:rsidRPr="00B72EE8">
        <w:t xml:space="preserve">he grant can be used for </w:t>
      </w:r>
      <w:r>
        <w:t>the following grant activities:</w:t>
      </w:r>
    </w:p>
    <w:p w:rsidR="00CC4D45" w:rsidRPr="003C00BD" w:rsidRDefault="00CC4D45" w:rsidP="00255987">
      <w:pPr>
        <w:pStyle w:val="ListParagraph"/>
        <w:keepNext/>
        <w:keepLines/>
        <w:numPr>
          <w:ilvl w:val="0"/>
          <w:numId w:val="27"/>
        </w:numPr>
        <w:contextualSpacing/>
        <w:rPr>
          <w:rFonts w:asciiTheme="majorHAnsi" w:hAnsiTheme="majorHAnsi" w:cstheme="majorHAnsi"/>
        </w:rPr>
      </w:pPr>
      <w:r w:rsidRPr="003C00BD">
        <w:rPr>
          <w:rFonts w:asciiTheme="majorHAnsi" w:hAnsiTheme="majorHAnsi" w:cstheme="majorHAnsi"/>
        </w:rPr>
        <w:t xml:space="preserve">delivery of support service activities, including providing information and support to assist clients to access the Scheme </w:t>
      </w:r>
    </w:p>
    <w:p w:rsidR="00CC4D45" w:rsidRPr="003C00BD" w:rsidRDefault="00CC4D45" w:rsidP="00255987">
      <w:pPr>
        <w:pStyle w:val="ListParagraph"/>
        <w:keepNext/>
        <w:keepLines/>
        <w:numPr>
          <w:ilvl w:val="0"/>
          <w:numId w:val="27"/>
        </w:numPr>
        <w:contextualSpacing/>
        <w:rPr>
          <w:rFonts w:asciiTheme="majorHAnsi" w:hAnsiTheme="majorHAnsi" w:cstheme="majorHAnsi"/>
        </w:rPr>
      </w:pPr>
      <w:r w:rsidRPr="003C00BD">
        <w:rPr>
          <w:rFonts w:asciiTheme="majorHAnsi" w:hAnsiTheme="majorHAnsi" w:cstheme="majorHAnsi"/>
        </w:rPr>
        <w:t>staff salaries and on-costs which can be directly attributed to the provision of the Redress Support Service in the identified service area/s as per the grant agreement</w:t>
      </w:r>
    </w:p>
    <w:p w:rsidR="00CC4D45" w:rsidRPr="003C00BD" w:rsidRDefault="00CC4D45" w:rsidP="00255987">
      <w:pPr>
        <w:pStyle w:val="ListParagraph"/>
        <w:keepNext/>
        <w:keepLines/>
        <w:numPr>
          <w:ilvl w:val="0"/>
          <w:numId w:val="27"/>
        </w:numPr>
        <w:contextualSpacing/>
        <w:rPr>
          <w:rFonts w:asciiTheme="majorHAnsi" w:hAnsiTheme="majorHAnsi" w:cstheme="majorHAnsi"/>
        </w:rPr>
      </w:pPr>
      <w:r w:rsidRPr="003C00BD">
        <w:rPr>
          <w:rFonts w:asciiTheme="majorHAnsi" w:hAnsiTheme="majorHAnsi" w:cstheme="majorHAnsi"/>
        </w:rPr>
        <w:t>employee training for paid and unpaid staff that is relevant, appropriate and in line with Redress Support Services objectives</w:t>
      </w:r>
    </w:p>
    <w:p w:rsidR="00CC4D45" w:rsidRPr="003C00BD" w:rsidRDefault="00CC4D45" w:rsidP="00255987">
      <w:pPr>
        <w:pStyle w:val="ListParagraph"/>
        <w:keepNext/>
        <w:keepLines/>
        <w:numPr>
          <w:ilvl w:val="0"/>
          <w:numId w:val="27"/>
        </w:numPr>
        <w:contextualSpacing/>
        <w:rPr>
          <w:rFonts w:asciiTheme="majorHAnsi" w:hAnsiTheme="majorHAnsi" w:cstheme="majorHAnsi"/>
        </w:rPr>
      </w:pPr>
      <w:r w:rsidRPr="003C00BD">
        <w:rPr>
          <w:rFonts w:asciiTheme="majorHAnsi" w:hAnsiTheme="majorHAnsi" w:cstheme="majorHAnsi"/>
        </w:rPr>
        <w:t>relevant staff supervision and support for those working with Redress Support Services clients</w:t>
      </w:r>
    </w:p>
    <w:p w:rsidR="00CC4D45" w:rsidRPr="00CA097F" w:rsidRDefault="00CC4D45" w:rsidP="00AD7C7D">
      <w:pPr>
        <w:pStyle w:val="ListParagraph"/>
        <w:numPr>
          <w:ilvl w:val="0"/>
          <w:numId w:val="27"/>
        </w:numPr>
        <w:contextualSpacing/>
        <w:rPr>
          <w:rFonts w:ascii="Arial" w:hAnsi="Arial" w:cs="Arial"/>
          <w:iCs/>
        </w:rPr>
      </w:pPr>
      <w:proofErr w:type="gramStart"/>
      <w:r>
        <w:rPr>
          <w:rFonts w:asciiTheme="majorHAnsi" w:hAnsiTheme="majorHAnsi" w:cstheme="majorHAnsi"/>
        </w:rPr>
        <w:t>departmental</w:t>
      </w:r>
      <w:proofErr w:type="gramEnd"/>
      <w:r>
        <w:rPr>
          <w:rFonts w:asciiTheme="majorHAnsi" w:hAnsiTheme="majorHAnsi" w:cstheme="majorHAnsi"/>
        </w:rPr>
        <w:t xml:space="preserve"> approved </w:t>
      </w:r>
      <w:r w:rsidRPr="003C00BD">
        <w:rPr>
          <w:rFonts w:asciiTheme="majorHAnsi" w:hAnsiTheme="majorHAnsi" w:cstheme="majorHAnsi"/>
        </w:rPr>
        <w:t>subcontracting arrangements and brokerage to provide support for clients with specialised needs or in rural and remote locations where th</w:t>
      </w:r>
      <w:r w:rsidR="008D20E2">
        <w:rPr>
          <w:rFonts w:asciiTheme="majorHAnsi" w:hAnsiTheme="majorHAnsi" w:cstheme="majorHAnsi"/>
        </w:rPr>
        <w:t>e funded Redress Support Services</w:t>
      </w:r>
      <w:r w:rsidRPr="003C00BD">
        <w:rPr>
          <w:rFonts w:asciiTheme="majorHAnsi" w:hAnsiTheme="majorHAnsi" w:cstheme="majorHAnsi"/>
        </w:rPr>
        <w:t xml:space="preserve"> provider is unable</w:t>
      </w:r>
      <w:r w:rsidRPr="00CA097F">
        <w:rPr>
          <w:rFonts w:ascii="Arial" w:hAnsi="Arial" w:cs="Arial"/>
        </w:rPr>
        <w:t xml:space="preserve"> to deliver the service directly</w:t>
      </w:r>
      <w:r>
        <w:rPr>
          <w:rFonts w:ascii="Arial" w:hAnsi="Arial" w:cs="Arial"/>
        </w:rPr>
        <w:t>.</w:t>
      </w:r>
    </w:p>
    <w:p w:rsidR="00CC4D45" w:rsidRDefault="00CC4D45" w:rsidP="00AD7C7D">
      <w:pPr>
        <w:keepNext/>
        <w:keepLines/>
      </w:pPr>
      <w:r>
        <w:t xml:space="preserve">Costs that the </w:t>
      </w:r>
      <w:r w:rsidRPr="00B72EE8">
        <w:t xml:space="preserve">grant </w:t>
      </w:r>
      <w:r>
        <w:t>can be used for are</w:t>
      </w:r>
      <w:r w:rsidRPr="00B72EE8">
        <w:t xml:space="preserve">: </w:t>
      </w:r>
    </w:p>
    <w:p w:rsidR="00CC4D45" w:rsidRPr="00CA097F" w:rsidRDefault="00CC4D45" w:rsidP="00AD7C7D">
      <w:pPr>
        <w:keepNext/>
        <w:keepLines/>
        <w:numPr>
          <w:ilvl w:val="0"/>
          <w:numId w:val="30"/>
        </w:numPr>
        <w:suppressAutoHyphens w:val="0"/>
        <w:spacing w:before="0" w:after="0" w:line="240" w:lineRule="auto"/>
        <w:rPr>
          <w:rFonts w:ascii="Arial" w:eastAsia="Times New Roman" w:hAnsi="Arial" w:cs="Arial"/>
        </w:rPr>
      </w:pPr>
      <w:r w:rsidRPr="00CA097F">
        <w:rPr>
          <w:rFonts w:ascii="Arial" w:eastAsia="Times New Roman" w:hAnsi="Arial" w:cs="Arial"/>
        </w:rPr>
        <w:t xml:space="preserve">operating and administration expenses directly related to the delivery of services, such as: </w:t>
      </w:r>
    </w:p>
    <w:p w:rsidR="00CC4D45" w:rsidRPr="00CA097F" w:rsidRDefault="00CC4D45" w:rsidP="00AD7C7D">
      <w:pPr>
        <w:keepNext/>
        <w:keepLines/>
        <w:numPr>
          <w:ilvl w:val="0"/>
          <w:numId w:val="29"/>
        </w:numPr>
        <w:suppressAutoHyphens w:val="0"/>
        <w:spacing w:before="0" w:after="0" w:line="240" w:lineRule="auto"/>
        <w:contextualSpacing/>
        <w:rPr>
          <w:rFonts w:ascii="Arial" w:eastAsia="Times New Roman" w:hAnsi="Arial" w:cs="Arial"/>
        </w:rPr>
      </w:pPr>
      <w:r w:rsidRPr="00CA097F">
        <w:rPr>
          <w:rFonts w:ascii="Arial" w:eastAsia="Times New Roman" w:hAnsi="Arial" w:cs="Arial"/>
        </w:rPr>
        <w:t>telephones</w:t>
      </w:r>
    </w:p>
    <w:p w:rsidR="00CC4D45" w:rsidRPr="00CA097F" w:rsidRDefault="00CC4D45" w:rsidP="00AD7C7D">
      <w:pPr>
        <w:keepNext/>
        <w:keepLines/>
        <w:numPr>
          <w:ilvl w:val="0"/>
          <w:numId w:val="29"/>
        </w:numPr>
        <w:suppressAutoHyphens w:val="0"/>
        <w:spacing w:before="0" w:after="0" w:line="240" w:lineRule="auto"/>
        <w:contextualSpacing/>
        <w:rPr>
          <w:rFonts w:ascii="Arial" w:eastAsia="Times New Roman" w:hAnsi="Arial" w:cs="Arial"/>
        </w:rPr>
      </w:pPr>
      <w:r w:rsidRPr="00CA097F">
        <w:rPr>
          <w:rFonts w:ascii="Arial" w:eastAsia="Times New Roman" w:hAnsi="Arial" w:cs="Arial"/>
        </w:rPr>
        <w:t>rent and outgoings</w:t>
      </w:r>
    </w:p>
    <w:p w:rsidR="00CC4D45" w:rsidRPr="00CA097F" w:rsidRDefault="00CC4D45" w:rsidP="00AD7C7D">
      <w:pPr>
        <w:keepNext/>
        <w:keepLines/>
        <w:numPr>
          <w:ilvl w:val="0"/>
          <w:numId w:val="29"/>
        </w:numPr>
        <w:suppressAutoHyphens w:val="0"/>
        <w:spacing w:before="0" w:after="0" w:line="240" w:lineRule="auto"/>
        <w:contextualSpacing/>
        <w:rPr>
          <w:rFonts w:ascii="Arial" w:eastAsia="Times New Roman" w:hAnsi="Arial" w:cs="Arial"/>
        </w:rPr>
      </w:pPr>
      <w:r w:rsidRPr="00CA097F">
        <w:rPr>
          <w:rFonts w:ascii="Arial" w:eastAsia="Times New Roman" w:hAnsi="Arial" w:cs="Arial"/>
        </w:rPr>
        <w:t>computer/IT/website/software</w:t>
      </w:r>
    </w:p>
    <w:p w:rsidR="00CC4D45" w:rsidRPr="00CA097F" w:rsidRDefault="00CC4D45" w:rsidP="00AD7C7D">
      <w:pPr>
        <w:keepNext/>
        <w:keepLines/>
        <w:numPr>
          <w:ilvl w:val="0"/>
          <w:numId w:val="29"/>
        </w:numPr>
        <w:suppressAutoHyphens w:val="0"/>
        <w:spacing w:before="0" w:after="0" w:line="240" w:lineRule="auto"/>
        <w:contextualSpacing/>
        <w:rPr>
          <w:rFonts w:ascii="Arial" w:eastAsia="Times New Roman" w:hAnsi="Arial" w:cs="Arial"/>
        </w:rPr>
      </w:pPr>
      <w:r w:rsidRPr="00CA097F">
        <w:rPr>
          <w:rFonts w:ascii="Arial" w:eastAsia="Times New Roman" w:hAnsi="Arial" w:cs="Arial"/>
        </w:rPr>
        <w:t>insurance</w:t>
      </w:r>
    </w:p>
    <w:p w:rsidR="00CC4D45" w:rsidRPr="00CA097F" w:rsidRDefault="00CC4D45" w:rsidP="00AD7C7D">
      <w:pPr>
        <w:keepNext/>
        <w:keepLines/>
        <w:numPr>
          <w:ilvl w:val="0"/>
          <w:numId w:val="29"/>
        </w:numPr>
        <w:suppressAutoHyphens w:val="0"/>
        <w:spacing w:before="0" w:after="0" w:line="240" w:lineRule="auto"/>
        <w:contextualSpacing/>
        <w:rPr>
          <w:rFonts w:ascii="Arial" w:eastAsia="Times New Roman" w:hAnsi="Arial" w:cs="Arial"/>
        </w:rPr>
      </w:pPr>
      <w:r w:rsidRPr="00CA097F">
        <w:rPr>
          <w:rFonts w:ascii="Arial" w:eastAsia="Times New Roman" w:hAnsi="Arial" w:cs="Arial"/>
        </w:rPr>
        <w:t>utilities</w:t>
      </w:r>
    </w:p>
    <w:p w:rsidR="00CC4D45" w:rsidRPr="00CA097F" w:rsidRDefault="00CC4D45" w:rsidP="00AD7C7D">
      <w:pPr>
        <w:keepNext/>
        <w:keepLines/>
        <w:numPr>
          <w:ilvl w:val="0"/>
          <w:numId w:val="29"/>
        </w:numPr>
        <w:suppressAutoHyphens w:val="0"/>
        <w:spacing w:before="0" w:after="0" w:line="240" w:lineRule="auto"/>
        <w:contextualSpacing/>
        <w:rPr>
          <w:rFonts w:ascii="Arial" w:eastAsia="Times New Roman" w:hAnsi="Arial" w:cs="Arial"/>
        </w:rPr>
      </w:pPr>
      <w:r w:rsidRPr="00CA097F">
        <w:rPr>
          <w:rFonts w:ascii="Arial" w:eastAsia="Times New Roman" w:hAnsi="Arial" w:cs="Arial"/>
        </w:rPr>
        <w:t>postage</w:t>
      </w:r>
    </w:p>
    <w:p w:rsidR="00CC4D45" w:rsidRPr="00CA097F" w:rsidRDefault="00CC4D45" w:rsidP="00AD7C7D">
      <w:pPr>
        <w:keepNext/>
        <w:keepLines/>
        <w:numPr>
          <w:ilvl w:val="0"/>
          <w:numId w:val="29"/>
        </w:numPr>
        <w:suppressAutoHyphens w:val="0"/>
        <w:spacing w:before="0" w:after="0" w:line="240" w:lineRule="auto"/>
        <w:contextualSpacing/>
        <w:rPr>
          <w:rFonts w:ascii="Arial" w:eastAsia="Times New Roman" w:hAnsi="Arial" w:cs="Arial"/>
        </w:rPr>
      </w:pPr>
      <w:r w:rsidRPr="00CA097F">
        <w:rPr>
          <w:rFonts w:ascii="Arial" w:eastAsia="Times New Roman" w:hAnsi="Arial" w:cs="Arial"/>
        </w:rPr>
        <w:t>stationery and printing</w:t>
      </w:r>
    </w:p>
    <w:p w:rsidR="00CC4D45" w:rsidRPr="00CA097F" w:rsidRDefault="00CC4D45" w:rsidP="00AD7C7D">
      <w:pPr>
        <w:keepNext/>
        <w:keepLines/>
        <w:numPr>
          <w:ilvl w:val="0"/>
          <w:numId w:val="29"/>
        </w:numPr>
        <w:suppressAutoHyphens w:val="0"/>
        <w:spacing w:before="0" w:after="0" w:line="240" w:lineRule="auto"/>
        <w:contextualSpacing/>
        <w:rPr>
          <w:rFonts w:ascii="Arial" w:eastAsia="Times New Roman" w:hAnsi="Arial" w:cs="Arial"/>
        </w:rPr>
      </w:pPr>
      <w:r w:rsidRPr="00CA097F">
        <w:rPr>
          <w:rFonts w:ascii="Arial" w:eastAsia="Times New Roman" w:hAnsi="Arial" w:cs="Arial"/>
        </w:rPr>
        <w:t>accounting and auditing</w:t>
      </w:r>
    </w:p>
    <w:p w:rsidR="00CC4D45" w:rsidRPr="00CA097F" w:rsidRDefault="00CC4D45" w:rsidP="00AD7C7D">
      <w:pPr>
        <w:keepNext/>
        <w:keepLines/>
        <w:numPr>
          <w:ilvl w:val="0"/>
          <w:numId w:val="29"/>
        </w:numPr>
        <w:suppressAutoHyphens w:val="0"/>
        <w:spacing w:before="0" w:after="0" w:line="240" w:lineRule="auto"/>
        <w:contextualSpacing/>
        <w:rPr>
          <w:rFonts w:ascii="Arial" w:eastAsia="Times New Roman" w:hAnsi="Arial" w:cs="Arial"/>
        </w:rPr>
      </w:pPr>
      <w:r w:rsidRPr="00CA097F">
        <w:rPr>
          <w:rFonts w:ascii="Arial" w:eastAsia="Times New Roman" w:hAnsi="Arial" w:cs="Arial"/>
        </w:rPr>
        <w:t>travel/accommodation costs</w:t>
      </w:r>
    </w:p>
    <w:p w:rsidR="00CC4D45" w:rsidRDefault="00CC4D45" w:rsidP="00AD7C7D">
      <w:pPr>
        <w:keepNext/>
        <w:keepLines/>
        <w:numPr>
          <w:ilvl w:val="0"/>
          <w:numId w:val="29"/>
        </w:numPr>
        <w:suppressAutoHyphens w:val="0"/>
        <w:spacing w:before="0" w:after="0" w:line="240" w:lineRule="auto"/>
        <w:contextualSpacing/>
        <w:rPr>
          <w:rFonts w:ascii="Arial" w:eastAsia="Times New Roman" w:hAnsi="Arial" w:cs="Arial"/>
          <w:iCs/>
        </w:rPr>
      </w:pPr>
      <w:r w:rsidRPr="00CA097F">
        <w:rPr>
          <w:rFonts w:ascii="Arial" w:eastAsia="Times New Roman" w:hAnsi="Arial" w:cs="Arial"/>
        </w:rPr>
        <w:t>assets that can be reasonably attributed to meeting agreement deliverables</w:t>
      </w:r>
    </w:p>
    <w:p w:rsidR="00CC4D45" w:rsidRPr="001C416B" w:rsidRDefault="00CC4D45" w:rsidP="00AD7C7D">
      <w:pPr>
        <w:keepNext/>
        <w:keepLines/>
        <w:numPr>
          <w:ilvl w:val="0"/>
          <w:numId w:val="29"/>
        </w:numPr>
        <w:suppressAutoHyphens w:val="0"/>
        <w:spacing w:before="0" w:after="0" w:line="240" w:lineRule="auto"/>
        <w:contextualSpacing/>
        <w:rPr>
          <w:rFonts w:ascii="Arial" w:eastAsia="Times New Roman" w:hAnsi="Arial" w:cs="Arial"/>
          <w:iCs/>
        </w:rPr>
      </w:pPr>
      <w:proofErr w:type="gramStart"/>
      <w:r w:rsidRPr="00964FC4">
        <w:rPr>
          <w:rFonts w:ascii="Arial" w:eastAsia="Times New Roman" w:hAnsi="Arial" w:cs="Arial"/>
        </w:rPr>
        <w:t>screening</w:t>
      </w:r>
      <w:proofErr w:type="gramEnd"/>
      <w:r w:rsidRPr="00964FC4">
        <w:rPr>
          <w:rFonts w:ascii="Arial" w:eastAsia="Times New Roman" w:hAnsi="Arial" w:cs="Arial"/>
        </w:rPr>
        <w:t xml:space="preserve"> processes for paid, unpaid and sub-contracted staff.</w:t>
      </w:r>
    </w:p>
    <w:p w:rsidR="00340616" w:rsidRPr="00B72EE8" w:rsidRDefault="00340616" w:rsidP="00056305">
      <w:pPr>
        <w:pStyle w:val="Heading2Numbered"/>
      </w:pPr>
      <w:bookmarkStart w:id="33" w:name="_Toc522006564"/>
      <w:r w:rsidRPr="00B72EE8">
        <w:t xml:space="preserve">What </w:t>
      </w:r>
      <w:r>
        <w:t>the grant money cannot be used for?</w:t>
      </w:r>
      <w:bookmarkEnd w:id="32"/>
      <w:bookmarkEnd w:id="33"/>
    </w:p>
    <w:p w:rsidR="00887073" w:rsidRDefault="00887073" w:rsidP="00887073">
      <w:pPr>
        <w:spacing w:before="120" w:after="0"/>
        <w:rPr>
          <w:rFonts w:asciiTheme="majorHAnsi" w:hAnsiTheme="majorHAnsi" w:cstheme="majorHAnsi"/>
        </w:rPr>
      </w:pPr>
      <w:r>
        <w:rPr>
          <w:rFonts w:asciiTheme="majorHAnsi" w:hAnsiTheme="majorHAnsi" w:cstheme="majorHAnsi"/>
        </w:rPr>
        <w:t xml:space="preserve">Grants are not provided for: </w:t>
      </w:r>
    </w:p>
    <w:p w:rsidR="00887073" w:rsidRDefault="00887073" w:rsidP="00255987">
      <w:pPr>
        <w:pStyle w:val="NoSpacing"/>
        <w:numPr>
          <w:ilvl w:val="0"/>
          <w:numId w:val="32"/>
        </w:numPr>
        <w:spacing w:before="60"/>
        <w:ind w:left="714" w:hanging="357"/>
        <w:rPr>
          <w:rFonts w:asciiTheme="majorHAnsi" w:hAnsiTheme="majorHAnsi" w:cstheme="majorHAnsi"/>
        </w:rPr>
      </w:pPr>
      <w:r>
        <w:rPr>
          <w:rFonts w:asciiTheme="majorHAnsi" w:hAnsiTheme="majorHAnsi" w:cstheme="majorHAnsi"/>
        </w:rPr>
        <w:t xml:space="preserve">purchase of land </w:t>
      </w:r>
    </w:p>
    <w:p w:rsidR="00887073" w:rsidRDefault="00887073" w:rsidP="00255987">
      <w:pPr>
        <w:pStyle w:val="NoSpacing"/>
        <w:numPr>
          <w:ilvl w:val="0"/>
          <w:numId w:val="32"/>
        </w:numPr>
        <w:rPr>
          <w:rFonts w:asciiTheme="majorHAnsi" w:hAnsiTheme="majorHAnsi" w:cstheme="majorHAnsi"/>
        </w:rPr>
      </w:pPr>
      <w:r>
        <w:rPr>
          <w:rFonts w:asciiTheme="majorHAnsi" w:hAnsiTheme="majorHAnsi" w:cstheme="majorHAnsi"/>
        </w:rPr>
        <w:t xml:space="preserve">covering retrospective costs </w:t>
      </w:r>
    </w:p>
    <w:p w:rsidR="00887073" w:rsidRDefault="00887073" w:rsidP="00255987">
      <w:pPr>
        <w:pStyle w:val="NoSpacing"/>
        <w:numPr>
          <w:ilvl w:val="0"/>
          <w:numId w:val="32"/>
        </w:numPr>
        <w:rPr>
          <w:rFonts w:asciiTheme="majorHAnsi" w:hAnsiTheme="majorHAnsi" w:cstheme="majorHAnsi"/>
        </w:rPr>
      </w:pPr>
      <w:r>
        <w:rPr>
          <w:rFonts w:asciiTheme="majorHAnsi" w:hAnsiTheme="majorHAnsi" w:cstheme="majorHAnsi"/>
        </w:rPr>
        <w:t>costs incurred in the preparation of a grant application or related documentation</w:t>
      </w:r>
    </w:p>
    <w:p w:rsidR="00887073" w:rsidRDefault="00887073" w:rsidP="00255987">
      <w:pPr>
        <w:pStyle w:val="NoSpacing"/>
        <w:numPr>
          <w:ilvl w:val="0"/>
          <w:numId w:val="32"/>
        </w:numPr>
        <w:rPr>
          <w:rFonts w:asciiTheme="majorHAnsi" w:hAnsiTheme="majorHAnsi" w:cstheme="majorHAnsi"/>
        </w:rPr>
      </w:pPr>
      <w:r>
        <w:rPr>
          <w:rFonts w:asciiTheme="majorHAnsi" w:hAnsiTheme="majorHAnsi" w:cstheme="majorHAnsi"/>
        </w:rPr>
        <w:t xml:space="preserve">major construction/capital works  </w:t>
      </w:r>
    </w:p>
    <w:p w:rsidR="00887073" w:rsidRDefault="00D141E4" w:rsidP="00255987">
      <w:pPr>
        <w:pStyle w:val="NoSpacing"/>
        <w:numPr>
          <w:ilvl w:val="0"/>
          <w:numId w:val="32"/>
        </w:numPr>
        <w:rPr>
          <w:rFonts w:asciiTheme="majorHAnsi" w:hAnsiTheme="majorHAnsi" w:cstheme="majorHAnsi"/>
        </w:rPr>
      </w:pPr>
      <w:r>
        <w:rPr>
          <w:rFonts w:asciiTheme="majorHAnsi" w:hAnsiTheme="majorHAnsi" w:cstheme="majorHAnsi"/>
        </w:rPr>
        <w:t>overseas travel</w:t>
      </w:r>
    </w:p>
    <w:p w:rsidR="009C753C" w:rsidRPr="00A00BDD" w:rsidRDefault="00887073" w:rsidP="00A00BDD">
      <w:pPr>
        <w:pStyle w:val="NoSpacing"/>
        <w:numPr>
          <w:ilvl w:val="0"/>
          <w:numId w:val="32"/>
        </w:numPr>
        <w:ind w:left="714" w:hanging="357"/>
        <w:rPr>
          <w:rFonts w:asciiTheme="majorHAnsi" w:hAnsiTheme="majorHAnsi" w:cstheme="majorHAnsi"/>
        </w:rPr>
      </w:pPr>
      <w:proofErr w:type="gramStart"/>
      <w:r w:rsidRPr="00A00BDD">
        <w:rPr>
          <w:rFonts w:asciiTheme="majorHAnsi" w:hAnsiTheme="majorHAnsi" w:cstheme="majorHAnsi"/>
        </w:rPr>
        <w:t>activities</w:t>
      </w:r>
      <w:proofErr w:type="gramEnd"/>
      <w:r w:rsidRPr="00A00BDD">
        <w:rPr>
          <w:rFonts w:asciiTheme="majorHAnsi" w:hAnsiTheme="majorHAnsi" w:cstheme="majorHAnsi"/>
        </w:rPr>
        <w:t xml:space="preserve"> for which other Commonwealth, </w:t>
      </w:r>
      <w:r w:rsidR="00FF793D" w:rsidRPr="00A00BDD">
        <w:rPr>
          <w:rFonts w:asciiTheme="majorHAnsi" w:hAnsiTheme="majorHAnsi" w:cstheme="majorHAnsi"/>
        </w:rPr>
        <w:t>s</w:t>
      </w:r>
      <w:r w:rsidRPr="00A00BDD">
        <w:rPr>
          <w:rFonts w:asciiTheme="majorHAnsi" w:hAnsiTheme="majorHAnsi" w:cstheme="majorHAnsi"/>
        </w:rPr>
        <w:t xml:space="preserve">tate, </w:t>
      </w:r>
      <w:r w:rsidR="00FF793D" w:rsidRPr="00A00BDD">
        <w:rPr>
          <w:rFonts w:asciiTheme="majorHAnsi" w:hAnsiTheme="majorHAnsi" w:cstheme="majorHAnsi"/>
        </w:rPr>
        <w:t>t</w:t>
      </w:r>
      <w:r w:rsidRPr="00A00BDD">
        <w:rPr>
          <w:rFonts w:asciiTheme="majorHAnsi" w:hAnsiTheme="majorHAnsi" w:cstheme="majorHAnsi"/>
        </w:rPr>
        <w:t xml:space="preserve">erritory or </w:t>
      </w:r>
      <w:r w:rsidR="00FF793D" w:rsidRPr="00A00BDD">
        <w:rPr>
          <w:rFonts w:asciiTheme="majorHAnsi" w:hAnsiTheme="majorHAnsi" w:cstheme="majorHAnsi"/>
        </w:rPr>
        <w:t>l</w:t>
      </w:r>
      <w:r w:rsidRPr="00A00BDD">
        <w:rPr>
          <w:rFonts w:asciiTheme="majorHAnsi" w:hAnsiTheme="majorHAnsi" w:cstheme="majorHAnsi"/>
        </w:rPr>
        <w:t xml:space="preserve">ocal </w:t>
      </w:r>
      <w:r w:rsidR="00FF793D" w:rsidRPr="00A00BDD">
        <w:rPr>
          <w:rFonts w:asciiTheme="majorHAnsi" w:hAnsiTheme="majorHAnsi" w:cstheme="majorHAnsi"/>
        </w:rPr>
        <w:t>g</w:t>
      </w:r>
      <w:r w:rsidRPr="00A00BDD">
        <w:rPr>
          <w:rFonts w:asciiTheme="majorHAnsi" w:hAnsiTheme="majorHAnsi" w:cstheme="majorHAnsi"/>
        </w:rPr>
        <w:t>overnment bodies have primary responsibility.</w:t>
      </w:r>
    </w:p>
    <w:p w:rsidR="00340616" w:rsidRPr="00B72EE8" w:rsidRDefault="00340616" w:rsidP="00A632E3">
      <w:pPr>
        <w:pStyle w:val="Heading1Numbered"/>
      </w:pPr>
      <w:bookmarkStart w:id="34" w:name="_Toc519859075"/>
      <w:bookmarkStart w:id="35" w:name="_Toc519859076"/>
      <w:bookmarkStart w:id="36" w:name="_Toc519859077"/>
      <w:bookmarkStart w:id="37" w:name="_Toc519859078"/>
      <w:bookmarkStart w:id="38" w:name="_Toc519859079"/>
      <w:bookmarkStart w:id="39" w:name="_Toc519859080"/>
      <w:bookmarkStart w:id="40" w:name="_Toc519859081"/>
      <w:bookmarkStart w:id="41" w:name="_Toc414983554"/>
      <w:bookmarkStart w:id="42" w:name="_Toc414983971"/>
      <w:bookmarkStart w:id="43" w:name="_Toc414984731"/>
      <w:bookmarkStart w:id="44" w:name="_Toc414984825"/>
      <w:bookmarkStart w:id="45" w:name="_Toc414984929"/>
      <w:bookmarkStart w:id="46" w:name="_Toc414985033"/>
      <w:bookmarkStart w:id="47" w:name="_Toc414985136"/>
      <w:bookmarkStart w:id="48" w:name="_Toc414985238"/>
      <w:bookmarkStart w:id="49" w:name="_Toc467773963"/>
      <w:bookmarkStart w:id="50" w:name="_Toc522006565"/>
      <w:bookmarkStart w:id="51" w:name="_Ref416444108"/>
      <w:bookmarkStart w:id="52" w:name="_Toc42177759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lastRenderedPageBreak/>
        <w:t>The grant s</w:t>
      </w:r>
      <w:r w:rsidRPr="00B72EE8">
        <w:t xml:space="preserve">election </w:t>
      </w:r>
      <w:r>
        <w:t>p</w:t>
      </w:r>
      <w:r w:rsidRPr="00B72EE8">
        <w:t>rocess</w:t>
      </w:r>
      <w:bookmarkEnd w:id="49"/>
      <w:bookmarkEnd w:id="50"/>
    </w:p>
    <w:p w:rsidR="00CC4D45" w:rsidRDefault="00CC4D45" w:rsidP="00CC4D45">
      <w:pPr>
        <w:keepNext/>
        <w:keepLines/>
      </w:pPr>
      <w:r w:rsidRPr="0005693C">
        <w:t>Th</w:t>
      </w:r>
      <w:r>
        <w:t>is grant opportunity has been established as a restricted non-competitive process</w:t>
      </w:r>
      <w:r w:rsidR="00984C52">
        <w:t>. The </w:t>
      </w:r>
      <w:r w:rsidRPr="0098001D">
        <w:t xml:space="preserve">Department </w:t>
      </w:r>
      <w:r>
        <w:t xml:space="preserve">considers this an </w:t>
      </w:r>
      <w:r w:rsidRPr="0005693C">
        <w:t>appropriate type of selection process</w:t>
      </w:r>
      <w:r>
        <w:t xml:space="preserve"> to provide continuity of care for people who experienced institutional child sexual abuse</w:t>
      </w:r>
      <w:r w:rsidR="00B378FE">
        <w:t xml:space="preserve"> as they engage with the Scheme.</w:t>
      </w:r>
    </w:p>
    <w:p w:rsidR="00340616" w:rsidRPr="00B72EE8" w:rsidRDefault="00340616" w:rsidP="00A632E3">
      <w:pPr>
        <w:pStyle w:val="Heading1Numbered"/>
      </w:pPr>
      <w:bookmarkStart w:id="53" w:name="_Toc519859084"/>
      <w:bookmarkStart w:id="54" w:name="_Toc519859085"/>
      <w:bookmarkStart w:id="55" w:name="_Toc519859086"/>
      <w:bookmarkStart w:id="56" w:name="_Toc519859088"/>
      <w:bookmarkStart w:id="57" w:name="_Toc519859089"/>
      <w:bookmarkStart w:id="58" w:name="_Toc519859090"/>
      <w:bookmarkStart w:id="59" w:name="_Toc519859091"/>
      <w:bookmarkStart w:id="60" w:name="_Toc519859092"/>
      <w:bookmarkStart w:id="61" w:name="_Toc519859093"/>
      <w:bookmarkStart w:id="62" w:name="_Toc519859094"/>
      <w:bookmarkStart w:id="63" w:name="_Toc519859095"/>
      <w:bookmarkStart w:id="64" w:name="_Toc519859096"/>
      <w:bookmarkStart w:id="65" w:name="_Toc519859097"/>
      <w:bookmarkStart w:id="66" w:name="_Toc519859098"/>
      <w:bookmarkStart w:id="67" w:name="_Toc519859099"/>
      <w:bookmarkStart w:id="68" w:name="_Toc519859100"/>
      <w:bookmarkStart w:id="69" w:name="_Toc519859101"/>
      <w:bookmarkStart w:id="70" w:name="_Toc519859102"/>
      <w:bookmarkStart w:id="71" w:name="_Toc519859103"/>
      <w:bookmarkStart w:id="72" w:name="_Toc519859104"/>
      <w:bookmarkStart w:id="73" w:name="_Toc519859105"/>
      <w:bookmarkStart w:id="74" w:name="_Toc519859106"/>
      <w:bookmarkStart w:id="75" w:name="_Toc421777611"/>
      <w:bookmarkStart w:id="76" w:name="_Toc467773965"/>
      <w:bookmarkStart w:id="77" w:name="_Toc522006566"/>
      <w:bookmarkStart w:id="78" w:name="_Toc42177760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t>The grant application p</w:t>
      </w:r>
      <w:r w:rsidRPr="00B72EE8">
        <w:t>rocess</w:t>
      </w:r>
      <w:bookmarkEnd w:id="75"/>
      <w:bookmarkEnd w:id="76"/>
      <w:bookmarkEnd w:id="77"/>
    </w:p>
    <w:p w:rsidR="00340616" w:rsidRPr="009D325B" w:rsidRDefault="00340616" w:rsidP="003717CD">
      <w:pPr>
        <w:pStyle w:val="Heading2Numbered"/>
      </w:pPr>
      <w:bookmarkStart w:id="79" w:name="_Toc421777612"/>
      <w:bookmarkStart w:id="80" w:name="_Toc467773966"/>
      <w:bookmarkStart w:id="81" w:name="_Toc522006567"/>
      <w:r w:rsidRPr="009D325B">
        <w:t>Overview of application process</w:t>
      </w:r>
      <w:bookmarkEnd w:id="79"/>
      <w:bookmarkEnd w:id="80"/>
      <w:bookmarkEnd w:id="81"/>
    </w:p>
    <w:p w:rsidR="00984C52" w:rsidRDefault="00984C52" w:rsidP="00984C52">
      <w:r>
        <w:t>You must read these grant guidelines, the letter of invitation, the grant agreement terms and conditions</w:t>
      </w:r>
      <w:r w:rsidR="007923C5">
        <w:t>, and questions and answers</w:t>
      </w:r>
      <w:r w:rsidR="00F07E14">
        <w:t xml:space="preserve"> document</w:t>
      </w:r>
      <w:r>
        <w:t xml:space="preserve"> prior to submitting a </w:t>
      </w:r>
      <w:r w:rsidR="007923C5">
        <w:t>letter of invitation</w:t>
      </w:r>
      <w:r>
        <w:t xml:space="preserve"> (refer also to section 6.3).  </w:t>
      </w:r>
    </w:p>
    <w:p w:rsidR="00984C52" w:rsidRDefault="00984C52" w:rsidP="00984C52">
      <w:r>
        <w:t xml:space="preserve">You are responsible for ensuring that your </w:t>
      </w:r>
      <w:r w:rsidR="007923C5">
        <w:t xml:space="preserve">letter of invitation </w:t>
      </w:r>
      <w:r>
        <w:t xml:space="preserve">is complete and accurate. Giving false or misleading information will exclude your </w:t>
      </w:r>
      <w:r w:rsidR="007923C5">
        <w:t xml:space="preserve">submission </w:t>
      </w:r>
      <w:r>
        <w:t xml:space="preserve">from further consideration.  </w:t>
      </w:r>
    </w:p>
    <w:p w:rsidR="00984C52" w:rsidRDefault="00984C52" w:rsidP="00984C52">
      <w:r>
        <w:t xml:space="preserve">Please keep a copy of your </w:t>
      </w:r>
      <w:r w:rsidR="007923C5">
        <w:t xml:space="preserve">letter of invitation </w:t>
      </w:r>
      <w:r>
        <w:t xml:space="preserve">and any supporting papers.  </w:t>
      </w:r>
    </w:p>
    <w:p w:rsidR="00340616" w:rsidRPr="00B72EE8" w:rsidRDefault="00340616" w:rsidP="003717CD">
      <w:pPr>
        <w:pStyle w:val="Heading2Numbered"/>
      </w:pPr>
      <w:bookmarkStart w:id="82" w:name="_Toc467773967"/>
      <w:bookmarkStart w:id="83" w:name="_Toc522006568"/>
      <w:bookmarkStart w:id="84" w:name="_Toc421777613"/>
      <w:bookmarkStart w:id="85" w:name="_Ref421787098"/>
      <w:bookmarkStart w:id="86" w:name="_Ref422127559"/>
      <w:bookmarkStart w:id="87" w:name="_Ref422128505"/>
      <w:r>
        <w:t>Application p</w:t>
      </w:r>
      <w:r w:rsidRPr="00B72EE8">
        <w:t xml:space="preserve">rocess </w:t>
      </w:r>
      <w:r>
        <w:t>t</w:t>
      </w:r>
      <w:r w:rsidRPr="00B72EE8">
        <w:t>iming</w:t>
      </w:r>
      <w:bookmarkEnd w:id="82"/>
      <w:bookmarkEnd w:id="83"/>
      <w:r w:rsidRPr="00B72EE8">
        <w:t xml:space="preserve"> </w:t>
      </w:r>
      <w:bookmarkEnd w:id="84"/>
      <w:bookmarkEnd w:id="85"/>
      <w:bookmarkEnd w:id="86"/>
      <w:bookmarkEnd w:id="87"/>
    </w:p>
    <w:p w:rsidR="0089076E" w:rsidRPr="008D20E2" w:rsidRDefault="0089076E" w:rsidP="0089076E">
      <w:pPr>
        <w:spacing w:before="120" w:after="0"/>
        <w:rPr>
          <w:rFonts w:asciiTheme="majorHAnsi" w:hAnsiTheme="majorHAnsi" w:cstheme="majorHAnsi"/>
        </w:rPr>
      </w:pPr>
      <w:r w:rsidRPr="003822C4">
        <w:rPr>
          <w:rFonts w:asciiTheme="majorHAnsi" w:hAnsiTheme="majorHAnsi" w:cstheme="majorHAnsi"/>
        </w:rPr>
        <w:t xml:space="preserve">The application period for this grant opportunity is </w:t>
      </w:r>
      <w:r w:rsidRPr="00A02399">
        <w:rPr>
          <w:rFonts w:asciiTheme="majorHAnsi" w:hAnsiTheme="majorHAnsi" w:cstheme="majorHAnsi"/>
        </w:rPr>
        <w:t xml:space="preserve">open </w:t>
      </w:r>
      <w:r w:rsidRPr="008D20E2">
        <w:rPr>
          <w:rFonts w:asciiTheme="majorHAnsi" w:hAnsiTheme="majorHAnsi" w:cstheme="majorHAnsi"/>
        </w:rPr>
        <w:t xml:space="preserve">on </w:t>
      </w:r>
      <w:r w:rsidR="00A02399" w:rsidRPr="008D20E2">
        <w:rPr>
          <w:rFonts w:asciiTheme="majorHAnsi" w:hAnsiTheme="majorHAnsi" w:cstheme="majorHAnsi"/>
          <w:b/>
        </w:rPr>
        <w:t>17 August 2018</w:t>
      </w:r>
      <w:r w:rsidRPr="008D20E2">
        <w:rPr>
          <w:rFonts w:asciiTheme="majorHAnsi" w:hAnsiTheme="majorHAnsi" w:cstheme="majorHAnsi"/>
        </w:rPr>
        <w:t xml:space="preserve"> and closes at </w:t>
      </w:r>
      <w:r w:rsidRPr="008D20E2">
        <w:rPr>
          <w:rFonts w:asciiTheme="majorHAnsi" w:hAnsiTheme="majorHAnsi" w:cstheme="majorHAnsi"/>
          <w:b/>
        </w:rPr>
        <w:t xml:space="preserve">2pm AEST </w:t>
      </w:r>
      <w:r w:rsidR="00A02399" w:rsidRPr="008D20E2">
        <w:rPr>
          <w:rFonts w:asciiTheme="majorHAnsi" w:hAnsiTheme="majorHAnsi" w:cstheme="majorHAnsi"/>
          <w:b/>
        </w:rPr>
        <w:t>2</w:t>
      </w:r>
      <w:r w:rsidR="008D20E2" w:rsidRPr="008D20E2">
        <w:rPr>
          <w:rFonts w:asciiTheme="majorHAnsi" w:hAnsiTheme="majorHAnsi" w:cstheme="majorHAnsi"/>
          <w:b/>
        </w:rPr>
        <w:t>7</w:t>
      </w:r>
      <w:r w:rsidR="00A02399" w:rsidRPr="008D20E2">
        <w:rPr>
          <w:rFonts w:asciiTheme="majorHAnsi" w:hAnsiTheme="majorHAnsi" w:cstheme="majorHAnsi"/>
          <w:b/>
        </w:rPr>
        <w:t xml:space="preserve"> August 2018</w:t>
      </w:r>
      <w:r w:rsidRPr="008D20E2">
        <w:rPr>
          <w:rFonts w:asciiTheme="majorHAnsi" w:hAnsiTheme="majorHAnsi" w:cstheme="majorHAnsi"/>
        </w:rPr>
        <w:t xml:space="preserve">. You must submit your </w:t>
      </w:r>
      <w:r w:rsidR="00984C52" w:rsidRPr="008D20E2">
        <w:rPr>
          <w:rFonts w:asciiTheme="majorHAnsi" w:hAnsiTheme="majorHAnsi" w:cstheme="majorHAnsi"/>
        </w:rPr>
        <w:t xml:space="preserve">letter of invitation </w:t>
      </w:r>
      <w:r w:rsidRPr="008D20E2">
        <w:rPr>
          <w:rFonts w:asciiTheme="majorHAnsi" w:hAnsiTheme="majorHAnsi" w:cstheme="majorHAnsi"/>
        </w:rPr>
        <w:t>by the closing time.</w:t>
      </w:r>
    </w:p>
    <w:p w:rsidR="006338CC" w:rsidRPr="0089786A" w:rsidRDefault="006338CC" w:rsidP="006338CC">
      <w:r w:rsidRPr="008D20E2">
        <w:t>If a</w:t>
      </w:r>
      <w:r w:rsidR="002C22B9" w:rsidRPr="008D20E2">
        <w:t xml:space="preserve"> letter of invitation </w:t>
      </w:r>
      <w:r w:rsidRPr="008D20E2">
        <w:t>is late</w:t>
      </w:r>
      <w:r w:rsidR="00F07E14" w:rsidRPr="008D20E2">
        <w:t>,</w:t>
      </w:r>
      <w:r w:rsidRPr="008D20E2">
        <w:t xml:space="preserve"> or the Community Grants Hub</w:t>
      </w:r>
      <w:r w:rsidRPr="0089786A">
        <w:t xml:space="preserve">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rsidR="006338CC" w:rsidRPr="0089786A" w:rsidRDefault="006338CC" w:rsidP="00255987">
      <w:pPr>
        <w:numPr>
          <w:ilvl w:val="0"/>
          <w:numId w:val="16"/>
        </w:numPr>
        <w:suppressAutoHyphens w:val="0"/>
        <w:spacing w:before="0" w:after="0" w:line="240" w:lineRule="auto"/>
        <w:ind w:left="714" w:hanging="357"/>
      </w:pPr>
      <w:r w:rsidRPr="0089786A">
        <w:t>Community Gra</w:t>
      </w:r>
      <w:r w:rsidR="004F1C5D">
        <w:t>nts Hub infrastructure failures</w:t>
      </w:r>
    </w:p>
    <w:p w:rsidR="006338CC" w:rsidRPr="0089786A" w:rsidRDefault="004F1C5D" w:rsidP="00255987">
      <w:pPr>
        <w:numPr>
          <w:ilvl w:val="0"/>
          <w:numId w:val="16"/>
        </w:numPr>
        <w:suppressAutoHyphens w:val="0"/>
        <w:spacing w:before="0" w:after="0" w:line="240" w:lineRule="auto"/>
        <w:ind w:left="714" w:hanging="357"/>
      </w:pPr>
      <w:r>
        <w:t>natural disasters</w:t>
      </w:r>
    </w:p>
    <w:p w:rsidR="006338CC" w:rsidRPr="0089786A" w:rsidRDefault="006338CC" w:rsidP="00255987">
      <w:pPr>
        <w:numPr>
          <w:ilvl w:val="0"/>
          <w:numId w:val="16"/>
        </w:numPr>
        <w:suppressAutoHyphens w:val="0"/>
        <w:spacing w:before="0" w:after="0" w:line="240" w:lineRule="auto"/>
        <w:ind w:left="714" w:hanging="357"/>
      </w:pPr>
      <w:r w:rsidRPr="0089786A">
        <w:t>power outages affecting the ability of the applicant to submit the</w:t>
      </w:r>
      <w:r w:rsidR="00D141E4">
        <w:t>ir application by the deadline</w:t>
      </w:r>
    </w:p>
    <w:p w:rsidR="006338CC" w:rsidRPr="0089786A" w:rsidRDefault="006338CC" w:rsidP="00255987">
      <w:pPr>
        <w:numPr>
          <w:ilvl w:val="0"/>
          <w:numId w:val="16"/>
        </w:numPr>
        <w:suppressAutoHyphens w:val="0"/>
        <w:spacing w:before="0" w:after="0" w:line="240" w:lineRule="auto"/>
        <w:ind w:left="714" w:hanging="357"/>
      </w:pPr>
      <w:proofErr w:type="gramStart"/>
      <w:r w:rsidRPr="0089786A">
        <w:t>death</w:t>
      </w:r>
      <w:proofErr w:type="gramEnd"/>
      <w:r w:rsidRPr="0089786A">
        <w:t xml:space="preserve"> or disability of key personnel.</w:t>
      </w:r>
    </w:p>
    <w:p w:rsidR="006338CC" w:rsidRPr="00E51BD6" w:rsidRDefault="006338CC" w:rsidP="006338CC">
      <w:r w:rsidRPr="0089786A">
        <w:t xml:space="preserve">Information on the Community Grants Hub </w:t>
      </w:r>
      <w:hyperlink r:id="rId14" w:tooltip="late application policy" w:history="1">
        <w:r w:rsidRPr="0089786A">
          <w:rPr>
            <w:rStyle w:val="Hyperlink"/>
          </w:rPr>
          <w:t>late application policy</w:t>
        </w:r>
      </w:hyperlink>
      <w:r w:rsidRPr="0089786A">
        <w:t xml:space="preserve"> is available on the </w:t>
      </w:r>
      <w:hyperlink r:id="rId15" w:tooltip="late application policy" w:history="1">
        <w:r w:rsidRPr="0089786A">
          <w:rPr>
            <w:rStyle w:val="Hyperlink"/>
          </w:rPr>
          <w:t>Community Grants Hub</w:t>
        </w:r>
      </w:hyperlink>
      <w:r w:rsidRPr="0089786A">
        <w:t xml:space="preserve"> website.</w:t>
      </w:r>
    </w:p>
    <w:p w:rsidR="0089076E" w:rsidRPr="0089076E" w:rsidRDefault="0089076E" w:rsidP="0089076E">
      <w:pPr>
        <w:pStyle w:val="Caption"/>
        <w:keepNext/>
        <w:rPr>
          <w:b w:val="0"/>
          <w:iCs w:val="0"/>
          <w:color w:val="auto"/>
          <w:szCs w:val="22"/>
        </w:rPr>
      </w:pPr>
      <w:bookmarkStart w:id="88" w:name="_Toc467773968"/>
      <w:r w:rsidRPr="0089076E">
        <w:rPr>
          <w:b w:val="0"/>
          <w:iCs w:val="0"/>
          <w:color w:val="auto"/>
          <w:szCs w:val="22"/>
        </w:rPr>
        <w:lastRenderedPageBreak/>
        <w:t xml:space="preserve">The expected </w:t>
      </w:r>
      <w:r w:rsidRPr="002C22B9">
        <w:rPr>
          <w:b w:val="0"/>
          <w:iCs w:val="0"/>
          <w:color w:val="auto"/>
          <w:szCs w:val="22"/>
        </w:rPr>
        <w:t xml:space="preserve">commencement date for the granting activities is </w:t>
      </w:r>
      <w:r w:rsidR="002C22B9" w:rsidRPr="002C22B9">
        <w:rPr>
          <w:b w:val="0"/>
          <w:iCs w:val="0"/>
          <w:color w:val="auto"/>
          <w:szCs w:val="22"/>
        </w:rPr>
        <w:t>from</w:t>
      </w:r>
      <w:r w:rsidRPr="002C22B9">
        <w:rPr>
          <w:b w:val="0"/>
          <w:iCs w:val="0"/>
          <w:color w:val="auto"/>
          <w:szCs w:val="22"/>
        </w:rPr>
        <w:t xml:space="preserve"> October 2018 and the expected completion date is 30 June 2021. You must spe</w:t>
      </w:r>
      <w:r w:rsidRPr="0089076E">
        <w:rPr>
          <w:b w:val="0"/>
          <w:iCs w:val="0"/>
          <w:color w:val="auto"/>
          <w:szCs w:val="22"/>
        </w:rPr>
        <w:t>nd the grant by the end date and any unspent funding after the end date of the grant must be returned to the Commonwealth.</w:t>
      </w:r>
    </w:p>
    <w:p w:rsidR="0054078D" w:rsidRDefault="0089076E" w:rsidP="0089076E">
      <w:pPr>
        <w:pStyle w:val="Caption"/>
        <w:keepNext/>
      </w:pPr>
      <w:r w:rsidRPr="0089076E">
        <w:rPr>
          <w:b w:val="0"/>
          <w:iCs w:val="0"/>
          <w:color w:val="auto"/>
          <w:szCs w:val="22"/>
        </w:rPr>
        <w:t> </w:t>
      </w:r>
      <w:r w:rsidR="0054078D" w:rsidRPr="0054078D">
        <w:rPr>
          <w:bCs/>
          <w:iCs w:val="0"/>
        </w:rPr>
        <w:t>Table 1: Expected timing for this grant opportunity</w:t>
      </w:r>
      <w:bookmarkEnd w:id="88"/>
      <w:r w:rsidR="0054078D"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rsidTr="003E60A5">
        <w:trPr>
          <w:cnfStyle w:val="100000000000" w:firstRow="1" w:lastRow="0" w:firstColumn="0" w:lastColumn="0" w:oddVBand="0" w:evenVBand="0" w:oddHBand="0" w:evenHBand="0" w:firstRowFirstColumn="0" w:firstRowLastColumn="0" w:lastRowFirstColumn="0" w:lastRowLastColumn="0"/>
        </w:trPr>
        <w:tc>
          <w:tcPr>
            <w:tcW w:w="5387" w:type="dxa"/>
          </w:tcPr>
          <w:p w:rsidR="0054078D" w:rsidRDefault="0054078D" w:rsidP="00E44E21">
            <w:pPr>
              <w:pStyle w:val="TableText"/>
            </w:pPr>
            <w:r>
              <w:t>Activity</w:t>
            </w:r>
          </w:p>
        </w:tc>
        <w:tc>
          <w:tcPr>
            <w:tcW w:w="3402" w:type="dxa"/>
          </w:tcPr>
          <w:p w:rsidR="0054078D" w:rsidRDefault="0054078D" w:rsidP="0054078D">
            <w:pPr>
              <w:pStyle w:val="TableText"/>
              <w:jc w:val="center"/>
            </w:pPr>
            <w:r>
              <w:t>Timeframe</w:t>
            </w:r>
          </w:p>
        </w:tc>
      </w:tr>
      <w:tr w:rsidR="0054078D" w:rsidTr="0054078D">
        <w:tc>
          <w:tcPr>
            <w:tcW w:w="5387" w:type="dxa"/>
          </w:tcPr>
          <w:p w:rsidR="0054078D" w:rsidRPr="008D20E2" w:rsidRDefault="0054078D" w:rsidP="0054078D">
            <w:pPr>
              <w:pStyle w:val="TableText"/>
            </w:pPr>
            <w:r w:rsidRPr="008D20E2">
              <w:t xml:space="preserve">Application period </w:t>
            </w:r>
          </w:p>
        </w:tc>
        <w:tc>
          <w:tcPr>
            <w:tcW w:w="3402" w:type="dxa"/>
          </w:tcPr>
          <w:p w:rsidR="0054078D" w:rsidRPr="008D20E2" w:rsidRDefault="00B005E0" w:rsidP="008D20E2">
            <w:pPr>
              <w:pStyle w:val="TableText"/>
            </w:pPr>
            <w:r w:rsidRPr="008D20E2">
              <w:t xml:space="preserve">Open: </w:t>
            </w:r>
            <w:r w:rsidR="00A02399" w:rsidRPr="008D20E2">
              <w:t>17 August 2018</w:t>
            </w:r>
            <w:r w:rsidRPr="008D20E2">
              <w:t xml:space="preserve"> </w:t>
            </w:r>
            <w:r w:rsidRPr="008D20E2">
              <w:br/>
              <w:t>Close: 2pm AEST</w:t>
            </w:r>
            <w:r w:rsidR="00BD0CA1" w:rsidRPr="008D20E2">
              <w:t xml:space="preserve"> </w:t>
            </w:r>
            <w:r w:rsidR="00A02399" w:rsidRPr="008D20E2">
              <w:t>2</w:t>
            </w:r>
            <w:r w:rsidR="008D20E2" w:rsidRPr="008D20E2">
              <w:t>7</w:t>
            </w:r>
            <w:r w:rsidR="00A02399" w:rsidRPr="008D20E2">
              <w:t xml:space="preserve"> August 2018</w:t>
            </w:r>
          </w:p>
        </w:tc>
      </w:tr>
      <w:tr w:rsidR="0054078D" w:rsidTr="0054078D">
        <w:tc>
          <w:tcPr>
            <w:tcW w:w="5387" w:type="dxa"/>
          </w:tcPr>
          <w:p w:rsidR="0054078D" w:rsidRPr="00FD3D79" w:rsidRDefault="0054078D" w:rsidP="0054078D">
            <w:pPr>
              <w:pStyle w:val="TableText"/>
            </w:pPr>
            <w:r w:rsidRPr="00FD3D79">
              <w:t>Assessment of applications</w:t>
            </w:r>
          </w:p>
        </w:tc>
        <w:tc>
          <w:tcPr>
            <w:tcW w:w="3402" w:type="dxa"/>
          </w:tcPr>
          <w:p w:rsidR="0054078D" w:rsidRPr="00FD3D79" w:rsidRDefault="0054078D" w:rsidP="00F07E14">
            <w:pPr>
              <w:pStyle w:val="TableText"/>
            </w:pPr>
            <w:r w:rsidRPr="00FD3D79">
              <w:t xml:space="preserve">4 weeks </w:t>
            </w:r>
          </w:p>
        </w:tc>
      </w:tr>
      <w:tr w:rsidR="0054078D" w:rsidTr="0054078D">
        <w:tc>
          <w:tcPr>
            <w:tcW w:w="5387" w:type="dxa"/>
          </w:tcPr>
          <w:p w:rsidR="0054078D" w:rsidRPr="00FD3D79" w:rsidRDefault="0054078D" w:rsidP="0054078D">
            <w:pPr>
              <w:pStyle w:val="TableText"/>
            </w:pPr>
            <w:r w:rsidRPr="00FD3D79">
              <w:t>Approval of outcomes of selection process</w:t>
            </w:r>
          </w:p>
        </w:tc>
        <w:tc>
          <w:tcPr>
            <w:tcW w:w="3402" w:type="dxa"/>
          </w:tcPr>
          <w:p w:rsidR="0054078D" w:rsidRPr="00FD3D79" w:rsidRDefault="0054078D" w:rsidP="00F07E14">
            <w:pPr>
              <w:pStyle w:val="TableText"/>
            </w:pPr>
            <w:r w:rsidRPr="00FD3D79">
              <w:t xml:space="preserve">4 weeks </w:t>
            </w:r>
          </w:p>
        </w:tc>
      </w:tr>
      <w:tr w:rsidR="0054078D" w:rsidTr="0054078D">
        <w:tc>
          <w:tcPr>
            <w:tcW w:w="5387" w:type="dxa"/>
          </w:tcPr>
          <w:p w:rsidR="0054078D" w:rsidRPr="00FD3D79" w:rsidRDefault="0054078D" w:rsidP="0054078D">
            <w:pPr>
              <w:pStyle w:val="TableText"/>
            </w:pPr>
            <w:r w:rsidRPr="00FD3D79">
              <w:t>Negotiations and award of grant agreements</w:t>
            </w:r>
          </w:p>
        </w:tc>
        <w:tc>
          <w:tcPr>
            <w:tcW w:w="3402" w:type="dxa"/>
          </w:tcPr>
          <w:p w:rsidR="0054078D" w:rsidRPr="00FD3D79" w:rsidRDefault="00561435" w:rsidP="00F07E14">
            <w:pPr>
              <w:pStyle w:val="TableText"/>
            </w:pPr>
            <w:r w:rsidRPr="00FD3D79">
              <w:t xml:space="preserve">Up to 6 </w:t>
            </w:r>
            <w:r w:rsidR="0054078D" w:rsidRPr="00FD3D79">
              <w:t xml:space="preserve"> weeks </w:t>
            </w:r>
          </w:p>
        </w:tc>
      </w:tr>
      <w:tr w:rsidR="0054078D" w:rsidTr="0054078D">
        <w:tc>
          <w:tcPr>
            <w:tcW w:w="5387" w:type="dxa"/>
          </w:tcPr>
          <w:p w:rsidR="0054078D" w:rsidRPr="00FD3D79" w:rsidRDefault="0054078D" w:rsidP="0054078D">
            <w:pPr>
              <w:pStyle w:val="TableText"/>
            </w:pPr>
            <w:r w:rsidRPr="00FD3D79">
              <w:t>Notification to unsuccessful applicants</w:t>
            </w:r>
          </w:p>
        </w:tc>
        <w:tc>
          <w:tcPr>
            <w:tcW w:w="3402" w:type="dxa"/>
          </w:tcPr>
          <w:p w:rsidR="0054078D" w:rsidRPr="00FD3D79" w:rsidRDefault="0054078D" w:rsidP="00F07E14">
            <w:pPr>
              <w:pStyle w:val="TableText"/>
            </w:pPr>
            <w:r w:rsidRPr="00FD3D79">
              <w:t>2 weeks</w:t>
            </w:r>
          </w:p>
        </w:tc>
      </w:tr>
      <w:tr w:rsidR="0054078D" w:rsidTr="0054078D">
        <w:tc>
          <w:tcPr>
            <w:tcW w:w="5387" w:type="dxa"/>
          </w:tcPr>
          <w:p w:rsidR="0054078D" w:rsidRPr="00FD3D79" w:rsidRDefault="0054078D" w:rsidP="0054078D">
            <w:pPr>
              <w:pStyle w:val="TableText"/>
            </w:pPr>
            <w:r w:rsidRPr="00FD3D79">
              <w:t>Activity commences</w:t>
            </w:r>
          </w:p>
        </w:tc>
        <w:tc>
          <w:tcPr>
            <w:tcW w:w="3402" w:type="dxa"/>
          </w:tcPr>
          <w:p w:rsidR="0054078D" w:rsidRPr="00FD3D79" w:rsidRDefault="00B005E0" w:rsidP="00B005E0">
            <w:pPr>
              <w:pStyle w:val="TableText"/>
            </w:pPr>
            <w:r w:rsidRPr="00FD3D79">
              <w:t>10/</w:t>
            </w:r>
            <w:r w:rsidR="00856018" w:rsidRPr="00FD3D79">
              <w:t>2018</w:t>
            </w:r>
          </w:p>
        </w:tc>
      </w:tr>
      <w:tr w:rsidR="0054078D" w:rsidTr="0054078D">
        <w:trPr>
          <w:cnfStyle w:val="010000000000" w:firstRow="0" w:lastRow="1" w:firstColumn="0" w:lastColumn="0" w:oddVBand="0" w:evenVBand="0" w:oddHBand="0" w:evenHBand="0" w:firstRowFirstColumn="0" w:firstRowLastColumn="0" w:lastRowFirstColumn="0" w:lastRowLastColumn="0"/>
        </w:trPr>
        <w:tc>
          <w:tcPr>
            <w:tcW w:w="5387" w:type="dxa"/>
          </w:tcPr>
          <w:p w:rsidR="0054078D" w:rsidRPr="00B72EE8" w:rsidRDefault="0054078D" w:rsidP="0054078D">
            <w:pPr>
              <w:pStyle w:val="TableText"/>
            </w:pPr>
            <w:r>
              <w:t>E</w:t>
            </w:r>
            <w:r w:rsidRPr="00B72EE8">
              <w:t>nd date</w:t>
            </w:r>
          </w:p>
        </w:tc>
        <w:tc>
          <w:tcPr>
            <w:tcW w:w="3402" w:type="dxa"/>
          </w:tcPr>
          <w:p w:rsidR="0054078D" w:rsidRPr="0054078D" w:rsidRDefault="00856018" w:rsidP="0054078D">
            <w:pPr>
              <w:pStyle w:val="TableText"/>
            </w:pPr>
            <w:r>
              <w:t>30/06/2021</w:t>
            </w:r>
          </w:p>
        </w:tc>
      </w:tr>
    </w:tbl>
    <w:p w:rsidR="00340616" w:rsidRPr="00A00BDD" w:rsidRDefault="00340616" w:rsidP="003717CD">
      <w:pPr>
        <w:pStyle w:val="Heading2Numbered"/>
      </w:pPr>
      <w:bookmarkStart w:id="89" w:name="_Toc421777614"/>
      <w:bookmarkStart w:id="90" w:name="_Toc433641169"/>
      <w:bookmarkStart w:id="91" w:name="_Toc467773969"/>
      <w:bookmarkStart w:id="92" w:name="_Toc522006569"/>
      <w:r w:rsidRPr="00A00BDD">
        <w:t xml:space="preserve">Completing the </w:t>
      </w:r>
      <w:bookmarkEnd w:id="89"/>
      <w:bookmarkEnd w:id="90"/>
      <w:bookmarkEnd w:id="91"/>
      <w:r w:rsidR="00206280" w:rsidRPr="00A00BDD">
        <w:t>Letter of Invitation</w:t>
      </w:r>
      <w:bookmarkEnd w:id="92"/>
    </w:p>
    <w:p w:rsidR="00887073" w:rsidRDefault="00887073" w:rsidP="00887073">
      <w:pPr>
        <w:spacing w:before="120" w:after="0"/>
        <w:rPr>
          <w:rFonts w:asciiTheme="majorHAnsi" w:hAnsiTheme="majorHAnsi" w:cstheme="majorHAnsi"/>
        </w:rPr>
      </w:pPr>
      <w:r w:rsidRPr="00A00BDD">
        <w:rPr>
          <w:rFonts w:asciiTheme="majorHAnsi" w:hAnsiTheme="majorHAnsi" w:cstheme="majorHAnsi"/>
        </w:rPr>
        <w:t xml:space="preserve">You must submit your application using the </w:t>
      </w:r>
      <w:r w:rsidR="00946D61">
        <w:rPr>
          <w:rFonts w:asciiTheme="majorHAnsi" w:hAnsiTheme="majorHAnsi" w:cstheme="majorHAnsi"/>
        </w:rPr>
        <w:t>individualised</w:t>
      </w:r>
      <w:r w:rsidR="005932F0">
        <w:rPr>
          <w:rFonts w:asciiTheme="majorHAnsi" w:hAnsiTheme="majorHAnsi" w:cstheme="majorHAnsi"/>
        </w:rPr>
        <w:t xml:space="preserve"> </w:t>
      </w:r>
      <w:r w:rsidR="00206280" w:rsidRPr="00A00BDD">
        <w:rPr>
          <w:rFonts w:asciiTheme="majorHAnsi" w:hAnsiTheme="majorHAnsi" w:cstheme="majorHAnsi"/>
        </w:rPr>
        <w:t>letter of invitation</w:t>
      </w:r>
      <w:r w:rsidR="00B81293" w:rsidRPr="00A00BDD">
        <w:rPr>
          <w:rFonts w:asciiTheme="majorHAnsi" w:hAnsiTheme="majorHAnsi" w:cstheme="majorHAnsi"/>
        </w:rPr>
        <w:t xml:space="preserve"> </w:t>
      </w:r>
      <w:r w:rsidR="00F07E14" w:rsidRPr="00F07E14">
        <w:rPr>
          <w:rFonts w:asciiTheme="majorHAnsi" w:hAnsiTheme="majorHAnsi" w:cstheme="majorHAnsi"/>
        </w:rPr>
        <w:t>form</w:t>
      </w:r>
      <w:r w:rsidR="00F07E14">
        <w:rPr>
          <w:rFonts w:asciiTheme="majorHAnsi" w:hAnsiTheme="majorHAnsi" w:cstheme="majorHAnsi"/>
        </w:rPr>
        <w:t xml:space="preserve"> that</w:t>
      </w:r>
      <w:r w:rsidR="005932F0">
        <w:rPr>
          <w:rFonts w:asciiTheme="majorHAnsi" w:hAnsiTheme="majorHAnsi" w:cstheme="majorHAnsi"/>
        </w:rPr>
        <w:t xml:space="preserve"> was emailed to you. A generic template </w:t>
      </w:r>
      <w:r w:rsidRPr="00A00BDD">
        <w:rPr>
          <w:rFonts w:asciiTheme="majorHAnsi" w:hAnsiTheme="majorHAnsi" w:cstheme="majorHAnsi"/>
        </w:rPr>
        <w:t xml:space="preserve">is available on the </w:t>
      </w:r>
      <w:hyperlink r:id="rId16" w:history="1">
        <w:r w:rsidRPr="00A00BDD">
          <w:rPr>
            <w:rStyle w:val="Hyperlink"/>
            <w:rFonts w:cstheme="majorHAnsi"/>
          </w:rPr>
          <w:t>GrantConnect</w:t>
        </w:r>
      </w:hyperlink>
      <w:r w:rsidRPr="00A00BDD">
        <w:rPr>
          <w:rFonts w:asciiTheme="majorHAnsi" w:hAnsiTheme="majorHAnsi" w:cstheme="majorHAnsi"/>
        </w:rPr>
        <w:t xml:space="preserve"> </w:t>
      </w:r>
      <w:r w:rsidRPr="00A00BDD">
        <w:rPr>
          <w:rStyle w:val="Hyperlink"/>
          <w:rFonts w:cstheme="majorHAnsi"/>
        </w:rPr>
        <w:t>website</w:t>
      </w:r>
      <w:r w:rsidR="005932F0">
        <w:rPr>
          <w:rStyle w:val="Hyperlink"/>
          <w:rFonts w:cstheme="majorHAnsi"/>
        </w:rPr>
        <w:t xml:space="preserve"> for information</w:t>
      </w:r>
      <w:r w:rsidRPr="00A00BDD">
        <w:rPr>
          <w:rStyle w:val="Hyperlink"/>
          <w:rFonts w:cstheme="majorHAnsi"/>
        </w:rPr>
        <w:t xml:space="preserve">. </w:t>
      </w:r>
    </w:p>
    <w:p w:rsidR="00F07E14" w:rsidRPr="00A00BDD" w:rsidRDefault="00F07E14" w:rsidP="00887073">
      <w:pPr>
        <w:spacing w:before="120" w:after="0"/>
        <w:rPr>
          <w:rFonts w:asciiTheme="majorHAnsi" w:hAnsiTheme="majorHAnsi" w:cstheme="majorHAnsi"/>
        </w:rPr>
      </w:pPr>
      <w:r>
        <w:rPr>
          <w:rFonts w:asciiTheme="majorHAnsi" w:hAnsiTheme="majorHAnsi" w:cstheme="majorHAnsi"/>
        </w:rPr>
        <w:t xml:space="preserve">If you have not received the </w:t>
      </w:r>
      <w:r w:rsidR="00CF3C9F">
        <w:rPr>
          <w:rFonts w:asciiTheme="majorHAnsi" w:hAnsiTheme="majorHAnsi" w:cstheme="majorHAnsi"/>
        </w:rPr>
        <w:t>letter of i</w:t>
      </w:r>
      <w:r>
        <w:rPr>
          <w:rFonts w:asciiTheme="majorHAnsi" w:hAnsiTheme="majorHAnsi" w:cstheme="majorHAnsi"/>
        </w:rPr>
        <w:t xml:space="preserve">nvitation template for completion, please contact 1800 020 283 or email </w:t>
      </w:r>
      <w:hyperlink r:id="rId17" w:history="1">
        <w:r w:rsidRPr="00B06366">
          <w:rPr>
            <w:rStyle w:val="Hyperlink"/>
            <w:rFonts w:asciiTheme="majorHAnsi" w:hAnsiTheme="majorHAnsi" w:cstheme="majorHAnsi"/>
          </w:rPr>
          <w:t>support@communitygrants.gov.au</w:t>
        </w:r>
      </w:hyperlink>
      <w:r>
        <w:rPr>
          <w:rFonts w:asciiTheme="majorHAnsi" w:hAnsiTheme="majorHAnsi" w:cstheme="majorHAnsi"/>
        </w:rPr>
        <w:t xml:space="preserve"> prior to the application period close date.</w:t>
      </w:r>
    </w:p>
    <w:p w:rsidR="00FE3E68" w:rsidRPr="00BD0CA1" w:rsidRDefault="00FE3E68" w:rsidP="00FE3E68">
      <w:r w:rsidRPr="005932F0">
        <w:t xml:space="preserve">Once you have completed the letter of invitation, you must submit it via email to support@communitygrants.gov.au. </w:t>
      </w:r>
    </w:p>
    <w:p w:rsidR="00FE3E68" w:rsidRPr="005932F0" w:rsidRDefault="00FE3E68" w:rsidP="00FE3E68">
      <w:r w:rsidRPr="00BD0CA1">
        <w:t xml:space="preserve">Please include in the subject line of your email response 2018-2453 </w:t>
      </w:r>
      <w:r w:rsidR="005932F0">
        <w:t>Redress Support Service</w:t>
      </w:r>
      <w:r w:rsidRPr="005932F0">
        <w:t xml:space="preserve">s. Please keep a copy of your </w:t>
      </w:r>
      <w:r w:rsidR="005932F0">
        <w:t>letter of invitation</w:t>
      </w:r>
      <w:r w:rsidRPr="005932F0">
        <w:t>.</w:t>
      </w:r>
    </w:p>
    <w:p w:rsidR="00887073" w:rsidRPr="00A00BDD" w:rsidRDefault="00887073" w:rsidP="00887073">
      <w:pPr>
        <w:spacing w:before="120" w:after="0"/>
        <w:rPr>
          <w:rFonts w:asciiTheme="majorHAnsi" w:hAnsiTheme="majorHAnsi" w:cstheme="majorHAnsi"/>
        </w:rPr>
      </w:pPr>
      <w:r w:rsidRPr="00A00BDD">
        <w:rPr>
          <w:rFonts w:asciiTheme="majorHAnsi" w:hAnsiTheme="majorHAnsi" w:cstheme="majorHAnsi"/>
        </w:rPr>
        <w:t xml:space="preserve">You must make sure that your </w:t>
      </w:r>
      <w:r w:rsidR="00B81293" w:rsidRPr="00A00BDD">
        <w:rPr>
          <w:rFonts w:asciiTheme="majorHAnsi" w:hAnsiTheme="majorHAnsi" w:cstheme="majorHAnsi"/>
        </w:rPr>
        <w:t xml:space="preserve">letter of invitation </w:t>
      </w:r>
      <w:r w:rsidRPr="00A00BDD">
        <w:rPr>
          <w:rFonts w:asciiTheme="majorHAnsi" w:hAnsiTheme="majorHAnsi" w:cstheme="majorHAnsi"/>
        </w:rPr>
        <w:t>is complete and accurate and submitted in accordance with these Guidelines.</w:t>
      </w:r>
    </w:p>
    <w:p w:rsidR="00340616" w:rsidRPr="00B72EE8" w:rsidRDefault="00340616" w:rsidP="00856018">
      <w:pPr>
        <w:pStyle w:val="Heading2Numbered"/>
        <w:keepNext w:val="0"/>
        <w:keepLines w:val="0"/>
      </w:pPr>
      <w:bookmarkStart w:id="93" w:name="_Toc519859113"/>
      <w:bookmarkStart w:id="94" w:name="_Toc519859114"/>
      <w:bookmarkStart w:id="95" w:name="_Toc519859115"/>
      <w:bookmarkStart w:id="96" w:name="_Toc384307739"/>
      <w:bookmarkStart w:id="97" w:name="_Toc384307810"/>
      <w:bookmarkStart w:id="98" w:name="_Toc389141038"/>
      <w:bookmarkStart w:id="99" w:name="_Toc433641171"/>
      <w:bookmarkStart w:id="100" w:name="_Toc467773972"/>
      <w:bookmarkStart w:id="101" w:name="_Toc522006570"/>
      <w:bookmarkStart w:id="102" w:name="_Toc421777609"/>
      <w:bookmarkEnd w:id="78"/>
      <w:bookmarkEnd w:id="93"/>
      <w:bookmarkEnd w:id="94"/>
      <w:bookmarkEnd w:id="95"/>
      <w:r w:rsidRPr="00B72EE8">
        <w:t xml:space="preserve">Questions during the application </w:t>
      </w:r>
      <w:bookmarkEnd w:id="96"/>
      <w:bookmarkEnd w:id="97"/>
      <w:bookmarkEnd w:id="98"/>
      <w:bookmarkEnd w:id="99"/>
      <w:r>
        <w:t>process</w:t>
      </w:r>
      <w:bookmarkEnd w:id="100"/>
      <w:bookmarkEnd w:id="101"/>
    </w:p>
    <w:p w:rsidR="00856018" w:rsidRDefault="003357B0" w:rsidP="00856018">
      <w:r>
        <w:t xml:space="preserve">Only invited applicants’ questions will be responded to during the application period, please call the Community Grants Hub on 1800 020 283 or email to </w:t>
      </w:r>
      <w:hyperlink r:id="rId18" w:history="1">
        <w:r w:rsidRPr="004E1173">
          <w:rPr>
            <w:rStyle w:val="Hyperlink"/>
            <w:rFonts w:cstheme="minorBidi"/>
          </w:rPr>
          <w:t>support@communitygrants.gov.au</w:t>
        </w:r>
      </w:hyperlink>
      <w:r>
        <w:t xml:space="preserve">. </w:t>
      </w:r>
      <w:r w:rsidRPr="00103A95">
        <w:t xml:space="preserve"> </w:t>
      </w:r>
    </w:p>
    <w:p w:rsidR="00E96706" w:rsidRDefault="003357B0" w:rsidP="00856018">
      <w:r w:rsidRPr="00103A95">
        <w:t xml:space="preserve">The </w:t>
      </w:r>
      <w:r>
        <w:rPr>
          <w:rStyle w:val="highlightedtextChar"/>
          <w:b w:val="0"/>
          <w:color w:val="auto"/>
        </w:rPr>
        <w:t>Community Grants Hub</w:t>
      </w:r>
      <w:r w:rsidRPr="00103A95">
        <w:rPr>
          <w:rStyle w:val="highlightedtextChar"/>
        </w:rPr>
        <w:t xml:space="preserve"> </w:t>
      </w:r>
      <w:r w:rsidRPr="00103A95">
        <w:t xml:space="preserve">will respond to emailed questions within </w:t>
      </w:r>
      <w:r w:rsidRPr="008873D4">
        <w:rPr>
          <w:rStyle w:val="highlightedtextChar"/>
          <w:b w:val="0"/>
          <w:color w:val="auto"/>
        </w:rPr>
        <w:t>five</w:t>
      </w:r>
      <w:r w:rsidRPr="00103A95">
        <w:t xml:space="preserve"> working days.</w:t>
      </w:r>
      <w:r w:rsidR="00EB4889">
        <w:t xml:space="preserve">  Answers to questions</w:t>
      </w:r>
      <w:r w:rsidR="00EB4889" w:rsidRPr="00EA3E47">
        <w:t xml:space="preserve"> </w:t>
      </w:r>
      <w:r w:rsidR="00EB4889">
        <w:t xml:space="preserve">will </w:t>
      </w:r>
      <w:r w:rsidR="00EB4889" w:rsidRPr="00EA3E47">
        <w:t xml:space="preserve">be posted on </w:t>
      </w:r>
      <w:hyperlink r:id="rId19" w:history="1">
        <w:r w:rsidR="00EB4889" w:rsidRPr="00BC0C62">
          <w:rPr>
            <w:rStyle w:val="Hyperlink"/>
            <w:rFonts w:cstheme="minorBidi"/>
          </w:rPr>
          <w:t>GrantConnect</w:t>
        </w:r>
      </w:hyperlink>
      <w:r w:rsidR="00EB4889">
        <w:rPr>
          <w:rStyle w:val="Hyperlink"/>
          <w:rFonts w:cstheme="minorBidi"/>
        </w:rPr>
        <w:t xml:space="preserve"> and only accessible by invited applicants</w:t>
      </w:r>
      <w:r w:rsidR="00EB4889" w:rsidRPr="00EA3E47">
        <w:t>.</w:t>
      </w:r>
    </w:p>
    <w:p w:rsidR="00023327" w:rsidRDefault="00023327" w:rsidP="00856018">
      <w:r>
        <w:t xml:space="preserve">The question period will close at </w:t>
      </w:r>
      <w:r w:rsidR="008612F0" w:rsidRPr="008D20E2">
        <w:rPr>
          <w:b/>
        </w:rPr>
        <w:t>5.00pm</w:t>
      </w:r>
      <w:r w:rsidRPr="008D20E2">
        <w:rPr>
          <w:b/>
        </w:rPr>
        <w:t xml:space="preserve"> AEST </w:t>
      </w:r>
      <w:r w:rsidR="00B005E0" w:rsidRPr="008D20E2">
        <w:rPr>
          <w:b/>
        </w:rPr>
        <w:t xml:space="preserve">on </w:t>
      </w:r>
      <w:r w:rsidR="00A02399" w:rsidRPr="008D20E2">
        <w:rPr>
          <w:b/>
        </w:rPr>
        <w:t>2</w:t>
      </w:r>
      <w:r w:rsidR="008D20E2">
        <w:rPr>
          <w:b/>
        </w:rPr>
        <w:t>3</w:t>
      </w:r>
      <w:r w:rsidR="00A02399" w:rsidRPr="008D20E2">
        <w:rPr>
          <w:b/>
        </w:rPr>
        <w:t xml:space="preserve"> Aug 2018</w:t>
      </w:r>
      <w:r w:rsidRPr="008D20E2">
        <w:rPr>
          <w:b/>
          <w:color w:val="745B00" w:themeColor="accent3" w:themeShade="80"/>
        </w:rPr>
        <w:t>.</w:t>
      </w:r>
      <w:r>
        <w:t xml:space="preserve"> Following this time, only questions relating to using and/or submitting the application form will be answered.</w:t>
      </w:r>
    </w:p>
    <w:p w:rsidR="00340616" w:rsidRPr="00B72EE8" w:rsidRDefault="00340616" w:rsidP="003717CD">
      <w:pPr>
        <w:pStyle w:val="Heading2Numbered"/>
      </w:pPr>
      <w:bookmarkStart w:id="103" w:name="_Toc467773973"/>
      <w:bookmarkStart w:id="104" w:name="_Toc522006571"/>
      <w:bookmarkEnd w:id="102"/>
      <w:r>
        <w:lastRenderedPageBreak/>
        <w:t>Further grant opportunities</w:t>
      </w:r>
      <w:bookmarkEnd w:id="103"/>
      <w:bookmarkEnd w:id="104"/>
    </w:p>
    <w:p w:rsidR="00B10AEC" w:rsidRDefault="00B10AEC" w:rsidP="00B10AEC">
      <w:pPr>
        <w:spacing w:beforeLines="100" w:before="240" w:after="120" w:line="280" w:lineRule="auto"/>
        <w:rPr>
          <w:rFonts w:asciiTheme="majorHAnsi" w:hAnsiTheme="majorHAnsi" w:cstheme="majorHAnsi"/>
        </w:rPr>
      </w:pPr>
      <w:r>
        <w:rPr>
          <w:rFonts w:asciiTheme="majorHAnsi" w:hAnsiTheme="majorHAnsi" w:cstheme="majorHAnsi"/>
        </w:rPr>
        <w:t>A separate g</w:t>
      </w:r>
      <w:r w:rsidRPr="003C305D">
        <w:rPr>
          <w:rFonts w:asciiTheme="majorHAnsi" w:hAnsiTheme="majorHAnsi" w:cstheme="majorHAnsi"/>
        </w:rPr>
        <w:t xml:space="preserve">rant opportunity </w:t>
      </w:r>
      <w:r>
        <w:rPr>
          <w:rFonts w:asciiTheme="majorHAnsi" w:hAnsiTheme="majorHAnsi" w:cstheme="majorHAnsi"/>
        </w:rPr>
        <w:t xml:space="preserve">will </w:t>
      </w:r>
      <w:r w:rsidRPr="003C305D">
        <w:rPr>
          <w:rFonts w:asciiTheme="majorHAnsi" w:hAnsiTheme="majorHAnsi" w:cstheme="majorHAnsi"/>
        </w:rPr>
        <w:t xml:space="preserve">build on the existing service footprint </w:t>
      </w:r>
      <w:r>
        <w:rPr>
          <w:rFonts w:asciiTheme="majorHAnsi" w:hAnsiTheme="majorHAnsi" w:cstheme="majorHAnsi"/>
        </w:rPr>
        <w:t>and fund</w:t>
      </w:r>
      <w:r w:rsidRPr="003C305D">
        <w:rPr>
          <w:rFonts w:asciiTheme="majorHAnsi" w:hAnsiTheme="majorHAnsi" w:cstheme="majorHAnsi"/>
        </w:rPr>
        <w:t xml:space="preserve"> new and existing providers to respond to new and emerging client groups or broaden </w:t>
      </w:r>
      <w:r>
        <w:rPr>
          <w:rFonts w:asciiTheme="majorHAnsi" w:hAnsiTheme="majorHAnsi" w:cstheme="majorHAnsi"/>
        </w:rPr>
        <w:t xml:space="preserve">an </w:t>
      </w:r>
      <w:r w:rsidRPr="003C305D">
        <w:rPr>
          <w:rFonts w:asciiTheme="majorHAnsi" w:hAnsiTheme="majorHAnsi" w:cstheme="majorHAnsi"/>
        </w:rPr>
        <w:t xml:space="preserve">existing service presence across a broader geographic area to better respond to the needs of clients. For example, this could include </w:t>
      </w:r>
      <w:r>
        <w:rPr>
          <w:rFonts w:asciiTheme="majorHAnsi" w:hAnsiTheme="majorHAnsi" w:cstheme="majorHAnsi"/>
        </w:rPr>
        <w:t xml:space="preserve">extending services to </w:t>
      </w:r>
      <w:r w:rsidRPr="003C305D">
        <w:rPr>
          <w:rFonts w:asciiTheme="majorHAnsi" w:hAnsiTheme="majorHAnsi" w:cstheme="majorHAnsi"/>
        </w:rPr>
        <w:t>people living in rural and remote areas that may wish to access the Scheme, and culturally appropriate and targeted approaches for Aboriginal or Torres Strait Islander peoples</w:t>
      </w:r>
      <w:r w:rsidR="00856018">
        <w:rPr>
          <w:rFonts w:asciiTheme="majorHAnsi" w:hAnsiTheme="majorHAnsi" w:cstheme="majorHAnsi"/>
        </w:rPr>
        <w:t>,</w:t>
      </w:r>
      <w:r>
        <w:rPr>
          <w:rFonts w:asciiTheme="majorHAnsi" w:hAnsiTheme="majorHAnsi" w:cstheme="majorHAnsi"/>
        </w:rPr>
        <w:t xml:space="preserve"> people with disability and</w:t>
      </w:r>
      <w:r w:rsidRPr="003C305D">
        <w:rPr>
          <w:rFonts w:asciiTheme="majorHAnsi" w:hAnsiTheme="majorHAnsi" w:cstheme="majorHAnsi"/>
        </w:rPr>
        <w:t xml:space="preserve"> child applicants.</w:t>
      </w:r>
    </w:p>
    <w:p w:rsidR="00CF3C9F" w:rsidRPr="00AF2050" w:rsidRDefault="00CF3C9F" w:rsidP="00B10AEC">
      <w:pPr>
        <w:spacing w:beforeLines="100" w:before="240" w:after="120" w:line="280" w:lineRule="auto"/>
      </w:pPr>
      <w:r>
        <w:rPr>
          <w:rFonts w:asciiTheme="majorHAnsi" w:hAnsiTheme="majorHAnsi" w:cstheme="majorHAnsi"/>
        </w:rPr>
        <w:t xml:space="preserve">More information about this grant opportunity will become available </w:t>
      </w:r>
      <w:r w:rsidR="008B3199">
        <w:rPr>
          <w:rFonts w:asciiTheme="majorHAnsi" w:hAnsiTheme="majorHAnsi" w:cstheme="majorHAnsi"/>
        </w:rPr>
        <w:t>at a later date through GrantConnect and the Community Grants Hub websites.</w:t>
      </w:r>
    </w:p>
    <w:p w:rsidR="00D15B5E" w:rsidRDefault="00340616" w:rsidP="008B3199">
      <w:pPr>
        <w:pStyle w:val="Heading1Numbered"/>
      </w:pPr>
      <w:bookmarkStart w:id="105" w:name="_Toc467773974"/>
      <w:bookmarkStart w:id="106" w:name="_Toc522006572"/>
      <w:r w:rsidRPr="00CF3C9F">
        <w:t>Assessment of grant applications</w:t>
      </w:r>
      <w:bookmarkEnd w:id="105"/>
      <w:bookmarkEnd w:id="106"/>
    </w:p>
    <w:p w:rsidR="00D15B5E" w:rsidRPr="00F31E7B" w:rsidRDefault="00D15B5E" w:rsidP="00D15B5E">
      <w:r w:rsidRPr="00F31E7B">
        <w:t xml:space="preserve">The </w:t>
      </w:r>
      <w:r w:rsidR="00CF3C9F">
        <w:t>l</w:t>
      </w:r>
      <w:r>
        <w:t xml:space="preserve">etter of </w:t>
      </w:r>
      <w:r w:rsidR="00CF3C9F">
        <w:t>invitation</w:t>
      </w:r>
      <w:r>
        <w:t xml:space="preserve"> </w:t>
      </w:r>
      <w:r w:rsidRPr="00F31E7B">
        <w:t>(also referred to as the application in these guidelines) will be reviewed</w:t>
      </w:r>
      <w:r w:rsidR="00CF3C9F">
        <w:t xml:space="preserve">. A review team will ensure that your organisation </w:t>
      </w:r>
      <w:r w:rsidRPr="00F31E7B">
        <w:t xml:space="preserve">meets eligibility requirements. The review team will be comprised of staff in the Community Grants Hub.  </w:t>
      </w:r>
    </w:p>
    <w:p w:rsidR="00D15B5E" w:rsidRDefault="00D15B5E" w:rsidP="00D15B5E">
      <w:r w:rsidRPr="00F31E7B">
        <w:t>If the selection process identifies that additional information or clarification is required, you may be contacted to provide further information.</w:t>
      </w:r>
    </w:p>
    <w:p w:rsidR="00340616" w:rsidRPr="008B3199" w:rsidRDefault="0020082E" w:rsidP="0054078D">
      <w:pPr>
        <w:pStyle w:val="Heading1Numbered"/>
      </w:pPr>
      <w:bookmarkStart w:id="107" w:name="_Toc522006573"/>
      <w:r w:rsidRPr="008B3199">
        <w:t>Who will approve grants?</w:t>
      </w:r>
      <w:bookmarkEnd w:id="107"/>
    </w:p>
    <w:p w:rsidR="0020082E" w:rsidRPr="008B3199" w:rsidRDefault="0020082E" w:rsidP="00DC1682">
      <w:r w:rsidRPr="008B3199">
        <w:t>The Department</w:t>
      </w:r>
      <w:r w:rsidR="008B3199">
        <w:t>al</w:t>
      </w:r>
      <w:r w:rsidRPr="008B3199">
        <w:t xml:space="preserve"> delegate, which is the Deputy Secretary, Families and Communities, will make the final decision to approve a grant.</w:t>
      </w:r>
    </w:p>
    <w:p w:rsidR="0020082E" w:rsidRPr="008B3199" w:rsidRDefault="0020082E" w:rsidP="00DC1682">
      <w:r w:rsidRPr="008B3199">
        <w:t xml:space="preserve">The delegate’s decision is final </w:t>
      </w:r>
      <w:r w:rsidR="00B81293">
        <w:t>in all matters, including</w:t>
      </w:r>
      <w:r w:rsidR="00FF793D">
        <w:t xml:space="preserve"> the</w:t>
      </w:r>
      <w:r w:rsidR="00B81293">
        <w:t>:</w:t>
      </w:r>
    </w:p>
    <w:p w:rsidR="009D44EC" w:rsidRPr="008B3199" w:rsidRDefault="009D44EC" w:rsidP="009D44EC">
      <w:pPr>
        <w:pStyle w:val="ListParagraph"/>
        <w:numPr>
          <w:ilvl w:val="0"/>
          <w:numId w:val="27"/>
        </w:numPr>
        <w:contextualSpacing/>
        <w:rPr>
          <w:rFonts w:asciiTheme="majorHAnsi" w:hAnsiTheme="majorHAnsi" w:cstheme="majorHAnsi"/>
        </w:rPr>
      </w:pPr>
      <w:r w:rsidRPr="008B3199">
        <w:rPr>
          <w:rFonts w:asciiTheme="majorHAnsi" w:hAnsiTheme="majorHAnsi" w:cstheme="majorHAnsi"/>
        </w:rPr>
        <w:t>approval of the grant</w:t>
      </w:r>
    </w:p>
    <w:p w:rsidR="009D44EC" w:rsidRPr="008B3199" w:rsidRDefault="009D44EC" w:rsidP="009D44EC">
      <w:pPr>
        <w:pStyle w:val="ListParagraph"/>
        <w:numPr>
          <w:ilvl w:val="0"/>
          <w:numId w:val="27"/>
        </w:numPr>
        <w:contextualSpacing/>
        <w:rPr>
          <w:rFonts w:asciiTheme="majorHAnsi" w:hAnsiTheme="majorHAnsi" w:cstheme="majorHAnsi"/>
        </w:rPr>
      </w:pPr>
      <w:r w:rsidRPr="008B3199">
        <w:rPr>
          <w:rFonts w:asciiTheme="majorHAnsi" w:hAnsiTheme="majorHAnsi" w:cstheme="majorHAnsi"/>
        </w:rPr>
        <w:t>grant funding amount to be awarded</w:t>
      </w:r>
    </w:p>
    <w:p w:rsidR="009D44EC" w:rsidRPr="008B3199" w:rsidRDefault="009D44EC" w:rsidP="009D44EC">
      <w:pPr>
        <w:pStyle w:val="ListParagraph"/>
        <w:numPr>
          <w:ilvl w:val="0"/>
          <w:numId w:val="27"/>
        </w:numPr>
        <w:contextualSpacing/>
        <w:rPr>
          <w:rFonts w:asciiTheme="minorHAnsi" w:hAnsiTheme="minorHAnsi" w:cstheme="minorHAnsi"/>
        </w:rPr>
      </w:pPr>
      <w:proofErr w:type="gramStart"/>
      <w:r w:rsidRPr="008B3199">
        <w:rPr>
          <w:rFonts w:asciiTheme="majorHAnsi" w:hAnsiTheme="majorHAnsi" w:cstheme="majorHAnsi"/>
        </w:rPr>
        <w:t>terms</w:t>
      </w:r>
      <w:proofErr w:type="gramEnd"/>
      <w:r w:rsidRPr="008B3199">
        <w:rPr>
          <w:rFonts w:asciiTheme="majorHAnsi" w:hAnsiTheme="majorHAnsi" w:cstheme="majorHAnsi"/>
        </w:rPr>
        <w:t xml:space="preserve"> and conditions</w:t>
      </w:r>
      <w:r w:rsidRPr="008B3199">
        <w:rPr>
          <w:rFonts w:asciiTheme="minorHAnsi" w:hAnsiTheme="minorHAnsi" w:cstheme="minorHAnsi"/>
        </w:rPr>
        <w:t xml:space="preserve"> of the grant. </w:t>
      </w:r>
    </w:p>
    <w:p w:rsidR="009D44EC" w:rsidRPr="00D217B0" w:rsidRDefault="009D44EC" w:rsidP="009D44EC">
      <w:r w:rsidRPr="00215752">
        <w:t>The delegate must not approve funding if they reasonably consider the program funding available across financial years will not accommodate the funding offer, and/or if the application does not represent value for money.</w:t>
      </w:r>
      <w:r w:rsidRPr="00D217B0">
        <w:t xml:space="preserve"> </w:t>
      </w:r>
    </w:p>
    <w:p w:rsidR="009D44EC" w:rsidRDefault="009D44EC" w:rsidP="009D44EC">
      <w:r w:rsidRPr="00D217B0">
        <w:t>There is no appeal mechanism for decisions to approve or not approve a grant.</w:t>
      </w:r>
    </w:p>
    <w:p w:rsidR="00340616" w:rsidRPr="00B72EE8" w:rsidRDefault="00340616" w:rsidP="0054078D">
      <w:pPr>
        <w:pStyle w:val="Heading1Numbered"/>
      </w:pPr>
      <w:bookmarkStart w:id="108" w:name="_Toc467773977"/>
      <w:bookmarkStart w:id="109" w:name="_Toc522006574"/>
      <w:r w:rsidRPr="00B72EE8">
        <w:t>Notification of application outcomes</w:t>
      </w:r>
      <w:bookmarkEnd w:id="108"/>
      <w:bookmarkEnd w:id="109"/>
    </w:p>
    <w:p w:rsidR="00FF793D" w:rsidRDefault="00FF793D" w:rsidP="00FF793D">
      <w:r>
        <w:t xml:space="preserve">Applicants will be notified of their individual </w:t>
      </w:r>
      <w:r w:rsidRPr="00CA097F">
        <w:t>outcome</w:t>
      </w:r>
      <w:r>
        <w:t>s</w:t>
      </w:r>
      <w:r w:rsidRPr="00CA097F">
        <w:t xml:space="preserve"> </w:t>
      </w:r>
      <w:r w:rsidRPr="003C00BD">
        <w:t>in writing</w:t>
      </w:r>
      <w:r w:rsidRPr="00CA097F">
        <w:t xml:space="preserve"> </w:t>
      </w:r>
      <w:r w:rsidRPr="00B72EE8">
        <w:t xml:space="preserve">following a </w:t>
      </w:r>
      <w:r>
        <w:t>d</w:t>
      </w:r>
      <w:r w:rsidRPr="00B72EE8">
        <w:t xml:space="preserve">ecision </w:t>
      </w:r>
      <w:r w:rsidRPr="00D217B0">
        <w:t xml:space="preserve">by the </w:t>
      </w:r>
      <w:r>
        <w:t>Departmental delegate</w:t>
      </w:r>
      <w:r w:rsidRPr="00D217B0">
        <w:rPr>
          <w:color w:val="AD8800" w:themeColor="accent3" w:themeShade="BF"/>
        </w:rPr>
        <w:t xml:space="preserve">. </w:t>
      </w:r>
      <w:r w:rsidRPr="00D217B0">
        <w:t xml:space="preserve">If </w:t>
      </w:r>
      <w:r>
        <w:t>an</w:t>
      </w:r>
      <w:r w:rsidRPr="00D217B0">
        <w:t xml:space="preserve"> applicant is successful, the</w:t>
      </w:r>
      <w:r>
        <w:t xml:space="preserve"> notification</w:t>
      </w:r>
      <w:r w:rsidRPr="00B72EE8">
        <w:t xml:space="preserve"> will contain details of any specific conditions attached to the </w:t>
      </w:r>
      <w:r>
        <w:t>grant</w:t>
      </w:r>
      <w:r w:rsidRPr="00B72EE8">
        <w:t xml:space="preserve">. </w:t>
      </w:r>
    </w:p>
    <w:p w:rsidR="00340616" w:rsidRDefault="00340616" w:rsidP="0054078D">
      <w:pPr>
        <w:pStyle w:val="Heading1Numbered"/>
      </w:pPr>
      <w:bookmarkStart w:id="110" w:name="_Toc519859123"/>
      <w:bookmarkStart w:id="111" w:name="_Toc519859124"/>
      <w:bookmarkStart w:id="112" w:name="_Toc519859125"/>
      <w:bookmarkStart w:id="113" w:name="_Toc519859126"/>
      <w:bookmarkStart w:id="114" w:name="_Toc519859127"/>
      <w:bookmarkStart w:id="115" w:name="_Toc467773979"/>
      <w:bookmarkStart w:id="116" w:name="_Toc522006575"/>
      <w:bookmarkStart w:id="117" w:name="_Toc421777622"/>
      <w:bookmarkStart w:id="118" w:name="_Toc433641183"/>
      <w:bookmarkEnd w:id="110"/>
      <w:bookmarkEnd w:id="111"/>
      <w:bookmarkEnd w:id="112"/>
      <w:bookmarkEnd w:id="113"/>
      <w:bookmarkEnd w:id="114"/>
      <w:r>
        <w:lastRenderedPageBreak/>
        <w:t>Successful grant applications</w:t>
      </w:r>
      <w:bookmarkEnd w:id="115"/>
      <w:bookmarkEnd w:id="116"/>
    </w:p>
    <w:p w:rsidR="00340616" w:rsidRDefault="00340616" w:rsidP="00892C8B">
      <w:pPr>
        <w:pStyle w:val="Heading2Numbered"/>
        <w:ind w:left="709" w:hanging="709"/>
      </w:pPr>
      <w:bookmarkStart w:id="119" w:name="_Toc467773980"/>
      <w:bookmarkStart w:id="120" w:name="_Toc522006576"/>
      <w:r>
        <w:t xml:space="preserve">The </w:t>
      </w:r>
      <w:r w:rsidRPr="0054078D">
        <w:t>grant agreement</w:t>
      </w:r>
      <w:bookmarkEnd w:id="119"/>
      <w:bookmarkEnd w:id="120"/>
    </w:p>
    <w:bookmarkEnd w:id="117"/>
    <w:bookmarkEnd w:id="118"/>
    <w:p w:rsidR="009D44EC" w:rsidRDefault="009D44EC" w:rsidP="009D44EC">
      <w:pPr>
        <w:spacing w:before="60"/>
      </w:pPr>
      <w:r>
        <w:t>Su</w:t>
      </w:r>
      <w:r w:rsidRPr="00B72EE8">
        <w:t>ccessful</w:t>
      </w:r>
      <w:r>
        <w:t xml:space="preserve"> applicants must enter</w:t>
      </w:r>
      <w:r w:rsidRPr="00B72EE8">
        <w:t xml:space="preserve"> into a legal</w:t>
      </w:r>
      <w:r>
        <w:t>ly</w:t>
      </w:r>
      <w:r w:rsidRPr="00B72EE8">
        <w:t xml:space="preserve"> </w:t>
      </w:r>
      <w:r w:rsidRPr="00E058C7">
        <w:t>binding grant agreement</w:t>
      </w:r>
      <w:r>
        <w:t xml:space="preserve"> with the </w:t>
      </w:r>
      <w:r w:rsidRPr="003C00BD">
        <w:t>Commonwealth represented by Department of Social Services</w:t>
      </w:r>
      <w:r w:rsidRPr="003C00BD">
        <w:rPr>
          <w:b/>
          <w:color w:val="AD8800" w:themeColor="accent3" w:themeShade="BF"/>
        </w:rPr>
        <w:t>.</w:t>
      </w:r>
      <w:r w:rsidRPr="003C00BD">
        <w:t xml:space="preserve"> The Department of Social Services will use the </w:t>
      </w:r>
      <w:hyperlink r:id="rId20" w:history="1">
        <w:r w:rsidRPr="003C00BD">
          <w:rPr>
            <w:rStyle w:val="Hyperlink"/>
            <w:i/>
            <w:u w:val="none"/>
          </w:rPr>
          <w:t xml:space="preserve">Commonwealth </w:t>
        </w:r>
        <w:r w:rsidRPr="003C00BD">
          <w:rPr>
            <w:rStyle w:val="Hyperlink"/>
            <w:b/>
            <w:i/>
            <w:u w:val="none"/>
          </w:rPr>
          <w:t xml:space="preserve">Standard </w:t>
        </w:r>
        <w:r w:rsidRPr="003C00BD">
          <w:rPr>
            <w:rStyle w:val="Hyperlink"/>
            <w:i/>
            <w:u w:val="none"/>
          </w:rPr>
          <w:t>Grant Agreement</w:t>
        </w:r>
      </w:hyperlink>
      <w:r w:rsidRPr="003C00BD">
        <w:rPr>
          <w:rStyle w:val="highlightedtextChar"/>
        </w:rPr>
        <w:t>.</w:t>
      </w:r>
      <w:r w:rsidRPr="003C00BD">
        <w:t xml:space="preserve"> Standard terms and conditions for the grant agreement will apply and cannot be changed</w:t>
      </w:r>
      <w:r w:rsidRPr="002E0C03">
        <w:t>. A schedule may be used to outline the specific grant requirements. Any additional conditions attached to the grant will be identified in the grant offer or during the grant agreement negotiations.</w:t>
      </w:r>
    </w:p>
    <w:p w:rsidR="009D44EC" w:rsidRDefault="009D44EC" w:rsidP="00AD7C7D">
      <w:pPr>
        <w:keepNext/>
        <w:keepLines/>
      </w:pPr>
      <w:r>
        <w:t>The successful applicant</w:t>
      </w:r>
      <w:r w:rsidRPr="00B72EE8">
        <w:t xml:space="preserve"> will </w:t>
      </w:r>
      <w:r>
        <w:t>b</w:t>
      </w:r>
      <w:r w:rsidRPr="00B72EE8">
        <w:t xml:space="preserve">e </w:t>
      </w:r>
      <w:r w:rsidRPr="006B6B8E">
        <w:t>required to provide</w:t>
      </w:r>
      <w:r w:rsidRPr="00B72EE8">
        <w:t>:</w:t>
      </w:r>
    </w:p>
    <w:p w:rsidR="009D44EC" w:rsidRDefault="009D44EC" w:rsidP="00AD7C7D">
      <w:pPr>
        <w:pStyle w:val="ListParagraph"/>
        <w:keepNext/>
        <w:keepLines/>
        <w:numPr>
          <w:ilvl w:val="0"/>
          <w:numId w:val="27"/>
        </w:numPr>
        <w:contextualSpacing/>
        <w:rPr>
          <w:rFonts w:asciiTheme="majorHAnsi" w:hAnsiTheme="majorHAnsi" w:cstheme="majorHAnsi"/>
        </w:rPr>
      </w:pPr>
      <w:r>
        <w:rPr>
          <w:rFonts w:asciiTheme="majorHAnsi" w:hAnsiTheme="majorHAnsi" w:cstheme="majorHAnsi"/>
        </w:rPr>
        <w:t>information using the Department of Social Services Data Exchange</w:t>
      </w:r>
    </w:p>
    <w:p w:rsidR="009D44EC" w:rsidRPr="00F75464" w:rsidRDefault="00FF793D" w:rsidP="00AD7C7D">
      <w:pPr>
        <w:pStyle w:val="ListParagraph"/>
        <w:keepNext/>
        <w:keepLines/>
        <w:numPr>
          <w:ilvl w:val="0"/>
          <w:numId w:val="27"/>
        </w:numPr>
        <w:contextualSpacing/>
        <w:rPr>
          <w:rFonts w:asciiTheme="majorHAnsi" w:hAnsiTheme="majorHAnsi" w:cstheme="majorHAnsi"/>
        </w:rPr>
      </w:pPr>
      <w:r>
        <w:rPr>
          <w:rFonts w:asciiTheme="majorHAnsi" w:hAnsiTheme="majorHAnsi" w:cstheme="majorHAnsi"/>
        </w:rPr>
        <w:t>A</w:t>
      </w:r>
      <w:r w:rsidR="00D141E4">
        <w:rPr>
          <w:rFonts w:asciiTheme="majorHAnsi" w:hAnsiTheme="majorHAnsi" w:cstheme="majorHAnsi"/>
        </w:rPr>
        <w:t>ctivity work plans</w:t>
      </w:r>
    </w:p>
    <w:p w:rsidR="00215752" w:rsidRPr="008B3199" w:rsidRDefault="009D44EC" w:rsidP="008B3199">
      <w:pPr>
        <w:pStyle w:val="ListParagraph"/>
        <w:keepNext/>
        <w:keepLines/>
        <w:numPr>
          <w:ilvl w:val="0"/>
          <w:numId w:val="27"/>
        </w:numPr>
        <w:contextualSpacing/>
        <w:rPr>
          <w:rFonts w:asciiTheme="majorHAnsi" w:hAnsiTheme="majorHAnsi" w:cstheme="majorHAnsi"/>
        </w:rPr>
      </w:pPr>
      <w:r>
        <w:rPr>
          <w:rFonts w:asciiTheme="majorHAnsi" w:hAnsiTheme="majorHAnsi" w:cstheme="majorHAnsi"/>
        </w:rPr>
        <w:t xml:space="preserve">an Independence Assurance Management strategy </w:t>
      </w:r>
      <w:r w:rsidR="00215752" w:rsidRPr="00215752">
        <w:rPr>
          <w:rFonts w:asciiTheme="majorHAnsi" w:hAnsiTheme="majorHAnsi" w:cstheme="majorHAnsi"/>
          <w:lang w:val="en-GB"/>
        </w:rPr>
        <w:t>that outlines your organisation’s conflicts of interest</w:t>
      </w:r>
      <w:r w:rsidR="00215752" w:rsidRPr="00215752">
        <w:rPr>
          <w:rFonts w:asciiTheme="majorHAnsi" w:eastAsia="Arial" w:hAnsiTheme="majorHAnsi" w:cstheme="majorHAnsi"/>
        </w:rPr>
        <w:t xml:space="preserve"> with organisations and people responsible for all forms of institutional child abuse</w:t>
      </w:r>
      <w:r w:rsidR="00215752" w:rsidRPr="00215752">
        <w:rPr>
          <w:rFonts w:asciiTheme="majorHAnsi" w:hAnsiTheme="majorHAnsi" w:cstheme="majorHAnsi"/>
          <w:lang w:val="en-GB"/>
        </w:rPr>
        <w:t>, your strategies to manage these, and your approach to review these to ensure they remain effective.</w:t>
      </w:r>
      <w:r w:rsidR="00215752">
        <w:rPr>
          <w:rFonts w:asciiTheme="majorHAnsi" w:hAnsiTheme="majorHAnsi" w:cstheme="majorHAnsi"/>
          <w:lang w:val="en-GB"/>
        </w:rPr>
        <w:t xml:space="preserve"> This should be regularly reviewed and updated throughout the term of the grant agreement.</w:t>
      </w:r>
    </w:p>
    <w:p w:rsidR="000A1331" w:rsidRDefault="000A1331" w:rsidP="000A1331">
      <w:pPr>
        <w:spacing w:before="120" w:after="0"/>
        <w:rPr>
          <w:rFonts w:asciiTheme="majorHAnsi" w:hAnsiTheme="majorHAnsi" w:cstheme="majorHAnsi"/>
          <w:lang w:eastAsia="en-AU"/>
        </w:rPr>
      </w:pPr>
      <w:bookmarkStart w:id="121" w:name="_Toc467773981"/>
      <w:r w:rsidRPr="00455CA7">
        <w:rPr>
          <w:rFonts w:asciiTheme="majorHAnsi" w:hAnsiTheme="majorHAnsi" w:cstheme="majorHAnsi"/>
          <w:lang w:eastAsia="en-AU"/>
        </w:rPr>
        <w:t>The Department will negotiate agreements with successful applicants. If there are unreasonable delays in finalising a grant agreement, the grant offer may be withdrawn and the grant may be awarded to a different applicant</w:t>
      </w:r>
      <w:r>
        <w:rPr>
          <w:rFonts w:asciiTheme="majorHAnsi" w:hAnsiTheme="majorHAnsi" w:cstheme="majorHAnsi"/>
          <w:lang w:eastAsia="en-AU"/>
        </w:rPr>
        <w:t>.</w:t>
      </w:r>
    </w:p>
    <w:p w:rsidR="000A1331" w:rsidRPr="00455CA7" w:rsidRDefault="000A1331" w:rsidP="000A1331">
      <w:pPr>
        <w:spacing w:before="120"/>
        <w:rPr>
          <w:rFonts w:asciiTheme="majorHAnsi" w:hAnsiTheme="majorHAnsi" w:cstheme="majorHAnsi"/>
          <w:lang w:eastAsia="en-AU"/>
        </w:rPr>
      </w:pPr>
      <w:r w:rsidRPr="00455CA7">
        <w:rPr>
          <w:rFonts w:asciiTheme="majorHAnsi" w:hAnsiTheme="majorHAnsi" w:cstheme="majorHAnsi"/>
          <w:lang w:eastAsia="en-AU"/>
        </w:rPr>
        <w:t xml:space="preserve">Where a grantee fails to meet the obligations of the grant agreement, </w:t>
      </w:r>
      <w:r w:rsidRPr="00455CA7">
        <w:rPr>
          <w:rFonts w:asciiTheme="majorHAnsi" w:hAnsiTheme="majorHAnsi" w:cstheme="majorHAnsi"/>
        </w:rPr>
        <w:t>the</w:t>
      </w:r>
      <w:r w:rsidRPr="00455CA7">
        <w:rPr>
          <w:rFonts w:asciiTheme="majorHAnsi" w:hAnsiTheme="majorHAnsi" w:cstheme="majorHAnsi"/>
          <w:lang w:eastAsia="en-AU"/>
        </w:rPr>
        <w:t xml:space="preserve"> </w:t>
      </w:r>
      <w:r w:rsidRPr="00455CA7">
        <w:rPr>
          <w:rFonts w:asciiTheme="majorHAnsi" w:hAnsiTheme="majorHAnsi" w:cstheme="majorHAnsi"/>
        </w:rPr>
        <w:t xml:space="preserve">Department </w:t>
      </w:r>
      <w:r w:rsidRPr="00455CA7">
        <w:rPr>
          <w:rFonts w:asciiTheme="majorHAnsi" w:hAnsiTheme="majorHAnsi" w:cstheme="majorHAnsi"/>
          <w:lang w:eastAsia="en-AU"/>
        </w:rPr>
        <w:t>may:</w:t>
      </w:r>
    </w:p>
    <w:p w:rsidR="000A1331" w:rsidRPr="00455CA7" w:rsidRDefault="000A1331" w:rsidP="000A1331">
      <w:pPr>
        <w:numPr>
          <w:ilvl w:val="0"/>
          <w:numId w:val="16"/>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terminate the grant agreement</w:t>
      </w:r>
    </w:p>
    <w:p w:rsidR="000A1331" w:rsidRPr="00455CA7" w:rsidRDefault="000A1331" w:rsidP="000A1331">
      <w:pPr>
        <w:numPr>
          <w:ilvl w:val="0"/>
          <w:numId w:val="16"/>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shorten the grant funding period</w:t>
      </w:r>
    </w:p>
    <w:p w:rsidR="000A1331" w:rsidRPr="00455CA7" w:rsidRDefault="000A1331" w:rsidP="000A1331">
      <w:pPr>
        <w:numPr>
          <w:ilvl w:val="0"/>
          <w:numId w:val="16"/>
        </w:numPr>
        <w:suppressAutoHyphens w:val="0"/>
        <w:spacing w:before="0" w:after="0" w:line="240" w:lineRule="auto"/>
        <w:ind w:left="714" w:hanging="357"/>
        <w:rPr>
          <w:rFonts w:asciiTheme="majorHAnsi" w:hAnsiTheme="majorHAnsi" w:cstheme="majorHAnsi"/>
        </w:rPr>
      </w:pPr>
      <w:proofErr w:type="gramStart"/>
      <w:r w:rsidRPr="00455CA7">
        <w:rPr>
          <w:rFonts w:asciiTheme="majorHAnsi" w:hAnsiTheme="majorHAnsi" w:cstheme="majorHAnsi"/>
        </w:rPr>
        <w:t>withhold</w:t>
      </w:r>
      <w:proofErr w:type="gramEnd"/>
      <w:r w:rsidRPr="00455CA7">
        <w:rPr>
          <w:rFonts w:asciiTheme="majorHAnsi" w:hAnsiTheme="majorHAnsi" w:cstheme="majorHAnsi"/>
        </w:rPr>
        <w:t xml:space="preserve"> payment until the issue is resolved</w:t>
      </w:r>
      <w:r>
        <w:rPr>
          <w:rFonts w:asciiTheme="majorHAnsi" w:hAnsiTheme="majorHAnsi" w:cstheme="majorHAnsi"/>
        </w:rPr>
        <w:t>.</w:t>
      </w:r>
    </w:p>
    <w:p w:rsidR="000A1331" w:rsidRDefault="000A1331" w:rsidP="000A1331">
      <w:pPr>
        <w:spacing w:before="120"/>
        <w:rPr>
          <w:rFonts w:asciiTheme="majorHAnsi" w:hAnsiTheme="majorHAnsi" w:cstheme="majorHAnsi"/>
          <w:bCs/>
          <w:lang w:eastAsia="en-AU"/>
        </w:rPr>
      </w:pPr>
      <w:r w:rsidRPr="00455CA7">
        <w:rPr>
          <w:rFonts w:asciiTheme="majorHAnsi" w:hAnsiTheme="majorHAnsi" w:cstheme="majorHAnsi"/>
          <w:bCs/>
          <w:lang w:eastAsia="en-AU"/>
        </w:rPr>
        <w:t xml:space="preserve">You should not make financial commitments until </w:t>
      </w:r>
      <w:r w:rsidR="008B29B3" w:rsidRPr="00455CA7">
        <w:rPr>
          <w:rFonts w:asciiTheme="majorHAnsi" w:hAnsiTheme="majorHAnsi" w:cstheme="majorHAnsi"/>
          <w:bCs/>
          <w:lang w:eastAsia="en-AU"/>
        </w:rPr>
        <w:t>the Commonwealth has executed a grant agreement</w:t>
      </w:r>
      <w:r w:rsidR="008B29B3">
        <w:rPr>
          <w:rFonts w:asciiTheme="majorHAnsi" w:hAnsiTheme="majorHAnsi" w:cstheme="majorHAnsi"/>
          <w:bCs/>
          <w:lang w:eastAsia="en-AU"/>
        </w:rPr>
        <w:t>.</w:t>
      </w:r>
    </w:p>
    <w:p w:rsidR="00340616" w:rsidRDefault="00340616" w:rsidP="00856018">
      <w:pPr>
        <w:pStyle w:val="Heading2Numbered"/>
      </w:pPr>
      <w:bookmarkStart w:id="122" w:name="_Toc522006577"/>
      <w:r>
        <w:t>How the grant will be paid</w:t>
      </w:r>
      <w:bookmarkEnd w:id="121"/>
      <w:bookmarkEnd w:id="122"/>
    </w:p>
    <w:p w:rsidR="00340616" w:rsidRDefault="009C753C" w:rsidP="00856018">
      <w:pPr>
        <w:keepNext/>
        <w:keepLines/>
        <w:tabs>
          <w:tab w:val="left" w:pos="0"/>
        </w:tabs>
        <w:rPr>
          <w:bCs/>
          <w:lang w:eastAsia="en-AU"/>
        </w:rPr>
      </w:pPr>
      <w:r>
        <w:rPr>
          <w:bCs/>
          <w:lang w:eastAsia="en-AU"/>
        </w:rPr>
        <w:t>The grant agreement will state the:</w:t>
      </w:r>
    </w:p>
    <w:p w:rsidR="009C753C" w:rsidRPr="000A1331" w:rsidRDefault="009C753C" w:rsidP="00856018">
      <w:pPr>
        <w:keepNext/>
        <w:keepLines/>
        <w:numPr>
          <w:ilvl w:val="0"/>
          <w:numId w:val="35"/>
        </w:numPr>
        <w:suppressAutoHyphens w:val="0"/>
        <w:spacing w:before="0" w:after="0" w:line="240" w:lineRule="auto"/>
        <w:ind w:left="714" w:hanging="357"/>
        <w:rPr>
          <w:rFonts w:asciiTheme="majorHAnsi" w:hAnsiTheme="majorHAnsi" w:cstheme="majorHAnsi"/>
        </w:rPr>
      </w:pPr>
      <w:r w:rsidRPr="000A1331">
        <w:rPr>
          <w:rFonts w:asciiTheme="majorHAnsi" w:hAnsiTheme="majorHAnsi" w:cstheme="majorHAnsi"/>
        </w:rPr>
        <w:t>Maximum amount to be paid</w:t>
      </w:r>
    </w:p>
    <w:p w:rsidR="009C753C" w:rsidRPr="000A1331" w:rsidRDefault="009C753C" w:rsidP="00856018">
      <w:pPr>
        <w:keepNext/>
        <w:keepLines/>
        <w:numPr>
          <w:ilvl w:val="0"/>
          <w:numId w:val="35"/>
        </w:numPr>
        <w:suppressAutoHyphens w:val="0"/>
        <w:spacing w:before="0" w:after="0" w:line="240" w:lineRule="auto"/>
        <w:ind w:left="714" w:hanging="357"/>
        <w:rPr>
          <w:rFonts w:asciiTheme="majorHAnsi" w:hAnsiTheme="majorHAnsi" w:cstheme="majorHAnsi"/>
        </w:rPr>
      </w:pPr>
      <w:r w:rsidRPr="000A1331">
        <w:rPr>
          <w:rFonts w:asciiTheme="majorHAnsi" w:hAnsiTheme="majorHAnsi" w:cstheme="majorHAnsi"/>
        </w:rPr>
        <w:t>Activity requirements</w:t>
      </w:r>
    </w:p>
    <w:p w:rsidR="009C753C" w:rsidRPr="000A1331" w:rsidRDefault="009C753C" w:rsidP="00856018">
      <w:pPr>
        <w:keepNext/>
        <w:keepLines/>
        <w:numPr>
          <w:ilvl w:val="0"/>
          <w:numId w:val="35"/>
        </w:numPr>
        <w:suppressAutoHyphens w:val="0"/>
        <w:spacing w:before="0" w:after="0" w:line="240" w:lineRule="auto"/>
        <w:ind w:left="714" w:hanging="357"/>
        <w:rPr>
          <w:rFonts w:asciiTheme="majorHAnsi" w:hAnsiTheme="majorHAnsi" w:cstheme="majorHAnsi"/>
        </w:rPr>
      </w:pPr>
      <w:r w:rsidRPr="000A1331">
        <w:rPr>
          <w:rFonts w:asciiTheme="majorHAnsi" w:hAnsiTheme="majorHAnsi" w:cstheme="majorHAnsi"/>
        </w:rPr>
        <w:t>Payment amount and milestones</w:t>
      </w:r>
    </w:p>
    <w:p w:rsidR="009C753C" w:rsidRPr="000A1331" w:rsidRDefault="009C753C" w:rsidP="00856018">
      <w:pPr>
        <w:keepNext/>
        <w:keepLines/>
        <w:numPr>
          <w:ilvl w:val="0"/>
          <w:numId w:val="35"/>
        </w:numPr>
        <w:suppressAutoHyphens w:val="0"/>
        <w:spacing w:before="0" w:after="0" w:line="240" w:lineRule="auto"/>
        <w:ind w:left="714" w:hanging="357"/>
        <w:rPr>
          <w:rFonts w:asciiTheme="majorHAnsi" w:hAnsiTheme="majorHAnsi" w:cstheme="majorHAnsi"/>
        </w:rPr>
      </w:pPr>
      <w:r w:rsidRPr="000A1331">
        <w:rPr>
          <w:rFonts w:asciiTheme="majorHAnsi" w:hAnsiTheme="majorHAnsi" w:cstheme="majorHAnsi"/>
        </w:rPr>
        <w:t>Performance indicators</w:t>
      </w:r>
    </w:p>
    <w:p w:rsidR="009C753C" w:rsidRPr="000A1331" w:rsidRDefault="009C753C" w:rsidP="00856018">
      <w:pPr>
        <w:keepNext/>
        <w:keepLines/>
        <w:numPr>
          <w:ilvl w:val="0"/>
          <w:numId w:val="35"/>
        </w:numPr>
        <w:suppressAutoHyphens w:val="0"/>
        <w:spacing w:before="0" w:after="0" w:line="240" w:lineRule="auto"/>
        <w:ind w:left="714" w:hanging="357"/>
        <w:rPr>
          <w:rFonts w:asciiTheme="majorHAnsi" w:hAnsiTheme="majorHAnsi" w:cstheme="majorHAnsi"/>
        </w:rPr>
      </w:pPr>
      <w:r w:rsidRPr="000A1331">
        <w:rPr>
          <w:rFonts w:asciiTheme="majorHAnsi" w:hAnsiTheme="majorHAnsi" w:cstheme="majorHAnsi"/>
        </w:rPr>
        <w:t>Reporting milestones</w:t>
      </w:r>
    </w:p>
    <w:p w:rsidR="000A1331" w:rsidRPr="000A1331" w:rsidRDefault="009C753C" w:rsidP="00856018">
      <w:pPr>
        <w:keepNext/>
        <w:keepLines/>
        <w:numPr>
          <w:ilvl w:val="0"/>
          <w:numId w:val="35"/>
        </w:numPr>
        <w:suppressAutoHyphens w:val="0"/>
        <w:spacing w:before="0" w:after="0" w:line="240" w:lineRule="auto"/>
        <w:ind w:left="714" w:hanging="357"/>
        <w:rPr>
          <w:rFonts w:asciiTheme="majorHAnsi" w:hAnsiTheme="majorHAnsi" w:cstheme="majorHAnsi"/>
        </w:rPr>
      </w:pPr>
      <w:r w:rsidRPr="000A1331">
        <w:rPr>
          <w:rFonts w:asciiTheme="majorHAnsi" w:hAnsiTheme="majorHAnsi" w:cstheme="majorHAnsi"/>
        </w:rPr>
        <w:t>Financial acquittal requirements</w:t>
      </w:r>
      <w:r w:rsidR="000A1331">
        <w:rPr>
          <w:rFonts w:asciiTheme="majorHAnsi" w:hAnsiTheme="majorHAnsi" w:cstheme="majorHAnsi"/>
        </w:rPr>
        <w:t>.</w:t>
      </w:r>
    </w:p>
    <w:p w:rsidR="000A1331" w:rsidRPr="00455CA7" w:rsidRDefault="000A1331" w:rsidP="000A1331">
      <w:pPr>
        <w:tabs>
          <w:tab w:val="left" w:pos="0"/>
        </w:tabs>
        <w:spacing w:before="120" w:after="0"/>
        <w:rPr>
          <w:rFonts w:asciiTheme="majorHAnsi" w:hAnsiTheme="majorHAnsi" w:cstheme="majorHAnsi"/>
          <w:bCs/>
          <w:lang w:eastAsia="en-AU"/>
        </w:rPr>
      </w:pPr>
      <w:bookmarkStart w:id="123" w:name="_Toc451936378"/>
      <w:bookmarkStart w:id="124" w:name="_Toc467773982"/>
      <w:r w:rsidRPr="00455CA7">
        <w:rPr>
          <w:rFonts w:asciiTheme="majorHAnsi" w:hAnsiTheme="majorHAnsi" w:cstheme="majorHAnsi"/>
          <w:bCs/>
          <w:lang w:eastAsia="en-AU"/>
        </w:rPr>
        <w:t>We will make an initial payment on the date shown in your grant agreement, when the gran</w:t>
      </w:r>
      <w:r>
        <w:rPr>
          <w:rFonts w:asciiTheme="majorHAnsi" w:hAnsiTheme="majorHAnsi" w:cstheme="majorHAnsi"/>
          <w:bCs/>
          <w:lang w:eastAsia="en-AU"/>
        </w:rPr>
        <w:t xml:space="preserve">t agreement has been executed. </w:t>
      </w:r>
      <w:r w:rsidRPr="00455CA7">
        <w:rPr>
          <w:rFonts w:asciiTheme="majorHAnsi" w:hAnsiTheme="majorHAnsi" w:cstheme="majorHAnsi"/>
          <w:bCs/>
          <w:lang w:eastAsia="en-AU"/>
        </w:rPr>
        <w:t>We will then make six monthly payments on the dates shown in your grant agreement.</w:t>
      </w:r>
    </w:p>
    <w:p w:rsidR="000A1331" w:rsidRPr="00455CA7" w:rsidRDefault="000A1331" w:rsidP="000A1331">
      <w:pPr>
        <w:spacing w:before="120" w:after="0"/>
        <w:rPr>
          <w:rFonts w:asciiTheme="majorHAnsi" w:hAnsiTheme="majorHAnsi" w:cstheme="majorHAnsi"/>
        </w:rPr>
      </w:pPr>
      <w:r w:rsidRPr="00455CA7">
        <w:rPr>
          <w:rFonts w:asciiTheme="majorHAnsi" w:hAnsiTheme="majorHAnsi" w:cstheme="majorHAnsi"/>
          <w:bCs/>
          <w:lang w:eastAsia="en-AU"/>
        </w:rPr>
        <w:t xml:space="preserve">If you incur extra expenditure, you must </w:t>
      </w:r>
      <w:r w:rsidR="008B29B3">
        <w:rPr>
          <w:rFonts w:asciiTheme="majorHAnsi" w:hAnsiTheme="majorHAnsi" w:cstheme="majorHAnsi"/>
          <w:bCs/>
          <w:lang w:eastAsia="en-AU"/>
        </w:rPr>
        <w:t>bear the costs.</w:t>
      </w:r>
    </w:p>
    <w:p w:rsidR="00340616" w:rsidRDefault="00340616" w:rsidP="0054078D">
      <w:pPr>
        <w:pStyle w:val="Heading1Numbered"/>
      </w:pPr>
      <w:bookmarkStart w:id="125" w:name="_Toc467773983"/>
      <w:bookmarkStart w:id="126" w:name="_Toc522006578"/>
      <w:bookmarkEnd w:id="123"/>
      <w:bookmarkEnd w:id="124"/>
      <w:r w:rsidRPr="001607E9">
        <w:lastRenderedPageBreak/>
        <w:t>Announcement</w:t>
      </w:r>
      <w:r>
        <w:t xml:space="preserve"> of grants</w:t>
      </w:r>
      <w:bookmarkEnd w:id="125"/>
      <w:bookmarkEnd w:id="126"/>
    </w:p>
    <w:p w:rsidR="00966462" w:rsidRPr="00966462" w:rsidRDefault="00966462" w:rsidP="00966462">
      <w:pPr>
        <w:rPr>
          <w:iCs/>
        </w:rPr>
      </w:pPr>
      <w:r>
        <w:t xml:space="preserve">If successful, your grant will be listed on </w:t>
      </w:r>
      <w:hyperlink r:id="rId21" w:history="1">
        <w:r w:rsidRPr="000510F7">
          <w:rPr>
            <w:rStyle w:val="Hyperlink"/>
            <w:rFonts w:cstheme="minorBidi"/>
          </w:rPr>
          <w:t>GrantConnect</w:t>
        </w:r>
      </w:hyperlink>
      <w:r>
        <w:t xml:space="preserve"> </w:t>
      </w:r>
      <w:r w:rsidR="00FF793D">
        <w:t xml:space="preserve">no later than </w:t>
      </w:r>
      <w:r w:rsidR="000510F7">
        <w:t>21 calendar days</w:t>
      </w:r>
      <w:r>
        <w:t xml:space="preserve"> after the date of effect as required by Section 5.3 of the </w:t>
      </w:r>
      <w:r w:rsidR="008B29B3">
        <w:rPr>
          <w:i/>
          <w:iCs/>
        </w:rPr>
        <w:t>CGRGs.</w:t>
      </w:r>
    </w:p>
    <w:p w:rsidR="00340616" w:rsidRPr="00B72EE8" w:rsidRDefault="00340616" w:rsidP="0054078D">
      <w:pPr>
        <w:pStyle w:val="Heading1Numbered"/>
      </w:pPr>
      <w:bookmarkStart w:id="127" w:name="_Toc421777623"/>
      <w:bookmarkStart w:id="128" w:name="_Toc467773984"/>
      <w:bookmarkStart w:id="129" w:name="_Toc522006579"/>
      <w:r w:rsidRPr="00B72EE8">
        <w:t xml:space="preserve">Delivery of </w:t>
      </w:r>
      <w:r>
        <w:t>g</w:t>
      </w:r>
      <w:r w:rsidRPr="00B72EE8">
        <w:t>rant</w:t>
      </w:r>
      <w:r>
        <w:t xml:space="preserve"> activities</w:t>
      </w:r>
      <w:bookmarkEnd w:id="127"/>
      <w:bookmarkEnd w:id="128"/>
      <w:bookmarkEnd w:id="129"/>
    </w:p>
    <w:p w:rsidR="00340616" w:rsidRPr="00B72EE8" w:rsidDel="00D505A5" w:rsidRDefault="00340616" w:rsidP="00892C8B">
      <w:pPr>
        <w:pStyle w:val="Heading2Numbered"/>
        <w:ind w:left="709" w:hanging="709"/>
      </w:pPr>
      <w:bookmarkStart w:id="130" w:name="_Toc421777624"/>
      <w:bookmarkStart w:id="131" w:name="_Toc433641185"/>
      <w:bookmarkStart w:id="132" w:name="_Toc467773985"/>
      <w:bookmarkStart w:id="133" w:name="_Toc522006580"/>
      <w:r>
        <w:t>Your</w:t>
      </w:r>
      <w:r w:rsidRPr="00B72EE8" w:rsidDel="00D505A5">
        <w:t xml:space="preserve"> responsibilities</w:t>
      </w:r>
      <w:bookmarkEnd w:id="130"/>
      <w:bookmarkEnd w:id="131"/>
      <w:bookmarkEnd w:id="132"/>
      <w:bookmarkEnd w:id="133"/>
    </w:p>
    <w:p w:rsidR="002242EF" w:rsidRPr="00455CA7" w:rsidRDefault="002242EF" w:rsidP="002242EF">
      <w:pPr>
        <w:spacing w:before="120" w:after="0"/>
        <w:rPr>
          <w:rFonts w:asciiTheme="majorHAnsi" w:hAnsiTheme="majorHAnsi" w:cstheme="majorHAnsi"/>
        </w:rPr>
      </w:pPr>
      <w:r w:rsidRPr="00455CA7">
        <w:rPr>
          <w:rFonts w:asciiTheme="majorHAnsi" w:hAnsiTheme="majorHAnsi" w:cstheme="majorHAnsi"/>
        </w:rPr>
        <w:t xml:space="preserve">If successful you must carry out the grant activities in accordance with these guidelines and the grant agreement, which includes the standard terms and conditions and any supplementary conditions. The grant agreement will outline the specific grant requirements. </w:t>
      </w:r>
    </w:p>
    <w:p w:rsidR="002242EF" w:rsidRPr="00455CA7" w:rsidRDefault="002242EF" w:rsidP="002242EF">
      <w:pPr>
        <w:keepNext/>
        <w:keepLines/>
        <w:spacing w:before="120" w:after="0"/>
        <w:rPr>
          <w:rFonts w:asciiTheme="majorHAnsi" w:eastAsia="Arial" w:hAnsiTheme="majorHAnsi" w:cstheme="majorHAnsi"/>
        </w:rPr>
      </w:pPr>
      <w:r w:rsidRPr="00455CA7">
        <w:rPr>
          <w:rFonts w:asciiTheme="majorHAnsi" w:eastAsia="Arial" w:hAnsiTheme="majorHAnsi" w:cstheme="majorHAnsi"/>
        </w:rPr>
        <w:t>You will also be responsible for:</w:t>
      </w:r>
    </w:p>
    <w:p w:rsidR="002242EF" w:rsidRPr="0023692C" w:rsidRDefault="002242EF" w:rsidP="002242EF">
      <w:pPr>
        <w:keepNext/>
        <w:keepLines/>
        <w:numPr>
          <w:ilvl w:val="0"/>
          <w:numId w:val="16"/>
        </w:numPr>
        <w:suppressAutoHyphens w:val="0"/>
        <w:spacing w:before="60" w:after="0" w:line="240" w:lineRule="auto"/>
        <w:ind w:left="714" w:hanging="357"/>
        <w:rPr>
          <w:rFonts w:asciiTheme="majorHAnsi" w:hAnsiTheme="majorHAnsi" w:cstheme="majorHAnsi"/>
        </w:rPr>
      </w:pPr>
      <w:r w:rsidRPr="0023692C">
        <w:rPr>
          <w:rFonts w:asciiTheme="majorHAnsi" w:hAnsiTheme="majorHAnsi" w:cstheme="majorHAnsi"/>
        </w:rPr>
        <w:t>meeting</w:t>
      </w:r>
      <w:r w:rsidRPr="0023692C" w:rsidDel="00D505A5">
        <w:rPr>
          <w:rFonts w:asciiTheme="majorHAnsi" w:hAnsiTheme="majorHAnsi" w:cstheme="majorHAnsi"/>
        </w:rPr>
        <w:t xml:space="preserve"> the terms and conditions of the grant agreement </w:t>
      </w:r>
      <w:r w:rsidRPr="0023692C">
        <w:rPr>
          <w:rFonts w:asciiTheme="majorHAnsi" w:hAnsiTheme="majorHAnsi" w:cstheme="majorHAnsi"/>
        </w:rPr>
        <w:t>and managing the</w:t>
      </w:r>
      <w:r w:rsidRPr="0023692C" w:rsidDel="00D505A5">
        <w:rPr>
          <w:rFonts w:asciiTheme="majorHAnsi" w:hAnsiTheme="majorHAnsi" w:cstheme="majorHAnsi"/>
        </w:rPr>
        <w:t xml:space="preserve"> activity efficient</w:t>
      </w:r>
      <w:r w:rsidRPr="0023692C">
        <w:rPr>
          <w:rFonts w:asciiTheme="majorHAnsi" w:hAnsiTheme="majorHAnsi" w:cstheme="majorHAnsi"/>
        </w:rPr>
        <w:t>ly</w:t>
      </w:r>
      <w:r w:rsidRPr="0023692C" w:rsidDel="00D505A5">
        <w:rPr>
          <w:rFonts w:asciiTheme="majorHAnsi" w:hAnsiTheme="majorHAnsi" w:cstheme="majorHAnsi"/>
        </w:rPr>
        <w:t xml:space="preserve"> and effective</w:t>
      </w:r>
      <w:r w:rsidRPr="0023692C">
        <w:rPr>
          <w:rFonts w:asciiTheme="majorHAnsi" w:hAnsiTheme="majorHAnsi" w:cstheme="majorHAnsi"/>
        </w:rPr>
        <w:t>ly</w:t>
      </w:r>
    </w:p>
    <w:p w:rsidR="002242EF" w:rsidRPr="0023692C" w:rsidDel="00D505A5" w:rsidRDefault="002242EF" w:rsidP="002242EF">
      <w:pPr>
        <w:keepNext/>
        <w:keepLines/>
        <w:numPr>
          <w:ilvl w:val="0"/>
          <w:numId w:val="16"/>
        </w:numPr>
        <w:suppressAutoHyphens w:val="0"/>
        <w:spacing w:before="0" w:after="0" w:line="240" w:lineRule="auto"/>
        <w:ind w:left="714" w:hanging="357"/>
        <w:rPr>
          <w:rFonts w:asciiTheme="majorHAnsi" w:hAnsiTheme="majorHAnsi" w:cstheme="majorHAnsi"/>
        </w:rPr>
      </w:pPr>
      <w:r w:rsidRPr="0023692C">
        <w:rPr>
          <w:rFonts w:asciiTheme="majorHAnsi" w:hAnsiTheme="majorHAnsi" w:cstheme="majorHAnsi"/>
        </w:rPr>
        <w:t>meeting milestones and other timeframes specified in the grant agreement</w:t>
      </w:r>
    </w:p>
    <w:p w:rsidR="002242EF" w:rsidRPr="0023692C" w:rsidDel="00D505A5" w:rsidRDefault="002242EF" w:rsidP="002242EF">
      <w:pPr>
        <w:keepNext/>
        <w:keepLines/>
        <w:numPr>
          <w:ilvl w:val="0"/>
          <w:numId w:val="16"/>
        </w:numPr>
        <w:suppressAutoHyphens w:val="0"/>
        <w:spacing w:before="0" w:after="0" w:line="240" w:lineRule="auto"/>
        <w:ind w:left="714" w:hanging="357"/>
        <w:rPr>
          <w:rFonts w:asciiTheme="majorHAnsi" w:hAnsiTheme="majorHAnsi" w:cstheme="majorHAnsi"/>
        </w:rPr>
      </w:pPr>
      <w:r w:rsidRPr="0023692C" w:rsidDel="00D505A5">
        <w:rPr>
          <w:rFonts w:asciiTheme="majorHAnsi" w:hAnsiTheme="majorHAnsi" w:cstheme="majorHAnsi"/>
        </w:rPr>
        <w:t xml:space="preserve">complying with record keeping, reporting and acquittal requirements </w:t>
      </w:r>
      <w:r w:rsidRPr="0023692C">
        <w:rPr>
          <w:rFonts w:asciiTheme="majorHAnsi" w:hAnsiTheme="majorHAnsi" w:cstheme="majorHAnsi"/>
        </w:rPr>
        <w:t>in accordance with the grant agreement</w:t>
      </w:r>
    </w:p>
    <w:p w:rsidR="002242EF" w:rsidRPr="0023692C" w:rsidRDefault="002242EF" w:rsidP="002242EF">
      <w:pPr>
        <w:keepNext/>
        <w:keepLines/>
        <w:numPr>
          <w:ilvl w:val="0"/>
          <w:numId w:val="16"/>
        </w:numPr>
        <w:suppressAutoHyphens w:val="0"/>
        <w:spacing w:before="0" w:after="0" w:line="240" w:lineRule="auto"/>
        <w:ind w:left="714" w:hanging="357"/>
        <w:rPr>
          <w:rFonts w:asciiTheme="majorHAnsi" w:hAnsiTheme="majorHAnsi" w:cstheme="majorHAnsi"/>
        </w:rPr>
      </w:pPr>
      <w:r w:rsidRPr="0023692C" w:rsidDel="00D505A5">
        <w:rPr>
          <w:rFonts w:asciiTheme="majorHAnsi" w:hAnsiTheme="majorHAnsi" w:cstheme="majorHAnsi"/>
        </w:rPr>
        <w:t xml:space="preserve">participating in </w:t>
      </w:r>
      <w:r w:rsidRPr="0023692C">
        <w:rPr>
          <w:rFonts w:asciiTheme="majorHAnsi" w:hAnsiTheme="majorHAnsi" w:cstheme="majorHAnsi"/>
        </w:rPr>
        <w:t>grant program e</w:t>
      </w:r>
      <w:r w:rsidRPr="0023692C" w:rsidDel="00D505A5">
        <w:rPr>
          <w:rFonts w:asciiTheme="majorHAnsi" w:hAnsiTheme="majorHAnsi" w:cstheme="majorHAnsi"/>
        </w:rPr>
        <w:t xml:space="preserve">valuation </w:t>
      </w:r>
      <w:r w:rsidRPr="0023692C">
        <w:rPr>
          <w:rFonts w:asciiTheme="majorHAnsi" w:hAnsiTheme="majorHAnsi" w:cstheme="majorHAnsi"/>
        </w:rPr>
        <w:t>as necessary for the period specified in the grant agreement</w:t>
      </w:r>
    </w:p>
    <w:p w:rsidR="002242EF" w:rsidRPr="0023692C" w:rsidRDefault="002242EF" w:rsidP="002242EF">
      <w:pPr>
        <w:keepNext/>
        <w:keepLines/>
        <w:numPr>
          <w:ilvl w:val="0"/>
          <w:numId w:val="16"/>
        </w:numPr>
        <w:suppressAutoHyphens w:val="0"/>
        <w:spacing w:before="0" w:after="0" w:line="240" w:lineRule="auto"/>
        <w:ind w:left="714" w:hanging="357"/>
        <w:rPr>
          <w:rFonts w:asciiTheme="majorHAnsi" w:hAnsiTheme="majorHAnsi" w:cstheme="majorHAnsi"/>
        </w:rPr>
      </w:pPr>
      <w:proofErr w:type="gramStart"/>
      <w:r w:rsidRPr="0023692C">
        <w:rPr>
          <w:rFonts w:asciiTheme="majorHAnsi" w:hAnsiTheme="majorHAnsi" w:cstheme="majorHAnsi"/>
        </w:rPr>
        <w:t>ensuring</w:t>
      </w:r>
      <w:proofErr w:type="gramEnd"/>
      <w:r w:rsidRPr="0023692C">
        <w:rPr>
          <w:rFonts w:asciiTheme="majorHAnsi" w:hAnsiTheme="majorHAnsi" w:cstheme="majorHAnsi"/>
        </w:rPr>
        <w:t xml:space="preserve"> that the grant activity outputs and outcomes are in accordance with the grant agreement.</w:t>
      </w:r>
    </w:p>
    <w:p w:rsidR="002242EF" w:rsidRPr="00455CA7" w:rsidRDefault="002242EF" w:rsidP="002242EF">
      <w:pPr>
        <w:spacing w:before="120" w:after="0"/>
        <w:rPr>
          <w:rFonts w:asciiTheme="majorHAnsi" w:hAnsiTheme="majorHAnsi" w:cstheme="majorHAnsi"/>
        </w:rPr>
      </w:pPr>
      <w:r w:rsidRPr="00455CA7">
        <w:rPr>
          <w:rFonts w:asciiTheme="majorHAnsi" w:hAnsiTheme="majorHAnsi" w:cstheme="majorHAnsi"/>
        </w:rPr>
        <w:t xml:space="preserve">Providers delivering services under </w:t>
      </w:r>
      <w:r>
        <w:rPr>
          <w:rFonts w:asciiTheme="majorHAnsi" w:hAnsiTheme="majorHAnsi" w:cstheme="majorHAnsi"/>
        </w:rPr>
        <w:t>the Redress Support Services program</w:t>
      </w:r>
      <w:r w:rsidRPr="00455CA7">
        <w:rPr>
          <w:rFonts w:asciiTheme="majorHAnsi" w:hAnsiTheme="majorHAnsi" w:cstheme="majorHAnsi"/>
        </w:rPr>
        <w:t xml:space="preserve"> must comply with all relevant Commonwealth and </w:t>
      </w:r>
      <w:r w:rsidR="00FF793D">
        <w:rPr>
          <w:rFonts w:asciiTheme="majorHAnsi" w:hAnsiTheme="majorHAnsi" w:cstheme="majorHAnsi"/>
        </w:rPr>
        <w:t>s</w:t>
      </w:r>
      <w:r w:rsidRPr="00455CA7">
        <w:rPr>
          <w:rFonts w:asciiTheme="majorHAnsi" w:hAnsiTheme="majorHAnsi" w:cstheme="majorHAnsi"/>
        </w:rPr>
        <w:t xml:space="preserve">tate and </w:t>
      </w:r>
      <w:r w:rsidR="00FF793D">
        <w:rPr>
          <w:rFonts w:asciiTheme="majorHAnsi" w:hAnsiTheme="majorHAnsi" w:cstheme="majorHAnsi"/>
        </w:rPr>
        <w:t>t</w:t>
      </w:r>
      <w:r w:rsidRPr="00455CA7">
        <w:rPr>
          <w:rFonts w:asciiTheme="majorHAnsi" w:hAnsiTheme="majorHAnsi" w:cstheme="majorHAnsi"/>
        </w:rPr>
        <w:t>erritory legislation and regulations.  It is particularly important that all services meet all requirements for working with vulnerable people and state-based working with children checks.</w:t>
      </w:r>
    </w:p>
    <w:p w:rsidR="002242EF" w:rsidRPr="00455CA7" w:rsidRDefault="002242EF" w:rsidP="002242EF">
      <w:pPr>
        <w:pStyle w:val="Bullet1"/>
        <w:keepNext/>
        <w:keepLines/>
        <w:numPr>
          <w:ilvl w:val="0"/>
          <w:numId w:val="0"/>
        </w:numPr>
        <w:spacing w:after="0"/>
        <w:rPr>
          <w:rFonts w:asciiTheme="majorHAnsi" w:hAnsiTheme="majorHAnsi" w:cstheme="majorHAnsi"/>
        </w:rPr>
      </w:pPr>
      <w:r>
        <w:rPr>
          <w:rFonts w:asciiTheme="majorHAnsi" w:hAnsiTheme="majorHAnsi" w:cstheme="majorHAnsi"/>
        </w:rPr>
        <w:t xml:space="preserve">Redress Support Services program service providers </w:t>
      </w:r>
      <w:r w:rsidRPr="00455CA7">
        <w:rPr>
          <w:rFonts w:asciiTheme="majorHAnsi" w:hAnsiTheme="majorHAnsi" w:cstheme="majorHAnsi"/>
        </w:rPr>
        <w:t>will comply with Commonwealth legislation including:</w:t>
      </w:r>
    </w:p>
    <w:p w:rsidR="00EB54B1" w:rsidRPr="00EB54B1" w:rsidRDefault="00EB54B1" w:rsidP="002242EF">
      <w:pPr>
        <w:keepNext/>
        <w:keepLines/>
        <w:numPr>
          <w:ilvl w:val="0"/>
          <w:numId w:val="16"/>
        </w:numPr>
        <w:suppressAutoHyphens w:val="0"/>
        <w:spacing w:before="60" w:after="0" w:line="240" w:lineRule="auto"/>
        <w:ind w:left="714" w:hanging="357"/>
        <w:rPr>
          <w:rFonts w:asciiTheme="majorHAnsi" w:hAnsiTheme="majorHAnsi" w:cstheme="majorHAnsi"/>
          <w:i/>
        </w:rPr>
      </w:pPr>
      <w:r w:rsidRPr="00EB54B1">
        <w:rPr>
          <w:rFonts w:asciiTheme="majorHAnsi" w:hAnsiTheme="majorHAnsi" w:cstheme="majorHAnsi"/>
          <w:i/>
        </w:rPr>
        <w:t xml:space="preserve">National Redress Scheme for Institutional Child Sexual Abuse Act 2018 </w:t>
      </w:r>
    </w:p>
    <w:p w:rsidR="002242EF" w:rsidRPr="00455CA7" w:rsidRDefault="002242EF" w:rsidP="00EB54B1">
      <w:pPr>
        <w:keepNext/>
        <w:keepLines/>
        <w:numPr>
          <w:ilvl w:val="0"/>
          <w:numId w:val="16"/>
        </w:numPr>
        <w:suppressAutoHyphens w:val="0"/>
        <w:spacing w:before="0" w:after="0" w:line="240" w:lineRule="auto"/>
        <w:ind w:left="714" w:hanging="357"/>
        <w:rPr>
          <w:rFonts w:asciiTheme="majorHAnsi" w:hAnsiTheme="majorHAnsi" w:cstheme="majorHAnsi"/>
        </w:rPr>
      </w:pPr>
      <w:r w:rsidRPr="00EB54B1">
        <w:rPr>
          <w:rFonts w:asciiTheme="majorHAnsi" w:hAnsiTheme="majorHAnsi" w:cstheme="majorHAnsi"/>
          <w:i/>
        </w:rPr>
        <w:t>Privacy Act 1988</w:t>
      </w:r>
      <w:r w:rsidRPr="00455CA7">
        <w:rPr>
          <w:rFonts w:asciiTheme="majorHAnsi" w:hAnsiTheme="majorHAnsi" w:cstheme="majorHAnsi"/>
        </w:rPr>
        <w:t xml:space="preserve"> (C</w:t>
      </w:r>
      <w:r w:rsidR="00A72CEC">
        <w:rPr>
          <w:rFonts w:asciiTheme="majorHAnsi" w:hAnsiTheme="majorHAnsi" w:cstheme="majorHAnsi"/>
        </w:rPr>
        <w:t>ommonweal</w:t>
      </w:r>
      <w:r w:rsidRPr="00455CA7">
        <w:rPr>
          <w:rFonts w:asciiTheme="majorHAnsi" w:hAnsiTheme="majorHAnsi" w:cstheme="majorHAnsi"/>
        </w:rPr>
        <w:t>th) in performing the obligations outlined in the grant agreement</w:t>
      </w:r>
    </w:p>
    <w:p w:rsidR="002242EF" w:rsidRPr="00455CA7" w:rsidRDefault="002242EF" w:rsidP="002242EF">
      <w:pPr>
        <w:keepNext/>
        <w:keepLines/>
        <w:numPr>
          <w:ilvl w:val="0"/>
          <w:numId w:val="16"/>
        </w:numPr>
        <w:suppressAutoHyphens w:val="0"/>
        <w:spacing w:before="0" w:after="0" w:line="240" w:lineRule="auto"/>
        <w:ind w:left="714" w:hanging="357"/>
        <w:rPr>
          <w:rFonts w:asciiTheme="majorHAnsi" w:hAnsiTheme="majorHAnsi" w:cstheme="majorHAnsi"/>
        </w:rPr>
      </w:pPr>
      <w:r w:rsidRPr="00EB54B1">
        <w:rPr>
          <w:rFonts w:asciiTheme="majorHAnsi" w:hAnsiTheme="majorHAnsi" w:cstheme="majorHAnsi"/>
          <w:i/>
        </w:rPr>
        <w:t>Copyright Act 1968</w:t>
      </w:r>
      <w:r w:rsidRPr="00455CA7">
        <w:rPr>
          <w:rFonts w:asciiTheme="majorHAnsi" w:hAnsiTheme="majorHAnsi" w:cstheme="majorHAnsi"/>
        </w:rPr>
        <w:t xml:space="preserve"> in regards to undertaking </w:t>
      </w:r>
      <w:r>
        <w:rPr>
          <w:rFonts w:asciiTheme="majorHAnsi" w:hAnsiTheme="majorHAnsi" w:cstheme="majorHAnsi"/>
        </w:rPr>
        <w:t>Redress Support Services</w:t>
      </w:r>
    </w:p>
    <w:p w:rsidR="002242EF" w:rsidRPr="00455CA7" w:rsidRDefault="002242EF" w:rsidP="002242EF">
      <w:pPr>
        <w:keepNext/>
        <w:keepLines/>
        <w:numPr>
          <w:ilvl w:val="0"/>
          <w:numId w:val="16"/>
        </w:numPr>
        <w:suppressAutoHyphens w:val="0"/>
        <w:spacing w:before="0" w:after="0" w:line="240" w:lineRule="auto"/>
        <w:ind w:left="714" w:hanging="357"/>
        <w:rPr>
          <w:rFonts w:asciiTheme="majorHAnsi" w:hAnsiTheme="majorHAnsi" w:cstheme="majorHAnsi"/>
        </w:rPr>
      </w:pPr>
      <w:r w:rsidRPr="00EB54B1">
        <w:rPr>
          <w:rFonts w:asciiTheme="majorHAnsi" w:hAnsiTheme="majorHAnsi" w:cstheme="majorHAnsi"/>
          <w:i/>
        </w:rPr>
        <w:t>Freedom of Information Act 1982</w:t>
      </w:r>
      <w:r w:rsidR="00EB54B1">
        <w:rPr>
          <w:rFonts w:asciiTheme="majorHAnsi" w:hAnsiTheme="majorHAnsi" w:cstheme="majorHAnsi"/>
        </w:rPr>
        <w:t xml:space="preserve"> (Commonwealth)</w:t>
      </w:r>
    </w:p>
    <w:p w:rsidR="002242EF" w:rsidRPr="00455CA7" w:rsidRDefault="002242EF" w:rsidP="002242EF">
      <w:pPr>
        <w:keepNext/>
        <w:keepLines/>
        <w:numPr>
          <w:ilvl w:val="0"/>
          <w:numId w:val="16"/>
        </w:numPr>
        <w:suppressAutoHyphens w:val="0"/>
        <w:spacing w:before="0" w:after="0" w:line="240" w:lineRule="auto"/>
        <w:ind w:left="714" w:hanging="357"/>
        <w:rPr>
          <w:rFonts w:asciiTheme="majorHAnsi" w:hAnsiTheme="majorHAnsi" w:cstheme="majorHAnsi"/>
        </w:rPr>
      </w:pPr>
      <w:r w:rsidRPr="00EB54B1">
        <w:rPr>
          <w:rFonts w:asciiTheme="majorHAnsi" w:hAnsiTheme="majorHAnsi" w:cstheme="majorHAnsi"/>
          <w:i/>
        </w:rPr>
        <w:t>Family Law Act 1975</w:t>
      </w:r>
    </w:p>
    <w:p w:rsidR="002242EF" w:rsidRPr="00EB54B1" w:rsidRDefault="002242EF" w:rsidP="002242EF">
      <w:pPr>
        <w:keepNext/>
        <w:keepLines/>
        <w:numPr>
          <w:ilvl w:val="0"/>
          <w:numId w:val="16"/>
        </w:numPr>
        <w:suppressAutoHyphens w:val="0"/>
        <w:spacing w:before="0" w:after="0" w:line="240" w:lineRule="auto"/>
        <w:ind w:left="714" w:hanging="357"/>
        <w:rPr>
          <w:rFonts w:asciiTheme="majorHAnsi" w:hAnsiTheme="majorHAnsi" w:cstheme="majorHAnsi"/>
          <w:i/>
        </w:rPr>
      </w:pPr>
      <w:r w:rsidRPr="00EB54B1">
        <w:rPr>
          <w:rFonts w:asciiTheme="majorHAnsi" w:hAnsiTheme="majorHAnsi" w:cstheme="majorHAnsi"/>
          <w:i/>
        </w:rPr>
        <w:t>Family Law Amendment (Shared Parental Responsibility) Act 2006</w:t>
      </w:r>
    </w:p>
    <w:p w:rsidR="002242EF" w:rsidRPr="00EB54B1" w:rsidRDefault="002242EF" w:rsidP="002242EF">
      <w:pPr>
        <w:keepNext/>
        <w:keepLines/>
        <w:numPr>
          <w:ilvl w:val="0"/>
          <w:numId w:val="16"/>
        </w:numPr>
        <w:suppressAutoHyphens w:val="0"/>
        <w:spacing w:before="0" w:after="0" w:line="240" w:lineRule="auto"/>
        <w:ind w:left="714" w:hanging="357"/>
        <w:rPr>
          <w:rFonts w:asciiTheme="majorHAnsi" w:hAnsiTheme="majorHAnsi" w:cstheme="majorHAnsi"/>
          <w:i/>
        </w:rPr>
      </w:pPr>
      <w:r w:rsidRPr="00EB54B1">
        <w:rPr>
          <w:rFonts w:asciiTheme="majorHAnsi" w:hAnsiTheme="majorHAnsi" w:cstheme="majorHAnsi"/>
          <w:i/>
        </w:rPr>
        <w:t>Family Law (Family Dispute Resolution Practitioners) Regulations 2008</w:t>
      </w:r>
    </w:p>
    <w:p w:rsidR="002242EF" w:rsidRPr="00EB54B1" w:rsidRDefault="002242EF" w:rsidP="002242EF">
      <w:pPr>
        <w:keepNext/>
        <w:keepLines/>
        <w:numPr>
          <w:ilvl w:val="0"/>
          <w:numId w:val="16"/>
        </w:numPr>
        <w:suppressAutoHyphens w:val="0"/>
        <w:spacing w:before="0" w:after="0" w:line="240" w:lineRule="auto"/>
        <w:ind w:left="714" w:hanging="357"/>
        <w:rPr>
          <w:rFonts w:asciiTheme="majorHAnsi" w:hAnsiTheme="majorHAnsi" w:cstheme="majorHAnsi"/>
          <w:i/>
        </w:rPr>
      </w:pPr>
      <w:r w:rsidRPr="00EB54B1">
        <w:rPr>
          <w:rFonts w:asciiTheme="majorHAnsi" w:hAnsiTheme="majorHAnsi" w:cstheme="majorHAnsi"/>
          <w:i/>
        </w:rPr>
        <w:t>Marriage Act 1961</w:t>
      </w:r>
      <w:r w:rsidR="00153EB6">
        <w:rPr>
          <w:rFonts w:asciiTheme="majorHAnsi" w:hAnsiTheme="majorHAnsi" w:cstheme="majorHAnsi"/>
          <w:i/>
        </w:rPr>
        <w:t xml:space="preserve"> </w:t>
      </w:r>
    </w:p>
    <w:p w:rsidR="002242EF" w:rsidRPr="00EB54B1" w:rsidRDefault="002242EF" w:rsidP="002242EF">
      <w:pPr>
        <w:keepNext/>
        <w:keepLines/>
        <w:numPr>
          <w:ilvl w:val="0"/>
          <w:numId w:val="16"/>
        </w:numPr>
        <w:suppressAutoHyphens w:val="0"/>
        <w:spacing w:before="0" w:after="0" w:line="240" w:lineRule="auto"/>
        <w:ind w:left="714" w:hanging="357"/>
        <w:rPr>
          <w:rFonts w:asciiTheme="majorHAnsi" w:hAnsiTheme="majorHAnsi" w:cstheme="majorHAnsi"/>
          <w:i/>
        </w:rPr>
      </w:pPr>
      <w:r w:rsidRPr="00EB54B1">
        <w:rPr>
          <w:rFonts w:asciiTheme="majorHAnsi" w:hAnsiTheme="majorHAnsi" w:cstheme="majorHAnsi"/>
          <w:i/>
        </w:rPr>
        <w:t>Sex Discrimination Act 1984</w:t>
      </w:r>
      <w:r w:rsidR="00D141E4">
        <w:rPr>
          <w:rFonts w:asciiTheme="majorHAnsi" w:hAnsiTheme="majorHAnsi" w:cstheme="majorHAnsi"/>
          <w:i/>
        </w:rPr>
        <w:t>.</w:t>
      </w:r>
    </w:p>
    <w:p w:rsidR="002242EF" w:rsidRPr="00455CA7" w:rsidDel="00D505A5" w:rsidRDefault="002242EF" w:rsidP="002242EF">
      <w:pPr>
        <w:pStyle w:val="Bullet1"/>
        <w:numPr>
          <w:ilvl w:val="0"/>
          <w:numId w:val="0"/>
        </w:numPr>
        <w:rPr>
          <w:rFonts w:asciiTheme="majorHAnsi" w:hAnsiTheme="majorHAnsi" w:cstheme="majorHAnsi"/>
        </w:rPr>
      </w:pPr>
      <w:r w:rsidRPr="00455CA7">
        <w:rPr>
          <w:rFonts w:asciiTheme="majorHAnsi" w:hAnsiTheme="majorHAnsi" w:cstheme="majorHAnsi"/>
        </w:rPr>
        <w:t>In delivering the Redress Support Service, organisations are required to comply with all relevant laws; and comply with D</w:t>
      </w:r>
      <w:r>
        <w:rPr>
          <w:rFonts w:asciiTheme="majorHAnsi" w:hAnsiTheme="majorHAnsi" w:cstheme="majorHAnsi"/>
        </w:rPr>
        <w:t xml:space="preserve">epartment </w:t>
      </w:r>
      <w:r w:rsidRPr="00455CA7">
        <w:rPr>
          <w:rFonts w:asciiTheme="majorHAnsi" w:hAnsiTheme="majorHAnsi" w:cstheme="majorHAnsi"/>
        </w:rPr>
        <w:t xml:space="preserve">Policies as specified at </w:t>
      </w:r>
      <w:hyperlink r:id="rId22" w:history="1">
        <w:r w:rsidRPr="00D46FAD">
          <w:rPr>
            <w:rStyle w:val="Hyperlink"/>
            <w:rFonts w:asciiTheme="majorHAnsi" w:hAnsiTheme="majorHAnsi" w:cstheme="majorHAnsi"/>
          </w:rPr>
          <w:t>Doing Business with Department of Social Services</w:t>
        </w:r>
      </w:hyperlink>
      <w:r w:rsidRPr="00455CA7">
        <w:rPr>
          <w:rFonts w:asciiTheme="majorHAnsi" w:hAnsiTheme="majorHAnsi" w:cstheme="majorHAnsi"/>
        </w:rPr>
        <w:t>.</w:t>
      </w:r>
    </w:p>
    <w:p w:rsidR="00340616" w:rsidRPr="00B72EE8" w:rsidRDefault="00CD5F87" w:rsidP="00953463">
      <w:pPr>
        <w:pStyle w:val="Heading2Numbered"/>
        <w:ind w:left="709" w:hanging="709"/>
      </w:pPr>
      <w:bookmarkStart w:id="134" w:name="_Toc420671454"/>
      <w:bookmarkStart w:id="135" w:name="_Toc433641186"/>
      <w:bookmarkStart w:id="136" w:name="_Toc467773986"/>
      <w:bookmarkStart w:id="137" w:name="_Toc522006581"/>
      <w:r>
        <w:rPr>
          <w:color w:val="auto"/>
        </w:rPr>
        <w:lastRenderedPageBreak/>
        <w:t>Department of Social Services’</w:t>
      </w:r>
      <w:r w:rsidR="00953463">
        <w:t xml:space="preserve"> </w:t>
      </w:r>
      <w:r w:rsidR="00340616" w:rsidRPr="00B72EE8">
        <w:t>responsibilities</w:t>
      </w:r>
      <w:bookmarkEnd w:id="134"/>
      <w:bookmarkEnd w:id="135"/>
      <w:bookmarkEnd w:id="136"/>
      <w:bookmarkEnd w:id="137"/>
    </w:p>
    <w:p w:rsidR="002242EF" w:rsidRPr="00455CA7" w:rsidRDefault="002242EF" w:rsidP="002242EF">
      <w:pPr>
        <w:spacing w:before="120"/>
        <w:rPr>
          <w:rFonts w:asciiTheme="majorHAnsi" w:hAnsiTheme="majorHAnsi" w:cstheme="majorHAnsi"/>
        </w:rPr>
      </w:pPr>
      <w:bookmarkStart w:id="138" w:name="_Toc421777626"/>
      <w:bookmarkStart w:id="139" w:name="_Toc467773987"/>
      <w:bookmarkStart w:id="140" w:name="_Toc433641188"/>
      <w:r w:rsidRPr="00455CA7">
        <w:rPr>
          <w:rFonts w:asciiTheme="majorHAnsi" w:hAnsiTheme="majorHAnsi" w:cstheme="majorHAnsi"/>
        </w:rPr>
        <w:t>The</w:t>
      </w:r>
      <w:r w:rsidRPr="00455CA7">
        <w:rPr>
          <w:rFonts w:asciiTheme="majorHAnsi" w:hAnsiTheme="majorHAnsi" w:cstheme="majorHAnsi"/>
          <w:b/>
        </w:rPr>
        <w:t xml:space="preserve"> </w:t>
      </w:r>
      <w:r w:rsidRPr="00455CA7">
        <w:rPr>
          <w:rFonts w:asciiTheme="majorHAnsi" w:hAnsiTheme="majorHAnsi" w:cstheme="majorHAnsi"/>
        </w:rPr>
        <w:t xml:space="preserve">Department will: </w:t>
      </w:r>
    </w:p>
    <w:p w:rsidR="002242EF" w:rsidRPr="00455CA7" w:rsidRDefault="002242EF" w:rsidP="002242EF">
      <w:pPr>
        <w:numPr>
          <w:ilvl w:val="0"/>
          <w:numId w:val="16"/>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meet the terms and conditions</w:t>
      </w:r>
      <w:r>
        <w:rPr>
          <w:rFonts w:asciiTheme="majorHAnsi" w:hAnsiTheme="majorHAnsi" w:cstheme="majorHAnsi"/>
        </w:rPr>
        <w:t xml:space="preserve"> set out in the grant agreement</w:t>
      </w:r>
    </w:p>
    <w:p w:rsidR="002242EF" w:rsidRPr="00455CA7" w:rsidRDefault="002242EF" w:rsidP="002242EF">
      <w:pPr>
        <w:numPr>
          <w:ilvl w:val="0"/>
          <w:numId w:val="16"/>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provide time</w:t>
      </w:r>
      <w:r>
        <w:rPr>
          <w:rFonts w:asciiTheme="majorHAnsi" w:hAnsiTheme="majorHAnsi" w:cstheme="majorHAnsi"/>
        </w:rPr>
        <w:t xml:space="preserve">ly </w:t>
      </w:r>
      <w:r w:rsidR="00D141E4">
        <w:rPr>
          <w:rFonts w:asciiTheme="majorHAnsi" w:hAnsiTheme="majorHAnsi" w:cstheme="majorHAnsi"/>
        </w:rPr>
        <w:t>administration of the grant</w:t>
      </w:r>
    </w:p>
    <w:p w:rsidR="002242EF" w:rsidRPr="00455CA7" w:rsidRDefault="002242EF" w:rsidP="002242EF">
      <w:pPr>
        <w:numPr>
          <w:ilvl w:val="0"/>
          <w:numId w:val="16"/>
        </w:numPr>
        <w:suppressAutoHyphens w:val="0"/>
        <w:spacing w:before="0" w:after="0" w:line="240" w:lineRule="auto"/>
        <w:ind w:left="714" w:hanging="357"/>
        <w:rPr>
          <w:rFonts w:asciiTheme="majorHAnsi" w:hAnsiTheme="majorHAnsi" w:cstheme="majorHAnsi"/>
        </w:rPr>
      </w:pPr>
      <w:proofErr w:type="gramStart"/>
      <w:r w:rsidRPr="00455CA7">
        <w:rPr>
          <w:rFonts w:asciiTheme="majorHAnsi" w:hAnsiTheme="majorHAnsi" w:cstheme="majorHAnsi"/>
        </w:rPr>
        <w:t>evaluate</w:t>
      </w:r>
      <w:proofErr w:type="gramEnd"/>
      <w:r w:rsidRPr="00455CA7">
        <w:rPr>
          <w:rFonts w:asciiTheme="majorHAnsi" w:hAnsiTheme="majorHAnsi" w:cstheme="majorHAnsi"/>
        </w:rPr>
        <w:t xml:space="preserve"> the grantee’s performance.</w:t>
      </w:r>
    </w:p>
    <w:p w:rsidR="000A1331" w:rsidRPr="00B005E0" w:rsidRDefault="002242EF" w:rsidP="002242EF">
      <w:pPr>
        <w:spacing w:before="120" w:after="0"/>
        <w:rPr>
          <w:rFonts w:asciiTheme="majorHAnsi" w:hAnsiTheme="majorHAnsi" w:cstheme="majorHAnsi"/>
        </w:rPr>
      </w:pPr>
      <w:r w:rsidRPr="00455CA7">
        <w:rPr>
          <w:rFonts w:asciiTheme="majorHAnsi" w:hAnsiTheme="majorHAnsi" w:cstheme="majorHAnsi"/>
        </w:rPr>
        <w:t xml:space="preserve">We will monitor the progress of your project by assessing reports you submit and may </w:t>
      </w:r>
      <w:r w:rsidRPr="00B005E0">
        <w:rPr>
          <w:rFonts w:asciiTheme="majorHAnsi" w:hAnsiTheme="majorHAnsi" w:cstheme="majorHAnsi"/>
        </w:rPr>
        <w:t xml:space="preserve">conduct site visits to confirm details of your reports if necessary. Occasionally we may need to re-examine claims, seek further information or request an independent audit of claims and payments. </w:t>
      </w:r>
    </w:p>
    <w:p w:rsidR="00340616" w:rsidRPr="00B005E0" w:rsidRDefault="00340616" w:rsidP="00892C8B">
      <w:pPr>
        <w:pStyle w:val="Heading2Numbered"/>
        <w:ind w:left="709" w:hanging="709"/>
      </w:pPr>
      <w:bookmarkStart w:id="141" w:name="_Toc522006582"/>
      <w:r w:rsidRPr="00B005E0">
        <w:t>Grant payments</w:t>
      </w:r>
      <w:bookmarkEnd w:id="138"/>
      <w:r w:rsidRPr="00B005E0">
        <w:t xml:space="preserve"> and GST</w:t>
      </w:r>
      <w:bookmarkEnd w:id="139"/>
      <w:bookmarkEnd w:id="141"/>
      <w:r w:rsidRPr="00B005E0">
        <w:t xml:space="preserve"> </w:t>
      </w:r>
      <w:bookmarkEnd w:id="140"/>
    </w:p>
    <w:p w:rsidR="00B005E0" w:rsidRPr="00B005E0" w:rsidRDefault="00B005E0" w:rsidP="00B005E0">
      <w:pPr>
        <w:spacing w:before="120" w:after="0"/>
        <w:rPr>
          <w:rFonts w:asciiTheme="majorHAnsi" w:hAnsiTheme="majorHAnsi" w:cstheme="majorHAnsi"/>
        </w:rPr>
      </w:pPr>
      <w:bookmarkStart w:id="142" w:name="_Toc421777629"/>
      <w:bookmarkStart w:id="143" w:name="_Toc467773988"/>
      <w:r w:rsidRPr="00B005E0">
        <w:rPr>
          <w:rFonts w:asciiTheme="majorHAnsi" w:hAnsiTheme="majorHAnsi" w:cstheme="majorHAnsi"/>
        </w:rPr>
        <w:t>If applicable, GST will be payable on this grant funding and will be set out in the grant agreement.</w:t>
      </w:r>
    </w:p>
    <w:p w:rsidR="002242EF" w:rsidRPr="00455CA7" w:rsidRDefault="00B005E0" w:rsidP="00B005E0">
      <w:pPr>
        <w:spacing w:before="120" w:after="0"/>
        <w:rPr>
          <w:rFonts w:asciiTheme="majorHAnsi" w:hAnsiTheme="majorHAnsi" w:cstheme="majorHAnsi"/>
        </w:rPr>
      </w:pPr>
      <w:r w:rsidRPr="00B005E0">
        <w:rPr>
          <w:rFonts w:asciiTheme="majorHAnsi" w:hAnsiTheme="majorHAnsi" w:cstheme="majorHAnsi"/>
        </w:rPr>
        <w:t>If you receive a grant, you should consider speaking to a tax advisor about the effect of receiving a grant before you enter into a grant agreement. You can also visit the Australian Taxation Office website for more information.</w:t>
      </w:r>
    </w:p>
    <w:p w:rsidR="00192CC4" w:rsidRPr="00305665" w:rsidRDefault="00192CC4" w:rsidP="00305665">
      <w:pPr>
        <w:pStyle w:val="Heading2Numbered"/>
        <w:ind w:left="709" w:hanging="709"/>
      </w:pPr>
      <w:bookmarkStart w:id="144" w:name="_Toc522006583"/>
      <w:r>
        <w:t>Reporting</w:t>
      </w:r>
      <w:bookmarkEnd w:id="144"/>
    </w:p>
    <w:p w:rsidR="00856018" w:rsidRPr="00856018" w:rsidRDefault="00856018" w:rsidP="00856018">
      <w:pPr>
        <w:spacing w:before="120" w:after="0"/>
        <w:rPr>
          <w:rFonts w:asciiTheme="majorHAnsi" w:hAnsiTheme="majorHAnsi" w:cstheme="majorHAnsi"/>
          <w:lang w:val="en-GB"/>
        </w:rPr>
      </w:pPr>
      <w:r w:rsidRPr="00856018">
        <w:rPr>
          <w:rFonts w:asciiTheme="majorHAnsi" w:hAnsiTheme="majorHAnsi" w:cstheme="majorHAnsi"/>
          <w:lang w:val="en-GB"/>
        </w:rPr>
        <w:t>Redress Support Service grantees must have systems in place to allow them to meet their data collection and reporting obligations outlined in their grant agreement. Service providers will be required to collect client-level data and enter this directly into the Department’s performance reporting solution, the Data Exchange.</w:t>
      </w:r>
    </w:p>
    <w:p w:rsidR="00856018" w:rsidRPr="00856018" w:rsidRDefault="00856018" w:rsidP="00B005E0">
      <w:pPr>
        <w:keepNext/>
        <w:keepLines/>
        <w:spacing w:before="120" w:after="0"/>
        <w:rPr>
          <w:rFonts w:asciiTheme="majorHAnsi" w:hAnsiTheme="majorHAnsi" w:cstheme="majorHAnsi"/>
          <w:lang w:val="en-GB"/>
        </w:rPr>
      </w:pPr>
      <w:r w:rsidRPr="00856018">
        <w:rPr>
          <w:rFonts w:asciiTheme="majorHAnsi" w:hAnsiTheme="majorHAnsi" w:cstheme="majorHAnsi"/>
          <w:lang w:val="en-GB"/>
        </w:rPr>
        <w:t>There are two types of performance information that can be reported through the Data Exchange:</w:t>
      </w:r>
    </w:p>
    <w:p w:rsidR="00856018" w:rsidRPr="00856018" w:rsidRDefault="00856018" w:rsidP="00B005E0">
      <w:pPr>
        <w:pStyle w:val="ListParagraph"/>
        <w:keepNext/>
        <w:keepLines/>
        <w:numPr>
          <w:ilvl w:val="0"/>
          <w:numId w:val="40"/>
        </w:numPr>
        <w:spacing w:before="120" w:after="0"/>
        <w:rPr>
          <w:rFonts w:asciiTheme="majorHAnsi" w:hAnsiTheme="majorHAnsi" w:cstheme="majorHAnsi"/>
          <w:lang w:val="en-GB"/>
        </w:rPr>
      </w:pPr>
      <w:r w:rsidRPr="00856018">
        <w:rPr>
          <w:rFonts w:asciiTheme="majorHAnsi" w:hAnsiTheme="majorHAnsi" w:cstheme="majorHAnsi"/>
          <w:lang w:val="en-GB"/>
        </w:rPr>
        <w:t>The Priority Requirements are a small set of mandatory data items including client identity characteristics (given and family names, date of birth, gender and residential address), client demographic characteristics (indigenous status, cultural and linguistic diversity, and disability status, impairment or condition),</w:t>
      </w:r>
      <w:r w:rsidR="00694AD7">
        <w:rPr>
          <w:rFonts w:asciiTheme="majorHAnsi" w:hAnsiTheme="majorHAnsi" w:cstheme="majorHAnsi"/>
          <w:lang w:val="en-GB"/>
        </w:rPr>
        <w:t xml:space="preserve"> and</w:t>
      </w:r>
      <w:r w:rsidRPr="00856018">
        <w:rPr>
          <w:rFonts w:asciiTheme="majorHAnsi" w:hAnsiTheme="majorHAnsi" w:cstheme="majorHAnsi"/>
          <w:lang w:val="en-GB"/>
        </w:rPr>
        <w:t xml:space="preserve"> service delivery information (outlets, cases, sessions).</w:t>
      </w:r>
    </w:p>
    <w:p w:rsidR="00856018" w:rsidRPr="00856018" w:rsidRDefault="00856018" w:rsidP="00856018">
      <w:pPr>
        <w:pStyle w:val="ListParagraph"/>
        <w:numPr>
          <w:ilvl w:val="0"/>
          <w:numId w:val="40"/>
        </w:numPr>
        <w:spacing w:before="120" w:after="0"/>
        <w:rPr>
          <w:rFonts w:asciiTheme="majorHAnsi" w:hAnsiTheme="majorHAnsi" w:cstheme="majorHAnsi"/>
          <w:lang w:val="en-GB"/>
        </w:rPr>
      </w:pPr>
      <w:r w:rsidRPr="00856018">
        <w:rPr>
          <w:rFonts w:asciiTheme="majorHAnsi" w:hAnsiTheme="majorHAnsi" w:cstheme="majorHAnsi"/>
          <w:lang w:val="en-GB"/>
        </w:rPr>
        <w:t xml:space="preserve">The Partnership Approach is a voluntary extended data set that can be provided in exchange for relevant reports. The extended data set includes information about a client’s presenting needs and circumstances, and outcomes-focused data to help track whether client’s outcomes are fluctuating or improving over time. </w:t>
      </w:r>
    </w:p>
    <w:p w:rsidR="00856018" w:rsidRPr="00856018" w:rsidRDefault="00856018" w:rsidP="00856018">
      <w:pPr>
        <w:spacing w:before="120" w:after="0"/>
        <w:rPr>
          <w:rFonts w:asciiTheme="majorHAnsi" w:hAnsiTheme="majorHAnsi" w:cstheme="majorHAnsi"/>
          <w:lang w:val="en-GB"/>
        </w:rPr>
      </w:pPr>
      <w:r w:rsidRPr="00856018">
        <w:rPr>
          <w:rFonts w:asciiTheme="majorHAnsi" w:hAnsiTheme="majorHAnsi" w:cstheme="majorHAnsi"/>
          <w:lang w:val="en-GB"/>
        </w:rPr>
        <w:t xml:space="preserve">Information must be provided in accordance with the </w:t>
      </w:r>
      <w:hyperlink r:id="rId23" w:history="1">
        <w:r w:rsidRPr="00A72CEC">
          <w:rPr>
            <w:rStyle w:val="Hyperlink"/>
            <w:rFonts w:asciiTheme="majorHAnsi" w:hAnsiTheme="majorHAnsi" w:cstheme="majorHAnsi"/>
            <w:lang w:val="en-GB"/>
          </w:rPr>
          <w:t>Data Exchange Protocols</w:t>
        </w:r>
      </w:hyperlink>
      <w:r w:rsidRPr="00856018">
        <w:rPr>
          <w:rFonts w:asciiTheme="majorHAnsi" w:hAnsiTheme="majorHAnsi" w:cstheme="majorHAnsi"/>
          <w:lang w:val="en-GB"/>
        </w:rPr>
        <w:t>.</w:t>
      </w:r>
    </w:p>
    <w:p w:rsidR="00694AD7" w:rsidRPr="00694AD7" w:rsidRDefault="00694AD7" w:rsidP="00694AD7">
      <w:pPr>
        <w:spacing w:before="120" w:after="0"/>
        <w:rPr>
          <w:rFonts w:asciiTheme="majorHAnsi" w:hAnsiTheme="majorHAnsi" w:cstheme="majorHAnsi"/>
          <w:lang w:val="en-GB"/>
        </w:rPr>
      </w:pPr>
      <w:r w:rsidRPr="00694AD7">
        <w:rPr>
          <w:rFonts w:asciiTheme="majorHAnsi" w:hAnsiTheme="majorHAnsi" w:cstheme="majorHAnsi"/>
          <w:lang w:val="en-GB"/>
        </w:rPr>
        <w:t>The Data Exchange takes its privacy obligations very seriously to ensure it does not contravene the Commonwealth Privacy Act 1988. Consistent with good privacy practice, our approach has been to implement our privacy obligations by design, that is, to build effective privacy controls into the policies, procedures and systems of the Data Exchange.</w:t>
      </w:r>
    </w:p>
    <w:p w:rsidR="00694AD7" w:rsidRPr="00694AD7" w:rsidRDefault="00694AD7" w:rsidP="00694AD7">
      <w:pPr>
        <w:spacing w:before="120" w:after="0"/>
        <w:rPr>
          <w:rFonts w:asciiTheme="majorHAnsi" w:hAnsiTheme="majorHAnsi" w:cstheme="majorHAnsi"/>
          <w:lang w:val="en-GB"/>
        </w:rPr>
      </w:pPr>
      <w:r w:rsidRPr="00694AD7">
        <w:rPr>
          <w:rFonts w:asciiTheme="majorHAnsi" w:hAnsiTheme="majorHAnsi" w:cstheme="majorHAnsi"/>
          <w:lang w:val="en-GB"/>
        </w:rPr>
        <w:lastRenderedPageBreak/>
        <w:t xml:space="preserve">The Data Exchange protects client privacy by ensuring personal information is only collected for storage in the Data Exchange with a client’s consent where an organisation chooses to use the Data Exchange for its own client management purposes. </w:t>
      </w:r>
    </w:p>
    <w:p w:rsidR="00694AD7" w:rsidRPr="00694AD7" w:rsidRDefault="00694AD7" w:rsidP="00694AD7">
      <w:pPr>
        <w:spacing w:before="120" w:after="0"/>
        <w:rPr>
          <w:rFonts w:asciiTheme="majorHAnsi" w:hAnsiTheme="majorHAnsi" w:cstheme="majorHAnsi"/>
          <w:lang w:val="en-GB"/>
        </w:rPr>
      </w:pPr>
      <w:r w:rsidRPr="00694AD7">
        <w:rPr>
          <w:rFonts w:asciiTheme="majorHAnsi" w:hAnsiTheme="majorHAnsi" w:cstheme="majorHAnsi"/>
          <w:lang w:val="en-GB"/>
        </w:rPr>
        <w:t>Client level data provided through the Data Exchange is de-identified so that no identifiable client information is able to be used by a service provider’s funding agency. Information collected through the Data Exchange is de-identified and used for research and policy analysis only. The Data Exchange is interested in analysing trends at the program and whole-of-program level, not individual clients.</w:t>
      </w:r>
    </w:p>
    <w:p w:rsidR="00694AD7" w:rsidRPr="00694AD7" w:rsidRDefault="00694AD7" w:rsidP="00694AD7">
      <w:pPr>
        <w:spacing w:before="120" w:after="0"/>
        <w:rPr>
          <w:rFonts w:asciiTheme="majorHAnsi" w:hAnsiTheme="majorHAnsi" w:cstheme="majorHAnsi"/>
          <w:lang w:val="en-GB"/>
        </w:rPr>
      </w:pPr>
      <w:r w:rsidRPr="00694AD7">
        <w:rPr>
          <w:rFonts w:asciiTheme="majorHAnsi" w:hAnsiTheme="majorHAnsi" w:cstheme="majorHAnsi"/>
          <w:lang w:val="en-GB"/>
        </w:rPr>
        <w:t>Please refer to the ‘Collecting Personal Information’ section of the Data Exchange Protocols for more detailed information about privacy, consent and notification arrangements in the Data Exchange.</w:t>
      </w:r>
    </w:p>
    <w:p w:rsidR="00856018" w:rsidRPr="00694AD7" w:rsidRDefault="00694AD7" w:rsidP="00694AD7">
      <w:pPr>
        <w:spacing w:before="120" w:after="0"/>
        <w:rPr>
          <w:rFonts w:asciiTheme="majorHAnsi" w:hAnsiTheme="majorHAnsi" w:cstheme="majorHAnsi"/>
          <w:lang w:val="en-GB"/>
        </w:rPr>
      </w:pPr>
      <w:r w:rsidRPr="00694AD7">
        <w:rPr>
          <w:rFonts w:asciiTheme="majorHAnsi" w:hAnsiTheme="majorHAnsi" w:cstheme="majorHAnsi"/>
          <w:lang w:val="en-GB"/>
        </w:rPr>
        <w:t>A Privacy Brochure has also been made available to provide to clients, to help them easily understand the privacy arrangements as outlined in the Data Exchange Protocols.</w:t>
      </w:r>
    </w:p>
    <w:p w:rsidR="000A1331" w:rsidRDefault="00856018" w:rsidP="00856018">
      <w:pPr>
        <w:spacing w:before="120" w:after="0"/>
        <w:rPr>
          <w:rFonts w:asciiTheme="majorHAnsi" w:hAnsiTheme="majorHAnsi" w:cstheme="majorHAnsi"/>
          <w:lang w:val="en-GB"/>
        </w:rPr>
      </w:pPr>
      <w:r w:rsidRPr="00856018">
        <w:rPr>
          <w:rFonts w:asciiTheme="majorHAnsi" w:hAnsiTheme="majorHAnsi" w:cstheme="majorHAnsi"/>
          <w:lang w:val="en-GB"/>
        </w:rPr>
        <w:t>The Data Exchange has two standardised six monthly performance reporting periods each year, which run from 1 July to 31 December and 1 January to 30 June, with a 30 day close off period after each of these. Once the close-off period is completed no further changes can be made to the data.</w:t>
      </w:r>
    </w:p>
    <w:p w:rsidR="00340616" w:rsidRPr="00B72EE8" w:rsidRDefault="00340616" w:rsidP="00892C8B">
      <w:pPr>
        <w:pStyle w:val="Heading2Numbered"/>
      </w:pPr>
      <w:bookmarkStart w:id="145" w:name="_Toc522006584"/>
      <w:r>
        <w:t>E</w:t>
      </w:r>
      <w:r w:rsidRPr="00B72EE8">
        <w:t>valuation</w:t>
      </w:r>
      <w:bookmarkEnd w:id="142"/>
      <w:bookmarkEnd w:id="143"/>
      <w:bookmarkEnd w:id="145"/>
    </w:p>
    <w:p w:rsidR="002242EF" w:rsidRPr="00D217B0" w:rsidRDefault="002242EF" w:rsidP="002242EF">
      <w:pPr>
        <w:pStyle w:val="Bullet1"/>
        <w:numPr>
          <w:ilvl w:val="0"/>
          <w:numId w:val="0"/>
        </w:numPr>
        <w:rPr>
          <w:rFonts w:cstheme="minorHAnsi"/>
        </w:rPr>
      </w:pPr>
      <w:r>
        <w:t>The</w:t>
      </w:r>
      <w:r w:rsidRPr="00726710">
        <w:rPr>
          <w:b/>
          <w:color w:val="745B00" w:themeColor="accent3" w:themeShade="80"/>
        </w:rPr>
        <w:t xml:space="preserve"> </w:t>
      </w:r>
      <w:r w:rsidRPr="0098001D">
        <w:t xml:space="preserve">Department </w:t>
      </w:r>
      <w:r>
        <w:t xml:space="preserve">will </w:t>
      </w:r>
      <w:r w:rsidRPr="000926FB">
        <w:t>evaluate the</w:t>
      </w:r>
      <w:r w:rsidRPr="003C00BD">
        <w:t xml:space="preserve"> Redress Support Services </w:t>
      </w:r>
      <w:r w:rsidRPr="000926FB">
        <w:t xml:space="preserve">to measure </w:t>
      </w:r>
      <w:r>
        <w:t xml:space="preserve">how well </w:t>
      </w:r>
      <w:r w:rsidRPr="00B72EE8">
        <w:t xml:space="preserve">the outcomes and objectives have been achieved. </w:t>
      </w:r>
      <w:r>
        <w:t xml:space="preserve">Your grant agreement </w:t>
      </w:r>
      <w:r w:rsidRPr="00B72EE8">
        <w:t>require</w:t>
      </w:r>
      <w:r>
        <w:t>s</w:t>
      </w:r>
      <w:r w:rsidRPr="00B72EE8">
        <w:t xml:space="preserve"> </w:t>
      </w:r>
      <w:r>
        <w:t>you</w:t>
      </w:r>
      <w:r w:rsidRPr="00B72EE8">
        <w:t xml:space="preserve"> to provide information to </w:t>
      </w:r>
      <w:r>
        <w:t>help with</w:t>
      </w:r>
      <w:r w:rsidRPr="00B72EE8">
        <w:t xml:space="preserve"> this evaluation.</w:t>
      </w:r>
    </w:p>
    <w:p w:rsidR="002242EF" w:rsidRDefault="002242EF" w:rsidP="002242EF">
      <w:pPr>
        <w:pStyle w:val="Bullet1"/>
        <w:numPr>
          <w:ilvl w:val="0"/>
          <w:numId w:val="0"/>
        </w:numPr>
        <w:rPr>
          <w:b/>
          <w:color w:val="AD8800" w:themeColor="accent3" w:themeShade="BF"/>
        </w:rPr>
      </w:pPr>
      <w:r>
        <w:rPr>
          <w:rFonts w:asciiTheme="majorHAnsi" w:hAnsiTheme="majorHAnsi" w:cstheme="majorHAnsi"/>
        </w:rPr>
        <w:t xml:space="preserve">A planned review of support services prior to 31 December 2019 will examine demand, availability and access to services, and draw on </w:t>
      </w:r>
      <w:r w:rsidR="00FF793D">
        <w:rPr>
          <w:rFonts w:asciiTheme="majorHAnsi" w:hAnsiTheme="majorHAnsi" w:cstheme="majorHAnsi"/>
        </w:rPr>
        <w:t xml:space="preserve">the </w:t>
      </w:r>
      <w:r>
        <w:rPr>
          <w:rFonts w:asciiTheme="majorHAnsi" w:hAnsiTheme="majorHAnsi" w:cstheme="majorHAnsi"/>
        </w:rPr>
        <w:t>Department of Social Services Data Exchange information to inform funding arrangements from 1 January 2020.</w:t>
      </w:r>
    </w:p>
    <w:p w:rsidR="00340616" w:rsidRPr="00B72EE8" w:rsidRDefault="00340616" w:rsidP="00856018">
      <w:pPr>
        <w:pStyle w:val="Heading2Numbered"/>
        <w:ind w:left="709" w:hanging="709"/>
      </w:pPr>
      <w:bookmarkStart w:id="146" w:name="_Toc467773989"/>
      <w:bookmarkStart w:id="147" w:name="_Toc522006585"/>
      <w:r>
        <w:t>Acknowledgement</w:t>
      </w:r>
      <w:bookmarkEnd w:id="146"/>
      <w:bookmarkEnd w:id="147"/>
    </w:p>
    <w:p w:rsidR="002242EF" w:rsidRPr="00455CA7" w:rsidRDefault="002242EF" w:rsidP="00856018">
      <w:pPr>
        <w:keepNext/>
        <w:keepLines/>
        <w:spacing w:before="120" w:after="0"/>
        <w:rPr>
          <w:rFonts w:asciiTheme="majorHAnsi" w:hAnsiTheme="majorHAnsi" w:cstheme="majorHAnsi"/>
        </w:rPr>
      </w:pPr>
      <w:r w:rsidRPr="00455CA7">
        <w:rPr>
          <w:rFonts w:asciiTheme="majorHAnsi" w:hAnsiTheme="majorHAnsi" w:cstheme="majorHAnsi"/>
        </w:rPr>
        <w:t>The Program logo is designed to be used on all materials. Whenever the logo is used the publication must also acknowledge the Commonwealth as follows:</w:t>
      </w:r>
    </w:p>
    <w:p w:rsidR="002242EF" w:rsidRPr="002242EF" w:rsidRDefault="002242EF" w:rsidP="00856018">
      <w:pPr>
        <w:keepNext/>
        <w:keepLines/>
        <w:spacing w:before="120" w:after="0"/>
        <w:rPr>
          <w:rFonts w:asciiTheme="majorHAnsi" w:hAnsiTheme="majorHAnsi" w:cstheme="majorHAnsi"/>
        </w:rPr>
      </w:pPr>
      <w:r w:rsidRPr="00455CA7">
        <w:rPr>
          <w:rFonts w:asciiTheme="majorHAnsi" w:hAnsiTheme="majorHAnsi" w:cstheme="majorHAnsi"/>
        </w:rPr>
        <w:t>‘This activity received grant funding from the Australian Government.’</w:t>
      </w:r>
    </w:p>
    <w:p w:rsidR="002A2026" w:rsidRDefault="002A2026" w:rsidP="002A2026">
      <w:pPr>
        <w:pStyle w:val="Heading2Numbered"/>
        <w:ind w:left="709" w:hanging="709"/>
      </w:pPr>
      <w:bookmarkStart w:id="148" w:name="_Toc522006586"/>
      <w:r>
        <w:t>Multicultural Access and Equity</w:t>
      </w:r>
      <w:bookmarkEnd w:id="148"/>
    </w:p>
    <w:p w:rsidR="00EB54B1" w:rsidRDefault="005168B9" w:rsidP="005168B9">
      <w:pPr>
        <w:rPr>
          <w:rFonts w:cstheme="minorHAnsi"/>
        </w:rPr>
      </w:pPr>
      <w:bookmarkStart w:id="149" w:name="_Toc467773990"/>
      <w:bookmarkStart w:id="150" w:name="_Toc421777631"/>
      <w:r w:rsidRPr="005168B9">
        <w:rPr>
          <w:rFonts w:cstheme="minorHAnsi"/>
        </w:rPr>
        <w:t xml:space="preserve">Australia’s Multicultural Access and Equity Policy obliges Australian government agencies to ensure their policies, programs and services (including those conducted by contractors and service delivery partners) are accessible to, and deliver equitable outcomes for, people from culturally and linguistically diverse (CALD) backgrounds. For further information on the Multicultural Access and Equity Policy please refer to the </w:t>
      </w:r>
      <w:hyperlink r:id="rId24" w:history="1">
        <w:r w:rsidRPr="005168B9">
          <w:rPr>
            <w:rStyle w:val="Hyperlink"/>
            <w:rFonts w:cstheme="minorHAnsi"/>
          </w:rPr>
          <w:t>Department of Home Affairs</w:t>
        </w:r>
      </w:hyperlink>
      <w:r w:rsidRPr="005168B9">
        <w:rPr>
          <w:rFonts w:cstheme="minorHAnsi"/>
        </w:rPr>
        <w:t xml:space="preserve"> website. </w:t>
      </w:r>
    </w:p>
    <w:p w:rsidR="005168B9" w:rsidRPr="005168B9" w:rsidRDefault="005168B9" w:rsidP="005168B9">
      <w:pPr>
        <w:rPr>
          <w:rFonts w:cstheme="minorHAnsi"/>
        </w:rPr>
      </w:pPr>
      <w:r w:rsidRPr="005168B9">
        <w:rPr>
          <w:rFonts w:cstheme="minorHAnsi"/>
        </w:rPr>
        <w:t xml:space="preserve">Grant applicants should consider how they will ensure their services will be accessible to people from CALD backgrounds. For example, service delivery partners may require cultural </w:t>
      </w:r>
      <w:r w:rsidRPr="005168B9">
        <w:rPr>
          <w:rFonts w:cstheme="minorHAnsi"/>
        </w:rPr>
        <w:lastRenderedPageBreak/>
        <w:t xml:space="preserve">competency skills in order to engage with CALD clients.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 and other requirements for ensuring accessibility </w:t>
      </w:r>
      <w:r w:rsidRPr="000A1331">
        <w:rPr>
          <w:rFonts w:cstheme="minorHAnsi"/>
        </w:rPr>
        <w:t xml:space="preserve">should be factored into grant applications (see the Translating and Interpreting Services costing tool in the </w:t>
      </w:r>
      <w:hyperlink r:id="rId25" w:history="1">
        <w:r w:rsidRPr="000A1331">
          <w:rPr>
            <w:rStyle w:val="Hyperlink"/>
            <w:rFonts w:cstheme="minorHAnsi"/>
          </w:rPr>
          <w:t>Grant Opportunity Documents</w:t>
        </w:r>
      </w:hyperlink>
      <w:r w:rsidRPr="000A1331">
        <w:rPr>
          <w:rFonts w:cstheme="minorHAnsi"/>
        </w:rPr>
        <w:t>).</w:t>
      </w:r>
      <w:r w:rsidR="007A3F1B">
        <w:rPr>
          <w:rFonts w:cstheme="minorHAnsi"/>
        </w:rPr>
        <w:t xml:space="preserve"> </w:t>
      </w:r>
      <w:r w:rsidRPr="005168B9">
        <w:rPr>
          <w:rFonts w:cstheme="minorHAnsi"/>
        </w:rPr>
        <w:t>The</w:t>
      </w:r>
      <w:r w:rsidR="007A3F1B">
        <w:rPr>
          <w:rFonts w:cstheme="minorHAnsi"/>
        </w:rPr>
        <w:t> </w:t>
      </w:r>
      <w:hyperlink r:id="rId26" w:history="1">
        <w:r w:rsidRPr="005168B9">
          <w:rPr>
            <w:rStyle w:val="Hyperlink"/>
            <w:rFonts w:cstheme="minorHAnsi"/>
          </w:rPr>
          <w:t>Australian Government Language Services Guidelines</w:t>
        </w:r>
      </w:hyperlink>
      <w:r w:rsidRPr="005168B9">
        <w:rPr>
          <w:rFonts w:cstheme="minorHAnsi"/>
        </w:rPr>
        <w:t xml:space="preserve"> on the </w:t>
      </w:r>
      <w:hyperlink r:id="rId27" w:history="1">
        <w:r w:rsidRPr="005168B9">
          <w:rPr>
            <w:rStyle w:val="Hyperlink"/>
            <w:rFonts w:cstheme="minorHAnsi"/>
          </w:rPr>
          <w:t>Department of Social Services</w:t>
        </w:r>
      </w:hyperlink>
      <w:r w:rsidRPr="005168B9">
        <w:rPr>
          <w:rFonts w:cstheme="minorHAnsi"/>
        </w:rPr>
        <w:t xml:space="preserve"> website may also assist grant recipients implement language services for their clients.</w:t>
      </w:r>
    </w:p>
    <w:p w:rsidR="00340616" w:rsidRPr="00B72EE8" w:rsidRDefault="005168B9" w:rsidP="005168B9">
      <w:pPr>
        <w:pStyle w:val="Heading1Numbered"/>
      </w:pPr>
      <w:r w:rsidRPr="00B72EE8">
        <w:t xml:space="preserve"> </w:t>
      </w:r>
      <w:bookmarkStart w:id="151" w:name="_Toc522006587"/>
      <w:r w:rsidR="00340616" w:rsidRPr="00B72EE8">
        <w:t>Probity</w:t>
      </w:r>
      <w:bookmarkEnd w:id="149"/>
      <w:bookmarkEnd w:id="151"/>
      <w:r w:rsidR="00340616" w:rsidRPr="00B72EE8">
        <w:t xml:space="preserve"> </w:t>
      </w:r>
      <w:bookmarkEnd w:id="150"/>
    </w:p>
    <w:p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rsidR="00340616" w:rsidRPr="00B72EE8" w:rsidRDefault="00340616" w:rsidP="00340616">
      <w:r w:rsidRPr="00726710">
        <w:rPr>
          <w:b/>
        </w:rPr>
        <w:t>Note:</w:t>
      </w:r>
      <w:r w:rsidRPr="00726710">
        <w:t xml:space="preserve"> These guidelines may be changed from time-to-time by</w:t>
      </w:r>
      <w:r w:rsidRPr="00726710">
        <w:rPr>
          <w:b/>
        </w:rPr>
        <w:t xml:space="preserve"> </w:t>
      </w:r>
      <w:r w:rsidR="00CD5F87" w:rsidRPr="00CD5F87">
        <w:t>the Department</w:t>
      </w:r>
      <w:r w:rsidR="00CD5F87">
        <w:rPr>
          <w:color w:val="745B00" w:themeColor="accent3" w:themeShade="80"/>
        </w:rPr>
        <w:t xml:space="preserve">. </w:t>
      </w:r>
      <w:r w:rsidRPr="00726710">
        <w:t xml:space="preserve">When this happens the revised guidelines will be published on </w:t>
      </w:r>
      <w:hyperlink r:id="rId28" w:history="1">
        <w:r w:rsidR="00DD52C8" w:rsidRPr="00DD52C8">
          <w:rPr>
            <w:rStyle w:val="Hyperlink"/>
            <w:rFonts w:cstheme="minorBidi"/>
          </w:rPr>
          <w:t>GrantConnect</w:t>
        </w:r>
      </w:hyperlink>
      <w:r w:rsidR="00181073">
        <w:rPr>
          <w:rStyle w:val="Hyperlink"/>
          <w:rFonts w:cstheme="minorBidi"/>
          <w:u w:val="none"/>
        </w:rPr>
        <w:t xml:space="preserve"> and the </w:t>
      </w:r>
      <w:hyperlink r:id="rId29" w:history="1">
        <w:r w:rsidR="00181073" w:rsidRPr="00181073">
          <w:rPr>
            <w:rStyle w:val="Hyperlink"/>
            <w:rFonts w:cstheme="minorBidi"/>
          </w:rPr>
          <w:t>Community Grants Hub</w:t>
        </w:r>
      </w:hyperlink>
      <w:r w:rsidR="00181073">
        <w:rPr>
          <w:rStyle w:val="Hyperlink"/>
          <w:rFonts w:cstheme="minorBidi"/>
          <w:u w:val="none"/>
        </w:rPr>
        <w:t xml:space="preserve"> websites</w:t>
      </w:r>
      <w:r w:rsidR="00DD52C8">
        <w:t>.</w:t>
      </w:r>
    </w:p>
    <w:p w:rsidR="00340616" w:rsidRPr="0054078D" w:rsidRDefault="00340616" w:rsidP="00892C8B">
      <w:pPr>
        <w:pStyle w:val="Heading2Numbered"/>
        <w:ind w:left="709" w:hanging="709"/>
      </w:pPr>
      <w:bookmarkStart w:id="152" w:name="_Toc414983585"/>
      <w:bookmarkStart w:id="153" w:name="_Toc414984002"/>
      <w:bookmarkStart w:id="154" w:name="_Toc414984762"/>
      <w:bookmarkStart w:id="155" w:name="_Toc414984856"/>
      <w:bookmarkStart w:id="156" w:name="_Toc414984960"/>
      <w:bookmarkStart w:id="157" w:name="_Toc414985063"/>
      <w:bookmarkStart w:id="158" w:name="_Toc414985166"/>
      <w:bookmarkStart w:id="159" w:name="_Toc414985268"/>
      <w:bookmarkStart w:id="160" w:name="_Toc421777632"/>
      <w:bookmarkStart w:id="161" w:name="_Toc467773991"/>
      <w:bookmarkStart w:id="162" w:name="_Toc522006588"/>
      <w:bookmarkEnd w:id="152"/>
      <w:bookmarkEnd w:id="153"/>
      <w:bookmarkEnd w:id="154"/>
      <w:bookmarkEnd w:id="155"/>
      <w:bookmarkEnd w:id="156"/>
      <w:bookmarkEnd w:id="157"/>
      <w:bookmarkEnd w:id="158"/>
      <w:bookmarkEnd w:id="159"/>
      <w:r w:rsidRPr="0054078D">
        <w:t>Complaints process</w:t>
      </w:r>
      <w:bookmarkEnd w:id="160"/>
      <w:bookmarkEnd w:id="161"/>
      <w:bookmarkEnd w:id="162"/>
    </w:p>
    <w:p w:rsidR="002242EF" w:rsidRPr="00455CA7" w:rsidRDefault="002242EF" w:rsidP="002242EF">
      <w:pPr>
        <w:rPr>
          <w:rFonts w:asciiTheme="majorHAnsi" w:eastAsia="Arial" w:hAnsiTheme="majorHAnsi" w:cstheme="majorHAnsi"/>
          <w:b/>
        </w:rPr>
      </w:pPr>
      <w:bookmarkStart w:id="163" w:name="_Toc421777633"/>
      <w:bookmarkStart w:id="164" w:name="_Toc467773992"/>
      <w:r w:rsidRPr="00455CA7">
        <w:rPr>
          <w:rFonts w:asciiTheme="majorHAnsi" w:eastAsia="Arial" w:hAnsiTheme="majorHAnsi" w:cstheme="majorHAnsi"/>
          <w:b/>
        </w:rPr>
        <w:t>Complaints about the Program</w:t>
      </w:r>
    </w:p>
    <w:p w:rsidR="002242EF" w:rsidRDefault="002242EF" w:rsidP="002242EF">
      <w:pPr>
        <w:spacing w:before="120" w:after="0"/>
        <w:rPr>
          <w:rFonts w:asciiTheme="majorHAnsi" w:eastAsia="Arial" w:hAnsiTheme="majorHAnsi" w:cstheme="majorHAnsi"/>
        </w:rPr>
      </w:pPr>
      <w:r>
        <w:rPr>
          <w:rFonts w:asciiTheme="majorHAnsi" w:eastAsia="Arial" w:hAnsiTheme="majorHAnsi" w:cstheme="majorHAnsi"/>
        </w:rPr>
        <w:t>The Department</w:t>
      </w:r>
      <w:r w:rsidRPr="00455CA7">
        <w:rPr>
          <w:rFonts w:asciiTheme="majorHAnsi" w:eastAsia="Arial" w:hAnsiTheme="majorHAnsi" w:cstheme="majorHAnsi"/>
        </w:rPr>
        <w:t>’</w:t>
      </w:r>
      <w:r>
        <w:rPr>
          <w:rFonts w:asciiTheme="majorHAnsi" w:eastAsia="Arial" w:hAnsiTheme="majorHAnsi" w:cstheme="majorHAnsi"/>
        </w:rPr>
        <w:t>s</w:t>
      </w:r>
      <w:r w:rsidRPr="00455CA7">
        <w:rPr>
          <w:rFonts w:asciiTheme="majorHAnsi" w:eastAsia="Arial" w:hAnsiTheme="majorHAnsi" w:cstheme="majorHAnsi"/>
          <w:b/>
          <w:color w:val="745B00"/>
        </w:rPr>
        <w:t xml:space="preserve"> </w:t>
      </w:r>
      <w:hyperlink r:id="rId30" w:history="1">
        <w:r w:rsidRPr="00455CA7">
          <w:rPr>
            <w:rFonts w:asciiTheme="majorHAnsi" w:eastAsia="Arial" w:hAnsiTheme="majorHAnsi" w:cstheme="majorHAnsi"/>
            <w:u w:val="single" w:color="0070C0"/>
          </w:rPr>
          <w:t>Complaints Procedures</w:t>
        </w:r>
      </w:hyperlink>
      <w:r w:rsidRPr="00455CA7">
        <w:rPr>
          <w:rFonts w:asciiTheme="majorHAnsi" w:eastAsia="Arial" w:hAnsiTheme="majorHAnsi" w:cstheme="majorHAnsi"/>
        </w:rPr>
        <w:t xml:space="preserve"> apply to complaints about the Program.</w:t>
      </w:r>
      <w:r w:rsidRPr="00455CA7">
        <w:rPr>
          <w:rFonts w:asciiTheme="majorHAnsi" w:eastAsia="Arial" w:hAnsiTheme="majorHAnsi" w:cstheme="majorHAnsi"/>
          <w:b/>
        </w:rPr>
        <w:t xml:space="preserve"> </w:t>
      </w:r>
      <w:r w:rsidR="00EB54B1">
        <w:rPr>
          <w:rFonts w:asciiTheme="majorHAnsi" w:eastAsia="Arial" w:hAnsiTheme="majorHAnsi" w:cstheme="majorHAnsi"/>
        </w:rPr>
        <w:t>All </w:t>
      </w:r>
      <w:r w:rsidRPr="00455CA7">
        <w:rPr>
          <w:rFonts w:asciiTheme="majorHAnsi" w:eastAsia="Arial" w:hAnsiTheme="majorHAnsi" w:cstheme="majorHAnsi"/>
        </w:rPr>
        <w:t>complaints about a grant pro</w:t>
      </w:r>
      <w:r>
        <w:rPr>
          <w:rFonts w:asciiTheme="majorHAnsi" w:eastAsia="Arial" w:hAnsiTheme="majorHAnsi" w:cstheme="majorHAnsi"/>
        </w:rPr>
        <w:t>cess must be lodged in writing.</w:t>
      </w:r>
    </w:p>
    <w:p w:rsidR="00856018" w:rsidRDefault="002242EF" w:rsidP="001B7AAC">
      <w:pPr>
        <w:spacing w:before="120" w:after="0"/>
        <w:rPr>
          <w:rFonts w:asciiTheme="majorHAnsi" w:eastAsia="Arial" w:hAnsiTheme="majorHAnsi" w:cstheme="majorHAnsi"/>
          <w:b/>
        </w:rPr>
      </w:pPr>
      <w:r w:rsidRPr="00455CA7">
        <w:rPr>
          <w:rFonts w:asciiTheme="majorHAnsi" w:eastAsia="Times New Roman" w:hAnsiTheme="majorHAnsi" w:cstheme="majorHAnsi"/>
        </w:rPr>
        <w:t xml:space="preserve">Any questions you have about grant decisions for the Program should be sent to </w:t>
      </w:r>
      <w:hyperlink r:id="rId31" w:history="1">
        <w:r w:rsidRPr="00404B5D">
          <w:rPr>
            <w:rStyle w:val="Hyperlink"/>
            <w:rFonts w:asciiTheme="majorHAnsi" w:eastAsia="Times New Roman" w:hAnsiTheme="majorHAnsi" w:cstheme="majorHAnsi"/>
          </w:rPr>
          <w:t>support@communitygrants.gov.au</w:t>
        </w:r>
      </w:hyperlink>
      <w:r w:rsidRPr="00455CA7">
        <w:rPr>
          <w:rFonts w:asciiTheme="majorHAnsi" w:eastAsia="Times New Roman" w:hAnsiTheme="majorHAnsi" w:cstheme="majorHAnsi"/>
        </w:rPr>
        <w:t>.</w:t>
      </w:r>
    </w:p>
    <w:p w:rsidR="002242EF" w:rsidRPr="00455CA7" w:rsidRDefault="002242EF" w:rsidP="002242EF">
      <w:pPr>
        <w:rPr>
          <w:rFonts w:asciiTheme="majorHAnsi" w:eastAsia="Arial" w:hAnsiTheme="majorHAnsi" w:cstheme="majorHAnsi"/>
          <w:b/>
        </w:rPr>
      </w:pPr>
      <w:r w:rsidRPr="00455CA7">
        <w:rPr>
          <w:rFonts w:asciiTheme="majorHAnsi" w:eastAsia="Arial" w:hAnsiTheme="majorHAnsi" w:cstheme="majorHAnsi"/>
          <w:b/>
        </w:rPr>
        <w:t>Complaints about the Process</w:t>
      </w:r>
    </w:p>
    <w:p w:rsidR="002242EF" w:rsidRPr="00455CA7" w:rsidRDefault="002242EF" w:rsidP="002242EF">
      <w:pPr>
        <w:spacing w:before="120" w:after="0"/>
        <w:rPr>
          <w:rFonts w:asciiTheme="majorHAnsi" w:eastAsia="Arial" w:hAnsiTheme="majorHAnsi" w:cstheme="majorHAnsi"/>
        </w:rPr>
      </w:pPr>
      <w:r w:rsidRPr="00455CA7">
        <w:rPr>
          <w:rFonts w:asciiTheme="majorHAnsi" w:eastAsia="Arial" w:hAnsiTheme="majorHAnsi" w:cstheme="majorHAnsi"/>
        </w:rPr>
        <w:t xml:space="preserve">Applicants can contact the complaints service with complaints about Community Grants Hub’s service(s) or the application process. </w:t>
      </w:r>
    </w:p>
    <w:p w:rsidR="00141FCB" w:rsidRDefault="002242EF" w:rsidP="002242EF">
      <w:pPr>
        <w:spacing w:before="120" w:after="0"/>
        <w:rPr>
          <w:rFonts w:asciiTheme="majorHAnsi" w:eastAsia="Arial" w:hAnsiTheme="majorHAnsi" w:cstheme="majorHAnsi"/>
        </w:rPr>
      </w:pPr>
      <w:r w:rsidRPr="00455CA7">
        <w:rPr>
          <w:rFonts w:asciiTheme="majorHAnsi" w:eastAsia="Arial" w:hAnsiTheme="majorHAnsi" w:cstheme="majorHAnsi"/>
        </w:rPr>
        <w:t>Details of what constitutes an eligible complaint can be provided upon reques</w:t>
      </w:r>
      <w:r>
        <w:rPr>
          <w:rFonts w:asciiTheme="majorHAnsi" w:eastAsia="Arial" w:hAnsiTheme="majorHAnsi" w:cstheme="majorHAnsi"/>
        </w:rPr>
        <w:t>t by the Community Grants Hub. </w:t>
      </w:r>
    </w:p>
    <w:p w:rsidR="002242EF" w:rsidRPr="00455CA7" w:rsidRDefault="002242EF" w:rsidP="002242EF">
      <w:pPr>
        <w:spacing w:before="120" w:after="0"/>
        <w:rPr>
          <w:rFonts w:asciiTheme="majorHAnsi" w:eastAsia="Arial" w:hAnsiTheme="majorHAnsi" w:cstheme="majorHAnsi"/>
        </w:rPr>
      </w:pPr>
      <w:r w:rsidRPr="00455CA7">
        <w:rPr>
          <w:rFonts w:asciiTheme="majorHAnsi" w:eastAsia="Arial" w:hAnsiTheme="majorHAnsi" w:cstheme="majorHAnsi"/>
        </w:rPr>
        <w:t xml:space="preserve">Applicants can lodge complaints through the following channels: </w:t>
      </w:r>
    </w:p>
    <w:p w:rsidR="002242EF" w:rsidRPr="00455CA7" w:rsidRDefault="002242EF" w:rsidP="002242EF">
      <w:pPr>
        <w:spacing w:before="0" w:after="0" w:line="240" w:lineRule="auto"/>
        <w:rPr>
          <w:rFonts w:asciiTheme="majorHAnsi" w:eastAsia="Arial" w:hAnsiTheme="majorHAnsi" w:cstheme="majorHAnsi"/>
        </w:rPr>
      </w:pPr>
      <w:r w:rsidRPr="00455CA7">
        <w:rPr>
          <w:rFonts w:asciiTheme="majorHAnsi" w:eastAsia="Arial" w:hAnsiTheme="majorHAnsi" w:cstheme="majorHAnsi"/>
        </w:rPr>
        <w:t>Phone:</w:t>
      </w:r>
      <w:r w:rsidR="00A72CEC">
        <w:rPr>
          <w:rFonts w:asciiTheme="majorHAnsi" w:eastAsia="Arial" w:hAnsiTheme="majorHAnsi" w:cstheme="majorHAnsi"/>
        </w:rPr>
        <w:tab/>
      </w:r>
      <w:r w:rsidR="00A72CEC">
        <w:rPr>
          <w:rFonts w:asciiTheme="majorHAnsi" w:eastAsia="Arial" w:hAnsiTheme="majorHAnsi" w:cstheme="majorHAnsi"/>
        </w:rPr>
        <w:tab/>
      </w:r>
      <w:r w:rsidRPr="00455CA7">
        <w:rPr>
          <w:rFonts w:asciiTheme="majorHAnsi" w:eastAsia="Arial" w:hAnsiTheme="majorHAnsi" w:cstheme="majorHAnsi"/>
        </w:rPr>
        <w:t xml:space="preserve">1800 634 035 </w:t>
      </w:r>
    </w:p>
    <w:p w:rsidR="00141FCB" w:rsidRDefault="002242EF">
      <w:pPr>
        <w:spacing w:before="0" w:after="0" w:line="240" w:lineRule="auto"/>
        <w:rPr>
          <w:rFonts w:asciiTheme="majorHAnsi" w:eastAsia="Arial" w:hAnsiTheme="majorHAnsi" w:cstheme="majorHAnsi"/>
        </w:rPr>
      </w:pPr>
      <w:r w:rsidRPr="00455CA7">
        <w:rPr>
          <w:rFonts w:asciiTheme="majorHAnsi" w:eastAsia="Arial" w:hAnsiTheme="majorHAnsi" w:cstheme="majorHAnsi"/>
        </w:rPr>
        <w:t>Mail:</w:t>
      </w:r>
      <w:r w:rsidR="00A72CEC">
        <w:rPr>
          <w:rFonts w:asciiTheme="majorHAnsi" w:eastAsia="Arial" w:hAnsiTheme="majorHAnsi" w:cstheme="majorHAnsi"/>
        </w:rPr>
        <w:tab/>
      </w:r>
      <w:r w:rsidR="00A72CEC">
        <w:rPr>
          <w:rFonts w:asciiTheme="majorHAnsi" w:eastAsia="Arial" w:hAnsiTheme="majorHAnsi" w:cstheme="majorHAnsi"/>
        </w:rPr>
        <w:tab/>
      </w:r>
      <w:r w:rsidRPr="00455CA7">
        <w:rPr>
          <w:rFonts w:asciiTheme="majorHAnsi" w:eastAsia="Arial" w:hAnsiTheme="majorHAnsi" w:cstheme="majorHAnsi"/>
        </w:rPr>
        <w:t>Community Grants Hub Complaints</w:t>
      </w:r>
      <w:r w:rsidR="00141FCB">
        <w:rPr>
          <w:rFonts w:asciiTheme="majorHAnsi" w:eastAsia="Arial" w:hAnsiTheme="majorHAnsi" w:cstheme="majorHAnsi"/>
        </w:rPr>
        <w:tab/>
      </w:r>
      <w:r w:rsidR="00141FCB">
        <w:rPr>
          <w:rFonts w:asciiTheme="majorHAnsi" w:eastAsia="Arial" w:hAnsiTheme="majorHAnsi" w:cstheme="majorHAnsi"/>
        </w:rPr>
        <w:tab/>
      </w:r>
    </w:p>
    <w:p w:rsidR="002242EF" w:rsidRPr="00455CA7" w:rsidRDefault="002242EF" w:rsidP="00A02399">
      <w:pPr>
        <w:spacing w:before="0" w:after="0" w:line="240" w:lineRule="auto"/>
        <w:ind w:left="1440"/>
        <w:rPr>
          <w:rFonts w:asciiTheme="majorHAnsi" w:eastAsia="Arial" w:hAnsiTheme="majorHAnsi" w:cstheme="majorHAnsi"/>
        </w:rPr>
      </w:pPr>
      <w:r w:rsidRPr="00455CA7">
        <w:rPr>
          <w:rFonts w:asciiTheme="majorHAnsi" w:eastAsia="Arial" w:hAnsiTheme="majorHAnsi" w:cstheme="majorHAnsi"/>
        </w:rPr>
        <w:t>GPO Box 9820</w:t>
      </w:r>
      <w:r w:rsidR="00A72CEC">
        <w:rPr>
          <w:rFonts w:asciiTheme="majorHAnsi" w:eastAsia="Arial" w:hAnsiTheme="majorHAnsi" w:cstheme="majorHAnsi"/>
        </w:rPr>
        <w:br/>
      </w:r>
      <w:r w:rsidRPr="00455CA7">
        <w:rPr>
          <w:rFonts w:asciiTheme="majorHAnsi" w:eastAsia="Arial" w:hAnsiTheme="majorHAnsi" w:cstheme="majorHAnsi"/>
        </w:rPr>
        <w:t>Canberra ACT 2601</w:t>
      </w:r>
    </w:p>
    <w:p w:rsidR="002242EF" w:rsidRPr="00455CA7" w:rsidRDefault="002242EF" w:rsidP="002242EF">
      <w:pPr>
        <w:spacing w:before="120" w:after="0"/>
        <w:rPr>
          <w:rFonts w:asciiTheme="majorHAnsi" w:eastAsia="Arial" w:hAnsiTheme="majorHAnsi" w:cstheme="majorHAnsi"/>
        </w:rPr>
      </w:pPr>
      <w:r w:rsidRPr="00455CA7">
        <w:rPr>
          <w:rFonts w:asciiTheme="majorHAnsi" w:eastAsia="Arial" w:hAnsiTheme="majorHAnsi" w:cstheme="majorHAnsi"/>
        </w:rPr>
        <w:t>A complaints form</w:t>
      </w:r>
      <w:r>
        <w:rPr>
          <w:rFonts w:asciiTheme="majorHAnsi" w:eastAsia="Arial" w:hAnsiTheme="majorHAnsi" w:cstheme="majorHAnsi"/>
        </w:rPr>
        <w:t xml:space="preserve"> is available on the </w:t>
      </w:r>
      <w:hyperlink r:id="rId32" w:history="1">
        <w:r w:rsidRPr="00A72CEC">
          <w:rPr>
            <w:rStyle w:val="Hyperlink"/>
            <w:rFonts w:asciiTheme="majorHAnsi" w:eastAsia="Arial" w:hAnsiTheme="majorHAnsi" w:cstheme="majorHAnsi"/>
          </w:rPr>
          <w:t>Department’s website</w:t>
        </w:r>
      </w:hyperlink>
      <w:r w:rsidR="00A72CEC">
        <w:rPr>
          <w:rFonts w:asciiTheme="majorHAnsi" w:eastAsia="Arial" w:hAnsiTheme="majorHAnsi" w:cstheme="majorHAnsi"/>
        </w:rPr>
        <w:t>.</w:t>
      </w:r>
    </w:p>
    <w:p w:rsidR="002242EF" w:rsidRPr="00455CA7" w:rsidRDefault="002242EF" w:rsidP="002242EF">
      <w:pPr>
        <w:rPr>
          <w:rFonts w:asciiTheme="majorHAnsi" w:eastAsia="Arial" w:hAnsiTheme="majorHAnsi" w:cstheme="majorHAnsi"/>
          <w:b/>
        </w:rPr>
      </w:pPr>
      <w:r w:rsidRPr="00455CA7">
        <w:rPr>
          <w:rFonts w:asciiTheme="majorHAnsi" w:eastAsia="Arial" w:hAnsiTheme="majorHAnsi" w:cstheme="majorHAnsi"/>
          <w:b/>
        </w:rPr>
        <w:t>Complaints to the Ombudsman</w:t>
      </w:r>
    </w:p>
    <w:p w:rsidR="002242EF" w:rsidRPr="00455CA7" w:rsidRDefault="002242EF" w:rsidP="002242EF">
      <w:pPr>
        <w:spacing w:before="120" w:after="0"/>
        <w:rPr>
          <w:rFonts w:asciiTheme="majorHAnsi" w:eastAsia="Arial" w:hAnsiTheme="majorHAnsi" w:cstheme="majorHAnsi"/>
        </w:rPr>
      </w:pPr>
      <w:r w:rsidRPr="00455CA7">
        <w:rPr>
          <w:rFonts w:asciiTheme="majorHAnsi" w:eastAsia="Arial" w:hAnsiTheme="majorHAnsi" w:cstheme="majorHAnsi"/>
        </w:rPr>
        <w:t>If you do not agree with the way the Department has handled your complaint, you may complain to the Commonwealth Ombudsman. The Ombudsman will not usually look into a complaint unless the matter has first been rais</w:t>
      </w:r>
      <w:r>
        <w:rPr>
          <w:rFonts w:asciiTheme="majorHAnsi" w:eastAsia="Arial" w:hAnsiTheme="majorHAnsi" w:cstheme="majorHAnsi"/>
        </w:rPr>
        <w:t>ed directly with the Department</w:t>
      </w:r>
      <w:r w:rsidRPr="00455CA7">
        <w:rPr>
          <w:rFonts w:asciiTheme="majorHAnsi" w:eastAsia="Arial" w:hAnsiTheme="majorHAnsi" w:cstheme="majorHAnsi"/>
        </w:rPr>
        <w:t>.</w:t>
      </w:r>
    </w:p>
    <w:p w:rsidR="002242EF" w:rsidRPr="00455CA7" w:rsidRDefault="002242EF" w:rsidP="002242EF">
      <w:pPr>
        <w:spacing w:before="120" w:after="0"/>
        <w:ind w:left="5041" w:hanging="5041"/>
        <w:rPr>
          <w:rFonts w:asciiTheme="majorHAnsi" w:eastAsia="Arial" w:hAnsiTheme="majorHAnsi" w:cstheme="majorHAnsi"/>
        </w:rPr>
      </w:pPr>
      <w:r w:rsidRPr="00455CA7">
        <w:rPr>
          <w:rFonts w:asciiTheme="majorHAnsi" w:eastAsia="Arial" w:hAnsiTheme="majorHAnsi" w:cstheme="majorHAnsi"/>
        </w:rPr>
        <w:lastRenderedPageBreak/>
        <w:t xml:space="preserve">The Commonwealth Ombudsman can be contacted on: </w:t>
      </w:r>
    </w:p>
    <w:p w:rsidR="002242EF" w:rsidRPr="00455CA7" w:rsidRDefault="002242EF" w:rsidP="00A02399">
      <w:pPr>
        <w:spacing w:after="0" w:line="240" w:lineRule="auto"/>
        <w:rPr>
          <w:rFonts w:asciiTheme="majorHAnsi" w:eastAsia="Arial" w:hAnsiTheme="majorHAnsi" w:cstheme="majorHAnsi"/>
        </w:rPr>
      </w:pPr>
      <w:r w:rsidRPr="00455CA7">
        <w:rPr>
          <w:rFonts w:asciiTheme="majorHAnsi" w:eastAsia="Arial" w:hAnsiTheme="majorHAnsi" w:cstheme="majorHAnsi"/>
        </w:rPr>
        <w:t xml:space="preserve">Phone (Toll free): </w:t>
      </w:r>
      <w:r w:rsidR="00141FCB">
        <w:rPr>
          <w:rFonts w:asciiTheme="majorHAnsi" w:eastAsia="Arial" w:hAnsiTheme="majorHAnsi" w:cstheme="majorHAnsi"/>
        </w:rPr>
        <w:tab/>
      </w:r>
      <w:r w:rsidRPr="00455CA7">
        <w:rPr>
          <w:rFonts w:asciiTheme="majorHAnsi" w:eastAsia="Arial" w:hAnsiTheme="majorHAnsi" w:cstheme="majorHAnsi"/>
        </w:rPr>
        <w:t>1300 362 072</w:t>
      </w:r>
    </w:p>
    <w:p w:rsidR="002242EF" w:rsidRPr="00455CA7" w:rsidRDefault="002242EF" w:rsidP="00A02399">
      <w:pPr>
        <w:spacing w:before="0" w:after="0" w:line="240" w:lineRule="auto"/>
        <w:rPr>
          <w:rFonts w:asciiTheme="majorHAnsi" w:eastAsia="Arial" w:hAnsiTheme="majorHAnsi" w:cstheme="majorHAnsi"/>
        </w:rPr>
      </w:pPr>
      <w:r w:rsidRPr="00455CA7">
        <w:rPr>
          <w:rFonts w:asciiTheme="majorHAnsi" w:eastAsia="Arial" w:hAnsiTheme="majorHAnsi" w:cstheme="majorHAnsi"/>
        </w:rPr>
        <w:t xml:space="preserve">Email:  </w:t>
      </w:r>
      <w:r w:rsidR="00141FCB">
        <w:rPr>
          <w:rFonts w:asciiTheme="majorHAnsi" w:eastAsia="Arial" w:hAnsiTheme="majorHAnsi" w:cstheme="majorHAnsi"/>
        </w:rPr>
        <w:tab/>
      </w:r>
      <w:r w:rsidR="00141FCB">
        <w:rPr>
          <w:rFonts w:asciiTheme="majorHAnsi" w:eastAsia="Arial" w:hAnsiTheme="majorHAnsi" w:cstheme="majorHAnsi"/>
        </w:rPr>
        <w:tab/>
      </w:r>
      <w:hyperlink r:id="rId33" w:history="1">
        <w:r w:rsidRPr="00455CA7">
          <w:rPr>
            <w:rFonts w:asciiTheme="majorHAnsi" w:eastAsia="Arial" w:hAnsiTheme="majorHAnsi" w:cstheme="majorHAnsi"/>
            <w:u w:val="single" w:color="0070C0"/>
          </w:rPr>
          <w:t>ombudsman@ombudsman.gov.au</w:t>
        </w:r>
      </w:hyperlink>
    </w:p>
    <w:p w:rsidR="002242EF" w:rsidRDefault="002242EF" w:rsidP="00A02399">
      <w:pPr>
        <w:spacing w:before="0" w:after="0" w:line="240" w:lineRule="auto"/>
        <w:rPr>
          <w:b/>
        </w:rPr>
      </w:pPr>
      <w:r w:rsidRPr="00455CA7">
        <w:rPr>
          <w:rFonts w:asciiTheme="majorHAnsi" w:eastAsia="Arial" w:hAnsiTheme="majorHAnsi" w:cstheme="majorHAnsi"/>
        </w:rPr>
        <w:t xml:space="preserve">Website:  </w:t>
      </w:r>
      <w:r w:rsidR="00141FCB">
        <w:rPr>
          <w:rFonts w:asciiTheme="majorHAnsi" w:eastAsia="Arial" w:hAnsiTheme="majorHAnsi" w:cstheme="majorHAnsi"/>
        </w:rPr>
        <w:tab/>
      </w:r>
      <w:r w:rsidR="00141FCB">
        <w:rPr>
          <w:rFonts w:asciiTheme="majorHAnsi" w:eastAsia="Arial" w:hAnsiTheme="majorHAnsi" w:cstheme="majorHAnsi"/>
        </w:rPr>
        <w:tab/>
      </w:r>
      <w:r w:rsidRPr="00455CA7">
        <w:rPr>
          <w:rFonts w:asciiTheme="majorHAnsi" w:eastAsia="Arial" w:hAnsiTheme="majorHAnsi" w:cstheme="majorHAnsi"/>
        </w:rPr>
        <w:t xml:space="preserve">www.ombudsman.gov.au </w:t>
      </w:r>
    </w:p>
    <w:p w:rsidR="00340616" w:rsidRPr="00B72EE8" w:rsidRDefault="00340616" w:rsidP="00892C8B">
      <w:pPr>
        <w:pStyle w:val="Heading2Numbered"/>
        <w:ind w:left="709" w:hanging="709"/>
      </w:pPr>
      <w:bookmarkStart w:id="165" w:name="_Toc522006589"/>
      <w:r w:rsidRPr="00B72EE8">
        <w:t>Conflict of interest</w:t>
      </w:r>
      <w:bookmarkEnd w:id="163"/>
      <w:bookmarkEnd w:id="164"/>
      <w:bookmarkEnd w:id="165"/>
    </w:p>
    <w:p w:rsidR="002242EF" w:rsidRPr="00FE020E" w:rsidRDefault="002242EF" w:rsidP="002242EF">
      <w:pPr>
        <w:spacing w:before="120" w:after="0"/>
        <w:rPr>
          <w:rFonts w:asciiTheme="majorHAnsi" w:hAnsiTheme="majorHAnsi" w:cstheme="majorHAnsi"/>
        </w:rPr>
      </w:pPr>
      <w:bookmarkStart w:id="166" w:name="_Toc421777634"/>
      <w:bookmarkStart w:id="167" w:name="_Toc467773993"/>
      <w:r w:rsidRPr="00EB54B1">
        <w:rPr>
          <w:rFonts w:asciiTheme="majorHAnsi" w:hAnsiTheme="majorHAnsi" w:cstheme="majorHAnsi"/>
        </w:rPr>
        <w:t xml:space="preserve">This section relates to conflict of interest in respect to the assessment of an application.  </w:t>
      </w:r>
    </w:p>
    <w:p w:rsidR="002242EF" w:rsidRDefault="002242EF" w:rsidP="002242EF">
      <w:pPr>
        <w:spacing w:before="120" w:after="0"/>
        <w:rPr>
          <w:rFonts w:asciiTheme="majorHAnsi" w:hAnsiTheme="majorHAnsi" w:cstheme="majorHAnsi"/>
        </w:rPr>
      </w:pPr>
      <w:r w:rsidRPr="00441C0B">
        <w:rPr>
          <w:rFonts w:asciiTheme="majorHAnsi" w:hAnsiTheme="majorHAnsi" w:cstheme="majorHAnsi"/>
        </w:rPr>
        <w:t>A conflict of interest arises where a person makes a decisio</w:t>
      </w:r>
      <w:r>
        <w:rPr>
          <w:rFonts w:asciiTheme="majorHAnsi" w:hAnsiTheme="majorHAnsi" w:cstheme="majorHAnsi"/>
        </w:rPr>
        <w:t xml:space="preserve">n or exercises a power in a way </w:t>
      </w:r>
      <w:r w:rsidRPr="00441C0B">
        <w:rPr>
          <w:rFonts w:asciiTheme="majorHAnsi" w:hAnsiTheme="majorHAnsi" w:cstheme="majorHAnsi"/>
        </w:rPr>
        <w:t>that may be, or may be perceived to be, influenced by either material personal interests (financial or non-financial) or material personal associations.</w:t>
      </w:r>
    </w:p>
    <w:p w:rsidR="002242EF" w:rsidRPr="00455CA7" w:rsidRDefault="002242EF" w:rsidP="00AD7C7D">
      <w:pPr>
        <w:keepNext/>
        <w:keepLines/>
        <w:spacing w:before="120"/>
        <w:rPr>
          <w:rFonts w:asciiTheme="majorHAnsi" w:hAnsiTheme="majorHAnsi" w:cstheme="majorHAnsi"/>
        </w:rPr>
      </w:pPr>
      <w:r>
        <w:rPr>
          <w:rFonts w:asciiTheme="majorHAnsi" w:hAnsiTheme="majorHAnsi" w:cstheme="majorHAnsi"/>
        </w:rPr>
        <w:t>For example, t</w:t>
      </w:r>
      <w:r w:rsidRPr="00455CA7">
        <w:rPr>
          <w:rFonts w:asciiTheme="majorHAnsi" w:hAnsiTheme="majorHAnsi" w:cstheme="majorHAnsi"/>
        </w:rPr>
        <w:t>here may be a</w:t>
      </w:r>
      <w:r>
        <w:rPr>
          <w:rFonts w:asciiTheme="majorHAnsi" w:hAnsiTheme="majorHAnsi" w:cstheme="majorHAnsi"/>
        </w:rPr>
        <w:t xml:space="preserve"> conflict of interest </w:t>
      </w:r>
      <w:r w:rsidRPr="00455CA7">
        <w:rPr>
          <w:rFonts w:asciiTheme="majorHAnsi" w:hAnsiTheme="majorHAnsi" w:cstheme="majorHAnsi"/>
        </w:rPr>
        <w:t>if the Department</w:t>
      </w:r>
      <w:r>
        <w:rPr>
          <w:rFonts w:asciiTheme="majorHAnsi" w:hAnsiTheme="majorHAnsi" w:cstheme="majorHAnsi"/>
        </w:rPr>
        <w:t>,</w:t>
      </w:r>
      <w:r w:rsidRPr="00455CA7">
        <w:rPr>
          <w:rFonts w:asciiTheme="majorHAnsi" w:hAnsiTheme="majorHAnsi" w:cstheme="majorHAnsi"/>
        </w:rPr>
        <w:t xml:space="preserve"> the Community Grants Hub</w:t>
      </w:r>
      <w:r w:rsidRPr="00455CA7">
        <w:rPr>
          <w:rFonts w:asciiTheme="majorHAnsi" w:hAnsiTheme="majorHAnsi" w:cstheme="majorHAnsi"/>
          <w:b/>
        </w:rPr>
        <w:t xml:space="preserve"> </w:t>
      </w:r>
      <w:r w:rsidRPr="00455CA7">
        <w:rPr>
          <w:rFonts w:asciiTheme="majorHAnsi" w:hAnsiTheme="majorHAnsi" w:cstheme="majorHAnsi"/>
        </w:rPr>
        <w:t>staff, any member of a committee or advisor and/or you or any of your personnel:</w:t>
      </w:r>
    </w:p>
    <w:p w:rsidR="002242EF" w:rsidRPr="00455CA7" w:rsidRDefault="002242EF" w:rsidP="00AD7C7D">
      <w:pPr>
        <w:keepNext/>
        <w:keepLines/>
        <w:numPr>
          <w:ilvl w:val="0"/>
          <w:numId w:val="16"/>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has a professional, commercial or personal relationship with a party who is able to influence the application selection process, such as an Australian Government officer</w:t>
      </w:r>
    </w:p>
    <w:p w:rsidR="002242EF" w:rsidRPr="00455CA7" w:rsidRDefault="002242EF" w:rsidP="00AD7C7D">
      <w:pPr>
        <w:keepNext/>
        <w:keepLines/>
        <w:numPr>
          <w:ilvl w:val="0"/>
          <w:numId w:val="16"/>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has a</w:t>
      </w:r>
      <w:r>
        <w:rPr>
          <w:rFonts w:asciiTheme="majorHAnsi" w:hAnsiTheme="majorHAnsi" w:cstheme="majorHAnsi"/>
        </w:rPr>
        <w:t xml:space="preserve"> </w:t>
      </w:r>
      <w:r w:rsidRPr="00455CA7">
        <w:rPr>
          <w:rFonts w:asciiTheme="majorHAnsi" w:hAnsiTheme="majorHAnsi" w:cstheme="majorHAnsi"/>
        </w:rPr>
        <w:t>relationship with an organisation</w:t>
      </w:r>
      <w:r>
        <w:rPr>
          <w:rFonts w:asciiTheme="majorHAnsi" w:hAnsiTheme="majorHAnsi" w:cstheme="majorHAnsi"/>
        </w:rPr>
        <w:t xml:space="preserve">, such as legal or financial relationships, </w:t>
      </w:r>
      <w:r w:rsidRPr="00455CA7">
        <w:rPr>
          <w:rFonts w:asciiTheme="majorHAnsi" w:hAnsiTheme="majorHAnsi" w:cstheme="majorHAnsi"/>
        </w:rPr>
        <w:t>which is likely to interfere with or restrict the applicants from carrying out the proposed activi</w:t>
      </w:r>
      <w:r w:rsidR="00D141E4">
        <w:rPr>
          <w:rFonts w:asciiTheme="majorHAnsi" w:hAnsiTheme="majorHAnsi" w:cstheme="majorHAnsi"/>
        </w:rPr>
        <w:t>ties fairly and independently</w:t>
      </w:r>
    </w:p>
    <w:p w:rsidR="002242EF" w:rsidRPr="00455CA7" w:rsidRDefault="002242EF" w:rsidP="00AD7C7D">
      <w:pPr>
        <w:keepNext/>
        <w:keepLines/>
        <w:numPr>
          <w:ilvl w:val="0"/>
          <w:numId w:val="16"/>
        </w:numPr>
        <w:suppressAutoHyphens w:val="0"/>
        <w:spacing w:before="0" w:after="0" w:line="240" w:lineRule="auto"/>
        <w:ind w:left="714" w:hanging="357"/>
        <w:rPr>
          <w:rFonts w:asciiTheme="majorHAnsi" w:hAnsiTheme="majorHAnsi" w:cstheme="majorHAnsi"/>
        </w:rPr>
      </w:pPr>
      <w:proofErr w:type="gramStart"/>
      <w:r w:rsidRPr="00455CA7">
        <w:rPr>
          <w:rFonts w:asciiTheme="majorHAnsi" w:hAnsiTheme="majorHAnsi" w:cstheme="majorHAnsi"/>
        </w:rPr>
        <w:t>has</w:t>
      </w:r>
      <w:proofErr w:type="gramEnd"/>
      <w:r w:rsidRPr="00455CA7">
        <w:rPr>
          <w:rFonts w:asciiTheme="majorHAnsi" w:hAnsiTheme="majorHAnsi" w:cstheme="majorHAnsi"/>
        </w:rPr>
        <w:t xml:space="preserve"> a relationship with, or interest in, an organisation from which they will receive personal gain because the organisation receives funding under the Program.</w:t>
      </w:r>
    </w:p>
    <w:p w:rsidR="002242EF" w:rsidRDefault="002242EF" w:rsidP="002242EF">
      <w:pPr>
        <w:spacing w:before="120" w:after="0"/>
        <w:rPr>
          <w:rFonts w:asciiTheme="majorHAnsi" w:hAnsiTheme="majorHAnsi" w:cstheme="majorHAnsi"/>
        </w:rPr>
      </w:pPr>
      <w:r w:rsidRPr="00455CA7">
        <w:rPr>
          <w:rFonts w:asciiTheme="majorHAnsi" w:hAnsiTheme="majorHAnsi" w:cstheme="majorHAnsi"/>
        </w:rPr>
        <w:t>If you identify that there is an actual, apparent, or potential conflict of interest or that one might arise in relation to a grant application, you must inform the</w:t>
      </w:r>
      <w:r w:rsidRPr="00455CA7">
        <w:rPr>
          <w:rFonts w:asciiTheme="majorHAnsi" w:hAnsiTheme="majorHAnsi" w:cstheme="majorHAnsi"/>
          <w:b/>
          <w:color w:val="745B00" w:themeColor="accent3" w:themeShade="80"/>
        </w:rPr>
        <w:t xml:space="preserve"> </w:t>
      </w:r>
      <w:r w:rsidRPr="00455CA7">
        <w:rPr>
          <w:rFonts w:asciiTheme="majorHAnsi" w:hAnsiTheme="majorHAnsi" w:cstheme="majorHAnsi"/>
        </w:rPr>
        <w:t>Department and the Community Grants Hub in writing immediately. Committee members and other officials including the decision maker must also declare any conflicts of interest.</w:t>
      </w:r>
    </w:p>
    <w:p w:rsidR="002242EF" w:rsidRPr="00455CA7" w:rsidRDefault="002242EF" w:rsidP="002242EF">
      <w:pPr>
        <w:spacing w:before="120" w:after="0"/>
        <w:rPr>
          <w:rFonts w:asciiTheme="majorHAnsi" w:hAnsiTheme="majorHAnsi" w:cstheme="majorHAnsi"/>
        </w:rPr>
      </w:pPr>
      <w:r>
        <w:rPr>
          <w:rFonts w:asciiTheme="majorHAnsi" w:hAnsiTheme="majorHAnsi" w:cstheme="majorHAnsi"/>
        </w:rPr>
        <w:t>The Department</w:t>
      </w:r>
      <w:r w:rsidRPr="00C954C2">
        <w:rPr>
          <w:rFonts w:asciiTheme="majorHAnsi" w:hAnsiTheme="majorHAnsi" w:cstheme="majorHAnsi"/>
        </w:rPr>
        <w:t xml:space="preserve"> reserves the right to assess the potential impact of the conflict or perceived conflict and what plans, if any, are proposed to address the conflict of interest in relation to the application for funding.</w:t>
      </w:r>
    </w:p>
    <w:p w:rsidR="002242EF" w:rsidRPr="00455CA7" w:rsidRDefault="002242EF" w:rsidP="002242EF">
      <w:pPr>
        <w:spacing w:before="120" w:after="0"/>
        <w:rPr>
          <w:rFonts w:asciiTheme="majorHAnsi" w:hAnsiTheme="majorHAnsi" w:cstheme="majorHAnsi"/>
        </w:rPr>
      </w:pPr>
      <w:r w:rsidRPr="00455CA7">
        <w:rPr>
          <w:rFonts w:asciiTheme="majorHAnsi" w:hAnsiTheme="majorHAnsi" w:cstheme="majorHAnsi"/>
        </w:rPr>
        <w:t xml:space="preserve">Conflicts of interest for Australian Government staff will be handled as set out in the Australian Public Service Code of Conduct (Section 13(7)) of the </w:t>
      </w:r>
      <w:r w:rsidRPr="00455CA7">
        <w:rPr>
          <w:rFonts w:asciiTheme="majorHAnsi" w:hAnsiTheme="majorHAnsi" w:cstheme="majorHAnsi"/>
          <w:i/>
        </w:rPr>
        <w:t>Public Service Act 1999</w:t>
      </w:r>
      <w:r w:rsidRPr="00455CA7">
        <w:rPr>
          <w:rFonts w:asciiTheme="majorHAnsi" w:hAnsiTheme="majorHAnsi" w:cstheme="majorHAnsi"/>
        </w:rPr>
        <w:t>. We publish our conflict of interest policy available on the</w:t>
      </w:r>
      <w:r w:rsidRPr="00455CA7">
        <w:rPr>
          <w:rFonts w:asciiTheme="majorHAnsi" w:hAnsiTheme="majorHAnsi" w:cstheme="majorHAnsi"/>
          <w:b/>
          <w:color w:val="745B00" w:themeColor="accent3" w:themeShade="80"/>
        </w:rPr>
        <w:t xml:space="preserve"> </w:t>
      </w:r>
      <w:hyperlink r:id="rId34" w:history="1">
        <w:r w:rsidRPr="00455CA7">
          <w:rPr>
            <w:rStyle w:val="Hyperlink"/>
            <w:rFonts w:asciiTheme="majorHAnsi" w:hAnsiTheme="majorHAnsi" w:cstheme="majorHAnsi"/>
          </w:rPr>
          <w:t>Community Grant Hub</w:t>
        </w:r>
      </w:hyperlink>
      <w:r w:rsidRPr="00455CA7">
        <w:rPr>
          <w:rFonts w:asciiTheme="majorHAnsi" w:hAnsiTheme="majorHAnsi" w:cstheme="majorHAnsi"/>
          <w:color w:val="745B00" w:themeColor="accent3" w:themeShade="80"/>
        </w:rPr>
        <w:t xml:space="preserve"> </w:t>
      </w:r>
      <w:r w:rsidRPr="00455CA7">
        <w:rPr>
          <w:rFonts w:asciiTheme="majorHAnsi" w:hAnsiTheme="majorHAnsi" w:cstheme="majorHAnsi"/>
        </w:rPr>
        <w:t xml:space="preserve">website. </w:t>
      </w:r>
    </w:p>
    <w:p w:rsidR="00340616" w:rsidRPr="00440282" w:rsidRDefault="00340616" w:rsidP="00892C8B">
      <w:pPr>
        <w:pStyle w:val="Heading2Numbered"/>
        <w:ind w:left="709" w:hanging="709"/>
      </w:pPr>
      <w:bookmarkStart w:id="168" w:name="_Toc522006590"/>
      <w:r w:rsidRPr="00B72EE8">
        <w:t>Privacy: confidentiality and protection of personal information</w:t>
      </w:r>
      <w:bookmarkEnd w:id="166"/>
      <w:bookmarkEnd w:id="167"/>
      <w:bookmarkEnd w:id="168"/>
    </w:p>
    <w:p w:rsidR="00141FCB" w:rsidRDefault="002242EF" w:rsidP="002242EF">
      <w:pPr>
        <w:spacing w:before="120" w:after="0"/>
        <w:rPr>
          <w:rFonts w:asciiTheme="majorHAnsi" w:hAnsiTheme="majorHAnsi" w:cstheme="majorHAnsi"/>
        </w:rPr>
      </w:pPr>
      <w:bookmarkStart w:id="169" w:name="_Toc421777635"/>
      <w:bookmarkStart w:id="170" w:name="_Toc467773994"/>
      <w:r w:rsidRPr="00455CA7">
        <w:rPr>
          <w:rFonts w:asciiTheme="majorHAnsi" w:hAnsiTheme="majorHAnsi" w:cstheme="majorHAnsi"/>
        </w:rPr>
        <w:t xml:space="preserve">We treat your personal information according to the 13 Australian Privacy Principles and the </w:t>
      </w:r>
      <w:r w:rsidRPr="00455CA7">
        <w:rPr>
          <w:rFonts w:asciiTheme="majorHAnsi" w:hAnsiTheme="majorHAnsi" w:cstheme="majorHAnsi"/>
          <w:i/>
        </w:rPr>
        <w:t>Privacy Act 1988</w:t>
      </w:r>
      <w:r w:rsidRPr="00455CA7">
        <w:rPr>
          <w:rFonts w:asciiTheme="majorHAnsi" w:hAnsiTheme="majorHAnsi" w:cstheme="majorHAnsi"/>
        </w:rPr>
        <w:t xml:space="preserve">. </w:t>
      </w:r>
    </w:p>
    <w:p w:rsidR="002242EF" w:rsidRPr="00455CA7" w:rsidRDefault="002242EF" w:rsidP="002242EF">
      <w:pPr>
        <w:spacing w:before="120" w:after="0"/>
        <w:rPr>
          <w:rFonts w:asciiTheme="majorHAnsi" w:hAnsiTheme="majorHAnsi" w:cstheme="majorHAnsi"/>
        </w:rPr>
      </w:pPr>
      <w:r w:rsidRPr="00455CA7">
        <w:rPr>
          <w:rFonts w:asciiTheme="majorHAnsi" w:hAnsiTheme="majorHAnsi" w:cstheme="majorHAnsi"/>
        </w:rPr>
        <w:t xml:space="preserve">This includes letting you know: </w:t>
      </w:r>
    </w:p>
    <w:p w:rsidR="002242EF" w:rsidRPr="00455CA7" w:rsidRDefault="002242EF" w:rsidP="002242EF">
      <w:pPr>
        <w:numPr>
          <w:ilvl w:val="0"/>
          <w:numId w:val="16"/>
        </w:numPr>
        <w:suppressAutoHyphens w:val="0"/>
        <w:spacing w:before="60" w:after="0" w:line="240" w:lineRule="auto"/>
        <w:ind w:left="714" w:hanging="357"/>
        <w:rPr>
          <w:rFonts w:asciiTheme="majorHAnsi" w:hAnsiTheme="majorHAnsi" w:cstheme="majorHAnsi"/>
        </w:rPr>
      </w:pPr>
      <w:r w:rsidRPr="00455CA7">
        <w:rPr>
          <w:rFonts w:asciiTheme="majorHAnsi" w:hAnsiTheme="majorHAnsi" w:cstheme="majorHAnsi"/>
        </w:rPr>
        <w:t>what personal information we collect</w:t>
      </w:r>
    </w:p>
    <w:p w:rsidR="002242EF" w:rsidRPr="00455CA7" w:rsidRDefault="002242EF" w:rsidP="002242EF">
      <w:pPr>
        <w:numPr>
          <w:ilvl w:val="0"/>
          <w:numId w:val="16"/>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why we collect your personal information</w:t>
      </w:r>
    </w:p>
    <w:p w:rsidR="002242EF" w:rsidRPr="00455CA7" w:rsidRDefault="002242EF" w:rsidP="002242EF">
      <w:pPr>
        <w:numPr>
          <w:ilvl w:val="0"/>
          <w:numId w:val="16"/>
        </w:numPr>
        <w:suppressAutoHyphens w:val="0"/>
        <w:spacing w:before="0" w:after="0" w:line="240" w:lineRule="auto"/>
        <w:ind w:left="714" w:hanging="357"/>
        <w:rPr>
          <w:rFonts w:asciiTheme="majorHAnsi" w:hAnsiTheme="majorHAnsi" w:cstheme="majorHAnsi"/>
        </w:rPr>
      </w:pPr>
      <w:proofErr w:type="gramStart"/>
      <w:r w:rsidRPr="00455CA7">
        <w:rPr>
          <w:rFonts w:asciiTheme="majorHAnsi" w:hAnsiTheme="majorHAnsi" w:cstheme="majorHAnsi"/>
        </w:rPr>
        <w:t>who</w:t>
      </w:r>
      <w:proofErr w:type="gramEnd"/>
      <w:r w:rsidRPr="00455CA7">
        <w:rPr>
          <w:rFonts w:asciiTheme="majorHAnsi" w:hAnsiTheme="majorHAnsi" w:cstheme="majorHAnsi"/>
        </w:rPr>
        <w:t xml:space="preserve"> we give your personal information to</w:t>
      </w:r>
      <w:r>
        <w:rPr>
          <w:rFonts w:asciiTheme="majorHAnsi" w:hAnsiTheme="majorHAnsi" w:cstheme="majorHAnsi"/>
        </w:rPr>
        <w:t>.</w:t>
      </w:r>
    </w:p>
    <w:p w:rsidR="002242EF" w:rsidRPr="00455CA7" w:rsidRDefault="002242EF" w:rsidP="002242EF">
      <w:pPr>
        <w:spacing w:before="120" w:after="0"/>
        <w:rPr>
          <w:rFonts w:asciiTheme="majorHAnsi" w:hAnsiTheme="majorHAnsi" w:cstheme="majorHAnsi"/>
        </w:rPr>
      </w:pPr>
      <w:r w:rsidRPr="00455CA7">
        <w:rPr>
          <w:rFonts w:asciiTheme="majorHAnsi" w:hAnsiTheme="majorHAnsi" w:cstheme="majorHAnsi"/>
        </w:rPr>
        <w:t xml:space="preserve">You are required, as part of your application, to declare your ability to comply with the </w:t>
      </w:r>
      <w:hyperlink r:id="rId35" w:history="1">
        <w:r w:rsidRPr="00455CA7">
          <w:rPr>
            <w:rFonts w:asciiTheme="majorHAnsi" w:hAnsiTheme="majorHAnsi" w:cstheme="majorHAnsi"/>
            <w:i/>
          </w:rPr>
          <w:t>Privacy Act 1988</w:t>
        </w:r>
      </w:hyperlink>
      <w:r w:rsidRPr="00455CA7">
        <w:rPr>
          <w:rFonts w:asciiTheme="majorHAnsi" w:hAnsiTheme="majorHAnsi" w:cstheme="majorHAnsi"/>
          <w:i/>
        </w:rPr>
        <w:t>,</w:t>
      </w:r>
      <w:r w:rsidRPr="00455CA7">
        <w:rPr>
          <w:rFonts w:asciiTheme="majorHAnsi" w:hAnsiTheme="majorHAnsi" w:cstheme="majorHAnsi"/>
        </w:rPr>
        <w:t xml:space="preserve"> including the Australian Privacy Principles and impose the same privacy </w:t>
      </w:r>
      <w:r w:rsidRPr="00455CA7">
        <w:rPr>
          <w:rFonts w:asciiTheme="majorHAnsi" w:hAnsiTheme="majorHAnsi" w:cstheme="majorHAnsi"/>
        </w:rPr>
        <w:lastRenderedPageBreak/>
        <w:t>obligations on any subcontractors you engage to assist with the activity. You must ask for the Australian Government’s consent in writing before disclosing confidential information.</w:t>
      </w:r>
    </w:p>
    <w:p w:rsidR="002242EF" w:rsidRPr="00455CA7" w:rsidRDefault="002242EF" w:rsidP="002242EF">
      <w:pPr>
        <w:spacing w:before="120" w:after="0"/>
        <w:rPr>
          <w:rFonts w:asciiTheme="majorHAnsi" w:hAnsiTheme="majorHAnsi" w:cstheme="majorHAnsi"/>
        </w:rPr>
      </w:pPr>
      <w:r w:rsidRPr="00455CA7">
        <w:rPr>
          <w:rFonts w:asciiTheme="majorHAnsi" w:hAnsiTheme="majorHAnsi" w:cstheme="majorHAnsi"/>
        </w:rPr>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rsidR="002242EF" w:rsidRPr="00455CA7" w:rsidRDefault="002242EF" w:rsidP="002242EF">
      <w:pPr>
        <w:spacing w:before="120" w:after="0"/>
        <w:rPr>
          <w:rFonts w:asciiTheme="majorHAnsi" w:hAnsiTheme="majorHAnsi" w:cstheme="majorHAnsi"/>
        </w:rPr>
      </w:pPr>
      <w:r w:rsidRPr="00455CA7">
        <w:rPr>
          <w:rFonts w:asciiTheme="majorHAnsi" w:hAnsiTheme="majorHAnsi" w:cstheme="majorHAnsi"/>
        </w:rPr>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rsidR="002242EF" w:rsidRPr="00455CA7" w:rsidRDefault="002242EF" w:rsidP="00AD7C7D">
      <w:pPr>
        <w:keepNext/>
        <w:keepLines/>
        <w:spacing w:before="120" w:after="0"/>
        <w:rPr>
          <w:rFonts w:asciiTheme="majorHAnsi" w:hAnsiTheme="majorHAnsi" w:cstheme="majorHAnsi"/>
          <w:lang w:eastAsia="en-AU"/>
        </w:rPr>
      </w:pPr>
      <w:r w:rsidRPr="00455CA7">
        <w:rPr>
          <w:rFonts w:asciiTheme="majorHAnsi" w:hAnsiTheme="majorHAnsi" w:cstheme="majorHAnsi"/>
          <w:lang w:eastAsia="en-AU"/>
        </w:rPr>
        <w:t>We may reveal confidential information to:</w:t>
      </w:r>
    </w:p>
    <w:p w:rsidR="002242EF" w:rsidRPr="00455CA7" w:rsidRDefault="002242EF" w:rsidP="00AD7C7D">
      <w:pPr>
        <w:keepNext/>
        <w:keepLines/>
        <w:numPr>
          <w:ilvl w:val="0"/>
          <w:numId w:val="16"/>
        </w:numPr>
        <w:suppressAutoHyphens w:val="0"/>
        <w:spacing w:before="60" w:after="0" w:line="240" w:lineRule="auto"/>
        <w:ind w:left="714" w:hanging="357"/>
        <w:rPr>
          <w:rFonts w:asciiTheme="majorHAnsi" w:hAnsiTheme="majorHAnsi" w:cstheme="majorHAnsi"/>
        </w:rPr>
      </w:pPr>
      <w:r w:rsidRPr="00455CA7">
        <w:rPr>
          <w:rFonts w:asciiTheme="majorHAnsi" w:hAnsiTheme="majorHAnsi" w:cstheme="majorHAnsi"/>
        </w:rPr>
        <w:t>the committee and other Commonwealth employees and contractors to help us manage the program effectively</w:t>
      </w:r>
    </w:p>
    <w:p w:rsidR="002242EF" w:rsidRPr="00455CA7" w:rsidRDefault="002242EF" w:rsidP="00AD7C7D">
      <w:pPr>
        <w:keepNext/>
        <w:keepLines/>
        <w:numPr>
          <w:ilvl w:val="0"/>
          <w:numId w:val="16"/>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employees and contractors of our department so we can research, assess, monitor and analyse our programs and activities</w:t>
      </w:r>
    </w:p>
    <w:p w:rsidR="002242EF" w:rsidRPr="00455CA7" w:rsidRDefault="002242EF" w:rsidP="00AD7C7D">
      <w:pPr>
        <w:keepNext/>
        <w:keepLines/>
        <w:numPr>
          <w:ilvl w:val="0"/>
          <w:numId w:val="16"/>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employees and contractors of other Commonwealth agencies for any purposes, including government administration, research or service delivery</w:t>
      </w:r>
    </w:p>
    <w:p w:rsidR="002242EF" w:rsidRPr="00455CA7" w:rsidRDefault="002242EF" w:rsidP="00AD7C7D">
      <w:pPr>
        <w:keepNext/>
        <w:keepLines/>
        <w:numPr>
          <w:ilvl w:val="0"/>
          <w:numId w:val="16"/>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other Commonwealth, State, Territory or local government agencies in program reports and consultations</w:t>
      </w:r>
    </w:p>
    <w:p w:rsidR="002242EF" w:rsidRPr="00455CA7" w:rsidRDefault="002242EF" w:rsidP="00AD7C7D">
      <w:pPr>
        <w:keepNext/>
        <w:keepLines/>
        <w:numPr>
          <w:ilvl w:val="0"/>
          <w:numId w:val="16"/>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the Auditor-General, Ombudsman or Privacy Commissioner</w:t>
      </w:r>
    </w:p>
    <w:p w:rsidR="002242EF" w:rsidRPr="00455CA7" w:rsidRDefault="002242EF" w:rsidP="00AD7C7D">
      <w:pPr>
        <w:keepNext/>
        <w:keepLines/>
        <w:numPr>
          <w:ilvl w:val="0"/>
          <w:numId w:val="16"/>
        </w:numPr>
        <w:suppressAutoHyphens w:val="0"/>
        <w:spacing w:before="0" w:after="0" w:line="240" w:lineRule="auto"/>
        <w:ind w:left="714" w:hanging="357"/>
        <w:rPr>
          <w:rFonts w:asciiTheme="majorHAnsi" w:hAnsiTheme="majorHAnsi" w:cstheme="majorHAnsi"/>
        </w:rPr>
      </w:pPr>
      <w:r w:rsidRPr="00455CA7">
        <w:rPr>
          <w:rFonts w:asciiTheme="majorHAnsi" w:hAnsiTheme="majorHAnsi" w:cstheme="majorHAnsi"/>
        </w:rPr>
        <w:t>the responsible Minister or Parliamentary Secretary</w:t>
      </w:r>
    </w:p>
    <w:p w:rsidR="002242EF" w:rsidRPr="00455CA7" w:rsidRDefault="002242EF" w:rsidP="00AD7C7D">
      <w:pPr>
        <w:keepNext/>
        <w:keepLines/>
        <w:numPr>
          <w:ilvl w:val="0"/>
          <w:numId w:val="16"/>
        </w:numPr>
        <w:suppressAutoHyphens w:val="0"/>
        <w:spacing w:before="0" w:after="0" w:line="240" w:lineRule="auto"/>
        <w:ind w:left="714" w:hanging="357"/>
        <w:rPr>
          <w:rFonts w:asciiTheme="majorHAnsi" w:hAnsiTheme="majorHAnsi" w:cstheme="majorHAnsi"/>
        </w:rPr>
      </w:pPr>
      <w:proofErr w:type="gramStart"/>
      <w:r w:rsidRPr="00455CA7">
        <w:rPr>
          <w:rFonts w:asciiTheme="majorHAnsi" w:hAnsiTheme="majorHAnsi" w:cstheme="majorHAnsi"/>
        </w:rPr>
        <w:t>a</w:t>
      </w:r>
      <w:proofErr w:type="gramEnd"/>
      <w:r w:rsidRPr="00455CA7">
        <w:rPr>
          <w:rFonts w:asciiTheme="majorHAnsi" w:hAnsiTheme="majorHAnsi" w:cstheme="majorHAnsi"/>
        </w:rPr>
        <w:t xml:space="preserve"> House or a Committee of the Australian Parliament.</w:t>
      </w:r>
    </w:p>
    <w:p w:rsidR="002242EF" w:rsidRPr="00455CA7" w:rsidRDefault="002242EF" w:rsidP="002242EF">
      <w:pPr>
        <w:keepNext/>
        <w:keepLines/>
        <w:spacing w:before="120" w:after="0"/>
        <w:rPr>
          <w:rFonts w:asciiTheme="majorHAnsi" w:hAnsiTheme="majorHAnsi" w:cstheme="majorHAnsi"/>
        </w:rPr>
      </w:pPr>
      <w:r w:rsidRPr="00455CA7">
        <w:rPr>
          <w:rFonts w:asciiTheme="majorHAnsi" w:hAnsiTheme="majorHAnsi" w:cstheme="majorHAnsi"/>
        </w:rPr>
        <w:t>We may share the information you give us with other Commonwealth agencies for any purposes including government administration, research or service delivery and according to Australian laws, including the:</w:t>
      </w:r>
    </w:p>
    <w:p w:rsidR="002242EF" w:rsidRPr="00395D9C" w:rsidRDefault="002242EF" w:rsidP="002242EF">
      <w:pPr>
        <w:keepNext/>
        <w:keepLines/>
        <w:numPr>
          <w:ilvl w:val="0"/>
          <w:numId w:val="16"/>
        </w:numPr>
        <w:suppressAutoHyphens w:val="0"/>
        <w:spacing w:before="60" w:after="0" w:line="240" w:lineRule="auto"/>
        <w:ind w:left="714" w:hanging="357"/>
        <w:rPr>
          <w:rFonts w:asciiTheme="majorHAnsi" w:hAnsiTheme="majorHAnsi" w:cstheme="majorHAnsi"/>
          <w:i/>
        </w:rPr>
      </w:pPr>
      <w:r w:rsidRPr="00395D9C">
        <w:rPr>
          <w:rFonts w:asciiTheme="majorHAnsi" w:hAnsiTheme="majorHAnsi" w:cstheme="majorHAnsi"/>
          <w:i/>
        </w:rPr>
        <w:t>Public Service Act 1999</w:t>
      </w:r>
    </w:p>
    <w:p w:rsidR="002242EF" w:rsidRPr="00395D9C" w:rsidRDefault="002242EF" w:rsidP="002242EF">
      <w:pPr>
        <w:keepNext/>
        <w:keepLines/>
        <w:numPr>
          <w:ilvl w:val="0"/>
          <w:numId w:val="16"/>
        </w:numPr>
        <w:suppressAutoHyphens w:val="0"/>
        <w:spacing w:before="0" w:after="0" w:line="240" w:lineRule="auto"/>
        <w:ind w:left="714" w:hanging="357"/>
        <w:rPr>
          <w:rFonts w:asciiTheme="majorHAnsi" w:hAnsiTheme="majorHAnsi" w:cstheme="majorHAnsi"/>
          <w:i/>
        </w:rPr>
      </w:pPr>
      <w:r w:rsidRPr="00395D9C">
        <w:rPr>
          <w:rFonts w:asciiTheme="majorHAnsi" w:hAnsiTheme="majorHAnsi" w:cstheme="majorHAnsi"/>
          <w:i/>
        </w:rPr>
        <w:t>Public Service Regulations 1999</w:t>
      </w:r>
    </w:p>
    <w:p w:rsidR="002242EF" w:rsidRPr="00395D9C" w:rsidRDefault="002242EF" w:rsidP="002242EF">
      <w:pPr>
        <w:keepNext/>
        <w:keepLines/>
        <w:numPr>
          <w:ilvl w:val="0"/>
          <w:numId w:val="16"/>
        </w:numPr>
        <w:suppressAutoHyphens w:val="0"/>
        <w:spacing w:before="0" w:after="0" w:line="240" w:lineRule="auto"/>
        <w:ind w:left="714" w:hanging="357"/>
        <w:rPr>
          <w:rFonts w:asciiTheme="majorHAnsi" w:hAnsiTheme="majorHAnsi" w:cstheme="majorHAnsi"/>
          <w:i/>
        </w:rPr>
      </w:pPr>
      <w:r w:rsidRPr="00395D9C">
        <w:rPr>
          <w:rFonts w:asciiTheme="majorHAnsi" w:hAnsiTheme="majorHAnsi" w:cstheme="majorHAnsi"/>
          <w:i/>
        </w:rPr>
        <w:t>Public Governance, Performance and Accountability Act</w:t>
      </w:r>
    </w:p>
    <w:p w:rsidR="002242EF" w:rsidRPr="00395D9C" w:rsidRDefault="002242EF" w:rsidP="002242EF">
      <w:pPr>
        <w:keepNext/>
        <w:keepLines/>
        <w:numPr>
          <w:ilvl w:val="0"/>
          <w:numId w:val="16"/>
        </w:numPr>
        <w:suppressAutoHyphens w:val="0"/>
        <w:spacing w:before="0" w:after="0" w:line="240" w:lineRule="auto"/>
        <w:ind w:left="714" w:hanging="357"/>
        <w:rPr>
          <w:rFonts w:asciiTheme="majorHAnsi" w:hAnsiTheme="majorHAnsi" w:cstheme="majorHAnsi"/>
          <w:i/>
        </w:rPr>
      </w:pPr>
      <w:r w:rsidRPr="00395D9C">
        <w:rPr>
          <w:rFonts w:asciiTheme="majorHAnsi" w:hAnsiTheme="majorHAnsi" w:cstheme="majorHAnsi"/>
          <w:i/>
        </w:rPr>
        <w:t xml:space="preserve">Privacy Act 1988 </w:t>
      </w:r>
    </w:p>
    <w:p w:rsidR="002242EF" w:rsidRPr="00395D9C" w:rsidRDefault="002242EF" w:rsidP="002242EF">
      <w:pPr>
        <w:keepNext/>
        <w:keepLines/>
        <w:numPr>
          <w:ilvl w:val="0"/>
          <w:numId w:val="16"/>
        </w:numPr>
        <w:suppressAutoHyphens w:val="0"/>
        <w:spacing w:before="0" w:after="0" w:line="240" w:lineRule="auto"/>
        <w:ind w:left="714" w:hanging="357"/>
        <w:rPr>
          <w:rFonts w:asciiTheme="majorHAnsi" w:hAnsiTheme="majorHAnsi" w:cstheme="majorHAnsi"/>
          <w:i/>
        </w:rPr>
      </w:pPr>
      <w:r w:rsidRPr="00395D9C">
        <w:rPr>
          <w:rFonts w:asciiTheme="majorHAnsi" w:hAnsiTheme="majorHAnsi" w:cstheme="majorHAnsi"/>
          <w:i/>
        </w:rPr>
        <w:t>Crimes Act 1914</w:t>
      </w:r>
    </w:p>
    <w:p w:rsidR="002242EF" w:rsidRPr="00395D9C" w:rsidRDefault="002242EF" w:rsidP="002242EF">
      <w:pPr>
        <w:numPr>
          <w:ilvl w:val="0"/>
          <w:numId w:val="16"/>
        </w:numPr>
        <w:suppressAutoHyphens w:val="0"/>
        <w:spacing w:before="0" w:after="0" w:line="240" w:lineRule="auto"/>
        <w:ind w:left="714" w:hanging="357"/>
        <w:rPr>
          <w:rFonts w:asciiTheme="majorHAnsi" w:hAnsiTheme="majorHAnsi" w:cstheme="majorHAnsi"/>
          <w:i/>
        </w:rPr>
      </w:pPr>
      <w:r w:rsidRPr="00395D9C">
        <w:rPr>
          <w:rFonts w:asciiTheme="majorHAnsi" w:hAnsiTheme="majorHAnsi" w:cstheme="majorHAnsi"/>
          <w:i/>
        </w:rPr>
        <w:t>Criminal Code Act 1995</w:t>
      </w:r>
      <w:r>
        <w:rPr>
          <w:rFonts w:asciiTheme="majorHAnsi" w:hAnsiTheme="majorHAnsi" w:cstheme="majorHAnsi"/>
          <w:i/>
        </w:rPr>
        <w:t>.</w:t>
      </w:r>
    </w:p>
    <w:p w:rsidR="002242EF" w:rsidRPr="00455CA7" w:rsidRDefault="002242EF" w:rsidP="002242EF">
      <w:pPr>
        <w:keepNext/>
        <w:spacing w:before="120" w:after="0"/>
        <w:rPr>
          <w:rFonts w:asciiTheme="majorHAnsi" w:hAnsiTheme="majorHAnsi" w:cstheme="majorHAnsi"/>
        </w:rPr>
      </w:pPr>
      <w:r>
        <w:rPr>
          <w:rFonts w:asciiTheme="majorHAnsi" w:hAnsiTheme="majorHAnsi" w:cstheme="majorHAnsi"/>
        </w:rPr>
        <w:t>We wi</w:t>
      </w:r>
      <w:r w:rsidRPr="00455CA7">
        <w:rPr>
          <w:rFonts w:asciiTheme="majorHAnsi" w:hAnsiTheme="majorHAnsi" w:cstheme="majorHAnsi"/>
        </w:rPr>
        <w:t>ll treat the information you give us as sensitive and therefore confidential if it meets all of the four conditions below:</w:t>
      </w:r>
    </w:p>
    <w:p w:rsidR="002242EF" w:rsidRPr="00455CA7" w:rsidRDefault="002242EF" w:rsidP="002242EF">
      <w:pPr>
        <w:pStyle w:val="NumberedList1"/>
        <w:numPr>
          <w:ilvl w:val="0"/>
          <w:numId w:val="33"/>
        </w:numPr>
        <w:spacing w:before="60" w:after="0" w:line="240" w:lineRule="auto"/>
        <w:ind w:left="714" w:hanging="357"/>
        <w:rPr>
          <w:rFonts w:asciiTheme="majorHAnsi" w:hAnsiTheme="majorHAnsi" w:cstheme="majorHAnsi"/>
        </w:rPr>
      </w:pPr>
      <w:r>
        <w:rPr>
          <w:rFonts w:asciiTheme="majorHAnsi" w:hAnsiTheme="majorHAnsi" w:cstheme="majorHAnsi"/>
        </w:rPr>
        <w:t>Y</w:t>
      </w:r>
      <w:r w:rsidRPr="00455CA7">
        <w:rPr>
          <w:rFonts w:asciiTheme="majorHAnsi" w:hAnsiTheme="majorHAnsi" w:cstheme="majorHAnsi"/>
        </w:rPr>
        <w:t>ou clearly identify the information as confidential and explain why we should treat it as confidential</w:t>
      </w:r>
      <w:r>
        <w:rPr>
          <w:rFonts w:asciiTheme="majorHAnsi" w:hAnsiTheme="majorHAnsi" w:cstheme="majorHAnsi"/>
        </w:rPr>
        <w:t>.</w:t>
      </w:r>
    </w:p>
    <w:p w:rsidR="002242EF" w:rsidRPr="00455CA7" w:rsidRDefault="002242EF" w:rsidP="002242EF">
      <w:pPr>
        <w:pStyle w:val="NumberedList1"/>
        <w:numPr>
          <w:ilvl w:val="0"/>
          <w:numId w:val="33"/>
        </w:numPr>
        <w:spacing w:before="0" w:line="240" w:lineRule="auto"/>
        <w:rPr>
          <w:rFonts w:asciiTheme="majorHAnsi" w:hAnsiTheme="majorHAnsi" w:cstheme="majorHAnsi"/>
        </w:rPr>
      </w:pPr>
      <w:r>
        <w:rPr>
          <w:rFonts w:asciiTheme="majorHAnsi" w:hAnsiTheme="majorHAnsi" w:cstheme="majorHAnsi"/>
        </w:rPr>
        <w:t>T</w:t>
      </w:r>
      <w:r w:rsidRPr="00455CA7">
        <w:rPr>
          <w:rFonts w:asciiTheme="majorHAnsi" w:hAnsiTheme="majorHAnsi" w:cstheme="majorHAnsi"/>
        </w:rPr>
        <w:t>he information is commercially sensitive</w:t>
      </w:r>
      <w:r>
        <w:rPr>
          <w:rFonts w:asciiTheme="majorHAnsi" w:hAnsiTheme="majorHAnsi" w:cstheme="majorHAnsi"/>
        </w:rPr>
        <w:t>.</w:t>
      </w:r>
    </w:p>
    <w:p w:rsidR="002242EF" w:rsidRPr="00455CA7" w:rsidRDefault="002242EF" w:rsidP="002242EF">
      <w:pPr>
        <w:pStyle w:val="NumberedList1"/>
        <w:numPr>
          <w:ilvl w:val="0"/>
          <w:numId w:val="33"/>
        </w:numPr>
        <w:spacing w:before="0" w:line="240" w:lineRule="auto"/>
        <w:rPr>
          <w:rFonts w:asciiTheme="majorHAnsi" w:hAnsiTheme="majorHAnsi" w:cstheme="majorHAnsi"/>
        </w:rPr>
      </w:pPr>
      <w:r>
        <w:rPr>
          <w:rFonts w:asciiTheme="majorHAnsi" w:hAnsiTheme="majorHAnsi" w:cstheme="majorHAnsi"/>
        </w:rPr>
        <w:t>R</w:t>
      </w:r>
      <w:r w:rsidRPr="00455CA7">
        <w:rPr>
          <w:rFonts w:asciiTheme="majorHAnsi" w:hAnsiTheme="majorHAnsi" w:cstheme="majorHAnsi"/>
        </w:rPr>
        <w:t>evealing the information would cause unreasonable harm to you or someone else</w:t>
      </w:r>
      <w:r>
        <w:rPr>
          <w:rFonts w:asciiTheme="majorHAnsi" w:hAnsiTheme="majorHAnsi" w:cstheme="majorHAnsi"/>
        </w:rPr>
        <w:t>.</w:t>
      </w:r>
    </w:p>
    <w:p w:rsidR="002242EF" w:rsidRPr="00455CA7" w:rsidRDefault="002242EF" w:rsidP="002242EF">
      <w:pPr>
        <w:pStyle w:val="NumberedList1"/>
        <w:numPr>
          <w:ilvl w:val="0"/>
          <w:numId w:val="33"/>
        </w:numPr>
        <w:spacing w:before="0" w:line="240" w:lineRule="auto"/>
        <w:rPr>
          <w:rFonts w:asciiTheme="majorHAnsi" w:hAnsiTheme="majorHAnsi" w:cstheme="majorHAnsi"/>
        </w:rPr>
      </w:pPr>
      <w:r>
        <w:rPr>
          <w:rFonts w:asciiTheme="majorHAnsi" w:hAnsiTheme="majorHAnsi" w:cstheme="majorHAnsi"/>
        </w:rPr>
        <w:t>Y</w:t>
      </w:r>
      <w:r w:rsidRPr="00455CA7">
        <w:rPr>
          <w:rFonts w:asciiTheme="majorHAnsi" w:hAnsiTheme="majorHAnsi" w:cstheme="majorHAnsi"/>
        </w:rPr>
        <w:t>ou provide the information with an understanding that it will stay confidential.</w:t>
      </w:r>
    </w:p>
    <w:p w:rsidR="002242EF" w:rsidRPr="00455CA7" w:rsidRDefault="002242EF" w:rsidP="002242EF">
      <w:pPr>
        <w:spacing w:before="120" w:after="0"/>
        <w:rPr>
          <w:rFonts w:asciiTheme="majorHAnsi" w:hAnsiTheme="majorHAnsi" w:cstheme="majorHAnsi"/>
        </w:rPr>
      </w:pPr>
      <w:r w:rsidRPr="00455CA7">
        <w:rPr>
          <w:rFonts w:asciiTheme="majorHAnsi" w:hAnsiTheme="majorHAnsi" w:cstheme="majorHAnsi"/>
        </w:rPr>
        <w:t xml:space="preserve">The grant agreement will include any specific requirements about special categories of information collected, created or held under the grant agreement. </w:t>
      </w:r>
    </w:p>
    <w:p w:rsidR="00340616" w:rsidRPr="00B72EE8" w:rsidRDefault="00340616" w:rsidP="00892C8B">
      <w:pPr>
        <w:pStyle w:val="Heading2Numbered"/>
        <w:ind w:left="709" w:hanging="709"/>
      </w:pPr>
      <w:bookmarkStart w:id="171" w:name="_Toc522006591"/>
      <w:r w:rsidRPr="00B72EE8">
        <w:lastRenderedPageBreak/>
        <w:t>Freedom of information</w:t>
      </w:r>
      <w:bookmarkEnd w:id="169"/>
      <w:bookmarkEnd w:id="170"/>
      <w:bookmarkEnd w:id="171"/>
    </w:p>
    <w:p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rsidR="00340616" w:rsidRPr="00B72EE8" w:rsidRDefault="00340616" w:rsidP="00340616">
      <w:r w:rsidRPr="00B72EE8">
        <w:t xml:space="preserve">The purpose of the </w:t>
      </w:r>
      <w:r w:rsidRPr="00EB54B1">
        <w:rPr>
          <w:i/>
        </w:rPr>
        <w:t>FOI Act</w:t>
      </w:r>
      <w:r w:rsidRPr="00B72EE8">
        <w:t xml:space="preserve"> is to give members of the public rights of access to information held by the Australian Government and its entities. Under the </w:t>
      </w:r>
      <w:r w:rsidRPr="00EB54B1">
        <w:rPr>
          <w:i/>
        </w:rPr>
        <w:t>FOI Act</w:t>
      </w:r>
      <w:r w:rsidRPr="00B72EE8">
        <w:t xml:space="preserve">,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rsidR="00340616" w:rsidRPr="00B72EE8" w:rsidRDefault="00340616" w:rsidP="00AD7C7D">
      <w:pPr>
        <w:keepNext/>
        <w:keepLines/>
      </w:pPr>
      <w:r w:rsidRPr="00B72EE8">
        <w:t>All F</w:t>
      </w:r>
      <w:r>
        <w:t xml:space="preserve">reedom of Information </w:t>
      </w:r>
      <w:r w:rsidRPr="00B72EE8">
        <w:t>requests must be referre</w:t>
      </w:r>
      <w:r w:rsidR="00EB54B1">
        <w:t xml:space="preserve">d to the Freedom of Information </w:t>
      </w:r>
      <w:r w:rsidRPr="00B72EE8">
        <w:t>Coordinator in writing.</w:t>
      </w:r>
    </w:p>
    <w:p w:rsidR="00340616" w:rsidRPr="00B72EE8" w:rsidRDefault="00340616" w:rsidP="00AD7C7D">
      <w:pPr>
        <w:keepNext/>
        <w:keepLines/>
        <w:tabs>
          <w:tab w:val="left" w:pos="1418"/>
        </w:tabs>
        <w:ind w:left="1418" w:hanging="1418"/>
        <w:contextualSpacing/>
      </w:pPr>
      <w:r w:rsidRPr="00B72EE8">
        <w:t>By mail:</w:t>
      </w:r>
      <w:r w:rsidRPr="00B72EE8">
        <w:tab/>
        <w:t>Freedom of Information Coordinator</w:t>
      </w:r>
    </w:p>
    <w:p w:rsidR="00340616" w:rsidRPr="00A9798A" w:rsidRDefault="00533BCE" w:rsidP="00AD7C7D">
      <w:pPr>
        <w:keepNext/>
        <w:keepLines/>
        <w:tabs>
          <w:tab w:val="left" w:pos="1418"/>
        </w:tabs>
        <w:spacing w:before="0" w:after="0" w:line="240" w:lineRule="auto"/>
        <w:ind w:left="2836" w:hanging="1418"/>
      </w:pPr>
      <w:r w:rsidRPr="00A9798A">
        <w:t>Department of Social Services</w:t>
      </w:r>
    </w:p>
    <w:p w:rsidR="00533BCE" w:rsidRPr="00A9798A" w:rsidRDefault="00192E36" w:rsidP="00AD7C7D">
      <w:pPr>
        <w:keepNext/>
        <w:keepLines/>
        <w:tabs>
          <w:tab w:val="left" w:pos="1418"/>
        </w:tabs>
        <w:spacing w:before="0" w:after="0" w:line="240" w:lineRule="auto"/>
        <w:ind w:left="2836" w:hanging="1418"/>
      </w:pPr>
      <w:r>
        <w:t>Government and Executive Services Branch</w:t>
      </w:r>
    </w:p>
    <w:p w:rsidR="00533BCE" w:rsidRPr="00A9798A" w:rsidRDefault="00533BCE" w:rsidP="00AD7C7D">
      <w:pPr>
        <w:keepNext/>
        <w:keepLines/>
        <w:tabs>
          <w:tab w:val="left" w:pos="1418"/>
        </w:tabs>
        <w:spacing w:before="0" w:after="0" w:line="240" w:lineRule="auto"/>
        <w:ind w:left="2836" w:hanging="1418"/>
      </w:pPr>
      <w:r w:rsidRPr="00A9798A">
        <w:t>GPO Box 9820</w:t>
      </w:r>
    </w:p>
    <w:p w:rsidR="00533BCE" w:rsidRPr="00A9798A" w:rsidRDefault="00533BCE" w:rsidP="00AD7C7D">
      <w:pPr>
        <w:keepNext/>
        <w:keepLines/>
        <w:tabs>
          <w:tab w:val="left" w:pos="1418"/>
        </w:tabs>
        <w:spacing w:before="0" w:after="0" w:line="240" w:lineRule="auto"/>
        <w:ind w:left="2836" w:hanging="1418"/>
      </w:pPr>
      <w:proofErr w:type="gramStart"/>
      <w:r w:rsidRPr="00A9798A">
        <w:t>Canberra  ACT</w:t>
      </w:r>
      <w:proofErr w:type="gramEnd"/>
      <w:r w:rsidRPr="00A9798A">
        <w:t xml:space="preserve">  2601</w:t>
      </w:r>
    </w:p>
    <w:p w:rsidR="009A2401" w:rsidRDefault="00340616" w:rsidP="00AD7C7D">
      <w:pPr>
        <w:keepNext/>
        <w:keepLines/>
        <w:rPr>
          <w:rStyle w:val="Hyperlink"/>
          <w:rFonts w:cstheme="minorBidi"/>
        </w:rPr>
      </w:pPr>
      <w:r w:rsidRPr="00B72EE8">
        <w:t>By email:</w:t>
      </w:r>
      <w:r w:rsidRPr="00B72EE8">
        <w:tab/>
      </w:r>
      <w:hyperlink r:id="rId36" w:history="1">
        <w:r w:rsidR="00533BCE" w:rsidRPr="00367A67">
          <w:rPr>
            <w:rStyle w:val="Hyperlink"/>
            <w:rFonts w:cstheme="minorBidi"/>
          </w:rPr>
          <w:t>foi@dss.gov.au</w:t>
        </w:r>
      </w:hyperlink>
    </w:p>
    <w:p w:rsidR="00B14E31" w:rsidRDefault="00B14E31">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172" w:name="_Toc467773996"/>
      <w:r>
        <w:br w:type="page"/>
      </w:r>
    </w:p>
    <w:p w:rsidR="00340616" w:rsidRDefault="00340616" w:rsidP="0054078D">
      <w:pPr>
        <w:pStyle w:val="Heading1Numbered"/>
      </w:pPr>
      <w:bookmarkStart w:id="173" w:name="_Toc522006592"/>
      <w:r w:rsidRPr="00B72EE8">
        <w:lastRenderedPageBreak/>
        <w:t>Glossary</w:t>
      </w:r>
      <w:bookmarkEnd w:id="172"/>
      <w:bookmarkEnd w:id="173"/>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rsidTr="002A2026">
        <w:trPr>
          <w:tblHeader/>
        </w:trPr>
        <w:tc>
          <w:tcPr>
            <w:tcW w:w="2513" w:type="dxa"/>
          </w:tcPr>
          <w:p w:rsidR="0003793B" w:rsidRPr="00FF507B" w:rsidRDefault="0003793B" w:rsidP="002A2026">
            <w:pPr>
              <w:tabs>
                <w:tab w:val="left" w:pos="2835"/>
              </w:tabs>
              <w:spacing w:after="120"/>
            </w:pPr>
            <w:r w:rsidRPr="00FF507B">
              <w:rPr>
                <w:b/>
              </w:rPr>
              <w:t>Term</w:t>
            </w:r>
          </w:p>
        </w:tc>
        <w:tc>
          <w:tcPr>
            <w:tcW w:w="6395" w:type="dxa"/>
          </w:tcPr>
          <w:p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rsidTr="002A2026">
        <w:tc>
          <w:tcPr>
            <w:tcW w:w="2513" w:type="dxa"/>
          </w:tcPr>
          <w:p w:rsidR="0003793B" w:rsidRDefault="0003793B" w:rsidP="002A2026">
            <w:pPr>
              <w:tabs>
                <w:tab w:val="left" w:pos="2835"/>
              </w:tabs>
              <w:spacing w:after="120"/>
            </w:pPr>
            <w:r w:rsidRPr="001B21A4">
              <w:t>assessment criteria</w:t>
            </w:r>
          </w:p>
        </w:tc>
        <w:tc>
          <w:tcPr>
            <w:tcW w:w="6395" w:type="dxa"/>
          </w:tcPr>
          <w:p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03793B" w:rsidRPr="00463AB3" w:rsidTr="002A2026">
        <w:tc>
          <w:tcPr>
            <w:tcW w:w="2513" w:type="dxa"/>
          </w:tcPr>
          <w:p w:rsidR="0003793B" w:rsidRPr="00463AB3" w:rsidRDefault="0003793B" w:rsidP="002A2026">
            <w:pPr>
              <w:tabs>
                <w:tab w:val="left" w:pos="2835"/>
              </w:tabs>
              <w:spacing w:after="120"/>
            </w:pPr>
            <w:r>
              <w:t>c</w:t>
            </w:r>
            <w:r w:rsidRPr="00463AB3">
              <w:t>ommencement date</w:t>
            </w:r>
          </w:p>
        </w:tc>
        <w:tc>
          <w:tcPr>
            <w:tcW w:w="6395" w:type="dxa"/>
          </w:tcPr>
          <w:p w:rsidR="0003793B" w:rsidRPr="00463AB3" w:rsidRDefault="0003793B" w:rsidP="002A2026">
            <w:pPr>
              <w:tabs>
                <w:tab w:val="left" w:pos="2835"/>
              </w:tabs>
              <w:spacing w:after="120"/>
            </w:pPr>
            <w:r w:rsidRPr="00463AB3">
              <w:t xml:space="preserve">The expected start date for the grant activity. </w:t>
            </w:r>
          </w:p>
        </w:tc>
      </w:tr>
      <w:tr w:rsidR="0003793B" w:rsidRPr="001B21A4" w:rsidTr="002A2026">
        <w:tc>
          <w:tcPr>
            <w:tcW w:w="2513" w:type="dxa"/>
          </w:tcPr>
          <w:p w:rsidR="0003793B" w:rsidRPr="00463AB3" w:rsidRDefault="0003793B" w:rsidP="002A2026">
            <w:pPr>
              <w:tabs>
                <w:tab w:val="left" w:pos="2835"/>
              </w:tabs>
              <w:spacing w:after="120"/>
            </w:pPr>
            <w:r>
              <w:t>c</w:t>
            </w:r>
            <w:r w:rsidRPr="00463AB3">
              <w:t>ompletion date</w:t>
            </w:r>
          </w:p>
        </w:tc>
        <w:tc>
          <w:tcPr>
            <w:tcW w:w="6395" w:type="dxa"/>
          </w:tcPr>
          <w:p w:rsidR="0003793B" w:rsidRPr="00463AB3" w:rsidRDefault="0003793B" w:rsidP="002A2026">
            <w:pPr>
              <w:tabs>
                <w:tab w:val="left" w:pos="2835"/>
              </w:tabs>
              <w:spacing w:after="120"/>
            </w:pPr>
            <w:r w:rsidRPr="00463AB3">
              <w:t xml:space="preserve">The expected date that the grant activity must be completed and the grant spent by. </w:t>
            </w:r>
          </w:p>
        </w:tc>
      </w:tr>
      <w:tr w:rsidR="0003793B" w:rsidRPr="001B21A4" w:rsidTr="002A2026">
        <w:tc>
          <w:tcPr>
            <w:tcW w:w="2513" w:type="dxa"/>
          </w:tcPr>
          <w:p w:rsidR="0003793B" w:rsidRPr="001B21A4" w:rsidRDefault="0003793B" w:rsidP="002A2026">
            <w:pPr>
              <w:tabs>
                <w:tab w:val="left" w:pos="2835"/>
              </w:tabs>
              <w:spacing w:after="120"/>
            </w:pPr>
            <w:r>
              <w:t xml:space="preserve">Commonwealth </w:t>
            </w:r>
            <w:r w:rsidRPr="001B21A4">
              <w:t>entity</w:t>
            </w:r>
          </w:p>
        </w:tc>
        <w:tc>
          <w:tcPr>
            <w:tcW w:w="6395" w:type="dxa"/>
          </w:tcPr>
          <w:p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03793B" w:rsidRPr="001B21A4" w:rsidTr="002A2026">
        <w:tc>
          <w:tcPr>
            <w:tcW w:w="2513" w:type="dxa"/>
          </w:tcPr>
          <w:p w:rsidR="0003793B" w:rsidRDefault="0003793B" w:rsidP="002A2026">
            <w:r>
              <w:t>date of effect</w:t>
            </w:r>
          </w:p>
        </w:tc>
        <w:tc>
          <w:tcPr>
            <w:tcW w:w="6395" w:type="dxa"/>
          </w:tcPr>
          <w:p w:rsidR="0003793B" w:rsidRPr="00710FAB" w:rsidRDefault="0003793B" w:rsidP="002A2026">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03793B" w:rsidRPr="001B21A4" w:rsidTr="002A2026">
        <w:tc>
          <w:tcPr>
            <w:tcW w:w="2513" w:type="dxa"/>
          </w:tcPr>
          <w:p w:rsidR="0003793B" w:rsidRPr="001B21A4" w:rsidRDefault="0003793B" w:rsidP="002A2026">
            <w:r w:rsidRPr="001B21A4">
              <w:t>decision maker</w:t>
            </w:r>
          </w:p>
        </w:tc>
        <w:tc>
          <w:tcPr>
            <w:tcW w:w="6395" w:type="dxa"/>
          </w:tcPr>
          <w:p w:rsidR="0003793B" w:rsidRPr="00710FAB" w:rsidRDefault="0003793B" w:rsidP="002A2026">
            <w:r w:rsidRPr="00710FAB">
              <w:rPr>
                <w:rFonts w:cs="Arial"/>
                <w:lang w:eastAsia="en-AU"/>
              </w:rPr>
              <w:t>The person who makes a decision to award a grant.</w:t>
            </w:r>
          </w:p>
        </w:tc>
      </w:tr>
      <w:tr w:rsidR="0003793B" w:rsidRPr="001B21A4" w:rsidTr="002A2026">
        <w:tc>
          <w:tcPr>
            <w:tcW w:w="2513" w:type="dxa"/>
          </w:tcPr>
          <w:p w:rsidR="0003793B" w:rsidRPr="001B21A4" w:rsidRDefault="0003793B" w:rsidP="002A2026">
            <w:pPr>
              <w:tabs>
                <w:tab w:val="left" w:pos="2835"/>
              </w:tabs>
              <w:spacing w:after="120"/>
            </w:pPr>
            <w:r w:rsidRPr="001B21A4">
              <w:t>eligibility criteria</w:t>
            </w:r>
          </w:p>
        </w:tc>
        <w:tc>
          <w:tcPr>
            <w:tcW w:w="6395" w:type="dxa"/>
          </w:tcPr>
          <w:p w:rsidR="0003793B" w:rsidRPr="00710FAB" w:rsidRDefault="00FF793D" w:rsidP="002A2026">
            <w:pPr>
              <w:tabs>
                <w:tab w:val="left" w:pos="2835"/>
              </w:tabs>
              <w:spacing w:after="120"/>
            </w:pPr>
            <w:r w:rsidRPr="00A54E2E">
              <w:t xml:space="preserve">The mandatory criteria, which must be met to qualify for a grant. Assessment criteria may apply in addition to eligibility criteria. </w:t>
            </w:r>
          </w:p>
        </w:tc>
      </w:tr>
      <w:tr w:rsidR="0003793B" w:rsidRPr="00463AB3" w:rsidTr="002A2026">
        <w:tc>
          <w:tcPr>
            <w:tcW w:w="2513" w:type="dxa"/>
          </w:tcPr>
          <w:p w:rsidR="0003793B" w:rsidRPr="00463AB3" w:rsidRDefault="0003793B" w:rsidP="002A2026">
            <w:pPr>
              <w:tabs>
                <w:tab w:val="left" w:pos="2835"/>
              </w:tabs>
              <w:spacing w:after="120"/>
            </w:pPr>
            <w:r w:rsidRPr="00463AB3">
              <w:rPr>
                <w:rFonts w:cs="Arial"/>
                <w:lang w:eastAsia="en-AU"/>
              </w:rPr>
              <w:t xml:space="preserve">grant </w:t>
            </w:r>
          </w:p>
        </w:tc>
        <w:tc>
          <w:tcPr>
            <w:tcW w:w="6395" w:type="dxa"/>
          </w:tcPr>
          <w:p w:rsidR="0003793B" w:rsidRDefault="0003793B" w:rsidP="002A2026">
            <w:pPr>
              <w:rPr>
                <w:lang w:eastAsia="en-AU"/>
              </w:rPr>
            </w:pPr>
            <w:r>
              <w:rPr>
                <w:lang w:eastAsia="en-AU"/>
              </w:rPr>
              <w:t>A grant is an arrangement for the provision of financial assistance by the Commonwealth or on behalf of the Commonwealth:</w:t>
            </w:r>
          </w:p>
          <w:p w:rsidR="0003793B" w:rsidRDefault="0003793B" w:rsidP="00255987">
            <w:pPr>
              <w:numPr>
                <w:ilvl w:val="0"/>
                <w:numId w:val="18"/>
              </w:numPr>
              <w:suppressAutoHyphens w:val="0"/>
              <w:spacing w:before="0" w:after="40" w:line="240" w:lineRule="auto"/>
              <w:ind w:left="459" w:hanging="425"/>
              <w:rPr>
                <w:lang w:eastAsia="en-AU"/>
              </w:rPr>
            </w:pPr>
            <w:r>
              <w:rPr>
                <w:lang w:eastAsia="en-AU"/>
              </w:rPr>
              <w:t>under which relevant money or other CRF money, is to be paid to a grantee other than the Commonwealth</w:t>
            </w:r>
          </w:p>
          <w:p w:rsidR="0003793B" w:rsidRPr="00190651" w:rsidRDefault="0003793B" w:rsidP="00255987">
            <w:pPr>
              <w:numPr>
                <w:ilvl w:val="0"/>
                <w:numId w:val="18"/>
              </w:numPr>
              <w:suppressAutoHyphens w:val="0"/>
              <w:spacing w:before="0" w:after="40" w:line="240" w:lineRule="auto"/>
              <w:ind w:left="459" w:hanging="425"/>
              <w:rPr>
                <w:lang w:eastAsia="en-AU"/>
              </w:rPr>
            </w:pPr>
            <w:proofErr w:type="gramStart"/>
            <w:r>
              <w:rPr>
                <w:lang w:eastAsia="en-AU"/>
              </w:rPr>
              <w:t>which</w:t>
            </w:r>
            <w:proofErr w:type="gramEnd"/>
            <w:r>
              <w:rPr>
                <w:lang w:eastAsia="en-AU"/>
              </w:rPr>
              <w:t xml:space="preserve"> is intended to help address one or more of the Australian Government’s policy outcomes while assisting the grantee achieve its objectives.</w:t>
            </w:r>
          </w:p>
        </w:tc>
      </w:tr>
      <w:tr w:rsidR="0003793B" w:rsidRPr="001B21A4" w:rsidTr="002A2026">
        <w:tc>
          <w:tcPr>
            <w:tcW w:w="2513" w:type="dxa"/>
          </w:tcPr>
          <w:p w:rsidR="0003793B" w:rsidRPr="0007627E" w:rsidRDefault="0003793B" w:rsidP="002A2026">
            <w:pPr>
              <w:tabs>
                <w:tab w:val="left" w:pos="2835"/>
              </w:tabs>
              <w:spacing w:after="120"/>
            </w:pPr>
            <w:r>
              <w:t xml:space="preserve">grant </w:t>
            </w:r>
            <w:r w:rsidRPr="001B21A4">
              <w:t>activity</w:t>
            </w:r>
          </w:p>
        </w:tc>
        <w:tc>
          <w:tcPr>
            <w:tcW w:w="6395" w:type="dxa"/>
          </w:tcPr>
          <w:p w:rsidR="0003793B" w:rsidRPr="00710FAB" w:rsidRDefault="0003793B" w:rsidP="002A2026">
            <w:pPr>
              <w:tabs>
                <w:tab w:val="left" w:pos="2835"/>
              </w:tabs>
              <w:spacing w:after="120"/>
            </w:pPr>
            <w:r w:rsidRPr="00710FAB">
              <w:t xml:space="preserve">Is the project /tasks /services that the Grantee is required to undertake with the grant money. It is described in the Grant Agreement. </w:t>
            </w:r>
          </w:p>
        </w:tc>
      </w:tr>
      <w:tr w:rsidR="0003793B" w:rsidRPr="001B21A4" w:rsidTr="002A2026">
        <w:tc>
          <w:tcPr>
            <w:tcW w:w="2513" w:type="dxa"/>
          </w:tcPr>
          <w:p w:rsidR="0003793B" w:rsidRPr="001B21A4" w:rsidRDefault="0003793B" w:rsidP="002A2026">
            <w:pPr>
              <w:tabs>
                <w:tab w:val="left" w:pos="2835"/>
              </w:tabs>
              <w:spacing w:after="120"/>
            </w:pPr>
            <w:r w:rsidRPr="001B21A4">
              <w:t>grant agreement</w:t>
            </w:r>
          </w:p>
        </w:tc>
        <w:tc>
          <w:tcPr>
            <w:tcW w:w="6395" w:type="dxa"/>
          </w:tcPr>
          <w:p w:rsidR="0003793B" w:rsidRPr="00710FAB" w:rsidRDefault="00E7468E" w:rsidP="002A2026">
            <w:pPr>
              <w:tabs>
                <w:tab w:val="left" w:pos="2835"/>
              </w:tabs>
              <w:spacing w:after="120"/>
            </w:pPr>
            <w:r>
              <w:t>Sets out the relationship between the parties to the agreement, and specifies the details of the grant</w:t>
            </w:r>
            <w:r w:rsidR="00771DFE">
              <w:t>.</w:t>
            </w:r>
          </w:p>
        </w:tc>
      </w:tr>
      <w:tr w:rsidR="0003793B" w:rsidRPr="001B21A4" w:rsidTr="002A2026">
        <w:tc>
          <w:tcPr>
            <w:tcW w:w="2513" w:type="dxa"/>
          </w:tcPr>
          <w:p w:rsidR="0003793B" w:rsidRPr="001B21A4" w:rsidRDefault="0003793B" w:rsidP="002A2026">
            <w:pPr>
              <w:tabs>
                <w:tab w:val="left" w:pos="2835"/>
              </w:tabs>
              <w:spacing w:after="120"/>
            </w:pPr>
            <w:r>
              <w:lastRenderedPageBreak/>
              <w:t>grant opportunity</w:t>
            </w:r>
          </w:p>
        </w:tc>
        <w:tc>
          <w:tcPr>
            <w:tcW w:w="6395" w:type="dxa"/>
          </w:tcPr>
          <w:p w:rsidR="0003793B" w:rsidRPr="00710FAB" w:rsidRDefault="0003793B" w:rsidP="002A2026">
            <w:pPr>
              <w:tabs>
                <w:tab w:val="left" w:pos="2835"/>
              </w:tabs>
              <w:spacing w:after="120"/>
            </w:pPr>
            <w:r w:rsidRPr="00710FAB">
              <w:t xml:space="preserve">A notice published on GrantConnect advertising the availability of Commonwealth grants. </w:t>
            </w:r>
          </w:p>
        </w:tc>
      </w:tr>
      <w:tr w:rsidR="0003793B" w:rsidRPr="001B21A4" w:rsidTr="002A2026">
        <w:tc>
          <w:tcPr>
            <w:tcW w:w="2513" w:type="dxa"/>
          </w:tcPr>
          <w:p w:rsidR="0003793B" w:rsidRPr="001B21A4" w:rsidRDefault="0003793B" w:rsidP="002A2026">
            <w:pPr>
              <w:tabs>
                <w:tab w:val="left" w:pos="2835"/>
              </w:tabs>
              <w:spacing w:after="120"/>
            </w:pPr>
            <w:r w:rsidRPr="001B21A4">
              <w:t xml:space="preserve">grant </w:t>
            </w:r>
            <w:r>
              <w:t>program</w:t>
            </w:r>
          </w:p>
        </w:tc>
        <w:tc>
          <w:tcPr>
            <w:tcW w:w="6395" w:type="dxa"/>
          </w:tcPr>
          <w:p w:rsidR="0003793B" w:rsidRPr="00710FAB" w:rsidRDefault="0003793B" w:rsidP="002A2026">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r w:rsidR="00D141E4">
              <w:rPr>
                <w:rFonts w:cs="Arial"/>
              </w:rPr>
              <w:t>.</w:t>
            </w:r>
            <w:bookmarkStart w:id="174" w:name="_GoBack"/>
            <w:bookmarkEnd w:id="174"/>
          </w:p>
        </w:tc>
      </w:tr>
      <w:tr w:rsidR="0003793B" w:rsidRPr="001B21A4" w:rsidTr="002A2026">
        <w:tc>
          <w:tcPr>
            <w:tcW w:w="2513" w:type="dxa"/>
          </w:tcPr>
          <w:p w:rsidR="0003793B" w:rsidRPr="001B21A4" w:rsidRDefault="0003793B" w:rsidP="002A2026">
            <w:pPr>
              <w:tabs>
                <w:tab w:val="left" w:pos="2835"/>
              </w:tabs>
              <w:spacing w:after="120"/>
            </w:pPr>
            <w:r>
              <w:t>grantee</w:t>
            </w:r>
          </w:p>
        </w:tc>
        <w:tc>
          <w:tcPr>
            <w:tcW w:w="6395" w:type="dxa"/>
          </w:tcPr>
          <w:p w:rsidR="0003793B" w:rsidRPr="00710FAB" w:rsidRDefault="0003793B" w:rsidP="002A2026">
            <w:pPr>
              <w:tabs>
                <w:tab w:val="left" w:pos="2835"/>
              </w:tabs>
              <w:spacing w:after="120"/>
            </w:pPr>
            <w:r w:rsidRPr="00710FAB">
              <w:t xml:space="preserve">An individual/organisation that has been awarded a grant. </w:t>
            </w:r>
          </w:p>
        </w:tc>
      </w:tr>
      <w:tr w:rsidR="0003793B" w:rsidRPr="00463AB3" w:rsidTr="002A2026">
        <w:tc>
          <w:tcPr>
            <w:tcW w:w="2513" w:type="dxa"/>
          </w:tcPr>
          <w:p w:rsidR="0003793B" w:rsidRPr="00463AB3" w:rsidRDefault="0003793B" w:rsidP="002A2026">
            <w:pPr>
              <w:tabs>
                <w:tab w:val="left" w:pos="2835"/>
              </w:tabs>
              <w:spacing w:after="120"/>
            </w:pPr>
            <w:r w:rsidRPr="00463AB3">
              <w:t>PBS Program</w:t>
            </w:r>
          </w:p>
        </w:tc>
        <w:tc>
          <w:tcPr>
            <w:tcW w:w="6395" w:type="dxa"/>
          </w:tcPr>
          <w:p w:rsidR="0003793B" w:rsidRPr="00463AB3" w:rsidRDefault="0003793B" w:rsidP="002A2026">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r w:rsidR="00D141E4">
              <w:rPr>
                <w:rFonts w:cs="Arial"/>
              </w:rPr>
              <w:t>.</w:t>
            </w:r>
          </w:p>
        </w:tc>
      </w:tr>
      <w:tr w:rsidR="0003793B" w:rsidRPr="001B21A4" w:rsidTr="002A2026">
        <w:tc>
          <w:tcPr>
            <w:tcW w:w="2513" w:type="dxa"/>
          </w:tcPr>
          <w:p w:rsidR="0003793B" w:rsidRPr="001B21A4" w:rsidRDefault="0003793B" w:rsidP="002A2026">
            <w:pPr>
              <w:tabs>
                <w:tab w:val="left" w:pos="2835"/>
              </w:tabs>
              <w:spacing w:after="120"/>
            </w:pPr>
            <w:r w:rsidRPr="001B21A4">
              <w:t>selection process</w:t>
            </w:r>
          </w:p>
        </w:tc>
        <w:tc>
          <w:tcPr>
            <w:tcW w:w="6395" w:type="dxa"/>
          </w:tcPr>
          <w:p w:rsidR="0003793B" w:rsidRPr="00710FAB" w:rsidRDefault="0003793B" w:rsidP="002A2026">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bl>
    <w:p w:rsidR="00340616" w:rsidRDefault="00340616" w:rsidP="00340616">
      <w:pPr>
        <w:spacing w:after="0" w:line="240" w:lineRule="auto"/>
      </w:pPr>
    </w:p>
    <w:p w:rsidR="00340616" w:rsidRDefault="00340616" w:rsidP="00340616">
      <w:pPr>
        <w:tabs>
          <w:tab w:val="left" w:pos="2835"/>
        </w:tabs>
        <w:spacing w:after="120"/>
      </w:pPr>
    </w:p>
    <w:sectPr w:rsidR="00340616" w:rsidSect="005A41E0">
      <w:headerReference w:type="default" r:id="rId37"/>
      <w:footerReference w:type="default" r:id="rId38"/>
      <w:headerReference w:type="first" r:id="rId39"/>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8A2" w:rsidRDefault="00B318A2" w:rsidP="00EF4574">
      <w:pPr>
        <w:spacing w:before="0" w:after="0" w:line="240" w:lineRule="auto"/>
      </w:pPr>
      <w:r>
        <w:separator/>
      </w:r>
    </w:p>
    <w:p w:rsidR="00B318A2" w:rsidRDefault="00B318A2"/>
  </w:endnote>
  <w:endnote w:type="continuationSeparator" w:id="0">
    <w:p w:rsidR="00B318A2" w:rsidRDefault="00B318A2" w:rsidP="00EF4574">
      <w:pPr>
        <w:spacing w:before="0" w:after="0" w:line="240" w:lineRule="auto"/>
      </w:pPr>
      <w:r>
        <w:continuationSeparator/>
      </w:r>
    </w:p>
    <w:p w:rsidR="00B318A2" w:rsidRDefault="00B31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EC" w:rsidRDefault="00A72CEC" w:rsidP="005970EA">
    <w:pPr>
      <w:pStyle w:val="Footer"/>
      <w:rPr>
        <w:noProof/>
      </w:rPr>
    </w:pPr>
    <w:r>
      <w:t>Redress Support Services – Restricted Non-Competitive Grant Opportunity Guidelines</w:t>
    </w:r>
    <w:r>
      <w:tab/>
    </w:r>
    <w:r>
      <w:tab/>
    </w:r>
    <w:r>
      <w:fldChar w:fldCharType="begin"/>
    </w:r>
    <w:r>
      <w:instrText xml:space="preserve"> PAGE   \* MERGEFORMAT </w:instrText>
    </w:r>
    <w:r>
      <w:fldChar w:fldCharType="separate"/>
    </w:r>
    <w:r w:rsidR="00D45B00">
      <w:rPr>
        <w:noProof/>
      </w:rPr>
      <w:t>23</w:t>
    </w:r>
    <w:r>
      <w:rPr>
        <w:noProof/>
      </w:rPr>
      <w:fldChar w:fldCharType="end"/>
    </w:r>
  </w:p>
  <w:p w:rsidR="00A72CEC" w:rsidRDefault="00A72CEC"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8A2" w:rsidRDefault="00B318A2" w:rsidP="0020122A">
      <w:pPr>
        <w:pStyle w:val="FootnoteSeparator"/>
      </w:pPr>
    </w:p>
  </w:footnote>
  <w:footnote w:type="continuationSeparator" w:id="0">
    <w:p w:rsidR="00B318A2" w:rsidRDefault="00B318A2" w:rsidP="00EF4574">
      <w:pPr>
        <w:spacing w:before="0" w:after="0" w:line="240" w:lineRule="auto"/>
      </w:pPr>
      <w:r>
        <w:continuationSeparator/>
      </w:r>
    </w:p>
    <w:p w:rsidR="00B318A2" w:rsidRDefault="00B318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EC" w:rsidRPr="000A6A8B" w:rsidRDefault="00A72CEC"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EC" w:rsidRDefault="00A72CEC"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543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1D41536"/>
    <w:multiLevelType w:val="hybridMultilevel"/>
    <w:tmpl w:val="C4F20D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06650F"/>
    <w:multiLevelType w:val="hybridMultilevel"/>
    <w:tmpl w:val="809C563C"/>
    <w:lvl w:ilvl="0" w:tplc="0C090003">
      <w:start w:val="1"/>
      <w:numFmt w:val="bullet"/>
      <w:lvlText w:val="o"/>
      <w:lvlJc w:val="left"/>
      <w:pPr>
        <w:tabs>
          <w:tab w:val="num" w:pos="1080"/>
        </w:tabs>
        <w:ind w:left="1080" w:hanging="360"/>
      </w:pPr>
      <w:rPr>
        <w:rFonts w:ascii="Courier New" w:hAnsi="Courier New" w:cs="Courier New"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D6595E"/>
    <w:multiLevelType w:val="hybridMultilevel"/>
    <w:tmpl w:val="4FC82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67E15FF"/>
    <w:multiLevelType w:val="hybridMultilevel"/>
    <w:tmpl w:val="117882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7" w15:restartNumberingAfterBreak="0">
    <w:nsid w:val="19656D18"/>
    <w:multiLevelType w:val="multilevel"/>
    <w:tmpl w:val="1F38FDB4"/>
    <w:lvl w:ilvl="0">
      <w:start w:val="1"/>
      <w:numFmt w:val="decimal"/>
      <w:lvlText w:val="%1."/>
      <w:lvlJc w:val="left"/>
      <w:pPr>
        <w:ind w:left="567" w:hanging="567"/>
      </w:pPr>
      <w:rPr>
        <w:rFonts w:hint="default"/>
      </w:rPr>
    </w:lvl>
    <w:lvl w:ilvl="1">
      <w:start w:val="1"/>
      <w:numFmt w:val="decimal"/>
      <w:lvlText w:val="%1.%2"/>
      <w:lvlJc w:val="left"/>
      <w:pPr>
        <w:ind w:left="1702"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A123F7A"/>
    <w:multiLevelType w:val="hybridMultilevel"/>
    <w:tmpl w:val="B3DC7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7"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1F2A06"/>
    <w:multiLevelType w:val="hybridMultilevel"/>
    <w:tmpl w:val="F9E68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B6676B"/>
    <w:multiLevelType w:val="hybridMultilevel"/>
    <w:tmpl w:val="96F25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0A7ED2"/>
    <w:multiLevelType w:val="hybridMultilevel"/>
    <w:tmpl w:val="49E4FE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3562930"/>
    <w:multiLevelType w:val="hybridMultilevel"/>
    <w:tmpl w:val="A7D2C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5" w15:restartNumberingAfterBreak="0">
    <w:nsid w:val="71E40AF8"/>
    <w:multiLevelType w:val="hybridMultilevel"/>
    <w:tmpl w:val="ECC853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EBE066A"/>
    <w:multiLevelType w:val="hybridMultilevel"/>
    <w:tmpl w:val="8D86E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1"/>
  </w:num>
  <w:num w:numId="3">
    <w:abstractNumId w:val="13"/>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
    <w:abstractNumId w:val="21"/>
  </w:num>
  <w:num w:numId="5">
    <w:abstractNumId w:val="22"/>
  </w:num>
  <w:num w:numId="6">
    <w:abstractNumId w:val="6"/>
  </w:num>
  <w:num w:numId="7">
    <w:abstractNumId w:val="8"/>
  </w:num>
  <w:num w:numId="8">
    <w:abstractNumId w:val="10"/>
  </w:num>
  <w:num w:numId="9">
    <w:abstractNumId w:val="17"/>
  </w:num>
  <w:num w:numId="10">
    <w:abstractNumId w:val="24"/>
  </w:num>
  <w:num w:numId="11">
    <w:abstractNumId w:val="16"/>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11"/>
  </w:num>
  <w:num w:numId="13">
    <w:abstractNumId w:val="1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3"/>
    </w:lvlOverride>
  </w:num>
  <w:num w:numId="16">
    <w:abstractNumId w:val="14"/>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3"/>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1">
    <w:abstractNumId w:val="15"/>
  </w:num>
  <w:num w:numId="22">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 w:ilvl="0">
        <w:start w:val="1"/>
        <w:numFmt w:val="decimal"/>
        <w:pStyle w:val="Heading1Numbered"/>
        <w:lvlText w:val=""/>
        <w:lvlJc w:val="left"/>
      </w:lvl>
    </w:lvlOverride>
    <w:lvlOverride w:ilvl="1">
      <w:startOverride w:val="1"/>
      <w:lvl w:ilvl="1">
        <w:start w:val="1"/>
        <w:numFmt w:val="decimal"/>
        <w:pStyle w:val="Heading2Numbered"/>
        <w:lvlText w:val="%1.%2"/>
        <w:lvlJc w:val="left"/>
        <w:pPr>
          <w:ind w:left="7230" w:hanging="567"/>
        </w:pPr>
      </w:lvl>
    </w:lvlOverride>
    <w:lvlOverride w:ilvl="2">
      <w:startOverride w:val="1"/>
      <w:lvl w:ilvl="2">
        <w:start w:val="1"/>
        <w:numFmt w:val="decimal"/>
        <w:pStyle w:val="Heading3Numbered"/>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2"/>
  </w:num>
  <w:num w:numId="25">
    <w:abstractNumId w:val="4"/>
  </w:num>
  <w:num w:numId="26">
    <w:abstractNumId w:val="5"/>
  </w:num>
  <w:num w:numId="27">
    <w:abstractNumId w:val="20"/>
  </w:num>
  <w:num w:numId="28">
    <w:abstractNumId w:val="25"/>
  </w:num>
  <w:num w:numId="29">
    <w:abstractNumId w:val="3"/>
  </w:num>
  <w:num w:numId="30">
    <w:abstractNumId w:val="12"/>
  </w:num>
  <w:num w:numId="31">
    <w:abstractNumId w:val="20"/>
  </w:num>
  <w:num w:numId="32">
    <w:abstractNumId w:val="12"/>
  </w:num>
  <w:num w:numId="33">
    <w:abstractNumId w:val="27"/>
  </w:num>
  <w:num w:numId="34">
    <w:abstractNumId w:val="9"/>
  </w:num>
  <w:num w:numId="35">
    <w:abstractNumId w:val="19"/>
  </w:num>
  <w:num w:numId="36">
    <w:abstractNumId w:val="13"/>
    <w:lvlOverride w:ilvl="1">
      <w:lvl w:ilvl="1">
        <w:start w:val="1"/>
        <w:numFmt w:val="decimal"/>
        <w:pStyle w:val="Heading2Numbered"/>
        <w:lvlText w:val="%1.%2"/>
        <w:lvlJc w:val="left"/>
        <w:pPr>
          <w:ind w:left="567" w:hanging="567"/>
        </w:pPr>
        <w:rPr>
          <w:rFonts w:hint="default"/>
        </w:rPr>
      </w:lvl>
    </w:lvlOverride>
  </w:num>
  <w:num w:numId="37">
    <w:abstractNumId w:val="13"/>
    <w:lvlOverride w:ilvl="1">
      <w:lvl w:ilvl="1">
        <w:start w:val="1"/>
        <w:numFmt w:val="decimal"/>
        <w:pStyle w:val="Heading2Numbered"/>
        <w:lvlText w:val="%1.%2"/>
        <w:lvlJc w:val="left"/>
        <w:pPr>
          <w:ind w:left="7230" w:hanging="567"/>
        </w:pPr>
        <w:rPr>
          <w:rFonts w:hint="default"/>
        </w:rPr>
      </w:lvl>
    </w:lvlOverride>
  </w:num>
  <w:num w:numId="38">
    <w:abstractNumId w:val="7"/>
  </w:num>
  <w:num w:numId="39">
    <w:abstractNumId w:val="0"/>
  </w:num>
  <w:num w:numId="40">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04906"/>
    <w:rsid w:val="000104CF"/>
    <w:rsid w:val="00012AB4"/>
    <w:rsid w:val="00023327"/>
    <w:rsid w:val="000263B9"/>
    <w:rsid w:val="0002782F"/>
    <w:rsid w:val="00031305"/>
    <w:rsid w:val="0003793B"/>
    <w:rsid w:val="00043B4D"/>
    <w:rsid w:val="00045933"/>
    <w:rsid w:val="00050D65"/>
    <w:rsid w:val="000510F7"/>
    <w:rsid w:val="00054DFA"/>
    <w:rsid w:val="00054E4D"/>
    <w:rsid w:val="0005545A"/>
    <w:rsid w:val="00056305"/>
    <w:rsid w:val="00057883"/>
    <w:rsid w:val="00060073"/>
    <w:rsid w:val="000603C7"/>
    <w:rsid w:val="00061A22"/>
    <w:rsid w:val="000623A2"/>
    <w:rsid w:val="0006243E"/>
    <w:rsid w:val="0006355E"/>
    <w:rsid w:val="00064FF1"/>
    <w:rsid w:val="00065224"/>
    <w:rsid w:val="00070902"/>
    <w:rsid w:val="00074B2F"/>
    <w:rsid w:val="000829F4"/>
    <w:rsid w:val="00096839"/>
    <w:rsid w:val="000969FA"/>
    <w:rsid w:val="000A12F9"/>
    <w:rsid w:val="000A1331"/>
    <w:rsid w:val="000A271A"/>
    <w:rsid w:val="000A4B30"/>
    <w:rsid w:val="000A6494"/>
    <w:rsid w:val="000A6A8B"/>
    <w:rsid w:val="000B0F49"/>
    <w:rsid w:val="000B2A9D"/>
    <w:rsid w:val="000B7A79"/>
    <w:rsid w:val="000C2A48"/>
    <w:rsid w:val="000C2A8F"/>
    <w:rsid w:val="000C5F75"/>
    <w:rsid w:val="000C74F1"/>
    <w:rsid w:val="000D60B1"/>
    <w:rsid w:val="000E1AD1"/>
    <w:rsid w:val="000E1D06"/>
    <w:rsid w:val="000E6ABA"/>
    <w:rsid w:val="000F3482"/>
    <w:rsid w:val="001002F4"/>
    <w:rsid w:val="00100BAD"/>
    <w:rsid w:val="00103A95"/>
    <w:rsid w:val="00104AF2"/>
    <w:rsid w:val="0011101F"/>
    <w:rsid w:val="00120A25"/>
    <w:rsid w:val="00121B57"/>
    <w:rsid w:val="00131C22"/>
    <w:rsid w:val="001330E6"/>
    <w:rsid w:val="00135427"/>
    <w:rsid w:val="00136530"/>
    <w:rsid w:val="00141FCB"/>
    <w:rsid w:val="001459AB"/>
    <w:rsid w:val="00151FCD"/>
    <w:rsid w:val="00153EB6"/>
    <w:rsid w:val="001541EA"/>
    <w:rsid w:val="00154A67"/>
    <w:rsid w:val="00155903"/>
    <w:rsid w:val="001566F9"/>
    <w:rsid w:val="00157662"/>
    <w:rsid w:val="001612A4"/>
    <w:rsid w:val="00165155"/>
    <w:rsid w:val="0016738D"/>
    <w:rsid w:val="0017002F"/>
    <w:rsid w:val="001736AF"/>
    <w:rsid w:val="00173FA3"/>
    <w:rsid w:val="001777FE"/>
    <w:rsid w:val="001807F0"/>
    <w:rsid w:val="00181073"/>
    <w:rsid w:val="00186E42"/>
    <w:rsid w:val="00190579"/>
    <w:rsid w:val="00190651"/>
    <w:rsid w:val="00192CC4"/>
    <w:rsid w:val="00192E36"/>
    <w:rsid w:val="00193B3F"/>
    <w:rsid w:val="00197CC3"/>
    <w:rsid w:val="001A0364"/>
    <w:rsid w:val="001A0777"/>
    <w:rsid w:val="001A0C99"/>
    <w:rsid w:val="001A1652"/>
    <w:rsid w:val="001B0E3E"/>
    <w:rsid w:val="001B7AAC"/>
    <w:rsid w:val="001C022C"/>
    <w:rsid w:val="001C5431"/>
    <w:rsid w:val="001C71EB"/>
    <w:rsid w:val="001D22E7"/>
    <w:rsid w:val="001D33EB"/>
    <w:rsid w:val="001D7A14"/>
    <w:rsid w:val="001D7EB4"/>
    <w:rsid w:val="001E18C1"/>
    <w:rsid w:val="001E19F7"/>
    <w:rsid w:val="001E1DC0"/>
    <w:rsid w:val="001E7349"/>
    <w:rsid w:val="001F6504"/>
    <w:rsid w:val="001F6517"/>
    <w:rsid w:val="00200637"/>
    <w:rsid w:val="0020082E"/>
    <w:rsid w:val="0020122A"/>
    <w:rsid w:val="0020410B"/>
    <w:rsid w:val="002042B5"/>
    <w:rsid w:val="00206280"/>
    <w:rsid w:val="00215752"/>
    <w:rsid w:val="00220FC8"/>
    <w:rsid w:val="002242EF"/>
    <w:rsid w:val="0022479D"/>
    <w:rsid w:val="002263E0"/>
    <w:rsid w:val="00232236"/>
    <w:rsid w:val="00235C6C"/>
    <w:rsid w:val="00236D9D"/>
    <w:rsid w:val="00241945"/>
    <w:rsid w:val="00243D70"/>
    <w:rsid w:val="00244E37"/>
    <w:rsid w:val="00250AEF"/>
    <w:rsid w:val="00255987"/>
    <w:rsid w:val="0025763F"/>
    <w:rsid w:val="00262B5B"/>
    <w:rsid w:val="00263AD9"/>
    <w:rsid w:val="0026564C"/>
    <w:rsid w:val="00265BFF"/>
    <w:rsid w:val="00267310"/>
    <w:rsid w:val="00272313"/>
    <w:rsid w:val="00281078"/>
    <w:rsid w:val="00284EB1"/>
    <w:rsid w:val="0028602A"/>
    <w:rsid w:val="002A2026"/>
    <w:rsid w:val="002B0C2A"/>
    <w:rsid w:val="002C22B9"/>
    <w:rsid w:val="002C2526"/>
    <w:rsid w:val="002C3D2B"/>
    <w:rsid w:val="002C7BB1"/>
    <w:rsid w:val="002D2E49"/>
    <w:rsid w:val="002D667B"/>
    <w:rsid w:val="002E10BE"/>
    <w:rsid w:val="002E2271"/>
    <w:rsid w:val="002E6011"/>
    <w:rsid w:val="002F145D"/>
    <w:rsid w:val="002F29D6"/>
    <w:rsid w:val="00301144"/>
    <w:rsid w:val="00302DEE"/>
    <w:rsid w:val="00305665"/>
    <w:rsid w:val="00306F1F"/>
    <w:rsid w:val="003142DD"/>
    <w:rsid w:val="003148B7"/>
    <w:rsid w:val="003158C3"/>
    <w:rsid w:val="003165AC"/>
    <w:rsid w:val="003274CD"/>
    <w:rsid w:val="003357B0"/>
    <w:rsid w:val="00336DAD"/>
    <w:rsid w:val="00340616"/>
    <w:rsid w:val="00340B33"/>
    <w:rsid w:val="00346479"/>
    <w:rsid w:val="0035119D"/>
    <w:rsid w:val="0036664E"/>
    <w:rsid w:val="00367A67"/>
    <w:rsid w:val="003717CD"/>
    <w:rsid w:val="00372439"/>
    <w:rsid w:val="00376B7C"/>
    <w:rsid w:val="00396FF1"/>
    <w:rsid w:val="003A0C18"/>
    <w:rsid w:val="003A4403"/>
    <w:rsid w:val="003A71C5"/>
    <w:rsid w:val="003B4C5C"/>
    <w:rsid w:val="003B4F12"/>
    <w:rsid w:val="003C57AC"/>
    <w:rsid w:val="003D016A"/>
    <w:rsid w:val="003D0DB2"/>
    <w:rsid w:val="003D1805"/>
    <w:rsid w:val="003D20DC"/>
    <w:rsid w:val="003D440F"/>
    <w:rsid w:val="003E60A5"/>
    <w:rsid w:val="003F2970"/>
    <w:rsid w:val="003F3468"/>
    <w:rsid w:val="003F669E"/>
    <w:rsid w:val="003F6C38"/>
    <w:rsid w:val="003F7EAD"/>
    <w:rsid w:val="004003E2"/>
    <w:rsid w:val="00410CFD"/>
    <w:rsid w:val="0041108C"/>
    <w:rsid w:val="00411F97"/>
    <w:rsid w:val="00423350"/>
    <w:rsid w:val="00423F31"/>
    <w:rsid w:val="00431899"/>
    <w:rsid w:val="00432DEF"/>
    <w:rsid w:val="00433C93"/>
    <w:rsid w:val="004475DB"/>
    <w:rsid w:val="0046745D"/>
    <w:rsid w:val="00472A15"/>
    <w:rsid w:val="00482F1B"/>
    <w:rsid w:val="00486804"/>
    <w:rsid w:val="00487B86"/>
    <w:rsid w:val="00492916"/>
    <w:rsid w:val="004A0F4F"/>
    <w:rsid w:val="004B3775"/>
    <w:rsid w:val="004B53C4"/>
    <w:rsid w:val="004C0B05"/>
    <w:rsid w:val="004C27DB"/>
    <w:rsid w:val="004C2A06"/>
    <w:rsid w:val="004C2ADD"/>
    <w:rsid w:val="004C30F6"/>
    <w:rsid w:val="004C68FC"/>
    <w:rsid w:val="004D7AEC"/>
    <w:rsid w:val="004E058F"/>
    <w:rsid w:val="004E2D2A"/>
    <w:rsid w:val="004E3B87"/>
    <w:rsid w:val="004E408F"/>
    <w:rsid w:val="004F09A4"/>
    <w:rsid w:val="004F1C5D"/>
    <w:rsid w:val="004F6159"/>
    <w:rsid w:val="00510921"/>
    <w:rsid w:val="005109D5"/>
    <w:rsid w:val="00510AD3"/>
    <w:rsid w:val="00511DD6"/>
    <w:rsid w:val="00513348"/>
    <w:rsid w:val="00514857"/>
    <w:rsid w:val="005168B9"/>
    <w:rsid w:val="00516959"/>
    <w:rsid w:val="00521A5F"/>
    <w:rsid w:val="00533B5D"/>
    <w:rsid w:val="00533BCE"/>
    <w:rsid w:val="005344DB"/>
    <w:rsid w:val="00534FDA"/>
    <w:rsid w:val="0054078D"/>
    <w:rsid w:val="00544D3A"/>
    <w:rsid w:val="005570E8"/>
    <w:rsid w:val="00560903"/>
    <w:rsid w:val="00561435"/>
    <w:rsid w:val="005660B6"/>
    <w:rsid w:val="00566242"/>
    <w:rsid w:val="00576C34"/>
    <w:rsid w:val="00582E66"/>
    <w:rsid w:val="00592EB3"/>
    <w:rsid w:val="005932F0"/>
    <w:rsid w:val="00596635"/>
    <w:rsid w:val="00596FBA"/>
    <w:rsid w:val="005970EA"/>
    <w:rsid w:val="005A35F8"/>
    <w:rsid w:val="005A3C34"/>
    <w:rsid w:val="005A41E0"/>
    <w:rsid w:val="005A6BEE"/>
    <w:rsid w:val="005B1D56"/>
    <w:rsid w:val="005B6F05"/>
    <w:rsid w:val="005C37F0"/>
    <w:rsid w:val="005D00E1"/>
    <w:rsid w:val="005D2D36"/>
    <w:rsid w:val="005D670A"/>
    <w:rsid w:val="005E0682"/>
    <w:rsid w:val="005E68FB"/>
    <w:rsid w:val="005F0384"/>
    <w:rsid w:val="005F3DD0"/>
    <w:rsid w:val="005F4245"/>
    <w:rsid w:val="00600B0B"/>
    <w:rsid w:val="00601E84"/>
    <w:rsid w:val="00623BA1"/>
    <w:rsid w:val="006330A1"/>
    <w:rsid w:val="006338CC"/>
    <w:rsid w:val="006346BC"/>
    <w:rsid w:val="006417DE"/>
    <w:rsid w:val="00647D91"/>
    <w:rsid w:val="00650146"/>
    <w:rsid w:val="00652F2D"/>
    <w:rsid w:val="006539C9"/>
    <w:rsid w:val="006607DE"/>
    <w:rsid w:val="00661C4A"/>
    <w:rsid w:val="00664CEA"/>
    <w:rsid w:val="00666291"/>
    <w:rsid w:val="0066652A"/>
    <w:rsid w:val="00672064"/>
    <w:rsid w:val="00673063"/>
    <w:rsid w:val="0067746C"/>
    <w:rsid w:val="00681C88"/>
    <w:rsid w:val="00682167"/>
    <w:rsid w:val="00685ACF"/>
    <w:rsid w:val="00687BAA"/>
    <w:rsid w:val="00694AD7"/>
    <w:rsid w:val="00694DF9"/>
    <w:rsid w:val="006A31BC"/>
    <w:rsid w:val="006A3B80"/>
    <w:rsid w:val="006B11FB"/>
    <w:rsid w:val="006B5D03"/>
    <w:rsid w:val="006C2B8C"/>
    <w:rsid w:val="006C42AF"/>
    <w:rsid w:val="006C4DD1"/>
    <w:rsid w:val="006C6E91"/>
    <w:rsid w:val="006D09F8"/>
    <w:rsid w:val="0070162F"/>
    <w:rsid w:val="00704535"/>
    <w:rsid w:val="007065A0"/>
    <w:rsid w:val="007119DE"/>
    <w:rsid w:val="00711D6F"/>
    <w:rsid w:val="00711D8E"/>
    <w:rsid w:val="00712672"/>
    <w:rsid w:val="00726710"/>
    <w:rsid w:val="007310EF"/>
    <w:rsid w:val="00734E3F"/>
    <w:rsid w:val="00735D5C"/>
    <w:rsid w:val="00736985"/>
    <w:rsid w:val="00737A13"/>
    <w:rsid w:val="007572B9"/>
    <w:rsid w:val="00767611"/>
    <w:rsid w:val="00771DFE"/>
    <w:rsid w:val="00782843"/>
    <w:rsid w:val="007923C5"/>
    <w:rsid w:val="00794773"/>
    <w:rsid w:val="00797669"/>
    <w:rsid w:val="007A0CD6"/>
    <w:rsid w:val="007A25F0"/>
    <w:rsid w:val="007A3F1B"/>
    <w:rsid w:val="007A3F74"/>
    <w:rsid w:val="007B1202"/>
    <w:rsid w:val="007B1A1A"/>
    <w:rsid w:val="007B6200"/>
    <w:rsid w:val="007C24EA"/>
    <w:rsid w:val="007C6E0F"/>
    <w:rsid w:val="007D1C9C"/>
    <w:rsid w:val="007D6319"/>
    <w:rsid w:val="007E58A6"/>
    <w:rsid w:val="007F52FC"/>
    <w:rsid w:val="007F5F85"/>
    <w:rsid w:val="00800CF7"/>
    <w:rsid w:val="00801B9F"/>
    <w:rsid w:val="00801DB6"/>
    <w:rsid w:val="008117FE"/>
    <w:rsid w:val="00821F0D"/>
    <w:rsid w:val="00823E98"/>
    <w:rsid w:val="0082468B"/>
    <w:rsid w:val="00831521"/>
    <w:rsid w:val="00832CA0"/>
    <w:rsid w:val="00833724"/>
    <w:rsid w:val="0084533B"/>
    <w:rsid w:val="00846AE6"/>
    <w:rsid w:val="00856018"/>
    <w:rsid w:val="008612F0"/>
    <w:rsid w:val="00864EFA"/>
    <w:rsid w:val="00875A16"/>
    <w:rsid w:val="00876CDB"/>
    <w:rsid w:val="00880B3F"/>
    <w:rsid w:val="00887073"/>
    <w:rsid w:val="008873D4"/>
    <w:rsid w:val="00890646"/>
    <w:rsid w:val="0089076E"/>
    <w:rsid w:val="00892C8B"/>
    <w:rsid w:val="00894F94"/>
    <w:rsid w:val="0089786A"/>
    <w:rsid w:val="008B29B3"/>
    <w:rsid w:val="008B3199"/>
    <w:rsid w:val="008B5886"/>
    <w:rsid w:val="008B62C7"/>
    <w:rsid w:val="008C1F70"/>
    <w:rsid w:val="008C6A77"/>
    <w:rsid w:val="008D20E2"/>
    <w:rsid w:val="008D4A99"/>
    <w:rsid w:val="008E0EB8"/>
    <w:rsid w:val="008E2331"/>
    <w:rsid w:val="008F4C2E"/>
    <w:rsid w:val="00900644"/>
    <w:rsid w:val="0090794D"/>
    <w:rsid w:val="00911AC6"/>
    <w:rsid w:val="0091452D"/>
    <w:rsid w:val="00925ECE"/>
    <w:rsid w:val="0092699E"/>
    <w:rsid w:val="00934587"/>
    <w:rsid w:val="0093492A"/>
    <w:rsid w:val="0093505F"/>
    <w:rsid w:val="00940F40"/>
    <w:rsid w:val="00943028"/>
    <w:rsid w:val="00946AF9"/>
    <w:rsid w:val="00946D61"/>
    <w:rsid w:val="00950336"/>
    <w:rsid w:val="009525F4"/>
    <w:rsid w:val="00953463"/>
    <w:rsid w:val="00954ABA"/>
    <w:rsid w:val="00957D11"/>
    <w:rsid w:val="009625B7"/>
    <w:rsid w:val="00965D80"/>
    <w:rsid w:val="00966462"/>
    <w:rsid w:val="00971FF6"/>
    <w:rsid w:val="0097683A"/>
    <w:rsid w:val="00984B3C"/>
    <w:rsid w:val="00984C52"/>
    <w:rsid w:val="0099365D"/>
    <w:rsid w:val="009A05FF"/>
    <w:rsid w:val="009A2401"/>
    <w:rsid w:val="009A2DA7"/>
    <w:rsid w:val="009B4847"/>
    <w:rsid w:val="009B4D3B"/>
    <w:rsid w:val="009B56C4"/>
    <w:rsid w:val="009C4265"/>
    <w:rsid w:val="009C753C"/>
    <w:rsid w:val="009D2D79"/>
    <w:rsid w:val="009D44EC"/>
    <w:rsid w:val="009D4D2F"/>
    <w:rsid w:val="009D7407"/>
    <w:rsid w:val="009E0866"/>
    <w:rsid w:val="009E676B"/>
    <w:rsid w:val="009F35C5"/>
    <w:rsid w:val="00A00BDD"/>
    <w:rsid w:val="00A02399"/>
    <w:rsid w:val="00A20E8E"/>
    <w:rsid w:val="00A22DDB"/>
    <w:rsid w:val="00A24A62"/>
    <w:rsid w:val="00A256BF"/>
    <w:rsid w:val="00A2595D"/>
    <w:rsid w:val="00A275FD"/>
    <w:rsid w:val="00A31C9F"/>
    <w:rsid w:val="00A35BEB"/>
    <w:rsid w:val="00A35DDC"/>
    <w:rsid w:val="00A40701"/>
    <w:rsid w:val="00A41108"/>
    <w:rsid w:val="00A45D97"/>
    <w:rsid w:val="00A61778"/>
    <w:rsid w:val="00A632E3"/>
    <w:rsid w:val="00A668C8"/>
    <w:rsid w:val="00A67562"/>
    <w:rsid w:val="00A703CF"/>
    <w:rsid w:val="00A72CEC"/>
    <w:rsid w:val="00A75216"/>
    <w:rsid w:val="00A75639"/>
    <w:rsid w:val="00A75BF8"/>
    <w:rsid w:val="00A76EC7"/>
    <w:rsid w:val="00A90EFA"/>
    <w:rsid w:val="00A916BA"/>
    <w:rsid w:val="00A92A2E"/>
    <w:rsid w:val="00A92DC3"/>
    <w:rsid w:val="00A92F62"/>
    <w:rsid w:val="00A9798A"/>
    <w:rsid w:val="00A97C9C"/>
    <w:rsid w:val="00A97E00"/>
    <w:rsid w:val="00AA1B63"/>
    <w:rsid w:val="00AA4335"/>
    <w:rsid w:val="00AA75A1"/>
    <w:rsid w:val="00AB19CF"/>
    <w:rsid w:val="00AB2F67"/>
    <w:rsid w:val="00AB3CD5"/>
    <w:rsid w:val="00AB6531"/>
    <w:rsid w:val="00AC164A"/>
    <w:rsid w:val="00AD16EC"/>
    <w:rsid w:val="00AD7C7D"/>
    <w:rsid w:val="00AE3A1C"/>
    <w:rsid w:val="00AE5A5C"/>
    <w:rsid w:val="00AF2050"/>
    <w:rsid w:val="00AF23B9"/>
    <w:rsid w:val="00AF5EA1"/>
    <w:rsid w:val="00B005E0"/>
    <w:rsid w:val="00B10AEC"/>
    <w:rsid w:val="00B11156"/>
    <w:rsid w:val="00B136A1"/>
    <w:rsid w:val="00B14E31"/>
    <w:rsid w:val="00B233A5"/>
    <w:rsid w:val="00B27A14"/>
    <w:rsid w:val="00B318A2"/>
    <w:rsid w:val="00B328B0"/>
    <w:rsid w:val="00B35A3A"/>
    <w:rsid w:val="00B378FE"/>
    <w:rsid w:val="00B424E7"/>
    <w:rsid w:val="00B5546E"/>
    <w:rsid w:val="00B62DC5"/>
    <w:rsid w:val="00B655D0"/>
    <w:rsid w:val="00B6687E"/>
    <w:rsid w:val="00B7612D"/>
    <w:rsid w:val="00B803B9"/>
    <w:rsid w:val="00B81293"/>
    <w:rsid w:val="00B813A0"/>
    <w:rsid w:val="00B82540"/>
    <w:rsid w:val="00B82CE5"/>
    <w:rsid w:val="00B90A32"/>
    <w:rsid w:val="00BB0418"/>
    <w:rsid w:val="00BB212F"/>
    <w:rsid w:val="00BB26C5"/>
    <w:rsid w:val="00BB55ED"/>
    <w:rsid w:val="00BB5CF6"/>
    <w:rsid w:val="00BB7BA0"/>
    <w:rsid w:val="00BC0C62"/>
    <w:rsid w:val="00BC1314"/>
    <w:rsid w:val="00BC17CA"/>
    <w:rsid w:val="00BC29E7"/>
    <w:rsid w:val="00BC4F34"/>
    <w:rsid w:val="00BD0763"/>
    <w:rsid w:val="00BD0CA1"/>
    <w:rsid w:val="00BD1DD2"/>
    <w:rsid w:val="00BE0F17"/>
    <w:rsid w:val="00BE263C"/>
    <w:rsid w:val="00BE78B1"/>
    <w:rsid w:val="00BF18F9"/>
    <w:rsid w:val="00BF4DE6"/>
    <w:rsid w:val="00C10A41"/>
    <w:rsid w:val="00C13514"/>
    <w:rsid w:val="00C25A62"/>
    <w:rsid w:val="00C26150"/>
    <w:rsid w:val="00C362A5"/>
    <w:rsid w:val="00C41091"/>
    <w:rsid w:val="00C41D2A"/>
    <w:rsid w:val="00C42CDE"/>
    <w:rsid w:val="00C50ADB"/>
    <w:rsid w:val="00C65229"/>
    <w:rsid w:val="00C836BC"/>
    <w:rsid w:val="00C879F8"/>
    <w:rsid w:val="00C966CD"/>
    <w:rsid w:val="00C9678A"/>
    <w:rsid w:val="00CA37B1"/>
    <w:rsid w:val="00CB17BD"/>
    <w:rsid w:val="00CB1959"/>
    <w:rsid w:val="00CB304D"/>
    <w:rsid w:val="00CC2AA4"/>
    <w:rsid w:val="00CC4D45"/>
    <w:rsid w:val="00CD5F87"/>
    <w:rsid w:val="00CE10F9"/>
    <w:rsid w:val="00CE251D"/>
    <w:rsid w:val="00CE3C8B"/>
    <w:rsid w:val="00CF0CF0"/>
    <w:rsid w:val="00CF3871"/>
    <w:rsid w:val="00CF3C9F"/>
    <w:rsid w:val="00CF3DF7"/>
    <w:rsid w:val="00CF6A72"/>
    <w:rsid w:val="00D0296C"/>
    <w:rsid w:val="00D02BDE"/>
    <w:rsid w:val="00D1304E"/>
    <w:rsid w:val="00D141E4"/>
    <w:rsid w:val="00D14978"/>
    <w:rsid w:val="00D15B5E"/>
    <w:rsid w:val="00D2023E"/>
    <w:rsid w:val="00D22869"/>
    <w:rsid w:val="00D268E6"/>
    <w:rsid w:val="00D3569B"/>
    <w:rsid w:val="00D45B00"/>
    <w:rsid w:val="00D46D82"/>
    <w:rsid w:val="00D55622"/>
    <w:rsid w:val="00D573DC"/>
    <w:rsid w:val="00D666C9"/>
    <w:rsid w:val="00D67FA3"/>
    <w:rsid w:val="00D747C1"/>
    <w:rsid w:val="00DB0937"/>
    <w:rsid w:val="00DB3432"/>
    <w:rsid w:val="00DB5D1B"/>
    <w:rsid w:val="00DB6D69"/>
    <w:rsid w:val="00DC1682"/>
    <w:rsid w:val="00DC322C"/>
    <w:rsid w:val="00DC430B"/>
    <w:rsid w:val="00DD0392"/>
    <w:rsid w:val="00DD52C8"/>
    <w:rsid w:val="00DD55C0"/>
    <w:rsid w:val="00DD5BB6"/>
    <w:rsid w:val="00DD622B"/>
    <w:rsid w:val="00DE3434"/>
    <w:rsid w:val="00DE3E90"/>
    <w:rsid w:val="00DF0952"/>
    <w:rsid w:val="00DF25F7"/>
    <w:rsid w:val="00DF67B7"/>
    <w:rsid w:val="00E119F4"/>
    <w:rsid w:val="00E12B2D"/>
    <w:rsid w:val="00E17504"/>
    <w:rsid w:val="00E255D2"/>
    <w:rsid w:val="00E357B7"/>
    <w:rsid w:val="00E3624C"/>
    <w:rsid w:val="00E44E21"/>
    <w:rsid w:val="00E457A9"/>
    <w:rsid w:val="00E472B4"/>
    <w:rsid w:val="00E53800"/>
    <w:rsid w:val="00E539E9"/>
    <w:rsid w:val="00E6081F"/>
    <w:rsid w:val="00E60953"/>
    <w:rsid w:val="00E673E5"/>
    <w:rsid w:val="00E67509"/>
    <w:rsid w:val="00E67963"/>
    <w:rsid w:val="00E71B07"/>
    <w:rsid w:val="00E72151"/>
    <w:rsid w:val="00E7468E"/>
    <w:rsid w:val="00E863F1"/>
    <w:rsid w:val="00E95846"/>
    <w:rsid w:val="00E963D2"/>
    <w:rsid w:val="00E96706"/>
    <w:rsid w:val="00EA04B2"/>
    <w:rsid w:val="00EA20F3"/>
    <w:rsid w:val="00EA3B0E"/>
    <w:rsid w:val="00EA4635"/>
    <w:rsid w:val="00EA75C1"/>
    <w:rsid w:val="00EB4889"/>
    <w:rsid w:val="00EB54B1"/>
    <w:rsid w:val="00ED43D1"/>
    <w:rsid w:val="00ED44FE"/>
    <w:rsid w:val="00EE05E1"/>
    <w:rsid w:val="00EE2B1C"/>
    <w:rsid w:val="00EE4EE1"/>
    <w:rsid w:val="00EF1756"/>
    <w:rsid w:val="00EF4574"/>
    <w:rsid w:val="00EF7B34"/>
    <w:rsid w:val="00F00CFE"/>
    <w:rsid w:val="00F07425"/>
    <w:rsid w:val="00F07E14"/>
    <w:rsid w:val="00F10669"/>
    <w:rsid w:val="00F12B43"/>
    <w:rsid w:val="00F147A8"/>
    <w:rsid w:val="00F23354"/>
    <w:rsid w:val="00F2684E"/>
    <w:rsid w:val="00F367D4"/>
    <w:rsid w:val="00F43EFC"/>
    <w:rsid w:val="00F500DB"/>
    <w:rsid w:val="00F5019A"/>
    <w:rsid w:val="00F61589"/>
    <w:rsid w:val="00F729EF"/>
    <w:rsid w:val="00F77CAE"/>
    <w:rsid w:val="00F96BB9"/>
    <w:rsid w:val="00F96E58"/>
    <w:rsid w:val="00FA299B"/>
    <w:rsid w:val="00FA2D3B"/>
    <w:rsid w:val="00FB0B53"/>
    <w:rsid w:val="00FB44AA"/>
    <w:rsid w:val="00FB6DA0"/>
    <w:rsid w:val="00FC030A"/>
    <w:rsid w:val="00FC48D1"/>
    <w:rsid w:val="00FD04C9"/>
    <w:rsid w:val="00FD1269"/>
    <w:rsid w:val="00FD3D79"/>
    <w:rsid w:val="00FD416B"/>
    <w:rsid w:val="00FE3E68"/>
    <w:rsid w:val="00FE6D51"/>
    <w:rsid w:val="00FF507B"/>
    <w:rsid w:val="00FF50DB"/>
    <w:rsid w:val="00FF7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AFC18A"/>
  <w15:docId w15:val="{8A8C1CD6-DEF7-4034-90C2-736DAB3C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ind w:left="567"/>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7"/>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List Paragraph,Bullet point,L,Bullet Point,Bullet points,Content descriptions,List Paragraph Number,Bulleted Para,NFP GP Bulleted List,bullet point list,List Bullet Cab,Dot Point Lvl 1"/>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List Paragraph Char,Bullet point Char,L Char,Bullet Point Char,Bullet points Char,Content descriptions Char,List Paragraph Number Char,Bulleted Para Char"/>
    <w:basedOn w:val="DefaultParagraphFont"/>
    <w:link w:val="ListParagraph"/>
    <w:uiPriority w:val="34"/>
    <w:qFormat/>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549">
      <w:bodyDiv w:val="1"/>
      <w:marLeft w:val="0"/>
      <w:marRight w:val="0"/>
      <w:marTop w:val="0"/>
      <w:marBottom w:val="0"/>
      <w:divBdr>
        <w:top w:val="none" w:sz="0" w:space="0" w:color="auto"/>
        <w:left w:val="none" w:sz="0" w:space="0" w:color="auto"/>
        <w:bottom w:val="none" w:sz="0" w:space="0" w:color="auto"/>
        <w:right w:val="none" w:sz="0" w:space="0" w:color="auto"/>
      </w:divBdr>
    </w:div>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229847609">
      <w:bodyDiv w:val="1"/>
      <w:marLeft w:val="0"/>
      <w:marRight w:val="0"/>
      <w:marTop w:val="0"/>
      <w:marBottom w:val="0"/>
      <w:divBdr>
        <w:top w:val="none" w:sz="0" w:space="0" w:color="auto"/>
        <w:left w:val="none" w:sz="0" w:space="0" w:color="auto"/>
        <w:bottom w:val="none" w:sz="0" w:space="0" w:color="auto"/>
        <w:right w:val="none" w:sz="0" w:space="0" w:color="auto"/>
      </w:divBdr>
    </w:div>
    <w:div w:id="247344819">
      <w:bodyDiv w:val="1"/>
      <w:marLeft w:val="0"/>
      <w:marRight w:val="0"/>
      <w:marTop w:val="0"/>
      <w:marBottom w:val="0"/>
      <w:divBdr>
        <w:top w:val="none" w:sz="0" w:space="0" w:color="auto"/>
        <w:left w:val="none" w:sz="0" w:space="0" w:color="auto"/>
        <w:bottom w:val="none" w:sz="0" w:space="0" w:color="auto"/>
        <w:right w:val="none" w:sz="0" w:space="0" w:color="auto"/>
      </w:divBdr>
    </w:div>
    <w:div w:id="304362296">
      <w:bodyDiv w:val="1"/>
      <w:marLeft w:val="0"/>
      <w:marRight w:val="0"/>
      <w:marTop w:val="0"/>
      <w:marBottom w:val="0"/>
      <w:divBdr>
        <w:top w:val="none" w:sz="0" w:space="0" w:color="auto"/>
        <w:left w:val="none" w:sz="0" w:space="0" w:color="auto"/>
        <w:bottom w:val="none" w:sz="0" w:space="0" w:color="auto"/>
        <w:right w:val="none" w:sz="0" w:space="0" w:color="auto"/>
      </w:divBdr>
    </w:div>
    <w:div w:id="327831265">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459305247">
      <w:bodyDiv w:val="1"/>
      <w:marLeft w:val="0"/>
      <w:marRight w:val="0"/>
      <w:marTop w:val="0"/>
      <w:marBottom w:val="0"/>
      <w:divBdr>
        <w:top w:val="none" w:sz="0" w:space="0" w:color="auto"/>
        <w:left w:val="none" w:sz="0" w:space="0" w:color="auto"/>
        <w:bottom w:val="none" w:sz="0" w:space="0" w:color="auto"/>
        <w:right w:val="none" w:sz="0" w:space="0" w:color="auto"/>
      </w:divBdr>
    </w:div>
    <w:div w:id="508982858">
      <w:bodyDiv w:val="1"/>
      <w:marLeft w:val="0"/>
      <w:marRight w:val="0"/>
      <w:marTop w:val="0"/>
      <w:marBottom w:val="0"/>
      <w:divBdr>
        <w:top w:val="none" w:sz="0" w:space="0" w:color="auto"/>
        <w:left w:val="none" w:sz="0" w:space="0" w:color="auto"/>
        <w:bottom w:val="none" w:sz="0" w:space="0" w:color="auto"/>
        <w:right w:val="none" w:sz="0" w:space="0" w:color="auto"/>
      </w:divBdr>
    </w:div>
    <w:div w:id="572280561">
      <w:bodyDiv w:val="1"/>
      <w:marLeft w:val="0"/>
      <w:marRight w:val="0"/>
      <w:marTop w:val="0"/>
      <w:marBottom w:val="0"/>
      <w:divBdr>
        <w:top w:val="none" w:sz="0" w:space="0" w:color="auto"/>
        <w:left w:val="none" w:sz="0" w:space="0" w:color="auto"/>
        <w:bottom w:val="none" w:sz="0" w:space="0" w:color="auto"/>
        <w:right w:val="none" w:sz="0" w:space="0" w:color="auto"/>
      </w:divBdr>
    </w:div>
    <w:div w:id="597979772">
      <w:bodyDiv w:val="1"/>
      <w:marLeft w:val="0"/>
      <w:marRight w:val="0"/>
      <w:marTop w:val="0"/>
      <w:marBottom w:val="0"/>
      <w:divBdr>
        <w:top w:val="none" w:sz="0" w:space="0" w:color="auto"/>
        <w:left w:val="none" w:sz="0" w:space="0" w:color="auto"/>
        <w:bottom w:val="none" w:sz="0" w:space="0" w:color="auto"/>
        <w:right w:val="none" w:sz="0" w:space="0" w:color="auto"/>
      </w:divBdr>
    </w:div>
    <w:div w:id="599606487">
      <w:bodyDiv w:val="1"/>
      <w:marLeft w:val="0"/>
      <w:marRight w:val="0"/>
      <w:marTop w:val="0"/>
      <w:marBottom w:val="0"/>
      <w:divBdr>
        <w:top w:val="none" w:sz="0" w:space="0" w:color="auto"/>
        <w:left w:val="none" w:sz="0" w:space="0" w:color="auto"/>
        <w:bottom w:val="none" w:sz="0" w:space="0" w:color="auto"/>
        <w:right w:val="none" w:sz="0" w:space="0" w:color="auto"/>
      </w:divBdr>
    </w:div>
    <w:div w:id="622925023">
      <w:bodyDiv w:val="1"/>
      <w:marLeft w:val="0"/>
      <w:marRight w:val="0"/>
      <w:marTop w:val="0"/>
      <w:marBottom w:val="0"/>
      <w:divBdr>
        <w:top w:val="none" w:sz="0" w:space="0" w:color="auto"/>
        <w:left w:val="none" w:sz="0" w:space="0" w:color="auto"/>
        <w:bottom w:val="none" w:sz="0" w:space="0" w:color="auto"/>
        <w:right w:val="none" w:sz="0" w:space="0" w:color="auto"/>
      </w:divBdr>
    </w:div>
    <w:div w:id="665129563">
      <w:bodyDiv w:val="1"/>
      <w:marLeft w:val="0"/>
      <w:marRight w:val="0"/>
      <w:marTop w:val="0"/>
      <w:marBottom w:val="0"/>
      <w:divBdr>
        <w:top w:val="none" w:sz="0" w:space="0" w:color="auto"/>
        <w:left w:val="none" w:sz="0" w:space="0" w:color="auto"/>
        <w:bottom w:val="none" w:sz="0" w:space="0" w:color="auto"/>
        <w:right w:val="none" w:sz="0" w:space="0" w:color="auto"/>
      </w:divBdr>
    </w:div>
    <w:div w:id="668555438">
      <w:bodyDiv w:val="1"/>
      <w:marLeft w:val="0"/>
      <w:marRight w:val="0"/>
      <w:marTop w:val="0"/>
      <w:marBottom w:val="0"/>
      <w:divBdr>
        <w:top w:val="none" w:sz="0" w:space="0" w:color="auto"/>
        <w:left w:val="none" w:sz="0" w:space="0" w:color="auto"/>
        <w:bottom w:val="none" w:sz="0" w:space="0" w:color="auto"/>
        <w:right w:val="none" w:sz="0" w:space="0" w:color="auto"/>
      </w:divBdr>
    </w:div>
    <w:div w:id="792208724">
      <w:bodyDiv w:val="1"/>
      <w:marLeft w:val="0"/>
      <w:marRight w:val="0"/>
      <w:marTop w:val="0"/>
      <w:marBottom w:val="0"/>
      <w:divBdr>
        <w:top w:val="none" w:sz="0" w:space="0" w:color="auto"/>
        <w:left w:val="none" w:sz="0" w:space="0" w:color="auto"/>
        <w:bottom w:val="none" w:sz="0" w:space="0" w:color="auto"/>
        <w:right w:val="none" w:sz="0" w:space="0" w:color="auto"/>
      </w:divBdr>
    </w:div>
    <w:div w:id="802505234">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1031952434">
      <w:bodyDiv w:val="1"/>
      <w:marLeft w:val="0"/>
      <w:marRight w:val="0"/>
      <w:marTop w:val="0"/>
      <w:marBottom w:val="0"/>
      <w:divBdr>
        <w:top w:val="none" w:sz="0" w:space="0" w:color="auto"/>
        <w:left w:val="none" w:sz="0" w:space="0" w:color="auto"/>
        <w:bottom w:val="none" w:sz="0" w:space="0" w:color="auto"/>
        <w:right w:val="none" w:sz="0" w:space="0" w:color="auto"/>
      </w:divBdr>
    </w:div>
    <w:div w:id="1050303531">
      <w:bodyDiv w:val="1"/>
      <w:marLeft w:val="0"/>
      <w:marRight w:val="0"/>
      <w:marTop w:val="0"/>
      <w:marBottom w:val="0"/>
      <w:divBdr>
        <w:top w:val="none" w:sz="0" w:space="0" w:color="auto"/>
        <w:left w:val="none" w:sz="0" w:space="0" w:color="auto"/>
        <w:bottom w:val="none" w:sz="0" w:space="0" w:color="auto"/>
        <w:right w:val="none" w:sz="0" w:space="0" w:color="auto"/>
      </w:divBdr>
    </w:div>
    <w:div w:id="1203057301">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381445034">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440678838">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545676213">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36907381">
      <w:bodyDiv w:val="1"/>
      <w:marLeft w:val="0"/>
      <w:marRight w:val="0"/>
      <w:marTop w:val="0"/>
      <w:marBottom w:val="0"/>
      <w:divBdr>
        <w:top w:val="none" w:sz="0" w:space="0" w:color="auto"/>
        <w:left w:val="none" w:sz="0" w:space="0" w:color="auto"/>
        <w:bottom w:val="none" w:sz="0" w:space="0" w:color="auto"/>
        <w:right w:val="none" w:sz="0" w:space="0" w:color="auto"/>
      </w:divBdr>
    </w:div>
    <w:div w:id="1724138861">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2031685412">
      <w:bodyDiv w:val="1"/>
      <w:marLeft w:val="0"/>
      <w:marRight w:val="0"/>
      <w:marTop w:val="0"/>
      <w:marBottom w:val="0"/>
      <w:divBdr>
        <w:top w:val="none" w:sz="0" w:space="0" w:color="auto"/>
        <w:left w:val="none" w:sz="0" w:space="0" w:color="auto"/>
        <w:bottom w:val="none" w:sz="0" w:space="0" w:color="auto"/>
        <w:right w:val="none" w:sz="0" w:space="0" w:color="auto"/>
      </w:divBdr>
    </w:div>
    <w:div w:id="2037458195">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s.gov.au/?event=public.home" TargetMode="External"/><Relationship Id="rId13" Type="http://schemas.openxmlformats.org/officeDocument/2006/relationships/hyperlink" Target="http://www.dss.gov.au" TargetMode="External"/><Relationship Id="rId18" Type="http://schemas.openxmlformats.org/officeDocument/2006/relationships/hyperlink" Target="mailto:support@communitygrants.gov.au" TargetMode="External"/><Relationship Id="rId26" Type="http://schemas.openxmlformats.org/officeDocument/2006/relationships/hyperlink" Target="https://www.dss.gov.au/settlement-services/programs-policy/settle-in-australia/language-services"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rants.gov.au/?event=public.home" TargetMode="External"/><Relationship Id="rId34" Type="http://schemas.openxmlformats.org/officeDocument/2006/relationships/hyperlink" Target="https://www.communitygrants.gov.au/open-grants/how-apply/conflict-interest-policy-commonwealth-government-employee" TargetMode="External"/><Relationship Id="rId7" Type="http://schemas.openxmlformats.org/officeDocument/2006/relationships/endnotes" Target="endnotes.xml"/><Relationship Id="rId12" Type="http://schemas.openxmlformats.org/officeDocument/2006/relationships/hyperlink" Target="https://www.finance.gov.au/resource-management/grants/" TargetMode="External"/><Relationship Id="rId17" Type="http://schemas.openxmlformats.org/officeDocument/2006/relationships/hyperlink" Target="mailto:support@communitygrants.gov.au" TargetMode="External"/><Relationship Id="rId25" Type="http://schemas.openxmlformats.org/officeDocument/2006/relationships/hyperlink" Target="https://www.communitygrants.gov.au/grants/sets-client-services" TargetMode="External"/><Relationship Id="rId33" Type="http://schemas.openxmlformats.org/officeDocument/2006/relationships/hyperlink" Target="mailto:ombudsman@ombudsman.gov.a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rants.gov.au/" TargetMode="External"/><Relationship Id="rId20" Type="http://schemas.openxmlformats.org/officeDocument/2006/relationships/hyperlink" Target="http://www.finance.gov.au/financial-framework/financial-management-policy-guidance/grants/grant-agreement-template-project.html" TargetMode="External"/><Relationship Id="rId29" Type="http://schemas.openxmlformats.org/officeDocument/2006/relationships/hyperlink" Target="http://www.communitygrants.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redress.gov.au/" TargetMode="External"/><Relationship Id="rId24" Type="http://schemas.openxmlformats.org/officeDocument/2006/relationships/hyperlink" Target="https://www.homeaffairs.gov.au/trav/life/multicultural/access-equity" TargetMode="External"/><Relationship Id="rId32" Type="http://schemas.openxmlformats.org/officeDocument/2006/relationships/hyperlink" Target="http://www.dss.gov.au/contact/feedback-compliments-complaints-and-enquiries/feedback-for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munitygrants.gov.au/information-applicants/late-applications-policy" TargetMode="External"/><Relationship Id="rId23" Type="http://schemas.openxmlformats.org/officeDocument/2006/relationships/hyperlink" Target="https://dex.dss.gov.au/data-exchange-protocols" TargetMode="External"/><Relationship Id="rId28" Type="http://schemas.openxmlformats.org/officeDocument/2006/relationships/hyperlink" Target="https://www.grants.gov.au/" TargetMode="External"/><Relationship Id="rId36" Type="http://schemas.openxmlformats.org/officeDocument/2006/relationships/hyperlink" Target="mailto:foi@dss.gov.au" TargetMode="External"/><Relationship Id="rId10" Type="http://schemas.openxmlformats.org/officeDocument/2006/relationships/hyperlink" Target="https://www.grants.gov.au/?event=public.home" TargetMode="External"/><Relationship Id="rId19" Type="http://schemas.openxmlformats.org/officeDocument/2006/relationships/hyperlink" Target="https://www.grants.gov.au/" TargetMode="External"/><Relationship Id="rId31" Type="http://schemas.openxmlformats.org/officeDocument/2006/relationships/hyperlink" Target="mailto:support@communitygrants.gov.au" TargetMode="External"/><Relationship Id="rId4" Type="http://schemas.openxmlformats.org/officeDocument/2006/relationships/settings" Target="settings.xml"/><Relationship Id="rId9" Type="http://schemas.openxmlformats.org/officeDocument/2006/relationships/hyperlink" Target="https://www.communitygrants.gov.au/grants" TargetMode="External"/><Relationship Id="rId14" Type="http://schemas.openxmlformats.org/officeDocument/2006/relationships/hyperlink" Target="http://communitygrants.gov.au/information-applicants/late-applications-policy" TargetMode="External"/><Relationship Id="rId22" Type="http://schemas.openxmlformats.org/officeDocument/2006/relationships/hyperlink" Target="http://www.dss.gov.au/about-the-department/doing-business-with-dss." TargetMode="External"/><Relationship Id="rId27" Type="http://schemas.openxmlformats.org/officeDocument/2006/relationships/hyperlink" Target="https://www.dss.gov.au/settlement-services/programs-policy/settle-in-australia/language-services" TargetMode="External"/><Relationship Id="rId30" Type="http://schemas.openxmlformats.org/officeDocument/2006/relationships/hyperlink" Target="https://www.dss.gov.au/search/search/Complaints%20procedures" TargetMode="External"/><Relationship Id="rId35" Type="http://schemas.openxmlformats.org/officeDocument/2006/relationships/hyperlink" Target="http://www.comlaw.gov.au/Details/C2014C00757" TargetMode="Externa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09BEF-38C6-4EE9-AF50-81610A46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8284</Words>
  <Characters>47223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 Brett</dc:creator>
  <cp:keywords/>
  <dc:description/>
  <cp:lastModifiedBy>MOULE, Michelle</cp:lastModifiedBy>
  <cp:revision>5</cp:revision>
  <cp:lastPrinted>2018-08-16T23:31:00Z</cp:lastPrinted>
  <dcterms:created xsi:type="dcterms:W3CDTF">2018-08-16T23:27:00Z</dcterms:created>
  <dcterms:modified xsi:type="dcterms:W3CDTF">2018-08-16T23:31:00Z</dcterms:modified>
  <cp:contentStatus/>
</cp:coreProperties>
</file>