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7477" w14:textId="69260055" w:rsidR="00794773" w:rsidRPr="00EC595A" w:rsidRDefault="00EC595A" w:rsidP="00C836BC">
      <w:pPr>
        <w:pStyle w:val="Title"/>
        <w:spacing w:before="3000"/>
        <w:rPr>
          <w:color w:val="auto"/>
        </w:rPr>
      </w:pPr>
      <w:r w:rsidRPr="00EC595A">
        <w:rPr>
          <w:color w:val="auto"/>
        </w:rPr>
        <w:t>Strong and Resilient Communities</w:t>
      </w:r>
    </w:p>
    <w:p w14:paraId="5D20D0BF" w14:textId="5C8A327A" w:rsidR="00794773" w:rsidRPr="00EC595A" w:rsidRDefault="00EC595A" w:rsidP="00C836BC">
      <w:pPr>
        <w:pStyle w:val="Title"/>
        <w:rPr>
          <w:color w:val="auto"/>
        </w:rPr>
      </w:pPr>
      <w:r w:rsidRPr="00EC595A">
        <w:rPr>
          <w:color w:val="auto"/>
        </w:rPr>
        <w:t>Inclusive Communities Grants</w:t>
      </w:r>
    </w:p>
    <w:p w14:paraId="4EF50F38" w14:textId="77777777" w:rsidR="00794773" w:rsidRPr="00C836BC" w:rsidRDefault="00794773" w:rsidP="00C836BC">
      <w:pPr>
        <w:pStyle w:val="Title"/>
      </w:pPr>
      <w:r w:rsidRPr="00C836BC">
        <w:t>Guidelines</w:t>
      </w:r>
    </w:p>
    <w:p w14:paraId="2A55BD6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39A7A91" w14:textId="77777777" w:rsidTr="00096839">
        <w:trPr>
          <w:tblHeader/>
        </w:trPr>
        <w:tc>
          <w:tcPr>
            <w:tcW w:w="2977" w:type="dxa"/>
          </w:tcPr>
          <w:p w14:paraId="364FB4AB"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2AD2C9F5" w14:textId="033570C9" w:rsidR="00794773" w:rsidRPr="002C7BB1" w:rsidRDefault="00B322FC" w:rsidP="00B322FC">
            <w:pPr>
              <w:spacing w:line="240" w:lineRule="auto"/>
            </w:pPr>
            <w:r w:rsidRPr="00B322FC">
              <w:t>11 September 2018</w:t>
            </w:r>
          </w:p>
        </w:tc>
      </w:tr>
      <w:tr w:rsidR="00794773" w:rsidRPr="007040EB" w14:paraId="4DCE9EC1" w14:textId="77777777" w:rsidTr="002C7BB1">
        <w:tc>
          <w:tcPr>
            <w:tcW w:w="2977" w:type="dxa"/>
          </w:tcPr>
          <w:p w14:paraId="085D0038"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72DE1B6A" w14:textId="35497151" w:rsidR="00794773" w:rsidRPr="002C7BB1" w:rsidRDefault="00EC595A" w:rsidP="00B322FC">
            <w:pPr>
              <w:spacing w:line="240" w:lineRule="auto"/>
            </w:pPr>
            <w:r w:rsidRPr="00407F61">
              <w:t>2:00pm</w:t>
            </w:r>
            <w:r w:rsidR="00EE05E1" w:rsidRPr="00407F61">
              <w:t xml:space="preserve"> </w:t>
            </w:r>
            <w:r w:rsidR="00794773" w:rsidRPr="00407F61">
              <w:t>AEST</w:t>
            </w:r>
            <w:r w:rsidR="00794773" w:rsidRPr="00EC595A">
              <w:t xml:space="preserve"> </w:t>
            </w:r>
            <w:r w:rsidR="00794773" w:rsidRPr="002C7BB1">
              <w:t xml:space="preserve">on </w:t>
            </w:r>
            <w:r w:rsidR="00B5788D">
              <w:t>2</w:t>
            </w:r>
            <w:r w:rsidR="00B322FC">
              <w:t>5</w:t>
            </w:r>
            <w:r w:rsidR="00B322FC" w:rsidRPr="00B322FC">
              <w:t xml:space="preserve"> September 2018</w:t>
            </w:r>
          </w:p>
        </w:tc>
      </w:tr>
      <w:tr w:rsidR="00794773" w:rsidRPr="007040EB" w14:paraId="713074A2" w14:textId="77777777" w:rsidTr="002C7BB1">
        <w:tc>
          <w:tcPr>
            <w:tcW w:w="2977" w:type="dxa"/>
          </w:tcPr>
          <w:p w14:paraId="0AAD25A9"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2F8A8C2D" w14:textId="350D9AD5" w:rsidR="00794773" w:rsidRPr="00407F61" w:rsidRDefault="00EC595A" w:rsidP="00694DF9">
            <w:pPr>
              <w:spacing w:line="240" w:lineRule="auto"/>
            </w:pPr>
            <w:r w:rsidRPr="00407F61">
              <w:t>Department of Social Services</w:t>
            </w:r>
          </w:p>
        </w:tc>
      </w:tr>
      <w:tr w:rsidR="00794773" w:rsidRPr="007040EB" w14:paraId="1AB3F1CE" w14:textId="77777777" w:rsidTr="002C7BB1">
        <w:tc>
          <w:tcPr>
            <w:tcW w:w="2977" w:type="dxa"/>
          </w:tcPr>
          <w:p w14:paraId="4D6A65F8"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26CFD026" w14:textId="77777777" w:rsidR="00794773" w:rsidRDefault="00794773" w:rsidP="00EC595A">
            <w:pPr>
              <w:spacing w:line="240" w:lineRule="auto"/>
            </w:pPr>
            <w:r w:rsidRPr="002C7BB1">
              <w:t xml:space="preserve">If you have any questions, please contact </w:t>
            </w:r>
          </w:p>
          <w:p w14:paraId="6DE10768" w14:textId="77777777" w:rsidR="00EC595A" w:rsidRPr="00407F61" w:rsidRDefault="00EC595A" w:rsidP="00EC595A">
            <w:pPr>
              <w:spacing w:line="240" w:lineRule="auto"/>
            </w:pPr>
            <w:r w:rsidRPr="00407F61">
              <w:t>Community Grants Hub</w:t>
            </w:r>
          </w:p>
          <w:p w14:paraId="6CE61824" w14:textId="77777777" w:rsidR="00EC595A" w:rsidRPr="00407F61" w:rsidRDefault="00EC595A" w:rsidP="00EC595A">
            <w:pPr>
              <w:spacing w:line="240" w:lineRule="auto"/>
            </w:pPr>
            <w:r w:rsidRPr="00407F61">
              <w:t>Phone: 1800 020 283</w:t>
            </w:r>
          </w:p>
          <w:p w14:paraId="05D6C0ED" w14:textId="5239048E" w:rsidR="00EC595A" w:rsidRPr="002C7BB1" w:rsidRDefault="00EC595A" w:rsidP="00EC595A">
            <w:pPr>
              <w:spacing w:line="240" w:lineRule="auto"/>
            </w:pPr>
            <w:r w:rsidRPr="00407F61">
              <w:t>Email:  support@communitygrants.gov.au</w:t>
            </w:r>
          </w:p>
        </w:tc>
      </w:tr>
      <w:tr w:rsidR="00794773" w:rsidRPr="007040EB" w14:paraId="6950C9DB" w14:textId="77777777" w:rsidTr="002C7BB1">
        <w:tc>
          <w:tcPr>
            <w:tcW w:w="2977" w:type="dxa"/>
          </w:tcPr>
          <w:p w14:paraId="04503E09"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5689CB7" w14:textId="3C74E573" w:rsidR="00794773" w:rsidRPr="002C7BB1" w:rsidRDefault="00B322FC" w:rsidP="00694DF9">
            <w:pPr>
              <w:spacing w:line="240" w:lineRule="auto"/>
            </w:pPr>
            <w:r w:rsidRPr="00B322FC">
              <w:t>11 September 2018</w:t>
            </w:r>
          </w:p>
        </w:tc>
      </w:tr>
      <w:tr w:rsidR="00794773" w14:paraId="3EAED9B5" w14:textId="77777777" w:rsidTr="002C7BB1">
        <w:tc>
          <w:tcPr>
            <w:tcW w:w="2977" w:type="dxa"/>
          </w:tcPr>
          <w:p w14:paraId="5B5CCB4C"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11EFFC4D" w14:textId="1A7006E0" w:rsidR="00B6687E" w:rsidRPr="00B322FC" w:rsidRDefault="001F027C" w:rsidP="006539C9">
            <w:pPr>
              <w:spacing w:line="240" w:lineRule="auto"/>
            </w:pPr>
            <w:r>
              <w:t xml:space="preserve">Targeted </w:t>
            </w:r>
            <w:r w:rsidR="00794773" w:rsidRPr="00407F61">
              <w:t>non-competitive</w:t>
            </w:r>
          </w:p>
        </w:tc>
      </w:tr>
    </w:tbl>
    <w:p w14:paraId="329D950C" w14:textId="77777777" w:rsidR="00B322FC" w:rsidRDefault="00B322FC" w:rsidP="0020122A">
      <w:pPr>
        <w:pStyle w:val="TOCHeading"/>
      </w:pPr>
    </w:p>
    <w:p w14:paraId="5AEE2AE6" w14:textId="77777777" w:rsidR="00B322FC" w:rsidRDefault="00B322F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bookmarkStart w:id="0" w:name="_GoBack"/>
      <w:bookmarkEnd w:id="0"/>
    </w:p>
    <w:p w14:paraId="6A88317C" w14:textId="626BC194" w:rsidR="0020122A" w:rsidRDefault="0020122A" w:rsidP="0020122A">
      <w:pPr>
        <w:pStyle w:val="TOCHeading"/>
      </w:pPr>
      <w:r>
        <w:lastRenderedPageBreak/>
        <w:t>Contents</w:t>
      </w:r>
    </w:p>
    <w:p w14:paraId="67356F70" w14:textId="50240CCE" w:rsidR="003E050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4419144" w:history="1">
        <w:r w:rsidR="003E050D" w:rsidRPr="003573C0">
          <w:rPr>
            <w:rStyle w:val="Hyperlink"/>
            <w:noProof/>
          </w:rPr>
          <w:t>1.</w:t>
        </w:r>
        <w:r w:rsidR="003E050D">
          <w:rPr>
            <w:rFonts w:eastAsiaTheme="minorEastAsia"/>
            <w:b w:val="0"/>
            <w:noProof/>
            <w:sz w:val="22"/>
            <w:lang w:eastAsia="en-AU"/>
          </w:rPr>
          <w:tab/>
        </w:r>
        <w:r w:rsidR="003E050D" w:rsidRPr="003573C0">
          <w:rPr>
            <w:rStyle w:val="Hyperlink"/>
            <w:noProof/>
          </w:rPr>
          <w:t>Strong and Resilient Communities: Inclusive Communities Processes</w:t>
        </w:r>
        <w:r w:rsidR="003E050D">
          <w:rPr>
            <w:noProof/>
            <w:webHidden/>
          </w:rPr>
          <w:tab/>
        </w:r>
        <w:r w:rsidR="003E050D">
          <w:rPr>
            <w:noProof/>
            <w:webHidden/>
          </w:rPr>
          <w:fldChar w:fldCharType="begin"/>
        </w:r>
        <w:r w:rsidR="003E050D">
          <w:rPr>
            <w:noProof/>
            <w:webHidden/>
          </w:rPr>
          <w:instrText xml:space="preserve"> PAGEREF _Toc524419144 \h </w:instrText>
        </w:r>
        <w:r w:rsidR="003E050D">
          <w:rPr>
            <w:noProof/>
            <w:webHidden/>
          </w:rPr>
        </w:r>
        <w:r w:rsidR="003E050D">
          <w:rPr>
            <w:noProof/>
            <w:webHidden/>
          </w:rPr>
          <w:fldChar w:fldCharType="separate"/>
        </w:r>
        <w:r w:rsidR="005454D9">
          <w:rPr>
            <w:noProof/>
            <w:webHidden/>
          </w:rPr>
          <w:t>4</w:t>
        </w:r>
        <w:r w:rsidR="003E050D">
          <w:rPr>
            <w:noProof/>
            <w:webHidden/>
          </w:rPr>
          <w:fldChar w:fldCharType="end"/>
        </w:r>
      </w:hyperlink>
    </w:p>
    <w:p w14:paraId="08011C0B" w14:textId="1100494E" w:rsidR="003E050D" w:rsidRDefault="003E050D">
      <w:pPr>
        <w:pStyle w:val="TOC2"/>
        <w:rPr>
          <w:rFonts w:eastAsiaTheme="minorEastAsia"/>
          <w:noProof/>
          <w:lang w:eastAsia="en-AU"/>
        </w:rPr>
      </w:pPr>
      <w:hyperlink w:anchor="_Toc524419145" w:history="1">
        <w:r w:rsidRPr="003573C0">
          <w:rPr>
            <w:rStyle w:val="Hyperlink"/>
            <w:noProof/>
          </w:rPr>
          <w:t>1.1</w:t>
        </w:r>
        <w:r>
          <w:rPr>
            <w:rFonts w:eastAsiaTheme="minorEastAsia"/>
            <w:noProof/>
            <w:lang w:eastAsia="en-AU"/>
          </w:rPr>
          <w:tab/>
        </w:r>
        <w:r w:rsidRPr="003573C0">
          <w:rPr>
            <w:rStyle w:val="Hyperlink"/>
            <w:noProof/>
          </w:rPr>
          <w:t>Role of the Community Grants Hub</w:t>
        </w:r>
        <w:r>
          <w:rPr>
            <w:noProof/>
            <w:webHidden/>
          </w:rPr>
          <w:tab/>
        </w:r>
        <w:r>
          <w:rPr>
            <w:noProof/>
            <w:webHidden/>
          </w:rPr>
          <w:fldChar w:fldCharType="begin"/>
        </w:r>
        <w:r>
          <w:rPr>
            <w:noProof/>
            <w:webHidden/>
          </w:rPr>
          <w:instrText xml:space="preserve"> PAGEREF _Toc524419145 \h </w:instrText>
        </w:r>
        <w:r>
          <w:rPr>
            <w:noProof/>
            <w:webHidden/>
          </w:rPr>
        </w:r>
        <w:r>
          <w:rPr>
            <w:noProof/>
            <w:webHidden/>
          </w:rPr>
          <w:fldChar w:fldCharType="separate"/>
        </w:r>
        <w:r w:rsidR="005454D9">
          <w:rPr>
            <w:noProof/>
            <w:webHidden/>
          </w:rPr>
          <w:t>5</w:t>
        </w:r>
        <w:r>
          <w:rPr>
            <w:noProof/>
            <w:webHidden/>
          </w:rPr>
          <w:fldChar w:fldCharType="end"/>
        </w:r>
      </w:hyperlink>
    </w:p>
    <w:p w14:paraId="2D9D8B3E" w14:textId="17F7E3D1" w:rsidR="003E050D" w:rsidRDefault="003E050D">
      <w:pPr>
        <w:pStyle w:val="TOC2"/>
        <w:rPr>
          <w:rFonts w:eastAsiaTheme="minorEastAsia"/>
          <w:noProof/>
          <w:lang w:eastAsia="en-AU"/>
        </w:rPr>
      </w:pPr>
      <w:hyperlink w:anchor="_Toc524419146" w:history="1">
        <w:r w:rsidRPr="003573C0">
          <w:rPr>
            <w:rStyle w:val="Hyperlink"/>
            <w:noProof/>
          </w:rPr>
          <w:t>1.2</w:t>
        </w:r>
        <w:r>
          <w:rPr>
            <w:rFonts w:eastAsiaTheme="minorEastAsia"/>
            <w:noProof/>
            <w:lang w:eastAsia="en-AU"/>
          </w:rPr>
          <w:tab/>
        </w:r>
        <w:r w:rsidRPr="003573C0">
          <w:rPr>
            <w:rStyle w:val="Hyperlink"/>
            <w:noProof/>
          </w:rPr>
          <w:t>About the Strong and Resilient Communities Activity</w:t>
        </w:r>
        <w:r>
          <w:rPr>
            <w:noProof/>
            <w:webHidden/>
          </w:rPr>
          <w:tab/>
        </w:r>
        <w:r>
          <w:rPr>
            <w:noProof/>
            <w:webHidden/>
          </w:rPr>
          <w:fldChar w:fldCharType="begin"/>
        </w:r>
        <w:r>
          <w:rPr>
            <w:noProof/>
            <w:webHidden/>
          </w:rPr>
          <w:instrText xml:space="preserve"> PAGEREF _Toc524419146 \h </w:instrText>
        </w:r>
        <w:r>
          <w:rPr>
            <w:noProof/>
            <w:webHidden/>
          </w:rPr>
        </w:r>
        <w:r>
          <w:rPr>
            <w:noProof/>
            <w:webHidden/>
          </w:rPr>
          <w:fldChar w:fldCharType="separate"/>
        </w:r>
        <w:r w:rsidR="005454D9">
          <w:rPr>
            <w:noProof/>
            <w:webHidden/>
          </w:rPr>
          <w:t>5</w:t>
        </w:r>
        <w:r>
          <w:rPr>
            <w:noProof/>
            <w:webHidden/>
          </w:rPr>
          <w:fldChar w:fldCharType="end"/>
        </w:r>
      </w:hyperlink>
    </w:p>
    <w:p w14:paraId="0FF39AAD" w14:textId="32F3B9E5" w:rsidR="003E050D" w:rsidRDefault="003E050D">
      <w:pPr>
        <w:pStyle w:val="TOC2"/>
        <w:rPr>
          <w:rFonts w:eastAsiaTheme="minorEastAsia"/>
          <w:noProof/>
          <w:lang w:eastAsia="en-AU"/>
        </w:rPr>
      </w:pPr>
      <w:hyperlink w:anchor="_Toc524419147" w:history="1">
        <w:r w:rsidRPr="003573C0">
          <w:rPr>
            <w:rStyle w:val="Hyperlink"/>
            <w:noProof/>
          </w:rPr>
          <w:t>1.3</w:t>
        </w:r>
        <w:r>
          <w:rPr>
            <w:rFonts w:eastAsiaTheme="minorEastAsia"/>
            <w:noProof/>
            <w:lang w:eastAsia="en-AU"/>
          </w:rPr>
          <w:tab/>
        </w:r>
        <w:r w:rsidRPr="003573C0">
          <w:rPr>
            <w:rStyle w:val="Hyperlink"/>
            <w:noProof/>
          </w:rPr>
          <w:t>About the Inclusive Communities grants</w:t>
        </w:r>
        <w:r>
          <w:rPr>
            <w:noProof/>
            <w:webHidden/>
          </w:rPr>
          <w:tab/>
        </w:r>
        <w:r>
          <w:rPr>
            <w:noProof/>
            <w:webHidden/>
          </w:rPr>
          <w:fldChar w:fldCharType="begin"/>
        </w:r>
        <w:r>
          <w:rPr>
            <w:noProof/>
            <w:webHidden/>
          </w:rPr>
          <w:instrText xml:space="preserve"> PAGEREF _Toc524419147 \h </w:instrText>
        </w:r>
        <w:r>
          <w:rPr>
            <w:noProof/>
            <w:webHidden/>
          </w:rPr>
        </w:r>
        <w:r>
          <w:rPr>
            <w:noProof/>
            <w:webHidden/>
          </w:rPr>
          <w:fldChar w:fldCharType="separate"/>
        </w:r>
        <w:r w:rsidR="005454D9">
          <w:rPr>
            <w:noProof/>
            <w:webHidden/>
          </w:rPr>
          <w:t>6</w:t>
        </w:r>
        <w:r>
          <w:rPr>
            <w:noProof/>
            <w:webHidden/>
          </w:rPr>
          <w:fldChar w:fldCharType="end"/>
        </w:r>
      </w:hyperlink>
    </w:p>
    <w:p w14:paraId="0F818776" w14:textId="71591D89" w:rsidR="003E050D" w:rsidRDefault="003E050D">
      <w:pPr>
        <w:pStyle w:val="TOC2"/>
        <w:rPr>
          <w:rFonts w:eastAsiaTheme="minorEastAsia"/>
          <w:noProof/>
          <w:lang w:eastAsia="en-AU"/>
        </w:rPr>
      </w:pPr>
      <w:hyperlink w:anchor="_Toc524419148" w:history="1">
        <w:r w:rsidRPr="003573C0">
          <w:rPr>
            <w:rStyle w:val="Hyperlink"/>
            <w:noProof/>
          </w:rPr>
          <w:t>1.4</w:t>
        </w:r>
        <w:r>
          <w:rPr>
            <w:rFonts w:eastAsiaTheme="minorEastAsia"/>
            <w:noProof/>
            <w:lang w:eastAsia="en-AU"/>
          </w:rPr>
          <w:tab/>
        </w:r>
        <w:r w:rsidRPr="003573C0">
          <w:rPr>
            <w:rStyle w:val="Hyperlink"/>
            <w:noProof/>
          </w:rPr>
          <w:t>About this grant opportunity</w:t>
        </w:r>
        <w:r>
          <w:rPr>
            <w:noProof/>
            <w:webHidden/>
          </w:rPr>
          <w:tab/>
        </w:r>
        <w:r>
          <w:rPr>
            <w:noProof/>
            <w:webHidden/>
          </w:rPr>
          <w:fldChar w:fldCharType="begin"/>
        </w:r>
        <w:r>
          <w:rPr>
            <w:noProof/>
            <w:webHidden/>
          </w:rPr>
          <w:instrText xml:space="preserve"> PAGEREF _Toc524419148 \h </w:instrText>
        </w:r>
        <w:r>
          <w:rPr>
            <w:noProof/>
            <w:webHidden/>
          </w:rPr>
        </w:r>
        <w:r>
          <w:rPr>
            <w:noProof/>
            <w:webHidden/>
          </w:rPr>
          <w:fldChar w:fldCharType="separate"/>
        </w:r>
        <w:r w:rsidR="005454D9">
          <w:rPr>
            <w:noProof/>
            <w:webHidden/>
          </w:rPr>
          <w:t>8</w:t>
        </w:r>
        <w:r>
          <w:rPr>
            <w:noProof/>
            <w:webHidden/>
          </w:rPr>
          <w:fldChar w:fldCharType="end"/>
        </w:r>
      </w:hyperlink>
    </w:p>
    <w:p w14:paraId="77367E93" w14:textId="5B2FE49F" w:rsidR="003E050D" w:rsidRDefault="003E050D">
      <w:pPr>
        <w:pStyle w:val="TOC2"/>
        <w:rPr>
          <w:rFonts w:eastAsiaTheme="minorEastAsia"/>
          <w:noProof/>
          <w:lang w:eastAsia="en-AU"/>
        </w:rPr>
      </w:pPr>
      <w:hyperlink w:anchor="_Toc524419149" w:history="1">
        <w:r w:rsidRPr="003573C0">
          <w:rPr>
            <w:rStyle w:val="Hyperlink"/>
            <w:noProof/>
          </w:rPr>
          <w:t>1.5</w:t>
        </w:r>
        <w:r>
          <w:rPr>
            <w:rFonts w:eastAsiaTheme="minorEastAsia"/>
            <w:noProof/>
            <w:lang w:eastAsia="en-AU"/>
          </w:rPr>
          <w:tab/>
        </w:r>
        <w:r w:rsidRPr="003573C0">
          <w:rPr>
            <w:rStyle w:val="Hyperlink"/>
            <w:noProof/>
          </w:rPr>
          <w:t>Inclusive Communities grant outcomes</w:t>
        </w:r>
        <w:r>
          <w:rPr>
            <w:noProof/>
            <w:webHidden/>
          </w:rPr>
          <w:tab/>
        </w:r>
        <w:r>
          <w:rPr>
            <w:noProof/>
            <w:webHidden/>
          </w:rPr>
          <w:fldChar w:fldCharType="begin"/>
        </w:r>
        <w:r>
          <w:rPr>
            <w:noProof/>
            <w:webHidden/>
          </w:rPr>
          <w:instrText xml:space="preserve"> PAGEREF _Toc524419149 \h </w:instrText>
        </w:r>
        <w:r>
          <w:rPr>
            <w:noProof/>
            <w:webHidden/>
          </w:rPr>
        </w:r>
        <w:r>
          <w:rPr>
            <w:noProof/>
            <w:webHidden/>
          </w:rPr>
          <w:fldChar w:fldCharType="separate"/>
        </w:r>
        <w:r w:rsidR="005454D9">
          <w:rPr>
            <w:noProof/>
            <w:webHidden/>
          </w:rPr>
          <w:t>8</w:t>
        </w:r>
        <w:r>
          <w:rPr>
            <w:noProof/>
            <w:webHidden/>
          </w:rPr>
          <w:fldChar w:fldCharType="end"/>
        </w:r>
      </w:hyperlink>
    </w:p>
    <w:p w14:paraId="00A2BCE6" w14:textId="7B156278" w:rsidR="003E050D" w:rsidRDefault="003E050D">
      <w:pPr>
        <w:pStyle w:val="TOC1"/>
        <w:rPr>
          <w:rFonts w:eastAsiaTheme="minorEastAsia"/>
          <w:b w:val="0"/>
          <w:noProof/>
          <w:sz w:val="22"/>
          <w:lang w:eastAsia="en-AU"/>
        </w:rPr>
      </w:pPr>
      <w:hyperlink w:anchor="_Toc524419150" w:history="1">
        <w:r w:rsidRPr="003573C0">
          <w:rPr>
            <w:rStyle w:val="Hyperlink"/>
            <w:noProof/>
          </w:rPr>
          <w:t>2.</w:t>
        </w:r>
        <w:r>
          <w:rPr>
            <w:rFonts w:eastAsiaTheme="minorEastAsia"/>
            <w:b w:val="0"/>
            <w:noProof/>
            <w:sz w:val="22"/>
            <w:lang w:eastAsia="en-AU"/>
          </w:rPr>
          <w:tab/>
        </w:r>
        <w:r w:rsidRPr="003573C0">
          <w:rPr>
            <w:rStyle w:val="Hyperlink"/>
            <w:noProof/>
          </w:rPr>
          <w:t>Grant amount</w:t>
        </w:r>
        <w:r>
          <w:rPr>
            <w:noProof/>
            <w:webHidden/>
          </w:rPr>
          <w:tab/>
        </w:r>
        <w:r>
          <w:rPr>
            <w:noProof/>
            <w:webHidden/>
          </w:rPr>
          <w:fldChar w:fldCharType="begin"/>
        </w:r>
        <w:r>
          <w:rPr>
            <w:noProof/>
            <w:webHidden/>
          </w:rPr>
          <w:instrText xml:space="preserve"> PAGEREF _Toc524419150 \h </w:instrText>
        </w:r>
        <w:r>
          <w:rPr>
            <w:noProof/>
            <w:webHidden/>
          </w:rPr>
        </w:r>
        <w:r>
          <w:rPr>
            <w:noProof/>
            <w:webHidden/>
          </w:rPr>
          <w:fldChar w:fldCharType="separate"/>
        </w:r>
        <w:r w:rsidR="005454D9">
          <w:rPr>
            <w:noProof/>
            <w:webHidden/>
          </w:rPr>
          <w:t>9</w:t>
        </w:r>
        <w:r>
          <w:rPr>
            <w:noProof/>
            <w:webHidden/>
          </w:rPr>
          <w:fldChar w:fldCharType="end"/>
        </w:r>
      </w:hyperlink>
    </w:p>
    <w:p w14:paraId="7E3581D1" w14:textId="1715246A" w:rsidR="003E050D" w:rsidRDefault="003E050D">
      <w:pPr>
        <w:pStyle w:val="TOC1"/>
        <w:rPr>
          <w:rFonts w:eastAsiaTheme="minorEastAsia"/>
          <w:b w:val="0"/>
          <w:noProof/>
          <w:sz w:val="22"/>
          <w:lang w:eastAsia="en-AU"/>
        </w:rPr>
      </w:pPr>
      <w:hyperlink w:anchor="_Toc524419151" w:history="1">
        <w:r w:rsidRPr="003573C0">
          <w:rPr>
            <w:rStyle w:val="Hyperlink"/>
            <w:noProof/>
          </w:rPr>
          <w:t>3.</w:t>
        </w:r>
        <w:r>
          <w:rPr>
            <w:rFonts w:eastAsiaTheme="minorEastAsia"/>
            <w:b w:val="0"/>
            <w:noProof/>
            <w:sz w:val="22"/>
            <w:lang w:eastAsia="en-AU"/>
          </w:rPr>
          <w:tab/>
        </w:r>
        <w:r w:rsidRPr="003573C0">
          <w:rPr>
            <w:rStyle w:val="Hyperlink"/>
            <w:noProof/>
          </w:rPr>
          <w:t>Grant eligibility criteria</w:t>
        </w:r>
        <w:r>
          <w:rPr>
            <w:noProof/>
            <w:webHidden/>
          </w:rPr>
          <w:tab/>
        </w:r>
        <w:r>
          <w:rPr>
            <w:noProof/>
            <w:webHidden/>
          </w:rPr>
          <w:fldChar w:fldCharType="begin"/>
        </w:r>
        <w:r>
          <w:rPr>
            <w:noProof/>
            <w:webHidden/>
          </w:rPr>
          <w:instrText xml:space="preserve"> PAGEREF _Toc524419151 \h </w:instrText>
        </w:r>
        <w:r>
          <w:rPr>
            <w:noProof/>
            <w:webHidden/>
          </w:rPr>
        </w:r>
        <w:r>
          <w:rPr>
            <w:noProof/>
            <w:webHidden/>
          </w:rPr>
          <w:fldChar w:fldCharType="separate"/>
        </w:r>
        <w:r w:rsidR="005454D9">
          <w:rPr>
            <w:noProof/>
            <w:webHidden/>
          </w:rPr>
          <w:t>9</w:t>
        </w:r>
        <w:r>
          <w:rPr>
            <w:noProof/>
            <w:webHidden/>
          </w:rPr>
          <w:fldChar w:fldCharType="end"/>
        </w:r>
      </w:hyperlink>
    </w:p>
    <w:p w14:paraId="65C22CF4" w14:textId="4C1360DF" w:rsidR="003E050D" w:rsidRDefault="003E050D">
      <w:pPr>
        <w:pStyle w:val="TOC2"/>
        <w:rPr>
          <w:rFonts w:eastAsiaTheme="minorEastAsia"/>
          <w:noProof/>
          <w:lang w:eastAsia="en-AU"/>
        </w:rPr>
      </w:pPr>
      <w:hyperlink w:anchor="_Toc524419152" w:history="1">
        <w:r w:rsidRPr="003573C0">
          <w:rPr>
            <w:rStyle w:val="Hyperlink"/>
            <w:noProof/>
          </w:rPr>
          <w:t>3.1</w:t>
        </w:r>
        <w:r>
          <w:rPr>
            <w:rFonts w:eastAsiaTheme="minorEastAsia"/>
            <w:noProof/>
            <w:lang w:eastAsia="en-AU"/>
          </w:rPr>
          <w:tab/>
        </w:r>
        <w:r w:rsidRPr="003573C0">
          <w:rPr>
            <w:rStyle w:val="Hyperlink"/>
            <w:noProof/>
          </w:rPr>
          <w:t>Who is eligible to apply for a grant?</w:t>
        </w:r>
        <w:r>
          <w:rPr>
            <w:noProof/>
            <w:webHidden/>
          </w:rPr>
          <w:tab/>
        </w:r>
        <w:r>
          <w:rPr>
            <w:noProof/>
            <w:webHidden/>
          </w:rPr>
          <w:fldChar w:fldCharType="begin"/>
        </w:r>
        <w:r>
          <w:rPr>
            <w:noProof/>
            <w:webHidden/>
          </w:rPr>
          <w:instrText xml:space="preserve"> PAGEREF _Toc524419152 \h </w:instrText>
        </w:r>
        <w:r>
          <w:rPr>
            <w:noProof/>
            <w:webHidden/>
          </w:rPr>
        </w:r>
        <w:r>
          <w:rPr>
            <w:noProof/>
            <w:webHidden/>
          </w:rPr>
          <w:fldChar w:fldCharType="separate"/>
        </w:r>
        <w:r w:rsidR="005454D9">
          <w:rPr>
            <w:noProof/>
            <w:webHidden/>
          </w:rPr>
          <w:t>9</w:t>
        </w:r>
        <w:r>
          <w:rPr>
            <w:noProof/>
            <w:webHidden/>
          </w:rPr>
          <w:fldChar w:fldCharType="end"/>
        </w:r>
      </w:hyperlink>
    </w:p>
    <w:p w14:paraId="654385F3" w14:textId="01C8D545" w:rsidR="003E050D" w:rsidRDefault="003E050D">
      <w:pPr>
        <w:pStyle w:val="TOC2"/>
        <w:rPr>
          <w:rFonts w:eastAsiaTheme="minorEastAsia"/>
          <w:noProof/>
          <w:lang w:eastAsia="en-AU"/>
        </w:rPr>
      </w:pPr>
      <w:hyperlink w:anchor="_Toc524419153" w:history="1">
        <w:r w:rsidRPr="003573C0">
          <w:rPr>
            <w:rStyle w:val="Hyperlink"/>
            <w:noProof/>
          </w:rPr>
          <w:t>3.2 What qualifications or skills are required?</w:t>
        </w:r>
        <w:r>
          <w:rPr>
            <w:noProof/>
            <w:webHidden/>
          </w:rPr>
          <w:tab/>
        </w:r>
        <w:r>
          <w:rPr>
            <w:noProof/>
            <w:webHidden/>
          </w:rPr>
          <w:fldChar w:fldCharType="begin"/>
        </w:r>
        <w:r>
          <w:rPr>
            <w:noProof/>
            <w:webHidden/>
          </w:rPr>
          <w:instrText xml:space="preserve"> PAGEREF _Toc524419153 \h </w:instrText>
        </w:r>
        <w:r>
          <w:rPr>
            <w:noProof/>
            <w:webHidden/>
          </w:rPr>
        </w:r>
        <w:r>
          <w:rPr>
            <w:noProof/>
            <w:webHidden/>
          </w:rPr>
          <w:fldChar w:fldCharType="separate"/>
        </w:r>
        <w:r w:rsidR="005454D9">
          <w:rPr>
            <w:noProof/>
            <w:webHidden/>
          </w:rPr>
          <w:t>10</w:t>
        </w:r>
        <w:r>
          <w:rPr>
            <w:noProof/>
            <w:webHidden/>
          </w:rPr>
          <w:fldChar w:fldCharType="end"/>
        </w:r>
      </w:hyperlink>
    </w:p>
    <w:p w14:paraId="6A769809" w14:textId="72DB9CF7" w:rsidR="003E050D" w:rsidRDefault="003E050D">
      <w:pPr>
        <w:pStyle w:val="TOC1"/>
        <w:rPr>
          <w:rFonts w:eastAsiaTheme="minorEastAsia"/>
          <w:b w:val="0"/>
          <w:noProof/>
          <w:sz w:val="22"/>
          <w:lang w:eastAsia="en-AU"/>
        </w:rPr>
      </w:pPr>
      <w:hyperlink w:anchor="_Toc524419154" w:history="1">
        <w:r w:rsidRPr="003573C0">
          <w:rPr>
            <w:rStyle w:val="Hyperlink"/>
            <w:noProof/>
          </w:rPr>
          <w:t>4.</w:t>
        </w:r>
        <w:r>
          <w:rPr>
            <w:rFonts w:eastAsiaTheme="minorEastAsia"/>
            <w:b w:val="0"/>
            <w:noProof/>
            <w:sz w:val="22"/>
            <w:lang w:eastAsia="en-AU"/>
          </w:rPr>
          <w:tab/>
        </w:r>
        <w:r w:rsidRPr="003573C0">
          <w:rPr>
            <w:rStyle w:val="Hyperlink"/>
            <w:noProof/>
          </w:rPr>
          <w:t>Eligible grant activities</w:t>
        </w:r>
        <w:r>
          <w:rPr>
            <w:noProof/>
            <w:webHidden/>
          </w:rPr>
          <w:tab/>
        </w:r>
        <w:r>
          <w:rPr>
            <w:noProof/>
            <w:webHidden/>
          </w:rPr>
          <w:fldChar w:fldCharType="begin"/>
        </w:r>
        <w:r>
          <w:rPr>
            <w:noProof/>
            <w:webHidden/>
          </w:rPr>
          <w:instrText xml:space="preserve"> PAGEREF _Toc524419154 \h </w:instrText>
        </w:r>
        <w:r>
          <w:rPr>
            <w:noProof/>
            <w:webHidden/>
          </w:rPr>
        </w:r>
        <w:r>
          <w:rPr>
            <w:noProof/>
            <w:webHidden/>
          </w:rPr>
          <w:fldChar w:fldCharType="separate"/>
        </w:r>
        <w:r w:rsidR="005454D9">
          <w:rPr>
            <w:noProof/>
            <w:webHidden/>
          </w:rPr>
          <w:t>10</w:t>
        </w:r>
        <w:r>
          <w:rPr>
            <w:noProof/>
            <w:webHidden/>
          </w:rPr>
          <w:fldChar w:fldCharType="end"/>
        </w:r>
      </w:hyperlink>
    </w:p>
    <w:p w14:paraId="62B38C86" w14:textId="19AFC04E" w:rsidR="003E050D" w:rsidRDefault="003E050D">
      <w:pPr>
        <w:pStyle w:val="TOC2"/>
        <w:rPr>
          <w:rFonts w:eastAsiaTheme="minorEastAsia"/>
          <w:noProof/>
          <w:lang w:eastAsia="en-AU"/>
        </w:rPr>
      </w:pPr>
      <w:hyperlink w:anchor="_Toc524419155" w:history="1">
        <w:r w:rsidRPr="003573C0">
          <w:rPr>
            <w:rStyle w:val="Hyperlink"/>
            <w:noProof/>
          </w:rPr>
          <w:t>4.1</w:t>
        </w:r>
        <w:r>
          <w:rPr>
            <w:rFonts w:eastAsiaTheme="minorEastAsia"/>
            <w:noProof/>
            <w:lang w:eastAsia="en-AU"/>
          </w:rPr>
          <w:tab/>
        </w:r>
        <w:r w:rsidRPr="003573C0">
          <w:rPr>
            <w:rStyle w:val="Hyperlink"/>
            <w:noProof/>
          </w:rPr>
          <w:t>What can the grant money be used for?</w:t>
        </w:r>
        <w:r>
          <w:rPr>
            <w:noProof/>
            <w:webHidden/>
          </w:rPr>
          <w:tab/>
        </w:r>
        <w:r>
          <w:rPr>
            <w:noProof/>
            <w:webHidden/>
          </w:rPr>
          <w:fldChar w:fldCharType="begin"/>
        </w:r>
        <w:r>
          <w:rPr>
            <w:noProof/>
            <w:webHidden/>
          </w:rPr>
          <w:instrText xml:space="preserve"> PAGEREF _Toc524419155 \h </w:instrText>
        </w:r>
        <w:r>
          <w:rPr>
            <w:noProof/>
            <w:webHidden/>
          </w:rPr>
        </w:r>
        <w:r>
          <w:rPr>
            <w:noProof/>
            <w:webHidden/>
          </w:rPr>
          <w:fldChar w:fldCharType="separate"/>
        </w:r>
        <w:r w:rsidR="005454D9">
          <w:rPr>
            <w:noProof/>
            <w:webHidden/>
          </w:rPr>
          <w:t>10</w:t>
        </w:r>
        <w:r>
          <w:rPr>
            <w:noProof/>
            <w:webHidden/>
          </w:rPr>
          <w:fldChar w:fldCharType="end"/>
        </w:r>
      </w:hyperlink>
    </w:p>
    <w:p w14:paraId="1D22E92B" w14:textId="409C9006" w:rsidR="003E050D" w:rsidRDefault="003E050D">
      <w:pPr>
        <w:pStyle w:val="TOC2"/>
        <w:rPr>
          <w:rFonts w:eastAsiaTheme="minorEastAsia"/>
          <w:noProof/>
          <w:lang w:eastAsia="en-AU"/>
        </w:rPr>
      </w:pPr>
      <w:hyperlink w:anchor="_Toc524419156" w:history="1">
        <w:r w:rsidRPr="003573C0">
          <w:rPr>
            <w:rStyle w:val="Hyperlink"/>
            <w:noProof/>
          </w:rPr>
          <w:t>4.2</w:t>
        </w:r>
        <w:r>
          <w:rPr>
            <w:rFonts w:eastAsiaTheme="minorEastAsia"/>
            <w:noProof/>
            <w:lang w:eastAsia="en-AU"/>
          </w:rPr>
          <w:tab/>
        </w:r>
        <w:r w:rsidRPr="003573C0">
          <w:rPr>
            <w:rStyle w:val="Hyperlink"/>
            <w:noProof/>
          </w:rPr>
          <w:t>What the grant money cannot be used for?</w:t>
        </w:r>
        <w:r>
          <w:rPr>
            <w:noProof/>
            <w:webHidden/>
          </w:rPr>
          <w:tab/>
        </w:r>
        <w:r>
          <w:rPr>
            <w:noProof/>
            <w:webHidden/>
          </w:rPr>
          <w:fldChar w:fldCharType="begin"/>
        </w:r>
        <w:r>
          <w:rPr>
            <w:noProof/>
            <w:webHidden/>
          </w:rPr>
          <w:instrText xml:space="preserve"> PAGEREF _Toc524419156 \h </w:instrText>
        </w:r>
        <w:r>
          <w:rPr>
            <w:noProof/>
            <w:webHidden/>
          </w:rPr>
        </w:r>
        <w:r>
          <w:rPr>
            <w:noProof/>
            <w:webHidden/>
          </w:rPr>
          <w:fldChar w:fldCharType="separate"/>
        </w:r>
        <w:r w:rsidR="005454D9">
          <w:rPr>
            <w:noProof/>
            <w:webHidden/>
          </w:rPr>
          <w:t>10</w:t>
        </w:r>
        <w:r>
          <w:rPr>
            <w:noProof/>
            <w:webHidden/>
          </w:rPr>
          <w:fldChar w:fldCharType="end"/>
        </w:r>
      </w:hyperlink>
    </w:p>
    <w:p w14:paraId="5F57CD18" w14:textId="3A452770" w:rsidR="003E050D" w:rsidRDefault="003E050D">
      <w:pPr>
        <w:pStyle w:val="TOC1"/>
        <w:rPr>
          <w:rFonts w:eastAsiaTheme="minorEastAsia"/>
          <w:b w:val="0"/>
          <w:noProof/>
          <w:sz w:val="22"/>
          <w:lang w:eastAsia="en-AU"/>
        </w:rPr>
      </w:pPr>
      <w:hyperlink w:anchor="_Toc524419157" w:history="1">
        <w:r w:rsidRPr="003573C0">
          <w:rPr>
            <w:rStyle w:val="Hyperlink"/>
            <w:noProof/>
          </w:rPr>
          <w:t>5.</w:t>
        </w:r>
        <w:r>
          <w:rPr>
            <w:rFonts w:eastAsiaTheme="minorEastAsia"/>
            <w:b w:val="0"/>
            <w:noProof/>
            <w:sz w:val="22"/>
            <w:lang w:eastAsia="en-AU"/>
          </w:rPr>
          <w:tab/>
        </w:r>
        <w:r w:rsidRPr="003573C0">
          <w:rPr>
            <w:rStyle w:val="Hyperlink"/>
            <w:noProof/>
          </w:rPr>
          <w:t>The grant selection process</w:t>
        </w:r>
        <w:r>
          <w:rPr>
            <w:noProof/>
            <w:webHidden/>
          </w:rPr>
          <w:tab/>
        </w:r>
        <w:r>
          <w:rPr>
            <w:noProof/>
            <w:webHidden/>
          </w:rPr>
          <w:fldChar w:fldCharType="begin"/>
        </w:r>
        <w:r>
          <w:rPr>
            <w:noProof/>
            <w:webHidden/>
          </w:rPr>
          <w:instrText xml:space="preserve"> PAGEREF _Toc524419157 \h </w:instrText>
        </w:r>
        <w:r>
          <w:rPr>
            <w:noProof/>
            <w:webHidden/>
          </w:rPr>
        </w:r>
        <w:r>
          <w:rPr>
            <w:noProof/>
            <w:webHidden/>
          </w:rPr>
          <w:fldChar w:fldCharType="separate"/>
        </w:r>
        <w:r w:rsidR="005454D9">
          <w:rPr>
            <w:noProof/>
            <w:webHidden/>
          </w:rPr>
          <w:t>11</w:t>
        </w:r>
        <w:r>
          <w:rPr>
            <w:noProof/>
            <w:webHidden/>
          </w:rPr>
          <w:fldChar w:fldCharType="end"/>
        </w:r>
      </w:hyperlink>
    </w:p>
    <w:p w14:paraId="4663ED95" w14:textId="41A00A5F" w:rsidR="003E050D" w:rsidRDefault="003E050D">
      <w:pPr>
        <w:pStyle w:val="TOC1"/>
        <w:rPr>
          <w:rFonts w:eastAsiaTheme="minorEastAsia"/>
          <w:b w:val="0"/>
          <w:noProof/>
          <w:sz w:val="22"/>
          <w:lang w:eastAsia="en-AU"/>
        </w:rPr>
      </w:pPr>
      <w:hyperlink w:anchor="_Toc524419158" w:history="1">
        <w:r w:rsidRPr="003573C0">
          <w:rPr>
            <w:rStyle w:val="Hyperlink"/>
            <w:noProof/>
          </w:rPr>
          <w:t>6.</w:t>
        </w:r>
        <w:r>
          <w:rPr>
            <w:rFonts w:eastAsiaTheme="minorEastAsia"/>
            <w:b w:val="0"/>
            <w:noProof/>
            <w:sz w:val="22"/>
            <w:lang w:eastAsia="en-AU"/>
          </w:rPr>
          <w:tab/>
        </w:r>
        <w:r w:rsidRPr="003573C0">
          <w:rPr>
            <w:rStyle w:val="Hyperlink"/>
            <w:noProof/>
          </w:rPr>
          <w:t>The grant application process</w:t>
        </w:r>
        <w:r>
          <w:rPr>
            <w:noProof/>
            <w:webHidden/>
          </w:rPr>
          <w:tab/>
        </w:r>
        <w:r>
          <w:rPr>
            <w:noProof/>
            <w:webHidden/>
          </w:rPr>
          <w:fldChar w:fldCharType="begin"/>
        </w:r>
        <w:r>
          <w:rPr>
            <w:noProof/>
            <w:webHidden/>
          </w:rPr>
          <w:instrText xml:space="preserve"> PAGEREF _Toc524419158 \h </w:instrText>
        </w:r>
        <w:r>
          <w:rPr>
            <w:noProof/>
            <w:webHidden/>
          </w:rPr>
        </w:r>
        <w:r>
          <w:rPr>
            <w:noProof/>
            <w:webHidden/>
          </w:rPr>
          <w:fldChar w:fldCharType="separate"/>
        </w:r>
        <w:r w:rsidR="005454D9">
          <w:rPr>
            <w:noProof/>
            <w:webHidden/>
          </w:rPr>
          <w:t>11</w:t>
        </w:r>
        <w:r>
          <w:rPr>
            <w:noProof/>
            <w:webHidden/>
          </w:rPr>
          <w:fldChar w:fldCharType="end"/>
        </w:r>
      </w:hyperlink>
    </w:p>
    <w:p w14:paraId="029E3B22" w14:textId="1C6A6FF1" w:rsidR="003E050D" w:rsidRDefault="003E050D">
      <w:pPr>
        <w:pStyle w:val="TOC2"/>
        <w:rPr>
          <w:rFonts w:eastAsiaTheme="minorEastAsia"/>
          <w:noProof/>
          <w:lang w:eastAsia="en-AU"/>
        </w:rPr>
      </w:pPr>
      <w:hyperlink w:anchor="_Toc524419159" w:history="1">
        <w:r w:rsidRPr="003573C0">
          <w:rPr>
            <w:rStyle w:val="Hyperlink"/>
            <w:noProof/>
          </w:rPr>
          <w:t>6.1</w:t>
        </w:r>
        <w:r>
          <w:rPr>
            <w:rFonts w:eastAsiaTheme="minorEastAsia"/>
            <w:noProof/>
            <w:lang w:eastAsia="en-AU"/>
          </w:rPr>
          <w:tab/>
        </w:r>
        <w:r w:rsidRPr="003573C0">
          <w:rPr>
            <w:rStyle w:val="Hyperlink"/>
            <w:noProof/>
          </w:rPr>
          <w:t>Overview of application process</w:t>
        </w:r>
        <w:r>
          <w:rPr>
            <w:noProof/>
            <w:webHidden/>
          </w:rPr>
          <w:tab/>
        </w:r>
        <w:r>
          <w:rPr>
            <w:noProof/>
            <w:webHidden/>
          </w:rPr>
          <w:fldChar w:fldCharType="begin"/>
        </w:r>
        <w:r>
          <w:rPr>
            <w:noProof/>
            <w:webHidden/>
          </w:rPr>
          <w:instrText xml:space="preserve"> PAGEREF _Toc524419159 \h </w:instrText>
        </w:r>
        <w:r>
          <w:rPr>
            <w:noProof/>
            <w:webHidden/>
          </w:rPr>
        </w:r>
        <w:r>
          <w:rPr>
            <w:noProof/>
            <w:webHidden/>
          </w:rPr>
          <w:fldChar w:fldCharType="separate"/>
        </w:r>
        <w:r w:rsidR="005454D9">
          <w:rPr>
            <w:noProof/>
            <w:webHidden/>
          </w:rPr>
          <w:t>11</w:t>
        </w:r>
        <w:r>
          <w:rPr>
            <w:noProof/>
            <w:webHidden/>
          </w:rPr>
          <w:fldChar w:fldCharType="end"/>
        </w:r>
      </w:hyperlink>
    </w:p>
    <w:p w14:paraId="0B4F3E34" w14:textId="6EF7F65A" w:rsidR="003E050D" w:rsidRDefault="003E050D">
      <w:pPr>
        <w:pStyle w:val="TOC2"/>
        <w:rPr>
          <w:rFonts w:eastAsiaTheme="minorEastAsia"/>
          <w:noProof/>
          <w:lang w:eastAsia="en-AU"/>
        </w:rPr>
      </w:pPr>
      <w:hyperlink w:anchor="_Toc524419160" w:history="1">
        <w:r w:rsidRPr="003573C0">
          <w:rPr>
            <w:rStyle w:val="Hyperlink"/>
            <w:noProof/>
          </w:rPr>
          <w:t>6.2</w:t>
        </w:r>
        <w:r>
          <w:rPr>
            <w:rFonts w:eastAsiaTheme="minorEastAsia"/>
            <w:noProof/>
            <w:lang w:eastAsia="en-AU"/>
          </w:rPr>
          <w:tab/>
        </w:r>
        <w:r w:rsidRPr="003573C0">
          <w:rPr>
            <w:rStyle w:val="Hyperlink"/>
            <w:noProof/>
          </w:rPr>
          <w:t>Application process timing</w:t>
        </w:r>
        <w:r>
          <w:rPr>
            <w:noProof/>
            <w:webHidden/>
          </w:rPr>
          <w:tab/>
        </w:r>
        <w:r>
          <w:rPr>
            <w:noProof/>
            <w:webHidden/>
          </w:rPr>
          <w:fldChar w:fldCharType="begin"/>
        </w:r>
        <w:r>
          <w:rPr>
            <w:noProof/>
            <w:webHidden/>
          </w:rPr>
          <w:instrText xml:space="preserve"> PAGEREF _Toc524419160 \h </w:instrText>
        </w:r>
        <w:r>
          <w:rPr>
            <w:noProof/>
            <w:webHidden/>
          </w:rPr>
        </w:r>
        <w:r>
          <w:rPr>
            <w:noProof/>
            <w:webHidden/>
          </w:rPr>
          <w:fldChar w:fldCharType="separate"/>
        </w:r>
        <w:r w:rsidR="005454D9">
          <w:rPr>
            <w:noProof/>
            <w:webHidden/>
          </w:rPr>
          <w:t>11</w:t>
        </w:r>
        <w:r>
          <w:rPr>
            <w:noProof/>
            <w:webHidden/>
          </w:rPr>
          <w:fldChar w:fldCharType="end"/>
        </w:r>
      </w:hyperlink>
    </w:p>
    <w:p w14:paraId="7A1202DE" w14:textId="1A376153" w:rsidR="003E050D" w:rsidRDefault="003E050D">
      <w:pPr>
        <w:pStyle w:val="TOC2"/>
        <w:rPr>
          <w:rFonts w:eastAsiaTheme="minorEastAsia"/>
          <w:noProof/>
          <w:lang w:eastAsia="en-AU"/>
        </w:rPr>
      </w:pPr>
      <w:hyperlink w:anchor="_Toc524419161" w:history="1">
        <w:r w:rsidRPr="003573C0">
          <w:rPr>
            <w:rStyle w:val="Hyperlink"/>
            <w:noProof/>
          </w:rPr>
          <w:t>6.3</w:t>
        </w:r>
        <w:r>
          <w:rPr>
            <w:rFonts w:eastAsiaTheme="minorEastAsia"/>
            <w:noProof/>
            <w:lang w:eastAsia="en-AU"/>
          </w:rPr>
          <w:tab/>
        </w:r>
        <w:r w:rsidRPr="003573C0">
          <w:rPr>
            <w:rStyle w:val="Hyperlink"/>
            <w:noProof/>
          </w:rPr>
          <w:t>Completing the grant application</w:t>
        </w:r>
        <w:r>
          <w:rPr>
            <w:noProof/>
            <w:webHidden/>
          </w:rPr>
          <w:tab/>
        </w:r>
        <w:r>
          <w:rPr>
            <w:noProof/>
            <w:webHidden/>
          </w:rPr>
          <w:fldChar w:fldCharType="begin"/>
        </w:r>
        <w:r>
          <w:rPr>
            <w:noProof/>
            <w:webHidden/>
          </w:rPr>
          <w:instrText xml:space="preserve"> PAGEREF _Toc524419161 \h </w:instrText>
        </w:r>
        <w:r>
          <w:rPr>
            <w:noProof/>
            <w:webHidden/>
          </w:rPr>
        </w:r>
        <w:r>
          <w:rPr>
            <w:noProof/>
            <w:webHidden/>
          </w:rPr>
          <w:fldChar w:fldCharType="separate"/>
        </w:r>
        <w:r w:rsidR="005454D9">
          <w:rPr>
            <w:noProof/>
            <w:webHidden/>
          </w:rPr>
          <w:t>12</w:t>
        </w:r>
        <w:r>
          <w:rPr>
            <w:noProof/>
            <w:webHidden/>
          </w:rPr>
          <w:fldChar w:fldCharType="end"/>
        </w:r>
      </w:hyperlink>
    </w:p>
    <w:p w14:paraId="2004F567" w14:textId="09E38060" w:rsidR="003E050D" w:rsidRDefault="003E050D">
      <w:pPr>
        <w:pStyle w:val="TOC2"/>
        <w:rPr>
          <w:rFonts w:eastAsiaTheme="minorEastAsia"/>
          <w:noProof/>
          <w:lang w:eastAsia="en-AU"/>
        </w:rPr>
      </w:pPr>
      <w:hyperlink w:anchor="_Toc524419162" w:history="1">
        <w:r w:rsidRPr="003573C0">
          <w:rPr>
            <w:rStyle w:val="Hyperlink"/>
            <w:noProof/>
          </w:rPr>
          <w:t>6.4</w:t>
        </w:r>
        <w:r>
          <w:rPr>
            <w:rFonts w:eastAsiaTheme="minorEastAsia"/>
            <w:noProof/>
            <w:lang w:eastAsia="en-AU"/>
          </w:rPr>
          <w:tab/>
        </w:r>
        <w:r w:rsidRPr="003573C0">
          <w:rPr>
            <w:rStyle w:val="Hyperlink"/>
            <w:noProof/>
          </w:rPr>
          <w:t>Questions during the application process</w:t>
        </w:r>
        <w:r>
          <w:rPr>
            <w:noProof/>
            <w:webHidden/>
          </w:rPr>
          <w:tab/>
        </w:r>
        <w:r>
          <w:rPr>
            <w:noProof/>
            <w:webHidden/>
          </w:rPr>
          <w:fldChar w:fldCharType="begin"/>
        </w:r>
        <w:r>
          <w:rPr>
            <w:noProof/>
            <w:webHidden/>
          </w:rPr>
          <w:instrText xml:space="preserve"> PAGEREF _Toc524419162 \h </w:instrText>
        </w:r>
        <w:r>
          <w:rPr>
            <w:noProof/>
            <w:webHidden/>
          </w:rPr>
        </w:r>
        <w:r>
          <w:rPr>
            <w:noProof/>
            <w:webHidden/>
          </w:rPr>
          <w:fldChar w:fldCharType="separate"/>
        </w:r>
        <w:r w:rsidR="005454D9">
          <w:rPr>
            <w:noProof/>
            <w:webHidden/>
          </w:rPr>
          <w:t>13</w:t>
        </w:r>
        <w:r>
          <w:rPr>
            <w:noProof/>
            <w:webHidden/>
          </w:rPr>
          <w:fldChar w:fldCharType="end"/>
        </w:r>
      </w:hyperlink>
    </w:p>
    <w:p w14:paraId="79473739" w14:textId="303584D0" w:rsidR="003E050D" w:rsidRDefault="003E050D">
      <w:pPr>
        <w:pStyle w:val="TOC1"/>
        <w:rPr>
          <w:rFonts w:eastAsiaTheme="minorEastAsia"/>
          <w:b w:val="0"/>
          <w:noProof/>
          <w:sz w:val="22"/>
          <w:lang w:eastAsia="en-AU"/>
        </w:rPr>
      </w:pPr>
      <w:hyperlink w:anchor="_Toc524419163" w:history="1">
        <w:r w:rsidRPr="003573C0">
          <w:rPr>
            <w:rStyle w:val="Hyperlink"/>
            <w:noProof/>
          </w:rPr>
          <w:t>7.</w:t>
        </w:r>
        <w:r>
          <w:rPr>
            <w:rFonts w:eastAsiaTheme="minorEastAsia"/>
            <w:b w:val="0"/>
            <w:noProof/>
            <w:sz w:val="22"/>
            <w:lang w:eastAsia="en-AU"/>
          </w:rPr>
          <w:tab/>
        </w:r>
        <w:r w:rsidRPr="003573C0">
          <w:rPr>
            <w:rStyle w:val="Hyperlink"/>
            <w:noProof/>
          </w:rPr>
          <w:t>Review of the grant application</w:t>
        </w:r>
        <w:r>
          <w:rPr>
            <w:noProof/>
            <w:webHidden/>
          </w:rPr>
          <w:tab/>
        </w:r>
        <w:r>
          <w:rPr>
            <w:noProof/>
            <w:webHidden/>
          </w:rPr>
          <w:fldChar w:fldCharType="begin"/>
        </w:r>
        <w:r>
          <w:rPr>
            <w:noProof/>
            <w:webHidden/>
          </w:rPr>
          <w:instrText xml:space="preserve"> PAGEREF _Toc524419163 \h </w:instrText>
        </w:r>
        <w:r>
          <w:rPr>
            <w:noProof/>
            <w:webHidden/>
          </w:rPr>
        </w:r>
        <w:r>
          <w:rPr>
            <w:noProof/>
            <w:webHidden/>
          </w:rPr>
          <w:fldChar w:fldCharType="separate"/>
        </w:r>
        <w:r w:rsidR="005454D9">
          <w:rPr>
            <w:noProof/>
            <w:webHidden/>
          </w:rPr>
          <w:t>13</w:t>
        </w:r>
        <w:r>
          <w:rPr>
            <w:noProof/>
            <w:webHidden/>
          </w:rPr>
          <w:fldChar w:fldCharType="end"/>
        </w:r>
      </w:hyperlink>
    </w:p>
    <w:p w14:paraId="3C1E787F" w14:textId="574024E8" w:rsidR="003E050D" w:rsidRDefault="003E050D">
      <w:pPr>
        <w:pStyle w:val="TOC2"/>
        <w:rPr>
          <w:rFonts w:eastAsiaTheme="minorEastAsia"/>
          <w:noProof/>
          <w:lang w:eastAsia="en-AU"/>
        </w:rPr>
      </w:pPr>
      <w:hyperlink w:anchor="_Toc524419164" w:history="1">
        <w:r w:rsidRPr="003573C0">
          <w:rPr>
            <w:rStyle w:val="Hyperlink"/>
            <w:noProof/>
          </w:rPr>
          <w:t>7.1</w:t>
        </w:r>
        <w:r>
          <w:rPr>
            <w:rFonts w:eastAsiaTheme="minorEastAsia"/>
            <w:noProof/>
            <w:lang w:eastAsia="en-AU"/>
          </w:rPr>
          <w:tab/>
        </w:r>
        <w:r w:rsidRPr="003573C0">
          <w:rPr>
            <w:rStyle w:val="Hyperlink"/>
            <w:noProof/>
          </w:rPr>
          <w:t>Who will review the application?</w:t>
        </w:r>
        <w:r>
          <w:rPr>
            <w:noProof/>
            <w:webHidden/>
          </w:rPr>
          <w:tab/>
        </w:r>
        <w:r>
          <w:rPr>
            <w:noProof/>
            <w:webHidden/>
          </w:rPr>
          <w:fldChar w:fldCharType="begin"/>
        </w:r>
        <w:r>
          <w:rPr>
            <w:noProof/>
            <w:webHidden/>
          </w:rPr>
          <w:instrText xml:space="preserve"> PAGEREF _Toc524419164 \h </w:instrText>
        </w:r>
        <w:r>
          <w:rPr>
            <w:noProof/>
            <w:webHidden/>
          </w:rPr>
        </w:r>
        <w:r>
          <w:rPr>
            <w:noProof/>
            <w:webHidden/>
          </w:rPr>
          <w:fldChar w:fldCharType="separate"/>
        </w:r>
        <w:r w:rsidR="005454D9">
          <w:rPr>
            <w:noProof/>
            <w:webHidden/>
          </w:rPr>
          <w:t>13</w:t>
        </w:r>
        <w:r>
          <w:rPr>
            <w:noProof/>
            <w:webHidden/>
          </w:rPr>
          <w:fldChar w:fldCharType="end"/>
        </w:r>
      </w:hyperlink>
    </w:p>
    <w:p w14:paraId="78018476" w14:textId="440A2936" w:rsidR="003E050D" w:rsidRDefault="003E050D">
      <w:pPr>
        <w:pStyle w:val="TOC2"/>
        <w:rPr>
          <w:rFonts w:eastAsiaTheme="minorEastAsia"/>
          <w:noProof/>
          <w:lang w:eastAsia="en-AU"/>
        </w:rPr>
      </w:pPr>
      <w:hyperlink w:anchor="_Toc524419165" w:history="1">
        <w:r w:rsidRPr="003573C0">
          <w:rPr>
            <w:rStyle w:val="Hyperlink"/>
            <w:noProof/>
          </w:rPr>
          <w:t>7.2</w:t>
        </w:r>
        <w:r>
          <w:rPr>
            <w:rFonts w:eastAsiaTheme="minorEastAsia"/>
            <w:noProof/>
            <w:lang w:eastAsia="en-AU"/>
          </w:rPr>
          <w:tab/>
        </w:r>
        <w:r w:rsidRPr="003573C0">
          <w:rPr>
            <w:rStyle w:val="Hyperlink"/>
            <w:noProof/>
          </w:rPr>
          <w:t>Who will approve grants?</w:t>
        </w:r>
        <w:r>
          <w:rPr>
            <w:noProof/>
            <w:webHidden/>
          </w:rPr>
          <w:tab/>
        </w:r>
        <w:r>
          <w:rPr>
            <w:noProof/>
            <w:webHidden/>
          </w:rPr>
          <w:fldChar w:fldCharType="begin"/>
        </w:r>
        <w:r>
          <w:rPr>
            <w:noProof/>
            <w:webHidden/>
          </w:rPr>
          <w:instrText xml:space="preserve"> PAGEREF _Toc524419165 \h </w:instrText>
        </w:r>
        <w:r>
          <w:rPr>
            <w:noProof/>
            <w:webHidden/>
          </w:rPr>
        </w:r>
        <w:r>
          <w:rPr>
            <w:noProof/>
            <w:webHidden/>
          </w:rPr>
          <w:fldChar w:fldCharType="separate"/>
        </w:r>
        <w:r w:rsidR="005454D9">
          <w:rPr>
            <w:noProof/>
            <w:webHidden/>
          </w:rPr>
          <w:t>13</w:t>
        </w:r>
        <w:r>
          <w:rPr>
            <w:noProof/>
            <w:webHidden/>
          </w:rPr>
          <w:fldChar w:fldCharType="end"/>
        </w:r>
      </w:hyperlink>
    </w:p>
    <w:p w14:paraId="6D43AB62" w14:textId="0FF5E13B" w:rsidR="003E050D" w:rsidRDefault="003E050D">
      <w:pPr>
        <w:pStyle w:val="TOC1"/>
        <w:rPr>
          <w:rFonts w:eastAsiaTheme="minorEastAsia"/>
          <w:b w:val="0"/>
          <w:noProof/>
          <w:sz w:val="22"/>
          <w:lang w:eastAsia="en-AU"/>
        </w:rPr>
      </w:pPr>
      <w:hyperlink w:anchor="_Toc524419166" w:history="1">
        <w:r w:rsidRPr="003573C0">
          <w:rPr>
            <w:rStyle w:val="Hyperlink"/>
            <w:noProof/>
          </w:rPr>
          <w:t>8.</w:t>
        </w:r>
        <w:r>
          <w:rPr>
            <w:rFonts w:eastAsiaTheme="minorEastAsia"/>
            <w:b w:val="0"/>
            <w:noProof/>
            <w:sz w:val="22"/>
            <w:lang w:eastAsia="en-AU"/>
          </w:rPr>
          <w:tab/>
        </w:r>
        <w:r w:rsidRPr="003573C0">
          <w:rPr>
            <w:rStyle w:val="Hyperlink"/>
            <w:noProof/>
          </w:rPr>
          <w:t>Notification of application outcomes</w:t>
        </w:r>
        <w:r>
          <w:rPr>
            <w:noProof/>
            <w:webHidden/>
          </w:rPr>
          <w:tab/>
        </w:r>
        <w:r>
          <w:rPr>
            <w:noProof/>
            <w:webHidden/>
          </w:rPr>
          <w:fldChar w:fldCharType="begin"/>
        </w:r>
        <w:r>
          <w:rPr>
            <w:noProof/>
            <w:webHidden/>
          </w:rPr>
          <w:instrText xml:space="preserve"> PAGEREF _Toc524419166 \h </w:instrText>
        </w:r>
        <w:r>
          <w:rPr>
            <w:noProof/>
            <w:webHidden/>
          </w:rPr>
        </w:r>
        <w:r>
          <w:rPr>
            <w:noProof/>
            <w:webHidden/>
          </w:rPr>
          <w:fldChar w:fldCharType="separate"/>
        </w:r>
        <w:r w:rsidR="005454D9">
          <w:rPr>
            <w:noProof/>
            <w:webHidden/>
          </w:rPr>
          <w:t>14</w:t>
        </w:r>
        <w:r>
          <w:rPr>
            <w:noProof/>
            <w:webHidden/>
          </w:rPr>
          <w:fldChar w:fldCharType="end"/>
        </w:r>
      </w:hyperlink>
    </w:p>
    <w:p w14:paraId="5812CD01" w14:textId="1594E5B2" w:rsidR="003E050D" w:rsidRDefault="003E050D">
      <w:pPr>
        <w:pStyle w:val="TOC2"/>
        <w:rPr>
          <w:rFonts w:eastAsiaTheme="minorEastAsia"/>
          <w:noProof/>
          <w:lang w:eastAsia="en-AU"/>
        </w:rPr>
      </w:pPr>
      <w:hyperlink w:anchor="_Toc524419167" w:history="1">
        <w:r w:rsidRPr="003573C0">
          <w:rPr>
            <w:rStyle w:val="Hyperlink"/>
            <w:noProof/>
          </w:rPr>
          <w:t>8.1</w:t>
        </w:r>
        <w:r>
          <w:rPr>
            <w:rFonts w:eastAsiaTheme="minorEastAsia"/>
            <w:noProof/>
            <w:lang w:eastAsia="en-AU"/>
          </w:rPr>
          <w:tab/>
        </w:r>
        <w:r w:rsidRPr="003573C0">
          <w:rPr>
            <w:rStyle w:val="Hyperlink"/>
            <w:noProof/>
          </w:rPr>
          <w:t>Feedback on your application</w:t>
        </w:r>
        <w:r>
          <w:rPr>
            <w:noProof/>
            <w:webHidden/>
          </w:rPr>
          <w:tab/>
        </w:r>
        <w:r>
          <w:rPr>
            <w:noProof/>
            <w:webHidden/>
          </w:rPr>
          <w:fldChar w:fldCharType="begin"/>
        </w:r>
        <w:r>
          <w:rPr>
            <w:noProof/>
            <w:webHidden/>
          </w:rPr>
          <w:instrText xml:space="preserve"> PAGEREF _Toc524419167 \h </w:instrText>
        </w:r>
        <w:r>
          <w:rPr>
            <w:noProof/>
            <w:webHidden/>
          </w:rPr>
        </w:r>
        <w:r>
          <w:rPr>
            <w:noProof/>
            <w:webHidden/>
          </w:rPr>
          <w:fldChar w:fldCharType="separate"/>
        </w:r>
        <w:r w:rsidR="005454D9">
          <w:rPr>
            <w:noProof/>
            <w:webHidden/>
          </w:rPr>
          <w:t>14</w:t>
        </w:r>
        <w:r>
          <w:rPr>
            <w:noProof/>
            <w:webHidden/>
          </w:rPr>
          <w:fldChar w:fldCharType="end"/>
        </w:r>
      </w:hyperlink>
    </w:p>
    <w:p w14:paraId="644F89AF" w14:textId="0AEF1FE0" w:rsidR="003E050D" w:rsidRDefault="003E050D">
      <w:pPr>
        <w:pStyle w:val="TOC1"/>
        <w:rPr>
          <w:rFonts w:eastAsiaTheme="minorEastAsia"/>
          <w:b w:val="0"/>
          <w:noProof/>
          <w:sz w:val="22"/>
          <w:lang w:eastAsia="en-AU"/>
        </w:rPr>
      </w:pPr>
      <w:hyperlink w:anchor="_Toc524419168" w:history="1">
        <w:r w:rsidRPr="003573C0">
          <w:rPr>
            <w:rStyle w:val="Hyperlink"/>
            <w:noProof/>
          </w:rPr>
          <w:t>9.</w:t>
        </w:r>
        <w:r>
          <w:rPr>
            <w:rFonts w:eastAsiaTheme="minorEastAsia"/>
            <w:b w:val="0"/>
            <w:noProof/>
            <w:sz w:val="22"/>
            <w:lang w:eastAsia="en-AU"/>
          </w:rPr>
          <w:tab/>
        </w:r>
        <w:r w:rsidRPr="003573C0">
          <w:rPr>
            <w:rStyle w:val="Hyperlink"/>
            <w:noProof/>
          </w:rPr>
          <w:t>Successful grant applications</w:t>
        </w:r>
        <w:r>
          <w:rPr>
            <w:noProof/>
            <w:webHidden/>
          </w:rPr>
          <w:tab/>
        </w:r>
        <w:r>
          <w:rPr>
            <w:noProof/>
            <w:webHidden/>
          </w:rPr>
          <w:fldChar w:fldCharType="begin"/>
        </w:r>
        <w:r>
          <w:rPr>
            <w:noProof/>
            <w:webHidden/>
          </w:rPr>
          <w:instrText xml:space="preserve"> PAGEREF _Toc524419168 \h </w:instrText>
        </w:r>
        <w:r>
          <w:rPr>
            <w:noProof/>
            <w:webHidden/>
          </w:rPr>
        </w:r>
        <w:r>
          <w:rPr>
            <w:noProof/>
            <w:webHidden/>
          </w:rPr>
          <w:fldChar w:fldCharType="separate"/>
        </w:r>
        <w:r w:rsidR="005454D9">
          <w:rPr>
            <w:noProof/>
            <w:webHidden/>
          </w:rPr>
          <w:t>14</w:t>
        </w:r>
        <w:r>
          <w:rPr>
            <w:noProof/>
            <w:webHidden/>
          </w:rPr>
          <w:fldChar w:fldCharType="end"/>
        </w:r>
      </w:hyperlink>
    </w:p>
    <w:p w14:paraId="5A61F51C" w14:textId="185D9764" w:rsidR="003E050D" w:rsidRDefault="003E050D">
      <w:pPr>
        <w:pStyle w:val="TOC2"/>
        <w:rPr>
          <w:rFonts w:eastAsiaTheme="minorEastAsia"/>
          <w:noProof/>
          <w:lang w:eastAsia="en-AU"/>
        </w:rPr>
      </w:pPr>
      <w:hyperlink w:anchor="_Toc524419169" w:history="1">
        <w:r w:rsidRPr="003573C0">
          <w:rPr>
            <w:rStyle w:val="Hyperlink"/>
            <w:noProof/>
          </w:rPr>
          <w:t>9.1</w:t>
        </w:r>
        <w:r>
          <w:rPr>
            <w:rFonts w:eastAsiaTheme="minorEastAsia"/>
            <w:noProof/>
            <w:lang w:eastAsia="en-AU"/>
          </w:rPr>
          <w:tab/>
        </w:r>
        <w:r w:rsidRPr="003573C0">
          <w:rPr>
            <w:rStyle w:val="Hyperlink"/>
            <w:noProof/>
          </w:rPr>
          <w:t>The grant agreement</w:t>
        </w:r>
        <w:r>
          <w:rPr>
            <w:noProof/>
            <w:webHidden/>
          </w:rPr>
          <w:tab/>
        </w:r>
        <w:r>
          <w:rPr>
            <w:noProof/>
            <w:webHidden/>
          </w:rPr>
          <w:fldChar w:fldCharType="begin"/>
        </w:r>
        <w:r>
          <w:rPr>
            <w:noProof/>
            <w:webHidden/>
          </w:rPr>
          <w:instrText xml:space="preserve"> PAGEREF _Toc524419169 \h </w:instrText>
        </w:r>
        <w:r>
          <w:rPr>
            <w:noProof/>
            <w:webHidden/>
          </w:rPr>
        </w:r>
        <w:r>
          <w:rPr>
            <w:noProof/>
            <w:webHidden/>
          </w:rPr>
          <w:fldChar w:fldCharType="separate"/>
        </w:r>
        <w:r w:rsidR="005454D9">
          <w:rPr>
            <w:noProof/>
            <w:webHidden/>
          </w:rPr>
          <w:t>14</w:t>
        </w:r>
        <w:r>
          <w:rPr>
            <w:noProof/>
            <w:webHidden/>
          </w:rPr>
          <w:fldChar w:fldCharType="end"/>
        </w:r>
      </w:hyperlink>
    </w:p>
    <w:p w14:paraId="7B051AA5" w14:textId="72789A86" w:rsidR="003E050D" w:rsidRDefault="003E050D">
      <w:pPr>
        <w:pStyle w:val="TOC2"/>
        <w:rPr>
          <w:rFonts w:eastAsiaTheme="minorEastAsia"/>
          <w:noProof/>
          <w:lang w:eastAsia="en-AU"/>
        </w:rPr>
      </w:pPr>
      <w:hyperlink w:anchor="_Toc524419170" w:history="1">
        <w:r w:rsidRPr="003573C0">
          <w:rPr>
            <w:rStyle w:val="Hyperlink"/>
            <w:noProof/>
          </w:rPr>
          <w:t>9.2</w:t>
        </w:r>
        <w:r>
          <w:rPr>
            <w:rFonts w:eastAsiaTheme="minorEastAsia"/>
            <w:noProof/>
            <w:lang w:eastAsia="en-AU"/>
          </w:rPr>
          <w:tab/>
        </w:r>
        <w:r w:rsidRPr="003573C0">
          <w:rPr>
            <w:rStyle w:val="Hyperlink"/>
            <w:noProof/>
          </w:rPr>
          <w:t>How the grant will be paid</w:t>
        </w:r>
        <w:r>
          <w:rPr>
            <w:noProof/>
            <w:webHidden/>
          </w:rPr>
          <w:tab/>
        </w:r>
        <w:r>
          <w:rPr>
            <w:noProof/>
            <w:webHidden/>
          </w:rPr>
          <w:fldChar w:fldCharType="begin"/>
        </w:r>
        <w:r>
          <w:rPr>
            <w:noProof/>
            <w:webHidden/>
          </w:rPr>
          <w:instrText xml:space="preserve"> PAGEREF _Toc524419170 \h </w:instrText>
        </w:r>
        <w:r>
          <w:rPr>
            <w:noProof/>
            <w:webHidden/>
          </w:rPr>
        </w:r>
        <w:r>
          <w:rPr>
            <w:noProof/>
            <w:webHidden/>
          </w:rPr>
          <w:fldChar w:fldCharType="separate"/>
        </w:r>
        <w:r w:rsidR="005454D9">
          <w:rPr>
            <w:noProof/>
            <w:webHidden/>
          </w:rPr>
          <w:t>14</w:t>
        </w:r>
        <w:r>
          <w:rPr>
            <w:noProof/>
            <w:webHidden/>
          </w:rPr>
          <w:fldChar w:fldCharType="end"/>
        </w:r>
      </w:hyperlink>
    </w:p>
    <w:p w14:paraId="0DDC263A" w14:textId="2D887521" w:rsidR="003E050D" w:rsidRDefault="003E050D">
      <w:pPr>
        <w:pStyle w:val="TOC2"/>
        <w:rPr>
          <w:rFonts w:eastAsiaTheme="minorEastAsia"/>
          <w:noProof/>
          <w:lang w:eastAsia="en-AU"/>
        </w:rPr>
      </w:pPr>
      <w:hyperlink w:anchor="_Toc524419171" w:history="1">
        <w:r w:rsidRPr="003573C0">
          <w:rPr>
            <w:rStyle w:val="Hyperlink"/>
            <w:noProof/>
          </w:rPr>
          <w:t>9.3</w:t>
        </w:r>
        <w:r>
          <w:rPr>
            <w:rFonts w:eastAsiaTheme="minorEastAsia"/>
            <w:noProof/>
            <w:lang w:eastAsia="en-AU"/>
          </w:rPr>
          <w:tab/>
        </w:r>
        <w:r w:rsidRPr="003573C0">
          <w:rPr>
            <w:rStyle w:val="Hyperlink"/>
            <w:noProof/>
          </w:rPr>
          <w:t>Grant agreement variations</w:t>
        </w:r>
        <w:r>
          <w:rPr>
            <w:noProof/>
            <w:webHidden/>
          </w:rPr>
          <w:tab/>
        </w:r>
        <w:r>
          <w:rPr>
            <w:noProof/>
            <w:webHidden/>
          </w:rPr>
          <w:fldChar w:fldCharType="begin"/>
        </w:r>
        <w:r>
          <w:rPr>
            <w:noProof/>
            <w:webHidden/>
          </w:rPr>
          <w:instrText xml:space="preserve"> PAGEREF _Toc524419171 \h </w:instrText>
        </w:r>
        <w:r>
          <w:rPr>
            <w:noProof/>
            <w:webHidden/>
          </w:rPr>
        </w:r>
        <w:r>
          <w:rPr>
            <w:noProof/>
            <w:webHidden/>
          </w:rPr>
          <w:fldChar w:fldCharType="separate"/>
        </w:r>
        <w:r w:rsidR="005454D9">
          <w:rPr>
            <w:noProof/>
            <w:webHidden/>
          </w:rPr>
          <w:t>15</w:t>
        </w:r>
        <w:r>
          <w:rPr>
            <w:noProof/>
            <w:webHidden/>
          </w:rPr>
          <w:fldChar w:fldCharType="end"/>
        </w:r>
      </w:hyperlink>
    </w:p>
    <w:p w14:paraId="51B34354" w14:textId="5B72F368" w:rsidR="003E050D" w:rsidRDefault="003E050D">
      <w:pPr>
        <w:pStyle w:val="TOC1"/>
        <w:rPr>
          <w:rFonts w:eastAsiaTheme="minorEastAsia"/>
          <w:b w:val="0"/>
          <w:noProof/>
          <w:sz w:val="22"/>
          <w:lang w:eastAsia="en-AU"/>
        </w:rPr>
      </w:pPr>
      <w:hyperlink w:anchor="_Toc524419172" w:history="1">
        <w:r w:rsidRPr="003573C0">
          <w:rPr>
            <w:rStyle w:val="Hyperlink"/>
            <w:noProof/>
          </w:rPr>
          <w:t>10.</w:t>
        </w:r>
        <w:r>
          <w:rPr>
            <w:rFonts w:eastAsiaTheme="minorEastAsia"/>
            <w:b w:val="0"/>
            <w:noProof/>
            <w:sz w:val="22"/>
            <w:lang w:eastAsia="en-AU"/>
          </w:rPr>
          <w:tab/>
        </w:r>
        <w:r w:rsidRPr="003573C0">
          <w:rPr>
            <w:rStyle w:val="Hyperlink"/>
            <w:noProof/>
          </w:rPr>
          <w:t>Announcement of grants</w:t>
        </w:r>
        <w:r>
          <w:rPr>
            <w:noProof/>
            <w:webHidden/>
          </w:rPr>
          <w:tab/>
        </w:r>
        <w:r>
          <w:rPr>
            <w:noProof/>
            <w:webHidden/>
          </w:rPr>
          <w:fldChar w:fldCharType="begin"/>
        </w:r>
        <w:r>
          <w:rPr>
            <w:noProof/>
            <w:webHidden/>
          </w:rPr>
          <w:instrText xml:space="preserve"> PAGEREF _Toc524419172 \h </w:instrText>
        </w:r>
        <w:r>
          <w:rPr>
            <w:noProof/>
            <w:webHidden/>
          </w:rPr>
        </w:r>
        <w:r>
          <w:rPr>
            <w:noProof/>
            <w:webHidden/>
          </w:rPr>
          <w:fldChar w:fldCharType="separate"/>
        </w:r>
        <w:r w:rsidR="005454D9">
          <w:rPr>
            <w:noProof/>
            <w:webHidden/>
          </w:rPr>
          <w:t>15</w:t>
        </w:r>
        <w:r>
          <w:rPr>
            <w:noProof/>
            <w:webHidden/>
          </w:rPr>
          <w:fldChar w:fldCharType="end"/>
        </w:r>
      </w:hyperlink>
    </w:p>
    <w:p w14:paraId="652AD98F" w14:textId="258F1871" w:rsidR="003E050D" w:rsidRDefault="003E050D">
      <w:pPr>
        <w:pStyle w:val="TOC1"/>
        <w:rPr>
          <w:rFonts w:eastAsiaTheme="minorEastAsia"/>
          <w:b w:val="0"/>
          <w:noProof/>
          <w:sz w:val="22"/>
          <w:lang w:eastAsia="en-AU"/>
        </w:rPr>
      </w:pPr>
      <w:hyperlink w:anchor="_Toc524419173" w:history="1">
        <w:r w:rsidRPr="003573C0">
          <w:rPr>
            <w:rStyle w:val="Hyperlink"/>
            <w:noProof/>
          </w:rPr>
          <w:t>11.</w:t>
        </w:r>
        <w:r>
          <w:rPr>
            <w:rFonts w:eastAsiaTheme="minorEastAsia"/>
            <w:b w:val="0"/>
            <w:noProof/>
            <w:sz w:val="22"/>
            <w:lang w:eastAsia="en-AU"/>
          </w:rPr>
          <w:tab/>
        </w:r>
        <w:r w:rsidRPr="003573C0">
          <w:rPr>
            <w:rStyle w:val="Hyperlink"/>
            <w:noProof/>
          </w:rPr>
          <w:t>Delivery of grant activities</w:t>
        </w:r>
        <w:r>
          <w:rPr>
            <w:noProof/>
            <w:webHidden/>
          </w:rPr>
          <w:tab/>
        </w:r>
        <w:r>
          <w:rPr>
            <w:noProof/>
            <w:webHidden/>
          </w:rPr>
          <w:fldChar w:fldCharType="begin"/>
        </w:r>
        <w:r>
          <w:rPr>
            <w:noProof/>
            <w:webHidden/>
          </w:rPr>
          <w:instrText xml:space="preserve"> PAGEREF _Toc524419173 \h </w:instrText>
        </w:r>
        <w:r>
          <w:rPr>
            <w:noProof/>
            <w:webHidden/>
          </w:rPr>
        </w:r>
        <w:r>
          <w:rPr>
            <w:noProof/>
            <w:webHidden/>
          </w:rPr>
          <w:fldChar w:fldCharType="separate"/>
        </w:r>
        <w:r w:rsidR="005454D9">
          <w:rPr>
            <w:noProof/>
            <w:webHidden/>
          </w:rPr>
          <w:t>15</w:t>
        </w:r>
        <w:r>
          <w:rPr>
            <w:noProof/>
            <w:webHidden/>
          </w:rPr>
          <w:fldChar w:fldCharType="end"/>
        </w:r>
      </w:hyperlink>
    </w:p>
    <w:p w14:paraId="37E9404E" w14:textId="69F0A5F0" w:rsidR="003E050D" w:rsidRDefault="003E050D">
      <w:pPr>
        <w:pStyle w:val="TOC2"/>
        <w:rPr>
          <w:rFonts w:eastAsiaTheme="minorEastAsia"/>
          <w:noProof/>
          <w:lang w:eastAsia="en-AU"/>
        </w:rPr>
      </w:pPr>
      <w:hyperlink w:anchor="_Toc524419174" w:history="1">
        <w:r w:rsidRPr="003573C0">
          <w:rPr>
            <w:rStyle w:val="Hyperlink"/>
            <w:noProof/>
          </w:rPr>
          <w:t>11.1</w:t>
        </w:r>
        <w:r>
          <w:rPr>
            <w:rFonts w:eastAsiaTheme="minorEastAsia"/>
            <w:noProof/>
            <w:lang w:eastAsia="en-AU"/>
          </w:rPr>
          <w:tab/>
        </w:r>
        <w:r w:rsidRPr="003573C0">
          <w:rPr>
            <w:rStyle w:val="Hyperlink"/>
            <w:noProof/>
          </w:rPr>
          <w:t>Your responsibilities</w:t>
        </w:r>
        <w:r>
          <w:rPr>
            <w:noProof/>
            <w:webHidden/>
          </w:rPr>
          <w:tab/>
        </w:r>
        <w:r>
          <w:rPr>
            <w:noProof/>
            <w:webHidden/>
          </w:rPr>
          <w:fldChar w:fldCharType="begin"/>
        </w:r>
        <w:r>
          <w:rPr>
            <w:noProof/>
            <w:webHidden/>
          </w:rPr>
          <w:instrText xml:space="preserve"> PAGEREF _Toc524419174 \h </w:instrText>
        </w:r>
        <w:r>
          <w:rPr>
            <w:noProof/>
            <w:webHidden/>
          </w:rPr>
        </w:r>
        <w:r>
          <w:rPr>
            <w:noProof/>
            <w:webHidden/>
          </w:rPr>
          <w:fldChar w:fldCharType="separate"/>
        </w:r>
        <w:r w:rsidR="005454D9">
          <w:rPr>
            <w:noProof/>
            <w:webHidden/>
          </w:rPr>
          <w:t>15</w:t>
        </w:r>
        <w:r>
          <w:rPr>
            <w:noProof/>
            <w:webHidden/>
          </w:rPr>
          <w:fldChar w:fldCharType="end"/>
        </w:r>
      </w:hyperlink>
    </w:p>
    <w:p w14:paraId="0A54C5C2" w14:textId="325AE120" w:rsidR="003E050D" w:rsidRDefault="003E050D">
      <w:pPr>
        <w:pStyle w:val="TOC2"/>
        <w:rPr>
          <w:rFonts w:eastAsiaTheme="minorEastAsia"/>
          <w:noProof/>
          <w:lang w:eastAsia="en-AU"/>
        </w:rPr>
      </w:pPr>
      <w:hyperlink w:anchor="_Toc524419175" w:history="1">
        <w:r w:rsidRPr="003573C0">
          <w:rPr>
            <w:rStyle w:val="Hyperlink"/>
            <w:noProof/>
          </w:rPr>
          <w:t>11.2</w:t>
        </w:r>
        <w:r>
          <w:rPr>
            <w:rFonts w:eastAsiaTheme="minorEastAsia"/>
            <w:noProof/>
            <w:lang w:eastAsia="en-AU"/>
          </w:rPr>
          <w:tab/>
        </w:r>
        <w:r w:rsidRPr="003573C0">
          <w:rPr>
            <w:rStyle w:val="Hyperlink"/>
            <w:noProof/>
          </w:rPr>
          <w:t>The Community Grants Hub’s responsibilities</w:t>
        </w:r>
        <w:r>
          <w:rPr>
            <w:noProof/>
            <w:webHidden/>
          </w:rPr>
          <w:tab/>
        </w:r>
        <w:r>
          <w:rPr>
            <w:noProof/>
            <w:webHidden/>
          </w:rPr>
          <w:fldChar w:fldCharType="begin"/>
        </w:r>
        <w:r>
          <w:rPr>
            <w:noProof/>
            <w:webHidden/>
          </w:rPr>
          <w:instrText xml:space="preserve"> PAGEREF _Toc524419175 \h </w:instrText>
        </w:r>
        <w:r>
          <w:rPr>
            <w:noProof/>
            <w:webHidden/>
          </w:rPr>
        </w:r>
        <w:r>
          <w:rPr>
            <w:noProof/>
            <w:webHidden/>
          </w:rPr>
          <w:fldChar w:fldCharType="separate"/>
        </w:r>
        <w:r w:rsidR="005454D9">
          <w:rPr>
            <w:noProof/>
            <w:webHidden/>
          </w:rPr>
          <w:t>15</w:t>
        </w:r>
        <w:r>
          <w:rPr>
            <w:noProof/>
            <w:webHidden/>
          </w:rPr>
          <w:fldChar w:fldCharType="end"/>
        </w:r>
      </w:hyperlink>
    </w:p>
    <w:p w14:paraId="713359A6" w14:textId="0B0AF41E" w:rsidR="003E050D" w:rsidRDefault="003E050D">
      <w:pPr>
        <w:pStyle w:val="TOC2"/>
        <w:rPr>
          <w:rFonts w:eastAsiaTheme="minorEastAsia"/>
          <w:noProof/>
          <w:lang w:eastAsia="en-AU"/>
        </w:rPr>
      </w:pPr>
      <w:hyperlink w:anchor="_Toc524419176" w:history="1">
        <w:r w:rsidRPr="003573C0">
          <w:rPr>
            <w:rStyle w:val="Hyperlink"/>
            <w:noProof/>
          </w:rPr>
          <w:t>11.3</w:t>
        </w:r>
        <w:r>
          <w:rPr>
            <w:rFonts w:eastAsiaTheme="minorEastAsia"/>
            <w:noProof/>
            <w:lang w:eastAsia="en-AU"/>
          </w:rPr>
          <w:tab/>
        </w:r>
        <w:r w:rsidRPr="003573C0">
          <w:rPr>
            <w:rStyle w:val="Hyperlink"/>
            <w:noProof/>
          </w:rPr>
          <w:t>Grant payments and GST</w:t>
        </w:r>
        <w:r>
          <w:rPr>
            <w:noProof/>
            <w:webHidden/>
          </w:rPr>
          <w:tab/>
        </w:r>
        <w:r>
          <w:rPr>
            <w:noProof/>
            <w:webHidden/>
          </w:rPr>
          <w:fldChar w:fldCharType="begin"/>
        </w:r>
        <w:r>
          <w:rPr>
            <w:noProof/>
            <w:webHidden/>
          </w:rPr>
          <w:instrText xml:space="preserve"> PAGEREF _Toc524419176 \h </w:instrText>
        </w:r>
        <w:r>
          <w:rPr>
            <w:noProof/>
            <w:webHidden/>
          </w:rPr>
        </w:r>
        <w:r>
          <w:rPr>
            <w:noProof/>
            <w:webHidden/>
          </w:rPr>
          <w:fldChar w:fldCharType="separate"/>
        </w:r>
        <w:r w:rsidR="005454D9">
          <w:rPr>
            <w:noProof/>
            <w:webHidden/>
          </w:rPr>
          <w:t>16</w:t>
        </w:r>
        <w:r>
          <w:rPr>
            <w:noProof/>
            <w:webHidden/>
          </w:rPr>
          <w:fldChar w:fldCharType="end"/>
        </w:r>
      </w:hyperlink>
    </w:p>
    <w:p w14:paraId="5A031BA8" w14:textId="4E8C0FA1" w:rsidR="003E050D" w:rsidRDefault="003E050D">
      <w:pPr>
        <w:pStyle w:val="TOC2"/>
        <w:rPr>
          <w:rFonts w:eastAsiaTheme="minorEastAsia"/>
          <w:noProof/>
          <w:lang w:eastAsia="en-AU"/>
        </w:rPr>
      </w:pPr>
      <w:hyperlink w:anchor="_Toc524419177" w:history="1">
        <w:r w:rsidRPr="003573C0">
          <w:rPr>
            <w:rStyle w:val="Hyperlink"/>
            <w:noProof/>
          </w:rPr>
          <w:t>11.4</w:t>
        </w:r>
        <w:r>
          <w:rPr>
            <w:rFonts w:eastAsiaTheme="minorEastAsia"/>
            <w:noProof/>
            <w:lang w:eastAsia="en-AU"/>
          </w:rPr>
          <w:tab/>
        </w:r>
        <w:r w:rsidRPr="003573C0">
          <w:rPr>
            <w:rStyle w:val="Hyperlink"/>
            <w:noProof/>
          </w:rPr>
          <w:t>Reporting</w:t>
        </w:r>
        <w:r>
          <w:rPr>
            <w:noProof/>
            <w:webHidden/>
          </w:rPr>
          <w:tab/>
        </w:r>
        <w:r>
          <w:rPr>
            <w:noProof/>
            <w:webHidden/>
          </w:rPr>
          <w:fldChar w:fldCharType="begin"/>
        </w:r>
        <w:r>
          <w:rPr>
            <w:noProof/>
            <w:webHidden/>
          </w:rPr>
          <w:instrText xml:space="preserve"> PAGEREF _Toc524419177 \h </w:instrText>
        </w:r>
        <w:r>
          <w:rPr>
            <w:noProof/>
            <w:webHidden/>
          </w:rPr>
        </w:r>
        <w:r>
          <w:rPr>
            <w:noProof/>
            <w:webHidden/>
          </w:rPr>
          <w:fldChar w:fldCharType="separate"/>
        </w:r>
        <w:r w:rsidR="005454D9">
          <w:rPr>
            <w:noProof/>
            <w:webHidden/>
          </w:rPr>
          <w:t>16</w:t>
        </w:r>
        <w:r>
          <w:rPr>
            <w:noProof/>
            <w:webHidden/>
          </w:rPr>
          <w:fldChar w:fldCharType="end"/>
        </w:r>
      </w:hyperlink>
    </w:p>
    <w:p w14:paraId="4448DAAA" w14:textId="38980239" w:rsidR="003E050D" w:rsidRDefault="003E050D">
      <w:pPr>
        <w:pStyle w:val="TOC2"/>
        <w:rPr>
          <w:rFonts w:eastAsiaTheme="minorEastAsia"/>
          <w:noProof/>
          <w:lang w:eastAsia="en-AU"/>
        </w:rPr>
      </w:pPr>
      <w:hyperlink w:anchor="_Toc524419178" w:history="1">
        <w:r w:rsidRPr="003573C0">
          <w:rPr>
            <w:rStyle w:val="Hyperlink"/>
            <w:noProof/>
          </w:rPr>
          <w:t>11.5</w:t>
        </w:r>
        <w:r>
          <w:rPr>
            <w:rFonts w:eastAsiaTheme="minorEastAsia"/>
            <w:noProof/>
            <w:lang w:eastAsia="en-AU"/>
          </w:rPr>
          <w:tab/>
        </w:r>
        <w:r w:rsidRPr="003573C0">
          <w:rPr>
            <w:rStyle w:val="Hyperlink"/>
            <w:noProof/>
          </w:rPr>
          <w:t>Evaluation</w:t>
        </w:r>
        <w:r>
          <w:rPr>
            <w:noProof/>
            <w:webHidden/>
          </w:rPr>
          <w:tab/>
        </w:r>
        <w:r>
          <w:rPr>
            <w:noProof/>
            <w:webHidden/>
          </w:rPr>
          <w:fldChar w:fldCharType="begin"/>
        </w:r>
        <w:r>
          <w:rPr>
            <w:noProof/>
            <w:webHidden/>
          </w:rPr>
          <w:instrText xml:space="preserve"> PAGEREF _Toc524419178 \h </w:instrText>
        </w:r>
        <w:r>
          <w:rPr>
            <w:noProof/>
            <w:webHidden/>
          </w:rPr>
        </w:r>
        <w:r>
          <w:rPr>
            <w:noProof/>
            <w:webHidden/>
          </w:rPr>
          <w:fldChar w:fldCharType="separate"/>
        </w:r>
        <w:r w:rsidR="005454D9">
          <w:rPr>
            <w:noProof/>
            <w:webHidden/>
          </w:rPr>
          <w:t>16</w:t>
        </w:r>
        <w:r>
          <w:rPr>
            <w:noProof/>
            <w:webHidden/>
          </w:rPr>
          <w:fldChar w:fldCharType="end"/>
        </w:r>
      </w:hyperlink>
    </w:p>
    <w:p w14:paraId="39F99568" w14:textId="44B83C5C" w:rsidR="003E050D" w:rsidRDefault="003E050D">
      <w:pPr>
        <w:pStyle w:val="TOC2"/>
        <w:rPr>
          <w:rFonts w:eastAsiaTheme="minorEastAsia"/>
          <w:noProof/>
          <w:lang w:eastAsia="en-AU"/>
        </w:rPr>
      </w:pPr>
      <w:hyperlink w:anchor="_Toc524419179" w:history="1">
        <w:r w:rsidRPr="003573C0">
          <w:rPr>
            <w:rStyle w:val="Hyperlink"/>
            <w:noProof/>
          </w:rPr>
          <w:t>11.6</w:t>
        </w:r>
        <w:r>
          <w:rPr>
            <w:rFonts w:eastAsiaTheme="minorEastAsia"/>
            <w:noProof/>
            <w:lang w:eastAsia="en-AU"/>
          </w:rPr>
          <w:tab/>
        </w:r>
        <w:r w:rsidRPr="003573C0">
          <w:rPr>
            <w:rStyle w:val="Hyperlink"/>
            <w:noProof/>
          </w:rPr>
          <w:t>Acknowledgement</w:t>
        </w:r>
        <w:r>
          <w:rPr>
            <w:noProof/>
            <w:webHidden/>
          </w:rPr>
          <w:tab/>
        </w:r>
        <w:r>
          <w:rPr>
            <w:noProof/>
            <w:webHidden/>
          </w:rPr>
          <w:fldChar w:fldCharType="begin"/>
        </w:r>
        <w:r>
          <w:rPr>
            <w:noProof/>
            <w:webHidden/>
          </w:rPr>
          <w:instrText xml:space="preserve"> PAGEREF _Toc524419179 \h </w:instrText>
        </w:r>
        <w:r>
          <w:rPr>
            <w:noProof/>
            <w:webHidden/>
          </w:rPr>
        </w:r>
        <w:r>
          <w:rPr>
            <w:noProof/>
            <w:webHidden/>
          </w:rPr>
          <w:fldChar w:fldCharType="separate"/>
        </w:r>
        <w:r w:rsidR="005454D9">
          <w:rPr>
            <w:noProof/>
            <w:webHidden/>
          </w:rPr>
          <w:t>17</w:t>
        </w:r>
        <w:r>
          <w:rPr>
            <w:noProof/>
            <w:webHidden/>
          </w:rPr>
          <w:fldChar w:fldCharType="end"/>
        </w:r>
      </w:hyperlink>
    </w:p>
    <w:p w14:paraId="36E594F8" w14:textId="25C964ED" w:rsidR="003E050D" w:rsidRDefault="003E050D">
      <w:pPr>
        <w:pStyle w:val="TOC2"/>
        <w:rPr>
          <w:rFonts w:eastAsiaTheme="minorEastAsia"/>
          <w:noProof/>
          <w:lang w:eastAsia="en-AU"/>
        </w:rPr>
      </w:pPr>
      <w:hyperlink w:anchor="_Toc524419180" w:history="1">
        <w:r w:rsidRPr="003573C0">
          <w:rPr>
            <w:rStyle w:val="Hyperlink"/>
            <w:noProof/>
          </w:rPr>
          <w:t>11.7</w:t>
        </w:r>
        <w:r>
          <w:rPr>
            <w:rFonts w:eastAsiaTheme="minorEastAsia"/>
            <w:noProof/>
            <w:lang w:eastAsia="en-AU"/>
          </w:rPr>
          <w:tab/>
        </w:r>
        <w:r w:rsidRPr="003573C0">
          <w:rPr>
            <w:rStyle w:val="Hyperlink"/>
            <w:noProof/>
          </w:rPr>
          <w:t>Multicultural Access and Equity</w:t>
        </w:r>
        <w:r>
          <w:rPr>
            <w:noProof/>
            <w:webHidden/>
          </w:rPr>
          <w:tab/>
        </w:r>
        <w:r>
          <w:rPr>
            <w:noProof/>
            <w:webHidden/>
          </w:rPr>
          <w:fldChar w:fldCharType="begin"/>
        </w:r>
        <w:r>
          <w:rPr>
            <w:noProof/>
            <w:webHidden/>
          </w:rPr>
          <w:instrText xml:space="preserve"> PAGEREF _Toc524419180 \h </w:instrText>
        </w:r>
        <w:r>
          <w:rPr>
            <w:noProof/>
            <w:webHidden/>
          </w:rPr>
        </w:r>
        <w:r>
          <w:rPr>
            <w:noProof/>
            <w:webHidden/>
          </w:rPr>
          <w:fldChar w:fldCharType="separate"/>
        </w:r>
        <w:r w:rsidR="005454D9">
          <w:rPr>
            <w:noProof/>
            <w:webHidden/>
          </w:rPr>
          <w:t>17</w:t>
        </w:r>
        <w:r>
          <w:rPr>
            <w:noProof/>
            <w:webHidden/>
          </w:rPr>
          <w:fldChar w:fldCharType="end"/>
        </w:r>
      </w:hyperlink>
    </w:p>
    <w:p w14:paraId="2090ADEF" w14:textId="1D452FBA" w:rsidR="003E050D" w:rsidRDefault="003E050D">
      <w:pPr>
        <w:pStyle w:val="TOC1"/>
        <w:rPr>
          <w:rFonts w:eastAsiaTheme="minorEastAsia"/>
          <w:b w:val="0"/>
          <w:noProof/>
          <w:sz w:val="22"/>
          <w:lang w:eastAsia="en-AU"/>
        </w:rPr>
      </w:pPr>
      <w:hyperlink w:anchor="_Toc524419181" w:history="1">
        <w:r w:rsidRPr="003573C0">
          <w:rPr>
            <w:rStyle w:val="Hyperlink"/>
            <w:noProof/>
          </w:rPr>
          <w:t>12.</w:t>
        </w:r>
        <w:r>
          <w:rPr>
            <w:rFonts w:eastAsiaTheme="minorEastAsia"/>
            <w:b w:val="0"/>
            <w:noProof/>
            <w:sz w:val="22"/>
            <w:lang w:eastAsia="en-AU"/>
          </w:rPr>
          <w:tab/>
        </w:r>
        <w:r w:rsidRPr="003573C0">
          <w:rPr>
            <w:rStyle w:val="Hyperlink"/>
            <w:noProof/>
          </w:rPr>
          <w:t>Probity</w:t>
        </w:r>
        <w:r>
          <w:rPr>
            <w:noProof/>
            <w:webHidden/>
          </w:rPr>
          <w:tab/>
        </w:r>
        <w:r>
          <w:rPr>
            <w:noProof/>
            <w:webHidden/>
          </w:rPr>
          <w:fldChar w:fldCharType="begin"/>
        </w:r>
        <w:r>
          <w:rPr>
            <w:noProof/>
            <w:webHidden/>
          </w:rPr>
          <w:instrText xml:space="preserve"> PAGEREF _Toc524419181 \h </w:instrText>
        </w:r>
        <w:r>
          <w:rPr>
            <w:noProof/>
            <w:webHidden/>
          </w:rPr>
        </w:r>
        <w:r>
          <w:rPr>
            <w:noProof/>
            <w:webHidden/>
          </w:rPr>
          <w:fldChar w:fldCharType="separate"/>
        </w:r>
        <w:r w:rsidR="005454D9">
          <w:rPr>
            <w:noProof/>
            <w:webHidden/>
          </w:rPr>
          <w:t>17</w:t>
        </w:r>
        <w:r>
          <w:rPr>
            <w:noProof/>
            <w:webHidden/>
          </w:rPr>
          <w:fldChar w:fldCharType="end"/>
        </w:r>
      </w:hyperlink>
    </w:p>
    <w:p w14:paraId="696D7A5F" w14:textId="215A8CBD" w:rsidR="003E050D" w:rsidRDefault="003E050D">
      <w:pPr>
        <w:pStyle w:val="TOC2"/>
        <w:rPr>
          <w:rFonts w:eastAsiaTheme="minorEastAsia"/>
          <w:noProof/>
          <w:lang w:eastAsia="en-AU"/>
        </w:rPr>
      </w:pPr>
      <w:hyperlink w:anchor="_Toc524419182" w:history="1">
        <w:r w:rsidRPr="003573C0">
          <w:rPr>
            <w:rStyle w:val="Hyperlink"/>
            <w:noProof/>
          </w:rPr>
          <w:t>12.1</w:t>
        </w:r>
        <w:r>
          <w:rPr>
            <w:rFonts w:eastAsiaTheme="minorEastAsia"/>
            <w:noProof/>
            <w:lang w:eastAsia="en-AU"/>
          </w:rPr>
          <w:tab/>
        </w:r>
        <w:r w:rsidRPr="003573C0">
          <w:rPr>
            <w:rStyle w:val="Hyperlink"/>
            <w:noProof/>
          </w:rPr>
          <w:t>Complaints process</w:t>
        </w:r>
        <w:r>
          <w:rPr>
            <w:noProof/>
            <w:webHidden/>
          </w:rPr>
          <w:tab/>
        </w:r>
        <w:r>
          <w:rPr>
            <w:noProof/>
            <w:webHidden/>
          </w:rPr>
          <w:fldChar w:fldCharType="begin"/>
        </w:r>
        <w:r>
          <w:rPr>
            <w:noProof/>
            <w:webHidden/>
          </w:rPr>
          <w:instrText xml:space="preserve"> PAGEREF _Toc524419182 \h </w:instrText>
        </w:r>
        <w:r>
          <w:rPr>
            <w:noProof/>
            <w:webHidden/>
          </w:rPr>
        </w:r>
        <w:r>
          <w:rPr>
            <w:noProof/>
            <w:webHidden/>
          </w:rPr>
          <w:fldChar w:fldCharType="separate"/>
        </w:r>
        <w:r w:rsidR="005454D9">
          <w:rPr>
            <w:noProof/>
            <w:webHidden/>
          </w:rPr>
          <w:t>17</w:t>
        </w:r>
        <w:r>
          <w:rPr>
            <w:noProof/>
            <w:webHidden/>
          </w:rPr>
          <w:fldChar w:fldCharType="end"/>
        </w:r>
      </w:hyperlink>
    </w:p>
    <w:p w14:paraId="27FC7278" w14:textId="0D45C1E9" w:rsidR="003E050D" w:rsidRDefault="003E050D">
      <w:pPr>
        <w:pStyle w:val="TOC2"/>
        <w:rPr>
          <w:rFonts w:eastAsiaTheme="minorEastAsia"/>
          <w:noProof/>
          <w:lang w:eastAsia="en-AU"/>
        </w:rPr>
      </w:pPr>
      <w:hyperlink w:anchor="_Toc524419183" w:history="1">
        <w:r w:rsidRPr="003573C0">
          <w:rPr>
            <w:rStyle w:val="Hyperlink"/>
            <w:noProof/>
          </w:rPr>
          <w:t>12.2</w:t>
        </w:r>
        <w:r>
          <w:rPr>
            <w:rFonts w:eastAsiaTheme="minorEastAsia"/>
            <w:noProof/>
            <w:lang w:eastAsia="en-AU"/>
          </w:rPr>
          <w:tab/>
        </w:r>
        <w:r w:rsidRPr="003573C0">
          <w:rPr>
            <w:rStyle w:val="Hyperlink"/>
            <w:noProof/>
          </w:rPr>
          <w:t>Conflict of interest</w:t>
        </w:r>
        <w:r>
          <w:rPr>
            <w:noProof/>
            <w:webHidden/>
          </w:rPr>
          <w:tab/>
        </w:r>
        <w:r>
          <w:rPr>
            <w:noProof/>
            <w:webHidden/>
          </w:rPr>
          <w:fldChar w:fldCharType="begin"/>
        </w:r>
        <w:r>
          <w:rPr>
            <w:noProof/>
            <w:webHidden/>
          </w:rPr>
          <w:instrText xml:space="preserve"> PAGEREF _Toc524419183 \h </w:instrText>
        </w:r>
        <w:r>
          <w:rPr>
            <w:noProof/>
            <w:webHidden/>
          </w:rPr>
        </w:r>
        <w:r>
          <w:rPr>
            <w:noProof/>
            <w:webHidden/>
          </w:rPr>
          <w:fldChar w:fldCharType="separate"/>
        </w:r>
        <w:r w:rsidR="005454D9">
          <w:rPr>
            <w:noProof/>
            <w:webHidden/>
          </w:rPr>
          <w:t>18</w:t>
        </w:r>
        <w:r>
          <w:rPr>
            <w:noProof/>
            <w:webHidden/>
          </w:rPr>
          <w:fldChar w:fldCharType="end"/>
        </w:r>
      </w:hyperlink>
    </w:p>
    <w:p w14:paraId="1AC024E9" w14:textId="781EB9E7" w:rsidR="003E050D" w:rsidRDefault="003E050D">
      <w:pPr>
        <w:pStyle w:val="TOC2"/>
        <w:rPr>
          <w:rFonts w:eastAsiaTheme="minorEastAsia"/>
          <w:noProof/>
          <w:lang w:eastAsia="en-AU"/>
        </w:rPr>
      </w:pPr>
      <w:hyperlink w:anchor="_Toc524419184" w:history="1">
        <w:r w:rsidRPr="003573C0">
          <w:rPr>
            <w:rStyle w:val="Hyperlink"/>
            <w:noProof/>
          </w:rPr>
          <w:t>12.3</w:t>
        </w:r>
        <w:r>
          <w:rPr>
            <w:rFonts w:eastAsiaTheme="minorEastAsia"/>
            <w:noProof/>
            <w:lang w:eastAsia="en-AU"/>
          </w:rPr>
          <w:tab/>
        </w:r>
        <w:r w:rsidRPr="003573C0">
          <w:rPr>
            <w:rStyle w:val="Hyperlink"/>
            <w:noProof/>
          </w:rPr>
          <w:t>Privacy: confidentiality and protection of personal information</w:t>
        </w:r>
        <w:r>
          <w:rPr>
            <w:noProof/>
            <w:webHidden/>
          </w:rPr>
          <w:tab/>
        </w:r>
        <w:r>
          <w:rPr>
            <w:noProof/>
            <w:webHidden/>
          </w:rPr>
          <w:fldChar w:fldCharType="begin"/>
        </w:r>
        <w:r>
          <w:rPr>
            <w:noProof/>
            <w:webHidden/>
          </w:rPr>
          <w:instrText xml:space="preserve"> PAGEREF _Toc524419184 \h </w:instrText>
        </w:r>
        <w:r>
          <w:rPr>
            <w:noProof/>
            <w:webHidden/>
          </w:rPr>
        </w:r>
        <w:r>
          <w:rPr>
            <w:noProof/>
            <w:webHidden/>
          </w:rPr>
          <w:fldChar w:fldCharType="separate"/>
        </w:r>
        <w:r w:rsidR="005454D9">
          <w:rPr>
            <w:noProof/>
            <w:webHidden/>
          </w:rPr>
          <w:t>18</w:t>
        </w:r>
        <w:r>
          <w:rPr>
            <w:noProof/>
            <w:webHidden/>
          </w:rPr>
          <w:fldChar w:fldCharType="end"/>
        </w:r>
      </w:hyperlink>
    </w:p>
    <w:p w14:paraId="5854C4C7" w14:textId="12833E37" w:rsidR="003E050D" w:rsidRDefault="003E050D">
      <w:pPr>
        <w:pStyle w:val="TOC2"/>
        <w:rPr>
          <w:rFonts w:eastAsiaTheme="minorEastAsia"/>
          <w:noProof/>
          <w:lang w:eastAsia="en-AU"/>
        </w:rPr>
      </w:pPr>
      <w:hyperlink w:anchor="_Toc524419185" w:history="1">
        <w:r w:rsidRPr="003573C0">
          <w:rPr>
            <w:rStyle w:val="Hyperlink"/>
            <w:noProof/>
          </w:rPr>
          <w:t>12.4</w:t>
        </w:r>
        <w:r>
          <w:rPr>
            <w:rFonts w:eastAsiaTheme="minorEastAsia"/>
            <w:noProof/>
            <w:lang w:eastAsia="en-AU"/>
          </w:rPr>
          <w:tab/>
        </w:r>
        <w:r w:rsidRPr="003573C0">
          <w:rPr>
            <w:rStyle w:val="Hyperlink"/>
            <w:noProof/>
          </w:rPr>
          <w:t>Freedom of information</w:t>
        </w:r>
        <w:r>
          <w:rPr>
            <w:noProof/>
            <w:webHidden/>
          </w:rPr>
          <w:tab/>
        </w:r>
        <w:r>
          <w:rPr>
            <w:noProof/>
            <w:webHidden/>
          </w:rPr>
          <w:fldChar w:fldCharType="begin"/>
        </w:r>
        <w:r>
          <w:rPr>
            <w:noProof/>
            <w:webHidden/>
          </w:rPr>
          <w:instrText xml:space="preserve"> PAGEREF _Toc524419185 \h </w:instrText>
        </w:r>
        <w:r>
          <w:rPr>
            <w:noProof/>
            <w:webHidden/>
          </w:rPr>
        </w:r>
        <w:r>
          <w:rPr>
            <w:noProof/>
            <w:webHidden/>
          </w:rPr>
          <w:fldChar w:fldCharType="separate"/>
        </w:r>
        <w:r w:rsidR="005454D9">
          <w:rPr>
            <w:noProof/>
            <w:webHidden/>
          </w:rPr>
          <w:t>20</w:t>
        </w:r>
        <w:r>
          <w:rPr>
            <w:noProof/>
            <w:webHidden/>
          </w:rPr>
          <w:fldChar w:fldCharType="end"/>
        </w:r>
      </w:hyperlink>
    </w:p>
    <w:p w14:paraId="470DE0BB" w14:textId="3FF516C9" w:rsidR="003E050D" w:rsidRDefault="003E050D">
      <w:pPr>
        <w:pStyle w:val="TOC1"/>
        <w:rPr>
          <w:rFonts w:eastAsiaTheme="minorEastAsia"/>
          <w:b w:val="0"/>
          <w:noProof/>
          <w:sz w:val="22"/>
          <w:lang w:eastAsia="en-AU"/>
        </w:rPr>
      </w:pPr>
      <w:hyperlink w:anchor="_Toc524419186" w:history="1">
        <w:r w:rsidRPr="003573C0">
          <w:rPr>
            <w:rStyle w:val="Hyperlink"/>
            <w:noProof/>
          </w:rPr>
          <w:t>13.</w:t>
        </w:r>
        <w:r>
          <w:rPr>
            <w:rFonts w:eastAsiaTheme="minorEastAsia"/>
            <w:b w:val="0"/>
            <w:noProof/>
            <w:sz w:val="22"/>
            <w:lang w:eastAsia="en-AU"/>
          </w:rPr>
          <w:tab/>
        </w:r>
        <w:r w:rsidRPr="003573C0">
          <w:rPr>
            <w:rStyle w:val="Hyperlink"/>
            <w:noProof/>
          </w:rPr>
          <w:t>Glossary</w:t>
        </w:r>
        <w:r>
          <w:rPr>
            <w:noProof/>
            <w:webHidden/>
          </w:rPr>
          <w:tab/>
        </w:r>
        <w:r>
          <w:rPr>
            <w:noProof/>
            <w:webHidden/>
          </w:rPr>
          <w:fldChar w:fldCharType="begin"/>
        </w:r>
        <w:r>
          <w:rPr>
            <w:noProof/>
            <w:webHidden/>
          </w:rPr>
          <w:instrText xml:space="preserve"> PAGEREF _Toc524419186 \h </w:instrText>
        </w:r>
        <w:r>
          <w:rPr>
            <w:noProof/>
            <w:webHidden/>
          </w:rPr>
        </w:r>
        <w:r>
          <w:rPr>
            <w:noProof/>
            <w:webHidden/>
          </w:rPr>
          <w:fldChar w:fldCharType="separate"/>
        </w:r>
        <w:r w:rsidR="005454D9">
          <w:rPr>
            <w:noProof/>
            <w:webHidden/>
          </w:rPr>
          <w:t>21</w:t>
        </w:r>
        <w:r>
          <w:rPr>
            <w:noProof/>
            <w:webHidden/>
          </w:rPr>
          <w:fldChar w:fldCharType="end"/>
        </w:r>
      </w:hyperlink>
    </w:p>
    <w:p w14:paraId="6B2522C7" w14:textId="725CA511" w:rsidR="00934587" w:rsidRDefault="0020122A" w:rsidP="00CC2AA4">
      <w:r>
        <w:fldChar w:fldCharType="end"/>
      </w:r>
    </w:p>
    <w:p w14:paraId="54FBC739" w14:textId="0C32266B" w:rsidR="006A3011" w:rsidRDefault="006A3011">
      <w:pPr>
        <w:suppressAutoHyphens w:val="0"/>
        <w:spacing w:before="0" w:after="120" w:line="440" w:lineRule="atLeast"/>
      </w:pPr>
      <w:r>
        <w:br w:type="page"/>
      </w:r>
    </w:p>
    <w:p w14:paraId="7AF89A4E" w14:textId="77777777" w:rsidR="00EC595A" w:rsidRDefault="00EC595A" w:rsidP="00CC2AA4"/>
    <w:p w14:paraId="3DA73C5C" w14:textId="4CAEA9FD" w:rsidR="007A25F0" w:rsidRPr="00EC595A" w:rsidRDefault="00726710" w:rsidP="00EC595A">
      <w:pPr>
        <w:pBdr>
          <w:bottom w:val="single" w:sz="4" w:space="1" w:color="auto"/>
        </w:pBdr>
        <w:rPr>
          <w:b/>
          <w:color w:val="745B00"/>
        </w:rPr>
      </w:pPr>
      <w:r w:rsidRPr="00934587">
        <w:rPr>
          <w:b/>
          <w:color w:val="745B00"/>
        </w:rPr>
        <w:t>Introduction</w:t>
      </w:r>
    </w:p>
    <w:p w14:paraId="2E901625" w14:textId="3C80E446" w:rsidR="00EE2B1C" w:rsidRPr="00F40BDA" w:rsidRDefault="004F1424" w:rsidP="00EE2B1C">
      <w:pPr>
        <w:pStyle w:val="Heading1Numbered"/>
      </w:pPr>
      <w:bookmarkStart w:id="1" w:name="_Toc458420391"/>
      <w:bookmarkStart w:id="2" w:name="_Toc467773950"/>
      <w:bookmarkStart w:id="3" w:name="_Toc524419144"/>
      <w:r w:rsidRPr="00840916">
        <w:rPr>
          <w:color w:val="auto"/>
        </w:rPr>
        <w:t>Strong and Resilient</w:t>
      </w:r>
      <w:r w:rsidRPr="004F1424">
        <w:rPr>
          <w:color w:val="auto"/>
        </w:rPr>
        <w:t xml:space="preserve"> Communities</w:t>
      </w:r>
      <w:r w:rsidR="00EE2B1C" w:rsidRPr="004F1424">
        <w:rPr>
          <w:color w:val="auto"/>
        </w:rPr>
        <w:t xml:space="preserve">: </w:t>
      </w:r>
      <w:r w:rsidRPr="004F1424">
        <w:rPr>
          <w:color w:val="auto"/>
        </w:rPr>
        <w:t>Inclusive Communities</w:t>
      </w:r>
      <w:r w:rsidR="00EE2B1C" w:rsidRPr="004F1424">
        <w:rPr>
          <w:color w:val="auto"/>
        </w:rPr>
        <w:t xml:space="preserve"> </w:t>
      </w:r>
      <w:r w:rsidR="00EE2B1C" w:rsidRPr="00F40BDA">
        <w:t>Process</w:t>
      </w:r>
      <w:r w:rsidR="00EE2B1C">
        <w:t>es</w:t>
      </w:r>
      <w:bookmarkEnd w:id="1"/>
      <w:bookmarkEnd w:id="2"/>
      <w:bookmarkEnd w:id="3"/>
    </w:p>
    <w:p w14:paraId="017D5CDD"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416039F1" w14:textId="1C2F9D90" w:rsidR="00EE2B1C" w:rsidRDefault="00EE2B1C" w:rsidP="00407F61">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Grant </w:t>
      </w:r>
      <w:proofErr w:type="gramStart"/>
      <w:r>
        <w:t>Program which</w:t>
      </w:r>
      <w:proofErr w:type="gramEnd"/>
      <w:r>
        <w:t xml:space="preserve"> contributes </w:t>
      </w:r>
      <w:r w:rsidRPr="00407F61">
        <w:t xml:space="preserve">to </w:t>
      </w:r>
      <w:r w:rsidR="00411B06" w:rsidRPr="00407F61">
        <w:t xml:space="preserve">Department of Social Services </w:t>
      </w:r>
      <w:r w:rsidRPr="00407F61">
        <w:t xml:space="preserve">Outcome </w:t>
      </w:r>
      <w:r w:rsidR="00411B06" w:rsidRPr="00407F61">
        <w:t>2</w:t>
      </w:r>
      <w:r w:rsidR="00407F61">
        <w:t>.1 Families and Communities</w:t>
      </w:r>
      <w:r w:rsidRPr="00407F61">
        <w:t xml:space="preserve">. The </w:t>
      </w:r>
      <w:r w:rsidR="00411B06" w:rsidRPr="00407F61">
        <w:t xml:space="preserve">Department of Social Services </w:t>
      </w:r>
      <w:r w:rsidRPr="00F40BDA">
        <w:t xml:space="preserve">works with stakeholders 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Pr="00F40BDA">
        <w:t>.</w:t>
      </w:r>
    </w:p>
    <w:p w14:paraId="239B9A1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3F50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28B9A4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8" w:history="1">
        <w:proofErr w:type="spellStart"/>
        <w:r w:rsidRPr="00566242">
          <w:rPr>
            <w:rStyle w:val="Hyperlink"/>
            <w:rFonts w:cstheme="minorBidi"/>
          </w:rPr>
          <w:t>GrantConnect</w:t>
        </w:r>
        <w:proofErr w:type="spellEnd"/>
      </w:hyperlink>
      <w:r w:rsidR="00BD1DD2">
        <w:t xml:space="preserve"> and </w:t>
      </w:r>
      <w:hyperlink r:id="rId9" w:history="1">
        <w:r w:rsidR="00BD1DD2" w:rsidRPr="00566242">
          <w:rPr>
            <w:rStyle w:val="Hyperlink"/>
            <w:rFonts w:cstheme="minorBidi"/>
          </w:rPr>
          <w:t>Community Grants Hub</w:t>
        </w:r>
      </w:hyperlink>
      <w:r w:rsidR="00BD1DD2">
        <w:t xml:space="preserve"> websites</w:t>
      </w:r>
      <w:r>
        <w:t xml:space="preserve">. </w:t>
      </w:r>
    </w:p>
    <w:p w14:paraId="30AA91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A96F154" w14:textId="5E672298"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840916">
        <w:rPr>
          <w:b/>
        </w:rPr>
        <w:t>service delivery plan, which forms your</w:t>
      </w:r>
      <w:r w:rsidRPr="00947729">
        <w:rPr>
          <w:b/>
        </w:rPr>
        <w:t xml:space="preserve"> application</w:t>
      </w:r>
    </w:p>
    <w:p w14:paraId="2BB4EFDE" w14:textId="43FFA141"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840916">
        <w:t>Service Delivery Plan</w:t>
      </w:r>
      <w:r w:rsidRPr="004B61BC">
        <w:t xml:space="preserve">. </w:t>
      </w:r>
      <w:r w:rsidR="00840916">
        <w:t>These guidelines</w:t>
      </w:r>
      <w:r w:rsidR="0097683A">
        <w:t xml:space="preserve"> </w:t>
      </w:r>
      <w:proofErr w:type="gramStart"/>
      <w:r w:rsidR="0097683A">
        <w:t>can be found</w:t>
      </w:r>
      <w:proofErr w:type="gramEnd"/>
      <w:r w:rsidR="0097683A">
        <w:t xml:space="preserve"> on </w:t>
      </w:r>
      <w:hyperlink r:id="rId10" w:history="1">
        <w:proofErr w:type="spellStart"/>
        <w:r w:rsidR="0097683A" w:rsidRPr="0097683A">
          <w:rPr>
            <w:rStyle w:val="Hyperlink"/>
            <w:rFonts w:cstheme="minorBidi"/>
          </w:rPr>
          <w:t>GrantConnect</w:t>
        </w:r>
        <w:proofErr w:type="spellEnd"/>
      </w:hyperlink>
      <w:r w:rsidR="00840916">
        <w:t>, the Aust</w:t>
      </w:r>
      <w:r w:rsidR="00411B06">
        <w:t>r</w:t>
      </w:r>
      <w:r w:rsidR="00840916">
        <w:t>alian Government’s whole-of-government grants information system.</w:t>
      </w:r>
      <w:r w:rsidR="0097683A">
        <w:t xml:space="preserve"> </w:t>
      </w:r>
      <w:r w:rsidRPr="004B61BC">
        <w:t xml:space="preserve">Note: Any addenda for this grant opportunity will be published on </w:t>
      </w:r>
      <w:proofErr w:type="spellStart"/>
      <w:r w:rsidRPr="004B61BC">
        <w:t>GrantConnect</w:t>
      </w:r>
      <w:proofErr w:type="spellEnd"/>
      <w:r w:rsidRPr="004B61BC">
        <w:t xml:space="preserve">, and by registering on this </w:t>
      </w:r>
      <w:proofErr w:type="gramStart"/>
      <w:r w:rsidRPr="004B61BC">
        <w:t>website</w:t>
      </w:r>
      <w:proofErr w:type="gramEnd"/>
      <w:r w:rsidRPr="004B61BC">
        <w:t xml:space="preserve"> you will be automatic</w:t>
      </w:r>
      <w:r w:rsidR="00157662">
        <w:t>ally notified o</w:t>
      </w:r>
      <w:r w:rsidR="009A05FF">
        <w:t>f</w:t>
      </w:r>
      <w:r w:rsidR="00157662">
        <w:t xml:space="preserve"> any changes.</w:t>
      </w:r>
    </w:p>
    <w:p w14:paraId="5762F5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A5E3402" w14:textId="7F850C25"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w:t>
      </w:r>
      <w:r w:rsidR="00840916">
        <w:rPr>
          <w:b/>
        </w:rPr>
        <w:t>review</w:t>
      </w:r>
      <w:r>
        <w:rPr>
          <w:b/>
        </w:rPr>
        <w:t xml:space="preserve"> all </w:t>
      </w:r>
      <w:r w:rsidRPr="00F40BDA">
        <w:rPr>
          <w:b/>
        </w:rPr>
        <w:t>grant application</w:t>
      </w:r>
      <w:r>
        <w:rPr>
          <w:b/>
        </w:rPr>
        <w:t>s</w:t>
      </w:r>
    </w:p>
    <w:p w14:paraId="5AFDE1E1" w14:textId="0198281F"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840916">
        <w:t>check the application against eligibility criteria and notify you if you are not eligible. We then assess your Service Delivery Plan including an overall consideration of the value with relevant money.</w:t>
      </w:r>
    </w:p>
    <w:p w14:paraId="58CF549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4EC4B1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18099A55"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437274B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8F44F0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 xml:space="preserve">s </w:t>
      </w:r>
      <w:proofErr w:type="gramStart"/>
      <w:r>
        <w:rPr>
          <w:b/>
        </w:rPr>
        <w:t>are made</w:t>
      </w:r>
      <w:proofErr w:type="gramEnd"/>
    </w:p>
    <w:p w14:paraId="6F894C88"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14A010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0F17557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0D36BF34" w14:textId="76C35420"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w:t>
      </w:r>
      <w:r w:rsidR="00840916">
        <w:t>e outcome of your application.</w:t>
      </w:r>
    </w:p>
    <w:p w14:paraId="0851EE5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325E62" w14:textId="0D4C2C86" w:rsidR="00EE2B1C" w:rsidRPr="00840916" w:rsidRDefault="00840916" w:rsidP="00EE2B1C">
      <w:pPr>
        <w:pBdr>
          <w:top w:val="single" w:sz="2" w:space="1" w:color="auto"/>
          <w:left w:val="single" w:sz="2" w:space="4" w:color="auto"/>
          <w:bottom w:val="single" w:sz="2" w:space="1" w:color="auto"/>
          <w:right w:val="single" w:sz="2" w:space="4" w:color="auto"/>
        </w:pBdr>
        <w:spacing w:after="0"/>
        <w:jc w:val="center"/>
        <w:rPr>
          <w:b/>
        </w:rPr>
      </w:pPr>
      <w:r>
        <w:rPr>
          <w:rStyle w:val="highlightedtextChar"/>
          <w:color w:val="auto"/>
        </w:rPr>
        <w:t>We enter into a grant agreement</w:t>
      </w:r>
    </w:p>
    <w:p w14:paraId="095BA9B6" w14:textId="01A9C002"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 xml:space="preserve">The type of grant agreement </w:t>
      </w:r>
      <w:proofErr w:type="gramStart"/>
      <w:r w:rsidRPr="00F40BDA">
        <w:t>is based</w:t>
      </w:r>
      <w:proofErr w:type="gramEnd"/>
      <w:r w:rsidRPr="00F40BDA">
        <w:t xml:space="preserve"> on the nature of the grant and</w:t>
      </w:r>
      <w:r w:rsidR="009A05FF">
        <w:t xml:space="preserve"> is</w:t>
      </w:r>
      <w:r w:rsidRPr="00F40BDA">
        <w:t xml:space="preserve"> proportional to the risks involved.</w:t>
      </w:r>
      <w:r>
        <w:t xml:space="preserve"> </w:t>
      </w:r>
    </w:p>
    <w:p w14:paraId="1C8A6DA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9D84E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7002E3F" w14:textId="50D7E511"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2CFACD5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A3C9F6" w14:textId="4B7E8653"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840916">
        <w:rPr>
          <w:b/>
        </w:rPr>
        <w:t>Strong and Resilient Communities</w:t>
      </w:r>
      <w:r w:rsidR="007720A7">
        <w:rPr>
          <w:b/>
        </w:rPr>
        <w:t>/Inclusive Communities</w:t>
      </w:r>
    </w:p>
    <w:p w14:paraId="2287AFEC" w14:textId="4322D5C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7720A7">
        <w:t>the Strong and Resilient Communities</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A74A423" w14:textId="77777777" w:rsidR="001A0777" w:rsidRPr="00367A67" w:rsidRDefault="001A0777" w:rsidP="00056305">
      <w:pPr>
        <w:pStyle w:val="Heading2Numbered"/>
      </w:pPr>
      <w:bookmarkStart w:id="4" w:name="_Toc484677032"/>
      <w:bookmarkStart w:id="5" w:name="_Toc467773951"/>
      <w:bookmarkStart w:id="6" w:name="_Toc524419145"/>
      <w:r w:rsidRPr="00367A67">
        <w:t>Role of the Community Grants Hub</w:t>
      </w:r>
      <w:bookmarkEnd w:id="4"/>
      <w:bookmarkEnd w:id="6"/>
    </w:p>
    <w:p w14:paraId="30135657" w14:textId="69F1791D" w:rsidR="007D6F87" w:rsidRPr="00367A67" w:rsidRDefault="007D6F87" w:rsidP="007D6F87">
      <w:r w:rsidRPr="00367A67">
        <w:t xml:space="preserve">This grant opportunity </w:t>
      </w:r>
      <w:proofErr w:type="gramStart"/>
      <w:r w:rsidRPr="00367A67">
        <w:t>will be administered</w:t>
      </w:r>
      <w:proofErr w:type="gramEnd"/>
      <w:r w:rsidRPr="00367A67">
        <w:t xml:space="preserve"> by the Community Grants Hub on behalf of the </w:t>
      </w:r>
      <w:r w:rsidR="007A09E1">
        <w:t>Department of Social Services</w:t>
      </w:r>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47F45074" w14:textId="5A72CAC2" w:rsidR="00045933" w:rsidRPr="00B72EE8" w:rsidRDefault="001A0777" w:rsidP="001A0777">
      <w:pPr>
        <w:pStyle w:val="Heading2Numbered"/>
        <w:numPr>
          <w:ilvl w:val="0"/>
          <w:numId w:val="0"/>
        </w:numPr>
        <w:ind w:left="567" w:hanging="567"/>
      </w:pPr>
      <w:bookmarkStart w:id="7" w:name="_Toc524419146"/>
      <w:proofErr w:type="gramStart"/>
      <w:r w:rsidRPr="00367A67">
        <w:t>1.2</w:t>
      </w:r>
      <w:proofErr w:type="gramEnd"/>
      <w:r w:rsidRPr="00367A67">
        <w:tab/>
      </w:r>
      <w:r w:rsidR="00045933" w:rsidRPr="00367A67">
        <w:t xml:space="preserve">About </w:t>
      </w:r>
      <w:r w:rsidR="00407F61">
        <w:t>the Strong and Resilient Communities</w:t>
      </w:r>
      <w:r w:rsidR="00045933" w:rsidRPr="00367A67">
        <w:t xml:space="preserve"> </w:t>
      </w:r>
      <w:bookmarkEnd w:id="5"/>
      <w:r w:rsidR="00407F61">
        <w:t>Activity</w:t>
      </w:r>
      <w:bookmarkEnd w:id="7"/>
    </w:p>
    <w:p w14:paraId="7DA487B9" w14:textId="77777777" w:rsidR="007D6F87" w:rsidRDefault="007D6F87" w:rsidP="007D6F87">
      <w:r>
        <w:t xml:space="preserve">The Strong and Resilient Communities Activity is an element of the </w:t>
      </w:r>
      <w:hyperlink r:id="rId11" w:history="1">
        <w:r>
          <w:rPr>
            <w:rStyle w:val="Hyperlink"/>
          </w:rPr>
          <w:t>Families and Communities Program</w:t>
        </w:r>
      </w:hyperlink>
      <w:r>
        <w:t>.  The Families and Communities Program aims to strengthen relationships, improve well</w:t>
      </w:r>
      <w:r>
        <w:noBreakHyphen/>
        <w:t>being of children and young people, reduce the cost of family breakdown, strengthen family and community functioning and facilitate the settlement of migrants and humanitarian entrants in the community.</w:t>
      </w:r>
    </w:p>
    <w:p w14:paraId="2BF7CA1B" w14:textId="77777777" w:rsidR="007D6F87" w:rsidRPr="00BE5AE0" w:rsidRDefault="007D6F87" w:rsidP="007D6F87">
      <w:pPr>
        <w:rPr>
          <w:rFonts w:cs="Arial"/>
        </w:rPr>
      </w:pPr>
      <w:r w:rsidRPr="00BE5AE0">
        <w:t xml:space="preserve">The Strong and Resilient Communities Activity aims to build strong, resilient, cohesive and harmonious communities to ensure that individuals, families and communities have the opportunity to thrive, be free from intolerance and discrimination, and have the capacity to respond to emerging </w:t>
      </w:r>
      <w:r w:rsidRPr="00BE5AE0">
        <w:rPr>
          <w:rFonts w:cs="Arial"/>
        </w:rPr>
        <w:t>needs and challenges.</w:t>
      </w:r>
    </w:p>
    <w:p w14:paraId="5C113810" w14:textId="77777777" w:rsidR="007D6F87" w:rsidRPr="00BE5AE0" w:rsidRDefault="007D6F87" w:rsidP="007D6F87">
      <w:pPr>
        <w:rPr>
          <w:rFonts w:cs="Arial"/>
        </w:rPr>
      </w:pPr>
      <w:r w:rsidRPr="00BE5AE0">
        <w:t xml:space="preserve">The </w:t>
      </w:r>
      <w:r w:rsidRPr="00053B54">
        <w:t>Strong and Resilient Communities Activity</w:t>
      </w:r>
      <w:r>
        <w:t xml:space="preserve"> </w:t>
      </w:r>
      <w:r w:rsidRPr="00BE5AE0">
        <w:t xml:space="preserve">will help to ensure that individuals, families and communities have the opportunity to </w:t>
      </w:r>
      <w:r w:rsidRPr="00BE5AE0">
        <w:rPr>
          <w:rFonts w:cs="Arial"/>
        </w:rPr>
        <w:t>obtain:</w:t>
      </w:r>
    </w:p>
    <w:tbl>
      <w:tblPr>
        <w:tblW w:w="8931" w:type="dxa"/>
        <w:tblInd w:w="133" w:type="dxa"/>
        <w:tblCellMar>
          <w:left w:w="0" w:type="dxa"/>
          <w:right w:w="0" w:type="dxa"/>
        </w:tblCellMar>
        <w:tblLook w:val="0420" w:firstRow="1" w:lastRow="0" w:firstColumn="0" w:lastColumn="0" w:noHBand="0" w:noVBand="1"/>
        <w:tblCaption w:val="Strong and Resilient Communities Activity Description"/>
        <w:tblDescription w:val="Strong and Resilient Communities Activity Description"/>
      </w:tblPr>
      <w:tblGrid>
        <w:gridCol w:w="1985"/>
        <w:gridCol w:w="6946"/>
      </w:tblGrid>
      <w:tr w:rsidR="007D6F87" w:rsidRPr="005C7DDD" w14:paraId="4A4E27AB" w14:textId="77777777" w:rsidTr="006A3011">
        <w:trPr>
          <w:trHeight w:val="544"/>
        </w:trPr>
        <w:tc>
          <w:tcPr>
            <w:tcW w:w="1985" w:type="dxa"/>
            <w:shd w:val="clear" w:color="auto" w:fill="auto"/>
            <w:tcMar>
              <w:top w:w="72" w:type="dxa"/>
              <w:left w:w="133" w:type="dxa"/>
              <w:bottom w:w="72" w:type="dxa"/>
              <w:right w:w="133" w:type="dxa"/>
            </w:tcMar>
            <w:hideMark/>
          </w:tcPr>
          <w:p w14:paraId="1BA097E1" w14:textId="77777777" w:rsidR="007D6F87" w:rsidRPr="00603148" w:rsidRDefault="007D6F87" w:rsidP="006A3011">
            <w:pPr>
              <w:spacing w:after="0" w:line="240" w:lineRule="auto"/>
              <w:rPr>
                <w:rFonts w:cs="Arial"/>
                <w:i/>
              </w:rPr>
            </w:pPr>
            <w:r w:rsidRPr="00603148">
              <w:rPr>
                <w:rFonts w:cs="Arial"/>
                <w:b/>
                <w:bCs/>
                <w:i/>
              </w:rPr>
              <w:lastRenderedPageBreak/>
              <w:t>A sense of belonging</w:t>
            </w:r>
          </w:p>
        </w:tc>
        <w:tc>
          <w:tcPr>
            <w:tcW w:w="6946" w:type="dxa"/>
            <w:shd w:val="clear" w:color="auto" w:fill="auto"/>
            <w:tcMar>
              <w:top w:w="72" w:type="dxa"/>
              <w:left w:w="133" w:type="dxa"/>
              <w:bottom w:w="72" w:type="dxa"/>
              <w:right w:w="133" w:type="dxa"/>
            </w:tcMar>
            <w:hideMark/>
          </w:tcPr>
          <w:p w14:paraId="7AEF52F3" w14:textId="77777777" w:rsidR="007D6F87" w:rsidRPr="00603148" w:rsidRDefault="007D6F87" w:rsidP="006A3011">
            <w:pPr>
              <w:spacing w:after="0" w:line="240" w:lineRule="auto"/>
              <w:rPr>
                <w:rFonts w:cs="Arial"/>
                <w:i/>
              </w:rPr>
            </w:pPr>
            <w:r w:rsidRPr="00603148">
              <w:rPr>
                <w:rFonts w:cs="Arial"/>
                <w:i/>
              </w:rPr>
              <w:t>Through a greater sense of connection to and pride in their community, with shared values and trust, and a sense of pride in the Australian way of life and culture.</w:t>
            </w:r>
          </w:p>
        </w:tc>
      </w:tr>
      <w:tr w:rsidR="007D6F87" w:rsidRPr="005C7DDD" w14:paraId="341BC755" w14:textId="77777777" w:rsidTr="006A3011">
        <w:trPr>
          <w:trHeight w:val="594"/>
        </w:trPr>
        <w:tc>
          <w:tcPr>
            <w:tcW w:w="1985" w:type="dxa"/>
            <w:shd w:val="clear" w:color="auto" w:fill="auto"/>
            <w:tcMar>
              <w:top w:w="72" w:type="dxa"/>
              <w:left w:w="133" w:type="dxa"/>
              <w:bottom w:w="72" w:type="dxa"/>
              <w:right w:w="133" w:type="dxa"/>
            </w:tcMar>
            <w:hideMark/>
          </w:tcPr>
          <w:p w14:paraId="33549A79" w14:textId="77777777" w:rsidR="007D6F87" w:rsidRPr="00603148" w:rsidRDefault="007D6F87" w:rsidP="006A3011">
            <w:pPr>
              <w:spacing w:after="0" w:line="240" w:lineRule="auto"/>
              <w:rPr>
                <w:rFonts w:cs="Arial"/>
                <w:i/>
              </w:rPr>
            </w:pPr>
            <w:r w:rsidRPr="00603148">
              <w:rPr>
                <w:rFonts w:cs="Arial"/>
                <w:b/>
                <w:bCs/>
                <w:i/>
              </w:rPr>
              <w:t>A sense of social inclusion</w:t>
            </w:r>
          </w:p>
        </w:tc>
        <w:tc>
          <w:tcPr>
            <w:tcW w:w="6946" w:type="dxa"/>
            <w:shd w:val="clear" w:color="auto" w:fill="auto"/>
            <w:tcMar>
              <w:top w:w="72" w:type="dxa"/>
              <w:left w:w="133" w:type="dxa"/>
              <w:bottom w:w="72" w:type="dxa"/>
              <w:right w:w="133" w:type="dxa"/>
            </w:tcMar>
            <w:hideMark/>
          </w:tcPr>
          <w:p w14:paraId="4FB6D525" w14:textId="77777777" w:rsidR="007D6F87" w:rsidRPr="00603148" w:rsidRDefault="007D6F87" w:rsidP="006A3011">
            <w:pPr>
              <w:spacing w:after="0" w:line="240" w:lineRule="auto"/>
              <w:rPr>
                <w:rFonts w:cs="Arial"/>
                <w:i/>
              </w:rPr>
            </w:pPr>
            <w:r w:rsidRPr="00603148">
              <w:rPr>
                <w:rFonts w:cs="Arial"/>
                <w:i/>
              </w:rPr>
              <w:t>By providing community members with equitable access to resources, such as education, employment and housing.</w:t>
            </w:r>
          </w:p>
        </w:tc>
      </w:tr>
      <w:tr w:rsidR="007D6F87" w:rsidRPr="005C7DDD" w14:paraId="0924BDD9" w14:textId="77777777" w:rsidTr="006A3011">
        <w:trPr>
          <w:trHeight w:val="837"/>
        </w:trPr>
        <w:tc>
          <w:tcPr>
            <w:tcW w:w="1985" w:type="dxa"/>
            <w:shd w:val="clear" w:color="auto" w:fill="auto"/>
            <w:tcMar>
              <w:top w:w="72" w:type="dxa"/>
              <w:left w:w="133" w:type="dxa"/>
              <w:bottom w:w="72" w:type="dxa"/>
              <w:right w:w="133" w:type="dxa"/>
            </w:tcMar>
            <w:hideMark/>
          </w:tcPr>
          <w:p w14:paraId="28BAC805" w14:textId="77777777" w:rsidR="007D6F87" w:rsidRPr="00603148" w:rsidRDefault="007D6F87" w:rsidP="006A3011">
            <w:pPr>
              <w:spacing w:after="0" w:line="240" w:lineRule="auto"/>
              <w:rPr>
                <w:rFonts w:cs="Arial"/>
                <w:i/>
              </w:rPr>
            </w:pPr>
            <w:r w:rsidRPr="00603148">
              <w:rPr>
                <w:rFonts w:cs="Arial"/>
                <w:b/>
                <w:bCs/>
                <w:i/>
              </w:rPr>
              <w:t>Plenty of opportunities to participate</w:t>
            </w:r>
          </w:p>
        </w:tc>
        <w:tc>
          <w:tcPr>
            <w:tcW w:w="6946" w:type="dxa"/>
            <w:shd w:val="clear" w:color="auto" w:fill="auto"/>
            <w:tcMar>
              <w:top w:w="72" w:type="dxa"/>
              <w:left w:w="133" w:type="dxa"/>
              <w:bottom w:w="72" w:type="dxa"/>
              <w:right w:w="133" w:type="dxa"/>
            </w:tcMar>
            <w:hideMark/>
          </w:tcPr>
          <w:p w14:paraId="20982DE0" w14:textId="77777777" w:rsidR="007D6F87" w:rsidRPr="00603148" w:rsidRDefault="007D6F87" w:rsidP="006A3011">
            <w:pPr>
              <w:spacing w:after="0" w:line="240" w:lineRule="auto"/>
              <w:rPr>
                <w:rFonts w:cs="Arial"/>
                <w:i/>
              </w:rPr>
            </w:pPr>
            <w:r w:rsidRPr="00603148">
              <w:rPr>
                <w:rFonts w:cs="Arial"/>
                <w:i/>
              </w:rPr>
              <w:t>By ensuring that there are opportunities to obtain voluntary work or gainful employment, as well as cooperative involvement in events that cross boundaries of race and culture.</w:t>
            </w:r>
          </w:p>
        </w:tc>
      </w:tr>
      <w:tr w:rsidR="007D6F87" w:rsidRPr="005C7DDD" w14:paraId="722E6770" w14:textId="77777777" w:rsidTr="006A3011">
        <w:trPr>
          <w:trHeight w:val="554"/>
        </w:trPr>
        <w:tc>
          <w:tcPr>
            <w:tcW w:w="1985" w:type="dxa"/>
            <w:shd w:val="clear" w:color="auto" w:fill="auto"/>
            <w:tcMar>
              <w:top w:w="72" w:type="dxa"/>
              <w:left w:w="133" w:type="dxa"/>
              <w:bottom w:w="72" w:type="dxa"/>
              <w:right w:w="133" w:type="dxa"/>
            </w:tcMar>
            <w:hideMark/>
          </w:tcPr>
          <w:p w14:paraId="6193EEA5" w14:textId="77777777" w:rsidR="007D6F87" w:rsidRPr="00603148" w:rsidRDefault="007D6F87" w:rsidP="006A3011">
            <w:pPr>
              <w:spacing w:after="0" w:line="240" w:lineRule="auto"/>
              <w:rPr>
                <w:rFonts w:cs="Arial"/>
                <w:i/>
              </w:rPr>
            </w:pPr>
            <w:r w:rsidRPr="00603148">
              <w:rPr>
                <w:rFonts w:cs="Arial"/>
                <w:b/>
                <w:bCs/>
                <w:i/>
              </w:rPr>
              <w:t>Acceptance from the broader community</w:t>
            </w:r>
          </w:p>
        </w:tc>
        <w:tc>
          <w:tcPr>
            <w:tcW w:w="6946" w:type="dxa"/>
            <w:shd w:val="clear" w:color="auto" w:fill="auto"/>
            <w:tcMar>
              <w:top w:w="72" w:type="dxa"/>
              <w:left w:w="133" w:type="dxa"/>
              <w:bottom w:w="72" w:type="dxa"/>
              <w:right w:w="133" w:type="dxa"/>
            </w:tcMar>
            <w:hideMark/>
          </w:tcPr>
          <w:p w14:paraId="03370E5B" w14:textId="77777777" w:rsidR="007D6F87" w:rsidRPr="00603148" w:rsidRDefault="007D6F87" w:rsidP="006A3011">
            <w:pPr>
              <w:spacing w:after="0" w:line="240" w:lineRule="auto"/>
              <w:rPr>
                <w:rFonts w:cs="Arial"/>
                <w:i/>
              </w:rPr>
            </w:pPr>
            <w:r w:rsidRPr="00603148">
              <w:rPr>
                <w:rFonts w:cs="Arial"/>
                <w:i/>
              </w:rPr>
              <w:t xml:space="preserve">With mutual respect, low levels of discrimination, positive attitudes towards minorities and newcomers, and a resilience to accept different points of view. </w:t>
            </w:r>
          </w:p>
        </w:tc>
      </w:tr>
      <w:tr w:rsidR="007D6F87" w:rsidRPr="005C7DDD" w14:paraId="59FB6CBB" w14:textId="77777777" w:rsidTr="006A3011">
        <w:trPr>
          <w:trHeight w:val="553"/>
        </w:trPr>
        <w:tc>
          <w:tcPr>
            <w:tcW w:w="1985" w:type="dxa"/>
            <w:shd w:val="clear" w:color="auto" w:fill="auto"/>
            <w:tcMar>
              <w:top w:w="72" w:type="dxa"/>
              <w:left w:w="133" w:type="dxa"/>
              <w:bottom w:w="72" w:type="dxa"/>
              <w:right w:w="133" w:type="dxa"/>
            </w:tcMar>
            <w:hideMark/>
          </w:tcPr>
          <w:p w14:paraId="79431E3C" w14:textId="77777777" w:rsidR="007D6F87" w:rsidRPr="00603148" w:rsidRDefault="007D6F87" w:rsidP="006A3011">
            <w:pPr>
              <w:spacing w:after="0" w:line="240" w:lineRule="auto"/>
              <w:rPr>
                <w:rFonts w:cs="Arial"/>
                <w:i/>
              </w:rPr>
            </w:pPr>
            <w:r w:rsidRPr="00603148">
              <w:rPr>
                <w:rFonts w:cs="Arial"/>
                <w:b/>
                <w:bCs/>
                <w:i/>
              </w:rPr>
              <w:t>Self-worth</w:t>
            </w:r>
          </w:p>
        </w:tc>
        <w:tc>
          <w:tcPr>
            <w:tcW w:w="6946" w:type="dxa"/>
            <w:shd w:val="clear" w:color="auto" w:fill="auto"/>
            <w:tcMar>
              <w:top w:w="72" w:type="dxa"/>
              <w:left w:w="133" w:type="dxa"/>
              <w:bottom w:w="72" w:type="dxa"/>
              <w:right w:w="133" w:type="dxa"/>
            </w:tcMar>
            <w:hideMark/>
          </w:tcPr>
          <w:p w14:paraId="1EEBDFF5" w14:textId="77777777" w:rsidR="007D6F87" w:rsidRPr="00603148" w:rsidRDefault="007D6F87" w:rsidP="006A3011">
            <w:pPr>
              <w:spacing w:after="0" w:line="240" w:lineRule="auto"/>
              <w:rPr>
                <w:rFonts w:cs="Arial"/>
                <w:i/>
              </w:rPr>
            </w:pPr>
            <w:r w:rsidRPr="00603148">
              <w:rPr>
                <w:rFonts w:cs="Arial"/>
                <w:i/>
              </w:rPr>
              <w:t>With good life satisfaction, positive indications of happiness and wellbeing, with reasonable expectations for the future.</w:t>
            </w:r>
          </w:p>
        </w:tc>
      </w:tr>
    </w:tbl>
    <w:p w14:paraId="1D871AA7" w14:textId="77777777" w:rsidR="007D6F87" w:rsidRDefault="007D6F87" w:rsidP="007D6F87">
      <w:pPr>
        <w:spacing w:after="120"/>
      </w:pPr>
      <w:r w:rsidRPr="001C685D">
        <w:t xml:space="preserve">The </w:t>
      </w:r>
      <w:r>
        <w:t xml:space="preserve">Strong and Resilient Communities Activity will </w:t>
      </w:r>
      <w:r w:rsidRPr="001C685D">
        <w:t>adopt a new approach to address emerging issues within communities</w:t>
      </w:r>
      <w:r w:rsidRPr="001C685D">
        <w:rPr>
          <w:rFonts w:cs="Arial"/>
        </w:rPr>
        <w:t>.</w:t>
      </w:r>
      <w:r>
        <w:rPr>
          <w:rFonts w:cs="Arial"/>
        </w:rPr>
        <w:t xml:space="preserve"> </w:t>
      </w:r>
      <w:r w:rsidRPr="001C685D">
        <w:rPr>
          <w:rFonts w:cs="Arial"/>
        </w:rPr>
        <w:t xml:space="preserve"> It will </w:t>
      </w:r>
      <w:r>
        <w:rPr>
          <w:rFonts w:cs="Arial"/>
        </w:rPr>
        <w:t>focus on strengthening the capacity of communities experiencing disadvantage to become more resilient and inclusive through greater community engagement, participation and belonging in the local community. C</w:t>
      </w:r>
      <w:r w:rsidRPr="00A6587D">
        <w:t>ommunities will be empowered to identify and address issues in their local community</w:t>
      </w:r>
      <w:r>
        <w:t>.</w:t>
      </w:r>
    </w:p>
    <w:p w14:paraId="650454F9" w14:textId="0ECCEE6E" w:rsidR="007D6F87" w:rsidRDefault="007D6F87" w:rsidP="007D6F87">
      <w:r>
        <w:rPr>
          <w:rFonts w:cs="Arial"/>
        </w:rPr>
        <w:t xml:space="preserve">Grants will be available to eligible community </w:t>
      </w:r>
      <w:r w:rsidRPr="00675B72">
        <w:rPr>
          <w:rFonts w:cs="Arial"/>
        </w:rPr>
        <w:t xml:space="preserve">organisations to </w:t>
      </w:r>
      <w:r w:rsidRPr="00675B72">
        <w:t>support active citizen engagement, whether through employment, education or broader community life.</w:t>
      </w:r>
      <w:r>
        <w:t xml:space="preserve"> </w:t>
      </w:r>
      <w:r w:rsidRPr="00675B72">
        <w:t xml:space="preserve"> </w:t>
      </w:r>
      <w:r w:rsidRPr="00BC7190">
        <w:t>Funded projects will provide individuals with a sense of belonging and communities with the building blocks for community harmony.</w:t>
      </w:r>
    </w:p>
    <w:p w14:paraId="723CC36C" w14:textId="77777777" w:rsidR="007D6F87" w:rsidRDefault="007D6F87" w:rsidP="007D6F87">
      <w:pPr>
        <w:suppressAutoHyphens w:val="0"/>
        <w:spacing w:before="0" w:after="120" w:line="440" w:lineRule="atLeast"/>
      </w:pPr>
      <w:r>
        <w:t>The Strong and Resilient Communities Activity comprises three grant programs:</w:t>
      </w:r>
    </w:p>
    <w:p w14:paraId="202206D0" w14:textId="77777777" w:rsidR="007D6F87" w:rsidRPr="00573409" w:rsidRDefault="007D6F87" w:rsidP="007D6F87">
      <w:pPr>
        <w:pStyle w:val="Bullet1"/>
        <w:spacing w:before="0"/>
      </w:pPr>
      <w:r w:rsidRPr="00573409">
        <w:t>Community Resilienc</w:t>
      </w:r>
      <w:r>
        <w:t>e;</w:t>
      </w:r>
    </w:p>
    <w:p w14:paraId="546C27B6" w14:textId="77777777" w:rsidR="007D6F87" w:rsidRPr="00573409" w:rsidRDefault="007D6F87" w:rsidP="007D6F87">
      <w:pPr>
        <w:pStyle w:val="Bullet1"/>
        <w:spacing w:before="0"/>
      </w:pPr>
      <w:r>
        <w:t>Inclusive Communities; and</w:t>
      </w:r>
    </w:p>
    <w:p w14:paraId="4FF76B6D" w14:textId="543C5C44" w:rsidR="007D6F87" w:rsidRDefault="007D6F87" w:rsidP="00411B06">
      <w:pPr>
        <w:pStyle w:val="Bullet1"/>
        <w:spacing w:before="0"/>
      </w:pPr>
      <w:r w:rsidRPr="00573409">
        <w:t>National Research.</w:t>
      </w:r>
    </w:p>
    <w:p w14:paraId="7949D1DB" w14:textId="1E9EDFAB" w:rsidR="00045933" w:rsidRPr="000F576B" w:rsidRDefault="00045933" w:rsidP="00045933">
      <w:pPr>
        <w:spacing w:after="120"/>
      </w:pPr>
      <w:r w:rsidRPr="00045933">
        <w:t xml:space="preserve">The Program </w:t>
      </w:r>
      <w:proofErr w:type="gramStart"/>
      <w:r w:rsidRPr="00045933">
        <w:t>will be undertaken</w:t>
      </w:r>
      <w:proofErr w:type="gramEnd"/>
      <w:r w:rsidRPr="00045933">
        <w:t xml:space="preserve"> according to the </w:t>
      </w:r>
      <w:r w:rsidRPr="00045933">
        <w:rPr>
          <w:i/>
        </w:rPr>
        <w:t xml:space="preserve">Commonwealth Grants Rules and Guidelines </w:t>
      </w:r>
      <w:r w:rsidR="00BE78B1">
        <w:rPr>
          <w:i/>
        </w:rPr>
        <w:t xml:space="preserve">2017 </w:t>
      </w:r>
      <w:r w:rsidR="00BE78B1" w:rsidRPr="00045933">
        <w:rPr>
          <w:i/>
        </w:rPr>
        <w:t>(</w:t>
      </w:r>
      <w:hyperlink r:id="rId12" w:history="1">
        <w:r w:rsidR="00BE78B1" w:rsidRPr="00182B77">
          <w:rPr>
            <w:rStyle w:val="Hyperlink"/>
            <w:rFonts w:cstheme="minorBidi"/>
            <w:i/>
          </w:rPr>
          <w:t>CGRGs</w:t>
        </w:r>
      </w:hyperlink>
      <w:r w:rsidR="00BE78B1" w:rsidRPr="00045933">
        <w:rPr>
          <w:i/>
        </w:rPr>
        <w:t>)</w:t>
      </w:r>
      <w:r w:rsidR="00BE78B1">
        <w:rPr>
          <w:i/>
        </w:rPr>
        <w:t>.</w:t>
      </w:r>
    </w:p>
    <w:p w14:paraId="02C44235" w14:textId="123512A6" w:rsidR="007D6F87" w:rsidRPr="007D6F87" w:rsidRDefault="00045933" w:rsidP="005757AA">
      <w:pPr>
        <w:pStyle w:val="Heading2Numbered"/>
        <w:numPr>
          <w:ilvl w:val="1"/>
          <w:numId w:val="16"/>
        </w:numPr>
        <w:ind w:left="567"/>
      </w:pPr>
      <w:bookmarkStart w:id="8" w:name="_Toc467773952"/>
      <w:bookmarkStart w:id="9" w:name="_Toc524419147"/>
      <w:r w:rsidRPr="00141248">
        <w:t xml:space="preserve">About the </w:t>
      </w:r>
      <w:r w:rsidR="00A372CF">
        <w:t>Inclusive Communities grants</w:t>
      </w:r>
      <w:bookmarkStart w:id="10" w:name="_Ref421783365"/>
      <w:bookmarkEnd w:id="8"/>
      <w:bookmarkEnd w:id="9"/>
    </w:p>
    <w:p w14:paraId="3D1703BD" w14:textId="77777777" w:rsidR="007D6F87" w:rsidRPr="00EE5869" w:rsidRDefault="007D6F87" w:rsidP="007D6F87">
      <w:pPr>
        <w:spacing w:before="240"/>
        <w:rPr>
          <w:rFonts w:cs="Arial"/>
        </w:rPr>
      </w:pPr>
      <w:r w:rsidRPr="00874E03">
        <w:t>Inclusive Communities</w:t>
      </w:r>
      <w:r w:rsidRPr="00DF54A2">
        <w:t xml:space="preserve"> </w:t>
      </w:r>
      <w:r>
        <w:t>g</w:t>
      </w:r>
      <w:r w:rsidRPr="00DF54A2">
        <w:t>rants aim</w:t>
      </w:r>
      <w:r>
        <w:t xml:space="preserve"> </w:t>
      </w:r>
      <w:r w:rsidRPr="00DF54A2">
        <w:t>to increase</w:t>
      </w:r>
      <w:r w:rsidRPr="00EE5869">
        <w:rPr>
          <w:rFonts w:cs="Arial"/>
        </w:rPr>
        <w:t xml:space="preserve"> the social and economic participation of vulnerable and disadvantaged individuals and</w:t>
      </w:r>
      <w:r>
        <w:rPr>
          <w:rFonts w:cs="Arial"/>
        </w:rPr>
        <w:t xml:space="preserve"> families within their communities,</w:t>
      </w:r>
      <w:r w:rsidRPr="00EE5869">
        <w:rPr>
          <w:rFonts w:cs="Arial"/>
        </w:rPr>
        <w:t xml:space="preserve"> and enhance their lifetime wellbeing and </w:t>
      </w:r>
      <w:r>
        <w:rPr>
          <w:rFonts w:cs="Arial"/>
        </w:rPr>
        <w:t xml:space="preserve">sense of community </w:t>
      </w:r>
      <w:r w:rsidRPr="00EE5869">
        <w:rPr>
          <w:rFonts w:cs="Arial"/>
        </w:rPr>
        <w:t xml:space="preserve">belonging. </w:t>
      </w:r>
    </w:p>
    <w:p w14:paraId="380D50F2" w14:textId="18520B1C" w:rsidR="007D6F87" w:rsidRDefault="007D6F87" w:rsidP="007D6F87">
      <w:pPr>
        <w:spacing w:before="240" w:after="0"/>
        <w:contextualSpacing/>
      </w:pPr>
      <w:r>
        <w:t xml:space="preserve">Funding will </w:t>
      </w:r>
      <w:r w:rsidRPr="00643B17">
        <w:t>only</w:t>
      </w:r>
      <w:r w:rsidRPr="005B345C">
        <w:rPr>
          <w:color w:val="FF0000"/>
        </w:rPr>
        <w:t xml:space="preserve"> </w:t>
      </w:r>
      <w:r>
        <w:t>be available to eligible organisations to deliver one-off, time-limited, projects that support the social and economic participation of</w:t>
      </w:r>
      <w:r w:rsidRPr="001301AC">
        <w:t xml:space="preserve"> </w:t>
      </w:r>
      <w:r>
        <w:t xml:space="preserve">people </w:t>
      </w:r>
      <w:r w:rsidRPr="001301AC">
        <w:t xml:space="preserve">in </w:t>
      </w:r>
      <w:r>
        <w:t xml:space="preserve">their communities in the ways </w:t>
      </w:r>
      <w:r>
        <w:lastRenderedPageBreak/>
        <w:t xml:space="preserve">outlined below.  The projects may include a trial project, seed or start-up funding to establish new activities, and/or </w:t>
      </w:r>
      <w:proofErr w:type="gramStart"/>
      <w:r>
        <w:t>short term</w:t>
      </w:r>
      <w:proofErr w:type="gramEnd"/>
      <w:r>
        <w:t xml:space="preserve"> interventions to resolve a particular issue.</w:t>
      </w:r>
    </w:p>
    <w:p w14:paraId="5E765559" w14:textId="77777777" w:rsidR="007D6F87" w:rsidRDefault="007D6F87" w:rsidP="007D6F87">
      <w:pPr>
        <w:spacing w:before="240"/>
      </w:pPr>
      <w:r>
        <w:t xml:space="preserve">The types of projects that </w:t>
      </w:r>
      <w:proofErr w:type="gramStart"/>
      <w:r>
        <w:t>will be funded</w:t>
      </w:r>
      <w:proofErr w:type="gramEnd"/>
      <w:r>
        <w:t xml:space="preserve"> under Inclusive Communities grants are:</w:t>
      </w:r>
    </w:p>
    <w:p w14:paraId="7CB52CE4" w14:textId="77777777" w:rsidR="007D6F87" w:rsidRPr="00F41262" w:rsidRDefault="007D6F87" w:rsidP="007D6F87">
      <w:pPr>
        <w:pStyle w:val="Bullet1"/>
      </w:pPr>
      <w:r>
        <w:t>p</w:t>
      </w:r>
      <w:r w:rsidRPr="00F41262">
        <w:t>roject</w:t>
      </w:r>
      <w:r>
        <w:t>s</w:t>
      </w:r>
      <w:r w:rsidRPr="00F41262">
        <w:t xml:space="preserve"> directed at children and youth under 18 years to:</w:t>
      </w:r>
    </w:p>
    <w:p w14:paraId="4D8826CE" w14:textId="77777777" w:rsidR="007D6F87" w:rsidRPr="00F41262" w:rsidRDefault="007D6F87" w:rsidP="005757AA">
      <w:pPr>
        <w:pStyle w:val="Bullet2"/>
        <w:numPr>
          <w:ilvl w:val="0"/>
          <w:numId w:val="23"/>
        </w:numPr>
        <w:spacing w:before="0"/>
        <w:ind w:left="1287" w:hanging="357"/>
      </w:pPr>
      <w:r w:rsidRPr="00F41262">
        <w:t>support the development of disengaged and marginalised children and youth through early intervention, mentoring, sport or recreational activities;</w:t>
      </w:r>
    </w:p>
    <w:p w14:paraId="7B458FF6" w14:textId="77777777" w:rsidR="007D6F87" w:rsidRPr="00F41262" w:rsidRDefault="007D6F87" w:rsidP="005757AA">
      <w:pPr>
        <w:pStyle w:val="Bullet2"/>
        <w:numPr>
          <w:ilvl w:val="0"/>
          <w:numId w:val="23"/>
        </w:numPr>
        <w:spacing w:before="0"/>
        <w:ind w:left="1287" w:hanging="357"/>
        <w:rPr>
          <w:rFonts w:asciiTheme="majorHAnsi" w:hAnsiTheme="majorHAnsi" w:cstheme="majorHAnsi"/>
        </w:rPr>
      </w:pPr>
      <w:r w:rsidRPr="00F41262">
        <w:rPr>
          <w:rFonts w:asciiTheme="majorHAnsi" w:hAnsiTheme="majorHAnsi" w:cstheme="majorHAnsi"/>
        </w:rPr>
        <w:t>support the development of children at risk of marginalisation or poor educational outcomes through activities that encourage school attendance and retention;</w:t>
      </w:r>
    </w:p>
    <w:p w14:paraId="36B0DC7C" w14:textId="77777777" w:rsidR="007D6F87" w:rsidRPr="00F41262" w:rsidRDefault="007D6F87" w:rsidP="005757AA">
      <w:pPr>
        <w:pStyle w:val="Bullet2"/>
        <w:numPr>
          <w:ilvl w:val="0"/>
          <w:numId w:val="23"/>
        </w:numPr>
        <w:spacing w:before="0"/>
        <w:ind w:left="1287" w:hanging="357"/>
        <w:rPr>
          <w:rFonts w:asciiTheme="majorHAnsi" w:hAnsiTheme="majorHAnsi" w:cstheme="majorHAnsi"/>
        </w:rPr>
      </w:pPr>
      <w:proofErr w:type="gramStart"/>
      <w:r w:rsidRPr="00F41262">
        <w:rPr>
          <w:rFonts w:asciiTheme="majorHAnsi" w:hAnsiTheme="majorHAnsi" w:cstheme="majorHAnsi"/>
        </w:rPr>
        <w:t>support</w:t>
      </w:r>
      <w:proofErr w:type="gramEnd"/>
      <w:r w:rsidRPr="00F41262">
        <w:rPr>
          <w:rFonts w:asciiTheme="majorHAnsi" w:hAnsiTheme="majorHAnsi" w:cstheme="majorHAnsi"/>
        </w:rPr>
        <w:t xml:space="preserve"> the development of children at risk of marginalisation or poor educational outcomes through mentoring and support programs.</w:t>
      </w:r>
    </w:p>
    <w:p w14:paraId="3A074E4C" w14:textId="77777777" w:rsidR="007D6F87" w:rsidRPr="00F41262" w:rsidRDefault="007D6F87" w:rsidP="007D6F87">
      <w:pPr>
        <w:pStyle w:val="Bullet1"/>
        <w:rPr>
          <w:rFonts w:asciiTheme="majorHAnsi" w:hAnsiTheme="majorHAnsi" w:cstheme="majorHAnsi"/>
        </w:rPr>
      </w:pPr>
      <w:r>
        <w:rPr>
          <w:rFonts w:asciiTheme="majorHAnsi" w:hAnsiTheme="majorHAnsi" w:cstheme="majorHAnsi"/>
        </w:rPr>
        <w:t>p</w:t>
      </w:r>
      <w:r w:rsidRPr="00F41262">
        <w:rPr>
          <w:rFonts w:asciiTheme="majorHAnsi" w:hAnsiTheme="majorHAnsi" w:cstheme="majorHAnsi"/>
        </w:rPr>
        <w:t>roject</w:t>
      </w:r>
      <w:r>
        <w:rPr>
          <w:rFonts w:asciiTheme="majorHAnsi" w:hAnsiTheme="majorHAnsi" w:cstheme="majorHAnsi"/>
        </w:rPr>
        <w:t>s</w:t>
      </w:r>
      <w:r w:rsidRPr="00F41262">
        <w:rPr>
          <w:rFonts w:asciiTheme="majorHAnsi" w:hAnsiTheme="majorHAnsi" w:cstheme="majorHAnsi"/>
        </w:rPr>
        <w:t xml:space="preserve"> directed at unemployed people to:</w:t>
      </w:r>
    </w:p>
    <w:p w14:paraId="45539DDD" w14:textId="77777777" w:rsidR="007D6F87" w:rsidRPr="00F41262" w:rsidRDefault="007D6F87" w:rsidP="005757AA">
      <w:pPr>
        <w:pStyle w:val="Bullet2"/>
        <w:numPr>
          <w:ilvl w:val="0"/>
          <w:numId w:val="23"/>
        </w:numPr>
        <w:spacing w:before="0"/>
        <w:ind w:left="1287" w:hanging="357"/>
        <w:rPr>
          <w:rFonts w:asciiTheme="majorHAnsi" w:hAnsiTheme="majorHAnsi" w:cstheme="majorHAnsi"/>
        </w:rPr>
      </w:pPr>
      <w:proofErr w:type="gramStart"/>
      <w:r w:rsidRPr="00F41262">
        <w:rPr>
          <w:rFonts w:asciiTheme="majorHAnsi" w:hAnsiTheme="majorHAnsi" w:cstheme="majorHAnsi"/>
        </w:rPr>
        <w:t>provide</w:t>
      </w:r>
      <w:proofErr w:type="gramEnd"/>
      <w:r w:rsidRPr="00F41262">
        <w:rPr>
          <w:rFonts w:asciiTheme="majorHAnsi" w:hAnsiTheme="majorHAnsi" w:cstheme="majorHAnsi"/>
        </w:rPr>
        <w:t xml:space="preserve"> them with technical and vocational guidance and training programs, including opportunities which will provide them with a pathway to paid employment and improve work skills. </w:t>
      </w:r>
    </w:p>
    <w:p w14:paraId="33DC0279" w14:textId="77777777" w:rsidR="007D6F87" w:rsidRPr="00F41262" w:rsidRDefault="007D6F87" w:rsidP="007D6F87">
      <w:pPr>
        <w:pStyle w:val="Bullet1"/>
        <w:rPr>
          <w:rFonts w:asciiTheme="majorHAnsi" w:hAnsiTheme="majorHAnsi" w:cstheme="majorHAnsi"/>
        </w:rPr>
      </w:pPr>
      <w:r>
        <w:rPr>
          <w:rFonts w:asciiTheme="majorHAnsi" w:hAnsiTheme="majorHAnsi" w:cstheme="majorHAnsi"/>
        </w:rPr>
        <w:t>p</w:t>
      </w:r>
      <w:r w:rsidRPr="00F41262">
        <w:rPr>
          <w:rFonts w:asciiTheme="majorHAnsi" w:hAnsiTheme="majorHAnsi" w:cstheme="majorHAnsi"/>
        </w:rPr>
        <w:t>roject</w:t>
      </w:r>
      <w:r>
        <w:rPr>
          <w:rFonts w:asciiTheme="majorHAnsi" w:hAnsiTheme="majorHAnsi" w:cstheme="majorHAnsi"/>
        </w:rPr>
        <w:t>s</w:t>
      </w:r>
      <w:r w:rsidRPr="00F41262">
        <w:rPr>
          <w:rFonts w:asciiTheme="majorHAnsi" w:hAnsiTheme="majorHAnsi" w:cstheme="majorHAnsi"/>
        </w:rPr>
        <w:t xml:space="preserve"> directed at addressing issues of racial, cultural or ethnic discrimination within the community through: </w:t>
      </w:r>
    </w:p>
    <w:p w14:paraId="1A57B7F9" w14:textId="77777777" w:rsidR="007D6F87" w:rsidRPr="00F41262" w:rsidRDefault="007D6F87" w:rsidP="005757AA">
      <w:pPr>
        <w:pStyle w:val="Bullet2"/>
        <w:numPr>
          <w:ilvl w:val="0"/>
          <w:numId w:val="23"/>
        </w:numPr>
        <w:spacing w:before="0"/>
        <w:ind w:left="1287" w:hanging="357"/>
        <w:rPr>
          <w:rFonts w:asciiTheme="majorHAnsi" w:hAnsiTheme="majorHAnsi" w:cstheme="majorHAnsi"/>
        </w:rPr>
      </w:pPr>
      <w:proofErr w:type="gramStart"/>
      <w:r w:rsidRPr="00F41262">
        <w:rPr>
          <w:rFonts w:asciiTheme="majorHAnsi" w:hAnsiTheme="majorHAnsi" w:cstheme="majorHAnsi"/>
        </w:rPr>
        <w:t>educational</w:t>
      </w:r>
      <w:proofErr w:type="gramEnd"/>
      <w:r w:rsidRPr="00F41262">
        <w:rPr>
          <w:rFonts w:asciiTheme="majorHAnsi" w:hAnsiTheme="majorHAnsi" w:cstheme="majorHAnsi"/>
        </w:rPr>
        <w:t xml:space="preserve"> and awareness activities, community workshops or forums for the purpose of eliminating this discrimination.</w:t>
      </w:r>
    </w:p>
    <w:p w14:paraId="32398108" w14:textId="77777777" w:rsidR="007D6F87" w:rsidRPr="00F41262" w:rsidRDefault="007D6F87" w:rsidP="007D6F87">
      <w:pPr>
        <w:pStyle w:val="Bullet1"/>
        <w:rPr>
          <w:rFonts w:asciiTheme="majorHAnsi" w:hAnsiTheme="majorHAnsi" w:cstheme="majorHAnsi"/>
        </w:rPr>
      </w:pPr>
      <w:r>
        <w:rPr>
          <w:rFonts w:asciiTheme="majorHAnsi" w:hAnsiTheme="majorHAnsi" w:cstheme="majorHAnsi"/>
        </w:rPr>
        <w:t>p</w:t>
      </w:r>
      <w:r w:rsidRPr="00F41262">
        <w:rPr>
          <w:rFonts w:asciiTheme="majorHAnsi" w:hAnsiTheme="majorHAnsi" w:cstheme="majorHAnsi"/>
        </w:rPr>
        <w:t>roject</w:t>
      </w:r>
      <w:r w:rsidRPr="00DF0A36">
        <w:rPr>
          <w:rFonts w:asciiTheme="majorHAnsi" w:hAnsiTheme="majorHAnsi" w:cstheme="majorHAnsi"/>
        </w:rPr>
        <w:t xml:space="preserve">s </w:t>
      </w:r>
      <w:r w:rsidRPr="00F41262">
        <w:rPr>
          <w:rFonts w:asciiTheme="majorHAnsi" w:hAnsiTheme="majorHAnsi" w:cstheme="majorHAnsi"/>
        </w:rPr>
        <w:t>directed at addressing issues of discrimination against women to:</w:t>
      </w:r>
    </w:p>
    <w:p w14:paraId="6317E4E0" w14:textId="77777777" w:rsidR="007D6F87" w:rsidRPr="00F41262" w:rsidRDefault="007D6F87" w:rsidP="005757AA">
      <w:pPr>
        <w:pStyle w:val="Bullet2"/>
        <w:numPr>
          <w:ilvl w:val="0"/>
          <w:numId w:val="24"/>
        </w:numPr>
        <w:spacing w:before="0"/>
        <w:ind w:left="1287" w:hanging="357"/>
        <w:rPr>
          <w:rFonts w:asciiTheme="majorHAnsi" w:hAnsiTheme="majorHAnsi" w:cstheme="majorHAnsi"/>
        </w:rPr>
      </w:pPr>
      <w:proofErr w:type="gramStart"/>
      <w:r w:rsidRPr="00F41262">
        <w:rPr>
          <w:rFonts w:asciiTheme="majorHAnsi" w:hAnsiTheme="majorHAnsi" w:cstheme="majorHAnsi"/>
        </w:rPr>
        <w:t>support</w:t>
      </w:r>
      <w:proofErr w:type="gramEnd"/>
      <w:r w:rsidRPr="00F41262">
        <w:rPr>
          <w:rFonts w:asciiTheme="majorHAnsi" w:hAnsiTheme="majorHAnsi" w:cstheme="majorHAnsi"/>
        </w:rPr>
        <w:t xml:space="preserve"> women in exercising their rights and freedoms on an equal basis with men.</w:t>
      </w:r>
    </w:p>
    <w:p w14:paraId="26B43E77" w14:textId="77777777" w:rsidR="007D6F87" w:rsidRPr="00F41262" w:rsidRDefault="007D6F87" w:rsidP="007D6F87">
      <w:pPr>
        <w:pStyle w:val="Bullet1"/>
        <w:rPr>
          <w:rFonts w:asciiTheme="majorHAnsi" w:hAnsiTheme="majorHAnsi" w:cstheme="majorHAnsi"/>
        </w:rPr>
      </w:pPr>
      <w:r>
        <w:rPr>
          <w:rFonts w:asciiTheme="majorHAnsi" w:hAnsiTheme="majorHAnsi" w:cstheme="majorHAnsi"/>
        </w:rPr>
        <w:t>p</w:t>
      </w:r>
      <w:r w:rsidRPr="00F41262">
        <w:rPr>
          <w:rFonts w:asciiTheme="majorHAnsi" w:hAnsiTheme="majorHAnsi" w:cstheme="majorHAnsi"/>
        </w:rPr>
        <w:t>roject</w:t>
      </w:r>
      <w:r>
        <w:rPr>
          <w:rFonts w:asciiTheme="majorHAnsi" w:hAnsiTheme="majorHAnsi" w:cstheme="majorHAnsi"/>
        </w:rPr>
        <w:t>s</w:t>
      </w:r>
      <w:r w:rsidRPr="00F41262">
        <w:rPr>
          <w:rFonts w:asciiTheme="majorHAnsi" w:hAnsiTheme="majorHAnsi" w:cstheme="majorHAnsi"/>
        </w:rPr>
        <w:t xml:space="preserve"> directed at people with disability or mental health issues to support their full and equal participation in society on an equal basis with others to:</w:t>
      </w:r>
    </w:p>
    <w:p w14:paraId="6BCD33F1" w14:textId="77777777" w:rsidR="007D6F87" w:rsidRPr="00F41262" w:rsidRDefault="007D6F87" w:rsidP="005757AA">
      <w:pPr>
        <w:pStyle w:val="Bullet2"/>
        <w:numPr>
          <w:ilvl w:val="0"/>
          <w:numId w:val="25"/>
        </w:numPr>
        <w:spacing w:before="0"/>
        <w:ind w:left="1287" w:hanging="357"/>
        <w:rPr>
          <w:rFonts w:asciiTheme="majorHAnsi" w:hAnsiTheme="majorHAnsi" w:cstheme="majorHAnsi"/>
        </w:rPr>
      </w:pPr>
      <w:proofErr w:type="gramStart"/>
      <w:r w:rsidRPr="00F41262">
        <w:rPr>
          <w:rFonts w:asciiTheme="majorHAnsi" w:hAnsiTheme="majorHAnsi" w:cstheme="majorHAnsi"/>
        </w:rPr>
        <w:t>support</w:t>
      </w:r>
      <w:proofErr w:type="gramEnd"/>
      <w:r w:rsidRPr="00F41262">
        <w:rPr>
          <w:rFonts w:asciiTheme="majorHAnsi" w:hAnsiTheme="majorHAnsi" w:cstheme="majorHAnsi"/>
        </w:rPr>
        <w:t xml:space="preserve"> them to become and remain independent and participate fully in the community, including through skills training.</w:t>
      </w:r>
    </w:p>
    <w:p w14:paraId="3A4EA727" w14:textId="77777777" w:rsidR="007D6F87" w:rsidRPr="00F41262" w:rsidRDefault="007D6F87" w:rsidP="005757AA">
      <w:pPr>
        <w:pStyle w:val="Bullet2"/>
        <w:numPr>
          <w:ilvl w:val="0"/>
          <w:numId w:val="25"/>
        </w:numPr>
        <w:spacing w:before="0"/>
        <w:ind w:left="1287" w:hanging="357"/>
        <w:rPr>
          <w:rFonts w:asciiTheme="majorHAnsi" w:hAnsiTheme="majorHAnsi" w:cstheme="majorHAnsi"/>
        </w:rPr>
      </w:pPr>
      <w:proofErr w:type="gramStart"/>
      <w:r w:rsidRPr="00F41262">
        <w:rPr>
          <w:rFonts w:asciiTheme="majorHAnsi" w:hAnsiTheme="majorHAnsi" w:cstheme="majorHAnsi"/>
        </w:rPr>
        <w:t>projects</w:t>
      </w:r>
      <w:proofErr w:type="gramEnd"/>
      <w:r w:rsidRPr="00F41262">
        <w:rPr>
          <w:rFonts w:asciiTheme="majorHAnsi" w:hAnsiTheme="majorHAnsi" w:cstheme="majorHAnsi"/>
        </w:rPr>
        <w:t xml:space="preserve"> directed at non-Australian citizens, which would generally include humanitarian entrants or newly arrived migrants from culturally diverse backgrounds, to support the social and economic participation of these non-Australian citizens in their communities. This could include but is not limited to: referral to training and work experience opportunities within mainstream organisations to improve language, social and work skills; </w:t>
      </w:r>
    </w:p>
    <w:p w14:paraId="766F4DB8" w14:textId="77777777" w:rsidR="007D6F87" w:rsidRPr="00F41262" w:rsidRDefault="007D6F87" w:rsidP="005757AA">
      <w:pPr>
        <w:pStyle w:val="Bullet2"/>
        <w:numPr>
          <w:ilvl w:val="0"/>
          <w:numId w:val="25"/>
        </w:numPr>
        <w:spacing w:before="0"/>
        <w:ind w:left="1287" w:hanging="357"/>
        <w:rPr>
          <w:rFonts w:asciiTheme="majorHAnsi" w:hAnsiTheme="majorHAnsi" w:cstheme="majorHAnsi"/>
        </w:rPr>
      </w:pPr>
      <w:proofErr w:type="gramStart"/>
      <w:r w:rsidRPr="00F41262">
        <w:rPr>
          <w:rFonts w:asciiTheme="majorHAnsi" w:hAnsiTheme="majorHAnsi" w:cstheme="majorHAnsi"/>
        </w:rPr>
        <w:t>empowering</w:t>
      </w:r>
      <w:proofErr w:type="gramEnd"/>
      <w:r w:rsidRPr="00F41262">
        <w:rPr>
          <w:rFonts w:asciiTheme="majorHAnsi" w:hAnsiTheme="majorHAnsi" w:cstheme="majorHAnsi"/>
        </w:rPr>
        <w:t xml:space="preserve"> women through leadership training.</w:t>
      </w:r>
    </w:p>
    <w:p w14:paraId="270581C8" w14:textId="77777777" w:rsidR="007D6F87" w:rsidRPr="00F41262" w:rsidRDefault="007D6F87" w:rsidP="007D6F87">
      <w:pPr>
        <w:pStyle w:val="Bullet1"/>
        <w:rPr>
          <w:rFonts w:asciiTheme="majorHAnsi" w:hAnsiTheme="majorHAnsi" w:cstheme="majorHAnsi"/>
        </w:rPr>
      </w:pPr>
      <w:proofErr w:type="gramStart"/>
      <w:r>
        <w:rPr>
          <w:rFonts w:asciiTheme="majorHAnsi" w:hAnsiTheme="majorHAnsi" w:cstheme="majorHAnsi"/>
        </w:rPr>
        <w:t>p</w:t>
      </w:r>
      <w:r w:rsidRPr="00F41262">
        <w:rPr>
          <w:rFonts w:asciiTheme="majorHAnsi" w:hAnsiTheme="majorHAnsi" w:cstheme="majorHAnsi"/>
        </w:rPr>
        <w:t>roject</w:t>
      </w:r>
      <w:r>
        <w:rPr>
          <w:rFonts w:asciiTheme="majorHAnsi" w:hAnsiTheme="majorHAnsi" w:cstheme="majorHAnsi"/>
        </w:rPr>
        <w:t>s</w:t>
      </w:r>
      <w:proofErr w:type="gramEnd"/>
      <w:r w:rsidRPr="00F41262">
        <w:rPr>
          <w:rFonts w:asciiTheme="majorHAnsi" w:hAnsiTheme="majorHAnsi" w:cstheme="majorHAnsi"/>
        </w:rPr>
        <w:t xml:space="preserve"> delivered online to support the social and economic participation of people within their communities.</w:t>
      </w:r>
      <w:r>
        <w:rPr>
          <w:rFonts w:asciiTheme="majorHAnsi" w:hAnsiTheme="majorHAnsi" w:cstheme="majorHAnsi"/>
        </w:rPr>
        <w:t xml:space="preserve"> </w:t>
      </w:r>
      <w:r w:rsidRPr="00F41262">
        <w:rPr>
          <w:rFonts w:asciiTheme="majorHAnsi" w:hAnsiTheme="majorHAnsi" w:cstheme="majorHAnsi"/>
        </w:rPr>
        <w:t>This could include but is not limited to:</w:t>
      </w:r>
    </w:p>
    <w:p w14:paraId="1950ABE7" w14:textId="77777777" w:rsidR="007D6F87" w:rsidRPr="00F41262" w:rsidRDefault="007D6F87" w:rsidP="005757AA">
      <w:pPr>
        <w:pStyle w:val="Bullet2"/>
        <w:numPr>
          <w:ilvl w:val="0"/>
          <w:numId w:val="25"/>
        </w:numPr>
        <w:spacing w:before="0"/>
        <w:ind w:left="1287" w:hanging="357"/>
        <w:rPr>
          <w:rFonts w:asciiTheme="majorHAnsi" w:hAnsiTheme="majorHAnsi" w:cstheme="majorHAnsi"/>
        </w:rPr>
      </w:pPr>
      <w:r w:rsidRPr="00F41262">
        <w:rPr>
          <w:rFonts w:asciiTheme="majorHAnsi" w:hAnsiTheme="majorHAnsi" w:cstheme="majorHAnsi"/>
        </w:rPr>
        <w:t>an online service that increases community participation for individuals experiencing or at risk of social isolation;</w:t>
      </w:r>
    </w:p>
    <w:p w14:paraId="46DF7304" w14:textId="77777777" w:rsidR="007D6F87" w:rsidRPr="00F41262" w:rsidRDefault="007D6F87" w:rsidP="005757AA">
      <w:pPr>
        <w:pStyle w:val="Bullet2"/>
        <w:numPr>
          <w:ilvl w:val="0"/>
          <w:numId w:val="25"/>
        </w:numPr>
        <w:spacing w:before="0"/>
        <w:ind w:left="1287" w:hanging="357"/>
        <w:rPr>
          <w:rFonts w:asciiTheme="majorHAnsi" w:hAnsiTheme="majorHAnsi" w:cstheme="majorHAnsi"/>
        </w:rPr>
      </w:pPr>
      <w:proofErr w:type="gramStart"/>
      <w:r w:rsidRPr="00F41262">
        <w:rPr>
          <w:rFonts w:asciiTheme="majorHAnsi" w:hAnsiTheme="majorHAnsi" w:cstheme="majorHAnsi"/>
        </w:rPr>
        <w:t>an</w:t>
      </w:r>
      <w:proofErr w:type="gramEnd"/>
      <w:r w:rsidRPr="00F41262">
        <w:rPr>
          <w:rFonts w:asciiTheme="majorHAnsi" w:hAnsiTheme="majorHAnsi" w:cstheme="majorHAnsi"/>
        </w:rPr>
        <w:t xml:space="preserve"> online service to deliver information and support services to people living in regional and remote communities.</w:t>
      </w:r>
    </w:p>
    <w:p w14:paraId="054C3FD7" w14:textId="77777777" w:rsidR="007D6F87" w:rsidRPr="00F41262" w:rsidRDefault="007D6F87" w:rsidP="007D6F87">
      <w:pPr>
        <w:pStyle w:val="Bullet1"/>
        <w:spacing w:before="0"/>
        <w:rPr>
          <w:rFonts w:asciiTheme="majorHAnsi" w:hAnsiTheme="majorHAnsi" w:cstheme="majorHAnsi"/>
        </w:rPr>
      </w:pPr>
      <w:proofErr w:type="gramStart"/>
      <w:r>
        <w:rPr>
          <w:rFonts w:asciiTheme="majorHAnsi" w:hAnsiTheme="majorHAnsi" w:cstheme="majorHAnsi"/>
        </w:rPr>
        <w:lastRenderedPageBreak/>
        <w:t>p</w:t>
      </w:r>
      <w:r w:rsidRPr="00F41262">
        <w:rPr>
          <w:rFonts w:asciiTheme="majorHAnsi" w:hAnsiTheme="majorHAnsi" w:cstheme="majorHAnsi"/>
        </w:rPr>
        <w:t>roject</w:t>
      </w:r>
      <w:r>
        <w:rPr>
          <w:rFonts w:asciiTheme="majorHAnsi" w:hAnsiTheme="majorHAnsi" w:cstheme="majorHAnsi"/>
        </w:rPr>
        <w:t>s</w:t>
      </w:r>
      <w:proofErr w:type="gramEnd"/>
      <w:r w:rsidRPr="00F41262">
        <w:rPr>
          <w:rFonts w:asciiTheme="majorHAnsi" w:hAnsiTheme="majorHAnsi" w:cstheme="majorHAnsi"/>
        </w:rPr>
        <w:t xml:space="preserve"> to support the social and economic participation of Indigenous Australians within their communities.</w:t>
      </w:r>
      <w:r>
        <w:rPr>
          <w:rFonts w:asciiTheme="majorHAnsi" w:hAnsiTheme="majorHAnsi" w:cstheme="majorHAnsi"/>
        </w:rPr>
        <w:t xml:space="preserve"> </w:t>
      </w:r>
      <w:r w:rsidRPr="00F41262">
        <w:rPr>
          <w:rFonts w:asciiTheme="majorHAnsi" w:hAnsiTheme="majorHAnsi" w:cstheme="majorHAnsi"/>
        </w:rPr>
        <w:t>This could include but is not limited to:</w:t>
      </w:r>
    </w:p>
    <w:p w14:paraId="5939D759" w14:textId="77777777" w:rsidR="007D6F87" w:rsidRPr="00F41262" w:rsidRDefault="007D6F87" w:rsidP="005757AA">
      <w:pPr>
        <w:pStyle w:val="Bullet2"/>
        <w:numPr>
          <w:ilvl w:val="0"/>
          <w:numId w:val="25"/>
        </w:numPr>
        <w:spacing w:before="0"/>
        <w:ind w:left="1287" w:hanging="357"/>
        <w:rPr>
          <w:rFonts w:asciiTheme="majorHAnsi" w:hAnsiTheme="majorHAnsi" w:cstheme="majorHAnsi"/>
        </w:rPr>
      </w:pPr>
      <w:r w:rsidRPr="00F41262">
        <w:rPr>
          <w:rFonts w:asciiTheme="majorHAnsi" w:hAnsiTheme="majorHAnsi" w:cstheme="majorHAnsi"/>
        </w:rPr>
        <w:t>life skills, leadership training and entrepreneurial opportunities;</w:t>
      </w:r>
    </w:p>
    <w:p w14:paraId="46F36C08" w14:textId="3968521B" w:rsidR="00A372CF" w:rsidRPr="0033689F" w:rsidRDefault="007D6F87" w:rsidP="0033689F">
      <w:pPr>
        <w:pStyle w:val="Bullet2"/>
        <w:numPr>
          <w:ilvl w:val="0"/>
          <w:numId w:val="25"/>
        </w:numPr>
        <w:spacing w:before="0"/>
        <w:ind w:left="1287" w:hanging="357"/>
        <w:rPr>
          <w:rFonts w:asciiTheme="majorHAnsi" w:hAnsiTheme="majorHAnsi" w:cstheme="majorHAnsi"/>
        </w:rPr>
      </w:pPr>
      <w:proofErr w:type="gramStart"/>
      <w:r w:rsidRPr="00F41262">
        <w:rPr>
          <w:rFonts w:asciiTheme="majorHAnsi" w:hAnsiTheme="majorHAnsi" w:cstheme="majorHAnsi"/>
        </w:rPr>
        <w:t>information</w:t>
      </w:r>
      <w:proofErr w:type="gramEnd"/>
      <w:r w:rsidRPr="00F41262">
        <w:rPr>
          <w:rFonts w:asciiTheme="majorHAnsi" w:hAnsiTheme="majorHAnsi" w:cstheme="majorHAnsi"/>
        </w:rPr>
        <w:t>, training and referral to community activities to build self</w:t>
      </w:r>
      <w:r w:rsidRPr="00F41262">
        <w:rPr>
          <w:rFonts w:asciiTheme="majorHAnsi" w:hAnsiTheme="majorHAnsi" w:cstheme="majorHAnsi"/>
        </w:rPr>
        <w:noBreakHyphen/>
        <w:t>confidence, skills and capabilities.</w:t>
      </w:r>
    </w:p>
    <w:p w14:paraId="026FD44C" w14:textId="34E8182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7301FF5" w14:textId="77777777" w:rsidR="00045933" w:rsidRPr="000A271A" w:rsidRDefault="00045933" w:rsidP="000A271A">
      <w:pPr>
        <w:pStyle w:val="Bullet1"/>
      </w:pPr>
      <w:r w:rsidRPr="000A271A">
        <w:t>the purpose of the grant opportunity</w:t>
      </w:r>
    </w:p>
    <w:p w14:paraId="2C46C443" w14:textId="77777777" w:rsidR="0097683A" w:rsidRDefault="00045933" w:rsidP="0097683A">
      <w:pPr>
        <w:pStyle w:val="Bullet1"/>
      </w:pPr>
      <w:r w:rsidRPr="000A271A">
        <w:t>the eligibility and assessment criteria</w:t>
      </w:r>
    </w:p>
    <w:p w14:paraId="31E4090B" w14:textId="77777777" w:rsidR="0097683A" w:rsidRPr="000A271A" w:rsidRDefault="0097683A" w:rsidP="0097683A">
      <w:pPr>
        <w:pStyle w:val="Bullet1"/>
      </w:pPr>
      <w:r>
        <w:t>how to apply for the grant opportunity</w:t>
      </w:r>
    </w:p>
    <w:p w14:paraId="143BC882"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5487F113" w14:textId="77777777" w:rsidR="00045933" w:rsidRPr="000A271A" w:rsidRDefault="00045933" w:rsidP="000A271A">
      <w:pPr>
        <w:pStyle w:val="Bullet1"/>
      </w:pPr>
      <w:proofErr w:type="gramStart"/>
      <w:r w:rsidRPr="000A271A">
        <w:t>responsibilities</w:t>
      </w:r>
      <w:proofErr w:type="gramEnd"/>
      <w:r w:rsidRPr="000A271A">
        <w:t xml:space="preserve"> and expectations in relation to the opportunity. </w:t>
      </w:r>
    </w:p>
    <w:p w14:paraId="7E385B89" w14:textId="77777777" w:rsidR="000A271A" w:rsidRDefault="000A271A" w:rsidP="00045933">
      <w:pPr>
        <w:pStyle w:val="NoSpacing"/>
        <w:rPr>
          <w:rFonts w:asciiTheme="majorHAnsi" w:hAnsiTheme="majorHAnsi" w:cstheme="majorHAnsi"/>
        </w:rPr>
      </w:pPr>
    </w:p>
    <w:p w14:paraId="531C9DB7" w14:textId="3B875497"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51C5080F" w14:textId="6CDFADD4" w:rsidR="006925DC" w:rsidRDefault="006925DC" w:rsidP="00045933">
      <w:pPr>
        <w:pStyle w:val="NoSpacing"/>
        <w:rPr>
          <w:rFonts w:asciiTheme="majorHAnsi" w:hAnsiTheme="majorHAnsi" w:cstheme="majorHAnsi"/>
        </w:rPr>
      </w:pPr>
    </w:p>
    <w:p w14:paraId="391DC65E" w14:textId="01FA3A02" w:rsidR="00A372CF" w:rsidRDefault="00235EB1" w:rsidP="00235EB1">
      <w:pPr>
        <w:pStyle w:val="Heading2Numbered"/>
        <w:numPr>
          <w:ilvl w:val="1"/>
          <w:numId w:val="16"/>
        </w:numPr>
        <w:ind w:left="567"/>
      </w:pPr>
      <w:bookmarkStart w:id="11" w:name="_Toc524419148"/>
      <w:r w:rsidRPr="00235EB1">
        <w:t>About this grant opportunity</w:t>
      </w:r>
      <w:bookmarkEnd w:id="11"/>
      <w:r w:rsidRPr="00235EB1">
        <w:t xml:space="preserve"> </w:t>
      </w:r>
    </w:p>
    <w:p w14:paraId="0217744E" w14:textId="0CA7F677" w:rsidR="00235EB1" w:rsidRDefault="00235EB1" w:rsidP="00235EB1">
      <w:pPr>
        <w:spacing w:before="240"/>
        <w:rPr>
          <w:rFonts w:cs="Arial"/>
        </w:rPr>
      </w:pPr>
      <w:r>
        <w:t xml:space="preserve">The Department of Social Services is inviting applications through a targeted non-competitive selection process to deliver two projects that support target </w:t>
      </w:r>
      <w:r w:rsidRPr="00EE5869">
        <w:rPr>
          <w:rFonts w:cs="Arial"/>
        </w:rPr>
        <w:t>vulnerable and disadvantaged individuals and</w:t>
      </w:r>
      <w:r>
        <w:rPr>
          <w:rFonts w:cs="Arial"/>
        </w:rPr>
        <w:t>/or their families and carers.  These are:</w:t>
      </w:r>
    </w:p>
    <w:p w14:paraId="78D02EBF" w14:textId="2DD8446F" w:rsidR="00235EB1" w:rsidRDefault="00235EB1" w:rsidP="00235EB1">
      <w:pPr>
        <w:pStyle w:val="Bullet1"/>
        <w:ind w:left="0" w:firstLine="0"/>
        <w:rPr>
          <w:rFonts w:cs="Arial"/>
        </w:rPr>
      </w:pPr>
      <w:r>
        <w:rPr>
          <w:rFonts w:cs="Arial"/>
        </w:rPr>
        <w:t>A project to support disengaged youth living in Queensland, who have left school early or are at risk of poor educational outcomes, to undertake further study through a flexible learning environment.</w:t>
      </w:r>
    </w:p>
    <w:p w14:paraId="090171ED" w14:textId="16C6043C" w:rsidR="00235EB1" w:rsidRPr="00EE5869" w:rsidRDefault="00235EB1" w:rsidP="00235EB1">
      <w:pPr>
        <w:pStyle w:val="Bullet1"/>
        <w:ind w:left="0" w:firstLine="0"/>
        <w:rPr>
          <w:rFonts w:cs="Arial"/>
        </w:rPr>
      </w:pPr>
      <w:r>
        <w:rPr>
          <w:rFonts w:cs="Arial"/>
        </w:rPr>
        <w:t>A project to support people with autism and their family and carers living in New South Wales and provides the</w:t>
      </w:r>
      <w:r w:rsidR="001607B7">
        <w:rPr>
          <w:rFonts w:cs="Arial"/>
        </w:rPr>
        <w:t>m with information and services.</w:t>
      </w:r>
    </w:p>
    <w:p w14:paraId="2DBEB884" w14:textId="15F1413C" w:rsidR="00235EB1" w:rsidRDefault="00235EB1" w:rsidP="00235EB1">
      <w:pPr>
        <w:pStyle w:val="Heading2Numbered"/>
        <w:numPr>
          <w:ilvl w:val="1"/>
          <w:numId w:val="16"/>
        </w:numPr>
        <w:ind w:left="567"/>
      </w:pPr>
      <w:bookmarkStart w:id="12" w:name="_Toc524419149"/>
      <w:r>
        <w:t>Inclusive Communities grant outcomes</w:t>
      </w:r>
      <w:bookmarkEnd w:id="12"/>
    </w:p>
    <w:p w14:paraId="634AD988" w14:textId="77777777" w:rsidR="00D848DB" w:rsidRDefault="00235EB1" w:rsidP="00235EB1">
      <w:pPr>
        <w:spacing w:before="240"/>
        <w:rPr>
          <w:rFonts w:cs="Arial"/>
        </w:rPr>
      </w:pPr>
      <w:r>
        <w:t xml:space="preserve">The outcome of </w:t>
      </w:r>
      <w:r w:rsidRPr="00874E03">
        <w:t>Inclusive Communities</w:t>
      </w:r>
      <w:r w:rsidRPr="00DF54A2">
        <w:t xml:space="preserve"> </w:t>
      </w:r>
      <w:r>
        <w:t>g</w:t>
      </w:r>
      <w:r w:rsidRPr="00DF54A2">
        <w:t xml:space="preserve">rants </w:t>
      </w:r>
      <w:r>
        <w:t xml:space="preserve">is to </w:t>
      </w:r>
      <w:r w:rsidRPr="00DF54A2">
        <w:t>increase</w:t>
      </w:r>
      <w:r w:rsidRPr="00EE5869">
        <w:rPr>
          <w:rFonts w:cs="Arial"/>
        </w:rPr>
        <w:t xml:space="preserve"> the social and economic participation of vulnerable and disadvantaged individuals and</w:t>
      </w:r>
      <w:r>
        <w:rPr>
          <w:rFonts w:cs="Arial"/>
        </w:rPr>
        <w:t xml:space="preserve"> families within their communities.</w:t>
      </w:r>
    </w:p>
    <w:p w14:paraId="67D4C71E" w14:textId="0CEFFF7E" w:rsidR="00045933" w:rsidRPr="00154D5E" w:rsidRDefault="00D848DB" w:rsidP="00A668C8">
      <w:pPr>
        <w:pStyle w:val="Heading1Numbered"/>
      </w:pPr>
      <w:r>
        <w:rPr>
          <w:rFonts w:cs="Arial"/>
        </w:rPr>
        <w:br w:type="page"/>
      </w:r>
      <w:bookmarkStart w:id="13" w:name="_Toc461105052"/>
      <w:bookmarkStart w:id="14" w:name="_Toc467773954"/>
      <w:bookmarkStart w:id="15" w:name="_Toc524419150"/>
      <w:bookmarkEnd w:id="10"/>
      <w:bookmarkEnd w:id="13"/>
      <w:r w:rsidR="00045933" w:rsidRPr="00154D5E">
        <w:lastRenderedPageBreak/>
        <w:t>Grant amount</w:t>
      </w:r>
      <w:bookmarkEnd w:id="14"/>
      <w:bookmarkEnd w:id="15"/>
    </w:p>
    <w:p w14:paraId="4C91C3F1" w14:textId="79A35D94" w:rsidR="005B4813" w:rsidRDefault="00045933" w:rsidP="00BB212F">
      <w:r w:rsidRPr="00045933">
        <w:t>The Australian Government announced a total of $</w:t>
      </w:r>
      <w:r w:rsidR="00A61729" w:rsidRPr="0033689F">
        <w:t>42 million</w:t>
      </w:r>
      <w:r w:rsidRPr="0033689F">
        <w:t xml:space="preserve"> </w:t>
      </w:r>
      <w:r w:rsidRPr="005B4813">
        <w:t>over</w:t>
      </w:r>
      <w:r w:rsidRPr="0033689F">
        <w:t xml:space="preserve"> </w:t>
      </w:r>
      <w:r w:rsidR="00A61729" w:rsidRPr="0033689F">
        <w:t>three and a quarter</w:t>
      </w:r>
      <w:r w:rsidR="00A61729" w:rsidRPr="0033689F">
        <w:rPr>
          <w:b/>
        </w:rPr>
        <w:t xml:space="preserve"> </w:t>
      </w:r>
      <w:r w:rsidRPr="00045933">
        <w:t>years for the</w:t>
      </w:r>
      <w:r w:rsidR="00A61729">
        <w:t xml:space="preserve"> Strong and Resilient Communities Activity</w:t>
      </w:r>
      <w:r w:rsidRPr="00340616">
        <w:t xml:space="preserve">. </w:t>
      </w:r>
      <w:r w:rsidR="009A2CFE">
        <w:t xml:space="preserve"> </w:t>
      </w:r>
      <w:r w:rsidRPr="00340616">
        <w:t xml:space="preserve">A total </w:t>
      </w:r>
      <w:r w:rsidRPr="0033689F">
        <w:t xml:space="preserve">of </w:t>
      </w:r>
      <w:r w:rsidR="007C1AD0">
        <w:t xml:space="preserve">up to </w:t>
      </w:r>
      <w:r w:rsidRPr="0033689F">
        <w:t>$</w:t>
      </w:r>
      <w:r w:rsidR="005B4813" w:rsidRPr="0033689F">
        <w:t>588,000</w:t>
      </w:r>
      <w:r w:rsidRPr="0033689F">
        <w:t xml:space="preserve"> over </w:t>
      </w:r>
      <w:r w:rsidR="005B4813" w:rsidRPr="0033689F">
        <w:t>three</w:t>
      </w:r>
      <w:r w:rsidRPr="00340616">
        <w:t xml:space="preserve"> years is available for this grant opportunity, starting in </w:t>
      </w:r>
      <w:r w:rsidR="005B4813" w:rsidRPr="005F5870">
        <w:t>2018</w:t>
      </w:r>
      <w:r w:rsidR="005B4813" w:rsidRPr="005F5870">
        <w:noBreakHyphen/>
        <w:t>19</w:t>
      </w:r>
      <w:r w:rsidR="005B4813">
        <w:t>.</w:t>
      </w:r>
    </w:p>
    <w:p w14:paraId="0D0642A7" w14:textId="079BD6FB" w:rsidR="002D550C" w:rsidRDefault="002D550C" w:rsidP="002D550C">
      <w:r>
        <w:t xml:space="preserve">The funding breakdown under this grant opportunity </w:t>
      </w:r>
      <w:proofErr w:type="gramStart"/>
      <w:r>
        <w:t>is shown</w:t>
      </w:r>
      <w:proofErr w:type="gramEnd"/>
      <w:r>
        <w:t xml:space="preserve"> in the table below:</w:t>
      </w:r>
    </w:p>
    <w:tbl>
      <w:tblPr>
        <w:tblStyle w:val="TableGrid"/>
        <w:tblpPr w:leftFromText="180" w:rightFromText="180" w:vertAnchor="text" w:horzAnchor="margin" w:tblpY="183"/>
        <w:tblW w:w="5474" w:type="pct"/>
        <w:tblLook w:val="04A0" w:firstRow="1" w:lastRow="0" w:firstColumn="1" w:lastColumn="0" w:noHBand="0" w:noVBand="1"/>
        <w:tblCaption w:val="Grant amount"/>
        <w:tblDescription w:val="The funding breakdown under this grant opportunity is shown in the table below:"/>
      </w:tblPr>
      <w:tblGrid>
        <w:gridCol w:w="3862"/>
        <w:gridCol w:w="1379"/>
        <w:gridCol w:w="1276"/>
        <w:gridCol w:w="1559"/>
        <w:gridCol w:w="1843"/>
      </w:tblGrid>
      <w:tr w:rsidR="002D550C" w:rsidRPr="00FE598B" w14:paraId="24DF9273" w14:textId="77777777" w:rsidTr="006561D8">
        <w:trPr>
          <w:tblHeader/>
        </w:trPr>
        <w:tc>
          <w:tcPr>
            <w:tcW w:w="1947" w:type="pct"/>
            <w:shd w:val="clear" w:color="auto" w:fill="D1D1D1" w:themeFill="text2" w:themeFillTint="33"/>
          </w:tcPr>
          <w:p w14:paraId="4437C275" w14:textId="77777777" w:rsidR="002D550C" w:rsidRPr="00FE598B" w:rsidRDefault="002D550C" w:rsidP="007472EF">
            <w:pPr>
              <w:pStyle w:val="Covertable"/>
              <w:spacing w:before="0" w:after="0"/>
              <w:jc w:val="center"/>
              <w:rPr>
                <w:b/>
                <w:bCs w:val="0"/>
                <w:snapToGrid/>
                <w:szCs w:val="24"/>
              </w:rPr>
            </w:pPr>
          </w:p>
        </w:tc>
        <w:tc>
          <w:tcPr>
            <w:tcW w:w="695" w:type="pct"/>
            <w:shd w:val="clear" w:color="auto" w:fill="D1D1D1" w:themeFill="text2" w:themeFillTint="33"/>
            <w:vAlign w:val="center"/>
          </w:tcPr>
          <w:p w14:paraId="2A2BC86A" w14:textId="77777777" w:rsidR="002D550C" w:rsidRDefault="002D550C" w:rsidP="007472EF">
            <w:pPr>
              <w:pStyle w:val="Covertable"/>
              <w:spacing w:before="0" w:after="0"/>
              <w:jc w:val="center"/>
              <w:rPr>
                <w:b/>
                <w:bCs w:val="0"/>
                <w:snapToGrid/>
                <w:szCs w:val="24"/>
              </w:rPr>
            </w:pPr>
            <w:r w:rsidRPr="00FE598B">
              <w:rPr>
                <w:b/>
                <w:bCs w:val="0"/>
                <w:snapToGrid/>
                <w:szCs w:val="24"/>
              </w:rPr>
              <w:t xml:space="preserve">2018-19 </w:t>
            </w:r>
          </w:p>
          <w:p w14:paraId="6CB4500A" w14:textId="77777777" w:rsidR="002D550C" w:rsidRPr="00FE598B" w:rsidRDefault="002D550C" w:rsidP="007472EF">
            <w:pPr>
              <w:pStyle w:val="Covertable"/>
              <w:spacing w:before="0" w:after="0"/>
              <w:jc w:val="center"/>
              <w:rPr>
                <w:b/>
                <w:bCs w:val="0"/>
                <w:snapToGrid/>
                <w:szCs w:val="24"/>
              </w:rPr>
            </w:pPr>
          </w:p>
        </w:tc>
        <w:tc>
          <w:tcPr>
            <w:tcW w:w="643" w:type="pct"/>
            <w:shd w:val="clear" w:color="auto" w:fill="D1D1D1" w:themeFill="text2" w:themeFillTint="33"/>
            <w:vAlign w:val="center"/>
          </w:tcPr>
          <w:p w14:paraId="5C6F7F0D" w14:textId="77777777" w:rsidR="002D550C" w:rsidRDefault="002D550C" w:rsidP="007472EF">
            <w:pPr>
              <w:pStyle w:val="Covertable"/>
              <w:spacing w:before="0" w:after="0"/>
              <w:jc w:val="center"/>
              <w:rPr>
                <w:b/>
                <w:bCs w:val="0"/>
                <w:snapToGrid/>
                <w:szCs w:val="24"/>
              </w:rPr>
            </w:pPr>
            <w:r w:rsidRPr="00FE598B">
              <w:rPr>
                <w:b/>
                <w:bCs w:val="0"/>
                <w:snapToGrid/>
                <w:szCs w:val="24"/>
              </w:rPr>
              <w:t xml:space="preserve">2019-20 </w:t>
            </w:r>
          </w:p>
          <w:p w14:paraId="3C69F375" w14:textId="77777777" w:rsidR="002D550C" w:rsidRPr="00FE598B" w:rsidRDefault="002D550C" w:rsidP="007472EF">
            <w:pPr>
              <w:pStyle w:val="Covertable"/>
              <w:spacing w:before="0" w:after="0"/>
              <w:jc w:val="center"/>
              <w:rPr>
                <w:b/>
                <w:bCs w:val="0"/>
                <w:snapToGrid/>
                <w:szCs w:val="24"/>
              </w:rPr>
            </w:pPr>
          </w:p>
        </w:tc>
        <w:tc>
          <w:tcPr>
            <w:tcW w:w="786" w:type="pct"/>
            <w:shd w:val="clear" w:color="auto" w:fill="D1D1D1" w:themeFill="text2" w:themeFillTint="33"/>
          </w:tcPr>
          <w:p w14:paraId="47ADB242" w14:textId="77777777" w:rsidR="002D550C" w:rsidRDefault="002D550C" w:rsidP="007472EF">
            <w:pPr>
              <w:pStyle w:val="Covertable"/>
              <w:spacing w:before="0" w:after="0"/>
              <w:jc w:val="center"/>
              <w:rPr>
                <w:b/>
                <w:bCs w:val="0"/>
                <w:snapToGrid/>
                <w:szCs w:val="24"/>
              </w:rPr>
            </w:pPr>
            <w:r>
              <w:rPr>
                <w:b/>
                <w:bCs w:val="0"/>
                <w:snapToGrid/>
                <w:szCs w:val="24"/>
              </w:rPr>
              <w:t>2020-21</w:t>
            </w:r>
          </w:p>
          <w:p w14:paraId="6D9C7740" w14:textId="77777777" w:rsidR="002D550C" w:rsidRPr="00FE598B" w:rsidRDefault="002D550C" w:rsidP="007472EF">
            <w:pPr>
              <w:pStyle w:val="Covertable"/>
              <w:spacing w:before="0" w:after="0"/>
              <w:jc w:val="center"/>
              <w:rPr>
                <w:b/>
                <w:bCs w:val="0"/>
                <w:snapToGrid/>
                <w:szCs w:val="24"/>
              </w:rPr>
            </w:pPr>
          </w:p>
        </w:tc>
        <w:tc>
          <w:tcPr>
            <w:tcW w:w="929" w:type="pct"/>
            <w:shd w:val="clear" w:color="auto" w:fill="D1D1D1" w:themeFill="text2" w:themeFillTint="33"/>
            <w:vAlign w:val="center"/>
          </w:tcPr>
          <w:p w14:paraId="2697B3F5" w14:textId="77777777" w:rsidR="002D550C" w:rsidRPr="00FE598B" w:rsidRDefault="002D550C" w:rsidP="007472EF">
            <w:pPr>
              <w:pStyle w:val="Covertable"/>
              <w:spacing w:before="0" w:after="0"/>
              <w:jc w:val="center"/>
              <w:rPr>
                <w:b/>
                <w:bCs w:val="0"/>
                <w:snapToGrid/>
                <w:szCs w:val="24"/>
              </w:rPr>
            </w:pPr>
            <w:r w:rsidRPr="00FE598B">
              <w:rPr>
                <w:b/>
                <w:bCs w:val="0"/>
                <w:snapToGrid/>
                <w:szCs w:val="24"/>
              </w:rPr>
              <w:t xml:space="preserve">TOTAL </w:t>
            </w:r>
          </w:p>
        </w:tc>
      </w:tr>
      <w:tr w:rsidR="002D550C" w:rsidRPr="00A376E1" w14:paraId="47C06767" w14:textId="77777777" w:rsidTr="006561D8">
        <w:trPr>
          <w:tblHeader/>
        </w:trPr>
        <w:tc>
          <w:tcPr>
            <w:tcW w:w="1947" w:type="pct"/>
          </w:tcPr>
          <w:p w14:paraId="30021474"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YIRS One Stop Shop</w:t>
            </w:r>
          </w:p>
          <w:p w14:paraId="5AD77557" w14:textId="77777777" w:rsidR="002D550C" w:rsidRPr="001F027C" w:rsidRDefault="002D550C" w:rsidP="007472EF">
            <w:pPr>
              <w:pStyle w:val="Covertable"/>
              <w:spacing w:before="0" w:after="0"/>
              <w:jc w:val="center"/>
              <w:rPr>
                <w:rFonts w:ascii="Arial" w:hAnsi="Arial" w:cs="Arial"/>
                <w:bCs w:val="0"/>
                <w:snapToGrid/>
                <w:szCs w:val="24"/>
              </w:rPr>
            </w:pPr>
          </w:p>
        </w:tc>
        <w:tc>
          <w:tcPr>
            <w:tcW w:w="695" w:type="pct"/>
            <w:shd w:val="clear" w:color="auto" w:fill="auto"/>
          </w:tcPr>
          <w:p w14:paraId="16BD6439"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$59,363</w:t>
            </w:r>
          </w:p>
        </w:tc>
        <w:tc>
          <w:tcPr>
            <w:tcW w:w="643" w:type="pct"/>
            <w:shd w:val="clear" w:color="auto" w:fill="auto"/>
          </w:tcPr>
          <w:p w14:paraId="7ABA9B78"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$31,024</w:t>
            </w:r>
          </w:p>
        </w:tc>
        <w:tc>
          <w:tcPr>
            <w:tcW w:w="786" w:type="pct"/>
            <w:shd w:val="clear" w:color="auto" w:fill="auto"/>
          </w:tcPr>
          <w:p w14:paraId="63EB56B5"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$31,955</w:t>
            </w:r>
          </w:p>
        </w:tc>
        <w:tc>
          <w:tcPr>
            <w:tcW w:w="929" w:type="pct"/>
            <w:shd w:val="clear" w:color="auto" w:fill="auto"/>
          </w:tcPr>
          <w:p w14:paraId="566A515E"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$122,342</w:t>
            </w:r>
          </w:p>
        </w:tc>
      </w:tr>
      <w:tr w:rsidR="002D550C" w:rsidRPr="00A376E1" w14:paraId="5E6CC578" w14:textId="77777777" w:rsidTr="006561D8">
        <w:trPr>
          <w:tblHeader/>
        </w:trPr>
        <w:tc>
          <w:tcPr>
            <w:tcW w:w="1947" w:type="pct"/>
          </w:tcPr>
          <w:p w14:paraId="3B4BB59B"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Autism Community Network</w:t>
            </w:r>
          </w:p>
          <w:p w14:paraId="6282D752" w14:textId="77777777" w:rsidR="002D550C" w:rsidRPr="001F027C" w:rsidRDefault="002D550C" w:rsidP="007472EF">
            <w:pPr>
              <w:pStyle w:val="Covertable"/>
              <w:spacing w:before="0" w:after="0"/>
              <w:jc w:val="center"/>
              <w:rPr>
                <w:rFonts w:ascii="Arial" w:hAnsi="Arial" w:cs="Arial"/>
                <w:bCs w:val="0"/>
                <w:snapToGrid/>
                <w:szCs w:val="24"/>
              </w:rPr>
            </w:pPr>
          </w:p>
        </w:tc>
        <w:tc>
          <w:tcPr>
            <w:tcW w:w="695" w:type="pct"/>
            <w:shd w:val="clear" w:color="auto" w:fill="auto"/>
          </w:tcPr>
          <w:p w14:paraId="508B40BA"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$173,496</w:t>
            </w:r>
          </w:p>
        </w:tc>
        <w:tc>
          <w:tcPr>
            <w:tcW w:w="643" w:type="pct"/>
            <w:shd w:val="clear" w:color="auto" w:fill="auto"/>
          </w:tcPr>
          <w:p w14:paraId="093EF48B"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$142,370</w:t>
            </w:r>
          </w:p>
        </w:tc>
        <w:tc>
          <w:tcPr>
            <w:tcW w:w="786" w:type="pct"/>
            <w:shd w:val="clear" w:color="auto" w:fill="auto"/>
          </w:tcPr>
          <w:p w14:paraId="4F382B39" w14:textId="77777777" w:rsidR="002D550C" w:rsidRPr="001F027C" w:rsidRDefault="002D550C" w:rsidP="007472EF">
            <w:pPr>
              <w:pStyle w:val="Covertable"/>
              <w:spacing w:before="0" w:after="0"/>
              <w:jc w:val="center"/>
              <w:rPr>
                <w:rFonts w:ascii="Arial" w:hAnsi="Arial" w:cs="Arial"/>
                <w:bCs w:val="0"/>
                <w:snapToGrid/>
                <w:szCs w:val="24"/>
              </w:rPr>
            </w:pPr>
            <w:r w:rsidRPr="001F027C">
              <w:rPr>
                <w:rFonts w:ascii="Arial" w:hAnsi="Arial" w:cs="Arial"/>
                <w:bCs w:val="0"/>
                <w:snapToGrid/>
                <w:szCs w:val="24"/>
              </w:rPr>
              <w:t>$149,598</w:t>
            </w:r>
          </w:p>
        </w:tc>
        <w:tc>
          <w:tcPr>
            <w:tcW w:w="929" w:type="pct"/>
            <w:shd w:val="clear" w:color="auto" w:fill="auto"/>
          </w:tcPr>
          <w:p w14:paraId="38DF026C" w14:textId="19925DC3" w:rsidR="002D550C" w:rsidRPr="001F027C" w:rsidRDefault="00B5788D" w:rsidP="00B5788D">
            <w:pPr>
              <w:pStyle w:val="Covertable"/>
              <w:spacing w:before="0" w:after="0"/>
              <w:jc w:val="center"/>
              <w:rPr>
                <w:rFonts w:ascii="Arial" w:hAnsi="Arial" w:cs="Arial"/>
                <w:bCs w:val="0"/>
                <w:snapToGrid/>
                <w:szCs w:val="24"/>
              </w:rPr>
            </w:pPr>
            <w:r>
              <w:rPr>
                <w:rFonts w:ascii="Arial" w:hAnsi="Arial" w:cs="Arial"/>
                <w:bCs w:val="0"/>
                <w:snapToGrid/>
                <w:szCs w:val="24"/>
              </w:rPr>
              <w:t>$465</w:t>
            </w:r>
            <w:r w:rsidR="002D550C" w:rsidRPr="001F027C">
              <w:rPr>
                <w:rFonts w:ascii="Arial" w:hAnsi="Arial" w:cs="Arial"/>
                <w:bCs w:val="0"/>
                <w:snapToGrid/>
                <w:szCs w:val="24"/>
              </w:rPr>
              <w:t>,464</w:t>
            </w:r>
          </w:p>
        </w:tc>
      </w:tr>
      <w:tr w:rsidR="002D550C" w:rsidRPr="00A376E1" w14:paraId="1F84B402" w14:textId="77777777" w:rsidTr="006561D8">
        <w:trPr>
          <w:tblHeader/>
        </w:trPr>
        <w:tc>
          <w:tcPr>
            <w:tcW w:w="1947" w:type="pct"/>
          </w:tcPr>
          <w:p w14:paraId="0DE07D70" w14:textId="77777777" w:rsidR="002D550C" w:rsidRPr="001F027C" w:rsidRDefault="002D550C" w:rsidP="007472EF">
            <w:pPr>
              <w:pStyle w:val="Covertable"/>
              <w:spacing w:before="0" w:after="0"/>
              <w:jc w:val="center"/>
              <w:rPr>
                <w:rFonts w:ascii="Arial" w:hAnsi="Arial" w:cs="Arial"/>
                <w:b/>
                <w:bCs w:val="0"/>
                <w:snapToGrid/>
                <w:szCs w:val="24"/>
              </w:rPr>
            </w:pPr>
            <w:r w:rsidRPr="001F027C">
              <w:rPr>
                <w:rFonts w:ascii="Arial" w:hAnsi="Arial" w:cs="Arial"/>
                <w:b/>
                <w:bCs w:val="0"/>
                <w:snapToGrid/>
                <w:szCs w:val="24"/>
              </w:rPr>
              <w:t>Total</w:t>
            </w:r>
          </w:p>
        </w:tc>
        <w:tc>
          <w:tcPr>
            <w:tcW w:w="695" w:type="pct"/>
            <w:shd w:val="clear" w:color="auto" w:fill="auto"/>
          </w:tcPr>
          <w:p w14:paraId="7838FA4A" w14:textId="77777777" w:rsidR="002D550C" w:rsidRPr="001F027C" w:rsidRDefault="002D550C" w:rsidP="007472EF">
            <w:pPr>
              <w:pStyle w:val="Covertable"/>
              <w:spacing w:before="0" w:after="0"/>
              <w:jc w:val="center"/>
              <w:rPr>
                <w:rFonts w:ascii="Arial" w:hAnsi="Arial" w:cs="Arial"/>
                <w:b/>
                <w:bCs w:val="0"/>
                <w:snapToGrid/>
                <w:szCs w:val="24"/>
              </w:rPr>
            </w:pPr>
            <w:r w:rsidRPr="001F027C">
              <w:rPr>
                <w:rFonts w:ascii="Arial" w:hAnsi="Arial" w:cs="Arial"/>
                <w:b/>
                <w:bCs w:val="0"/>
                <w:snapToGrid/>
                <w:szCs w:val="24"/>
              </w:rPr>
              <w:t>$232,859</w:t>
            </w:r>
          </w:p>
        </w:tc>
        <w:tc>
          <w:tcPr>
            <w:tcW w:w="643" w:type="pct"/>
            <w:shd w:val="clear" w:color="auto" w:fill="auto"/>
          </w:tcPr>
          <w:p w14:paraId="3CE6E976" w14:textId="77777777" w:rsidR="002D550C" w:rsidRPr="001F027C" w:rsidRDefault="002D550C" w:rsidP="007472EF">
            <w:pPr>
              <w:pStyle w:val="Covertable"/>
              <w:spacing w:before="0" w:after="0"/>
              <w:jc w:val="center"/>
              <w:rPr>
                <w:rFonts w:ascii="Arial" w:hAnsi="Arial" w:cs="Arial"/>
                <w:b/>
                <w:bCs w:val="0"/>
                <w:snapToGrid/>
                <w:szCs w:val="24"/>
              </w:rPr>
            </w:pPr>
            <w:r w:rsidRPr="001F027C">
              <w:rPr>
                <w:rFonts w:ascii="Arial" w:hAnsi="Arial" w:cs="Arial"/>
                <w:b/>
                <w:bCs w:val="0"/>
                <w:snapToGrid/>
                <w:szCs w:val="24"/>
              </w:rPr>
              <w:t>$173,394</w:t>
            </w:r>
          </w:p>
        </w:tc>
        <w:tc>
          <w:tcPr>
            <w:tcW w:w="786" w:type="pct"/>
            <w:shd w:val="clear" w:color="auto" w:fill="auto"/>
          </w:tcPr>
          <w:p w14:paraId="01972206" w14:textId="77777777" w:rsidR="002D550C" w:rsidRPr="001F027C" w:rsidRDefault="002D550C" w:rsidP="007472EF">
            <w:pPr>
              <w:pStyle w:val="Covertable"/>
              <w:spacing w:before="0" w:after="0"/>
              <w:jc w:val="center"/>
              <w:rPr>
                <w:rFonts w:ascii="Arial" w:hAnsi="Arial" w:cs="Arial"/>
                <w:b/>
                <w:bCs w:val="0"/>
                <w:snapToGrid/>
                <w:szCs w:val="24"/>
              </w:rPr>
            </w:pPr>
            <w:r w:rsidRPr="001F027C">
              <w:rPr>
                <w:rFonts w:ascii="Arial" w:hAnsi="Arial" w:cs="Arial"/>
                <w:b/>
                <w:bCs w:val="0"/>
                <w:snapToGrid/>
                <w:szCs w:val="24"/>
              </w:rPr>
              <w:t>$181,553</w:t>
            </w:r>
          </w:p>
        </w:tc>
        <w:tc>
          <w:tcPr>
            <w:tcW w:w="929" w:type="pct"/>
            <w:shd w:val="clear" w:color="auto" w:fill="auto"/>
          </w:tcPr>
          <w:p w14:paraId="1E00DE9A" w14:textId="77777777" w:rsidR="002D550C" w:rsidRPr="001F027C" w:rsidRDefault="002D550C" w:rsidP="007472EF">
            <w:pPr>
              <w:pStyle w:val="Covertable"/>
              <w:spacing w:before="0" w:after="0"/>
              <w:jc w:val="center"/>
              <w:rPr>
                <w:rFonts w:ascii="Arial" w:hAnsi="Arial" w:cs="Arial"/>
                <w:b/>
                <w:bCs w:val="0"/>
                <w:snapToGrid/>
                <w:szCs w:val="24"/>
              </w:rPr>
            </w:pPr>
            <w:r w:rsidRPr="001F027C">
              <w:rPr>
                <w:rFonts w:ascii="Arial" w:hAnsi="Arial" w:cs="Arial"/>
                <w:b/>
                <w:bCs w:val="0"/>
                <w:snapToGrid/>
                <w:szCs w:val="24"/>
              </w:rPr>
              <w:t>$587,806</w:t>
            </w:r>
          </w:p>
          <w:p w14:paraId="22688A0C" w14:textId="77777777" w:rsidR="002D550C" w:rsidRPr="001F027C" w:rsidRDefault="002D550C" w:rsidP="007472EF">
            <w:pPr>
              <w:pStyle w:val="Covertable"/>
              <w:spacing w:before="0" w:after="0"/>
              <w:jc w:val="center"/>
              <w:rPr>
                <w:rFonts w:ascii="Arial" w:hAnsi="Arial" w:cs="Arial"/>
                <w:b/>
                <w:bCs w:val="0"/>
                <w:snapToGrid/>
                <w:szCs w:val="24"/>
              </w:rPr>
            </w:pPr>
          </w:p>
        </w:tc>
      </w:tr>
    </w:tbl>
    <w:p w14:paraId="0B49FB05" w14:textId="77777777" w:rsidR="002D550C" w:rsidRPr="00222999" w:rsidRDefault="002D550C" w:rsidP="00BB212F"/>
    <w:p w14:paraId="6659F2E6" w14:textId="77777777" w:rsidR="00340616" w:rsidRPr="00B72EE8" w:rsidRDefault="00340616" w:rsidP="00340616">
      <w:pPr>
        <w:pStyle w:val="Heading1Numbered"/>
      </w:pPr>
      <w:bookmarkStart w:id="16" w:name="_Toc421777594"/>
      <w:bookmarkStart w:id="17" w:name="_Ref428266971"/>
      <w:bookmarkStart w:id="18" w:name="_Toc467773955"/>
      <w:bookmarkStart w:id="19" w:name="_Toc524419151"/>
      <w:r>
        <w:t>Grant e</w:t>
      </w:r>
      <w:r w:rsidRPr="00B72EE8">
        <w:t>ligibility</w:t>
      </w:r>
      <w:bookmarkEnd w:id="16"/>
      <w:bookmarkEnd w:id="17"/>
      <w:r>
        <w:t xml:space="preserve"> cr</w:t>
      </w:r>
      <w:r w:rsidRPr="00B72EE8">
        <w:t>iteria</w:t>
      </w:r>
      <w:bookmarkEnd w:id="18"/>
      <w:bookmarkEnd w:id="19"/>
      <w:r>
        <w:t xml:space="preserve"> </w:t>
      </w:r>
    </w:p>
    <w:p w14:paraId="28E8219D" w14:textId="77777777" w:rsidR="00340616" w:rsidRDefault="00340616" w:rsidP="00340616">
      <w:pPr>
        <w:spacing w:after="120"/>
      </w:pPr>
      <w:bookmarkStart w:id="20"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7A8F1431" w14:textId="77777777" w:rsidR="005660B6" w:rsidRPr="005660B6" w:rsidRDefault="005660B6" w:rsidP="005660B6">
      <w:pPr>
        <w:pStyle w:val="Heading2Numbered"/>
        <w:numPr>
          <w:ilvl w:val="0"/>
          <w:numId w:val="0"/>
        </w:numPr>
      </w:pPr>
      <w:bookmarkStart w:id="21" w:name="_Toc524419152"/>
      <w:r>
        <w:t>3.1</w:t>
      </w:r>
      <w:r>
        <w:tab/>
      </w:r>
      <w:r w:rsidRPr="00D01172">
        <w:t>Who is eligible to apply for a grant?</w:t>
      </w:r>
      <w:bookmarkEnd w:id="21"/>
    </w:p>
    <w:p w14:paraId="47FB88FE" w14:textId="5DA2F53C" w:rsidR="00BB5AC4" w:rsidRDefault="00BB5AC4" w:rsidP="00BB5AC4">
      <w:r w:rsidRPr="00CF3DF7">
        <w:t xml:space="preserve">To be eligible </w:t>
      </w:r>
      <w:r>
        <w:t xml:space="preserve">to apply, you must be </w:t>
      </w:r>
      <w:r w:rsidR="009D1933">
        <w:t xml:space="preserve">one of </w:t>
      </w:r>
      <w:r>
        <w:t xml:space="preserve">the invited organisations listed below and have received an invitation to apply through </w:t>
      </w:r>
      <w:proofErr w:type="spellStart"/>
      <w:r>
        <w:t>GrantConnect</w:t>
      </w:r>
      <w:proofErr w:type="spellEnd"/>
      <w:r w:rsidRPr="005F0384">
        <w:t>:</w:t>
      </w:r>
    </w:p>
    <w:p w14:paraId="17C3472D" w14:textId="77777777" w:rsidR="00BB5AC4" w:rsidRPr="00CF3DF7" w:rsidRDefault="00BB5AC4" w:rsidP="00BB5AC4">
      <w:pPr>
        <w:spacing w:before="0" w:after="0" w:line="240" w:lineRule="auto"/>
      </w:pPr>
    </w:p>
    <w:p w14:paraId="398E4717" w14:textId="56B0CAA7" w:rsidR="00BB5AC4" w:rsidRDefault="00BB5AC4" w:rsidP="005757AA">
      <w:pPr>
        <w:pStyle w:val="ListParagraph"/>
        <w:numPr>
          <w:ilvl w:val="0"/>
          <w:numId w:val="20"/>
        </w:numPr>
        <w:spacing w:before="60" w:after="60"/>
        <w:contextualSpacing/>
        <w:rPr>
          <w:rFonts w:ascii="Arial" w:hAnsi="Arial" w:cs="Arial"/>
        </w:rPr>
      </w:pPr>
      <w:r>
        <w:rPr>
          <w:rFonts w:ascii="Arial" w:hAnsi="Arial" w:cs="Arial"/>
        </w:rPr>
        <w:t>YIRS One Stop Youth Shop Inc.</w:t>
      </w:r>
    </w:p>
    <w:p w14:paraId="575B4F8B" w14:textId="403D8F2A" w:rsidR="00BB5AC4" w:rsidRPr="00DB614C" w:rsidRDefault="00BB5AC4" w:rsidP="005757AA">
      <w:pPr>
        <w:pStyle w:val="ListParagraph"/>
        <w:numPr>
          <w:ilvl w:val="0"/>
          <w:numId w:val="20"/>
        </w:numPr>
        <w:spacing w:before="60" w:after="60"/>
        <w:contextualSpacing/>
        <w:rPr>
          <w:rFonts w:ascii="Arial" w:hAnsi="Arial" w:cs="Arial"/>
        </w:rPr>
      </w:pPr>
      <w:r>
        <w:rPr>
          <w:rFonts w:ascii="Arial" w:hAnsi="Arial" w:cs="Arial"/>
        </w:rPr>
        <w:t>Autism Community Network</w:t>
      </w:r>
    </w:p>
    <w:p w14:paraId="3966897E" w14:textId="4D7B848B" w:rsidR="00903AC8" w:rsidRDefault="00732119" w:rsidP="00903AC8">
      <w:r w:rsidRPr="007C1AD0">
        <w:t xml:space="preserve">YIRS One Stop Youth Shop is a local youth support </w:t>
      </w:r>
      <w:proofErr w:type="gramStart"/>
      <w:r w:rsidRPr="007C1AD0">
        <w:t>service which</w:t>
      </w:r>
      <w:proofErr w:type="gramEnd"/>
      <w:r w:rsidRPr="007C1AD0">
        <w:t xml:space="preserve"> supports young people between 12- 25 years who may need information, support, advice or assistance.</w:t>
      </w:r>
      <w:r>
        <w:rPr>
          <w:rFonts w:ascii="Arial" w:hAnsi="Arial" w:cs="Arial"/>
          <w:color w:val="898989"/>
          <w:sz w:val="21"/>
          <w:szCs w:val="21"/>
          <w:lang w:val="en-US"/>
        </w:rPr>
        <w:t xml:space="preserve">  </w:t>
      </w:r>
      <w:r w:rsidR="00903AC8">
        <w:t xml:space="preserve">YIRS One Stop Youth Shop Inc. </w:t>
      </w:r>
      <w:proofErr w:type="gramStart"/>
      <w:r w:rsidR="00903AC8" w:rsidRPr="00FC1370">
        <w:t xml:space="preserve">has </w:t>
      </w:r>
      <w:r w:rsidR="00903AC8">
        <w:t>been identified</w:t>
      </w:r>
      <w:proofErr w:type="gramEnd"/>
      <w:r w:rsidR="00903AC8">
        <w:t xml:space="preserve"> as having relevant experience in delivering </w:t>
      </w:r>
      <w:r>
        <w:t xml:space="preserve">similar support services to disadvantaged individuals </w:t>
      </w:r>
      <w:r w:rsidR="00903AC8">
        <w:t xml:space="preserve">in the nominated service area.  </w:t>
      </w:r>
      <w:proofErr w:type="gramStart"/>
      <w:r w:rsidR="00903AC8">
        <w:t xml:space="preserve">This organisation has </w:t>
      </w:r>
      <w:r w:rsidR="00903AC8" w:rsidRPr="00FC1370">
        <w:t xml:space="preserve">strong linkages </w:t>
      </w:r>
      <w:r w:rsidR="00903AC8">
        <w:t xml:space="preserve">with </w:t>
      </w:r>
      <w:r w:rsidR="00903AC8" w:rsidRPr="00FC1370">
        <w:t>other service</w:t>
      </w:r>
      <w:r>
        <w:t xml:space="preserve"> provider</w:t>
      </w:r>
      <w:r w:rsidR="00903AC8" w:rsidRPr="00FC1370">
        <w:t xml:space="preserve">s in the </w:t>
      </w:r>
      <w:r w:rsidR="00903AC8">
        <w:t xml:space="preserve">local </w:t>
      </w:r>
      <w:r w:rsidR="00903AC8" w:rsidRPr="00FC1370">
        <w:t>community</w:t>
      </w:r>
      <w:r w:rsidR="00903AC8">
        <w:t xml:space="preserve"> and h</w:t>
      </w:r>
      <w:r w:rsidR="00903AC8" w:rsidRPr="00FC1370">
        <w:t xml:space="preserve">as </w:t>
      </w:r>
      <w:r>
        <w:t xml:space="preserve">proven </w:t>
      </w:r>
      <w:r w:rsidR="00903AC8">
        <w:t xml:space="preserve">ability to </w:t>
      </w:r>
      <w:r w:rsidR="00903AC8" w:rsidRPr="00FC1370">
        <w:t>meet the required delivery and reporting timeframes.</w:t>
      </w:r>
      <w:proofErr w:type="gramEnd"/>
      <w:r>
        <w:t xml:space="preserve"> </w:t>
      </w:r>
    </w:p>
    <w:p w14:paraId="6D6AE60F" w14:textId="66983E9D" w:rsidR="00732119" w:rsidRDefault="00732119" w:rsidP="00903AC8">
      <w:r>
        <w:t>The Autism Community Network Inc. provides support services for parents and carers of disadvantaged individuals, helping them to connect with and participate in their local community.</w:t>
      </w:r>
    </w:p>
    <w:p w14:paraId="02B3A7E7" w14:textId="213E5DF1" w:rsidR="009A2CFE" w:rsidRDefault="00BB5AC4" w:rsidP="00BB5AC4">
      <w:r>
        <w:t xml:space="preserve">Autism Community Network </w:t>
      </w:r>
      <w:r w:rsidR="00732119">
        <w:t xml:space="preserve">Inc. </w:t>
      </w:r>
      <w:proofErr w:type="gramStart"/>
      <w:r w:rsidRPr="00FC1370">
        <w:t xml:space="preserve">has </w:t>
      </w:r>
      <w:r>
        <w:t>been identified</w:t>
      </w:r>
      <w:proofErr w:type="gramEnd"/>
      <w:r>
        <w:t xml:space="preserve"> as having relevant experience in delivering the required services to the target participants </w:t>
      </w:r>
      <w:r w:rsidR="00732119">
        <w:t xml:space="preserve">and </w:t>
      </w:r>
      <w:r w:rsidR="000B4E5A">
        <w:t xml:space="preserve">has </w:t>
      </w:r>
      <w:r w:rsidR="00732119">
        <w:t xml:space="preserve">the capability to expand services </w:t>
      </w:r>
      <w:r>
        <w:t>in</w:t>
      </w:r>
      <w:r w:rsidR="00732119">
        <w:t>to</w:t>
      </w:r>
      <w:r>
        <w:t xml:space="preserve"> the nominated service area.  This organisation has </w:t>
      </w:r>
      <w:r w:rsidRPr="00FC1370">
        <w:t xml:space="preserve">strong linkages </w:t>
      </w:r>
      <w:r>
        <w:t xml:space="preserve">with </w:t>
      </w:r>
      <w:r w:rsidRPr="00FC1370">
        <w:t xml:space="preserve">other services in the </w:t>
      </w:r>
      <w:r>
        <w:t xml:space="preserve">local </w:t>
      </w:r>
      <w:r w:rsidRPr="00FC1370">
        <w:t>community</w:t>
      </w:r>
      <w:r>
        <w:t xml:space="preserve"> and h</w:t>
      </w:r>
      <w:r w:rsidRPr="00FC1370">
        <w:t xml:space="preserve">as </w:t>
      </w:r>
      <w:r>
        <w:t xml:space="preserve">the ability to </w:t>
      </w:r>
      <w:r w:rsidRPr="00FC1370">
        <w:t>meet the required delivery and reporting timeframes.</w:t>
      </w:r>
    </w:p>
    <w:p w14:paraId="1274FC2F" w14:textId="09F23480" w:rsidR="00890646" w:rsidRPr="008E64B8" w:rsidRDefault="00903AC8" w:rsidP="008E64B8">
      <w:pPr>
        <w:rPr>
          <w:color w:val="000000" w:themeColor="text1"/>
        </w:rPr>
      </w:pPr>
      <w:r>
        <w:lastRenderedPageBreak/>
        <w:t xml:space="preserve">No further organisations </w:t>
      </w:r>
      <w:proofErr w:type="gramStart"/>
      <w:r>
        <w:t>will be invited</w:t>
      </w:r>
      <w:proofErr w:type="gramEnd"/>
      <w:r>
        <w:t xml:space="preserve"> to apply</w:t>
      </w:r>
      <w:r w:rsidR="009A2CFE">
        <w:t>.</w:t>
      </w:r>
      <w:bookmarkStart w:id="22" w:name="_Toc467773958"/>
      <w:bookmarkEnd w:id="20"/>
    </w:p>
    <w:p w14:paraId="0329D904" w14:textId="74FC93B0" w:rsidR="00340616" w:rsidRPr="008E64B8" w:rsidRDefault="00D848DB" w:rsidP="006561D8">
      <w:pPr>
        <w:pStyle w:val="Heading2Numbered"/>
        <w:numPr>
          <w:ilvl w:val="0"/>
          <w:numId w:val="0"/>
        </w:numPr>
      </w:pPr>
      <w:bookmarkStart w:id="23" w:name="_Toc524419153"/>
      <w:r>
        <w:t xml:space="preserve">3.2 </w:t>
      </w:r>
      <w:r w:rsidR="00340616" w:rsidRPr="008E64B8">
        <w:t>What qualifications or skills are required?</w:t>
      </w:r>
      <w:bookmarkEnd w:id="22"/>
      <w:bookmarkEnd w:id="23"/>
    </w:p>
    <w:p w14:paraId="66C0ADA6" w14:textId="7995346B" w:rsidR="008E64B8" w:rsidRDefault="008E64B8" w:rsidP="00340616">
      <w:r>
        <w:t xml:space="preserve">Grant recipients are responsible for ensuring that staff have the qualifications and skills </w:t>
      </w:r>
      <w:proofErr w:type="gramStart"/>
      <w:r>
        <w:t>to effectively provide</w:t>
      </w:r>
      <w:proofErr w:type="gramEnd"/>
      <w:r>
        <w:t xml:space="preserve"> the services funded by the grant.</w:t>
      </w:r>
    </w:p>
    <w:p w14:paraId="58BF42F0" w14:textId="56059E98" w:rsidR="00340616" w:rsidRPr="000A271A" w:rsidRDefault="008E64B8" w:rsidP="008E64B8">
      <w:pPr>
        <w:rPr>
          <w:b/>
          <w:color w:val="745B00" w:themeColor="accent3" w:themeShade="80"/>
        </w:rPr>
      </w:pPr>
      <w:r>
        <w:t xml:space="preserve">While there are no minimum formal qualifications required for staff working on the grant activity, it </w:t>
      </w:r>
      <w:proofErr w:type="gramStart"/>
      <w:r>
        <w:t>is expected</w:t>
      </w:r>
      <w:proofErr w:type="gramEnd"/>
      <w:r>
        <w:t xml:space="preserve"> that if you accept a grant offer, you will ensure that anyone working directly with vulnerable people has the appropriate qualifications under relevant state of territory legislation.</w:t>
      </w:r>
    </w:p>
    <w:p w14:paraId="3C77E122" w14:textId="77777777" w:rsidR="00340616" w:rsidRPr="00A668C8" w:rsidRDefault="00340616" w:rsidP="00A668C8">
      <w:pPr>
        <w:pStyle w:val="Heading1Numbered"/>
      </w:pPr>
      <w:bookmarkStart w:id="24" w:name="_Toc467773959"/>
      <w:bookmarkStart w:id="25" w:name="_Toc524419154"/>
      <w:r w:rsidRPr="00A668C8">
        <w:t>Eligible grant activities</w:t>
      </w:r>
      <w:bookmarkEnd w:id="24"/>
      <w:bookmarkEnd w:id="25"/>
    </w:p>
    <w:p w14:paraId="5E049710" w14:textId="77777777" w:rsidR="00340616" w:rsidRPr="005D26B4" w:rsidRDefault="00340616" w:rsidP="00056305">
      <w:pPr>
        <w:pStyle w:val="Heading2Numbered"/>
      </w:pPr>
      <w:bookmarkStart w:id="26" w:name="_Toc467773960"/>
      <w:bookmarkStart w:id="27" w:name="_Toc524419155"/>
      <w:r w:rsidRPr="005D26B4">
        <w:t xml:space="preserve">What can the grant money </w:t>
      </w:r>
      <w:proofErr w:type="gramStart"/>
      <w:r w:rsidRPr="005D26B4">
        <w:t>be used</w:t>
      </w:r>
      <w:proofErr w:type="gramEnd"/>
      <w:r w:rsidRPr="005D26B4">
        <w:t xml:space="preserve"> for?</w:t>
      </w:r>
      <w:bookmarkEnd w:id="26"/>
      <w:bookmarkEnd w:id="27"/>
    </w:p>
    <w:p w14:paraId="3B8B8A2C" w14:textId="77777777" w:rsidR="007F3FD9" w:rsidRPr="00573409" w:rsidRDefault="007F3FD9" w:rsidP="007F3FD9">
      <w:pPr>
        <w:spacing w:before="240" w:after="120"/>
      </w:pPr>
      <w:r w:rsidRPr="00573409">
        <w:t xml:space="preserve">Costs that the grant </w:t>
      </w:r>
      <w:proofErr w:type="gramStart"/>
      <w:r w:rsidRPr="00573409">
        <w:t>can be used</w:t>
      </w:r>
      <w:proofErr w:type="gramEnd"/>
      <w:r w:rsidRPr="00573409">
        <w:t xml:space="preserve"> for are: </w:t>
      </w:r>
    </w:p>
    <w:p w14:paraId="73409A90" w14:textId="77777777" w:rsidR="007F3FD9" w:rsidRPr="00573409" w:rsidRDefault="007F3FD9" w:rsidP="007F3FD9">
      <w:pPr>
        <w:pStyle w:val="Bullet1"/>
        <w:spacing w:before="0"/>
      </w:pPr>
      <w:r w:rsidRPr="00573409">
        <w:t>staff salaries and on-costs which can be directly attributed to the provision of the grant program in the identified service area or areas as per the grant agreement;</w:t>
      </w:r>
    </w:p>
    <w:p w14:paraId="10768BB0" w14:textId="77777777" w:rsidR="007F3FD9" w:rsidRPr="00573409" w:rsidRDefault="007F3FD9" w:rsidP="007F3FD9">
      <w:pPr>
        <w:pStyle w:val="Bullet1"/>
        <w:spacing w:before="0"/>
      </w:pPr>
      <w:r w:rsidRPr="00573409">
        <w:t>employee training for paid and unpaid staff including Committee and Board members, that is relevant, appropriate and in line with the grant program;</w:t>
      </w:r>
    </w:p>
    <w:p w14:paraId="2ED99EB4" w14:textId="77777777" w:rsidR="007F3FD9" w:rsidRPr="00573409" w:rsidRDefault="007F3FD9" w:rsidP="007F3FD9">
      <w:pPr>
        <w:pStyle w:val="Bullet1"/>
        <w:spacing w:before="0"/>
      </w:pPr>
      <w:r w:rsidRPr="00573409">
        <w:t xml:space="preserve">operating and administration expenses directly related to the project as per the grant agreement, such as: </w:t>
      </w:r>
    </w:p>
    <w:p w14:paraId="6DAA28F8" w14:textId="77777777" w:rsidR="007F3FD9" w:rsidRPr="00573409" w:rsidRDefault="007F3FD9" w:rsidP="005757AA">
      <w:pPr>
        <w:pStyle w:val="Bullet2"/>
        <w:numPr>
          <w:ilvl w:val="0"/>
          <w:numId w:val="26"/>
        </w:numPr>
        <w:spacing w:before="0" w:after="0"/>
        <w:ind w:left="1281" w:hanging="357"/>
      </w:pPr>
      <w:r w:rsidRPr="00573409">
        <w:t>telephones;</w:t>
      </w:r>
    </w:p>
    <w:p w14:paraId="33F29A2C" w14:textId="77777777" w:rsidR="007F3FD9" w:rsidRPr="00573409" w:rsidRDefault="007F3FD9" w:rsidP="005757AA">
      <w:pPr>
        <w:pStyle w:val="Bullet2"/>
        <w:numPr>
          <w:ilvl w:val="0"/>
          <w:numId w:val="26"/>
        </w:numPr>
        <w:spacing w:before="0" w:after="0"/>
        <w:ind w:left="1281" w:hanging="357"/>
      </w:pPr>
      <w:r w:rsidRPr="00573409">
        <w:t>rent and outgoings;</w:t>
      </w:r>
    </w:p>
    <w:p w14:paraId="7D1148FF" w14:textId="77777777" w:rsidR="007F3FD9" w:rsidRPr="00573409" w:rsidRDefault="007F3FD9" w:rsidP="005757AA">
      <w:pPr>
        <w:pStyle w:val="Bullet2"/>
        <w:numPr>
          <w:ilvl w:val="0"/>
          <w:numId w:val="26"/>
        </w:numPr>
        <w:spacing w:before="0" w:after="0"/>
        <w:ind w:left="1281" w:hanging="357"/>
      </w:pPr>
      <w:r w:rsidRPr="00573409">
        <w:t>computer/ IT/website/software;</w:t>
      </w:r>
    </w:p>
    <w:p w14:paraId="1B2A55A0" w14:textId="77777777" w:rsidR="007F3FD9" w:rsidRPr="00573409" w:rsidRDefault="007F3FD9" w:rsidP="005757AA">
      <w:pPr>
        <w:pStyle w:val="Bullet2"/>
        <w:numPr>
          <w:ilvl w:val="0"/>
          <w:numId w:val="26"/>
        </w:numPr>
        <w:spacing w:before="0" w:after="0"/>
        <w:ind w:left="1281" w:hanging="357"/>
      </w:pPr>
      <w:r w:rsidRPr="00573409">
        <w:t>insurance;</w:t>
      </w:r>
    </w:p>
    <w:p w14:paraId="42239FAF" w14:textId="77777777" w:rsidR="007F3FD9" w:rsidRPr="00573409" w:rsidRDefault="007F3FD9" w:rsidP="005757AA">
      <w:pPr>
        <w:pStyle w:val="Bullet2"/>
        <w:numPr>
          <w:ilvl w:val="0"/>
          <w:numId w:val="26"/>
        </w:numPr>
        <w:spacing w:before="0" w:after="0"/>
        <w:ind w:left="1281" w:hanging="357"/>
      </w:pPr>
      <w:r w:rsidRPr="00573409">
        <w:t>utilities;</w:t>
      </w:r>
    </w:p>
    <w:p w14:paraId="6BB1DE21" w14:textId="77777777" w:rsidR="007F3FD9" w:rsidRPr="00573409" w:rsidRDefault="007F3FD9" w:rsidP="005757AA">
      <w:pPr>
        <w:pStyle w:val="Bullet2"/>
        <w:numPr>
          <w:ilvl w:val="0"/>
          <w:numId w:val="26"/>
        </w:numPr>
        <w:spacing w:before="0" w:after="0"/>
        <w:ind w:left="1281" w:hanging="357"/>
      </w:pPr>
      <w:r w:rsidRPr="00573409">
        <w:t>postage;</w:t>
      </w:r>
    </w:p>
    <w:p w14:paraId="21A384DC" w14:textId="77777777" w:rsidR="007F3FD9" w:rsidRPr="00573409" w:rsidRDefault="007F3FD9" w:rsidP="005757AA">
      <w:pPr>
        <w:pStyle w:val="Bullet2"/>
        <w:numPr>
          <w:ilvl w:val="0"/>
          <w:numId w:val="26"/>
        </w:numPr>
        <w:spacing w:before="0" w:after="0"/>
        <w:ind w:left="1281" w:hanging="357"/>
      </w:pPr>
      <w:r w:rsidRPr="00573409">
        <w:t>stationery and printing;</w:t>
      </w:r>
    </w:p>
    <w:p w14:paraId="192CC2EB" w14:textId="77777777" w:rsidR="007F3FD9" w:rsidRPr="00573409" w:rsidRDefault="007F3FD9" w:rsidP="005757AA">
      <w:pPr>
        <w:pStyle w:val="Bullet2"/>
        <w:numPr>
          <w:ilvl w:val="0"/>
          <w:numId w:val="26"/>
        </w:numPr>
        <w:spacing w:before="0" w:after="0"/>
        <w:ind w:left="1281" w:hanging="357"/>
      </w:pPr>
      <w:r w:rsidRPr="00573409">
        <w:t xml:space="preserve">accounting and auditing; </w:t>
      </w:r>
    </w:p>
    <w:p w14:paraId="653E606D" w14:textId="65B79622" w:rsidR="007F3FD9" w:rsidRPr="00573409" w:rsidRDefault="00FD320B" w:rsidP="005757AA">
      <w:pPr>
        <w:pStyle w:val="Bullet2"/>
        <w:numPr>
          <w:ilvl w:val="0"/>
          <w:numId w:val="26"/>
        </w:numPr>
        <w:spacing w:before="0" w:after="0"/>
        <w:ind w:left="1281" w:hanging="357"/>
      </w:pPr>
      <w:proofErr w:type="gramStart"/>
      <w:r>
        <w:t>interstate</w:t>
      </w:r>
      <w:proofErr w:type="gramEnd"/>
      <w:r>
        <w:t xml:space="preserve"> </w:t>
      </w:r>
      <w:r w:rsidR="007F3FD9" w:rsidRPr="00573409">
        <w:t>travel/accommodation costs.</w:t>
      </w:r>
    </w:p>
    <w:p w14:paraId="25061223" w14:textId="77777777" w:rsidR="007F3FD9" w:rsidRPr="00573409" w:rsidRDefault="007F3FD9" w:rsidP="007F3FD9">
      <w:pPr>
        <w:pStyle w:val="Bullet1"/>
        <w:spacing w:before="0"/>
      </w:pPr>
      <w:r w:rsidRPr="00573409">
        <w:t>assets that can be reasonably attributed to meeting agreement deliverables; and</w:t>
      </w:r>
    </w:p>
    <w:p w14:paraId="79CF78BA" w14:textId="74F288B3" w:rsidR="007F3FD9" w:rsidRPr="000A271A" w:rsidRDefault="007F3FD9" w:rsidP="007F3FD9">
      <w:pPr>
        <w:rPr>
          <w:rFonts w:cstheme="minorHAnsi"/>
          <w:b/>
          <w:highlight w:val="cyan"/>
        </w:rPr>
      </w:pPr>
      <w:proofErr w:type="gramStart"/>
      <w:r w:rsidRPr="00573409">
        <w:t>up</w:t>
      </w:r>
      <w:proofErr w:type="gramEnd"/>
      <w:r w:rsidRPr="00573409">
        <w:t xml:space="preserve"> to 10 per cent of the grant can be used for evaluation and/or to explore options for future sustainability and ongoing viability of the funded project.</w:t>
      </w:r>
    </w:p>
    <w:p w14:paraId="2975A7A9" w14:textId="77777777" w:rsidR="00340616" w:rsidRPr="00A01E93" w:rsidRDefault="00340616" w:rsidP="00056305">
      <w:pPr>
        <w:pStyle w:val="Heading2Numbered"/>
      </w:pPr>
      <w:bookmarkStart w:id="28" w:name="_Toc467773961"/>
      <w:bookmarkStart w:id="29" w:name="_Toc524419156"/>
      <w:r w:rsidRPr="00A01E93">
        <w:t xml:space="preserve">What the grant money </w:t>
      </w:r>
      <w:proofErr w:type="gramStart"/>
      <w:r w:rsidRPr="00A01E93">
        <w:t>cannot be used</w:t>
      </w:r>
      <w:proofErr w:type="gramEnd"/>
      <w:r w:rsidRPr="00A01E93">
        <w:t xml:space="preserve"> for?</w:t>
      </w:r>
      <w:bookmarkEnd w:id="28"/>
      <w:bookmarkEnd w:id="29"/>
    </w:p>
    <w:p w14:paraId="7774AA77" w14:textId="77777777" w:rsidR="00340616" w:rsidRPr="000A271A" w:rsidRDefault="00340616" w:rsidP="00340616">
      <w:pPr>
        <w:rPr>
          <w:rFonts w:cstheme="minorHAnsi"/>
        </w:rPr>
      </w:pPr>
      <w:r w:rsidRPr="000A271A">
        <w:rPr>
          <w:rFonts w:cstheme="minorHAnsi"/>
        </w:rPr>
        <w:t xml:space="preserve">You cannot use the grant for the following activities: </w:t>
      </w:r>
    </w:p>
    <w:p w14:paraId="52835D42" w14:textId="77777777" w:rsidR="00340616" w:rsidRPr="000A271A" w:rsidRDefault="00340616" w:rsidP="000A271A">
      <w:pPr>
        <w:pStyle w:val="Bullet1"/>
      </w:pPr>
      <w:r w:rsidRPr="000A271A">
        <w:t xml:space="preserve">purchase of land </w:t>
      </w:r>
    </w:p>
    <w:p w14:paraId="7AB70CAE" w14:textId="77777777" w:rsidR="00340616" w:rsidRPr="000A271A" w:rsidRDefault="00340616" w:rsidP="000A271A">
      <w:pPr>
        <w:pStyle w:val="Bullet1"/>
      </w:pPr>
      <w:r w:rsidRPr="000A271A">
        <w:t xml:space="preserve">major capital expenditure </w:t>
      </w:r>
    </w:p>
    <w:p w14:paraId="5B6E6BD1" w14:textId="77777777" w:rsidR="00340616" w:rsidRPr="000A271A" w:rsidRDefault="00340616" w:rsidP="000A271A">
      <w:pPr>
        <w:pStyle w:val="Bullet1"/>
      </w:pPr>
      <w:r w:rsidRPr="000A271A">
        <w:t xml:space="preserve">the covering of retrospective costs </w:t>
      </w:r>
    </w:p>
    <w:p w14:paraId="362B0D77" w14:textId="77777777" w:rsidR="00340616" w:rsidRPr="000A271A" w:rsidRDefault="00340616" w:rsidP="000A271A">
      <w:pPr>
        <w:pStyle w:val="Bullet1"/>
      </w:pPr>
      <w:r w:rsidRPr="000A271A">
        <w:lastRenderedPageBreak/>
        <w:t xml:space="preserve">costs incurred in the preparation of a grant application or related documentation </w:t>
      </w:r>
    </w:p>
    <w:p w14:paraId="2CB04E39" w14:textId="77777777" w:rsidR="00340616" w:rsidRPr="000A271A" w:rsidRDefault="00340616" w:rsidP="000A271A">
      <w:pPr>
        <w:pStyle w:val="Bullet1"/>
      </w:pPr>
      <w:r w:rsidRPr="000A271A">
        <w:t xml:space="preserve">subsidy of general ongoing administration of an organisation such as electricity, phone and rent </w:t>
      </w:r>
    </w:p>
    <w:p w14:paraId="02B598D5" w14:textId="77777777" w:rsidR="00340616" w:rsidRPr="000A271A" w:rsidRDefault="00340616" w:rsidP="000A271A">
      <w:pPr>
        <w:pStyle w:val="Bullet1"/>
      </w:pPr>
      <w:r w:rsidRPr="000A271A">
        <w:t xml:space="preserve">major construction/capital works  </w:t>
      </w:r>
    </w:p>
    <w:p w14:paraId="0BB4D8BB" w14:textId="77777777" w:rsidR="00340616" w:rsidRPr="000A271A" w:rsidRDefault="00340616" w:rsidP="000A271A">
      <w:pPr>
        <w:pStyle w:val="Bullet1"/>
      </w:pPr>
      <w:r w:rsidRPr="000A271A">
        <w:t xml:space="preserve">overseas travel, and </w:t>
      </w:r>
    </w:p>
    <w:p w14:paraId="33EB3E00" w14:textId="77777777" w:rsidR="00340616" w:rsidRPr="000A271A" w:rsidRDefault="00340616" w:rsidP="000A271A">
      <w:pPr>
        <w:pStyle w:val="Bullet1"/>
      </w:pPr>
      <w:proofErr w:type="gramStart"/>
      <w:r w:rsidRPr="000A271A">
        <w:t>activities</w:t>
      </w:r>
      <w:proofErr w:type="gramEnd"/>
      <w:r w:rsidRPr="000A271A">
        <w:t xml:space="preserve"> for which other Commonwealth, State, Territory or Local Government bodies have primary responsibility.</w:t>
      </w:r>
    </w:p>
    <w:p w14:paraId="691FC79F" w14:textId="17BF9904" w:rsidR="00340616" w:rsidRDefault="00340616" w:rsidP="00A632E3">
      <w:pPr>
        <w:pStyle w:val="Heading1Numbered"/>
      </w:pPr>
      <w:bookmarkStart w:id="30" w:name="_Toc414983554"/>
      <w:bookmarkStart w:id="31" w:name="_Toc414983971"/>
      <w:bookmarkStart w:id="32" w:name="_Toc414984731"/>
      <w:bookmarkStart w:id="33" w:name="_Toc414984825"/>
      <w:bookmarkStart w:id="34" w:name="_Toc414984929"/>
      <w:bookmarkStart w:id="35" w:name="_Toc414985033"/>
      <w:bookmarkStart w:id="36" w:name="_Toc414985136"/>
      <w:bookmarkStart w:id="37" w:name="_Toc414985238"/>
      <w:bookmarkStart w:id="38" w:name="_Toc467773963"/>
      <w:bookmarkStart w:id="39" w:name="_Ref416444108"/>
      <w:bookmarkStart w:id="40" w:name="_Toc421777599"/>
      <w:bookmarkStart w:id="41" w:name="_Toc524419157"/>
      <w:bookmarkEnd w:id="30"/>
      <w:bookmarkEnd w:id="31"/>
      <w:bookmarkEnd w:id="32"/>
      <w:bookmarkEnd w:id="33"/>
      <w:bookmarkEnd w:id="34"/>
      <w:bookmarkEnd w:id="35"/>
      <w:bookmarkEnd w:id="36"/>
      <w:bookmarkEnd w:id="37"/>
      <w:r>
        <w:t>The grant s</w:t>
      </w:r>
      <w:r w:rsidRPr="00B72EE8">
        <w:t xml:space="preserve">election </w:t>
      </w:r>
      <w:r>
        <w:t>p</w:t>
      </w:r>
      <w:r w:rsidRPr="00B72EE8">
        <w:t>rocess</w:t>
      </w:r>
      <w:bookmarkEnd w:id="38"/>
      <w:bookmarkEnd w:id="41"/>
    </w:p>
    <w:p w14:paraId="2AC372BA" w14:textId="77777777" w:rsidR="00B50CF3" w:rsidRDefault="00B50CF3" w:rsidP="00CC4ACB">
      <w:pPr>
        <w:pStyle w:val="Bullet1"/>
        <w:numPr>
          <w:ilvl w:val="0"/>
          <w:numId w:val="0"/>
        </w:numPr>
      </w:pPr>
    </w:p>
    <w:p w14:paraId="7DCE5F98" w14:textId="6C86BD81" w:rsidR="00B50CF3" w:rsidRDefault="00B50CF3" w:rsidP="00B50CF3">
      <w:pPr>
        <w:pStyle w:val="Bullet1"/>
        <w:numPr>
          <w:ilvl w:val="0"/>
          <w:numId w:val="0"/>
        </w:numPr>
      </w:pPr>
      <w:r>
        <w:t xml:space="preserve">This grant opportunity </w:t>
      </w:r>
      <w:r w:rsidR="00AA15FC">
        <w:t>is a</w:t>
      </w:r>
      <w:r>
        <w:t xml:space="preserve"> targeted non-competitive selection process.  This means the Department of Social Services will identify suitable service providers and invite them to apply.</w:t>
      </w:r>
    </w:p>
    <w:p w14:paraId="56B6CBE9" w14:textId="75D0EFF8" w:rsidR="00340616" w:rsidRDefault="00951025" w:rsidP="00CC4ACB">
      <w:pPr>
        <w:pStyle w:val="Bullet1"/>
        <w:numPr>
          <w:ilvl w:val="0"/>
          <w:numId w:val="0"/>
        </w:numPr>
      </w:pPr>
      <w:r>
        <w:t xml:space="preserve">The </w:t>
      </w:r>
      <w:r w:rsidR="00403223">
        <w:t xml:space="preserve">organisations </w:t>
      </w:r>
      <w:r>
        <w:t xml:space="preserve">listed below </w:t>
      </w:r>
      <w:proofErr w:type="gramStart"/>
      <w:r>
        <w:t>are invited</w:t>
      </w:r>
      <w:proofErr w:type="gramEnd"/>
      <w:r>
        <w:t xml:space="preserve"> to submit a Service Delivery Plan, which </w:t>
      </w:r>
      <w:r w:rsidR="00CC4ACB">
        <w:t xml:space="preserve">forms the </w:t>
      </w:r>
      <w:r>
        <w:t xml:space="preserve">application. The Service Delivery </w:t>
      </w:r>
      <w:r w:rsidR="00CC4ACB">
        <w:t>Plan</w:t>
      </w:r>
      <w:r>
        <w:t xml:space="preserve"> is required to show how </w:t>
      </w:r>
      <w:r w:rsidR="00403223">
        <w:t xml:space="preserve">the </w:t>
      </w:r>
      <w:r w:rsidR="00CC4ACB">
        <w:t>Inclusive Communit</w:t>
      </w:r>
      <w:r w:rsidR="00403223">
        <w:t>ies project</w:t>
      </w:r>
      <w:r w:rsidR="00CC4ACB">
        <w:t xml:space="preserve"> </w:t>
      </w:r>
      <w:proofErr w:type="gramStart"/>
      <w:r w:rsidR="00CC4ACB">
        <w:t>will be delivered</w:t>
      </w:r>
      <w:proofErr w:type="gramEnd"/>
      <w:r w:rsidR="00CC4ACB">
        <w:t>.</w:t>
      </w:r>
    </w:p>
    <w:p w14:paraId="0FF67308" w14:textId="77777777" w:rsidR="00CC4ACB" w:rsidRDefault="00CC4ACB" w:rsidP="005757AA">
      <w:pPr>
        <w:pStyle w:val="ListParagraph"/>
        <w:numPr>
          <w:ilvl w:val="0"/>
          <w:numId w:val="20"/>
        </w:numPr>
        <w:spacing w:before="60" w:after="60"/>
        <w:contextualSpacing/>
        <w:rPr>
          <w:rFonts w:ascii="Arial" w:hAnsi="Arial" w:cs="Arial"/>
        </w:rPr>
      </w:pPr>
      <w:r>
        <w:rPr>
          <w:rFonts w:ascii="Arial" w:hAnsi="Arial" w:cs="Arial"/>
        </w:rPr>
        <w:t>YIRS One Stop Youth Shop Inc.</w:t>
      </w:r>
    </w:p>
    <w:p w14:paraId="3DB97E50" w14:textId="7CA7BDDD" w:rsidR="00864EFA" w:rsidRDefault="00CC4ACB" w:rsidP="005757AA">
      <w:pPr>
        <w:pStyle w:val="Bullet1"/>
        <w:numPr>
          <w:ilvl w:val="0"/>
          <w:numId w:val="20"/>
        </w:numPr>
      </w:pPr>
      <w:r>
        <w:rPr>
          <w:rFonts w:ascii="Arial" w:hAnsi="Arial" w:cs="Arial"/>
        </w:rPr>
        <w:t>Autism Community Network</w:t>
      </w:r>
    </w:p>
    <w:p w14:paraId="1D268FFE" w14:textId="77777777" w:rsidR="00340616" w:rsidRPr="00B72EE8" w:rsidRDefault="00340616" w:rsidP="00A632E3">
      <w:pPr>
        <w:pStyle w:val="Heading1Numbered"/>
      </w:pPr>
      <w:bookmarkStart w:id="42" w:name="_Toc421777611"/>
      <w:bookmarkStart w:id="43" w:name="_Toc467773965"/>
      <w:bookmarkStart w:id="44" w:name="_Toc421777601"/>
      <w:bookmarkStart w:id="45" w:name="_Toc524419158"/>
      <w:bookmarkEnd w:id="39"/>
      <w:bookmarkEnd w:id="40"/>
      <w:r>
        <w:t>The grant application p</w:t>
      </w:r>
      <w:r w:rsidRPr="00B72EE8">
        <w:t>rocess</w:t>
      </w:r>
      <w:bookmarkEnd w:id="42"/>
      <w:bookmarkEnd w:id="43"/>
      <w:bookmarkEnd w:id="45"/>
    </w:p>
    <w:p w14:paraId="6B6EC595" w14:textId="77777777" w:rsidR="00340616" w:rsidRPr="009D325B" w:rsidRDefault="00340616" w:rsidP="003717CD">
      <w:pPr>
        <w:pStyle w:val="Heading2Numbered"/>
      </w:pPr>
      <w:bookmarkStart w:id="46" w:name="_Toc421777612"/>
      <w:bookmarkStart w:id="47" w:name="_Toc467773966"/>
      <w:bookmarkStart w:id="48" w:name="_Toc524419159"/>
      <w:r w:rsidRPr="009D325B">
        <w:t>Overview of application process</w:t>
      </w:r>
      <w:bookmarkEnd w:id="46"/>
      <w:bookmarkEnd w:id="47"/>
      <w:bookmarkEnd w:id="48"/>
    </w:p>
    <w:p w14:paraId="667C5611" w14:textId="77777777" w:rsidR="00CC4ACB" w:rsidRDefault="00CC4ACB" w:rsidP="00CC4ACB">
      <w:r w:rsidRPr="00A25A09">
        <w:t>You must read these grant guidelines, the Service Delivery Plan, and the grant agreement terms and conditions prior to submitting an application</w:t>
      </w:r>
      <w:r>
        <w:t xml:space="preserve"> (</w:t>
      </w:r>
      <w:proofErr w:type="gramStart"/>
      <w:r>
        <w:t>refer also</w:t>
      </w:r>
      <w:proofErr w:type="gramEnd"/>
      <w:r>
        <w:t xml:space="preserve"> to section 6.3)</w:t>
      </w:r>
      <w:r w:rsidRPr="00A25A09">
        <w:t xml:space="preserve">. </w:t>
      </w:r>
    </w:p>
    <w:p w14:paraId="4AFEC3A2" w14:textId="77777777" w:rsidR="00CC4ACB" w:rsidRDefault="00CC4ACB" w:rsidP="00CC4ACB">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2AA4088D" w14:textId="77777777" w:rsidR="00CC4ACB" w:rsidRDefault="00CC4ACB" w:rsidP="00CC4ACB">
      <w:r>
        <w:t>Please</w:t>
      </w:r>
      <w:r w:rsidRPr="00B72EE8">
        <w:t xml:space="preserve"> keep a copy of your applica</w:t>
      </w:r>
      <w:r>
        <w:t>tion and any supporting papers</w:t>
      </w:r>
      <w:r w:rsidRPr="00B72EE8">
        <w:t xml:space="preserve">. </w:t>
      </w:r>
    </w:p>
    <w:p w14:paraId="45EFB68F" w14:textId="77777777" w:rsidR="00340616" w:rsidRPr="00B72EE8" w:rsidRDefault="00340616" w:rsidP="003717CD">
      <w:pPr>
        <w:pStyle w:val="Heading2Numbered"/>
      </w:pPr>
      <w:bookmarkStart w:id="49" w:name="_Toc467773967"/>
      <w:bookmarkStart w:id="50" w:name="_Toc421777613"/>
      <w:bookmarkStart w:id="51" w:name="_Ref421787098"/>
      <w:bookmarkStart w:id="52" w:name="_Ref422127559"/>
      <w:bookmarkStart w:id="53" w:name="_Ref422128505"/>
      <w:bookmarkStart w:id="54" w:name="_Toc524419160"/>
      <w:r>
        <w:t>Application p</w:t>
      </w:r>
      <w:r w:rsidRPr="00B72EE8">
        <w:t xml:space="preserve">rocess </w:t>
      </w:r>
      <w:r>
        <w:t>t</w:t>
      </w:r>
      <w:r w:rsidRPr="00B72EE8">
        <w:t>iming</w:t>
      </w:r>
      <w:bookmarkEnd w:id="49"/>
      <w:bookmarkEnd w:id="54"/>
      <w:r w:rsidRPr="00B72EE8">
        <w:t xml:space="preserve"> </w:t>
      </w:r>
      <w:bookmarkEnd w:id="50"/>
      <w:bookmarkEnd w:id="51"/>
      <w:bookmarkEnd w:id="52"/>
      <w:bookmarkEnd w:id="53"/>
    </w:p>
    <w:p w14:paraId="3EC939DB" w14:textId="77777777" w:rsidR="004F6159" w:rsidRDefault="006338CC" w:rsidP="006338CC">
      <w:r w:rsidRPr="0089786A">
        <w:t xml:space="preserve">Submit your application by the closing time and date below. </w:t>
      </w:r>
    </w:p>
    <w:p w14:paraId="48BD67AA" w14:textId="77777777" w:rsidR="006338CC" w:rsidRPr="0089786A" w:rsidRDefault="006338CC" w:rsidP="006338CC">
      <w:r w:rsidRPr="0089786A">
        <w:t xml:space="preserve">If an application is late or the Community Grants Hub </w:t>
      </w:r>
      <w:proofErr w:type="gramStart"/>
      <w:r w:rsidRPr="0089786A">
        <w:t>is requested</w:t>
      </w:r>
      <w:proofErr w:type="gramEnd"/>
      <w:r w:rsidRPr="0089786A">
        <w:t xml:space="preserve"> to approve a lodgement after the closing date, the Community Grants Hub may determine that there were exceptional circumstances beyond the applicant’s control that meant they could not meet the deadline. Examples of exceptional circumstances could include, but </w:t>
      </w:r>
      <w:proofErr w:type="gramStart"/>
      <w:r w:rsidRPr="0089786A">
        <w:t>may not be limited</w:t>
      </w:r>
      <w:proofErr w:type="gramEnd"/>
      <w:r w:rsidRPr="0089786A">
        <w:t xml:space="preserve"> to:</w:t>
      </w:r>
    </w:p>
    <w:p w14:paraId="253ECE2F" w14:textId="77777777" w:rsidR="006338CC" w:rsidRPr="0089786A" w:rsidRDefault="006338CC" w:rsidP="005757AA">
      <w:pPr>
        <w:numPr>
          <w:ilvl w:val="0"/>
          <w:numId w:val="17"/>
        </w:numPr>
        <w:suppressAutoHyphens w:val="0"/>
        <w:spacing w:before="0" w:after="0" w:line="240" w:lineRule="auto"/>
        <w:ind w:left="714" w:hanging="357"/>
      </w:pPr>
      <w:r w:rsidRPr="0089786A">
        <w:t>Community Gra</w:t>
      </w:r>
      <w:r w:rsidR="004F1C5D">
        <w:t>nts Hub infrastructure failures</w:t>
      </w:r>
    </w:p>
    <w:p w14:paraId="7578AA5A" w14:textId="77777777" w:rsidR="006338CC" w:rsidRPr="0089786A" w:rsidRDefault="004F1C5D" w:rsidP="005757AA">
      <w:pPr>
        <w:numPr>
          <w:ilvl w:val="0"/>
          <w:numId w:val="17"/>
        </w:numPr>
        <w:suppressAutoHyphens w:val="0"/>
        <w:spacing w:before="0" w:after="0" w:line="240" w:lineRule="auto"/>
        <w:ind w:left="714" w:hanging="357"/>
      </w:pPr>
      <w:r>
        <w:t>natural disasters</w:t>
      </w:r>
    </w:p>
    <w:p w14:paraId="312C3143" w14:textId="77777777" w:rsidR="006338CC" w:rsidRPr="0089786A" w:rsidRDefault="006338CC" w:rsidP="005757AA">
      <w:pPr>
        <w:numPr>
          <w:ilvl w:val="0"/>
          <w:numId w:val="17"/>
        </w:numPr>
        <w:suppressAutoHyphens w:val="0"/>
        <w:spacing w:before="0" w:after="0" w:line="240" w:lineRule="auto"/>
        <w:ind w:left="714" w:hanging="357"/>
      </w:pPr>
      <w:r w:rsidRPr="0089786A">
        <w:lastRenderedPageBreak/>
        <w:t>power outages affecting the ability of the applicant to submit their application by the deadline, and</w:t>
      </w:r>
    </w:p>
    <w:p w14:paraId="076AA6D8" w14:textId="77777777" w:rsidR="006338CC" w:rsidRPr="0089786A" w:rsidRDefault="006338CC" w:rsidP="005757AA">
      <w:pPr>
        <w:numPr>
          <w:ilvl w:val="0"/>
          <w:numId w:val="17"/>
        </w:numPr>
        <w:suppressAutoHyphens w:val="0"/>
        <w:spacing w:before="0" w:after="0" w:line="240" w:lineRule="auto"/>
        <w:ind w:left="714" w:hanging="357"/>
      </w:pPr>
      <w:proofErr w:type="gramStart"/>
      <w:r w:rsidRPr="0089786A">
        <w:t>death</w:t>
      </w:r>
      <w:proofErr w:type="gramEnd"/>
      <w:r w:rsidRPr="0089786A">
        <w:t xml:space="preserve"> or disability of key personnel.</w:t>
      </w:r>
    </w:p>
    <w:p w14:paraId="218F553B" w14:textId="77777777" w:rsidR="006338CC" w:rsidRPr="00E51BD6" w:rsidRDefault="006338CC" w:rsidP="006338CC">
      <w:r w:rsidRPr="0089786A">
        <w:t xml:space="preserve">Information on the Community Grants Hub </w:t>
      </w:r>
      <w:hyperlink r:id="rId13" w:tooltip="late application policy" w:history="1">
        <w:r w:rsidRPr="0089786A">
          <w:rPr>
            <w:rStyle w:val="Hyperlink"/>
          </w:rPr>
          <w:t>late application policy</w:t>
        </w:r>
      </w:hyperlink>
      <w:r w:rsidRPr="0089786A">
        <w:t xml:space="preserve"> is available on the </w:t>
      </w:r>
      <w:hyperlink r:id="rId14" w:tooltip="late application policy" w:history="1">
        <w:r w:rsidRPr="0089786A">
          <w:rPr>
            <w:rStyle w:val="Hyperlink"/>
          </w:rPr>
          <w:t>Community Grants Hub</w:t>
        </w:r>
      </w:hyperlink>
      <w:r w:rsidRPr="0089786A">
        <w:t xml:space="preserve"> website.</w:t>
      </w:r>
    </w:p>
    <w:p w14:paraId="12C58B15" w14:textId="75D8F716" w:rsidR="00340616"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646B61" w:rsidRPr="00585280">
        <w:t>on execution</w:t>
      </w:r>
      <w:r w:rsidRPr="00585280">
        <w:t xml:space="preserve"> </w:t>
      </w:r>
      <w:r w:rsidRPr="00B72EE8">
        <w:t xml:space="preserve">and the expected </w:t>
      </w:r>
      <w:r>
        <w:t>completion</w:t>
      </w:r>
      <w:r w:rsidRPr="00B72EE8">
        <w:t xml:space="preserve"> date is </w:t>
      </w:r>
      <w:r w:rsidR="00646B61" w:rsidRPr="00585280">
        <w:t>30/06/2021</w:t>
      </w:r>
      <w:r w:rsidRPr="00585280">
        <w:t xml:space="preserve">. </w:t>
      </w:r>
      <w:r>
        <w:t xml:space="preserve">You must spend the grant by </w:t>
      </w:r>
      <w:r w:rsidRPr="00B72EE8">
        <w:t>the end date.</w:t>
      </w:r>
    </w:p>
    <w:p w14:paraId="3F756584" w14:textId="77777777" w:rsidR="0054078D" w:rsidRDefault="0054078D" w:rsidP="0054078D">
      <w:pPr>
        <w:pStyle w:val="Caption"/>
        <w:keepNext/>
      </w:pPr>
      <w:bookmarkStart w:id="55" w:name="_Toc467773968"/>
      <w:r w:rsidRPr="0054078D">
        <w:rPr>
          <w:bCs/>
          <w:iCs w:val="0"/>
        </w:rPr>
        <w:t>Table 1: Expected timing for this grant opportunity</w:t>
      </w:r>
      <w:bookmarkEnd w:id="55"/>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4820"/>
        <w:gridCol w:w="3969"/>
      </w:tblGrid>
      <w:tr w:rsidR="0054078D" w14:paraId="70EA206C" w14:textId="77777777" w:rsidTr="006561D8">
        <w:trPr>
          <w:cnfStyle w:val="100000000000" w:firstRow="1" w:lastRow="0" w:firstColumn="0" w:lastColumn="0" w:oddVBand="0" w:evenVBand="0" w:oddHBand="0" w:evenHBand="0" w:firstRowFirstColumn="0" w:firstRowLastColumn="0" w:lastRowFirstColumn="0" w:lastRowLastColumn="0"/>
        </w:trPr>
        <w:tc>
          <w:tcPr>
            <w:tcW w:w="4820" w:type="dxa"/>
          </w:tcPr>
          <w:p w14:paraId="15C45E56" w14:textId="77777777" w:rsidR="0054078D" w:rsidRDefault="0054078D" w:rsidP="00E44E21">
            <w:pPr>
              <w:pStyle w:val="TableText"/>
            </w:pPr>
            <w:r>
              <w:t>Activity</w:t>
            </w:r>
          </w:p>
        </w:tc>
        <w:tc>
          <w:tcPr>
            <w:tcW w:w="3969" w:type="dxa"/>
          </w:tcPr>
          <w:p w14:paraId="2963B381" w14:textId="77777777" w:rsidR="0054078D" w:rsidRDefault="0054078D" w:rsidP="0054078D">
            <w:pPr>
              <w:pStyle w:val="TableText"/>
              <w:jc w:val="center"/>
            </w:pPr>
            <w:r>
              <w:t>Timeframe</w:t>
            </w:r>
          </w:p>
        </w:tc>
      </w:tr>
      <w:tr w:rsidR="0054078D" w14:paraId="0F6DAE46" w14:textId="77777777" w:rsidTr="00585280">
        <w:tc>
          <w:tcPr>
            <w:tcW w:w="4820" w:type="dxa"/>
          </w:tcPr>
          <w:p w14:paraId="60EAB0CA" w14:textId="77777777" w:rsidR="0054078D" w:rsidRPr="000D60B1" w:rsidRDefault="0054078D" w:rsidP="0054078D">
            <w:pPr>
              <w:pStyle w:val="TableText"/>
            </w:pPr>
            <w:r>
              <w:t>Application period</w:t>
            </w:r>
            <w:r w:rsidRPr="000D60B1">
              <w:t xml:space="preserve"> </w:t>
            </w:r>
          </w:p>
        </w:tc>
        <w:tc>
          <w:tcPr>
            <w:tcW w:w="3969" w:type="dxa"/>
          </w:tcPr>
          <w:p w14:paraId="268D2268" w14:textId="5655C6EA" w:rsidR="0054078D" w:rsidRPr="005F5870" w:rsidRDefault="0054078D" w:rsidP="00F21438">
            <w:pPr>
              <w:pStyle w:val="TableText"/>
              <w:rPr>
                <w:highlight w:val="yellow"/>
              </w:rPr>
            </w:pPr>
            <w:r w:rsidRPr="00F21438">
              <w:t xml:space="preserve">Open: </w:t>
            </w:r>
            <w:r w:rsidR="00F21438" w:rsidRPr="00F21438">
              <w:t>11 September 2018</w:t>
            </w:r>
            <w:r w:rsidR="00F21438" w:rsidRPr="009709DE">
              <w:rPr>
                <w:b/>
              </w:rPr>
              <w:t xml:space="preserve"> </w:t>
            </w:r>
            <w:r w:rsidRPr="005F5870">
              <w:rPr>
                <w:highlight w:val="yellow"/>
              </w:rPr>
              <w:br/>
            </w:r>
            <w:r w:rsidRPr="00F21438">
              <w:t xml:space="preserve">Close: </w:t>
            </w:r>
            <w:r w:rsidR="00F21438" w:rsidRPr="00F21438">
              <w:t>2.00pm AEST, 25 September 2018</w:t>
            </w:r>
            <w:r w:rsidR="00F21438" w:rsidRPr="00361FD9">
              <w:t>.</w:t>
            </w:r>
          </w:p>
        </w:tc>
      </w:tr>
      <w:tr w:rsidR="0054078D" w14:paraId="5861F065" w14:textId="77777777" w:rsidTr="00585280">
        <w:tc>
          <w:tcPr>
            <w:tcW w:w="4820" w:type="dxa"/>
          </w:tcPr>
          <w:p w14:paraId="5D21D0D2" w14:textId="77777777" w:rsidR="0054078D" w:rsidRPr="00B72EE8" w:rsidRDefault="0054078D" w:rsidP="0054078D">
            <w:pPr>
              <w:pStyle w:val="TableText"/>
            </w:pPr>
            <w:r w:rsidRPr="00B72EE8">
              <w:t>Approval of outcomes of selection process</w:t>
            </w:r>
          </w:p>
        </w:tc>
        <w:tc>
          <w:tcPr>
            <w:tcW w:w="3969" w:type="dxa"/>
          </w:tcPr>
          <w:p w14:paraId="7554FC5A" w14:textId="4DF30084" w:rsidR="0054078D" w:rsidRPr="00585280" w:rsidRDefault="0054078D" w:rsidP="00F21438">
            <w:pPr>
              <w:pStyle w:val="TableText"/>
            </w:pPr>
            <w:r w:rsidRPr="00585280">
              <w:t>4 weeks</w:t>
            </w:r>
          </w:p>
        </w:tc>
      </w:tr>
      <w:tr w:rsidR="0054078D" w14:paraId="0E22A5CB" w14:textId="77777777" w:rsidTr="00585280">
        <w:tc>
          <w:tcPr>
            <w:tcW w:w="4820" w:type="dxa"/>
          </w:tcPr>
          <w:p w14:paraId="40503B84"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969" w:type="dxa"/>
          </w:tcPr>
          <w:p w14:paraId="61081536" w14:textId="1D7273B8" w:rsidR="0054078D" w:rsidRPr="00585280" w:rsidRDefault="00561435" w:rsidP="007B0FA8">
            <w:pPr>
              <w:pStyle w:val="TableText"/>
            </w:pPr>
            <w:r w:rsidRPr="00585280">
              <w:t xml:space="preserve">Up to </w:t>
            </w:r>
            <w:r w:rsidR="007B0FA8" w:rsidRPr="00585280">
              <w:t>4</w:t>
            </w:r>
            <w:r w:rsidRPr="00585280">
              <w:t xml:space="preserve"> </w:t>
            </w:r>
            <w:r w:rsidR="0054078D" w:rsidRPr="00585280">
              <w:t xml:space="preserve"> weeks</w:t>
            </w:r>
          </w:p>
        </w:tc>
      </w:tr>
      <w:tr w:rsidR="0054078D" w14:paraId="01E50D86" w14:textId="77777777" w:rsidTr="00585280">
        <w:tc>
          <w:tcPr>
            <w:tcW w:w="4820" w:type="dxa"/>
          </w:tcPr>
          <w:p w14:paraId="42B4006B" w14:textId="77777777" w:rsidR="0054078D" w:rsidRDefault="0054078D" w:rsidP="0054078D">
            <w:pPr>
              <w:pStyle w:val="TableText"/>
            </w:pPr>
            <w:r>
              <w:t>Activity commences</w:t>
            </w:r>
          </w:p>
        </w:tc>
        <w:tc>
          <w:tcPr>
            <w:tcW w:w="3969" w:type="dxa"/>
          </w:tcPr>
          <w:p w14:paraId="0E80E530" w14:textId="4CBE90D5" w:rsidR="0054078D" w:rsidRPr="00585280" w:rsidRDefault="00646B61" w:rsidP="0054078D">
            <w:pPr>
              <w:pStyle w:val="TableText"/>
            </w:pPr>
            <w:r w:rsidRPr="00585280">
              <w:t>On execution</w:t>
            </w:r>
          </w:p>
        </w:tc>
      </w:tr>
      <w:tr w:rsidR="0054078D" w14:paraId="6F407976" w14:textId="77777777" w:rsidTr="00585280">
        <w:trPr>
          <w:cnfStyle w:val="010000000000" w:firstRow="0" w:lastRow="1" w:firstColumn="0" w:lastColumn="0" w:oddVBand="0" w:evenVBand="0" w:oddHBand="0" w:evenHBand="0" w:firstRowFirstColumn="0" w:firstRowLastColumn="0" w:lastRowFirstColumn="0" w:lastRowLastColumn="0"/>
        </w:trPr>
        <w:tc>
          <w:tcPr>
            <w:tcW w:w="4820" w:type="dxa"/>
          </w:tcPr>
          <w:p w14:paraId="4B44922A" w14:textId="77777777" w:rsidR="0054078D" w:rsidRPr="00B322FC" w:rsidRDefault="0054078D" w:rsidP="0054078D">
            <w:pPr>
              <w:pStyle w:val="TableText"/>
            </w:pPr>
            <w:r w:rsidRPr="00B322FC">
              <w:t>End date</w:t>
            </w:r>
          </w:p>
        </w:tc>
        <w:tc>
          <w:tcPr>
            <w:tcW w:w="3969" w:type="dxa"/>
          </w:tcPr>
          <w:p w14:paraId="20A82FDA" w14:textId="45C70FE6" w:rsidR="0054078D" w:rsidRPr="00B322FC" w:rsidRDefault="00646B61" w:rsidP="0054078D">
            <w:pPr>
              <w:pStyle w:val="TableText"/>
            </w:pPr>
            <w:r>
              <w:t>30/06/2021</w:t>
            </w:r>
          </w:p>
        </w:tc>
      </w:tr>
    </w:tbl>
    <w:p w14:paraId="178097B6" w14:textId="77777777" w:rsidR="00E95846" w:rsidRDefault="00E95846" w:rsidP="00E95846">
      <w:pPr>
        <w:rPr>
          <w:rStyle w:val="BookTitle"/>
          <w:i w:val="0"/>
          <w:iCs w:val="0"/>
          <w:smallCaps w:val="0"/>
        </w:rPr>
      </w:pPr>
      <w:bookmarkStart w:id="56" w:name="_Toc421777614"/>
      <w:bookmarkStart w:id="57" w:name="_Toc433641169"/>
      <w:bookmarkStart w:id="58" w:name="_Toc467773969"/>
    </w:p>
    <w:p w14:paraId="713C1B67" w14:textId="77777777" w:rsidR="00340616" w:rsidRPr="00B72EE8" w:rsidRDefault="00340616" w:rsidP="003717CD">
      <w:pPr>
        <w:pStyle w:val="Heading2Numbered"/>
      </w:pPr>
      <w:bookmarkStart w:id="59" w:name="_Toc524419161"/>
      <w:r>
        <w:t>Completing the grant a</w:t>
      </w:r>
      <w:r w:rsidRPr="00B72EE8">
        <w:t>pplication</w:t>
      </w:r>
      <w:bookmarkEnd w:id="56"/>
      <w:bookmarkEnd w:id="57"/>
      <w:bookmarkEnd w:id="58"/>
      <w:bookmarkEnd w:id="59"/>
    </w:p>
    <w:p w14:paraId="58432FA1" w14:textId="0C4A675F" w:rsidR="00454D0B" w:rsidRPr="00A25A09" w:rsidRDefault="00454D0B" w:rsidP="00454D0B">
      <w:pPr>
        <w:rPr>
          <w:b/>
        </w:rPr>
      </w:pPr>
      <w:r w:rsidRPr="00A25A09">
        <w:rPr>
          <w:b/>
        </w:rPr>
        <w:t>Service Delivery Plan</w:t>
      </w:r>
    </w:p>
    <w:p w14:paraId="37E39272" w14:textId="2D762250" w:rsidR="00A2586C" w:rsidRDefault="00A2586C" w:rsidP="00A2586C">
      <w:r>
        <w:t xml:space="preserve">You must complete a service delivery plan, using the template provided as part of the Grant Opportunity Documents on the </w:t>
      </w:r>
      <w:proofErr w:type="spellStart"/>
      <w:r>
        <w:t>GrantConnect</w:t>
      </w:r>
      <w:proofErr w:type="spellEnd"/>
      <w:r>
        <w:t xml:space="preserve"> website, i</w:t>
      </w:r>
      <w:r w:rsidR="00324DCE">
        <w:t>f you</w:t>
      </w:r>
      <w:r>
        <w:t xml:space="preserve"> wish to apply for this funding.  Your application </w:t>
      </w:r>
      <w:proofErr w:type="gramStart"/>
      <w:r>
        <w:t>may not be accepted</w:t>
      </w:r>
      <w:proofErr w:type="gramEnd"/>
      <w:r>
        <w:t xml:space="preserve"> if your service delivery plan is not on </w:t>
      </w:r>
      <w:r w:rsidR="00AE451C">
        <w:t>the template provided.</w:t>
      </w:r>
    </w:p>
    <w:p w14:paraId="52ADE983" w14:textId="77777777" w:rsidR="00AE451C" w:rsidRDefault="00AE451C" w:rsidP="00454D0B">
      <w:r>
        <w:t>Your service delivery plan will tell us:</w:t>
      </w:r>
    </w:p>
    <w:p w14:paraId="5F855C34" w14:textId="68D975F3" w:rsidR="007B36DF" w:rsidRPr="00FA70E4" w:rsidRDefault="00473CA5" w:rsidP="00AE451C">
      <w:pPr>
        <w:pStyle w:val="ListParagraph"/>
        <w:numPr>
          <w:ilvl w:val="0"/>
          <w:numId w:val="32"/>
        </w:numPr>
        <w:rPr>
          <w:rFonts w:asciiTheme="minorHAnsi" w:eastAsiaTheme="minorHAnsi" w:hAnsiTheme="minorHAnsi" w:cstheme="minorBidi"/>
        </w:rPr>
      </w:pPr>
      <w:r>
        <w:rPr>
          <w:rFonts w:asciiTheme="minorHAnsi" w:eastAsiaTheme="minorHAnsi" w:hAnsiTheme="minorHAnsi" w:cstheme="minorBidi"/>
        </w:rPr>
        <w:t>h</w:t>
      </w:r>
      <w:r w:rsidR="007B36DF" w:rsidRPr="00FA70E4">
        <w:rPr>
          <w:rFonts w:asciiTheme="minorHAnsi" w:eastAsiaTheme="minorHAnsi" w:hAnsiTheme="minorHAnsi" w:cstheme="minorBidi"/>
        </w:rPr>
        <w:t xml:space="preserve">ow </w:t>
      </w:r>
      <w:r w:rsidR="00AE451C" w:rsidRPr="00FA70E4">
        <w:rPr>
          <w:rFonts w:asciiTheme="minorHAnsi" w:eastAsiaTheme="minorHAnsi" w:hAnsiTheme="minorHAnsi" w:cstheme="minorBidi"/>
        </w:rPr>
        <w:t>the</w:t>
      </w:r>
      <w:r w:rsidR="007B36DF" w:rsidRPr="00FA70E4">
        <w:rPr>
          <w:rFonts w:asciiTheme="minorHAnsi" w:eastAsiaTheme="minorHAnsi" w:hAnsiTheme="minorHAnsi" w:cstheme="minorBidi"/>
        </w:rPr>
        <w:t xml:space="preserve"> project meets the objectives of the Inclusive Communities grants to increase </w:t>
      </w:r>
      <w:r w:rsidR="00A2586C" w:rsidRPr="00FA70E4">
        <w:rPr>
          <w:rFonts w:asciiTheme="minorHAnsi" w:eastAsiaTheme="minorHAnsi" w:hAnsiTheme="minorHAnsi" w:cstheme="minorBidi"/>
        </w:rPr>
        <w:t>the social and economic participation of vulnerable and disadvantaged individuals and families within their communities, and enhance their lifetime wellbeing and sense of community belonging</w:t>
      </w:r>
      <w:r w:rsidR="00AE451C" w:rsidRPr="00FA70E4">
        <w:rPr>
          <w:rFonts w:asciiTheme="minorHAnsi" w:eastAsiaTheme="minorHAnsi" w:hAnsiTheme="minorHAnsi" w:cstheme="minorBidi"/>
        </w:rPr>
        <w:t>;</w:t>
      </w:r>
    </w:p>
    <w:p w14:paraId="1478882E" w14:textId="18A68D33" w:rsidR="00473CA5" w:rsidRPr="00473CA5" w:rsidRDefault="00473CA5" w:rsidP="00473CA5">
      <w:pPr>
        <w:pStyle w:val="ListParagraph"/>
        <w:numPr>
          <w:ilvl w:val="0"/>
          <w:numId w:val="32"/>
        </w:numPr>
        <w:spacing w:after="120" w:line="240" w:lineRule="auto"/>
        <w:rPr>
          <w:rFonts w:asciiTheme="minorHAnsi" w:hAnsiTheme="minorHAnsi" w:cstheme="minorHAnsi"/>
        </w:rPr>
      </w:pPr>
      <w:r>
        <w:rPr>
          <w:rFonts w:asciiTheme="minorHAnsi" w:eastAsiaTheme="minorHAnsi" w:hAnsiTheme="minorHAnsi" w:cstheme="minorBidi"/>
        </w:rPr>
        <w:t>the demographic of the service delivery area</w:t>
      </w:r>
    </w:p>
    <w:p w14:paraId="2487174B" w14:textId="2B9A37EB" w:rsidR="00454D0B" w:rsidRDefault="00473CA5" w:rsidP="00AE451C">
      <w:pPr>
        <w:pStyle w:val="ListParagraph"/>
        <w:numPr>
          <w:ilvl w:val="0"/>
          <w:numId w:val="32"/>
        </w:numPr>
        <w:rPr>
          <w:rFonts w:asciiTheme="minorHAnsi" w:eastAsiaTheme="minorHAnsi" w:hAnsiTheme="minorHAnsi" w:cstheme="minorBidi"/>
        </w:rPr>
      </w:pPr>
      <w:r>
        <w:rPr>
          <w:rFonts w:asciiTheme="minorHAnsi" w:eastAsiaTheme="minorHAnsi" w:hAnsiTheme="minorHAnsi" w:cstheme="minorBidi"/>
        </w:rPr>
        <w:t>how the project will be delivered and promoted, and when it will be open to the public</w:t>
      </w:r>
    </w:p>
    <w:p w14:paraId="565FF189" w14:textId="32EB11AC" w:rsidR="00473CA5" w:rsidRDefault="00473CA5" w:rsidP="00AE451C">
      <w:pPr>
        <w:pStyle w:val="ListParagraph"/>
        <w:numPr>
          <w:ilvl w:val="0"/>
          <w:numId w:val="32"/>
        </w:numPr>
        <w:rPr>
          <w:rFonts w:asciiTheme="minorHAnsi" w:eastAsiaTheme="minorHAnsi" w:hAnsiTheme="minorHAnsi" w:cstheme="minorBidi"/>
        </w:rPr>
      </w:pPr>
      <w:r>
        <w:rPr>
          <w:rFonts w:asciiTheme="minorHAnsi" w:eastAsiaTheme="minorHAnsi" w:hAnsiTheme="minorHAnsi" w:cstheme="minorBidi"/>
        </w:rPr>
        <w:t>who will benefit and how</w:t>
      </w:r>
    </w:p>
    <w:p w14:paraId="7F11B39F" w14:textId="5356EB19" w:rsidR="00473CA5" w:rsidRPr="00FA70E4" w:rsidRDefault="00473CA5" w:rsidP="00AE451C">
      <w:pPr>
        <w:pStyle w:val="ListParagraph"/>
        <w:numPr>
          <w:ilvl w:val="0"/>
          <w:numId w:val="32"/>
        </w:numPr>
        <w:rPr>
          <w:rFonts w:asciiTheme="minorHAnsi" w:eastAsiaTheme="minorHAnsi" w:hAnsiTheme="minorHAnsi" w:cstheme="minorBidi"/>
        </w:rPr>
      </w:pPr>
      <w:proofErr w:type="gramStart"/>
      <w:r>
        <w:rPr>
          <w:rFonts w:asciiTheme="minorHAnsi" w:eastAsiaTheme="minorHAnsi" w:hAnsiTheme="minorHAnsi" w:cstheme="minorBidi"/>
        </w:rPr>
        <w:t>how</w:t>
      </w:r>
      <w:proofErr w:type="gramEnd"/>
      <w:r>
        <w:rPr>
          <w:rFonts w:asciiTheme="minorHAnsi" w:eastAsiaTheme="minorHAnsi" w:hAnsiTheme="minorHAnsi" w:cstheme="minorBidi"/>
        </w:rPr>
        <w:t xml:space="preserve"> you will involve key stakeholders or governing bodies within the target community.</w:t>
      </w:r>
    </w:p>
    <w:p w14:paraId="308A96AE" w14:textId="42B67E65" w:rsidR="00454D0B" w:rsidRDefault="00454D0B" w:rsidP="00454D0B">
      <w:r>
        <w:lastRenderedPageBreak/>
        <w:t xml:space="preserve">Once you have completed the </w:t>
      </w:r>
      <w:r w:rsidR="00FA70E4">
        <w:t>s</w:t>
      </w:r>
      <w:r>
        <w:t xml:space="preserve">ervice </w:t>
      </w:r>
      <w:r w:rsidR="00FA70E4">
        <w:t>d</w:t>
      </w:r>
      <w:r>
        <w:t xml:space="preserve">elivery </w:t>
      </w:r>
      <w:r w:rsidR="00FA70E4">
        <w:t>p</w:t>
      </w:r>
      <w:r>
        <w:t xml:space="preserve">lan, you must submit it via email it to support@communitygrants.gov.au. </w:t>
      </w:r>
      <w:r w:rsidR="00AE451C">
        <w:t xml:space="preserve"> </w:t>
      </w:r>
      <w:r>
        <w:t xml:space="preserve">Please include </w:t>
      </w:r>
      <w:r w:rsidR="00AE451C">
        <w:t xml:space="preserve">2018-2445 Inclusive Communities grants </w:t>
      </w:r>
      <w:r>
        <w:t xml:space="preserve">in the subject line of your email. </w:t>
      </w:r>
      <w:r w:rsidR="00AE451C">
        <w:t xml:space="preserve"> Please k</w:t>
      </w:r>
      <w:r>
        <w:t xml:space="preserve">eep a copy of your </w:t>
      </w:r>
      <w:r w:rsidR="00AE451C">
        <w:t>acceptance of the letter of offer and s</w:t>
      </w:r>
      <w:r>
        <w:t xml:space="preserve">ervice </w:t>
      </w:r>
      <w:r w:rsidR="00AE451C">
        <w:t>d</w:t>
      </w:r>
      <w:r>
        <w:t xml:space="preserve">elivery </w:t>
      </w:r>
      <w:r w:rsidR="00AE451C">
        <w:t>p</w:t>
      </w:r>
      <w:r>
        <w:t>lan</w:t>
      </w:r>
      <w:r w:rsidR="00AE451C">
        <w:t xml:space="preserve"> for your records.</w:t>
      </w:r>
    </w:p>
    <w:p w14:paraId="79B24189" w14:textId="3D27D126" w:rsidR="00324DCE" w:rsidRDefault="00454D0B" w:rsidP="003A4403">
      <w:r w:rsidRPr="004475DB">
        <w:t xml:space="preserve">The Community Grants Hub </w:t>
      </w:r>
      <w:r w:rsidR="00324DCE">
        <w:t xml:space="preserve">may not </w:t>
      </w:r>
      <w:r w:rsidRPr="004475DB" w:rsidDel="00D505A5">
        <w:t>accept any additional information</w:t>
      </w:r>
      <w:r w:rsidRPr="004475DB">
        <w:t xml:space="preserve">, nor requests from </w:t>
      </w:r>
      <w:r>
        <w:t xml:space="preserve">the invited </w:t>
      </w:r>
      <w:r w:rsidRPr="004475DB">
        <w:t xml:space="preserve">applicant to correct </w:t>
      </w:r>
      <w:r>
        <w:t xml:space="preserve">your </w:t>
      </w:r>
      <w:r w:rsidR="00324DCE">
        <w:t>s</w:t>
      </w:r>
      <w:r>
        <w:t xml:space="preserve">ervice </w:t>
      </w:r>
      <w:r w:rsidR="00324DCE">
        <w:t>d</w:t>
      </w:r>
      <w:r>
        <w:t xml:space="preserve">elivery </w:t>
      </w:r>
      <w:r w:rsidR="00324DCE">
        <w:t>p</w:t>
      </w:r>
      <w:r>
        <w:t>lan</w:t>
      </w:r>
      <w:r w:rsidRPr="004475DB" w:rsidDel="00D505A5">
        <w:t xml:space="preserve"> after the closing time.</w:t>
      </w:r>
      <w:r w:rsidR="00324DCE" w:rsidRPr="00324DCE">
        <w:t xml:space="preserve"> </w:t>
      </w:r>
    </w:p>
    <w:p w14:paraId="3E162A2B" w14:textId="3615B44A" w:rsidR="003A4403" w:rsidRPr="00B72EE8" w:rsidDel="00D505A5" w:rsidRDefault="00324DCE" w:rsidP="003A4403">
      <w:r w:rsidRPr="004475DB">
        <w:t>The Community Grants Hub may ask you for more</w:t>
      </w:r>
      <w:r w:rsidRPr="004475DB" w:rsidDel="00D505A5">
        <w:t xml:space="preserve"> information</w:t>
      </w:r>
      <w:r>
        <w:t xml:space="preserve"> about your application or your service delivery plan if clarification is required</w:t>
      </w:r>
      <w:r w:rsidRPr="004475DB" w:rsidDel="00D505A5">
        <w:t>.</w:t>
      </w:r>
      <w:r w:rsidRPr="004475DB">
        <w:t xml:space="preserve">  </w:t>
      </w:r>
    </w:p>
    <w:p w14:paraId="0A20968B" w14:textId="77777777" w:rsidR="00340616" w:rsidRPr="00B72EE8" w:rsidRDefault="00340616" w:rsidP="003717CD">
      <w:pPr>
        <w:pStyle w:val="Heading2Numbered"/>
      </w:pPr>
      <w:bookmarkStart w:id="60" w:name="_Toc384307739"/>
      <w:bookmarkStart w:id="61" w:name="_Toc384307810"/>
      <w:bookmarkStart w:id="62" w:name="_Toc389141038"/>
      <w:bookmarkStart w:id="63" w:name="_Toc433641171"/>
      <w:bookmarkStart w:id="64" w:name="_Toc467773972"/>
      <w:bookmarkStart w:id="65" w:name="_Toc421777609"/>
      <w:bookmarkStart w:id="66" w:name="_Toc524419162"/>
      <w:bookmarkEnd w:id="44"/>
      <w:r w:rsidRPr="00B72EE8">
        <w:t xml:space="preserve">Questions during the application </w:t>
      </w:r>
      <w:bookmarkEnd w:id="60"/>
      <w:bookmarkEnd w:id="61"/>
      <w:bookmarkEnd w:id="62"/>
      <w:bookmarkEnd w:id="63"/>
      <w:r>
        <w:t>process</w:t>
      </w:r>
      <w:bookmarkEnd w:id="64"/>
      <w:bookmarkEnd w:id="66"/>
    </w:p>
    <w:p w14:paraId="3CA30392" w14:textId="0830B44B" w:rsidR="002557AF" w:rsidRDefault="002557AF" w:rsidP="002557AF">
      <w:r>
        <w:t xml:space="preserve">Only the invited applicant’s questions </w:t>
      </w:r>
      <w:proofErr w:type="gramStart"/>
      <w:r>
        <w:t>will be responded</w:t>
      </w:r>
      <w:proofErr w:type="gramEnd"/>
      <w:r>
        <w:t xml:space="preserve"> to during the application period</w:t>
      </w:r>
      <w:r w:rsidR="00324DCE">
        <w:t xml:space="preserve">.  You can contact the </w:t>
      </w:r>
      <w:r>
        <w:t xml:space="preserve">Community Grants Hub on 1800 020 283 or email to </w:t>
      </w:r>
      <w:hyperlink r:id="rId15"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04493280" w14:textId="15967415" w:rsidR="00BC0C62" w:rsidRDefault="002557AF" w:rsidP="002557AF">
      <w:r>
        <w:t xml:space="preserve">The question period will close at </w:t>
      </w:r>
      <w:r w:rsidRPr="00F21438">
        <w:t xml:space="preserve">5:00pm AEST </w:t>
      </w:r>
      <w:r w:rsidR="00F21438" w:rsidRPr="00F21438">
        <w:t>Monday, 24 September 2018</w:t>
      </w:r>
      <w:r w:rsidRPr="00790B1B">
        <w:t xml:space="preserve">.  </w:t>
      </w:r>
      <w:r>
        <w:t xml:space="preserve">Following this time, only questions relating to submitting the </w:t>
      </w:r>
      <w:r w:rsidR="0009249D">
        <w:t>service delivery plan as the application</w:t>
      </w:r>
      <w:r>
        <w:t xml:space="preserve"> </w:t>
      </w:r>
      <w:proofErr w:type="gramStart"/>
      <w:r>
        <w:t>will be answered</w:t>
      </w:r>
      <w:proofErr w:type="gramEnd"/>
      <w:r>
        <w:t>.</w:t>
      </w:r>
    </w:p>
    <w:p w14:paraId="0DA12D6E" w14:textId="6F7DBD3C" w:rsidR="00340616" w:rsidRPr="00B72EE8" w:rsidRDefault="002557AF" w:rsidP="0054078D">
      <w:pPr>
        <w:pStyle w:val="Heading1Numbered"/>
      </w:pPr>
      <w:bookmarkStart w:id="67" w:name="_Toc524419163"/>
      <w:bookmarkEnd w:id="65"/>
      <w:r>
        <w:t>Review of the grant application</w:t>
      </w:r>
      <w:bookmarkEnd w:id="67"/>
    </w:p>
    <w:p w14:paraId="7B5893BF" w14:textId="18C64ECE" w:rsidR="00340616" w:rsidRPr="00B72EE8" w:rsidRDefault="00340616" w:rsidP="003717CD">
      <w:pPr>
        <w:pStyle w:val="Heading2Numbered"/>
      </w:pPr>
      <w:bookmarkStart w:id="68" w:name="_Toc467773975"/>
      <w:bookmarkStart w:id="69" w:name="_Toc421777603"/>
      <w:bookmarkStart w:id="70" w:name="_Toc524419164"/>
      <w:r w:rsidRPr="00B72EE8">
        <w:t xml:space="preserve">Who will </w:t>
      </w:r>
      <w:r w:rsidR="002557AF">
        <w:t>review the application</w:t>
      </w:r>
      <w:r>
        <w:t>?</w:t>
      </w:r>
      <w:bookmarkEnd w:id="68"/>
      <w:bookmarkEnd w:id="70"/>
      <w:r>
        <w:t xml:space="preserve"> </w:t>
      </w:r>
      <w:bookmarkEnd w:id="69"/>
    </w:p>
    <w:p w14:paraId="7B3839D5" w14:textId="77777777" w:rsidR="002557AF" w:rsidRDefault="002557AF" w:rsidP="002557AF">
      <w:pPr>
        <w:pStyle w:val="CABNETParagraphAtt"/>
        <w:spacing w:after="240"/>
        <w:rPr>
          <w:rFonts w:cs="Times New Roman"/>
        </w:rPr>
      </w:pPr>
      <w:r>
        <w:rPr>
          <w:rFonts w:cs="Times New Roman"/>
        </w:rPr>
        <w:t xml:space="preserve">The Service Delivery Plan (also referred to as the application in these guidelines) </w:t>
      </w:r>
      <w:proofErr w:type="gramStart"/>
      <w:r>
        <w:rPr>
          <w:rFonts w:cs="Times New Roman"/>
        </w:rPr>
        <w:t>will be reviewed</w:t>
      </w:r>
      <w:proofErr w:type="gramEnd"/>
      <w:r>
        <w:rPr>
          <w:rFonts w:cs="Times New Roman"/>
        </w:rPr>
        <w:t xml:space="preserve"> to ensure it meets eligibility requirements. </w:t>
      </w:r>
    </w:p>
    <w:p w14:paraId="370F9006" w14:textId="77777777" w:rsidR="002557AF" w:rsidRDefault="002557AF" w:rsidP="002557AF">
      <w:pPr>
        <w:pStyle w:val="CABNETParagraphAtt"/>
        <w:spacing w:after="240"/>
        <w:rPr>
          <w:rFonts w:cs="Times New Roman"/>
        </w:rPr>
      </w:pPr>
      <w:r>
        <w:rPr>
          <w:rFonts w:cs="Times New Roman"/>
        </w:rPr>
        <w:t xml:space="preserve">The review team will be comprised of staff in the Community Grants Hub. </w:t>
      </w:r>
    </w:p>
    <w:p w14:paraId="6B150288" w14:textId="77777777" w:rsidR="002557AF" w:rsidRDefault="002557AF" w:rsidP="002557AF">
      <w:pPr>
        <w:pStyle w:val="CABNETParagraphAtt"/>
        <w:spacing w:after="240"/>
        <w:rPr>
          <w:rFonts w:cs="Times New Roman"/>
        </w:rPr>
      </w:pPr>
      <w:r>
        <w:rPr>
          <w:rFonts w:cs="Times New Roman"/>
        </w:rPr>
        <w:t xml:space="preserve">If the selection process identifies that additional information or clarification is required, you </w:t>
      </w:r>
      <w:proofErr w:type="gramStart"/>
      <w:r>
        <w:rPr>
          <w:rFonts w:cs="Times New Roman"/>
        </w:rPr>
        <w:t>may be contacted</w:t>
      </w:r>
      <w:proofErr w:type="gramEnd"/>
      <w:r>
        <w:rPr>
          <w:rFonts w:cs="Times New Roman"/>
        </w:rPr>
        <w:t xml:space="preserve"> to provide further information.</w:t>
      </w:r>
    </w:p>
    <w:p w14:paraId="416F5FE0" w14:textId="200EF8C5" w:rsidR="002557AF" w:rsidRPr="00A75BF8" w:rsidRDefault="002557AF" w:rsidP="002557AF">
      <w:r>
        <w:t xml:space="preserve">In determining the extent to which your service represents value with relevant money, the review team will consider the overall objectives to </w:t>
      </w:r>
      <w:proofErr w:type="gramStart"/>
      <w:r>
        <w:t>be achieved</w:t>
      </w:r>
      <w:proofErr w:type="gramEnd"/>
      <w:r>
        <w:t xml:space="preserve"> in providing the funding.</w:t>
      </w:r>
    </w:p>
    <w:p w14:paraId="6CCD2402" w14:textId="77777777" w:rsidR="00340616" w:rsidRPr="005D26B4" w:rsidRDefault="00340616" w:rsidP="003717CD">
      <w:pPr>
        <w:pStyle w:val="Heading2Numbered"/>
      </w:pPr>
      <w:bookmarkStart w:id="71" w:name="_Toc467773976"/>
      <w:bookmarkStart w:id="72" w:name="_Toc524419165"/>
      <w:r w:rsidRPr="005D26B4">
        <w:t>Who will approve grants?</w:t>
      </w:r>
      <w:bookmarkEnd w:id="71"/>
      <w:bookmarkEnd w:id="72"/>
    </w:p>
    <w:p w14:paraId="5CA9BDA1" w14:textId="175A154C" w:rsidR="002557AF" w:rsidRDefault="002557AF" w:rsidP="002557AF">
      <w:r>
        <w:t xml:space="preserve">The </w:t>
      </w:r>
      <w:r w:rsidR="005D26B4" w:rsidRPr="0049173E">
        <w:t>Department of Social Services</w:t>
      </w:r>
      <w:r w:rsidRPr="0049173E">
        <w:t xml:space="preserve"> will</w:t>
      </w:r>
      <w:r>
        <w:t xml:space="preserve"> make the final decision to approve the grant, taking into account the recommendations of the review team and the availability of grant funds.</w:t>
      </w:r>
    </w:p>
    <w:p w14:paraId="76DCAAD1" w14:textId="369242C1" w:rsidR="002557AF" w:rsidRDefault="002557AF" w:rsidP="002557AF">
      <w:r>
        <w:t xml:space="preserve">The </w:t>
      </w:r>
      <w:r w:rsidR="005D26B4">
        <w:t>Department of Social Services</w:t>
      </w:r>
      <w:r>
        <w:t xml:space="preserve"> decision is final in all matters, including:</w:t>
      </w:r>
    </w:p>
    <w:p w14:paraId="0A921242" w14:textId="77777777" w:rsidR="002557AF" w:rsidRPr="00E92EDA" w:rsidRDefault="002557AF" w:rsidP="005757AA">
      <w:pPr>
        <w:pStyle w:val="ListParagraph"/>
        <w:numPr>
          <w:ilvl w:val="0"/>
          <w:numId w:val="28"/>
        </w:numPr>
        <w:spacing w:line="240" w:lineRule="auto"/>
        <w:ind w:left="714" w:hanging="357"/>
        <w:rPr>
          <w:rFonts w:asciiTheme="minorHAnsi" w:hAnsiTheme="minorHAnsi" w:cstheme="minorHAnsi"/>
        </w:rPr>
      </w:pPr>
      <w:r w:rsidRPr="00E92EDA">
        <w:rPr>
          <w:rFonts w:asciiTheme="minorHAnsi" w:hAnsiTheme="minorHAnsi" w:cstheme="minorHAnsi"/>
        </w:rPr>
        <w:t>the approval of the grant</w:t>
      </w:r>
    </w:p>
    <w:p w14:paraId="20D32B0C" w14:textId="77777777" w:rsidR="002557AF" w:rsidRPr="00E92EDA" w:rsidRDefault="002557AF" w:rsidP="005757AA">
      <w:pPr>
        <w:pStyle w:val="ListParagraph"/>
        <w:numPr>
          <w:ilvl w:val="0"/>
          <w:numId w:val="28"/>
        </w:numPr>
        <w:spacing w:line="240" w:lineRule="auto"/>
        <w:ind w:left="714" w:hanging="357"/>
        <w:rPr>
          <w:rFonts w:asciiTheme="minorHAnsi" w:hAnsiTheme="minorHAnsi" w:cstheme="minorHAnsi"/>
        </w:rPr>
      </w:pPr>
      <w:r w:rsidRPr="00E92EDA">
        <w:rPr>
          <w:rFonts w:asciiTheme="minorHAnsi" w:hAnsiTheme="minorHAnsi" w:cstheme="minorHAnsi"/>
        </w:rPr>
        <w:t>the grant funding amount to be awarded</w:t>
      </w:r>
    </w:p>
    <w:p w14:paraId="60272042" w14:textId="14F2E78D" w:rsidR="002557AF" w:rsidRDefault="002557AF" w:rsidP="002557AF">
      <w:r>
        <w:lastRenderedPageBreak/>
        <w:t xml:space="preserve">The </w:t>
      </w:r>
      <w:r w:rsidR="005D26B4">
        <w:t>Department of Social Services</w:t>
      </w:r>
      <w:r>
        <w:t xml:space="preserve"> will not approve funding if there is insufficient program funding available across relevant financial years for the program, or if the application does not represent value with money. </w:t>
      </w:r>
    </w:p>
    <w:p w14:paraId="3748786F" w14:textId="580D66F5" w:rsidR="002557AF" w:rsidRDefault="002557AF" w:rsidP="002557AF">
      <w:r>
        <w:t>There is no appeal mechanism for decisions to approve or not approve a grant.</w:t>
      </w:r>
    </w:p>
    <w:p w14:paraId="5786614F" w14:textId="4A75377B" w:rsidR="001F75DF" w:rsidRDefault="00340616" w:rsidP="00340616">
      <w:pPr>
        <w:pStyle w:val="Heading1Numbered"/>
      </w:pPr>
      <w:bookmarkStart w:id="73" w:name="_Toc467773977"/>
      <w:bookmarkStart w:id="74" w:name="_Toc524419166"/>
      <w:r w:rsidRPr="00B72EE8">
        <w:t>Notification of application outcomes</w:t>
      </w:r>
      <w:bookmarkEnd w:id="73"/>
      <w:bookmarkEnd w:id="74"/>
    </w:p>
    <w:p w14:paraId="64D4765B" w14:textId="4A87834F" w:rsidR="00340616" w:rsidRDefault="001F75DF" w:rsidP="00340616">
      <w:r>
        <w:t>The Community Grants Hub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r w:rsidR="00340616" w:rsidRPr="00B72EE8">
        <w:t xml:space="preserve"> </w:t>
      </w:r>
    </w:p>
    <w:p w14:paraId="676755A6" w14:textId="0912E572" w:rsidR="001F75DF" w:rsidRDefault="00340616" w:rsidP="00831521">
      <w:pPr>
        <w:pStyle w:val="Heading2Numbered"/>
      </w:pPr>
      <w:bookmarkStart w:id="75" w:name="_Toc467773978"/>
      <w:bookmarkStart w:id="76" w:name="_Toc524419167"/>
      <w:r w:rsidRPr="00B72EE8">
        <w:t xml:space="preserve">Feedback on </w:t>
      </w:r>
      <w:r>
        <w:t xml:space="preserve">your </w:t>
      </w:r>
      <w:r w:rsidRPr="00B72EE8">
        <w:t>application</w:t>
      </w:r>
      <w:bookmarkEnd w:id="75"/>
      <w:bookmarkEnd w:id="76"/>
    </w:p>
    <w:p w14:paraId="7A0415A2" w14:textId="675413A8" w:rsidR="001F75DF" w:rsidRDefault="001F75DF" w:rsidP="00831521">
      <w:r w:rsidRPr="00E92EDA">
        <w:t xml:space="preserve">If you are unsuccessful, you may ask for feedback within one month of </w:t>
      </w:r>
      <w:proofErr w:type="gramStart"/>
      <w:r w:rsidRPr="00E92EDA">
        <w:t>being advised</w:t>
      </w:r>
      <w:proofErr w:type="gramEnd"/>
      <w:r w:rsidRPr="00E92EDA">
        <w:t xml:space="preserve"> of the outcome. We will give written feedback within one month of your request.</w:t>
      </w:r>
    </w:p>
    <w:p w14:paraId="16A89B26" w14:textId="65D6218E" w:rsidR="00340616" w:rsidRDefault="00340616" w:rsidP="0054078D">
      <w:pPr>
        <w:pStyle w:val="Heading1Numbered"/>
      </w:pPr>
      <w:bookmarkStart w:id="77" w:name="_Toc467773979"/>
      <w:bookmarkStart w:id="78" w:name="_Toc421777622"/>
      <w:bookmarkStart w:id="79" w:name="_Toc433641183"/>
      <w:bookmarkStart w:id="80" w:name="_Toc524419168"/>
      <w:r>
        <w:t>Successful grant applications</w:t>
      </w:r>
      <w:bookmarkEnd w:id="77"/>
      <w:bookmarkEnd w:id="80"/>
    </w:p>
    <w:p w14:paraId="4791C0C8" w14:textId="27A538DB" w:rsidR="00356CB6" w:rsidRDefault="00340616" w:rsidP="00340616">
      <w:pPr>
        <w:pStyle w:val="Heading2Numbered"/>
        <w:ind w:left="709" w:hanging="709"/>
      </w:pPr>
      <w:bookmarkStart w:id="81" w:name="_Toc467773980"/>
      <w:bookmarkStart w:id="82" w:name="_Toc524419169"/>
      <w:r>
        <w:t xml:space="preserve">The </w:t>
      </w:r>
      <w:r w:rsidRPr="0054078D">
        <w:t>grant agreement</w:t>
      </w:r>
      <w:bookmarkEnd w:id="78"/>
      <w:bookmarkEnd w:id="79"/>
      <w:bookmarkEnd w:id="81"/>
      <w:bookmarkEnd w:id="82"/>
    </w:p>
    <w:p w14:paraId="67028B93" w14:textId="0174687C" w:rsidR="00356CB6" w:rsidRDefault="00356CB6" w:rsidP="00356CB6">
      <w:r>
        <w:t xml:space="preserve">If you are successful and you choose to accept a grant offer, </w:t>
      </w:r>
      <w:r w:rsidRPr="00103A95">
        <w:t>you must enter into a legally binding grant agreement with the Commonwealth represented by</w:t>
      </w:r>
      <w:r w:rsidRPr="00103A95">
        <w:rPr>
          <w:rStyle w:val="highlightedtextChar"/>
        </w:rPr>
        <w:t xml:space="preserve"> </w:t>
      </w:r>
      <w:r w:rsidR="00C36F37">
        <w:t>the</w:t>
      </w:r>
      <w:r w:rsidRPr="00C334CD">
        <w:t xml:space="preserve"> Department</w:t>
      </w:r>
      <w:r w:rsidR="00C36F37">
        <w:t xml:space="preserve"> of Social Services</w:t>
      </w:r>
      <w:r w:rsidRPr="00C334CD">
        <w:rPr>
          <w:rStyle w:val="highlightedtextChar"/>
          <w:color w:val="auto"/>
        </w:rPr>
        <w:t>.</w:t>
      </w:r>
      <w:r w:rsidRPr="00DB0937">
        <w:rPr>
          <w:rStyle w:val="highlightedtextChar"/>
          <w:color w:val="auto"/>
        </w:rPr>
        <w:t xml:space="preserve"> </w:t>
      </w:r>
      <w:r>
        <w:rPr>
          <w:rStyle w:val="highlightedtextChar"/>
          <w:b w:val="0"/>
          <w:color w:val="auto"/>
        </w:rPr>
        <w:t>Th</w:t>
      </w:r>
      <w:r w:rsidRPr="00DB0937">
        <w:rPr>
          <w:rStyle w:val="highlightedtextChar"/>
          <w:b w:val="0"/>
          <w:color w:val="auto"/>
        </w:rPr>
        <w:t>e</w:t>
      </w:r>
      <w:r w:rsidRPr="00103A95">
        <w:rPr>
          <w:rStyle w:val="highlightedtextChar"/>
        </w:rPr>
        <w:t xml:space="preserve"> </w:t>
      </w:r>
      <w:r w:rsidR="00C36F37">
        <w:t>Department of Social Services</w:t>
      </w:r>
      <w:r w:rsidRPr="00C334CD">
        <w:rPr>
          <w:b/>
        </w:rPr>
        <w:t xml:space="preserve"> </w:t>
      </w:r>
      <w:r w:rsidRPr="00103A95">
        <w:t xml:space="preserve">will use the </w:t>
      </w:r>
      <w:hyperlink r:id="rId16" w:history="1">
        <w:r w:rsidRPr="00103A95">
          <w:rPr>
            <w:rStyle w:val="Hyperlink"/>
            <w:i/>
            <w:u w:val="none"/>
          </w:rPr>
          <w:t>Commonwealth</w:t>
        </w:r>
        <w:r w:rsidRPr="00103A95">
          <w:rPr>
            <w:rStyle w:val="Hyperlink"/>
            <w:b/>
            <w:i/>
            <w:u w:val="none"/>
          </w:rPr>
          <w:t xml:space="preserve"> </w:t>
        </w:r>
        <w:r w:rsidRPr="00C334CD">
          <w:rPr>
            <w:rStyle w:val="Hyperlink"/>
            <w:i/>
            <w:u w:val="none"/>
          </w:rPr>
          <w:t>S</w:t>
        </w:r>
        <w:r w:rsidR="00BC0E58">
          <w:rPr>
            <w:rStyle w:val="Hyperlink"/>
            <w:i/>
            <w:u w:val="none"/>
          </w:rPr>
          <w:t>imple</w:t>
        </w:r>
        <w:r w:rsidRPr="00103A95">
          <w:rPr>
            <w:rStyle w:val="Hyperlink"/>
            <w:b/>
            <w:i/>
            <w:u w:val="none"/>
          </w:rPr>
          <w:t xml:space="preserve"> </w:t>
        </w:r>
        <w:r w:rsidRPr="00103A95">
          <w:rPr>
            <w:rStyle w:val="Hyperlink"/>
            <w:i/>
            <w:u w:val="none"/>
          </w:rPr>
          <w:t>Grant Agreement</w:t>
        </w:r>
      </w:hyperlink>
      <w:r>
        <w:rPr>
          <w:rStyle w:val="Hyperlink"/>
          <w:i/>
          <w:u w:val="none"/>
        </w:rPr>
        <w:t xml:space="preserve">. </w:t>
      </w:r>
      <w:r w:rsidRPr="00103A95">
        <w:t xml:space="preserve">Standard terms and conditions for the grant agreement will apply and </w:t>
      </w:r>
      <w:proofErr w:type="gramStart"/>
      <w:r w:rsidRPr="00103A95">
        <w:t>cannot be changed</w:t>
      </w:r>
      <w:proofErr w:type="gramEnd"/>
      <w:r w:rsidRPr="00103A95">
        <w:t xml:space="preserve">. A schedule </w:t>
      </w:r>
      <w:proofErr w:type="gramStart"/>
      <w:r w:rsidRPr="00103A95">
        <w:t>may be used</w:t>
      </w:r>
      <w:proofErr w:type="gramEnd"/>
      <w:r w:rsidRPr="00103A95">
        <w:t xml:space="preserve"> to outline the specific grant</w:t>
      </w:r>
      <w:r w:rsidRPr="002E0C03">
        <w:t xml:space="preserve"> requirements.  Any additional conditions attached to the grant </w:t>
      </w:r>
      <w:proofErr w:type="gramStart"/>
      <w:r w:rsidRPr="002E0C03">
        <w:t>will be identified</w:t>
      </w:r>
      <w:proofErr w:type="gramEnd"/>
      <w:r w:rsidRPr="002E0C03">
        <w:t xml:space="preserve"> in the grant offer or during the grant agreement negotiations.</w:t>
      </w:r>
    </w:p>
    <w:p w14:paraId="67B1628D" w14:textId="77777777" w:rsidR="00356CB6" w:rsidRDefault="00356CB6" w:rsidP="00356CB6">
      <w:pPr>
        <w:rPr>
          <w:bCs/>
          <w:lang w:eastAsia="en-AU"/>
        </w:rPr>
      </w:pPr>
      <w:r>
        <w:t xml:space="preserve">We must execute a grant agreement with you before we can make any payments. We are not responsible for any of your expenditure until a grant agreement </w:t>
      </w:r>
      <w:proofErr w:type="gramStart"/>
      <w:r>
        <w:t>is executed</w:t>
      </w:r>
      <w:proofErr w:type="gramEnd"/>
      <w:r>
        <w:t xml:space="preserve">. </w:t>
      </w:r>
      <w:r>
        <w:br/>
      </w:r>
      <w:r w:rsidRPr="00726710">
        <w:rPr>
          <w:bCs/>
          <w:lang w:eastAsia="en-AU"/>
        </w:rPr>
        <w:t xml:space="preserve">You should not make financial commitments </w:t>
      </w:r>
      <w:r>
        <w:rPr>
          <w:bCs/>
          <w:lang w:eastAsia="en-AU"/>
        </w:rPr>
        <w:t xml:space="preserve">related to this grant, </w:t>
      </w:r>
      <w:r w:rsidRPr="00726710">
        <w:rPr>
          <w:bCs/>
          <w:lang w:eastAsia="en-AU"/>
        </w:rPr>
        <w:t xml:space="preserve">until </w:t>
      </w:r>
      <w:proofErr w:type="gramStart"/>
      <w:r w:rsidRPr="00726710">
        <w:rPr>
          <w:bCs/>
          <w:lang w:eastAsia="en-AU"/>
        </w:rPr>
        <w:t>a grant agreement has been executed by the Commonwealth</w:t>
      </w:r>
      <w:proofErr w:type="gramEnd"/>
      <w:r w:rsidRPr="00726710">
        <w:rPr>
          <w:bCs/>
          <w:lang w:eastAsia="en-AU"/>
        </w:rPr>
        <w:t>.</w:t>
      </w:r>
      <w:r>
        <w:rPr>
          <w:bCs/>
          <w:lang w:eastAsia="en-AU"/>
        </w:rPr>
        <w:t xml:space="preserve"> </w:t>
      </w:r>
    </w:p>
    <w:p w14:paraId="1B1EBC2D" w14:textId="77777777" w:rsidR="00356CB6" w:rsidRDefault="00356CB6" w:rsidP="00356CB6">
      <w:r>
        <w:t xml:space="preserve">Your grant agreement may have specific conditions determined by the assessment process or other considerations made by the Program Delegate or Minister. We will identify these in the agreement. </w:t>
      </w:r>
    </w:p>
    <w:p w14:paraId="0525D4FB" w14:textId="0830D499" w:rsidR="00356CB6" w:rsidRPr="00726710" w:rsidRDefault="00356CB6" w:rsidP="00356CB6">
      <w:r w:rsidRPr="00726710">
        <w:rPr>
          <w:lang w:eastAsia="en-AU"/>
        </w:rPr>
        <w:t xml:space="preserve">Where a grantee fails to meet the obligations of the grant agreement, </w:t>
      </w:r>
      <w:r w:rsidRPr="00726710">
        <w:t>the</w:t>
      </w:r>
      <w:r>
        <w:t xml:space="preserve"> </w:t>
      </w:r>
      <w:r w:rsidR="00C36F37">
        <w:t xml:space="preserve">Department of </w:t>
      </w:r>
      <w:r w:rsidR="00A3322B">
        <w:t>Social Services</w:t>
      </w:r>
      <w:r w:rsidRPr="00726710">
        <w:rPr>
          <w:lang w:eastAsia="en-AU"/>
        </w:rPr>
        <w:t xml:space="preserve"> may</w:t>
      </w:r>
      <w:r w:rsidRPr="00726710">
        <w:rPr>
          <w:color w:val="745B00" w:themeColor="accent3" w:themeShade="80"/>
        </w:rPr>
        <w:t xml:space="preserve"> </w:t>
      </w:r>
      <w:r>
        <w:t>recover grant funds.</w:t>
      </w:r>
    </w:p>
    <w:p w14:paraId="139A35E7" w14:textId="77777777" w:rsidR="00356CB6" w:rsidRDefault="00356CB6" w:rsidP="00340616"/>
    <w:p w14:paraId="3BDB36CD" w14:textId="77777777" w:rsidR="00340616" w:rsidRDefault="00340616" w:rsidP="00892C8B">
      <w:pPr>
        <w:pStyle w:val="Heading2Numbered"/>
      </w:pPr>
      <w:bookmarkStart w:id="83" w:name="_Toc467773981"/>
      <w:bookmarkStart w:id="84" w:name="_Toc524419170"/>
      <w:r>
        <w:t>How the grant will be paid</w:t>
      </w:r>
      <w:bookmarkEnd w:id="83"/>
      <w:bookmarkEnd w:id="84"/>
    </w:p>
    <w:p w14:paraId="70B80B52" w14:textId="53192C12" w:rsidR="00356CB6" w:rsidRPr="00DB0315" w:rsidRDefault="00356CB6" w:rsidP="00356CB6">
      <w:pPr>
        <w:tabs>
          <w:tab w:val="left" w:pos="0"/>
        </w:tabs>
        <w:rPr>
          <w:bCs/>
          <w:lang w:eastAsia="en-AU"/>
        </w:rPr>
      </w:pPr>
      <w:r w:rsidRPr="00DB0315">
        <w:rPr>
          <w:bCs/>
          <w:lang w:eastAsia="en-AU"/>
        </w:rPr>
        <w:t>The grant agreement will state the:</w:t>
      </w:r>
    </w:p>
    <w:p w14:paraId="5F974146" w14:textId="77777777" w:rsidR="00356CB6" w:rsidRPr="00DB0315" w:rsidRDefault="00356CB6" w:rsidP="00356CB6">
      <w:pPr>
        <w:pStyle w:val="Bullet1"/>
      </w:pPr>
      <w:r w:rsidRPr="00DB0315">
        <w:lastRenderedPageBreak/>
        <w:t>maximum grant amount to be paid</w:t>
      </w:r>
    </w:p>
    <w:p w14:paraId="603A75B0" w14:textId="48AFF744" w:rsidR="00356CB6" w:rsidRDefault="00356CB6" w:rsidP="00356CB6">
      <w:pPr>
        <w:tabs>
          <w:tab w:val="left" w:pos="0"/>
        </w:tabs>
        <w:rPr>
          <w:bCs/>
          <w:lang w:eastAsia="en-AU"/>
        </w:rPr>
      </w:pPr>
      <w:r>
        <w:t>We will make an initial payment on the commencement of the grant. We will make subsequent payments according to an agreed schedule set out in the grant agreement (six monthly). Payments are subject to satisfactory progress on the grant activity.</w:t>
      </w:r>
    </w:p>
    <w:p w14:paraId="1FDB83FD" w14:textId="77777777" w:rsidR="00340616" w:rsidRPr="009E7919" w:rsidRDefault="00340616" w:rsidP="00892C8B">
      <w:pPr>
        <w:pStyle w:val="Heading2Numbered"/>
        <w:ind w:left="709" w:hanging="709"/>
      </w:pPr>
      <w:bookmarkStart w:id="85" w:name="_Toc451936378"/>
      <w:bookmarkStart w:id="86" w:name="_Toc467773982"/>
      <w:bookmarkStart w:id="87" w:name="_Toc524419171"/>
      <w:r>
        <w:t>Grant agreement</w:t>
      </w:r>
      <w:r w:rsidRPr="009E7919">
        <w:t xml:space="preserve"> variations</w:t>
      </w:r>
      <w:bookmarkEnd w:id="85"/>
      <w:bookmarkEnd w:id="86"/>
      <w:bookmarkEnd w:id="87"/>
    </w:p>
    <w:p w14:paraId="1849EABC" w14:textId="77777777" w:rsidR="00340616" w:rsidRDefault="00340616" w:rsidP="0054078D">
      <w:pPr>
        <w:pStyle w:val="Heading1Numbered"/>
      </w:pPr>
      <w:bookmarkStart w:id="88" w:name="_Toc467773983"/>
      <w:bookmarkStart w:id="89" w:name="_Toc524419172"/>
      <w:r w:rsidRPr="001607E9">
        <w:t>Announcement</w:t>
      </w:r>
      <w:r>
        <w:t xml:space="preserve"> of grants</w:t>
      </w:r>
      <w:bookmarkEnd w:id="88"/>
      <w:bookmarkEnd w:id="89"/>
    </w:p>
    <w:p w14:paraId="1391CE70" w14:textId="77777777" w:rsidR="00966462" w:rsidRPr="00966462" w:rsidRDefault="00966462" w:rsidP="00966462">
      <w:pPr>
        <w:rPr>
          <w:iCs/>
        </w:rPr>
      </w:pPr>
      <w:r>
        <w:t xml:space="preserve">If successful, your grant </w:t>
      </w:r>
      <w:proofErr w:type="gramStart"/>
      <w:r>
        <w:t>will be listed</w:t>
      </w:r>
      <w:proofErr w:type="gramEnd"/>
      <w:r>
        <w:t xml:space="preserve"> on </w:t>
      </w:r>
      <w:hyperlink r:id="rId17" w:history="1">
        <w:proofErr w:type="spellStart"/>
        <w:r w:rsidRPr="000510F7">
          <w:rPr>
            <w:rStyle w:val="Hyperlink"/>
            <w:rFonts w:cstheme="minorBidi"/>
          </w:rPr>
          <w:t>GrantConnect</w:t>
        </w:r>
        <w:proofErr w:type="spellEnd"/>
      </w:hyperlink>
      <w:r>
        <w:t xml:space="preserve"> </w:t>
      </w:r>
      <w:r w:rsidR="000510F7">
        <w:t>21 calendar days</w:t>
      </w:r>
      <w:r>
        <w:t xml:space="preserve"> after the date of effect as required by Section 5.3 of the </w:t>
      </w:r>
      <w:r>
        <w:rPr>
          <w:i/>
          <w:iCs/>
        </w:rPr>
        <w:t xml:space="preserve">CGRGs. </w:t>
      </w:r>
    </w:p>
    <w:p w14:paraId="08E490E4" w14:textId="77777777" w:rsidR="00340616" w:rsidRPr="00B72EE8" w:rsidRDefault="00340616" w:rsidP="0054078D">
      <w:pPr>
        <w:pStyle w:val="Heading1Numbered"/>
      </w:pPr>
      <w:bookmarkStart w:id="90" w:name="_Toc421777623"/>
      <w:bookmarkStart w:id="91" w:name="_Toc467773984"/>
      <w:bookmarkStart w:id="92" w:name="_Toc524419173"/>
      <w:r w:rsidRPr="00B72EE8">
        <w:t xml:space="preserve">Delivery of </w:t>
      </w:r>
      <w:r>
        <w:t>g</w:t>
      </w:r>
      <w:r w:rsidRPr="00B72EE8">
        <w:t>rant</w:t>
      </w:r>
      <w:r>
        <w:t xml:space="preserve"> activities</w:t>
      </w:r>
      <w:bookmarkEnd w:id="90"/>
      <w:bookmarkEnd w:id="91"/>
      <w:bookmarkEnd w:id="92"/>
    </w:p>
    <w:p w14:paraId="43973845" w14:textId="77777777" w:rsidR="00340616" w:rsidRPr="00B72EE8" w:rsidDel="00D505A5" w:rsidRDefault="00340616" w:rsidP="00892C8B">
      <w:pPr>
        <w:pStyle w:val="Heading2Numbered"/>
        <w:ind w:left="709" w:hanging="709"/>
      </w:pPr>
      <w:bookmarkStart w:id="93" w:name="_Toc421777624"/>
      <w:bookmarkStart w:id="94" w:name="_Toc433641185"/>
      <w:bookmarkStart w:id="95" w:name="_Toc467773985"/>
      <w:bookmarkStart w:id="96" w:name="_Toc524419174"/>
      <w:r>
        <w:t>Your</w:t>
      </w:r>
      <w:r w:rsidRPr="00B72EE8" w:rsidDel="00D505A5">
        <w:t xml:space="preserve"> responsibilities</w:t>
      </w:r>
      <w:bookmarkEnd w:id="93"/>
      <w:bookmarkEnd w:id="94"/>
      <w:bookmarkEnd w:id="95"/>
      <w:bookmarkEnd w:id="96"/>
    </w:p>
    <w:p w14:paraId="54B26274" w14:textId="04E041F5"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8" w:history="1">
        <w:r w:rsidRPr="00726710">
          <w:rPr>
            <w:rFonts w:cstheme="minorHAnsi"/>
          </w:rPr>
          <w:t>grant agreement</w:t>
        </w:r>
      </w:hyperlink>
      <w:r w:rsidRPr="00726710">
        <w:rPr>
          <w:rFonts w:cstheme="minorHAnsi"/>
        </w:rPr>
        <w:t>. We will expect you to report on</w:t>
      </w:r>
    </w:p>
    <w:p w14:paraId="5A77DDC5" w14:textId="77777777" w:rsidR="00340616" w:rsidRPr="00726710" w:rsidRDefault="00340616" w:rsidP="00726710">
      <w:pPr>
        <w:pStyle w:val="Bullet1"/>
      </w:pPr>
      <w:r w:rsidRPr="00726710">
        <w:t>progress against agreed project milestones</w:t>
      </w:r>
    </w:p>
    <w:p w14:paraId="4383C268" w14:textId="77777777" w:rsidR="00340616" w:rsidRPr="00726710" w:rsidRDefault="00340616" w:rsidP="00726710">
      <w:pPr>
        <w:pStyle w:val="Bullet1"/>
      </w:pPr>
      <w:r w:rsidRPr="00726710">
        <w:t>contributions of participants directly related to the project</w:t>
      </w:r>
    </w:p>
    <w:p w14:paraId="30C5E294" w14:textId="77777777" w:rsidR="00340616" w:rsidRPr="00726710" w:rsidRDefault="00340616" w:rsidP="00726710">
      <w:pPr>
        <w:pStyle w:val="Bullet1"/>
      </w:pPr>
      <w:proofErr w:type="gramStart"/>
      <w:r w:rsidRPr="00726710">
        <w:t>eligible</w:t>
      </w:r>
      <w:proofErr w:type="gramEnd"/>
      <w:r w:rsidRPr="00726710">
        <w:t xml:space="preserve"> expenditure of grant funds.</w:t>
      </w:r>
    </w:p>
    <w:p w14:paraId="29797BFE" w14:textId="71FC2E09"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00DC7970" w:rsidRPr="00DC7970">
        <w:rPr>
          <w:rFonts w:cstheme="minorHAnsi"/>
        </w:rPr>
        <w:t>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w:t>
      </w:r>
      <w:proofErr w:type="gramStart"/>
      <w:r w:rsidRPr="00726710" w:rsidDel="00D505A5">
        <w:rPr>
          <w:rFonts w:cstheme="minorHAnsi"/>
        </w:rPr>
        <w:t>for</w:t>
      </w:r>
      <w:proofErr w:type="gramEnd"/>
      <w:r w:rsidRPr="00726710" w:rsidDel="00D505A5">
        <w:rPr>
          <w:rFonts w:cstheme="minorHAnsi"/>
        </w:rPr>
        <w:t>:</w:t>
      </w:r>
    </w:p>
    <w:p w14:paraId="0F37EDD3" w14:textId="77777777"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6FAB6FFF" w14:textId="77777777"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14:paraId="1EF47A42" w14:textId="77777777" w:rsidR="00340616" w:rsidRPr="00726710" w:rsidDel="00D505A5"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2402E9C1" w14:textId="50F9D4D6" w:rsidR="00340616" w:rsidRPr="00B72EE8" w:rsidRDefault="005A3C34" w:rsidP="00953463">
      <w:pPr>
        <w:pStyle w:val="Heading2Numbered"/>
        <w:ind w:left="709" w:hanging="709"/>
      </w:pPr>
      <w:bookmarkStart w:id="97" w:name="_Toc420671454"/>
      <w:bookmarkStart w:id="98" w:name="_Toc433641186"/>
      <w:bookmarkStart w:id="99" w:name="_Toc467773986"/>
      <w:bookmarkStart w:id="100" w:name="_Toc524419175"/>
      <w:r w:rsidRPr="005A3C34">
        <w:rPr>
          <w:color w:val="auto"/>
        </w:rPr>
        <w:t>The Community Grants Hub’s</w:t>
      </w:r>
      <w:r w:rsidR="00340616" w:rsidRPr="005A3C34">
        <w:rPr>
          <w:color w:val="auto"/>
        </w:rPr>
        <w:t xml:space="preserve"> </w:t>
      </w:r>
      <w:r w:rsidR="00340616" w:rsidRPr="00B72EE8">
        <w:t>responsibilities</w:t>
      </w:r>
      <w:bookmarkEnd w:id="97"/>
      <w:bookmarkEnd w:id="98"/>
      <w:bookmarkEnd w:id="99"/>
      <w:bookmarkEnd w:id="100"/>
    </w:p>
    <w:p w14:paraId="1ECE584C" w14:textId="4F60B41A"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Community Grants Hub</w:t>
      </w:r>
      <w:r w:rsidR="00953463">
        <w:rPr>
          <w:rFonts w:cstheme="minorHAnsi"/>
        </w:rPr>
        <w:t xml:space="preserve"> </w:t>
      </w:r>
      <w:r w:rsidRPr="005A3C34">
        <w:rPr>
          <w:rFonts w:cstheme="minorHAnsi"/>
        </w:rPr>
        <w:t>will</w:t>
      </w:r>
      <w:r w:rsidRPr="00726710">
        <w:rPr>
          <w:rFonts w:cstheme="minorHAnsi"/>
        </w:rPr>
        <w:t xml:space="preserve">: </w:t>
      </w:r>
    </w:p>
    <w:p w14:paraId="6D1E2483" w14:textId="77777777" w:rsidR="00340616" w:rsidRPr="00726710" w:rsidRDefault="00340616" w:rsidP="00726710">
      <w:pPr>
        <w:pStyle w:val="Bullet1"/>
      </w:pPr>
      <w:r w:rsidRPr="00726710">
        <w:t>meet the terms and conditions</w:t>
      </w:r>
      <w:r w:rsidR="001D7A14">
        <w:t xml:space="preserve"> set out in the grant agreement</w:t>
      </w:r>
    </w:p>
    <w:p w14:paraId="386BABAD" w14:textId="77777777" w:rsidR="00340616" w:rsidRPr="00726710" w:rsidRDefault="00340616" w:rsidP="00726710">
      <w:pPr>
        <w:pStyle w:val="Bullet1"/>
      </w:pPr>
      <w:r w:rsidRPr="00726710">
        <w:t>provide time</w:t>
      </w:r>
      <w:r w:rsidR="001D7A14">
        <w:t>ly administration of the grant</w:t>
      </w:r>
    </w:p>
    <w:p w14:paraId="15A5EFE1" w14:textId="77777777" w:rsidR="00340616" w:rsidRPr="00726710" w:rsidRDefault="00340616" w:rsidP="00726710">
      <w:pPr>
        <w:pStyle w:val="Bullet1"/>
      </w:pPr>
      <w:proofErr w:type="gramStart"/>
      <w:r w:rsidRPr="00726710">
        <w:t>evaluate</w:t>
      </w:r>
      <w:proofErr w:type="gramEnd"/>
      <w:r w:rsidRPr="00726710">
        <w:t xml:space="preserve"> the grantee’s performance.</w:t>
      </w:r>
    </w:p>
    <w:p w14:paraId="19F05106" w14:textId="7F0E5196"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33611531" w14:textId="77777777" w:rsidR="00340616" w:rsidRPr="00B72EE8" w:rsidRDefault="00340616" w:rsidP="00892C8B">
      <w:pPr>
        <w:pStyle w:val="Heading2Numbered"/>
        <w:ind w:left="709" w:hanging="709"/>
      </w:pPr>
      <w:bookmarkStart w:id="101" w:name="_Toc421777626"/>
      <w:bookmarkStart w:id="102" w:name="_Toc467773987"/>
      <w:bookmarkStart w:id="103" w:name="_Toc433641188"/>
      <w:bookmarkStart w:id="104" w:name="_Toc524419176"/>
      <w:r>
        <w:lastRenderedPageBreak/>
        <w:t>Grant p</w:t>
      </w:r>
      <w:r w:rsidRPr="00B72EE8">
        <w:t>ayments</w:t>
      </w:r>
      <w:bookmarkEnd w:id="101"/>
      <w:r>
        <w:t xml:space="preserve"> and GST</w:t>
      </w:r>
      <w:bookmarkEnd w:id="102"/>
      <w:bookmarkEnd w:id="104"/>
      <w:r>
        <w:t xml:space="preserve"> </w:t>
      </w:r>
      <w:bookmarkEnd w:id="103"/>
    </w:p>
    <w:p w14:paraId="2E76D39E" w14:textId="3759DBC0" w:rsidR="00340616" w:rsidRPr="00B72EE8" w:rsidRDefault="00340616" w:rsidP="00340616">
      <w:r>
        <w:t>P</w:t>
      </w:r>
      <w:r w:rsidRPr="00B72EE8">
        <w:t xml:space="preserve">ayments </w:t>
      </w:r>
      <w:proofErr w:type="gramStart"/>
      <w:r>
        <w:t>will be made</w:t>
      </w:r>
      <w:proofErr w:type="gramEnd"/>
      <w:r>
        <w:t xml:space="preserve"> as set out in </w:t>
      </w:r>
      <w:r w:rsidRPr="00B72EE8">
        <w:t>the</w:t>
      </w:r>
      <w:r>
        <w:t xml:space="preserve"> grant agreement</w:t>
      </w:r>
      <w:r w:rsidRPr="00726710">
        <w:rPr>
          <w:color w:val="745B00" w:themeColor="accent3" w:themeShade="80"/>
        </w:rPr>
        <w:t xml:space="preserve">. </w:t>
      </w:r>
      <w:r w:rsidRPr="00153348">
        <w:t xml:space="preserve">‘Payments will be GST </w:t>
      </w:r>
      <w:r w:rsidR="00FA2D3B">
        <w:t>Exclusive</w:t>
      </w:r>
      <w:r w:rsidRPr="00153348">
        <w:t>’.</w:t>
      </w:r>
    </w:p>
    <w:p w14:paraId="218DD875"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19" w:history="1">
        <w:r w:rsidRPr="00AE5A5C">
          <w:rPr>
            <w:rStyle w:val="Hyperlink"/>
            <w:rFonts w:cstheme="minorBidi"/>
          </w:rPr>
          <w:t>Australian Taxation Office website</w:t>
        </w:r>
      </w:hyperlink>
      <w:r w:rsidRPr="00E620C7">
        <w:t xml:space="preserve"> for more information.</w:t>
      </w:r>
    </w:p>
    <w:p w14:paraId="4FBDDA27" w14:textId="63D37CCE" w:rsidR="002220CC" w:rsidRPr="005D26B4" w:rsidRDefault="00192CC4" w:rsidP="00305665">
      <w:pPr>
        <w:pStyle w:val="Heading2Numbered"/>
        <w:ind w:left="709" w:hanging="709"/>
      </w:pPr>
      <w:bookmarkStart w:id="105" w:name="_Toc421777629"/>
      <w:bookmarkStart w:id="106" w:name="_Toc467773988"/>
      <w:bookmarkStart w:id="107" w:name="_Toc524419177"/>
      <w:r w:rsidRPr="005D26B4">
        <w:t>Reporting</w:t>
      </w:r>
      <w:bookmarkEnd w:id="107"/>
    </w:p>
    <w:p w14:paraId="7A147B4F" w14:textId="130ECBAE" w:rsidR="002220CC" w:rsidRDefault="002220CC" w:rsidP="002220CC">
      <w:pPr>
        <w:rPr>
          <w:rFonts w:cstheme="minorHAnsi"/>
          <w:lang w:val="en-GB"/>
        </w:rPr>
      </w:pPr>
      <w:r>
        <w:rPr>
          <w:rFonts w:cstheme="minorHAnsi"/>
          <w:lang w:val="en-GB"/>
        </w:rPr>
        <w:t>Inclusive Communities grant recipients must have systems in place to allow them to meet their data collection and reporting obligations outlined in their grant agreement.  </w:t>
      </w:r>
    </w:p>
    <w:p w14:paraId="7ECB7D6E" w14:textId="77777777" w:rsidR="002220CC" w:rsidRDefault="002220CC" w:rsidP="002220CC">
      <w:pPr>
        <w:rPr>
          <w:rFonts w:cstheme="minorHAnsi"/>
        </w:rPr>
      </w:pPr>
      <w:r>
        <w:rPr>
          <w:rFonts w:cstheme="minorHAnsi"/>
        </w:rPr>
        <w:t xml:space="preserve">Performance information (e.g. client characteristics and service delivery information) </w:t>
      </w:r>
      <w:proofErr w:type="gramStart"/>
      <w:r>
        <w:rPr>
          <w:rFonts w:cstheme="minorHAnsi"/>
        </w:rPr>
        <w:t>will be required to be collected by service providers at the client level and</w:t>
      </w:r>
      <w:proofErr w:type="gramEnd"/>
      <w:r>
        <w:rPr>
          <w:rFonts w:cstheme="minorHAnsi"/>
        </w:rPr>
        <w:t xml:space="preserve"> entered directly into the department’s performance reporting solution, the Data Exchange. </w:t>
      </w:r>
    </w:p>
    <w:p w14:paraId="5F97EF5A" w14:textId="77777777" w:rsidR="002220CC" w:rsidRDefault="002220CC" w:rsidP="002220CC">
      <w:r>
        <w:t>The performance information reported through the Data Exchange includes:</w:t>
      </w:r>
    </w:p>
    <w:p w14:paraId="62C63C6A" w14:textId="77777777" w:rsidR="002220CC" w:rsidRDefault="002220CC" w:rsidP="005757AA">
      <w:pPr>
        <w:numPr>
          <w:ilvl w:val="0"/>
          <w:numId w:val="29"/>
        </w:numPr>
        <w:suppressAutoHyphens w:val="0"/>
        <w:spacing w:before="0" w:after="0" w:line="240" w:lineRule="auto"/>
        <w:rPr>
          <w:rFonts w:eastAsia="Times New Roman"/>
        </w:rPr>
      </w:pPr>
      <w:r>
        <w:rPr>
          <w:rFonts w:eastAsia="Times New Roman"/>
        </w:rPr>
        <w:t xml:space="preserve">Client identity characteristics </w:t>
      </w:r>
      <w:r>
        <w:t>(given and family names, date of birth, gender and residential address)</w:t>
      </w:r>
      <w:r>
        <w:rPr>
          <w:rFonts w:eastAsia="Times New Roman"/>
        </w:rPr>
        <w:t xml:space="preserve">  </w:t>
      </w:r>
    </w:p>
    <w:p w14:paraId="6A089DD9" w14:textId="77777777" w:rsidR="002220CC" w:rsidRDefault="002220CC" w:rsidP="005757AA">
      <w:pPr>
        <w:numPr>
          <w:ilvl w:val="0"/>
          <w:numId w:val="29"/>
        </w:numPr>
        <w:suppressAutoHyphens w:val="0"/>
        <w:spacing w:before="0" w:after="0" w:line="240" w:lineRule="auto"/>
        <w:rPr>
          <w:rFonts w:eastAsia="Times New Roman"/>
        </w:rPr>
      </w:pPr>
      <w:r>
        <w:rPr>
          <w:rFonts w:eastAsia="Times New Roman"/>
        </w:rPr>
        <w:t xml:space="preserve">Client demographic characteristics </w:t>
      </w:r>
      <w:r>
        <w:t>(indigenous status, cultural and linguistic diversity, and disability status, impairment or condition)</w:t>
      </w:r>
    </w:p>
    <w:p w14:paraId="679C8AE3" w14:textId="77777777" w:rsidR="002220CC" w:rsidRDefault="002220CC" w:rsidP="005757AA">
      <w:pPr>
        <w:numPr>
          <w:ilvl w:val="0"/>
          <w:numId w:val="29"/>
        </w:numPr>
        <w:suppressAutoHyphens w:val="0"/>
        <w:spacing w:before="0" w:after="0" w:line="240" w:lineRule="auto"/>
        <w:rPr>
          <w:rFonts w:eastAsia="Times New Roman"/>
        </w:rPr>
      </w:pPr>
      <w:r>
        <w:rPr>
          <w:rFonts w:eastAsia="Times New Roman"/>
        </w:rPr>
        <w:t>Service delivery information (outlets, cases, sessions)</w:t>
      </w:r>
    </w:p>
    <w:p w14:paraId="7B89065F" w14:textId="77777777" w:rsidR="002220CC" w:rsidRDefault="002220CC" w:rsidP="005757AA">
      <w:pPr>
        <w:numPr>
          <w:ilvl w:val="0"/>
          <w:numId w:val="29"/>
        </w:numPr>
        <w:suppressAutoHyphens w:val="0"/>
        <w:spacing w:before="0" w:after="0" w:line="240" w:lineRule="auto"/>
        <w:rPr>
          <w:rFonts w:eastAsia="Times New Roman"/>
        </w:rPr>
      </w:pPr>
      <w:r>
        <w:rPr>
          <w:rFonts w:eastAsia="Times New Roman"/>
        </w:rPr>
        <w:t>Client outcomes</w:t>
      </w:r>
    </w:p>
    <w:p w14:paraId="1E18E156" w14:textId="3AB45E9D" w:rsidR="002220CC" w:rsidRDefault="002220CC" w:rsidP="002220CC">
      <w:pPr>
        <w:rPr>
          <w:rFonts w:cstheme="minorHAnsi"/>
        </w:rPr>
      </w:pPr>
      <w:r>
        <w:rPr>
          <w:rFonts w:ascii="Arial" w:hAnsi="Arial" w:cs="Arial"/>
        </w:rPr>
        <w:t xml:space="preserve">The Data Exchange has two standardised six monthly performance reporting periods each year, </w:t>
      </w:r>
      <w:r>
        <w:rPr>
          <w:rFonts w:ascii="Arial" w:hAnsi="Arial" w:cs="Arial"/>
          <w:bCs/>
        </w:rPr>
        <w:t xml:space="preserve">which run from 1 July to 31 December and 1 January to 30 June, with a </w:t>
      </w:r>
      <w:proofErr w:type="gramStart"/>
      <w:r>
        <w:rPr>
          <w:rFonts w:ascii="Arial" w:hAnsi="Arial" w:cs="Arial"/>
          <w:bCs/>
        </w:rPr>
        <w:t>30 day</w:t>
      </w:r>
      <w:proofErr w:type="gramEnd"/>
      <w:r>
        <w:rPr>
          <w:rFonts w:ascii="Arial" w:hAnsi="Arial" w:cs="Arial"/>
          <w:bCs/>
        </w:rPr>
        <w:t xml:space="preserve"> close off period after each of these. Once the close-off period is </w:t>
      </w:r>
      <w:proofErr w:type="gramStart"/>
      <w:r>
        <w:rPr>
          <w:rFonts w:ascii="Arial" w:hAnsi="Arial" w:cs="Arial"/>
          <w:bCs/>
        </w:rPr>
        <w:t>completed</w:t>
      </w:r>
      <w:proofErr w:type="gramEnd"/>
      <w:r>
        <w:rPr>
          <w:rFonts w:ascii="Arial" w:hAnsi="Arial" w:cs="Arial"/>
          <w:bCs/>
        </w:rPr>
        <w:t xml:space="preserve"> no further changes can be made to the data.</w:t>
      </w:r>
    </w:p>
    <w:p w14:paraId="118BEB58" w14:textId="2747157C" w:rsidR="00305665" w:rsidRPr="002220CC" w:rsidRDefault="002220CC" w:rsidP="005B5537">
      <w:pPr>
        <w:rPr>
          <w:rFonts w:cstheme="minorHAnsi"/>
          <w:u w:val="single" w:color="0070C0"/>
          <w:lang w:val="en-GB"/>
        </w:rPr>
      </w:pPr>
      <w:r>
        <w:rPr>
          <w:rFonts w:cstheme="minorHAnsi"/>
        </w:rPr>
        <w:t xml:space="preserve">Information </w:t>
      </w:r>
      <w:proofErr w:type="gramStart"/>
      <w:r>
        <w:rPr>
          <w:rFonts w:cstheme="minorHAnsi"/>
        </w:rPr>
        <w:t>must be provided</w:t>
      </w:r>
      <w:proofErr w:type="gramEnd"/>
      <w:r>
        <w:rPr>
          <w:rFonts w:cstheme="minorHAnsi"/>
        </w:rPr>
        <w:t xml:space="preserve"> in accordance with the</w:t>
      </w:r>
      <w:r>
        <w:rPr>
          <w:rFonts w:cstheme="minorHAnsi"/>
          <w:i/>
        </w:rPr>
        <w:t xml:space="preserve"> </w:t>
      </w:r>
      <w:r>
        <w:rPr>
          <w:rFonts w:cstheme="minorHAnsi"/>
        </w:rPr>
        <w:t xml:space="preserve">Data Exchange Protocols available </w:t>
      </w:r>
      <w:r w:rsidR="00D848DB">
        <w:rPr>
          <w:rFonts w:cstheme="minorHAnsi"/>
        </w:rPr>
        <w:t xml:space="preserve">on the </w:t>
      </w:r>
      <w:hyperlink r:id="rId20" w:history="1">
        <w:r w:rsidR="00D848DB" w:rsidRPr="00D848DB">
          <w:rPr>
            <w:rStyle w:val="Hyperlink"/>
            <w:rFonts w:cstheme="minorHAnsi"/>
          </w:rPr>
          <w:t>Data Exchange website</w:t>
        </w:r>
      </w:hyperlink>
      <w:r w:rsidR="00D848DB">
        <w:rPr>
          <w:rFonts w:cstheme="minorHAnsi"/>
        </w:rPr>
        <w:t>.</w:t>
      </w:r>
    </w:p>
    <w:p w14:paraId="27A17BE2" w14:textId="3AFB8023" w:rsidR="00340616" w:rsidRPr="00B72EE8" w:rsidRDefault="00340616" w:rsidP="00892C8B">
      <w:pPr>
        <w:pStyle w:val="Heading2Numbered"/>
      </w:pPr>
      <w:bookmarkStart w:id="108" w:name="_Toc524419178"/>
      <w:r>
        <w:t>E</w:t>
      </w:r>
      <w:r w:rsidRPr="00B72EE8">
        <w:t>valuation</w:t>
      </w:r>
      <w:bookmarkEnd w:id="105"/>
      <w:bookmarkEnd w:id="106"/>
      <w:bookmarkEnd w:id="108"/>
    </w:p>
    <w:p w14:paraId="01E10046" w14:textId="02110B0F" w:rsidR="001566F9" w:rsidRDefault="00726710" w:rsidP="00340616">
      <w:r>
        <w:t>The</w:t>
      </w:r>
      <w:r w:rsidRPr="00726710">
        <w:rPr>
          <w:b/>
          <w:color w:val="745B00" w:themeColor="accent3" w:themeShade="80"/>
        </w:rPr>
        <w:t xml:space="preserve"> </w:t>
      </w:r>
      <w:r w:rsidR="00597079" w:rsidRPr="00597079">
        <w:t>Department of Social Services</w:t>
      </w:r>
      <w:r w:rsidR="00340616" w:rsidRPr="00726710">
        <w:rPr>
          <w:color w:val="745B00" w:themeColor="accent3" w:themeShade="80"/>
        </w:rPr>
        <w:t xml:space="preserve"> </w:t>
      </w:r>
      <w:r w:rsidR="00340616">
        <w:t xml:space="preserve">will </w:t>
      </w:r>
      <w:r w:rsidR="00340616" w:rsidRPr="00B72EE8">
        <w:t>evaluat</w:t>
      </w:r>
      <w:r w:rsidR="00340616">
        <w:t>e</w:t>
      </w:r>
      <w:r w:rsidR="00340616" w:rsidRPr="00B72EE8">
        <w:t xml:space="preserve"> </w:t>
      </w:r>
      <w:r w:rsidR="00340616" w:rsidRPr="00726710">
        <w:t>the</w:t>
      </w:r>
      <w:r w:rsidR="00340616" w:rsidRPr="00597079">
        <w:t xml:space="preserve"> </w:t>
      </w:r>
      <w:r w:rsidR="00597079" w:rsidRPr="00597079">
        <w:t xml:space="preserve">Strong and Resilient Communities </w:t>
      </w:r>
      <w:r w:rsidR="00340616" w:rsidRPr="00597079">
        <w:t xml:space="preserve">program </w:t>
      </w:r>
      <w:r w:rsidR="00340616" w:rsidRPr="00B72EE8">
        <w:t>to</w:t>
      </w:r>
      <w:r w:rsidR="00340616">
        <w:t xml:space="preserve"> measure how well </w:t>
      </w:r>
      <w:r w:rsidR="00340616" w:rsidRPr="00B72EE8">
        <w:t xml:space="preserve">the outcomes and objectives </w:t>
      </w:r>
      <w:proofErr w:type="gramStart"/>
      <w:r w:rsidR="00340616" w:rsidRPr="00B72EE8">
        <w:t>have been achieved</w:t>
      </w:r>
      <w:proofErr w:type="gramEnd"/>
      <w:r w:rsidR="00340616" w:rsidRPr="00B72EE8">
        <w:t xml:space="preserve">. </w:t>
      </w:r>
    </w:p>
    <w:p w14:paraId="2FD434CE" w14:textId="00A1B1C1" w:rsidR="001566F9" w:rsidRDefault="001566F9" w:rsidP="001566F9">
      <w:r>
        <w:t>The</w:t>
      </w:r>
      <w:r w:rsidR="00597079">
        <w:t xml:space="preserve"> Department of Social Services </w:t>
      </w:r>
      <w:r>
        <w:t>will evaluate a range of issues, including but not limited to the p</w:t>
      </w:r>
      <w:r w:rsidRPr="001566F9">
        <w:t>erformance of the program, including the efficiency of implementation and effectiveness of the program meeting the outcomes</w:t>
      </w:r>
      <w:r>
        <w:t>.</w:t>
      </w:r>
    </w:p>
    <w:p w14:paraId="7AFA7F3A" w14:textId="68346ED0" w:rsidR="001566F9" w:rsidRDefault="001566F9" w:rsidP="001566F9">
      <w:proofErr w:type="gramStart"/>
      <w:r>
        <w:t xml:space="preserve">Your performance against the grant agreement will be monitored on an on-going basis by the </w:t>
      </w:r>
      <w:r w:rsidR="001736AF">
        <w:t>Funding Arrangement Manager</w:t>
      </w:r>
      <w:r>
        <w:t xml:space="preserve"> assigned by </w:t>
      </w:r>
      <w:r w:rsidR="00A65336">
        <w:t>the Department of Social Services</w:t>
      </w:r>
      <w:proofErr w:type="gramEnd"/>
      <w:r w:rsidR="00A65336">
        <w:t>.</w:t>
      </w:r>
      <w:r>
        <w:t xml:space="preserve">  The </w:t>
      </w:r>
      <w:r w:rsidR="001736AF">
        <w:t>Funding Arrangement Manager</w:t>
      </w:r>
      <w:r>
        <w:t xml:space="preserve"> will ensure all milestones recorded in your grant agreement </w:t>
      </w:r>
      <w:proofErr w:type="gramStart"/>
      <w:r>
        <w:t>are met</w:t>
      </w:r>
      <w:proofErr w:type="gramEnd"/>
      <w:r>
        <w:t>.</w:t>
      </w:r>
    </w:p>
    <w:p w14:paraId="69B232F8" w14:textId="77777777" w:rsidR="00340616" w:rsidRDefault="00340616" w:rsidP="001566F9">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745A4FCC" w14:textId="77777777" w:rsidR="001566F9" w:rsidRDefault="001566F9" w:rsidP="00340616"/>
    <w:p w14:paraId="47B4410A" w14:textId="77777777" w:rsidR="00340616" w:rsidRPr="00B72EE8" w:rsidRDefault="00340616" w:rsidP="00892C8B">
      <w:pPr>
        <w:pStyle w:val="Heading2Numbered"/>
        <w:ind w:left="709" w:hanging="709"/>
      </w:pPr>
      <w:bookmarkStart w:id="109" w:name="_Toc467773989"/>
      <w:bookmarkStart w:id="110" w:name="_Toc524419179"/>
      <w:r>
        <w:t>Acknowledgement</w:t>
      </w:r>
      <w:bookmarkEnd w:id="109"/>
      <w:bookmarkEnd w:id="110"/>
    </w:p>
    <w:p w14:paraId="098B8B92" w14:textId="77777777" w:rsidR="0090734E" w:rsidRPr="008B782D" w:rsidRDefault="0090734E" w:rsidP="0090734E">
      <w:r w:rsidRPr="008B782D">
        <w:t xml:space="preserve">All publications related to grants under the </w:t>
      </w:r>
      <w:r>
        <w:t>Program</w:t>
      </w:r>
      <w:r w:rsidRPr="008B782D">
        <w:t xml:space="preserve"> </w:t>
      </w:r>
      <w:r>
        <w:t xml:space="preserve">must </w:t>
      </w:r>
      <w:r w:rsidRPr="008B782D">
        <w:t>acknowledge the Commonwealth as follows:</w:t>
      </w:r>
    </w:p>
    <w:p w14:paraId="01312CBB" w14:textId="3596A2EA" w:rsidR="0090734E" w:rsidRDefault="0090734E" w:rsidP="00340616">
      <w:pPr>
        <w:spacing w:after="0"/>
      </w:pPr>
      <w:r>
        <w:t>‘</w:t>
      </w:r>
      <w:r w:rsidRPr="008B782D">
        <w:t>This activity received grant funding from the Australian Government.</w:t>
      </w:r>
      <w:r>
        <w:t>’</w:t>
      </w:r>
    </w:p>
    <w:p w14:paraId="7EC2F3F4" w14:textId="77777777" w:rsidR="002A2026" w:rsidRDefault="002A2026" w:rsidP="002A2026">
      <w:pPr>
        <w:pStyle w:val="Heading2Numbered"/>
        <w:ind w:left="709" w:hanging="709"/>
      </w:pPr>
      <w:bookmarkStart w:id="111" w:name="_Toc524419180"/>
      <w:r>
        <w:t>Multicultural Access and Equity</w:t>
      </w:r>
      <w:bookmarkEnd w:id="111"/>
    </w:p>
    <w:p w14:paraId="2C446FB4" w14:textId="406606C6" w:rsidR="005168B9" w:rsidRPr="005168B9" w:rsidRDefault="003C191D" w:rsidP="005168B9">
      <w:pPr>
        <w:rPr>
          <w:rFonts w:cstheme="minorHAnsi"/>
        </w:rPr>
      </w:pPr>
      <w:bookmarkStart w:id="112" w:name="_Toc467773990"/>
      <w:bookmarkStart w:id="113" w:name="_Toc421777631"/>
      <w:r>
        <w:t xml:space="preserve">Australia’s </w:t>
      </w:r>
      <w:r>
        <w:rPr>
          <w:i/>
          <w:iCs/>
        </w:rPr>
        <w:t>Multicultural Access and Equity Policy</w:t>
      </w:r>
      <w:r>
        <w:t xml:space="preserve"> obliges Australian government agencies to ensure their policies, programs and services (including those conducted by contractors and service delivery partners) are accessible to, and deliver equitable outcomes for, people from culturally and linguistically diverse (CALD) backgrounds.   Grant applicants should consider how they </w:t>
      </w:r>
      <w:proofErr w:type="gramStart"/>
      <w:r>
        <w:t>will</w:t>
      </w:r>
      <w:proofErr w:type="gramEnd"/>
      <w: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non-English speakers.  If required, based on an assessment of the target group, costs for translating and interpreting services (and other requirements for ensuring accessibility) </w:t>
      </w:r>
      <w:proofErr w:type="gramStart"/>
      <w:r>
        <w:t>should be factored</w:t>
      </w:r>
      <w:proofErr w:type="gramEnd"/>
      <w:r>
        <w:t xml:space="preserve"> into grant applications.  For further information on the Multicultural Access and Equity </w:t>
      </w:r>
      <w:proofErr w:type="gramStart"/>
      <w:r>
        <w:t>Policy</w:t>
      </w:r>
      <w:proofErr w:type="gramEnd"/>
      <w:r>
        <w:t xml:space="preserve"> please refer to</w:t>
      </w:r>
      <w:r w:rsidRPr="00F56B36">
        <w:t xml:space="preserve"> </w:t>
      </w:r>
      <w:hyperlink r:id="rId21" w:history="1">
        <w:r w:rsidRPr="00F56B36">
          <w:rPr>
            <w:rStyle w:val="Hyperlink"/>
          </w:rPr>
          <w:t>the DSS website</w:t>
        </w:r>
      </w:hyperlink>
      <w:r>
        <w:rPr>
          <w:rFonts w:cstheme="minorHAnsi"/>
        </w:rPr>
        <w:t>.</w:t>
      </w:r>
    </w:p>
    <w:p w14:paraId="6C347DE7" w14:textId="587E04CF" w:rsidR="00340616" w:rsidRPr="00B72EE8" w:rsidRDefault="005168B9" w:rsidP="005168B9">
      <w:pPr>
        <w:pStyle w:val="Heading1Numbered"/>
      </w:pPr>
      <w:r w:rsidRPr="00B72EE8">
        <w:t xml:space="preserve"> </w:t>
      </w:r>
      <w:bookmarkStart w:id="114" w:name="_Toc524419181"/>
      <w:r w:rsidR="00340616" w:rsidRPr="00B72EE8">
        <w:t>Probity</w:t>
      </w:r>
      <w:bookmarkEnd w:id="112"/>
      <w:bookmarkEnd w:id="114"/>
      <w:r w:rsidR="00340616" w:rsidRPr="00B72EE8">
        <w:t xml:space="preserve"> </w:t>
      </w:r>
      <w:bookmarkEnd w:id="113"/>
    </w:p>
    <w:p w14:paraId="34CEEA80"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106F36A" w14:textId="14A72457" w:rsidR="00340616" w:rsidRPr="00B72EE8" w:rsidRDefault="00340616" w:rsidP="00340616">
      <w:r w:rsidRPr="00726710">
        <w:rPr>
          <w:b/>
        </w:rPr>
        <w:t>Note:</w:t>
      </w:r>
      <w:r w:rsidRPr="00726710">
        <w:t xml:space="preserve"> These guidelines </w:t>
      </w:r>
      <w:proofErr w:type="gramStart"/>
      <w:r w:rsidRPr="00726710">
        <w:t>may be changed</w:t>
      </w:r>
      <w:proofErr w:type="gramEnd"/>
      <w:r w:rsidRPr="00726710">
        <w:t xml:space="preserve"> from time-to-time by</w:t>
      </w:r>
      <w:r w:rsidRPr="00726710">
        <w:rPr>
          <w:b/>
        </w:rPr>
        <w:t xml:space="preserve"> </w:t>
      </w:r>
      <w:r w:rsidR="007A09E1" w:rsidRPr="00C36F37">
        <w:t>the Department</w:t>
      </w:r>
      <w:r w:rsidR="00C36F37" w:rsidRPr="00C36F37">
        <w:t xml:space="preserve"> of Social Services</w:t>
      </w:r>
      <w:r w:rsidRPr="00726710">
        <w:t xml:space="preserve">. When this </w:t>
      </w:r>
      <w:proofErr w:type="gramStart"/>
      <w:r w:rsidRPr="00726710">
        <w:t>happens</w:t>
      </w:r>
      <w:proofErr w:type="gramEnd"/>
      <w:r w:rsidRPr="00726710">
        <w:t xml:space="preserve"> the revised guidelines will be published on </w:t>
      </w:r>
      <w:hyperlink r:id="rId22" w:history="1">
        <w:proofErr w:type="spellStart"/>
        <w:r w:rsidR="00DD52C8" w:rsidRPr="00DD52C8">
          <w:rPr>
            <w:rStyle w:val="Hyperlink"/>
            <w:rFonts w:cstheme="minorBidi"/>
          </w:rPr>
          <w:t>GrantConnect</w:t>
        </w:r>
        <w:proofErr w:type="spellEnd"/>
      </w:hyperlink>
      <w:r w:rsidR="00181073">
        <w:rPr>
          <w:rStyle w:val="Hyperlink"/>
          <w:rFonts w:cstheme="minorBidi"/>
          <w:u w:val="none"/>
        </w:rPr>
        <w:t xml:space="preserve"> and the </w:t>
      </w:r>
      <w:hyperlink r:id="rId23"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02B4E4DB" w14:textId="77777777" w:rsidR="00340616" w:rsidRPr="003C191D" w:rsidRDefault="00340616" w:rsidP="00892C8B">
      <w:pPr>
        <w:pStyle w:val="Heading2Numbered"/>
        <w:ind w:left="709" w:hanging="709"/>
      </w:pPr>
      <w:bookmarkStart w:id="115" w:name="_Toc414983585"/>
      <w:bookmarkStart w:id="116" w:name="_Toc414984002"/>
      <w:bookmarkStart w:id="117" w:name="_Toc414984762"/>
      <w:bookmarkStart w:id="118" w:name="_Toc414984856"/>
      <w:bookmarkStart w:id="119" w:name="_Toc414984960"/>
      <w:bookmarkStart w:id="120" w:name="_Toc414985063"/>
      <w:bookmarkStart w:id="121" w:name="_Toc414985166"/>
      <w:bookmarkStart w:id="122" w:name="_Toc414985268"/>
      <w:bookmarkStart w:id="123" w:name="_Toc421777632"/>
      <w:bookmarkStart w:id="124" w:name="_Toc467773991"/>
      <w:bookmarkStart w:id="125" w:name="_Toc524419182"/>
      <w:bookmarkEnd w:id="115"/>
      <w:bookmarkEnd w:id="116"/>
      <w:bookmarkEnd w:id="117"/>
      <w:bookmarkEnd w:id="118"/>
      <w:bookmarkEnd w:id="119"/>
      <w:bookmarkEnd w:id="120"/>
      <w:bookmarkEnd w:id="121"/>
      <w:bookmarkEnd w:id="122"/>
      <w:r w:rsidRPr="003C191D">
        <w:t>Complaints process</w:t>
      </w:r>
      <w:bookmarkEnd w:id="123"/>
      <w:bookmarkEnd w:id="124"/>
      <w:bookmarkEnd w:id="125"/>
    </w:p>
    <w:p w14:paraId="03E194C2" w14:textId="77777777" w:rsidR="008F4C2E" w:rsidRPr="00C2163B" w:rsidRDefault="008F4C2E" w:rsidP="008F4C2E">
      <w:pPr>
        <w:rPr>
          <w:b/>
        </w:rPr>
      </w:pPr>
      <w:bookmarkStart w:id="126" w:name="_Toc421777633"/>
      <w:bookmarkStart w:id="127" w:name="_Toc467773992"/>
      <w:r>
        <w:rPr>
          <w:b/>
        </w:rPr>
        <w:t>Complaints about the Program</w:t>
      </w:r>
    </w:p>
    <w:p w14:paraId="6F33BBB9" w14:textId="77777777" w:rsidR="003C191D" w:rsidRPr="00A916BA" w:rsidRDefault="003C191D" w:rsidP="003C191D">
      <w:r w:rsidRPr="00A916BA">
        <w:t xml:space="preserve">Applicants can contact the complaints service with complaints about Community Grants Hub’s service(s) or the application process. </w:t>
      </w:r>
    </w:p>
    <w:p w14:paraId="2EB594A1" w14:textId="77777777" w:rsidR="003C191D" w:rsidRDefault="003C191D" w:rsidP="003C191D">
      <w:proofErr w:type="gramStart"/>
      <w:r w:rsidRPr="00A916BA">
        <w:t>Details of what constitutes an eligible complaint can be provided upon request by the Community Grants Hub</w:t>
      </w:r>
      <w:proofErr w:type="gramEnd"/>
      <w:r w:rsidRPr="00A916BA">
        <w:t xml:space="preserve">.  Applicants can lodge complaints using the </w:t>
      </w:r>
      <w:hyperlink r:id="rId24"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0713B80A" w14:textId="77777777" w:rsidR="003C191D" w:rsidRDefault="003C191D" w:rsidP="003C191D">
      <w:pPr>
        <w:spacing w:before="0" w:after="0" w:line="240" w:lineRule="auto"/>
      </w:pPr>
    </w:p>
    <w:p w14:paraId="1A87F90E" w14:textId="77777777" w:rsidR="003C191D" w:rsidRPr="00A916BA" w:rsidRDefault="003C191D" w:rsidP="003C191D">
      <w:pPr>
        <w:spacing w:before="0" w:after="0" w:line="240" w:lineRule="auto"/>
        <w:ind w:left="720"/>
      </w:pPr>
      <w:r>
        <w:t>Phone</w:t>
      </w:r>
      <w:proofErr w:type="gramStart"/>
      <w:r w:rsidRPr="00A916BA">
        <w:t>:1800</w:t>
      </w:r>
      <w:proofErr w:type="gramEnd"/>
      <w:r w:rsidRPr="00A916BA">
        <w:t xml:space="preserve"> 634 035 </w:t>
      </w:r>
    </w:p>
    <w:p w14:paraId="6D6A4202" w14:textId="77777777" w:rsidR="003C191D" w:rsidRPr="00A916BA" w:rsidRDefault="003C191D" w:rsidP="003C191D">
      <w:pPr>
        <w:spacing w:before="0" w:after="0" w:line="240" w:lineRule="auto"/>
        <w:ind w:left="720"/>
      </w:pPr>
      <w:r w:rsidRPr="00A916BA">
        <w:lastRenderedPageBreak/>
        <w:t>Mail:</w:t>
      </w:r>
      <w:r>
        <w:t xml:space="preserve"> </w:t>
      </w:r>
      <w:r w:rsidRPr="00A916BA">
        <w:t>Complaints</w:t>
      </w:r>
    </w:p>
    <w:p w14:paraId="20734236" w14:textId="77777777" w:rsidR="003C191D" w:rsidRPr="00A916BA" w:rsidRDefault="003C191D" w:rsidP="003C191D">
      <w:pPr>
        <w:spacing w:before="0" w:after="0" w:line="240" w:lineRule="auto"/>
        <w:ind w:left="720"/>
      </w:pPr>
      <w:r w:rsidRPr="00A916BA">
        <w:t>GPO Box 9820</w:t>
      </w:r>
    </w:p>
    <w:p w14:paraId="00BFD249" w14:textId="77777777" w:rsidR="003C191D" w:rsidRPr="00A916BA" w:rsidRDefault="003C191D" w:rsidP="003C191D">
      <w:pPr>
        <w:spacing w:before="0" w:after="0" w:line="240" w:lineRule="auto"/>
        <w:ind w:left="720"/>
      </w:pPr>
      <w:r w:rsidRPr="00A916BA">
        <w:t>Canberra ACT 2601</w:t>
      </w:r>
    </w:p>
    <w:p w14:paraId="59F2E4A1" w14:textId="77777777" w:rsidR="003C191D" w:rsidRPr="00A916BA" w:rsidRDefault="003C191D" w:rsidP="003C191D">
      <w:pPr>
        <w:rPr>
          <w:b/>
        </w:rPr>
      </w:pPr>
      <w:r>
        <w:rPr>
          <w:b/>
        </w:rPr>
        <w:t>Complaints to the Ombudsman</w:t>
      </w:r>
    </w:p>
    <w:p w14:paraId="5639D179" w14:textId="13D7D52F" w:rsidR="003C191D" w:rsidRDefault="003C191D" w:rsidP="003C191D">
      <w:r>
        <w:t>If you do not agree with the way the Department</w:t>
      </w:r>
      <w:r w:rsidRPr="00516E21">
        <w:t xml:space="preserve"> </w:t>
      </w:r>
      <w:r w:rsidR="00F00296">
        <w:t xml:space="preserve">of Social Services </w:t>
      </w:r>
      <w:r>
        <w:t xml:space="preserve">has handled your complaint, you may complain to the Commonwealth Ombudsman. The Ombudsman will not usually look into a complaint unless the matter </w:t>
      </w:r>
      <w:proofErr w:type="gramStart"/>
      <w:r>
        <w:t>has first been raised</w:t>
      </w:r>
      <w:proofErr w:type="gramEnd"/>
      <w:r>
        <w:t xml:space="preserve"> directly with the Department</w:t>
      </w:r>
      <w:r w:rsidR="00F00296">
        <w:t xml:space="preserve"> of Social Services</w:t>
      </w:r>
      <w:r>
        <w:t>.</w:t>
      </w:r>
    </w:p>
    <w:p w14:paraId="03260439" w14:textId="77777777" w:rsidR="003C191D" w:rsidRDefault="003C191D" w:rsidP="003C191D">
      <w:pPr>
        <w:ind w:left="5040" w:hanging="5040"/>
      </w:pPr>
      <w:r>
        <w:t xml:space="preserve">The Commonwealth Ombudsman </w:t>
      </w:r>
      <w:proofErr w:type="gramStart"/>
      <w:r>
        <w:t>can be contacted</w:t>
      </w:r>
      <w:proofErr w:type="gramEnd"/>
      <w:r>
        <w:t xml:space="preserve"> on: </w:t>
      </w:r>
    </w:p>
    <w:p w14:paraId="367C7F3E" w14:textId="4BD116E3" w:rsidR="003C191D" w:rsidRDefault="003C191D" w:rsidP="003C191D">
      <w:pPr>
        <w:ind w:left="1440"/>
      </w:pPr>
      <w:r>
        <w:t>Phone (Toll free): 1300 362 072</w:t>
      </w:r>
      <w:r>
        <w:br/>
        <w:t xml:space="preserve">Email: </w:t>
      </w:r>
      <w:hyperlink r:id="rId25" w:history="1">
        <w:r>
          <w:rPr>
            <w:rStyle w:val="Hyperlink"/>
          </w:rPr>
          <w:t>ombudsman@ombudsman.gov.au</w:t>
        </w:r>
      </w:hyperlink>
      <w:r>
        <w:t xml:space="preserve"> </w:t>
      </w:r>
      <w:r>
        <w:br/>
        <w:t xml:space="preserve">Website: </w:t>
      </w:r>
      <w:hyperlink r:id="rId26" w:history="1">
        <w:r>
          <w:rPr>
            <w:rStyle w:val="Hyperlink"/>
          </w:rPr>
          <w:t>www.ombudsman.gov.au</w:t>
        </w:r>
      </w:hyperlink>
    </w:p>
    <w:p w14:paraId="4ACA3EC8" w14:textId="77777777" w:rsidR="00340616" w:rsidRPr="00B72EE8" w:rsidRDefault="00340616" w:rsidP="00892C8B">
      <w:pPr>
        <w:pStyle w:val="Heading2Numbered"/>
        <w:ind w:left="709" w:hanging="709"/>
      </w:pPr>
      <w:bookmarkStart w:id="128" w:name="_Toc524419183"/>
      <w:r w:rsidRPr="00B72EE8">
        <w:t>Conflict of interest</w:t>
      </w:r>
      <w:bookmarkEnd w:id="126"/>
      <w:bookmarkEnd w:id="127"/>
      <w:bookmarkEnd w:id="128"/>
    </w:p>
    <w:p w14:paraId="4BD74BAF" w14:textId="7AA65FC7" w:rsidR="00340616" w:rsidRPr="00B72EE8" w:rsidRDefault="00340616" w:rsidP="00340616">
      <w:r>
        <w:t xml:space="preserve">Any </w:t>
      </w:r>
      <w:r w:rsidRPr="00726710">
        <w:t xml:space="preserve">conflicts of interest could affect the performance of the grant.  There may be a </w:t>
      </w:r>
      <w:hyperlink r:id="rId27"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3B4D29" w:rsidRPr="003B4D29">
        <w:t>Department of Social Services</w:t>
      </w:r>
      <w:r w:rsidR="00DB0937" w:rsidRPr="003B4D29">
        <w:t xml:space="preserve"> </w:t>
      </w:r>
      <w:r w:rsidR="00533BCE" w:rsidRPr="003B4D29">
        <w:t xml:space="preserve">and the Community Grants Hub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1D7F47ED"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36F71049" w14:textId="77777777"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3F389B68" w14:textId="77777777" w:rsidR="00340616" w:rsidRPr="00B72EE8" w:rsidRDefault="00340616" w:rsidP="00726710">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79AECB48" w14:textId="77777777" w:rsidR="00340616" w:rsidRPr="00B72EE8" w:rsidRDefault="00340616" w:rsidP="00340616">
      <w:r>
        <w:t xml:space="preserve">You </w:t>
      </w:r>
      <w:proofErr w:type="gramStart"/>
      <w:r>
        <w:t>will be asked</w:t>
      </w:r>
      <w:proofErr w:type="gramEnd"/>
      <w:r>
        <w:t xml:space="preserve">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1B97594" w14:textId="66FED41F" w:rsidR="004120FE" w:rsidRPr="00B72EE8" w:rsidRDefault="00340616" w:rsidP="004120FE">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w:t>
      </w:r>
      <w:r w:rsidR="004120FE">
        <w:t xml:space="preserve">inform </w:t>
      </w:r>
      <w:r w:rsidR="008561A6" w:rsidRPr="00B72EE8">
        <w:t>the</w:t>
      </w:r>
      <w:r w:rsidR="008561A6" w:rsidRPr="00726710">
        <w:rPr>
          <w:b/>
          <w:color w:val="745B00" w:themeColor="accent3" w:themeShade="80"/>
        </w:rPr>
        <w:t xml:space="preserve"> </w:t>
      </w:r>
      <w:r w:rsidR="008561A6">
        <w:t>Attorney-General’s Department</w:t>
      </w:r>
      <w:r w:rsidR="008561A6" w:rsidRPr="00516E21">
        <w:t xml:space="preserve"> </w:t>
      </w:r>
      <w:r w:rsidR="008561A6" w:rsidRPr="003D6EC5">
        <w:t xml:space="preserve">and the Community Grants Hub </w:t>
      </w:r>
      <w:r w:rsidR="008561A6" w:rsidRPr="00B72EE8">
        <w:t xml:space="preserve">in </w:t>
      </w:r>
      <w:r w:rsidR="004120FE">
        <w:t>writing immediately.</w:t>
      </w:r>
    </w:p>
    <w:p w14:paraId="02E08251" w14:textId="1897280C" w:rsidR="00340616" w:rsidRPr="00B72EE8" w:rsidRDefault="00340616" w:rsidP="00340616">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28"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79F3FED7" w14:textId="77777777" w:rsidR="00340616" w:rsidRPr="00440282" w:rsidRDefault="00340616" w:rsidP="00892C8B">
      <w:pPr>
        <w:pStyle w:val="Heading2Numbered"/>
        <w:ind w:left="709" w:hanging="709"/>
      </w:pPr>
      <w:bookmarkStart w:id="129" w:name="_Toc421777634"/>
      <w:bookmarkStart w:id="130" w:name="_Toc467773993"/>
      <w:bookmarkStart w:id="131" w:name="_Toc524419184"/>
      <w:r w:rsidRPr="00B72EE8">
        <w:t>Privacy: confidentiality and protection of personal information</w:t>
      </w:r>
      <w:bookmarkEnd w:id="129"/>
      <w:bookmarkEnd w:id="130"/>
      <w:bookmarkEnd w:id="131"/>
    </w:p>
    <w:p w14:paraId="20847EC3"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5FFC49A" w14:textId="77777777" w:rsidR="00340616" w:rsidRPr="00E86A67" w:rsidRDefault="00340616" w:rsidP="00726710">
      <w:pPr>
        <w:pStyle w:val="Bullet1"/>
      </w:pPr>
      <w:r w:rsidRPr="00E86A67">
        <w:lastRenderedPageBreak/>
        <w:t>what personal information we collect</w:t>
      </w:r>
    </w:p>
    <w:p w14:paraId="1025FF8C" w14:textId="77777777" w:rsidR="00340616" w:rsidRPr="00E86A67" w:rsidRDefault="00340616" w:rsidP="00726710">
      <w:pPr>
        <w:pStyle w:val="Bullet1"/>
      </w:pPr>
      <w:r w:rsidRPr="00E86A67">
        <w:t>why we co</w:t>
      </w:r>
      <w:r>
        <w:t>llect your personal information</w:t>
      </w:r>
    </w:p>
    <w:p w14:paraId="1CC948CC" w14:textId="77777777" w:rsidR="00340616" w:rsidRDefault="00340616" w:rsidP="00726710">
      <w:pPr>
        <w:pStyle w:val="Bullet1"/>
      </w:pPr>
      <w:r w:rsidRPr="00E86A67">
        <w:t>who we gi</w:t>
      </w:r>
      <w:r>
        <w:t>ve your personal information to</w:t>
      </w:r>
    </w:p>
    <w:p w14:paraId="70FA70A8" w14:textId="77777777" w:rsidR="00340616" w:rsidRPr="00E86A67" w:rsidRDefault="00340616" w:rsidP="00340616">
      <w:r w:rsidRPr="00E86A67">
        <w:t xml:space="preserve">You are required, as part of your application, to declare your ability to comply with the </w:t>
      </w:r>
      <w:hyperlink r:id="rId29"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52C0BFDC" w14:textId="77777777" w:rsidR="00340616" w:rsidRDefault="00340616" w:rsidP="00340616">
      <w:proofErr w:type="gramStart"/>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B72EE8">
        <w:t xml:space="preserve"> </w:t>
      </w:r>
    </w:p>
    <w:p w14:paraId="478D4B3D"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128C47B8" w14:textId="77777777" w:rsidR="00340616" w:rsidRPr="0033741C" w:rsidRDefault="00340616" w:rsidP="00340616">
      <w:pPr>
        <w:rPr>
          <w:lang w:eastAsia="en-AU"/>
        </w:rPr>
      </w:pPr>
      <w:r>
        <w:rPr>
          <w:lang w:eastAsia="en-AU"/>
        </w:rPr>
        <w:t xml:space="preserve">We may reveal confidential information </w:t>
      </w:r>
      <w:proofErr w:type="gramStart"/>
      <w:r>
        <w:rPr>
          <w:lang w:eastAsia="en-AU"/>
        </w:rPr>
        <w:t>to</w:t>
      </w:r>
      <w:proofErr w:type="gramEnd"/>
      <w:r w:rsidRPr="0033741C">
        <w:rPr>
          <w:lang w:eastAsia="en-AU"/>
        </w:rPr>
        <w:t>:</w:t>
      </w:r>
    </w:p>
    <w:p w14:paraId="2AA8082E"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B4E983E" w14:textId="77777777" w:rsidR="00340616" w:rsidRDefault="00340616" w:rsidP="00726710">
      <w:pPr>
        <w:pStyle w:val="Bullet1"/>
      </w:pPr>
      <w:r>
        <w:t>employees and contractors of other Commonwealth agencies for any purposes, including government administration, research or service delivery</w:t>
      </w:r>
    </w:p>
    <w:p w14:paraId="61333998" w14:textId="77777777" w:rsidR="00340616" w:rsidRPr="0033741C" w:rsidRDefault="00340616" w:rsidP="00726710">
      <w:pPr>
        <w:pStyle w:val="Bullet1"/>
      </w:pPr>
      <w:r>
        <w:t>other Commonwealth, State, Territory or local government agencies in program reports and consultations</w:t>
      </w:r>
    </w:p>
    <w:p w14:paraId="05356978" w14:textId="77777777" w:rsidR="00340616" w:rsidRPr="0033741C" w:rsidRDefault="00340616" w:rsidP="00726710">
      <w:pPr>
        <w:pStyle w:val="Bullet1"/>
      </w:pPr>
      <w:r w:rsidRPr="0033741C">
        <w:t>the Auditor-General, Ombudsman or Privacy Commissioner</w:t>
      </w:r>
    </w:p>
    <w:p w14:paraId="6D1BCDA0" w14:textId="77777777" w:rsidR="00340616" w:rsidRPr="00BA6D16" w:rsidRDefault="00340616" w:rsidP="00726710">
      <w:pPr>
        <w:pStyle w:val="Bullet1"/>
      </w:pPr>
      <w:r w:rsidRPr="00BA6D16">
        <w:t>the responsible Minister or Parliamentary Secretary</w:t>
      </w:r>
    </w:p>
    <w:p w14:paraId="5EAC5355" w14:textId="77777777"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14:paraId="1405C66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C997E84" w14:textId="77777777" w:rsidR="00340616" w:rsidRPr="00726710" w:rsidRDefault="00340616" w:rsidP="00726710">
      <w:pPr>
        <w:pStyle w:val="Bullet1"/>
        <w:rPr>
          <w:i/>
        </w:rPr>
      </w:pPr>
      <w:r w:rsidRPr="00726710">
        <w:rPr>
          <w:i/>
        </w:rPr>
        <w:t>Public Service Act 1999</w:t>
      </w:r>
    </w:p>
    <w:p w14:paraId="679755A8" w14:textId="77777777" w:rsidR="00340616" w:rsidRPr="00726710" w:rsidRDefault="00340616" w:rsidP="00726710">
      <w:pPr>
        <w:pStyle w:val="Bullet1"/>
        <w:rPr>
          <w:i/>
        </w:rPr>
      </w:pPr>
      <w:r w:rsidRPr="00726710">
        <w:rPr>
          <w:i/>
        </w:rPr>
        <w:t>Public Service Regulations 1999</w:t>
      </w:r>
    </w:p>
    <w:p w14:paraId="33BE07B7" w14:textId="77777777" w:rsidR="00340616" w:rsidRPr="00726710" w:rsidRDefault="00340616" w:rsidP="00726710">
      <w:pPr>
        <w:pStyle w:val="Bullet1"/>
        <w:rPr>
          <w:i/>
        </w:rPr>
      </w:pPr>
      <w:r w:rsidRPr="00726710">
        <w:rPr>
          <w:i/>
        </w:rPr>
        <w:t>Public Governance, Performance and Accountability Act</w:t>
      </w:r>
    </w:p>
    <w:p w14:paraId="1C3AD0B9" w14:textId="77777777" w:rsidR="00340616" w:rsidRPr="00726710" w:rsidRDefault="00340616" w:rsidP="00726710">
      <w:pPr>
        <w:pStyle w:val="Bullet1"/>
        <w:rPr>
          <w:i/>
        </w:rPr>
      </w:pPr>
      <w:r w:rsidRPr="00726710">
        <w:rPr>
          <w:i/>
        </w:rPr>
        <w:t xml:space="preserve">Privacy Act 1988 </w:t>
      </w:r>
    </w:p>
    <w:p w14:paraId="17660980" w14:textId="77777777" w:rsidR="00340616" w:rsidRPr="00726710" w:rsidRDefault="00340616" w:rsidP="00726710">
      <w:pPr>
        <w:pStyle w:val="Bullet1"/>
        <w:rPr>
          <w:i/>
        </w:rPr>
      </w:pPr>
      <w:r w:rsidRPr="00726710">
        <w:rPr>
          <w:i/>
        </w:rPr>
        <w:t>Crimes Act 1914</w:t>
      </w:r>
    </w:p>
    <w:p w14:paraId="40872122" w14:textId="77777777" w:rsidR="00340616" w:rsidRPr="00726710" w:rsidRDefault="00340616" w:rsidP="00726710">
      <w:pPr>
        <w:pStyle w:val="Bullet1"/>
        <w:rPr>
          <w:i/>
        </w:rPr>
      </w:pPr>
      <w:r w:rsidRPr="00726710">
        <w:rPr>
          <w:i/>
        </w:rPr>
        <w:t>Criminal Code Act 1995</w:t>
      </w:r>
    </w:p>
    <w:p w14:paraId="1B0EE095" w14:textId="77777777" w:rsidR="00340616" w:rsidRPr="00AB0818" w:rsidRDefault="00340616" w:rsidP="00340616">
      <w:pPr>
        <w:keepNext/>
      </w:pPr>
      <w:proofErr w:type="gramStart"/>
      <w:r w:rsidRPr="00AB0818">
        <w:lastRenderedPageBreak/>
        <w:t>We’ll</w:t>
      </w:r>
      <w:proofErr w:type="gramEnd"/>
      <w:r w:rsidRPr="00AB0818">
        <w:t xml:space="preserve"> treat the information you give us as sensitive and therefore confidential if it meets all of the four conditions below:</w:t>
      </w:r>
    </w:p>
    <w:p w14:paraId="24CA75B1" w14:textId="77777777" w:rsidR="00340616" w:rsidRPr="00AB0818" w:rsidRDefault="00340616" w:rsidP="005757AA">
      <w:pPr>
        <w:pStyle w:val="NumberedList1"/>
        <w:numPr>
          <w:ilvl w:val="0"/>
          <w:numId w:val="15"/>
        </w:numPr>
      </w:pPr>
      <w:r>
        <w:t>y</w:t>
      </w:r>
      <w:r w:rsidRPr="00AB0818">
        <w:t>ou clearly identify the information as confidential and explain why we should treat it as conf</w:t>
      </w:r>
      <w:r>
        <w:t>idential</w:t>
      </w:r>
    </w:p>
    <w:p w14:paraId="0611DEAC" w14:textId="77777777" w:rsidR="00340616" w:rsidRPr="00AB0818" w:rsidRDefault="00340616" w:rsidP="0054078D">
      <w:pPr>
        <w:pStyle w:val="NumberedList1"/>
      </w:pPr>
      <w:r>
        <w:t>t</w:t>
      </w:r>
      <w:r w:rsidRPr="00AB0818">
        <w:t>he inform</w:t>
      </w:r>
      <w:r>
        <w:t>ation is commercially sensitive</w:t>
      </w:r>
    </w:p>
    <w:p w14:paraId="76981804" w14:textId="77777777" w:rsidR="00340616" w:rsidRPr="00AB0818" w:rsidRDefault="00340616" w:rsidP="0054078D">
      <w:pPr>
        <w:pStyle w:val="NumberedList1"/>
      </w:pPr>
      <w:r>
        <w:t>r</w:t>
      </w:r>
      <w:r w:rsidRPr="00AB0818">
        <w:t>evealing the information would cause unreasona</w:t>
      </w:r>
      <w:r>
        <w:t>ble harm to you or someone else</w:t>
      </w:r>
    </w:p>
    <w:p w14:paraId="43DE3FBF" w14:textId="77777777"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14:paraId="40406A9D"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0246D5EA" w14:textId="77777777" w:rsidR="00340616" w:rsidRPr="00B72EE8" w:rsidRDefault="00340616" w:rsidP="00892C8B">
      <w:pPr>
        <w:pStyle w:val="Heading2Numbered"/>
        <w:ind w:left="709" w:hanging="709"/>
      </w:pPr>
      <w:bookmarkStart w:id="132" w:name="_Toc421777635"/>
      <w:bookmarkStart w:id="133" w:name="_Toc467773994"/>
      <w:bookmarkStart w:id="134" w:name="_Toc524419185"/>
      <w:r w:rsidRPr="00B72EE8">
        <w:t>Freedom of information</w:t>
      </w:r>
      <w:bookmarkEnd w:id="132"/>
      <w:bookmarkEnd w:id="133"/>
      <w:bookmarkEnd w:id="134"/>
    </w:p>
    <w:p w14:paraId="14867FAB"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6DC8DFA"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563F74E7"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5B74ADE3"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63FD3DA" w14:textId="40EFFCD8" w:rsidR="00340616" w:rsidRPr="00A9798A" w:rsidRDefault="00533BCE" w:rsidP="00A9798A">
      <w:pPr>
        <w:tabs>
          <w:tab w:val="left" w:pos="1418"/>
        </w:tabs>
        <w:spacing w:before="0" w:after="0" w:line="240" w:lineRule="auto"/>
        <w:ind w:left="2836" w:hanging="1418"/>
      </w:pPr>
      <w:r w:rsidRPr="00A9798A">
        <w:t>Department of Social Services</w:t>
      </w:r>
    </w:p>
    <w:p w14:paraId="79AF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502DA775" w14:textId="77777777" w:rsidR="00533BCE" w:rsidRPr="00A9798A" w:rsidRDefault="00533BCE" w:rsidP="00A9798A">
      <w:pPr>
        <w:tabs>
          <w:tab w:val="left" w:pos="1418"/>
        </w:tabs>
        <w:spacing w:before="0" w:after="0" w:line="240" w:lineRule="auto"/>
        <w:ind w:left="2836" w:hanging="1418"/>
      </w:pPr>
      <w:r w:rsidRPr="00A9798A">
        <w:t>GPO Box 9820</w:t>
      </w:r>
    </w:p>
    <w:p w14:paraId="027E1D88" w14:textId="77777777" w:rsidR="00533BCE" w:rsidRPr="00A9798A" w:rsidRDefault="00533BCE" w:rsidP="00A9798A">
      <w:pPr>
        <w:tabs>
          <w:tab w:val="left" w:pos="1418"/>
        </w:tabs>
        <w:spacing w:before="0" w:after="0" w:line="240" w:lineRule="auto"/>
        <w:ind w:left="2836" w:hanging="1418"/>
      </w:pPr>
      <w:proofErr w:type="gramStart"/>
      <w:r w:rsidRPr="00A9798A">
        <w:t>Canberra  ACT</w:t>
      </w:r>
      <w:proofErr w:type="gramEnd"/>
      <w:r w:rsidRPr="00A9798A">
        <w:t xml:space="preserve">  2601</w:t>
      </w:r>
    </w:p>
    <w:p w14:paraId="3B3F9EB5" w14:textId="77777777" w:rsidR="00340616" w:rsidRPr="00B72EE8" w:rsidRDefault="00340616" w:rsidP="00340616">
      <w:r w:rsidRPr="00B72EE8">
        <w:t>By email:</w:t>
      </w:r>
      <w:r w:rsidRPr="00B72EE8">
        <w:tab/>
      </w:r>
      <w:hyperlink r:id="rId30" w:history="1">
        <w:r w:rsidR="00533BCE" w:rsidRPr="00367A67">
          <w:rPr>
            <w:rStyle w:val="Hyperlink"/>
            <w:rFonts w:cstheme="minorBidi"/>
          </w:rPr>
          <w:t>foi@dss.gov.au</w:t>
        </w:r>
      </w:hyperlink>
      <w:r w:rsidR="00533BCE" w:rsidRPr="00367A67">
        <w:rPr>
          <w:color w:val="745B00" w:themeColor="accent3" w:themeShade="80"/>
        </w:rPr>
        <w:t xml:space="preserve"> </w:t>
      </w:r>
    </w:p>
    <w:p w14:paraId="6A3E0C9B" w14:textId="77777777" w:rsidR="00B322FC" w:rsidRDefault="00B322FC">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35" w:name="_Toc467773996"/>
      <w:r>
        <w:br w:type="page"/>
      </w:r>
    </w:p>
    <w:p w14:paraId="31B82574" w14:textId="71266D5A" w:rsidR="00340616" w:rsidRDefault="00340616" w:rsidP="008561A6">
      <w:pPr>
        <w:pStyle w:val="Heading1Numbered"/>
      </w:pPr>
      <w:bookmarkStart w:id="136" w:name="_Toc524419186"/>
      <w:r w:rsidRPr="00B72EE8">
        <w:lastRenderedPageBreak/>
        <w:t>Glossary</w:t>
      </w:r>
      <w:bookmarkEnd w:id="135"/>
      <w:bookmarkEnd w:id="13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2A2026">
        <w:trPr>
          <w:tblHeader/>
        </w:trPr>
        <w:tc>
          <w:tcPr>
            <w:tcW w:w="2513" w:type="dxa"/>
          </w:tcPr>
          <w:p w14:paraId="00819B4D" w14:textId="77777777" w:rsidR="0003793B" w:rsidRPr="00FF507B" w:rsidRDefault="0003793B" w:rsidP="002A2026">
            <w:pPr>
              <w:tabs>
                <w:tab w:val="left" w:pos="2835"/>
              </w:tabs>
              <w:spacing w:after="120"/>
            </w:pPr>
            <w:r w:rsidRPr="00FF507B">
              <w:rPr>
                <w:b/>
              </w:rPr>
              <w:t>Term</w:t>
            </w:r>
          </w:p>
        </w:tc>
        <w:tc>
          <w:tcPr>
            <w:tcW w:w="6395" w:type="dxa"/>
          </w:tcPr>
          <w:p w14:paraId="072F8961"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3EFCCDE3" w14:textId="77777777" w:rsidTr="002A2026">
        <w:tc>
          <w:tcPr>
            <w:tcW w:w="2513" w:type="dxa"/>
          </w:tcPr>
          <w:p w14:paraId="7460D026" w14:textId="77777777" w:rsidR="0003793B" w:rsidRDefault="0003793B" w:rsidP="002A2026">
            <w:pPr>
              <w:tabs>
                <w:tab w:val="left" w:pos="2835"/>
              </w:tabs>
              <w:spacing w:after="120"/>
            </w:pPr>
            <w:r w:rsidRPr="001B21A4">
              <w:t>assessment criteria</w:t>
            </w:r>
          </w:p>
        </w:tc>
        <w:tc>
          <w:tcPr>
            <w:tcW w:w="6395" w:type="dxa"/>
          </w:tcPr>
          <w:p w14:paraId="411E35A5"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28C4D0DB" w14:textId="77777777" w:rsidTr="002A2026">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2A2026">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03793B" w:rsidRPr="001B21A4" w14:paraId="6D837EAB" w14:textId="77777777" w:rsidTr="002A2026">
        <w:tc>
          <w:tcPr>
            <w:tcW w:w="2513" w:type="dxa"/>
          </w:tcPr>
          <w:p w14:paraId="7CB534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EBAC0CE"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4A7B8EF1" w14:textId="77777777" w:rsidTr="002A2026">
        <w:tc>
          <w:tcPr>
            <w:tcW w:w="2513" w:type="dxa"/>
          </w:tcPr>
          <w:p w14:paraId="689F4C2C" w14:textId="77777777" w:rsidR="0003793B" w:rsidRPr="001B21A4" w:rsidRDefault="0003793B" w:rsidP="002A2026">
            <w:pPr>
              <w:spacing w:after="120"/>
            </w:pPr>
            <w:r w:rsidRPr="0007627E">
              <w:t xml:space="preserve">cost shifting </w:t>
            </w:r>
          </w:p>
        </w:tc>
        <w:tc>
          <w:tcPr>
            <w:tcW w:w="6395" w:type="dxa"/>
          </w:tcPr>
          <w:p w14:paraId="423A1D1C"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41551C3C" w14:textId="77777777" w:rsidTr="002A2026">
        <w:tc>
          <w:tcPr>
            <w:tcW w:w="2513" w:type="dxa"/>
          </w:tcPr>
          <w:p w14:paraId="0127903E" w14:textId="77777777" w:rsidR="0003793B" w:rsidRDefault="0003793B" w:rsidP="002A2026">
            <w:r>
              <w:t>date of effect</w:t>
            </w:r>
          </w:p>
        </w:tc>
        <w:tc>
          <w:tcPr>
            <w:tcW w:w="6395" w:type="dxa"/>
          </w:tcPr>
          <w:p w14:paraId="65D54215"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2A2026">
        <w:tc>
          <w:tcPr>
            <w:tcW w:w="2513" w:type="dxa"/>
          </w:tcPr>
          <w:p w14:paraId="792911B8" w14:textId="77777777" w:rsidR="0003793B" w:rsidRPr="001B21A4" w:rsidRDefault="0003793B" w:rsidP="002A2026">
            <w:r w:rsidRPr="001B21A4">
              <w:t>decision maker</w:t>
            </w:r>
          </w:p>
        </w:tc>
        <w:tc>
          <w:tcPr>
            <w:tcW w:w="6395" w:type="dxa"/>
          </w:tcPr>
          <w:p w14:paraId="3799BD93" w14:textId="77777777" w:rsidR="0003793B" w:rsidRPr="00710FAB" w:rsidRDefault="0003793B" w:rsidP="002A2026">
            <w:r w:rsidRPr="00710FAB">
              <w:rPr>
                <w:rFonts w:cs="Arial"/>
                <w:lang w:eastAsia="en-AU"/>
              </w:rPr>
              <w:t>The person who makes a decision to award a grant.</w:t>
            </w:r>
          </w:p>
        </w:tc>
      </w:tr>
      <w:tr w:rsidR="0003793B" w:rsidRPr="001B21A4" w14:paraId="347BC9B9" w14:textId="77777777" w:rsidTr="002A2026">
        <w:tc>
          <w:tcPr>
            <w:tcW w:w="2513" w:type="dxa"/>
          </w:tcPr>
          <w:p w14:paraId="4E3B4BA5" w14:textId="77777777" w:rsidR="0003793B" w:rsidRPr="001B21A4" w:rsidRDefault="0003793B" w:rsidP="002A2026">
            <w:r>
              <w:t>double dipping</w:t>
            </w:r>
          </w:p>
        </w:tc>
        <w:tc>
          <w:tcPr>
            <w:tcW w:w="6395" w:type="dxa"/>
          </w:tcPr>
          <w:p w14:paraId="53D1D8EC"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16F4D83D" w14:textId="77777777" w:rsidTr="002A2026">
        <w:tc>
          <w:tcPr>
            <w:tcW w:w="2513" w:type="dxa"/>
          </w:tcPr>
          <w:p w14:paraId="0BF69EF1" w14:textId="77777777" w:rsidR="0003793B" w:rsidRPr="001B21A4" w:rsidRDefault="0003793B" w:rsidP="002A2026">
            <w:pPr>
              <w:tabs>
                <w:tab w:val="left" w:pos="2835"/>
              </w:tabs>
              <w:spacing w:after="120"/>
            </w:pPr>
            <w:r w:rsidRPr="001B21A4">
              <w:t>eligibility criteria</w:t>
            </w:r>
          </w:p>
        </w:tc>
        <w:tc>
          <w:tcPr>
            <w:tcW w:w="6395" w:type="dxa"/>
          </w:tcPr>
          <w:p w14:paraId="0F3C4A23"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14:paraId="59B87F64" w14:textId="77777777" w:rsidTr="002A2026">
        <w:tc>
          <w:tcPr>
            <w:tcW w:w="2513" w:type="dxa"/>
          </w:tcPr>
          <w:p w14:paraId="4A18667D"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2520AA72"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1379381" w14:textId="77777777" w:rsidR="0003793B" w:rsidRDefault="0003793B" w:rsidP="005757AA">
            <w:pPr>
              <w:numPr>
                <w:ilvl w:val="0"/>
                <w:numId w:val="19"/>
              </w:numPr>
              <w:suppressAutoHyphens w:val="0"/>
              <w:spacing w:before="0" w:after="40" w:line="240" w:lineRule="auto"/>
              <w:ind w:left="459" w:hanging="425"/>
              <w:rPr>
                <w:lang w:eastAsia="en-AU"/>
              </w:rPr>
            </w:pPr>
            <w:r>
              <w:rPr>
                <w:lang w:eastAsia="en-AU"/>
              </w:rPr>
              <w:lastRenderedPageBreak/>
              <w:t>under which relevant money or other CRF money, is to be paid to a grantee other than the Commonwealth</w:t>
            </w:r>
          </w:p>
          <w:p w14:paraId="7C22AFA0" w14:textId="77777777" w:rsidR="0003793B" w:rsidRPr="00190651" w:rsidRDefault="0003793B" w:rsidP="005757AA">
            <w:pPr>
              <w:numPr>
                <w:ilvl w:val="0"/>
                <w:numId w:val="19"/>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3A41C26B" w14:textId="77777777" w:rsidTr="002A2026">
        <w:tc>
          <w:tcPr>
            <w:tcW w:w="2513" w:type="dxa"/>
          </w:tcPr>
          <w:p w14:paraId="15FBF952" w14:textId="77777777" w:rsidR="0003793B" w:rsidRPr="0007627E" w:rsidRDefault="0003793B" w:rsidP="002A2026">
            <w:pPr>
              <w:tabs>
                <w:tab w:val="left" w:pos="2835"/>
              </w:tabs>
              <w:spacing w:after="120"/>
            </w:pPr>
            <w:r>
              <w:lastRenderedPageBreak/>
              <w:t xml:space="preserve">grant </w:t>
            </w:r>
            <w:r w:rsidRPr="001B21A4">
              <w:t>activity</w:t>
            </w:r>
          </w:p>
        </w:tc>
        <w:tc>
          <w:tcPr>
            <w:tcW w:w="6395" w:type="dxa"/>
          </w:tcPr>
          <w:p w14:paraId="7E987808"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03793B" w:rsidRPr="001B21A4" w14:paraId="07EA2585" w14:textId="77777777" w:rsidTr="002A2026">
        <w:tc>
          <w:tcPr>
            <w:tcW w:w="2513" w:type="dxa"/>
          </w:tcPr>
          <w:p w14:paraId="07CC51ED" w14:textId="77777777" w:rsidR="0003793B" w:rsidRPr="001B21A4" w:rsidRDefault="0003793B" w:rsidP="002A2026">
            <w:pPr>
              <w:tabs>
                <w:tab w:val="left" w:pos="2835"/>
              </w:tabs>
              <w:spacing w:after="120"/>
            </w:pPr>
            <w:r w:rsidRPr="001B21A4">
              <w:t>grant agreement</w:t>
            </w:r>
          </w:p>
        </w:tc>
        <w:tc>
          <w:tcPr>
            <w:tcW w:w="6395" w:type="dxa"/>
          </w:tcPr>
          <w:p w14:paraId="446F9669" w14:textId="0B1A01A4"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14:paraId="29D1CEF9" w14:textId="77777777" w:rsidTr="002A2026">
        <w:tc>
          <w:tcPr>
            <w:tcW w:w="2513" w:type="dxa"/>
          </w:tcPr>
          <w:p w14:paraId="3CAE1DF5" w14:textId="77777777" w:rsidR="0003793B" w:rsidRPr="001B21A4" w:rsidRDefault="0003793B" w:rsidP="002A2026">
            <w:pPr>
              <w:tabs>
                <w:tab w:val="left" w:pos="2835"/>
              </w:tabs>
              <w:spacing w:after="120"/>
            </w:pPr>
            <w:r>
              <w:t>grant opportunity</w:t>
            </w:r>
          </w:p>
        </w:tc>
        <w:tc>
          <w:tcPr>
            <w:tcW w:w="6395" w:type="dxa"/>
          </w:tcPr>
          <w:p w14:paraId="7EC01425" w14:textId="77777777"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14:paraId="315C33EE" w14:textId="77777777" w:rsidTr="002A2026">
        <w:tc>
          <w:tcPr>
            <w:tcW w:w="2513" w:type="dxa"/>
          </w:tcPr>
          <w:p w14:paraId="70FDDFED" w14:textId="77777777" w:rsidR="0003793B" w:rsidRPr="001B21A4" w:rsidRDefault="0003793B" w:rsidP="002A2026">
            <w:pPr>
              <w:tabs>
                <w:tab w:val="left" w:pos="2835"/>
              </w:tabs>
              <w:spacing w:after="120"/>
            </w:pPr>
            <w:r w:rsidRPr="001B21A4">
              <w:t xml:space="preserve">grant </w:t>
            </w:r>
            <w:r>
              <w:t>program</w:t>
            </w:r>
          </w:p>
        </w:tc>
        <w:tc>
          <w:tcPr>
            <w:tcW w:w="6395" w:type="dxa"/>
          </w:tcPr>
          <w:p w14:paraId="56846D26" w14:textId="77777777"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03793B" w:rsidRPr="001B21A4" w14:paraId="5A69C430" w14:textId="77777777" w:rsidTr="002A2026">
        <w:tc>
          <w:tcPr>
            <w:tcW w:w="2513" w:type="dxa"/>
          </w:tcPr>
          <w:p w14:paraId="3941053B" w14:textId="77777777" w:rsidR="0003793B" w:rsidRPr="001B21A4" w:rsidRDefault="0003793B" w:rsidP="002A2026">
            <w:pPr>
              <w:tabs>
                <w:tab w:val="left" w:pos="2835"/>
              </w:tabs>
              <w:spacing w:after="120"/>
            </w:pPr>
            <w:r>
              <w:t>grantee</w:t>
            </w:r>
          </w:p>
        </w:tc>
        <w:tc>
          <w:tcPr>
            <w:tcW w:w="6395" w:type="dxa"/>
          </w:tcPr>
          <w:p w14:paraId="0E728520"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03793B" w:rsidRPr="00463AB3" w14:paraId="75DACBDD" w14:textId="77777777" w:rsidTr="002A2026">
        <w:tc>
          <w:tcPr>
            <w:tcW w:w="2513" w:type="dxa"/>
          </w:tcPr>
          <w:p w14:paraId="26983BAF" w14:textId="77777777" w:rsidR="0003793B" w:rsidRPr="00463AB3" w:rsidRDefault="0003793B" w:rsidP="002A2026">
            <w:pPr>
              <w:tabs>
                <w:tab w:val="left" w:pos="2835"/>
              </w:tabs>
              <w:spacing w:after="120"/>
            </w:pPr>
            <w:r w:rsidRPr="00463AB3">
              <w:t>PBS Program</w:t>
            </w:r>
          </w:p>
        </w:tc>
        <w:tc>
          <w:tcPr>
            <w:tcW w:w="6395" w:type="dxa"/>
          </w:tcPr>
          <w:p w14:paraId="39365EAC"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5CDC2239" w14:textId="77777777" w:rsidTr="002A2026">
        <w:tc>
          <w:tcPr>
            <w:tcW w:w="2513" w:type="dxa"/>
          </w:tcPr>
          <w:p w14:paraId="65CBE641" w14:textId="77777777" w:rsidR="0003793B" w:rsidRPr="001B21A4" w:rsidRDefault="0003793B" w:rsidP="002A2026">
            <w:pPr>
              <w:tabs>
                <w:tab w:val="left" w:pos="2835"/>
              </w:tabs>
              <w:spacing w:after="120"/>
            </w:pPr>
            <w:r w:rsidRPr="001B21A4">
              <w:t>selection criteria</w:t>
            </w:r>
          </w:p>
        </w:tc>
        <w:tc>
          <w:tcPr>
            <w:tcW w:w="6395" w:type="dxa"/>
          </w:tcPr>
          <w:p w14:paraId="5A4D26F3"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307261C8" w14:textId="77777777" w:rsidTr="002A2026">
        <w:tc>
          <w:tcPr>
            <w:tcW w:w="2513" w:type="dxa"/>
          </w:tcPr>
          <w:p w14:paraId="0419DEC5" w14:textId="77777777" w:rsidR="0003793B" w:rsidRPr="001B21A4" w:rsidRDefault="0003793B" w:rsidP="002A2026">
            <w:pPr>
              <w:tabs>
                <w:tab w:val="left" w:pos="2835"/>
              </w:tabs>
              <w:spacing w:after="120"/>
            </w:pPr>
            <w:r w:rsidRPr="001B21A4">
              <w:t>selection process</w:t>
            </w:r>
          </w:p>
        </w:tc>
        <w:tc>
          <w:tcPr>
            <w:tcW w:w="6395" w:type="dxa"/>
          </w:tcPr>
          <w:p w14:paraId="6F83DAEB"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4C0B7689" w14:textId="20460873" w:rsidR="00340616" w:rsidRDefault="00340616" w:rsidP="007526C9">
      <w:pPr>
        <w:spacing w:after="0" w:line="240" w:lineRule="auto"/>
      </w:pPr>
    </w:p>
    <w:sectPr w:rsidR="00340616" w:rsidSect="005A41E0">
      <w:headerReference w:type="default" r:id="rId31"/>
      <w:footerReference w:type="default" r:id="rId32"/>
      <w:headerReference w:type="first" r:id="rId33"/>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C9E9" w14:textId="77777777" w:rsidR="006262E2" w:rsidRDefault="006262E2" w:rsidP="00EF4574">
      <w:pPr>
        <w:spacing w:before="0" w:after="0" w:line="240" w:lineRule="auto"/>
      </w:pPr>
      <w:r>
        <w:separator/>
      </w:r>
    </w:p>
    <w:p w14:paraId="32BBD6AC" w14:textId="77777777" w:rsidR="006262E2" w:rsidRDefault="006262E2"/>
  </w:endnote>
  <w:endnote w:type="continuationSeparator" w:id="0">
    <w:p w14:paraId="5EF317FD" w14:textId="77777777" w:rsidR="006262E2" w:rsidRDefault="006262E2" w:rsidP="00EF4574">
      <w:pPr>
        <w:spacing w:before="0" w:after="0" w:line="240" w:lineRule="auto"/>
      </w:pPr>
      <w:r>
        <w:continuationSeparator/>
      </w:r>
    </w:p>
    <w:p w14:paraId="2EEC2EC9" w14:textId="77777777" w:rsidR="006262E2" w:rsidRDefault="00626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2E3FDA2B" w:rsidR="00A65336" w:rsidRDefault="00A65336" w:rsidP="005970EA">
    <w:pPr>
      <w:pStyle w:val="Footer"/>
      <w:rPr>
        <w:noProof/>
      </w:rPr>
    </w:pPr>
    <w:r>
      <w:tab/>
    </w:r>
    <w:r>
      <w:tab/>
    </w:r>
    <w:r>
      <w:fldChar w:fldCharType="begin"/>
    </w:r>
    <w:r>
      <w:instrText xml:space="preserve"> PAGE   \* MERGEFORMAT </w:instrText>
    </w:r>
    <w:r>
      <w:fldChar w:fldCharType="separate"/>
    </w:r>
    <w:r w:rsidR="005454D9">
      <w:rPr>
        <w:noProof/>
      </w:rPr>
      <w:t>4</w:t>
    </w:r>
    <w:r>
      <w:rPr>
        <w:noProof/>
      </w:rPr>
      <w:fldChar w:fldCharType="end"/>
    </w:r>
  </w:p>
  <w:p w14:paraId="2160BB1B" w14:textId="77777777" w:rsidR="00A65336" w:rsidRDefault="00A65336"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110AD" w14:textId="77777777" w:rsidR="006262E2" w:rsidRDefault="006262E2" w:rsidP="0020122A">
      <w:pPr>
        <w:pStyle w:val="FootnoteSeparator"/>
      </w:pPr>
    </w:p>
  </w:footnote>
  <w:footnote w:type="continuationSeparator" w:id="0">
    <w:p w14:paraId="46E0332D" w14:textId="77777777" w:rsidR="006262E2" w:rsidRDefault="006262E2" w:rsidP="00EF4574">
      <w:pPr>
        <w:spacing w:before="0" w:after="0" w:line="240" w:lineRule="auto"/>
      </w:pPr>
      <w:r>
        <w:continuationSeparator/>
      </w:r>
    </w:p>
    <w:p w14:paraId="22180D22" w14:textId="77777777" w:rsidR="006262E2" w:rsidRDefault="006262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A65336" w:rsidRPr="000A6A8B" w:rsidRDefault="00A65336"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A65336" w:rsidRDefault="00A65336"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A151DFA"/>
    <w:multiLevelType w:val="hybridMultilevel"/>
    <w:tmpl w:val="5956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FFB5AA3"/>
    <w:multiLevelType w:val="hybridMultilevel"/>
    <w:tmpl w:val="DA32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07739"/>
    <w:multiLevelType w:val="hybridMultilevel"/>
    <w:tmpl w:val="4BDC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7A579F"/>
    <w:multiLevelType w:val="hybridMultilevel"/>
    <w:tmpl w:val="89E8FF90"/>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D40D6B"/>
    <w:multiLevelType w:val="hybridMultilevel"/>
    <w:tmpl w:val="ECC0019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6D9C5351"/>
    <w:multiLevelType w:val="hybridMultilevel"/>
    <w:tmpl w:val="25D47CF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E807D3C"/>
    <w:multiLevelType w:val="hybridMultilevel"/>
    <w:tmpl w:val="7D22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D3D6D30"/>
    <w:multiLevelType w:val="hybridMultilevel"/>
    <w:tmpl w:val="523EA64A"/>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22"/>
  </w:num>
  <w:num w:numId="2">
    <w:abstractNumId w:val="0"/>
  </w:num>
  <w:num w:numId="3">
    <w:abstractNumId w:val="8"/>
    <w:lvlOverride w:ilvl="1">
      <w:lvl w:ilvl="1">
        <w:start w:val="1"/>
        <w:numFmt w:val="decimal"/>
        <w:pStyle w:val="Heading2Numbered"/>
        <w:lvlText w:val="%1.%2"/>
        <w:lvlJc w:val="left"/>
        <w:pPr>
          <w:ind w:left="567" w:hanging="567"/>
        </w:pPr>
        <w:rPr>
          <w:rFonts w:hint="default"/>
        </w:rPr>
      </w:lvl>
    </w:lvlOverride>
  </w:num>
  <w:num w:numId="4">
    <w:abstractNumId w:val="16"/>
  </w:num>
  <w:num w:numId="5">
    <w:abstractNumId w:val="17"/>
  </w:num>
  <w:num w:numId="6">
    <w:abstractNumId w:val="1"/>
  </w:num>
  <w:num w:numId="7">
    <w:abstractNumId w:val="2"/>
  </w:num>
  <w:num w:numId="8">
    <w:abstractNumId w:val="5"/>
  </w:num>
  <w:num w:numId="9">
    <w:abstractNumId w:val="13"/>
  </w:num>
  <w:num w:numId="10">
    <w:abstractNumId w:val="19"/>
  </w:num>
  <w:num w:numId="11">
    <w:abstractNumId w:val="1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6"/>
  </w:num>
  <w:num w:numId="13">
    <w:abstractNumId w:val="4"/>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3"/>
    </w:lvlOverride>
  </w:num>
  <w:num w:numId="17">
    <w:abstractNumId w:val="10"/>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2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15"/>
  </w:num>
  <w:num w:numId="26">
    <w:abstractNumId w:val="20"/>
  </w:num>
  <w:num w:numId="27">
    <w:abstractNumId w:val="7"/>
  </w:num>
  <w:num w:numId="28">
    <w:abstractNumId w:val="9"/>
  </w:num>
  <w:num w:numId="29">
    <w:abstractNumId w:val="11"/>
  </w:num>
  <w:num w:numId="30">
    <w:abstractNumId w:val="22"/>
  </w:num>
  <w:num w:numId="31">
    <w:abstractNumId w:val="3"/>
  </w:num>
  <w:num w:numId="32">
    <w:abstractNumId w:val="14"/>
  </w:num>
  <w:num w:numId="33">
    <w:abstractNumId w:val="8"/>
    <w:lvlOverride w:ilvl="1">
      <w:lvl w:ilvl="1">
        <w:start w:val="1"/>
        <w:numFmt w:val="decimal"/>
        <w:pStyle w:val="Heading2Numbered"/>
        <w:lvlText w:val="%1.%2"/>
        <w:lvlJc w:val="left"/>
        <w:pPr>
          <w:ind w:left="567" w:hanging="567"/>
        </w:pPr>
        <w:rPr>
          <w:rFonts w:hint="default"/>
        </w:rPr>
      </w:lvl>
    </w:lvlOverride>
  </w:num>
  <w:num w:numId="34">
    <w:abstractNumId w:val="8"/>
    <w:lvlOverride w:ilvl="1">
      <w:lvl w:ilvl="1">
        <w:start w:val="1"/>
        <w:numFmt w:val="decimal"/>
        <w:pStyle w:val="Heading2Numbered"/>
        <w:lvlText w:val="%1.%2"/>
        <w:lvlJc w:val="left"/>
        <w:pPr>
          <w:ind w:left="567" w:hanging="567"/>
        </w:pPr>
        <w:rPr>
          <w:rFonts w:hint="default"/>
        </w:rPr>
      </w:lvl>
    </w:lvlOverride>
  </w:num>
  <w:num w:numId="35">
    <w:abstractNumId w:val="8"/>
    <w:lvlOverride w:ilvl="1">
      <w:lvl w:ilvl="1">
        <w:start w:val="1"/>
        <w:numFmt w:val="decimal"/>
        <w:pStyle w:val="Heading2Numbered"/>
        <w:lvlText w:val="%1.%2"/>
        <w:lvlJc w:val="left"/>
        <w:pPr>
          <w:ind w:left="567" w:hanging="567"/>
        </w:pPr>
        <w:rPr>
          <w:rFonts w:hint="default"/>
        </w:rPr>
      </w:lvl>
    </w:lvlOverride>
  </w:num>
  <w:num w:numId="36">
    <w:abstractNumId w:val="8"/>
    <w:lvlOverride w:ilvl="1">
      <w:lvl w:ilvl="1">
        <w:start w:val="1"/>
        <w:numFmt w:val="decimal"/>
        <w:pStyle w:val="Heading2Numbered"/>
        <w:lvlText w:val="%1.%2"/>
        <w:lvlJc w:val="left"/>
        <w:pPr>
          <w:ind w:left="567" w:hanging="567"/>
        </w:pPr>
        <w:rPr>
          <w:rFonts w:hint="default"/>
        </w:rPr>
      </w:lvl>
    </w:lvlOverride>
  </w:num>
  <w:num w:numId="37">
    <w:abstractNumId w:val="22"/>
  </w:num>
  <w:num w:numId="38">
    <w:abstractNumId w:val="8"/>
    <w:lvlOverride w:ilvl="1">
      <w:lvl w:ilvl="1">
        <w:start w:val="1"/>
        <w:numFmt w:val="decimal"/>
        <w:pStyle w:val="Heading2Numbered"/>
        <w:lvlText w:val="%1.%2"/>
        <w:lvlJc w:val="left"/>
        <w:pPr>
          <w:ind w:left="567" w:hanging="567"/>
        </w:pPr>
        <w:rPr>
          <w:rFonts w:hint="default"/>
        </w:rPr>
      </w:lvl>
    </w:lvlOverride>
  </w:num>
  <w:num w:numId="39">
    <w:abstractNumId w:val="8"/>
    <w:lvlOverride w:ilvl="1">
      <w:lvl w:ilvl="1">
        <w:start w:val="1"/>
        <w:numFmt w:val="decimal"/>
        <w:pStyle w:val="Heading2Numbered"/>
        <w:lvlText w:val="%1.%2"/>
        <w:lvlJc w:val="left"/>
        <w:pPr>
          <w:ind w:left="567" w:hanging="567"/>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7CE5"/>
    <w:rsid w:val="000104CF"/>
    <w:rsid w:val="00012AB4"/>
    <w:rsid w:val="00023327"/>
    <w:rsid w:val="000263B9"/>
    <w:rsid w:val="0002782F"/>
    <w:rsid w:val="00031305"/>
    <w:rsid w:val="0003528B"/>
    <w:rsid w:val="0003793B"/>
    <w:rsid w:val="00043B4D"/>
    <w:rsid w:val="00045933"/>
    <w:rsid w:val="00050D65"/>
    <w:rsid w:val="000510F7"/>
    <w:rsid w:val="00053FB1"/>
    <w:rsid w:val="00054DFA"/>
    <w:rsid w:val="00054E4D"/>
    <w:rsid w:val="00056305"/>
    <w:rsid w:val="00057883"/>
    <w:rsid w:val="00060073"/>
    <w:rsid w:val="000603C7"/>
    <w:rsid w:val="00061A22"/>
    <w:rsid w:val="000623A2"/>
    <w:rsid w:val="0006243E"/>
    <w:rsid w:val="0006355E"/>
    <w:rsid w:val="00064FF1"/>
    <w:rsid w:val="00065224"/>
    <w:rsid w:val="00074B2F"/>
    <w:rsid w:val="000829F4"/>
    <w:rsid w:val="00084930"/>
    <w:rsid w:val="00091FA6"/>
    <w:rsid w:val="0009249D"/>
    <w:rsid w:val="00096839"/>
    <w:rsid w:val="000969FA"/>
    <w:rsid w:val="000A12F9"/>
    <w:rsid w:val="000A271A"/>
    <w:rsid w:val="000A4B30"/>
    <w:rsid w:val="000A6A8B"/>
    <w:rsid w:val="000B0F49"/>
    <w:rsid w:val="000B2A9D"/>
    <w:rsid w:val="000B4E5A"/>
    <w:rsid w:val="000B7A79"/>
    <w:rsid w:val="000C2A48"/>
    <w:rsid w:val="000C2A8F"/>
    <w:rsid w:val="000C5F75"/>
    <w:rsid w:val="000C74F1"/>
    <w:rsid w:val="000D60B1"/>
    <w:rsid w:val="000E1AD1"/>
    <w:rsid w:val="000E1D06"/>
    <w:rsid w:val="000E6ABA"/>
    <w:rsid w:val="000F3482"/>
    <w:rsid w:val="00100BAD"/>
    <w:rsid w:val="00103A95"/>
    <w:rsid w:val="00104AF2"/>
    <w:rsid w:val="0011101F"/>
    <w:rsid w:val="00120A25"/>
    <w:rsid w:val="00131C22"/>
    <w:rsid w:val="00135427"/>
    <w:rsid w:val="00136530"/>
    <w:rsid w:val="001459AB"/>
    <w:rsid w:val="001541EA"/>
    <w:rsid w:val="00154D5E"/>
    <w:rsid w:val="00155903"/>
    <w:rsid w:val="001566F9"/>
    <w:rsid w:val="00157662"/>
    <w:rsid w:val="001607B7"/>
    <w:rsid w:val="001612A4"/>
    <w:rsid w:val="0016738D"/>
    <w:rsid w:val="0017002F"/>
    <w:rsid w:val="001736AF"/>
    <w:rsid w:val="00173FA3"/>
    <w:rsid w:val="001777FE"/>
    <w:rsid w:val="001807F0"/>
    <w:rsid w:val="00181073"/>
    <w:rsid w:val="00186E42"/>
    <w:rsid w:val="00190579"/>
    <w:rsid w:val="00190651"/>
    <w:rsid w:val="00192CC4"/>
    <w:rsid w:val="00192E36"/>
    <w:rsid w:val="00197CC3"/>
    <w:rsid w:val="001A0777"/>
    <w:rsid w:val="001B0E3E"/>
    <w:rsid w:val="001C022C"/>
    <w:rsid w:val="001C5431"/>
    <w:rsid w:val="001C71EB"/>
    <w:rsid w:val="001D1CC9"/>
    <w:rsid w:val="001D22E7"/>
    <w:rsid w:val="001D33EB"/>
    <w:rsid w:val="001D4B1A"/>
    <w:rsid w:val="001D7A14"/>
    <w:rsid w:val="001D7EB4"/>
    <w:rsid w:val="001E18C1"/>
    <w:rsid w:val="001E1DC0"/>
    <w:rsid w:val="001E7349"/>
    <w:rsid w:val="001F027C"/>
    <w:rsid w:val="001F6504"/>
    <w:rsid w:val="001F6517"/>
    <w:rsid w:val="001F75DF"/>
    <w:rsid w:val="00200637"/>
    <w:rsid w:val="0020122A"/>
    <w:rsid w:val="002146D5"/>
    <w:rsid w:val="00220FC8"/>
    <w:rsid w:val="002220CC"/>
    <w:rsid w:val="0022479D"/>
    <w:rsid w:val="002263E0"/>
    <w:rsid w:val="00235C6C"/>
    <w:rsid w:val="00235EB1"/>
    <w:rsid w:val="00236D9D"/>
    <w:rsid w:val="00241945"/>
    <w:rsid w:val="00243D70"/>
    <w:rsid w:val="00244E37"/>
    <w:rsid w:val="00250AEF"/>
    <w:rsid w:val="002557AF"/>
    <w:rsid w:val="0025763F"/>
    <w:rsid w:val="00262B5B"/>
    <w:rsid w:val="00263AD9"/>
    <w:rsid w:val="0026564C"/>
    <w:rsid w:val="00267310"/>
    <w:rsid w:val="00272313"/>
    <w:rsid w:val="0028602A"/>
    <w:rsid w:val="002A2026"/>
    <w:rsid w:val="002B0C2A"/>
    <w:rsid w:val="002C2526"/>
    <w:rsid w:val="002C3C3C"/>
    <w:rsid w:val="002C3D2B"/>
    <w:rsid w:val="002C7BB1"/>
    <w:rsid w:val="002D2E49"/>
    <w:rsid w:val="002D550C"/>
    <w:rsid w:val="002D667B"/>
    <w:rsid w:val="002E10BE"/>
    <w:rsid w:val="002E2271"/>
    <w:rsid w:val="002E6011"/>
    <w:rsid w:val="002F145D"/>
    <w:rsid w:val="002F29D6"/>
    <w:rsid w:val="002F716B"/>
    <w:rsid w:val="00301144"/>
    <w:rsid w:val="00302DEE"/>
    <w:rsid w:val="00305665"/>
    <w:rsid w:val="00306F1F"/>
    <w:rsid w:val="003142DD"/>
    <w:rsid w:val="003148B7"/>
    <w:rsid w:val="003158C3"/>
    <w:rsid w:val="003165AC"/>
    <w:rsid w:val="00324DCE"/>
    <w:rsid w:val="003274CD"/>
    <w:rsid w:val="003357B0"/>
    <w:rsid w:val="0033689F"/>
    <w:rsid w:val="00340616"/>
    <w:rsid w:val="00340B33"/>
    <w:rsid w:val="00346479"/>
    <w:rsid w:val="0035119D"/>
    <w:rsid w:val="00356CB6"/>
    <w:rsid w:val="0036664E"/>
    <w:rsid w:val="00367A67"/>
    <w:rsid w:val="003717CD"/>
    <w:rsid w:val="00376B7C"/>
    <w:rsid w:val="0039013E"/>
    <w:rsid w:val="003904D7"/>
    <w:rsid w:val="00396FF1"/>
    <w:rsid w:val="003A0C18"/>
    <w:rsid w:val="003A4403"/>
    <w:rsid w:val="003A71C5"/>
    <w:rsid w:val="003B4C5C"/>
    <w:rsid w:val="003B4D29"/>
    <w:rsid w:val="003B4F12"/>
    <w:rsid w:val="003C191D"/>
    <w:rsid w:val="003D016A"/>
    <w:rsid w:val="003D0DB2"/>
    <w:rsid w:val="003D1805"/>
    <w:rsid w:val="003D20DC"/>
    <w:rsid w:val="003D440F"/>
    <w:rsid w:val="003E050D"/>
    <w:rsid w:val="003E60A5"/>
    <w:rsid w:val="003F2970"/>
    <w:rsid w:val="003F3468"/>
    <w:rsid w:val="003F6C38"/>
    <w:rsid w:val="004003E2"/>
    <w:rsid w:val="00403223"/>
    <w:rsid w:val="00407F61"/>
    <w:rsid w:val="0041108C"/>
    <w:rsid w:val="00411B06"/>
    <w:rsid w:val="004120FE"/>
    <w:rsid w:val="00423350"/>
    <w:rsid w:val="00423F31"/>
    <w:rsid w:val="00431899"/>
    <w:rsid w:val="00433C93"/>
    <w:rsid w:val="004475DB"/>
    <w:rsid w:val="00454D0B"/>
    <w:rsid w:val="0046745D"/>
    <w:rsid w:val="00472A15"/>
    <w:rsid w:val="00473CA5"/>
    <w:rsid w:val="00482F1B"/>
    <w:rsid w:val="00486804"/>
    <w:rsid w:val="0049173E"/>
    <w:rsid w:val="00492916"/>
    <w:rsid w:val="0049403F"/>
    <w:rsid w:val="004A0F4F"/>
    <w:rsid w:val="004B3775"/>
    <w:rsid w:val="004B53C4"/>
    <w:rsid w:val="004B5A19"/>
    <w:rsid w:val="004C27DB"/>
    <w:rsid w:val="004C2A06"/>
    <w:rsid w:val="004C2ADD"/>
    <w:rsid w:val="004C68FC"/>
    <w:rsid w:val="004D7AEC"/>
    <w:rsid w:val="004E058F"/>
    <w:rsid w:val="004E2D2A"/>
    <w:rsid w:val="004E3B87"/>
    <w:rsid w:val="004E408F"/>
    <w:rsid w:val="004F09A4"/>
    <w:rsid w:val="004F1424"/>
    <w:rsid w:val="004F1C5D"/>
    <w:rsid w:val="004F6159"/>
    <w:rsid w:val="00510921"/>
    <w:rsid w:val="005109D5"/>
    <w:rsid w:val="00510AD3"/>
    <w:rsid w:val="00511DD6"/>
    <w:rsid w:val="00513348"/>
    <w:rsid w:val="00514857"/>
    <w:rsid w:val="005168B9"/>
    <w:rsid w:val="00521A5F"/>
    <w:rsid w:val="00533B5D"/>
    <w:rsid w:val="00533BCE"/>
    <w:rsid w:val="005344DB"/>
    <w:rsid w:val="0054078D"/>
    <w:rsid w:val="00544D3A"/>
    <w:rsid w:val="005454D9"/>
    <w:rsid w:val="00546EC1"/>
    <w:rsid w:val="005570E8"/>
    <w:rsid w:val="00560903"/>
    <w:rsid w:val="00561435"/>
    <w:rsid w:val="005660B6"/>
    <w:rsid w:val="00566242"/>
    <w:rsid w:val="00574781"/>
    <w:rsid w:val="005757AA"/>
    <w:rsid w:val="00576C34"/>
    <w:rsid w:val="00582E66"/>
    <w:rsid w:val="00585280"/>
    <w:rsid w:val="00592EB3"/>
    <w:rsid w:val="00596238"/>
    <w:rsid w:val="00596635"/>
    <w:rsid w:val="00596FBA"/>
    <w:rsid w:val="00597079"/>
    <w:rsid w:val="005970EA"/>
    <w:rsid w:val="005A35F8"/>
    <w:rsid w:val="005A3C34"/>
    <w:rsid w:val="005A41E0"/>
    <w:rsid w:val="005A6BEE"/>
    <w:rsid w:val="005B0C85"/>
    <w:rsid w:val="005B1D56"/>
    <w:rsid w:val="005B4813"/>
    <w:rsid w:val="005B5537"/>
    <w:rsid w:val="005B6F05"/>
    <w:rsid w:val="005C37F0"/>
    <w:rsid w:val="005D00E1"/>
    <w:rsid w:val="005D26B4"/>
    <w:rsid w:val="005D2D36"/>
    <w:rsid w:val="005D670A"/>
    <w:rsid w:val="005E0682"/>
    <w:rsid w:val="005E68FB"/>
    <w:rsid w:val="005F0384"/>
    <w:rsid w:val="005F3DD0"/>
    <w:rsid w:val="005F4245"/>
    <w:rsid w:val="005F5870"/>
    <w:rsid w:val="00600B0B"/>
    <w:rsid w:val="00601E84"/>
    <w:rsid w:val="00623BA1"/>
    <w:rsid w:val="006262E2"/>
    <w:rsid w:val="006330A1"/>
    <w:rsid w:val="006338CC"/>
    <w:rsid w:val="006346BC"/>
    <w:rsid w:val="00634D45"/>
    <w:rsid w:val="006417DE"/>
    <w:rsid w:val="00646B61"/>
    <w:rsid w:val="00647D91"/>
    <w:rsid w:val="00650146"/>
    <w:rsid w:val="006539C9"/>
    <w:rsid w:val="006561D8"/>
    <w:rsid w:val="00661C4A"/>
    <w:rsid w:val="00664CEA"/>
    <w:rsid w:val="00666291"/>
    <w:rsid w:val="0066652A"/>
    <w:rsid w:val="00673063"/>
    <w:rsid w:val="0067746C"/>
    <w:rsid w:val="00681C88"/>
    <w:rsid w:val="00682167"/>
    <w:rsid w:val="00685ACF"/>
    <w:rsid w:val="0068635E"/>
    <w:rsid w:val="00687BAA"/>
    <w:rsid w:val="00692417"/>
    <w:rsid w:val="006925DC"/>
    <w:rsid w:val="00694DF9"/>
    <w:rsid w:val="006A3011"/>
    <w:rsid w:val="006A31BC"/>
    <w:rsid w:val="006B11FB"/>
    <w:rsid w:val="006B5D03"/>
    <w:rsid w:val="006C2B8C"/>
    <w:rsid w:val="006C42AF"/>
    <w:rsid w:val="006C4DD1"/>
    <w:rsid w:val="006C6E91"/>
    <w:rsid w:val="006D09F8"/>
    <w:rsid w:val="0070162F"/>
    <w:rsid w:val="00703C31"/>
    <w:rsid w:val="00704535"/>
    <w:rsid w:val="007065A0"/>
    <w:rsid w:val="007119DE"/>
    <w:rsid w:val="00711D6F"/>
    <w:rsid w:val="00711D8E"/>
    <w:rsid w:val="00712672"/>
    <w:rsid w:val="00717709"/>
    <w:rsid w:val="00726710"/>
    <w:rsid w:val="007310EF"/>
    <w:rsid w:val="00732119"/>
    <w:rsid w:val="00734E3F"/>
    <w:rsid w:val="00736985"/>
    <w:rsid w:val="00737A13"/>
    <w:rsid w:val="007472EF"/>
    <w:rsid w:val="007526C9"/>
    <w:rsid w:val="00767611"/>
    <w:rsid w:val="00771DFE"/>
    <w:rsid w:val="007720A7"/>
    <w:rsid w:val="00794773"/>
    <w:rsid w:val="007A09E1"/>
    <w:rsid w:val="007A0CD6"/>
    <w:rsid w:val="007A25F0"/>
    <w:rsid w:val="007A3F74"/>
    <w:rsid w:val="007B0FA8"/>
    <w:rsid w:val="007B1202"/>
    <w:rsid w:val="007B1A1A"/>
    <w:rsid w:val="007B36DF"/>
    <w:rsid w:val="007B6200"/>
    <w:rsid w:val="007B6B3D"/>
    <w:rsid w:val="007C1AD0"/>
    <w:rsid w:val="007C24EA"/>
    <w:rsid w:val="007C6E0F"/>
    <w:rsid w:val="007D1C9C"/>
    <w:rsid w:val="007D6319"/>
    <w:rsid w:val="007D6F87"/>
    <w:rsid w:val="007E58A6"/>
    <w:rsid w:val="007F1479"/>
    <w:rsid w:val="007F3FD9"/>
    <w:rsid w:val="007F5F85"/>
    <w:rsid w:val="00801B9F"/>
    <w:rsid w:val="00801DB6"/>
    <w:rsid w:val="008117FE"/>
    <w:rsid w:val="00821F0D"/>
    <w:rsid w:val="0082468B"/>
    <w:rsid w:val="00831521"/>
    <w:rsid w:val="00840916"/>
    <w:rsid w:val="00846AE6"/>
    <w:rsid w:val="008561A6"/>
    <w:rsid w:val="008612F0"/>
    <w:rsid w:val="00864EFA"/>
    <w:rsid w:val="00875A16"/>
    <w:rsid w:val="00876CDB"/>
    <w:rsid w:val="00880B3F"/>
    <w:rsid w:val="008873D4"/>
    <w:rsid w:val="00890646"/>
    <w:rsid w:val="00892C8B"/>
    <w:rsid w:val="00894F94"/>
    <w:rsid w:val="0089786A"/>
    <w:rsid w:val="008B62C7"/>
    <w:rsid w:val="008C6A77"/>
    <w:rsid w:val="008D4A99"/>
    <w:rsid w:val="008E0EB8"/>
    <w:rsid w:val="008E2331"/>
    <w:rsid w:val="008E64B8"/>
    <w:rsid w:val="008F4C2E"/>
    <w:rsid w:val="00903AC8"/>
    <w:rsid w:val="0090734E"/>
    <w:rsid w:val="0090794D"/>
    <w:rsid w:val="00911AC6"/>
    <w:rsid w:val="0091452D"/>
    <w:rsid w:val="00925ECE"/>
    <w:rsid w:val="0092699E"/>
    <w:rsid w:val="00934587"/>
    <w:rsid w:val="0093505F"/>
    <w:rsid w:val="00940F40"/>
    <w:rsid w:val="00943028"/>
    <w:rsid w:val="00946AF9"/>
    <w:rsid w:val="00950336"/>
    <w:rsid w:val="00951025"/>
    <w:rsid w:val="009525F4"/>
    <w:rsid w:val="00953463"/>
    <w:rsid w:val="00954ABA"/>
    <w:rsid w:val="00957D11"/>
    <w:rsid w:val="009625B7"/>
    <w:rsid w:val="00965D80"/>
    <w:rsid w:val="00966462"/>
    <w:rsid w:val="00971FF6"/>
    <w:rsid w:val="0097457B"/>
    <w:rsid w:val="0097683A"/>
    <w:rsid w:val="00984B3C"/>
    <w:rsid w:val="009A05FF"/>
    <w:rsid w:val="009A2CFE"/>
    <w:rsid w:val="009A2DA7"/>
    <w:rsid w:val="009B4D3B"/>
    <w:rsid w:val="009B56C4"/>
    <w:rsid w:val="009C4265"/>
    <w:rsid w:val="009D1933"/>
    <w:rsid w:val="009D7407"/>
    <w:rsid w:val="009E0866"/>
    <w:rsid w:val="009E676B"/>
    <w:rsid w:val="009F35C5"/>
    <w:rsid w:val="00A01E93"/>
    <w:rsid w:val="00A20E8E"/>
    <w:rsid w:val="00A22DDB"/>
    <w:rsid w:val="00A24A62"/>
    <w:rsid w:val="00A256BF"/>
    <w:rsid w:val="00A2586C"/>
    <w:rsid w:val="00A275FD"/>
    <w:rsid w:val="00A31C9F"/>
    <w:rsid w:val="00A3322B"/>
    <w:rsid w:val="00A35BEB"/>
    <w:rsid w:val="00A35DDC"/>
    <w:rsid w:val="00A372CF"/>
    <w:rsid w:val="00A40701"/>
    <w:rsid w:val="00A41108"/>
    <w:rsid w:val="00A45D97"/>
    <w:rsid w:val="00A61729"/>
    <w:rsid w:val="00A61778"/>
    <w:rsid w:val="00A624D8"/>
    <w:rsid w:val="00A632E3"/>
    <w:rsid w:val="00A65336"/>
    <w:rsid w:val="00A668C8"/>
    <w:rsid w:val="00A7011F"/>
    <w:rsid w:val="00A703CF"/>
    <w:rsid w:val="00A75639"/>
    <w:rsid w:val="00A75BF8"/>
    <w:rsid w:val="00A76EC7"/>
    <w:rsid w:val="00A90EFA"/>
    <w:rsid w:val="00A916BA"/>
    <w:rsid w:val="00A92A2E"/>
    <w:rsid w:val="00A92DC3"/>
    <w:rsid w:val="00A9798A"/>
    <w:rsid w:val="00A97C9C"/>
    <w:rsid w:val="00A97E00"/>
    <w:rsid w:val="00AA15FC"/>
    <w:rsid w:val="00AB19CF"/>
    <w:rsid w:val="00AB2F67"/>
    <w:rsid w:val="00AB3CD5"/>
    <w:rsid w:val="00AB6531"/>
    <w:rsid w:val="00AC164A"/>
    <w:rsid w:val="00AD16EC"/>
    <w:rsid w:val="00AE451C"/>
    <w:rsid w:val="00AE5A5C"/>
    <w:rsid w:val="00AF2050"/>
    <w:rsid w:val="00AF23B9"/>
    <w:rsid w:val="00B136A1"/>
    <w:rsid w:val="00B233A5"/>
    <w:rsid w:val="00B27A14"/>
    <w:rsid w:val="00B322FC"/>
    <w:rsid w:val="00B328B0"/>
    <w:rsid w:val="00B35A3A"/>
    <w:rsid w:val="00B424E7"/>
    <w:rsid w:val="00B50CF3"/>
    <w:rsid w:val="00B52390"/>
    <w:rsid w:val="00B5546E"/>
    <w:rsid w:val="00B5788D"/>
    <w:rsid w:val="00B655D0"/>
    <w:rsid w:val="00B6687E"/>
    <w:rsid w:val="00B7612D"/>
    <w:rsid w:val="00B813A0"/>
    <w:rsid w:val="00B82540"/>
    <w:rsid w:val="00B82CE5"/>
    <w:rsid w:val="00B90A32"/>
    <w:rsid w:val="00B962A0"/>
    <w:rsid w:val="00BB0418"/>
    <w:rsid w:val="00BB212F"/>
    <w:rsid w:val="00BB26C5"/>
    <w:rsid w:val="00BB55ED"/>
    <w:rsid w:val="00BB5AC4"/>
    <w:rsid w:val="00BB5CF6"/>
    <w:rsid w:val="00BB7BA0"/>
    <w:rsid w:val="00BC0C62"/>
    <w:rsid w:val="00BC0E58"/>
    <w:rsid w:val="00BC1314"/>
    <w:rsid w:val="00BC17CA"/>
    <w:rsid w:val="00BC29E7"/>
    <w:rsid w:val="00BC4F34"/>
    <w:rsid w:val="00BD1DD2"/>
    <w:rsid w:val="00BE0F17"/>
    <w:rsid w:val="00BE263C"/>
    <w:rsid w:val="00BE78B1"/>
    <w:rsid w:val="00BF18F9"/>
    <w:rsid w:val="00BF4DE6"/>
    <w:rsid w:val="00C10A41"/>
    <w:rsid w:val="00C13514"/>
    <w:rsid w:val="00C25A62"/>
    <w:rsid w:val="00C26150"/>
    <w:rsid w:val="00C362A5"/>
    <w:rsid w:val="00C3640D"/>
    <w:rsid w:val="00C36F37"/>
    <w:rsid w:val="00C41D2A"/>
    <w:rsid w:val="00C42CDE"/>
    <w:rsid w:val="00C50ADB"/>
    <w:rsid w:val="00C65EC1"/>
    <w:rsid w:val="00C836BC"/>
    <w:rsid w:val="00C95CBC"/>
    <w:rsid w:val="00C966CD"/>
    <w:rsid w:val="00CA37B1"/>
    <w:rsid w:val="00CB1959"/>
    <w:rsid w:val="00CB304D"/>
    <w:rsid w:val="00CC2AA4"/>
    <w:rsid w:val="00CC4ACB"/>
    <w:rsid w:val="00CE251D"/>
    <w:rsid w:val="00CF0CF0"/>
    <w:rsid w:val="00CF3DF7"/>
    <w:rsid w:val="00CF6A72"/>
    <w:rsid w:val="00D01172"/>
    <w:rsid w:val="00D0296C"/>
    <w:rsid w:val="00D14978"/>
    <w:rsid w:val="00D22869"/>
    <w:rsid w:val="00D268E6"/>
    <w:rsid w:val="00D324CA"/>
    <w:rsid w:val="00D3569B"/>
    <w:rsid w:val="00D46D82"/>
    <w:rsid w:val="00D55622"/>
    <w:rsid w:val="00D573DC"/>
    <w:rsid w:val="00D666C9"/>
    <w:rsid w:val="00D67FA3"/>
    <w:rsid w:val="00D747C1"/>
    <w:rsid w:val="00D848DB"/>
    <w:rsid w:val="00DB0937"/>
    <w:rsid w:val="00DB3432"/>
    <w:rsid w:val="00DB5D1B"/>
    <w:rsid w:val="00DB6D69"/>
    <w:rsid w:val="00DC1682"/>
    <w:rsid w:val="00DC322C"/>
    <w:rsid w:val="00DC430B"/>
    <w:rsid w:val="00DC7970"/>
    <w:rsid w:val="00DD0392"/>
    <w:rsid w:val="00DD52C8"/>
    <w:rsid w:val="00DD55C0"/>
    <w:rsid w:val="00DD622B"/>
    <w:rsid w:val="00DE3434"/>
    <w:rsid w:val="00DE3E90"/>
    <w:rsid w:val="00DF0952"/>
    <w:rsid w:val="00DF25F7"/>
    <w:rsid w:val="00DF67B7"/>
    <w:rsid w:val="00E12B2D"/>
    <w:rsid w:val="00E17504"/>
    <w:rsid w:val="00E255D2"/>
    <w:rsid w:val="00E357B7"/>
    <w:rsid w:val="00E3624C"/>
    <w:rsid w:val="00E44E21"/>
    <w:rsid w:val="00E472B4"/>
    <w:rsid w:val="00E53800"/>
    <w:rsid w:val="00E6081F"/>
    <w:rsid w:val="00E60953"/>
    <w:rsid w:val="00E673E5"/>
    <w:rsid w:val="00E67509"/>
    <w:rsid w:val="00E6782F"/>
    <w:rsid w:val="00E67963"/>
    <w:rsid w:val="00E71B07"/>
    <w:rsid w:val="00E7468E"/>
    <w:rsid w:val="00E834B4"/>
    <w:rsid w:val="00E95846"/>
    <w:rsid w:val="00E963D2"/>
    <w:rsid w:val="00E96706"/>
    <w:rsid w:val="00EA04B2"/>
    <w:rsid w:val="00EA20F3"/>
    <w:rsid w:val="00EA3B0E"/>
    <w:rsid w:val="00EA4635"/>
    <w:rsid w:val="00EA75C1"/>
    <w:rsid w:val="00EB4889"/>
    <w:rsid w:val="00EC595A"/>
    <w:rsid w:val="00ED43D1"/>
    <w:rsid w:val="00ED44FE"/>
    <w:rsid w:val="00EE05E1"/>
    <w:rsid w:val="00EE2B1C"/>
    <w:rsid w:val="00EE4EE1"/>
    <w:rsid w:val="00EF4574"/>
    <w:rsid w:val="00EF7B34"/>
    <w:rsid w:val="00F00296"/>
    <w:rsid w:val="00F00CFE"/>
    <w:rsid w:val="00F0542C"/>
    <w:rsid w:val="00F07425"/>
    <w:rsid w:val="00F21438"/>
    <w:rsid w:val="00F2684E"/>
    <w:rsid w:val="00F43EFC"/>
    <w:rsid w:val="00F500DB"/>
    <w:rsid w:val="00F5019A"/>
    <w:rsid w:val="00F61589"/>
    <w:rsid w:val="00F729EF"/>
    <w:rsid w:val="00F77CAE"/>
    <w:rsid w:val="00F96BB9"/>
    <w:rsid w:val="00F96E58"/>
    <w:rsid w:val="00FA299B"/>
    <w:rsid w:val="00FA2D3B"/>
    <w:rsid w:val="00FA70E4"/>
    <w:rsid w:val="00FB44AA"/>
    <w:rsid w:val="00FC030A"/>
    <w:rsid w:val="00FD04C9"/>
    <w:rsid w:val="00FD1269"/>
    <w:rsid w:val="00FD320B"/>
    <w:rsid w:val="00FD416B"/>
    <w:rsid w:val="00FE6D51"/>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DFD5C90B-6102-4268-9779-DD914EAD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Covertable">
    <w:name w:val="Cover table"/>
    <w:rsid w:val="005B4813"/>
    <w:pPr>
      <w:spacing w:before="40" w:after="40" w:line="240" w:lineRule="auto"/>
    </w:pPr>
    <w:rPr>
      <w:rFonts w:ascii="Times New Roman" w:eastAsia="Times New Roman" w:hAnsi="Times New Roman" w:cs="Times New Roman"/>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81295595">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24517669">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file://prod.protected.ind/User/user03/LLau2/insert%20link%20here" TargetMode="External"/><Relationship Id="rId26" Type="http://schemas.openxmlformats.org/officeDocument/2006/relationships/hyperlink" Target="http://www.ombudsman.gov.au" TargetMode="External"/><Relationship Id="rId3" Type="http://schemas.openxmlformats.org/officeDocument/2006/relationships/styles" Target="styles.xml"/><Relationship Id="rId21" Type="http://schemas.openxmlformats.org/officeDocument/2006/relationships/hyperlink" Target="http://www.dss.gov.au/accessandequit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https://www.grants.gov.au/?event=public.home" TargetMode="External"/><Relationship Id="rId25" Type="http://schemas.openxmlformats.org/officeDocument/2006/relationships/hyperlink" Target="mailto:ombudsman@ombudsman.gov.a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inance.gov.au/financial-framework/financial-management-policy-guidance/grants/grant-agreement-template-project.html" TargetMode="External"/><Relationship Id="rId20" Type="http://schemas.openxmlformats.org/officeDocument/2006/relationships/hyperlink" Target="https://dex.dss.gov.au/data-exchange-protocols/dex_data_exchange_protocols/" TargetMode="External"/><Relationship Id="rId29" Type="http://schemas.openxmlformats.org/officeDocument/2006/relationships/hyperlink" Target="http://www.comlaw.gov.au/Details/C2014C00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 TargetMode="External"/><Relationship Id="rId24" Type="http://schemas.openxmlformats.org/officeDocument/2006/relationships/hyperlink" Target="https://www.dss.gov.au/contact/feedback-compliments-complaints-and-enquiries/feedback-for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communitygrants.gov.au/" TargetMode="External"/><Relationship Id="rId28" Type="http://schemas.openxmlformats.org/officeDocument/2006/relationships/hyperlink" Target="https://www.communitygrants.gov.au/open-grants/how-apply/conflict-interest-policy-commonwealth-government-employee" TargetMode="External"/><Relationship Id="rId10" Type="http://schemas.openxmlformats.org/officeDocument/2006/relationships/hyperlink" Target="https://www.grants.gov.au/?event=public.home" TargetMode="External"/><Relationship Id="rId19" Type="http://schemas.openxmlformats.org/officeDocument/2006/relationships/hyperlink" Target="http://www.ato.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mmunitygrants.gov.au/grants"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 TargetMode="External"/><Relationship Id="rId27" Type="http://schemas.openxmlformats.org/officeDocument/2006/relationships/hyperlink" Target="http://www.apsc.gov.au/publications-and-media/current-publications/aps-values-and-code-of-conduct-in-practice/conflict-of-interest" TargetMode="External"/><Relationship Id="rId30" Type="http://schemas.openxmlformats.org/officeDocument/2006/relationships/hyperlink" Target="mailto:foi@dss.gov.au" TargetMode="External"/><Relationship Id="rId35"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24B7-47A1-4F47-98DC-C9346B46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6392</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4</cp:revision>
  <cp:lastPrinted>2018-09-10T22:51:00Z</cp:lastPrinted>
  <dcterms:created xsi:type="dcterms:W3CDTF">2018-09-10T22:49:00Z</dcterms:created>
  <dcterms:modified xsi:type="dcterms:W3CDTF">2018-09-10T22:51:00Z</dcterms:modified>
  <cp:contentStatus/>
</cp:coreProperties>
</file>