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9B773" w14:textId="77777777" w:rsidR="0077586F" w:rsidRDefault="0077586F" w:rsidP="00C836BC">
      <w:pPr>
        <w:pStyle w:val="Title"/>
        <w:spacing w:before="3000"/>
        <w:rPr>
          <w:color w:val="auto"/>
        </w:rPr>
      </w:pPr>
      <w:bookmarkStart w:id="0" w:name="_top"/>
      <w:bookmarkStart w:id="1" w:name="_GoBack"/>
      <w:bookmarkEnd w:id="0"/>
      <w:bookmarkEnd w:id="1"/>
    </w:p>
    <w:p w14:paraId="1D4B7B72" w14:textId="05983575" w:rsidR="00794773" w:rsidRPr="00EA515D" w:rsidRDefault="00762587" w:rsidP="00F059BC">
      <w:pPr>
        <w:pStyle w:val="Title"/>
        <w:spacing w:before="3000"/>
        <w:rPr>
          <w:color w:val="auto"/>
        </w:rPr>
      </w:pPr>
      <w:r w:rsidRPr="00EA515D">
        <w:rPr>
          <w:color w:val="auto"/>
        </w:rPr>
        <w:t>Integrated Carer Support Service:</w:t>
      </w:r>
      <w:r w:rsidR="00F059BC">
        <w:rPr>
          <w:color w:val="auto"/>
        </w:rPr>
        <w:br/>
      </w:r>
      <w:r w:rsidR="009A4A1C">
        <w:rPr>
          <w:color w:val="auto"/>
        </w:rPr>
        <w:t xml:space="preserve">Carer Gateway </w:t>
      </w:r>
      <w:r w:rsidRPr="00EA515D">
        <w:rPr>
          <w:color w:val="auto"/>
        </w:rPr>
        <w:t>Regional Delivery Partner</w:t>
      </w:r>
      <w:r w:rsidR="00F059BC">
        <w:rPr>
          <w:color w:val="auto"/>
        </w:rPr>
        <w:br/>
      </w:r>
      <w:r w:rsidRPr="00EA515D">
        <w:rPr>
          <w:color w:val="auto"/>
        </w:rPr>
        <w:t>Grant Opportunity</w:t>
      </w:r>
      <w:r w:rsidR="00F059BC">
        <w:rPr>
          <w:color w:val="auto"/>
        </w:rPr>
        <w:t xml:space="preserve"> </w:t>
      </w:r>
      <w:r w:rsidR="00794773" w:rsidRPr="00EA515D">
        <w:rPr>
          <w:color w:val="auto"/>
        </w:rPr>
        <w:t>Guidelines</w:t>
      </w:r>
    </w:p>
    <w:p w14:paraId="73CB7BC9" w14:textId="77777777" w:rsidR="00794773" w:rsidRPr="00EA515D"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EA515D" w:rsidRPr="00EA515D" w14:paraId="3B42BD57" w14:textId="77777777" w:rsidTr="00096839">
        <w:trPr>
          <w:tblHeader/>
        </w:trPr>
        <w:tc>
          <w:tcPr>
            <w:tcW w:w="2977" w:type="dxa"/>
          </w:tcPr>
          <w:p w14:paraId="6058B0C6" w14:textId="77777777" w:rsidR="00794773" w:rsidRPr="00EA515D" w:rsidRDefault="00794773" w:rsidP="00694DF9">
            <w:pPr>
              <w:spacing w:line="240" w:lineRule="auto"/>
              <w:jc w:val="both"/>
            </w:pPr>
            <w:r w:rsidRPr="00EA515D">
              <w:t>Opening date:</w:t>
            </w:r>
          </w:p>
        </w:tc>
        <w:tc>
          <w:tcPr>
            <w:tcW w:w="6404" w:type="dxa"/>
            <w:shd w:val="clear" w:color="auto" w:fill="auto"/>
          </w:tcPr>
          <w:p w14:paraId="4582855B" w14:textId="6DAC6E43" w:rsidR="00794773" w:rsidRPr="004F6F15" w:rsidRDefault="00CD7D0E" w:rsidP="004F6F15">
            <w:pPr>
              <w:pStyle w:val="inputcomment"/>
              <w:rPr>
                <w:b w:val="0"/>
                <w:color w:val="auto"/>
              </w:rPr>
            </w:pPr>
            <w:r>
              <w:rPr>
                <w:b w:val="0"/>
                <w:color w:val="auto"/>
              </w:rPr>
              <w:t>16</w:t>
            </w:r>
            <w:r w:rsidR="00794773" w:rsidRPr="004F6F15">
              <w:rPr>
                <w:b w:val="0"/>
                <w:color w:val="auto"/>
              </w:rPr>
              <w:t>/</w:t>
            </w:r>
            <w:r w:rsidR="004F6F15" w:rsidRPr="004F6F15">
              <w:rPr>
                <w:b w:val="0"/>
                <w:color w:val="auto"/>
              </w:rPr>
              <w:t>11</w:t>
            </w:r>
            <w:r w:rsidR="00794773" w:rsidRPr="004F6F15">
              <w:rPr>
                <w:b w:val="0"/>
                <w:color w:val="auto"/>
              </w:rPr>
              <w:t>/</w:t>
            </w:r>
            <w:r w:rsidR="004F6F15" w:rsidRPr="004F6F15">
              <w:rPr>
                <w:b w:val="0"/>
                <w:color w:val="auto"/>
              </w:rPr>
              <w:t>2018</w:t>
            </w:r>
          </w:p>
        </w:tc>
      </w:tr>
      <w:tr w:rsidR="00EA515D" w:rsidRPr="00EA515D" w14:paraId="5307B448" w14:textId="77777777" w:rsidTr="002C7BB1">
        <w:tc>
          <w:tcPr>
            <w:tcW w:w="2977" w:type="dxa"/>
          </w:tcPr>
          <w:p w14:paraId="0A667ED0" w14:textId="77777777" w:rsidR="00794773" w:rsidRPr="00EA515D" w:rsidRDefault="00794773" w:rsidP="00694DF9">
            <w:pPr>
              <w:spacing w:line="240" w:lineRule="auto"/>
              <w:jc w:val="both"/>
            </w:pPr>
            <w:r w:rsidRPr="00EA515D">
              <w:t>Closing date and time:</w:t>
            </w:r>
          </w:p>
        </w:tc>
        <w:tc>
          <w:tcPr>
            <w:tcW w:w="6404" w:type="dxa"/>
            <w:shd w:val="clear" w:color="auto" w:fill="auto"/>
          </w:tcPr>
          <w:p w14:paraId="191B9AA0" w14:textId="7AA66A50" w:rsidR="00794773" w:rsidRPr="00EA515D" w:rsidRDefault="00D761AB" w:rsidP="004F6F15">
            <w:pPr>
              <w:pStyle w:val="inputcomment"/>
              <w:rPr>
                <w:b w:val="0"/>
                <w:color w:val="auto"/>
              </w:rPr>
            </w:pPr>
            <w:r>
              <w:rPr>
                <w:b w:val="0"/>
                <w:color w:val="auto"/>
              </w:rPr>
              <w:t>5</w:t>
            </w:r>
            <w:r w:rsidR="00CD7D0E">
              <w:rPr>
                <w:b w:val="0"/>
                <w:color w:val="auto"/>
              </w:rPr>
              <w:t>.00pm AEDT on 14</w:t>
            </w:r>
            <w:r w:rsidR="00794773" w:rsidRPr="004F6F15">
              <w:rPr>
                <w:b w:val="0"/>
                <w:color w:val="auto"/>
              </w:rPr>
              <w:t>/</w:t>
            </w:r>
            <w:r w:rsidR="00CD7D0E">
              <w:rPr>
                <w:b w:val="0"/>
                <w:color w:val="auto"/>
              </w:rPr>
              <w:t>02</w:t>
            </w:r>
            <w:r w:rsidR="00794773" w:rsidRPr="004F6F15">
              <w:rPr>
                <w:b w:val="0"/>
                <w:color w:val="auto"/>
              </w:rPr>
              <w:t>/</w:t>
            </w:r>
            <w:r w:rsidR="004F6F15">
              <w:rPr>
                <w:b w:val="0"/>
                <w:color w:val="auto"/>
              </w:rPr>
              <w:t>2019</w:t>
            </w:r>
          </w:p>
        </w:tc>
      </w:tr>
      <w:tr w:rsidR="00EA515D" w:rsidRPr="00EA515D" w14:paraId="3C382192" w14:textId="77777777" w:rsidTr="002C7BB1">
        <w:tc>
          <w:tcPr>
            <w:tcW w:w="2977" w:type="dxa"/>
          </w:tcPr>
          <w:p w14:paraId="699C04EC" w14:textId="77777777" w:rsidR="00794773" w:rsidRPr="00EA515D" w:rsidRDefault="00794773" w:rsidP="00694DF9">
            <w:pPr>
              <w:spacing w:line="240" w:lineRule="auto"/>
            </w:pPr>
            <w:r w:rsidRPr="00EA515D">
              <w:t>Commonwealth policy entity:</w:t>
            </w:r>
          </w:p>
        </w:tc>
        <w:tc>
          <w:tcPr>
            <w:tcW w:w="6404" w:type="dxa"/>
            <w:shd w:val="clear" w:color="auto" w:fill="auto"/>
          </w:tcPr>
          <w:p w14:paraId="2175B89D" w14:textId="77777777" w:rsidR="00794773" w:rsidRPr="00EA515D" w:rsidRDefault="00EA515D" w:rsidP="00694DF9">
            <w:pPr>
              <w:spacing w:line="240" w:lineRule="auto"/>
            </w:pPr>
            <w:r w:rsidRPr="00EA515D">
              <w:t xml:space="preserve">Department of Social Services </w:t>
            </w:r>
          </w:p>
        </w:tc>
      </w:tr>
      <w:tr w:rsidR="00EA515D" w:rsidRPr="00EA515D" w14:paraId="7B34B458" w14:textId="77777777" w:rsidTr="002C7BB1">
        <w:tc>
          <w:tcPr>
            <w:tcW w:w="2977" w:type="dxa"/>
          </w:tcPr>
          <w:p w14:paraId="506CC344" w14:textId="77777777" w:rsidR="00762587" w:rsidRPr="00EA515D" w:rsidRDefault="00762587" w:rsidP="00762587">
            <w:pPr>
              <w:spacing w:line="240" w:lineRule="auto"/>
              <w:jc w:val="both"/>
            </w:pPr>
            <w:r w:rsidRPr="00EA515D">
              <w:t>Enquiries:</w:t>
            </w:r>
          </w:p>
        </w:tc>
        <w:tc>
          <w:tcPr>
            <w:tcW w:w="6404" w:type="dxa"/>
            <w:shd w:val="clear" w:color="auto" w:fill="auto"/>
          </w:tcPr>
          <w:p w14:paraId="778BF0C0" w14:textId="77777777" w:rsidR="00762587" w:rsidRPr="00EA515D" w:rsidRDefault="00762587" w:rsidP="00762587">
            <w:pPr>
              <w:spacing w:line="240" w:lineRule="auto"/>
            </w:pPr>
            <w:r w:rsidRPr="00EA515D">
              <w:t>If you have any questions, please contact:</w:t>
            </w:r>
          </w:p>
          <w:p w14:paraId="4E9FE8EA" w14:textId="77777777" w:rsidR="00762587" w:rsidRPr="00EA515D" w:rsidRDefault="00762587" w:rsidP="00762587">
            <w:pPr>
              <w:spacing w:line="240" w:lineRule="auto"/>
            </w:pPr>
            <w:r w:rsidRPr="00EA515D">
              <w:t>Phone: 1800 020 283</w:t>
            </w:r>
          </w:p>
          <w:p w14:paraId="49504A09" w14:textId="77933CB9" w:rsidR="00762587" w:rsidRDefault="00762587" w:rsidP="00762587">
            <w:pPr>
              <w:spacing w:line="240" w:lineRule="auto"/>
            </w:pPr>
            <w:r w:rsidRPr="00EA515D">
              <w:t xml:space="preserve">Email: </w:t>
            </w:r>
            <w:hyperlink r:id="rId8" w:history="1">
              <w:r w:rsidR="007F6F2D" w:rsidRPr="000B20F4">
                <w:rPr>
                  <w:rStyle w:val="Hyperlink"/>
                  <w:rFonts w:cstheme="minorBidi"/>
                </w:rPr>
                <w:t>support@Communitygrants.gov.au</w:t>
              </w:r>
            </w:hyperlink>
          </w:p>
          <w:p w14:paraId="779DB364" w14:textId="3146C421" w:rsidR="007F6F2D" w:rsidRPr="001B4DE7" w:rsidRDefault="007F6F2D" w:rsidP="007F6F2D">
            <w:r w:rsidRPr="001B4DE7">
              <w:t xml:space="preserve">Questions must be sent no later than </w:t>
            </w:r>
            <w:r w:rsidR="00443AD8">
              <w:t>07</w:t>
            </w:r>
            <w:r>
              <w:t>/0</w:t>
            </w:r>
            <w:r w:rsidR="00443AD8">
              <w:t>2</w:t>
            </w:r>
            <w:r>
              <w:t>/2019</w:t>
            </w:r>
          </w:p>
          <w:p w14:paraId="67B739E3" w14:textId="2637E4C6" w:rsidR="007F6F2D" w:rsidRPr="00EA515D" w:rsidRDefault="007F6F2D" w:rsidP="00762587">
            <w:pPr>
              <w:spacing w:line="240" w:lineRule="auto"/>
            </w:pPr>
          </w:p>
        </w:tc>
      </w:tr>
      <w:tr w:rsidR="00EA515D" w:rsidRPr="00EA515D" w14:paraId="110C156B" w14:textId="77777777" w:rsidTr="002C7BB1">
        <w:tc>
          <w:tcPr>
            <w:tcW w:w="2977" w:type="dxa"/>
          </w:tcPr>
          <w:p w14:paraId="2FF78FFA" w14:textId="77777777" w:rsidR="00794773" w:rsidRPr="00EA515D" w:rsidRDefault="00794773" w:rsidP="00694DF9">
            <w:pPr>
              <w:spacing w:line="240" w:lineRule="auto"/>
              <w:jc w:val="both"/>
            </w:pPr>
            <w:r w:rsidRPr="00EA515D">
              <w:t>Date guidelines released:</w:t>
            </w:r>
          </w:p>
        </w:tc>
        <w:tc>
          <w:tcPr>
            <w:tcW w:w="6404" w:type="dxa"/>
            <w:shd w:val="clear" w:color="auto" w:fill="auto"/>
          </w:tcPr>
          <w:p w14:paraId="475B34F9" w14:textId="697B2B3B" w:rsidR="00794773" w:rsidRPr="00EA515D" w:rsidRDefault="00CD7D0E" w:rsidP="00694DF9">
            <w:pPr>
              <w:spacing w:line="240" w:lineRule="auto"/>
            </w:pPr>
            <w:r>
              <w:t>16</w:t>
            </w:r>
            <w:r w:rsidR="0013464E">
              <w:t>/11/2018</w:t>
            </w:r>
          </w:p>
        </w:tc>
      </w:tr>
      <w:tr w:rsidR="00EA515D" w:rsidRPr="00EA515D" w14:paraId="288AA659" w14:textId="77777777" w:rsidTr="002C7BB1">
        <w:tc>
          <w:tcPr>
            <w:tcW w:w="2977" w:type="dxa"/>
          </w:tcPr>
          <w:p w14:paraId="179E5F00" w14:textId="77777777" w:rsidR="00794773" w:rsidRPr="00EA515D" w:rsidRDefault="00505A6E" w:rsidP="00694DF9">
            <w:pPr>
              <w:spacing w:line="240" w:lineRule="auto"/>
              <w:jc w:val="both"/>
            </w:pPr>
            <w:r>
              <w:t>Type of Grant O</w:t>
            </w:r>
            <w:r w:rsidR="00794773" w:rsidRPr="00EA515D">
              <w:t>pportunity:</w:t>
            </w:r>
          </w:p>
        </w:tc>
        <w:tc>
          <w:tcPr>
            <w:tcW w:w="6404" w:type="dxa"/>
            <w:shd w:val="clear" w:color="auto" w:fill="auto"/>
          </w:tcPr>
          <w:p w14:paraId="31AF2E29" w14:textId="77777777" w:rsidR="00B6687E" w:rsidRPr="00EA515D" w:rsidRDefault="00794773" w:rsidP="00762587">
            <w:pPr>
              <w:spacing w:line="240" w:lineRule="auto"/>
            </w:pPr>
            <w:r w:rsidRPr="00EA515D">
              <w:t>Open competitive</w:t>
            </w:r>
          </w:p>
        </w:tc>
      </w:tr>
    </w:tbl>
    <w:p w14:paraId="6A1C7ACC" w14:textId="77777777" w:rsidR="00EA515D" w:rsidRPr="00EA515D" w:rsidRDefault="00EA515D">
      <w:r w:rsidRPr="00EA515D">
        <w:br w:type="page"/>
      </w:r>
    </w:p>
    <w:p w14:paraId="2527F956" w14:textId="77777777" w:rsidR="0020122A" w:rsidRDefault="0020122A" w:rsidP="0020122A">
      <w:pPr>
        <w:pStyle w:val="TOCHeading"/>
      </w:pPr>
      <w:r>
        <w:lastRenderedPageBreak/>
        <w:t>Contents</w:t>
      </w:r>
    </w:p>
    <w:p w14:paraId="2F7729E9" w14:textId="7C2B0A98" w:rsidR="006066F5" w:rsidRDefault="00ED30E7">
      <w:pPr>
        <w:pStyle w:val="TOC1"/>
        <w:rPr>
          <w:rFonts w:eastAsiaTheme="minorEastAsia"/>
          <w:b w:val="0"/>
          <w:noProof/>
          <w:sz w:val="22"/>
          <w:lang w:eastAsia="en-AU"/>
        </w:rPr>
      </w:pPr>
      <w:r>
        <w:rPr>
          <w:b w:val="0"/>
          <w:sz w:val="19"/>
        </w:rPr>
        <w:fldChar w:fldCharType="begin"/>
      </w:r>
      <w:r>
        <w:rPr>
          <w:b w:val="0"/>
          <w:sz w:val="19"/>
        </w:rPr>
        <w:instrText xml:space="preserve"> TOC \o "2-3" \h \z \t "Heading 1,1,Heading 1 Numbered,1" </w:instrText>
      </w:r>
      <w:r>
        <w:rPr>
          <w:b w:val="0"/>
          <w:sz w:val="19"/>
        </w:rPr>
        <w:fldChar w:fldCharType="separate"/>
      </w:r>
      <w:hyperlink w:anchor="_Toc530058172" w:history="1">
        <w:r w:rsidR="006066F5" w:rsidRPr="009F11B2">
          <w:rPr>
            <w:rStyle w:val="Hyperlink"/>
            <w:noProof/>
            <w14:scene3d>
              <w14:camera w14:prst="orthographicFront"/>
              <w14:lightRig w14:rig="threePt" w14:dir="t">
                <w14:rot w14:lat="0" w14:lon="0" w14:rev="0"/>
              </w14:lightRig>
            </w14:scene3d>
          </w:rPr>
          <w:t>1.</w:t>
        </w:r>
        <w:r w:rsidR="006066F5">
          <w:rPr>
            <w:rFonts w:eastAsiaTheme="minorEastAsia"/>
            <w:b w:val="0"/>
            <w:noProof/>
            <w:sz w:val="22"/>
            <w:lang w:eastAsia="en-AU"/>
          </w:rPr>
          <w:tab/>
        </w:r>
        <w:r w:rsidR="006066F5" w:rsidRPr="009F11B2">
          <w:rPr>
            <w:rStyle w:val="Hyperlink"/>
            <w:noProof/>
          </w:rPr>
          <w:t>Integrated Carer Support Service: Carer Gateway regional delivery partners (RDPs) Grant Opportunity Processes</w:t>
        </w:r>
        <w:r w:rsidR="006066F5">
          <w:rPr>
            <w:noProof/>
            <w:webHidden/>
          </w:rPr>
          <w:tab/>
        </w:r>
        <w:r w:rsidR="006066F5">
          <w:rPr>
            <w:noProof/>
            <w:webHidden/>
          </w:rPr>
          <w:fldChar w:fldCharType="begin"/>
        </w:r>
        <w:r w:rsidR="006066F5">
          <w:rPr>
            <w:noProof/>
            <w:webHidden/>
          </w:rPr>
          <w:instrText xml:space="preserve"> PAGEREF _Toc530058172 \h </w:instrText>
        </w:r>
        <w:r w:rsidR="006066F5">
          <w:rPr>
            <w:noProof/>
            <w:webHidden/>
          </w:rPr>
        </w:r>
        <w:r w:rsidR="006066F5">
          <w:rPr>
            <w:noProof/>
            <w:webHidden/>
          </w:rPr>
          <w:fldChar w:fldCharType="separate"/>
        </w:r>
        <w:r w:rsidR="00BA6C1E">
          <w:rPr>
            <w:noProof/>
            <w:webHidden/>
          </w:rPr>
          <w:t>4</w:t>
        </w:r>
        <w:r w:rsidR="006066F5">
          <w:rPr>
            <w:noProof/>
            <w:webHidden/>
          </w:rPr>
          <w:fldChar w:fldCharType="end"/>
        </w:r>
      </w:hyperlink>
    </w:p>
    <w:p w14:paraId="098FACC9" w14:textId="02AA90C7" w:rsidR="006066F5" w:rsidRDefault="00C370EA">
      <w:pPr>
        <w:pStyle w:val="TOC2"/>
        <w:rPr>
          <w:rFonts w:eastAsiaTheme="minorEastAsia"/>
          <w:noProof/>
          <w:lang w:eastAsia="en-AU"/>
        </w:rPr>
      </w:pPr>
      <w:hyperlink w:anchor="_Toc530058173" w:history="1">
        <w:r w:rsidR="006066F5" w:rsidRPr="009F11B2">
          <w:rPr>
            <w:rStyle w:val="Hyperlink"/>
            <w:noProof/>
            <w14:scene3d>
              <w14:camera w14:prst="orthographicFront"/>
              <w14:lightRig w14:rig="threePt" w14:dir="t">
                <w14:rot w14:lat="0" w14:lon="0" w14:rev="0"/>
              </w14:lightRig>
            </w14:scene3d>
          </w:rPr>
          <w:t>1.1</w:t>
        </w:r>
        <w:r w:rsidR="006066F5">
          <w:rPr>
            <w:rFonts w:eastAsiaTheme="minorEastAsia"/>
            <w:noProof/>
            <w:lang w:eastAsia="en-AU"/>
          </w:rPr>
          <w:tab/>
        </w:r>
        <w:r w:rsidR="006066F5" w:rsidRPr="009F11B2">
          <w:rPr>
            <w:rStyle w:val="Hyperlink"/>
            <w:noProof/>
          </w:rPr>
          <w:t>Role of the Community Grants Hub</w:t>
        </w:r>
        <w:r w:rsidR="006066F5">
          <w:rPr>
            <w:noProof/>
            <w:webHidden/>
          </w:rPr>
          <w:tab/>
        </w:r>
        <w:r w:rsidR="006066F5">
          <w:rPr>
            <w:noProof/>
            <w:webHidden/>
          </w:rPr>
          <w:fldChar w:fldCharType="begin"/>
        </w:r>
        <w:r w:rsidR="006066F5">
          <w:rPr>
            <w:noProof/>
            <w:webHidden/>
          </w:rPr>
          <w:instrText xml:space="preserve"> PAGEREF _Toc530058173 \h </w:instrText>
        </w:r>
        <w:r w:rsidR="006066F5">
          <w:rPr>
            <w:noProof/>
            <w:webHidden/>
          </w:rPr>
        </w:r>
        <w:r w:rsidR="006066F5">
          <w:rPr>
            <w:noProof/>
            <w:webHidden/>
          </w:rPr>
          <w:fldChar w:fldCharType="separate"/>
        </w:r>
        <w:r w:rsidR="00BA6C1E">
          <w:rPr>
            <w:noProof/>
            <w:webHidden/>
          </w:rPr>
          <w:t>5</w:t>
        </w:r>
        <w:r w:rsidR="006066F5">
          <w:rPr>
            <w:noProof/>
            <w:webHidden/>
          </w:rPr>
          <w:fldChar w:fldCharType="end"/>
        </w:r>
      </w:hyperlink>
    </w:p>
    <w:p w14:paraId="67E44607" w14:textId="3B0375DB" w:rsidR="006066F5" w:rsidRDefault="00C370EA">
      <w:pPr>
        <w:pStyle w:val="TOC2"/>
        <w:rPr>
          <w:rFonts w:eastAsiaTheme="minorEastAsia"/>
          <w:noProof/>
          <w:lang w:eastAsia="en-AU"/>
        </w:rPr>
      </w:pPr>
      <w:hyperlink w:anchor="_Toc530058174" w:history="1">
        <w:r w:rsidR="006066F5" w:rsidRPr="009F11B2">
          <w:rPr>
            <w:rStyle w:val="Hyperlink"/>
            <w:noProof/>
            <w14:scene3d>
              <w14:camera w14:prst="orthographicFront"/>
              <w14:lightRig w14:rig="threePt" w14:dir="t">
                <w14:rot w14:lat="0" w14:lon="0" w14:rev="0"/>
              </w14:lightRig>
            </w14:scene3d>
          </w:rPr>
          <w:t>1.2</w:t>
        </w:r>
        <w:r w:rsidR="006066F5">
          <w:rPr>
            <w:rFonts w:eastAsiaTheme="minorEastAsia"/>
            <w:noProof/>
            <w:lang w:eastAsia="en-AU"/>
          </w:rPr>
          <w:tab/>
        </w:r>
        <w:r w:rsidR="006066F5" w:rsidRPr="009F11B2">
          <w:rPr>
            <w:rStyle w:val="Hyperlink"/>
            <w:noProof/>
          </w:rPr>
          <w:t>About the grant program</w:t>
        </w:r>
        <w:r w:rsidR="006066F5">
          <w:rPr>
            <w:noProof/>
            <w:webHidden/>
          </w:rPr>
          <w:tab/>
        </w:r>
        <w:r w:rsidR="006066F5">
          <w:rPr>
            <w:noProof/>
            <w:webHidden/>
          </w:rPr>
          <w:fldChar w:fldCharType="begin"/>
        </w:r>
        <w:r w:rsidR="006066F5">
          <w:rPr>
            <w:noProof/>
            <w:webHidden/>
          </w:rPr>
          <w:instrText xml:space="preserve"> PAGEREF _Toc530058174 \h </w:instrText>
        </w:r>
        <w:r w:rsidR="006066F5">
          <w:rPr>
            <w:noProof/>
            <w:webHidden/>
          </w:rPr>
        </w:r>
        <w:r w:rsidR="006066F5">
          <w:rPr>
            <w:noProof/>
            <w:webHidden/>
          </w:rPr>
          <w:fldChar w:fldCharType="separate"/>
        </w:r>
        <w:r w:rsidR="00BA6C1E">
          <w:rPr>
            <w:noProof/>
            <w:webHidden/>
          </w:rPr>
          <w:t>5</w:t>
        </w:r>
        <w:r w:rsidR="006066F5">
          <w:rPr>
            <w:noProof/>
            <w:webHidden/>
          </w:rPr>
          <w:fldChar w:fldCharType="end"/>
        </w:r>
      </w:hyperlink>
    </w:p>
    <w:p w14:paraId="3B5F5E6C" w14:textId="71410A4F" w:rsidR="006066F5" w:rsidRDefault="00C370EA">
      <w:pPr>
        <w:pStyle w:val="TOC2"/>
        <w:rPr>
          <w:rFonts w:eastAsiaTheme="minorEastAsia"/>
          <w:noProof/>
          <w:lang w:eastAsia="en-AU"/>
        </w:rPr>
      </w:pPr>
      <w:hyperlink w:anchor="_Toc530058175" w:history="1">
        <w:r w:rsidR="006066F5" w:rsidRPr="009F11B2">
          <w:rPr>
            <w:rStyle w:val="Hyperlink"/>
            <w:noProof/>
            <w14:scene3d>
              <w14:camera w14:prst="orthographicFront"/>
              <w14:lightRig w14:rig="threePt" w14:dir="t">
                <w14:rot w14:lat="0" w14:lon="0" w14:rev="0"/>
              </w14:lightRig>
            </w14:scene3d>
          </w:rPr>
          <w:t>1.3</w:t>
        </w:r>
        <w:r w:rsidR="006066F5">
          <w:rPr>
            <w:rFonts w:eastAsiaTheme="minorEastAsia"/>
            <w:noProof/>
            <w:lang w:eastAsia="en-AU"/>
          </w:rPr>
          <w:tab/>
        </w:r>
        <w:r w:rsidR="006066F5" w:rsidRPr="009F11B2">
          <w:rPr>
            <w:rStyle w:val="Hyperlink"/>
            <w:noProof/>
          </w:rPr>
          <w:t>About the Grant Opportunity</w:t>
        </w:r>
        <w:r w:rsidR="006066F5">
          <w:rPr>
            <w:noProof/>
            <w:webHidden/>
          </w:rPr>
          <w:tab/>
        </w:r>
        <w:r w:rsidR="006066F5">
          <w:rPr>
            <w:noProof/>
            <w:webHidden/>
          </w:rPr>
          <w:fldChar w:fldCharType="begin"/>
        </w:r>
        <w:r w:rsidR="006066F5">
          <w:rPr>
            <w:noProof/>
            <w:webHidden/>
          </w:rPr>
          <w:instrText xml:space="preserve"> PAGEREF _Toc530058175 \h </w:instrText>
        </w:r>
        <w:r w:rsidR="006066F5">
          <w:rPr>
            <w:noProof/>
            <w:webHidden/>
          </w:rPr>
        </w:r>
        <w:r w:rsidR="006066F5">
          <w:rPr>
            <w:noProof/>
            <w:webHidden/>
          </w:rPr>
          <w:fldChar w:fldCharType="separate"/>
        </w:r>
        <w:r w:rsidR="00BA6C1E">
          <w:rPr>
            <w:noProof/>
            <w:webHidden/>
          </w:rPr>
          <w:t>6</w:t>
        </w:r>
        <w:r w:rsidR="006066F5">
          <w:rPr>
            <w:noProof/>
            <w:webHidden/>
          </w:rPr>
          <w:fldChar w:fldCharType="end"/>
        </w:r>
      </w:hyperlink>
    </w:p>
    <w:p w14:paraId="54B633F1" w14:textId="078EDD23" w:rsidR="006066F5" w:rsidRDefault="00C370EA">
      <w:pPr>
        <w:pStyle w:val="TOC2"/>
        <w:rPr>
          <w:rFonts w:eastAsiaTheme="minorEastAsia"/>
          <w:noProof/>
          <w:lang w:eastAsia="en-AU"/>
        </w:rPr>
      </w:pPr>
      <w:hyperlink w:anchor="_Toc530058176" w:history="1">
        <w:r w:rsidR="006066F5" w:rsidRPr="009F11B2">
          <w:rPr>
            <w:rStyle w:val="Hyperlink"/>
            <w:noProof/>
            <w14:scene3d>
              <w14:camera w14:prst="orthographicFront"/>
              <w14:lightRig w14:rig="threePt" w14:dir="t">
                <w14:rot w14:lat="0" w14:lon="0" w14:rev="0"/>
              </w14:lightRig>
            </w14:scene3d>
          </w:rPr>
          <w:t>1.4</w:t>
        </w:r>
        <w:r w:rsidR="006066F5">
          <w:rPr>
            <w:rFonts w:eastAsiaTheme="minorEastAsia"/>
            <w:noProof/>
            <w:lang w:eastAsia="en-AU"/>
          </w:rPr>
          <w:tab/>
        </w:r>
        <w:r w:rsidR="006066F5" w:rsidRPr="009F11B2">
          <w:rPr>
            <w:rStyle w:val="Hyperlink"/>
            <w:noProof/>
          </w:rPr>
          <w:t>Background to the Grant Opportunity</w:t>
        </w:r>
        <w:r w:rsidR="006066F5">
          <w:rPr>
            <w:noProof/>
            <w:webHidden/>
          </w:rPr>
          <w:tab/>
        </w:r>
        <w:r w:rsidR="006066F5">
          <w:rPr>
            <w:noProof/>
            <w:webHidden/>
          </w:rPr>
          <w:fldChar w:fldCharType="begin"/>
        </w:r>
        <w:r w:rsidR="006066F5">
          <w:rPr>
            <w:noProof/>
            <w:webHidden/>
          </w:rPr>
          <w:instrText xml:space="preserve"> PAGEREF _Toc530058176 \h </w:instrText>
        </w:r>
        <w:r w:rsidR="006066F5">
          <w:rPr>
            <w:noProof/>
            <w:webHidden/>
          </w:rPr>
        </w:r>
        <w:r w:rsidR="006066F5">
          <w:rPr>
            <w:noProof/>
            <w:webHidden/>
          </w:rPr>
          <w:fldChar w:fldCharType="separate"/>
        </w:r>
        <w:r w:rsidR="00BA6C1E">
          <w:rPr>
            <w:noProof/>
            <w:webHidden/>
          </w:rPr>
          <w:t>7</w:t>
        </w:r>
        <w:r w:rsidR="006066F5">
          <w:rPr>
            <w:noProof/>
            <w:webHidden/>
          </w:rPr>
          <w:fldChar w:fldCharType="end"/>
        </w:r>
      </w:hyperlink>
    </w:p>
    <w:p w14:paraId="6CF3952A" w14:textId="65DC7857" w:rsidR="006066F5" w:rsidRDefault="00C370EA">
      <w:pPr>
        <w:pStyle w:val="TOC2"/>
        <w:rPr>
          <w:rFonts w:eastAsiaTheme="minorEastAsia"/>
          <w:noProof/>
          <w:lang w:eastAsia="en-AU"/>
        </w:rPr>
      </w:pPr>
      <w:hyperlink w:anchor="_Toc530058177" w:history="1">
        <w:r w:rsidR="006066F5" w:rsidRPr="009F11B2">
          <w:rPr>
            <w:rStyle w:val="Hyperlink"/>
            <w:noProof/>
            <w14:scene3d>
              <w14:camera w14:prst="orthographicFront"/>
              <w14:lightRig w14:rig="threePt" w14:dir="t">
                <w14:rot w14:lat="0" w14:lon="0" w14:rev="0"/>
              </w14:lightRig>
            </w14:scene3d>
          </w:rPr>
          <w:t>1.5</w:t>
        </w:r>
        <w:r w:rsidR="006066F5">
          <w:rPr>
            <w:rFonts w:eastAsiaTheme="minorEastAsia"/>
            <w:noProof/>
            <w:lang w:eastAsia="en-AU"/>
          </w:rPr>
          <w:tab/>
        </w:r>
        <w:r w:rsidR="006066F5" w:rsidRPr="009F11B2">
          <w:rPr>
            <w:rStyle w:val="Hyperlink"/>
            <w:noProof/>
          </w:rPr>
          <w:t>Grant Opportunity outcomes</w:t>
        </w:r>
        <w:r w:rsidR="006066F5">
          <w:rPr>
            <w:noProof/>
            <w:webHidden/>
          </w:rPr>
          <w:tab/>
        </w:r>
        <w:r w:rsidR="006066F5">
          <w:rPr>
            <w:noProof/>
            <w:webHidden/>
          </w:rPr>
          <w:fldChar w:fldCharType="begin"/>
        </w:r>
        <w:r w:rsidR="006066F5">
          <w:rPr>
            <w:noProof/>
            <w:webHidden/>
          </w:rPr>
          <w:instrText xml:space="preserve"> PAGEREF _Toc530058177 \h </w:instrText>
        </w:r>
        <w:r w:rsidR="006066F5">
          <w:rPr>
            <w:noProof/>
            <w:webHidden/>
          </w:rPr>
        </w:r>
        <w:r w:rsidR="006066F5">
          <w:rPr>
            <w:noProof/>
            <w:webHidden/>
          </w:rPr>
          <w:fldChar w:fldCharType="separate"/>
        </w:r>
        <w:r w:rsidR="00BA6C1E">
          <w:rPr>
            <w:noProof/>
            <w:webHidden/>
          </w:rPr>
          <w:t>8</w:t>
        </w:r>
        <w:r w:rsidR="006066F5">
          <w:rPr>
            <w:noProof/>
            <w:webHidden/>
          </w:rPr>
          <w:fldChar w:fldCharType="end"/>
        </w:r>
      </w:hyperlink>
    </w:p>
    <w:p w14:paraId="57AE6CAF" w14:textId="16F9FBC3" w:rsidR="006066F5" w:rsidRDefault="00C370EA">
      <w:pPr>
        <w:pStyle w:val="TOC2"/>
        <w:rPr>
          <w:rFonts w:eastAsiaTheme="minorEastAsia"/>
          <w:noProof/>
          <w:lang w:eastAsia="en-AU"/>
        </w:rPr>
      </w:pPr>
      <w:hyperlink w:anchor="_Toc530058178" w:history="1">
        <w:r w:rsidR="006066F5" w:rsidRPr="009F11B2">
          <w:rPr>
            <w:rStyle w:val="Hyperlink"/>
            <w:noProof/>
            <w14:scene3d>
              <w14:camera w14:prst="orthographicFront"/>
              <w14:lightRig w14:rig="threePt" w14:dir="t">
                <w14:rot w14:lat="0" w14:lon="0" w14:rev="0"/>
              </w14:lightRig>
            </w14:scene3d>
          </w:rPr>
          <w:t>1.6</w:t>
        </w:r>
        <w:r w:rsidR="006066F5">
          <w:rPr>
            <w:rFonts w:eastAsiaTheme="minorEastAsia"/>
            <w:noProof/>
            <w:lang w:eastAsia="en-AU"/>
          </w:rPr>
          <w:tab/>
        </w:r>
        <w:r w:rsidR="006066F5" w:rsidRPr="009F11B2">
          <w:rPr>
            <w:rStyle w:val="Hyperlink"/>
            <w:noProof/>
          </w:rPr>
          <w:t>Service Area</w:t>
        </w:r>
        <w:r w:rsidR="006066F5">
          <w:rPr>
            <w:noProof/>
            <w:webHidden/>
          </w:rPr>
          <w:tab/>
        </w:r>
        <w:r w:rsidR="006066F5">
          <w:rPr>
            <w:noProof/>
            <w:webHidden/>
          </w:rPr>
          <w:fldChar w:fldCharType="begin"/>
        </w:r>
        <w:r w:rsidR="006066F5">
          <w:rPr>
            <w:noProof/>
            <w:webHidden/>
          </w:rPr>
          <w:instrText xml:space="preserve"> PAGEREF _Toc530058178 \h </w:instrText>
        </w:r>
        <w:r w:rsidR="006066F5">
          <w:rPr>
            <w:noProof/>
            <w:webHidden/>
          </w:rPr>
        </w:r>
        <w:r w:rsidR="006066F5">
          <w:rPr>
            <w:noProof/>
            <w:webHidden/>
          </w:rPr>
          <w:fldChar w:fldCharType="separate"/>
        </w:r>
        <w:r w:rsidR="00BA6C1E">
          <w:rPr>
            <w:noProof/>
            <w:webHidden/>
          </w:rPr>
          <w:t>8</w:t>
        </w:r>
        <w:r w:rsidR="006066F5">
          <w:rPr>
            <w:noProof/>
            <w:webHidden/>
          </w:rPr>
          <w:fldChar w:fldCharType="end"/>
        </w:r>
      </w:hyperlink>
    </w:p>
    <w:p w14:paraId="598C5C4D" w14:textId="130D0047" w:rsidR="006066F5" w:rsidRDefault="00C370EA">
      <w:pPr>
        <w:pStyle w:val="TOC1"/>
        <w:rPr>
          <w:rFonts w:eastAsiaTheme="minorEastAsia"/>
          <w:b w:val="0"/>
          <w:noProof/>
          <w:sz w:val="22"/>
          <w:lang w:eastAsia="en-AU"/>
        </w:rPr>
      </w:pPr>
      <w:hyperlink w:anchor="_Toc530058179" w:history="1">
        <w:r w:rsidR="006066F5" w:rsidRPr="009F11B2">
          <w:rPr>
            <w:rStyle w:val="Hyperlink"/>
            <w:noProof/>
            <w14:scene3d>
              <w14:camera w14:prst="orthographicFront"/>
              <w14:lightRig w14:rig="threePt" w14:dir="t">
                <w14:rot w14:lat="0" w14:lon="0" w14:rev="0"/>
              </w14:lightRig>
            </w14:scene3d>
          </w:rPr>
          <w:t>2.</w:t>
        </w:r>
        <w:r w:rsidR="006066F5">
          <w:rPr>
            <w:rFonts w:eastAsiaTheme="minorEastAsia"/>
            <w:b w:val="0"/>
            <w:noProof/>
            <w:sz w:val="22"/>
            <w:lang w:eastAsia="en-AU"/>
          </w:rPr>
          <w:tab/>
        </w:r>
        <w:r w:rsidR="006066F5" w:rsidRPr="009F11B2">
          <w:rPr>
            <w:rStyle w:val="Hyperlink"/>
            <w:noProof/>
          </w:rPr>
          <w:t>Grant Amount</w:t>
        </w:r>
        <w:r w:rsidR="006066F5">
          <w:rPr>
            <w:noProof/>
            <w:webHidden/>
          </w:rPr>
          <w:tab/>
        </w:r>
        <w:r w:rsidR="006066F5">
          <w:rPr>
            <w:noProof/>
            <w:webHidden/>
          </w:rPr>
          <w:fldChar w:fldCharType="begin"/>
        </w:r>
        <w:r w:rsidR="006066F5">
          <w:rPr>
            <w:noProof/>
            <w:webHidden/>
          </w:rPr>
          <w:instrText xml:space="preserve"> PAGEREF _Toc530058179 \h </w:instrText>
        </w:r>
        <w:r w:rsidR="006066F5">
          <w:rPr>
            <w:noProof/>
            <w:webHidden/>
          </w:rPr>
        </w:r>
        <w:r w:rsidR="006066F5">
          <w:rPr>
            <w:noProof/>
            <w:webHidden/>
          </w:rPr>
          <w:fldChar w:fldCharType="separate"/>
        </w:r>
        <w:r w:rsidR="00BA6C1E">
          <w:rPr>
            <w:noProof/>
            <w:webHidden/>
          </w:rPr>
          <w:t>9</w:t>
        </w:r>
        <w:r w:rsidR="006066F5">
          <w:rPr>
            <w:noProof/>
            <w:webHidden/>
          </w:rPr>
          <w:fldChar w:fldCharType="end"/>
        </w:r>
      </w:hyperlink>
    </w:p>
    <w:p w14:paraId="78BDD0EF" w14:textId="7906D458" w:rsidR="006066F5" w:rsidRDefault="00C370EA">
      <w:pPr>
        <w:pStyle w:val="TOC1"/>
        <w:rPr>
          <w:rFonts w:eastAsiaTheme="minorEastAsia"/>
          <w:b w:val="0"/>
          <w:noProof/>
          <w:sz w:val="22"/>
          <w:lang w:eastAsia="en-AU"/>
        </w:rPr>
      </w:pPr>
      <w:hyperlink w:anchor="_Toc530058180" w:history="1">
        <w:r w:rsidR="006066F5" w:rsidRPr="009F11B2">
          <w:rPr>
            <w:rStyle w:val="Hyperlink"/>
            <w:noProof/>
            <w14:scene3d>
              <w14:camera w14:prst="orthographicFront"/>
              <w14:lightRig w14:rig="threePt" w14:dir="t">
                <w14:rot w14:lat="0" w14:lon="0" w14:rev="0"/>
              </w14:lightRig>
            </w14:scene3d>
          </w:rPr>
          <w:t>3.</w:t>
        </w:r>
        <w:r w:rsidR="006066F5">
          <w:rPr>
            <w:rFonts w:eastAsiaTheme="minorEastAsia"/>
            <w:b w:val="0"/>
            <w:noProof/>
            <w:sz w:val="22"/>
            <w:lang w:eastAsia="en-AU"/>
          </w:rPr>
          <w:tab/>
        </w:r>
        <w:r w:rsidR="006066F5" w:rsidRPr="009F11B2">
          <w:rPr>
            <w:rStyle w:val="Hyperlink"/>
            <w:noProof/>
          </w:rPr>
          <w:t>Grant eligibility criteria</w:t>
        </w:r>
        <w:r w:rsidR="006066F5">
          <w:rPr>
            <w:noProof/>
            <w:webHidden/>
          </w:rPr>
          <w:tab/>
        </w:r>
        <w:r w:rsidR="006066F5">
          <w:rPr>
            <w:noProof/>
            <w:webHidden/>
          </w:rPr>
          <w:fldChar w:fldCharType="begin"/>
        </w:r>
        <w:r w:rsidR="006066F5">
          <w:rPr>
            <w:noProof/>
            <w:webHidden/>
          </w:rPr>
          <w:instrText xml:space="preserve"> PAGEREF _Toc530058180 \h </w:instrText>
        </w:r>
        <w:r w:rsidR="006066F5">
          <w:rPr>
            <w:noProof/>
            <w:webHidden/>
          </w:rPr>
        </w:r>
        <w:r w:rsidR="006066F5">
          <w:rPr>
            <w:noProof/>
            <w:webHidden/>
          </w:rPr>
          <w:fldChar w:fldCharType="separate"/>
        </w:r>
        <w:r w:rsidR="00BA6C1E">
          <w:rPr>
            <w:noProof/>
            <w:webHidden/>
          </w:rPr>
          <w:t>10</w:t>
        </w:r>
        <w:r w:rsidR="006066F5">
          <w:rPr>
            <w:noProof/>
            <w:webHidden/>
          </w:rPr>
          <w:fldChar w:fldCharType="end"/>
        </w:r>
      </w:hyperlink>
    </w:p>
    <w:p w14:paraId="25054E4C" w14:textId="14C80007" w:rsidR="006066F5" w:rsidRDefault="00C370EA">
      <w:pPr>
        <w:pStyle w:val="TOC2"/>
        <w:rPr>
          <w:rFonts w:eastAsiaTheme="minorEastAsia"/>
          <w:noProof/>
          <w:lang w:eastAsia="en-AU"/>
        </w:rPr>
      </w:pPr>
      <w:hyperlink w:anchor="_Toc530058181" w:history="1">
        <w:r w:rsidR="006066F5" w:rsidRPr="009F11B2">
          <w:rPr>
            <w:rStyle w:val="Hyperlink"/>
            <w:noProof/>
          </w:rPr>
          <w:t>3.1</w:t>
        </w:r>
        <w:r w:rsidR="006066F5">
          <w:rPr>
            <w:rFonts w:eastAsiaTheme="minorEastAsia"/>
            <w:noProof/>
            <w:lang w:eastAsia="en-AU"/>
          </w:rPr>
          <w:tab/>
        </w:r>
        <w:r w:rsidR="006066F5" w:rsidRPr="009F11B2">
          <w:rPr>
            <w:rStyle w:val="Hyperlink"/>
            <w:noProof/>
          </w:rPr>
          <w:t>Who is eligible to apply for a grant?</w:t>
        </w:r>
        <w:r w:rsidR="006066F5">
          <w:rPr>
            <w:noProof/>
            <w:webHidden/>
          </w:rPr>
          <w:tab/>
        </w:r>
        <w:r w:rsidR="006066F5">
          <w:rPr>
            <w:noProof/>
            <w:webHidden/>
          </w:rPr>
          <w:fldChar w:fldCharType="begin"/>
        </w:r>
        <w:r w:rsidR="006066F5">
          <w:rPr>
            <w:noProof/>
            <w:webHidden/>
          </w:rPr>
          <w:instrText xml:space="preserve"> PAGEREF _Toc530058181 \h </w:instrText>
        </w:r>
        <w:r w:rsidR="006066F5">
          <w:rPr>
            <w:noProof/>
            <w:webHidden/>
          </w:rPr>
        </w:r>
        <w:r w:rsidR="006066F5">
          <w:rPr>
            <w:noProof/>
            <w:webHidden/>
          </w:rPr>
          <w:fldChar w:fldCharType="separate"/>
        </w:r>
        <w:r w:rsidR="00BA6C1E">
          <w:rPr>
            <w:noProof/>
            <w:webHidden/>
          </w:rPr>
          <w:t>10</w:t>
        </w:r>
        <w:r w:rsidR="006066F5">
          <w:rPr>
            <w:noProof/>
            <w:webHidden/>
          </w:rPr>
          <w:fldChar w:fldCharType="end"/>
        </w:r>
      </w:hyperlink>
    </w:p>
    <w:p w14:paraId="57997B9F" w14:textId="71553FD7" w:rsidR="006066F5" w:rsidRDefault="00C370EA">
      <w:pPr>
        <w:pStyle w:val="TOC2"/>
        <w:rPr>
          <w:rFonts w:eastAsiaTheme="minorEastAsia"/>
          <w:noProof/>
          <w:lang w:eastAsia="en-AU"/>
        </w:rPr>
      </w:pPr>
      <w:hyperlink w:anchor="_Toc530058182" w:history="1">
        <w:r w:rsidR="006066F5" w:rsidRPr="009F11B2">
          <w:rPr>
            <w:rStyle w:val="Hyperlink"/>
            <w:noProof/>
          </w:rPr>
          <w:t>3.2</w:t>
        </w:r>
        <w:r w:rsidR="006066F5">
          <w:rPr>
            <w:rFonts w:eastAsiaTheme="minorEastAsia"/>
            <w:noProof/>
            <w:lang w:eastAsia="en-AU"/>
          </w:rPr>
          <w:tab/>
        </w:r>
        <w:r w:rsidR="006066F5" w:rsidRPr="009F11B2">
          <w:rPr>
            <w:rStyle w:val="Hyperlink"/>
            <w:noProof/>
          </w:rPr>
          <w:t>Who is not eligible to apply for a grant?</w:t>
        </w:r>
        <w:r w:rsidR="006066F5">
          <w:rPr>
            <w:noProof/>
            <w:webHidden/>
          </w:rPr>
          <w:tab/>
        </w:r>
        <w:r w:rsidR="006066F5">
          <w:rPr>
            <w:noProof/>
            <w:webHidden/>
          </w:rPr>
          <w:fldChar w:fldCharType="begin"/>
        </w:r>
        <w:r w:rsidR="006066F5">
          <w:rPr>
            <w:noProof/>
            <w:webHidden/>
          </w:rPr>
          <w:instrText xml:space="preserve"> PAGEREF _Toc530058182 \h </w:instrText>
        </w:r>
        <w:r w:rsidR="006066F5">
          <w:rPr>
            <w:noProof/>
            <w:webHidden/>
          </w:rPr>
        </w:r>
        <w:r w:rsidR="006066F5">
          <w:rPr>
            <w:noProof/>
            <w:webHidden/>
          </w:rPr>
          <w:fldChar w:fldCharType="separate"/>
        </w:r>
        <w:r w:rsidR="00BA6C1E">
          <w:rPr>
            <w:noProof/>
            <w:webHidden/>
          </w:rPr>
          <w:t>11</w:t>
        </w:r>
        <w:r w:rsidR="006066F5">
          <w:rPr>
            <w:noProof/>
            <w:webHidden/>
          </w:rPr>
          <w:fldChar w:fldCharType="end"/>
        </w:r>
      </w:hyperlink>
    </w:p>
    <w:p w14:paraId="36285D93" w14:textId="1CC61D58" w:rsidR="006066F5" w:rsidRDefault="00C370EA">
      <w:pPr>
        <w:pStyle w:val="TOC1"/>
        <w:rPr>
          <w:rFonts w:eastAsiaTheme="minorEastAsia"/>
          <w:b w:val="0"/>
          <w:noProof/>
          <w:sz w:val="22"/>
          <w:lang w:eastAsia="en-AU"/>
        </w:rPr>
      </w:pPr>
      <w:hyperlink w:anchor="_Toc530058183" w:history="1">
        <w:r w:rsidR="006066F5" w:rsidRPr="009F11B2">
          <w:rPr>
            <w:rStyle w:val="Hyperlink"/>
            <w:noProof/>
            <w14:scene3d>
              <w14:camera w14:prst="orthographicFront"/>
              <w14:lightRig w14:rig="threePt" w14:dir="t">
                <w14:rot w14:lat="0" w14:lon="0" w14:rev="0"/>
              </w14:lightRig>
            </w14:scene3d>
          </w:rPr>
          <w:t>4.</w:t>
        </w:r>
        <w:r w:rsidR="006066F5">
          <w:rPr>
            <w:rFonts w:eastAsiaTheme="minorEastAsia"/>
            <w:b w:val="0"/>
            <w:noProof/>
            <w:sz w:val="22"/>
            <w:lang w:eastAsia="en-AU"/>
          </w:rPr>
          <w:tab/>
        </w:r>
        <w:r w:rsidR="006066F5" w:rsidRPr="009F11B2">
          <w:rPr>
            <w:rStyle w:val="Hyperlink"/>
            <w:noProof/>
          </w:rPr>
          <w:t>Eligible grant activities</w:t>
        </w:r>
        <w:r w:rsidR="006066F5">
          <w:rPr>
            <w:noProof/>
            <w:webHidden/>
          </w:rPr>
          <w:tab/>
        </w:r>
        <w:r w:rsidR="006066F5">
          <w:rPr>
            <w:noProof/>
            <w:webHidden/>
          </w:rPr>
          <w:fldChar w:fldCharType="begin"/>
        </w:r>
        <w:r w:rsidR="006066F5">
          <w:rPr>
            <w:noProof/>
            <w:webHidden/>
          </w:rPr>
          <w:instrText xml:space="preserve"> PAGEREF _Toc530058183 \h </w:instrText>
        </w:r>
        <w:r w:rsidR="006066F5">
          <w:rPr>
            <w:noProof/>
            <w:webHidden/>
          </w:rPr>
        </w:r>
        <w:r w:rsidR="006066F5">
          <w:rPr>
            <w:noProof/>
            <w:webHidden/>
          </w:rPr>
          <w:fldChar w:fldCharType="separate"/>
        </w:r>
        <w:r w:rsidR="00BA6C1E">
          <w:rPr>
            <w:noProof/>
            <w:webHidden/>
          </w:rPr>
          <w:t>11</w:t>
        </w:r>
        <w:r w:rsidR="006066F5">
          <w:rPr>
            <w:noProof/>
            <w:webHidden/>
          </w:rPr>
          <w:fldChar w:fldCharType="end"/>
        </w:r>
      </w:hyperlink>
    </w:p>
    <w:p w14:paraId="459AAFF0" w14:textId="4A4116AC" w:rsidR="006066F5" w:rsidRDefault="00C370EA">
      <w:pPr>
        <w:pStyle w:val="TOC2"/>
        <w:rPr>
          <w:rFonts w:eastAsiaTheme="minorEastAsia"/>
          <w:noProof/>
          <w:lang w:eastAsia="en-AU"/>
        </w:rPr>
      </w:pPr>
      <w:hyperlink w:anchor="_Toc530058184" w:history="1">
        <w:r w:rsidR="006066F5" w:rsidRPr="009F11B2">
          <w:rPr>
            <w:rStyle w:val="Hyperlink"/>
            <w:noProof/>
            <w14:scene3d>
              <w14:camera w14:prst="orthographicFront"/>
              <w14:lightRig w14:rig="threePt" w14:dir="t">
                <w14:rot w14:lat="0" w14:lon="0" w14:rev="0"/>
              </w14:lightRig>
            </w14:scene3d>
          </w:rPr>
          <w:t>4.1</w:t>
        </w:r>
        <w:r w:rsidR="006066F5">
          <w:rPr>
            <w:rFonts w:eastAsiaTheme="minorEastAsia"/>
            <w:noProof/>
            <w:lang w:eastAsia="en-AU"/>
          </w:rPr>
          <w:tab/>
        </w:r>
        <w:r w:rsidR="006066F5" w:rsidRPr="009F11B2">
          <w:rPr>
            <w:rStyle w:val="Hyperlink"/>
            <w:noProof/>
          </w:rPr>
          <w:t>What can the grant money be used for?</w:t>
        </w:r>
        <w:r w:rsidR="006066F5">
          <w:rPr>
            <w:noProof/>
            <w:webHidden/>
          </w:rPr>
          <w:tab/>
        </w:r>
        <w:r w:rsidR="006066F5">
          <w:rPr>
            <w:noProof/>
            <w:webHidden/>
          </w:rPr>
          <w:fldChar w:fldCharType="begin"/>
        </w:r>
        <w:r w:rsidR="006066F5">
          <w:rPr>
            <w:noProof/>
            <w:webHidden/>
          </w:rPr>
          <w:instrText xml:space="preserve"> PAGEREF _Toc530058184 \h </w:instrText>
        </w:r>
        <w:r w:rsidR="006066F5">
          <w:rPr>
            <w:noProof/>
            <w:webHidden/>
          </w:rPr>
        </w:r>
        <w:r w:rsidR="006066F5">
          <w:rPr>
            <w:noProof/>
            <w:webHidden/>
          </w:rPr>
          <w:fldChar w:fldCharType="separate"/>
        </w:r>
        <w:r w:rsidR="00BA6C1E">
          <w:rPr>
            <w:noProof/>
            <w:webHidden/>
          </w:rPr>
          <w:t>11</w:t>
        </w:r>
        <w:r w:rsidR="006066F5">
          <w:rPr>
            <w:noProof/>
            <w:webHidden/>
          </w:rPr>
          <w:fldChar w:fldCharType="end"/>
        </w:r>
      </w:hyperlink>
    </w:p>
    <w:p w14:paraId="5A5C545D" w14:textId="76623D08" w:rsidR="006066F5" w:rsidRDefault="00C370EA">
      <w:pPr>
        <w:pStyle w:val="TOC2"/>
        <w:rPr>
          <w:rFonts w:eastAsiaTheme="minorEastAsia"/>
          <w:noProof/>
          <w:lang w:eastAsia="en-AU"/>
        </w:rPr>
      </w:pPr>
      <w:hyperlink w:anchor="_Toc530058185" w:history="1">
        <w:r w:rsidR="006066F5" w:rsidRPr="009F11B2">
          <w:rPr>
            <w:rStyle w:val="Hyperlink"/>
            <w:noProof/>
            <w14:scene3d>
              <w14:camera w14:prst="orthographicFront"/>
              <w14:lightRig w14:rig="threePt" w14:dir="t">
                <w14:rot w14:lat="0" w14:lon="0" w14:rev="0"/>
              </w14:lightRig>
            </w14:scene3d>
          </w:rPr>
          <w:t>4.2</w:t>
        </w:r>
        <w:r w:rsidR="006066F5">
          <w:rPr>
            <w:rFonts w:eastAsiaTheme="minorEastAsia"/>
            <w:noProof/>
            <w:lang w:eastAsia="en-AU"/>
          </w:rPr>
          <w:tab/>
        </w:r>
        <w:r w:rsidR="006066F5" w:rsidRPr="009F11B2">
          <w:rPr>
            <w:rStyle w:val="Hyperlink"/>
            <w:noProof/>
          </w:rPr>
          <w:t>What the grant money cannot be used for</w:t>
        </w:r>
        <w:r w:rsidR="006066F5">
          <w:rPr>
            <w:noProof/>
            <w:webHidden/>
          </w:rPr>
          <w:tab/>
        </w:r>
        <w:r w:rsidR="006066F5">
          <w:rPr>
            <w:noProof/>
            <w:webHidden/>
          </w:rPr>
          <w:fldChar w:fldCharType="begin"/>
        </w:r>
        <w:r w:rsidR="006066F5">
          <w:rPr>
            <w:noProof/>
            <w:webHidden/>
          </w:rPr>
          <w:instrText xml:space="preserve"> PAGEREF _Toc530058185 \h </w:instrText>
        </w:r>
        <w:r w:rsidR="006066F5">
          <w:rPr>
            <w:noProof/>
            <w:webHidden/>
          </w:rPr>
        </w:r>
        <w:r w:rsidR="006066F5">
          <w:rPr>
            <w:noProof/>
            <w:webHidden/>
          </w:rPr>
          <w:fldChar w:fldCharType="separate"/>
        </w:r>
        <w:r w:rsidR="00BA6C1E">
          <w:rPr>
            <w:noProof/>
            <w:webHidden/>
          </w:rPr>
          <w:t>13</w:t>
        </w:r>
        <w:r w:rsidR="006066F5">
          <w:rPr>
            <w:noProof/>
            <w:webHidden/>
          </w:rPr>
          <w:fldChar w:fldCharType="end"/>
        </w:r>
      </w:hyperlink>
    </w:p>
    <w:p w14:paraId="231D6D3F" w14:textId="05B1CA0C" w:rsidR="006066F5" w:rsidRDefault="00C370EA">
      <w:pPr>
        <w:pStyle w:val="TOC1"/>
        <w:rPr>
          <w:rFonts w:eastAsiaTheme="minorEastAsia"/>
          <w:b w:val="0"/>
          <w:noProof/>
          <w:sz w:val="22"/>
          <w:lang w:eastAsia="en-AU"/>
        </w:rPr>
      </w:pPr>
      <w:hyperlink w:anchor="_Toc530058186" w:history="1">
        <w:r w:rsidR="006066F5" w:rsidRPr="009F11B2">
          <w:rPr>
            <w:rStyle w:val="Hyperlink"/>
            <w:noProof/>
            <w14:scene3d>
              <w14:camera w14:prst="orthographicFront"/>
              <w14:lightRig w14:rig="threePt" w14:dir="t">
                <w14:rot w14:lat="0" w14:lon="0" w14:rev="0"/>
              </w14:lightRig>
            </w14:scene3d>
          </w:rPr>
          <w:t>5.</w:t>
        </w:r>
        <w:r w:rsidR="006066F5">
          <w:rPr>
            <w:rFonts w:eastAsiaTheme="minorEastAsia"/>
            <w:b w:val="0"/>
            <w:noProof/>
            <w:sz w:val="22"/>
            <w:lang w:eastAsia="en-AU"/>
          </w:rPr>
          <w:tab/>
        </w:r>
        <w:r w:rsidR="006066F5" w:rsidRPr="009F11B2">
          <w:rPr>
            <w:rStyle w:val="Hyperlink"/>
            <w:noProof/>
          </w:rPr>
          <w:t>The grant selection process</w:t>
        </w:r>
        <w:r w:rsidR="006066F5">
          <w:rPr>
            <w:noProof/>
            <w:webHidden/>
          </w:rPr>
          <w:tab/>
        </w:r>
        <w:r w:rsidR="006066F5">
          <w:rPr>
            <w:noProof/>
            <w:webHidden/>
          </w:rPr>
          <w:fldChar w:fldCharType="begin"/>
        </w:r>
        <w:r w:rsidR="006066F5">
          <w:rPr>
            <w:noProof/>
            <w:webHidden/>
          </w:rPr>
          <w:instrText xml:space="preserve"> PAGEREF _Toc530058186 \h </w:instrText>
        </w:r>
        <w:r w:rsidR="006066F5">
          <w:rPr>
            <w:noProof/>
            <w:webHidden/>
          </w:rPr>
        </w:r>
        <w:r w:rsidR="006066F5">
          <w:rPr>
            <w:noProof/>
            <w:webHidden/>
          </w:rPr>
          <w:fldChar w:fldCharType="separate"/>
        </w:r>
        <w:r w:rsidR="00BA6C1E">
          <w:rPr>
            <w:noProof/>
            <w:webHidden/>
          </w:rPr>
          <w:t>13</w:t>
        </w:r>
        <w:r w:rsidR="006066F5">
          <w:rPr>
            <w:noProof/>
            <w:webHidden/>
          </w:rPr>
          <w:fldChar w:fldCharType="end"/>
        </w:r>
      </w:hyperlink>
    </w:p>
    <w:p w14:paraId="3AF4CE39" w14:textId="06440915" w:rsidR="006066F5" w:rsidRDefault="00C370EA">
      <w:pPr>
        <w:pStyle w:val="TOC1"/>
        <w:rPr>
          <w:rFonts w:eastAsiaTheme="minorEastAsia"/>
          <w:b w:val="0"/>
          <w:noProof/>
          <w:sz w:val="22"/>
          <w:lang w:eastAsia="en-AU"/>
        </w:rPr>
      </w:pPr>
      <w:hyperlink w:anchor="_Toc530058187" w:history="1">
        <w:r w:rsidR="006066F5" w:rsidRPr="009F11B2">
          <w:rPr>
            <w:rStyle w:val="Hyperlink"/>
            <w:noProof/>
            <w14:scene3d>
              <w14:camera w14:prst="orthographicFront"/>
              <w14:lightRig w14:rig="threePt" w14:dir="t">
                <w14:rot w14:lat="0" w14:lon="0" w14:rev="0"/>
              </w14:lightRig>
            </w14:scene3d>
          </w:rPr>
          <w:t>6.</w:t>
        </w:r>
        <w:r w:rsidR="006066F5">
          <w:rPr>
            <w:rFonts w:eastAsiaTheme="minorEastAsia"/>
            <w:b w:val="0"/>
            <w:noProof/>
            <w:sz w:val="22"/>
            <w:lang w:eastAsia="en-AU"/>
          </w:rPr>
          <w:tab/>
        </w:r>
        <w:r w:rsidR="006066F5" w:rsidRPr="009F11B2">
          <w:rPr>
            <w:rStyle w:val="Hyperlink"/>
            <w:noProof/>
          </w:rPr>
          <w:t>The assessment criteria</w:t>
        </w:r>
        <w:r w:rsidR="006066F5">
          <w:rPr>
            <w:noProof/>
            <w:webHidden/>
          </w:rPr>
          <w:tab/>
        </w:r>
        <w:r w:rsidR="006066F5">
          <w:rPr>
            <w:noProof/>
            <w:webHidden/>
          </w:rPr>
          <w:fldChar w:fldCharType="begin"/>
        </w:r>
        <w:r w:rsidR="006066F5">
          <w:rPr>
            <w:noProof/>
            <w:webHidden/>
          </w:rPr>
          <w:instrText xml:space="preserve"> PAGEREF _Toc530058187 \h </w:instrText>
        </w:r>
        <w:r w:rsidR="006066F5">
          <w:rPr>
            <w:noProof/>
            <w:webHidden/>
          </w:rPr>
        </w:r>
        <w:r w:rsidR="006066F5">
          <w:rPr>
            <w:noProof/>
            <w:webHidden/>
          </w:rPr>
          <w:fldChar w:fldCharType="separate"/>
        </w:r>
        <w:r w:rsidR="00BA6C1E">
          <w:rPr>
            <w:noProof/>
            <w:webHidden/>
          </w:rPr>
          <w:t>14</w:t>
        </w:r>
        <w:r w:rsidR="006066F5">
          <w:rPr>
            <w:noProof/>
            <w:webHidden/>
          </w:rPr>
          <w:fldChar w:fldCharType="end"/>
        </w:r>
      </w:hyperlink>
    </w:p>
    <w:p w14:paraId="5C982D5B" w14:textId="2829D732" w:rsidR="006066F5" w:rsidRDefault="00C370EA">
      <w:pPr>
        <w:pStyle w:val="TOC1"/>
        <w:rPr>
          <w:rFonts w:eastAsiaTheme="minorEastAsia"/>
          <w:b w:val="0"/>
          <w:noProof/>
          <w:sz w:val="22"/>
          <w:lang w:eastAsia="en-AU"/>
        </w:rPr>
      </w:pPr>
      <w:hyperlink w:anchor="_Toc530058188" w:history="1">
        <w:r w:rsidR="006066F5" w:rsidRPr="009F11B2">
          <w:rPr>
            <w:rStyle w:val="Hyperlink"/>
            <w:noProof/>
            <w14:scene3d>
              <w14:camera w14:prst="orthographicFront"/>
              <w14:lightRig w14:rig="threePt" w14:dir="t">
                <w14:rot w14:lat="0" w14:lon="0" w14:rev="0"/>
              </w14:lightRig>
            </w14:scene3d>
          </w:rPr>
          <w:t>7.</w:t>
        </w:r>
        <w:r w:rsidR="006066F5">
          <w:rPr>
            <w:rFonts w:eastAsiaTheme="minorEastAsia"/>
            <w:b w:val="0"/>
            <w:noProof/>
            <w:sz w:val="22"/>
            <w:lang w:eastAsia="en-AU"/>
          </w:rPr>
          <w:tab/>
        </w:r>
        <w:r w:rsidR="006066F5" w:rsidRPr="009F11B2">
          <w:rPr>
            <w:rStyle w:val="Hyperlink"/>
            <w:noProof/>
          </w:rPr>
          <w:t>The grant application process</w:t>
        </w:r>
        <w:r w:rsidR="006066F5">
          <w:rPr>
            <w:noProof/>
            <w:webHidden/>
          </w:rPr>
          <w:tab/>
        </w:r>
        <w:r w:rsidR="006066F5">
          <w:rPr>
            <w:noProof/>
            <w:webHidden/>
          </w:rPr>
          <w:fldChar w:fldCharType="begin"/>
        </w:r>
        <w:r w:rsidR="006066F5">
          <w:rPr>
            <w:noProof/>
            <w:webHidden/>
          </w:rPr>
          <w:instrText xml:space="preserve"> PAGEREF _Toc530058188 \h </w:instrText>
        </w:r>
        <w:r w:rsidR="006066F5">
          <w:rPr>
            <w:noProof/>
            <w:webHidden/>
          </w:rPr>
        </w:r>
        <w:r w:rsidR="006066F5">
          <w:rPr>
            <w:noProof/>
            <w:webHidden/>
          </w:rPr>
          <w:fldChar w:fldCharType="separate"/>
        </w:r>
        <w:r w:rsidR="00BA6C1E">
          <w:rPr>
            <w:noProof/>
            <w:webHidden/>
          </w:rPr>
          <w:t>15</w:t>
        </w:r>
        <w:r w:rsidR="006066F5">
          <w:rPr>
            <w:noProof/>
            <w:webHidden/>
          </w:rPr>
          <w:fldChar w:fldCharType="end"/>
        </w:r>
      </w:hyperlink>
    </w:p>
    <w:p w14:paraId="5510F54B" w14:textId="4AD98D43" w:rsidR="006066F5" w:rsidRDefault="00C370EA">
      <w:pPr>
        <w:pStyle w:val="TOC2"/>
        <w:rPr>
          <w:rFonts w:eastAsiaTheme="minorEastAsia"/>
          <w:noProof/>
          <w:lang w:eastAsia="en-AU"/>
        </w:rPr>
      </w:pPr>
      <w:hyperlink w:anchor="_Toc530058189" w:history="1">
        <w:r w:rsidR="006066F5" w:rsidRPr="009F11B2">
          <w:rPr>
            <w:rStyle w:val="Hyperlink"/>
            <w:noProof/>
            <w14:scene3d>
              <w14:camera w14:prst="orthographicFront"/>
              <w14:lightRig w14:rig="threePt" w14:dir="t">
                <w14:rot w14:lat="0" w14:lon="0" w14:rev="0"/>
              </w14:lightRig>
            </w14:scene3d>
          </w:rPr>
          <w:t>7.1</w:t>
        </w:r>
        <w:r w:rsidR="006066F5">
          <w:rPr>
            <w:rFonts w:eastAsiaTheme="minorEastAsia"/>
            <w:noProof/>
            <w:lang w:eastAsia="en-AU"/>
          </w:rPr>
          <w:tab/>
        </w:r>
        <w:r w:rsidR="006066F5" w:rsidRPr="009F11B2">
          <w:rPr>
            <w:rStyle w:val="Hyperlink"/>
            <w:noProof/>
          </w:rPr>
          <w:t>Overview of application process</w:t>
        </w:r>
        <w:r w:rsidR="006066F5">
          <w:rPr>
            <w:noProof/>
            <w:webHidden/>
          </w:rPr>
          <w:tab/>
        </w:r>
        <w:r w:rsidR="006066F5">
          <w:rPr>
            <w:noProof/>
            <w:webHidden/>
          </w:rPr>
          <w:fldChar w:fldCharType="begin"/>
        </w:r>
        <w:r w:rsidR="006066F5">
          <w:rPr>
            <w:noProof/>
            <w:webHidden/>
          </w:rPr>
          <w:instrText xml:space="preserve"> PAGEREF _Toc530058189 \h </w:instrText>
        </w:r>
        <w:r w:rsidR="006066F5">
          <w:rPr>
            <w:noProof/>
            <w:webHidden/>
          </w:rPr>
        </w:r>
        <w:r w:rsidR="006066F5">
          <w:rPr>
            <w:noProof/>
            <w:webHidden/>
          </w:rPr>
          <w:fldChar w:fldCharType="separate"/>
        </w:r>
        <w:r w:rsidR="00BA6C1E">
          <w:rPr>
            <w:noProof/>
            <w:webHidden/>
          </w:rPr>
          <w:t>15</w:t>
        </w:r>
        <w:r w:rsidR="006066F5">
          <w:rPr>
            <w:noProof/>
            <w:webHidden/>
          </w:rPr>
          <w:fldChar w:fldCharType="end"/>
        </w:r>
      </w:hyperlink>
    </w:p>
    <w:p w14:paraId="069F140B" w14:textId="6C05CC50" w:rsidR="006066F5" w:rsidRDefault="00C370EA">
      <w:pPr>
        <w:pStyle w:val="TOC2"/>
        <w:rPr>
          <w:rFonts w:eastAsiaTheme="minorEastAsia"/>
          <w:noProof/>
          <w:lang w:eastAsia="en-AU"/>
        </w:rPr>
      </w:pPr>
      <w:hyperlink w:anchor="_Toc530058190" w:history="1">
        <w:r w:rsidR="006066F5" w:rsidRPr="009F11B2">
          <w:rPr>
            <w:rStyle w:val="Hyperlink"/>
            <w:noProof/>
            <w14:scene3d>
              <w14:camera w14:prst="orthographicFront"/>
              <w14:lightRig w14:rig="threePt" w14:dir="t">
                <w14:rot w14:lat="0" w14:lon="0" w14:rev="0"/>
              </w14:lightRig>
            </w14:scene3d>
          </w:rPr>
          <w:t>7.2</w:t>
        </w:r>
        <w:r w:rsidR="006066F5">
          <w:rPr>
            <w:rFonts w:eastAsiaTheme="minorEastAsia"/>
            <w:noProof/>
            <w:lang w:eastAsia="en-AU"/>
          </w:rPr>
          <w:tab/>
        </w:r>
        <w:r w:rsidR="006066F5" w:rsidRPr="009F11B2">
          <w:rPr>
            <w:rStyle w:val="Hyperlink"/>
            <w:noProof/>
          </w:rPr>
          <w:t>Application process timing</w:t>
        </w:r>
        <w:r w:rsidR="006066F5">
          <w:rPr>
            <w:noProof/>
            <w:webHidden/>
          </w:rPr>
          <w:tab/>
        </w:r>
        <w:r w:rsidR="006066F5">
          <w:rPr>
            <w:noProof/>
            <w:webHidden/>
          </w:rPr>
          <w:fldChar w:fldCharType="begin"/>
        </w:r>
        <w:r w:rsidR="006066F5">
          <w:rPr>
            <w:noProof/>
            <w:webHidden/>
          </w:rPr>
          <w:instrText xml:space="preserve"> PAGEREF _Toc530058190 \h </w:instrText>
        </w:r>
        <w:r w:rsidR="006066F5">
          <w:rPr>
            <w:noProof/>
            <w:webHidden/>
          </w:rPr>
        </w:r>
        <w:r w:rsidR="006066F5">
          <w:rPr>
            <w:noProof/>
            <w:webHidden/>
          </w:rPr>
          <w:fldChar w:fldCharType="separate"/>
        </w:r>
        <w:r w:rsidR="00BA6C1E">
          <w:rPr>
            <w:noProof/>
            <w:webHidden/>
          </w:rPr>
          <w:t>15</w:t>
        </w:r>
        <w:r w:rsidR="006066F5">
          <w:rPr>
            <w:noProof/>
            <w:webHidden/>
          </w:rPr>
          <w:fldChar w:fldCharType="end"/>
        </w:r>
      </w:hyperlink>
    </w:p>
    <w:p w14:paraId="1FD09CA6" w14:textId="7355694B" w:rsidR="006066F5" w:rsidRDefault="00C370EA">
      <w:pPr>
        <w:pStyle w:val="TOC2"/>
        <w:rPr>
          <w:rFonts w:eastAsiaTheme="minorEastAsia"/>
          <w:noProof/>
          <w:lang w:eastAsia="en-AU"/>
        </w:rPr>
      </w:pPr>
      <w:hyperlink w:anchor="_Toc530058191" w:history="1">
        <w:r w:rsidR="006066F5" w:rsidRPr="009F11B2">
          <w:rPr>
            <w:rStyle w:val="Hyperlink"/>
            <w:noProof/>
            <w14:scene3d>
              <w14:camera w14:prst="orthographicFront"/>
              <w14:lightRig w14:rig="threePt" w14:dir="t">
                <w14:rot w14:lat="0" w14:lon="0" w14:rev="0"/>
              </w14:lightRig>
            </w14:scene3d>
          </w:rPr>
          <w:t>7.3</w:t>
        </w:r>
        <w:r w:rsidR="006066F5">
          <w:rPr>
            <w:rFonts w:eastAsiaTheme="minorEastAsia"/>
            <w:noProof/>
            <w:lang w:eastAsia="en-AU"/>
          </w:rPr>
          <w:tab/>
        </w:r>
        <w:r w:rsidR="006066F5" w:rsidRPr="009F11B2">
          <w:rPr>
            <w:rStyle w:val="Hyperlink"/>
            <w:noProof/>
          </w:rPr>
          <w:t>Completing the grant application</w:t>
        </w:r>
        <w:r w:rsidR="006066F5">
          <w:rPr>
            <w:noProof/>
            <w:webHidden/>
          </w:rPr>
          <w:tab/>
        </w:r>
        <w:r w:rsidR="006066F5">
          <w:rPr>
            <w:noProof/>
            <w:webHidden/>
          </w:rPr>
          <w:fldChar w:fldCharType="begin"/>
        </w:r>
        <w:r w:rsidR="006066F5">
          <w:rPr>
            <w:noProof/>
            <w:webHidden/>
          </w:rPr>
          <w:instrText xml:space="preserve"> PAGEREF _Toc530058191 \h </w:instrText>
        </w:r>
        <w:r w:rsidR="006066F5">
          <w:rPr>
            <w:noProof/>
            <w:webHidden/>
          </w:rPr>
        </w:r>
        <w:r w:rsidR="006066F5">
          <w:rPr>
            <w:noProof/>
            <w:webHidden/>
          </w:rPr>
          <w:fldChar w:fldCharType="separate"/>
        </w:r>
        <w:r w:rsidR="00BA6C1E">
          <w:rPr>
            <w:noProof/>
            <w:webHidden/>
          </w:rPr>
          <w:t>17</w:t>
        </w:r>
        <w:r w:rsidR="006066F5">
          <w:rPr>
            <w:noProof/>
            <w:webHidden/>
          </w:rPr>
          <w:fldChar w:fldCharType="end"/>
        </w:r>
      </w:hyperlink>
    </w:p>
    <w:p w14:paraId="21165E0E" w14:textId="7F8607D5" w:rsidR="006066F5" w:rsidRDefault="00C370EA">
      <w:pPr>
        <w:pStyle w:val="TOC2"/>
        <w:rPr>
          <w:rFonts w:eastAsiaTheme="minorEastAsia"/>
          <w:noProof/>
          <w:lang w:eastAsia="en-AU"/>
        </w:rPr>
      </w:pPr>
      <w:hyperlink w:anchor="_Toc530058192" w:history="1">
        <w:r w:rsidR="006066F5" w:rsidRPr="009F11B2">
          <w:rPr>
            <w:rStyle w:val="Hyperlink"/>
            <w:noProof/>
            <w14:scene3d>
              <w14:camera w14:prst="orthographicFront"/>
              <w14:lightRig w14:rig="threePt" w14:dir="t">
                <w14:rot w14:lat="0" w14:lon="0" w14:rev="0"/>
              </w14:lightRig>
            </w14:scene3d>
          </w:rPr>
          <w:t>7.4</w:t>
        </w:r>
        <w:r w:rsidR="006066F5">
          <w:rPr>
            <w:rFonts w:eastAsiaTheme="minorEastAsia"/>
            <w:noProof/>
            <w:lang w:eastAsia="en-AU"/>
          </w:rPr>
          <w:tab/>
        </w:r>
        <w:r w:rsidR="006066F5" w:rsidRPr="009F11B2">
          <w:rPr>
            <w:rStyle w:val="Hyperlink"/>
            <w:noProof/>
          </w:rPr>
          <w:t>Attachments to the application</w:t>
        </w:r>
        <w:r w:rsidR="006066F5">
          <w:rPr>
            <w:noProof/>
            <w:webHidden/>
          </w:rPr>
          <w:tab/>
        </w:r>
        <w:r w:rsidR="006066F5">
          <w:rPr>
            <w:noProof/>
            <w:webHidden/>
          </w:rPr>
          <w:fldChar w:fldCharType="begin"/>
        </w:r>
        <w:r w:rsidR="006066F5">
          <w:rPr>
            <w:noProof/>
            <w:webHidden/>
          </w:rPr>
          <w:instrText xml:space="preserve"> PAGEREF _Toc530058192 \h </w:instrText>
        </w:r>
        <w:r w:rsidR="006066F5">
          <w:rPr>
            <w:noProof/>
            <w:webHidden/>
          </w:rPr>
        </w:r>
        <w:r w:rsidR="006066F5">
          <w:rPr>
            <w:noProof/>
            <w:webHidden/>
          </w:rPr>
          <w:fldChar w:fldCharType="separate"/>
        </w:r>
        <w:r w:rsidR="00BA6C1E">
          <w:rPr>
            <w:noProof/>
            <w:webHidden/>
          </w:rPr>
          <w:t>17</w:t>
        </w:r>
        <w:r w:rsidR="006066F5">
          <w:rPr>
            <w:noProof/>
            <w:webHidden/>
          </w:rPr>
          <w:fldChar w:fldCharType="end"/>
        </w:r>
      </w:hyperlink>
    </w:p>
    <w:p w14:paraId="7222F914" w14:textId="73860F63" w:rsidR="006066F5" w:rsidRDefault="00C370EA">
      <w:pPr>
        <w:pStyle w:val="TOC2"/>
        <w:rPr>
          <w:rFonts w:eastAsiaTheme="minorEastAsia"/>
          <w:noProof/>
          <w:lang w:eastAsia="en-AU"/>
        </w:rPr>
      </w:pPr>
      <w:hyperlink w:anchor="_Toc530058193" w:history="1">
        <w:r w:rsidR="006066F5" w:rsidRPr="009F11B2">
          <w:rPr>
            <w:rStyle w:val="Hyperlink"/>
            <w:noProof/>
            <w14:scene3d>
              <w14:camera w14:prst="orthographicFront"/>
              <w14:lightRig w14:rig="threePt" w14:dir="t">
                <w14:rot w14:lat="0" w14:lon="0" w14:rev="0"/>
              </w14:lightRig>
            </w14:scene3d>
          </w:rPr>
          <w:t>7.5</w:t>
        </w:r>
        <w:r w:rsidR="006066F5">
          <w:rPr>
            <w:rFonts w:eastAsiaTheme="minorEastAsia"/>
            <w:noProof/>
            <w:lang w:eastAsia="en-AU"/>
          </w:rPr>
          <w:tab/>
        </w:r>
        <w:r w:rsidR="006066F5" w:rsidRPr="009F11B2">
          <w:rPr>
            <w:rStyle w:val="Hyperlink"/>
            <w:noProof/>
          </w:rPr>
          <w:t>Applications from consortia</w:t>
        </w:r>
        <w:r w:rsidR="006066F5">
          <w:rPr>
            <w:noProof/>
            <w:webHidden/>
          </w:rPr>
          <w:tab/>
        </w:r>
        <w:r w:rsidR="006066F5">
          <w:rPr>
            <w:noProof/>
            <w:webHidden/>
          </w:rPr>
          <w:fldChar w:fldCharType="begin"/>
        </w:r>
        <w:r w:rsidR="006066F5">
          <w:rPr>
            <w:noProof/>
            <w:webHidden/>
          </w:rPr>
          <w:instrText xml:space="preserve"> PAGEREF _Toc530058193 \h </w:instrText>
        </w:r>
        <w:r w:rsidR="006066F5">
          <w:rPr>
            <w:noProof/>
            <w:webHidden/>
          </w:rPr>
        </w:r>
        <w:r w:rsidR="006066F5">
          <w:rPr>
            <w:noProof/>
            <w:webHidden/>
          </w:rPr>
          <w:fldChar w:fldCharType="separate"/>
        </w:r>
        <w:r w:rsidR="00BA6C1E">
          <w:rPr>
            <w:noProof/>
            <w:webHidden/>
          </w:rPr>
          <w:t>18</w:t>
        </w:r>
        <w:r w:rsidR="006066F5">
          <w:rPr>
            <w:noProof/>
            <w:webHidden/>
          </w:rPr>
          <w:fldChar w:fldCharType="end"/>
        </w:r>
      </w:hyperlink>
    </w:p>
    <w:p w14:paraId="42BA64BC" w14:textId="701898AE" w:rsidR="006066F5" w:rsidRDefault="00C370EA">
      <w:pPr>
        <w:pStyle w:val="TOC2"/>
        <w:rPr>
          <w:rFonts w:eastAsiaTheme="minorEastAsia"/>
          <w:noProof/>
          <w:lang w:eastAsia="en-AU"/>
        </w:rPr>
      </w:pPr>
      <w:hyperlink w:anchor="_Toc530058194" w:history="1">
        <w:r w:rsidR="006066F5" w:rsidRPr="009F11B2">
          <w:rPr>
            <w:rStyle w:val="Hyperlink"/>
            <w:noProof/>
            <w14:scene3d>
              <w14:camera w14:prst="orthographicFront"/>
              <w14:lightRig w14:rig="threePt" w14:dir="t">
                <w14:rot w14:lat="0" w14:lon="0" w14:rev="0"/>
              </w14:lightRig>
            </w14:scene3d>
          </w:rPr>
          <w:t>7.6</w:t>
        </w:r>
        <w:r w:rsidR="006066F5">
          <w:rPr>
            <w:rFonts w:eastAsiaTheme="minorEastAsia"/>
            <w:noProof/>
            <w:lang w:eastAsia="en-AU"/>
          </w:rPr>
          <w:tab/>
        </w:r>
        <w:r w:rsidR="006066F5" w:rsidRPr="009F11B2">
          <w:rPr>
            <w:rStyle w:val="Hyperlink"/>
            <w:noProof/>
          </w:rPr>
          <w:t>Questions during the application process</w:t>
        </w:r>
        <w:r w:rsidR="006066F5">
          <w:rPr>
            <w:noProof/>
            <w:webHidden/>
          </w:rPr>
          <w:tab/>
        </w:r>
        <w:r w:rsidR="006066F5">
          <w:rPr>
            <w:noProof/>
            <w:webHidden/>
          </w:rPr>
          <w:fldChar w:fldCharType="begin"/>
        </w:r>
        <w:r w:rsidR="006066F5">
          <w:rPr>
            <w:noProof/>
            <w:webHidden/>
          </w:rPr>
          <w:instrText xml:space="preserve"> PAGEREF _Toc530058194 \h </w:instrText>
        </w:r>
        <w:r w:rsidR="006066F5">
          <w:rPr>
            <w:noProof/>
            <w:webHidden/>
          </w:rPr>
        </w:r>
        <w:r w:rsidR="006066F5">
          <w:rPr>
            <w:noProof/>
            <w:webHidden/>
          </w:rPr>
          <w:fldChar w:fldCharType="separate"/>
        </w:r>
        <w:r w:rsidR="00BA6C1E">
          <w:rPr>
            <w:noProof/>
            <w:webHidden/>
          </w:rPr>
          <w:t>19</w:t>
        </w:r>
        <w:r w:rsidR="006066F5">
          <w:rPr>
            <w:noProof/>
            <w:webHidden/>
          </w:rPr>
          <w:fldChar w:fldCharType="end"/>
        </w:r>
      </w:hyperlink>
    </w:p>
    <w:p w14:paraId="03B74C81" w14:textId="55551989" w:rsidR="006066F5" w:rsidRDefault="00C370EA">
      <w:pPr>
        <w:pStyle w:val="TOC1"/>
        <w:rPr>
          <w:rFonts w:eastAsiaTheme="minorEastAsia"/>
          <w:b w:val="0"/>
          <w:noProof/>
          <w:sz w:val="22"/>
          <w:lang w:eastAsia="en-AU"/>
        </w:rPr>
      </w:pPr>
      <w:hyperlink w:anchor="_Toc530058195" w:history="1">
        <w:r w:rsidR="006066F5" w:rsidRPr="009F11B2">
          <w:rPr>
            <w:rStyle w:val="Hyperlink"/>
            <w:noProof/>
            <w14:scene3d>
              <w14:camera w14:prst="orthographicFront"/>
              <w14:lightRig w14:rig="threePt" w14:dir="t">
                <w14:rot w14:lat="0" w14:lon="0" w14:rev="0"/>
              </w14:lightRig>
            </w14:scene3d>
          </w:rPr>
          <w:t>8.</w:t>
        </w:r>
        <w:r w:rsidR="006066F5">
          <w:rPr>
            <w:rFonts w:eastAsiaTheme="minorEastAsia"/>
            <w:b w:val="0"/>
            <w:noProof/>
            <w:sz w:val="22"/>
            <w:lang w:eastAsia="en-AU"/>
          </w:rPr>
          <w:tab/>
        </w:r>
        <w:r w:rsidR="006066F5" w:rsidRPr="009F11B2">
          <w:rPr>
            <w:rStyle w:val="Hyperlink"/>
            <w:noProof/>
          </w:rPr>
          <w:t>Assessment of grant applications</w:t>
        </w:r>
        <w:r w:rsidR="006066F5">
          <w:rPr>
            <w:noProof/>
            <w:webHidden/>
          </w:rPr>
          <w:tab/>
        </w:r>
        <w:r w:rsidR="006066F5">
          <w:rPr>
            <w:noProof/>
            <w:webHidden/>
          </w:rPr>
          <w:fldChar w:fldCharType="begin"/>
        </w:r>
        <w:r w:rsidR="006066F5">
          <w:rPr>
            <w:noProof/>
            <w:webHidden/>
          </w:rPr>
          <w:instrText xml:space="preserve"> PAGEREF _Toc530058195 \h </w:instrText>
        </w:r>
        <w:r w:rsidR="006066F5">
          <w:rPr>
            <w:noProof/>
            <w:webHidden/>
          </w:rPr>
        </w:r>
        <w:r w:rsidR="006066F5">
          <w:rPr>
            <w:noProof/>
            <w:webHidden/>
          </w:rPr>
          <w:fldChar w:fldCharType="separate"/>
        </w:r>
        <w:r w:rsidR="00BA6C1E">
          <w:rPr>
            <w:noProof/>
            <w:webHidden/>
          </w:rPr>
          <w:t>19</w:t>
        </w:r>
        <w:r w:rsidR="006066F5">
          <w:rPr>
            <w:noProof/>
            <w:webHidden/>
          </w:rPr>
          <w:fldChar w:fldCharType="end"/>
        </w:r>
      </w:hyperlink>
    </w:p>
    <w:p w14:paraId="29FE99ED" w14:textId="64C21269" w:rsidR="006066F5" w:rsidRDefault="00C370EA">
      <w:pPr>
        <w:pStyle w:val="TOC2"/>
        <w:rPr>
          <w:rFonts w:eastAsiaTheme="minorEastAsia"/>
          <w:noProof/>
          <w:lang w:eastAsia="en-AU"/>
        </w:rPr>
      </w:pPr>
      <w:hyperlink w:anchor="_Toc530058196" w:history="1">
        <w:r w:rsidR="006066F5" w:rsidRPr="009F11B2">
          <w:rPr>
            <w:rStyle w:val="Hyperlink"/>
            <w:noProof/>
            <w14:scene3d>
              <w14:camera w14:prst="orthographicFront"/>
              <w14:lightRig w14:rig="threePt" w14:dir="t">
                <w14:rot w14:lat="0" w14:lon="0" w14:rev="0"/>
              </w14:lightRig>
            </w14:scene3d>
          </w:rPr>
          <w:t>8.1</w:t>
        </w:r>
        <w:r w:rsidR="006066F5">
          <w:rPr>
            <w:rFonts w:eastAsiaTheme="minorEastAsia"/>
            <w:noProof/>
            <w:lang w:eastAsia="en-AU"/>
          </w:rPr>
          <w:tab/>
        </w:r>
        <w:r w:rsidR="006066F5" w:rsidRPr="009F11B2">
          <w:rPr>
            <w:rStyle w:val="Hyperlink"/>
            <w:noProof/>
          </w:rPr>
          <w:t>Who will assess applications?</w:t>
        </w:r>
        <w:r w:rsidR="006066F5">
          <w:rPr>
            <w:noProof/>
            <w:webHidden/>
          </w:rPr>
          <w:tab/>
        </w:r>
        <w:r w:rsidR="006066F5">
          <w:rPr>
            <w:noProof/>
            <w:webHidden/>
          </w:rPr>
          <w:fldChar w:fldCharType="begin"/>
        </w:r>
        <w:r w:rsidR="006066F5">
          <w:rPr>
            <w:noProof/>
            <w:webHidden/>
          </w:rPr>
          <w:instrText xml:space="preserve"> PAGEREF _Toc530058196 \h </w:instrText>
        </w:r>
        <w:r w:rsidR="006066F5">
          <w:rPr>
            <w:noProof/>
            <w:webHidden/>
          </w:rPr>
        </w:r>
        <w:r w:rsidR="006066F5">
          <w:rPr>
            <w:noProof/>
            <w:webHidden/>
          </w:rPr>
          <w:fldChar w:fldCharType="separate"/>
        </w:r>
        <w:r w:rsidR="00BA6C1E">
          <w:rPr>
            <w:noProof/>
            <w:webHidden/>
          </w:rPr>
          <w:t>19</w:t>
        </w:r>
        <w:r w:rsidR="006066F5">
          <w:rPr>
            <w:noProof/>
            <w:webHidden/>
          </w:rPr>
          <w:fldChar w:fldCharType="end"/>
        </w:r>
      </w:hyperlink>
    </w:p>
    <w:p w14:paraId="2763E141" w14:textId="086D6968" w:rsidR="006066F5" w:rsidRDefault="00C370EA">
      <w:pPr>
        <w:pStyle w:val="TOC2"/>
        <w:rPr>
          <w:rFonts w:eastAsiaTheme="minorEastAsia"/>
          <w:noProof/>
          <w:lang w:eastAsia="en-AU"/>
        </w:rPr>
      </w:pPr>
      <w:hyperlink w:anchor="_Toc530058197" w:history="1">
        <w:r w:rsidR="006066F5" w:rsidRPr="009F11B2">
          <w:rPr>
            <w:rStyle w:val="Hyperlink"/>
            <w:noProof/>
            <w14:scene3d>
              <w14:camera w14:prst="orthographicFront"/>
              <w14:lightRig w14:rig="threePt" w14:dir="t">
                <w14:rot w14:lat="0" w14:lon="0" w14:rev="0"/>
              </w14:lightRig>
            </w14:scene3d>
          </w:rPr>
          <w:t>8.2</w:t>
        </w:r>
        <w:r w:rsidR="006066F5">
          <w:rPr>
            <w:rFonts w:eastAsiaTheme="minorEastAsia"/>
            <w:noProof/>
            <w:lang w:eastAsia="en-AU"/>
          </w:rPr>
          <w:tab/>
        </w:r>
        <w:r w:rsidR="006066F5" w:rsidRPr="009F11B2">
          <w:rPr>
            <w:rStyle w:val="Hyperlink"/>
            <w:noProof/>
          </w:rPr>
          <w:t>Who will approve grants?</w:t>
        </w:r>
        <w:r w:rsidR="006066F5">
          <w:rPr>
            <w:noProof/>
            <w:webHidden/>
          </w:rPr>
          <w:tab/>
        </w:r>
        <w:r w:rsidR="006066F5">
          <w:rPr>
            <w:noProof/>
            <w:webHidden/>
          </w:rPr>
          <w:fldChar w:fldCharType="begin"/>
        </w:r>
        <w:r w:rsidR="006066F5">
          <w:rPr>
            <w:noProof/>
            <w:webHidden/>
          </w:rPr>
          <w:instrText xml:space="preserve"> PAGEREF _Toc530058197 \h </w:instrText>
        </w:r>
        <w:r w:rsidR="006066F5">
          <w:rPr>
            <w:noProof/>
            <w:webHidden/>
          </w:rPr>
        </w:r>
        <w:r w:rsidR="006066F5">
          <w:rPr>
            <w:noProof/>
            <w:webHidden/>
          </w:rPr>
          <w:fldChar w:fldCharType="separate"/>
        </w:r>
        <w:r w:rsidR="00BA6C1E">
          <w:rPr>
            <w:noProof/>
            <w:webHidden/>
          </w:rPr>
          <w:t>19</w:t>
        </w:r>
        <w:r w:rsidR="006066F5">
          <w:rPr>
            <w:noProof/>
            <w:webHidden/>
          </w:rPr>
          <w:fldChar w:fldCharType="end"/>
        </w:r>
      </w:hyperlink>
    </w:p>
    <w:p w14:paraId="3DC55161" w14:textId="633524EC" w:rsidR="006066F5" w:rsidRDefault="00C370EA">
      <w:pPr>
        <w:pStyle w:val="TOC1"/>
        <w:rPr>
          <w:rFonts w:eastAsiaTheme="minorEastAsia"/>
          <w:b w:val="0"/>
          <w:noProof/>
          <w:sz w:val="22"/>
          <w:lang w:eastAsia="en-AU"/>
        </w:rPr>
      </w:pPr>
      <w:hyperlink w:anchor="_Toc530058198" w:history="1">
        <w:r w:rsidR="006066F5" w:rsidRPr="009F11B2">
          <w:rPr>
            <w:rStyle w:val="Hyperlink"/>
            <w:noProof/>
            <w14:scene3d>
              <w14:camera w14:prst="orthographicFront"/>
              <w14:lightRig w14:rig="threePt" w14:dir="t">
                <w14:rot w14:lat="0" w14:lon="0" w14:rev="0"/>
              </w14:lightRig>
            </w14:scene3d>
          </w:rPr>
          <w:t>9.</w:t>
        </w:r>
        <w:r w:rsidR="006066F5">
          <w:rPr>
            <w:rFonts w:eastAsiaTheme="minorEastAsia"/>
            <w:b w:val="0"/>
            <w:noProof/>
            <w:sz w:val="22"/>
            <w:lang w:eastAsia="en-AU"/>
          </w:rPr>
          <w:tab/>
        </w:r>
        <w:r w:rsidR="006066F5" w:rsidRPr="009F11B2">
          <w:rPr>
            <w:rStyle w:val="Hyperlink"/>
            <w:noProof/>
          </w:rPr>
          <w:t>Notification of application outcomes</w:t>
        </w:r>
        <w:r w:rsidR="006066F5">
          <w:rPr>
            <w:noProof/>
            <w:webHidden/>
          </w:rPr>
          <w:tab/>
        </w:r>
        <w:r w:rsidR="006066F5">
          <w:rPr>
            <w:noProof/>
            <w:webHidden/>
          </w:rPr>
          <w:fldChar w:fldCharType="begin"/>
        </w:r>
        <w:r w:rsidR="006066F5">
          <w:rPr>
            <w:noProof/>
            <w:webHidden/>
          </w:rPr>
          <w:instrText xml:space="preserve"> PAGEREF _Toc530058198 \h </w:instrText>
        </w:r>
        <w:r w:rsidR="006066F5">
          <w:rPr>
            <w:noProof/>
            <w:webHidden/>
          </w:rPr>
        </w:r>
        <w:r w:rsidR="006066F5">
          <w:rPr>
            <w:noProof/>
            <w:webHidden/>
          </w:rPr>
          <w:fldChar w:fldCharType="separate"/>
        </w:r>
        <w:r w:rsidR="00BA6C1E">
          <w:rPr>
            <w:noProof/>
            <w:webHidden/>
          </w:rPr>
          <w:t>20</w:t>
        </w:r>
        <w:r w:rsidR="006066F5">
          <w:rPr>
            <w:noProof/>
            <w:webHidden/>
          </w:rPr>
          <w:fldChar w:fldCharType="end"/>
        </w:r>
      </w:hyperlink>
    </w:p>
    <w:p w14:paraId="55CFDD1D" w14:textId="226E3D6F" w:rsidR="006066F5" w:rsidRDefault="00C370EA">
      <w:pPr>
        <w:pStyle w:val="TOC2"/>
        <w:rPr>
          <w:rFonts w:eastAsiaTheme="minorEastAsia"/>
          <w:noProof/>
          <w:lang w:eastAsia="en-AU"/>
        </w:rPr>
      </w:pPr>
      <w:hyperlink w:anchor="_Toc530058199" w:history="1">
        <w:r w:rsidR="006066F5" w:rsidRPr="009F11B2">
          <w:rPr>
            <w:rStyle w:val="Hyperlink"/>
            <w:noProof/>
            <w14:scene3d>
              <w14:camera w14:prst="orthographicFront"/>
              <w14:lightRig w14:rig="threePt" w14:dir="t">
                <w14:rot w14:lat="0" w14:lon="0" w14:rev="0"/>
              </w14:lightRig>
            </w14:scene3d>
          </w:rPr>
          <w:t>9.1</w:t>
        </w:r>
        <w:r w:rsidR="006066F5">
          <w:rPr>
            <w:rFonts w:eastAsiaTheme="minorEastAsia"/>
            <w:noProof/>
            <w:lang w:eastAsia="en-AU"/>
          </w:rPr>
          <w:tab/>
        </w:r>
        <w:r w:rsidR="006066F5" w:rsidRPr="009F11B2">
          <w:rPr>
            <w:rStyle w:val="Hyperlink"/>
            <w:noProof/>
          </w:rPr>
          <w:t>Feedback on your application</w:t>
        </w:r>
        <w:r w:rsidR="006066F5">
          <w:rPr>
            <w:noProof/>
            <w:webHidden/>
          </w:rPr>
          <w:tab/>
        </w:r>
        <w:r w:rsidR="006066F5">
          <w:rPr>
            <w:noProof/>
            <w:webHidden/>
          </w:rPr>
          <w:fldChar w:fldCharType="begin"/>
        </w:r>
        <w:r w:rsidR="006066F5">
          <w:rPr>
            <w:noProof/>
            <w:webHidden/>
          </w:rPr>
          <w:instrText xml:space="preserve"> PAGEREF _Toc530058199 \h </w:instrText>
        </w:r>
        <w:r w:rsidR="006066F5">
          <w:rPr>
            <w:noProof/>
            <w:webHidden/>
          </w:rPr>
        </w:r>
        <w:r w:rsidR="006066F5">
          <w:rPr>
            <w:noProof/>
            <w:webHidden/>
          </w:rPr>
          <w:fldChar w:fldCharType="separate"/>
        </w:r>
        <w:r w:rsidR="00BA6C1E">
          <w:rPr>
            <w:noProof/>
            <w:webHidden/>
          </w:rPr>
          <w:t>20</w:t>
        </w:r>
        <w:r w:rsidR="006066F5">
          <w:rPr>
            <w:noProof/>
            <w:webHidden/>
          </w:rPr>
          <w:fldChar w:fldCharType="end"/>
        </w:r>
      </w:hyperlink>
    </w:p>
    <w:p w14:paraId="22628A70" w14:textId="42F9173E" w:rsidR="006066F5" w:rsidRDefault="00C370EA">
      <w:pPr>
        <w:pStyle w:val="TOC1"/>
        <w:rPr>
          <w:rFonts w:eastAsiaTheme="minorEastAsia"/>
          <w:b w:val="0"/>
          <w:noProof/>
          <w:sz w:val="22"/>
          <w:lang w:eastAsia="en-AU"/>
        </w:rPr>
      </w:pPr>
      <w:hyperlink w:anchor="_Toc530058200" w:history="1">
        <w:r w:rsidR="006066F5" w:rsidRPr="009F11B2">
          <w:rPr>
            <w:rStyle w:val="Hyperlink"/>
            <w:noProof/>
            <w14:scene3d>
              <w14:camera w14:prst="orthographicFront"/>
              <w14:lightRig w14:rig="threePt" w14:dir="t">
                <w14:rot w14:lat="0" w14:lon="0" w14:rev="0"/>
              </w14:lightRig>
            </w14:scene3d>
          </w:rPr>
          <w:t>10.</w:t>
        </w:r>
        <w:r w:rsidR="006066F5">
          <w:rPr>
            <w:rFonts w:eastAsiaTheme="minorEastAsia"/>
            <w:b w:val="0"/>
            <w:noProof/>
            <w:sz w:val="22"/>
            <w:lang w:eastAsia="en-AU"/>
          </w:rPr>
          <w:tab/>
        </w:r>
        <w:r w:rsidR="006066F5" w:rsidRPr="009F11B2">
          <w:rPr>
            <w:rStyle w:val="Hyperlink"/>
            <w:noProof/>
          </w:rPr>
          <w:t>Successful grant applications</w:t>
        </w:r>
        <w:r w:rsidR="006066F5">
          <w:rPr>
            <w:noProof/>
            <w:webHidden/>
          </w:rPr>
          <w:tab/>
        </w:r>
        <w:r w:rsidR="006066F5">
          <w:rPr>
            <w:noProof/>
            <w:webHidden/>
          </w:rPr>
          <w:fldChar w:fldCharType="begin"/>
        </w:r>
        <w:r w:rsidR="006066F5">
          <w:rPr>
            <w:noProof/>
            <w:webHidden/>
          </w:rPr>
          <w:instrText xml:space="preserve"> PAGEREF _Toc530058200 \h </w:instrText>
        </w:r>
        <w:r w:rsidR="006066F5">
          <w:rPr>
            <w:noProof/>
            <w:webHidden/>
          </w:rPr>
        </w:r>
        <w:r w:rsidR="006066F5">
          <w:rPr>
            <w:noProof/>
            <w:webHidden/>
          </w:rPr>
          <w:fldChar w:fldCharType="separate"/>
        </w:r>
        <w:r w:rsidR="00BA6C1E">
          <w:rPr>
            <w:noProof/>
            <w:webHidden/>
          </w:rPr>
          <w:t>20</w:t>
        </w:r>
        <w:r w:rsidR="006066F5">
          <w:rPr>
            <w:noProof/>
            <w:webHidden/>
          </w:rPr>
          <w:fldChar w:fldCharType="end"/>
        </w:r>
      </w:hyperlink>
    </w:p>
    <w:p w14:paraId="3965A98E" w14:textId="5E797690" w:rsidR="006066F5" w:rsidRDefault="00C370EA">
      <w:pPr>
        <w:pStyle w:val="TOC2"/>
        <w:rPr>
          <w:rFonts w:eastAsiaTheme="minorEastAsia"/>
          <w:noProof/>
          <w:lang w:eastAsia="en-AU"/>
        </w:rPr>
      </w:pPr>
      <w:hyperlink w:anchor="_Toc530058201" w:history="1">
        <w:r w:rsidR="006066F5" w:rsidRPr="009F11B2">
          <w:rPr>
            <w:rStyle w:val="Hyperlink"/>
            <w:noProof/>
            <w14:scene3d>
              <w14:camera w14:prst="orthographicFront"/>
              <w14:lightRig w14:rig="threePt" w14:dir="t">
                <w14:rot w14:lat="0" w14:lon="0" w14:rev="0"/>
              </w14:lightRig>
            </w14:scene3d>
          </w:rPr>
          <w:t>10.1</w:t>
        </w:r>
        <w:r w:rsidR="006066F5">
          <w:rPr>
            <w:rFonts w:eastAsiaTheme="minorEastAsia"/>
            <w:noProof/>
            <w:lang w:eastAsia="en-AU"/>
          </w:rPr>
          <w:tab/>
        </w:r>
        <w:r w:rsidR="006066F5" w:rsidRPr="009F11B2">
          <w:rPr>
            <w:rStyle w:val="Hyperlink"/>
            <w:noProof/>
          </w:rPr>
          <w:t>The Grant Agreement</w:t>
        </w:r>
        <w:r w:rsidR="006066F5">
          <w:rPr>
            <w:noProof/>
            <w:webHidden/>
          </w:rPr>
          <w:tab/>
        </w:r>
        <w:r w:rsidR="006066F5">
          <w:rPr>
            <w:noProof/>
            <w:webHidden/>
          </w:rPr>
          <w:fldChar w:fldCharType="begin"/>
        </w:r>
        <w:r w:rsidR="006066F5">
          <w:rPr>
            <w:noProof/>
            <w:webHidden/>
          </w:rPr>
          <w:instrText xml:space="preserve"> PAGEREF _Toc530058201 \h </w:instrText>
        </w:r>
        <w:r w:rsidR="006066F5">
          <w:rPr>
            <w:noProof/>
            <w:webHidden/>
          </w:rPr>
        </w:r>
        <w:r w:rsidR="006066F5">
          <w:rPr>
            <w:noProof/>
            <w:webHidden/>
          </w:rPr>
          <w:fldChar w:fldCharType="separate"/>
        </w:r>
        <w:r w:rsidR="00BA6C1E">
          <w:rPr>
            <w:noProof/>
            <w:webHidden/>
          </w:rPr>
          <w:t>20</w:t>
        </w:r>
        <w:r w:rsidR="006066F5">
          <w:rPr>
            <w:noProof/>
            <w:webHidden/>
          </w:rPr>
          <w:fldChar w:fldCharType="end"/>
        </w:r>
      </w:hyperlink>
    </w:p>
    <w:p w14:paraId="0C266F47" w14:textId="768C8407" w:rsidR="006066F5" w:rsidRDefault="00C370EA">
      <w:pPr>
        <w:pStyle w:val="TOC2"/>
        <w:rPr>
          <w:rFonts w:eastAsiaTheme="minorEastAsia"/>
          <w:noProof/>
          <w:lang w:eastAsia="en-AU"/>
        </w:rPr>
      </w:pPr>
      <w:hyperlink w:anchor="_Toc530058202" w:history="1">
        <w:r w:rsidR="006066F5" w:rsidRPr="009F11B2">
          <w:rPr>
            <w:rStyle w:val="Hyperlink"/>
            <w:noProof/>
            <w14:scene3d>
              <w14:camera w14:prst="orthographicFront"/>
              <w14:lightRig w14:rig="threePt" w14:dir="t">
                <w14:rot w14:lat="0" w14:lon="0" w14:rev="0"/>
              </w14:lightRig>
            </w14:scene3d>
          </w:rPr>
          <w:t>10.2</w:t>
        </w:r>
        <w:r w:rsidR="006066F5">
          <w:rPr>
            <w:rFonts w:eastAsiaTheme="minorEastAsia"/>
            <w:noProof/>
            <w:lang w:eastAsia="en-AU"/>
          </w:rPr>
          <w:tab/>
        </w:r>
        <w:r w:rsidR="006066F5" w:rsidRPr="009F11B2">
          <w:rPr>
            <w:rStyle w:val="Hyperlink"/>
            <w:noProof/>
          </w:rPr>
          <w:t>Commonwealth Child Safe Framework</w:t>
        </w:r>
        <w:r w:rsidR="006066F5">
          <w:rPr>
            <w:noProof/>
            <w:webHidden/>
          </w:rPr>
          <w:tab/>
        </w:r>
        <w:r w:rsidR="006066F5">
          <w:rPr>
            <w:noProof/>
            <w:webHidden/>
          </w:rPr>
          <w:fldChar w:fldCharType="begin"/>
        </w:r>
        <w:r w:rsidR="006066F5">
          <w:rPr>
            <w:noProof/>
            <w:webHidden/>
          </w:rPr>
          <w:instrText xml:space="preserve"> PAGEREF _Toc530058202 \h </w:instrText>
        </w:r>
        <w:r w:rsidR="006066F5">
          <w:rPr>
            <w:noProof/>
            <w:webHidden/>
          </w:rPr>
        </w:r>
        <w:r w:rsidR="006066F5">
          <w:rPr>
            <w:noProof/>
            <w:webHidden/>
          </w:rPr>
          <w:fldChar w:fldCharType="separate"/>
        </w:r>
        <w:r w:rsidR="00BA6C1E">
          <w:rPr>
            <w:noProof/>
            <w:webHidden/>
          </w:rPr>
          <w:t>21</w:t>
        </w:r>
        <w:r w:rsidR="006066F5">
          <w:rPr>
            <w:noProof/>
            <w:webHidden/>
          </w:rPr>
          <w:fldChar w:fldCharType="end"/>
        </w:r>
      </w:hyperlink>
    </w:p>
    <w:p w14:paraId="39879D3B" w14:textId="4FDC9346" w:rsidR="006066F5" w:rsidRDefault="00C370EA">
      <w:pPr>
        <w:pStyle w:val="TOC2"/>
        <w:rPr>
          <w:rFonts w:eastAsiaTheme="minorEastAsia"/>
          <w:noProof/>
          <w:lang w:eastAsia="en-AU"/>
        </w:rPr>
      </w:pPr>
      <w:hyperlink w:anchor="_Toc530058203" w:history="1">
        <w:r w:rsidR="006066F5" w:rsidRPr="009F11B2">
          <w:rPr>
            <w:rStyle w:val="Hyperlink"/>
            <w:noProof/>
            <w14:scene3d>
              <w14:camera w14:prst="orthographicFront"/>
              <w14:lightRig w14:rig="threePt" w14:dir="t">
                <w14:rot w14:lat="0" w14:lon="0" w14:rev="0"/>
              </w14:lightRig>
            </w14:scene3d>
          </w:rPr>
          <w:t>10.3</w:t>
        </w:r>
        <w:r w:rsidR="006066F5">
          <w:rPr>
            <w:rFonts w:eastAsiaTheme="minorEastAsia"/>
            <w:noProof/>
            <w:lang w:eastAsia="en-AU"/>
          </w:rPr>
          <w:tab/>
        </w:r>
        <w:r w:rsidR="006066F5" w:rsidRPr="009F11B2">
          <w:rPr>
            <w:rStyle w:val="Hyperlink"/>
            <w:noProof/>
          </w:rPr>
          <w:t>How the grant will be paid</w:t>
        </w:r>
        <w:r w:rsidR="006066F5">
          <w:rPr>
            <w:noProof/>
            <w:webHidden/>
          </w:rPr>
          <w:tab/>
        </w:r>
        <w:r w:rsidR="006066F5">
          <w:rPr>
            <w:noProof/>
            <w:webHidden/>
          </w:rPr>
          <w:fldChar w:fldCharType="begin"/>
        </w:r>
        <w:r w:rsidR="006066F5">
          <w:rPr>
            <w:noProof/>
            <w:webHidden/>
          </w:rPr>
          <w:instrText xml:space="preserve"> PAGEREF _Toc530058203 \h </w:instrText>
        </w:r>
        <w:r w:rsidR="006066F5">
          <w:rPr>
            <w:noProof/>
            <w:webHidden/>
          </w:rPr>
        </w:r>
        <w:r w:rsidR="006066F5">
          <w:rPr>
            <w:noProof/>
            <w:webHidden/>
          </w:rPr>
          <w:fldChar w:fldCharType="separate"/>
        </w:r>
        <w:r w:rsidR="00BA6C1E">
          <w:rPr>
            <w:noProof/>
            <w:webHidden/>
          </w:rPr>
          <w:t>21</w:t>
        </w:r>
        <w:r w:rsidR="006066F5">
          <w:rPr>
            <w:noProof/>
            <w:webHidden/>
          </w:rPr>
          <w:fldChar w:fldCharType="end"/>
        </w:r>
      </w:hyperlink>
    </w:p>
    <w:p w14:paraId="22A7C13E" w14:textId="263D2BB1" w:rsidR="006066F5" w:rsidRDefault="00C370EA">
      <w:pPr>
        <w:pStyle w:val="TOC2"/>
        <w:rPr>
          <w:rFonts w:eastAsiaTheme="minorEastAsia"/>
          <w:noProof/>
          <w:lang w:eastAsia="en-AU"/>
        </w:rPr>
      </w:pPr>
      <w:hyperlink w:anchor="_Toc530058204" w:history="1">
        <w:r w:rsidR="006066F5" w:rsidRPr="009F11B2">
          <w:rPr>
            <w:rStyle w:val="Hyperlink"/>
            <w:noProof/>
            <w14:scene3d>
              <w14:camera w14:prst="orthographicFront"/>
              <w14:lightRig w14:rig="threePt" w14:dir="t">
                <w14:rot w14:lat="0" w14:lon="0" w14:rev="0"/>
              </w14:lightRig>
            </w14:scene3d>
          </w:rPr>
          <w:t>10.4</w:t>
        </w:r>
        <w:r w:rsidR="006066F5">
          <w:rPr>
            <w:rFonts w:eastAsiaTheme="minorEastAsia"/>
            <w:noProof/>
            <w:lang w:eastAsia="en-AU"/>
          </w:rPr>
          <w:tab/>
        </w:r>
        <w:r w:rsidR="006066F5" w:rsidRPr="009F11B2">
          <w:rPr>
            <w:rStyle w:val="Hyperlink"/>
            <w:noProof/>
          </w:rPr>
          <w:t>Grant Agreement variations</w:t>
        </w:r>
        <w:r w:rsidR="006066F5">
          <w:rPr>
            <w:noProof/>
            <w:webHidden/>
          </w:rPr>
          <w:tab/>
        </w:r>
        <w:r w:rsidR="006066F5">
          <w:rPr>
            <w:noProof/>
            <w:webHidden/>
          </w:rPr>
          <w:fldChar w:fldCharType="begin"/>
        </w:r>
        <w:r w:rsidR="006066F5">
          <w:rPr>
            <w:noProof/>
            <w:webHidden/>
          </w:rPr>
          <w:instrText xml:space="preserve"> PAGEREF _Toc530058204 \h </w:instrText>
        </w:r>
        <w:r w:rsidR="006066F5">
          <w:rPr>
            <w:noProof/>
            <w:webHidden/>
          </w:rPr>
        </w:r>
        <w:r w:rsidR="006066F5">
          <w:rPr>
            <w:noProof/>
            <w:webHidden/>
          </w:rPr>
          <w:fldChar w:fldCharType="separate"/>
        </w:r>
        <w:r w:rsidR="00BA6C1E">
          <w:rPr>
            <w:noProof/>
            <w:webHidden/>
          </w:rPr>
          <w:t>22</w:t>
        </w:r>
        <w:r w:rsidR="006066F5">
          <w:rPr>
            <w:noProof/>
            <w:webHidden/>
          </w:rPr>
          <w:fldChar w:fldCharType="end"/>
        </w:r>
      </w:hyperlink>
    </w:p>
    <w:p w14:paraId="18AD3514" w14:textId="13B0C1E7" w:rsidR="006066F5" w:rsidRDefault="00C370EA">
      <w:pPr>
        <w:pStyle w:val="TOC1"/>
        <w:rPr>
          <w:rFonts w:eastAsiaTheme="minorEastAsia"/>
          <w:b w:val="0"/>
          <w:noProof/>
          <w:sz w:val="22"/>
          <w:lang w:eastAsia="en-AU"/>
        </w:rPr>
      </w:pPr>
      <w:hyperlink w:anchor="_Toc530058205" w:history="1">
        <w:r w:rsidR="006066F5" w:rsidRPr="009F11B2">
          <w:rPr>
            <w:rStyle w:val="Hyperlink"/>
            <w:noProof/>
            <w14:scene3d>
              <w14:camera w14:prst="orthographicFront"/>
              <w14:lightRig w14:rig="threePt" w14:dir="t">
                <w14:rot w14:lat="0" w14:lon="0" w14:rev="0"/>
              </w14:lightRig>
            </w14:scene3d>
          </w:rPr>
          <w:t>11.</w:t>
        </w:r>
        <w:r w:rsidR="006066F5">
          <w:rPr>
            <w:rFonts w:eastAsiaTheme="minorEastAsia"/>
            <w:b w:val="0"/>
            <w:noProof/>
            <w:sz w:val="22"/>
            <w:lang w:eastAsia="en-AU"/>
          </w:rPr>
          <w:tab/>
        </w:r>
        <w:r w:rsidR="006066F5" w:rsidRPr="009F11B2">
          <w:rPr>
            <w:rStyle w:val="Hyperlink"/>
            <w:noProof/>
          </w:rPr>
          <w:t>Announcement of grants</w:t>
        </w:r>
        <w:r w:rsidR="006066F5">
          <w:rPr>
            <w:noProof/>
            <w:webHidden/>
          </w:rPr>
          <w:tab/>
        </w:r>
        <w:r w:rsidR="006066F5">
          <w:rPr>
            <w:noProof/>
            <w:webHidden/>
          </w:rPr>
          <w:fldChar w:fldCharType="begin"/>
        </w:r>
        <w:r w:rsidR="006066F5">
          <w:rPr>
            <w:noProof/>
            <w:webHidden/>
          </w:rPr>
          <w:instrText xml:space="preserve"> PAGEREF _Toc530058205 \h </w:instrText>
        </w:r>
        <w:r w:rsidR="006066F5">
          <w:rPr>
            <w:noProof/>
            <w:webHidden/>
          </w:rPr>
        </w:r>
        <w:r w:rsidR="006066F5">
          <w:rPr>
            <w:noProof/>
            <w:webHidden/>
          </w:rPr>
          <w:fldChar w:fldCharType="separate"/>
        </w:r>
        <w:r w:rsidR="00BA6C1E">
          <w:rPr>
            <w:noProof/>
            <w:webHidden/>
          </w:rPr>
          <w:t>22</w:t>
        </w:r>
        <w:r w:rsidR="006066F5">
          <w:rPr>
            <w:noProof/>
            <w:webHidden/>
          </w:rPr>
          <w:fldChar w:fldCharType="end"/>
        </w:r>
      </w:hyperlink>
    </w:p>
    <w:p w14:paraId="47D9F3AB" w14:textId="732F9A87" w:rsidR="006066F5" w:rsidRDefault="00C370EA">
      <w:pPr>
        <w:pStyle w:val="TOC1"/>
        <w:rPr>
          <w:rFonts w:eastAsiaTheme="minorEastAsia"/>
          <w:b w:val="0"/>
          <w:noProof/>
          <w:sz w:val="22"/>
          <w:lang w:eastAsia="en-AU"/>
        </w:rPr>
      </w:pPr>
      <w:hyperlink w:anchor="_Toc530058206" w:history="1">
        <w:r w:rsidR="006066F5" w:rsidRPr="009F11B2">
          <w:rPr>
            <w:rStyle w:val="Hyperlink"/>
            <w:noProof/>
            <w14:scene3d>
              <w14:camera w14:prst="orthographicFront"/>
              <w14:lightRig w14:rig="threePt" w14:dir="t">
                <w14:rot w14:lat="0" w14:lon="0" w14:rev="0"/>
              </w14:lightRig>
            </w14:scene3d>
          </w:rPr>
          <w:t>12.</w:t>
        </w:r>
        <w:r w:rsidR="006066F5">
          <w:rPr>
            <w:rFonts w:eastAsiaTheme="minorEastAsia"/>
            <w:b w:val="0"/>
            <w:noProof/>
            <w:sz w:val="22"/>
            <w:lang w:eastAsia="en-AU"/>
          </w:rPr>
          <w:tab/>
        </w:r>
        <w:r w:rsidR="006066F5" w:rsidRPr="009F11B2">
          <w:rPr>
            <w:rStyle w:val="Hyperlink"/>
            <w:noProof/>
          </w:rPr>
          <w:t>Delivery of grant activities</w:t>
        </w:r>
        <w:r w:rsidR="006066F5">
          <w:rPr>
            <w:noProof/>
            <w:webHidden/>
          </w:rPr>
          <w:tab/>
        </w:r>
        <w:r w:rsidR="006066F5">
          <w:rPr>
            <w:noProof/>
            <w:webHidden/>
          </w:rPr>
          <w:fldChar w:fldCharType="begin"/>
        </w:r>
        <w:r w:rsidR="006066F5">
          <w:rPr>
            <w:noProof/>
            <w:webHidden/>
          </w:rPr>
          <w:instrText xml:space="preserve"> PAGEREF _Toc530058206 \h </w:instrText>
        </w:r>
        <w:r w:rsidR="006066F5">
          <w:rPr>
            <w:noProof/>
            <w:webHidden/>
          </w:rPr>
        </w:r>
        <w:r w:rsidR="006066F5">
          <w:rPr>
            <w:noProof/>
            <w:webHidden/>
          </w:rPr>
          <w:fldChar w:fldCharType="separate"/>
        </w:r>
        <w:r w:rsidR="00BA6C1E">
          <w:rPr>
            <w:noProof/>
            <w:webHidden/>
          </w:rPr>
          <w:t>22</w:t>
        </w:r>
        <w:r w:rsidR="006066F5">
          <w:rPr>
            <w:noProof/>
            <w:webHidden/>
          </w:rPr>
          <w:fldChar w:fldCharType="end"/>
        </w:r>
      </w:hyperlink>
    </w:p>
    <w:p w14:paraId="0F65B1D4" w14:textId="5CA4022C" w:rsidR="006066F5" w:rsidRDefault="00C370EA">
      <w:pPr>
        <w:pStyle w:val="TOC2"/>
        <w:rPr>
          <w:rFonts w:eastAsiaTheme="minorEastAsia"/>
          <w:noProof/>
          <w:lang w:eastAsia="en-AU"/>
        </w:rPr>
      </w:pPr>
      <w:hyperlink w:anchor="_Toc530058207" w:history="1">
        <w:r w:rsidR="006066F5" w:rsidRPr="009F11B2">
          <w:rPr>
            <w:rStyle w:val="Hyperlink"/>
            <w:noProof/>
            <w14:scene3d>
              <w14:camera w14:prst="orthographicFront"/>
              <w14:lightRig w14:rig="threePt" w14:dir="t">
                <w14:rot w14:lat="0" w14:lon="0" w14:rev="0"/>
              </w14:lightRig>
            </w14:scene3d>
          </w:rPr>
          <w:t>12.1</w:t>
        </w:r>
        <w:r w:rsidR="006066F5">
          <w:rPr>
            <w:rFonts w:eastAsiaTheme="minorEastAsia"/>
            <w:noProof/>
            <w:lang w:eastAsia="en-AU"/>
          </w:rPr>
          <w:tab/>
        </w:r>
        <w:r w:rsidR="006066F5" w:rsidRPr="009F11B2">
          <w:rPr>
            <w:rStyle w:val="Hyperlink"/>
            <w:noProof/>
          </w:rPr>
          <w:t>Your responsibilities</w:t>
        </w:r>
        <w:r w:rsidR="006066F5">
          <w:rPr>
            <w:noProof/>
            <w:webHidden/>
          </w:rPr>
          <w:tab/>
        </w:r>
        <w:r w:rsidR="006066F5">
          <w:rPr>
            <w:noProof/>
            <w:webHidden/>
          </w:rPr>
          <w:fldChar w:fldCharType="begin"/>
        </w:r>
        <w:r w:rsidR="006066F5">
          <w:rPr>
            <w:noProof/>
            <w:webHidden/>
          </w:rPr>
          <w:instrText xml:space="preserve"> PAGEREF _Toc530058207 \h </w:instrText>
        </w:r>
        <w:r w:rsidR="006066F5">
          <w:rPr>
            <w:noProof/>
            <w:webHidden/>
          </w:rPr>
        </w:r>
        <w:r w:rsidR="006066F5">
          <w:rPr>
            <w:noProof/>
            <w:webHidden/>
          </w:rPr>
          <w:fldChar w:fldCharType="separate"/>
        </w:r>
        <w:r w:rsidR="00BA6C1E">
          <w:rPr>
            <w:noProof/>
            <w:webHidden/>
          </w:rPr>
          <w:t>22</w:t>
        </w:r>
        <w:r w:rsidR="006066F5">
          <w:rPr>
            <w:noProof/>
            <w:webHidden/>
          </w:rPr>
          <w:fldChar w:fldCharType="end"/>
        </w:r>
      </w:hyperlink>
    </w:p>
    <w:p w14:paraId="4B63C92A" w14:textId="254D634D" w:rsidR="006066F5" w:rsidRDefault="00C370EA">
      <w:pPr>
        <w:pStyle w:val="TOC2"/>
        <w:rPr>
          <w:rFonts w:eastAsiaTheme="minorEastAsia"/>
          <w:noProof/>
          <w:lang w:eastAsia="en-AU"/>
        </w:rPr>
      </w:pPr>
      <w:hyperlink w:anchor="_Toc530058208" w:history="1">
        <w:r w:rsidR="006066F5" w:rsidRPr="009F11B2">
          <w:rPr>
            <w:rStyle w:val="Hyperlink"/>
            <w:noProof/>
            <w14:scene3d>
              <w14:camera w14:prst="orthographicFront"/>
              <w14:lightRig w14:rig="threePt" w14:dir="t">
                <w14:rot w14:lat="0" w14:lon="0" w14:rev="0"/>
              </w14:lightRig>
            </w14:scene3d>
          </w:rPr>
          <w:t>12.2</w:t>
        </w:r>
        <w:r w:rsidR="006066F5">
          <w:rPr>
            <w:rFonts w:eastAsiaTheme="minorEastAsia"/>
            <w:noProof/>
            <w:lang w:eastAsia="en-AU"/>
          </w:rPr>
          <w:tab/>
        </w:r>
        <w:r w:rsidR="006066F5" w:rsidRPr="009F11B2">
          <w:rPr>
            <w:rStyle w:val="Hyperlink"/>
            <w:noProof/>
          </w:rPr>
          <w:t>DSS responsibilities</w:t>
        </w:r>
        <w:r w:rsidR="006066F5">
          <w:rPr>
            <w:noProof/>
            <w:webHidden/>
          </w:rPr>
          <w:tab/>
        </w:r>
        <w:r w:rsidR="006066F5">
          <w:rPr>
            <w:noProof/>
            <w:webHidden/>
          </w:rPr>
          <w:fldChar w:fldCharType="begin"/>
        </w:r>
        <w:r w:rsidR="006066F5">
          <w:rPr>
            <w:noProof/>
            <w:webHidden/>
          </w:rPr>
          <w:instrText xml:space="preserve"> PAGEREF _Toc530058208 \h </w:instrText>
        </w:r>
        <w:r w:rsidR="006066F5">
          <w:rPr>
            <w:noProof/>
            <w:webHidden/>
          </w:rPr>
        </w:r>
        <w:r w:rsidR="006066F5">
          <w:rPr>
            <w:noProof/>
            <w:webHidden/>
          </w:rPr>
          <w:fldChar w:fldCharType="separate"/>
        </w:r>
        <w:r w:rsidR="00BA6C1E">
          <w:rPr>
            <w:noProof/>
            <w:webHidden/>
          </w:rPr>
          <w:t>23</w:t>
        </w:r>
        <w:r w:rsidR="006066F5">
          <w:rPr>
            <w:noProof/>
            <w:webHidden/>
          </w:rPr>
          <w:fldChar w:fldCharType="end"/>
        </w:r>
      </w:hyperlink>
    </w:p>
    <w:p w14:paraId="4E291E1C" w14:textId="54D11194" w:rsidR="006066F5" w:rsidRDefault="00C370EA">
      <w:pPr>
        <w:pStyle w:val="TOC2"/>
        <w:rPr>
          <w:rFonts w:eastAsiaTheme="minorEastAsia"/>
          <w:noProof/>
          <w:lang w:eastAsia="en-AU"/>
        </w:rPr>
      </w:pPr>
      <w:hyperlink w:anchor="_Toc530058209" w:history="1">
        <w:r w:rsidR="006066F5" w:rsidRPr="009F11B2">
          <w:rPr>
            <w:rStyle w:val="Hyperlink"/>
            <w:noProof/>
            <w14:scene3d>
              <w14:camera w14:prst="orthographicFront"/>
              <w14:lightRig w14:rig="threePt" w14:dir="t">
                <w14:rot w14:lat="0" w14:lon="0" w14:rev="0"/>
              </w14:lightRig>
            </w14:scene3d>
          </w:rPr>
          <w:t>12.3</w:t>
        </w:r>
        <w:r w:rsidR="006066F5">
          <w:rPr>
            <w:rFonts w:eastAsiaTheme="minorEastAsia"/>
            <w:noProof/>
            <w:lang w:eastAsia="en-AU"/>
          </w:rPr>
          <w:tab/>
        </w:r>
        <w:r w:rsidR="006066F5" w:rsidRPr="009F11B2">
          <w:rPr>
            <w:rStyle w:val="Hyperlink"/>
            <w:noProof/>
          </w:rPr>
          <w:t>Grant payments and GST</w:t>
        </w:r>
        <w:r w:rsidR="006066F5">
          <w:rPr>
            <w:noProof/>
            <w:webHidden/>
          </w:rPr>
          <w:tab/>
        </w:r>
        <w:r w:rsidR="006066F5">
          <w:rPr>
            <w:noProof/>
            <w:webHidden/>
          </w:rPr>
          <w:fldChar w:fldCharType="begin"/>
        </w:r>
        <w:r w:rsidR="006066F5">
          <w:rPr>
            <w:noProof/>
            <w:webHidden/>
          </w:rPr>
          <w:instrText xml:space="preserve"> PAGEREF _Toc530058209 \h </w:instrText>
        </w:r>
        <w:r w:rsidR="006066F5">
          <w:rPr>
            <w:noProof/>
            <w:webHidden/>
          </w:rPr>
        </w:r>
        <w:r w:rsidR="006066F5">
          <w:rPr>
            <w:noProof/>
            <w:webHidden/>
          </w:rPr>
          <w:fldChar w:fldCharType="separate"/>
        </w:r>
        <w:r w:rsidR="00BA6C1E">
          <w:rPr>
            <w:noProof/>
            <w:webHidden/>
          </w:rPr>
          <w:t>23</w:t>
        </w:r>
        <w:r w:rsidR="006066F5">
          <w:rPr>
            <w:noProof/>
            <w:webHidden/>
          </w:rPr>
          <w:fldChar w:fldCharType="end"/>
        </w:r>
      </w:hyperlink>
    </w:p>
    <w:p w14:paraId="1A74E773" w14:textId="4B27C9A5" w:rsidR="006066F5" w:rsidRDefault="00C370EA">
      <w:pPr>
        <w:pStyle w:val="TOC2"/>
        <w:rPr>
          <w:rFonts w:eastAsiaTheme="minorEastAsia"/>
          <w:noProof/>
          <w:lang w:eastAsia="en-AU"/>
        </w:rPr>
      </w:pPr>
      <w:hyperlink w:anchor="_Toc530058210" w:history="1">
        <w:r w:rsidR="006066F5" w:rsidRPr="009F11B2">
          <w:rPr>
            <w:rStyle w:val="Hyperlink"/>
            <w:noProof/>
            <w14:scene3d>
              <w14:camera w14:prst="orthographicFront"/>
              <w14:lightRig w14:rig="threePt" w14:dir="t">
                <w14:rot w14:lat="0" w14:lon="0" w14:rev="0"/>
              </w14:lightRig>
            </w14:scene3d>
          </w:rPr>
          <w:t>12.4</w:t>
        </w:r>
        <w:r w:rsidR="006066F5">
          <w:rPr>
            <w:rFonts w:eastAsiaTheme="minorEastAsia"/>
            <w:noProof/>
            <w:lang w:eastAsia="en-AU"/>
          </w:rPr>
          <w:tab/>
        </w:r>
        <w:r w:rsidR="006066F5" w:rsidRPr="009F11B2">
          <w:rPr>
            <w:rStyle w:val="Hyperlink"/>
            <w:noProof/>
          </w:rPr>
          <w:t>Reporting</w:t>
        </w:r>
        <w:r w:rsidR="006066F5">
          <w:rPr>
            <w:noProof/>
            <w:webHidden/>
          </w:rPr>
          <w:tab/>
        </w:r>
        <w:r w:rsidR="006066F5">
          <w:rPr>
            <w:noProof/>
            <w:webHidden/>
          </w:rPr>
          <w:fldChar w:fldCharType="begin"/>
        </w:r>
        <w:r w:rsidR="006066F5">
          <w:rPr>
            <w:noProof/>
            <w:webHidden/>
          </w:rPr>
          <w:instrText xml:space="preserve"> PAGEREF _Toc530058210 \h </w:instrText>
        </w:r>
        <w:r w:rsidR="006066F5">
          <w:rPr>
            <w:noProof/>
            <w:webHidden/>
          </w:rPr>
        </w:r>
        <w:r w:rsidR="006066F5">
          <w:rPr>
            <w:noProof/>
            <w:webHidden/>
          </w:rPr>
          <w:fldChar w:fldCharType="separate"/>
        </w:r>
        <w:r w:rsidR="00BA6C1E">
          <w:rPr>
            <w:noProof/>
            <w:webHidden/>
          </w:rPr>
          <w:t>23</w:t>
        </w:r>
        <w:r w:rsidR="006066F5">
          <w:rPr>
            <w:noProof/>
            <w:webHidden/>
          </w:rPr>
          <w:fldChar w:fldCharType="end"/>
        </w:r>
      </w:hyperlink>
    </w:p>
    <w:p w14:paraId="11DFE100" w14:textId="62B2946F" w:rsidR="006066F5" w:rsidRDefault="00C370EA">
      <w:pPr>
        <w:pStyle w:val="TOC2"/>
        <w:rPr>
          <w:rFonts w:eastAsiaTheme="minorEastAsia"/>
          <w:noProof/>
          <w:lang w:eastAsia="en-AU"/>
        </w:rPr>
      </w:pPr>
      <w:hyperlink w:anchor="_Toc530058211" w:history="1">
        <w:r w:rsidR="006066F5" w:rsidRPr="009F11B2">
          <w:rPr>
            <w:rStyle w:val="Hyperlink"/>
            <w:noProof/>
            <w14:scene3d>
              <w14:camera w14:prst="orthographicFront"/>
              <w14:lightRig w14:rig="threePt" w14:dir="t">
                <w14:rot w14:lat="0" w14:lon="0" w14:rev="0"/>
              </w14:lightRig>
            </w14:scene3d>
          </w:rPr>
          <w:t>12.5</w:t>
        </w:r>
        <w:r w:rsidR="006066F5">
          <w:rPr>
            <w:rFonts w:eastAsiaTheme="minorEastAsia"/>
            <w:noProof/>
            <w:lang w:eastAsia="en-AU"/>
          </w:rPr>
          <w:tab/>
        </w:r>
        <w:r w:rsidR="006066F5" w:rsidRPr="009F11B2">
          <w:rPr>
            <w:rStyle w:val="Hyperlink"/>
            <w:noProof/>
          </w:rPr>
          <w:t>Evaluation</w:t>
        </w:r>
        <w:r w:rsidR="006066F5">
          <w:rPr>
            <w:noProof/>
            <w:webHidden/>
          </w:rPr>
          <w:tab/>
        </w:r>
        <w:r w:rsidR="006066F5">
          <w:rPr>
            <w:noProof/>
            <w:webHidden/>
          </w:rPr>
          <w:fldChar w:fldCharType="begin"/>
        </w:r>
        <w:r w:rsidR="006066F5">
          <w:rPr>
            <w:noProof/>
            <w:webHidden/>
          </w:rPr>
          <w:instrText xml:space="preserve"> PAGEREF _Toc530058211 \h </w:instrText>
        </w:r>
        <w:r w:rsidR="006066F5">
          <w:rPr>
            <w:noProof/>
            <w:webHidden/>
          </w:rPr>
        </w:r>
        <w:r w:rsidR="006066F5">
          <w:rPr>
            <w:noProof/>
            <w:webHidden/>
          </w:rPr>
          <w:fldChar w:fldCharType="separate"/>
        </w:r>
        <w:r w:rsidR="00BA6C1E">
          <w:rPr>
            <w:noProof/>
            <w:webHidden/>
          </w:rPr>
          <w:t>24</w:t>
        </w:r>
        <w:r w:rsidR="006066F5">
          <w:rPr>
            <w:noProof/>
            <w:webHidden/>
          </w:rPr>
          <w:fldChar w:fldCharType="end"/>
        </w:r>
      </w:hyperlink>
    </w:p>
    <w:p w14:paraId="54C775A5" w14:textId="16D39B1F" w:rsidR="006066F5" w:rsidRDefault="00C370EA">
      <w:pPr>
        <w:pStyle w:val="TOC2"/>
        <w:rPr>
          <w:rFonts w:eastAsiaTheme="minorEastAsia"/>
          <w:noProof/>
          <w:lang w:eastAsia="en-AU"/>
        </w:rPr>
      </w:pPr>
      <w:hyperlink w:anchor="_Toc530058212" w:history="1">
        <w:r w:rsidR="006066F5" w:rsidRPr="009F11B2">
          <w:rPr>
            <w:rStyle w:val="Hyperlink"/>
            <w:noProof/>
            <w14:scene3d>
              <w14:camera w14:prst="orthographicFront"/>
              <w14:lightRig w14:rig="threePt" w14:dir="t">
                <w14:rot w14:lat="0" w14:lon="0" w14:rev="0"/>
              </w14:lightRig>
            </w14:scene3d>
          </w:rPr>
          <w:t>12.6</w:t>
        </w:r>
        <w:r w:rsidR="006066F5">
          <w:rPr>
            <w:rFonts w:eastAsiaTheme="minorEastAsia"/>
            <w:noProof/>
            <w:lang w:eastAsia="en-AU"/>
          </w:rPr>
          <w:tab/>
        </w:r>
        <w:r w:rsidR="006066F5" w:rsidRPr="009F11B2">
          <w:rPr>
            <w:rStyle w:val="Hyperlink"/>
            <w:noProof/>
          </w:rPr>
          <w:t>Acknowledgement</w:t>
        </w:r>
        <w:r w:rsidR="006066F5">
          <w:rPr>
            <w:noProof/>
            <w:webHidden/>
          </w:rPr>
          <w:tab/>
        </w:r>
        <w:r w:rsidR="006066F5">
          <w:rPr>
            <w:noProof/>
            <w:webHidden/>
          </w:rPr>
          <w:fldChar w:fldCharType="begin"/>
        </w:r>
        <w:r w:rsidR="006066F5">
          <w:rPr>
            <w:noProof/>
            <w:webHidden/>
          </w:rPr>
          <w:instrText xml:space="preserve"> PAGEREF _Toc530058212 \h </w:instrText>
        </w:r>
        <w:r w:rsidR="006066F5">
          <w:rPr>
            <w:noProof/>
            <w:webHidden/>
          </w:rPr>
        </w:r>
        <w:r w:rsidR="006066F5">
          <w:rPr>
            <w:noProof/>
            <w:webHidden/>
          </w:rPr>
          <w:fldChar w:fldCharType="separate"/>
        </w:r>
        <w:r w:rsidR="00BA6C1E">
          <w:rPr>
            <w:noProof/>
            <w:webHidden/>
          </w:rPr>
          <w:t>24</w:t>
        </w:r>
        <w:r w:rsidR="006066F5">
          <w:rPr>
            <w:noProof/>
            <w:webHidden/>
          </w:rPr>
          <w:fldChar w:fldCharType="end"/>
        </w:r>
      </w:hyperlink>
    </w:p>
    <w:p w14:paraId="02F92113" w14:textId="50E2AF42" w:rsidR="006066F5" w:rsidRDefault="00C370EA">
      <w:pPr>
        <w:pStyle w:val="TOC2"/>
        <w:rPr>
          <w:rFonts w:eastAsiaTheme="minorEastAsia"/>
          <w:noProof/>
          <w:lang w:eastAsia="en-AU"/>
        </w:rPr>
      </w:pPr>
      <w:hyperlink w:anchor="_Toc530058213" w:history="1">
        <w:r w:rsidR="006066F5" w:rsidRPr="009F11B2">
          <w:rPr>
            <w:rStyle w:val="Hyperlink"/>
            <w:noProof/>
            <w14:scene3d>
              <w14:camera w14:prst="orthographicFront"/>
              <w14:lightRig w14:rig="threePt" w14:dir="t">
                <w14:rot w14:lat="0" w14:lon="0" w14:rev="0"/>
              </w14:lightRig>
            </w14:scene3d>
          </w:rPr>
          <w:t>12.7</w:t>
        </w:r>
        <w:r w:rsidR="006066F5">
          <w:rPr>
            <w:rFonts w:eastAsiaTheme="minorEastAsia"/>
            <w:noProof/>
            <w:lang w:eastAsia="en-AU"/>
          </w:rPr>
          <w:tab/>
        </w:r>
        <w:r w:rsidR="006066F5" w:rsidRPr="009F11B2">
          <w:rPr>
            <w:rStyle w:val="Hyperlink"/>
            <w:noProof/>
          </w:rPr>
          <w:t>Multicultural Access and Equity</w:t>
        </w:r>
        <w:r w:rsidR="006066F5">
          <w:rPr>
            <w:noProof/>
            <w:webHidden/>
          </w:rPr>
          <w:tab/>
        </w:r>
        <w:r w:rsidR="006066F5">
          <w:rPr>
            <w:noProof/>
            <w:webHidden/>
          </w:rPr>
          <w:fldChar w:fldCharType="begin"/>
        </w:r>
        <w:r w:rsidR="006066F5">
          <w:rPr>
            <w:noProof/>
            <w:webHidden/>
          </w:rPr>
          <w:instrText xml:space="preserve"> PAGEREF _Toc530058213 \h </w:instrText>
        </w:r>
        <w:r w:rsidR="006066F5">
          <w:rPr>
            <w:noProof/>
            <w:webHidden/>
          </w:rPr>
        </w:r>
        <w:r w:rsidR="006066F5">
          <w:rPr>
            <w:noProof/>
            <w:webHidden/>
          </w:rPr>
          <w:fldChar w:fldCharType="separate"/>
        </w:r>
        <w:r w:rsidR="00BA6C1E">
          <w:rPr>
            <w:noProof/>
            <w:webHidden/>
          </w:rPr>
          <w:t>24</w:t>
        </w:r>
        <w:r w:rsidR="006066F5">
          <w:rPr>
            <w:noProof/>
            <w:webHidden/>
          </w:rPr>
          <w:fldChar w:fldCharType="end"/>
        </w:r>
      </w:hyperlink>
    </w:p>
    <w:p w14:paraId="2A76791F" w14:textId="42AADC94" w:rsidR="006066F5" w:rsidRDefault="00C370EA">
      <w:pPr>
        <w:pStyle w:val="TOC1"/>
        <w:rPr>
          <w:rFonts w:eastAsiaTheme="minorEastAsia"/>
          <w:b w:val="0"/>
          <w:noProof/>
          <w:sz w:val="22"/>
          <w:lang w:eastAsia="en-AU"/>
        </w:rPr>
      </w:pPr>
      <w:hyperlink w:anchor="_Toc530058214" w:history="1">
        <w:r w:rsidR="006066F5" w:rsidRPr="009F11B2">
          <w:rPr>
            <w:rStyle w:val="Hyperlink"/>
            <w:noProof/>
            <w14:scene3d>
              <w14:camera w14:prst="orthographicFront"/>
              <w14:lightRig w14:rig="threePt" w14:dir="t">
                <w14:rot w14:lat="0" w14:lon="0" w14:rev="0"/>
              </w14:lightRig>
            </w14:scene3d>
          </w:rPr>
          <w:t>13.</w:t>
        </w:r>
        <w:r w:rsidR="006066F5">
          <w:rPr>
            <w:rFonts w:eastAsiaTheme="minorEastAsia"/>
            <w:b w:val="0"/>
            <w:noProof/>
            <w:sz w:val="22"/>
            <w:lang w:eastAsia="en-AU"/>
          </w:rPr>
          <w:tab/>
        </w:r>
        <w:r w:rsidR="006066F5" w:rsidRPr="009F11B2">
          <w:rPr>
            <w:rStyle w:val="Hyperlink"/>
            <w:noProof/>
          </w:rPr>
          <w:t>Probity</w:t>
        </w:r>
        <w:r w:rsidR="006066F5">
          <w:rPr>
            <w:noProof/>
            <w:webHidden/>
          </w:rPr>
          <w:tab/>
        </w:r>
        <w:r w:rsidR="006066F5">
          <w:rPr>
            <w:noProof/>
            <w:webHidden/>
          </w:rPr>
          <w:fldChar w:fldCharType="begin"/>
        </w:r>
        <w:r w:rsidR="006066F5">
          <w:rPr>
            <w:noProof/>
            <w:webHidden/>
          </w:rPr>
          <w:instrText xml:space="preserve"> PAGEREF _Toc530058214 \h </w:instrText>
        </w:r>
        <w:r w:rsidR="006066F5">
          <w:rPr>
            <w:noProof/>
            <w:webHidden/>
          </w:rPr>
        </w:r>
        <w:r w:rsidR="006066F5">
          <w:rPr>
            <w:noProof/>
            <w:webHidden/>
          </w:rPr>
          <w:fldChar w:fldCharType="separate"/>
        </w:r>
        <w:r w:rsidR="00BA6C1E">
          <w:rPr>
            <w:noProof/>
            <w:webHidden/>
          </w:rPr>
          <w:t>25</w:t>
        </w:r>
        <w:r w:rsidR="006066F5">
          <w:rPr>
            <w:noProof/>
            <w:webHidden/>
          </w:rPr>
          <w:fldChar w:fldCharType="end"/>
        </w:r>
      </w:hyperlink>
    </w:p>
    <w:p w14:paraId="1E115BFB" w14:textId="49B6DBC6" w:rsidR="006066F5" w:rsidRDefault="00C370EA">
      <w:pPr>
        <w:pStyle w:val="TOC2"/>
        <w:rPr>
          <w:rFonts w:eastAsiaTheme="minorEastAsia"/>
          <w:noProof/>
          <w:lang w:eastAsia="en-AU"/>
        </w:rPr>
      </w:pPr>
      <w:hyperlink w:anchor="_Toc530058215" w:history="1">
        <w:r w:rsidR="006066F5" w:rsidRPr="009F11B2">
          <w:rPr>
            <w:rStyle w:val="Hyperlink"/>
            <w:noProof/>
            <w14:scene3d>
              <w14:camera w14:prst="orthographicFront"/>
              <w14:lightRig w14:rig="threePt" w14:dir="t">
                <w14:rot w14:lat="0" w14:lon="0" w14:rev="0"/>
              </w14:lightRig>
            </w14:scene3d>
          </w:rPr>
          <w:t>13.1</w:t>
        </w:r>
        <w:r w:rsidR="006066F5">
          <w:rPr>
            <w:rFonts w:eastAsiaTheme="minorEastAsia"/>
            <w:noProof/>
            <w:lang w:eastAsia="en-AU"/>
          </w:rPr>
          <w:tab/>
        </w:r>
        <w:r w:rsidR="006066F5" w:rsidRPr="009F11B2">
          <w:rPr>
            <w:rStyle w:val="Hyperlink"/>
            <w:noProof/>
          </w:rPr>
          <w:t>Complaints process</w:t>
        </w:r>
        <w:r w:rsidR="006066F5">
          <w:rPr>
            <w:noProof/>
            <w:webHidden/>
          </w:rPr>
          <w:tab/>
        </w:r>
        <w:r w:rsidR="006066F5">
          <w:rPr>
            <w:noProof/>
            <w:webHidden/>
          </w:rPr>
          <w:fldChar w:fldCharType="begin"/>
        </w:r>
        <w:r w:rsidR="006066F5">
          <w:rPr>
            <w:noProof/>
            <w:webHidden/>
          </w:rPr>
          <w:instrText xml:space="preserve"> PAGEREF _Toc530058215 \h </w:instrText>
        </w:r>
        <w:r w:rsidR="006066F5">
          <w:rPr>
            <w:noProof/>
            <w:webHidden/>
          </w:rPr>
        </w:r>
        <w:r w:rsidR="006066F5">
          <w:rPr>
            <w:noProof/>
            <w:webHidden/>
          </w:rPr>
          <w:fldChar w:fldCharType="separate"/>
        </w:r>
        <w:r w:rsidR="00BA6C1E">
          <w:rPr>
            <w:noProof/>
            <w:webHidden/>
          </w:rPr>
          <w:t>25</w:t>
        </w:r>
        <w:r w:rsidR="006066F5">
          <w:rPr>
            <w:noProof/>
            <w:webHidden/>
          </w:rPr>
          <w:fldChar w:fldCharType="end"/>
        </w:r>
      </w:hyperlink>
    </w:p>
    <w:p w14:paraId="1B025BC4" w14:textId="104AC7D8" w:rsidR="006066F5" w:rsidRDefault="00C370EA">
      <w:pPr>
        <w:pStyle w:val="TOC2"/>
        <w:rPr>
          <w:rFonts w:eastAsiaTheme="minorEastAsia"/>
          <w:noProof/>
          <w:lang w:eastAsia="en-AU"/>
        </w:rPr>
      </w:pPr>
      <w:hyperlink w:anchor="_Toc530058216" w:history="1">
        <w:r w:rsidR="006066F5" w:rsidRPr="009F11B2">
          <w:rPr>
            <w:rStyle w:val="Hyperlink"/>
            <w:noProof/>
            <w14:scene3d>
              <w14:camera w14:prst="orthographicFront"/>
              <w14:lightRig w14:rig="threePt" w14:dir="t">
                <w14:rot w14:lat="0" w14:lon="0" w14:rev="0"/>
              </w14:lightRig>
            </w14:scene3d>
          </w:rPr>
          <w:t>13.2</w:t>
        </w:r>
        <w:r w:rsidR="006066F5">
          <w:rPr>
            <w:rFonts w:eastAsiaTheme="minorEastAsia"/>
            <w:noProof/>
            <w:lang w:eastAsia="en-AU"/>
          </w:rPr>
          <w:tab/>
        </w:r>
        <w:r w:rsidR="006066F5" w:rsidRPr="009F11B2">
          <w:rPr>
            <w:rStyle w:val="Hyperlink"/>
            <w:noProof/>
          </w:rPr>
          <w:t>Conflict of interest</w:t>
        </w:r>
        <w:r w:rsidR="006066F5">
          <w:rPr>
            <w:noProof/>
            <w:webHidden/>
          </w:rPr>
          <w:tab/>
        </w:r>
        <w:r w:rsidR="006066F5">
          <w:rPr>
            <w:noProof/>
            <w:webHidden/>
          </w:rPr>
          <w:fldChar w:fldCharType="begin"/>
        </w:r>
        <w:r w:rsidR="006066F5">
          <w:rPr>
            <w:noProof/>
            <w:webHidden/>
          </w:rPr>
          <w:instrText xml:space="preserve"> PAGEREF _Toc530058216 \h </w:instrText>
        </w:r>
        <w:r w:rsidR="006066F5">
          <w:rPr>
            <w:noProof/>
            <w:webHidden/>
          </w:rPr>
        </w:r>
        <w:r w:rsidR="006066F5">
          <w:rPr>
            <w:noProof/>
            <w:webHidden/>
          </w:rPr>
          <w:fldChar w:fldCharType="separate"/>
        </w:r>
        <w:r w:rsidR="00BA6C1E">
          <w:rPr>
            <w:noProof/>
            <w:webHidden/>
          </w:rPr>
          <w:t>26</w:t>
        </w:r>
        <w:r w:rsidR="006066F5">
          <w:rPr>
            <w:noProof/>
            <w:webHidden/>
          </w:rPr>
          <w:fldChar w:fldCharType="end"/>
        </w:r>
      </w:hyperlink>
    </w:p>
    <w:p w14:paraId="44872ECB" w14:textId="22FF89DD" w:rsidR="006066F5" w:rsidRDefault="00C370EA">
      <w:pPr>
        <w:pStyle w:val="TOC2"/>
        <w:rPr>
          <w:rFonts w:eastAsiaTheme="minorEastAsia"/>
          <w:noProof/>
          <w:lang w:eastAsia="en-AU"/>
        </w:rPr>
      </w:pPr>
      <w:hyperlink w:anchor="_Toc530058217" w:history="1">
        <w:r w:rsidR="006066F5" w:rsidRPr="009F11B2">
          <w:rPr>
            <w:rStyle w:val="Hyperlink"/>
            <w:noProof/>
            <w14:scene3d>
              <w14:camera w14:prst="orthographicFront"/>
              <w14:lightRig w14:rig="threePt" w14:dir="t">
                <w14:rot w14:lat="0" w14:lon="0" w14:rev="0"/>
              </w14:lightRig>
            </w14:scene3d>
          </w:rPr>
          <w:t>13.3</w:t>
        </w:r>
        <w:r w:rsidR="006066F5">
          <w:rPr>
            <w:rFonts w:eastAsiaTheme="minorEastAsia"/>
            <w:noProof/>
            <w:lang w:eastAsia="en-AU"/>
          </w:rPr>
          <w:tab/>
        </w:r>
        <w:r w:rsidR="006066F5" w:rsidRPr="009F11B2">
          <w:rPr>
            <w:rStyle w:val="Hyperlink"/>
            <w:noProof/>
          </w:rPr>
          <w:t>Privacy: confidentiality and protection of personal information</w:t>
        </w:r>
        <w:r w:rsidR="006066F5">
          <w:rPr>
            <w:noProof/>
            <w:webHidden/>
          </w:rPr>
          <w:tab/>
        </w:r>
        <w:r w:rsidR="006066F5">
          <w:rPr>
            <w:noProof/>
            <w:webHidden/>
          </w:rPr>
          <w:fldChar w:fldCharType="begin"/>
        </w:r>
        <w:r w:rsidR="006066F5">
          <w:rPr>
            <w:noProof/>
            <w:webHidden/>
          </w:rPr>
          <w:instrText xml:space="preserve"> PAGEREF _Toc530058217 \h </w:instrText>
        </w:r>
        <w:r w:rsidR="006066F5">
          <w:rPr>
            <w:noProof/>
            <w:webHidden/>
          </w:rPr>
        </w:r>
        <w:r w:rsidR="006066F5">
          <w:rPr>
            <w:noProof/>
            <w:webHidden/>
          </w:rPr>
          <w:fldChar w:fldCharType="separate"/>
        </w:r>
        <w:r w:rsidR="00BA6C1E">
          <w:rPr>
            <w:noProof/>
            <w:webHidden/>
          </w:rPr>
          <w:t>26</w:t>
        </w:r>
        <w:r w:rsidR="006066F5">
          <w:rPr>
            <w:noProof/>
            <w:webHidden/>
          </w:rPr>
          <w:fldChar w:fldCharType="end"/>
        </w:r>
      </w:hyperlink>
    </w:p>
    <w:p w14:paraId="111AEB41" w14:textId="26930F5A" w:rsidR="006066F5" w:rsidRDefault="00C370EA">
      <w:pPr>
        <w:pStyle w:val="TOC2"/>
        <w:rPr>
          <w:rFonts w:eastAsiaTheme="minorEastAsia"/>
          <w:noProof/>
          <w:lang w:eastAsia="en-AU"/>
        </w:rPr>
      </w:pPr>
      <w:hyperlink w:anchor="_Toc530058218" w:history="1">
        <w:r w:rsidR="006066F5" w:rsidRPr="009F11B2">
          <w:rPr>
            <w:rStyle w:val="Hyperlink"/>
            <w:noProof/>
            <w14:scene3d>
              <w14:camera w14:prst="orthographicFront"/>
              <w14:lightRig w14:rig="threePt" w14:dir="t">
                <w14:rot w14:lat="0" w14:lon="0" w14:rev="0"/>
              </w14:lightRig>
            </w14:scene3d>
          </w:rPr>
          <w:t>13.4</w:t>
        </w:r>
        <w:r w:rsidR="006066F5">
          <w:rPr>
            <w:rFonts w:eastAsiaTheme="minorEastAsia"/>
            <w:noProof/>
            <w:lang w:eastAsia="en-AU"/>
          </w:rPr>
          <w:tab/>
        </w:r>
        <w:r w:rsidR="006066F5" w:rsidRPr="009F11B2">
          <w:rPr>
            <w:rStyle w:val="Hyperlink"/>
            <w:noProof/>
          </w:rPr>
          <w:t>Freedom of information</w:t>
        </w:r>
        <w:r w:rsidR="006066F5">
          <w:rPr>
            <w:noProof/>
            <w:webHidden/>
          </w:rPr>
          <w:tab/>
        </w:r>
        <w:r w:rsidR="006066F5">
          <w:rPr>
            <w:noProof/>
            <w:webHidden/>
          </w:rPr>
          <w:fldChar w:fldCharType="begin"/>
        </w:r>
        <w:r w:rsidR="006066F5">
          <w:rPr>
            <w:noProof/>
            <w:webHidden/>
          </w:rPr>
          <w:instrText xml:space="preserve"> PAGEREF _Toc530058218 \h </w:instrText>
        </w:r>
        <w:r w:rsidR="006066F5">
          <w:rPr>
            <w:noProof/>
            <w:webHidden/>
          </w:rPr>
        </w:r>
        <w:r w:rsidR="006066F5">
          <w:rPr>
            <w:noProof/>
            <w:webHidden/>
          </w:rPr>
          <w:fldChar w:fldCharType="separate"/>
        </w:r>
        <w:r w:rsidR="00BA6C1E">
          <w:rPr>
            <w:noProof/>
            <w:webHidden/>
          </w:rPr>
          <w:t>28</w:t>
        </w:r>
        <w:r w:rsidR="006066F5">
          <w:rPr>
            <w:noProof/>
            <w:webHidden/>
          </w:rPr>
          <w:fldChar w:fldCharType="end"/>
        </w:r>
      </w:hyperlink>
    </w:p>
    <w:p w14:paraId="50BFD75B" w14:textId="662BFF08" w:rsidR="006066F5" w:rsidRDefault="00C370EA">
      <w:pPr>
        <w:pStyle w:val="TOC1"/>
        <w:rPr>
          <w:rFonts w:eastAsiaTheme="minorEastAsia"/>
          <w:b w:val="0"/>
          <w:noProof/>
          <w:sz w:val="22"/>
          <w:lang w:eastAsia="en-AU"/>
        </w:rPr>
      </w:pPr>
      <w:hyperlink w:anchor="_Toc530058219" w:history="1">
        <w:r w:rsidR="006066F5" w:rsidRPr="009F11B2">
          <w:rPr>
            <w:rStyle w:val="Hyperlink"/>
            <w:noProof/>
            <w14:scene3d>
              <w14:camera w14:prst="orthographicFront"/>
              <w14:lightRig w14:rig="threePt" w14:dir="t">
                <w14:rot w14:lat="0" w14:lon="0" w14:rev="0"/>
              </w14:lightRig>
            </w14:scene3d>
          </w:rPr>
          <w:t>14.</w:t>
        </w:r>
        <w:r w:rsidR="006066F5">
          <w:rPr>
            <w:rFonts w:eastAsiaTheme="minorEastAsia"/>
            <w:b w:val="0"/>
            <w:noProof/>
            <w:sz w:val="22"/>
            <w:lang w:eastAsia="en-AU"/>
          </w:rPr>
          <w:tab/>
        </w:r>
        <w:r w:rsidR="006066F5" w:rsidRPr="009F11B2">
          <w:rPr>
            <w:rStyle w:val="Hyperlink"/>
            <w:noProof/>
          </w:rPr>
          <w:t>Consultation</w:t>
        </w:r>
        <w:r w:rsidR="006066F5">
          <w:rPr>
            <w:noProof/>
            <w:webHidden/>
          </w:rPr>
          <w:tab/>
        </w:r>
        <w:r w:rsidR="006066F5">
          <w:rPr>
            <w:noProof/>
            <w:webHidden/>
          </w:rPr>
          <w:fldChar w:fldCharType="begin"/>
        </w:r>
        <w:r w:rsidR="006066F5">
          <w:rPr>
            <w:noProof/>
            <w:webHidden/>
          </w:rPr>
          <w:instrText xml:space="preserve"> PAGEREF _Toc530058219 \h </w:instrText>
        </w:r>
        <w:r w:rsidR="006066F5">
          <w:rPr>
            <w:noProof/>
            <w:webHidden/>
          </w:rPr>
        </w:r>
        <w:r w:rsidR="006066F5">
          <w:rPr>
            <w:noProof/>
            <w:webHidden/>
          </w:rPr>
          <w:fldChar w:fldCharType="separate"/>
        </w:r>
        <w:r w:rsidR="00BA6C1E">
          <w:rPr>
            <w:noProof/>
            <w:webHidden/>
          </w:rPr>
          <w:t>28</w:t>
        </w:r>
        <w:r w:rsidR="006066F5">
          <w:rPr>
            <w:noProof/>
            <w:webHidden/>
          </w:rPr>
          <w:fldChar w:fldCharType="end"/>
        </w:r>
      </w:hyperlink>
    </w:p>
    <w:p w14:paraId="6AB5A77B" w14:textId="7A35FFEB" w:rsidR="006066F5" w:rsidRDefault="00C370EA">
      <w:pPr>
        <w:pStyle w:val="TOC1"/>
        <w:rPr>
          <w:rFonts w:eastAsiaTheme="minorEastAsia"/>
          <w:b w:val="0"/>
          <w:noProof/>
          <w:sz w:val="22"/>
          <w:lang w:eastAsia="en-AU"/>
        </w:rPr>
      </w:pPr>
      <w:hyperlink w:anchor="_Toc530058220" w:history="1">
        <w:r w:rsidR="006066F5" w:rsidRPr="009F11B2">
          <w:rPr>
            <w:rStyle w:val="Hyperlink"/>
            <w:noProof/>
            <w14:scene3d>
              <w14:camera w14:prst="orthographicFront"/>
              <w14:lightRig w14:rig="threePt" w14:dir="t">
                <w14:rot w14:lat="0" w14:lon="0" w14:rev="0"/>
              </w14:lightRig>
            </w14:scene3d>
          </w:rPr>
          <w:t>15.</w:t>
        </w:r>
        <w:r w:rsidR="006066F5">
          <w:rPr>
            <w:rFonts w:eastAsiaTheme="minorEastAsia"/>
            <w:b w:val="0"/>
            <w:noProof/>
            <w:sz w:val="22"/>
            <w:lang w:eastAsia="en-AU"/>
          </w:rPr>
          <w:tab/>
        </w:r>
        <w:r w:rsidR="006066F5" w:rsidRPr="009F11B2">
          <w:rPr>
            <w:rStyle w:val="Hyperlink"/>
            <w:noProof/>
          </w:rPr>
          <w:t>Glossary</w:t>
        </w:r>
        <w:r w:rsidR="006066F5">
          <w:rPr>
            <w:noProof/>
            <w:webHidden/>
          </w:rPr>
          <w:tab/>
        </w:r>
        <w:r w:rsidR="006066F5">
          <w:rPr>
            <w:noProof/>
            <w:webHidden/>
          </w:rPr>
          <w:fldChar w:fldCharType="begin"/>
        </w:r>
        <w:r w:rsidR="006066F5">
          <w:rPr>
            <w:noProof/>
            <w:webHidden/>
          </w:rPr>
          <w:instrText xml:space="preserve"> PAGEREF _Toc530058220 \h </w:instrText>
        </w:r>
        <w:r w:rsidR="006066F5">
          <w:rPr>
            <w:noProof/>
            <w:webHidden/>
          </w:rPr>
        </w:r>
        <w:r w:rsidR="006066F5">
          <w:rPr>
            <w:noProof/>
            <w:webHidden/>
          </w:rPr>
          <w:fldChar w:fldCharType="separate"/>
        </w:r>
        <w:r w:rsidR="00BA6C1E">
          <w:rPr>
            <w:noProof/>
            <w:webHidden/>
          </w:rPr>
          <w:t>30</w:t>
        </w:r>
        <w:r w:rsidR="006066F5">
          <w:rPr>
            <w:noProof/>
            <w:webHidden/>
          </w:rPr>
          <w:fldChar w:fldCharType="end"/>
        </w:r>
      </w:hyperlink>
    </w:p>
    <w:p w14:paraId="55E70953" w14:textId="33E3E8E5" w:rsidR="006066F5" w:rsidRDefault="00C370EA">
      <w:pPr>
        <w:pStyle w:val="TOC1"/>
        <w:rPr>
          <w:rFonts w:eastAsiaTheme="minorEastAsia"/>
          <w:b w:val="0"/>
          <w:noProof/>
          <w:sz w:val="22"/>
          <w:lang w:eastAsia="en-AU"/>
        </w:rPr>
      </w:pPr>
      <w:hyperlink w:anchor="_Toc530058221" w:history="1">
        <w:r w:rsidR="006066F5" w:rsidRPr="009F11B2">
          <w:rPr>
            <w:rStyle w:val="Hyperlink"/>
            <w:noProof/>
            <w14:scene3d>
              <w14:camera w14:prst="orthographicFront"/>
              <w14:lightRig w14:rig="threePt" w14:dir="t">
                <w14:rot w14:lat="0" w14:lon="0" w14:rev="0"/>
              </w14:lightRig>
            </w14:scene3d>
          </w:rPr>
          <w:t>16.</w:t>
        </w:r>
        <w:r w:rsidR="006066F5">
          <w:rPr>
            <w:rFonts w:eastAsiaTheme="minorEastAsia"/>
            <w:b w:val="0"/>
            <w:noProof/>
            <w:sz w:val="22"/>
            <w:lang w:eastAsia="en-AU"/>
          </w:rPr>
          <w:tab/>
        </w:r>
        <w:r w:rsidR="006066F5" w:rsidRPr="009F11B2">
          <w:rPr>
            <w:rStyle w:val="Hyperlink"/>
            <w:noProof/>
          </w:rPr>
          <w:t>Appendix A: Three Stages of the Integrated Plan for Carer Support Services</w:t>
        </w:r>
        <w:r w:rsidR="006066F5">
          <w:rPr>
            <w:noProof/>
            <w:webHidden/>
          </w:rPr>
          <w:tab/>
        </w:r>
        <w:r w:rsidR="006066F5">
          <w:rPr>
            <w:noProof/>
            <w:webHidden/>
          </w:rPr>
          <w:fldChar w:fldCharType="begin"/>
        </w:r>
        <w:r w:rsidR="006066F5">
          <w:rPr>
            <w:noProof/>
            <w:webHidden/>
          </w:rPr>
          <w:instrText xml:space="preserve"> PAGEREF _Toc530058221 \h </w:instrText>
        </w:r>
        <w:r w:rsidR="006066F5">
          <w:rPr>
            <w:noProof/>
            <w:webHidden/>
          </w:rPr>
        </w:r>
        <w:r w:rsidR="006066F5">
          <w:rPr>
            <w:noProof/>
            <w:webHidden/>
          </w:rPr>
          <w:fldChar w:fldCharType="separate"/>
        </w:r>
        <w:r w:rsidR="00BA6C1E">
          <w:rPr>
            <w:noProof/>
            <w:webHidden/>
          </w:rPr>
          <w:t>32</w:t>
        </w:r>
        <w:r w:rsidR="006066F5">
          <w:rPr>
            <w:noProof/>
            <w:webHidden/>
          </w:rPr>
          <w:fldChar w:fldCharType="end"/>
        </w:r>
      </w:hyperlink>
    </w:p>
    <w:p w14:paraId="60CEC794" w14:textId="0AC12A0F" w:rsidR="00934587" w:rsidRDefault="00ED30E7" w:rsidP="00CC2AA4">
      <w:r>
        <w:rPr>
          <w:b/>
          <w:sz w:val="19"/>
        </w:rPr>
        <w:fldChar w:fldCharType="end"/>
      </w:r>
    </w:p>
    <w:p w14:paraId="77CB7046" w14:textId="77777777" w:rsidR="00B9726A" w:rsidRDefault="00B9726A">
      <w:pPr>
        <w:suppressAutoHyphens w:val="0"/>
        <w:spacing w:before="0" w:after="120" w:line="440" w:lineRule="atLeast"/>
        <w:rPr>
          <w:b/>
          <w:sz w:val="10"/>
        </w:rPr>
      </w:pPr>
      <w:r>
        <w:rPr>
          <w:b/>
          <w:sz w:val="10"/>
        </w:rPr>
        <w:br w:type="page"/>
      </w:r>
    </w:p>
    <w:p w14:paraId="3E05A46D" w14:textId="77777777" w:rsidR="00EE2B1C" w:rsidRPr="00F40BDA" w:rsidRDefault="00762587" w:rsidP="00EE2B1C">
      <w:pPr>
        <w:pStyle w:val="Heading1Numbered"/>
      </w:pPr>
      <w:bookmarkStart w:id="2" w:name="_Toc458420391"/>
      <w:bookmarkStart w:id="3" w:name="_Toc467773950"/>
      <w:bookmarkStart w:id="4" w:name="_Toc530058172"/>
      <w:r w:rsidRPr="00EA515D">
        <w:rPr>
          <w:color w:val="auto"/>
        </w:rPr>
        <w:lastRenderedPageBreak/>
        <w:t xml:space="preserve">Integrated Carer Support Service: </w:t>
      </w:r>
      <w:r w:rsidR="009A4A1C">
        <w:rPr>
          <w:color w:val="auto"/>
        </w:rPr>
        <w:t xml:space="preserve">Carer Gateway </w:t>
      </w:r>
      <w:r w:rsidR="00763B4D">
        <w:rPr>
          <w:color w:val="auto"/>
        </w:rPr>
        <w:t>r</w:t>
      </w:r>
      <w:r w:rsidRPr="00EA515D">
        <w:rPr>
          <w:color w:val="auto"/>
        </w:rPr>
        <w:t xml:space="preserve">egional </w:t>
      </w:r>
      <w:r w:rsidR="00763B4D">
        <w:rPr>
          <w:color w:val="auto"/>
        </w:rPr>
        <w:t>d</w:t>
      </w:r>
      <w:r w:rsidRPr="00EA515D">
        <w:rPr>
          <w:color w:val="auto"/>
        </w:rPr>
        <w:t xml:space="preserve">elivery </w:t>
      </w:r>
      <w:r w:rsidR="00763B4D">
        <w:rPr>
          <w:color w:val="auto"/>
        </w:rPr>
        <w:t>p</w:t>
      </w:r>
      <w:r w:rsidRPr="00EA515D">
        <w:rPr>
          <w:color w:val="auto"/>
        </w:rPr>
        <w:t>artners</w:t>
      </w:r>
      <w:r w:rsidR="009C0EA9">
        <w:rPr>
          <w:color w:val="auto"/>
        </w:rPr>
        <w:t xml:space="preserve"> (RDPs)</w:t>
      </w:r>
      <w:r w:rsidRPr="00EA515D">
        <w:rPr>
          <w:color w:val="auto"/>
        </w:rPr>
        <w:t xml:space="preserve"> Grant O</w:t>
      </w:r>
      <w:r w:rsidR="00EE2B1C" w:rsidRPr="00EA515D">
        <w:rPr>
          <w:color w:val="auto"/>
        </w:rPr>
        <w:t>pportunity</w:t>
      </w:r>
      <w:r w:rsidR="00EE2B1C" w:rsidRPr="004D589A">
        <w:rPr>
          <w:color w:val="auto"/>
        </w:rPr>
        <w:t xml:space="preserve"> </w:t>
      </w:r>
      <w:r w:rsidR="00EE2B1C" w:rsidRPr="00295521">
        <w:rPr>
          <w:color w:val="auto"/>
        </w:rPr>
        <w:t>Processes</w:t>
      </w:r>
      <w:bookmarkEnd w:id="2"/>
      <w:bookmarkEnd w:id="3"/>
      <w:bookmarkEnd w:id="4"/>
    </w:p>
    <w:p w14:paraId="7981C0A9" w14:textId="77777777" w:rsidR="003C7ABE" w:rsidRPr="00923688" w:rsidRDefault="003C7ABE" w:rsidP="003C7ABE">
      <w:pPr>
        <w:pBdr>
          <w:top w:val="single" w:sz="4" w:space="1" w:color="auto"/>
          <w:left w:val="single" w:sz="4" w:space="4" w:color="auto"/>
          <w:bottom w:val="single" w:sz="4" w:space="1" w:color="auto"/>
          <w:right w:val="single" w:sz="4" w:space="4" w:color="auto"/>
        </w:pBdr>
        <w:spacing w:after="0"/>
        <w:jc w:val="center"/>
        <w:rPr>
          <w:b/>
        </w:rPr>
      </w:pPr>
      <w:r w:rsidRPr="00923688">
        <w:rPr>
          <w:b/>
        </w:rPr>
        <w:t xml:space="preserve">The Integrated Carer Support Service is designed to achieve Australian Government objectives </w:t>
      </w:r>
    </w:p>
    <w:p w14:paraId="01C91626" w14:textId="77777777" w:rsidR="003C7ABE" w:rsidRPr="003C7ABE" w:rsidRDefault="003C7ABE" w:rsidP="003C7ABE">
      <w:pPr>
        <w:pBdr>
          <w:top w:val="single" w:sz="4" w:space="1" w:color="auto"/>
          <w:left w:val="single" w:sz="4" w:space="4" w:color="auto"/>
          <w:bottom w:val="single" w:sz="4" w:space="1" w:color="auto"/>
          <w:right w:val="single" w:sz="4" w:space="4" w:color="auto"/>
        </w:pBdr>
        <w:spacing w:after="0"/>
        <w:jc w:val="center"/>
      </w:pPr>
      <w:r w:rsidRPr="003C7ABE">
        <w:t xml:space="preserve">This </w:t>
      </w:r>
      <w:r w:rsidR="00505A6E">
        <w:t>Grant O</w:t>
      </w:r>
      <w:r w:rsidRPr="003C7ABE">
        <w:t xml:space="preserve">pportunity is part of the Integrated Carer Support Service which contributes to </w:t>
      </w:r>
      <w:r w:rsidR="00723218">
        <w:t>the Department of Social Services</w:t>
      </w:r>
      <w:r w:rsidRPr="003C7ABE">
        <w:t xml:space="preserve"> (DSS) Outcome </w:t>
      </w:r>
      <w:r w:rsidR="00CA1B49" w:rsidRPr="00031A5F">
        <w:t>3.1</w:t>
      </w:r>
      <w:r w:rsidRPr="00031A5F">
        <w:t>.</w:t>
      </w:r>
      <w:r w:rsidRPr="003C7ABE">
        <w:t xml:space="preserve"> </w:t>
      </w:r>
    </w:p>
    <w:p w14:paraId="1A6361EF" w14:textId="77777777" w:rsidR="003C7ABE" w:rsidRPr="003C7ABE" w:rsidRDefault="003C7ABE" w:rsidP="003C7ABE">
      <w:pPr>
        <w:pBdr>
          <w:top w:val="single" w:sz="4" w:space="1" w:color="auto"/>
          <w:left w:val="single" w:sz="4" w:space="4" w:color="auto"/>
          <w:bottom w:val="single" w:sz="4" w:space="1" w:color="auto"/>
          <w:right w:val="single" w:sz="4" w:space="4" w:color="auto"/>
        </w:pBdr>
        <w:spacing w:after="0"/>
        <w:jc w:val="center"/>
      </w:pPr>
      <w:r w:rsidRPr="003C7ABE">
        <w:t xml:space="preserve">DSS works with stakeholders to plan and design the Grant Program according to the </w:t>
      </w:r>
      <w:r w:rsidRPr="003C7ABE">
        <w:rPr>
          <w:i/>
        </w:rPr>
        <w:t>Commonwealth Grants Rules and Guidelines</w:t>
      </w:r>
      <w:r w:rsidR="00644212">
        <w:rPr>
          <w:i/>
        </w:rPr>
        <w:t xml:space="preserve"> 2017</w:t>
      </w:r>
      <w:r w:rsidRPr="003C7ABE">
        <w:t>.</w:t>
      </w:r>
    </w:p>
    <w:p w14:paraId="71B0D52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7EE4D61" w14:textId="77777777" w:rsidR="00EE2B1C" w:rsidRDefault="00505A6E" w:rsidP="00EE2B1C">
      <w:pPr>
        <w:pBdr>
          <w:top w:val="single" w:sz="2" w:space="1" w:color="auto"/>
          <w:left w:val="single" w:sz="2" w:space="4" w:color="auto"/>
          <w:bottom w:val="single" w:sz="2" w:space="1" w:color="auto"/>
          <w:right w:val="single" w:sz="2" w:space="4" w:color="auto"/>
        </w:pBdr>
        <w:spacing w:after="0"/>
        <w:jc w:val="center"/>
        <w:rPr>
          <w:b/>
        </w:rPr>
      </w:pPr>
      <w:r>
        <w:rPr>
          <w:b/>
        </w:rPr>
        <w:t>The Grant O</w:t>
      </w:r>
      <w:r w:rsidR="00EE2B1C" w:rsidRPr="00F40BDA">
        <w:rPr>
          <w:b/>
        </w:rPr>
        <w:t>pportunity opens</w:t>
      </w:r>
    </w:p>
    <w:p w14:paraId="7C1B40CD" w14:textId="77777777" w:rsidR="003C7ABE" w:rsidRPr="003C7ABE" w:rsidRDefault="003C7ABE" w:rsidP="003C7ABE">
      <w:pPr>
        <w:pBdr>
          <w:top w:val="single" w:sz="2" w:space="1" w:color="auto"/>
          <w:left w:val="single" w:sz="2" w:space="4" w:color="auto"/>
          <w:bottom w:val="single" w:sz="2" w:space="1" w:color="auto"/>
          <w:right w:val="single" w:sz="2" w:space="4" w:color="auto"/>
        </w:pBdr>
        <w:spacing w:after="0"/>
        <w:jc w:val="center"/>
      </w:pPr>
      <w:r w:rsidRPr="003C7ABE">
        <w:t xml:space="preserve">We publish the grant guidelines and advertise on the </w:t>
      </w:r>
      <w:hyperlink r:id="rId9" w:history="1">
        <w:r w:rsidRPr="003C7ABE">
          <w:rPr>
            <w:rStyle w:val="Hyperlink"/>
            <w:rFonts w:cstheme="minorBidi"/>
          </w:rPr>
          <w:t>GrantConnect</w:t>
        </w:r>
      </w:hyperlink>
      <w:r w:rsidRPr="003C7ABE">
        <w:t xml:space="preserve"> and </w:t>
      </w:r>
      <w:hyperlink r:id="rId10" w:history="1">
        <w:r w:rsidRPr="003C7ABE">
          <w:rPr>
            <w:rStyle w:val="Hyperlink"/>
            <w:rFonts w:cstheme="minorBidi"/>
          </w:rPr>
          <w:t>Community Grants Hub</w:t>
        </w:r>
      </w:hyperlink>
      <w:r w:rsidRPr="003C7ABE">
        <w:t xml:space="preserve"> websites. </w:t>
      </w:r>
    </w:p>
    <w:p w14:paraId="3C91EC0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5180C8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46A55DED" w14:textId="77777777" w:rsidR="003C7ABE" w:rsidRPr="003C7ABE" w:rsidRDefault="003C7ABE" w:rsidP="003C7ABE">
      <w:pPr>
        <w:pBdr>
          <w:top w:val="single" w:sz="2" w:space="1" w:color="auto"/>
          <w:left w:val="single" w:sz="2" w:space="4" w:color="auto"/>
          <w:bottom w:val="single" w:sz="2" w:space="1" w:color="auto"/>
          <w:right w:val="single" w:sz="2" w:space="4" w:color="auto"/>
        </w:pBdr>
        <w:spacing w:after="0"/>
        <w:jc w:val="center"/>
      </w:pPr>
      <w:r w:rsidRPr="003C7ABE">
        <w:t xml:space="preserve">You must read these grant guidelines before you submit your application. Further information can be found on </w:t>
      </w:r>
      <w:hyperlink r:id="rId11" w:history="1">
        <w:r w:rsidRPr="003C7ABE">
          <w:rPr>
            <w:rStyle w:val="Hyperlink"/>
            <w:rFonts w:cstheme="minorBidi"/>
          </w:rPr>
          <w:t>GrantConnect</w:t>
        </w:r>
      </w:hyperlink>
      <w:r w:rsidR="00505A6E">
        <w:t>. Note: Any addenda for this Grant O</w:t>
      </w:r>
      <w:r w:rsidRPr="003C7ABE">
        <w:t>pportunity will be published on GrantConnect, and by registering on this website you will be automatically notified of any changes.</w:t>
      </w:r>
    </w:p>
    <w:p w14:paraId="5111207E"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91861FC" w14:textId="77777777" w:rsidR="00EE2B1C" w:rsidRDefault="003C7ABE"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w:t>
      </w:r>
      <w:r w:rsidR="00EE2B1C">
        <w:rPr>
          <w:b/>
        </w:rPr>
        <w:t xml:space="preserve">assess all </w:t>
      </w:r>
      <w:r w:rsidR="00EE2B1C" w:rsidRPr="00F40BDA">
        <w:rPr>
          <w:b/>
        </w:rPr>
        <w:t>grant application</w:t>
      </w:r>
      <w:r w:rsidR="00EE2B1C">
        <w:rPr>
          <w:b/>
        </w:rPr>
        <w:t>s</w:t>
      </w:r>
    </w:p>
    <w:p w14:paraId="5773BCB7" w14:textId="2A191301" w:rsidR="003C7ABE" w:rsidRPr="003C7ABE" w:rsidRDefault="003C7ABE" w:rsidP="003C7ABE">
      <w:pPr>
        <w:pBdr>
          <w:top w:val="single" w:sz="2" w:space="1" w:color="auto"/>
          <w:left w:val="single" w:sz="2" w:space="4" w:color="auto"/>
          <w:bottom w:val="single" w:sz="2" w:space="1" w:color="auto"/>
          <w:right w:val="single" w:sz="2" w:space="4" w:color="auto"/>
        </w:pBdr>
        <w:spacing w:after="0"/>
        <w:jc w:val="center"/>
      </w:pPr>
      <w:r w:rsidRPr="003C7ABE">
        <w:t xml:space="preserve">We assess the applications against eligibility criteria and notify you if you are not eligible. We then assess your application against the assessment criteria including an overall consideration of value for money and compare it to other applications. </w:t>
      </w:r>
    </w:p>
    <w:p w14:paraId="0E1B8CD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1F74EE7" w14:textId="77777777" w:rsidR="00EE2B1C" w:rsidRDefault="003C7ABE"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EE2B1C">
        <w:rPr>
          <w:b/>
        </w:rPr>
        <w:t>make grant recommendations</w:t>
      </w:r>
    </w:p>
    <w:p w14:paraId="179AC73E" w14:textId="77777777" w:rsidR="00EE2B1C" w:rsidRPr="00A03DF3" w:rsidRDefault="003C7ABE" w:rsidP="00EE2B1C">
      <w:pPr>
        <w:pBdr>
          <w:top w:val="single" w:sz="2" w:space="1" w:color="auto"/>
          <w:left w:val="single" w:sz="2" w:space="4" w:color="auto"/>
          <w:bottom w:val="single" w:sz="2" w:space="1" w:color="auto"/>
          <w:right w:val="single" w:sz="2" w:space="4" w:color="auto"/>
        </w:pBdr>
        <w:spacing w:after="0"/>
        <w:jc w:val="center"/>
      </w:pPr>
      <w:r>
        <w:t xml:space="preserve">We </w:t>
      </w:r>
      <w:r w:rsidR="00EE2B1C" w:rsidRPr="00123D11">
        <w:t>provide advice to the</w:t>
      </w:r>
      <w:r w:rsidR="00856B19">
        <w:t xml:space="preserve"> </w:t>
      </w:r>
      <w:r w:rsidR="00EE2B1C" w:rsidRPr="00123D11">
        <w:t>decision maker on the merits of each application.</w:t>
      </w:r>
      <w:r w:rsidR="00EE2B1C" w:rsidRPr="00A03DF3">
        <w:t xml:space="preserve"> </w:t>
      </w:r>
    </w:p>
    <w:p w14:paraId="27DA4867"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C1857B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4CE98EC0"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rsidR="00DF6374">
        <w:t>decision maker</w:t>
      </w:r>
      <w:r w:rsidR="00856B19">
        <w:t xml:space="preserve"> d</w:t>
      </w:r>
      <w:r>
        <w:t xml:space="preserve">ecides </w:t>
      </w:r>
      <w:r w:rsidRPr="00123D11">
        <w:t>which grant applications are successful.</w:t>
      </w:r>
    </w:p>
    <w:p w14:paraId="3716270E" w14:textId="77777777" w:rsidR="00EE2B1C" w:rsidRDefault="00EE2B1C" w:rsidP="00EE2B1C">
      <w:pPr>
        <w:spacing w:after="0"/>
        <w:jc w:val="center"/>
        <w:rPr>
          <w:rFonts w:ascii="Wingdings" w:hAnsi="Wingdings"/>
          <w:sz w:val="20"/>
          <w:szCs w:val="20"/>
        </w:rPr>
      </w:pPr>
      <w:r w:rsidRPr="00F40BDA">
        <w:rPr>
          <w:rFonts w:ascii="Wingdings" w:hAnsi="Wingdings"/>
          <w:sz w:val="20"/>
          <w:szCs w:val="20"/>
        </w:rPr>
        <w:t></w:t>
      </w:r>
    </w:p>
    <w:p w14:paraId="5921DCA4" w14:textId="77777777" w:rsidR="00EE2B1C" w:rsidRDefault="003C7ABE" w:rsidP="00EE2B1C">
      <w:pPr>
        <w:pBdr>
          <w:top w:val="single" w:sz="2" w:space="1" w:color="auto"/>
          <w:left w:val="single" w:sz="2" w:space="4" w:color="auto"/>
          <w:bottom w:val="single" w:sz="2" w:space="1" w:color="auto"/>
          <w:right w:val="single" w:sz="2" w:space="4" w:color="auto"/>
        </w:pBdr>
        <w:spacing w:after="0"/>
        <w:jc w:val="center"/>
        <w:rPr>
          <w:b/>
        </w:rPr>
      </w:pPr>
      <w:r>
        <w:rPr>
          <w:b/>
        </w:rPr>
        <w:t>We</w:t>
      </w:r>
      <w:r w:rsidR="00856B19">
        <w:rPr>
          <w:b/>
        </w:rPr>
        <w:t xml:space="preserve"> </w:t>
      </w:r>
      <w:r w:rsidR="00EE2B1C">
        <w:rPr>
          <w:b/>
        </w:rPr>
        <w:t xml:space="preserve">notify you of the </w:t>
      </w:r>
      <w:r w:rsidR="00EE2B1C" w:rsidRPr="00F40BDA">
        <w:rPr>
          <w:b/>
        </w:rPr>
        <w:t>outcome</w:t>
      </w:r>
    </w:p>
    <w:p w14:paraId="031A7837" w14:textId="2CD32C19" w:rsidR="00EE2B1C" w:rsidRDefault="003C7ABE" w:rsidP="00EE2B1C">
      <w:pPr>
        <w:pBdr>
          <w:top w:val="single" w:sz="2" w:space="1" w:color="auto"/>
          <w:left w:val="single" w:sz="2" w:space="4" w:color="auto"/>
          <w:bottom w:val="single" w:sz="2" w:space="1" w:color="auto"/>
          <w:right w:val="single" w:sz="2" w:space="4" w:color="auto"/>
        </w:pBdr>
        <w:spacing w:after="0"/>
        <w:jc w:val="center"/>
      </w:pPr>
      <w:r>
        <w:t>We</w:t>
      </w:r>
      <w:r w:rsidR="00856B19">
        <w:t xml:space="preserve"> </w:t>
      </w:r>
      <w:r w:rsidR="00EE2B1C">
        <w:t>advise you of t</w:t>
      </w:r>
      <w:r w:rsidR="00E72FD5">
        <w:t>he outcome of your application.</w:t>
      </w:r>
      <w:r w:rsidR="00EE2B1C">
        <w:t xml:space="preserve"> We may not notify un</w:t>
      </w:r>
      <w:r w:rsidR="00EE2B1C" w:rsidRPr="00F40BDA">
        <w:t xml:space="preserve">successful applicants until </w:t>
      </w:r>
      <w:r w:rsidR="00A078A8">
        <w:t>G</w:t>
      </w:r>
      <w:r w:rsidR="00EE2B1C" w:rsidRPr="00F40BDA">
        <w:t xml:space="preserve">rant </w:t>
      </w:r>
      <w:r w:rsidR="00A078A8">
        <w:t>A</w:t>
      </w:r>
      <w:r w:rsidR="00EE2B1C" w:rsidRPr="00F40BDA">
        <w:t xml:space="preserve">greements </w:t>
      </w:r>
      <w:r w:rsidR="00EE2B1C">
        <w:t xml:space="preserve">have been executed </w:t>
      </w:r>
      <w:r w:rsidR="00EE2B1C" w:rsidRPr="00F40BDA">
        <w:t>with successful applicants.</w:t>
      </w:r>
    </w:p>
    <w:p w14:paraId="724CE7E1" w14:textId="77777777" w:rsidR="00457D04" w:rsidRDefault="00457D04" w:rsidP="00EE2B1C">
      <w:pPr>
        <w:spacing w:after="0"/>
        <w:jc w:val="center"/>
        <w:rPr>
          <w:rFonts w:ascii="Wingdings" w:hAnsi="Wingdings"/>
          <w:sz w:val="20"/>
          <w:szCs w:val="20"/>
        </w:rPr>
      </w:pPr>
    </w:p>
    <w:p w14:paraId="29829A64" w14:textId="3C6B0FE0" w:rsidR="00EE2B1C" w:rsidRDefault="00EE2B1C" w:rsidP="00EE2B1C">
      <w:pPr>
        <w:spacing w:after="0"/>
        <w:jc w:val="center"/>
        <w:rPr>
          <w:rFonts w:ascii="Wingdings" w:hAnsi="Wingdings"/>
          <w:sz w:val="20"/>
          <w:szCs w:val="20"/>
        </w:rPr>
      </w:pPr>
      <w:r w:rsidRPr="00F40BDA">
        <w:rPr>
          <w:rFonts w:ascii="Wingdings" w:hAnsi="Wingdings"/>
          <w:sz w:val="20"/>
          <w:szCs w:val="20"/>
        </w:rPr>
        <w:t></w:t>
      </w:r>
    </w:p>
    <w:p w14:paraId="1269C1F4" w14:textId="77777777" w:rsidR="00EE2B1C" w:rsidRPr="00856B19" w:rsidRDefault="003C7ABE" w:rsidP="00EE2B1C">
      <w:pPr>
        <w:pBdr>
          <w:top w:val="single" w:sz="2" w:space="1" w:color="auto"/>
          <w:left w:val="single" w:sz="2" w:space="4" w:color="auto"/>
          <w:bottom w:val="single" w:sz="2" w:space="1" w:color="auto"/>
          <w:right w:val="single" w:sz="2" w:space="4" w:color="auto"/>
        </w:pBdr>
        <w:spacing w:after="0"/>
        <w:jc w:val="center"/>
        <w:rPr>
          <w:b/>
        </w:rPr>
      </w:pPr>
      <w:r w:rsidRPr="005109D1">
        <w:rPr>
          <w:rStyle w:val="highlightedtextChar"/>
          <w:color w:val="auto"/>
        </w:rPr>
        <w:t>We</w:t>
      </w:r>
      <w:r w:rsidR="00856B19" w:rsidRPr="00045933">
        <w:rPr>
          <w:rStyle w:val="highlightedtextChar"/>
        </w:rPr>
        <w:t xml:space="preserve"> </w:t>
      </w:r>
      <w:r w:rsidR="00A078A8">
        <w:rPr>
          <w:rStyle w:val="highlightedtextChar"/>
          <w:color w:val="auto"/>
        </w:rPr>
        <w:t>enter into a Grant A</w:t>
      </w:r>
      <w:r w:rsidR="00EE2B1C" w:rsidRPr="00856B19">
        <w:rPr>
          <w:rStyle w:val="highlightedtextChar"/>
          <w:color w:val="auto"/>
        </w:rPr>
        <w:t xml:space="preserve">greement </w:t>
      </w:r>
    </w:p>
    <w:p w14:paraId="7E426D07" w14:textId="2174AE29" w:rsidR="00EE2B1C" w:rsidRDefault="00F5243B" w:rsidP="00EE2B1C">
      <w:pPr>
        <w:pBdr>
          <w:top w:val="single" w:sz="2" w:space="1" w:color="auto"/>
          <w:left w:val="single" w:sz="2" w:space="4" w:color="auto"/>
          <w:bottom w:val="single" w:sz="2" w:space="1" w:color="auto"/>
          <w:right w:val="single" w:sz="2" w:space="4" w:color="auto"/>
        </w:pBdr>
        <w:spacing w:after="0"/>
        <w:jc w:val="center"/>
        <w:rPr>
          <w:b/>
          <w:bCs/>
        </w:rPr>
      </w:pPr>
      <w:r>
        <w:t>DSS</w:t>
      </w:r>
      <w:r w:rsidR="00856B19">
        <w:t xml:space="preserve"> </w:t>
      </w:r>
      <w:r w:rsidR="00EE2B1C">
        <w:t xml:space="preserve">will enter into a </w:t>
      </w:r>
      <w:r w:rsidR="00A078A8">
        <w:t>G</w:t>
      </w:r>
      <w:r w:rsidR="00EE2B1C">
        <w:t xml:space="preserve">rant </w:t>
      </w:r>
      <w:r w:rsidR="00A078A8">
        <w:t>A</w:t>
      </w:r>
      <w:r w:rsidR="00EE2B1C">
        <w:t>greement with suc</w:t>
      </w:r>
      <w:r w:rsidR="00E72FD5">
        <w:t>cessful applicants.</w:t>
      </w:r>
      <w:r w:rsidR="00EE2B1C">
        <w:t xml:space="preserve"> </w:t>
      </w:r>
      <w:r w:rsidR="00A078A8">
        <w:t>The type of Grant A</w:t>
      </w:r>
      <w:r w:rsidR="00EE2B1C" w:rsidRPr="00F40BDA">
        <w:t>greement is based on the nature of the grant and</w:t>
      </w:r>
      <w:r w:rsidR="009A05FF">
        <w:t xml:space="preserve"> is</w:t>
      </w:r>
      <w:r w:rsidR="00EE2B1C" w:rsidRPr="00F40BDA">
        <w:t xml:space="preserve"> proportional to the risks involved.</w:t>
      </w:r>
      <w:r w:rsidR="00EE2B1C">
        <w:t xml:space="preserve"> </w:t>
      </w:r>
    </w:p>
    <w:p w14:paraId="555D990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2C3B81F"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297B414C" w14:textId="700067D4" w:rsidR="00EE2B1C" w:rsidRDefault="00D968A0"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00A078A8">
        <w:rPr>
          <w:bCs/>
        </w:rPr>
        <w:t>G</w:t>
      </w:r>
      <w:r w:rsidRPr="004F076A">
        <w:rPr>
          <w:bCs/>
        </w:rPr>
        <w:t xml:space="preserve">rant </w:t>
      </w:r>
      <w:r w:rsidR="00A078A8">
        <w:rPr>
          <w:bCs/>
        </w:rPr>
        <w:t>A</w:t>
      </w:r>
      <w:r w:rsidRPr="004F076A">
        <w:rPr>
          <w:bCs/>
        </w:rPr>
        <w:t>greement</w:t>
      </w:r>
      <w:r w:rsidRPr="00F40BDA">
        <w:rPr>
          <w:bCs/>
        </w:rPr>
        <w:t>.</w:t>
      </w:r>
      <w:r w:rsidR="004F4210">
        <w:rPr>
          <w:bCs/>
        </w:rPr>
        <w:t xml:space="preserve"> </w:t>
      </w:r>
      <w:r w:rsidR="00856B19">
        <w:rPr>
          <w:bCs/>
        </w:rPr>
        <w:t xml:space="preserve">The Hub </w:t>
      </w:r>
      <w:r w:rsidRPr="00F40BDA">
        <w:rPr>
          <w:bCs/>
        </w:rPr>
        <w:t>manage</w:t>
      </w:r>
      <w:r w:rsidR="00A078A8">
        <w:rPr>
          <w:bCs/>
        </w:rPr>
        <w:t>s</w:t>
      </w:r>
      <w:r w:rsidRPr="00F40BDA">
        <w:rPr>
          <w:bCs/>
        </w:rPr>
        <w:t xml:space="preserve"> the grant</w:t>
      </w:r>
      <w:r>
        <w:rPr>
          <w:bCs/>
        </w:rPr>
        <w:t xml:space="preserve"> by working with you, monitoring your progress and </w:t>
      </w:r>
      <w:r w:rsidRPr="00F40BDA">
        <w:rPr>
          <w:bCs/>
        </w:rPr>
        <w:t>making payments</w:t>
      </w:r>
      <w:r w:rsidR="00EE2B1C" w:rsidRPr="00F40BDA">
        <w:rPr>
          <w:bCs/>
        </w:rPr>
        <w:t>.</w:t>
      </w:r>
    </w:p>
    <w:p w14:paraId="7884D7C0"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B55DB1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907DF1">
        <w:rPr>
          <w:b/>
        </w:rPr>
        <w:t>G</w:t>
      </w:r>
      <w:r w:rsidRPr="00B30747">
        <w:rPr>
          <w:b/>
        </w:rPr>
        <w:t>rant</w:t>
      </w:r>
      <w:r w:rsidR="00907DF1">
        <w:rPr>
          <w:b/>
        </w:rPr>
        <w:t xml:space="preserve"> O</w:t>
      </w:r>
      <w:r w:rsidR="00D968A0">
        <w:rPr>
          <w:b/>
        </w:rPr>
        <w:t>pportunity</w:t>
      </w:r>
    </w:p>
    <w:p w14:paraId="47C38C7A" w14:textId="516C5792" w:rsidR="00EE2B1C" w:rsidRDefault="00856B19" w:rsidP="00EE2B1C">
      <w:pPr>
        <w:pBdr>
          <w:top w:val="single" w:sz="2" w:space="1" w:color="auto"/>
          <w:left w:val="single" w:sz="2" w:space="4" w:color="auto"/>
          <w:bottom w:val="single" w:sz="2" w:space="1" w:color="auto"/>
          <w:right w:val="single" w:sz="2" w:space="4" w:color="auto"/>
        </w:pBdr>
        <w:spacing w:after="0"/>
        <w:jc w:val="center"/>
      </w:pPr>
      <w:r>
        <w:t xml:space="preserve">DSS </w:t>
      </w:r>
      <w:r w:rsidR="00D968A0">
        <w:t>evaluate t</w:t>
      </w:r>
      <w:r w:rsidR="00D968A0" w:rsidRPr="00F40BDA">
        <w:t xml:space="preserve">he specific grant </w:t>
      </w:r>
      <w:r w:rsidR="00D968A0">
        <w:t xml:space="preserve">activity, the collective </w:t>
      </w:r>
      <w:r w:rsidR="00D968A0" w:rsidRPr="00FD0E81">
        <w:t xml:space="preserve">operations of the </w:t>
      </w:r>
      <w:r w:rsidR="009A4A1C">
        <w:t xml:space="preserve">Carer Gateway </w:t>
      </w:r>
      <w:r w:rsidR="004D589A" w:rsidRPr="00FD0E81">
        <w:t>regional delivery partners</w:t>
      </w:r>
      <w:r w:rsidR="00D968A0" w:rsidRPr="00FD0E81">
        <w:t>, and the Integrated Carer Support Service as a whole</w:t>
      </w:r>
      <w:r w:rsidR="00D968A0" w:rsidRPr="00F40BDA">
        <w:t>.</w:t>
      </w:r>
      <w:r w:rsidR="00387EEA">
        <w:t xml:space="preserve"> </w:t>
      </w:r>
      <w:r w:rsidR="00D968A0">
        <w:t xml:space="preserve">We </w:t>
      </w:r>
      <w:r w:rsidR="00D968A0" w:rsidRPr="00F40BDA">
        <w:t xml:space="preserve">base </w:t>
      </w:r>
      <w:r w:rsidR="00D968A0">
        <w:t xml:space="preserve">this on </w:t>
      </w:r>
      <w:r w:rsidR="00D968A0" w:rsidRPr="00F40BDA">
        <w:t xml:space="preserve">information </w:t>
      </w:r>
      <w:r w:rsidR="00D968A0">
        <w:t>you provide to us and that we collect from various sources</w:t>
      </w:r>
      <w:r w:rsidR="00EE2B1C" w:rsidRPr="00F40BDA">
        <w:t xml:space="preserve">. </w:t>
      </w:r>
    </w:p>
    <w:p w14:paraId="33F0ECDA" w14:textId="77777777" w:rsidR="001A0777" w:rsidRPr="00367A67" w:rsidRDefault="001A0777" w:rsidP="00DF6374">
      <w:pPr>
        <w:pStyle w:val="Heading2Numbered"/>
        <w:ind w:left="709" w:hanging="709"/>
      </w:pPr>
      <w:bookmarkStart w:id="5" w:name="_Toc484677032"/>
      <w:bookmarkStart w:id="6" w:name="_Toc530058173"/>
      <w:bookmarkStart w:id="7" w:name="_Toc467773951"/>
      <w:r w:rsidRPr="00367A67">
        <w:t>Role of the Community Grants Hub</w:t>
      </w:r>
      <w:bookmarkEnd w:id="5"/>
      <w:bookmarkEnd w:id="6"/>
    </w:p>
    <w:p w14:paraId="3CBB3A71" w14:textId="77777777" w:rsidR="001A0777" w:rsidRPr="00367A67" w:rsidRDefault="00457AD0" w:rsidP="001A0777">
      <w:r>
        <w:t>This G</w:t>
      </w:r>
      <w:r w:rsidR="00D268E6" w:rsidRPr="00367A67">
        <w:t xml:space="preserve">rant </w:t>
      </w:r>
      <w:r>
        <w:t>O</w:t>
      </w:r>
      <w:r w:rsidR="00D268E6" w:rsidRPr="0092046E">
        <w:t xml:space="preserve">pportunity will be administered by the Community Grants Hub on behalf of </w:t>
      </w:r>
      <w:r w:rsidR="003C7ABE" w:rsidRPr="00945022">
        <w:rPr>
          <w:rStyle w:val="highlightedtextChar"/>
          <w:b w:val="0"/>
          <w:color w:val="auto"/>
        </w:rPr>
        <w:t xml:space="preserve">DSS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Whole-of-</w:t>
      </w:r>
      <w:r w:rsidR="00186E42" w:rsidRPr="00367A67">
        <w:rPr>
          <w:rStyle w:val="highlightedtextChar"/>
          <w:b w:val="0"/>
          <w:color w:val="auto"/>
        </w:rPr>
        <w:t>Australian Government initiative to streamline grant processes across agencies.</w:t>
      </w:r>
    </w:p>
    <w:p w14:paraId="75BDD352" w14:textId="77777777" w:rsidR="00045933" w:rsidRPr="00B72EE8" w:rsidRDefault="001A0777" w:rsidP="00DF6374">
      <w:pPr>
        <w:pStyle w:val="Heading2Numbered"/>
        <w:ind w:left="567"/>
      </w:pPr>
      <w:r w:rsidRPr="00367A67">
        <w:tab/>
      </w:r>
      <w:bookmarkStart w:id="8" w:name="_Toc530058174"/>
      <w:r w:rsidR="00045933" w:rsidRPr="00367A67">
        <w:t>About the grant program</w:t>
      </w:r>
      <w:bookmarkEnd w:id="7"/>
      <w:bookmarkEnd w:id="8"/>
    </w:p>
    <w:p w14:paraId="0E60DB91" w14:textId="16E3334C" w:rsidR="00797934" w:rsidRDefault="002844A3" w:rsidP="00797934">
      <w:pPr>
        <w:spacing w:after="160" w:line="259" w:lineRule="auto"/>
      </w:pPr>
      <w:r>
        <w:t xml:space="preserve">The </w:t>
      </w:r>
      <w:r w:rsidR="00797934" w:rsidRPr="00797934">
        <w:t>I</w:t>
      </w:r>
      <w:r w:rsidR="008E61E7">
        <w:t xml:space="preserve">ntegrated </w:t>
      </w:r>
      <w:r w:rsidR="00797934" w:rsidRPr="00797934">
        <w:t>C</w:t>
      </w:r>
      <w:r w:rsidR="008E61E7">
        <w:t xml:space="preserve">arer </w:t>
      </w:r>
      <w:r w:rsidR="00797934" w:rsidRPr="00797934">
        <w:t>S</w:t>
      </w:r>
      <w:r w:rsidR="008E61E7">
        <w:t xml:space="preserve">upport </w:t>
      </w:r>
      <w:r w:rsidR="00797934" w:rsidRPr="00797934">
        <w:t>S</w:t>
      </w:r>
      <w:r w:rsidR="008E61E7">
        <w:t>ervice (ICSS)</w:t>
      </w:r>
      <w:r w:rsidR="00797934" w:rsidRPr="00797934">
        <w:t xml:space="preserve"> will focus on services des</w:t>
      </w:r>
      <w:r w:rsidR="00E72FD5">
        <w:t xml:space="preserve">igned specifically for carers. </w:t>
      </w:r>
      <w:r w:rsidR="00797934" w:rsidRPr="00797934">
        <w:t>It is designed to make the Government’s carer supports and services easier to navigate and more accessible</w:t>
      </w:r>
      <w:r w:rsidR="00286805">
        <w:t>, b</w:t>
      </w:r>
      <w:r w:rsidR="00797934" w:rsidRPr="00797934">
        <w:t>ut more importantly it is designed to increase the Australian Government’s investment in services proven to improve a carer’s quality of life and ability to perform their caring role</w:t>
      </w:r>
      <w:r w:rsidR="00286805">
        <w:t>.</w:t>
      </w:r>
    </w:p>
    <w:p w14:paraId="34D3F702" w14:textId="7FAFC0BE" w:rsidR="002249B4" w:rsidRPr="00C744BA" w:rsidRDefault="002249B4" w:rsidP="002249B4">
      <w:pPr>
        <w:spacing w:after="120"/>
      </w:pPr>
      <w:r w:rsidRPr="00C744BA">
        <w:t>Caring can be stressful and can impact on the relationship between the care</w:t>
      </w:r>
      <w:r w:rsidR="00E72FD5">
        <w:t>r and the person they care for.</w:t>
      </w:r>
      <w:r w:rsidR="00387EEA">
        <w:t xml:space="preserve"> </w:t>
      </w:r>
      <w:r w:rsidRPr="00C744BA">
        <w:t xml:space="preserve">It can also impact </w:t>
      </w:r>
      <w:r w:rsidR="000F3241">
        <w:t xml:space="preserve">on </w:t>
      </w:r>
      <w:r w:rsidRPr="00C744BA">
        <w:t xml:space="preserve">carers’ ability to participate in everyday activities such as education and employment. Through </w:t>
      </w:r>
      <w:r>
        <w:t xml:space="preserve">the implementation of the </w:t>
      </w:r>
      <w:r w:rsidRPr="00C744BA">
        <w:t>ICSS, the Australian Government’s objective is to –</w:t>
      </w:r>
    </w:p>
    <w:p w14:paraId="42B7DD72" w14:textId="77777777" w:rsidR="002249B4" w:rsidRPr="00C744BA" w:rsidRDefault="002249B4" w:rsidP="002249B4">
      <w:pPr>
        <w:spacing w:after="120"/>
        <w:ind w:left="720"/>
      </w:pPr>
      <w:r w:rsidRPr="00C744BA">
        <w:t>Improve carer wellbeing, increase their capacity and support their participation, socially and economically.</w:t>
      </w:r>
    </w:p>
    <w:p w14:paraId="22B73076" w14:textId="735C0A6B" w:rsidR="002249B4" w:rsidRPr="00C744BA" w:rsidRDefault="002249B4" w:rsidP="00884A70">
      <w:pPr>
        <w:spacing w:line="240" w:lineRule="auto"/>
      </w:pPr>
      <w:r w:rsidRPr="0004290A">
        <w:t>The</w:t>
      </w:r>
      <w:r w:rsidR="009A4A1C" w:rsidRPr="0004290A">
        <w:t xml:space="preserve"> </w:t>
      </w:r>
      <w:r w:rsidRPr="0004290A">
        <w:t>ICSS Outcomes Framework</w:t>
      </w:r>
      <w:r w:rsidRPr="00A329CC">
        <w:t xml:space="preserve"> </w:t>
      </w:r>
      <w:r w:rsidR="00296478">
        <w:t>(</w:t>
      </w:r>
      <w:r w:rsidR="00B5661A" w:rsidRPr="00A329CC">
        <w:t xml:space="preserve">refer to </w:t>
      </w:r>
      <w:r w:rsidR="00610900">
        <w:t xml:space="preserve">the ICSS Service Blueprint document on the </w:t>
      </w:r>
      <w:r w:rsidR="00B5661A">
        <w:t xml:space="preserve">grant </w:t>
      </w:r>
      <w:r w:rsidR="00F5243B">
        <w:t xml:space="preserve">opportunity </w:t>
      </w:r>
      <w:r w:rsidR="00B5661A">
        <w:t xml:space="preserve">documents on the </w:t>
      </w:r>
      <w:r w:rsidR="00862C2D">
        <w:t xml:space="preserve">GrantConnect and the </w:t>
      </w:r>
      <w:r w:rsidR="00B5661A">
        <w:t>Community Grants Hub website</w:t>
      </w:r>
      <w:r w:rsidR="005E3033">
        <w:t>s</w:t>
      </w:r>
      <w:r w:rsidR="00B5661A">
        <w:t xml:space="preserve">) </w:t>
      </w:r>
      <w:r w:rsidRPr="00A329CC">
        <w:t>provides</w:t>
      </w:r>
      <w:r w:rsidRPr="00C744BA">
        <w:t xml:space="preserve"> further details regarding the ICSS </w:t>
      </w:r>
      <w:r w:rsidR="00E72FD5">
        <w:t>vision, outcomes and benefits.</w:t>
      </w:r>
    </w:p>
    <w:p w14:paraId="6BED0207" w14:textId="77777777" w:rsidR="00457D04" w:rsidRDefault="00457D04">
      <w:pPr>
        <w:suppressAutoHyphens w:val="0"/>
        <w:spacing w:before="0" w:after="120" w:line="440" w:lineRule="atLeast"/>
        <w:rPr>
          <w:rFonts w:cstheme="minorHAnsi"/>
        </w:rPr>
      </w:pPr>
      <w:r>
        <w:rPr>
          <w:rFonts w:cstheme="minorHAnsi"/>
        </w:rPr>
        <w:br w:type="page"/>
      </w:r>
    </w:p>
    <w:p w14:paraId="68CAF4BC" w14:textId="3FD510A9" w:rsidR="00331C43" w:rsidRPr="00331C43" w:rsidRDefault="002844A3" w:rsidP="00884A70">
      <w:pPr>
        <w:spacing w:line="240" w:lineRule="auto"/>
        <w:rPr>
          <w:rFonts w:cstheme="minorHAnsi"/>
        </w:rPr>
      </w:pPr>
      <w:r>
        <w:rPr>
          <w:rFonts w:cstheme="minorHAnsi"/>
        </w:rPr>
        <w:t xml:space="preserve">The </w:t>
      </w:r>
      <w:r w:rsidR="00F13901">
        <w:rPr>
          <w:rFonts w:cstheme="minorHAnsi"/>
        </w:rPr>
        <w:t>ICSS</w:t>
      </w:r>
      <w:r w:rsidR="00331C43" w:rsidRPr="00331C43">
        <w:rPr>
          <w:rFonts w:cstheme="minorHAnsi"/>
        </w:rPr>
        <w:t xml:space="preserve"> will be implemented in two phases:</w:t>
      </w:r>
    </w:p>
    <w:p w14:paraId="4D1BB048" w14:textId="77777777" w:rsidR="00331C43" w:rsidRDefault="00884A70" w:rsidP="00B64CD9">
      <w:pPr>
        <w:pStyle w:val="ListParagraph"/>
        <w:numPr>
          <w:ilvl w:val="0"/>
          <w:numId w:val="25"/>
        </w:numPr>
        <w:spacing w:line="240" w:lineRule="auto"/>
        <w:ind w:left="567" w:hanging="283"/>
        <w:rPr>
          <w:rFonts w:asciiTheme="minorHAnsi" w:hAnsiTheme="minorHAnsi" w:cstheme="minorHAnsi"/>
        </w:rPr>
      </w:pPr>
      <w:r w:rsidRPr="00A15D03">
        <w:rPr>
          <w:rFonts w:asciiTheme="minorHAnsi" w:hAnsiTheme="minorHAnsi" w:cstheme="minorHAnsi"/>
        </w:rPr>
        <w:t>Phase 1</w:t>
      </w:r>
      <w:r>
        <w:rPr>
          <w:rFonts w:asciiTheme="minorHAnsi" w:hAnsiTheme="minorHAnsi" w:cstheme="minorHAnsi"/>
        </w:rPr>
        <w:t xml:space="preserve"> - </w:t>
      </w:r>
      <w:r w:rsidR="00331C43">
        <w:rPr>
          <w:rFonts w:asciiTheme="minorHAnsi" w:hAnsiTheme="minorHAnsi" w:cstheme="minorHAnsi"/>
        </w:rPr>
        <w:t xml:space="preserve">new </w:t>
      </w:r>
      <w:r w:rsidR="00B84FEC">
        <w:rPr>
          <w:rFonts w:asciiTheme="minorHAnsi" w:hAnsiTheme="minorHAnsi" w:cstheme="minorHAnsi"/>
        </w:rPr>
        <w:t>online</w:t>
      </w:r>
      <w:r w:rsidR="00331C43">
        <w:rPr>
          <w:rFonts w:asciiTheme="minorHAnsi" w:hAnsiTheme="minorHAnsi" w:cstheme="minorHAnsi"/>
        </w:rPr>
        <w:t xml:space="preserve"> services for carers </w:t>
      </w:r>
      <w:r w:rsidR="005A35C4">
        <w:rPr>
          <w:rFonts w:asciiTheme="minorHAnsi" w:hAnsiTheme="minorHAnsi" w:cstheme="minorHAnsi"/>
        </w:rPr>
        <w:t xml:space="preserve">commenced </w:t>
      </w:r>
      <w:r w:rsidR="00331C43" w:rsidRPr="00AB5BD4">
        <w:rPr>
          <w:rFonts w:asciiTheme="minorHAnsi" w:hAnsiTheme="minorHAnsi" w:cstheme="minorHAnsi"/>
        </w:rPr>
        <w:t>be</w:t>
      </w:r>
      <w:r w:rsidR="005A35C4">
        <w:rPr>
          <w:rFonts w:asciiTheme="minorHAnsi" w:hAnsiTheme="minorHAnsi" w:cstheme="minorHAnsi"/>
        </w:rPr>
        <w:t>ing</w:t>
      </w:r>
      <w:r w:rsidR="00331C43" w:rsidRPr="00AB5BD4">
        <w:rPr>
          <w:rFonts w:asciiTheme="minorHAnsi" w:hAnsiTheme="minorHAnsi" w:cstheme="minorHAnsi"/>
        </w:rPr>
        <w:t xml:space="preserve"> rolled out through the Government</w:t>
      </w:r>
      <w:r w:rsidR="00331C43">
        <w:rPr>
          <w:rFonts w:asciiTheme="minorHAnsi" w:hAnsiTheme="minorHAnsi" w:cstheme="minorHAnsi"/>
        </w:rPr>
        <w:t>’s Carer Gateway</w:t>
      </w:r>
      <w:r w:rsidR="005A35C4">
        <w:rPr>
          <w:rFonts w:asciiTheme="minorHAnsi" w:hAnsiTheme="minorHAnsi" w:cstheme="minorHAnsi"/>
        </w:rPr>
        <w:t xml:space="preserve"> from October 2018</w:t>
      </w:r>
      <w:r w:rsidR="00331C43">
        <w:rPr>
          <w:rFonts w:asciiTheme="minorHAnsi" w:hAnsiTheme="minorHAnsi" w:cstheme="minorHAnsi"/>
        </w:rPr>
        <w:t>; and</w:t>
      </w:r>
    </w:p>
    <w:p w14:paraId="3A4687C8" w14:textId="58DBAC55" w:rsidR="00884A70" w:rsidRPr="00884A70" w:rsidRDefault="00884A70" w:rsidP="00B64CD9">
      <w:pPr>
        <w:pStyle w:val="ListParagraph"/>
        <w:numPr>
          <w:ilvl w:val="0"/>
          <w:numId w:val="25"/>
        </w:numPr>
        <w:spacing w:line="240" w:lineRule="auto"/>
        <w:ind w:left="567" w:hanging="283"/>
      </w:pPr>
      <w:r w:rsidRPr="00A15D03">
        <w:rPr>
          <w:rFonts w:asciiTheme="minorHAnsi" w:hAnsiTheme="minorHAnsi" w:cstheme="minorHAnsi"/>
        </w:rPr>
        <w:t>Phase 2</w:t>
      </w:r>
      <w:r>
        <w:rPr>
          <w:rFonts w:asciiTheme="minorHAnsi" w:hAnsiTheme="minorHAnsi" w:cstheme="minorHAnsi"/>
        </w:rPr>
        <w:t xml:space="preserve"> - </w:t>
      </w:r>
      <w:r w:rsidR="00331C43">
        <w:rPr>
          <w:rFonts w:asciiTheme="minorHAnsi" w:hAnsiTheme="minorHAnsi" w:cstheme="minorHAnsi"/>
        </w:rPr>
        <w:t xml:space="preserve">the commencement of a network of </w:t>
      </w:r>
      <w:r w:rsidR="009A4A1C">
        <w:rPr>
          <w:rFonts w:asciiTheme="minorHAnsi" w:hAnsiTheme="minorHAnsi" w:cstheme="minorHAnsi"/>
        </w:rPr>
        <w:t xml:space="preserve">Carer Gateway </w:t>
      </w:r>
      <w:r w:rsidR="00763B4D">
        <w:rPr>
          <w:rFonts w:asciiTheme="minorHAnsi" w:hAnsiTheme="minorHAnsi" w:cstheme="minorHAnsi"/>
        </w:rPr>
        <w:t>r</w:t>
      </w:r>
      <w:r w:rsidR="00331C43">
        <w:rPr>
          <w:rFonts w:asciiTheme="minorHAnsi" w:hAnsiTheme="minorHAnsi" w:cstheme="minorHAnsi"/>
        </w:rPr>
        <w:t xml:space="preserve">egional </w:t>
      </w:r>
      <w:r w:rsidR="00763B4D">
        <w:rPr>
          <w:rFonts w:asciiTheme="minorHAnsi" w:hAnsiTheme="minorHAnsi" w:cstheme="minorHAnsi"/>
        </w:rPr>
        <w:t>d</w:t>
      </w:r>
      <w:r w:rsidR="00331C43">
        <w:rPr>
          <w:rFonts w:asciiTheme="minorHAnsi" w:hAnsiTheme="minorHAnsi" w:cstheme="minorHAnsi"/>
        </w:rPr>
        <w:t xml:space="preserve">elivery </w:t>
      </w:r>
      <w:r w:rsidR="00763B4D">
        <w:rPr>
          <w:rFonts w:asciiTheme="minorHAnsi" w:hAnsiTheme="minorHAnsi" w:cstheme="minorHAnsi"/>
        </w:rPr>
        <w:t>p</w:t>
      </w:r>
      <w:r w:rsidR="00331C43">
        <w:rPr>
          <w:rFonts w:asciiTheme="minorHAnsi" w:hAnsiTheme="minorHAnsi" w:cstheme="minorHAnsi"/>
        </w:rPr>
        <w:t>artners (RDPs), which will deliver services</w:t>
      </w:r>
      <w:r w:rsidR="005A35C4">
        <w:rPr>
          <w:rFonts w:asciiTheme="minorHAnsi" w:hAnsiTheme="minorHAnsi" w:cstheme="minorHAnsi"/>
        </w:rPr>
        <w:t xml:space="preserve"> across a </w:t>
      </w:r>
      <w:r w:rsidR="00763B4D">
        <w:rPr>
          <w:rFonts w:asciiTheme="minorHAnsi" w:hAnsiTheme="minorHAnsi" w:cstheme="minorHAnsi"/>
        </w:rPr>
        <w:t xml:space="preserve">defined </w:t>
      </w:r>
      <w:r w:rsidR="005A35C4">
        <w:rPr>
          <w:rFonts w:asciiTheme="minorHAnsi" w:hAnsiTheme="minorHAnsi" w:cstheme="minorHAnsi"/>
        </w:rPr>
        <w:t>region</w:t>
      </w:r>
      <w:r w:rsidR="00B84FEC">
        <w:rPr>
          <w:rFonts w:asciiTheme="minorHAnsi" w:hAnsiTheme="minorHAnsi" w:cstheme="minorHAnsi"/>
        </w:rPr>
        <w:t xml:space="preserve"> and</w:t>
      </w:r>
      <w:r w:rsidR="00606444">
        <w:rPr>
          <w:rFonts w:asciiTheme="minorHAnsi" w:hAnsiTheme="minorHAnsi" w:cstheme="minorHAnsi"/>
        </w:rPr>
        <w:t xml:space="preserve"> will commence in September 2019, with a three month establishment period prior.</w:t>
      </w:r>
      <w:r w:rsidR="00457D04">
        <w:rPr>
          <w:rFonts w:asciiTheme="minorHAnsi" w:hAnsiTheme="minorHAnsi" w:cstheme="minorHAnsi"/>
        </w:rPr>
        <w:br/>
      </w:r>
      <w:r>
        <w:rPr>
          <w:rFonts w:asciiTheme="minorHAnsi" w:hAnsiTheme="minorHAnsi" w:cstheme="minorHAnsi"/>
        </w:rPr>
        <w:t xml:space="preserve">This </w:t>
      </w:r>
      <w:r w:rsidR="00457AD0">
        <w:rPr>
          <w:rFonts w:asciiTheme="minorHAnsi" w:hAnsiTheme="minorHAnsi" w:cstheme="minorHAnsi"/>
        </w:rPr>
        <w:t>Grant O</w:t>
      </w:r>
      <w:r>
        <w:rPr>
          <w:rFonts w:asciiTheme="minorHAnsi" w:hAnsiTheme="minorHAnsi" w:cstheme="minorHAnsi"/>
        </w:rPr>
        <w:t xml:space="preserve">pportunity is specifically for </w:t>
      </w:r>
      <w:r w:rsidR="00331C43">
        <w:rPr>
          <w:rFonts w:asciiTheme="minorHAnsi" w:hAnsiTheme="minorHAnsi" w:cstheme="minorHAnsi"/>
        </w:rPr>
        <w:t>RDPs</w:t>
      </w:r>
      <w:r>
        <w:rPr>
          <w:rFonts w:asciiTheme="minorHAnsi" w:hAnsiTheme="minorHAnsi" w:cstheme="minorHAnsi"/>
        </w:rPr>
        <w:t>.</w:t>
      </w:r>
    </w:p>
    <w:p w14:paraId="3ED3E464" w14:textId="77777777" w:rsidR="00797934" w:rsidRPr="00797934" w:rsidRDefault="00AB5BD4" w:rsidP="00884A70">
      <w:pPr>
        <w:spacing w:line="240" w:lineRule="auto"/>
        <w:rPr>
          <w:i/>
        </w:rPr>
      </w:pPr>
      <w:r w:rsidRPr="00045933">
        <w:t xml:space="preserve">The Program will be undertaken </w:t>
      </w:r>
      <w:r w:rsidR="00BD3200">
        <w:t>in line with</w:t>
      </w:r>
      <w:r w:rsidRPr="00045933">
        <w:t xml:space="preserve"> the </w:t>
      </w:r>
      <w:r w:rsidRPr="00884A70">
        <w:rPr>
          <w:i/>
        </w:rPr>
        <w:t>Commonwealth Grants Rules and Guidelines 2017 (</w:t>
      </w:r>
      <w:hyperlink r:id="rId12" w:history="1">
        <w:r w:rsidRPr="00884A70">
          <w:rPr>
            <w:rStyle w:val="Hyperlink"/>
            <w:rFonts w:cstheme="minorBidi"/>
            <w:i/>
          </w:rPr>
          <w:t>CGRGs</w:t>
        </w:r>
      </w:hyperlink>
      <w:r w:rsidRPr="00884A70">
        <w:rPr>
          <w:i/>
        </w:rPr>
        <w:t>).</w:t>
      </w:r>
    </w:p>
    <w:p w14:paraId="61ED96E9" w14:textId="77777777" w:rsidR="00BB4572" w:rsidRPr="00DF4FFA" w:rsidRDefault="003F5DC3" w:rsidP="00DF6374">
      <w:pPr>
        <w:pStyle w:val="Heading2Numbered"/>
        <w:ind w:left="567"/>
      </w:pPr>
      <w:bookmarkStart w:id="9" w:name="_Toc530058175"/>
      <w:r>
        <w:t>Ab</w:t>
      </w:r>
      <w:r w:rsidR="00BB4572" w:rsidRPr="00141248">
        <w:t xml:space="preserve">out the </w:t>
      </w:r>
      <w:r w:rsidR="00BB4572" w:rsidRPr="00045933">
        <w:t>Grant Opportunity</w:t>
      </w:r>
      <w:bookmarkEnd w:id="9"/>
    </w:p>
    <w:p w14:paraId="72C34687" w14:textId="6915F6BD" w:rsidR="00A15D03" w:rsidRPr="00F878D3" w:rsidRDefault="00D53E0C" w:rsidP="00331C43">
      <w:pPr>
        <w:rPr>
          <w:rStyle w:val="highlightedtextChar"/>
          <w:b w:val="0"/>
          <w:color w:val="auto"/>
        </w:rPr>
      </w:pPr>
      <w:r w:rsidRPr="00F878D3">
        <w:t xml:space="preserve">These guidelines contain information for the </w:t>
      </w:r>
      <w:r w:rsidR="00A15D03" w:rsidRPr="00F878D3">
        <w:rPr>
          <w:rStyle w:val="highlightedtextChar"/>
          <w:b w:val="0"/>
          <w:color w:val="auto"/>
        </w:rPr>
        <w:t>RDPs</w:t>
      </w:r>
      <w:r w:rsidR="00457AD0">
        <w:rPr>
          <w:rStyle w:val="highlightedtextChar"/>
          <w:b w:val="0"/>
          <w:color w:val="auto"/>
        </w:rPr>
        <w:t xml:space="preserve"> Grant O</w:t>
      </w:r>
      <w:r w:rsidRPr="00F878D3">
        <w:rPr>
          <w:rStyle w:val="highlightedtextChar"/>
          <w:b w:val="0"/>
          <w:color w:val="auto"/>
        </w:rPr>
        <w:t>pportunity</w:t>
      </w:r>
      <w:r w:rsidR="00884A70" w:rsidRPr="00F878D3">
        <w:rPr>
          <w:rStyle w:val="highlightedtextChar"/>
          <w:b w:val="0"/>
          <w:color w:val="auto"/>
        </w:rPr>
        <w:t xml:space="preserve">, Phase </w:t>
      </w:r>
      <w:r w:rsidR="00286CA5" w:rsidRPr="00F878D3">
        <w:rPr>
          <w:rStyle w:val="highlightedtextChar"/>
          <w:b w:val="0"/>
          <w:color w:val="auto"/>
        </w:rPr>
        <w:t>2</w:t>
      </w:r>
      <w:r w:rsidR="00884A70" w:rsidRPr="00F878D3">
        <w:rPr>
          <w:rStyle w:val="highlightedtextChar"/>
          <w:b w:val="0"/>
          <w:color w:val="auto"/>
        </w:rPr>
        <w:t xml:space="preserve"> of ICSS. </w:t>
      </w:r>
      <w:r w:rsidR="00A15D03" w:rsidRPr="00F878D3">
        <w:rPr>
          <w:rStyle w:val="highlightedtextChar"/>
          <w:b w:val="0"/>
          <w:color w:val="auto"/>
        </w:rPr>
        <w:t xml:space="preserve">This </w:t>
      </w:r>
      <w:r w:rsidR="00230A09">
        <w:rPr>
          <w:rStyle w:val="highlightedtextChar"/>
          <w:b w:val="0"/>
          <w:color w:val="auto"/>
        </w:rPr>
        <w:t>Grant O</w:t>
      </w:r>
      <w:r w:rsidR="00A15D03" w:rsidRPr="00F878D3">
        <w:rPr>
          <w:rStyle w:val="highlightedtextChar"/>
          <w:b w:val="0"/>
          <w:color w:val="auto"/>
        </w:rPr>
        <w:t xml:space="preserve">pportunity </w:t>
      </w:r>
      <w:r w:rsidR="00757C9D" w:rsidRPr="00F878D3">
        <w:rPr>
          <w:rStyle w:val="highlightedtextChar"/>
          <w:b w:val="0"/>
          <w:color w:val="auto"/>
        </w:rPr>
        <w:t>will be an open competitive grant process to select</w:t>
      </w:r>
      <w:r w:rsidR="00A15D03" w:rsidRPr="00F878D3">
        <w:rPr>
          <w:rStyle w:val="highlightedtextChar"/>
          <w:b w:val="0"/>
          <w:color w:val="auto"/>
        </w:rPr>
        <w:t xml:space="preserve"> a new network of RDPs across Australia to help carers access new and improved local and targeted services including: </w:t>
      </w:r>
    </w:p>
    <w:p w14:paraId="487599BC" w14:textId="77777777" w:rsidR="00A15D03" w:rsidRPr="00F878D3" w:rsidRDefault="00A15D03" w:rsidP="00B64CD9">
      <w:pPr>
        <w:numPr>
          <w:ilvl w:val="0"/>
          <w:numId w:val="26"/>
        </w:numPr>
        <w:shd w:val="clear" w:color="auto" w:fill="FFFFFF"/>
        <w:suppressAutoHyphens w:val="0"/>
        <w:spacing w:before="120" w:after="120" w:line="240" w:lineRule="auto"/>
        <w:ind w:left="714" w:hanging="357"/>
        <w:rPr>
          <w:rFonts w:eastAsia="Times New Roman" w:cstheme="minorHAnsi"/>
          <w:lang w:val="en" w:eastAsia="en-AU"/>
        </w:rPr>
      </w:pPr>
      <w:r w:rsidRPr="00F878D3">
        <w:rPr>
          <w:rFonts w:eastAsia="Times New Roman" w:cstheme="minorHAnsi"/>
          <w:lang w:val="en" w:eastAsia="en-AU"/>
        </w:rPr>
        <w:t>needs assessment and planning;</w:t>
      </w:r>
    </w:p>
    <w:p w14:paraId="6297A254" w14:textId="77777777" w:rsidR="00A15D03" w:rsidRPr="00F878D3" w:rsidRDefault="00A15D03" w:rsidP="00B64CD9">
      <w:pPr>
        <w:numPr>
          <w:ilvl w:val="0"/>
          <w:numId w:val="26"/>
        </w:numPr>
        <w:shd w:val="clear" w:color="auto" w:fill="FFFFFF"/>
        <w:suppressAutoHyphens w:val="0"/>
        <w:spacing w:before="120" w:after="120" w:line="240" w:lineRule="auto"/>
        <w:ind w:left="714" w:hanging="357"/>
        <w:rPr>
          <w:rFonts w:eastAsia="Times New Roman" w:cstheme="minorHAnsi"/>
          <w:lang w:val="en" w:eastAsia="en-AU"/>
        </w:rPr>
      </w:pPr>
      <w:r w:rsidRPr="00F878D3">
        <w:rPr>
          <w:rFonts w:eastAsia="Times New Roman" w:cstheme="minorHAnsi"/>
          <w:lang w:val="en" w:eastAsia="en-AU"/>
        </w:rPr>
        <w:t xml:space="preserve">in-person and phone-based coaching, counselling and </w:t>
      </w:r>
      <w:r w:rsidR="002844A3">
        <w:rPr>
          <w:rFonts w:eastAsia="Times New Roman" w:cstheme="minorHAnsi"/>
          <w:lang w:val="en" w:eastAsia="en-AU"/>
        </w:rPr>
        <w:t xml:space="preserve">in person </w:t>
      </w:r>
      <w:r w:rsidRPr="00F878D3">
        <w:rPr>
          <w:rFonts w:eastAsia="Times New Roman" w:cstheme="minorHAnsi"/>
          <w:lang w:val="en" w:eastAsia="en-AU"/>
        </w:rPr>
        <w:t>peer support;</w:t>
      </w:r>
    </w:p>
    <w:p w14:paraId="6E3B52F8" w14:textId="77777777" w:rsidR="00A15D03" w:rsidRPr="00F878D3" w:rsidRDefault="00A15D03" w:rsidP="00B64CD9">
      <w:pPr>
        <w:numPr>
          <w:ilvl w:val="0"/>
          <w:numId w:val="26"/>
        </w:numPr>
        <w:shd w:val="clear" w:color="auto" w:fill="FFFFFF"/>
        <w:suppressAutoHyphens w:val="0"/>
        <w:spacing w:before="120" w:after="120" w:line="240" w:lineRule="auto"/>
        <w:ind w:left="714" w:hanging="357"/>
        <w:rPr>
          <w:rFonts w:eastAsia="Times New Roman" w:cstheme="minorHAnsi"/>
          <w:lang w:val="en" w:eastAsia="en-AU"/>
        </w:rPr>
      </w:pPr>
      <w:r w:rsidRPr="00F878D3">
        <w:rPr>
          <w:rFonts w:eastAsia="Times New Roman" w:cstheme="minorHAnsi"/>
          <w:lang w:val="en" w:eastAsia="en-AU"/>
        </w:rPr>
        <w:t>information and advice;</w:t>
      </w:r>
    </w:p>
    <w:p w14:paraId="74EAE7DB" w14:textId="77777777" w:rsidR="003B0BAA" w:rsidRPr="00F878D3" w:rsidRDefault="003B0BAA" w:rsidP="00B64CD9">
      <w:pPr>
        <w:numPr>
          <w:ilvl w:val="0"/>
          <w:numId w:val="26"/>
        </w:numPr>
        <w:shd w:val="clear" w:color="auto" w:fill="FFFFFF"/>
        <w:suppressAutoHyphens w:val="0"/>
        <w:spacing w:before="120" w:after="120" w:line="240" w:lineRule="auto"/>
        <w:ind w:left="714" w:hanging="357"/>
        <w:rPr>
          <w:rFonts w:eastAsia="Times New Roman" w:cstheme="minorHAnsi"/>
          <w:lang w:val="en" w:eastAsia="en-AU"/>
        </w:rPr>
      </w:pPr>
      <w:r w:rsidRPr="00F878D3">
        <w:rPr>
          <w:rFonts w:eastAsia="Times New Roman" w:cstheme="minorHAnsi"/>
          <w:lang w:val="en" w:eastAsia="en-AU"/>
        </w:rPr>
        <w:t>targeted financial support packages with a focus on supporting employment, education, respite access and transport;</w:t>
      </w:r>
    </w:p>
    <w:p w14:paraId="72CDAED2" w14:textId="77777777" w:rsidR="00A15D03" w:rsidRPr="00F878D3" w:rsidRDefault="00A15D03" w:rsidP="00B64CD9">
      <w:pPr>
        <w:numPr>
          <w:ilvl w:val="0"/>
          <w:numId w:val="26"/>
        </w:numPr>
        <w:shd w:val="clear" w:color="auto" w:fill="FFFFFF"/>
        <w:suppressAutoHyphens w:val="0"/>
        <w:spacing w:before="120" w:after="120" w:line="240" w:lineRule="auto"/>
        <w:ind w:left="714" w:hanging="357"/>
        <w:rPr>
          <w:rFonts w:eastAsia="Times New Roman" w:cstheme="minorHAnsi"/>
          <w:lang w:val="en" w:eastAsia="en-AU"/>
        </w:rPr>
      </w:pPr>
      <w:r w:rsidRPr="00F878D3">
        <w:rPr>
          <w:rFonts w:eastAsia="Times New Roman" w:cstheme="minorHAnsi"/>
          <w:lang w:val="en" w:eastAsia="en-AU"/>
        </w:rPr>
        <w:t>access to emergency crisis support; and</w:t>
      </w:r>
    </w:p>
    <w:p w14:paraId="57B8AEA4" w14:textId="77777777" w:rsidR="00A15D03" w:rsidRPr="00F878D3" w:rsidRDefault="00A15D03" w:rsidP="00B64CD9">
      <w:pPr>
        <w:numPr>
          <w:ilvl w:val="0"/>
          <w:numId w:val="26"/>
        </w:numPr>
        <w:shd w:val="clear" w:color="auto" w:fill="FFFFFF"/>
        <w:suppressAutoHyphens w:val="0"/>
        <w:spacing w:before="120" w:after="120" w:line="240" w:lineRule="auto"/>
        <w:ind w:left="714" w:hanging="357"/>
        <w:rPr>
          <w:rFonts w:eastAsia="Times New Roman" w:cstheme="minorHAnsi"/>
          <w:lang w:val="en" w:eastAsia="en-AU"/>
        </w:rPr>
      </w:pPr>
      <w:r w:rsidRPr="00F878D3">
        <w:rPr>
          <w:rFonts w:eastAsia="Times New Roman" w:cstheme="minorHAnsi"/>
          <w:lang w:val="en" w:eastAsia="en-AU"/>
        </w:rPr>
        <w:t>assistance with navigating relevant, local services available to carers through federal, state and local government and non-government providers, including the National Disability Insurance Scheme, My Aged Care and palliative care.</w:t>
      </w:r>
    </w:p>
    <w:p w14:paraId="6310A942" w14:textId="77777777" w:rsidR="00A15D03" w:rsidRPr="00F878D3" w:rsidRDefault="00A15D03" w:rsidP="00A15D03">
      <w:pPr>
        <w:rPr>
          <w:rStyle w:val="highlightedtextChar"/>
          <w:b w:val="0"/>
          <w:color w:val="auto"/>
        </w:rPr>
      </w:pPr>
      <w:r w:rsidRPr="00F878D3">
        <w:rPr>
          <w:rStyle w:val="highlightedtextChar"/>
          <w:b w:val="0"/>
          <w:color w:val="auto"/>
        </w:rPr>
        <w:t xml:space="preserve">RDPs will also conduct outreach activities, and link to social, health, education, community and cultural groups, to better understand regional </w:t>
      </w:r>
      <w:r w:rsidR="003B0BAA" w:rsidRPr="00F878D3">
        <w:rPr>
          <w:rStyle w:val="highlightedtextChar"/>
          <w:b w:val="0"/>
          <w:color w:val="auto"/>
        </w:rPr>
        <w:t xml:space="preserve">and rural </w:t>
      </w:r>
      <w:r w:rsidRPr="00F878D3">
        <w:rPr>
          <w:rStyle w:val="highlightedtextChar"/>
          <w:b w:val="0"/>
          <w:color w:val="auto"/>
        </w:rPr>
        <w:t>needs.</w:t>
      </w:r>
    </w:p>
    <w:p w14:paraId="113A4775" w14:textId="77777777" w:rsidR="00761841" w:rsidRPr="00761841" w:rsidRDefault="00761841" w:rsidP="00A15D03">
      <w:pPr>
        <w:rPr>
          <w:rStyle w:val="highlightedtextChar"/>
          <w:b w:val="0"/>
          <w:color w:val="auto"/>
        </w:rPr>
      </w:pPr>
      <w:r w:rsidRPr="00761841">
        <w:t>R</w:t>
      </w:r>
      <w:r w:rsidR="006F0218">
        <w:t>DPs</w:t>
      </w:r>
      <w:r w:rsidRPr="00761841">
        <w:t xml:space="preserve"> are expected to make the greatest contribution to the ICSS outcomes.</w:t>
      </w:r>
    </w:p>
    <w:p w14:paraId="03D41E5C" w14:textId="77777777" w:rsidR="00757C9D" w:rsidRPr="00045933" w:rsidRDefault="00757C9D" w:rsidP="00757C9D">
      <w:pPr>
        <w:spacing w:after="80"/>
        <w:rPr>
          <w:rFonts w:asciiTheme="majorHAnsi" w:hAnsiTheme="majorHAnsi" w:cstheme="majorHAnsi"/>
        </w:rPr>
      </w:pPr>
      <w:r w:rsidRPr="00045933">
        <w:rPr>
          <w:rFonts w:asciiTheme="majorHAnsi" w:hAnsiTheme="majorHAnsi" w:cstheme="majorHAnsi"/>
        </w:rPr>
        <w:t>This document sets out:</w:t>
      </w:r>
    </w:p>
    <w:p w14:paraId="7B9D7481" w14:textId="77777777" w:rsidR="00757C9D" w:rsidRPr="000A271A" w:rsidRDefault="00445A0B" w:rsidP="00757C9D">
      <w:pPr>
        <w:pStyle w:val="Bullet1"/>
      </w:pPr>
      <w:r>
        <w:t>the purpose of the Grant O</w:t>
      </w:r>
      <w:r w:rsidR="00757C9D" w:rsidRPr="000A271A">
        <w:t>pportunity</w:t>
      </w:r>
      <w:r w:rsidR="00C00ED7">
        <w:t>;</w:t>
      </w:r>
    </w:p>
    <w:p w14:paraId="628B64D5" w14:textId="77777777" w:rsidR="00757C9D" w:rsidRPr="000A271A" w:rsidRDefault="00757C9D" w:rsidP="00757C9D">
      <w:pPr>
        <w:pStyle w:val="Bullet1"/>
      </w:pPr>
      <w:r w:rsidRPr="000A271A">
        <w:t>the eligibility and assessment criteria</w:t>
      </w:r>
      <w:r w:rsidR="00C00ED7">
        <w:t>;</w:t>
      </w:r>
    </w:p>
    <w:p w14:paraId="18A835D8" w14:textId="77777777" w:rsidR="00757C9D" w:rsidRDefault="00757C9D" w:rsidP="00757C9D">
      <w:pPr>
        <w:pStyle w:val="Bullet1"/>
      </w:pPr>
      <w:r w:rsidRPr="000A271A">
        <w:t xml:space="preserve">how grant applications are </w:t>
      </w:r>
      <w:r>
        <w:t>checked</w:t>
      </w:r>
      <w:r w:rsidRPr="000A271A">
        <w:t xml:space="preserve"> and </w:t>
      </w:r>
      <w:r>
        <w:t>assessed</w:t>
      </w:r>
      <w:r w:rsidR="00C00ED7">
        <w:t>;</w:t>
      </w:r>
    </w:p>
    <w:p w14:paraId="0826599E" w14:textId="77777777" w:rsidR="006F0218" w:rsidRPr="000A271A" w:rsidRDefault="006F0218" w:rsidP="006F0218">
      <w:pPr>
        <w:pStyle w:val="Bullet1"/>
      </w:pPr>
      <w:r>
        <w:t xml:space="preserve">how to apply for the </w:t>
      </w:r>
      <w:r w:rsidR="00436C64">
        <w:t>Grant O</w:t>
      </w:r>
      <w:r>
        <w:t>pportunity</w:t>
      </w:r>
      <w:r w:rsidR="00C00ED7">
        <w:t>; and</w:t>
      </w:r>
    </w:p>
    <w:p w14:paraId="4248B413" w14:textId="77777777" w:rsidR="00757C9D" w:rsidRPr="000A271A" w:rsidRDefault="00757C9D" w:rsidP="00757C9D">
      <w:pPr>
        <w:pStyle w:val="Bullet1"/>
      </w:pPr>
      <w:r w:rsidRPr="000A271A">
        <w:t xml:space="preserve">responsibilities and expectations in relation to the opportunity. </w:t>
      </w:r>
    </w:p>
    <w:p w14:paraId="7A312726" w14:textId="77777777" w:rsidR="00757C9D" w:rsidRDefault="00757C9D" w:rsidP="00757C9D">
      <w:pPr>
        <w:pStyle w:val="NoSpacing"/>
        <w:rPr>
          <w:rFonts w:asciiTheme="majorHAnsi" w:hAnsiTheme="majorHAnsi" w:cstheme="majorHAnsi"/>
        </w:rPr>
      </w:pPr>
    </w:p>
    <w:p w14:paraId="4AB7CC5F" w14:textId="77777777" w:rsidR="00757C9D" w:rsidRDefault="00757C9D" w:rsidP="00757C9D">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08284430" w14:textId="77777777" w:rsidR="00150096" w:rsidRDefault="00150096" w:rsidP="00757C9D">
      <w:pPr>
        <w:pStyle w:val="NoSpacing"/>
        <w:rPr>
          <w:rFonts w:asciiTheme="majorHAnsi" w:hAnsiTheme="majorHAnsi" w:cstheme="majorHAnsi"/>
        </w:rPr>
      </w:pPr>
    </w:p>
    <w:p w14:paraId="7188E376" w14:textId="77777777" w:rsidR="00457D04" w:rsidRDefault="00457D04">
      <w:pPr>
        <w:suppressAutoHyphens w:val="0"/>
        <w:spacing w:before="0" w:after="120" w:line="440" w:lineRule="atLeast"/>
        <w:rPr>
          <w:rFonts w:asciiTheme="majorHAnsi" w:eastAsiaTheme="majorEastAsia" w:hAnsiTheme="majorHAnsi" w:cstheme="majorBidi"/>
          <w:bCs/>
          <w:color w:val="44546A" w:themeColor="text2"/>
          <w:sz w:val="34"/>
          <w:szCs w:val="26"/>
        </w:rPr>
      </w:pPr>
      <w:r>
        <w:br w:type="page"/>
      </w:r>
    </w:p>
    <w:p w14:paraId="0BCC9997" w14:textId="2EBBB12D" w:rsidR="00A50A2F" w:rsidRDefault="00B131CD" w:rsidP="00DF6374">
      <w:pPr>
        <w:pStyle w:val="Heading2Numbered"/>
        <w:ind w:left="567"/>
      </w:pPr>
      <w:bookmarkStart w:id="10" w:name="_Toc530058176"/>
      <w:r>
        <w:t>Background to the Grant O</w:t>
      </w:r>
      <w:r w:rsidR="00BB4572">
        <w:t>pportunity</w:t>
      </w:r>
      <w:bookmarkEnd w:id="10"/>
      <w:r w:rsidR="00BB4572">
        <w:t xml:space="preserve"> </w:t>
      </w:r>
    </w:p>
    <w:p w14:paraId="432CF984" w14:textId="28628025" w:rsidR="00821A65" w:rsidRDefault="00BD0253" w:rsidP="00821A65">
      <w:pPr>
        <w:spacing w:after="160" w:line="259" w:lineRule="auto"/>
      </w:pPr>
      <w:r>
        <w:t xml:space="preserve">In recognition of the need to support and sustain the vital work of unpaid carers, the Australian Government committed </w:t>
      </w:r>
      <w:r w:rsidR="003B0BAA">
        <w:t xml:space="preserve">in the 2015/16 Budget, </w:t>
      </w:r>
      <w:r w:rsidR="00331C43">
        <w:t>over four years to design an</w:t>
      </w:r>
      <w:r w:rsidR="00821A65">
        <w:t xml:space="preserve"> Integrated Plan for Carer Support Service (the Plan). The Plan was developed to reflect the Australian Government’s priorities for carers, and outlines actions to recognise, support and sustain the vital work of unpaid carers. </w:t>
      </w:r>
    </w:p>
    <w:p w14:paraId="2F6D179E" w14:textId="77777777" w:rsidR="00821A65" w:rsidRDefault="00821A65" w:rsidP="00821A65">
      <w:pPr>
        <w:spacing w:after="240" w:line="240" w:lineRule="auto"/>
      </w:pPr>
      <w:r>
        <w:t xml:space="preserve">The Plan is </w:t>
      </w:r>
      <w:r w:rsidR="002B6DEC">
        <w:t xml:space="preserve">being </w:t>
      </w:r>
      <w:r>
        <w:t>delivered over three stages:</w:t>
      </w:r>
    </w:p>
    <w:p w14:paraId="072FDA00" w14:textId="77777777" w:rsidR="00821A65" w:rsidRDefault="00821A65" w:rsidP="00B64CD9">
      <w:pPr>
        <w:pStyle w:val="ListParagraph"/>
        <w:numPr>
          <w:ilvl w:val="0"/>
          <w:numId w:val="24"/>
        </w:numPr>
        <w:spacing w:after="0" w:line="360" w:lineRule="auto"/>
        <w:ind w:left="714" w:hanging="357"/>
        <w:rPr>
          <w:rFonts w:asciiTheme="minorHAnsi" w:hAnsiTheme="minorHAnsi" w:cstheme="minorHAnsi"/>
          <w:i/>
        </w:rPr>
      </w:pPr>
      <w:r w:rsidRPr="00666054">
        <w:rPr>
          <w:rFonts w:asciiTheme="minorHAnsi" w:hAnsiTheme="minorHAnsi" w:cstheme="minorHAnsi"/>
        </w:rPr>
        <w:t xml:space="preserve">Stage </w:t>
      </w:r>
      <w:r>
        <w:rPr>
          <w:rFonts w:asciiTheme="minorHAnsi" w:hAnsiTheme="minorHAnsi" w:cstheme="minorHAnsi"/>
        </w:rPr>
        <w:t>1</w:t>
      </w:r>
      <w:r w:rsidRPr="00666054">
        <w:rPr>
          <w:rFonts w:asciiTheme="minorHAnsi" w:hAnsiTheme="minorHAnsi" w:cstheme="minorHAnsi"/>
        </w:rPr>
        <w:t>: Build the Foundation</w:t>
      </w:r>
      <w:r>
        <w:rPr>
          <w:rFonts w:asciiTheme="minorHAnsi" w:hAnsiTheme="minorHAnsi" w:cstheme="minorHAnsi"/>
        </w:rPr>
        <w:t xml:space="preserve"> (Carer Gateway</w:t>
      </w:r>
      <w:r w:rsidR="00331C43">
        <w:rPr>
          <w:rFonts w:asciiTheme="minorHAnsi" w:hAnsiTheme="minorHAnsi" w:cstheme="minorHAnsi"/>
        </w:rPr>
        <w:t xml:space="preserve"> website</w:t>
      </w:r>
      <w:r>
        <w:rPr>
          <w:rFonts w:asciiTheme="minorHAnsi" w:hAnsiTheme="minorHAnsi" w:cstheme="minorHAnsi"/>
        </w:rPr>
        <w:t>)</w:t>
      </w:r>
      <w:r w:rsidRPr="00666054">
        <w:rPr>
          <w:rFonts w:asciiTheme="minorHAnsi" w:hAnsiTheme="minorHAnsi" w:cstheme="minorHAnsi"/>
        </w:rPr>
        <w:t xml:space="preserve"> – </w:t>
      </w:r>
      <w:r w:rsidRPr="00666054">
        <w:rPr>
          <w:rFonts w:asciiTheme="minorHAnsi" w:hAnsiTheme="minorHAnsi" w:cstheme="minorHAnsi"/>
          <w:i/>
        </w:rPr>
        <w:t xml:space="preserve">completed </w:t>
      </w:r>
      <w:r w:rsidR="008E61E7">
        <w:rPr>
          <w:rFonts w:asciiTheme="minorHAnsi" w:hAnsiTheme="minorHAnsi" w:cstheme="minorHAnsi"/>
          <w:i/>
        </w:rPr>
        <w:t>December 2015</w:t>
      </w:r>
      <w:r w:rsidR="00777899">
        <w:rPr>
          <w:rFonts w:asciiTheme="minorHAnsi" w:hAnsiTheme="minorHAnsi" w:cstheme="minorHAnsi"/>
          <w:i/>
        </w:rPr>
        <w:t>;</w:t>
      </w:r>
    </w:p>
    <w:p w14:paraId="51CADE0F" w14:textId="26E7AD5F" w:rsidR="00821A65" w:rsidRPr="00666054" w:rsidRDefault="00821A65" w:rsidP="00B64CD9">
      <w:pPr>
        <w:pStyle w:val="ListParagraph"/>
        <w:numPr>
          <w:ilvl w:val="0"/>
          <w:numId w:val="24"/>
        </w:numPr>
        <w:spacing w:after="120"/>
        <w:ind w:left="714" w:hanging="357"/>
        <w:rPr>
          <w:rFonts w:asciiTheme="minorHAnsi" w:hAnsiTheme="minorHAnsi" w:cstheme="minorHAnsi"/>
          <w:i/>
        </w:rPr>
      </w:pPr>
      <w:r w:rsidRPr="00666054">
        <w:rPr>
          <w:rFonts w:asciiTheme="minorHAnsi" w:hAnsiTheme="minorHAnsi" w:cstheme="minorHAnsi"/>
        </w:rPr>
        <w:t xml:space="preserve">Stage </w:t>
      </w:r>
      <w:r>
        <w:rPr>
          <w:rFonts w:asciiTheme="minorHAnsi" w:hAnsiTheme="minorHAnsi" w:cstheme="minorHAnsi"/>
        </w:rPr>
        <w:t>2</w:t>
      </w:r>
      <w:r w:rsidRPr="00666054">
        <w:rPr>
          <w:rFonts w:asciiTheme="minorHAnsi" w:hAnsiTheme="minorHAnsi" w:cstheme="minorHAnsi"/>
        </w:rPr>
        <w:t>: Put forward opt</w:t>
      </w:r>
      <w:r w:rsidR="00E72FD5">
        <w:rPr>
          <w:rFonts w:asciiTheme="minorHAnsi" w:hAnsiTheme="minorHAnsi" w:cstheme="minorHAnsi"/>
        </w:rPr>
        <w:t>ions for the design of the ICSS</w:t>
      </w:r>
      <w:r>
        <w:rPr>
          <w:rFonts w:asciiTheme="minorHAnsi" w:hAnsiTheme="minorHAnsi" w:cstheme="minorHAnsi"/>
        </w:rPr>
        <w:t xml:space="preserve"> (Service Concept)</w:t>
      </w:r>
      <w:r w:rsidR="00777899">
        <w:rPr>
          <w:rFonts w:asciiTheme="minorHAnsi" w:hAnsiTheme="minorHAnsi" w:cstheme="minorHAnsi"/>
        </w:rPr>
        <w:t xml:space="preserve"> </w:t>
      </w:r>
      <w:r w:rsidRPr="00666054">
        <w:rPr>
          <w:rFonts w:asciiTheme="minorHAnsi" w:hAnsiTheme="minorHAnsi" w:cstheme="minorHAnsi"/>
        </w:rPr>
        <w:t xml:space="preserve">– </w:t>
      </w:r>
      <w:r w:rsidRPr="00666054">
        <w:rPr>
          <w:rFonts w:asciiTheme="minorHAnsi" w:hAnsiTheme="minorHAnsi" w:cstheme="minorHAnsi"/>
          <w:i/>
        </w:rPr>
        <w:t>completed February 2017</w:t>
      </w:r>
      <w:r w:rsidR="00777899">
        <w:rPr>
          <w:rFonts w:asciiTheme="minorHAnsi" w:hAnsiTheme="minorHAnsi" w:cstheme="minorHAnsi"/>
          <w:i/>
        </w:rPr>
        <w:t xml:space="preserve">; </w:t>
      </w:r>
      <w:r w:rsidR="00777899">
        <w:rPr>
          <w:rFonts w:asciiTheme="minorHAnsi" w:hAnsiTheme="minorHAnsi" w:cstheme="minorHAnsi"/>
        </w:rPr>
        <w:t>and</w:t>
      </w:r>
      <w:r>
        <w:rPr>
          <w:rFonts w:asciiTheme="minorHAnsi" w:hAnsiTheme="minorHAnsi" w:cstheme="minorHAnsi"/>
          <w:i/>
        </w:rPr>
        <w:t xml:space="preserve"> </w:t>
      </w:r>
    </w:p>
    <w:p w14:paraId="6EB5B7CB" w14:textId="7F4D60AF" w:rsidR="00266BB1" w:rsidRPr="00266BB1" w:rsidRDefault="00821A65" w:rsidP="00B64CD9">
      <w:pPr>
        <w:pStyle w:val="ListParagraph"/>
        <w:numPr>
          <w:ilvl w:val="0"/>
          <w:numId w:val="24"/>
        </w:numPr>
        <w:spacing w:line="240" w:lineRule="auto"/>
        <w:rPr>
          <w:rFonts w:cstheme="minorHAnsi"/>
        </w:rPr>
      </w:pPr>
      <w:r w:rsidRPr="00666054">
        <w:rPr>
          <w:rFonts w:asciiTheme="minorHAnsi" w:hAnsiTheme="minorHAnsi" w:cstheme="minorHAnsi"/>
        </w:rPr>
        <w:t xml:space="preserve">Stage </w:t>
      </w:r>
      <w:r>
        <w:rPr>
          <w:rFonts w:asciiTheme="minorHAnsi" w:hAnsiTheme="minorHAnsi" w:cstheme="minorHAnsi"/>
        </w:rPr>
        <w:t>3</w:t>
      </w:r>
      <w:r w:rsidRPr="00666054">
        <w:rPr>
          <w:rFonts w:asciiTheme="minorHAnsi" w:hAnsiTheme="minorHAnsi" w:cstheme="minorHAnsi"/>
        </w:rPr>
        <w:t>: Operationalise the ICSS</w:t>
      </w:r>
      <w:r>
        <w:rPr>
          <w:rFonts w:asciiTheme="minorHAnsi" w:hAnsiTheme="minorHAnsi" w:cstheme="minorHAnsi"/>
        </w:rPr>
        <w:t xml:space="preserve"> (Integrated Carer Support Service)</w:t>
      </w:r>
      <w:r w:rsidRPr="00666054">
        <w:rPr>
          <w:rFonts w:asciiTheme="minorHAnsi" w:hAnsiTheme="minorHAnsi" w:cstheme="minorHAnsi"/>
        </w:rPr>
        <w:t xml:space="preserve"> – </w:t>
      </w:r>
      <w:r w:rsidRPr="00666054">
        <w:rPr>
          <w:rFonts w:asciiTheme="minorHAnsi" w:hAnsiTheme="minorHAnsi" w:cstheme="minorHAnsi"/>
          <w:i/>
        </w:rPr>
        <w:t xml:space="preserve">from </w:t>
      </w:r>
      <w:r w:rsidR="00B84FEC">
        <w:rPr>
          <w:rFonts w:asciiTheme="minorHAnsi" w:hAnsiTheme="minorHAnsi" w:cstheme="minorHAnsi"/>
          <w:i/>
        </w:rPr>
        <w:t>September</w:t>
      </w:r>
      <w:r w:rsidRPr="00666054">
        <w:rPr>
          <w:rFonts w:asciiTheme="minorHAnsi" w:hAnsiTheme="minorHAnsi" w:cstheme="minorHAnsi"/>
          <w:i/>
        </w:rPr>
        <w:t xml:space="preserve"> 2019</w:t>
      </w:r>
      <w:r w:rsidR="00E72FD5">
        <w:rPr>
          <w:rFonts w:asciiTheme="minorHAnsi" w:hAnsiTheme="minorHAnsi" w:cstheme="minorHAnsi"/>
          <w:i/>
        </w:rPr>
        <w:t>.</w:t>
      </w:r>
    </w:p>
    <w:p w14:paraId="4C58D87D" w14:textId="77777777" w:rsidR="00821A65" w:rsidRPr="00761841" w:rsidRDefault="00821A65" w:rsidP="00266BB1">
      <w:pPr>
        <w:spacing w:line="240" w:lineRule="auto"/>
        <w:rPr>
          <w:rFonts w:cstheme="minorHAnsi"/>
          <w:b/>
        </w:rPr>
      </w:pPr>
      <w:r w:rsidRPr="00266BB1">
        <w:rPr>
          <w:rFonts w:cstheme="minorHAnsi"/>
        </w:rPr>
        <w:t>F</w:t>
      </w:r>
      <w:r w:rsidR="006B60CD">
        <w:rPr>
          <w:rFonts w:cstheme="minorHAnsi"/>
        </w:rPr>
        <w:t>or f</w:t>
      </w:r>
      <w:r w:rsidRPr="00266BB1">
        <w:rPr>
          <w:rFonts w:cstheme="minorHAnsi"/>
        </w:rPr>
        <w:t xml:space="preserve">urther information on the </w:t>
      </w:r>
      <w:r w:rsidR="00757C9D">
        <w:rPr>
          <w:rFonts w:cstheme="minorHAnsi"/>
        </w:rPr>
        <w:t xml:space="preserve">Plan’s </w:t>
      </w:r>
      <w:r w:rsidRPr="00266BB1">
        <w:rPr>
          <w:rFonts w:cstheme="minorHAnsi"/>
        </w:rPr>
        <w:t xml:space="preserve">three stages refer to </w:t>
      </w:r>
      <w:r w:rsidRPr="00761841">
        <w:rPr>
          <w:rFonts w:cstheme="minorHAnsi"/>
          <w:b/>
        </w:rPr>
        <w:t xml:space="preserve">Appendix </w:t>
      </w:r>
      <w:r w:rsidR="00757C9D" w:rsidRPr="00761841">
        <w:rPr>
          <w:rFonts w:cstheme="minorHAnsi"/>
          <w:b/>
        </w:rPr>
        <w:t>A</w:t>
      </w:r>
      <w:r w:rsidR="00777899">
        <w:rPr>
          <w:rFonts w:cstheme="minorHAnsi"/>
          <w:b/>
        </w:rPr>
        <w:t>.</w:t>
      </w:r>
    </w:p>
    <w:p w14:paraId="07760310" w14:textId="77777777" w:rsidR="00D968A0" w:rsidRPr="00AC319D" w:rsidRDefault="00D968A0" w:rsidP="00D968A0">
      <w:pPr>
        <w:spacing w:after="160" w:line="259" w:lineRule="auto"/>
      </w:pPr>
      <w:r w:rsidRPr="00AC319D">
        <w:t>Historically the Australian Government has invested in a range of programs and initiatives to support the important work of Australia’s unpaid carers.</w:t>
      </w:r>
    </w:p>
    <w:p w14:paraId="55603382" w14:textId="77777777" w:rsidR="00D968A0" w:rsidRDefault="00D968A0" w:rsidP="00D968A0">
      <w:pPr>
        <w:spacing w:after="160" w:line="259" w:lineRule="auto"/>
      </w:pPr>
      <w:r w:rsidRPr="00AC319D">
        <w:t xml:space="preserve">In 2016-17, the Australian Government spent </w:t>
      </w:r>
      <w:r w:rsidR="00420E34">
        <w:t>approx</w:t>
      </w:r>
      <w:r w:rsidR="00CF130A">
        <w:t>imately</w:t>
      </w:r>
      <w:r w:rsidR="00420E34">
        <w:t xml:space="preserve"> </w:t>
      </w:r>
      <w:r w:rsidRPr="004F67E7">
        <w:t>$</w:t>
      </w:r>
      <w:r w:rsidR="00420E34" w:rsidRPr="004F67E7">
        <w:t>16</w:t>
      </w:r>
      <w:r w:rsidR="008E61E7">
        <w:t>9</w:t>
      </w:r>
      <w:r w:rsidRPr="004F67E7">
        <w:t xml:space="preserve"> million</w:t>
      </w:r>
      <w:r w:rsidRPr="00AC319D">
        <w:t xml:space="preserve"> on the </w:t>
      </w:r>
      <w:r w:rsidR="000143B6">
        <w:t xml:space="preserve">following </w:t>
      </w:r>
      <w:r w:rsidRPr="00AC319D">
        <w:t>programs, supporting approximately 177,100 carers nationally with access to information, education, respite and counselling</w:t>
      </w:r>
      <w:r w:rsidR="00CF130A">
        <w:t>:</w:t>
      </w:r>
    </w:p>
    <w:p w14:paraId="66A4F2FE"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Young Carer Bursary</w:t>
      </w:r>
      <w:r w:rsidR="006C7AF0">
        <w:rPr>
          <w:rFonts w:asciiTheme="minorHAnsi" w:eastAsiaTheme="minorHAnsi" w:hAnsiTheme="minorHAnsi" w:cstheme="minorBidi"/>
        </w:rPr>
        <w:t>;</w:t>
      </w:r>
    </w:p>
    <w:p w14:paraId="610AE246"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Consumer Directed Respite Care</w:t>
      </w:r>
      <w:r w:rsidR="006C7AF0">
        <w:rPr>
          <w:rFonts w:asciiTheme="minorHAnsi" w:eastAsiaTheme="minorHAnsi" w:hAnsiTheme="minorHAnsi" w:cstheme="minorBidi"/>
        </w:rPr>
        <w:t>;</w:t>
      </w:r>
    </w:p>
    <w:p w14:paraId="799775C3"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 xml:space="preserve">Commonwealth Respite </w:t>
      </w:r>
      <w:r w:rsidR="008E61E7">
        <w:rPr>
          <w:rFonts w:asciiTheme="minorHAnsi" w:eastAsiaTheme="minorHAnsi" w:hAnsiTheme="minorHAnsi" w:cstheme="minorBidi"/>
        </w:rPr>
        <w:t>and</w:t>
      </w:r>
      <w:r>
        <w:rPr>
          <w:rFonts w:asciiTheme="minorHAnsi" w:eastAsiaTheme="minorHAnsi" w:hAnsiTheme="minorHAnsi" w:cstheme="minorBidi"/>
        </w:rPr>
        <w:t xml:space="preserve"> Carelink Centres</w:t>
      </w:r>
      <w:r w:rsidR="006C7AF0">
        <w:rPr>
          <w:rFonts w:asciiTheme="minorHAnsi" w:eastAsiaTheme="minorHAnsi" w:hAnsiTheme="minorHAnsi" w:cstheme="minorBidi"/>
        </w:rPr>
        <w:t>;</w:t>
      </w:r>
    </w:p>
    <w:p w14:paraId="428DADFB"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National Carer Counselling Programme;</w:t>
      </w:r>
    </w:p>
    <w:p w14:paraId="50583EA3"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 xml:space="preserve">Carer Information </w:t>
      </w:r>
      <w:r w:rsidR="008E61E7">
        <w:rPr>
          <w:rFonts w:asciiTheme="minorHAnsi" w:eastAsiaTheme="minorHAnsi" w:hAnsiTheme="minorHAnsi" w:cstheme="minorBidi"/>
        </w:rPr>
        <w:t>and</w:t>
      </w:r>
      <w:r>
        <w:rPr>
          <w:rFonts w:asciiTheme="minorHAnsi" w:eastAsiaTheme="minorHAnsi" w:hAnsiTheme="minorHAnsi" w:cstheme="minorBidi"/>
        </w:rPr>
        <w:t xml:space="preserve"> Support Services</w:t>
      </w:r>
      <w:r w:rsidR="006C7AF0">
        <w:rPr>
          <w:rFonts w:asciiTheme="minorHAnsi" w:eastAsiaTheme="minorHAnsi" w:hAnsiTheme="minorHAnsi" w:cstheme="minorBidi"/>
        </w:rPr>
        <w:t>;</w:t>
      </w:r>
    </w:p>
    <w:p w14:paraId="6467E5DA"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Dementia Education and Training for Carers (DETC)</w:t>
      </w:r>
      <w:r w:rsidR="006C7AF0">
        <w:rPr>
          <w:rFonts w:asciiTheme="minorHAnsi" w:eastAsiaTheme="minorHAnsi" w:hAnsiTheme="minorHAnsi" w:cstheme="minorBidi"/>
        </w:rPr>
        <w:t>;</w:t>
      </w:r>
    </w:p>
    <w:p w14:paraId="00E9D8F5"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 xml:space="preserve">Counselling Support, Information </w:t>
      </w:r>
      <w:r w:rsidR="008E61E7">
        <w:rPr>
          <w:rFonts w:asciiTheme="minorHAnsi" w:eastAsiaTheme="minorHAnsi" w:hAnsiTheme="minorHAnsi" w:cstheme="minorBidi"/>
        </w:rPr>
        <w:t>and</w:t>
      </w:r>
      <w:r>
        <w:rPr>
          <w:rFonts w:asciiTheme="minorHAnsi" w:eastAsiaTheme="minorHAnsi" w:hAnsiTheme="minorHAnsi" w:cstheme="minorBidi"/>
        </w:rPr>
        <w:t xml:space="preserve"> Advocacy: Carer Support (CSIA:CS)</w:t>
      </w:r>
      <w:r w:rsidR="006C7AF0">
        <w:rPr>
          <w:rFonts w:asciiTheme="minorHAnsi" w:eastAsiaTheme="minorHAnsi" w:hAnsiTheme="minorHAnsi" w:cstheme="minorBidi"/>
        </w:rPr>
        <w:t>;</w:t>
      </w:r>
    </w:p>
    <w:p w14:paraId="2634CCAD"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 xml:space="preserve">Young Carers – Direct Respite </w:t>
      </w:r>
      <w:r w:rsidR="008E61E7">
        <w:rPr>
          <w:rFonts w:asciiTheme="minorHAnsi" w:eastAsiaTheme="minorHAnsi" w:hAnsiTheme="minorHAnsi" w:cstheme="minorBidi"/>
        </w:rPr>
        <w:t>and</w:t>
      </w:r>
      <w:r>
        <w:rPr>
          <w:rFonts w:asciiTheme="minorHAnsi" w:eastAsiaTheme="minorHAnsi" w:hAnsiTheme="minorHAnsi" w:cstheme="minorBidi"/>
        </w:rPr>
        <w:t xml:space="preserve"> Educational Support</w:t>
      </w:r>
      <w:r w:rsidR="006C7AF0">
        <w:rPr>
          <w:rFonts w:asciiTheme="minorHAnsi" w:eastAsiaTheme="minorHAnsi" w:hAnsiTheme="minorHAnsi" w:cstheme="minorBidi"/>
        </w:rPr>
        <w:t>;</w:t>
      </w:r>
    </w:p>
    <w:p w14:paraId="529CDFFD"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Respite Support for Carers of Young People with Severe and Profound Disability</w:t>
      </w:r>
      <w:r w:rsidR="006C7AF0">
        <w:rPr>
          <w:rFonts w:asciiTheme="minorHAnsi" w:eastAsiaTheme="minorHAnsi" w:hAnsiTheme="minorHAnsi" w:cstheme="minorBidi"/>
        </w:rPr>
        <w:t>;</w:t>
      </w:r>
    </w:p>
    <w:p w14:paraId="6749DBC4"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Mental Health Respite: Carer Support</w:t>
      </w:r>
      <w:r w:rsidR="006C7AF0">
        <w:rPr>
          <w:rFonts w:asciiTheme="minorHAnsi" w:eastAsiaTheme="minorHAnsi" w:hAnsiTheme="minorHAnsi" w:cstheme="minorBidi"/>
        </w:rPr>
        <w:t>; and</w:t>
      </w:r>
    </w:p>
    <w:p w14:paraId="1780D11C" w14:textId="77777777" w:rsidR="002844A3" w:rsidRDefault="002844A3" w:rsidP="00B64CD9">
      <w:pPr>
        <w:pStyle w:val="ListParagraph"/>
        <w:numPr>
          <w:ilvl w:val="0"/>
          <w:numId w:val="29"/>
        </w:numPr>
        <w:spacing w:after="120" w:line="256" w:lineRule="auto"/>
        <w:rPr>
          <w:rFonts w:asciiTheme="minorHAnsi" w:eastAsiaTheme="minorHAnsi" w:hAnsiTheme="minorHAnsi" w:cstheme="minorBidi"/>
        </w:rPr>
      </w:pPr>
      <w:r>
        <w:rPr>
          <w:rFonts w:asciiTheme="minorHAnsi" w:eastAsiaTheme="minorHAnsi" w:hAnsiTheme="minorHAnsi" w:cstheme="minorBidi"/>
        </w:rPr>
        <w:t>My Time</w:t>
      </w:r>
      <w:r w:rsidR="006C7AF0">
        <w:rPr>
          <w:rFonts w:asciiTheme="minorHAnsi" w:eastAsiaTheme="minorHAnsi" w:hAnsiTheme="minorHAnsi" w:cstheme="minorBidi"/>
        </w:rPr>
        <w:t>.</w:t>
      </w:r>
    </w:p>
    <w:p w14:paraId="43E2F005" w14:textId="3308463C" w:rsidR="00D968A0" w:rsidRPr="00AC319D" w:rsidRDefault="00A6349D" w:rsidP="00D968A0">
      <w:pPr>
        <w:spacing w:after="160" w:line="259" w:lineRule="auto"/>
      </w:pPr>
      <w:r>
        <w:t>Historically e</w:t>
      </w:r>
      <w:r w:rsidR="00D968A0" w:rsidRPr="00AC319D">
        <w:t xml:space="preserve">ach of these programs </w:t>
      </w:r>
      <w:r>
        <w:t>ha</w:t>
      </w:r>
      <w:r w:rsidR="00176BF0">
        <w:t>s</w:t>
      </w:r>
      <w:r>
        <w:t xml:space="preserve"> operated </w:t>
      </w:r>
      <w:r w:rsidR="00D968A0" w:rsidRPr="00AC319D">
        <w:t xml:space="preserve">separately </w:t>
      </w:r>
      <w:r>
        <w:t>as they were</w:t>
      </w:r>
      <w:r w:rsidR="00D968A0" w:rsidRPr="00AC319D">
        <w:t xml:space="preserve"> linked to car</w:t>
      </w:r>
      <w:r w:rsidR="00E72FD5">
        <w:t xml:space="preserve">e recipient focussed programs. </w:t>
      </w:r>
      <w:r w:rsidR="00D968A0" w:rsidRPr="00AC319D">
        <w:t>Each has its own eligibility requirements tha</w:t>
      </w:r>
      <w:r w:rsidR="00E72FD5">
        <w:t xml:space="preserve">t carers are required to meet. </w:t>
      </w:r>
      <w:r w:rsidR="00D968A0" w:rsidRPr="00AC319D">
        <w:t>The bulk of funding has been invested in programs focused on the provisio</w:t>
      </w:r>
      <w:r w:rsidR="00BD2818">
        <w:t xml:space="preserve">n of reactive support responses </w:t>
      </w:r>
      <w:r w:rsidR="00B84FEC">
        <w:t xml:space="preserve">which </w:t>
      </w:r>
      <w:r w:rsidR="00D968A0" w:rsidRPr="00AC319D">
        <w:t>support a carer’s immediate needs</w:t>
      </w:r>
      <w:r w:rsidR="00B84FEC">
        <w:t>.</w:t>
      </w:r>
      <w:r w:rsidR="00E72FD5">
        <w:t xml:space="preserve"> </w:t>
      </w:r>
    </w:p>
    <w:p w14:paraId="741EC947" w14:textId="77777777" w:rsidR="00823597" w:rsidRDefault="00AC319D" w:rsidP="00761841">
      <w:pPr>
        <w:spacing w:after="160" w:line="259" w:lineRule="auto"/>
      </w:pPr>
      <w:r>
        <w:t>Recognising that carers have a right to access services to support their own needs, the Australian Government is implementing the ICSS as a new system of services des</w:t>
      </w:r>
      <w:r w:rsidR="00B84FEC">
        <w:t>igned specifically for carers to improve access to early intervention supports and in turn reducing reliance on reactive crisis supports.</w:t>
      </w:r>
    </w:p>
    <w:p w14:paraId="51D9D867" w14:textId="77777777" w:rsidR="00757C9D" w:rsidRPr="00F878D3" w:rsidRDefault="00045933" w:rsidP="00DF6374">
      <w:pPr>
        <w:pStyle w:val="Heading2Numbered"/>
        <w:ind w:left="567"/>
      </w:pPr>
      <w:bookmarkStart w:id="11" w:name="_Toc461105052"/>
      <w:bookmarkStart w:id="12" w:name="_Toc467773953"/>
      <w:bookmarkStart w:id="13" w:name="_Toc530058177"/>
      <w:bookmarkStart w:id="14" w:name="_Ref421783365"/>
      <w:bookmarkEnd w:id="11"/>
      <w:r w:rsidRPr="00F878D3">
        <w:t>Grant Opportunity outcomes</w:t>
      </w:r>
      <w:bookmarkEnd w:id="12"/>
      <w:bookmarkEnd w:id="13"/>
      <w:r w:rsidRPr="00F878D3">
        <w:t xml:space="preserve"> </w:t>
      </w:r>
      <w:bookmarkStart w:id="15" w:name="_Toc467773954"/>
      <w:bookmarkEnd w:id="14"/>
    </w:p>
    <w:p w14:paraId="75A1F116" w14:textId="0FD22F4C" w:rsidR="00457D04" w:rsidRPr="00457D04" w:rsidRDefault="005352BC" w:rsidP="00457D04">
      <w:pPr>
        <w:spacing w:after="160" w:line="259" w:lineRule="auto"/>
        <w:rPr>
          <w:rFonts w:cstheme="minorHAnsi"/>
        </w:rPr>
      </w:pPr>
      <w:r w:rsidRPr="00457D04">
        <w:rPr>
          <w:rFonts w:cstheme="minorHAnsi"/>
        </w:rPr>
        <w:t xml:space="preserve">RDPs are responsible for </w:t>
      </w:r>
      <w:r w:rsidR="008B2AAB" w:rsidRPr="00457D04">
        <w:rPr>
          <w:rFonts w:cstheme="minorHAnsi"/>
        </w:rPr>
        <w:t xml:space="preserve">delivering </w:t>
      </w:r>
      <w:r w:rsidRPr="00457D04">
        <w:rPr>
          <w:rFonts w:cstheme="minorHAnsi"/>
        </w:rPr>
        <w:t xml:space="preserve">outcomes </w:t>
      </w:r>
      <w:r w:rsidR="00E13061" w:rsidRPr="00457D04">
        <w:rPr>
          <w:rFonts w:cstheme="minorHAnsi"/>
        </w:rPr>
        <w:t>and contributing to benefits in line wit</w:t>
      </w:r>
      <w:r w:rsidR="000D5338" w:rsidRPr="00457D04">
        <w:rPr>
          <w:rFonts w:cstheme="minorHAnsi"/>
        </w:rPr>
        <w:t xml:space="preserve">h the </w:t>
      </w:r>
      <w:r w:rsidR="000D5338" w:rsidRPr="0004290A">
        <w:rPr>
          <w:rFonts w:cstheme="minorHAnsi"/>
        </w:rPr>
        <w:t>ICSS Outcomes Framework</w:t>
      </w:r>
      <w:r w:rsidR="000D5338" w:rsidRPr="00457D04">
        <w:rPr>
          <w:rFonts w:cstheme="minorHAnsi"/>
        </w:rPr>
        <w:t xml:space="preserve"> (r</w:t>
      </w:r>
      <w:r w:rsidR="00E13061" w:rsidRPr="00457D04">
        <w:rPr>
          <w:rFonts w:cstheme="minorHAnsi"/>
        </w:rPr>
        <w:t xml:space="preserve">efer to </w:t>
      </w:r>
      <w:r w:rsidR="00610900">
        <w:rPr>
          <w:rFonts w:cstheme="minorHAnsi"/>
        </w:rPr>
        <w:t xml:space="preserve">the ICSS Service Blueprint on the </w:t>
      </w:r>
      <w:r w:rsidR="00B9563A" w:rsidRPr="00457D04">
        <w:rPr>
          <w:rFonts w:cstheme="minorHAnsi"/>
        </w:rPr>
        <w:t>G</w:t>
      </w:r>
      <w:r w:rsidR="00FF15A4" w:rsidRPr="00457D04">
        <w:rPr>
          <w:rFonts w:cstheme="minorHAnsi"/>
        </w:rPr>
        <w:t>rant</w:t>
      </w:r>
      <w:r w:rsidR="00B9563A" w:rsidRPr="00457D04">
        <w:rPr>
          <w:rFonts w:cstheme="minorHAnsi"/>
        </w:rPr>
        <w:t xml:space="preserve"> Opportunity D</w:t>
      </w:r>
      <w:r w:rsidR="00176BF0" w:rsidRPr="00457D04">
        <w:rPr>
          <w:rFonts w:cstheme="minorHAnsi"/>
        </w:rPr>
        <w:t xml:space="preserve">ocuments on the </w:t>
      </w:r>
      <w:r w:rsidR="00BE38B2" w:rsidRPr="00457D04">
        <w:rPr>
          <w:rFonts w:cstheme="minorHAnsi"/>
        </w:rPr>
        <w:t>Gra</w:t>
      </w:r>
      <w:r w:rsidR="00862C2D" w:rsidRPr="00457D04">
        <w:rPr>
          <w:rFonts w:cstheme="minorHAnsi"/>
        </w:rPr>
        <w:t>n</w:t>
      </w:r>
      <w:r w:rsidR="00BE38B2" w:rsidRPr="00457D04">
        <w:rPr>
          <w:rFonts w:cstheme="minorHAnsi"/>
        </w:rPr>
        <w:t>t</w:t>
      </w:r>
      <w:r w:rsidR="00862C2D" w:rsidRPr="00457D04">
        <w:rPr>
          <w:rFonts w:cstheme="minorHAnsi"/>
        </w:rPr>
        <w:t xml:space="preserve">Connect and </w:t>
      </w:r>
      <w:r w:rsidR="00176BF0" w:rsidRPr="00457D04">
        <w:rPr>
          <w:rFonts w:cstheme="minorHAnsi"/>
        </w:rPr>
        <w:t xml:space="preserve">Community Grants Hub </w:t>
      </w:r>
      <w:r w:rsidR="00FF15A4" w:rsidRPr="00457D04">
        <w:rPr>
          <w:rFonts w:cstheme="minorHAnsi"/>
        </w:rPr>
        <w:t>website</w:t>
      </w:r>
      <w:r w:rsidR="00B9563A" w:rsidRPr="00457D04">
        <w:rPr>
          <w:rFonts w:cstheme="minorHAnsi"/>
        </w:rPr>
        <w:t>s</w:t>
      </w:r>
      <w:r w:rsidR="00E13061" w:rsidRPr="00457D04">
        <w:rPr>
          <w:rFonts w:cstheme="minorHAnsi"/>
        </w:rPr>
        <w:t>)</w:t>
      </w:r>
      <w:r w:rsidR="00E72FD5">
        <w:rPr>
          <w:rFonts w:cstheme="minorHAnsi"/>
        </w:rPr>
        <w:t>.</w:t>
      </w:r>
      <w:r w:rsidR="0058519A" w:rsidRPr="00457D04">
        <w:rPr>
          <w:rFonts w:cstheme="minorHAnsi"/>
        </w:rPr>
        <w:t xml:space="preserve"> </w:t>
      </w:r>
      <w:r w:rsidR="00F05E4C" w:rsidRPr="00457D04">
        <w:rPr>
          <w:rFonts w:cstheme="minorHAnsi"/>
        </w:rPr>
        <w:t xml:space="preserve">In providing RDPs with grants the Department is seeking to achieve </w:t>
      </w:r>
      <w:r w:rsidR="009C0EA9" w:rsidRPr="00457D04">
        <w:rPr>
          <w:rFonts w:cstheme="minorHAnsi"/>
        </w:rPr>
        <w:t>the following</w:t>
      </w:r>
      <w:r w:rsidR="00EB3594" w:rsidRPr="00457D04">
        <w:rPr>
          <w:rFonts w:cstheme="minorHAnsi"/>
        </w:rPr>
        <w:t xml:space="preserve"> outcomes</w:t>
      </w:r>
      <w:r w:rsidR="009C0EA9">
        <w:t>:</w:t>
      </w:r>
      <w:r w:rsidR="00F05E4C">
        <w:t xml:space="preserve"> </w:t>
      </w:r>
    </w:p>
    <w:p w14:paraId="64399A3E" w14:textId="3F212555" w:rsidR="00E13061" w:rsidRPr="00C81B56" w:rsidRDefault="00E13061" w:rsidP="00B64CD9">
      <w:pPr>
        <w:pStyle w:val="ListParagraph"/>
        <w:numPr>
          <w:ilvl w:val="0"/>
          <w:numId w:val="20"/>
        </w:numPr>
        <w:spacing w:after="160" w:line="259" w:lineRule="auto"/>
        <w:rPr>
          <w:rFonts w:asciiTheme="minorHAnsi" w:hAnsiTheme="minorHAnsi" w:cstheme="minorHAnsi"/>
        </w:rPr>
      </w:pPr>
      <w:r w:rsidRPr="00C81B56">
        <w:rPr>
          <w:rFonts w:asciiTheme="minorHAnsi" w:hAnsiTheme="minorHAnsi" w:cstheme="minorHAnsi"/>
          <w:b/>
        </w:rPr>
        <w:t>Awareness</w:t>
      </w:r>
      <w:r w:rsidRPr="00C81B56">
        <w:rPr>
          <w:rFonts w:asciiTheme="minorHAnsi" w:hAnsiTheme="minorHAnsi" w:cstheme="minorHAnsi"/>
        </w:rPr>
        <w:t xml:space="preserve"> – Carers and their family and friends along with the general community are aware of carers and the</w:t>
      </w:r>
      <w:r w:rsidR="00015508">
        <w:rPr>
          <w:rFonts w:asciiTheme="minorHAnsi" w:hAnsiTheme="minorHAnsi" w:cstheme="minorHAnsi"/>
        </w:rPr>
        <w:t xml:space="preserve"> support and services available;</w:t>
      </w:r>
    </w:p>
    <w:p w14:paraId="10DF3A55" w14:textId="77777777" w:rsidR="00E13061" w:rsidRPr="00C81B56" w:rsidRDefault="00E13061" w:rsidP="00B64CD9">
      <w:pPr>
        <w:pStyle w:val="ListParagraph"/>
        <w:numPr>
          <w:ilvl w:val="0"/>
          <w:numId w:val="20"/>
        </w:numPr>
        <w:spacing w:after="160" w:line="259" w:lineRule="auto"/>
        <w:rPr>
          <w:rFonts w:asciiTheme="minorHAnsi" w:hAnsiTheme="minorHAnsi" w:cstheme="minorHAnsi"/>
        </w:rPr>
      </w:pPr>
      <w:r w:rsidRPr="00C81B56">
        <w:rPr>
          <w:rFonts w:asciiTheme="minorHAnsi" w:hAnsiTheme="minorHAnsi" w:cstheme="minorHAnsi"/>
          <w:b/>
        </w:rPr>
        <w:t xml:space="preserve">Knowledge </w:t>
      </w:r>
      <w:r w:rsidRPr="00C81B56">
        <w:rPr>
          <w:rFonts w:asciiTheme="minorHAnsi" w:hAnsiTheme="minorHAnsi" w:cstheme="minorHAnsi"/>
        </w:rPr>
        <w:t>– Carers are better informed about the caring r</w:t>
      </w:r>
      <w:r w:rsidR="00015508">
        <w:rPr>
          <w:rFonts w:asciiTheme="minorHAnsi" w:hAnsiTheme="minorHAnsi" w:cstheme="minorHAnsi"/>
        </w:rPr>
        <w:t>ole and the associated stresses;</w:t>
      </w:r>
    </w:p>
    <w:p w14:paraId="5ECD8161" w14:textId="77777777" w:rsidR="00E13061" w:rsidRPr="00C81B56" w:rsidRDefault="00E13061" w:rsidP="00B64CD9">
      <w:pPr>
        <w:pStyle w:val="ListParagraph"/>
        <w:numPr>
          <w:ilvl w:val="0"/>
          <w:numId w:val="20"/>
        </w:numPr>
        <w:spacing w:after="160" w:line="259" w:lineRule="auto"/>
        <w:rPr>
          <w:rFonts w:asciiTheme="minorHAnsi" w:hAnsiTheme="minorHAnsi" w:cstheme="minorHAnsi"/>
        </w:rPr>
      </w:pPr>
      <w:r w:rsidRPr="00C81B56">
        <w:rPr>
          <w:rFonts w:asciiTheme="minorHAnsi" w:hAnsiTheme="minorHAnsi" w:cstheme="minorHAnsi"/>
          <w:b/>
        </w:rPr>
        <w:t>Skills</w:t>
      </w:r>
      <w:r w:rsidRPr="00C81B56">
        <w:rPr>
          <w:rFonts w:asciiTheme="minorHAnsi" w:hAnsiTheme="minorHAnsi" w:cstheme="minorHAnsi"/>
        </w:rPr>
        <w:t xml:space="preserve"> – Carers gain skills to manage stress </w:t>
      </w:r>
      <w:r w:rsidR="00015508">
        <w:rPr>
          <w:rFonts w:asciiTheme="minorHAnsi" w:hAnsiTheme="minorHAnsi" w:cstheme="minorHAnsi"/>
        </w:rPr>
        <w:t>associated with the caring role;</w:t>
      </w:r>
    </w:p>
    <w:p w14:paraId="0CE9506A" w14:textId="77777777" w:rsidR="00E13061" w:rsidRPr="00C81B56" w:rsidRDefault="00E13061" w:rsidP="00B64CD9">
      <w:pPr>
        <w:pStyle w:val="ListParagraph"/>
        <w:numPr>
          <w:ilvl w:val="0"/>
          <w:numId w:val="20"/>
        </w:numPr>
        <w:spacing w:after="160" w:line="259" w:lineRule="auto"/>
        <w:rPr>
          <w:rFonts w:asciiTheme="minorHAnsi" w:hAnsiTheme="minorHAnsi" w:cstheme="minorHAnsi"/>
        </w:rPr>
      </w:pPr>
      <w:r w:rsidRPr="00C81B56">
        <w:rPr>
          <w:rFonts w:asciiTheme="minorHAnsi" w:hAnsiTheme="minorHAnsi" w:cstheme="minorHAnsi"/>
          <w:b/>
        </w:rPr>
        <w:t>Policy</w:t>
      </w:r>
      <w:r w:rsidRPr="00C81B56">
        <w:rPr>
          <w:rFonts w:asciiTheme="minorHAnsi" w:hAnsiTheme="minorHAnsi" w:cstheme="minorHAnsi"/>
        </w:rPr>
        <w:t xml:space="preserve"> – Prioritise investment towards carers most in need, and l</w:t>
      </w:r>
      <w:r w:rsidR="00015508">
        <w:rPr>
          <w:rFonts w:asciiTheme="minorHAnsi" w:hAnsiTheme="minorHAnsi" w:cstheme="minorHAnsi"/>
        </w:rPr>
        <w:t>ow-cost, preventative, services;</w:t>
      </w:r>
    </w:p>
    <w:p w14:paraId="6DBEB4BE" w14:textId="77777777" w:rsidR="00E13061" w:rsidRPr="00C81B56" w:rsidRDefault="00E13061" w:rsidP="00B64CD9">
      <w:pPr>
        <w:pStyle w:val="ListParagraph"/>
        <w:numPr>
          <w:ilvl w:val="0"/>
          <w:numId w:val="20"/>
        </w:numPr>
        <w:spacing w:after="160" w:line="259" w:lineRule="auto"/>
        <w:rPr>
          <w:rFonts w:asciiTheme="minorHAnsi" w:hAnsiTheme="minorHAnsi" w:cstheme="minorHAnsi"/>
        </w:rPr>
      </w:pPr>
      <w:r w:rsidRPr="00C81B56">
        <w:rPr>
          <w:rFonts w:asciiTheme="minorHAnsi" w:hAnsiTheme="minorHAnsi" w:cstheme="minorHAnsi"/>
          <w:b/>
        </w:rPr>
        <w:t xml:space="preserve">Support </w:t>
      </w:r>
      <w:r w:rsidRPr="00C81B56">
        <w:rPr>
          <w:rFonts w:asciiTheme="minorHAnsi" w:hAnsiTheme="minorHAnsi" w:cstheme="minorHAnsi"/>
        </w:rPr>
        <w:t>– Carers are</w:t>
      </w:r>
      <w:r w:rsidR="00015508">
        <w:rPr>
          <w:rFonts w:asciiTheme="minorHAnsi" w:hAnsiTheme="minorHAnsi" w:cstheme="minorHAnsi"/>
        </w:rPr>
        <w:t xml:space="preserve"> able to access crisis services; and</w:t>
      </w:r>
    </w:p>
    <w:p w14:paraId="4828CCBE" w14:textId="77777777" w:rsidR="00E13061" w:rsidRPr="00C81B56" w:rsidRDefault="00E13061" w:rsidP="00B64CD9">
      <w:pPr>
        <w:pStyle w:val="ListParagraph"/>
        <w:numPr>
          <w:ilvl w:val="0"/>
          <w:numId w:val="20"/>
        </w:numPr>
        <w:spacing w:after="160" w:line="259" w:lineRule="auto"/>
        <w:rPr>
          <w:rFonts w:asciiTheme="minorHAnsi" w:hAnsiTheme="minorHAnsi" w:cstheme="minorHAnsi"/>
        </w:rPr>
      </w:pPr>
      <w:r w:rsidRPr="00C81B56">
        <w:rPr>
          <w:rFonts w:asciiTheme="minorHAnsi" w:hAnsiTheme="minorHAnsi" w:cstheme="minorHAnsi"/>
          <w:b/>
        </w:rPr>
        <w:t xml:space="preserve">Economic </w:t>
      </w:r>
      <w:r w:rsidRPr="00C81B56">
        <w:rPr>
          <w:rFonts w:asciiTheme="minorHAnsi" w:hAnsiTheme="minorHAnsi" w:cstheme="minorHAnsi"/>
        </w:rPr>
        <w:t>– Improve the effectiveness of supports and services available to carers.</w:t>
      </w:r>
    </w:p>
    <w:p w14:paraId="60436844" w14:textId="77777777" w:rsidR="00B06121" w:rsidRPr="00B06121" w:rsidRDefault="00B06121" w:rsidP="00DF6374">
      <w:pPr>
        <w:pStyle w:val="Heading2Numbered"/>
        <w:ind w:left="567"/>
      </w:pPr>
      <w:bookmarkStart w:id="16" w:name="_Toc530058178"/>
      <w:r w:rsidRPr="00B06121">
        <w:t>Service Area</w:t>
      </w:r>
      <w:bookmarkEnd w:id="16"/>
      <w:r w:rsidRPr="00B06121">
        <w:t xml:space="preserve"> </w:t>
      </w:r>
    </w:p>
    <w:p w14:paraId="1503F157" w14:textId="4ECBCEB3" w:rsidR="00A2074A" w:rsidRPr="00773C7C" w:rsidRDefault="00A2074A" w:rsidP="00A2074A">
      <w:r>
        <w:t xml:space="preserve">There are </w:t>
      </w:r>
      <w:r w:rsidR="008F5CDE">
        <w:t>16</w:t>
      </w:r>
      <w:r w:rsidR="00B5661A">
        <w:t xml:space="preserve"> </w:t>
      </w:r>
      <w:r>
        <w:t>service areas under the ICSS</w:t>
      </w:r>
      <w:r w:rsidR="00E72FD5">
        <w:t>.</w:t>
      </w:r>
      <w:r w:rsidR="0058519A">
        <w:t xml:space="preserve"> </w:t>
      </w:r>
      <w:r w:rsidRPr="00773C7C">
        <w:t xml:space="preserve">The </w:t>
      </w:r>
      <w:hyperlink r:id="rId13" w:history="1">
        <w:r w:rsidRPr="00F878D3">
          <w:rPr>
            <w:rStyle w:val="Hyperlink"/>
            <w:rFonts w:cstheme="minorBidi"/>
          </w:rPr>
          <w:t>service areas</w:t>
        </w:r>
      </w:hyperlink>
      <w:r w:rsidRPr="00773C7C">
        <w:t xml:space="preserve"> are based on the Statistical Areas (level</w:t>
      </w:r>
      <w:r w:rsidR="00366EC6">
        <w:t xml:space="preserve"> </w:t>
      </w:r>
      <w:r w:rsidR="00B5661A">
        <w:t>2</w:t>
      </w:r>
      <w:r w:rsidRPr="00773C7C">
        <w:t>) managed by the ABS</w:t>
      </w:r>
      <w:r w:rsidR="008F5CDE">
        <w:t xml:space="preserve"> and are aligned to Primary Health Network (PHN) boundary lines.</w:t>
      </w:r>
      <w:r w:rsidR="00E72FD5">
        <w:t xml:space="preserve"> </w:t>
      </w:r>
      <w:r w:rsidR="00D6106C">
        <w:t xml:space="preserve">There will be one grant agreement per service area. </w:t>
      </w:r>
    </w:p>
    <w:p w14:paraId="534E5B04" w14:textId="5F5D49DF" w:rsidR="00A2074A" w:rsidRDefault="00B06121" w:rsidP="00A2074A">
      <w:r>
        <w:t>RDPs</w:t>
      </w:r>
      <w:r w:rsidR="00A2074A">
        <w:t xml:space="preserve"> </w:t>
      </w:r>
      <w:r w:rsidR="0091308E">
        <w:t xml:space="preserve">are </w:t>
      </w:r>
      <w:r w:rsidR="00A2074A">
        <w:t xml:space="preserve">required to establish a regional presence to support the entire designated </w:t>
      </w:r>
      <w:r w:rsidR="006F0218">
        <w:t>s</w:t>
      </w:r>
      <w:r w:rsidR="00A2074A">
        <w:t xml:space="preserve">ervice </w:t>
      </w:r>
      <w:r w:rsidR="006F0218">
        <w:t>a</w:t>
      </w:r>
      <w:r w:rsidR="00A2074A">
        <w:t>rea.</w:t>
      </w:r>
      <w:r w:rsidR="00427288">
        <w:t xml:space="preserve"> </w:t>
      </w:r>
      <w:r w:rsidR="00A2074A">
        <w:t>This presence will likely be achieved through a mobile workforce and/or service outlets (e.g. 2 to 3 staff co-located in a regional hospital</w:t>
      </w:r>
      <w:r w:rsidR="00F721A5">
        <w:t xml:space="preserve"> is one example of an outlet</w:t>
      </w:r>
      <w:r w:rsidR="00A2074A">
        <w:t>) for the purposes of delivering those Activities with an in-person component e.g. peer support and coaching.</w:t>
      </w:r>
    </w:p>
    <w:p w14:paraId="00067C14" w14:textId="3C5FA84B" w:rsidR="00FD1223" w:rsidRDefault="00C6741B" w:rsidP="00B06121">
      <w:r w:rsidRPr="00773C7C">
        <w:t xml:space="preserve">The national distribution of </w:t>
      </w:r>
      <w:r w:rsidR="006F0218">
        <w:t>s</w:t>
      </w:r>
      <w:r w:rsidRPr="00773C7C">
        <w:t xml:space="preserve">ervice </w:t>
      </w:r>
      <w:r w:rsidR="006F0218">
        <w:t>a</w:t>
      </w:r>
      <w:r w:rsidRPr="00773C7C">
        <w:t xml:space="preserve">reas is provided </w:t>
      </w:r>
      <w:r w:rsidR="009901B1">
        <w:t xml:space="preserve">in the </w:t>
      </w:r>
      <w:r w:rsidR="009901B1" w:rsidRPr="00A329CC">
        <w:t>G</w:t>
      </w:r>
      <w:r w:rsidR="00B00E65" w:rsidRPr="00A329CC">
        <w:t>rant O</w:t>
      </w:r>
      <w:r w:rsidR="0091308E" w:rsidRPr="00A329CC">
        <w:t>pportunity Document</w:t>
      </w:r>
      <w:r w:rsidR="009901B1" w:rsidRPr="00A329CC">
        <w:t>s</w:t>
      </w:r>
      <w:r w:rsidR="0091308E" w:rsidRPr="00A329CC">
        <w:t xml:space="preserve"> title</w:t>
      </w:r>
      <w:r w:rsidR="009901B1" w:rsidRPr="00A329CC">
        <w:t>d</w:t>
      </w:r>
      <w:r w:rsidR="0091308E" w:rsidRPr="00A329CC">
        <w:t xml:space="preserve"> </w:t>
      </w:r>
      <w:r w:rsidR="0091308E" w:rsidRPr="0061156F">
        <w:t xml:space="preserve">– </w:t>
      </w:r>
      <w:r w:rsidR="00B00E65" w:rsidRPr="0061156F">
        <w:t>‘</w:t>
      </w:r>
      <w:r w:rsidR="0091308E" w:rsidRPr="0061156F">
        <w:t>RDP Service Areas</w:t>
      </w:r>
      <w:r w:rsidR="00B00E65" w:rsidRPr="0061156F">
        <w:t>’</w:t>
      </w:r>
      <w:r w:rsidR="00B5661A" w:rsidRPr="00A329CC">
        <w:t xml:space="preserve"> (refer to grant</w:t>
      </w:r>
      <w:r w:rsidR="00F5243B">
        <w:t xml:space="preserve"> opportunity</w:t>
      </w:r>
      <w:r w:rsidR="00B5661A" w:rsidRPr="00A329CC">
        <w:t xml:space="preserve"> documents on th</w:t>
      </w:r>
      <w:r w:rsidR="00476DCE">
        <w:t xml:space="preserve">e </w:t>
      </w:r>
      <w:r w:rsidR="00BB66A9">
        <w:t xml:space="preserve">GrantConnect and </w:t>
      </w:r>
      <w:r w:rsidR="00476DCE">
        <w:t xml:space="preserve">Community Grants Hub </w:t>
      </w:r>
      <w:r w:rsidR="00B5661A">
        <w:t>website</w:t>
      </w:r>
      <w:r w:rsidR="00476DCE">
        <w:t>s</w:t>
      </w:r>
      <w:r w:rsidR="00B5661A">
        <w:t>)</w:t>
      </w:r>
      <w:r w:rsidR="0091308E" w:rsidRPr="00FD1223">
        <w:t>.</w:t>
      </w:r>
    </w:p>
    <w:p w14:paraId="13D2B3A8" w14:textId="38C83AB9" w:rsidR="00761841" w:rsidRPr="00B47570" w:rsidRDefault="00FD1223" w:rsidP="00B06121">
      <w:r>
        <w:t>An applicant can apply for more than one service area.</w:t>
      </w:r>
      <w:r w:rsidR="00E72FD5">
        <w:t xml:space="preserve"> </w:t>
      </w:r>
      <w:r>
        <w:t xml:space="preserve">There must be </w:t>
      </w:r>
      <w:r w:rsidR="00F721A5">
        <w:t xml:space="preserve">a </w:t>
      </w:r>
      <w:r w:rsidR="009C0EA9">
        <w:t>separate</w:t>
      </w:r>
      <w:r w:rsidR="00F721A5">
        <w:t xml:space="preserve"> </w:t>
      </w:r>
      <w:r>
        <w:t>application for each service area applied for (</w:t>
      </w:r>
      <w:r w:rsidR="00F721A5">
        <w:t>i.e.</w:t>
      </w:r>
      <w:r>
        <w:t xml:space="preserve"> one application submitted per service area).</w:t>
      </w:r>
    </w:p>
    <w:p w14:paraId="16D6E7BC" w14:textId="77777777" w:rsidR="00B5661A" w:rsidRDefault="00B5661A">
      <w:pPr>
        <w:suppressAutoHyphens w:val="0"/>
        <w:spacing w:before="0" w:after="120" w:line="440" w:lineRule="atLeast"/>
      </w:pPr>
      <w:r>
        <w:br w:type="page"/>
      </w:r>
    </w:p>
    <w:p w14:paraId="4D84D9C2" w14:textId="78DC33CB" w:rsidR="00B5661A" w:rsidRDefault="00B5661A" w:rsidP="00C63607">
      <w:pPr>
        <w:sectPr w:rsidR="00B5661A" w:rsidSect="00281048">
          <w:headerReference w:type="default" r:id="rId14"/>
          <w:footerReference w:type="default" r:id="rId15"/>
          <w:headerReference w:type="first" r:id="rId16"/>
          <w:pgSz w:w="11906" w:h="16838" w:code="9"/>
          <w:pgMar w:top="1170" w:right="1440" w:bottom="1440" w:left="1440" w:header="284" w:footer="284" w:gutter="0"/>
          <w:cols w:space="601"/>
          <w:docGrid w:linePitch="360"/>
        </w:sectPr>
      </w:pPr>
    </w:p>
    <w:p w14:paraId="7CA2C5BC" w14:textId="77777777" w:rsidR="005C754D" w:rsidRDefault="005C754D" w:rsidP="00DF6374">
      <w:pPr>
        <w:pStyle w:val="Heading1Numbered"/>
      </w:pPr>
      <w:bookmarkStart w:id="17" w:name="_Toc530058179"/>
      <w:r>
        <w:t>Grant Amount</w:t>
      </w:r>
      <w:bookmarkEnd w:id="17"/>
      <w:r>
        <w:t xml:space="preserve"> </w:t>
      </w:r>
      <w:bookmarkEnd w:id="15"/>
    </w:p>
    <w:p w14:paraId="0B88AA79" w14:textId="5A08AE33" w:rsidR="00823597" w:rsidRDefault="00757C9D" w:rsidP="00823597">
      <w:r>
        <w:t xml:space="preserve">A total </w:t>
      </w:r>
      <w:r w:rsidRPr="00757C9D">
        <w:t xml:space="preserve">of </w:t>
      </w:r>
      <w:r w:rsidR="00823597" w:rsidRPr="00757C9D">
        <w:t>$</w:t>
      </w:r>
      <w:r w:rsidR="0091308E">
        <w:t>493.3</w:t>
      </w:r>
      <w:r w:rsidRPr="00757C9D">
        <w:t xml:space="preserve"> </w:t>
      </w:r>
      <w:r w:rsidRPr="00D20C44">
        <w:t>million</w:t>
      </w:r>
      <w:r w:rsidR="008E61E7" w:rsidRPr="00D20C44">
        <w:t xml:space="preserve"> (GST</w:t>
      </w:r>
      <w:r w:rsidR="005E735D">
        <w:t xml:space="preserve"> exclusive</w:t>
      </w:r>
      <w:r w:rsidR="008E61E7" w:rsidRPr="00D20C44">
        <w:t>)</w:t>
      </w:r>
      <w:r w:rsidRPr="00757C9D">
        <w:t xml:space="preserve"> over</w:t>
      </w:r>
      <w:r>
        <w:t xml:space="preserve"> </w:t>
      </w:r>
      <w:r w:rsidR="0091308E">
        <w:t>five</w:t>
      </w:r>
      <w:r>
        <w:t xml:space="preserve"> years is available for this </w:t>
      </w:r>
      <w:r w:rsidR="00445A0B">
        <w:t>Grant O</w:t>
      </w:r>
      <w:r>
        <w:t>pportunity.</w:t>
      </w:r>
      <w:r w:rsidR="00E72FD5">
        <w:t xml:space="preserve"> </w:t>
      </w:r>
    </w:p>
    <w:p w14:paraId="15008A19" w14:textId="560755CF" w:rsidR="001E0C82" w:rsidRDefault="00BC6AC2" w:rsidP="00BC6AC2">
      <w:r>
        <w:t xml:space="preserve">RDP Grants will be awarded for the period from </w:t>
      </w:r>
      <w:r w:rsidR="000770C8">
        <w:t xml:space="preserve">1 </w:t>
      </w:r>
      <w:r w:rsidR="0091308E">
        <w:t xml:space="preserve">July </w:t>
      </w:r>
      <w:r>
        <w:t>201</w:t>
      </w:r>
      <w:r w:rsidR="0091308E">
        <w:t>9</w:t>
      </w:r>
      <w:r>
        <w:t xml:space="preserve"> to </w:t>
      </w:r>
      <w:r w:rsidR="000770C8">
        <w:t xml:space="preserve">30 </w:t>
      </w:r>
      <w:r w:rsidR="0091308E">
        <w:t>June</w:t>
      </w:r>
      <w:r>
        <w:t xml:space="preserve"> 202</w:t>
      </w:r>
      <w:r w:rsidR="0091308E">
        <w:t>4</w:t>
      </w:r>
      <w:r>
        <w:t>.</w:t>
      </w:r>
      <w:r w:rsidR="00E72FD5">
        <w:t xml:space="preserve"> </w:t>
      </w:r>
      <w:r w:rsidR="001E0C82">
        <w:t>Establishment funding is available in the 2019/20 financial year, and covers those activities required for an organisation to reach a state of operational readiness (for example, recruitment, training, IT system configuration etc).</w:t>
      </w:r>
      <w:r w:rsidR="00E72FD5">
        <w:t xml:space="preserve"> </w:t>
      </w:r>
    </w:p>
    <w:p w14:paraId="50BEA604" w14:textId="042B41D8" w:rsidR="00BC6AC2" w:rsidRDefault="001E0C82" w:rsidP="00BC6AC2">
      <w:r>
        <w:t>The ongoing funding has been split into administration and service costs.</w:t>
      </w:r>
      <w:r w:rsidR="00E72FD5">
        <w:t xml:space="preserve"> </w:t>
      </w:r>
    </w:p>
    <w:tbl>
      <w:tblPr>
        <w:tblW w:w="5012" w:type="pct"/>
        <w:tblInd w:w="-284" w:type="dxa"/>
        <w:tblLayout w:type="fixed"/>
        <w:tblLook w:val="04A0" w:firstRow="1" w:lastRow="0" w:firstColumn="1" w:lastColumn="0" w:noHBand="0" w:noVBand="1"/>
      </w:tblPr>
      <w:tblGrid>
        <w:gridCol w:w="862"/>
        <w:gridCol w:w="1007"/>
        <w:gridCol w:w="1287"/>
        <w:gridCol w:w="1155"/>
        <w:gridCol w:w="1287"/>
        <w:gridCol w:w="1147"/>
        <w:gridCol w:w="1151"/>
        <w:gridCol w:w="1287"/>
        <w:gridCol w:w="1147"/>
        <w:gridCol w:w="1151"/>
        <w:gridCol w:w="1291"/>
        <w:gridCol w:w="1147"/>
        <w:gridCol w:w="1147"/>
        <w:gridCol w:w="1287"/>
        <w:gridCol w:w="1155"/>
        <w:gridCol w:w="1147"/>
        <w:gridCol w:w="1287"/>
        <w:gridCol w:w="1295"/>
      </w:tblGrid>
      <w:tr w:rsidR="005E735D" w:rsidRPr="008F3945" w14:paraId="207F0AE9" w14:textId="77777777" w:rsidTr="005E735D">
        <w:trPr>
          <w:trHeight w:val="300"/>
        </w:trPr>
        <w:tc>
          <w:tcPr>
            <w:tcW w:w="203" w:type="pct"/>
            <w:tcBorders>
              <w:left w:val="nil"/>
              <w:bottom w:val="single" w:sz="12" w:space="0" w:color="595959" w:themeColor="text1" w:themeTint="A6"/>
              <w:right w:val="nil"/>
            </w:tcBorders>
            <w:shd w:val="clear" w:color="auto" w:fill="auto"/>
            <w:noWrap/>
            <w:vAlign w:val="bottom"/>
            <w:hideMark/>
          </w:tcPr>
          <w:p w14:paraId="15059C07" w14:textId="77777777" w:rsidR="005E735D" w:rsidRPr="008F3945" w:rsidRDefault="005E735D" w:rsidP="005E735D">
            <w:pPr>
              <w:spacing w:beforeLines="20" w:before="48" w:afterLines="20" w:after="48" w:line="240" w:lineRule="auto"/>
              <w:rPr>
                <w:rFonts w:ascii="Times New Roman" w:eastAsia="Times New Roman" w:hAnsi="Times New Roman" w:cs="Times New Roman"/>
                <w:sz w:val="16"/>
                <w:szCs w:val="16"/>
                <w:lang w:eastAsia="en-AU"/>
              </w:rPr>
            </w:pPr>
          </w:p>
        </w:tc>
        <w:tc>
          <w:tcPr>
            <w:tcW w:w="237" w:type="pct"/>
            <w:tcBorders>
              <w:left w:val="nil"/>
              <w:bottom w:val="single" w:sz="12" w:space="0" w:color="595959" w:themeColor="text1" w:themeTint="A6"/>
              <w:right w:val="single" w:sz="12" w:space="0" w:color="595959" w:themeColor="text1" w:themeTint="A6"/>
            </w:tcBorders>
            <w:shd w:val="clear" w:color="auto" w:fill="auto"/>
            <w:noWrap/>
            <w:vAlign w:val="bottom"/>
            <w:hideMark/>
          </w:tcPr>
          <w:p w14:paraId="133F6B63" w14:textId="77777777" w:rsidR="005E735D" w:rsidRPr="008F3945" w:rsidRDefault="005E735D" w:rsidP="005E735D">
            <w:pPr>
              <w:spacing w:beforeLines="20" w:before="48" w:afterLines="20" w:after="48" w:line="240" w:lineRule="auto"/>
              <w:rPr>
                <w:rFonts w:ascii="Times New Roman" w:eastAsia="Times New Roman" w:hAnsi="Times New Roman" w:cs="Times New Roman"/>
                <w:sz w:val="16"/>
                <w:szCs w:val="16"/>
                <w:lang w:eastAsia="en-AU"/>
              </w:rPr>
            </w:pPr>
          </w:p>
        </w:tc>
        <w:tc>
          <w:tcPr>
            <w:tcW w:w="1148" w:type="pct"/>
            <w:gridSpan w:val="4"/>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D9E2F3" w:themeFill="accent1" w:themeFillTint="33"/>
            <w:noWrap/>
            <w:vAlign w:val="bottom"/>
            <w:hideMark/>
          </w:tcPr>
          <w:p w14:paraId="03075E97"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2019-20</w:t>
            </w:r>
          </w:p>
        </w:tc>
        <w:tc>
          <w:tcPr>
            <w:tcW w:w="844" w:type="pct"/>
            <w:gridSpan w:val="3"/>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D9E2F3" w:themeFill="accent1" w:themeFillTint="33"/>
            <w:noWrap/>
            <w:vAlign w:val="bottom"/>
            <w:hideMark/>
          </w:tcPr>
          <w:p w14:paraId="4CC489BB"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2020-21</w:t>
            </w:r>
          </w:p>
        </w:tc>
        <w:tc>
          <w:tcPr>
            <w:tcW w:w="845" w:type="pct"/>
            <w:gridSpan w:val="3"/>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D9E2F3" w:themeFill="accent1" w:themeFillTint="33"/>
            <w:noWrap/>
            <w:vAlign w:val="bottom"/>
            <w:hideMark/>
          </w:tcPr>
          <w:p w14:paraId="2AE495FA"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2021-22</w:t>
            </w:r>
          </w:p>
        </w:tc>
        <w:tc>
          <w:tcPr>
            <w:tcW w:w="845" w:type="pct"/>
            <w:gridSpan w:val="3"/>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D9E2F3" w:themeFill="accent1" w:themeFillTint="33"/>
            <w:noWrap/>
            <w:vAlign w:val="bottom"/>
            <w:hideMark/>
          </w:tcPr>
          <w:p w14:paraId="1E5A721C"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2022-23</w:t>
            </w:r>
          </w:p>
        </w:tc>
        <w:tc>
          <w:tcPr>
            <w:tcW w:w="878" w:type="pct"/>
            <w:gridSpan w:val="3"/>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D9E2F3" w:themeFill="accent1" w:themeFillTint="33"/>
            <w:noWrap/>
            <w:vAlign w:val="bottom"/>
            <w:hideMark/>
          </w:tcPr>
          <w:p w14:paraId="0ED8714B"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2023-24</w:t>
            </w:r>
          </w:p>
        </w:tc>
      </w:tr>
      <w:tr w:rsidR="005E735D" w:rsidRPr="008F3945" w14:paraId="7CC3EFD0" w14:textId="77777777" w:rsidTr="005E735D">
        <w:trPr>
          <w:cantSplit/>
          <w:trHeight w:val="689"/>
        </w:trPr>
        <w:tc>
          <w:tcPr>
            <w:tcW w:w="203"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vAlign w:val="center"/>
            <w:hideMark/>
          </w:tcPr>
          <w:p w14:paraId="44D25D1E"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Service Area</w:t>
            </w:r>
          </w:p>
        </w:tc>
        <w:tc>
          <w:tcPr>
            <w:tcW w:w="237" w:type="pct"/>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FFFFFF" w:themeFill="background1"/>
            <w:vAlign w:val="center"/>
            <w:hideMark/>
          </w:tcPr>
          <w:p w14:paraId="554B24E2"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Carer Population</w:t>
            </w:r>
          </w:p>
        </w:tc>
        <w:tc>
          <w:tcPr>
            <w:tcW w:w="303"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center"/>
            <w:hideMark/>
          </w:tcPr>
          <w:p w14:paraId="3ED2DBE7"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Establishment</w:t>
            </w:r>
          </w:p>
          <w:p w14:paraId="3A4AF2AD"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272" w:type="pct"/>
            <w:tcBorders>
              <w:top w:val="single" w:sz="12" w:space="0" w:color="595959" w:themeColor="text1" w:themeTint="A6"/>
              <w:left w:val="nil"/>
              <w:bottom w:val="single" w:sz="12" w:space="0" w:color="595959" w:themeColor="text1" w:themeTint="A6"/>
              <w:right w:val="single" w:sz="4" w:space="0" w:color="auto"/>
            </w:tcBorders>
            <w:shd w:val="clear" w:color="auto" w:fill="FFFFFF" w:themeFill="background1"/>
            <w:noWrap/>
            <w:vAlign w:val="center"/>
            <w:hideMark/>
          </w:tcPr>
          <w:p w14:paraId="684CB4CE"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Service Costs</w:t>
            </w:r>
          </w:p>
          <w:p w14:paraId="61C13A7F"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303" w:type="pct"/>
            <w:tcBorders>
              <w:top w:val="single" w:sz="12" w:space="0" w:color="595959" w:themeColor="text1" w:themeTint="A6"/>
              <w:left w:val="nil"/>
              <w:bottom w:val="single" w:sz="12" w:space="0" w:color="595959" w:themeColor="text1" w:themeTint="A6"/>
              <w:right w:val="single" w:sz="4" w:space="0" w:color="auto"/>
            </w:tcBorders>
            <w:shd w:val="clear" w:color="auto" w:fill="FFFFFF" w:themeFill="background1"/>
            <w:noWrap/>
            <w:vAlign w:val="center"/>
            <w:hideMark/>
          </w:tcPr>
          <w:p w14:paraId="4CEDF70C"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Administration</w:t>
            </w:r>
          </w:p>
          <w:p w14:paraId="602B6A30"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270" w:type="pct"/>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FFFFFF" w:themeFill="background1"/>
            <w:noWrap/>
            <w:vAlign w:val="center"/>
            <w:hideMark/>
          </w:tcPr>
          <w:p w14:paraId="7C95A3AD"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Total</w:t>
            </w:r>
          </w:p>
          <w:p w14:paraId="13B527CD"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271"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center"/>
            <w:hideMark/>
          </w:tcPr>
          <w:p w14:paraId="27C49201"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Service Costs</w:t>
            </w:r>
          </w:p>
          <w:p w14:paraId="3B22027C"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303" w:type="pct"/>
            <w:tcBorders>
              <w:top w:val="single" w:sz="12" w:space="0" w:color="595959" w:themeColor="text1" w:themeTint="A6"/>
              <w:left w:val="nil"/>
              <w:bottom w:val="single" w:sz="12" w:space="0" w:color="595959" w:themeColor="text1" w:themeTint="A6"/>
              <w:right w:val="single" w:sz="4" w:space="0" w:color="auto"/>
            </w:tcBorders>
            <w:shd w:val="clear" w:color="auto" w:fill="FFFFFF" w:themeFill="background1"/>
            <w:noWrap/>
            <w:vAlign w:val="center"/>
            <w:hideMark/>
          </w:tcPr>
          <w:p w14:paraId="22C62BE3"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Administration</w:t>
            </w:r>
          </w:p>
          <w:p w14:paraId="278E58F7"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270" w:type="pct"/>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FFFFFF" w:themeFill="background1"/>
            <w:noWrap/>
            <w:vAlign w:val="center"/>
            <w:hideMark/>
          </w:tcPr>
          <w:p w14:paraId="1AF7C9BC"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Total</w:t>
            </w:r>
          </w:p>
          <w:p w14:paraId="2F02E825"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271"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center"/>
            <w:hideMark/>
          </w:tcPr>
          <w:p w14:paraId="1D90ABC9"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Service Costs</w:t>
            </w:r>
          </w:p>
          <w:p w14:paraId="521AF76A"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304" w:type="pct"/>
            <w:tcBorders>
              <w:top w:val="single" w:sz="12" w:space="0" w:color="595959" w:themeColor="text1" w:themeTint="A6"/>
              <w:left w:val="nil"/>
              <w:bottom w:val="single" w:sz="12" w:space="0" w:color="595959" w:themeColor="text1" w:themeTint="A6"/>
              <w:right w:val="single" w:sz="4" w:space="0" w:color="auto"/>
            </w:tcBorders>
            <w:shd w:val="clear" w:color="auto" w:fill="FFFFFF" w:themeFill="background1"/>
            <w:noWrap/>
            <w:vAlign w:val="center"/>
            <w:hideMark/>
          </w:tcPr>
          <w:p w14:paraId="6F927C97"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Administration</w:t>
            </w:r>
          </w:p>
          <w:p w14:paraId="61C299F3"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270" w:type="pct"/>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FFFFFF" w:themeFill="background1"/>
            <w:noWrap/>
            <w:vAlign w:val="center"/>
            <w:hideMark/>
          </w:tcPr>
          <w:p w14:paraId="0198EB1A"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Total</w:t>
            </w:r>
          </w:p>
          <w:p w14:paraId="62800688"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270"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center"/>
            <w:hideMark/>
          </w:tcPr>
          <w:p w14:paraId="64877130"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Service Costs</w:t>
            </w:r>
          </w:p>
          <w:p w14:paraId="3B0E2551"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303" w:type="pct"/>
            <w:tcBorders>
              <w:top w:val="single" w:sz="12" w:space="0" w:color="595959" w:themeColor="text1" w:themeTint="A6"/>
              <w:left w:val="nil"/>
              <w:bottom w:val="single" w:sz="12" w:space="0" w:color="595959" w:themeColor="text1" w:themeTint="A6"/>
              <w:right w:val="single" w:sz="4" w:space="0" w:color="auto"/>
            </w:tcBorders>
            <w:shd w:val="clear" w:color="auto" w:fill="FFFFFF" w:themeFill="background1"/>
            <w:noWrap/>
            <w:vAlign w:val="center"/>
            <w:hideMark/>
          </w:tcPr>
          <w:p w14:paraId="28BA56F7"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Administration</w:t>
            </w:r>
          </w:p>
          <w:p w14:paraId="0FA70099"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272" w:type="pct"/>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FFFFFF" w:themeFill="background1"/>
            <w:noWrap/>
            <w:vAlign w:val="center"/>
            <w:hideMark/>
          </w:tcPr>
          <w:p w14:paraId="14CEB045"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Total</w:t>
            </w:r>
          </w:p>
          <w:p w14:paraId="584D13DE"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270"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center"/>
            <w:hideMark/>
          </w:tcPr>
          <w:p w14:paraId="20000C75"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Service Costs</w:t>
            </w:r>
          </w:p>
          <w:p w14:paraId="3CEAB20E"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303" w:type="pct"/>
            <w:tcBorders>
              <w:top w:val="single" w:sz="12" w:space="0" w:color="595959" w:themeColor="text1" w:themeTint="A6"/>
              <w:left w:val="nil"/>
              <w:bottom w:val="single" w:sz="12" w:space="0" w:color="595959" w:themeColor="text1" w:themeTint="A6"/>
              <w:right w:val="single" w:sz="4" w:space="0" w:color="auto"/>
            </w:tcBorders>
            <w:shd w:val="clear" w:color="auto" w:fill="FFFFFF" w:themeFill="background1"/>
            <w:noWrap/>
            <w:vAlign w:val="center"/>
            <w:hideMark/>
          </w:tcPr>
          <w:p w14:paraId="12BD9CDA"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Administration</w:t>
            </w:r>
          </w:p>
          <w:p w14:paraId="0F3721E7"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c>
          <w:tcPr>
            <w:tcW w:w="305" w:type="pct"/>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FFFFFF" w:themeFill="background1"/>
            <w:noWrap/>
            <w:vAlign w:val="center"/>
            <w:hideMark/>
          </w:tcPr>
          <w:p w14:paraId="511C5211"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Total</w:t>
            </w:r>
          </w:p>
          <w:p w14:paraId="46852407" w14:textId="77777777" w:rsidR="005E735D" w:rsidRPr="008F3945" w:rsidRDefault="005E735D" w:rsidP="005E735D">
            <w:pPr>
              <w:spacing w:beforeLines="20" w:before="48" w:afterLines="20" w:after="48" w:line="240" w:lineRule="auto"/>
              <w:jc w:val="center"/>
              <w:rPr>
                <w:rFonts w:ascii="Calibri" w:eastAsia="Times New Roman" w:hAnsi="Calibri" w:cs="Calibri"/>
                <w:b/>
                <w:bCs/>
                <w:color w:val="000000"/>
                <w:sz w:val="16"/>
                <w:szCs w:val="16"/>
                <w:lang w:eastAsia="en-AU"/>
              </w:rPr>
            </w:pPr>
            <w:r w:rsidRPr="008F3945">
              <w:rPr>
                <w:rFonts w:ascii="Calibri" w:eastAsia="Times New Roman" w:hAnsi="Calibri" w:cs="Calibri"/>
                <w:b/>
                <w:bCs/>
                <w:color w:val="000000"/>
                <w:sz w:val="16"/>
                <w:szCs w:val="16"/>
                <w:lang w:eastAsia="en-AU"/>
              </w:rPr>
              <w:t>$M</w:t>
            </w:r>
          </w:p>
        </w:tc>
      </w:tr>
      <w:tr w:rsidR="005E735D" w:rsidRPr="008F3945" w14:paraId="17A8003C" w14:textId="77777777" w:rsidTr="005E735D">
        <w:trPr>
          <w:trHeight w:val="300"/>
        </w:trPr>
        <w:tc>
          <w:tcPr>
            <w:tcW w:w="203" w:type="pct"/>
            <w:tcBorders>
              <w:top w:val="single" w:sz="12" w:space="0" w:color="595959" w:themeColor="text1" w:themeTint="A6"/>
              <w:left w:val="single" w:sz="4" w:space="0" w:color="auto"/>
              <w:bottom w:val="single" w:sz="4" w:space="0" w:color="auto"/>
              <w:right w:val="single" w:sz="4" w:space="0" w:color="auto"/>
            </w:tcBorders>
            <w:shd w:val="clear" w:color="auto" w:fill="D9E2F3" w:themeFill="accent1" w:themeFillTint="33"/>
            <w:noWrap/>
            <w:vAlign w:val="center"/>
            <w:hideMark/>
          </w:tcPr>
          <w:p w14:paraId="03D40583"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ACT</w:t>
            </w:r>
          </w:p>
        </w:tc>
        <w:tc>
          <w:tcPr>
            <w:tcW w:w="237" w:type="pct"/>
            <w:tcBorders>
              <w:top w:val="single" w:sz="12" w:space="0" w:color="595959" w:themeColor="text1" w:themeTint="A6"/>
              <w:left w:val="nil"/>
              <w:bottom w:val="single" w:sz="4" w:space="0" w:color="auto"/>
              <w:right w:val="single" w:sz="12" w:space="0" w:color="595959" w:themeColor="text1" w:themeTint="A6"/>
            </w:tcBorders>
            <w:shd w:val="clear" w:color="auto" w:fill="D9E2F3" w:themeFill="accent1" w:themeFillTint="33"/>
            <w:noWrap/>
            <w:vAlign w:val="center"/>
            <w:hideMark/>
          </w:tcPr>
          <w:p w14:paraId="77E42B4F"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44,700</w:t>
            </w:r>
          </w:p>
        </w:tc>
        <w:tc>
          <w:tcPr>
            <w:tcW w:w="303" w:type="pct"/>
            <w:tcBorders>
              <w:top w:val="single" w:sz="12" w:space="0" w:color="595959" w:themeColor="text1" w:themeTint="A6"/>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075E62C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390</w:t>
            </w:r>
          </w:p>
        </w:tc>
        <w:tc>
          <w:tcPr>
            <w:tcW w:w="272" w:type="pct"/>
            <w:tcBorders>
              <w:top w:val="single" w:sz="12" w:space="0" w:color="595959" w:themeColor="text1" w:themeTint="A6"/>
              <w:left w:val="nil"/>
              <w:bottom w:val="single" w:sz="4" w:space="0" w:color="auto"/>
              <w:right w:val="single" w:sz="4" w:space="0" w:color="auto"/>
            </w:tcBorders>
            <w:shd w:val="clear" w:color="auto" w:fill="D9E2F3" w:themeFill="accent1" w:themeFillTint="33"/>
            <w:noWrap/>
            <w:vAlign w:val="bottom"/>
          </w:tcPr>
          <w:p w14:paraId="4B00F19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0.600</w:t>
            </w:r>
          </w:p>
        </w:tc>
        <w:tc>
          <w:tcPr>
            <w:tcW w:w="303" w:type="pct"/>
            <w:tcBorders>
              <w:top w:val="single" w:sz="12" w:space="0" w:color="595959" w:themeColor="text1" w:themeTint="A6"/>
              <w:left w:val="nil"/>
              <w:bottom w:val="single" w:sz="4" w:space="0" w:color="auto"/>
              <w:right w:val="single" w:sz="4" w:space="0" w:color="auto"/>
            </w:tcBorders>
            <w:shd w:val="clear" w:color="auto" w:fill="D9E2F3" w:themeFill="accent1" w:themeFillTint="33"/>
            <w:noWrap/>
            <w:vAlign w:val="bottom"/>
          </w:tcPr>
          <w:p w14:paraId="7E40301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65</w:t>
            </w:r>
            <w:r w:rsidRPr="008F3945">
              <w:rPr>
                <w:rFonts w:ascii="Calibri" w:hAnsi="Calibri" w:cs="Calibri"/>
                <w:color w:val="000000"/>
                <w:sz w:val="16"/>
                <w:szCs w:val="16"/>
              </w:rPr>
              <w:t>9</w:t>
            </w:r>
          </w:p>
        </w:tc>
        <w:tc>
          <w:tcPr>
            <w:tcW w:w="270" w:type="pct"/>
            <w:tcBorders>
              <w:top w:val="single" w:sz="12" w:space="0" w:color="595959" w:themeColor="text1" w:themeTint="A6"/>
              <w:left w:val="nil"/>
              <w:bottom w:val="single" w:sz="4" w:space="0" w:color="auto"/>
              <w:right w:val="single" w:sz="12" w:space="0" w:color="595959" w:themeColor="text1" w:themeTint="A6"/>
            </w:tcBorders>
            <w:shd w:val="clear" w:color="auto" w:fill="D9E2F3" w:themeFill="accent1" w:themeFillTint="33"/>
            <w:noWrap/>
            <w:vAlign w:val="bottom"/>
          </w:tcPr>
          <w:p w14:paraId="7F831D6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1.648</w:t>
            </w:r>
          </w:p>
        </w:tc>
        <w:tc>
          <w:tcPr>
            <w:tcW w:w="271" w:type="pct"/>
            <w:tcBorders>
              <w:top w:val="single" w:sz="12" w:space="0" w:color="595959" w:themeColor="text1" w:themeTint="A6"/>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40BFA4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1.015</w:t>
            </w:r>
          </w:p>
        </w:tc>
        <w:tc>
          <w:tcPr>
            <w:tcW w:w="303" w:type="pct"/>
            <w:tcBorders>
              <w:top w:val="single" w:sz="12" w:space="0" w:color="595959" w:themeColor="text1" w:themeTint="A6"/>
              <w:left w:val="nil"/>
              <w:bottom w:val="single" w:sz="4" w:space="0" w:color="auto"/>
              <w:right w:val="single" w:sz="4" w:space="0" w:color="auto"/>
            </w:tcBorders>
            <w:shd w:val="clear" w:color="auto" w:fill="D9E2F3" w:themeFill="accent1" w:themeFillTint="33"/>
            <w:noWrap/>
            <w:vAlign w:val="bottom"/>
          </w:tcPr>
          <w:p w14:paraId="3A8CFAA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0.659</w:t>
            </w:r>
          </w:p>
        </w:tc>
        <w:tc>
          <w:tcPr>
            <w:tcW w:w="270" w:type="pct"/>
            <w:tcBorders>
              <w:top w:val="single" w:sz="12" w:space="0" w:color="595959" w:themeColor="text1" w:themeTint="A6"/>
              <w:left w:val="nil"/>
              <w:bottom w:val="single" w:sz="4" w:space="0" w:color="auto"/>
              <w:right w:val="single" w:sz="12" w:space="0" w:color="595959" w:themeColor="text1" w:themeTint="A6"/>
            </w:tcBorders>
            <w:shd w:val="clear" w:color="auto" w:fill="D9E2F3" w:themeFill="accent1" w:themeFillTint="33"/>
            <w:noWrap/>
            <w:vAlign w:val="bottom"/>
          </w:tcPr>
          <w:p w14:paraId="4D791E2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1.674</w:t>
            </w:r>
          </w:p>
        </w:tc>
        <w:tc>
          <w:tcPr>
            <w:tcW w:w="271" w:type="pct"/>
            <w:tcBorders>
              <w:top w:val="single" w:sz="12" w:space="0" w:color="595959" w:themeColor="text1" w:themeTint="A6"/>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3A879D0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1.096</w:t>
            </w:r>
          </w:p>
        </w:tc>
        <w:tc>
          <w:tcPr>
            <w:tcW w:w="304" w:type="pct"/>
            <w:tcBorders>
              <w:top w:val="single" w:sz="12" w:space="0" w:color="595959" w:themeColor="text1" w:themeTint="A6"/>
              <w:left w:val="nil"/>
              <w:bottom w:val="single" w:sz="4" w:space="0" w:color="auto"/>
              <w:right w:val="single" w:sz="4" w:space="0" w:color="auto"/>
            </w:tcBorders>
            <w:shd w:val="clear" w:color="auto" w:fill="D9E2F3" w:themeFill="accent1" w:themeFillTint="33"/>
            <w:noWrap/>
            <w:vAlign w:val="bottom"/>
          </w:tcPr>
          <w:p w14:paraId="7FA113D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0.659</w:t>
            </w:r>
          </w:p>
        </w:tc>
        <w:tc>
          <w:tcPr>
            <w:tcW w:w="270" w:type="pct"/>
            <w:tcBorders>
              <w:top w:val="single" w:sz="12" w:space="0" w:color="595959" w:themeColor="text1" w:themeTint="A6"/>
              <w:left w:val="nil"/>
              <w:bottom w:val="single" w:sz="4" w:space="0" w:color="auto"/>
              <w:right w:val="single" w:sz="12" w:space="0" w:color="595959" w:themeColor="text1" w:themeTint="A6"/>
            </w:tcBorders>
            <w:shd w:val="clear" w:color="auto" w:fill="D9E2F3" w:themeFill="accent1" w:themeFillTint="33"/>
            <w:noWrap/>
            <w:vAlign w:val="bottom"/>
          </w:tcPr>
          <w:p w14:paraId="61827B8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1.755</w:t>
            </w:r>
          </w:p>
        </w:tc>
        <w:tc>
          <w:tcPr>
            <w:tcW w:w="270" w:type="pct"/>
            <w:tcBorders>
              <w:top w:val="single" w:sz="12" w:space="0" w:color="595959" w:themeColor="text1" w:themeTint="A6"/>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5C9462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1.134</w:t>
            </w:r>
          </w:p>
        </w:tc>
        <w:tc>
          <w:tcPr>
            <w:tcW w:w="303" w:type="pct"/>
            <w:tcBorders>
              <w:top w:val="single" w:sz="12" w:space="0" w:color="595959" w:themeColor="text1" w:themeTint="A6"/>
              <w:left w:val="nil"/>
              <w:bottom w:val="single" w:sz="4" w:space="0" w:color="auto"/>
              <w:right w:val="single" w:sz="4" w:space="0" w:color="auto"/>
            </w:tcBorders>
            <w:shd w:val="clear" w:color="auto" w:fill="D9E2F3" w:themeFill="accent1" w:themeFillTint="33"/>
            <w:noWrap/>
            <w:vAlign w:val="bottom"/>
          </w:tcPr>
          <w:p w14:paraId="75951FC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0.659</w:t>
            </w:r>
          </w:p>
        </w:tc>
        <w:tc>
          <w:tcPr>
            <w:tcW w:w="272" w:type="pct"/>
            <w:tcBorders>
              <w:top w:val="single" w:sz="12" w:space="0" w:color="595959" w:themeColor="text1" w:themeTint="A6"/>
              <w:left w:val="nil"/>
              <w:bottom w:val="single" w:sz="4" w:space="0" w:color="auto"/>
              <w:right w:val="single" w:sz="12" w:space="0" w:color="595959" w:themeColor="text1" w:themeTint="A6"/>
            </w:tcBorders>
            <w:shd w:val="clear" w:color="auto" w:fill="D9E2F3" w:themeFill="accent1" w:themeFillTint="33"/>
            <w:noWrap/>
            <w:vAlign w:val="bottom"/>
          </w:tcPr>
          <w:p w14:paraId="74F11EC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1.793</w:t>
            </w:r>
          </w:p>
        </w:tc>
        <w:tc>
          <w:tcPr>
            <w:tcW w:w="270" w:type="pct"/>
            <w:tcBorders>
              <w:top w:val="single" w:sz="12" w:space="0" w:color="595959" w:themeColor="text1" w:themeTint="A6"/>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136EAD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1.134</w:t>
            </w:r>
          </w:p>
        </w:tc>
        <w:tc>
          <w:tcPr>
            <w:tcW w:w="303" w:type="pct"/>
            <w:tcBorders>
              <w:top w:val="single" w:sz="12" w:space="0" w:color="595959" w:themeColor="text1" w:themeTint="A6"/>
              <w:left w:val="nil"/>
              <w:bottom w:val="single" w:sz="4" w:space="0" w:color="auto"/>
              <w:right w:val="single" w:sz="4" w:space="0" w:color="auto"/>
            </w:tcBorders>
            <w:shd w:val="clear" w:color="auto" w:fill="D9E2F3" w:themeFill="accent1" w:themeFillTint="33"/>
            <w:noWrap/>
            <w:vAlign w:val="bottom"/>
          </w:tcPr>
          <w:p w14:paraId="12DC5AF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0.659</w:t>
            </w:r>
          </w:p>
        </w:tc>
        <w:tc>
          <w:tcPr>
            <w:tcW w:w="305" w:type="pct"/>
            <w:tcBorders>
              <w:top w:val="single" w:sz="12" w:space="0" w:color="595959" w:themeColor="text1" w:themeTint="A6"/>
              <w:left w:val="nil"/>
              <w:bottom w:val="single" w:sz="4" w:space="0" w:color="auto"/>
              <w:right w:val="single" w:sz="12" w:space="0" w:color="595959" w:themeColor="text1" w:themeTint="A6"/>
            </w:tcBorders>
            <w:shd w:val="clear" w:color="auto" w:fill="D9E2F3" w:themeFill="accent1" w:themeFillTint="33"/>
            <w:noWrap/>
            <w:vAlign w:val="bottom"/>
          </w:tcPr>
          <w:p w14:paraId="2A9B01F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1.793</w:t>
            </w:r>
          </w:p>
        </w:tc>
      </w:tr>
      <w:tr w:rsidR="005E735D" w:rsidRPr="008F3945" w14:paraId="4ABD694D"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1DAF8D"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NSW1</w:t>
            </w:r>
          </w:p>
        </w:tc>
        <w:tc>
          <w:tcPr>
            <w:tcW w:w="237" w:type="pct"/>
            <w:tcBorders>
              <w:top w:val="nil"/>
              <w:left w:val="nil"/>
              <w:bottom w:val="single" w:sz="4" w:space="0" w:color="auto"/>
              <w:right w:val="single" w:sz="12" w:space="0" w:color="595959" w:themeColor="text1" w:themeTint="A6"/>
            </w:tcBorders>
            <w:shd w:val="clear" w:color="auto" w:fill="FFFFFF" w:themeFill="background1"/>
            <w:noWrap/>
            <w:vAlign w:val="center"/>
            <w:hideMark/>
          </w:tcPr>
          <w:p w14:paraId="44E47F13"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345,054</w:t>
            </w:r>
          </w:p>
        </w:tc>
        <w:tc>
          <w:tcPr>
            <w:tcW w:w="303"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0CEBE75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53</w:t>
            </w:r>
            <w:r w:rsidRPr="008F3945">
              <w:rPr>
                <w:rFonts w:ascii="Calibri" w:hAnsi="Calibri" w:cs="Calibri"/>
                <w:color w:val="000000"/>
                <w:sz w:val="16"/>
                <w:szCs w:val="16"/>
              </w:rPr>
              <w:t>8</w:t>
            </w:r>
          </w:p>
        </w:tc>
        <w:tc>
          <w:tcPr>
            <w:tcW w:w="272" w:type="pct"/>
            <w:tcBorders>
              <w:top w:val="nil"/>
              <w:left w:val="nil"/>
              <w:bottom w:val="single" w:sz="4" w:space="0" w:color="auto"/>
              <w:right w:val="single" w:sz="4" w:space="0" w:color="auto"/>
            </w:tcBorders>
            <w:shd w:val="clear" w:color="auto" w:fill="FFFFFF" w:themeFill="background1"/>
            <w:noWrap/>
            <w:vAlign w:val="bottom"/>
          </w:tcPr>
          <w:p w14:paraId="51172D4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5.524</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0131D95D" w14:textId="77777777" w:rsidR="005E735D" w:rsidRPr="008F3945" w:rsidRDefault="005E735D" w:rsidP="005E735D">
            <w:pPr>
              <w:spacing w:beforeLines="20" w:before="48" w:afterLines="20" w:after="48"/>
              <w:jc w:val="right"/>
              <w:rPr>
                <w:rFonts w:ascii="Calibri" w:hAnsi="Calibri" w:cs="Calibri"/>
                <w:color w:val="000000"/>
                <w:sz w:val="16"/>
                <w:szCs w:val="16"/>
              </w:rPr>
            </w:pPr>
            <w:r>
              <w:rPr>
                <w:rFonts w:ascii="Calibri" w:hAnsi="Calibri" w:cs="Calibri"/>
                <w:color w:val="000000"/>
                <w:sz w:val="16"/>
                <w:szCs w:val="16"/>
              </w:rPr>
              <w:t>1.96</w:t>
            </w:r>
            <w:r w:rsidRPr="008F3945">
              <w:rPr>
                <w:rFonts w:ascii="Calibri" w:hAnsi="Calibri" w:cs="Calibri"/>
                <w:color w:val="000000"/>
                <w:sz w:val="16"/>
                <w:szCs w:val="16"/>
              </w:rPr>
              <w:t>5</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706C77F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9.028</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0C42F48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9.356</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7FABD47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1.965</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7E02582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11.321</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3AFDC83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10.102</w:t>
            </w:r>
          </w:p>
        </w:tc>
        <w:tc>
          <w:tcPr>
            <w:tcW w:w="304" w:type="pct"/>
            <w:tcBorders>
              <w:top w:val="nil"/>
              <w:left w:val="nil"/>
              <w:bottom w:val="single" w:sz="4" w:space="0" w:color="auto"/>
              <w:right w:val="single" w:sz="4" w:space="0" w:color="auto"/>
            </w:tcBorders>
            <w:shd w:val="clear" w:color="auto" w:fill="FFFFFF" w:themeFill="background1"/>
            <w:noWrap/>
            <w:vAlign w:val="bottom"/>
          </w:tcPr>
          <w:p w14:paraId="34F7727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1.965</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13EE78A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12.067</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3E974E1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10.449</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4D9BEE1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1.965</w:t>
            </w:r>
          </w:p>
        </w:tc>
        <w:tc>
          <w:tcPr>
            <w:tcW w:w="272"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720A06D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12.414</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05B4D36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10.449</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051DD42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1.965</w:t>
            </w:r>
          </w:p>
        </w:tc>
        <w:tc>
          <w:tcPr>
            <w:tcW w:w="305"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645FD00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12.414</w:t>
            </w:r>
          </w:p>
        </w:tc>
      </w:tr>
      <w:tr w:rsidR="005E735D" w:rsidRPr="008F3945" w14:paraId="35031A5D"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F7D7BFF"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NSW2</w:t>
            </w:r>
          </w:p>
        </w:tc>
        <w:tc>
          <w:tcPr>
            <w:tcW w:w="237" w:type="pct"/>
            <w:tcBorders>
              <w:top w:val="nil"/>
              <w:left w:val="nil"/>
              <w:bottom w:val="single" w:sz="4" w:space="0" w:color="auto"/>
              <w:right w:val="single" w:sz="12" w:space="0" w:color="595959" w:themeColor="text1" w:themeTint="A6"/>
            </w:tcBorders>
            <w:shd w:val="clear" w:color="auto" w:fill="D9E2F3" w:themeFill="accent1" w:themeFillTint="33"/>
            <w:noWrap/>
            <w:vAlign w:val="center"/>
            <w:hideMark/>
          </w:tcPr>
          <w:p w14:paraId="6C0ADB59"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175,074</w:t>
            </w:r>
          </w:p>
        </w:tc>
        <w:tc>
          <w:tcPr>
            <w:tcW w:w="303"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778DCCE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90</w:t>
            </w:r>
            <w:r w:rsidRPr="008F3945">
              <w:rPr>
                <w:rFonts w:ascii="Calibri" w:hAnsi="Calibri" w:cs="Calibri"/>
                <w:color w:val="000000"/>
                <w:sz w:val="16"/>
                <w:szCs w:val="16"/>
              </w:rPr>
              <w:t>4</w:t>
            </w:r>
          </w:p>
        </w:tc>
        <w:tc>
          <w:tcPr>
            <w:tcW w:w="272" w:type="pct"/>
            <w:tcBorders>
              <w:top w:val="nil"/>
              <w:left w:val="nil"/>
              <w:bottom w:val="single" w:sz="4" w:space="0" w:color="auto"/>
              <w:right w:val="single" w:sz="4" w:space="0" w:color="auto"/>
            </w:tcBorders>
            <w:shd w:val="clear" w:color="auto" w:fill="D9E2F3" w:themeFill="accent1" w:themeFillTint="33"/>
            <w:noWrap/>
            <w:vAlign w:val="bottom"/>
          </w:tcPr>
          <w:p w14:paraId="15F9D52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2.804</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2C72943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24</w:t>
            </w:r>
            <w:r w:rsidRPr="008F3945">
              <w:rPr>
                <w:rFonts w:ascii="Calibri" w:hAnsi="Calibri" w:cs="Calibri"/>
                <w:color w:val="000000"/>
                <w:sz w:val="16"/>
                <w:szCs w:val="16"/>
              </w:rPr>
              <w:t>4</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42AD603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4.952</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1051147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4.749</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118A139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1.244</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791D2CF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5.993</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F53D02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5.128</w:t>
            </w:r>
          </w:p>
        </w:tc>
        <w:tc>
          <w:tcPr>
            <w:tcW w:w="304" w:type="pct"/>
            <w:tcBorders>
              <w:top w:val="nil"/>
              <w:left w:val="nil"/>
              <w:bottom w:val="single" w:sz="4" w:space="0" w:color="auto"/>
              <w:right w:val="single" w:sz="4" w:space="0" w:color="auto"/>
            </w:tcBorders>
            <w:shd w:val="clear" w:color="auto" w:fill="D9E2F3" w:themeFill="accent1" w:themeFillTint="33"/>
            <w:noWrap/>
            <w:vAlign w:val="bottom"/>
          </w:tcPr>
          <w:p w14:paraId="7D657E3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1.244</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39A9307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6.372</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2AB64A7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5.304</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2E54426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1.244</w:t>
            </w:r>
          </w:p>
        </w:tc>
        <w:tc>
          <w:tcPr>
            <w:tcW w:w="272"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71851F1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6.548</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1B06D13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5.304</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6F94B0E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1.244</w:t>
            </w:r>
          </w:p>
        </w:tc>
        <w:tc>
          <w:tcPr>
            <w:tcW w:w="305"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36534EC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6.548</w:t>
            </w:r>
          </w:p>
        </w:tc>
      </w:tr>
      <w:tr w:rsidR="005E735D" w:rsidRPr="008F3945" w14:paraId="407B67BF"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174058"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NSW3</w:t>
            </w:r>
          </w:p>
        </w:tc>
        <w:tc>
          <w:tcPr>
            <w:tcW w:w="237" w:type="pct"/>
            <w:tcBorders>
              <w:top w:val="nil"/>
              <w:left w:val="nil"/>
              <w:bottom w:val="single" w:sz="4" w:space="0" w:color="auto"/>
              <w:right w:val="single" w:sz="12" w:space="0" w:color="595959" w:themeColor="text1" w:themeTint="A6"/>
            </w:tcBorders>
            <w:shd w:val="clear" w:color="auto" w:fill="FFFFFF" w:themeFill="background1"/>
            <w:noWrap/>
            <w:vAlign w:val="center"/>
            <w:hideMark/>
          </w:tcPr>
          <w:p w14:paraId="3E0C52A6"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167,783</w:t>
            </w:r>
          </w:p>
        </w:tc>
        <w:tc>
          <w:tcPr>
            <w:tcW w:w="303"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79CB8C9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96</w:t>
            </w:r>
            <w:r w:rsidRPr="008F3945">
              <w:rPr>
                <w:rFonts w:ascii="Calibri" w:hAnsi="Calibri" w:cs="Calibri"/>
                <w:color w:val="000000"/>
                <w:sz w:val="16"/>
                <w:szCs w:val="16"/>
              </w:rPr>
              <w:t>2</w:t>
            </w:r>
          </w:p>
        </w:tc>
        <w:tc>
          <w:tcPr>
            <w:tcW w:w="272" w:type="pct"/>
            <w:tcBorders>
              <w:top w:val="nil"/>
              <w:left w:val="nil"/>
              <w:bottom w:val="single" w:sz="4" w:space="0" w:color="auto"/>
              <w:right w:val="single" w:sz="4" w:space="0" w:color="auto"/>
            </w:tcBorders>
            <w:shd w:val="clear" w:color="auto" w:fill="FFFFFF" w:themeFill="background1"/>
            <w:noWrap/>
            <w:vAlign w:val="bottom"/>
          </w:tcPr>
          <w:p w14:paraId="10DE228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3.052</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34DE5CA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30</w:t>
            </w:r>
            <w:r w:rsidRPr="008F3945">
              <w:rPr>
                <w:rFonts w:ascii="Calibri" w:hAnsi="Calibri" w:cs="Calibri"/>
                <w:color w:val="000000"/>
                <w:sz w:val="16"/>
                <w:szCs w:val="16"/>
              </w:rPr>
              <w:t>9</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5194FF1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5.323</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5C0B8E7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5.169</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42664FE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1.309</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6A13A8A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6.478</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0F3B06A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5.581</w:t>
            </w:r>
          </w:p>
        </w:tc>
        <w:tc>
          <w:tcPr>
            <w:tcW w:w="304" w:type="pct"/>
            <w:tcBorders>
              <w:top w:val="nil"/>
              <w:left w:val="nil"/>
              <w:bottom w:val="single" w:sz="4" w:space="0" w:color="auto"/>
              <w:right w:val="single" w:sz="4" w:space="0" w:color="auto"/>
            </w:tcBorders>
            <w:shd w:val="clear" w:color="auto" w:fill="FFFFFF" w:themeFill="background1"/>
            <w:noWrap/>
            <w:vAlign w:val="bottom"/>
          </w:tcPr>
          <w:p w14:paraId="667B470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1.309</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225FC16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6.890</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4E8ACC8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5.772</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3DD44D0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1.309</w:t>
            </w:r>
          </w:p>
        </w:tc>
        <w:tc>
          <w:tcPr>
            <w:tcW w:w="272"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149BC90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7.082</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377CEAD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5.772</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4E49076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1.309</w:t>
            </w:r>
          </w:p>
        </w:tc>
        <w:tc>
          <w:tcPr>
            <w:tcW w:w="305"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62ADCC1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7.082</w:t>
            </w:r>
          </w:p>
        </w:tc>
      </w:tr>
      <w:tr w:rsidR="005E735D" w:rsidRPr="008F3945" w14:paraId="17985C07"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947D89C"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NSW4</w:t>
            </w:r>
          </w:p>
        </w:tc>
        <w:tc>
          <w:tcPr>
            <w:tcW w:w="237" w:type="pct"/>
            <w:tcBorders>
              <w:top w:val="nil"/>
              <w:left w:val="nil"/>
              <w:bottom w:val="single" w:sz="4" w:space="0" w:color="auto"/>
              <w:right w:val="single" w:sz="12" w:space="0" w:color="595959" w:themeColor="text1" w:themeTint="A6"/>
            </w:tcBorders>
            <w:shd w:val="clear" w:color="auto" w:fill="D9E2F3" w:themeFill="accent1" w:themeFillTint="33"/>
            <w:noWrap/>
            <w:vAlign w:val="center"/>
            <w:hideMark/>
          </w:tcPr>
          <w:p w14:paraId="344DCACA"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215,535</w:t>
            </w:r>
          </w:p>
        </w:tc>
        <w:tc>
          <w:tcPr>
            <w:tcW w:w="303"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2769735D" w14:textId="77777777" w:rsidR="005E735D" w:rsidRPr="008F3945" w:rsidRDefault="005E735D" w:rsidP="005E735D">
            <w:pPr>
              <w:spacing w:beforeLines="20" w:before="48" w:afterLines="20" w:after="48"/>
              <w:jc w:val="right"/>
              <w:rPr>
                <w:rFonts w:ascii="Calibri" w:hAnsi="Calibri" w:cs="Calibri"/>
                <w:color w:val="000000"/>
                <w:sz w:val="16"/>
                <w:szCs w:val="16"/>
              </w:rPr>
            </w:pPr>
            <w:r>
              <w:rPr>
                <w:rFonts w:ascii="Calibri" w:hAnsi="Calibri" w:cs="Calibri"/>
                <w:color w:val="000000"/>
                <w:sz w:val="16"/>
                <w:szCs w:val="16"/>
              </w:rPr>
              <w:t>1.10</w:t>
            </w:r>
            <w:r w:rsidRPr="008F3945">
              <w:rPr>
                <w:rFonts w:ascii="Calibri" w:hAnsi="Calibri" w:cs="Calibri"/>
                <w:color w:val="000000"/>
                <w:sz w:val="16"/>
                <w:szCs w:val="16"/>
              </w:rPr>
              <w:t>2</w:t>
            </w:r>
          </w:p>
        </w:tc>
        <w:tc>
          <w:tcPr>
            <w:tcW w:w="272" w:type="pct"/>
            <w:tcBorders>
              <w:top w:val="nil"/>
              <w:left w:val="nil"/>
              <w:bottom w:val="single" w:sz="4" w:space="0" w:color="auto"/>
              <w:right w:val="single" w:sz="4" w:space="0" w:color="auto"/>
            </w:tcBorders>
            <w:shd w:val="clear" w:color="auto" w:fill="D9E2F3" w:themeFill="accent1" w:themeFillTint="33"/>
            <w:noWrap/>
            <w:vAlign w:val="bottom"/>
          </w:tcPr>
          <w:p w14:paraId="137B714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3.652</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01B691D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46</w:t>
            </w:r>
            <w:r w:rsidRPr="008F3945">
              <w:rPr>
                <w:rFonts w:ascii="Calibri" w:hAnsi="Calibri" w:cs="Calibri"/>
                <w:color w:val="000000"/>
                <w:sz w:val="16"/>
                <w:szCs w:val="16"/>
              </w:rPr>
              <w:t>9</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5406543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6.222</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11D919F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6.185</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50C6301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1.469</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5E2F928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7.653</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21563B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6.678</w:t>
            </w:r>
          </w:p>
        </w:tc>
        <w:tc>
          <w:tcPr>
            <w:tcW w:w="304" w:type="pct"/>
            <w:tcBorders>
              <w:top w:val="nil"/>
              <w:left w:val="nil"/>
              <w:bottom w:val="single" w:sz="4" w:space="0" w:color="auto"/>
              <w:right w:val="single" w:sz="4" w:space="0" w:color="auto"/>
            </w:tcBorders>
            <w:shd w:val="clear" w:color="auto" w:fill="D9E2F3" w:themeFill="accent1" w:themeFillTint="33"/>
            <w:noWrap/>
            <w:vAlign w:val="bottom"/>
          </w:tcPr>
          <w:p w14:paraId="69A03EE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1.469</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439AC7D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8.147</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23F1505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6.908</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7BA4974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1.469</w:t>
            </w:r>
          </w:p>
        </w:tc>
        <w:tc>
          <w:tcPr>
            <w:tcW w:w="272"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744DB33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8.376</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3E27A5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6.908</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027C183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1.469</w:t>
            </w:r>
          </w:p>
        </w:tc>
        <w:tc>
          <w:tcPr>
            <w:tcW w:w="305"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6DBA1A8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8.376</w:t>
            </w:r>
          </w:p>
        </w:tc>
      </w:tr>
      <w:tr w:rsidR="005E735D" w:rsidRPr="008F3945" w14:paraId="2AF6A66E"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B0F3EC0"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QLD1</w:t>
            </w:r>
          </w:p>
        </w:tc>
        <w:tc>
          <w:tcPr>
            <w:tcW w:w="237" w:type="pct"/>
            <w:tcBorders>
              <w:top w:val="nil"/>
              <w:left w:val="nil"/>
              <w:bottom w:val="single" w:sz="4" w:space="0" w:color="auto"/>
              <w:right w:val="single" w:sz="12" w:space="0" w:color="595959" w:themeColor="text1" w:themeTint="A6"/>
            </w:tcBorders>
            <w:shd w:val="clear" w:color="auto" w:fill="FFFFFF" w:themeFill="background1"/>
            <w:noWrap/>
            <w:vAlign w:val="center"/>
            <w:hideMark/>
          </w:tcPr>
          <w:p w14:paraId="22E72D29"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253,254</w:t>
            </w:r>
          </w:p>
        </w:tc>
        <w:tc>
          <w:tcPr>
            <w:tcW w:w="303"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19BC367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28</w:t>
            </w:r>
            <w:r w:rsidRPr="008F3945">
              <w:rPr>
                <w:rFonts w:ascii="Calibri" w:hAnsi="Calibri" w:cs="Calibri"/>
                <w:color w:val="000000"/>
                <w:sz w:val="16"/>
                <w:szCs w:val="16"/>
              </w:rPr>
              <w:t>8</w:t>
            </w:r>
          </w:p>
        </w:tc>
        <w:tc>
          <w:tcPr>
            <w:tcW w:w="272" w:type="pct"/>
            <w:tcBorders>
              <w:top w:val="nil"/>
              <w:left w:val="nil"/>
              <w:bottom w:val="single" w:sz="4" w:space="0" w:color="auto"/>
              <w:right w:val="single" w:sz="4" w:space="0" w:color="auto"/>
            </w:tcBorders>
            <w:shd w:val="clear" w:color="auto" w:fill="FFFFFF" w:themeFill="background1"/>
            <w:noWrap/>
            <w:vAlign w:val="bottom"/>
          </w:tcPr>
          <w:p w14:paraId="6482526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4.451</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769F940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68</w:t>
            </w:r>
            <w:r w:rsidRPr="008F3945">
              <w:rPr>
                <w:rFonts w:ascii="Calibri" w:hAnsi="Calibri" w:cs="Calibri"/>
                <w:color w:val="000000"/>
                <w:sz w:val="16"/>
                <w:szCs w:val="16"/>
              </w:rPr>
              <w:t>0</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62FEB83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7.419</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60EF0B5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7.538</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4D93339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1.680</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232F150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9.218</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604679F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8.139</w:t>
            </w:r>
          </w:p>
        </w:tc>
        <w:tc>
          <w:tcPr>
            <w:tcW w:w="304" w:type="pct"/>
            <w:tcBorders>
              <w:top w:val="nil"/>
              <w:left w:val="nil"/>
              <w:bottom w:val="single" w:sz="4" w:space="0" w:color="auto"/>
              <w:right w:val="single" w:sz="4" w:space="0" w:color="auto"/>
            </w:tcBorders>
            <w:shd w:val="clear" w:color="auto" w:fill="FFFFFF" w:themeFill="background1"/>
            <w:noWrap/>
            <w:vAlign w:val="bottom"/>
          </w:tcPr>
          <w:p w14:paraId="0AC2036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1.680</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500A286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9.819</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30BC5C3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8.418</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452AACA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1.680</w:t>
            </w:r>
          </w:p>
        </w:tc>
        <w:tc>
          <w:tcPr>
            <w:tcW w:w="272"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112E7A7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10.099</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3F1D852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8.418</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6A8A9D3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1.680</w:t>
            </w:r>
          </w:p>
        </w:tc>
        <w:tc>
          <w:tcPr>
            <w:tcW w:w="305"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62BDEB3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10.099</w:t>
            </w:r>
          </w:p>
        </w:tc>
      </w:tr>
      <w:tr w:rsidR="005E735D" w:rsidRPr="008F3945" w14:paraId="4B263440"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35B9BEE"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QLD2</w:t>
            </w:r>
          </w:p>
        </w:tc>
        <w:tc>
          <w:tcPr>
            <w:tcW w:w="237" w:type="pct"/>
            <w:tcBorders>
              <w:top w:val="nil"/>
              <w:left w:val="nil"/>
              <w:bottom w:val="single" w:sz="4" w:space="0" w:color="auto"/>
              <w:right w:val="single" w:sz="12" w:space="0" w:color="595959" w:themeColor="text1" w:themeTint="A6"/>
            </w:tcBorders>
            <w:shd w:val="clear" w:color="auto" w:fill="D9E2F3" w:themeFill="accent1" w:themeFillTint="33"/>
            <w:noWrap/>
            <w:vAlign w:val="center"/>
            <w:hideMark/>
          </w:tcPr>
          <w:p w14:paraId="7C79EEB8"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64,741</w:t>
            </w:r>
          </w:p>
        </w:tc>
        <w:tc>
          <w:tcPr>
            <w:tcW w:w="303"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CC8134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54</w:t>
            </w:r>
            <w:r w:rsidRPr="008F3945">
              <w:rPr>
                <w:rFonts w:ascii="Calibri" w:hAnsi="Calibri" w:cs="Calibri"/>
                <w:color w:val="000000"/>
                <w:sz w:val="16"/>
                <w:szCs w:val="16"/>
              </w:rPr>
              <w:t>9</w:t>
            </w:r>
          </w:p>
        </w:tc>
        <w:tc>
          <w:tcPr>
            <w:tcW w:w="272" w:type="pct"/>
            <w:tcBorders>
              <w:top w:val="nil"/>
              <w:left w:val="nil"/>
              <w:bottom w:val="single" w:sz="4" w:space="0" w:color="auto"/>
              <w:right w:val="single" w:sz="4" w:space="0" w:color="auto"/>
            </w:tcBorders>
            <w:shd w:val="clear" w:color="auto" w:fill="D9E2F3" w:themeFill="accent1" w:themeFillTint="33"/>
            <w:noWrap/>
            <w:vAlign w:val="bottom"/>
          </w:tcPr>
          <w:p w14:paraId="5299B15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1.281</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6D342E64" w14:textId="77777777" w:rsidR="005E735D" w:rsidRPr="008F3945" w:rsidRDefault="005E735D" w:rsidP="005E735D">
            <w:pPr>
              <w:spacing w:beforeLines="20" w:before="48" w:afterLines="20" w:after="48"/>
              <w:jc w:val="right"/>
              <w:rPr>
                <w:rFonts w:ascii="Calibri" w:hAnsi="Calibri" w:cs="Calibri"/>
                <w:color w:val="000000"/>
                <w:sz w:val="16"/>
                <w:szCs w:val="16"/>
              </w:rPr>
            </w:pPr>
            <w:r>
              <w:rPr>
                <w:rFonts w:ascii="Calibri" w:hAnsi="Calibri" w:cs="Calibri"/>
                <w:color w:val="000000"/>
                <w:sz w:val="16"/>
                <w:szCs w:val="16"/>
              </w:rPr>
              <w:t>0.840</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05E4947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2.670</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2D21311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2.170</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6D65033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0.840</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573A2AB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3.010</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D860D3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2.343</w:t>
            </w:r>
          </w:p>
        </w:tc>
        <w:tc>
          <w:tcPr>
            <w:tcW w:w="304" w:type="pct"/>
            <w:tcBorders>
              <w:top w:val="nil"/>
              <w:left w:val="nil"/>
              <w:bottom w:val="single" w:sz="4" w:space="0" w:color="auto"/>
              <w:right w:val="single" w:sz="4" w:space="0" w:color="auto"/>
            </w:tcBorders>
            <w:shd w:val="clear" w:color="auto" w:fill="D9E2F3" w:themeFill="accent1" w:themeFillTint="33"/>
            <w:noWrap/>
            <w:vAlign w:val="bottom"/>
          </w:tcPr>
          <w:p w14:paraId="4AB6DE0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0.840</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6470E94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3.183</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5AB2BCE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2.424</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1606083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0.840</w:t>
            </w:r>
          </w:p>
        </w:tc>
        <w:tc>
          <w:tcPr>
            <w:tcW w:w="272"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007704F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3.264</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71058A4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2.424</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7C95F7B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0.840</w:t>
            </w:r>
          </w:p>
        </w:tc>
        <w:tc>
          <w:tcPr>
            <w:tcW w:w="305"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204D28E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3.264</w:t>
            </w:r>
          </w:p>
        </w:tc>
      </w:tr>
      <w:tr w:rsidR="005E735D" w:rsidRPr="008F3945" w14:paraId="27B84C33"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AF6667"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QLD3</w:t>
            </w:r>
          </w:p>
        </w:tc>
        <w:tc>
          <w:tcPr>
            <w:tcW w:w="237" w:type="pct"/>
            <w:tcBorders>
              <w:top w:val="nil"/>
              <w:left w:val="nil"/>
              <w:bottom w:val="single" w:sz="4" w:space="0" w:color="auto"/>
              <w:right w:val="single" w:sz="12" w:space="0" w:color="595959" w:themeColor="text1" w:themeTint="A6"/>
            </w:tcBorders>
            <w:shd w:val="clear" w:color="auto" w:fill="FFFFFF" w:themeFill="background1"/>
            <w:noWrap/>
            <w:vAlign w:val="center"/>
            <w:hideMark/>
          </w:tcPr>
          <w:p w14:paraId="4AF82727"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163,130</w:t>
            </w:r>
          </w:p>
        </w:tc>
        <w:tc>
          <w:tcPr>
            <w:tcW w:w="303"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2D02E3AD" w14:textId="77777777" w:rsidR="005E735D" w:rsidRPr="008F3945" w:rsidRDefault="005E735D" w:rsidP="005E735D">
            <w:pPr>
              <w:spacing w:beforeLines="20" w:before="48" w:afterLines="20" w:after="48"/>
              <w:jc w:val="right"/>
              <w:rPr>
                <w:rFonts w:ascii="Calibri" w:hAnsi="Calibri" w:cs="Calibri"/>
                <w:color w:val="000000"/>
                <w:sz w:val="16"/>
                <w:szCs w:val="16"/>
              </w:rPr>
            </w:pPr>
            <w:r>
              <w:rPr>
                <w:rFonts w:ascii="Calibri" w:hAnsi="Calibri" w:cs="Calibri"/>
                <w:color w:val="000000"/>
                <w:sz w:val="16"/>
                <w:szCs w:val="16"/>
              </w:rPr>
              <w:t>1.03</w:t>
            </w:r>
            <w:r w:rsidRPr="008F3945">
              <w:rPr>
                <w:rFonts w:ascii="Calibri" w:hAnsi="Calibri" w:cs="Calibri"/>
                <w:color w:val="000000"/>
                <w:sz w:val="16"/>
                <w:szCs w:val="16"/>
              </w:rPr>
              <w:t>4</w:t>
            </w:r>
          </w:p>
        </w:tc>
        <w:tc>
          <w:tcPr>
            <w:tcW w:w="272" w:type="pct"/>
            <w:tcBorders>
              <w:top w:val="nil"/>
              <w:left w:val="nil"/>
              <w:bottom w:val="single" w:sz="4" w:space="0" w:color="auto"/>
              <w:right w:val="single" w:sz="4" w:space="0" w:color="auto"/>
            </w:tcBorders>
            <w:shd w:val="clear" w:color="auto" w:fill="FFFFFF" w:themeFill="background1"/>
            <w:noWrap/>
            <w:vAlign w:val="bottom"/>
          </w:tcPr>
          <w:p w14:paraId="62E53BE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3.361</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0F375DB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39</w:t>
            </w:r>
            <w:r w:rsidRPr="008F3945">
              <w:rPr>
                <w:rFonts w:ascii="Calibri" w:hAnsi="Calibri" w:cs="Calibri"/>
                <w:color w:val="000000"/>
                <w:sz w:val="16"/>
                <w:szCs w:val="16"/>
              </w:rPr>
              <w:t>1</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5A12FEA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5.786</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25C16B2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5.691</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08394A8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1.391</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18ED0B3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7.082</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58D30AB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6.145</w:t>
            </w:r>
          </w:p>
        </w:tc>
        <w:tc>
          <w:tcPr>
            <w:tcW w:w="304" w:type="pct"/>
            <w:tcBorders>
              <w:top w:val="nil"/>
              <w:left w:val="nil"/>
              <w:bottom w:val="single" w:sz="4" w:space="0" w:color="auto"/>
              <w:right w:val="single" w:sz="4" w:space="0" w:color="auto"/>
            </w:tcBorders>
            <w:shd w:val="clear" w:color="auto" w:fill="FFFFFF" w:themeFill="background1"/>
            <w:noWrap/>
            <w:vAlign w:val="bottom"/>
          </w:tcPr>
          <w:p w14:paraId="334F56B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1.391</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05BD84F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7.537</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52A2C83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6.356</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49E74FE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1.391</w:t>
            </w:r>
          </w:p>
        </w:tc>
        <w:tc>
          <w:tcPr>
            <w:tcW w:w="272"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49F02E2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7.747</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1E283A1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6.356</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0849FBC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1.391</w:t>
            </w:r>
          </w:p>
        </w:tc>
        <w:tc>
          <w:tcPr>
            <w:tcW w:w="305"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194C85D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7.747</w:t>
            </w:r>
          </w:p>
        </w:tc>
      </w:tr>
      <w:tr w:rsidR="005E735D" w:rsidRPr="008F3945" w14:paraId="108C1692"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44FFCFE"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VIC1</w:t>
            </w:r>
          </w:p>
        </w:tc>
        <w:tc>
          <w:tcPr>
            <w:tcW w:w="237" w:type="pct"/>
            <w:tcBorders>
              <w:top w:val="nil"/>
              <w:left w:val="nil"/>
              <w:bottom w:val="single" w:sz="4" w:space="0" w:color="auto"/>
              <w:right w:val="single" w:sz="12" w:space="0" w:color="595959" w:themeColor="text1" w:themeTint="A6"/>
            </w:tcBorders>
            <w:shd w:val="clear" w:color="auto" w:fill="D9E2F3" w:themeFill="accent1" w:themeFillTint="33"/>
            <w:noWrap/>
            <w:vAlign w:val="center"/>
            <w:hideMark/>
          </w:tcPr>
          <w:p w14:paraId="6BA98C84"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526,051</w:t>
            </w:r>
          </w:p>
        </w:tc>
        <w:tc>
          <w:tcPr>
            <w:tcW w:w="303"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280818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82</w:t>
            </w:r>
            <w:r w:rsidRPr="008F3945">
              <w:rPr>
                <w:rFonts w:ascii="Calibri" w:hAnsi="Calibri" w:cs="Calibri"/>
                <w:color w:val="000000"/>
                <w:sz w:val="16"/>
                <w:szCs w:val="16"/>
              </w:rPr>
              <w:t>7</w:t>
            </w:r>
          </w:p>
        </w:tc>
        <w:tc>
          <w:tcPr>
            <w:tcW w:w="272" w:type="pct"/>
            <w:tcBorders>
              <w:top w:val="nil"/>
              <w:left w:val="nil"/>
              <w:bottom w:val="single" w:sz="4" w:space="0" w:color="auto"/>
              <w:right w:val="single" w:sz="4" w:space="0" w:color="auto"/>
            </w:tcBorders>
            <w:shd w:val="clear" w:color="auto" w:fill="D9E2F3" w:themeFill="accent1" w:themeFillTint="33"/>
            <w:noWrap/>
            <w:vAlign w:val="bottom"/>
          </w:tcPr>
          <w:p w14:paraId="76F6600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6.762</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64CEBEA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w:t>
            </w:r>
            <w:r>
              <w:rPr>
                <w:rFonts w:ascii="Calibri" w:hAnsi="Calibri" w:cs="Calibri"/>
                <w:color w:val="000000"/>
                <w:sz w:val="16"/>
                <w:szCs w:val="16"/>
              </w:rPr>
              <w:t>29</w:t>
            </w:r>
            <w:r w:rsidRPr="008F3945">
              <w:rPr>
                <w:rFonts w:ascii="Calibri" w:hAnsi="Calibri" w:cs="Calibri"/>
                <w:color w:val="000000"/>
                <w:sz w:val="16"/>
                <w:szCs w:val="16"/>
              </w:rPr>
              <w:t>3</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6A755C9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10.883</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336E0F1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11.452</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204566A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2.293</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217F0BB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13.746</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21F0AA5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12.366</w:t>
            </w:r>
          </w:p>
        </w:tc>
        <w:tc>
          <w:tcPr>
            <w:tcW w:w="304" w:type="pct"/>
            <w:tcBorders>
              <w:top w:val="nil"/>
              <w:left w:val="nil"/>
              <w:bottom w:val="single" w:sz="4" w:space="0" w:color="auto"/>
              <w:right w:val="single" w:sz="4" w:space="0" w:color="auto"/>
            </w:tcBorders>
            <w:shd w:val="clear" w:color="auto" w:fill="D9E2F3" w:themeFill="accent1" w:themeFillTint="33"/>
            <w:noWrap/>
            <w:vAlign w:val="bottom"/>
          </w:tcPr>
          <w:p w14:paraId="28C4B7E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2.293</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1DD01E5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14.659</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5429C2E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12.79</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61261D8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2.293</w:t>
            </w:r>
          </w:p>
        </w:tc>
        <w:tc>
          <w:tcPr>
            <w:tcW w:w="272"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0E48DF6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15.084</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1CAF2DD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12.79</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077E462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2.293</w:t>
            </w:r>
          </w:p>
        </w:tc>
        <w:tc>
          <w:tcPr>
            <w:tcW w:w="305"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1256371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15.084</w:t>
            </w:r>
          </w:p>
        </w:tc>
      </w:tr>
      <w:tr w:rsidR="005E735D" w:rsidRPr="008F3945" w14:paraId="3B1BBF54"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94A8EC4"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VIC2</w:t>
            </w:r>
          </w:p>
        </w:tc>
        <w:tc>
          <w:tcPr>
            <w:tcW w:w="237" w:type="pct"/>
            <w:tcBorders>
              <w:top w:val="nil"/>
              <w:left w:val="nil"/>
              <w:bottom w:val="single" w:sz="4" w:space="0" w:color="auto"/>
              <w:right w:val="single" w:sz="12" w:space="0" w:color="595959" w:themeColor="text1" w:themeTint="A6"/>
            </w:tcBorders>
            <w:shd w:val="clear" w:color="auto" w:fill="FFFFFF" w:themeFill="background1"/>
            <w:noWrap/>
            <w:vAlign w:val="center"/>
            <w:hideMark/>
          </w:tcPr>
          <w:p w14:paraId="6C53EA17"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216,939</w:t>
            </w:r>
          </w:p>
        </w:tc>
        <w:tc>
          <w:tcPr>
            <w:tcW w:w="303"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6A485BF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96</w:t>
            </w:r>
            <w:r w:rsidRPr="008F3945">
              <w:rPr>
                <w:rFonts w:ascii="Calibri" w:hAnsi="Calibri" w:cs="Calibri"/>
                <w:color w:val="000000"/>
                <w:sz w:val="16"/>
                <w:szCs w:val="16"/>
              </w:rPr>
              <w:t>5</w:t>
            </w:r>
          </w:p>
        </w:tc>
        <w:tc>
          <w:tcPr>
            <w:tcW w:w="272" w:type="pct"/>
            <w:tcBorders>
              <w:top w:val="nil"/>
              <w:left w:val="nil"/>
              <w:bottom w:val="single" w:sz="4" w:space="0" w:color="auto"/>
              <w:right w:val="single" w:sz="4" w:space="0" w:color="auto"/>
            </w:tcBorders>
            <w:shd w:val="clear" w:color="auto" w:fill="FFFFFF" w:themeFill="background1"/>
            <w:noWrap/>
            <w:vAlign w:val="bottom"/>
          </w:tcPr>
          <w:p w14:paraId="74FD8E1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3.064</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3E41D7E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31</w:t>
            </w:r>
            <w:r w:rsidRPr="008F3945">
              <w:rPr>
                <w:rFonts w:ascii="Calibri" w:hAnsi="Calibri" w:cs="Calibri"/>
                <w:color w:val="000000"/>
                <w:sz w:val="16"/>
                <w:szCs w:val="16"/>
              </w:rPr>
              <w:t>3</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7F03E1E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5.341</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52FF1F5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5.188</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2062D36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1.313</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0A540A9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6.501</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5527920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5.603</w:t>
            </w:r>
          </w:p>
        </w:tc>
        <w:tc>
          <w:tcPr>
            <w:tcW w:w="304" w:type="pct"/>
            <w:tcBorders>
              <w:top w:val="nil"/>
              <w:left w:val="nil"/>
              <w:bottom w:val="single" w:sz="4" w:space="0" w:color="auto"/>
              <w:right w:val="single" w:sz="4" w:space="0" w:color="auto"/>
            </w:tcBorders>
            <w:shd w:val="clear" w:color="auto" w:fill="FFFFFF" w:themeFill="background1"/>
            <w:noWrap/>
            <w:vAlign w:val="bottom"/>
          </w:tcPr>
          <w:p w14:paraId="6A1A1FC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1.313</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07433F6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6.915</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39E4789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5.795</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0CF3CDD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1.313</w:t>
            </w:r>
          </w:p>
        </w:tc>
        <w:tc>
          <w:tcPr>
            <w:tcW w:w="272"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002D854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7.107</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6D5EE78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5.795</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6CE4439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1.313</w:t>
            </w:r>
          </w:p>
        </w:tc>
        <w:tc>
          <w:tcPr>
            <w:tcW w:w="305"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0C01C62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7.107</w:t>
            </w:r>
          </w:p>
        </w:tc>
      </w:tr>
      <w:tr w:rsidR="005E735D" w:rsidRPr="008F3945" w14:paraId="7E7F702C"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287C857"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SA1</w:t>
            </w:r>
          </w:p>
        </w:tc>
        <w:tc>
          <w:tcPr>
            <w:tcW w:w="237" w:type="pct"/>
            <w:tcBorders>
              <w:top w:val="nil"/>
              <w:left w:val="nil"/>
              <w:bottom w:val="single" w:sz="4" w:space="0" w:color="auto"/>
              <w:right w:val="single" w:sz="12" w:space="0" w:color="595959" w:themeColor="text1" w:themeTint="A6"/>
            </w:tcBorders>
            <w:shd w:val="clear" w:color="auto" w:fill="D9E2F3" w:themeFill="accent1" w:themeFillTint="33"/>
            <w:noWrap/>
            <w:vAlign w:val="center"/>
            <w:hideMark/>
          </w:tcPr>
          <w:p w14:paraId="1E1D8EBE"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177,676</w:t>
            </w:r>
          </w:p>
        </w:tc>
        <w:tc>
          <w:tcPr>
            <w:tcW w:w="303"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EF9E06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92</w:t>
            </w:r>
            <w:r w:rsidRPr="008F3945">
              <w:rPr>
                <w:rFonts w:ascii="Calibri" w:hAnsi="Calibri" w:cs="Calibri"/>
                <w:color w:val="000000"/>
                <w:sz w:val="16"/>
                <w:szCs w:val="16"/>
              </w:rPr>
              <w:t>4</w:t>
            </w:r>
          </w:p>
        </w:tc>
        <w:tc>
          <w:tcPr>
            <w:tcW w:w="272" w:type="pct"/>
            <w:tcBorders>
              <w:top w:val="nil"/>
              <w:left w:val="nil"/>
              <w:bottom w:val="single" w:sz="4" w:space="0" w:color="auto"/>
              <w:right w:val="single" w:sz="4" w:space="0" w:color="auto"/>
            </w:tcBorders>
            <w:shd w:val="clear" w:color="auto" w:fill="D9E2F3" w:themeFill="accent1" w:themeFillTint="33"/>
            <w:noWrap/>
            <w:vAlign w:val="bottom"/>
          </w:tcPr>
          <w:p w14:paraId="0322669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2.892</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59C5CDD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26</w:t>
            </w:r>
            <w:r w:rsidRPr="008F3945">
              <w:rPr>
                <w:rFonts w:ascii="Calibri" w:hAnsi="Calibri" w:cs="Calibri"/>
                <w:color w:val="000000"/>
                <w:sz w:val="16"/>
                <w:szCs w:val="16"/>
              </w:rPr>
              <w:t>7</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1475E8E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5.083</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0A73C65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4.897</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168C15A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1.267</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1728582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6.164</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01CB976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5.288</w:t>
            </w:r>
          </w:p>
        </w:tc>
        <w:tc>
          <w:tcPr>
            <w:tcW w:w="304" w:type="pct"/>
            <w:tcBorders>
              <w:top w:val="nil"/>
              <w:left w:val="nil"/>
              <w:bottom w:val="single" w:sz="4" w:space="0" w:color="auto"/>
              <w:right w:val="single" w:sz="4" w:space="0" w:color="auto"/>
            </w:tcBorders>
            <w:shd w:val="clear" w:color="auto" w:fill="D9E2F3" w:themeFill="accent1" w:themeFillTint="33"/>
            <w:noWrap/>
            <w:vAlign w:val="bottom"/>
          </w:tcPr>
          <w:p w14:paraId="7A7B46B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1.267</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6653E81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6.555</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3BFAB70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5.470</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1C4B919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1.267</w:t>
            </w:r>
          </w:p>
        </w:tc>
        <w:tc>
          <w:tcPr>
            <w:tcW w:w="272"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1A1DC4E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6.736</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03175A0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5.470</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31E4F03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1.267</w:t>
            </w:r>
          </w:p>
        </w:tc>
        <w:tc>
          <w:tcPr>
            <w:tcW w:w="305"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36E15B7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6.736</w:t>
            </w:r>
          </w:p>
        </w:tc>
      </w:tr>
      <w:tr w:rsidR="005E735D" w:rsidRPr="008F3945" w14:paraId="0494E504"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FF36CD"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SA2</w:t>
            </w:r>
          </w:p>
        </w:tc>
        <w:tc>
          <w:tcPr>
            <w:tcW w:w="237" w:type="pct"/>
            <w:tcBorders>
              <w:top w:val="nil"/>
              <w:left w:val="single" w:sz="4" w:space="0" w:color="auto"/>
              <w:bottom w:val="single" w:sz="4" w:space="0" w:color="auto"/>
              <w:right w:val="single" w:sz="12" w:space="0" w:color="595959" w:themeColor="text1" w:themeTint="A6"/>
            </w:tcBorders>
            <w:shd w:val="clear" w:color="auto" w:fill="FFFFFF" w:themeFill="background1"/>
            <w:noWrap/>
            <w:vAlign w:val="center"/>
            <w:hideMark/>
          </w:tcPr>
          <w:p w14:paraId="4EE64930"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66,116</w:t>
            </w:r>
          </w:p>
        </w:tc>
        <w:tc>
          <w:tcPr>
            <w:tcW w:w="303"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739293DF"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57</w:t>
            </w:r>
            <w:r w:rsidRPr="008F3945">
              <w:rPr>
                <w:rFonts w:ascii="Calibri" w:hAnsi="Calibri" w:cs="Calibri"/>
                <w:color w:val="000000"/>
                <w:sz w:val="16"/>
                <w:szCs w:val="16"/>
              </w:rPr>
              <w:t>8</w:t>
            </w:r>
          </w:p>
        </w:tc>
        <w:tc>
          <w:tcPr>
            <w:tcW w:w="272" w:type="pct"/>
            <w:tcBorders>
              <w:top w:val="nil"/>
              <w:left w:val="nil"/>
              <w:bottom w:val="single" w:sz="4" w:space="0" w:color="auto"/>
              <w:right w:val="single" w:sz="4" w:space="0" w:color="auto"/>
            </w:tcBorders>
            <w:shd w:val="clear" w:color="auto" w:fill="FFFFFF" w:themeFill="background1"/>
            <w:noWrap/>
            <w:vAlign w:val="bottom"/>
          </w:tcPr>
          <w:p w14:paraId="593FBF4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1.404</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7D991A85" w14:textId="77777777" w:rsidR="005E735D" w:rsidRPr="008F3945" w:rsidRDefault="005E735D" w:rsidP="005E735D">
            <w:pPr>
              <w:spacing w:beforeLines="20" w:before="48" w:afterLines="20" w:after="48"/>
              <w:jc w:val="right"/>
              <w:rPr>
                <w:rFonts w:ascii="Calibri" w:hAnsi="Calibri" w:cs="Calibri"/>
                <w:color w:val="000000"/>
                <w:sz w:val="16"/>
                <w:szCs w:val="16"/>
              </w:rPr>
            </w:pPr>
            <w:r>
              <w:rPr>
                <w:rFonts w:ascii="Calibri" w:hAnsi="Calibri" w:cs="Calibri"/>
                <w:color w:val="000000"/>
                <w:sz w:val="16"/>
                <w:szCs w:val="16"/>
              </w:rPr>
              <w:t>0.87</w:t>
            </w:r>
            <w:r w:rsidRPr="008F3945">
              <w:rPr>
                <w:rFonts w:ascii="Calibri" w:hAnsi="Calibri" w:cs="Calibri"/>
                <w:color w:val="000000"/>
                <w:sz w:val="16"/>
                <w:szCs w:val="16"/>
              </w:rPr>
              <w:t>2</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759B4E7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2.854</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621DDF4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2.378</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2F0C967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0.872</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10F538F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3.251</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2A97E8A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2.568</w:t>
            </w:r>
          </w:p>
        </w:tc>
        <w:tc>
          <w:tcPr>
            <w:tcW w:w="304" w:type="pct"/>
            <w:tcBorders>
              <w:top w:val="nil"/>
              <w:left w:val="nil"/>
              <w:bottom w:val="single" w:sz="4" w:space="0" w:color="auto"/>
              <w:right w:val="single" w:sz="4" w:space="0" w:color="auto"/>
            </w:tcBorders>
            <w:shd w:val="clear" w:color="auto" w:fill="FFFFFF" w:themeFill="background1"/>
            <w:noWrap/>
            <w:vAlign w:val="bottom"/>
          </w:tcPr>
          <w:p w14:paraId="20C4FEA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0.872</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4068FD3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3.440</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16C61C1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2.656</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492F74C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0.872</w:t>
            </w:r>
          </w:p>
        </w:tc>
        <w:tc>
          <w:tcPr>
            <w:tcW w:w="272"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3CA0679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3.528</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70B1D4A7"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2.656</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7138069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0.872</w:t>
            </w:r>
          </w:p>
        </w:tc>
        <w:tc>
          <w:tcPr>
            <w:tcW w:w="305"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0D62063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3.528</w:t>
            </w:r>
          </w:p>
        </w:tc>
      </w:tr>
      <w:tr w:rsidR="005E735D" w:rsidRPr="008F3945" w14:paraId="77D1C38E" w14:textId="77777777" w:rsidTr="005E735D">
        <w:trPr>
          <w:trHeight w:val="300"/>
        </w:trPr>
        <w:tc>
          <w:tcPr>
            <w:tcW w:w="203"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F22820C"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WA1</w:t>
            </w:r>
          </w:p>
        </w:tc>
        <w:tc>
          <w:tcPr>
            <w:tcW w:w="237" w:type="pct"/>
            <w:tcBorders>
              <w:top w:val="nil"/>
              <w:left w:val="single" w:sz="4" w:space="0" w:color="auto"/>
              <w:bottom w:val="single" w:sz="4" w:space="0" w:color="auto"/>
              <w:right w:val="single" w:sz="12" w:space="0" w:color="595959" w:themeColor="text1" w:themeTint="A6"/>
            </w:tcBorders>
            <w:shd w:val="clear" w:color="auto" w:fill="D9E2F3" w:themeFill="accent1" w:themeFillTint="33"/>
            <w:noWrap/>
            <w:vAlign w:val="center"/>
            <w:hideMark/>
          </w:tcPr>
          <w:p w14:paraId="49E3FE05"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149,032</w:t>
            </w:r>
          </w:p>
        </w:tc>
        <w:tc>
          <w:tcPr>
            <w:tcW w:w="303"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4A94E2B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86</w:t>
            </w:r>
            <w:r w:rsidRPr="008F3945">
              <w:rPr>
                <w:rFonts w:ascii="Calibri" w:hAnsi="Calibri" w:cs="Calibri"/>
                <w:color w:val="000000"/>
                <w:sz w:val="16"/>
                <w:szCs w:val="16"/>
              </w:rPr>
              <w:t>0</w:t>
            </w:r>
          </w:p>
        </w:tc>
        <w:tc>
          <w:tcPr>
            <w:tcW w:w="272" w:type="pct"/>
            <w:tcBorders>
              <w:top w:val="nil"/>
              <w:left w:val="nil"/>
              <w:bottom w:val="single" w:sz="4" w:space="0" w:color="auto"/>
              <w:right w:val="single" w:sz="4" w:space="0" w:color="auto"/>
            </w:tcBorders>
            <w:shd w:val="clear" w:color="auto" w:fill="D9E2F3" w:themeFill="accent1" w:themeFillTint="33"/>
            <w:noWrap/>
            <w:vAlign w:val="bottom"/>
          </w:tcPr>
          <w:p w14:paraId="4CCADC6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2.617</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1D76254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19</w:t>
            </w:r>
            <w:r w:rsidRPr="008F3945">
              <w:rPr>
                <w:rFonts w:ascii="Calibri" w:hAnsi="Calibri" w:cs="Calibri"/>
                <w:color w:val="000000"/>
                <w:sz w:val="16"/>
                <w:szCs w:val="16"/>
              </w:rPr>
              <w:t>4</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5881B23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4.671</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029DFCF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4.432</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01FF1AB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1.194</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32B025F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5.625</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2AAE270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4.785</w:t>
            </w:r>
          </w:p>
        </w:tc>
        <w:tc>
          <w:tcPr>
            <w:tcW w:w="304" w:type="pct"/>
            <w:tcBorders>
              <w:top w:val="nil"/>
              <w:left w:val="nil"/>
              <w:bottom w:val="single" w:sz="4" w:space="0" w:color="auto"/>
              <w:right w:val="single" w:sz="4" w:space="0" w:color="auto"/>
            </w:tcBorders>
            <w:shd w:val="clear" w:color="auto" w:fill="D9E2F3" w:themeFill="accent1" w:themeFillTint="33"/>
            <w:noWrap/>
            <w:vAlign w:val="bottom"/>
          </w:tcPr>
          <w:p w14:paraId="761C451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1.194</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3593150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5.979</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69AF56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4.949</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61C44E6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1.194</w:t>
            </w:r>
          </w:p>
        </w:tc>
        <w:tc>
          <w:tcPr>
            <w:tcW w:w="272"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43016A5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6.143</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28585A2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4.949</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6088456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1.194</w:t>
            </w:r>
          </w:p>
        </w:tc>
        <w:tc>
          <w:tcPr>
            <w:tcW w:w="305"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66DAED6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6.143</w:t>
            </w:r>
          </w:p>
        </w:tc>
      </w:tr>
      <w:tr w:rsidR="005E735D" w:rsidRPr="008F3945" w14:paraId="1E179AE3" w14:textId="77777777" w:rsidTr="005E735D">
        <w:trPr>
          <w:trHeight w:val="300"/>
        </w:trPr>
        <w:tc>
          <w:tcPr>
            <w:tcW w:w="203" w:type="pct"/>
            <w:tcBorders>
              <w:top w:val="single" w:sz="4" w:space="0" w:color="auto"/>
              <w:left w:val="single" w:sz="4" w:space="0" w:color="auto"/>
              <w:bottom w:val="nil"/>
              <w:right w:val="single" w:sz="4" w:space="0" w:color="auto"/>
            </w:tcBorders>
            <w:shd w:val="clear" w:color="auto" w:fill="FFFFFF" w:themeFill="background1"/>
            <w:noWrap/>
            <w:vAlign w:val="center"/>
            <w:hideMark/>
          </w:tcPr>
          <w:p w14:paraId="45482190"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WA2</w:t>
            </w:r>
          </w:p>
        </w:tc>
        <w:tc>
          <w:tcPr>
            <w:tcW w:w="237" w:type="pct"/>
            <w:tcBorders>
              <w:top w:val="nil"/>
              <w:left w:val="single" w:sz="4" w:space="0" w:color="auto"/>
              <w:bottom w:val="single" w:sz="4" w:space="0" w:color="auto"/>
              <w:right w:val="single" w:sz="12" w:space="0" w:color="595959" w:themeColor="text1" w:themeTint="A6"/>
            </w:tcBorders>
            <w:shd w:val="clear" w:color="auto" w:fill="FFFFFF" w:themeFill="background1"/>
            <w:noWrap/>
            <w:vAlign w:val="center"/>
            <w:hideMark/>
          </w:tcPr>
          <w:p w14:paraId="7B3C5844"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54,570</w:t>
            </w:r>
          </w:p>
        </w:tc>
        <w:tc>
          <w:tcPr>
            <w:tcW w:w="303"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5513296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59</w:t>
            </w:r>
            <w:r w:rsidRPr="008F3945">
              <w:rPr>
                <w:rFonts w:ascii="Calibri" w:hAnsi="Calibri" w:cs="Calibri"/>
                <w:color w:val="000000"/>
                <w:sz w:val="16"/>
                <w:szCs w:val="16"/>
              </w:rPr>
              <w:t>5</w:t>
            </w:r>
          </w:p>
        </w:tc>
        <w:tc>
          <w:tcPr>
            <w:tcW w:w="272" w:type="pct"/>
            <w:tcBorders>
              <w:top w:val="nil"/>
              <w:left w:val="nil"/>
              <w:bottom w:val="single" w:sz="4" w:space="0" w:color="auto"/>
              <w:right w:val="single" w:sz="4" w:space="0" w:color="auto"/>
            </w:tcBorders>
            <w:shd w:val="clear" w:color="auto" w:fill="FFFFFF" w:themeFill="background1"/>
            <w:noWrap/>
            <w:vAlign w:val="bottom"/>
          </w:tcPr>
          <w:p w14:paraId="5B293D3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1.479</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581D9801" w14:textId="77777777" w:rsidR="005E735D" w:rsidRPr="008F3945" w:rsidRDefault="005E735D" w:rsidP="005E735D">
            <w:pPr>
              <w:spacing w:beforeLines="20" w:before="48" w:afterLines="20" w:after="48"/>
              <w:jc w:val="right"/>
              <w:rPr>
                <w:rFonts w:ascii="Calibri" w:hAnsi="Calibri" w:cs="Calibri"/>
                <w:color w:val="000000"/>
                <w:sz w:val="16"/>
                <w:szCs w:val="16"/>
              </w:rPr>
            </w:pPr>
            <w:r>
              <w:rPr>
                <w:rFonts w:ascii="Calibri" w:hAnsi="Calibri" w:cs="Calibri"/>
                <w:color w:val="000000"/>
                <w:sz w:val="16"/>
                <w:szCs w:val="16"/>
              </w:rPr>
              <w:t>0.89</w:t>
            </w:r>
            <w:r w:rsidRPr="008F3945">
              <w:rPr>
                <w:rFonts w:ascii="Calibri" w:hAnsi="Calibri" w:cs="Calibri"/>
                <w:color w:val="000000"/>
                <w:sz w:val="16"/>
                <w:szCs w:val="16"/>
              </w:rPr>
              <w:t>2</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025D4D5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2.966</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506C901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2.504</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6FE0B6D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0.892</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1AD464C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3.397</w:t>
            </w:r>
          </w:p>
        </w:tc>
        <w:tc>
          <w:tcPr>
            <w:tcW w:w="271"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612BD39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2.704</w:t>
            </w:r>
          </w:p>
        </w:tc>
        <w:tc>
          <w:tcPr>
            <w:tcW w:w="304" w:type="pct"/>
            <w:tcBorders>
              <w:top w:val="nil"/>
              <w:left w:val="nil"/>
              <w:bottom w:val="single" w:sz="4" w:space="0" w:color="auto"/>
              <w:right w:val="single" w:sz="4" w:space="0" w:color="auto"/>
            </w:tcBorders>
            <w:shd w:val="clear" w:color="auto" w:fill="FFFFFF" w:themeFill="background1"/>
            <w:noWrap/>
            <w:vAlign w:val="bottom"/>
          </w:tcPr>
          <w:p w14:paraId="6960BD1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0.892</w:t>
            </w:r>
          </w:p>
        </w:tc>
        <w:tc>
          <w:tcPr>
            <w:tcW w:w="270"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3F42090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3.596</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6360E87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2.797</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17C333C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0.892</w:t>
            </w:r>
          </w:p>
        </w:tc>
        <w:tc>
          <w:tcPr>
            <w:tcW w:w="272"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36A5967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3.689</w:t>
            </w:r>
          </w:p>
        </w:tc>
        <w:tc>
          <w:tcPr>
            <w:tcW w:w="270" w:type="pct"/>
            <w:tcBorders>
              <w:top w:val="nil"/>
              <w:left w:val="single" w:sz="12" w:space="0" w:color="595959" w:themeColor="text1" w:themeTint="A6"/>
              <w:bottom w:val="single" w:sz="4" w:space="0" w:color="auto"/>
              <w:right w:val="single" w:sz="4" w:space="0" w:color="auto"/>
            </w:tcBorders>
            <w:shd w:val="clear" w:color="auto" w:fill="FFFFFF" w:themeFill="background1"/>
            <w:noWrap/>
            <w:vAlign w:val="bottom"/>
          </w:tcPr>
          <w:p w14:paraId="0989DF7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2.797</w:t>
            </w:r>
          </w:p>
        </w:tc>
        <w:tc>
          <w:tcPr>
            <w:tcW w:w="303" w:type="pct"/>
            <w:tcBorders>
              <w:top w:val="nil"/>
              <w:left w:val="nil"/>
              <w:bottom w:val="single" w:sz="4" w:space="0" w:color="auto"/>
              <w:right w:val="single" w:sz="4" w:space="0" w:color="auto"/>
            </w:tcBorders>
            <w:shd w:val="clear" w:color="auto" w:fill="FFFFFF" w:themeFill="background1"/>
            <w:noWrap/>
            <w:vAlign w:val="bottom"/>
          </w:tcPr>
          <w:p w14:paraId="094DE33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0.892</w:t>
            </w:r>
          </w:p>
        </w:tc>
        <w:tc>
          <w:tcPr>
            <w:tcW w:w="305" w:type="pct"/>
            <w:tcBorders>
              <w:top w:val="nil"/>
              <w:left w:val="nil"/>
              <w:bottom w:val="single" w:sz="4" w:space="0" w:color="auto"/>
              <w:right w:val="single" w:sz="12" w:space="0" w:color="595959" w:themeColor="text1" w:themeTint="A6"/>
            </w:tcBorders>
            <w:shd w:val="clear" w:color="auto" w:fill="FFFFFF" w:themeFill="background1"/>
            <w:noWrap/>
            <w:vAlign w:val="bottom"/>
          </w:tcPr>
          <w:p w14:paraId="0C11B34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3.689</w:t>
            </w:r>
          </w:p>
        </w:tc>
      </w:tr>
      <w:tr w:rsidR="005E735D" w:rsidRPr="008F3945" w14:paraId="62B677D6" w14:textId="77777777" w:rsidTr="005E735D">
        <w:trPr>
          <w:trHeight w:val="300"/>
        </w:trPr>
        <w:tc>
          <w:tcPr>
            <w:tcW w:w="203"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A9DC61E"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TAS 1</w:t>
            </w:r>
          </w:p>
        </w:tc>
        <w:tc>
          <w:tcPr>
            <w:tcW w:w="237" w:type="pct"/>
            <w:tcBorders>
              <w:top w:val="nil"/>
              <w:left w:val="nil"/>
              <w:bottom w:val="single" w:sz="4" w:space="0" w:color="auto"/>
              <w:right w:val="single" w:sz="12" w:space="0" w:color="595959" w:themeColor="text1" w:themeTint="A6"/>
            </w:tcBorders>
            <w:shd w:val="clear" w:color="auto" w:fill="D9E2F3" w:themeFill="accent1" w:themeFillTint="33"/>
            <w:noWrap/>
            <w:vAlign w:val="center"/>
            <w:hideMark/>
          </w:tcPr>
          <w:p w14:paraId="61C62398"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85,508</w:t>
            </w:r>
          </w:p>
        </w:tc>
        <w:tc>
          <w:tcPr>
            <w:tcW w:w="303"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09506EF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70</w:t>
            </w:r>
            <w:r w:rsidRPr="008F3945">
              <w:rPr>
                <w:rFonts w:ascii="Calibri" w:hAnsi="Calibri" w:cs="Calibri"/>
                <w:color w:val="000000"/>
                <w:sz w:val="16"/>
                <w:szCs w:val="16"/>
              </w:rPr>
              <w:t>7</w:t>
            </w:r>
          </w:p>
        </w:tc>
        <w:tc>
          <w:tcPr>
            <w:tcW w:w="272" w:type="pct"/>
            <w:tcBorders>
              <w:top w:val="nil"/>
              <w:left w:val="nil"/>
              <w:bottom w:val="single" w:sz="4" w:space="0" w:color="auto"/>
              <w:right w:val="single" w:sz="4" w:space="0" w:color="auto"/>
            </w:tcBorders>
            <w:shd w:val="clear" w:color="auto" w:fill="D9E2F3" w:themeFill="accent1" w:themeFillTint="33"/>
            <w:noWrap/>
            <w:vAlign w:val="bottom"/>
          </w:tcPr>
          <w:p w14:paraId="6DBEA18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1.959</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4548563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w:t>
            </w:r>
            <w:r>
              <w:rPr>
                <w:rFonts w:ascii="Calibri" w:hAnsi="Calibri" w:cs="Calibri"/>
                <w:color w:val="000000"/>
                <w:sz w:val="16"/>
                <w:szCs w:val="16"/>
              </w:rPr>
              <w:t>02</w:t>
            </w:r>
            <w:r w:rsidRPr="008F3945">
              <w:rPr>
                <w:rFonts w:ascii="Calibri" w:hAnsi="Calibri" w:cs="Calibri"/>
                <w:color w:val="000000"/>
                <w:sz w:val="16"/>
                <w:szCs w:val="16"/>
              </w:rPr>
              <w:t>0</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031F8A0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3.685</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BFE8AB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3.317</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1F1CE22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1.020</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321CE82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4.337</w:t>
            </w:r>
          </w:p>
        </w:tc>
        <w:tc>
          <w:tcPr>
            <w:tcW w:w="271"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1A0409C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3.582</w:t>
            </w:r>
          </w:p>
        </w:tc>
        <w:tc>
          <w:tcPr>
            <w:tcW w:w="304" w:type="pct"/>
            <w:tcBorders>
              <w:top w:val="nil"/>
              <w:left w:val="nil"/>
              <w:bottom w:val="single" w:sz="4" w:space="0" w:color="auto"/>
              <w:right w:val="single" w:sz="4" w:space="0" w:color="auto"/>
            </w:tcBorders>
            <w:shd w:val="clear" w:color="auto" w:fill="D9E2F3" w:themeFill="accent1" w:themeFillTint="33"/>
            <w:noWrap/>
            <w:vAlign w:val="bottom"/>
          </w:tcPr>
          <w:p w14:paraId="27F7BB56"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1.020</w:t>
            </w:r>
          </w:p>
        </w:tc>
        <w:tc>
          <w:tcPr>
            <w:tcW w:w="270"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65DA93E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4.602</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0D67FD1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3.705</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69648FAD"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1.020</w:t>
            </w:r>
          </w:p>
        </w:tc>
        <w:tc>
          <w:tcPr>
            <w:tcW w:w="272"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51E8CE8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4.725</w:t>
            </w:r>
          </w:p>
        </w:tc>
        <w:tc>
          <w:tcPr>
            <w:tcW w:w="270" w:type="pct"/>
            <w:tcBorders>
              <w:top w:val="nil"/>
              <w:left w:val="single" w:sz="12" w:space="0" w:color="595959" w:themeColor="text1" w:themeTint="A6"/>
              <w:bottom w:val="single" w:sz="4" w:space="0" w:color="auto"/>
              <w:right w:val="single" w:sz="4" w:space="0" w:color="auto"/>
            </w:tcBorders>
            <w:shd w:val="clear" w:color="auto" w:fill="D9E2F3" w:themeFill="accent1" w:themeFillTint="33"/>
            <w:noWrap/>
            <w:vAlign w:val="bottom"/>
          </w:tcPr>
          <w:p w14:paraId="6B4782A8"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3.705</w:t>
            </w:r>
          </w:p>
        </w:tc>
        <w:tc>
          <w:tcPr>
            <w:tcW w:w="303" w:type="pct"/>
            <w:tcBorders>
              <w:top w:val="nil"/>
              <w:left w:val="nil"/>
              <w:bottom w:val="single" w:sz="4" w:space="0" w:color="auto"/>
              <w:right w:val="single" w:sz="4" w:space="0" w:color="auto"/>
            </w:tcBorders>
            <w:shd w:val="clear" w:color="auto" w:fill="D9E2F3" w:themeFill="accent1" w:themeFillTint="33"/>
            <w:noWrap/>
            <w:vAlign w:val="bottom"/>
          </w:tcPr>
          <w:p w14:paraId="316C45AB"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1.020</w:t>
            </w:r>
          </w:p>
        </w:tc>
        <w:tc>
          <w:tcPr>
            <w:tcW w:w="305" w:type="pct"/>
            <w:tcBorders>
              <w:top w:val="nil"/>
              <w:left w:val="nil"/>
              <w:bottom w:val="single" w:sz="4" w:space="0" w:color="auto"/>
              <w:right w:val="single" w:sz="12" w:space="0" w:color="595959" w:themeColor="text1" w:themeTint="A6"/>
            </w:tcBorders>
            <w:shd w:val="clear" w:color="auto" w:fill="D9E2F3" w:themeFill="accent1" w:themeFillTint="33"/>
            <w:noWrap/>
            <w:vAlign w:val="bottom"/>
          </w:tcPr>
          <w:p w14:paraId="21B9747C"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4.725</w:t>
            </w:r>
          </w:p>
        </w:tc>
      </w:tr>
      <w:tr w:rsidR="005E735D" w:rsidRPr="008F3945" w14:paraId="61F0502F" w14:textId="77777777" w:rsidTr="005E735D">
        <w:trPr>
          <w:trHeight w:val="300"/>
        </w:trPr>
        <w:tc>
          <w:tcPr>
            <w:tcW w:w="203"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D202ED4"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NT1</w:t>
            </w:r>
          </w:p>
        </w:tc>
        <w:tc>
          <w:tcPr>
            <w:tcW w:w="237" w:type="pct"/>
            <w:tcBorders>
              <w:top w:val="nil"/>
              <w:left w:val="nil"/>
              <w:bottom w:val="single" w:sz="4" w:space="0" w:color="auto"/>
              <w:right w:val="single" w:sz="12" w:space="0" w:color="595959" w:themeColor="text1" w:themeTint="A6"/>
            </w:tcBorders>
            <w:shd w:val="clear" w:color="auto" w:fill="FFFFFF" w:themeFill="background1"/>
            <w:noWrap/>
            <w:vAlign w:val="center"/>
            <w:hideMark/>
          </w:tcPr>
          <w:p w14:paraId="26B12594" w14:textId="77777777" w:rsidR="005E735D" w:rsidRPr="008F3945" w:rsidRDefault="005E735D" w:rsidP="005E735D">
            <w:pPr>
              <w:spacing w:beforeLines="20" w:before="48" w:afterLines="20" w:after="48" w:line="240" w:lineRule="auto"/>
              <w:jc w:val="center"/>
              <w:rPr>
                <w:rFonts w:ascii="Calibri" w:eastAsia="Times New Roman" w:hAnsi="Calibri" w:cs="Calibri"/>
                <w:b/>
                <w:bCs/>
                <w:sz w:val="16"/>
                <w:szCs w:val="16"/>
                <w:lang w:eastAsia="en-AU"/>
              </w:rPr>
            </w:pPr>
            <w:r w:rsidRPr="008F3945">
              <w:rPr>
                <w:rFonts w:ascii="Calibri" w:eastAsia="Times New Roman" w:hAnsi="Calibri" w:cs="Calibri"/>
                <w:b/>
                <w:bCs/>
                <w:sz w:val="16"/>
                <w:szCs w:val="16"/>
                <w:lang w:eastAsia="en-AU"/>
              </w:rPr>
              <w:t>11,520</w:t>
            </w:r>
          </w:p>
        </w:tc>
        <w:tc>
          <w:tcPr>
            <w:tcW w:w="303" w:type="pct"/>
            <w:tcBorders>
              <w:top w:val="nil"/>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bottom"/>
          </w:tcPr>
          <w:p w14:paraId="74FB58D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400</w:t>
            </w:r>
          </w:p>
        </w:tc>
        <w:tc>
          <w:tcPr>
            <w:tcW w:w="272" w:type="pct"/>
            <w:tcBorders>
              <w:top w:val="nil"/>
              <w:left w:val="nil"/>
              <w:bottom w:val="single" w:sz="12" w:space="0" w:color="595959" w:themeColor="text1" w:themeTint="A6"/>
              <w:right w:val="single" w:sz="4" w:space="0" w:color="auto"/>
            </w:tcBorders>
            <w:shd w:val="clear" w:color="auto" w:fill="FFFFFF" w:themeFill="background1"/>
            <w:noWrap/>
            <w:vAlign w:val="bottom"/>
          </w:tcPr>
          <w:p w14:paraId="698BDAD0"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0.645</w:t>
            </w:r>
          </w:p>
        </w:tc>
        <w:tc>
          <w:tcPr>
            <w:tcW w:w="303" w:type="pct"/>
            <w:tcBorders>
              <w:top w:val="nil"/>
              <w:left w:val="nil"/>
              <w:bottom w:val="single" w:sz="12" w:space="0" w:color="595959" w:themeColor="text1" w:themeTint="A6"/>
              <w:right w:val="single" w:sz="4" w:space="0" w:color="auto"/>
            </w:tcBorders>
            <w:shd w:val="clear" w:color="auto" w:fill="FFFFFF" w:themeFill="background1"/>
            <w:noWrap/>
            <w:vAlign w:val="bottom"/>
          </w:tcPr>
          <w:p w14:paraId="35564C1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w:t>
            </w:r>
            <w:r>
              <w:rPr>
                <w:rFonts w:ascii="Calibri" w:hAnsi="Calibri" w:cs="Calibri"/>
                <w:color w:val="000000"/>
                <w:sz w:val="16"/>
                <w:szCs w:val="16"/>
              </w:rPr>
              <w:t>67</w:t>
            </w:r>
            <w:r w:rsidRPr="008F3945">
              <w:rPr>
                <w:rFonts w:ascii="Calibri" w:hAnsi="Calibri" w:cs="Calibri"/>
                <w:color w:val="000000"/>
                <w:sz w:val="16"/>
                <w:szCs w:val="16"/>
              </w:rPr>
              <w:t>1</w:t>
            </w:r>
          </w:p>
        </w:tc>
        <w:tc>
          <w:tcPr>
            <w:tcW w:w="270" w:type="pct"/>
            <w:tcBorders>
              <w:top w:val="nil"/>
              <w:left w:val="nil"/>
              <w:bottom w:val="single" w:sz="12" w:space="0" w:color="595959" w:themeColor="text1" w:themeTint="A6"/>
              <w:right w:val="single" w:sz="12" w:space="0" w:color="595959" w:themeColor="text1" w:themeTint="A6"/>
            </w:tcBorders>
            <w:shd w:val="clear" w:color="auto" w:fill="FFFFFF" w:themeFill="background1"/>
            <w:noWrap/>
            <w:vAlign w:val="bottom"/>
          </w:tcPr>
          <w:p w14:paraId="4AB19865"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1.716</w:t>
            </w:r>
          </w:p>
        </w:tc>
        <w:tc>
          <w:tcPr>
            <w:tcW w:w="271" w:type="pct"/>
            <w:tcBorders>
              <w:top w:val="nil"/>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bottom"/>
          </w:tcPr>
          <w:p w14:paraId="1A304192"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1.092</w:t>
            </w:r>
          </w:p>
        </w:tc>
        <w:tc>
          <w:tcPr>
            <w:tcW w:w="303" w:type="pct"/>
            <w:tcBorders>
              <w:top w:val="nil"/>
              <w:left w:val="nil"/>
              <w:bottom w:val="single" w:sz="12" w:space="0" w:color="595959" w:themeColor="text1" w:themeTint="A6"/>
              <w:right w:val="single" w:sz="4" w:space="0" w:color="auto"/>
            </w:tcBorders>
            <w:shd w:val="clear" w:color="auto" w:fill="FFFFFF" w:themeFill="background1"/>
            <w:noWrap/>
            <w:vAlign w:val="bottom"/>
          </w:tcPr>
          <w:p w14:paraId="4850409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0.671</w:t>
            </w:r>
          </w:p>
        </w:tc>
        <w:tc>
          <w:tcPr>
            <w:tcW w:w="270" w:type="pct"/>
            <w:tcBorders>
              <w:top w:val="nil"/>
              <w:left w:val="nil"/>
              <w:bottom w:val="single" w:sz="12" w:space="0" w:color="595959" w:themeColor="text1" w:themeTint="A6"/>
              <w:right w:val="single" w:sz="12" w:space="0" w:color="595959" w:themeColor="text1" w:themeTint="A6"/>
            </w:tcBorders>
            <w:shd w:val="clear" w:color="auto" w:fill="FFFFFF" w:themeFill="background1"/>
            <w:noWrap/>
            <w:vAlign w:val="bottom"/>
          </w:tcPr>
          <w:p w14:paraId="49CA2CA1"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1.763</w:t>
            </w:r>
          </w:p>
        </w:tc>
        <w:tc>
          <w:tcPr>
            <w:tcW w:w="271" w:type="pct"/>
            <w:tcBorders>
              <w:top w:val="nil"/>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bottom"/>
          </w:tcPr>
          <w:p w14:paraId="6C1F058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1.179</w:t>
            </w:r>
          </w:p>
        </w:tc>
        <w:tc>
          <w:tcPr>
            <w:tcW w:w="304" w:type="pct"/>
            <w:tcBorders>
              <w:top w:val="nil"/>
              <w:left w:val="nil"/>
              <w:bottom w:val="single" w:sz="12" w:space="0" w:color="595959" w:themeColor="text1" w:themeTint="A6"/>
              <w:right w:val="single" w:sz="4" w:space="0" w:color="auto"/>
            </w:tcBorders>
            <w:shd w:val="clear" w:color="auto" w:fill="FFFFFF" w:themeFill="background1"/>
            <w:noWrap/>
            <w:vAlign w:val="bottom"/>
          </w:tcPr>
          <w:p w14:paraId="7D244BE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0.671</w:t>
            </w:r>
          </w:p>
        </w:tc>
        <w:tc>
          <w:tcPr>
            <w:tcW w:w="270" w:type="pct"/>
            <w:tcBorders>
              <w:top w:val="nil"/>
              <w:left w:val="nil"/>
              <w:bottom w:val="single" w:sz="12" w:space="0" w:color="595959" w:themeColor="text1" w:themeTint="A6"/>
              <w:right w:val="single" w:sz="12" w:space="0" w:color="595959" w:themeColor="text1" w:themeTint="A6"/>
            </w:tcBorders>
            <w:shd w:val="clear" w:color="auto" w:fill="FFFFFF" w:themeFill="background1"/>
            <w:noWrap/>
            <w:vAlign w:val="bottom"/>
          </w:tcPr>
          <w:p w14:paraId="7481F0B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1.850</w:t>
            </w:r>
          </w:p>
        </w:tc>
        <w:tc>
          <w:tcPr>
            <w:tcW w:w="270" w:type="pct"/>
            <w:tcBorders>
              <w:top w:val="nil"/>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bottom"/>
          </w:tcPr>
          <w:p w14:paraId="37FC2459"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1.219</w:t>
            </w:r>
          </w:p>
        </w:tc>
        <w:tc>
          <w:tcPr>
            <w:tcW w:w="303" w:type="pct"/>
            <w:tcBorders>
              <w:top w:val="nil"/>
              <w:left w:val="nil"/>
              <w:bottom w:val="single" w:sz="12" w:space="0" w:color="595959" w:themeColor="text1" w:themeTint="A6"/>
              <w:right w:val="single" w:sz="4" w:space="0" w:color="auto"/>
            </w:tcBorders>
            <w:shd w:val="clear" w:color="auto" w:fill="FFFFFF" w:themeFill="background1"/>
            <w:noWrap/>
            <w:vAlign w:val="bottom"/>
          </w:tcPr>
          <w:p w14:paraId="5F0B470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0.671</w:t>
            </w:r>
          </w:p>
        </w:tc>
        <w:tc>
          <w:tcPr>
            <w:tcW w:w="272" w:type="pct"/>
            <w:tcBorders>
              <w:top w:val="nil"/>
              <w:left w:val="nil"/>
              <w:bottom w:val="single" w:sz="12" w:space="0" w:color="595959" w:themeColor="text1" w:themeTint="A6"/>
              <w:right w:val="single" w:sz="12" w:space="0" w:color="595959" w:themeColor="text1" w:themeTint="A6"/>
            </w:tcBorders>
            <w:shd w:val="clear" w:color="auto" w:fill="FFFFFF" w:themeFill="background1"/>
            <w:noWrap/>
            <w:vAlign w:val="bottom"/>
          </w:tcPr>
          <w:p w14:paraId="4EB058BE"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1.890</w:t>
            </w:r>
          </w:p>
        </w:tc>
        <w:tc>
          <w:tcPr>
            <w:tcW w:w="270" w:type="pct"/>
            <w:tcBorders>
              <w:top w:val="nil"/>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bottom"/>
          </w:tcPr>
          <w:p w14:paraId="5E494744"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1.219</w:t>
            </w:r>
          </w:p>
        </w:tc>
        <w:tc>
          <w:tcPr>
            <w:tcW w:w="303" w:type="pct"/>
            <w:tcBorders>
              <w:top w:val="nil"/>
              <w:left w:val="nil"/>
              <w:bottom w:val="single" w:sz="12" w:space="0" w:color="595959" w:themeColor="text1" w:themeTint="A6"/>
              <w:right w:val="single" w:sz="4" w:space="0" w:color="auto"/>
            </w:tcBorders>
            <w:shd w:val="clear" w:color="auto" w:fill="FFFFFF" w:themeFill="background1"/>
            <w:noWrap/>
            <w:vAlign w:val="bottom"/>
          </w:tcPr>
          <w:p w14:paraId="3C3FD82A"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0.671</w:t>
            </w:r>
          </w:p>
        </w:tc>
        <w:tc>
          <w:tcPr>
            <w:tcW w:w="305" w:type="pct"/>
            <w:tcBorders>
              <w:top w:val="nil"/>
              <w:left w:val="nil"/>
              <w:bottom w:val="single" w:sz="12" w:space="0" w:color="595959" w:themeColor="text1" w:themeTint="A6"/>
              <w:right w:val="single" w:sz="12" w:space="0" w:color="595959" w:themeColor="text1" w:themeTint="A6"/>
            </w:tcBorders>
            <w:shd w:val="clear" w:color="auto" w:fill="FFFFFF" w:themeFill="background1"/>
            <w:noWrap/>
            <w:vAlign w:val="bottom"/>
          </w:tcPr>
          <w:p w14:paraId="7854A2A3" w14:textId="77777777" w:rsidR="005E735D" w:rsidRPr="008F3945" w:rsidRDefault="005E735D" w:rsidP="005E735D">
            <w:pPr>
              <w:spacing w:beforeLines="20" w:before="48" w:afterLines="20" w:after="48"/>
              <w:jc w:val="right"/>
              <w:rPr>
                <w:rFonts w:ascii="Calibri" w:hAnsi="Calibri" w:cs="Calibri"/>
                <w:color w:val="000000"/>
                <w:sz w:val="16"/>
                <w:szCs w:val="16"/>
              </w:rPr>
            </w:pPr>
            <w:r w:rsidRPr="008F3945">
              <w:rPr>
                <w:rFonts w:ascii="Calibri" w:hAnsi="Calibri" w:cs="Calibri"/>
                <w:color w:val="000000"/>
                <w:sz w:val="16"/>
                <w:szCs w:val="16"/>
              </w:rPr>
              <w:t>1.890</w:t>
            </w:r>
          </w:p>
        </w:tc>
      </w:tr>
      <w:tr w:rsidR="005E735D" w:rsidRPr="008F3945" w14:paraId="0F16C22F" w14:textId="77777777" w:rsidTr="005E735D">
        <w:trPr>
          <w:trHeight w:val="267"/>
        </w:trPr>
        <w:tc>
          <w:tcPr>
            <w:tcW w:w="203" w:type="pct"/>
            <w:tcBorders>
              <w:top w:val="nil"/>
              <w:left w:val="nil"/>
              <w:bottom w:val="nil"/>
              <w:right w:val="nil"/>
            </w:tcBorders>
            <w:shd w:val="clear" w:color="auto" w:fill="auto"/>
            <w:noWrap/>
            <w:vAlign w:val="center"/>
            <w:hideMark/>
          </w:tcPr>
          <w:p w14:paraId="5B40F669" w14:textId="77777777" w:rsidR="005E735D" w:rsidRPr="008F3945" w:rsidRDefault="005E735D" w:rsidP="005E735D">
            <w:pPr>
              <w:spacing w:beforeLines="20" w:before="48" w:afterLines="20" w:after="48" w:line="240" w:lineRule="auto"/>
              <w:jc w:val="center"/>
              <w:rPr>
                <w:rFonts w:ascii="Calibri" w:eastAsia="Times New Roman" w:hAnsi="Calibri" w:cs="Calibri"/>
                <w:color w:val="000000"/>
                <w:sz w:val="16"/>
                <w:szCs w:val="16"/>
                <w:lang w:eastAsia="en-AU"/>
              </w:rPr>
            </w:pPr>
          </w:p>
        </w:tc>
        <w:tc>
          <w:tcPr>
            <w:tcW w:w="237" w:type="pct"/>
            <w:tcBorders>
              <w:top w:val="nil"/>
              <w:left w:val="nil"/>
              <w:bottom w:val="nil"/>
              <w:right w:val="single" w:sz="12" w:space="0" w:color="595959" w:themeColor="text1" w:themeTint="A6"/>
            </w:tcBorders>
            <w:shd w:val="clear" w:color="auto" w:fill="auto"/>
            <w:noWrap/>
            <w:vAlign w:val="center"/>
            <w:hideMark/>
          </w:tcPr>
          <w:p w14:paraId="663A0417" w14:textId="77777777" w:rsidR="005E735D" w:rsidRPr="008F3945" w:rsidRDefault="005E735D" w:rsidP="005E735D">
            <w:pPr>
              <w:spacing w:beforeLines="20" w:before="48" w:afterLines="20" w:after="48" w:line="240" w:lineRule="auto"/>
              <w:jc w:val="center"/>
              <w:rPr>
                <w:rFonts w:ascii="Times New Roman" w:eastAsia="Times New Roman" w:hAnsi="Times New Roman" w:cs="Times New Roman"/>
                <w:sz w:val="16"/>
                <w:szCs w:val="16"/>
                <w:lang w:eastAsia="en-AU"/>
              </w:rPr>
            </w:pPr>
          </w:p>
        </w:tc>
        <w:tc>
          <w:tcPr>
            <w:tcW w:w="303"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bottom"/>
          </w:tcPr>
          <w:p w14:paraId="5ABBE06A"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10.623</w:t>
            </w:r>
          </w:p>
        </w:tc>
        <w:tc>
          <w:tcPr>
            <w:tcW w:w="272" w:type="pct"/>
            <w:tcBorders>
              <w:top w:val="single" w:sz="12" w:space="0" w:color="595959" w:themeColor="text1" w:themeTint="A6"/>
              <w:left w:val="single" w:sz="4" w:space="0" w:color="auto"/>
              <w:bottom w:val="single" w:sz="12" w:space="0" w:color="595959" w:themeColor="text1" w:themeTint="A6"/>
              <w:right w:val="single" w:sz="4" w:space="0" w:color="auto"/>
            </w:tcBorders>
            <w:shd w:val="clear" w:color="auto" w:fill="FFFFFF" w:themeFill="background1"/>
            <w:noWrap/>
            <w:vAlign w:val="bottom"/>
          </w:tcPr>
          <w:p w14:paraId="749D1839"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45.546</w:t>
            </w:r>
          </w:p>
        </w:tc>
        <w:tc>
          <w:tcPr>
            <w:tcW w:w="303" w:type="pct"/>
            <w:tcBorders>
              <w:top w:val="single" w:sz="12" w:space="0" w:color="595959" w:themeColor="text1" w:themeTint="A6"/>
              <w:left w:val="single" w:sz="4" w:space="0" w:color="auto"/>
              <w:bottom w:val="single" w:sz="12" w:space="0" w:color="595959" w:themeColor="text1" w:themeTint="A6"/>
              <w:right w:val="single" w:sz="4" w:space="0" w:color="auto"/>
            </w:tcBorders>
            <w:shd w:val="clear" w:color="auto" w:fill="FFFFFF" w:themeFill="background1"/>
            <w:noWrap/>
            <w:vAlign w:val="bottom"/>
          </w:tcPr>
          <w:p w14:paraId="49B73B1E"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24.079</w:t>
            </w:r>
          </w:p>
        </w:tc>
        <w:tc>
          <w:tcPr>
            <w:tcW w:w="270" w:type="pct"/>
            <w:tcBorders>
              <w:top w:val="single" w:sz="12" w:space="0" w:color="595959" w:themeColor="text1" w:themeTint="A6"/>
              <w:left w:val="single" w:sz="4" w:space="0" w:color="auto"/>
              <w:bottom w:val="single" w:sz="12" w:space="0" w:color="595959" w:themeColor="text1" w:themeTint="A6"/>
              <w:right w:val="single" w:sz="12" w:space="0" w:color="595959" w:themeColor="text1" w:themeTint="A6"/>
            </w:tcBorders>
            <w:shd w:val="clear" w:color="auto" w:fill="FFFFFF" w:themeFill="background1"/>
            <w:noWrap/>
            <w:vAlign w:val="bottom"/>
          </w:tcPr>
          <w:p w14:paraId="1563C3D8"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80.248</w:t>
            </w:r>
          </w:p>
        </w:tc>
        <w:tc>
          <w:tcPr>
            <w:tcW w:w="271"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bottom"/>
          </w:tcPr>
          <w:p w14:paraId="2F5CF60F"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77.134</w:t>
            </w:r>
          </w:p>
        </w:tc>
        <w:tc>
          <w:tcPr>
            <w:tcW w:w="303" w:type="pct"/>
            <w:tcBorders>
              <w:top w:val="single" w:sz="12" w:space="0" w:color="595959" w:themeColor="text1" w:themeTint="A6"/>
              <w:left w:val="single" w:sz="4" w:space="0" w:color="auto"/>
              <w:bottom w:val="single" w:sz="12" w:space="0" w:color="595959" w:themeColor="text1" w:themeTint="A6"/>
              <w:right w:val="single" w:sz="4" w:space="0" w:color="auto"/>
            </w:tcBorders>
            <w:shd w:val="clear" w:color="auto" w:fill="FFFFFF" w:themeFill="background1"/>
            <w:noWrap/>
            <w:vAlign w:val="bottom"/>
          </w:tcPr>
          <w:p w14:paraId="1C5866F5"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20.079</w:t>
            </w:r>
          </w:p>
        </w:tc>
        <w:tc>
          <w:tcPr>
            <w:tcW w:w="270" w:type="pct"/>
            <w:tcBorders>
              <w:top w:val="single" w:sz="12" w:space="0" w:color="595959" w:themeColor="text1" w:themeTint="A6"/>
              <w:left w:val="single" w:sz="4" w:space="0" w:color="auto"/>
              <w:bottom w:val="single" w:sz="12" w:space="0" w:color="595959" w:themeColor="text1" w:themeTint="A6"/>
              <w:right w:val="single" w:sz="12" w:space="0" w:color="595959" w:themeColor="text1" w:themeTint="A6"/>
            </w:tcBorders>
            <w:shd w:val="clear" w:color="auto" w:fill="FFFFFF" w:themeFill="background1"/>
            <w:noWrap/>
            <w:vAlign w:val="bottom"/>
          </w:tcPr>
          <w:p w14:paraId="06727FC0"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97.213</w:t>
            </w:r>
          </w:p>
        </w:tc>
        <w:tc>
          <w:tcPr>
            <w:tcW w:w="271"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bottom"/>
          </w:tcPr>
          <w:p w14:paraId="719BABCF"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83.289</w:t>
            </w:r>
          </w:p>
        </w:tc>
        <w:tc>
          <w:tcPr>
            <w:tcW w:w="304" w:type="pct"/>
            <w:tcBorders>
              <w:top w:val="single" w:sz="12" w:space="0" w:color="595959" w:themeColor="text1" w:themeTint="A6"/>
              <w:left w:val="single" w:sz="4" w:space="0" w:color="auto"/>
              <w:bottom w:val="single" w:sz="12" w:space="0" w:color="595959" w:themeColor="text1" w:themeTint="A6"/>
              <w:right w:val="single" w:sz="4" w:space="0" w:color="auto"/>
            </w:tcBorders>
            <w:shd w:val="clear" w:color="auto" w:fill="FFFFFF" w:themeFill="background1"/>
            <w:noWrap/>
            <w:vAlign w:val="bottom"/>
          </w:tcPr>
          <w:p w14:paraId="7C1B13D7"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20.079</w:t>
            </w:r>
          </w:p>
        </w:tc>
        <w:tc>
          <w:tcPr>
            <w:tcW w:w="270" w:type="pct"/>
            <w:tcBorders>
              <w:top w:val="single" w:sz="12" w:space="0" w:color="595959" w:themeColor="text1" w:themeTint="A6"/>
              <w:left w:val="single" w:sz="4" w:space="0" w:color="auto"/>
              <w:bottom w:val="single" w:sz="12" w:space="0" w:color="595959" w:themeColor="text1" w:themeTint="A6"/>
              <w:right w:val="single" w:sz="12" w:space="0" w:color="595959" w:themeColor="text1" w:themeTint="A6"/>
            </w:tcBorders>
            <w:shd w:val="clear" w:color="auto" w:fill="FFFFFF" w:themeFill="background1"/>
            <w:noWrap/>
            <w:vAlign w:val="bottom"/>
          </w:tcPr>
          <w:p w14:paraId="35D511D2"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103.368</w:t>
            </w:r>
          </w:p>
        </w:tc>
        <w:tc>
          <w:tcPr>
            <w:tcW w:w="270"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bottom"/>
          </w:tcPr>
          <w:p w14:paraId="4A1982B9"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86.146</w:t>
            </w:r>
          </w:p>
        </w:tc>
        <w:tc>
          <w:tcPr>
            <w:tcW w:w="303" w:type="pct"/>
            <w:tcBorders>
              <w:top w:val="single" w:sz="12" w:space="0" w:color="595959" w:themeColor="text1" w:themeTint="A6"/>
              <w:left w:val="single" w:sz="4" w:space="0" w:color="auto"/>
              <w:bottom w:val="single" w:sz="12" w:space="0" w:color="595959" w:themeColor="text1" w:themeTint="A6"/>
              <w:right w:val="single" w:sz="4" w:space="0" w:color="auto"/>
            </w:tcBorders>
            <w:shd w:val="clear" w:color="auto" w:fill="FFFFFF" w:themeFill="background1"/>
            <w:noWrap/>
            <w:vAlign w:val="bottom"/>
          </w:tcPr>
          <w:p w14:paraId="4FB8E074"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20.079</w:t>
            </w:r>
          </w:p>
        </w:tc>
        <w:tc>
          <w:tcPr>
            <w:tcW w:w="272" w:type="pct"/>
            <w:tcBorders>
              <w:top w:val="single" w:sz="12" w:space="0" w:color="595959" w:themeColor="text1" w:themeTint="A6"/>
              <w:left w:val="single" w:sz="4" w:space="0" w:color="auto"/>
              <w:bottom w:val="single" w:sz="12" w:space="0" w:color="595959" w:themeColor="text1" w:themeTint="A6"/>
              <w:right w:val="single" w:sz="12" w:space="0" w:color="595959" w:themeColor="text1" w:themeTint="A6"/>
            </w:tcBorders>
            <w:shd w:val="clear" w:color="auto" w:fill="FFFFFF" w:themeFill="background1"/>
            <w:noWrap/>
            <w:vAlign w:val="bottom"/>
          </w:tcPr>
          <w:p w14:paraId="0287958A"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106.226</w:t>
            </w:r>
          </w:p>
        </w:tc>
        <w:tc>
          <w:tcPr>
            <w:tcW w:w="270" w:type="pct"/>
            <w:tcBorders>
              <w:top w:val="single" w:sz="12" w:space="0" w:color="595959" w:themeColor="text1" w:themeTint="A6"/>
              <w:left w:val="single" w:sz="12" w:space="0" w:color="595959" w:themeColor="text1" w:themeTint="A6"/>
              <w:bottom w:val="single" w:sz="12" w:space="0" w:color="595959" w:themeColor="text1" w:themeTint="A6"/>
              <w:right w:val="single" w:sz="4" w:space="0" w:color="auto"/>
            </w:tcBorders>
            <w:shd w:val="clear" w:color="auto" w:fill="FFFFFF" w:themeFill="background1"/>
            <w:noWrap/>
            <w:vAlign w:val="bottom"/>
          </w:tcPr>
          <w:p w14:paraId="268088FB"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86.146</w:t>
            </w:r>
          </w:p>
        </w:tc>
        <w:tc>
          <w:tcPr>
            <w:tcW w:w="303" w:type="pct"/>
            <w:tcBorders>
              <w:top w:val="single" w:sz="12" w:space="0" w:color="595959" w:themeColor="text1" w:themeTint="A6"/>
              <w:left w:val="single" w:sz="4" w:space="0" w:color="auto"/>
              <w:bottom w:val="single" w:sz="12" w:space="0" w:color="595959" w:themeColor="text1" w:themeTint="A6"/>
              <w:right w:val="single" w:sz="4" w:space="0" w:color="auto"/>
            </w:tcBorders>
            <w:shd w:val="clear" w:color="auto" w:fill="FFFFFF" w:themeFill="background1"/>
            <w:noWrap/>
            <w:vAlign w:val="bottom"/>
          </w:tcPr>
          <w:p w14:paraId="2C13C15B"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20.079</w:t>
            </w:r>
          </w:p>
        </w:tc>
        <w:tc>
          <w:tcPr>
            <w:tcW w:w="305" w:type="pct"/>
            <w:tcBorders>
              <w:top w:val="single" w:sz="12" w:space="0" w:color="595959" w:themeColor="text1" w:themeTint="A6"/>
              <w:left w:val="single" w:sz="4" w:space="0" w:color="auto"/>
              <w:bottom w:val="single" w:sz="12" w:space="0" w:color="595959" w:themeColor="text1" w:themeTint="A6"/>
              <w:right w:val="single" w:sz="12" w:space="0" w:color="595959" w:themeColor="text1" w:themeTint="A6"/>
            </w:tcBorders>
            <w:shd w:val="clear" w:color="auto" w:fill="FFFFFF" w:themeFill="background1"/>
            <w:noWrap/>
            <w:vAlign w:val="bottom"/>
          </w:tcPr>
          <w:p w14:paraId="0CED8512" w14:textId="77777777" w:rsidR="005E735D" w:rsidRPr="008F3945" w:rsidRDefault="005E735D" w:rsidP="005E735D">
            <w:pPr>
              <w:spacing w:beforeLines="20" w:before="48" w:afterLines="20" w:after="48"/>
              <w:jc w:val="right"/>
              <w:rPr>
                <w:rFonts w:ascii="Calibri" w:hAnsi="Calibri" w:cs="Calibri"/>
                <w:b/>
                <w:bCs/>
                <w:sz w:val="16"/>
                <w:szCs w:val="16"/>
              </w:rPr>
            </w:pPr>
            <w:r w:rsidRPr="008F3945">
              <w:rPr>
                <w:rFonts w:ascii="Calibri" w:hAnsi="Calibri" w:cs="Calibri"/>
                <w:b/>
                <w:bCs/>
                <w:sz w:val="16"/>
                <w:szCs w:val="16"/>
              </w:rPr>
              <w:t>106.226</w:t>
            </w:r>
          </w:p>
        </w:tc>
      </w:tr>
    </w:tbl>
    <w:p w14:paraId="62BCEDD4" w14:textId="77777777" w:rsidR="00823597" w:rsidRDefault="00823597" w:rsidP="00FE4A1C">
      <w:pPr>
        <w:spacing w:before="0" w:after="0"/>
        <w:ind w:left="91"/>
        <w:rPr>
          <w:sz w:val="16"/>
          <w:lang w:val="en-US"/>
        </w:rPr>
      </w:pPr>
      <w:r w:rsidRPr="00B47570">
        <w:rPr>
          <w:sz w:val="16"/>
          <w:lang w:val="en-US"/>
        </w:rPr>
        <w:t>*</w:t>
      </w:r>
      <w:r w:rsidR="00424FC8">
        <w:rPr>
          <w:sz w:val="16"/>
          <w:lang w:val="en-US"/>
        </w:rPr>
        <w:t xml:space="preserve"> The carer population data is </w:t>
      </w:r>
      <w:r w:rsidR="00FE4A1C">
        <w:rPr>
          <w:sz w:val="16"/>
          <w:lang w:val="en-US"/>
        </w:rPr>
        <w:t xml:space="preserve">based on </w:t>
      </w:r>
      <w:r w:rsidR="00424FC8">
        <w:rPr>
          <w:sz w:val="16"/>
          <w:lang w:val="en-US"/>
        </w:rPr>
        <w:t xml:space="preserve">the </w:t>
      </w:r>
      <w:r w:rsidR="00732515">
        <w:rPr>
          <w:sz w:val="16"/>
          <w:lang w:val="en-US"/>
        </w:rPr>
        <w:t>Australian Bureau of Statistics</w:t>
      </w:r>
      <w:r w:rsidR="00D93189">
        <w:rPr>
          <w:sz w:val="16"/>
          <w:lang w:val="en-US"/>
        </w:rPr>
        <w:t>,</w:t>
      </w:r>
      <w:r w:rsidR="00732515">
        <w:rPr>
          <w:sz w:val="16"/>
          <w:lang w:val="en-US"/>
        </w:rPr>
        <w:t xml:space="preserve"> Survey Disability Ageing and Carers data</w:t>
      </w:r>
      <w:r w:rsidR="00D93189">
        <w:rPr>
          <w:sz w:val="16"/>
          <w:lang w:val="en-US"/>
        </w:rPr>
        <w:t xml:space="preserve"> 2015</w:t>
      </w:r>
      <w:r w:rsidR="00732515">
        <w:rPr>
          <w:sz w:val="16"/>
          <w:lang w:val="en-US"/>
        </w:rPr>
        <w:t>.</w:t>
      </w:r>
    </w:p>
    <w:p w14:paraId="04FCBFE0" w14:textId="77777777" w:rsidR="00FE4A1C" w:rsidRDefault="00FE4A1C" w:rsidP="00FE4A1C">
      <w:pPr>
        <w:spacing w:before="0" w:after="0"/>
        <w:ind w:left="91"/>
        <w:rPr>
          <w:sz w:val="16"/>
          <w:lang w:val="en-US"/>
        </w:rPr>
      </w:pPr>
      <w:r>
        <w:rPr>
          <w:sz w:val="16"/>
          <w:lang w:val="en-US"/>
        </w:rPr>
        <w:t>** Establishment funding represents the maximum amount of funding available to establish the RDP service areas</w:t>
      </w:r>
    </w:p>
    <w:p w14:paraId="6F59B064" w14:textId="24BA3C8B" w:rsidR="00FE4A1C" w:rsidRDefault="00FE4A1C" w:rsidP="00FE4A1C">
      <w:pPr>
        <w:spacing w:before="0" w:after="0"/>
        <w:ind w:left="91"/>
        <w:rPr>
          <w:sz w:val="16"/>
          <w:lang w:val="en-US"/>
        </w:rPr>
      </w:pPr>
      <w:r>
        <w:rPr>
          <w:sz w:val="16"/>
          <w:lang w:val="en-US"/>
        </w:rPr>
        <w:t>*** Admin</w:t>
      </w:r>
      <w:r w:rsidR="008F3945">
        <w:rPr>
          <w:sz w:val="16"/>
          <w:lang w:val="en-US"/>
        </w:rPr>
        <w:t>istration</w:t>
      </w:r>
      <w:r>
        <w:rPr>
          <w:sz w:val="16"/>
          <w:lang w:val="en-US"/>
        </w:rPr>
        <w:t xml:space="preserve"> funding represents the maximum amount of funding available to be used on the administrative cost of the RDP</w:t>
      </w:r>
    </w:p>
    <w:p w14:paraId="17B16283" w14:textId="25479899" w:rsidR="00756AF0" w:rsidRDefault="00756AF0" w:rsidP="00FE4A1C">
      <w:pPr>
        <w:spacing w:before="0" w:after="0"/>
        <w:ind w:left="91"/>
        <w:rPr>
          <w:sz w:val="16"/>
          <w:lang w:val="en-US"/>
        </w:rPr>
      </w:pPr>
      <w:r>
        <w:rPr>
          <w:sz w:val="16"/>
          <w:lang w:val="en-US"/>
        </w:rPr>
        <w:t>Note – the figures in the above table have been rounded and therefore minor rounding errors may be present.</w:t>
      </w:r>
    </w:p>
    <w:p w14:paraId="5ED0D91F" w14:textId="77777777" w:rsidR="00266D76" w:rsidRDefault="00823597" w:rsidP="00BB212F">
      <w:r w:rsidRPr="0008683F">
        <w:rPr>
          <w:b/>
        </w:rPr>
        <w:t>Note:</w:t>
      </w:r>
      <w:r w:rsidRPr="0008683F">
        <w:t xml:space="preserve"> </w:t>
      </w:r>
      <w:r w:rsidR="00B922D0">
        <w:t>A</w:t>
      </w:r>
      <w:r w:rsidRPr="0008683F">
        <w:t xml:space="preserve">pplicants </w:t>
      </w:r>
      <w:r w:rsidR="00550F1C">
        <w:t>are required to</w:t>
      </w:r>
      <w:r w:rsidR="00550F1C" w:rsidRPr="0008683F">
        <w:t xml:space="preserve"> </w:t>
      </w:r>
      <w:r w:rsidRPr="0008683F">
        <w:t xml:space="preserve">identify </w:t>
      </w:r>
      <w:r w:rsidR="00FE4A1C">
        <w:t xml:space="preserve">any current </w:t>
      </w:r>
      <w:r w:rsidRPr="0008683F">
        <w:t xml:space="preserve">additional sources of funds (non-Commonwealth government funds) </w:t>
      </w:r>
      <w:r w:rsidR="00FE4A1C">
        <w:t xml:space="preserve">which will be used </w:t>
      </w:r>
      <w:r w:rsidRPr="0008683F">
        <w:t xml:space="preserve">to support the cost of providing the Grant Activities in their </w:t>
      </w:r>
      <w:r w:rsidR="006F0218">
        <w:t>s</w:t>
      </w:r>
      <w:r w:rsidRPr="0008683F">
        <w:t xml:space="preserve">ervice </w:t>
      </w:r>
      <w:r w:rsidR="006F0218">
        <w:t>a</w:t>
      </w:r>
      <w:r w:rsidRPr="0008683F">
        <w:t>rea/s</w:t>
      </w:r>
      <w:r w:rsidR="008408D3">
        <w:t xml:space="preserve"> (if any)</w:t>
      </w:r>
      <w:r w:rsidRPr="0008683F">
        <w:t>.</w:t>
      </w:r>
    </w:p>
    <w:p w14:paraId="0D267094" w14:textId="7BD75629" w:rsidR="00BE7603" w:rsidRPr="00BE7603" w:rsidRDefault="00BE7603" w:rsidP="00861E29">
      <w:pPr>
        <w:pStyle w:val="TableText"/>
        <w:spacing w:before="240"/>
        <w:rPr>
          <w:rFonts w:cstheme="minorHAnsi"/>
          <w:sz w:val="22"/>
        </w:rPr>
      </w:pPr>
      <w:r w:rsidRPr="00BE7603">
        <w:rPr>
          <w:b/>
          <w:sz w:val="22"/>
        </w:rPr>
        <w:t>Note</w:t>
      </w:r>
      <w:r w:rsidRPr="00BE7603">
        <w:rPr>
          <w:sz w:val="22"/>
        </w:rPr>
        <w:t>:</w:t>
      </w:r>
      <w:r w:rsidR="00E72FD5">
        <w:rPr>
          <w:sz w:val="22"/>
        </w:rPr>
        <w:t xml:space="preserve"> </w:t>
      </w:r>
      <w:r w:rsidRPr="00BE7603">
        <w:rPr>
          <w:sz w:val="22"/>
        </w:rPr>
        <w:t>As part of assessment criteri</w:t>
      </w:r>
      <w:r w:rsidR="00A808A0">
        <w:rPr>
          <w:sz w:val="22"/>
        </w:rPr>
        <w:t>on</w:t>
      </w:r>
      <w:r w:rsidRPr="00BE7603">
        <w:rPr>
          <w:sz w:val="22"/>
        </w:rPr>
        <w:t xml:space="preserve"> 2 (section 6), applicants must</w:t>
      </w:r>
      <w:r w:rsidRPr="00BE7603">
        <w:t xml:space="preserve"> </w:t>
      </w:r>
      <w:r w:rsidRPr="00BE7603">
        <w:rPr>
          <w:rFonts w:cstheme="minorHAnsi"/>
          <w:sz w:val="22"/>
        </w:rPr>
        <w:t>outline the number of activities (defined as service units) you are proposing to deliver, and the total operating costs required to support the service area.</w:t>
      </w:r>
      <w:r w:rsidR="00E72FD5">
        <w:rPr>
          <w:rFonts w:cstheme="minorHAnsi"/>
          <w:sz w:val="22"/>
        </w:rPr>
        <w:t xml:space="preserve"> </w:t>
      </w:r>
      <w:r w:rsidRPr="00BE7603">
        <w:rPr>
          <w:rFonts w:cstheme="minorHAnsi"/>
          <w:sz w:val="22"/>
        </w:rPr>
        <w:t xml:space="preserve">A Business Model template is provided </w:t>
      </w:r>
      <w:r w:rsidR="00695AEE">
        <w:rPr>
          <w:rFonts w:cstheme="minorHAnsi"/>
          <w:sz w:val="22"/>
        </w:rPr>
        <w:t>for your use with the grant opportunity documents on GrantConnect and Community Grants Hub websites.</w:t>
      </w:r>
      <w:r w:rsidR="00E72FD5">
        <w:rPr>
          <w:rFonts w:cstheme="minorHAnsi"/>
          <w:sz w:val="22"/>
        </w:rPr>
        <w:t xml:space="preserve"> </w:t>
      </w:r>
      <w:r w:rsidRPr="00BE7603">
        <w:rPr>
          <w:rFonts w:cstheme="minorHAnsi"/>
          <w:sz w:val="22"/>
        </w:rPr>
        <w:t xml:space="preserve">It contains a number of service assumptions for the </w:t>
      </w:r>
      <w:r w:rsidR="00756AF0">
        <w:rPr>
          <w:rFonts w:cstheme="minorHAnsi"/>
          <w:sz w:val="22"/>
        </w:rPr>
        <w:t xml:space="preserve">six </w:t>
      </w:r>
      <w:r w:rsidRPr="00BE7603">
        <w:rPr>
          <w:rFonts w:cstheme="minorHAnsi"/>
          <w:sz w:val="22"/>
        </w:rPr>
        <w:t>services to be delivered by the RDPs and allows you to estimate the number of activities (service units) to be undertaken across each of the ICSS services.</w:t>
      </w:r>
    </w:p>
    <w:p w14:paraId="16B989FA" w14:textId="63504533" w:rsidR="00266D76" w:rsidRDefault="00BE7603" w:rsidP="00AB4757">
      <w:pPr>
        <w:pStyle w:val="TableText"/>
        <w:spacing w:before="240"/>
      </w:pPr>
      <w:r w:rsidRPr="00BE7603">
        <w:rPr>
          <w:rFonts w:cstheme="minorHAnsi"/>
          <w:sz w:val="22"/>
        </w:rPr>
        <w:t xml:space="preserve">An Establishment Plan must also be provided as part of assessment </w:t>
      </w:r>
      <w:r w:rsidR="00F721A5" w:rsidRPr="00BE7603">
        <w:rPr>
          <w:rFonts w:cstheme="minorHAnsi"/>
          <w:sz w:val="22"/>
        </w:rPr>
        <w:t>criteri</w:t>
      </w:r>
      <w:r w:rsidR="00F721A5">
        <w:rPr>
          <w:rFonts w:cstheme="minorHAnsi"/>
          <w:sz w:val="22"/>
        </w:rPr>
        <w:t>on</w:t>
      </w:r>
      <w:r w:rsidR="00F721A5" w:rsidRPr="00BE7603">
        <w:rPr>
          <w:rFonts w:cstheme="minorHAnsi"/>
          <w:sz w:val="22"/>
        </w:rPr>
        <w:t xml:space="preserve"> </w:t>
      </w:r>
      <w:r w:rsidRPr="00BE7603">
        <w:rPr>
          <w:rFonts w:cstheme="minorHAnsi"/>
          <w:sz w:val="22"/>
        </w:rPr>
        <w:t>2 (section 6).</w:t>
      </w:r>
      <w:r w:rsidR="00E72FD5">
        <w:rPr>
          <w:rFonts w:cstheme="minorHAnsi"/>
          <w:sz w:val="22"/>
        </w:rPr>
        <w:t xml:space="preserve"> </w:t>
      </w:r>
      <w:r w:rsidRPr="00BE7603">
        <w:rPr>
          <w:rFonts w:cstheme="minorHAnsi"/>
          <w:sz w:val="22"/>
        </w:rPr>
        <w:t xml:space="preserve">A template is provided </w:t>
      </w:r>
      <w:r w:rsidR="00B15F07">
        <w:rPr>
          <w:rFonts w:cstheme="minorHAnsi"/>
          <w:sz w:val="22"/>
        </w:rPr>
        <w:t>for your use with the grant opportunity documents on GrantConnect and Community Grants Hub websites.</w:t>
      </w:r>
      <w:r w:rsidR="00E72FD5">
        <w:rPr>
          <w:rFonts w:cstheme="minorHAnsi"/>
          <w:sz w:val="22"/>
        </w:rPr>
        <w:t xml:space="preserve"> </w:t>
      </w:r>
      <w:r w:rsidR="00266D76">
        <w:br w:type="page"/>
      </w:r>
    </w:p>
    <w:p w14:paraId="66EEF5BD" w14:textId="77777777" w:rsidR="00266D76" w:rsidRDefault="00266D76" w:rsidP="00BB212F">
      <w:pPr>
        <w:sectPr w:rsidR="00266D76" w:rsidSect="00D20C44">
          <w:pgSz w:w="23811" w:h="16838" w:orient="landscape" w:code="8"/>
          <w:pgMar w:top="1440" w:right="1170" w:bottom="1440" w:left="1440" w:header="284" w:footer="284" w:gutter="0"/>
          <w:cols w:space="601"/>
          <w:docGrid w:linePitch="360"/>
        </w:sectPr>
      </w:pPr>
    </w:p>
    <w:p w14:paraId="78563D28" w14:textId="77777777" w:rsidR="00340616" w:rsidRPr="00B72EE8" w:rsidRDefault="00340616" w:rsidP="00DF6374">
      <w:pPr>
        <w:pStyle w:val="Heading1Numbered"/>
      </w:pPr>
      <w:bookmarkStart w:id="18" w:name="_Toc421777594"/>
      <w:bookmarkStart w:id="19" w:name="_Ref428266971"/>
      <w:bookmarkStart w:id="20" w:name="_Toc467773955"/>
      <w:bookmarkStart w:id="21" w:name="_Toc530058180"/>
      <w:r>
        <w:t>Grant e</w:t>
      </w:r>
      <w:r w:rsidRPr="00B72EE8">
        <w:t>ligibility</w:t>
      </w:r>
      <w:bookmarkEnd w:id="18"/>
      <w:bookmarkEnd w:id="19"/>
      <w:r>
        <w:t xml:space="preserve"> cr</w:t>
      </w:r>
      <w:r w:rsidRPr="00B72EE8">
        <w:t>iteria</w:t>
      </w:r>
      <w:bookmarkEnd w:id="20"/>
      <w:bookmarkEnd w:id="21"/>
      <w:r>
        <w:t xml:space="preserve"> </w:t>
      </w:r>
    </w:p>
    <w:p w14:paraId="1F751E25" w14:textId="77777777" w:rsidR="00941F19" w:rsidRDefault="00941F19" w:rsidP="00941F19">
      <w:bookmarkStart w:id="22" w:name="_Ref414285977"/>
      <w:r w:rsidRPr="00BD6D48">
        <w:t>We cannot consider your application if it does not satisfy all the eligibility criteria.</w:t>
      </w:r>
    </w:p>
    <w:p w14:paraId="6B123998" w14:textId="77777777" w:rsidR="00E63FB6" w:rsidRDefault="005660B6" w:rsidP="00E63FB6">
      <w:pPr>
        <w:pStyle w:val="Heading2Numbered"/>
        <w:numPr>
          <w:ilvl w:val="0"/>
          <w:numId w:val="0"/>
        </w:numPr>
      </w:pPr>
      <w:bookmarkStart w:id="23" w:name="_Toc530058181"/>
      <w:r>
        <w:t>3.1</w:t>
      </w:r>
      <w:r>
        <w:tab/>
      </w:r>
      <w:r w:rsidRPr="005660B6">
        <w:t>Who is eligible to apply for a grant?</w:t>
      </w:r>
      <w:bookmarkStart w:id="24" w:name="_Toc467773958"/>
      <w:bookmarkEnd w:id="22"/>
      <w:bookmarkEnd w:id="23"/>
    </w:p>
    <w:p w14:paraId="3538795A" w14:textId="77777777" w:rsidR="004218F6" w:rsidRPr="00295521" w:rsidRDefault="004218F6" w:rsidP="00E63FB6">
      <w:pPr>
        <w:spacing w:after="120"/>
        <w:rPr>
          <w:sz w:val="30"/>
          <w:szCs w:val="30"/>
        </w:rPr>
      </w:pPr>
      <w:r w:rsidRPr="00295521">
        <w:rPr>
          <w:sz w:val="30"/>
          <w:szCs w:val="30"/>
        </w:rPr>
        <w:t>3.1.1 Legal Entities</w:t>
      </w:r>
    </w:p>
    <w:p w14:paraId="1A5CC3E6" w14:textId="75C0C3C5" w:rsidR="00E63FB6" w:rsidRPr="000955F5" w:rsidRDefault="00E63FB6" w:rsidP="00295521">
      <w:pPr>
        <w:spacing w:after="120"/>
        <w:rPr>
          <w:rFonts w:cstheme="minorHAnsi"/>
        </w:rPr>
      </w:pPr>
      <w:r w:rsidRPr="00C33224">
        <w:t xml:space="preserve">To be eligible </w:t>
      </w:r>
      <w:r>
        <w:t xml:space="preserve">for this </w:t>
      </w:r>
      <w:r w:rsidR="00A6214D">
        <w:t>Grant O</w:t>
      </w:r>
      <w:r>
        <w:t xml:space="preserve">pportunity </w:t>
      </w:r>
      <w:r w:rsidRPr="00C33224">
        <w:t>you must</w:t>
      </w:r>
      <w:r w:rsidR="000955F5">
        <w:t xml:space="preserve"> be one of the following entity types</w:t>
      </w:r>
      <w:r w:rsidR="00CF276C">
        <w:t>:</w:t>
      </w:r>
      <w:r w:rsidR="00E72FD5">
        <w:t xml:space="preserve"> </w:t>
      </w:r>
    </w:p>
    <w:p w14:paraId="73D4052D" w14:textId="77777777" w:rsidR="00E63FB6" w:rsidRPr="00DB614C" w:rsidRDefault="00E63FB6" w:rsidP="00B64CD9">
      <w:pPr>
        <w:pStyle w:val="ListParagraph"/>
        <w:numPr>
          <w:ilvl w:val="1"/>
          <w:numId w:val="20"/>
        </w:numPr>
        <w:spacing w:before="60" w:after="60" w:line="240" w:lineRule="auto"/>
        <w:ind w:left="1434" w:hanging="357"/>
        <w:contextualSpacing/>
        <w:rPr>
          <w:rFonts w:ascii="Arial" w:hAnsi="Arial" w:cs="Arial"/>
        </w:rPr>
      </w:pPr>
      <w:r>
        <w:rPr>
          <w:rFonts w:ascii="Arial" w:hAnsi="Arial" w:cs="Arial"/>
        </w:rPr>
        <w:t>Indigenous</w:t>
      </w:r>
      <w:r w:rsidRPr="00DB614C">
        <w:rPr>
          <w:rFonts w:ascii="Arial" w:hAnsi="Arial" w:cs="Arial"/>
        </w:rPr>
        <w:t xml:space="preserve"> Corporation</w:t>
      </w:r>
      <w:r w:rsidR="00E313BF">
        <w:rPr>
          <w:rFonts w:ascii="Arial" w:hAnsi="Arial" w:cs="Arial"/>
        </w:rPr>
        <w:t>;</w:t>
      </w:r>
    </w:p>
    <w:p w14:paraId="27D77926" w14:textId="4FA9F2DA" w:rsidR="00E63FB6" w:rsidRDefault="00E63FB6" w:rsidP="00B64CD9">
      <w:pPr>
        <w:pStyle w:val="ListParagraph"/>
        <w:numPr>
          <w:ilvl w:val="1"/>
          <w:numId w:val="20"/>
        </w:numPr>
        <w:spacing w:before="60" w:after="60"/>
        <w:ind w:left="1434" w:hanging="357"/>
        <w:contextualSpacing/>
        <w:rPr>
          <w:rFonts w:ascii="Arial" w:hAnsi="Arial" w:cs="Arial"/>
        </w:rPr>
      </w:pPr>
      <w:r w:rsidRPr="00DB614C">
        <w:rPr>
          <w:rFonts w:ascii="Arial" w:hAnsi="Arial" w:cs="Arial"/>
        </w:rPr>
        <w:t>Company</w:t>
      </w:r>
      <w:r w:rsidR="00E313BF">
        <w:rPr>
          <w:rFonts w:ascii="Arial" w:hAnsi="Arial" w:cs="Arial"/>
        </w:rPr>
        <w:t>;</w:t>
      </w:r>
    </w:p>
    <w:p w14:paraId="5204AE46" w14:textId="77777777" w:rsidR="00E63FB6" w:rsidRPr="00DB614C" w:rsidRDefault="00E63FB6" w:rsidP="00B64CD9">
      <w:pPr>
        <w:pStyle w:val="ListParagraph"/>
        <w:numPr>
          <w:ilvl w:val="1"/>
          <w:numId w:val="20"/>
        </w:numPr>
        <w:spacing w:before="60" w:after="60"/>
        <w:ind w:left="1434" w:hanging="357"/>
        <w:contextualSpacing/>
        <w:rPr>
          <w:rFonts w:ascii="Arial" w:hAnsi="Arial" w:cs="Arial"/>
        </w:rPr>
      </w:pPr>
      <w:r w:rsidRPr="00DB614C">
        <w:rPr>
          <w:rFonts w:ascii="Arial" w:hAnsi="Arial" w:cs="Arial"/>
          <w:lang w:eastAsia="en-AU"/>
        </w:rPr>
        <w:t>Cooperative</w:t>
      </w:r>
      <w:r w:rsidR="00E313BF">
        <w:rPr>
          <w:rFonts w:ascii="Arial" w:hAnsi="Arial" w:cs="Arial"/>
          <w:lang w:eastAsia="en-AU"/>
        </w:rPr>
        <w:t>;</w:t>
      </w:r>
    </w:p>
    <w:p w14:paraId="189E84BB" w14:textId="77777777" w:rsidR="00E63FB6" w:rsidRPr="00DB614C" w:rsidRDefault="00E63FB6" w:rsidP="00B64CD9">
      <w:pPr>
        <w:pStyle w:val="ListParagraph"/>
        <w:numPr>
          <w:ilvl w:val="1"/>
          <w:numId w:val="20"/>
        </w:numPr>
        <w:spacing w:before="60" w:after="60"/>
        <w:ind w:left="1434" w:hanging="357"/>
        <w:contextualSpacing/>
        <w:rPr>
          <w:rFonts w:ascii="Arial" w:hAnsi="Arial" w:cs="Arial"/>
        </w:rPr>
      </w:pPr>
      <w:r w:rsidRPr="00DB614C">
        <w:rPr>
          <w:rFonts w:ascii="Arial" w:hAnsi="Arial" w:cs="Arial"/>
          <w:lang w:eastAsia="en-AU"/>
        </w:rPr>
        <w:t xml:space="preserve">Incorporated </w:t>
      </w:r>
      <w:r>
        <w:rPr>
          <w:rFonts w:ascii="Arial" w:hAnsi="Arial" w:cs="Arial"/>
          <w:lang w:eastAsia="en-AU"/>
        </w:rPr>
        <w:t>Association</w:t>
      </w:r>
      <w:r w:rsidR="00E313BF">
        <w:rPr>
          <w:rFonts w:ascii="Arial" w:hAnsi="Arial" w:cs="Arial"/>
          <w:lang w:eastAsia="en-AU"/>
        </w:rPr>
        <w:t>;</w:t>
      </w:r>
    </w:p>
    <w:p w14:paraId="1456B07C" w14:textId="5144B87F" w:rsidR="00E63FB6" w:rsidRDefault="00E63FB6" w:rsidP="00B64CD9">
      <w:pPr>
        <w:pStyle w:val="ListParagraph"/>
        <w:numPr>
          <w:ilvl w:val="1"/>
          <w:numId w:val="20"/>
        </w:numPr>
        <w:spacing w:before="60" w:after="60"/>
        <w:ind w:left="1434" w:hanging="357"/>
        <w:contextualSpacing/>
        <w:rPr>
          <w:rFonts w:ascii="Arial" w:hAnsi="Arial" w:cs="Arial"/>
        </w:rPr>
      </w:pPr>
      <w:r w:rsidRPr="00DB614C">
        <w:rPr>
          <w:rFonts w:ascii="Arial" w:hAnsi="Arial" w:cs="Arial"/>
        </w:rPr>
        <w:t>Partnership</w:t>
      </w:r>
      <w:r>
        <w:rPr>
          <w:rStyle w:val="FootnoteReference"/>
          <w:rFonts w:ascii="Arial" w:hAnsi="Arial" w:cs="Arial"/>
        </w:rPr>
        <w:footnoteReference w:id="1"/>
      </w:r>
      <w:r w:rsidR="00E313BF">
        <w:rPr>
          <w:rFonts w:ascii="Arial" w:hAnsi="Arial" w:cs="Arial"/>
        </w:rPr>
        <w:t>;</w:t>
      </w:r>
    </w:p>
    <w:p w14:paraId="6C0EBF20" w14:textId="77777777" w:rsidR="006409F5" w:rsidRDefault="00E63FB6" w:rsidP="006409F5">
      <w:pPr>
        <w:pStyle w:val="ListParagraph"/>
        <w:numPr>
          <w:ilvl w:val="1"/>
          <w:numId w:val="20"/>
        </w:numPr>
        <w:spacing w:before="60" w:after="60"/>
        <w:ind w:left="1434" w:hanging="357"/>
        <w:contextualSpacing/>
        <w:rPr>
          <w:rFonts w:ascii="Arial" w:hAnsi="Arial" w:cs="Arial"/>
        </w:rPr>
      </w:pPr>
      <w:r>
        <w:rPr>
          <w:rFonts w:ascii="Arial" w:hAnsi="Arial" w:cs="Arial"/>
        </w:rPr>
        <w:t>Trustee on behalf of a Trust</w:t>
      </w:r>
      <w:r>
        <w:rPr>
          <w:rStyle w:val="FootnoteReference"/>
          <w:rFonts w:ascii="Arial" w:hAnsi="Arial" w:cs="Arial"/>
        </w:rPr>
        <w:footnoteReference w:id="2"/>
      </w:r>
      <w:r w:rsidR="00E313BF">
        <w:rPr>
          <w:rFonts w:ascii="Arial" w:hAnsi="Arial" w:cs="Arial"/>
        </w:rPr>
        <w:t>;</w:t>
      </w:r>
      <w:r w:rsidR="006409F5" w:rsidRPr="006409F5">
        <w:rPr>
          <w:rFonts w:ascii="Arial" w:hAnsi="Arial" w:cs="Arial"/>
        </w:rPr>
        <w:t xml:space="preserve"> </w:t>
      </w:r>
    </w:p>
    <w:p w14:paraId="5CBD4183" w14:textId="211B50B7" w:rsidR="00E63FB6" w:rsidRPr="006409F5" w:rsidRDefault="006409F5" w:rsidP="00FC1067">
      <w:pPr>
        <w:pStyle w:val="ListParagraph"/>
        <w:numPr>
          <w:ilvl w:val="1"/>
          <w:numId w:val="20"/>
        </w:numPr>
        <w:spacing w:before="60" w:after="60"/>
        <w:ind w:left="1434" w:hanging="357"/>
        <w:contextualSpacing/>
        <w:rPr>
          <w:rFonts w:ascii="Arial" w:hAnsi="Arial" w:cs="Arial"/>
        </w:rPr>
      </w:pPr>
      <w:r w:rsidRPr="006409F5">
        <w:rPr>
          <w:rFonts w:ascii="Arial" w:hAnsi="Arial" w:cs="Arial"/>
        </w:rPr>
        <w:t xml:space="preserve">Statutory </w:t>
      </w:r>
      <w:r w:rsidR="00CA7406">
        <w:rPr>
          <w:rFonts w:ascii="Arial" w:hAnsi="Arial" w:cs="Arial"/>
        </w:rPr>
        <w:t>Entity</w:t>
      </w:r>
      <w:r w:rsidRPr="006409F5">
        <w:rPr>
          <w:rFonts w:ascii="Arial" w:hAnsi="Arial" w:cs="Arial"/>
        </w:rPr>
        <w:t>;</w:t>
      </w:r>
    </w:p>
    <w:p w14:paraId="63872ED5" w14:textId="77777777" w:rsidR="00E63FB6" w:rsidRDefault="00E63FB6" w:rsidP="00B64CD9">
      <w:pPr>
        <w:pStyle w:val="ListParagraph"/>
        <w:numPr>
          <w:ilvl w:val="1"/>
          <w:numId w:val="20"/>
        </w:numPr>
        <w:spacing w:before="60" w:after="60"/>
        <w:ind w:left="1434" w:hanging="357"/>
        <w:contextualSpacing/>
        <w:rPr>
          <w:rFonts w:ascii="Arial" w:hAnsi="Arial" w:cs="Arial"/>
          <w:lang w:eastAsia="en-AU"/>
        </w:rPr>
      </w:pPr>
      <w:r w:rsidRPr="00DB614C">
        <w:rPr>
          <w:rFonts w:ascii="Arial" w:hAnsi="Arial" w:cs="Arial"/>
          <w:lang w:eastAsia="en-AU"/>
        </w:rPr>
        <w:t>Local Government</w:t>
      </w:r>
      <w:r w:rsidR="00E313BF">
        <w:rPr>
          <w:rFonts w:ascii="Arial" w:hAnsi="Arial" w:cs="Arial"/>
          <w:lang w:eastAsia="en-AU"/>
        </w:rPr>
        <w:t>;</w:t>
      </w:r>
    </w:p>
    <w:p w14:paraId="541C7EF7" w14:textId="77777777" w:rsidR="00E63FB6" w:rsidRDefault="00E63FB6" w:rsidP="00B64CD9">
      <w:pPr>
        <w:pStyle w:val="ListParagraph"/>
        <w:numPr>
          <w:ilvl w:val="1"/>
          <w:numId w:val="20"/>
        </w:numPr>
        <w:spacing w:before="60" w:after="60"/>
        <w:ind w:left="1434" w:hanging="357"/>
        <w:contextualSpacing/>
        <w:rPr>
          <w:rFonts w:ascii="Arial" w:hAnsi="Arial" w:cs="Arial"/>
        </w:rPr>
      </w:pPr>
      <w:r>
        <w:rPr>
          <w:rFonts w:ascii="Arial" w:hAnsi="Arial" w:cs="Arial"/>
        </w:rPr>
        <w:t>Corporate State or Territory Entity</w:t>
      </w:r>
      <w:r w:rsidR="00E313BF">
        <w:rPr>
          <w:rFonts w:ascii="Arial" w:hAnsi="Arial" w:cs="Arial"/>
        </w:rPr>
        <w:t>;</w:t>
      </w:r>
      <w:r>
        <w:rPr>
          <w:rFonts w:ascii="Arial" w:hAnsi="Arial" w:cs="Arial"/>
        </w:rPr>
        <w:t xml:space="preserve"> </w:t>
      </w:r>
    </w:p>
    <w:p w14:paraId="643F9E8C" w14:textId="1A0E666C" w:rsidR="00E63FB6" w:rsidRDefault="00E63FB6" w:rsidP="00B64CD9">
      <w:pPr>
        <w:pStyle w:val="ListParagraph"/>
        <w:numPr>
          <w:ilvl w:val="1"/>
          <w:numId w:val="20"/>
        </w:numPr>
        <w:spacing w:before="60" w:after="60"/>
        <w:ind w:left="1434" w:hanging="357"/>
        <w:contextualSpacing/>
        <w:rPr>
          <w:rFonts w:ascii="Arial" w:hAnsi="Arial" w:cs="Arial"/>
        </w:rPr>
      </w:pPr>
      <w:r>
        <w:rPr>
          <w:rFonts w:ascii="Arial" w:hAnsi="Arial" w:cs="Arial"/>
        </w:rPr>
        <w:t>Non-corporate State or Territory Entity</w:t>
      </w:r>
      <w:r w:rsidR="00E313BF">
        <w:rPr>
          <w:rFonts w:ascii="Arial" w:hAnsi="Arial" w:cs="Arial"/>
        </w:rPr>
        <w:t>;</w:t>
      </w:r>
      <w:r w:rsidR="00CA7406">
        <w:rPr>
          <w:rFonts w:ascii="Arial" w:hAnsi="Arial" w:cs="Arial"/>
        </w:rPr>
        <w:t xml:space="preserve">  or</w:t>
      </w:r>
    </w:p>
    <w:p w14:paraId="77B2525F" w14:textId="1AD77EE3" w:rsidR="00E63FB6" w:rsidRPr="00B357F7" w:rsidRDefault="00E63FB6" w:rsidP="00B64CD9">
      <w:pPr>
        <w:pStyle w:val="ListParagraph"/>
        <w:numPr>
          <w:ilvl w:val="1"/>
          <w:numId w:val="20"/>
        </w:numPr>
        <w:spacing w:before="60" w:after="60"/>
        <w:ind w:left="1434" w:hanging="357"/>
        <w:contextualSpacing/>
        <w:rPr>
          <w:rFonts w:ascii="Arial" w:hAnsi="Arial" w:cs="Arial"/>
        </w:rPr>
      </w:pPr>
      <w:r>
        <w:rPr>
          <w:rFonts w:ascii="Arial" w:hAnsi="Arial" w:cs="Arial"/>
        </w:rPr>
        <w:t>Non-corporate State or Territory Statutory Authority</w:t>
      </w:r>
    </w:p>
    <w:p w14:paraId="4F928004" w14:textId="271B98D6" w:rsidR="002C4AF0" w:rsidRPr="006066F5" w:rsidRDefault="002C4AF0" w:rsidP="006066F5">
      <w:pPr>
        <w:spacing w:before="60"/>
        <w:ind w:left="1077"/>
        <w:contextualSpacing/>
        <w:rPr>
          <w:rFonts w:ascii="Arial" w:hAnsi="Arial" w:cs="Arial"/>
          <w:lang w:eastAsia="en-AU"/>
        </w:rPr>
      </w:pPr>
    </w:p>
    <w:p w14:paraId="4245F8E9" w14:textId="77777777" w:rsidR="00D66C57" w:rsidRPr="009E27BA" w:rsidRDefault="00D66C57" w:rsidP="00295521">
      <w:pPr>
        <w:spacing w:after="120"/>
        <w:rPr>
          <w:sz w:val="30"/>
          <w:szCs w:val="30"/>
        </w:rPr>
      </w:pPr>
      <w:r w:rsidRPr="009E27BA">
        <w:rPr>
          <w:sz w:val="30"/>
          <w:szCs w:val="30"/>
        </w:rPr>
        <w:t>3.1.2 Non-Legal Entities</w:t>
      </w:r>
    </w:p>
    <w:p w14:paraId="116AEC39" w14:textId="77777777" w:rsidR="008B194A" w:rsidRPr="009E27BA" w:rsidRDefault="008B194A" w:rsidP="008B194A">
      <w:pPr>
        <w:spacing w:before="120"/>
        <w:rPr>
          <w:rFonts w:ascii="Arial" w:hAnsi="Arial" w:cs="Arial"/>
        </w:rPr>
      </w:pPr>
      <w:r w:rsidRPr="009E27BA">
        <w:rPr>
          <w:rFonts w:ascii="Arial" w:hAnsi="Arial" w:cs="Arial"/>
        </w:rPr>
        <w:t xml:space="preserve">Certain non-legal entity types can be considered eligible for this ICSS grant opportunity. The following non-legal entity type </w:t>
      </w:r>
      <w:r w:rsidR="00642642" w:rsidRPr="009E27BA">
        <w:rPr>
          <w:rFonts w:ascii="Arial" w:hAnsi="Arial" w:cs="Arial"/>
        </w:rPr>
        <w:t>is</w:t>
      </w:r>
      <w:r w:rsidRPr="009E27BA">
        <w:rPr>
          <w:rFonts w:ascii="Arial" w:hAnsi="Arial" w:cs="Arial"/>
        </w:rPr>
        <w:t xml:space="preserve"> eligible for this grant opportunity:</w:t>
      </w:r>
    </w:p>
    <w:p w14:paraId="4DF4F78F" w14:textId="77777777" w:rsidR="00D66C57" w:rsidRPr="009E27BA" w:rsidRDefault="008B194A" w:rsidP="00B64CD9">
      <w:pPr>
        <w:pStyle w:val="ListParagraph"/>
        <w:numPr>
          <w:ilvl w:val="0"/>
          <w:numId w:val="27"/>
        </w:numPr>
        <w:spacing w:before="60" w:line="259" w:lineRule="auto"/>
        <w:rPr>
          <w:rFonts w:asciiTheme="minorHAnsi" w:hAnsiTheme="minorHAnsi" w:cstheme="minorBidi"/>
        </w:rPr>
      </w:pPr>
      <w:r w:rsidRPr="009E27BA">
        <w:rPr>
          <w:rFonts w:ascii="Arial" w:hAnsi="Arial" w:cs="Arial"/>
        </w:rPr>
        <w:t>Unincorporated Associations</w:t>
      </w:r>
    </w:p>
    <w:p w14:paraId="49CA1346" w14:textId="6804CDA3" w:rsidR="008B194A" w:rsidRDefault="008B194A" w:rsidP="00295521">
      <w:pPr>
        <w:spacing w:after="120"/>
        <w:rPr>
          <w:sz w:val="30"/>
          <w:szCs w:val="30"/>
        </w:rPr>
      </w:pPr>
      <w:r w:rsidRPr="00295521">
        <w:rPr>
          <w:sz w:val="30"/>
          <w:szCs w:val="30"/>
        </w:rPr>
        <w:t>3.1.</w:t>
      </w:r>
      <w:r>
        <w:rPr>
          <w:sz w:val="30"/>
          <w:szCs w:val="30"/>
        </w:rPr>
        <w:t>3</w:t>
      </w:r>
      <w:r w:rsidRPr="00295521">
        <w:rPr>
          <w:sz w:val="30"/>
          <w:szCs w:val="30"/>
        </w:rPr>
        <w:t xml:space="preserve"> </w:t>
      </w:r>
      <w:r>
        <w:rPr>
          <w:sz w:val="30"/>
          <w:szCs w:val="30"/>
        </w:rPr>
        <w:t>Additional Eligibility Requirements</w:t>
      </w:r>
    </w:p>
    <w:p w14:paraId="1B51CCB8" w14:textId="258E6A3F" w:rsidR="00B819BC" w:rsidRPr="008B194A" w:rsidRDefault="00B819BC" w:rsidP="00295521">
      <w:pPr>
        <w:spacing w:after="120"/>
      </w:pPr>
      <w:r>
        <w:t>To be eligible for this Grant Opportunity you must:</w:t>
      </w:r>
    </w:p>
    <w:p w14:paraId="6852349A" w14:textId="77777777" w:rsidR="00D92247" w:rsidRPr="001071A5" w:rsidRDefault="00D92247" w:rsidP="00B64CD9">
      <w:pPr>
        <w:pStyle w:val="ListParagraph"/>
        <w:numPr>
          <w:ilvl w:val="0"/>
          <w:numId w:val="20"/>
        </w:numPr>
        <w:spacing w:before="60" w:after="60" w:line="259" w:lineRule="auto"/>
        <w:rPr>
          <w:rFonts w:asciiTheme="minorHAnsi" w:eastAsiaTheme="minorHAnsi" w:hAnsiTheme="minorHAnsi" w:cstheme="minorBidi"/>
        </w:rPr>
      </w:pPr>
      <w:r w:rsidRPr="00767611">
        <w:rPr>
          <w:rFonts w:ascii="Arial" w:hAnsi="Arial" w:cs="Arial"/>
        </w:rPr>
        <w:t>have an Australian Business Number (ABN)</w:t>
      </w:r>
      <w:r w:rsidR="00420E34">
        <w:rPr>
          <w:rFonts w:ascii="Arial" w:hAnsi="Arial" w:cs="Arial"/>
        </w:rPr>
        <w:t>, or the ability to acquire one</w:t>
      </w:r>
      <w:r w:rsidR="00CF276C">
        <w:rPr>
          <w:rFonts w:ascii="Arial" w:hAnsi="Arial" w:cs="Arial"/>
        </w:rPr>
        <w:t>;</w:t>
      </w:r>
    </w:p>
    <w:p w14:paraId="34B8DF6C" w14:textId="77777777" w:rsidR="00E63FB6" w:rsidRPr="009E2AEF" w:rsidRDefault="00E63FB6" w:rsidP="00B64CD9">
      <w:pPr>
        <w:pStyle w:val="ListParagraph"/>
        <w:numPr>
          <w:ilvl w:val="0"/>
          <w:numId w:val="20"/>
        </w:numPr>
        <w:spacing w:before="60" w:after="60" w:line="259" w:lineRule="auto"/>
        <w:rPr>
          <w:rFonts w:asciiTheme="minorHAnsi" w:eastAsiaTheme="minorHAnsi" w:hAnsiTheme="minorHAnsi" w:cstheme="minorBidi"/>
        </w:rPr>
      </w:pPr>
      <w:r w:rsidRPr="009E2AEF">
        <w:rPr>
          <w:rFonts w:asciiTheme="minorHAnsi" w:eastAsiaTheme="minorHAnsi" w:hAnsiTheme="minorHAnsi" w:cstheme="minorBidi"/>
        </w:rPr>
        <w:t xml:space="preserve">be a permanent resident of Australia; </w:t>
      </w:r>
    </w:p>
    <w:p w14:paraId="33600628" w14:textId="77777777" w:rsidR="00E63FB6" w:rsidRDefault="00E63FB6" w:rsidP="00B64CD9">
      <w:pPr>
        <w:pStyle w:val="ListParagraph"/>
        <w:numPr>
          <w:ilvl w:val="0"/>
          <w:numId w:val="20"/>
        </w:numPr>
        <w:spacing w:before="60" w:after="60" w:line="259" w:lineRule="auto"/>
        <w:rPr>
          <w:rFonts w:asciiTheme="minorHAnsi" w:eastAsiaTheme="minorHAnsi" w:hAnsiTheme="minorHAnsi" w:cstheme="minorBidi"/>
        </w:rPr>
      </w:pPr>
      <w:r w:rsidRPr="009E2AEF">
        <w:rPr>
          <w:rFonts w:asciiTheme="minorHAnsi" w:eastAsiaTheme="minorHAnsi" w:hAnsiTheme="minorHAnsi" w:cstheme="minorBidi"/>
        </w:rPr>
        <w:t xml:space="preserve">be located in Australia; </w:t>
      </w:r>
    </w:p>
    <w:p w14:paraId="05D8F0CB" w14:textId="77777777" w:rsidR="00D92247" w:rsidRPr="009E2AEF" w:rsidRDefault="00D92247" w:rsidP="00B64CD9">
      <w:pPr>
        <w:pStyle w:val="ListParagraph"/>
        <w:numPr>
          <w:ilvl w:val="0"/>
          <w:numId w:val="20"/>
        </w:numPr>
        <w:spacing w:before="60" w:after="0" w:line="259" w:lineRule="auto"/>
        <w:ind w:left="714" w:right="-188" w:hanging="357"/>
        <w:rPr>
          <w:rFonts w:asciiTheme="minorHAnsi" w:eastAsiaTheme="minorHAnsi" w:hAnsiTheme="minorHAnsi" w:cstheme="minorBidi"/>
        </w:rPr>
      </w:pPr>
      <w:r w:rsidRPr="00767611">
        <w:rPr>
          <w:rFonts w:ascii="Arial" w:hAnsi="Arial" w:cs="Arial"/>
        </w:rPr>
        <w:t>be registered for the purposes of GST</w:t>
      </w:r>
      <w:r w:rsidR="00420E34">
        <w:rPr>
          <w:rFonts w:ascii="Arial" w:hAnsi="Arial" w:cs="Arial"/>
        </w:rPr>
        <w:t>, or have the ability to become registered</w:t>
      </w:r>
      <w:r w:rsidR="00CF276C">
        <w:rPr>
          <w:rFonts w:ascii="Arial" w:hAnsi="Arial" w:cs="Arial"/>
        </w:rPr>
        <w:t>; and/or</w:t>
      </w:r>
    </w:p>
    <w:p w14:paraId="6E9A616D" w14:textId="77777777" w:rsidR="00E63FB6" w:rsidRPr="00E84046" w:rsidRDefault="00D92247" w:rsidP="00B64CD9">
      <w:pPr>
        <w:pStyle w:val="Bullet1"/>
        <w:numPr>
          <w:ilvl w:val="0"/>
          <w:numId w:val="20"/>
        </w:numPr>
        <w:spacing w:before="60" w:after="0" w:line="240" w:lineRule="auto"/>
        <w:ind w:left="714" w:hanging="357"/>
        <w:rPr>
          <w:rFonts w:ascii="Arial" w:hAnsi="Arial" w:cs="Arial"/>
          <w:color w:val="000000" w:themeColor="text1"/>
        </w:rPr>
      </w:pPr>
      <w:r w:rsidRPr="00692B4D">
        <w:rPr>
          <w:rFonts w:ascii="Arial" w:hAnsi="Arial" w:cs="Arial"/>
          <w:color w:val="000000" w:themeColor="text1"/>
        </w:rPr>
        <w:t>have an account with an Australian financial institution</w:t>
      </w:r>
      <w:r w:rsidR="00CF276C">
        <w:rPr>
          <w:rFonts w:ascii="Arial" w:hAnsi="Arial" w:cs="Arial"/>
          <w:color w:val="000000" w:themeColor="text1"/>
        </w:rPr>
        <w:t>.</w:t>
      </w:r>
    </w:p>
    <w:p w14:paraId="48BF888F" w14:textId="3E29A59B" w:rsidR="00FF55DD" w:rsidRPr="006F68F9" w:rsidRDefault="00FF55DD" w:rsidP="00FF55DD">
      <w:pPr>
        <w:spacing w:before="120"/>
        <w:contextualSpacing/>
        <w:rPr>
          <w:rFonts w:ascii="Arial" w:hAnsi="Arial" w:cs="Arial"/>
        </w:rPr>
      </w:pPr>
      <w:r w:rsidRPr="006F68F9">
        <w:rPr>
          <w:rFonts w:ascii="Arial" w:hAnsi="Arial" w:cs="Arial"/>
        </w:rPr>
        <w:t>Applications from consortia are acceptable, as long as you h</w:t>
      </w:r>
      <w:r>
        <w:rPr>
          <w:rFonts w:ascii="Arial" w:hAnsi="Arial" w:cs="Arial"/>
        </w:rPr>
        <w:t>ave a lead applicant who is solely accountable to the Commonwealth for the delivery of grant activities and is an eligible entity as per the list above. For more information, please refer to section 7.5</w:t>
      </w:r>
      <w:r>
        <w:rPr>
          <w:rStyle w:val="FootnoteReference"/>
          <w:rFonts w:ascii="Arial" w:hAnsi="Arial" w:cs="Arial"/>
        </w:rPr>
        <w:footnoteReference w:id="3"/>
      </w:r>
      <w:r w:rsidRPr="006F68F9">
        <w:rPr>
          <w:rFonts w:ascii="Arial" w:hAnsi="Arial" w:cs="Arial"/>
        </w:rPr>
        <w:t>.</w:t>
      </w:r>
    </w:p>
    <w:p w14:paraId="33988FF4" w14:textId="77777777" w:rsidR="00E63FB6" w:rsidRDefault="00E63FB6" w:rsidP="00CF3DF7"/>
    <w:p w14:paraId="7ED75921" w14:textId="77777777" w:rsidR="00890646" w:rsidRPr="00700851" w:rsidRDefault="00890646" w:rsidP="00BB5CF6">
      <w:pPr>
        <w:pStyle w:val="NoSpacing"/>
        <w:rPr>
          <w:rFonts w:ascii="Arial" w:hAnsi="Arial" w:cs="Arial"/>
        </w:rPr>
      </w:pPr>
    </w:p>
    <w:p w14:paraId="268350DC" w14:textId="77777777" w:rsidR="002F29D6" w:rsidRDefault="00BB5CF6" w:rsidP="005A0D9B">
      <w:pPr>
        <w:pStyle w:val="Heading2Numbered"/>
        <w:numPr>
          <w:ilvl w:val="0"/>
          <w:numId w:val="0"/>
        </w:numPr>
        <w:spacing w:before="0" w:after="0" w:line="240" w:lineRule="auto"/>
        <w:ind w:left="567" w:hanging="567"/>
      </w:pPr>
      <w:bookmarkStart w:id="25" w:name="_Toc530058182"/>
      <w:r w:rsidRPr="00DB614C">
        <w:t>3.</w:t>
      </w:r>
      <w:r w:rsidR="001103C1">
        <w:t>2</w:t>
      </w:r>
      <w:r>
        <w:tab/>
      </w:r>
      <w:r w:rsidRPr="00DB614C">
        <w:t>Who is not eligible to apply for a grant?</w:t>
      </w:r>
      <w:bookmarkEnd w:id="25"/>
      <w:r>
        <w:t xml:space="preserve"> </w:t>
      </w:r>
    </w:p>
    <w:p w14:paraId="16C1C3CB" w14:textId="0BB117A6" w:rsidR="00D92247" w:rsidRPr="00D92247" w:rsidRDefault="005A0D9B" w:rsidP="00D92247">
      <w:pPr>
        <w:spacing w:after="120"/>
        <w:rPr>
          <w:rFonts w:ascii="Arial" w:hAnsi="Arial" w:cs="Arial"/>
        </w:rPr>
      </w:pPr>
      <w:r w:rsidRPr="00217908">
        <w:t>You are not eligible to apply if you are:</w:t>
      </w:r>
      <w:r w:rsidR="00E72FD5">
        <w:t xml:space="preserve"> </w:t>
      </w:r>
    </w:p>
    <w:p w14:paraId="2280FB3F" w14:textId="77777777" w:rsidR="00D92247" w:rsidRPr="00F527ED" w:rsidRDefault="00D92247" w:rsidP="00B64CD9">
      <w:pPr>
        <w:pStyle w:val="ListParagraph"/>
        <w:numPr>
          <w:ilvl w:val="0"/>
          <w:numId w:val="18"/>
        </w:numPr>
        <w:spacing w:before="60" w:after="60"/>
        <w:contextualSpacing/>
        <w:rPr>
          <w:rFonts w:ascii="Arial" w:hAnsi="Arial" w:cs="Arial"/>
        </w:rPr>
      </w:pPr>
      <w:r w:rsidRPr="00F527ED">
        <w:rPr>
          <w:rFonts w:ascii="Arial" w:hAnsi="Arial" w:cs="Arial"/>
        </w:rPr>
        <w:t>Sole Trader</w:t>
      </w:r>
      <w:r w:rsidR="00A064D5">
        <w:rPr>
          <w:rFonts w:ascii="Arial" w:hAnsi="Arial" w:cs="Arial"/>
        </w:rPr>
        <w:t>;</w:t>
      </w:r>
    </w:p>
    <w:p w14:paraId="493351B7" w14:textId="77777777" w:rsidR="00D92247" w:rsidRPr="00F527ED" w:rsidRDefault="00D92247" w:rsidP="00B64CD9">
      <w:pPr>
        <w:pStyle w:val="ListParagraph"/>
        <w:numPr>
          <w:ilvl w:val="0"/>
          <w:numId w:val="18"/>
        </w:numPr>
        <w:spacing w:before="60" w:after="60"/>
        <w:contextualSpacing/>
        <w:rPr>
          <w:rFonts w:ascii="Arial" w:hAnsi="Arial" w:cs="Arial"/>
        </w:rPr>
      </w:pPr>
      <w:r w:rsidRPr="00F527ED">
        <w:rPr>
          <w:rFonts w:ascii="Arial" w:hAnsi="Arial" w:cs="Arial"/>
        </w:rPr>
        <w:t>Commonwealth Company</w:t>
      </w:r>
      <w:r w:rsidR="00A064D5">
        <w:rPr>
          <w:rFonts w:ascii="Arial" w:hAnsi="Arial" w:cs="Arial"/>
        </w:rPr>
        <w:t>;</w:t>
      </w:r>
    </w:p>
    <w:p w14:paraId="50D2AB4D" w14:textId="77777777" w:rsidR="00D92247" w:rsidRPr="00F527ED" w:rsidRDefault="00D92247" w:rsidP="00B64CD9">
      <w:pPr>
        <w:pStyle w:val="ListParagraph"/>
        <w:numPr>
          <w:ilvl w:val="0"/>
          <w:numId w:val="18"/>
        </w:numPr>
        <w:spacing w:before="60" w:after="60"/>
        <w:contextualSpacing/>
        <w:rPr>
          <w:rFonts w:ascii="Arial" w:hAnsi="Arial" w:cs="Arial"/>
        </w:rPr>
      </w:pPr>
      <w:r w:rsidRPr="00F527ED">
        <w:rPr>
          <w:rFonts w:ascii="Arial" w:hAnsi="Arial" w:cs="Arial"/>
        </w:rPr>
        <w:t>Corporate Commonwealth Entity</w:t>
      </w:r>
      <w:r w:rsidR="00A064D5">
        <w:rPr>
          <w:rFonts w:ascii="Arial" w:hAnsi="Arial" w:cs="Arial"/>
        </w:rPr>
        <w:t>;</w:t>
      </w:r>
    </w:p>
    <w:p w14:paraId="3D02904D" w14:textId="77777777" w:rsidR="00D92247" w:rsidRPr="00F527ED" w:rsidRDefault="00D92247" w:rsidP="00B64CD9">
      <w:pPr>
        <w:pStyle w:val="ListParagraph"/>
        <w:numPr>
          <w:ilvl w:val="0"/>
          <w:numId w:val="18"/>
        </w:numPr>
        <w:spacing w:before="60" w:after="60"/>
        <w:contextualSpacing/>
        <w:rPr>
          <w:rFonts w:ascii="Arial" w:hAnsi="Arial" w:cs="Arial"/>
        </w:rPr>
      </w:pPr>
      <w:r w:rsidRPr="00F527ED">
        <w:rPr>
          <w:rFonts w:ascii="Arial" w:hAnsi="Arial" w:cs="Arial"/>
        </w:rPr>
        <w:t>Non-corporate Commonwealth Entity</w:t>
      </w:r>
      <w:r w:rsidR="00A064D5">
        <w:rPr>
          <w:rFonts w:ascii="Arial" w:hAnsi="Arial" w:cs="Arial"/>
        </w:rPr>
        <w:t>;</w:t>
      </w:r>
    </w:p>
    <w:p w14:paraId="26669FF5" w14:textId="77777777" w:rsidR="00D92247" w:rsidRDefault="00D92247" w:rsidP="00B64CD9">
      <w:pPr>
        <w:pStyle w:val="ListParagraph"/>
        <w:numPr>
          <w:ilvl w:val="0"/>
          <w:numId w:val="18"/>
        </w:numPr>
        <w:spacing w:before="60" w:after="60"/>
        <w:contextualSpacing/>
        <w:rPr>
          <w:rFonts w:ascii="Arial" w:hAnsi="Arial" w:cs="Arial"/>
        </w:rPr>
      </w:pPr>
      <w:r w:rsidRPr="00DA502D">
        <w:rPr>
          <w:rFonts w:ascii="Arial" w:hAnsi="Arial" w:cs="Arial"/>
        </w:rPr>
        <w:t>Non-corporate Commonwealth Statutory Authority</w:t>
      </w:r>
      <w:r w:rsidR="00A064D5">
        <w:rPr>
          <w:rFonts w:ascii="Arial" w:hAnsi="Arial" w:cs="Arial"/>
        </w:rPr>
        <w:t>;</w:t>
      </w:r>
      <w:r w:rsidRPr="00DA502D">
        <w:rPr>
          <w:rFonts w:ascii="Arial" w:hAnsi="Arial" w:cs="Arial"/>
        </w:rPr>
        <w:t xml:space="preserve"> </w:t>
      </w:r>
    </w:p>
    <w:p w14:paraId="4A134681" w14:textId="77777777" w:rsidR="00D92247" w:rsidRPr="00DA502D" w:rsidRDefault="00D92247" w:rsidP="00B64CD9">
      <w:pPr>
        <w:pStyle w:val="ListParagraph"/>
        <w:numPr>
          <w:ilvl w:val="0"/>
          <w:numId w:val="18"/>
        </w:numPr>
        <w:spacing w:before="60" w:after="60"/>
        <w:contextualSpacing/>
        <w:rPr>
          <w:rFonts w:ascii="Arial" w:hAnsi="Arial" w:cs="Arial"/>
        </w:rPr>
      </w:pPr>
      <w:r w:rsidRPr="00DA502D">
        <w:rPr>
          <w:rFonts w:ascii="Arial" w:hAnsi="Arial" w:cs="Arial"/>
        </w:rPr>
        <w:t>International Ent</w:t>
      </w:r>
      <w:r w:rsidR="00A064D5">
        <w:rPr>
          <w:rFonts w:ascii="Arial" w:hAnsi="Arial" w:cs="Arial"/>
        </w:rPr>
        <w:t>ity;</w:t>
      </w:r>
      <w:r w:rsidR="008A4071">
        <w:rPr>
          <w:rFonts w:ascii="Arial" w:hAnsi="Arial" w:cs="Arial"/>
        </w:rPr>
        <w:t xml:space="preserve"> or</w:t>
      </w:r>
    </w:p>
    <w:p w14:paraId="5D1A38EE" w14:textId="77777777" w:rsidR="005A0D9B" w:rsidRPr="00D92247" w:rsidRDefault="005A0D9B" w:rsidP="00B64CD9">
      <w:pPr>
        <w:pStyle w:val="ListParagraph"/>
        <w:numPr>
          <w:ilvl w:val="0"/>
          <w:numId w:val="18"/>
        </w:numPr>
        <w:spacing w:before="60" w:after="60"/>
        <w:contextualSpacing/>
        <w:rPr>
          <w:rFonts w:ascii="Arial" w:hAnsi="Arial" w:cs="Arial"/>
        </w:rPr>
      </w:pPr>
      <w:r w:rsidRPr="00D92247">
        <w:rPr>
          <w:rFonts w:ascii="Arial" w:hAnsi="Arial" w:cs="Arial"/>
        </w:rPr>
        <w:t>an overseas resident.</w:t>
      </w:r>
    </w:p>
    <w:p w14:paraId="5206DABA" w14:textId="77777777" w:rsidR="00340616" w:rsidRPr="00A668C8" w:rsidRDefault="00340616" w:rsidP="00EB542E">
      <w:pPr>
        <w:pStyle w:val="Heading1Numbered"/>
      </w:pPr>
      <w:bookmarkStart w:id="26" w:name="_Toc467773959"/>
      <w:bookmarkStart w:id="27" w:name="_Toc530058183"/>
      <w:bookmarkEnd w:id="24"/>
      <w:r w:rsidRPr="00A668C8">
        <w:t>Eligible grant activities</w:t>
      </w:r>
      <w:bookmarkEnd w:id="26"/>
      <w:bookmarkEnd w:id="27"/>
    </w:p>
    <w:p w14:paraId="6C01EA5C" w14:textId="77777777" w:rsidR="00340616" w:rsidRPr="00F56535" w:rsidRDefault="00340616" w:rsidP="00EB542E">
      <w:pPr>
        <w:pStyle w:val="Heading2Numbered"/>
        <w:ind w:left="426" w:hanging="426"/>
      </w:pPr>
      <w:bookmarkStart w:id="28" w:name="_Toc467773960"/>
      <w:bookmarkStart w:id="29" w:name="_Toc530058184"/>
      <w:r w:rsidRPr="00F56535">
        <w:t>What can the grant money be used for?</w:t>
      </w:r>
      <w:bookmarkEnd w:id="28"/>
      <w:bookmarkEnd w:id="29"/>
    </w:p>
    <w:p w14:paraId="2088AEA1" w14:textId="4865F846" w:rsidR="00F314F9" w:rsidRDefault="00F314F9" w:rsidP="00F314F9">
      <w:bookmarkStart w:id="30" w:name="_Toc467773961"/>
      <w:r w:rsidRPr="006542F9">
        <w:t xml:space="preserve">You </w:t>
      </w:r>
      <w:r w:rsidR="00C6741B">
        <w:t xml:space="preserve">can </w:t>
      </w:r>
      <w:r w:rsidR="00EB542E">
        <w:t xml:space="preserve">only </w:t>
      </w:r>
      <w:r w:rsidR="00C6741B">
        <w:t>spend grant funds on eligible grant</w:t>
      </w:r>
      <w:r w:rsidRPr="006542F9">
        <w:t xml:space="preserve"> </w:t>
      </w:r>
      <w:r>
        <w:t>activities</w:t>
      </w:r>
      <w:r w:rsidR="00C6741B">
        <w:t xml:space="preserve"> as defined</w:t>
      </w:r>
      <w:r>
        <w:t xml:space="preserve"> in the</w:t>
      </w:r>
      <w:r w:rsidR="00C6741B">
        <w:t xml:space="preserve"> grant details in your </w:t>
      </w:r>
      <w:r w:rsidR="00A078A8">
        <w:t>G</w:t>
      </w:r>
      <w:r w:rsidR="00C6741B">
        <w:t xml:space="preserve">rant </w:t>
      </w:r>
      <w:r w:rsidR="00A078A8">
        <w:t>A</w:t>
      </w:r>
      <w:r w:rsidR="00C6741B">
        <w:t xml:space="preserve">greement </w:t>
      </w:r>
      <w:r w:rsidRPr="00335DE5">
        <w:t xml:space="preserve">and the </w:t>
      </w:r>
      <w:r w:rsidRPr="0061156F">
        <w:t xml:space="preserve">RDP Operating </w:t>
      </w:r>
      <w:r w:rsidR="00582662" w:rsidRPr="0061156F">
        <w:t>Model</w:t>
      </w:r>
      <w:r w:rsidR="0008683F" w:rsidRPr="00335DE5">
        <w:t xml:space="preserve"> </w:t>
      </w:r>
      <w:r w:rsidR="000A340D">
        <w:t xml:space="preserve">document </w:t>
      </w:r>
      <w:r w:rsidR="00335DE5" w:rsidRPr="00335DE5">
        <w:t>provided in the Grant</w:t>
      </w:r>
      <w:r w:rsidR="00335DE5">
        <w:t xml:space="preserve"> Opportunity Documents</w:t>
      </w:r>
      <w:r w:rsidR="001E0201">
        <w:t xml:space="preserve"> (</w:t>
      </w:r>
      <w:r w:rsidR="001E0201" w:rsidRPr="00A329CC">
        <w:t>refer to grant</w:t>
      </w:r>
      <w:r w:rsidR="001E0201">
        <w:t xml:space="preserve"> opportunity</w:t>
      </w:r>
      <w:r w:rsidR="001E0201" w:rsidRPr="00A329CC">
        <w:t xml:space="preserve"> documents on th</w:t>
      </w:r>
      <w:r w:rsidR="001E0201">
        <w:t>e GrantConnect and Community Grants Hub websites)</w:t>
      </w:r>
      <w:r w:rsidR="00335DE5">
        <w:t xml:space="preserve">. </w:t>
      </w:r>
    </w:p>
    <w:p w14:paraId="36A01CD9" w14:textId="2853C1AE" w:rsidR="006A6511" w:rsidRDefault="00E90D32" w:rsidP="00F314F9">
      <w:r>
        <w:t>The services in the ICSS program are listed below.</w:t>
      </w:r>
      <w:r w:rsidR="00E72FD5">
        <w:t xml:space="preserve"> </w:t>
      </w:r>
      <w:r w:rsidR="001E0201">
        <w:t>The RDP Operating Model (</w:t>
      </w:r>
      <w:r w:rsidR="001E0201" w:rsidRPr="00A329CC">
        <w:t>refer to grant</w:t>
      </w:r>
      <w:r w:rsidR="001E0201">
        <w:t xml:space="preserve"> opportunity</w:t>
      </w:r>
      <w:r w:rsidR="001E0201" w:rsidRPr="00A329CC">
        <w:t xml:space="preserve"> documents on th</w:t>
      </w:r>
      <w:r w:rsidR="001E0201">
        <w:t>e GrantConnect and Community Grants Hub websites</w:t>
      </w:r>
      <w:r w:rsidR="001E0201" w:rsidRPr="00EB542E">
        <w:t xml:space="preserve"> </w:t>
      </w:r>
      <w:r w:rsidR="001E0201">
        <w:t>) provides further details of each service.</w:t>
      </w:r>
      <w:r w:rsidR="00E72FD5">
        <w:t xml:space="preserve"> </w:t>
      </w:r>
      <w:r w:rsidR="006471F3" w:rsidRPr="00EB542E">
        <w:t xml:space="preserve">RDPs </w:t>
      </w:r>
      <w:r w:rsidR="002D5E34">
        <w:t xml:space="preserve">are required to provide all of these </w:t>
      </w:r>
      <w:r w:rsidR="00B96CBA">
        <w:t>services;</w:t>
      </w:r>
      <w:r w:rsidR="006F6574">
        <w:t xml:space="preserve"> </w:t>
      </w:r>
      <w:r w:rsidR="00B96CBA">
        <w:t>however,</w:t>
      </w:r>
      <w:r w:rsidR="002D5E34">
        <w:t xml:space="preserve"> the </w:t>
      </w:r>
      <w:r w:rsidR="00995483">
        <w:t>approach to the delivery of the services will be up to each individual RDP.</w:t>
      </w:r>
      <w:r w:rsidR="00E72FD5">
        <w:t xml:space="preserve"> </w:t>
      </w:r>
      <w:r w:rsidR="006A6511">
        <w:t>Subcontracting arrangements for the delivery of services is allowable under the grant funding</w:t>
      </w:r>
      <w:r w:rsidR="006C69B8">
        <w:t xml:space="preserve"> and details must be provided as part of your response to the relevant assessment criteria.</w:t>
      </w:r>
      <w:r w:rsidR="00E72FD5">
        <w:t xml:space="preserve"> </w:t>
      </w:r>
    </w:p>
    <w:p w14:paraId="377F79D0" w14:textId="77777777" w:rsidR="0008683F" w:rsidRPr="00EB542E" w:rsidRDefault="002D5E34" w:rsidP="00F314F9">
      <w:r>
        <w:t>It should be noted that Service Area Planning must be undertaken each year</w:t>
      </w:r>
      <w:r w:rsidR="00C240F0">
        <w:t>.</w:t>
      </w:r>
      <w:r w:rsidR="0008683F" w:rsidRPr="00EB542E">
        <w:t xml:space="preserve"> </w:t>
      </w:r>
    </w:p>
    <w:p w14:paraId="413AD957" w14:textId="4CCFB5FC" w:rsidR="00830520" w:rsidRPr="00F03DC2" w:rsidRDefault="00830520" w:rsidP="00F314F9">
      <w:pPr>
        <w:rPr>
          <w:b/>
          <w:sz w:val="24"/>
          <w:szCs w:val="24"/>
        </w:rPr>
      </w:pPr>
      <w:r>
        <w:rPr>
          <w:b/>
          <w:sz w:val="24"/>
          <w:szCs w:val="24"/>
        </w:rPr>
        <w:t>CARER SERVICES</w:t>
      </w:r>
    </w:p>
    <w:p w14:paraId="3070F741" w14:textId="14469B44" w:rsidR="006521C9" w:rsidRDefault="006521C9" w:rsidP="00F314F9">
      <w:pPr>
        <w:rPr>
          <w:b/>
        </w:rPr>
      </w:pPr>
      <w:r>
        <w:rPr>
          <w:b/>
        </w:rPr>
        <w:t xml:space="preserve"> Carer Support Planning </w:t>
      </w:r>
      <w:r w:rsidR="000A340D" w:rsidRPr="00E313BF">
        <w:t>–</w:t>
      </w:r>
      <w:r>
        <w:rPr>
          <w:b/>
        </w:rPr>
        <w:t xml:space="preserve"> </w:t>
      </w:r>
      <w:r w:rsidR="000A340D">
        <w:t xml:space="preserve">Undertake an intake and needs assessment process for the carer </w:t>
      </w:r>
      <w:r w:rsidR="00830520">
        <w:t xml:space="preserve">consistent with the </w:t>
      </w:r>
      <w:r w:rsidR="00830520" w:rsidRPr="00143C27">
        <w:t xml:space="preserve">Carer Support Planning </w:t>
      </w:r>
      <w:r w:rsidR="001E0201" w:rsidRPr="00143C27">
        <w:t>framework</w:t>
      </w:r>
      <w:r w:rsidR="00830520">
        <w:t xml:space="preserve"> (</w:t>
      </w:r>
      <w:r w:rsidR="001E0201" w:rsidRPr="00A329CC">
        <w:t>refer to grant</w:t>
      </w:r>
      <w:r w:rsidR="001E0201">
        <w:t xml:space="preserve"> opportunity</w:t>
      </w:r>
      <w:r w:rsidR="001E0201" w:rsidRPr="00A329CC">
        <w:t xml:space="preserve"> documents on th</w:t>
      </w:r>
      <w:r w:rsidR="001E0201">
        <w:t>e GrantConnect and Community Grants Hub websites)</w:t>
      </w:r>
      <w:r w:rsidR="00143C27">
        <w:t xml:space="preserve"> </w:t>
      </w:r>
      <w:r w:rsidR="000A340D">
        <w:t>in order to determine the services which best suit the needs of individual carers.</w:t>
      </w:r>
      <w:r w:rsidR="00E72FD5">
        <w:t xml:space="preserve"> </w:t>
      </w:r>
      <w:r w:rsidR="000A340D">
        <w:t xml:space="preserve">Upon completing </w:t>
      </w:r>
      <w:r w:rsidR="001E0201">
        <w:t xml:space="preserve">the Carer support planning process, </w:t>
      </w:r>
      <w:r w:rsidR="000A340D">
        <w:t xml:space="preserve">RDPs will prepare and provide the carer with a Carer </w:t>
      </w:r>
      <w:r w:rsidR="001E0201">
        <w:t>Action</w:t>
      </w:r>
      <w:r w:rsidR="000A340D">
        <w:t xml:space="preserve"> Plan</w:t>
      </w:r>
      <w:r w:rsidR="004567F2">
        <w:t>.</w:t>
      </w:r>
    </w:p>
    <w:p w14:paraId="78CA5885" w14:textId="77777777" w:rsidR="00C7538C" w:rsidRPr="00C7538C" w:rsidRDefault="006521C9" w:rsidP="0064778E">
      <w:r>
        <w:rPr>
          <w:b/>
        </w:rPr>
        <w:t xml:space="preserve">In Person Peer Support </w:t>
      </w:r>
      <w:r w:rsidRPr="00C7538C">
        <w:t>– a free facilitated peer support forum spec</w:t>
      </w:r>
      <w:r>
        <w:t xml:space="preserve">ifically </w:t>
      </w:r>
      <w:r w:rsidRPr="00C7538C">
        <w:t>designed to assist carers to connect</w:t>
      </w:r>
      <w:r w:rsidRPr="006521C9">
        <w:t xml:space="preserve"> with people in similar</w:t>
      </w:r>
      <w:r>
        <w:t xml:space="preserve"> circumstances; </w:t>
      </w:r>
      <w:r w:rsidR="00E313BF">
        <w:t>l</w:t>
      </w:r>
      <w:r>
        <w:t xml:space="preserve">earn from peers through the sharing of lived experiences; and aid in decreasing carer strain through the connection and sharing of personal stories and experiences. </w:t>
      </w:r>
    </w:p>
    <w:p w14:paraId="05B2D357" w14:textId="3CE2347C" w:rsidR="006521C9" w:rsidRDefault="00C7538C" w:rsidP="001B0746">
      <w:pPr>
        <w:pStyle w:val="NormalIndented"/>
        <w:ind w:left="0"/>
      </w:pPr>
      <w:r w:rsidRPr="00C7538C">
        <w:rPr>
          <w:b/>
          <w:bCs/>
        </w:rPr>
        <w:t>In-Person Counselling</w:t>
      </w:r>
      <w:r w:rsidR="00E313BF">
        <w:rPr>
          <w:b/>
          <w:bCs/>
        </w:rPr>
        <w:t xml:space="preserve"> </w:t>
      </w:r>
      <w:r w:rsidR="00E313BF" w:rsidRPr="00E313BF">
        <w:rPr>
          <w:bCs/>
        </w:rPr>
        <w:t>–</w:t>
      </w:r>
      <w:r w:rsidR="00E313BF">
        <w:rPr>
          <w:b/>
          <w:bCs/>
        </w:rPr>
        <w:t xml:space="preserve"> </w:t>
      </w:r>
      <w:r w:rsidRPr="00C63607">
        <w:t>a free counselling service for carers who are experiencing difficulties with anxiety, stress, depression and low mood as a result of their caring role.</w:t>
      </w:r>
      <w:r w:rsidR="00E72FD5">
        <w:t xml:space="preserve"> </w:t>
      </w:r>
      <w:r w:rsidRPr="00C63607">
        <w:t>The service will assist carers to manage their own health in order to remain effective in their caring role and avoid crisis events through in-person counselling sessions with a professional counsellor</w:t>
      </w:r>
      <w:r w:rsidR="00A15A9B">
        <w:t xml:space="preserve"> (in line with the in-person counselling guidelines developed by the Department)</w:t>
      </w:r>
      <w:r w:rsidRPr="00C63607">
        <w:t>.</w:t>
      </w:r>
    </w:p>
    <w:p w14:paraId="38626F2C" w14:textId="0403E8BD" w:rsidR="00C7538C" w:rsidRDefault="00C7538C" w:rsidP="00C7538C">
      <w:r w:rsidRPr="00C63607">
        <w:rPr>
          <w:b/>
        </w:rPr>
        <w:t>Carer coaching</w:t>
      </w:r>
      <w:r w:rsidR="004567F2">
        <w:rPr>
          <w:b/>
        </w:rPr>
        <w:t xml:space="preserve"> (in-person )</w:t>
      </w:r>
      <w:r w:rsidR="00E313BF">
        <w:t xml:space="preserve"> – </w:t>
      </w:r>
      <w:r>
        <w:t xml:space="preserve">a free psycho-educational service specifically designed to assist carers to acquire the skills and resilience needed in their caring role. </w:t>
      </w:r>
    </w:p>
    <w:p w14:paraId="334FB829" w14:textId="4ACF3B00" w:rsidR="00C7538C" w:rsidRDefault="00C7538C" w:rsidP="00C7538C">
      <w:r w:rsidRPr="00C7538C">
        <w:rPr>
          <w:b/>
        </w:rPr>
        <w:t xml:space="preserve">Carer Directed Support </w:t>
      </w:r>
      <w:r w:rsidR="00773D42">
        <w:t xml:space="preserve">– </w:t>
      </w:r>
      <w:r>
        <w:t>a consumer directed approach to supporting carers in their caring role</w:t>
      </w:r>
      <w:r w:rsidR="00732515">
        <w:t xml:space="preserve"> by providing a package of financial assistance</w:t>
      </w:r>
      <w:r>
        <w:t>.</w:t>
      </w:r>
      <w:r w:rsidR="00E72FD5">
        <w:t xml:space="preserve"> </w:t>
      </w:r>
      <w:r>
        <w:t>It gives carers a greater say and more control over the design and delivery of the support provided to them and the person/s they care for.</w:t>
      </w:r>
      <w:r w:rsidR="001E0201">
        <w:t xml:space="preserve"> The service is delivered in two formats – through the provision of one-off practical supports (up to an amount of $1,500) or through the provision of a carer directed package (up to an amount of $3,000).</w:t>
      </w:r>
    </w:p>
    <w:p w14:paraId="1458DA2F" w14:textId="77777777" w:rsidR="00C7538C" w:rsidRDefault="00C7538C" w:rsidP="00C7538C">
      <w:r w:rsidRPr="00C7538C">
        <w:rPr>
          <w:b/>
        </w:rPr>
        <w:t xml:space="preserve">Emergency Respite Care </w:t>
      </w:r>
      <w:r w:rsidR="00526B42">
        <w:t xml:space="preserve">– </w:t>
      </w:r>
      <w:r>
        <w:t>is designed to offer support to carers who are experiencing an urgent, unplanned and imminent event that temporarily restricts their ability to continue caring when no other services are available</w:t>
      </w:r>
      <w:r w:rsidR="00526B42">
        <w:t>.</w:t>
      </w:r>
    </w:p>
    <w:p w14:paraId="1A7D8AE9" w14:textId="7C5E6CCB" w:rsidR="00830520" w:rsidRPr="0034736D" w:rsidRDefault="00830520" w:rsidP="00C7538C">
      <w:pPr>
        <w:rPr>
          <w:b/>
          <w:sz w:val="24"/>
          <w:szCs w:val="24"/>
        </w:rPr>
      </w:pPr>
      <w:r>
        <w:rPr>
          <w:b/>
          <w:sz w:val="24"/>
          <w:szCs w:val="24"/>
        </w:rPr>
        <w:t>ADDITIONAL CARER SERVICES</w:t>
      </w:r>
    </w:p>
    <w:p w14:paraId="1CA0CF01" w14:textId="407C1145" w:rsidR="00830520" w:rsidRDefault="00830520" w:rsidP="00830520">
      <w:r w:rsidRPr="00C7538C">
        <w:rPr>
          <w:b/>
        </w:rPr>
        <w:t>Online Peer Support and Digital Counselling</w:t>
      </w:r>
      <w:r>
        <w:t xml:space="preserve"> – actively promoting these services to clients which will be delivered through the Carer Gateway by third party providers.</w:t>
      </w:r>
      <w:r w:rsidR="00E72FD5">
        <w:t xml:space="preserve"> </w:t>
      </w:r>
    </w:p>
    <w:p w14:paraId="6F3015F8" w14:textId="0616DF45" w:rsidR="00830520" w:rsidRDefault="00830520" w:rsidP="00830520">
      <w:r>
        <w:t>Carer coaching (Self-guided format) - actively promoting this service to clients which will be delivered through the Carer Gateway by third party providers</w:t>
      </w:r>
    </w:p>
    <w:p w14:paraId="7723CE84" w14:textId="28215F96" w:rsidR="00830520" w:rsidRPr="0034736D" w:rsidRDefault="00830520" w:rsidP="00C7538C">
      <w:pPr>
        <w:rPr>
          <w:b/>
          <w:sz w:val="24"/>
          <w:szCs w:val="24"/>
        </w:rPr>
      </w:pPr>
      <w:r>
        <w:rPr>
          <w:b/>
          <w:sz w:val="24"/>
          <w:szCs w:val="24"/>
        </w:rPr>
        <w:t>ANCILLARY ACTIVITIES</w:t>
      </w:r>
    </w:p>
    <w:p w14:paraId="2FB6F605" w14:textId="23373C7B" w:rsidR="00C7538C" w:rsidRDefault="00974F9C" w:rsidP="00C7538C">
      <w:r>
        <w:rPr>
          <w:b/>
        </w:rPr>
        <w:t xml:space="preserve">Service Area Planning and </w:t>
      </w:r>
      <w:r w:rsidR="00C7538C" w:rsidRPr="00C63607">
        <w:rPr>
          <w:b/>
        </w:rPr>
        <w:t>Outreach</w:t>
      </w:r>
      <w:r w:rsidR="00C7538C">
        <w:t xml:space="preserve"> </w:t>
      </w:r>
      <w:r>
        <w:t>–</w:t>
      </w:r>
      <w:r w:rsidR="00C7538C">
        <w:t xml:space="preserve"> </w:t>
      </w:r>
      <w:r>
        <w:t>undertake mapping of the services which exist in your service area which are of benefit to carers.</w:t>
      </w:r>
      <w:r w:rsidR="00E72FD5">
        <w:t xml:space="preserve"> </w:t>
      </w:r>
      <w:r>
        <w:t>U</w:t>
      </w:r>
      <w:r w:rsidR="00C7538C">
        <w:t xml:space="preserve">ndertake promotional and profile raising activities which aim to reduce the barriers which prevent disconnected or hidden potential service users and carers accessing the services they need. </w:t>
      </w:r>
    </w:p>
    <w:p w14:paraId="1908F975" w14:textId="77777777" w:rsidR="00C7538C" w:rsidRDefault="00C7538C" w:rsidP="00C7538C">
      <w:r w:rsidRPr="00C63607">
        <w:rPr>
          <w:b/>
        </w:rPr>
        <w:t>Establ</w:t>
      </w:r>
      <w:r w:rsidR="00C63607" w:rsidRPr="00C63607">
        <w:rPr>
          <w:b/>
        </w:rPr>
        <w:t>ishment</w:t>
      </w:r>
      <w:r w:rsidR="00C63607">
        <w:rPr>
          <w:b/>
        </w:rPr>
        <w:t xml:space="preserve"> </w:t>
      </w:r>
      <w:r w:rsidR="00C63607" w:rsidRPr="00C63607">
        <w:t xml:space="preserve">– one-off activities to ensure its operational readiness to deliver Activities </w:t>
      </w:r>
    </w:p>
    <w:p w14:paraId="0856B69A" w14:textId="77777777" w:rsidR="00C63607" w:rsidRPr="00C63607" w:rsidRDefault="00C63607" w:rsidP="00C7538C">
      <w:r w:rsidRPr="00C63607">
        <w:rPr>
          <w:b/>
        </w:rPr>
        <w:t>Transition</w:t>
      </w:r>
      <w:r w:rsidR="00F109CE">
        <w:rPr>
          <w:b/>
        </w:rPr>
        <w:t xml:space="preserve"> </w:t>
      </w:r>
      <w:r w:rsidR="00F109CE" w:rsidRPr="00F109CE">
        <w:t xml:space="preserve">– </w:t>
      </w:r>
      <w:r>
        <w:rPr>
          <w:rFonts w:cstheme="minorHAnsi"/>
        </w:rPr>
        <w:t>one-off activity to support the transition of Activities in the event of expiry or termination of the DSS Grant Agreement</w:t>
      </w:r>
      <w:r w:rsidR="00F109CE">
        <w:rPr>
          <w:rFonts w:cstheme="minorHAnsi"/>
        </w:rPr>
        <w:t>.</w:t>
      </w:r>
    </w:p>
    <w:p w14:paraId="2374D6C0" w14:textId="77777777" w:rsidR="000A340D" w:rsidRDefault="000A340D" w:rsidP="00C7538C">
      <w:r w:rsidRPr="004F67E7">
        <w:rPr>
          <w:b/>
        </w:rPr>
        <w:t>Carer Gateway Website</w:t>
      </w:r>
      <w:r>
        <w:t xml:space="preserve"> – actively promote and assist carers in accessing the Carer Gateway Website</w:t>
      </w:r>
      <w:r w:rsidR="00E90D32">
        <w:t>.</w:t>
      </w:r>
    </w:p>
    <w:p w14:paraId="664EECCA" w14:textId="77777777" w:rsidR="00342BBB" w:rsidRPr="0008683F" w:rsidRDefault="006471F3" w:rsidP="00342BBB">
      <w:pPr>
        <w:spacing w:after="120" w:line="259" w:lineRule="auto"/>
        <w:rPr>
          <w:rFonts w:cstheme="minorHAnsi"/>
          <w:b/>
        </w:rPr>
      </w:pPr>
      <w:r>
        <w:rPr>
          <w:rFonts w:cstheme="minorHAnsi"/>
          <w:b/>
        </w:rPr>
        <w:t>As part of delivering the services above y</w:t>
      </w:r>
      <w:r w:rsidR="00342BBB" w:rsidRPr="0008683F">
        <w:rPr>
          <w:rFonts w:cstheme="minorHAnsi"/>
          <w:b/>
        </w:rPr>
        <w:t xml:space="preserve">ou can use the Grant to pay for: </w:t>
      </w:r>
    </w:p>
    <w:p w14:paraId="7CDEF777" w14:textId="77777777" w:rsidR="00BF6901" w:rsidRDefault="00BF6901" w:rsidP="00B64CD9">
      <w:pPr>
        <w:pStyle w:val="ListParagraph"/>
        <w:numPr>
          <w:ilvl w:val="0"/>
          <w:numId w:val="20"/>
        </w:numPr>
        <w:spacing w:after="120" w:line="259" w:lineRule="auto"/>
        <w:rPr>
          <w:rFonts w:asciiTheme="minorHAnsi" w:hAnsiTheme="minorHAnsi" w:cstheme="minorHAnsi"/>
        </w:rPr>
      </w:pPr>
      <w:r w:rsidRPr="00BF6901">
        <w:rPr>
          <w:rFonts w:asciiTheme="minorHAnsi" w:hAnsiTheme="minorHAnsi" w:cstheme="minorHAnsi"/>
        </w:rPr>
        <w:t>resources, operational policies, infrastructure to establish your business model</w:t>
      </w:r>
      <w:r>
        <w:rPr>
          <w:rFonts w:asciiTheme="minorHAnsi" w:hAnsiTheme="minorHAnsi" w:cstheme="minorHAnsi"/>
        </w:rPr>
        <w:t>;</w:t>
      </w:r>
    </w:p>
    <w:p w14:paraId="10C89AA0" w14:textId="77777777" w:rsidR="00F35092" w:rsidRPr="00F35092" w:rsidRDefault="00F35092" w:rsidP="00B64CD9">
      <w:pPr>
        <w:pStyle w:val="ListParagraph"/>
        <w:numPr>
          <w:ilvl w:val="0"/>
          <w:numId w:val="20"/>
        </w:numPr>
        <w:spacing w:after="160" w:line="259" w:lineRule="auto"/>
        <w:rPr>
          <w:rFonts w:asciiTheme="minorHAnsi" w:hAnsiTheme="minorHAnsi" w:cstheme="minorHAnsi"/>
        </w:rPr>
      </w:pPr>
      <w:r w:rsidRPr="00F35092">
        <w:rPr>
          <w:rFonts w:asciiTheme="minorHAnsi" w:hAnsiTheme="minorHAnsi" w:cstheme="minorHAnsi"/>
        </w:rPr>
        <w:t>operat</w:t>
      </w:r>
      <w:r w:rsidR="006B1C6B">
        <w:rPr>
          <w:rFonts w:asciiTheme="minorHAnsi" w:hAnsiTheme="minorHAnsi" w:cstheme="minorHAnsi"/>
        </w:rPr>
        <w:t>ing the</w:t>
      </w:r>
      <w:r w:rsidRPr="00F35092">
        <w:rPr>
          <w:rFonts w:asciiTheme="minorHAnsi" w:hAnsiTheme="minorHAnsi" w:cstheme="minorHAnsi"/>
        </w:rPr>
        <w:t xml:space="preserve"> business model in a way that maximises contribution to the outcomes the Australian Government is seeking to achieve through its commissioning of the ICSS;</w:t>
      </w:r>
    </w:p>
    <w:p w14:paraId="7AE0B27B" w14:textId="77777777" w:rsidR="00342BBB" w:rsidRPr="00342BBB" w:rsidRDefault="00342BBB" w:rsidP="00B64CD9">
      <w:pPr>
        <w:pStyle w:val="ListParagraph"/>
        <w:numPr>
          <w:ilvl w:val="0"/>
          <w:numId w:val="20"/>
        </w:numPr>
        <w:spacing w:after="120" w:line="259" w:lineRule="auto"/>
        <w:rPr>
          <w:rFonts w:asciiTheme="minorHAnsi" w:hAnsiTheme="minorHAnsi" w:cstheme="minorHAnsi"/>
        </w:rPr>
      </w:pPr>
      <w:r w:rsidRPr="00342BBB">
        <w:rPr>
          <w:rFonts w:asciiTheme="minorHAnsi" w:hAnsiTheme="minorHAnsi" w:cstheme="minorHAnsi"/>
        </w:rPr>
        <w:t xml:space="preserve">staff salaries and on-costs that can be directly attributed to the provision of </w:t>
      </w:r>
      <w:r w:rsidR="006B1C6B">
        <w:rPr>
          <w:rFonts w:asciiTheme="minorHAnsi" w:hAnsiTheme="minorHAnsi" w:cstheme="minorHAnsi"/>
        </w:rPr>
        <w:t>a</w:t>
      </w:r>
      <w:r w:rsidRPr="00342BBB">
        <w:rPr>
          <w:rFonts w:asciiTheme="minorHAnsi" w:hAnsiTheme="minorHAnsi" w:cstheme="minorHAnsi"/>
        </w:rPr>
        <w:t xml:space="preserve">ctivities in your allocated </w:t>
      </w:r>
      <w:r w:rsidR="006F0218">
        <w:rPr>
          <w:rFonts w:asciiTheme="minorHAnsi" w:hAnsiTheme="minorHAnsi" w:cstheme="minorHAnsi"/>
        </w:rPr>
        <w:t>s</w:t>
      </w:r>
      <w:r w:rsidRPr="00342BBB">
        <w:rPr>
          <w:rFonts w:asciiTheme="minorHAnsi" w:hAnsiTheme="minorHAnsi" w:cstheme="minorHAnsi"/>
        </w:rPr>
        <w:t xml:space="preserve">ervice </w:t>
      </w:r>
      <w:r w:rsidR="006F0218">
        <w:rPr>
          <w:rFonts w:asciiTheme="minorHAnsi" w:hAnsiTheme="minorHAnsi" w:cstheme="minorHAnsi"/>
        </w:rPr>
        <w:t>a</w:t>
      </w:r>
      <w:r w:rsidRPr="00342BBB">
        <w:rPr>
          <w:rFonts w:asciiTheme="minorHAnsi" w:hAnsiTheme="minorHAnsi" w:cstheme="minorHAnsi"/>
        </w:rPr>
        <w:t xml:space="preserve">rea; </w:t>
      </w:r>
    </w:p>
    <w:p w14:paraId="192C0808" w14:textId="77777777" w:rsidR="00342BBB" w:rsidRPr="00342BBB" w:rsidRDefault="00342BBB" w:rsidP="00B64CD9">
      <w:pPr>
        <w:pStyle w:val="ListParagraph"/>
        <w:numPr>
          <w:ilvl w:val="0"/>
          <w:numId w:val="20"/>
        </w:numPr>
        <w:spacing w:after="120" w:line="259" w:lineRule="auto"/>
        <w:rPr>
          <w:rFonts w:asciiTheme="minorHAnsi" w:hAnsiTheme="minorHAnsi" w:cstheme="minorHAnsi"/>
        </w:rPr>
      </w:pPr>
      <w:r w:rsidRPr="00342BBB">
        <w:rPr>
          <w:rFonts w:asciiTheme="minorHAnsi" w:hAnsiTheme="minorHAnsi" w:cstheme="minorHAnsi"/>
        </w:rPr>
        <w:t>employee training for paid and unpaid staff including Committee and Board members</w:t>
      </w:r>
      <w:r w:rsidR="00335DE5">
        <w:rPr>
          <w:rFonts w:asciiTheme="minorHAnsi" w:hAnsiTheme="minorHAnsi" w:cstheme="minorHAnsi"/>
        </w:rPr>
        <w:t>;</w:t>
      </w:r>
      <w:r w:rsidRPr="00342BBB">
        <w:rPr>
          <w:rFonts w:asciiTheme="minorHAnsi" w:hAnsiTheme="minorHAnsi" w:cstheme="minorHAnsi"/>
        </w:rPr>
        <w:t xml:space="preserve"> </w:t>
      </w:r>
      <w:r w:rsidR="001A4B3C">
        <w:rPr>
          <w:rFonts w:asciiTheme="minorHAnsi" w:hAnsiTheme="minorHAnsi" w:cstheme="minorHAnsi"/>
        </w:rPr>
        <w:t>and</w:t>
      </w:r>
    </w:p>
    <w:p w14:paraId="493CCB62" w14:textId="09F5C117" w:rsidR="00342BBB" w:rsidRPr="00342BBB" w:rsidRDefault="00342BBB" w:rsidP="00B64CD9">
      <w:pPr>
        <w:pStyle w:val="ListParagraph"/>
        <w:numPr>
          <w:ilvl w:val="0"/>
          <w:numId w:val="20"/>
        </w:numPr>
        <w:spacing w:after="120" w:line="259" w:lineRule="auto"/>
        <w:rPr>
          <w:rFonts w:asciiTheme="minorHAnsi" w:hAnsiTheme="minorHAnsi" w:cstheme="minorHAnsi"/>
        </w:rPr>
      </w:pPr>
      <w:r w:rsidRPr="00342BBB">
        <w:rPr>
          <w:rFonts w:asciiTheme="minorHAnsi" w:hAnsiTheme="minorHAnsi" w:cstheme="minorHAnsi"/>
        </w:rPr>
        <w:t>operating and administration expenses directly related to the delivery of Activities</w:t>
      </w:r>
      <w:r w:rsidR="006420B3">
        <w:rPr>
          <w:rFonts w:asciiTheme="minorHAnsi" w:hAnsiTheme="minorHAnsi" w:cstheme="minorHAnsi"/>
        </w:rPr>
        <w:t>.</w:t>
      </w:r>
      <w:r w:rsidR="00E72FD5">
        <w:rPr>
          <w:rFonts w:asciiTheme="minorHAnsi" w:hAnsiTheme="minorHAnsi" w:cstheme="minorHAnsi"/>
        </w:rPr>
        <w:t xml:space="preserve"> </w:t>
      </w:r>
      <w:r w:rsidR="006420B3">
        <w:rPr>
          <w:rFonts w:asciiTheme="minorHAnsi" w:hAnsiTheme="minorHAnsi" w:cstheme="minorHAnsi"/>
        </w:rPr>
        <w:t>Examples include</w:t>
      </w:r>
      <w:r w:rsidR="00335DE5">
        <w:rPr>
          <w:rFonts w:asciiTheme="minorHAnsi" w:hAnsiTheme="minorHAnsi" w:cstheme="minorHAnsi"/>
        </w:rPr>
        <w:t>:</w:t>
      </w:r>
    </w:p>
    <w:p w14:paraId="3C535C72" w14:textId="77777777" w:rsidR="00342BBB" w:rsidRPr="00342BBB" w:rsidRDefault="00342BBB" w:rsidP="00B64CD9">
      <w:pPr>
        <w:pStyle w:val="ListParagraph"/>
        <w:numPr>
          <w:ilvl w:val="1"/>
          <w:numId w:val="20"/>
        </w:numPr>
        <w:spacing w:after="120" w:line="259" w:lineRule="auto"/>
        <w:rPr>
          <w:rFonts w:asciiTheme="minorHAnsi" w:hAnsiTheme="minorHAnsi" w:cstheme="minorHAnsi"/>
        </w:rPr>
      </w:pPr>
      <w:r w:rsidRPr="00342BBB">
        <w:rPr>
          <w:rFonts w:asciiTheme="minorHAnsi" w:hAnsiTheme="minorHAnsi" w:cstheme="minorHAnsi"/>
        </w:rPr>
        <w:t xml:space="preserve">computer/ IT/website/software; </w:t>
      </w:r>
    </w:p>
    <w:p w14:paraId="650E6631" w14:textId="77777777" w:rsidR="00342BBB" w:rsidRPr="00342BBB" w:rsidRDefault="00342BBB" w:rsidP="00B64CD9">
      <w:pPr>
        <w:pStyle w:val="ListParagraph"/>
        <w:numPr>
          <w:ilvl w:val="1"/>
          <w:numId w:val="20"/>
        </w:numPr>
        <w:spacing w:after="120" w:line="259" w:lineRule="auto"/>
        <w:rPr>
          <w:rFonts w:asciiTheme="minorHAnsi" w:hAnsiTheme="minorHAnsi" w:cstheme="minorHAnsi"/>
        </w:rPr>
      </w:pPr>
      <w:r w:rsidRPr="00342BBB">
        <w:rPr>
          <w:rFonts w:asciiTheme="minorHAnsi" w:hAnsiTheme="minorHAnsi" w:cstheme="minorHAnsi"/>
        </w:rPr>
        <w:t xml:space="preserve">insurance; </w:t>
      </w:r>
    </w:p>
    <w:p w14:paraId="74734B67" w14:textId="77777777" w:rsidR="00342BBB" w:rsidRPr="00342BBB" w:rsidRDefault="00342BBB" w:rsidP="00B64CD9">
      <w:pPr>
        <w:pStyle w:val="ListParagraph"/>
        <w:numPr>
          <w:ilvl w:val="1"/>
          <w:numId w:val="20"/>
        </w:numPr>
        <w:spacing w:after="120" w:line="259" w:lineRule="auto"/>
        <w:rPr>
          <w:rFonts w:asciiTheme="minorHAnsi" w:hAnsiTheme="minorHAnsi" w:cstheme="minorHAnsi"/>
        </w:rPr>
      </w:pPr>
      <w:r w:rsidRPr="00342BBB">
        <w:rPr>
          <w:rFonts w:asciiTheme="minorHAnsi" w:hAnsiTheme="minorHAnsi" w:cstheme="minorHAnsi"/>
        </w:rPr>
        <w:t xml:space="preserve">utilities; </w:t>
      </w:r>
    </w:p>
    <w:p w14:paraId="062093F3" w14:textId="77777777" w:rsidR="00342BBB" w:rsidRPr="00342BBB" w:rsidRDefault="00342BBB" w:rsidP="00B64CD9">
      <w:pPr>
        <w:pStyle w:val="ListParagraph"/>
        <w:numPr>
          <w:ilvl w:val="1"/>
          <w:numId w:val="20"/>
        </w:numPr>
        <w:spacing w:after="120" w:line="259" w:lineRule="auto"/>
        <w:rPr>
          <w:rFonts w:asciiTheme="minorHAnsi" w:hAnsiTheme="minorHAnsi" w:cstheme="minorHAnsi"/>
        </w:rPr>
      </w:pPr>
      <w:r w:rsidRPr="00342BBB">
        <w:rPr>
          <w:rFonts w:asciiTheme="minorHAnsi" w:hAnsiTheme="minorHAnsi" w:cstheme="minorHAnsi"/>
        </w:rPr>
        <w:t xml:space="preserve">postage; </w:t>
      </w:r>
    </w:p>
    <w:p w14:paraId="2AD8898D" w14:textId="77777777" w:rsidR="00342BBB" w:rsidRPr="00342BBB" w:rsidRDefault="00342BBB" w:rsidP="00B64CD9">
      <w:pPr>
        <w:pStyle w:val="ListParagraph"/>
        <w:numPr>
          <w:ilvl w:val="1"/>
          <w:numId w:val="20"/>
        </w:numPr>
        <w:spacing w:after="120" w:line="259" w:lineRule="auto"/>
        <w:rPr>
          <w:rFonts w:asciiTheme="minorHAnsi" w:hAnsiTheme="minorHAnsi" w:cstheme="minorHAnsi"/>
        </w:rPr>
      </w:pPr>
      <w:r w:rsidRPr="00342BBB">
        <w:rPr>
          <w:rFonts w:asciiTheme="minorHAnsi" w:hAnsiTheme="minorHAnsi" w:cstheme="minorHAnsi"/>
        </w:rPr>
        <w:t xml:space="preserve">stationery and printing; </w:t>
      </w:r>
    </w:p>
    <w:p w14:paraId="5021A982" w14:textId="77777777" w:rsidR="00342BBB" w:rsidRPr="00342BBB" w:rsidRDefault="00342BBB" w:rsidP="00B64CD9">
      <w:pPr>
        <w:pStyle w:val="ListParagraph"/>
        <w:numPr>
          <w:ilvl w:val="1"/>
          <w:numId w:val="20"/>
        </w:numPr>
        <w:spacing w:after="120" w:line="259" w:lineRule="auto"/>
        <w:rPr>
          <w:rFonts w:asciiTheme="minorHAnsi" w:hAnsiTheme="minorHAnsi" w:cstheme="minorHAnsi"/>
        </w:rPr>
      </w:pPr>
      <w:r w:rsidRPr="00342BBB">
        <w:rPr>
          <w:rFonts w:asciiTheme="minorHAnsi" w:hAnsiTheme="minorHAnsi" w:cstheme="minorHAnsi"/>
        </w:rPr>
        <w:t xml:space="preserve">accounting and auditing; </w:t>
      </w:r>
    </w:p>
    <w:p w14:paraId="3670BE6A" w14:textId="77777777" w:rsidR="00342BBB" w:rsidRPr="00342BBB" w:rsidRDefault="00342BBB" w:rsidP="00B64CD9">
      <w:pPr>
        <w:pStyle w:val="ListParagraph"/>
        <w:numPr>
          <w:ilvl w:val="1"/>
          <w:numId w:val="20"/>
        </w:numPr>
        <w:spacing w:after="120" w:line="259" w:lineRule="auto"/>
        <w:rPr>
          <w:rFonts w:asciiTheme="minorHAnsi" w:hAnsiTheme="minorHAnsi" w:cstheme="minorHAnsi"/>
        </w:rPr>
      </w:pPr>
      <w:r w:rsidRPr="00342BBB">
        <w:rPr>
          <w:rFonts w:asciiTheme="minorHAnsi" w:hAnsiTheme="minorHAnsi" w:cstheme="minorHAnsi"/>
        </w:rPr>
        <w:t>travel/accommodation costs</w:t>
      </w:r>
      <w:r w:rsidR="00420E34">
        <w:rPr>
          <w:rFonts w:asciiTheme="minorHAnsi" w:hAnsiTheme="minorHAnsi" w:cstheme="minorHAnsi"/>
        </w:rPr>
        <w:t xml:space="preserve"> for domestic travel for staff directly relating to the delivery of services</w:t>
      </w:r>
      <w:r w:rsidR="00A933CA">
        <w:rPr>
          <w:rFonts w:asciiTheme="minorHAnsi" w:hAnsiTheme="minorHAnsi" w:cstheme="minorHAnsi"/>
        </w:rPr>
        <w:t>;</w:t>
      </w:r>
      <w:r w:rsidRPr="00342BBB">
        <w:rPr>
          <w:rFonts w:asciiTheme="minorHAnsi" w:hAnsiTheme="minorHAnsi" w:cstheme="minorHAnsi"/>
        </w:rPr>
        <w:t xml:space="preserve"> </w:t>
      </w:r>
    </w:p>
    <w:p w14:paraId="1E45A859" w14:textId="77777777" w:rsidR="00342BBB" w:rsidRPr="00342BBB" w:rsidRDefault="00342BBB" w:rsidP="00B64CD9">
      <w:pPr>
        <w:pStyle w:val="ListParagraph"/>
        <w:numPr>
          <w:ilvl w:val="1"/>
          <w:numId w:val="20"/>
        </w:numPr>
        <w:spacing w:after="120" w:line="259" w:lineRule="auto"/>
        <w:rPr>
          <w:rFonts w:asciiTheme="minorHAnsi" w:hAnsiTheme="minorHAnsi" w:cstheme="minorHAnsi"/>
        </w:rPr>
      </w:pPr>
      <w:r w:rsidRPr="00342BBB">
        <w:rPr>
          <w:rFonts w:asciiTheme="minorHAnsi" w:hAnsiTheme="minorHAnsi" w:cstheme="minorHAnsi"/>
        </w:rPr>
        <w:t xml:space="preserve">assets as defined in the Terms and Conditions that can be reasonably attributed to meeting agreement deliverables; and </w:t>
      </w:r>
    </w:p>
    <w:p w14:paraId="71582EE1" w14:textId="77777777" w:rsidR="00F35092" w:rsidRDefault="00342BBB" w:rsidP="00B64CD9">
      <w:pPr>
        <w:pStyle w:val="ListParagraph"/>
        <w:numPr>
          <w:ilvl w:val="1"/>
          <w:numId w:val="20"/>
        </w:numPr>
        <w:spacing w:after="120" w:line="259" w:lineRule="auto"/>
      </w:pPr>
      <w:r w:rsidRPr="00342BBB">
        <w:rPr>
          <w:rFonts w:asciiTheme="minorHAnsi" w:hAnsiTheme="minorHAnsi" w:cstheme="minorHAnsi"/>
        </w:rPr>
        <w:t xml:space="preserve">up to </w:t>
      </w:r>
      <w:r w:rsidR="004D0B83">
        <w:rPr>
          <w:rFonts w:asciiTheme="minorHAnsi" w:hAnsiTheme="minorHAnsi" w:cstheme="minorHAnsi"/>
        </w:rPr>
        <w:t>ten</w:t>
      </w:r>
      <w:r w:rsidRPr="00342BBB">
        <w:rPr>
          <w:rFonts w:asciiTheme="minorHAnsi" w:hAnsiTheme="minorHAnsi" w:cstheme="minorHAnsi"/>
        </w:rPr>
        <w:t xml:space="preserve"> per cent of the Grant can be used to invest in continuous improvement activities (such as trialling new services that will contribute to the ICSS outcomes).</w:t>
      </w:r>
    </w:p>
    <w:p w14:paraId="5F0B51B1" w14:textId="77777777" w:rsidR="00340616" w:rsidRDefault="00340616" w:rsidP="00EB542E">
      <w:pPr>
        <w:pStyle w:val="Heading2Numbered"/>
        <w:ind w:left="426"/>
      </w:pPr>
      <w:bookmarkStart w:id="31" w:name="_Toc530058185"/>
      <w:r w:rsidRPr="00B72EE8">
        <w:t xml:space="preserve">What </w:t>
      </w:r>
      <w:r>
        <w:t>the grant money cannot be used for</w:t>
      </w:r>
      <w:bookmarkEnd w:id="30"/>
      <w:bookmarkEnd w:id="31"/>
    </w:p>
    <w:p w14:paraId="5049D921" w14:textId="77777777" w:rsidR="00F314F9" w:rsidRPr="00E937E3" w:rsidRDefault="00F314F9" w:rsidP="00F314F9">
      <w:pPr>
        <w:spacing w:after="120"/>
      </w:pPr>
      <w:r>
        <w:t xml:space="preserve">You cannot use </w:t>
      </w:r>
      <w:r w:rsidRPr="00E937E3">
        <w:t xml:space="preserve">the </w:t>
      </w:r>
      <w:r>
        <w:t>G</w:t>
      </w:r>
      <w:r w:rsidRPr="00E937E3">
        <w:t xml:space="preserve">rant for the following activities: </w:t>
      </w:r>
    </w:p>
    <w:p w14:paraId="3C1B9B0F" w14:textId="77777777" w:rsidR="00F314F9" w:rsidRPr="00C6741B" w:rsidRDefault="00F314F9" w:rsidP="00B64CD9">
      <w:pPr>
        <w:pStyle w:val="ListParagraph"/>
        <w:numPr>
          <w:ilvl w:val="0"/>
          <w:numId w:val="20"/>
        </w:numPr>
        <w:spacing w:after="120" w:line="259" w:lineRule="auto"/>
        <w:rPr>
          <w:rFonts w:asciiTheme="minorHAnsi" w:hAnsiTheme="minorHAnsi" w:cstheme="minorHAnsi"/>
        </w:rPr>
      </w:pPr>
      <w:r w:rsidRPr="00C6741B">
        <w:rPr>
          <w:rFonts w:asciiTheme="minorHAnsi" w:hAnsiTheme="minorHAnsi" w:cstheme="minorHAnsi"/>
        </w:rPr>
        <w:t xml:space="preserve">purchase of land; </w:t>
      </w:r>
    </w:p>
    <w:p w14:paraId="0A1860A6" w14:textId="77777777" w:rsidR="00F314F9" w:rsidRPr="00C6741B" w:rsidRDefault="00F314F9" w:rsidP="00B64CD9">
      <w:pPr>
        <w:pStyle w:val="ListParagraph"/>
        <w:numPr>
          <w:ilvl w:val="0"/>
          <w:numId w:val="20"/>
        </w:numPr>
        <w:spacing w:after="120" w:line="259" w:lineRule="auto"/>
        <w:rPr>
          <w:rFonts w:asciiTheme="minorHAnsi" w:hAnsiTheme="minorHAnsi" w:cstheme="minorHAnsi"/>
        </w:rPr>
      </w:pPr>
      <w:r w:rsidRPr="00C6741B">
        <w:rPr>
          <w:rFonts w:asciiTheme="minorHAnsi" w:hAnsiTheme="minorHAnsi" w:cstheme="minorHAnsi"/>
        </w:rPr>
        <w:t xml:space="preserve">major capital expenditure (e.g. the purchase of motor vehicles); </w:t>
      </w:r>
    </w:p>
    <w:p w14:paraId="64407DBE" w14:textId="77777777" w:rsidR="00F314F9" w:rsidRPr="00C6741B" w:rsidRDefault="00F314F9" w:rsidP="00B64CD9">
      <w:pPr>
        <w:pStyle w:val="ListParagraph"/>
        <w:numPr>
          <w:ilvl w:val="0"/>
          <w:numId w:val="20"/>
        </w:numPr>
        <w:spacing w:after="120" w:line="259" w:lineRule="auto"/>
        <w:rPr>
          <w:rFonts w:asciiTheme="minorHAnsi" w:hAnsiTheme="minorHAnsi" w:cstheme="minorHAnsi"/>
        </w:rPr>
      </w:pPr>
      <w:r w:rsidRPr="00C6741B">
        <w:rPr>
          <w:rFonts w:asciiTheme="minorHAnsi" w:hAnsiTheme="minorHAnsi" w:cstheme="minorHAnsi"/>
        </w:rPr>
        <w:t xml:space="preserve">costs incurred in the preparation of a grant application or related documentation; </w:t>
      </w:r>
    </w:p>
    <w:p w14:paraId="1924E021" w14:textId="77777777" w:rsidR="00F314F9" w:rsidRPr="00C6741B" w:rsidRDefault="00F314F9" w:rsidP="00B64CD9">
      <w:pPr>
        <w:pStyle w:val="ListParagraph"/>
        <w:numPr>
          <w:ilvl w:val="0"/>
          <w:numId w:val="20"/>
        </w:numPr>
        <w:spacing w:after="120" w:line="259" w:lineRule="auto"/>
        <w:rPr>
          <w:rFonts w:asciiTheme="minorHAnsi" w:hAnsiTheme="minorHAnsi" w:cstheme="minorHAnsi"/>
        </w:rPr>
      </w:pPr>
      <w:r w:rsidRPr="00C6741B">
        <w:rPr>
          <w:rFonts w:asciiTheme="minorHAnsi" w:hAnsiTheme="minorHAnsi" w:cstheme="minorHAnsi"/>
        </w:rPr>
        <w:t>subsidy of general ongoing administration costs such as electricity, phone and rent;</w:t>
      </w:r>
    </w:p>
    <w:p w14:paraId="36B7205D" w14:textId="3B172B39" w:rsidR="00F314F9" w:rsidRPr="00C6741B" w:rsidRDefault="00F314F9" w:rsidP="00B64CD9">
      <w:pPr>
        <w:pStyle w:val="ListParagraph"/>
        <w:numPr>
          <w:ilvl w:val="0"/>
          <w:numId w:val="20"/>
        </w:numPr>
        <w:spacing w:after="120" w:line="259" w:lineRule="auto"/>
        <w:rPr>
          <w:rFonts w:asciiTheme="minorHAnsi" w:hAnsiTheme="minorHAnsi" w:cstheme="minorHAnsi"/>
        </w:rPr>
      </w:pPr>
      <w:r w:rsidRPr="00C6741B">
        <w:rPr>
          <w:rFonts w:asciiTheme="minorHAnsi" w:hAnsiTheme="minorHAnsi" w:cstheme="minorHAnsi"/>
        </w:rPr>
        <w:t>major construction/capital works;</w:t>
      </w:r>
      <w:r w:rsidR="00E72FD5">
        <w:rPr>
          <w:rFonts w:asciiTheme="minorHAnsi" w:hAnsiTheme="minorHAnsi" w:cstheme="minorHAnsi"/>
        </w:rPr>
        <w:t xml:space="preserve"> </w:t>
      </w:r>
    </w:p>
    <w:p w14:paraId="2A61697A" w14:textId="77777777" w:rsidR="00F314F9" w:rsidRPr="00C6741B" w:rsidRDefault="00F314F9" w:rsidP="00B64CD9">
      <w:pPr>
        <w:pStyle w:val="ListParagraph"/>
        <w:numPr>
          <w:ilvl w:val="0"/>
          <w:numId w:val="20"/>
        </w:numPr>
        <w:spacing w:after="120" w:line="259" w:lineRule="auto"/>
        <w:rPr>
          <w:rFonts w:asciiTheme="minorHAnsi" w:hAnsiTheme="minorHAnsi" w:cstheme="minorHAnsi"/>
        </w:rPr>
      </w:pPr>
      <w:r w:rsidRPr="00C6741B">
        <w:rPr>
          <w:rFonts w:asciiTheme="minorHAnsi" w:hAnsiTheme="minorHAnsi" w:cstheme="minorHAnsi"/>
        </w:rPr>
        <w:t>overseas travel;</w:t>
      </w:r>
    </w:p>
    <w:p w14:paraId="7618310D" w14:textId="77777777" w:rsidR="00F314F9" w:rsidRPr="00C6741B" w:rsidRDefault="00F314F9" w:rsidP="00B64CD9">
      <w:pPr>
        <w:pStyle w:val="ListParagraph"/>
        <w:numPr>
          <w:ilvl w:val="0"/>
          <w:numId w:val="20"/>
        </w:numPr>
        <w:spacing w:after="120" w:line="259" w:lineRule="auto"/>
        <w:rPr>
          <w:rFonts w:asciiTheme="minorHAnsi" w:hAnsiTheme="minorHAnsi" w:cstheme="minorHAnsi"/>
        </w:rPr>
      </w:pPr>
      <w:r w:rsidRPr="00C6741B">
        <w:rPr>
          <w:rFonts w:asciiTheme="minorHAnsi" w:hAnsiTheme="minorHAnsi" w:cstheme="minorHAnsi"/>
        </w:rPr>
        <w:t xml:space="preserve">the covering of retrospective costs; </w:t>
      </w:r>
    </w:p>
    <w:p w14:paraId="191EC7B8" w14:textId="70B6F590" w:rsidR="006420B3" w:rsidRDefault="00F314F9" w:rsidP="00B64CD9">
      <w:pPr>
        <w:pStyle w:val="ListParagraph"/>
        <w:numPr>
          <w:ilvl w:val="0"/>
          <w:numId w:val="20"/>
        </w:numPr>
        <w:spacing w:after="120" w:line="259" w:lineRule="auto"/>
        <w:rPr>
          <w:rFonts w:asciiTheme="minorHAnsi" w:hAnsiTheme="minorHAnsi" w:cstheme="minorHAnsi"/>
        </w:rPr>
      </w:pPr>
      <w:r w:rsidRPr="00C6741B">
        <w:rPr>
          <w:rFonts w:asciiTheme="minorHAnsi" w:hAnsiTheme="minorHAnsi" w:cstheme="minorHAnsi"/>
        </w:rPr>
        <w:t>activities for which other Commonwealth, State, Territory or Local Government bodies have primary responsibility</w:t>
      </w:r>
      <w:r w:rsidR="00C6741B">
        <w:rPr>
          <w:rFonts w:asciiTheme="minorHAnsi" w:hAnsiTheme="minorHAnsi" w:cstheme="minorHAnsi"/>
        </w:rPr>
        <w:t>;</w:t>
      </w:r>
      <w:r w:rsidR="00E61094">
        <w:rPr>
          <w:rFonts w:asciiTheme="minorHAnsi" w:hAnsiTheme="minorHAnsi" w:cstheme="minorHAnsi"/>
        </w:rPr>
        <w:t xml:space="preserve"> and</w:t>
      </w:r>
      <w:r w:rsidR="00C6741B">
        <w:rPr>
          <w:rFonts w:asciiTheme="minorHAnsi" w:hAnsiTheme="minorHAnsi" w:cstheme="minorHAnsi"/>
        </w:rPr>
        <w:t xml:space="preserve"> </w:t>
      </w:r>
    </w:p>
    <w:p w14:paraId="4CE0AB65" w14:textId="1257C535" w:rsidR="006420B3" w:rsidRDefault="006420B3" w:rsidP="00B64CD9">
      <w:pPr>
        <w:pStyle w:val="ListParagraph"/>
        <w:numPr>
          <w:ilvl w:val="0"/>
          <w:numId w:val="20"/>
        </w:numPr>
        <w:spacing w:after="120" w:line="259" w:lineRule="auto"/>
        <w:rPr>
          <w:rFonts w:asciiTheme="minorHAnsi" w:hAnsiTheme="minorHAnsi" w:cstheme="minorHAnsi"/>
        </w:rPr>
      </w:pPr>
      <w:r>
        <w:rPr>
          <w:rFonts w:asciiTheme="minorHAnsi" w:hAnsiTheme="minorHAnsi" w:cstheme="minorHAnsi"/>
        </w:rPr>
        <w:t xml:space="preserve">activities similar to ICSS that are funded by </w:t>
      </w:r>
      <w:r w:rsidRPr="00C6741B">
        <w:rPr>
          <w:rFonts w:asciiTheme="minorHAnsi" w:hAnsiTheme="minorHAnsi" w:cstheme="minorHAnsi"/>
        </w:rPr>
        <w:t>other Commonwealth, State, Territory or Local Government bodies</w:t>
      </w:r>
      <w:r w:rsidR="00E61094">
        <w:rPr>
          <w:rFonts w:asciiTheme="minorHAnsi" w:hAnsiTheme="minorHAnsi" w:cstheme="minorHAnsi"/>
        </w:rPr>
        <w:t>.</w:t>
      </w:r>
    </w:p>
    <w:p w14:paraId="6B562235" w14:textId="77777777" w:rsidR="00340616" w:rsidRPr="00B72EE8" w:rsidRDefault="00340616" w:rsidP="00EB542E">
      <w:pPr>
        <w:pStyle w:val="Heading1Numbered"/>
      </w:pPr>
      <w:bookmarkStart w:id="32" w:name="_Toc414983554"/>
      <w:bookmarkStart w:id="33" w:name="_Toc414983971"/>
      <w:bookmarkStart w:id="34" w:name="_Toc414984731"/>
      <w:bookmarkStart w:id="35" w:name="_Toc414984825"/>
      <w:bookmarkStart w:id="36" w:name="_Toc414984929"/>
      <w:bookmarkStart w:id="37" w:name="_Toc414985033"/>
      <w:bookmarkStart w:id="38" w:name="_Toc414985136"/>
      <w:bookmarkStart w:id="39" w:name="_Toc414985238"/>
      <w:bookmarkStart w:id="40" w:name="_Toc467773963"/>
      <w:bookmarkStart w:id="41" w:name="_Toc530058186"/>
      <w:bookmarkStart w:id="42" w:name="_Ref416444108"/>
      <w:bookmarkStart w:id="43" w:name="_Toc421777599"/>
      <w:bookmarkEnd w:id="32"/>
      <w:bookmarkEnd w:id="33"/>
      <w:bookmarkEnd w:id="34"/>
      <w:bookmarkEnd w:id="35"/>
      <w:bookmarkEnd w:id="36"/>
      <w:bookmarkEnd w:id="37"/>
      <w:bookmarkEnd w:id="38"/>
      <w:bookmarkEnd w:id="39"/>
      <w:r>
        <w:t>The grant s</w:t>
      </w:r>
      <w:r w:rsidRPr="00B72EE8">
        <w:t xml:space="preserve">election </w:t>
      </w:r>
      <w:r>
        <w:t>p</w:t>
      </w:r>
      <w:r w:rsidRPr="00B72EE8">
        <w:t>rocess</w:t>
      </w:r>
      <w:bookmarkEnd w:id="40"/>
      <w:bookmarkEnd w:id="41"/>
    </w:p>
    <w:p w14:paraId="626B28C3" w14:textId="3804E97F" w:rsidR="00340616" w:rsidRPr="00A632E3" w:rsidRDefault="00B96CBA" w:rsidP="00340616">
      <w:pPr>
        <w:rPr>
          <w:rFonts w:cstheme="minorHAnsi"/>
        </w:rPr>
      </w:pPr>
      <w:r w:rsidRPr="00A632E3">
        <w:rPr>
          <w:rFonts w:cstheme="minorHAnsi"/>
        </w:rPr>
        <w:t>First,</w:t>
      </w:r>
      <w:r w:rsidR="00340616" w:rsidRPr="00A632E3">
        <w:rPr>
          <w:rFonts w:cstheme="minorHAnsi"/>
        </w:rPr>
        <w:t xml:space="preserve"> we will assess your application against the eligibility criteria. Only eligible applications will move to the next stage. Eligible applications will be considered through an </w:t>
      </w:r>
      <w:r w:rsidR="00340616" w:rsidRPr="0092257C">
        <w:rPr>
          <w:rFonts w:cstheme="minorHAnsi"/>
        </w:rPr>
        <w:t xml:space="preserve">open </w:t>
      </w:r>
      <w:r w:rsidR="00340616" w:rsidRPr="00A632E3">
        <w:rPr>
          <w:rFonts w:cstheme="minorHAnsi"/>
        </w:rPr>
        <w:t>competitive grant process.</w:t>
      </w:r>
    </w:p>
    <w:p w14:paraId="4407B50E" w14:textId="38F2049F" w:rsidR="00340616" w:rsidRPr="00A632E3" w:rsidRDefault="00340616" w:rsidP="00A632E3">
      <w:pPr>
        <w:pStyle w:val="Bullet1"/>
        <w:numPr>
          <w:ilvl w:val="0"/>
          <w:numId w:val="0"/>
        </w:numPr>
      </w:pPr>
      <w:r w:rsidRPr="00A632E3">
        <w:rPr>
          <w:rFonts w:cstheme="minorHAnsi"/>
        </w:rPr>
        <w:t xml:space="preserve">We will then assess your application against the criteria set out below </w:t>
      </w:r>
      <w:r w:rsidR="007C36D2">
        <w:rPr>
          <w:rFonts w:cstheme="minorHAnsi"/>
        </w:rPr>
        <w:t xml:space="preserve">(in Section 6) </w:t>
      </w:r>
      <w:r w:rsidRPr="00A632E3">
        <w:rPr>
          <w:rFonts w:cstheme="minorHAnsi"/>
        </w:rPr>
        <w:t xml:space="preserve">and against other applications. Your application will be considered on its merits, based </w:t>
      </w:r>
      <w:r w:rsidRPr="00A632E3">
        <w:t>on:</w:t>
      </w:r>
    </w:p>
    <w:p w14:paraId="76B9A95B" w14:textId="77777777" w:rsidR="00340616" w:rsidRPr="00A632E3" w:rsidRDefault="00340616" w:rsidP="00457D04">
      <w:pPr>
        <w:pStyle w:val="Bullet1"/>
        <w:ind w:left="709" w:hanging="283"/>
      </w:pPr>
      <w:r w:rsidRPr="00A632E3">
        <w:t>how well it meets the criteria</w:t>
      </w:r>
      <w:r w:rsidR="00073E1B">
        <w:t>;</w:t>
      </w:r>
      <w:r w:rsidRPr="00A632E3">
        <w:t xml:space="preserve"> </w:t>
      </w:r>
    </w:p>
    <w:p w14:paraId="4BA30F01" w14:textId="77777777" w:rsidR="00340616" w:rsidRPr="00A632E3" w:rsidRDefault="00340616" w:rsidP="00457D04">
      <w:pPr>
        <w:pStyle w:val="Bullet1"/>
        <w:ind w:left="709" w:hanging="283"/>
      </w:pPr>
      <w:r w:rsidRPr="00A632E3">
        <w:t>how it compares to other applications</w:t>
      </w:r>
      <w:r w:rsidR="00073E1B">
        <w:t>;</w:t>
      </w:r>
      <w:r w:rsidRPr="00A632E3">
        <w:t xml:space="preserve"> </w:t>
      </w:r>
    </w:p>
    <w:p w14:paraId="49837872" w14:textId="77777777" w:rsidR="005D447C" w:rsidRDefault="00340616" w:rsidP="00457D04">
      <w:pPr>
        <w:pStyle w:val="Bullet1"/>
        <w:ind w:left="709" w:hanging="283"/>
      </w:pPr>
      <w:r w:rsidRPr="00A632E3">
        <w:t>whether it provides value for money</w:t>
      </w:r>
      <w:r w:rsidR="004567F2">
        <w:t>;</w:t>
      </w:r>
      <w:r w:rsidR="005D447C">
        <w:t xml:space="preserve"> and</w:t>
      </w:r>
    </w:p>
    <w:p w14:paraId="53B09A82" w14:textId="77777777" w:rsidR="00340616" w:rsidRDefault="005D447C" w:rsidP="00457D04">
      <w:pPr>
        <w:pStyle w:val="Bullet1"/>
        <w:ind w:left="709" w:hanging="283"/>
      </w:pPr>
      <w:r>
        <w:t>the mix of RDP applications in relation to the service area coverage required.</w:t>
      </w:r>
    </w:p>
    <w:p w14:paraId="3924590D" w14:textId="5790463E" w:rsidR="00457D04" w:rsidRDefault="00705A34" w:rsidP="00705A34">
      <w:pPr>
        <w:pStyle w:val="Bullet1"/>
        <w:numPr>
          <w:ilvl w:val="0"/>
          <w:numId w:val="0"/>
        </w:numPr>
      </w:pPr>
      <w:r>
        <w:t>If you submit more than one application for a service area within the application period, the most recent application will be the one that is considered as part of the grant selection process.</w:t>
      </w:r>
    </w:p>
    <w:p w14:paraId="427909CF" w14:textId="77777777" w:rsidR="00340616" w:rsidRPr="00B72EE8" w:rsidRDefault="00340616" w:rsidP="00EB542E">
      <w:pPr>
        <w:pStyle w:val="Heading1Numbered"/>
      </w:pPr>
      <w:bookmarkStart w:id="44" w:name="_Ref421697890"/>
      <w:bookmarkStart w:id="45" w:name="_Ref421697892"/>
      <w:bookmarkStart w:id="46" w:name="_Toc421777600"/>
      <w:bookmarkStart w:id="47" w:name="_Toc467773964"/>
      <w:bookmarkStart w:id="48" w:name="_Toc530058187"/>
      <w:bookmarkEnd w:id="42"/>
      <w:bookmarkEnd w:id="43"/>
      <w:r>
        <w:t>The a</w:t>
      </w:r>
      <w:r w:rsidRPr="00B72EE8">
        <w:t xml:space="preserve">ssessment </w:t>
      </w:r>
      <w:r>
        <w:t>c</w:t>
      </w:r>
      <w:r w:rsidRPr="00B72EE8">
        <w:t>riteria</w:t>
      </w:r>
      <w:bookmarkEnd w:id="44"/>
      <w:bookmarkEnd w:id="45"/>
      <w:bookmarkEnd w:id="46"/>
      <w:bookmarkEnd w:id="47"/>
      <w:bookmarkEnd w:id="48"/>
    </w:p>
    <w:p w14:paraId="387A2BFB" w14:textId="75262857" w:rsidR="00340616" w:rsidRDefault="00340616" w:rsidP="00340616">
      <w:r w:rsidRPr="00E44E21">
        <w:t xml:space="preserve">You will need to address </w:t>
      </w:r>
      <w:r w:rsidRPr="0092257C">
        <w:t xml:space="preserve">all of </w:t>
      </w:r>
      <w:r w:rsidRPr="00E44E21">
        <w:t xml:space="preserve">the following assessment criteria in your application. </w:t>
      </w:r>
      <w:r w:rsidR="00974F9C">
        <w:t xml:space="preserve">All </w:t>
      </w:r>
      <w:r w:rsidR="00C60F74">
        <w:t xml:space="preserve">criteria are weighted equally. </w:t>
      </w:r>
      <w:r w:rsidRPr="00E44E21">
        <w:t xml:space="preserve">The amount of detail and supporting evidence you provide in your application should be relative to the </w:t>
      </w:r>
      <w:r w:rsidR="00324AD0">
        <w:t xml:space="preserve">service area </w:t>
      </w:r>
      <w:r w:rsidRPr="00E44E21">
        <w:t xml:space="preserve">size, complexity and grant amount requested. </w:t>
      </w:r>
    </w:p>
    <w:p w14:paraId="41F61799" w14:textId="77777777" w:rsidR="003246B4" w:rsidRDefault="003246B4" w:rsidP="003246B4">
      <w:pPr>
        <w:pStyle w:val="TableText"/>
        <w:rPr>
          <w:b/>
          <w:sz w:val="22"/>
        </w:rPr>
      </w:pPr>
    </w:p>
    <w:p w14:paraId="18F41323" w14:textId="77777777" w:rsidR="00452B52" w:rsidRDefault="00452B52" w:rsidP="003246B4">
      <w:pPr>
        <w:pStyle w:val="TableText"/>
        <w:rPr>
          <w:rFonts w:cs="Arial"/>
          <w:lang w:val="en-GB"/>
        </w:rPr>
      </w:pPr>
      <w:r w:rsidRPr="00286CA5">
        <w:rPr>
          <w:b/>
          <w:sz w:val="22"/>
        </w:rPr>
        <w:t>Criterion 1:</w:t>
      </w:r>
      <w:r w:rsidRPr="00286CA5">
        <w:rPr>
          <w:sz w:val="22"/>
        </w:rPr>
        <w:t xml:space="preserve"> </w:t>
      </w:r>
      <w:r w:rsidRPr="00316591">
        <w:rPr>
          <w:b/>
          <w:sz w:val="22"/>
        </w:rPr>
        <w:t xml:space="preserve">Demonstrate the knowledge your organisation has of the RDP service area </w:t>
      </w:r>
      <w:r w:rsidR="00732515">
        <w:rPr>
          <w:b/>
          <w:sz w:val="22"/>
        </w:rPr>
        <w:t>you are applying for, and the ability to meet client needs.</w:t>
      </w:r>
    </w:p>
    <w:p w14:paraId="668EF549" w14:textId="77777777" w:rsidR="00452B52" w:rsidRDefault="00452B52" w:rsidP="00452B52">
      <w:pPr>
        <w:rPr>
          <w:rFonts w:cs="Arial"/>
          <w:lang w:val="en-GB"/>
        </w:rPr>
      </w:pPr>
      <w:r>
        <w:rPr>
          <w:rFonts w:cs="Arial"/>
          <w:lang w:val="en-GB"/>
        </w:rPr>
        <w:t xml:space="preserve">Your response </w:t>
      </w:r>
      <w:r w:rsidRPr="004C64BB">
        <w:rPr>
          <w:b/>
        </w:rPr>
        <w:t>must</w:t>
      </w:r>
      <w:r w:rsidRPr="00E44E21">
        <w:rPr>
          <w:rFonts w:cs="Arial"/>
          <w:lang w:val="en-GB"/>
        </w:rPr>
        <w:t xml:space="preserve"> include</w:t>
      </w:r>
      <w:r>
        <w:rPr>
          <w:rFonts w:cs="Arial"/>
          <w:lang w:val="en-GB"/>
        </w:rPr>
        <w:t xml:space="preserve"> details on the following:</w:t>
      </w:r>
    </w:p>
    <w:p w14:paraId="1564EDFA" w14:textId="77777777" w:rsidR="00452B52" w:rsidRDefault="00452B52" w:rsidP="00B64CD9">
      <w:pPr>
        <w:pStyle w:val="TableText"/>
        <w:numPr>
          <w:ilvl w:val="0"/>
          <w:numId w:val="23"/>
        </w:numPr>
        <w:suppressAutoHyphens w:val="0"/>
        <w:autoSpaceDE w:val="0"/>
        <w:autoSpaceDN w:val="0"/>
        <w:adjustRightInd w:val="0"/>
        <w:spacing w:line="240" w:lineRule="auto"/>
        <w:rPr>
          <w:rFonts w:cstheme="minorHAnsi"/>
          <w:sz w:val="22"/>
        </w:rPr>
      </w:pPr>
      <w:r w:rsidRPr="00324AD0">
        <w:rPr>
          <w:rFonts w:cstheme="minorHAnsi"/>
          <w:sz w:val="22"/>
        </w:rPr>
        <w:t>your operational</w:t>
      </w:r>
      <w:r w:rsidR="00324AD0" w:rsidRPr="00324AD0">
        <w:rPr>
          <w:rFonts w:cstheme="minorHAnsi"/>
          <w:sz w:val="22"/>
        </w:rPr>
        <w:t xml:space="preserve"> experience in the </w:t>
      </w:r>
      <w:r w:rsidR="00763B4D">
        <w:rPr>
          <w:rFonts w:cstheme="minorHAnsi"/>
          <w:sz w:val="22"/>
        </w:rPr>
        <w:t xml:space="preserve">RDP </w:t>
      </w:r>
      <w:r w:rsidR="00D20C44">
        <w:rPr>
          <w:rFonts w:cstheme="minorHAnsi"/>
          <w:sz w:val="22"/>
        </w:rPr>
        <w:t>s</w:t>
      </w:r>
      <w:r w:rsidR="00324AD0" w:rsidRPr="00324AD0">
        <w:rPr>
          <w:rFonts w:cstheme="minorHAnsi"/>
          <w:sz w:val="22"/>
        </w:rPr>
        <w:t xml:space="preserve">ervice </w:t>
      </w:r>
      <w:r w:rsidR="00D20C44">
        <w:rPr>
          <w:rFonts w:cstheme="minorHAnsi"/>
          <w:sz w:val="22"/>
        </w:rPr>
        <w:t>a</w:t>
      </w:r>
      <w:r w:rsidR="00324AD0" w:rsidRPr="00324AD0">
        <w:rPr>
          <w:rFonts w:cstheme="minorHAnsi"/>
          <w:sz w:val="22"/>
        </w:rPr>
        <w:t xml:space="preserve">rea, and </w:t>
      </w:r>
      <w:r w:rsidRPr="00324AD0">
        <w:rPr>
          <w:rFonts w:cstheme="minorHAnsi"/>
          <w:sz w:val="22"/>
        </w:rPr>
        <w:t xml:space="preserve">your knowledge of the carer-specific services available in the </w:t>
      </w:r>
      <w:r w:rsidR="00763B4D">
        <w:rPr>
          <w:rFonts w:cstheme="minorHAnsi"/>
          <w:sz w:val="22"/>
        </w:rPr>
        <w:t xml:space="preserve">RDP </w:t>
      </w:r>
      <w:r w:rsidR="00D20C44">
        <w:rPr>
          <w:rFonts w:cstheme="minorHAnsi"/>
          <w:sz w:val="22"/>
        </w:rPr>
        <w:t>s</w:t>
      </w:r>
      <w:r w:rsidRPr="00324AD0">
        <w:rPr>
          <w:rFonts w:cstheme="minorHAnsi"/>
          <w:sz w:val="22"/>
        </w:rPr>
        <w:t xml:space="preserve">ervice </w:t>
      </w:r>
      <w:r w:rsidR="00D20C44">
        <w:rPr>
          <w:rFonts w:cstheme="minorHAnsi"/>
          <w:sz w:val="22"/>
        </w:rPr>
        <w:t>a</w:t>
      </w:r>
      <w:r w:rsidRPr="00324AD0">
        <w:rPr>
          <w:rFonts w:cstheme="minorHAnsi"/>
          <w:sz w:val="22"/>
        </w:rPr>
        <w:t xml:space="preserve">rea; </w:t>
      </w:r>
    </w:p>
    <w:p w14:paraId="5C0A5E58" w14:textId="77777777" w:rsidR="008513E2" w:rsidRPr="009E27BA" w:rsidRDefault="008513E2" w:rsidP="00B64CD9">
      <w:pPr>
        <w:pStyle w:val="TableText"/>
        <w:numPr>
          <w:ilvl w:val="0"/>
          <w:numId w:val="23"/>
        </w:numPr>
        <w:suppressAutoHyphens w:val="0"/>
        <w:autoSpaceDE w:val="0"/>
        <w:autoSpaceDN w:val="0"/>
        <w:adjustRightInd w:val="0"/>
        <w:spacing w:line="240" w:lineRule="auto"/>
        <w:rPr>
          <w:rFonts w:cstheme="minorHAnsi"/>
          <w:sz w:val="22"/>
        </w:rPr>
      </w:pPr>
      <w:r w:rsidRPr="009E27BA">
        <w:rPr>
          <w:sz w:val="22"/>
        </w:rPr>
        <w:t>your understanding of the carer population in the RDP service area including special interest cohorts, e.g. Aboriginal and Torres Strait Islander people and people from culturally and linguistically diverse backgrounds;</w:t>
      </w:r>
    </w:p>
    <w:p w14:paraId="14D23D99" w14:textId="77777777" w:rsidR="00452B52" w:rsidRPr="00286CA5" w:rsidRDefault="00452B52" w:rsidP="00B64CD9">
      <w:pPr>
        <w:pStyle w:val="TableText"/>
        <w:numPr>
          <w:ilvl w:val="0"/>
          <w:numId w:val="23"/>
        </w:numPr>
        <w:suppressAutoHyphens w:val="0"/>
        <w:autoSpaceDE w:val="0"/>
        <w:autoSpaceDN w:val="0"/>
        <w:adjustRightInd w:val="0"/>
        <w:spacing w:line="240" w:lineRule="auto"/>
        <w:rPr>
          <w:rFonts w:cstheme="minorHAnsi"/>
          <w:sz w:val="22"/>
        </w:rPr>
      </w:pPr>
      <w:r w:rsidRPr="00286CA5">
        <w:rPr>
          <w:rFonts w:cstheme="minorHAnsi"/>
          <w:sz w:val="22"/>
        </w:rPr>
        <w:t>your relationships with service providers</w:t>
      </w:r>
      <w:r w:rsidR="00324AD0">
        <w:rPr>
          <w:rFonts w:cstheme="minorHAnsi"/>
          <w:sz w:val="22"/>
        </w:rPr>
        <w:t xml:space="preserve"> and local community organisations</w:t>
      </w:r>
      <w:r w:rsidRPr="00286CA5">
        <w:rPr>
          <w:rFonts w:cstheme="minorHAnsi"/>
          <w:sz w:val="22"/>
        </w:rPr>
        <w:t xml:space="preserve"> in the </w:t>
      </w:r>
      <w:r w:rsidR="00763B4D">
        <w:rPr>
          <w:rFonts w:cstheme="minorHAnsi"/>
          <w:sz w:val="22"/>
        </w:rPr>
        <w:t xml:space="preserve">RDP </w:t>
      </w:r>
      <w:r w:rsidR="00D20C44">
        <w:rPr>
          <w:rFonts w:cstheme="minorHAnsi"/>
          <w:sz w:val="22"/>
        </w:rPr>
        <w:t>s</w:t>
      </w:r>
      <w:r w:rsidRPr="00286CA5">
        <w:rPr>
          <w:rFonts w:cstheme="minorHAnsi"/>
          <w:sz w:val="22"/>
        </w:rPr>
        <w:t xml:space="preserve">ervice </w:t>
      </w:r>
      <w:r w:rsidR="00D20C44">
        <w:rPr>
          <w:rFonts w:cstheme="minorHAnsi"/>
          <w:sz w:val="22"/>
        </w:rPr>
        <w:t>a</w:t>
      </w:r>
      <w:r w:rsidRPr="00286CA5">
        <w:rPr>
          <w:rFonts w:cstheme="minorHAnsi"/>
          <w:sz w:val="22"/>
        </w:rPr>
        <w:t>rea</w:t>
      </w:r>
      <w:r w:rsidRPr="00286CA5" w:rsidDel="00FB1A07">
        <w:rPr>
          <w:rFonts w:cstheme="minorHAnsi"/>
          <w:sz w:val="22"/>
        </w:rPr>
        <w:t xml:space="preserve"> </w:t>
      </w:r>
      <w:r w:rsidRPr="00286CA5">
        <w:rPr>
          <w:rFonts w:cstheme="minorHAnsi"/>
          <w:sz w:val="22"/>
        </w:rPr>
        <w:t>(for the purposes of providing carers with timely access to se</w:t>
      </w:r>
      <w:r w:rsidR="00324AD0">
        <w:rPr>
          <w:rFonts w:cstheme="minorHAnsi"/>
          <w:sz w:val="22"/>
        </w:rPr>
        <w:t>rvices and to support outreach activities you will undertake</w:t>
      </w:r>
      <w:r w:rsidRPr="00286CA5">
        <w:rPr>
          <w:rFonts w:cstheme="minorHAnsi"/>
          <w:sz w:val="22"/>
        </w:rPr>
        <w:t>);</w:t>
      </w:r>
      <w:r w:rsidR="00324AD0">
        <w:rPr>
          <w:rFonts w:cstheme="minorHAnsi"/>
          <w:sz w:val="22"/>
        </w:rPr>
        <w:t xml:space="preserve"> and</w:t>
      </w:r>
      <w:r w:rsidRPr="00286CA5">
        <w:rPr>
          <w:rFonts w:cstheme="minorHAnsi"/>
          <w:sz w:val="22"/>
        </w:rPr>
        <w:t xml:space="preserve"> </w:t>
      </w:r>
    </w:p>
    <w:p w14:paraId="6091D213" w14:textId="77777777" w:rsidR="00452B52" w:rsidRPr="00286CA5" w:rsidRDefault="00C0037E" w:rsidP="00B64CD9">
      <w:pPr>
        <w:pStyle w:val="TableText"/>
        <w:numPr>
          <w:ilvl w:val="0"/>
          <w:numId w:val="23"/>
        </w:numPr>
        <w:suppressAutoHyphens w:val="0"/>
        <w:autoSpaceDE w:val="0"/>
        <w:autoSpaceDN w:val="0"/>
        <w:adjustRightInd w:val="0"/>
        <w:spacing w:line="240" w:lineRule="auto"/>
        <w:rPr>
          <w:rFonts w:cstheme="minorHAnsi"/>
          <w:sz w:val="22"/>
        </w:rPr>
      </w:pPr>
      <w:r>
        <w:rPr>
          <w:rFonts w:cstheme="minorHAnsi"/>
          <w:sz w:val="22"/>
        </w:rPr>
        <w:t>h</w:t>
      </w:r>
      <w:r w:rsidR="00452B52">
        <w:rPr>
          <w:rFonts w:cstheme="minorHAnsi"/>
          <w:sz w:val="22"/>
        </w:rPr>
        <w:t>ow your organisation will use this knowledge to establish and run the RDP service area.</w:t>
      </w:r>
    </w:p>
    <w:p w14:paraId="55350548" w14:textId="77777777" w:rsidR="003246B4" w:rsidRDefault="003246B4" w:rsidP="00452B52">
      <w:pPr>
        <w:pStyle w:val="TableText"/>
        <w:rPr>
          <w:b/>
          <w:sz w:val="22"/>
        </w:rPr>
      </w:pPr>
    </w:p>
    <w:p w14:paraId="6E1887F3" w14:textId="6E31E1AC" w:rsidR="00452B52" w:rsidRPr="00316591" w:rsidRDefault="00452B52" w:rsidP="00452B52">
      <w:pPr>
        <w:pStyle w:val="TableText"/>
        <w:rPr>
          <w:rFonts w:cstheme="minorHAnsi"/>
          <w:b/>
          <w:sz w:val="22"/>
          <w:szCs w:val="18"/>
        </w:rPr>
      </w:pPr>
      <w:r w:rsidRPr="00286CA5">
        <w:rPr>
          <w:b/>
          <w:sz w:val="22"/>
        </w:rPr>
        <w:t>Criterion 2:</w:t>
      </w:r>
      <w:r w:rsidRPr="00286CA5">
        <w:rPr>
          <w:sz w:val="22"/>
        </w:rPr>
        <w:t xml:space="preserve"> </w:t>
      </w:r>
      <w:r w:rsidRPr="00316591">
        <w:rPr>
          <w:rFonts w:cstheme="minorHAnsi"/>
          <w:b/>
          <w:sz w:val="22"/>
          <w:szCs w:val="18"/>
        </w:rPr>
        <w:t xml:space="preserve">Demonstrate how your organisation will establish and maintain a business model which delivers on the </w:t>
      </w:r>
      <w:r w:rsidR="003A4242">
        <w:rPr>
          <w:rFonts w:cstheme="minorHAnsi"/>
          <w:b/>
          <w:sz w:val="22"/>
          <w:szCs w:val="18"/>
        </w:rPr>
        <w:t>Government</w:t>
      </w:r>
      <w:r w:rsidR="00011183">
        <w:rPr>
          <w:rFonts w:cstheme="minorHAnsi"/>
          <w:b/>
          <w:sz w:val="22"/>
          <w:szCs w:val="18"/>
        </w:rPr>
        <w:t>’</w:t>
      </w:r>
      <w:r w:rsidR="003A4242">
        <w:rPr>
          <w:rFonts w:cstheme="minorHAnsi"/>
          <w:b/>
          <w:sz w:val="22"/>
          <w:szCs w:val="18"/>
        </w:rPr>
        <w:t>s Integrated Carer Support Service</w:t>
      </w:r>
      <w:r w:rsidRPr="00316591">
        <w:rPr>
          <w:rFonts w:cstheme="minorHAnsi"/>
          <w:b/>
          <w:sz w:val="22"/>
          <w:szCs w:val="18"/>
        </w:rPr>
        <w:t xml:space="preserve"> requirements</w:t>
      </w:r>
      <w:r w:rsidR="006A6511">
        <w:rPr>
          <w:rFonts w:cstheme="minorHAnsi"/>
          <w:b/>
          <w:sz w:val="22"/>
          <w:szCs w:val="18"/>
        </w:rPr>
        <w:t>, including the delivery of all service types across the service area</w:t>
      </w:r>
      <w:r w:rsidR="00C60F74">
        <w:rPr>
          <w:rFonts w:cstheme="minorHAnsi"/>
          <w:b/>
          <w:sz w:val="22"/>
          <w:szCs w:val="18"/>
        </w:rPr>
        <w:t>.</w:t>
      </w:r>
    </w:p>
    <w:p w14:paraId="3E246B97" w14:textId="77777777" w:rsidR="00452B52" w:rsidRPr="00286CA5" w:rsidRDefault="00452B52" w:rsidP="00452B52">
      <w:pPr>
        <w:pStyle w:val="TableText"/>
        <w:rPr>
          <w:rFonts w:cstheme="minorHAnsi"/>
          <w:sz w:val="22"/>
          <w:szCs w:val="18"/>
        </w:rPr>
      </w:pPr>
      <w:r>
        <w:rPr>
          <w:rFonts w:cstheme="minorHAnsi"/>
          <w:sz w:val="22"/>
          <w:szCs w:val="18"/>
        </w:rPr>
        <w:t xml:space="preserve">Your response </w:t>
      </w:r>
      <w:r w:rsidRPr="00402719">
        <w:rPr>
          <w:rFonts w:cstheme="minorHAnsi"/>
          <w:b/>
          <w:sz w:val="22"/>
          <w:szCs w:val="18"/>
        </w:rPr>
        <w:t>must</w:t>
      </w:r>
      <w:r w:rsidRPr="00286CA5">
        <w:rPr>
          <w:rFonts w:cstheme="minorHAnsi"/>
          <w:sz w:val="22"/>
          <w:szCs w:val="18"/>
        </w:rPr>
        <w:t xml:space="preserve"> i</w:t>
      </w:r>
      <w:r>
        <w:rPr>
          <w:rFonts w:cstheme="minorHAnsi"/>
          <w:sz w:val="22"/>
          <w:szCs w:val="18"/>
        </w:rPr>
        <w:t>nclude details on the following</w:t>
      </w:r>
      <w:r w:rsidRPr="00286CA5">
        <w:rPr>
          <w:rFonts w:cstheme="minorHAnsi"/>
          <w:sz w:val="22"/>
          <w:szCs w:val="18"/>
        </w:rPr>
        <w:t>:</w:t>
      </w:r>
    </w:p>
    <w:p w14:paraId="16405281" w14:textId="77777777" w:rsidR="00452B52" w:rsidRPr="00286CA5" w:rsidRDefault="00452B52" w:rsidP="00B64CD9">
      <w:pPr>
        <w:pStyle w:val="TableText"/>
        <w:numPr>
          <w:ilvl w:val="0"/>
          <w:numId w:val="23"/>
        </w:numPr>
        <w:suppressAutoHyphens w:val="0"/>
        <w:autoSpaceDE w:val="0"/>
        <w:autoSpaceDN w:val="0"/>
        <w:adjustRightInd w:val="0"/>
        <w:spacing w:line="240" w:lineRule="auto"/>
        <w:rPr>
          <w:rFonts w:cstheme="minorHAnsi"/>
          <w:sz w:val="22"/>
        </w:rPr>
      </w:pPr>
      <w:r w:rsidRPr="00286CA5">
        <w:rPr>
          <w:rFonts w:cstheme="minorHAnsi"/>
          <w:sz w:val="22"/>
        </w:rPr>
        <w:t xml:space="preserve">the </w:t>
      </w:r>
      <w:r>
        <w:rPr>
          <w:rFonts w:cstheme="minorHAnsi"/>
          <w:sz w:val="22"/>
        </w:rPr>
        <w:t>b</w:t>
      </w:r>
      <w:r w:rsidRPr="00286CA5">
        <w:rPr>
          <w:rFonts w:cstheme="minorHAnsi"/>
          <w:sz w:val="22"/>
        </w:rPr>
        <w:t xml:space="preserve">usiness </w:t>
      </w:r>
      <w:r>
        <w:rPr>
          <w:rFonts w:cstheme="minorHAnsi"/>
          <w:sz w:val="22"/>
        </w:rPr>
        <w:t>m</w:t>
      </w:r>
      <w:r w:rsidRPr="00286CA5">
        <w:rPr>
          <w:rFonts w:cstheme="minorHAnsi"/>
          <w:sz w:val="22"/>
        </w:rPr>
        <w:t>odel you would put in place including, organisation</w:t>
      </w:r>
      <w:r w:rsidR="006F032A">
        <w:rPr>
          <w:rFonts w:cstheme="minorHAnsi"/>
          <w:sz w:val="22"/>
        </w:rPr>
        <w:t>al</w:t>
      </w:r>
      <w:r w:rsidRPr="00286CA5">
        <w:rPr>
          <w:rFonts w:cstheme="minorHAnsi"/>
          <w:sz w:val="22"/>
        </w:rPr>
        <w:t xml:space="preserve"> structure </w:t>
      </w:r>
      <w:r w:rsidR="006F032A">
        <w:rPr>
          <w:rFonts w:cstheme="minorHAnsi"/>
          <w:sz w:val="22"/>
        </w:rPr>
        <w:t>(</w:t>
      </w:r>
      <w:r w:rsidRPr="00286CA5">
        <w:rPr>
          <w:rFonts w:cstheme="minorHAnsi"/>
          <w:sz w:val="22"/>
        </w:rPr>
        <w:t>details on the names and roles of key staff, workforce</w:t>
      </w:r>
      <w:r w:rsidR="006C69B8">
        <w:rPr>
          <w:rFonts w:cstheme="minorHAnsi"/>
          <w:sz w:val="22"/>
        </w:rPr>
        <w:t xml:space="preserve"> and sub contractor arrangements</w:t>
      </w:r>
      <w:r w:rsidR="006F032A">
        <w:rPr>
          <w:rFonts w:cstheme="minorHAnsi"/>
          <w:sz w:val="22"/>
        </w:rPr>
        <w:t>)</w:t>
      </w:r>
      <w:r w:rsidRPr="00286CA5">
        <w:rPr>
          <w:rFonts w:cstheme="minorHAnsi"/>
          <w:sz w:val="22"/>
        </w:rPr>
        <w:t xml:space="preserve"> bu</w:t>
      </w:r>
      <w:r>
        <w:rPr>
          <w:rFonts w:cstheme="minorHAnsi"/>
          <w:sz w:val="22"/>
        </w:rPr>
        <w:t>siness processes and IT systems;</w:t>
      </w:r>
      <w:r w:rsidR="00011183">
        <w:rPr>
          <w:rFonts w:cstheme="minorHAnsi"/>
          <w:sz w:val="22"/>
        </w:rPr>
        <w:t xml:space="preserve"> and</w:t>
      </w:r>
    </w:p>
    <w:p w14:paraId="3CA9DFC0" w14:textId="77777777" w:rsidR="00452B52" w:rsidRPr="00316591" w:rsidRDefault="00452B52" w:rsidP="00B64CD9">
      <w:pPr>
        <w:pStyle w:val="TableText"/>
        <w:numPr>
          <w:ilvl w:val="0"/>
          <w:numId w:val="23"/>
        </w:numPr>
        <w:suppressAutoHyphens w:val="0"/>
        <w:autoSpaceDE w:val="0"/>
        <w:autoSpaceDN w:val="0"/>
        <w:adjustRightInd w:val="0"/>
        <w:spacing w:line="240" w:lineRule="auto"/>
        <w:rPr>
          <w:rFonts w:cstheme="minorHAnsi"/>
          <w:sz w:val="22"/>
        </w:rPr>
      </w:pPr>
      <w:r w:rsidRPr="00316591">
        <w:rPr>
          <w:rFonts w:cstheme="minorHAnsi"/>
          <w:sz w:val="22"/>
        </w:rPr>
        <w:t xml:space="preserve">how the business model is configured to maximise the cost effectiveness of your operations, and to ensure that all carers have easy access to support and services. </w:t>
      </w:r>
    </w:p>
    <w:p w14:paraId="5BF9AE20" w14:textId="3AD5768E" w:rsidR="004567F2" w:rsidRPr="002848CA" w:rsidRDefault="002848CA" w:rsidP="002848CA">
      <w:pPr>
        <w:pStyle w:val="TableText"/>
        <w:spacing w:before="120"/>
        <w:rPr>
          <w:rFonts w:cstheme="minorHAnsi"/>
          <w:sz w:val="22"/>
        </w:rPr>
      </w:pPr>
      <w:r>
        <w:rPr>
          <w:rFonts w:cstheme="minorHAnsi"/>
          <w:b/>
          <w:sz w:val="22"/>
        </w:rPr>
        <w:t xml:space="preserve">Please note: </w:t>
      </w:r>
      <w:r w:rsidRPr="000654EC">
        <w:rPr>
          <w:rFonts w:cstheme="minorHAnsi"/>
          <w:sz w:val="22"/>
        </w:rPr>
        <w:t xml:space="preserve">Business </w:t>
      </w:r>
      <w:r w:rsidR="00B16947" w:rsidRPr="000654EC">
        <w:rPr>
          <w:rFonts w:cstheme="minorHAnsi"/>
          <w:sz w:val="22"/>
        </w:rPr>
        <w:t>Model</w:t>
      </w:r>
      <w:r w:rsidRPr="000654EC">
        <w:rPr>
          <w:rFonts w:cstheme="minorHAnsi"/>
          <w:sz w:val="22"/>
        </w:rPr>
        <w:t xml:space="preserve"> and Establishment Plan templates</w:t>
      </w:r>
      <w:r w:rsidRPr="002848CA">
        <w:rPr>
          <w:rFonts w:cstheme="minorHAnsi"/>
          <w:sz w:val="22"/>
        </w:rPr>
        <w:t xml:space="preserve"> are available for your use </w:t>
      </w:r>
      <w:r>
        <w:rPr>
          <w:rFonts w:cstheme="minorHAnsi"/>
          <w:sz w:val="22"/>
        </w:rPr>
        <w:t>with the grant opportunity documents on GrantConnect and Community Grants Hub websites.</w:t>
      </w:r>
    </w:p>
    <w:p w14:paraId="38D56DF5" w14:textId="77777777" w:rsidR="002848CA" w:rsidRPr="002848CA" w:rsidRDefault="002848CA" w:rsidP="00452B52">
      <w:pPr>
        <w:pStyle w:val="TableText"/>
        <w:rPr>
          <w:rFonts w:cstheme="minorHAnsi"/>
          <w:sz w:val="22"/>
        </w:rPr>
      </w:pPr>
    </w:p>
    <w:p w14:paraId="2ECA0490" w14:textId="7AD5D5C7" w:rsidR="00452B52" w:rsidRPr="003A4242" w:rsidRDefault="00452B52" w:rsidP="00452B52">
      <w:pPr>
        <w:pStyle w:val="TableText"/>
        <w:rPr>
          <w:rFonts w:cstheme="minorHAnsi"/>
          <w:b/>
          <w:sz w:val="22"/>
        </w:rPr>
      </w:pPr>
      <w:r w:rsidRPr="00316591">
        <w:rPr>
          <w:b/>
          <w:sz w:val="22"/>
        </w:rPr>
        <w:t xml:space="preserve">Criterion 3: </w:t>
      </w:r>
      <w:r w:rsidRPr="008C38F5">
        <w:rPr>
          <w:rFonts w:cstheme="minorHAnsi"/>
          <w:b/>
          <w:sz w:val="22"/>
        </w:rPr>
        <w:t xml:space="preserve">Demonstrate how your business model for the service area will align to the </w:t>
      </w:r>
      <w:r w:rsidR="003A4242" w:rsidRPr="000654EC">
        <w:rPr>
          <w:rFonts w:cstheme="minorHAnsi"/>
          <w:b/>
          <w:sz w:val="22"/>
        </w:rPr>
        <w:t>Integrated Carer Support Service</w:t>
      </w:r>
      <w:r w:rsidRPr="000654EC">
        <w:rPr>
          <w:rFonts w:cstheme="minorHAnsi"/>
          <w:b/>
          <w:sz w:val="22"/>
        </w:rPr>
        <w:t xml:space="preserve"> Outcomes Framework</w:t>
      </w:r>
      <w:r w:rsidRPr="008C38F5">
        <w:rPr>
          <w:rFonts w:cstheme="minorHAnsi"/>
          <w:b/>
          <w:sz w:val="22"/>
        </w:rPr>
        <w:t xml:space="preserve"> </w:t>
      </w:r>
      <w:r w:rsidRPr="004F67E7">
        <w:rPr>
          <w:rFonts w:cstheme="minorHAnsi"/>
          <w:sz w:val="22"/>
        </w:rPr>
        <w:t>(</w:t>
      </w:r>
      <w:r w:rsidR="008702AD">
        <w:rPr>
          <w:sz w:val="22"/>
        </w:rPr>
        <w:t xml:space="preserve">refer to </w:t>
      </w:r>
      <w:r w:rsidR="00D83C25" w:rsidRPr="00BD179E">
        <w:rPr>
          <w:sz w:val="22"/>
        </w:rPr>
        <w:t>the ICSS Service Blueprint</w:t>
      </w:r>
      <w:r w:rsidR="00D83C25">
        <w:rPr>
          <w:rFonts w:cstheme="minorHAnsi"/>
        </w:rPr>
        <w:t xml:space="preserve"> </w:t>
      </w:r>
      <w:r w:rsidR="008702AD">
        <w:rPr>
          <w:sz w:val="22"/>
        </w:rPr>
        <w:t>G</w:t>
      </w:r>
      <w:r w:rsidR="003A4242" w:rsidRPr="004F67E7">
        <w:rPr>
          <w:sz w:val="22"/>
        </w:rPr>
        <w:t xml:space="preserve">rant </w:t>
      </w:r>
      <w:r w:rsidR="008702AD">
        <w:rPr>
          <w:sz w:val="22"/>
        </w:rPr>
        <w:t>Opportunity D</w:t>
      </w:r>
      <w:r w:rsidR="003A4242" w:rsidRPr="004F67E7">
        <w:rPr>
          <w:sz w:val="22"/>
        </w:rPr>
        <w:t xml:space="preserve">ocuments on the </w:t>
      </w:r>
      <w:r w:rsidR="006D64DC">
        <w:rPr>
          <w:sz w:val="22"/>
        </w:rPr>
        <w:t xml:space="preserve">GrantConnect and </w:t>
      </w:r>
      <w:r w:rsidR="003A4242" w:rsidRPr="004F67E7">
        <w:rPr>
          <w:sz w:val="22"/>
        </w:rPr>
        <w:t>Community Grants Hub website</w:t>
      </w:r>
      <w:r w:rsidR="00096B17">
        <w:rPr>
          <w:sz w:val="22"/>
        </w:rPr>
        <w:t>s</w:t>
      </w:r>
      <w:r w:rsidR="003A4242" w:rsidRPr="004F67E7">
        <w:rPr>
          <w:sz w:val="22"/>
        </w:rPr>
        <w:t>)</w:t>
      </w:r>
      <w:r w:rsidRPr="003A4242">
        <w:rPr>
          <w:rFonts w:cstheme="minorHAnsi"/>
          <w:b/>
          <w:sz w:val="22"/>
        </w:rPr>
        <w:t>.</w:t>
      </w:r>
    </w:p>
    <w:p w14:paraId="171DC35C" w14:textId="77777777" w:rsidR="00452B52" w:rsidRPr="00AD4DF5" w:rsidRDefault="00452B52" w:rsidP="00452B52">
      <w:pPr>
        <w:pStyle w:val="TableText"/>
        <w:rPr>
          <w:rFonts w:cstheme="minorHAnsi"/>
          <w:sz w:val="22"/>
        </w:rPr>
      </w:pPr>
      <w:r>
        <w:rPr>
          <w:rFonts w:cstheme="minorHAnsi"/>
          <w:sz w:val="22"/>
        </w:rPr>
        <w:t xml:space="preserve">Your response </w:t>
      </w:r>
      <w:r w:rsidRPr="00402719">
        <w:rPr>
          <w:rFonts w:cstheme="minorHAnsi"/>
          <w:b/>
          <w:sz w:val="22"/>
        </w:rPr>
        <w:t>must</w:t>
      </w:r>
      <w:r w:rsidRPr="00AD4DF5">
        <w:rPr>
          <w:rFonts w:cstheme="minorHAnsi"/>
          <w:sz w:val="22"/>
        </w:rPr>
        <w:t xml:space="preserve"> i</w:t>
      </w:r>
      <w:r>
        <w:rPr>
          <w:rFonts w:cstheme="minorHAnsi"/>
          <w:sz w:val="22"/>
        </w:rPr>
        <w:t>nclude details on the following</w:t>
      </w:r>
      <w:r w:rsidRPr="00AD4DF5">
        <w:rPr>
          <w:rFonts w:cstheme="minorHAnsi"/>
          <w:sz w:val="22"/>
        </w:rPr>
        <w:t xml:space="preserve">: </w:t>
      </w:r>
    </w:p>
    <w:p w14:paraId="6BDC58FE" w14:textId="77777777" w:rsidR="00452B52" w:rsidRPr="00AD4DF5" w:rsidRDefault="00452B52" w:rsidP="00B64CD9">
      <w:pPr>
        <w:pStyle w:val="TableText"/>
        <w:numPr>
          <w:ilvl w:val="0"/>
          <w:numId w:val="23"/>
        </w:numPr>
        <w:suppressAutoHyphens w:val="0"/>
        <w:autoSpaceDE w:val="0"/>
        <w:autoSpaceDN w:val="0"/>
        <w:adjustRightInd w:val="0"/>
        <w:spacing w:line="240" w:lineRule="auto"/>
        <w:rPr>
          <w:rFonts w:cstheme="minorHAnsi"/>
          <w:sz w:val="22"/>
        </w:rPr>
      </w:pPr>
      <w:r w:rsidRPr="00AD4DF5">
        <w:rPr>
          <w:rFonts w:cstheme="minorHAnsi"/>
          <w:sz w:val="22"/>
        </w:rPr>
        <w:t>how your Business Model has been configured to maximise</w:t>
      </w:r>
      <w:r w:rsidR="006F032A">
        <w:rPr>
          <w:rFonts w:cstheme="minorHAnsi"/>
          <w:sz w:val="22"/>
        </w:rPr>
        <w:t xml:space="preserve"> the achievement of</w:t>
      </w:r>
      <w:r w:rsidRPr="00AD4DF5">
        <w:rPr>
          <w:rFonts w:cstheme="minorHAnsi"/>
          <w:sz w:val="22"/>
        </w:rPr>
        <w:t xml:space="preserve"> RDP outcomes;</w:t>
      </w:r>
    </w:p>
    <w:p w14:paraId="7F4EE76E" w14:textId="062E6B81" w:rsidR="00452B52" w:rsidRPr="00AD4DF5" w:rsidRDefault="00452B52" w:rsidP="00B64CD9">
      <w:pPr>
        <w:pStyle w:val="TableText"/>
        <w:numPr>
          <w:ilvl w:val="0"/>
          <w:numId w:val="23"/>
        </w:numPr>
        <w:suppressAutoHyphens w:val="0"/>
        <w:autoSpaceDE w:val="0"/>
        <w:autoSpaceDN w:val="0"/>
        <w:adjustRightInd w:val="0"/>
        <w:spacing w:line="240" w:lineRule="auto"/>
        <w:rPr>
          <w:rFonts w:cstheme="minorHAnsi"/>
          <w:sz w:val="22"/>
        </w:rPr>
      </w:pPr>
      <w:r w:rsidRPr="00AD4DF5">
        <w:rPr>
          <w:rFonts w:cstheme="minorHAnsi"/>
          <w:sz w:val="22"/>
        </w:rPr>
        <w:t xml:space="preserve">your ability to monitor outcomes through a program of continuous improvement. This includes modifying </w:t>
      </w:r>
      <w:r>
        <w:rPr>
          <w:rFonts w:cstheme="minorHAnsi"/>
          <w:sz w:val="22"/>
        </w:rPr>
        <w:t>your</w:t>
      </w:r>
      <w:r w:rsidRPr="00AD4DF5">
        <w:rPr>
          <w:rFonts w:cstheme="minorHAnsi"/>
          <w:sz w:val="22"/>
        </w:rPr>
        <w:t xml:space="preserve"> Business Model to maximise and improve the achievement of the RDP outcomes;</w:t>
      </w:r>
      <w:r w:rsidR="00431088">
        <w:rPr>
          <w:rFonts w:cstheme="minorHAnsi"/>
          <w:sz w:val="22"/>
        </w:rPr>
        <w:t xml:space="preserve"> and</w:t>
      </w:r>
    </w:p>
    <w:p w14:paraId="11115B2E" w14:textId="77777777" w:rsidR="00452B52" w:rsidRPr="00AD4DF5" w:rsidRDefault="00452B52" w:rsidP="00B64CD9">
      <w:pPr>
        <w:pStyle w:val="TableText"/>
        <w:numPr>
          <w:ilvl w:val="0"/>
          <w:numId w:val="23"/>
        </w:numPr>
        <w:suppressAutoHyphens w:val="0"/>
        <w:autoSpaceDE w:val="0"/>
        <w:autoSpaceDN w:val="0"/>
        <w:adjustRightInd w:val="0"/>
        <w:spacing w:line="240" w:lineRule="auto"/>
        <w:rPr>
          <w:rFonts w:cstheme="minorHAnsi"/>
          <w:sz w:val="22"/>
        </w:rPr>
      </w:pPr>
      <w:r w:rsidRPr="00AD4DF5">
        <w:rPr>
          <w:rFonts w:cstheme="minorHAnsi"/>
          <w:sz w:val="22"/>
        </w:rPr>
        <w:t>your ab</w:t>
      </w:r>
      <w:r w:rsidR="0030281B">
        <w:rPr>
          <w:rFonts w:cstheme="minorHAnsi"/>
          <w:sz w:val="22"/>
        </w:rPr>
        <w:t>ility to collect, analys</w:t>
      </w:r>
      <w:r w:rsidR="00B96CBA">
        <w:rPr>
          <w:rFonts w:cstheme="minorHAnsi"/>
          <w:sz w:val="22"/>
        </w:rPr>
        <w:t>e and share data (</w:t>
      </w:r>
      <w:r w:rsidRPr="00AD4DF5">
        <w:rPr>
          <w:rFonts w:cstheme="minorHAnsi"/>
          <w:sz w:val="22"/>
        </w:rPr>
        <w:t xml:space="preserve">with </w:t>
      </w:r>
      <w:r w:rsidR="00B96CBA">
        <w:rPr>
          <w:rFonts w:cstheme="minorHAnsi"/>
          <w:sz w:val="22"/>
        </w:rPr>
        <w:t xml:space="preserve">both </w:t>
      </w:r>
      <w:r w:rsidRPr="00AD4DF5">
        <w:rPr>
          <w:rFonts w:cstheme="minorHAnsi"/>
          <w:sz w:val="22"/>
        </w:rPr>
        <w:t>the Department and other RDPs) that contributes to the Department’s collective ab</w:t>
      </w:r>
      <w:r>
        <w:rPr>
          <w:rFonts w:cstheme="minorHAnsi"/>
          <w:sz w:val="22"/>
        </w:rPr>
        <w:t>ility to improve carer outcomes.</w:t>
      </w:r>
    </w:p>
    <w:p w14:paraId="5D170E38" w14:textId="77777777" w:rsidR="00C13B98" w:rsidRDefault="00C13B98" w:rsidP="003246B4">
      <w:pPr>
        <w:spacing w:before="0"/>
        <w:rPr>
          <w:b/>
        </w:rPr>
      </w:pPr>
    </w:p>
    <w:p w14:paraId="73FF4036" w14:textId="6E0F5404" w:rsidR="00452B52" w:rsidRPr="008C38F5" w:rsidRDefault="00452B52" w:rsidP="003246B4">
      <w:pPr>
        <w:spacing w:before="0"/>
        <w:rPr>
          <w:rFonts w:cstheme="minorHAnsi"/>
          <w:b/>
        </w:rPr>
      </w:pPr>
      <w:r w:rsidRPr="00E14401">
        <w:rPr>
          <w:b/>
        </w:rPr>
        <w:t xml:space="preserve">Criterion </w:t>
      </w:r>
      <w:r>
        <w:rPr>
          <w:b/>
        </w:rPr>
        <w:t>4</w:t>
      </w:r>
      <w:r w:rsidRPr="00E14401">
        <w:rPr>
          <w:b/>
        </w:rPr>
        <w:t>:</w:t>
      </w:r>
      <w:r>
        <w:rPr>
          <w:b/>
        </w:rPr>
        <w:t xml:space="preserve"> </w:t>
      </w:r>
      <w:r w:rsidRPr="008C38F5">
        <w:rPr>
          <w:rFonts w:cstheme="minorHAnsi"/>
          <w:b/>
        </w:rPr>
        <w:t>Demonstrate your organisation</w:t>
      </w:r>
      <w:r w:rsidR="0030281B">
        <w:rPr>
          <w:rFonts w:cstheme="minorHAnsi"/>
          <w:b/>
        </w:rPr>
        <w:t>’</w:t>
      </w:r>
      <w:r w:rsidRPr="008C38F5">
        <w:rPr>
          <w:rFonts w:cstheme="minorHAnsi"/>
          <w:b/>
        </w:rPr>
        <w:t>s experience and past performance delivering carer specific services.</w:t>
      </w:r>
    </w:p>
    <w:p w14:paraId="224F58DF" w14:textId="77777777" w:rsidR="00452B52" w:rsidRPr="00AD4DF5" w:rsidRDefault="00452B52" w:rsidP="00452B52">
      <w:pPr>
        <w:pStyle w:val="TableText"/>
        <w:rPr>
          <w:rFonts w:cstheme="minorHAnsi"/>
          <w:sz w:val="22"/>
        </w:rPr>
      </w:pPr>
      <w:r>
        <w:rPr>
          <w:rFonts w:cstheme="minorHAnsi"/>
          <w:sz w:val="22"/>
        </w:rPr>
        <w:t xml:space="preserve">Your </w:t>
      </w:r>
      <w:r w:rsidRPr="00AD4DF5">
        <w:rPr>
          <w:rFonts w:cstheme="minorHAnsi"/>
          <w:sz w:val="22"/>
        </w:rPr>
        <w:t>respon</w:t>
      </w:r>
      <w:r w:rsidR="004567F2">
        <w:rPr>
          <w:rFonts w:cstheme="minorHAnsi"/>
          <w:sz w:val="22"/>
        </w:rPr>
        <w:t>se</w:t>
      </w:r>
      <w:r w:rsidRPr="00AD4DF5">
        <w:rPr>
          <w:rFonts w:cstheme="minorHAnsi"/>
          <w:sz w:val="22"/>
        </w:rPr>
        <w:t xml:space="preserve"> </w:t>
      </w:r>
      <w:r w:rsidRPr="00402719">
        <w:rPr>
          <w:rFonts w:cstheme="minorHAnsi"/>
          <w:b/>
          <w:sz w:val="22"/>
        </w:rPr>
        <w:t xml:space="preserve">must </w:t>
      </w:r>
      <w:r w:rsidRPr="00AD4DF5">
        <w:rPr>
          <w:rFonts w:cstheme="minorHAnsi"/>
          <w:sz w:val="22"/>
        </w:rPr>
        <w:t>i</w:t>
      </w:r>
      <w:r>
        <w:rPr>
          <w:rFonts w:cstheme="minorHAnsi"/>
          <w:sz w:val="22"/>
        </w:rPr>
        <w:t>nclude details on the following</w:t>
      </w:r>
      <w:r w:rsidRPr="00AD4DF5">
        <w:rPr>
          <w:rFonts w:cstheme="minorHAnsi"/>
          <w:sz w:val="22"/>
        </w:rPr>
        <w:t xml:space="preserve">: </w:t>
      </w:r>
    </w:p>
    <w:p w14:paraId="59112339" w14:textId="77777777" w:rsidR="00452B52" w:rsidRPr="00AD4DF5" w:rsidRDefault="00452B52" w:rsidP="00B64CD9">
      <w:pPr>
        <w:pStyle w:val="TableText"/>
        <w:numPr>
          <w:ilvl w:val="0"/>
          <w:numId w:val="23"/>
        </w:numPr>
        <w:suppressAutoHyphens w:val="0"/>
        <w:autoSpaceDE w:val="0"/>
        <w:autoSpaceDN w:val="0"/>
        <w:adjustRightInd w:val="0"/>
        <w:spacing w:line="240" w:lineRule="auto"/>
        <w:rPr>
          <w:rFonts w:cstheme="minorHAnsi"/>
          <w:sz w:val="22"/>
        </w:rPr>
      </w:pPr>
      <w:r w:rsidRPr="00AD4DF5">
        <w:rPr>
          <w:rFonts w:cstheme="minorHAnsi"/>
          <w:sz w:val="22"/>
        </w:rPr>
        <w:t xml:space="preserve">the previous experience of key staff in delivering similar services; </w:t>
      </w:r>
    </w:p>
    <w:p w14:paraId="0181351A" w14:textId="77777777" w:rsidR="00452B52" w:rsidRPr="00AD4DF5" w:rsidRDefault="00452B52" w:rsidP="00B64CD9">
      <w:pPr>
        <w:pStyle w:val="TableText"/>
        <w:numPr>
          <w:ilvl w:val="0"/>
          <w:numId w:val="23"/>
        </w:numPr>
        <w:suppressAutoHyphens w:val="0"/>
        <w:autoSpaceDE w:val="0"/>
        <w:autoSpaceDN w:val="0"/>
        <w:adjustRightInd w:val="0"/>
        <w:spacing w:line="240" w:lineRule="auto"/>
        <w:rPr>
          <w:rFonts w:cstheme="minorHAnsi"/>
          <w:sz w:val="22"/>
        </w:rPr>
      </w:pPr>
      <w:r w:rsidRPr="00AD4DF5">
        <w:rPr>
          <w:rFonts w:cstheme="minorHAnsi"/>
          <w:sz w:val="22"/>
        </w:rPr>
        <w:t>relevant examples of your ability to achieve outcomes through the delivery of services; and</w:t>
      </w:r>
    </w:p>
    <w:p w14:paraId="54DECF6E" w14:textId="77777777" w:rsidR="00452B52" w:rsidRPr="00AD4DF5" w:rsidRDefault="00452B52" w:rsidP="00B64CD9">
      <w:pPr>
        <w:pStyle w:val="TableText"/>
        <w:numPr>
          <w:ilvl w:val="0"/>
          <w:numId w:val="23"/>
        </w:numPr>
        <w:suppressAutoHyphens w:val="0"/>
        <w:autoSpaceDE w:val="0"/>
        <w:autoSpaceDN w:val="0"/>
        <w:adjustRightInd w:val="0"/>
        <w:spacing w:before="0" w:after="0" w:line="240" w:lineRule="auto"/>
        <w:rPr>
          <w:rFonts w:cstheme="minorHAnsi"/>
          <w:sz w:val="22"/>
        </w:rPr>
      </w:pPr>
      <w:r w:rsidRPr="00AD4DF5">
        <w:rPr>
          <w:rFonts w:cstheme="minorHAnsi"/>
          <w:sz w:val="22"/>
        </w:rPr>
        <w:t>your previous experience establishing and operating a Business Model similar to the model proposed under this Grant Opportunity.</w:t>
      </w:r>
    </w:p>
    <w:p w14:paraId="02C89684" w14:textId="77777777" w:rsidR="00452B52" w:rsidRPr="00AD4DF5" w:rsidRDefault="00452B52" w:rsidP="0023110D">
      <w:pPr>
        <w:pStyle w:val="TableText"/>
        <w:spacing w:before="240"/>
        <w:rPr>
          <w:sz w:val="22"/>
        </w:rPr>
      </w:pPr>
      <w:r w:rsidRPr="00AD4DF5">
        <w:rPr>
          <w:b/>
          <w:sz w:val="22"/>
        </w:rPr>
        <w:t>Please note:</w:t>
      </w:r>
      <w:r w:rsidRPr="00AD4DF5">
        <w:rPr>
          <w:sz w:val="22"/>
        </w:rPr>
        <w:t xml:space="preserve"> Applications from consortia can draw on the collective experience of consortium participants.</w:t>
      </w:r>
    </w:p>
    <w:p w14:paraId="644305F1" w14:textId="77777777" w:rsidR="00340616" w:rsidRPr="00B72EE8" w:rsidRDefault="00340616" w:rsidP="00A14ED6">
      <w:pPr>
        <w:pStyle w:val="Heading1Numbered"/>
      </w:pPr>
      <w:bookmarkStart w:id="49" w:name="_Toc421777611"/>
      <w:bookmarkStart w:id="50" w:name="_Toc467773965"/>
      <w:bookmarkStart w:id="51" w:name="_Toc530058188"/>
      <w:bookmarkStart w:id="52" w:name="_Toc421777601"/>
      <w:r>
        <w:t>The grant application p</w:t>
      </w:r>
      <w:r w:rsidRPr="00B72EE8">
        <w:t>rocess</w:t>
      </w:r>
      <w:bookmarkEnd w:id="49"/>
      <w:bookmarkEnd w:id="50"/>
      <w:bookmarkEnd w:id="51"/>
    </w:p>
    <w:p w14:paraId="7A47CD09" w14:textId="77777777" w:rsidR="00E84046" w:rsidRDefault="00E84046" w:rsidP="00A14ED6">
      <w:pPr>
        <w:pStyle w:val="Heading2Numbered"/>
        <w:ind w:left="567"/>
      </w:pPr>
      <w:bookmarkStart w:id="53" w:name="_Toc530058189"/>
      <w:r>
        <w:t>Overview of application process</w:t>
      </w:r>
      <w:bookmarkEnd w:id="53"/>
      <w:r>
        <w:t xml:space="preserve"> </w:t>
      </w:r>
    </w:p>
    <w:p w14:paraId="67AC0918" w14:textId="54D34486" w:rsidR="00C15076" w:rsidRDefault="00E84046" w:rsidP="00C15076">
      <w:r>
        <w:t>You</w:t>
      </w:r>
      <w:r w:rsidRPr="00B72EE8">
        <w:t xml:space="preserve"> </w:t>
      </w:r>
      <w:r w:rsidR="00C15076">
        <w:t>must</w:t>
      </w:r>
      <w:r w:rsidR="00C15076" w:rsidRPr="00B72EE8">
        <w:t xml:space="preserve"> read these grant guidelines, </w:t>
      </w:r>
      <w:r w:rsidR="00C15076" w:rsidRPr="0028767B">
        <w:t>the application form</w:t>
      </w:r>
      <w:r w:rsidR="00C15076">
        <w:rPr>
          <w:b/>
        </w:rPr>
        <w:t>,</w:t>
      </w:r>
      <w:r w:rsidR="00C15076" w:rsidRPr="00B72EE8">
        <w:t xml:space="preserve"> </w:t>
      </w:r>
      <w:r w:rsidR="00C15076" w:rsidRPr="0028767B">
        <w:t>the</w:t>
      </w:r>
      <w:r w:rsidR="00C15076">
        <w:t xml:space="preserve"> Questions and Answers, the Grant A</w:t>
      </w:r>
      <w:r w:rsidR="00C15076" w:rsidRPr="0028767B">
        <w:t>greement</w:t>
      </w:r>
      <w:r w:rsidR="00C60F74">
        <w:t xml:space="preserve"> terms and conditions,</w:t>
      </w:r>
      <w:r w:rsidR="00C60F74">
        <w:rPr>
          <w:color w:val="525252" w:themeColor="accent3" w:themeShade="80"/>
        </w:rPr>
        <w:t xml:space="preserve"> the</w:t>
      </w:r>
      <w:r w:rsidR="00C15076" w:rsidRPr="00E96464">
        <w:rPr>
          <w:color w:val="525252" w:themeColor="accent3" w:themeShade="80"/>
        </w:rPr>
        <w:t xml:space="preserve"> RDP Operating Model</w:t>
      </w:r>
      <w:r w:rsidR="00C15076">
        <w:rPr>
          <w:b/>
          <w:color w:val="525252" w:themeColor="accent3" w:themeShade="80"/>
        </w:rPr>
        <w:t xml:space="preserve">, </w:t>
      </w:r>
      <w:r w:rsidR="00C15076" w:rsidRPr="003B71F4">
        <w:rPr>
          <w:color w:val="525252" w:themeColor="accent3" w:themeShade="80"/>
        </w:rPr>
        <w:t>the Carer Support Planning Framework, and the ICSS</w:t>
      </w:r>
      <w:r w:rsidR="00C15076">
        <w:rPr>
          <w:color w:val="525252" w:themeColor="accent3" w:themeShade="80"/>
        </w:rPr>
        <w:t xml:space="preserve"> Service</w:t>
      </w:r>
      <w:r w:rsidR="00C15076" w:rsidRPr="003B71F4">
        <w:rPr>
          <w:color w:val="525252" w:themeColor="accent3" w:themeShade="80"/>
        </w:rPr>
        <w:t xml:space="preserve"> Blueprint</w:t>
      </w:r>
      <w:r w:rsidR="00C15076">
        <w:rPr>
          <w:b/>
          <w:color w:val="525252" w:themeColor="accent3" w:themeShade="80"/>
        </w:rPr>
        <w:t xml:space="preserve"> </w:t>
      </w:r>
      <w:r w:rsidR="00C15076" w:rsidRPr="00457D04">
        <w:rPr>
          <w:rFonts w:cstheme="minorHAnsi"/>
        </w:rPr>
        <w:t>Grant Opportunity Documents on the GrantConnect and Community Grants Hub websites</w:t>
      </w:r>
      <w:r w:rsidR="00C15076">
        <w:rPr>
          <w:b/>
          <w:color w:val="525252" w:themeColor="accent3" w:themeShade="80"/>
        </w:rPr>
        <w:t xml:space="preserve"> </w:t>
      </w:r>
      <w:r w:rsidR="00C15076">
        <w:t>before you</w:t>
      </w:r>
      <w:r w:rsidR="00C15076" w:rsidRPr="00B72EE8">
        <w:t xml:space="preserve"> submit an application. </w:t>
      </w:r>
    </w:p>
    <w:p w14:paraId="063ED4FC" w14:textId="160C8030" w:rsidR="00E84046" w:rsidRDefault="00E84046" w:rsidP="00C13B98">
      <w:r>
        <w:t>You</w:t>
      </w:r>
      <w:r w:rsidRPr="00B72EE8">
        <w:t xml:space="preserve"> are</w:t>
      </w:r>
      <w:r>
        <w:t xml:space="preserve"> responsible for ensuring that your</w:t>
      </w:r>
      <w:r w:rsidRPr="00B72EE8">
        <w:t xml:space="preserve"> application is complete and accurate.</w:t>
      </w:r>
      <w:r w:rsidR="00C13B98">
        <w:t xml:space="preserve"> </w:t>
      </w:r>
      <w:r w:rsidRPr="00B72EE8">
        <w:t xml:space="preserve">Giving false or misleading information </w:t>
      </w:r>
      <w:r>
        <w:t xml:space="preserve">will </w:t>
      </w:r>
      <w:r w:rsidRPr="00B72EE8">
        <w:t xml:space="preserve">exclude your application from </w:t>
      </w:r>
      <w:r>
        <w:t xml:space="preserve">further </w:t>
      </w:r>
      <w:r w:rsidRPr="00B72EE8">
        <w:t xml:space="preserve">consideration. </w:t>
      </w:r>
    </w:p>
    <w:p w14:paraId="337D8E6E" w14:textId="277D9562" w:rsidR="00E84046" w:rsidRDefault="00E84046" w:rsidP="00C13B98">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0030281B">
        <w:t>,</w:t>
      </w:r>
      <w:r>
        <w:t xml:space="preserve">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r w:rsidR="00907A10">
        <w:t>.</w:t>
      </w:r>
      <w:r w:rsidR="00324AD0">
        <w:t xml:space="preserve"> You must submit the information we are requesting in these attachments to your application.</w:t>
      </w:r>
    </w:p>
    <w:p w14:paraId="72CDE55A" w14:textId="77777777" w:rsidR="00C03BED" w:rsidRPr="00C03BED" w:rsidRDefault="00C03BED" w:rsidP="00C13B98">
      <w:pPr>
        <w:spacing w:before="120" w:after="120" w:line="240" w:lineRule="auto"/>
      </w:pPr>
      <w:r w:rsidRPr="00C03BED">
        <w:t xml:space="preserve">The application must not be for a specific geographical part of a </w:t>
      </w:r>
      <w:r w:rsidR="006F0218">
        <w:t>s</w:t>
      </w:r>
      <w:r w:rsidRPr="00C03BED">
        <w:t xml:space="preserve">ervice </w:t>
      </w:r>
      <w:r w:rsidR="006F0218">
        <w:t>a</w:t>
      </w:r>
      <w:r w:rsidRPr="00C03BED">
        <w:t xml:space="preserve">rea, and must cover the entire </w:t>
      </w:r>
      <w:r w:rsidR="006F0218">
        <w:t>s</w:t>
      </w:r>
      <w:r w:rsidRPr="00C03BED">
        <w:t xml:space="preserve">ervice </w:t>
      </w:r>
      <w:r w:rsidR="00723218">
        <w:t>a</w:t>
      </w:r>
      <w:r w:rsidRPr="00C03BED">
        <w:t>rea</w:t>
      </w:r>
      <w:r w:rsidR="000E00CC">
        <w:t>.</w:t>
      </w:r>
    </w:p>
    <w:p w14:paraId="5FE4B444" w14:textId="363350ED" w:rsidR="00C03BED" w:rsidRPr="00C03BED" w:rsidRDefault="00C03BED" w:rsidP="00C13B98">
      <w:pPr>
        <w:spacing w:before="120" w:after="120" w:line="240" w:lineRule="auto"/>
      </w:pPr>
      <w:r w:rsidRPr="00C03BED">
        <w:t xml:space="preserve">The application must not be for only part of the required activities in a </w:t>
      </w:r>
      <w:r w:rsidR="006F0218">
        <w:t>s</w:t>
      </w:r>
      <w:r w:rsidRPr="00C03BED">
        <w:t xml:space="preserve">ervice </w:t>
      </w:r>
      <w:r w:rsidR="006F0218">
        <w:t>a</w:t>
      </w:r>
      <w:r w:rsidRPr="00C03BED">
        <w:t>rea. For example, an application cannot be to provide only outreach activities but not In-Person Pee</w:t>
      </w:r>
      <w:r w:rsidR="000E00CC">
        <w:t>r Support in a Service Area.</w:t>
      </w:r>
    </w:p>
    <w:p w14:paraId="63E4773B" w14:textId="73CCC5A5" w:rsidR="00C03BED" w:rsidRPr="00C03BED" w:rsidRDefault="00C03BED" w:rsidP="00C13B98">
      <w:pPr>
        <w:spacing w:before="120" w:line="240" w:lineRule="auto"/>
        <w:rPr>
          <w:i/>
          <w:color w:val="FF0000"/>
          <w:sz w:val="20"/>
          <w:highlight w:val="yellow"/>
        </w:rPr>
      </w:pPr>
      <w:r w:rsidRPr="00E84046">
        <w:t>Applicants must complete a separate Application Form</w:t>
      </w:r>
      <w:r w:rsidR="00A65D05">
        <w:t xml:space="preserve"> (including separate attachments)</w:t>
      </w:r>
      <w:r w:rsidR="00907A10">
        <w:t xml:space="preserve"> </w:t>
      </w:r>
      <w:r w:rsidRPr="00E84046">
        <w:t xml:space="preserve">for each </w:t>
      </w:r>
      <w:r w:rsidR="006F0218">
        <w:t>s</w:t>
      </w:r>
      <w:r w:rsidRPr="00E84046">
        <w:t xml:space="preserve">ervice </w:t>
      </w:r>
      <w:r w:rsidR="006F0218">
        <w:t>a</w:t>
      </w:r>
      <w:r w:rsidRPr="00E84046">
        <w:t>rea</w:t>
      </w:r>
      <w:r w:rsidR="00C60F74">
        <w:t xml:space="preserve">. </w:t>
      </w:r>
      <w:r w:rsidR="00907A10">
        <w:t>I</w:t>
      </w:r>
      <w:r w:rsidR="00D0725E">
        <w:t xml:space="preserve">f more than one application for the same service area </w:t>
      </w:r>
      <w:r w:rsidR="00741CC9">
        <w:t>is submitted,</w:t>
      </w:r>
      <w:r w:rsidR="000A67F0">
        <w:t xml:space="preserve"> </w:t>
      </w:r>
      <w:r w:rsidR="00D0725E">
        <w:t>the latest accepted application will progress</w:t>
      </w:r>
      <w:r w:rsidRPr="00E84046">
        <w:t xml:space="preserve">. </w:t>
      </w:r>
    </w:p>
    <w:p w14:paraId="4EBF0D2A" w14:textId="77777777" w:rsidR="00C03BED" w:rsidRDefault="00E84046" w:rsidP="00C13B98">
      <w:r>
        <w:t>Please</w:t>
      </w:r>
      <w:r w:rsidRPr="00B72EE8">
        <w:t xml:space="preserve"> keep a copy of your applica</w:t>
      </w:r>
      <w:r>
        <w:t>tion and any supporting papers</w:t>
      </w:r>
      <w:r w:rsidRPr="00B72EE8">
        <w:t xml:space="preserve">. </w:t>
      </w:r>
    </w:p>
    <w:p w14:paraId="1268F255" w14:textId="77777777" w:rsidR="00340616" w:rsidRPr="00B72EE8" w:rsidRDefault="00340616" w:rsidP="00A14ED6">
      <w:pPr>
        <w:pStyle w:val="Heading2Numbered"/>
        <w:ind w:left="426"/>
      </w:pPr>
      <w:bookmarkStart w:id="54" w:name="_Toc467773967"/>
      <w:bookmarkStart w:id="55" w:name="_Toc530058190"/>
      <w:bookmarkStart w:id="56" w:name="_Toc421777613"/>
      <w:bookmarkStart w:id="57" w:name="_Ref421787098"/>
      <w:bookmarkStart w:id="58" w:name="_Ref422127559"/>
      <w:bookmarkStart w:id="59" w:name="_Ref422128505"/>
      <w:r>
        <w:t>Application p</w:t>
      </w:r>
      <w:r w:rsidRPr="00B72EE8">
        <w:t xml:space="preserve">rocess </w:t>
      </w:r>
      <w:r>
        <w:t>t</w:t>
      </w:r>
      <w:r w:rsidRPr="00B72EE8">
        <w:t>iming</w:t>
      </w:r>
      <w:bookmarkEnd w:id="54"/>
      <w:bookmarkEnd w:id="55"/>
      <w:r w:rsidRPr="00B72EE8">
        <w:t xml:space="preserve"> </w:t>
      </w:r>
      <w:bookmarkEnd w:id="56"/>
      <w:bookmarkEnd w:id="57"/>
      <w:bookmarkEnd w:id="58"/>
      <w:bookmarkEnd w:id="59"/>
    </w:p>
    <w:p w14:paraId="20E30A63" w14:textId="0E1F3574" w:rsidR="0008501F" w:rsidRDefault="0008501F" w:rsidP="0008501F">
      <w:r>
        <w:t xml:space="preserve">You must submit an application between the published opening and closing dates and times. </w:t>
      </w:r>
    </w:p>
    <w:p w14:paraId="41124478" w14:textId="77777777" w:rsidR="0008501F" w:rsidRDefault="0008501F" w:rsidP="0008501F">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74D97486" w14:textId="77777777" w:rsidR="0008501F" w:rsidRDefault="0008501F" w:rsidP="0008501F">
      <w:pPr>
        <w:numPr>
          <w:ilvl w:val="0"/>
          <w:numId w:val="44"/>
        </w:numPr>
        <w:suppressAutoHyphens w:val="0"/>
        <w:spacing w:before="40" w:after="120"/>
        <w:contextualSpacing/>
        <w:rPr>
          <w:rFonts w:eastAsia="Times New Roman"/>
        </w:rPr>
      </w:pPr>
      <w:r>
        <w:rPr>
          <w:rFonts w:eastAsia="Times New Roman"/>
        </w:rPr>
        <w:t>reasonably unforeseeable,</w:t>
      </w:r>
    </w:p>
    <w:p w14:paraId="55583D14" w14:textId="77777777" w:rsidR="0008501F" w:rsidRDefault="0008501F" w:rsidP="0008501F">
      <w:pPr>
        <w:numPr>
          <w:ilvl w:val="0"/>
          <w:numId w:val="44"/>
        </w:numPr>
        <w:suppressAutoHyphens w:val="0"/>
        <w:spacing w:before="40" w:after="120"/>
        <w:contextualSpacing/>
        <w:rPr>
          <w:rFonts w:eastAsia="Times New Roman"/>
        </w:rPr>
      </w:pPr>
      <w:r>
        <w:rPr>
          <w:rFonts w:eastAsia="Times New Roman"/>
        </w:rPr>
        <w:t>beyond the applicant’s control,</w:t>
      </w:r>
    </w:p>
    <w:p w14:paraId="352C009B" w14:textId="77777777" w:rsidR="0008501F" w:rsidRDefault="0008501F" w:rsidP="0008501F">
      <w:pPr>
        <w:numPr>
          <w:ilvl w:val="0"/>
          <w:numId w:val="44"/>
        </w:numPr>
        <w:suppressAutoHyphens w:val="0"/>
        <w:spacing w:before="40" w:after="120"/>
        <w:contextualSpacing/>
        <w:rPr>
          <w:rFonts w:eastAsia="Times New Roman"/>
        </w:rPr>
      </w:pPr>
      <w:r>
        <w:rPr>
          <w:rFonts w:eastAsia="Times New Roman"/>
        </w:rPr>
        <w:t xml:space="preserve">unable to be managed or resolved within the application period. </w:t>
      </w:r>
    </w:p>
    <w:p w14:paraId="0E94DD43" w14:textId="0869DFBB" w:rsidR="0008501F" w:rsidRDefault="0008501F" w:rsidP="0008501F">
      <w:r>
        <w:t>Exceptional circumstances will be considered on their merits and in accordance with probity principles.</w:t>
      </w:r>
    </w:p>
    <w:p w14:paraId="7FF91A25" w14:textId="77777777" w:rsidR="0008501F" w:rsidRDefault="0008501F" w:rsidP="0008501F">
      <w:pPr>
        <w:rPr>
          <w:b/>
          <w:bCs/>
        </w:rPr>
      </w:pPr>
      <w:r>
        <w:rPr>
          <w:b/>
          <w:bCs/>
        </w:rPr>
        <w:t>How to lodge a late application</w:t>
      </w:r>
    </w:p>
    <w:p w14:paraId="126CF03C" w14:textId="207CC0D0" w:rsidR="0008501F" w:rsidRDefault="0008501F" w:rsidP="0008501F">
      <w:r>
        <w:t xml:space="preserve">Applicants seeking to submit a late application will be required to submit a late application request to the Community Grants Hub Hotline via </w:t>
      </w:r>
      <w:hyperlink r:id="rId17" w:history="1">
        <w:r>
          <w:rPr>
            <w:rStyle w:val="Hyperlink"/>
          </w:rPr>
          <w:t>support@communitygrants.gov.au</w:t>
        </w:r>
      </w:hyperlink>
      <w:r w:rsidR="00C60F74">
        <w:t>.</w:t>
      </w:r>
      <w:r>
        <w:t xml:space="preserve"> </w:t>
      </w:r>
    </w:p>
    <w:p w14:paraId="7848EBC2" w14:textId="77777777" w:rsidR="0008501F" w:rsidRDefault="0008501F" w:rsidP="0008501F">
      <w:pPr>
        <w:spacing w:before="120" w:after="140"/>
        <w:rPr>
          <w:color w:val="000000"/>
        </w:rPr>
      </w:pPr>
      <w:r>
        <w:rPr>
          <w:color w:val="00000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551A03AD" w14:textId="0F18D283" w:rsidR="0008501F" w:rsidRDefault="0008501F" w:rsidP="0008501F">
      <w:r>
        <w:t xml:space="preserve">Written requests to lodge a late application will only be accepted within three days after the grant opportunity has closed. </w:t>
      </w:r>
    </w:p>
    <w:p w14:paraId="7EB9FE49" w14:textId="171A98E7" w:rsidR="0008501F" w:rsidRDefault="0008501F" w:rsidP="0008501F">
      <w:r>
        <w:t>A delegate will determine whether a late application will be accepted. The decision of the delegate will be final and not be subject to a review or appeals process.</w:t>
      </w:r>
    </w:p>
    <w:p w14:paraId="405D221E" w14:textId="77777777" w:rsidR="0008501F" w:rsidRDefault="0008501F" w:rsidP="0008501F">
      <w:r>
        <w:t>Once the outcome is determined, the Community Grants Hub will advise the applicant if their request is accepted or declined.</w:t>
      </w:r>
    </w:p>
    <w:p w14:paraId="6D0EE78F" w14:textId="66989CCE" w:rsidR="00E96464" w:rsidRDefault="00340616" w:rsidP="00340616">
      <w:pPr>
        <w:spacing w:before="200"/>
      </w:pPr>
      <w:r w:rsidRPr="003B12C7">
        <w:t xml:space="preserve">The expected commencement date for the granting activities is </w:t>
      </w:r>
      <w:r w:rsidR="00F26694" w:rsidRPr="003B12C7">
        <w:t>1 July 2019</w:t>
      </w:r>
      <w:r w:rsidRPr="003B12C7">
        <w:t xml:space="preserve"> and the expected completion date is </w:t>
      </w:r>
      <w:r w:rsidR="00F26694" w:rsidRPr="003B12C7">
        <w:t>30 June 2024</w:t>
      </w:r>
      <w:r w:rsidRPr="003B12C7">
        <w:t xml:space="preserve">. </w:t>
      </w:r>
    </w:p>
    <w:p w14:paraId="07C47F21" w14:textId="77777777" w:rsidR="00E96464" w:rsidRDefault="00E96464">
      <w:pPr>
        <w:suppressAutoHyphens w:val="0"/>
        <w:spacing w:before="0" w:after="120" w:line="440" w:lineRule="atLeast"/>
      </w:pPr>
      <w:r>
        <w:br w:type="page"/>
      </w:r>
    </w:p>
    <w:p w14:paraId="59D8A0AB" w14:textId="77777777" w:rsidR="00340616" w:rsidRPr="003B12C7" w:rsidRDefault="00340616" w:rsidP="00340616">
      <w:pPr>
        <w:spacing w:before="200"/>
      </w:pPr>
    </w:p>
    <w:p w14:paraId="6FD64751" w14:textId="77777777" w:rsidR="0054078D" w:rsidRDefault="0054078D" w:rsidP="000B0A3C">
      <w:pPr>
        <w:pStyle w:val="Caption"/>
        <w:keepNext/>
        <w:spacing w:before="240"/>
      </w:pPr>
      <w:bookmarkStart w:id="60" w:name="_Toc467773968"/>
      <w:r w:rsidRPr="007C3B67">
        <w:rPr>
          <w:bCs/>
          <w:iCs w:val="0"/>
        </w:rPr>
        <w:t xml:space="preserve">Table 1: Expected timing for this </w:t>
      </w:r>
      <w:r w:rsidR="00A6214D" w:rsidRPr="007C3B67">
        <w:rPr>
          <w:bCs/>
          <w:iCs w:val="0"/>
        </w:rPr>
        <w:t>Grant O</w:t>
      </w:r>
      <w:r w:rsidRPr="007C3B67">
        <w:rPr>
          <w:bCs/>
          <w:iCs w:val="0"/>
        </w:rPr>
        <w:t>pportunity</w:t>
      </w:r>
      <w:bookmarkEnd w:id="60"/>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277F2ADE"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0A7ADDB3" w14:textId="77777777" w:rsidR="0054078D" w:rsidRPr="00CD7D0E" w:rsidRDefault="0054078D" w:rsidP="00E44E21">
            <w:pPr>
              <w:pStyle w:val="TableText"/>
              <w:rPr>
                <w:color w:val="FFFFFF" w:themeColor="background1"/>
              </w:rPr>
            </w:pPr>
            <w:r w:rsidRPr="00CD7D0E">
              <w:rPr>
                <w:color w:val="FFFFFF" w:themeColor="background1"/>
              </w:rPr>
              <w:t>Activity</w:t>
            </w:r>
          </w:p>
        </w:tc>
        <w:tc>
          <w:tcPr>
            <w:tcW w:w="3402" w:type="dxa"/>
          </w:tcPr>
          <w:p w14:paraId="2697C577" w14:textId="77777777" w:rsidR="0054078D" w:rsidRPr="00CD7D0E" w:rsidRDefault="0054078D" w:rsidP="0054078D">
            <w:pPr>
              <w:pStyle w:val="TableText"/>
              <w:jc w:val="center"/>
              <w:rPr>
                <w:color w:val="FFFFFF" w:themeColor="background1"/>
              </w:rPr>
            </w:pPr>
            <w:r w:rsidRPr="00CD7D0E">
              <w:rPr>
                <w:color w:val="FFFFFF" w:themeColor="background1"/>
              </w:rPr>
              <w:t>Timeframe</w:t>
            </w:r>
          </w:p>
        </w:tc>
      </w:tr>
      <w:tr w:rsidR="0054078D" w14:paraId="0730E293" w14:textId="77777777" w:rsidTr="0054078D">
        <w:tc>
          <w:tcPr>
            <w:tcW w:w="5387" w:type="dxa"/>
          </w:tcPr>
          <w:p w14:paraId="549C48CF" w14:textId="77777777" w:rsidR="0054078D" w:rsidRPr="000D60B1" w:rsidRDefault="0054078D" w:rsidP="0054078D">
            <w:pPr>
              <w:pStyle w:val="TableText"/>
            </w:pPr>
            <w:r>
              <w:t>Application period</w:t>
            </w:r>
            <w:r w:rsidRPr="000D60B1">
              <w:t xml:space="preserve"> </w:t>
            </w:r>
          </w:p>
        </w:tc>
        <w:tc>
          <w:tcPr>
            <w:tcW w:w="3402" w:type="dxa"/>
          </w:tcPr>
          <w:p w14:paraId="0AA215F4" w14:textId="54267180" w:rsidR="0054078D" w:rsidRPr="0054078D" w:rsidRDefault="0054078D" w:rsidP="00A936DC">
            <w:pPr>
              <w:pStyle w:val="TableText"/>
            </w:pPr>
            <w:r w:rsidRPr="0054078D">
              <w:t xml:space="preserve">Open: </w:t>
            </w:r>
            <w:r w:rsidR="00CD7D0E">
              <w:t>16</w:t>
            </w:r>
            <w:r w:rsidR="00F26694">
              <w:t>/11/2018</w:t>
            </w:r>
            <w:r w:rsidRPr="0054078D">
              <w:t xml:space="preserve"> </w:t>
            </w:r>
            <w:r w:rsidRPr="0054078D">
              <w:br/>
              <w:t xml:space="preserve">Close: </w:t>
            </w:r>
            <w:r w:rsidR="00D761AB">
              <w:t>5</w:t>
            </w:r>
            <w:r w:rsidR="00A936DC">
              <w:t>pm on</w:t>
            </w:r>
            <w:r w:rsidR="00F26694">
              <w:t xml:space="preserve"> </w:t>
            </w:r>
            <w:r w:rsidR="00CD7D0E">
              <w:t>14</w:t>
            </w:r>
            <w:r w:rsidR="00F26694">
              <w:t>/0</w:t>
            </w:r>
            <w:r w:rsidR="00CD7D0E">
              <w:t>2</w:t>
            </w:r>
            <w:r w:rsidR="00F26694">
              <w:t>/2019</w:t>
            </w:r>
          </w:p>
        </w:tc>
      </w:tr>
      <w:tr w:rsidR="0054078D" w14:paraId="7CB87E5D" w14:textId="77777777" w:rsidTr="0054078D">
        <w:tc>
          <w:tcPr>
            <w:tcW w:w="5387" w:type="dxa"/>
          </w:tcPr>
          <w:p w14:paraId="7970C5F7" w14:textId="77777777" w:rsidR="0054078D" w:rsidRPr="00B72EE8" w:rsidRDefault="0054078D" w:rsidP="0054078D">
            <w:pPr>
              <w:pStyle w:val="TableText"/>
            </w:pPr>
            <w:r w:rsidRPr="00B72EE8">
              <w:t>Assessment of applications</w:t>
            </w:r>
          </w:p>
        </w:tc>
        <w:tc>
          <w:tcPr>
            <w:tcW w:w="3402" w:type="dxa"/>
          </w:tcPr>
          <w:p w14:paraId="76678725" w14:textId="77777777" w:rsidR="0054078D" w:rsidRPr="0054078D" w:rsidRDefault="00A936DC" w:rsidP="00A936DC">
            <w:pPr>
              <w:pStyle w:val="TableText"/>
            </w:pPr>
            <w:r>
              <w:t>4 weeks</w:t>
            </w:r>
          </w:p>
        </w:tc>
      </w:tr>
      <w:tr w:rsidR="0054078D" w14:paraId="232BDCE4" w14:textId="77777777" w:rsidTr="0054078D">
        <w:tc>
          <w:tcPr>
            <w:tcW w:w="5387" w:type="dxa"/>
          </w:tcPr>
          <w:p w14:paraId="4CD4B397" w14:textId="77777777" w:rsidR="0054078D" w:rsidRPr="00B72EE8" w:rsidRDefault="0054078D" w:rsidP="0054078D">
            <w:pPr>
              <w:pStyle w:val="TableText"/>
            </w:pPr>
            <w:r w:rsidRPr="00B72EE8">
              <w:t>Approval of outcomes of selection process</w:t>
            </w:r>
          </w:p>
        </w:tc>
        <w:tc>
          <w:tcPr>
            <w:tcW w:w="3402" w:type="dxa"/>
          </w:tcPr>
          <w:p w14:paraId="16FA80CC" w14:textId="77777777" w:rsidR="0054078D" w:rsidRPr="0054078D" w:rsidRDefault="00A936DC" w:rsidP="00A936DC">
            <w:pPr>
              <w:pStyle w:val="TableText"/>
            </w:pPr>
            <w:r>
              <w:t>4 weeks</w:t>
            </w:r>
          </w:p>
        </w:tc>
      </w:tr>
      <w:tr w:rsidR="0054078D" w14:paraId="1CBCB698" w14:textId="77777777" w:rsidTr="0054078D">
        <w:tc>
          <w:tcPr>
            <w:tcW w:w="5387" w:type="dxa"/>
          </w:tcPr>
          <w:p w14:paraId="64C5D4F1"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148711A5" w14:textId="77777777" w:rsidR="0054078D" w:rsidRPr="0054078D" w:rsidRDefault="00A936DC" w:rsidP="00A936DC">
            <w:pPr>
              <w:pStyle w:val="TableText"/>
            </w:pPr>
            <w:r>
              <w:t>6 weeks</w:t>
            </w:r>
          </w:p>
        </w:tc>
      </w:tr>
      <w:tr w:rsidR="0054078D" w14:paraId="60C6A3EE" w14:textId="77777777" w:rsidTr="0054078D">
        <w:tc>
          <w:tcPr>
            <w:tcW w:w="5387" w:type="dxa"/>
          </w:tcPr>
          <w:p w14:paraId="0EB59BEB" w14:textId="77777777" w:rsidR="0054078D" w:rsidRPr="00B72EE8" w:rsidRDefault="0054078D" w:rsidP="0054078D">
            <w:pPr>
              <w:pStyle w:val="TableText"/>
            </w:pPr>
            <w:r w:rsidRPr="00B72EE8">
              <w:t>Notification to unsuccessful applicants</w:t>
            </w:r>
          </w:p>
        </w:tc>
        <w:tc>
          <w:tcPr>
            <w:tcW w:w="3402" w:type="dxa"/>
          </w:tcPr>
          <w:p w14:paraId="682B50C6" w14:textId="77777777" w:rsidR="0054078D" w:rsidRPr="0054078D" w:rsidRDefault="00A936DC" w:rsidP="00A936DC">
            <w:pPr>
              <w:pStyle w:val="TableText"/>
            </w:pPr>
            <w:r>
              <w:t>2 weeks</w:t>
            </w:r>
          </w:p>
        </w:tc>
      </w:tr>
      <w:tr w:rsidR="0054078D" w14:paraId="7BC646C4" w14:textId="77777777" w:rsidTr="0054078D">
        <w:tc>
          <w:tcPr>
            <w:tcW w:w="5387" w:type="dxa"/>
          </w:tcPr>
          <w:p w14:paraId="3F8BBFCC" w14:textId="77777777" w:rsidR="0054078D" w:rsidRDefault="0054078D" w:rsidP="0054078D">
            <w:pPr>
              <w:pStyle w:val="TableText"/>
            </w:pPr>
            <w:r>
              <w:t>Activity commences</w:t>
            </w:r>
          </w:p>
        </w:tc>
        <w:tc>
          <w:tcPr>
            <w:tcW w:w="3402" w:type="dxa"/>
          </w:tcPr>
          <w:p w14:paraId="6F49C2E2" w14:textId="77777777" w:rsidR="0054078D" w:rsidRPr="0054078D" w:rsidRDefault="000A68CE" w:rsidP="000A68CE">
            <w:pPr>
              <w:pStyle w:val="TableText"/>
            </w:pPr>
            <w:r>
              <w:t>01/07/2019</w:t>
            </w:r>
          </w:p>
        </w:tc>
      </w:tr>
      <w:tr w:rsidR="0054078D" w14:paraId="10DBDF71"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0095D859" w14:textId="77777777" w:rsidR="0054078D" w:rsidRPr="00CD7D0E" w:rsidRDefault="0054078D" w:rsidP="0054078D">
            <w:pPr>
              <w:pStyle w:val="TableText"/>
              <w:rPr>
                <w:color w:val="FFFFFF" w:themeColor="background1"/>
              </w:rPr>
            </w:pPr>
            <w:r w:rsidRPr="00CD7D0E">
              <w:rPr>
                <w:color w:val="FFFFFF" w:themeColor="background1"/>
              </w:rPr>
              <w:t>End date</w:t>
            </w:r>
          </w:p>
        </w:tc>
        <w:tc>
          <w:tcPr>
            <w:tcW w:w="3402" w:type="dxa"/>
          </w:tcPr>
          <w:p w14:paraId="0F998DA6" w14:textId="77777777" w:rsidR="0054078D" w:rsidRPr="00CD7D0E" w:rsidRDefault="000A68CE" w:rsidP="000A68CE">
            <w:pPr>
              <w:pStyle w:val="TableText"/>
              <w:rPr>
                <w:color w:val="FFFFFF" w:themeColor="background1"/>
              </w:rPr>
            </w:pPr>
            <w:r w:rsidRPr="00CD7D0E">
              <w:rPr>
                <w:color w:val="FFFFFF" w:themeColor="background1"/>
              </w:rPr>
              <w:t>30</w:t>
            </w:r>
            <w:r w:rsidR="0054078D" w:rsidRPr="00CD7D0E">
              <w:rPr>
                <w:color w:val="FFFFFF" w:themeColor="background1"/>
              </w:rPr>
              <w:t>/</w:t>
            </w:r>
            <w:r w:rsidRPr="00CD7D0E">
              <w:rPr>
                <w:color w:val="FFFFFF" w:themeColor="background1"/>
              </w:rPr>
              <w:t>06</w:t>
            </w:r>
            <w:r w:rsidR="0054078D" w:rsidRPr="00CD7D0E">
              <w:rPr>
                <w:color w:val="FFFFFF" w:themeColor="background1"/>
              </w:rPr>
              <w:t>/</w:t>
            </w:r>
            <w:r w:rsidRPr="00CD7D0E">
              <w:rPr>
                <w:color w:val="FFFFFF" w:themeColor="background1"/>
              </w:rPr>
              <w:t>2024</w:t>
            </w:r>
          </w:p>
        </w:tc>
      </w:tr>
    </w:tbl>
    <w:p w14:paraId="5E17B1A0" w14:textId="77777777" w:rsidR="00340616" w:rsidRPr="00B72EE8" w:rsidRDefault="00340616" w:rsidP="00A14ED6">
      <w:pPr>
        <w:pStyle w:val="Heading2Numbered"/>
        <w:ind w:left="567"/>
      </w:pPr>
      <w:bookmarkStart w:id="61" w:name="_Toc421777614"/>
      <w:bookmarkStart w:id="62" w:name="_Toc433641169"/>
      <w:bookmarkStart w:id="63" w:name="_Toc467773969"/>
      <w:bookmarkStart w:id="64" w:name="_Toc530058191"/>
      <w:r>
        <w:t>Completing the grant a</w:t>
      </w:r>
      <w:r w:rsidRPr="00B72EE8">
        <w:t>pplication</w:t>
      </w:r>
      <w:bookmarkEnd w:id="61"/>
      <w:bookmarkEnd w:id="62"/>
      <w:bookmarkEnd w:id="63"/>
      <w:bookmarkEnd w:id="64"/>
    </w:p>
    <w:p w14:paraId="4E0638D4" w14:textId="3DFABD25" w:rsidR="00340616" w:rsidRDefault="00340616" w:rsidP="00340616">
      <w:r>
        <w:t>You must submit your</w:t>
      </w:r>
      <w:r w:rsidR="009C4265">
        <w:t xml:space="preserve"> </w:t>
      </w:r>
      <w:r>
        <w:t>grant a</w:t>
      </w:r>
      <w:r w:rsidRPr="00B72EE8">
        <w:t xml:space="preserve">pplication </w:t>
      </w:r>
      <w:r w:rsidR="00031305">
        <w:t>using</w:t>
      </w:r>
      <w:r w:rsidRPr="00B72EE8">
        <w:t xml:space="preserve"> the application form, w</w:t>
      </w:r>
      <w:r>
        <w:t xml:space="preserve">hich </w:t>
      </w:r>
      <w:r w:rsidR="00031305">
        <w:t>is available on</w:t>
      </w:r>
      <w:r w:rsidR="009C4265">
        <w:t xml:space="preserve"> </w:t>
      </w:r>
      <w:r w:rsidR="00031305">
        <w:t xml:space="preserve">the </w:t>
      </w:r>
      <w:hyperlink r:id="rId18" w:history="1">
        <w:r w:rsidR="009C4265" w:rsidRPr="00A92A2E">
          <w:rPr>
            <w:rStyle w:val="Hyperlink"/>
            <w:rFonts w:cstheme="minorBidi"/>
          </w:rPr>
          <w:t>GrantConnect</w:t>
        </w:r>
      </w:hyperlink>
      <w:r w:rsidR="00A92A2E">
        <w:t xml:space="preserve"> </w:t>
      </w:r>
      <w:r w:rsidR="009C4265">
        <w:t xml:space="preserve">and </w:t>
      </w:r>
      <w:hyperlink r:id="rId19" w:history="1">
        <w:r w:rsidR="009C4265" w:rsidRPr="00A92A2E">
          <w:rPr>
            <w:rStyle w:val="Hyperlink"/>
            <w:rFonts w:cstheme="minorBidi"/>
          </w:rPr>
          <w:t xml:space="preserve">Community Grants </w:t>
        </w:r>
        <w:r w:rsidR="00925ECE" w:rsidRPr="00A92A2E">
          <w:rPr>
            <w:rStyle w:val="Hyperlink"/>
            <w:rFonts w:cstheme="minorBidi"/>
          </w:rPr>
          <w:t>Hub</w:t>
        </w:r>
      </w:hyperlink>
      <w:r w:rsidR="00031305" w:rsidRPr="00031305">
        <w:rPr>
          <w:rStyle w:val="Hyperlink"/>
          <w:rFonts w:cstheme="minorBidi"/>
          <w:u w:val="none"/>
        </w:rPr>
        <w:t xml:space="preserve"> </w:t>
      </w:r>
      <w:r w:rsidR="00031305">
        <w:rPr>
          <w:rStyle w:val="Hyperlink"/>
          <w:rFonts w:cstheme="minorBidi"/>
          <w:u w:val="none"/>
        </w:rPr>
        <w:t>websites</w:t>
      </w:r>
      <w:r w:rsidR="00031305" w:rsidRPr="00031305">
        <w:rPr>
          <w:rStyle w:val="Hyperlink"/>
          <w:rFonts w:cstheme="minorBidi"/>
          <w:u w:val="none"/>
        </w:rPr>
        <w:t>.</w:t>
      </w:r>
      <w:r w:rsidR="00C13B98">
        <w:t xml:space="preserve"> </w:t>
      </w:r>
      <w:r w:rsidRPr="00103A95">
        <w:t xml:space="preserve">The application form includes help information. </w:t>
      </w:r>
    </w:p>
    <w:p w14:paraId="5FBEFC2C" w14:textId="2C897245"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0" w:history="1">
        <w:r w:rsidRPr="004475DB">
          <w:rPr>
            <w:rStyle w:val="Hyperlink"/>
          </w:rPr>
          <w:t>support@communitygrants.gov.au</w:t>
        </w:r>
      </w:hyperlink>
      <w:r w:rsidRPr="004475DB">
        <w:t>.</w:t>
      </w:r>
    </w:p>
    <w:p w14:paraId="3CDD180C" w14:textId="77777777" w:rsidR="00984B3C" w:rsidRPr="004475DB" w:rsidRDefault="00984B3C" w:rsidP="00984B3C">
      <w:r w:rsidRPr="0026397F">
        <w:t xml:space="preserve">The </w:t>
      </w:r>
      <w:r w:rsidRPr="0026397F">
        <w:rPr>
          <w:rStyle w:val="highlightedtextChar"/>
          <w:b w:val="0"/>
          <w:color w:val="auto"/>
        </w:rPr>
        <w:t>Community G</w:t>
      </w:r>
      <w:r w:rsidR="00FA7D6D" w:rsidRPr="0026397F">
        <w:rPr>
          <w:rStyle w:val="highlightedtextChar"/>
          <w:b w:val="0"/>
          <w:color w:val="auto"/>
        </w:rPr>
        <w:t>rants Hub</w:t>
      </w:r>
      <w:r w:rsidRPr="0026397F">
        <w:t xml:space="preserve"> </w:t>
      </w:r>
      <w:r w:rsidRPr="004475DB">
        <w:t xml:space="preserve">will not provide application forms or accept applications for this </w:t>
      </w:r>
      <w:r w:rsidR="00A6214D">
        <w:t>Grant O</w:t>
      </w:r>
      <w:r w:rsidRPr="004475DB">
        <w:t xml:space="preserve">pportunity by fax or mail. </w:t>
      </w:r>
    </w:p>
    <w:p w14:paraId="08F06C10" w14:textId="77777777" w:rsidR="00984B3C" w:rsidRDefault="00984B3C" w:rsidP="00984B3C">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rsidR="00875A16">
        <w:t>,</w:t>
      </w:r>
      <w:r w:rsidRPr="004475DB" w:rsidDel="00D505A5">
        <w:t xml:space="preserve"> accurate and submitted</w:t>
      </w:r>
      <w:r w:rsidRPr="004475DB">
        <w:t xml:space="preserve"> </w:t>
      </w:r>
      <w:r w:rsidR="00875A16">
        <w:t xml:space="preserve">by the closing date and time </w:t>
      </w:r>
      <w:r w:rsidRPr="004475DB" w:rsidDel="00D505A5">
        <w:t>in accordance with the</w:t>
      </w:r>
      <w:r w:rsidRPr="004475DB">
        <w:t>se</w:t>
      </w:r>
      <w:r w:rsidRPr="004475DB" w:rsidDel="00D505A5">
        <w:t xml:space="preserve"> </w:t>
      </w:r>
      <w:r w:rsidRPr="004475DB">
        <w:t>Guidelines.</w:t>
      </w:r>
    </w:p>
    <w:p w14:paraId="0A6E6447" w14:textId="77777777" w:rsidR="00065224" w:rsidRDefault="003A4403" w:rsidP="003A4403">
      <w:r w:rsidRPr="004475DB">
        <w:t xml:space="preserve">If you find a mistake in your application after it has been submitted, you should contact the Community Grants Hub by phone on 1800 020 283 or by email at </w:t>
      </w:r>
      <w:hyperlink r:id="rId21" w:history="1">
        <w:r w:rsidRPr="004475DB">
          <w:rPr>
            <w:rStyle w:val="Hyperlink"/>
          </w:rPr>
          <w:t>support@communitygrants.gov.au</w:t>
        </w:r>
      </w:hyperlink>
      <w:r w:rsidRPr="004475DB">
        <w:t xml:space="preserve"> straight away. </w:t>
      </w:r>
    </w:p>
    <w:p w14:paraId="4809AFB0" w14:textId="11ABA7D0" w:rsidR="003A4403" w:rsidRPr="00B72EE8" w:rsidDel="00D505A5" w:rsidRDefault="003A4403" w:rsidP="003A4403">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00C60F74">
        <w:t xml:space="preserve"> </w:t>
      </w:r>
      <w:r w:rsidRPr="004475DB">
        <w:t xml:space="preserve">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36A5E01C" w14:textId="77777777" w:rsidR="00340616" w:rsidRPr="007224BA" w:rsidRDefault="00340616" w:rsidP="00A14ED6">
      <w:pPr>
        <w:pStyle w:val="Heading2Numbered"/>
        <w:ind w:left="567"/>
      </w:pPr>
      <w:bookmarkStart w:id="65" w:name="_Ref416443515"/>
      <w:bookmarkStart w:id="66" w:name="_Toc421777616"/>
      <w:bookmarkStart w:id="67" w:name="_Ref422125371"/>
      <w:bookmarkStart w:id="68" w:name="_Ref422125393"/>
      <w:bookmarkStart w:id="69" w:name="_Toc433641170"/>
      <w:bookmarkStart w:id="70" w:name="_Toc467773970"/>
      <w:bookmarkStart w:id="71" w:name="_Toc530058192"/>
      <w:r w:rsidRPr="007224BA">
        <w:t>Attachments</w:t>
      </w:r>
      <w:bookmarkEnd w:id="65"/>
      <w:r w:rsidRPr="007224BA">
        <w:t xml:space="preserve"> to the application</w:t>
      </w:r>
      <w:bookmarkEnd w:id="66"/>
      <w:bookmarkEnd w:id="67"/>
      <w:bookmarkEnd w:id="68"/>
      <w:bookmarkEnd w:id="69"/>
      <w:bookmarkEnd w:id="70"/>
      <w:bookmarkEnd w:id="71"/>
    </w:p>
    <w:p w14:paraId="14935E9A" w14:textId="77777777" w:rsidR="00340616" w:rsidRPr="00B72EE8" w:rsidRDefault="00340616" w:rsidP="00340616">
      <w:r w:rsidRPr="00B72EE8">
        <w:t xml:space="preserve">The following documents </w:t>
      </w:r>
      <w:r>
        <w:t>must be included</w:t>
      </w:r>
      <w:r w:rsidRPr="00B72EE8">
        <w:t xml:space="preserve"> with your application:</w:t>
      </w:r>
    </w:p>
    <w:p w14:paraId="74A0F7E8" w14:textId="19837155" w:rsidR="003713FC" w:rsidRDefault="003713FC" w:rsidP="00C13B98">
      <w:pPr>
        <w:pStyle w:val="Bullet1"/>
        <w:ind w:left="709" w:hanging="425"/>
        <w:rPr>
          <w:lang w:val="en-US"/>
        </w:rPr>
      </w:pPr>
      <w:r>
        <w:rPr>
          <w:lang w:val="en-US"/>
        </w:rPr>
        <w:t xml:space="preserve">Business Model </w:t>
      </w:r>
      <w:r w:rsidR="00976DC0">
        <w:rPr>
          <w:lang w:val="en-US"/>
        </w:rPr>
        <w:t>attachment</w:t>
      </w:r>
      <w:r>
        <w:rPr>
          <w:lang w:val="en-US"/>
        </w:rPr>
        <w:t xml:space="preserve"> outlining your operating costs and the number of services you are capable of delivering (</w:t>
      </w:r>
      <w:r w:rsidR="00E96464">
        <w:rPr>
          <w:lang w:val="en-US"/>
        </w:rPr>
        <w:t xml:space="preserve">a </w:t>
      </w:r>
      <w:r w:rsidR="00E96464">
        <w:rPr>
          <w:rFonts w:cstheme="minorHAnsi"/>
        </w:rPr>
        <w:t>template</w:t>
      </w:r>
      <w:r w:rsidR="00E96464" w:rsidRPr="002848CA">
        <w:rPr>
          <w:rFonts w:cstheme="minorHAnsi"/>
        </w:rPr>
        <w:t xml:space="preserve"> </w:t>
      </w:r>
      <w:r w:rsidR="00E96464">
        <w:rPr>
          <w:rFonts w:cstheme="minorHAnsi"/>
        </w:rPr>
        <w:t>is</w:t>
      </w:r>
      <w:r w:rsidR="00E96464" w:rsidRPr="002848CA">
        <w:rPr>
          <w:rFonts w:cstheme="minorHAnsi"/>
        </w:rPr>
        <w:t xml:space="preserve"> available for your use </w:t>
      </w:r>
      <w:r w:rsidR="00E96464">
        <w:rPr>
          <w:rFonts w:cstheme="minorHAnsi"/>
        </w:rPr>
        <w:t>with the grant opportunity documents on GrantConnect and Community Grants Hub websites.</w:t>
      </w:r>
      <w:r w:rsidR="00A65D05">
        <w:rPr>
          <w:lang w:val="en-US"/>
        </w:rPr>
        <w:t>)</w:t>
      </w:r>
      <w:r w:rsidR="003605A9">
        <w:rPr>
          <w:lang w:val="en-US"/>
        </w:rPr>
        <w:t>;</w:t>
      </w:r>
      <w:r w:rsidR="00AC5EA9">
        <w:rPr>
          <w:lang w:val="en-US"/>
        </w:rPr>
        <w:t xml:space="preserve"> </w:t>
      </w:r>
    </w:p>
    <w:p w14:paraId="27A0600B" w14:textId="77777777" w:rsidR="00E96464" w:rsidRPr="00FF1BF5" w:rsidRDefault="00583019" w:rsidP="005E735D">
      <w:pPr>
        <w:pStyle w:val="Bullet1"/>
        <w:ind w:left="709" w:hanging="425"/>
        <w:rPr>
          <w:lang w:val="en-US"/>
        </w:rPr>
      </w:pPr>
      <w:r w:rsidRPr="00E96464">
        <w:rPr>
          <w:lang w:val="en-US"/>
        </w:rPr>
        <w:t>Establishment Plan</w:t>
      </w:r>
      <w:r w:rsidR="00A65D05" w:rsidRPr="00E96464">
        <w:rPr>
          <w:lang w:val="en-US"/>
        </w:rPr>
        <w:t xml:space="preserve"> outlining how you will establish the RDP in the timeframe provided including governance structure</w:t>
      </w:r>
      <w:r w:rsidR="00D5643A" w:rsidRPr="00E96464">
        <w:rPr>
          <w:lang w:val="en-US"/>
        </w:rPr>
        <w:t xml:space="preserve">s and key milestones </w:t>
      </w:r>
      <w:r w:rsidR="00E96464">
        <w:rPr>
          <w:lang w:val="en-US"/>
        </w:rPr>
        <w:t xml:space="preserve">(a </w:t>
      </w:r>
      <w:r w:rsidR="00E96464">
        <w:rPr>
          <w:rFonts w:cstheme="minorHAnsi"/>
        </w:rPr>
        <w:t>template is</w:t>
      </w:r>
      <w:r w:rsidR="00E96464" w:rsidRPr="002848CA">
        <w:rPr>
          <w:rFonts w:cstheme="minorHAnsi"/>
        </w:rPr>
        <w:t xml:space="preserve"> available for your use </w:t>
      </w:r>
      <w:r w:rsidR="00E96464">
        <w:rPr>
          <w:rFonts w:cstheme="minorHAnsi"/>
        </w:rPr>
        <w:t>with the grant opportunity documents on GrantConnect and Community Grants Hub websites)</w:t>
      </w:r>
    </w:p>
    <w:p w14:paraId="458D9B83" w14:textId="4FE62EEB" w:rsidR="000F1988" w:rsidRPr="00E96464" w:rsidRDefault="005E3563" w:rsidP="005E735D">
      <w:pPr>
        <w:pStyle w:val="Bullet1"/>
        <w:ind w:left="709" w:hanging="425"/>
        <w:rPr>
          <w:lang w:val="en-US"/>
        </w:rPr>
      </w:pPr>
      <w:r w:rsidRPr="00E96464">
        <w:rPr>
          <w:lang w:val="en-US"/>
        </w:rPr>
        <w:t>t</w:t>
      </w:r>
      <w:r w:rsidR="004E3A71" w:rsidRPr="00E96464">
        <w:rPr>
          <w:lang w:val="en-US"/>
        </w:rPr>
        <w:t>he name and contact details of three (3) referees which may be contacted by the Departme</w:t>
      </w:r>
      <w:r w:rsidR="003605A9" w:rsidRPr="00E96464">
        <w:rPr>
          <w:lang w:val="en-US"/>
        </w:rPr>
        <w:t>nt during the assessment round</w:t>
      </w:r>
      <w:r w:rsidR="00E96464">
        <w:rPr>
          <w:lang w:val="en-US"/>
        </w:rPr>
        <w:t xml:space="preserve"> (a </w:t>
      </w:r>
      <w:r w:rsidR="00E96464">
        <w:rPr>
          <w:rFonts w:cstheme="minorHAnsi"/>
        </w:rPr>
        <w:t>template</w:t>
      </w:r>
      <w:r w:rsidR="00E96464" w:rsidRPr="002848CA">
        <w:rPr>
          <w:rFonts w:cstheme="minorHAnsi"/>
        </w:rPr>
        <w:t xml:space="preserve"> </w:t>
      </w:r>
      <w:r w:rsidR="00E96464">
        <w:rPr>
          <w:rFonts w:cstheme="minorHAnsi"/>
        </w:rPr>
        <w:t>is</w:t>
      </w:r>
      <w:r w:rsidR="00E96464" w:rsidRPr="002848CA">
        <w:rPr>
          <w:rFonts w:cstheme="minorHAnsi"/>
        </w:rPr>
        <w:t xml:space="preserve"> available for your use </w:t>
      </w:r>
      <w:r w:rsidR="00E96464">
        <w:rPr>
          <w:rFonts w:cstheme="minorHAnsi"/>
        </w:rPr>
        <w:t>with the grant opportunity documents on GrantConnect and Community Grants Hub websites)</w:t>
      </w:r>
    </w:p>
    <w:p w14:paraId="173F3350" w14:textId="00559305" w:rsidR="000F1988" w:rsidRDefault="00FB0864" w:rsidP="00C13B98">
      <w:pPr>
        <w:pStyle w:val="Bullet1"/>
        <w:ind w:left="709" w:hanging="425"/>
        <w:rPr>
          <w:lang w:val="en-US"/>
        </w:rPr>
      </w:pPr>
      <w:r>
        <w:rPr>
          <w:lang w:val="en-US"/>
        </w:rPr>
        <w:t>consortia memorandum of understanding (MOU)</w:t>
      </w:r>
      <w:r w:rsidR="00740395">
        <w:rPr>
          <w:lang w:val="en-US"/>
        </w:rPr>
        <w:t xml:space="preserve">, including </w:t>
      </w:r>
      <w:r w:rsidR="000A6E5E">
        <w:rPr>
          <w:lang w:val="en-US"/>
        </w:rPr>
        <w:t xml:space="preserve">list of </w:t>
      </w:r>
      <w:r w:rsidR="00740395">
        <w:rPr>
          <w:lang w:val="en-US"/>
        </w:rPr>
        <w:t>consortia members</w:t>
      </w:r>
      <w:r w:rsidR="00D457E9">
        <w:rPr>
          <w:lang w:val="en-US"/>
        </w:rPr>
        <w:t>.</w:t>
      </w:r>
    </w:p>
    <w:p w14:paraId="060419DE" w14:textId="77777777" w:rsidR="00E96464" w:rsidRDefault="00E96464" w:rsidP="00E96464">
      <w:pPr>
        <w:pStyle w:val="Bullet1"/>
        <w:ind w:left="709" w:hanging="425"/>
      </w:pPr>
      <w:r>
        <w:t xml:space="preserve">If applying as a Trustee on behalf of a Trust, a signed Trust Deed and any subsequent variations must be provided. </w:t>
      </w:r>
    </w:p>
    <w:p w14:paraId="6EA0494B" w14:textId="77777777" w:rsidR="0026397F" w:rsidRDefault="0026397F" w:rsidP="009872D0">
      <w:pPr>
        <w:pStyle w:val="Bullet1"/>
        <w:numPr>
          <w:ilvl w:val="0"/>
          <w:numId w:val="0"/>
        </w:numPr>
        <w:spacing w:before="0"/>
        <w:rPr>
          <w:lang w:val="en-US"/>
        </w:rPr>
      </w:pPr>
    </w:p>
    <w:p w14:paraId="1628BC28" w14:textId="1D33B353" w:rsidR="008225FE" w:rsidRPr="006A1D75" w:rsidRDefault="00340616" w:rsidP="000B0A3C">
      <w:pPr>
        <w:pStyle w:val="Bullet1"/>
        <w:numPr>
          <w:ilvl w:val="0"/>
          <w:numId w:val="0"/>
        </w:numPr>
        <w:spacing w:before="0"/>
      </w:pPr>
      <w:r>
        <w:t>Your s</w:t>
      </w:r>
      <w:r w:rsidRPr="00B72EE8">
        <w:t xml:space="preserve">upporting documentation should be attached to </w:t>
      </w:r>
      <w:r w:rsidRPr="0026397F">
        <w:t>the application form.</w:t>
      </w:r>
      <w:r>
        <w:t xml:space="preserve"> There will be </w:t>
      </w:r>
      <w:r w:rsidRPr="00B72EE8">
        <w:t>instructions in the application form</w:t>
      </w:r>
      <w:r>
        <w:t xml:space="preserve"> to help </w:t>
      </w:r>
      <w:r w:rsidRPr="0026397F">
        <w:t xml:space="preserve">you. </w:t>
      </w:r>
      <w:r w:rsidRPr="00402719">
        <w:rPr>
          <w:bCs/>
        </w:rPr>
        <w:t>Only attach the documents you have been asked to include</w:t>
      </w:r>
      <w:r w:rsidRPr="0026397F">
        <w:t xml:space="preserve">. </w:t>
      </w:r>
      <w:r w:rsidR="000F1988">
        <w:t xml:space="preserve">Applications that have not submitted a mandatory attachment or have submitted an </w:t>
      </w:r>
      <w:r w:rsidR="00402719">
        <w:t xml:space="preserve">incomplete </w:t>
      </w:r>
      <w:r w:rsidR="009E65BD">
        <w:t>attachment</w:t>
      </w:r>
      <w:r w:rsidR="000F1988">
        <w:t xml:space="preserve"> may be deemed not compliant and may be excluded from the process.</w:t>
      </w:r>
    </w:p>
    <w:p w14:paraId="33C71263" w14:textId="77777777" w:rsidR="008225FE" w:rsidRDefault="008225FE" w:rsidP="008225FE">
      <w:r w:rsidRPr="00D30D59">
        <w:rPr>
          <w:b/>
        </w:rPr>
        <w:t>Please note:</w:t>
      </w:r>
      <w:r w:rsidRPr="006A1D75">
        <w:t xml:space="preserve"> There is a 2</w:t>
      </w:r>
      <w:r>
        <w:t>MB</w:t>
      </w:r>
      <w:r w:rsidRPr="006A1D75">
        <w:t xml:space="preserve"> limit for each attachment.</w:t>
      </w:r>
    </w:p>
    <w:p w14:paraId="77194138" w14:textId="77777777" w:rsidR="00340616" w:rsidRPr="00B72EE8" w:rsidRDefault="00340616" w:rsidP="00A14ED6">
      <w:pPr>
        <w:pStyle w:val="Heading2Numbered"/>
        <w:ind w:left="567"/>
      </w:pPr>
      <w:bookmarkStart w:id="72" w:name="_Ref416444523"/>
      <w:bookmarkStart w:id="73" w:name="_Toc421777619"/>
      <w:bookmarkStart w:id="74" w:name="_Toc433641173"/>
      <w:bookmarkStart w:id="75" w:name="_Toc467773971"/>
      <w:bookmarkStart w:id="76" w:name="_Toc530058193"/>
      <w:r>
        <w:t>Applications from consortia</w:t>
      </w:r>
      <w:bookmarkEnd w:id="72"/>
      <w:bookmarkEnd w:id="73"/>
      <w:bookmarkEnd w:id="74"/>
      <w:bookmarkEnd w:id="75"/>
      <w:bookmarkEnd w:id="76"/>
    </w:p>
    <w:p w14:paraId="1EE7F8B5" w14:textId="5F48B2E3"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w:t>
      </w:r>
      <w:r w:rsidR="002263E0">
        <w:t>organisations</w:t>
      </w:r>
      <w:r>
        <w:t xml:space="preserve"> </w:t>
      </w:r>
      <w:r w:rsidR="00CF1A52">
        <w:t>that</w:t>
      </w:r>
      <w:r>
        <w:t xml:space="preserve"> are working together to</w:t>
      </w:r>
      <w:r w:rsidRPr="00621BBB">
        <w:t xml:space="preserve"> combine their capabilities when developing and delivering a grant activity</w:t>
      </w:r>
      <w:r>
        <w:t>.</w:t>
      </w:r>
    </w:p>
    <w:p w14:paraId="443CF8DE" w14:textId="3454AB08" w:rsidR="00E255D2" w:rsidRDefault="00340616" w:rsidP="00E255D2">
      <w:r w:rsidRPr="00B72EE8">
        <w:t xml:space="preserve">If </w:t>
      </w:r>
      <w:r>
        <w:t xml:space="preserve">you are </w:t>
      </w:r>
      <w:r w:rsidRPr="00B72EE8">
        <w:t>submitting a</w:t>
      </w:r>
      <w:r>
        <w:t xml:space="preserve"> grant</w:t>
      </w:r>
      <w:r w:rsidRPr="00B72EE8">
        <w:t xml:space="preserve"> application on behalf of a consortium, </w:t>
      </w:r>
      <w:r w:rsidR="00431088">
        <w:t>one organisation</w:t>
      </w:r>
      <w:r w:rsidRPr="00B72EE8">
        <w:t xml:space="preserve"> must be appointed as the </w:t>
      </w:r>
      <w:r>
        <w:t>‘</w:t>
      </w:r>
      <w:r w:rsidRPr="00B72EE8">
        <w:t xml:space="preserve">lead </w:t>
      </w:r>
      <w:r>
        <w:t>organisation’</w:t>
      </w:r>
      <w:r w:rsidRPr="00B72EE8">
        <w:t>.</w:t>
      </w:r>
      <w:r w:rsidR="009872D0">
        <w:t xml:space="preserve"> </w:t>
      </w:r>
      <w:r w:rsidRPr="00B72EE8">
        <w:t xml:space="preserve">Only the lead </w:t>
      </w:r>
      <w:r>
        <w:t>organisation</w:t>
      </w:r>
      <w:r w:rsidRPr="00B72EE8">
        <w:t xml:space="preserve"> will enter into</w:t>
      </w:r>
      <w:r w:rsidR="00A078A8">
        <w:t xml:space="preserve"> a G</w:t>
      </w:r>
      <w:r>
        <w:t xml:space="preserve">rant </w:t>
      </w:r>
      <w:r w:rsidR="00A078A8">
        <w:t>A</w:t>
      </w:r>
      <w:r>
        <w:t>greement with the</w:t>
      </w:r>
      <w:r w:rsidRPr="00B929D5">
        <w:t xml:space="preserve"> </w:t>
      </w:r>
      <w:r>
        <w:t>Commonwealth</w:t>
      </w:r>
      <w:r w:rsidRPr="00B72EE8">
        <w:t xml:space="preserve"> and </w:t>
      </w:r>
      <w:r>
        <w:t xml:space="preserve">will </w:t>
      </w:r>
      <w:r w:rsidRPr="00B72EE8">
        <w:t xml:space="preserve">be responsible for </w:t>
      </w:r>
      <w:r>
        <w:t>the grant</w:t>
      </w:r>
      <w:r w:rsidR="00C60F74">
        <w:t>.</w:t>
      </w:r>
      <w:r w:rsidR="009872D0">
        <w:t xml:space="preserve"> </w:t>
      </w:r>
      <w:r w:rsidRPr="00B72EE8">
        <w:t>The</w:t>
      </w:r>
      <w:r>
        <w:t xml:space="preserve"> lead organisation must complete the a</w:t>
      </w:r>
      <w:r w:rsidRPr="00B72EE8">
        <w:t xml:space="preserve">pplication </w:t>
      </w:r>
      <w:r>
        <w:t>f</w:t>
      </w:r>
      <w:r w:rsidRPr="00B72EE8">
        <w:t>orm and identify all other members of the proposed</w:t>
      </w:r>
      <w:r w:rsidR="00C60F74">
        <w:t xml:space="preserve"> consortium in the application.</w:t>
      </w:r>
    </w:p>
    <w:p w14:paraId="72243091" w14:textId="5389A87F" w:rsidR="008308C1" w:rsidRDefault="00FB0864" w:rsidP="008308C1">
      <w:pPr>
        <w:spacing w:after="120"/>
      </w:pPr>
      <w:bookmarkStart w:id="77" w:name="_Hlk525846415"/>
      <w:r>
        <w:t>Your consortia must have a memorandum of understanding</w:t>
      </w:r>
      <w:r w:rsidR="006E2A2C">
        <w:t xml:space="preserve"> (MOU)</w:t>
      </w:r>
      <w:r w:rsidR="00C60F74">
        <w:t xml:space="preserve"> between all parties. </w:t>
      </w:r>
      <w:r>
        <w:t xml:space="preserve">This must be submitted as part of your </w:t>
      </w:r>
      <w:r w:rsidR="008308C1">
        <w:t>application</w:t>
      </w:r>
      <w:r w:rsidR="00C60F74">
        <w:t xml:space="preserve">. </w:t>
      </w:r>
      <w:r>
        <w:t xml:space="preserve">The MOU </w:t>
      </w:r>
      <w:r w:rsidR="001E0201">
        <w:t>should</w:t>
      </w:r>
      <w:r>
        <w:t xml:space="preserve"> contain (at a minimum) the following:</w:t>
      </w:r>
    </w:p>
    <w:p w14:paraId="7168154C" w14:textId="77777777" w:rsidR="009065B2" w:rsidRDefault="009065B2" w:rsidP="00B64CD9">
      <w:pPr>
        <w:numPr>
          <w:ilvl w:val="0"/>
          <w:numId w:val="15"/>
        </w:numPr>
        <w:suppressAutoHyphens w:val="0"/>
        <w:spacing w:before="0" w:after="120" w:line="276" w:lineRule="auto"/>
        <w:rPr>
          <w:lang w:val="en-US"/>
        </w:rPr>
      </w:pPr>
      <w:r>
        <w:rPr>
          <w:lang w:val="en-US"/>
        </w:rPr>
        <w:t>The date of the MOU and the period for which it is to operate;</w:t>
      </w:r>
    </w:p>
    <w:p w14:paraId="4105F0BB" w14:textId="77777777" w:rsidR="00424CEA" w:rsidRDefault="00424CEA" w:rsidP="00B64CD9">
      <w:pPr>
        <w:numPr>
          <w:ilvl w:val="0"/>
          <w:numId w:val="15"/>
        </w:numPr>
        <w:suppressAutoHyphens w:val="0"/>
        <w:spacing w:before="0" w:after="120" w:line="276" w:lineRule="auto"/>
        <w:rPr>
          <w:lang w:val="en-US"/>
        </w:rPr>
      </w:pPr>
      <w:r>
        <w:rPr>
          <w:lang w:val="en-US"/>
        </w:rPr>
        <w:t xml:space="preserve">The purpose of the consortia, its scope and key objectives; </w:t>
      </w:r>
    </w:p>
    <w:p w14:paraId="1BF113F9" w14:textId="7DB75D28" w:rsidR="00FB0864" w:rsidRDefault="009065B2" w:rsidP="00B64CD9">
      <w:pPr>
        <w:numPr>
          <w:ilvl w:val="0"/>
          <w:numId w:val="15"/>
        </w:numPr>
        <w:suppressAutoHyphens w:val="0"/>
        <w:spacing w:before="0" w:after="120" w:line="240" w:lineRule="auto"/>
        <w:ind w:left="714" w:hanging="357"/>
      </w:pPr>
      <w:r>
        <w:t xml:space="preserve">The management structure in place </w:t>
      </w:r>
      <w:r>
        <w:rPr>
          <w:lang w:val="en-US"/>
        </w:rPr>
        <w:t>including frequency of meetings and process f</w:t>
      </w:r>
      <w:r w:rsidR="00C60F74">
        <w:rPr>
          <w:lang w:val="en-US"/>
        </w:rPr>
        <w:t xml:space="preserve">or communication of decisions; </w:t>
      </w:r>
    </w:p>
    <w:p w14:paraId="0A97E95D" w14:textId="77777777" w:rsidR="008308C1" w:rsidRDefault="008308C1" w:rsidP="00B64CD9">
      <w:pPr>
        <w:numPr>
          <w:ilvl w:val="0"/>
          <w:numId w:val="15"/>
        </w:numPr>
        <w:suppressAutoHyphens w:val="0"/>
        <w:spacing w:before="0" w:after="120" w:line="240" w:lineRule="auto"/>
        <w:ind w:left="714" w:hanging="357"/>
      </w:pPr>
      <w:r w:rsidRPr="00D30D59">
        <w:t xml:space="preserve">an outline of the relevant experience and/or expertise of the consortium members; </w:t>
      </w:r>
    </w:p>
    <w:p w14:paraId="00E04737" w14:textId="77777777" w:rsidR="008308C1" w:rsidRDefault="008308C1" w:rsidP="00B64CD9">
      <w:pPr>
        <w:numPr>
          <w:ilvl w:val="0"/>
          <w:numId w:val="15"/>
        </w:numPr>
        <w:suppressAutoHyphens w:val="0"/>
        <w:spacing w:before="0" w:after="120" w:line="240" w:lineRule="auto"/>
        <w:ind w:left="714" w:hanging="357"/>
      </w:pPr>
      <w:r w:rsidRPr="00D30D59">
        <w:t xml:space="preserve">the roles/responsibilities of consortium members and the resources they will contribute (if any); </w:t>
      </w:r>
    </w:p>
    <w:p w14:paraId="3718C5D3" w14:textId="77777777" w:rsidR="00FB0864" w:rsidRDefault="00FB0864" w:rsidP="00B64CD9">
      <w:pPr>
        <w:numPr>
          <w:ilvl w:val="0"/>
          <w:numId w:val="15"/>
        </w:numPr>
        <w:suppressAutoHyphens w:val="0"/>
        <w:spacing w:before="0" w:after="120" w:line="240" w:lineRule="auto"/>
        <w:ind w:left="714" w:hanging="357"/>
      </w:pPr>
      <w:r>
        <w:t>an outline of the dispute resolution mechanisms which will be put in place;</w:t>
      </w:r>
    </w:p>
    <w:p w14:paraId="180FA589" w14:textId="10E6D7A0" w:rsidR="008308C1" w:rsidRDefault="00424CEA" w:rsidP="00B64CD9">
      <w:pPr>
        <w:numPr>
          <w:ilvl w:val="0"/>
          <w:numId w:val="15"/>
        </w:numPr>
        <w:suppressAutoHyphens w:val="0"/>
        <w:spacing w:before="0" w:after="120" w:line="240" w:lineRule="auto"/>
        <w:ind w:left="714" w:hanging="357"/>
      </w:pPr>
      <w:r>
        <w:rPr>
          <w:lang w:val="en-US"/>
        </w:rPr>
        <w:t>A disclaimer statement indicating that all activities that take place under the MOU must be in compliance with the Grant Guidelines;</w:t>
      </w:r>
      <w:r w:rsidR="008308C1">
        <w:t>confirmation that subcontract arrangements a</w:t>
      </w:r>
      <w:r w:rsidR="00C60F74">
        <w:t>re in place</w:t>
      </w:r>
      <w:r w:rsidR="008308C1">
        <w:t xml:space="preserve"> between the lead organisation and each of the consorti</w:t>
      </w:r>
      <w:r>
        <w:t>a</w:t>
      </w:r>
      <w:r w:rsidR="00E72FD5">
        <w:t xml:space="preserve"> </w:t>
      </w:r>
      <w:r>
        <w:t>partners wh</w:t>
      </w:r>
      <w:r>
        <w:rPr>
          <w:rFonts w:eastAsia="Times New Roman"/>
          <w:lang w:val="en-US"/>
        </w:rPr>
        <w:t>ere the consortia partners are delivering services</w:t>
      </w:r>
      <w:r w:rsidR="006E2A2C">
        <w:rPr>
          <w:rFonts w:eastAsia="Times New Roman"/>
          <w:lang w:val="en-US"/>
        </w:rPr>
        <w:t xml:space="preserve"> </w:t>
      </w:r>
      <w:r w:rsidR="008308C1">
        <w:t xml:space="preserve">and </w:t>
      </w:r>
    </w:p>
    <w:p w14:paraId="5A680A6F" w14:textId="1B69C01B" w:rsidR="008308C1" w:rsidRDefault="008308C1" w:rsidP="00B64CD9">
      <w:pPr>
        <w:numPr>
          <w:ilvl w:val="0"/>
          <w:numId w:val="15"/>
        </w:numPr>
        <w:suppressAutoHyphens w:val="0"/>
        <w:spacing w:before="0" w:after="200" w:line="240" w:lineRule="auto"/>
      </w:pPr>
      <w:r w:rsidRPr="00D30D59">
        <w:t>details of a nominated management level contact officer</w:t>
      </w:r>
      <w:r>
        <w:t xml:space="preserve"> (for each of the consortium members)</w:t>
      </w:r>
      <w:r w:rsidRPr="00D30D59">
        <w:t>.</w:t>
      </w:r>
      <w:bookmarkEnd w:id="77"/>
    </w:p>
    <w:p w14:paraId="64652A13" w14:textId="77777777" w:rsidR="00340616" w:rsidRPr="00B72EE8" w:rsidRDefault="00340616" w:rsidP="00A14ED6">
      <w:pPr>
        <w:pStyle w:val="Heading2Numbered"/>
        <w:ind w:left="426"/>
      </w:pPr>
      <w:bookmarkStart w:id="78" w:name="_Toc384307739"/>
      <w:bookmarkStart w:id="79" w:name="_Toc384307810"/>
      <w:bookmarkStart w:id="80" w:name="_Toc389141038"/>
      <w:bookmarkStart w:id="81" w:name="_Toc433641171"/>
      <w:bookmarkStart w:id="82" w:name="_Toc467773972"/>
      <w:bookmarkStart w:id="83" w:name="_Toc530058194"/>
      <w:bookmarkStart w:id="84" w:name="_Toc421777609"/>
      <w:bookmarkEnd w:id="52"/>
      <w:r w:rsidRPr="00B72EE8">
        <w:t xml:space="preserve">Questions during the application </w:t>
      </w:r>
      <w:bookmarkEnd w:id="78"/>
      <w:bookmarkEnd w:id="79"/>
      <w:bookmarkEnd w:id="80"/>
      <w:bookmarkEnd w:id="81"/>
      <w:r>
        <w:t>process</w:t>
      </w:r>
      <w:bookmarkEnd w:id="82"/>
      <w:bookmarkEnd w:id="83"/>
    </w:p>
    <w:p w14:paraId="180C0E5F" w14:textId="188D8D73"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22" w:history="1">
        <w:r w:rsidR="00D14978" w:rsidRPr="004E1173">
          <w:rPr>
            <w:rStyle w:val="Hyperlink"/>
            <w:rFonts w:cstheme="minorBidi"/>
          </w:rPr>
          <w:t>support@communitygrants.gov.au</w:t>
        </w:r>
      </w:hyperlink>
      <w:r w:rsidR="00D14978">
        <w:t xml:space="preserve">. </w:t>
      </w:r>
      <w:r w:rsidRPr="00103A95">
        <w:t xml:space="preserve">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14:paraId="21900278" w14:textId="77777777" w:rsidR="00340616" w:rsidRDefault="00340616" w:rsidP="00340616">
      <w:r>
        <w:t>Answers to questions</w:t>
      </w:r>
      <w:r w:rsidRPr="00EA3E47">
        <w:t xml:space="preserve"> may be posted on </w:t>
      </w:r>
      <w:r w:rsidR="008612F0">
        <w:t xml:space="preserve">the </w:t>
      </w:r>
      <w:hyperlink r:id="rId23" w:history="1">
        <w:r w:rsidRPr="003D016A">
          <w:rPr>
            <w:rStyle w:val="Hyperlink"/>
            <w:rFonts w:cstheme="minorBidi"/>
          </w:rPr>
          <w:t>GrantConnect</w:t>
        </w:r>
      </w:hyperlink>
      <w:r w:rsidR="00192CC4">
        <w:rPr>
          <w:rStyle w:val="Hyperlink"/>
          <w:rFonts w:cstheme="minorBidi"/>
        </w:rPr>
        <w:t xml:space="preserve"> </w:t>
      </w:r>
      <w:r w:rsidR="00192CC4" w:rsidRPr="003D016A">
        <w:rPr>
          <w:rStyle w:val="Hyperlink"/>
          <w:rFonts w:cstheme="minorBidi"/>
          <w:u w:val="none"/>
        </w:rPr>
        <w:t xml:space="preserve">and </w:t>
      </w:r>
      <w:hyperlink r:id="rId24" w:history="1">
        <w:r w:rsidR="00192CC4" w:rsidRPr="00192CC4">
          <w:rPr>
            <w:rStyle w:val="Hyperlink"/>
            <w:rFonts w:cstheme="minorBidi"/>
          </w:rPr>
          <w:t>Community Grants Hub</w:t>
        </w:r>
      </w:hyperlink>
      <w:r w:rsidR="003D016A">
        <w:rPr>
          <w:rStyle w:val="Hyperlink"/>
          <w:rFonts w:cstheme="minorBidi"/>
          <w:u w:val="none"/>
        </w:rPr>
        <w:t xml:space="preserve"> website</w:t>
      </w:r>
      <w:r w:rsidR="008612F0">
        <w:rPr>
          <w:rStyle w:val="Hyperlink"/>
          <w:rFonts w:cstheme="minorBidi"/>
          <w:u w:val="none"/>
        </w:rPr>
        <w:t>s</w:t>
      </w:r>
      <w:r w:rsidRPr="00EA3E47">
        <w:t>.</w:t>
      </w:r>
      <w:r w:rsidDel="00FA6425">
        <w:t xml:space="preserve"> </w:t>
      </w:r>
    </w:p>
    <w:p w14:paraId="2CBB72A9" w14:textId="2CF95E58" w:rsidR="00BC0C62" w:rsidRDefault="00BC0C62" w:rsidP="00340616">
      <w:r>
        <w:t xml:space="preserve">The question period will </w:t>
      </w:r>
      <w:r w:rsidR="003357B0">
        <w:t>c</w:t>
      </w:r>
      <w:r>
        <w:t xml:space="preserve">lose at </w:t>
      </w:r>
      <w:r w:rsidR="008612F0">
        <w:t>5.00pm</w:t>
      </w:r>
      <w:r w:rsidRPr="0082468B">
        <w:t xml:space="preserve"> </w:t>
      </w:r>
      <w:r w:rsidRPr="00135FE1">
        <w:t>AEDT on</w:t>
      </w:r>
      <w:r w:rsidR="00CD7D0E">
        <w:t xml:space="preserve"> 07/02</w:t>
      </w:r>
      <w:r w:rsidR="00135FE1">
        <w:t>/2019</w:t>
      </w:r>
      <w:r w:rsidR="00E96706" w:rsidRPr="00135FE1">
        <w:rPr>
          <w:b/>
          <w:color w:val="525252" w:themeColor="accent3" w:themeShade="80"/>
        </w:rPr>
        <w:t>.</w:t>
      </w:r>
      <w:r w:rsidR="00E96706">
        <w:t xml:space="preserve"> Following this time, only questions relating to using and/or submitting the application form will be answered.</w:t>
      </w:r>
    </w:p>
    <w:p w14:paraId="2E2A98A9" w14:textId="77777777" w:rsidR="00340616" w:rsidRPr="00B72EE8" w:rsidRDefault="00340616" w:rsidP="00A14ED6">
      <w:pPr>
        <w:pStyle w:val="Heading1Numbered"/>
      </w:pPr>
      <w:bookmarkStart w:id="85" w:name="_Toc467773974"/>
      <w:bookmarkStart w:id="86" w:name="_Toc530058195"/>
      <w:bookmarkEnd w:id="84"/>
      <w:r>
        <w:t>Assessment of grant ap</w:t>
      </w:r>
      <w:r w:rsidRPr="00B72EE8">
        <w:t>plications</w:t>
      </w:r>
      <w:bookmarkEnd w:id="85"/>
      <w:bookmarkEnd w:id="86"/>
    </w:p>
    <w:p w14:paraId="332F4803" w14:textId="77777777" w:rsidR="00340616" w:rsidRPr="00B72EE8" w:rsidRDefault="00340616" w:rsidP="00E634FA">
      <w:pPr>
        <w:pStyle w:val="Heading2Numbered"/>
        <w:ind w:left="426" w:hanging="426"/>
      </w:pPr>
      <w:bookmarkStart w:id="87" w:name="_Toc467773975"/>
      <w:bookmarkStart w:id="88" w:name="_Toc530058196"/>
      <w:bookmarkStart w:id="89" w:name="_Toc421777603"/>
      <w:r w:rsidRPr="00B72EE8">
        <w:t xml:space="preserve">Who will assess </w:t>
      </w:r>
      <w:r>
        <w:t>applications?</w:t>
      </w:r>
      <w:bookmarkEnd w:id="87"/>
      <w:bookmarkEnd w:id="88"/>
      <w:r>
        <w:t xml:space="preserve"> </w:t>
      </w:r>
      <w:bookmarkEnd w:id="89"/>
    </w:p>
    <w:p w14:paraId="37EA72E8" w14:textId="7CB520D6" w:rsidR="00DC1682" w:rsidRPr="00A75BF8" w:rsidRDefault="00DC1682" w:rsidP="00C13B98">
      <w:pPr>
        <w:pStyle w:val="CABNETParagraphAtt"/>
        <w:spacing w:after="240"/>
        <w:rPr>
          <w:rFonts w:cs="Times New Roman"/>
        </w:rPr>
      </w:pPr>
      <w:r w:rsidRPr="00A75BF8">
        <w:rPr>
          <w:rFonts w:cs="Times New Roman"/>
        </w:rPr>
        <w:t>An assessment team will assess all eligible and compliant applications based on their merits.</w:t>
      </w:r>
      <w:r w:rsidR="00C13B98">
        <w:rPr>
          <w:rFonts w:cs="Times New Roman"/>
        </w:rPr>
        <w:br/>
      </w:r>
      <w:r w:rsidRPr="00A75BF8">
        <w:rPr>
          <w:rFonts w:cs="Times New Roman"/>
        </w:rPr>
        <w:t xml:space="preserve">The assessment team will comprise departmental staff. The assessment team will undertake training to ensure consistent assessment of all applications. </w:t>
      </w:r>
    </w:p>
    <w:p w14:paraId="384703A0" w14:textId="77777777" w:rsidR="00DC1682" w:rsidRPr="00C13B98" w:rsidRDefault="00DC1682" w:rsidP="00C13B98">
      <w:pPr>
        <w:spacing w:after="120"/>
        <w:rPr>
          <w:rFonts w:cs="Times New Roman"/>
        </w:rPr>
      </w:pPr>
      <w:r w:rsidRPr="00A75BF8">
        <w:t xml:space="preserve">If the selection process identifies unintentional errors in your application, you may be contacted to </w:t>
      </w:r>
      <w:r w:rsidRPr="00C13B98">
        <w:rPr>
          <w:rFonts w:cs="Times New Roman"/>
        </w:rPr>
        <w:t>correct or explain the information.</w:t>
      </w:r>
    </w:p>
    <w:p w14:paraId="1762E6B2" w14:textId="75F2B671" w:rsidR="00DC1682" w:rsidRPr="00A75BF8" w:rsidRDefault="00DC1682" w:rsidP="00C13B98">
      <w:pPr>
        <w:pStyle w:val="CABNETParagraphAtt"/>
        <w:spacing w:before="240" w:after="240"/>
        <w:rPr>
          <w:rFonts w:cs="Times New Roman"/>
        </w:rPr>
      </w:pPr>
      <w:r w:rsidRPr="00A75BF8">
        <w:rPr>
          <w:rFonts w:cs="Times New Roman"/>
        </w:rPr>
        <w:t>A</w:t>
      </w:r>
      <w:r w:rsidR="001E0201">
        <w:rPr>
          <w:rFonts w:cs="Times New Roman"/>
        </w:rPr>
        <w:t xml:space="preserve"> Selection Advisory </w:t>
      </w:r>
      <w:r w:rsidR="001A22BB">
        <w:rPr>
          <w:rFonts w:cs="Times New Roman"/>
        </w:rPr>
        <w:t xml:space="preserve">Panel </w:t>
      </w:r>
      <w:r w:rsidR="001E0201">
        <w:rPr>
          <w:rFonts w:cs="Times New Roman"/>
        </w:rPr>
        <w:t xml:space="preserve">Committee </w:t>
      </w:r>
      <w:r w:rsidRPr="00A75BF8">
        <w:rPr>
          <w:rFonts w:cs="Times New Roman"/>
        </w:rPr>
        <w:t>compris</w:t>
      </w:r>
      <w:r w:rsidR="006276EC">
        <w:rPr>
          <w:rFonts w:cs="Times New Roman"/>
        </w:rPr>
        <w:t>ing</w:t>
      </w:r>
      <w:r w:rsidRPr="00A75BF8">
        <w:rPr>
          <w:rFonts w:cs="Times New Roman"/>
        </w:rPr>
        <w:t xml:space="preserve"> </w:t>
      </w:r>
      <w:r w:rsidR="00723218" w:rsidRPr="00C13B98">
        <w:rPr>
          <w:rFonts w:cs="Times New Roman"/>
        </w:rPr>
        <w:t>DSS</w:t>
      </w:r>
      <w:r w:rsidR="00C0565E" w:rsidRPr="00C13B98">
        <w:rPr>
          <w:rFonts w:cs="Times New Roman"/>
        </w:rPr>
        <w:t xml:space="preserve"> staff </w:t>
      </w:r>
      <w:r w:rsidRPr="00A75BF8">
        <w:rPr>
          <w:rFonts w:cs="Times New Roman"/>
        </w:rPr>
        <w:t xml:space="preserve">will then review all ranked applications to inform the final recommendations for funding. </w:t>
      </w:r>
    </w:p>
    <w:p w14:paraId="4838FEC6" w14:textId="3DD3675B" w:rsidR="00DC1682" w:rsidRPr="00FB423C" w:rsidRDefault="00DC1682" w:rsidP="00DC1682">
      <w:pPr>
        <w:spacing w:before="120"/>
        <w:rPr>
          <w:rFonts w:cstheme="minorHAnsi"/>
        </w:rPr>
      </w:pPr>
      <w:r w:rsidRPr="00A75BF8">
        <w:t xml:space="preserve">The </w:t>
      </w:r>
      <w:r w:rsidR="001E0201">
        <w:t xml:space="preserve">Selection Advisory </w:t>
      </w:r>
      <w:r w:rsidR="001A22BB">
        <w:t xml:space="preserve">Panel </w:t>
      </w:r>
      <w:r w:rsidRPr="00FB423C">
        <w:rPr>
          <w:rFonts w:cstheme="minorHAnsi"/>
        </w:rPr>
        <w:t>will make recommendations having regards to:</w:t>
      </w:r>
    </w:p>
    <w:p w14:paraId="4D92D00A" w14:textId="76028857" w:rsidR="00DC1682" w:rsidRPr="00FB423C" w:rsidRDefault="00DC1682" w:rsidP="00B64CD9">
      <w:pPr>
        <w:pStyle w:val="ListParagraph"/>
        <w:numPr>
          <w:ilvl w:val="1"/>
          <w:numId w:val="36"/>
        </w:numPr>
        <w:spacing w:before="120" w:after="0"/>
        <w:ind w:left="709" w:hanging="425"/>
        <w:rPr>
          <w:rFonts w:asciiTheme="minorHAnsi" w:hAnsiTheme="minorHAnsi" w:cstheme="minorHAnsi"/>
        </w:rPr>
      </w:pPr>
      <w:r w:rsidRPr="00FB423C">
        <w:rPr>
          <w:rFonts w:asciiTheme="minorHAnsi" w:hAnsiTheme="minorHAnsi" w:cstheme="minorHAnsi"/>
        </w:rPr>
        <w:t>overall objectives for each Program</w:t>
      </w:r>
      <w:r w:rsidR="004567F2" w:rsidRPr="00FB423C">
        <w:rPr>
          <w:rFonts w:asciiTheme="minorHAnsi" w:hAnsiTheme="minorHAnsi" w:cstheme="minorHAnsi"/>
        </w:rPr>
        <w:t>;</w:t>
      </w:r>
    </w:p>
    <w:p w14:paraId="1443EEDF" w14:textId="254932F7" w:rsidR="00DC1682" w:rsidRPr="00FB423C" w:rsidRDefault="00DC1682" w:rsidP="00B64CD9">
      <w:pPr>
        <w:pStyle w:val="ListParagraph"/>
        <w:numPr>
          <w:ilvl w:val="1"/>
          <w:numId w:val="36"/>
        </w:numPr>
        <w:spacing w:before="120" w:after="0"/>
        <w:ind w:left="709" w:hanging="425"/>
        <w:rPr>
          <w:rFonts w:asciiTheme="minorHAnsi" w:hAnsiTheme="minorHAnsi" w:cstheme="minorHAnsi"/>
        </w:rPr>
      </w:pPr>
      <w:r w:rsidRPr="00FB423C">
        <w:rPr>
          <w:rFonts w:asciiTheme="minorHAnsi" w:hAnsiTheme="minorHAnsi" w:cstheme="minorHAnsi"/>
        </w:rPr>
        <w:t>conformance with eligibility criteria</w:t>
      </w:r>
      <w:r w:rsidR="004567F2" w:rsidRPr="00FB423C">
        <w:rPr>
          <w:rFonts w:asciiTheme="minorHAnsi" w:hAnsiTheme="minorHAnsi" w:cstheme="minorHAnsi"/>
        </w:rPr>
        <w:t>;</w:t>
      </w:r>
    </w:p>
    <w:p w14:paraId="0D2F8F52" w14:textId="64933E57" w:rsidR="00DC1682" w:rsidRPr="00FB423C" w:rsidRDefault="00DC1682" w:rsidP="00B64CD9">
      <w:pPr>
        <w:pStyle w:val="ListParagraph"/>
        <w:numPr>
          <w:ilvl w:val="1"/>
          <w:numId w:val="36"/>
        </w:numPr>
        <w:spacing w:before="120" w:after="0"/>
        <w:ind w:left="709" w:hanging="425"/>
        <w:rPr>
          <w:rFonts w:asciiTheme="minorHAnsi" w:hAnsiTheme="minorHAnsi" w:cstheme="minorHAnsi"/>
        </w:rPr>
      </w:pPr>
      <w:r w:rsidRPr="00FB423C">
        <w:rPr>
          <w:rFonts w:asciiTheme="minorHAnsi" w:hAnsiTheme="minorHAnsi" w:cstheme="minorHAnsi"/>
        </w:rPr>
        <w:t>distribution of providers across all locations</w:t>
      </w:r>
      <w:r w:rsidR="004567F2" w:rsidRPr="00FB423C">
        <w:rPr>
          <w:rFonts w:asciiTheme="minorHAnsi" w:hAnsiTheme="minorHAnsi" w:cstheme="minorHAnsi"/>
        </w:rPr>
        <w:t>;</w:t>
      </w:r>
    </w:p>
    <w:p w14:paraId="5218E190" w14:textId="33EC6977" w:rsidR="00DC1682" w:rsidRPr="00FB423C" w:rsidRDefault="00DC1682" w:rsidP="00B64CD9">
      <w:pPr>
        <w:pStyle w:val="ListParagraph"/>
        <w:numPr>
          <w:ilvl w:val="1"/>
          <w:numId w:val="36"/>
        </w:numPr>
        <w:spacing w:before="120" w:after="0"/>
        <w:ind w:left="709" w:hanging="425"/>
        <w:rPr>
          <w:rFonts w:asciiTheme="minorHAnsi" w:hAnsiTheme="minorHAnsi" w:cstheme="minorHAnsi"/>
        </w:rPr>
      </w:pPr>
      <w:r w:rsidRPr="00FB423C">
        <w:rPr>
          <w:rFonts w:asciiTheme="minorHAnsi" w:hAnsiTheme="minorHAnsi" w:cstheme="minorHAnsi"/>
        </w:rPr>
        <w:t>how the services and/or project will be delivered</w:t>
      </w:r>
      <w:r w:rsidR="004567F2" w:rsidRPr="00FB423C">
        <w:rPr>
          <w:rFonts w:asciiTheme="minorHAnsi" w:hAnsiTheme="minorHAnsi" w:cstheme="minorHAnsi"/>
        </w:rPr>
        <w:t>;</w:t>
      </w:r>
    </w:p>
    <w:p w14:paraId="1F922C0E" w14:textId="4623DFAF" w:rsidR="00DC1682" w:rsidRPr="00FB423C" w:rsidRDefault="00DC1682" w:rsidP="00B64CD9">
      <w:pPr>
        <w:pStyle w:val="ListParagraph"/>
        <w:numPr>
          <w:ilvl w:val="1"/>
          <w:numId w:val="36"/>
        </w:numPr>
        <w:spacing w:before="120" w:after="0"/>
        <w:ind w:left="709" w:hanging="425"/>
        <w:rPr>
          <w:rFonts w:asciiTheme="minorHAnsi" w:hAnsiTheme="minorHAnsi" w:cstheme="minorHAnsi"/>
        </w:rPr>
      </w:pPr>
      <w:r w:rsidRPr="00FB423C">
        <w:rPr>
          <w:rFonts w:asciiTheme="minorHAnsi" w:hAnsiTheme="minorHAnsi" w:cstheme="minorHAnsi"/>
        </w:rPr>
        <w:t>value for money</w:t>
      </w:r>
      <w:r w:rsidR="004567F2" w:rsidRPr="00FB423C">
        <w:rPr>
          <w:rFonts w:asciiTheme="minorHAnsi" w:hAnsiTheme="minorHAnsi" w:cstheme="minorHAnsi"/>
        </w:rPr>
        <w:t>;</w:t>
      </w:r>
      <w:r w:rsidRPr="00FB423C">
        <w:rPr>
          <w:rFonts w:asciiTheme="minorHAnsi" w:hAnsiTheme="minorHAnsi" w:cstheme="minorHAnsi"/>
        </w:rPr>
        <w:t xml:space="preserve"> and</w:t>
      </w:r>
    </w:p>
    <w:p w14:paraId="45B0C74A" w14:textId="53CD0D7D" w:rsidR="00DC1682" w:rsidRPr="00FB423C" w:rsidRDefault="00DC1682" w:rsidP="00B64CD9">
      <w:pPr>
        <w:pStyle w:val="ListParagraph"/>
        <w:numPr>
          <w:ilvl w:val="1"/>
          <w:numId w:val="36"/>
        </w:numPr>
        <w:spacing w:before="120" w:after="0"/>
        <w:ind w:left="709" w:hanging="425"/>
        <w:rPr>
          <w:rFonts w:asciiTheme="minorHAnsi" w:hAnsiTheme="minorHAnsi" w:cstheme="minorHAnsi"/>
        </w:rPr>
      </w:pPr>
      <w:r w:rsidRPr="00FB423C">
        <w:rPr>
          <w:rFonts w:asciiTheme="minorHAnsi" w:hAnsiTheme="minorHAnsi" w:cstheme="minorHAnsi"/>
        </w:rPr>
        <w:t>minimise possible duplication with other Commonwealth/State/Territory government programs/service delivery.</w:t>
      </w:r>
    </w:p>
    <w:p w14:paraId="29DA302F" w14:textId="446780FC" w:rsidR="00DC1682" w:rsidRDefault="00DC1682" w:rsidP="00DC1682">
      <w:pPr>
        <w:spacing w:before="120"/>
      </w:pPr>
      <w:r w:rsidRPr="00FB423C">
        <w:rPr>
          <w:rFonts w:cstheme="minorHAnsi"/>
        </w:rPr>
        <w:t xml:space="preserve">The </w:t>
      </w:r>
      <w:r w:rsidR="001E0201">
        <w:rPr>
          <w:rFonts w:cstheme="minorHAnsi"/>
        </w:rPr>
        <w:t xml:space="preserve">Selection Advisory </w:t>
      </w:r>
      <w:r w:rsidR="001A22BB">
        <w:rPr>
          <w:rFonts w:cstheme="minorHAnsi"/>
        </w:rPr>
        <w:t>Panel</w:t>
      </w:r>
      <w:r w:rsidR="001E0201">
        <w:rPr>
          <w:rFonts w:cstheme="minorHAnsi"/>
        </w:rPr>
        <w:t xml:space="preserve"> </w:t>
      </w:r>
      <w:r w:rsidRPr="00FB423C">
        <w:rPr>
          <w:rFonts w:cstheme="minorHAnsi"/>
        </w:rPr>
        <w:t>may seek</w:t>
      </w:r>
      <w:r w:rsidRPr="00A75BF8">
        <w:t xml:space="preserve"> information about you or your application.</w:t>
      </w:r>
      <w:r w:rsidR="009872D0">
        <w:t xml:space="preserve"> </w:t>
      </w:r>
      <w:r w:rsidRPr="00A75BF8">
        <w:t>They may do this from within the Commonwealth, even if the sources are not nominated by you as referees.</w:t>
      </w:r>
      <w:r w:rsidR="009872D0">
        <w:t xml:space="preserve"> </w:t>
      </w:r>
      <w:r w:rsidRPr="00A75BF8">
        <w:t xml:space="preserve">The </w:t>
      </w:r>
      <w:r w:rsidR="000817D4">
        <w:t xml:space="preserve">Selection Advisory </w:t>
      </w:r>
      <w:r w:rsidR="001A22BB">
        <w:t xml:space="preserve">Panel </w:t>
      </w:r>
      <w:r w:rsidRPr="00A75BF8">
        <w:t>may also consider information about you or your application that is available through the normal course of business.</w:t>
      </w:r>
    </w:p>
    <w:p w14:paraId="32774DCC" w14:textId="77777777" w:rsidR="00340616" w:rsidRPr="00647D91" w:rsidRDefault="00340616" w:rsidP="00A14ED6">
      <w:pPr>
        <w:pStyle w:val="Heading2Numbered"/>
        <w:ind w:left="567"/>
      </w:pPr>
      <w:bookmarkStart w:id="90" w:name="_Toc467773976"/>
      <w:bookmarkStart w:id="91" w:name="_Toc530058197"/>
      <w:r w:rsidRPr="00647D91">
        <w:t>Who will approve grants?</w:t>
      </w:r>
      <w:bookmarkEnd w:id="90"/>
      <w:bookmarkEnd w:id="91"/>
    </w:p>
    <w:p w14:paraId="0FABAEFE" w14:textId="5F4DEFC5" w:rsidR="000B0A3C" w:rsidRDefault="00340616" w:rsidP="00340616">
      <w:r w:rsidRPr="00103A95">
        <w:t>The</w:t>
      </w:r>
      <w:r w:rsidR="000817D4">
        <w:t xml:space="preserve"> Selection Advisory </w:t>
      </w:r>
      <w:r w:rsidR="007645F3">
        <w:t xml:space="preserve">Panel </w:t>
      </w:r>
      <w:r w:rsidRPr="00103A95">
        <w:t>will make recommendations to the</w:t>
      </w:r>
      <w:r w:rsidR="000F1988">
        <w:t xml:space="preserve"> </w:t>
      </w:r>
      <w:r w:rsidR="009F364D">
        <w:t>decision maker</w:t>
      </w:r>
      <w:r w:rsidR="00C60F74">
        <w:t xml:space="preserve">. </w:t>
      </w:r>
      <w:r w:rsidR="000F1988">
        <w:t xml:space="preserve">The </w:t>
      </w:r>
      <w:r w:rsidR="002A24ED">
        <w:t>decision maker</w:t>
      </w:r>
      <w:r w:rsidR="000F1988">
        <w:t xml:space="preserve"> will be the Group Manager of the Disability, </w:t>
      </w:r>
      <w:r w:rsidR="00CA41FA">
        <w:t>E</w:t>
      </w:r>
      <w:r w:rsidR="000F1988">
        <w:t xml:space="preserve">mployment and Carers Group within </w:t>
      </w:r>
      <w:r w:rsidR="009872D0">
        <w:t>DSS</w:t>
      </w:r>
      <w:r w:rsidR="000F1988">
        <w:t>.</w:t>
      </w:r>
      <w:r w:rsidR="009E65BD">
        <w:t xml:space="preserve"> </w:t>
      </w:r>
      <w:r w:rsidRPr="00103A95">
        <w:t xml:space="preserve">The </w:t>
      </w:r>
      <w:r w:rsidR="000F1988">
        <w:t>Group Manager Disability</w:t>
      </w:r>
      <w:r w:rsidR="00B67671">
        <w:t>, Employment and Carers Group</w:t>
      </w:r>
      <w:r w:rsidR="000F1988">
        <w:t xml:space="preserve"> </w:t>
      </w:r>
      <w:r w:rsidRPr="00103A95">
        <w:t xml:space="preserve">will make the final decision to approve </w:t>
      </w:r>
      <w:r w:rsidR="00A07CFC">
        <w:t>the</w:t>
      </w:r>
      <w:r w:rsidR="00A07CFC" w:rsidRPr="00103A95">
        <w:t xml:space="preserve"> </w:t>
      </w:r>
      <w:r w:rsidR="00150B7A">
        <w:t>grant.</w:t>
      </w:r>
    </w:p>
    <w:p w14:paraId="637ADBAE" w14:textId="77777777" w:rsidR="00340616" w:rsidRPr="00103A95" w:rsidRDefault="00340616" w:rsidP="00340616">
      <w:r w:rsidRPr="00103A95">
        <w:t xml:space="preserve">The </w:t>
      </w:r>
      <w:r w:rsidR="000F1988">
        <w:t xml:space="preserve">Group Manager Disability, Employment and Carers Group </w:t>
      </w:r>
      <w:r w:rsidRPr="00103A95">
        <w:t>decision is final in all matters, including:</w:t>
      </w:r>
    </w:p>
    <w:p w14:paraId="7B4A9586" w14:textId="77777777" w:rsidR="00340616" w:rsidRPr="00103A95" w:rsidRDefault="00340616" w:rsidP="00FB423C">
      <w:pPr>
        <w:pStyle w:val="Bullet1"/>
        <w:ind w:left="709" w:hanging="425"/>
      </w:pPr>
      <w:r w:rsidRPr="00103A95">
        <w:t>the approval of the grant</w:t>
      </w:r>
      <w:r w:rsidR="00B92C2D">
        <w:t>;</w:t>
      </w:r>
    </w:p>
    <w:p w14:paraId="7757246C" w14:textId="77777777" w:rsidR="00340616" w:rsidRPr="00103A95" w:rsidRDefault="00340616" w:rsidP="00FB423C">
      <w:pPr>
        <w:pStyle w:val="Bullet1"/>
        <w:ind w:left="709" w:hanging="425"/>
      </w:pPr>
      <w:r w:rsidRPr="00103A95">
        <w:t>the grant funding amount to be awarded</w:t>
      </w:r>
      <w:r w:rsidR="00B92C2D">
        <w:t>; and</w:t>
      </w:r>
    </w:p>
    <w:p w14:paraId="651D2F0E" w14:textId="77777777" w:rsidR="00340616" w:rsidRPr="00103A95" w:rsidRDefault="00340616" w:rsidP="00FB423C">
      <w:pPr>
        <w:pStyle w:val="Bullet1"/>
        <w:ind w:left="709" w:hanging="425"/>
      </w:pPr>
      <w:r w:rsidRPr="00103A95">
        <w:t xml:space="preserve">the terms and conditions of the grant. </w:t>
      </w:r>
    </w:p>
    <w:p w14:paraId="2BA3149D" w14:textId="77777777" w:rsidR="00340616" w:rsidRPr="00103A95" w:rsidRDefault="00340616" w:rsidP="00340616">
      <w:r w:rsidRPr="00103A95">
        <w:t xml:space="preserve">The </w:t>
      </w:r>
      <w:r w:rsidR="000F1988">
        <w:t>Group Manager</w:t>
      </w:r>
      <w:r w:rsidR="00B97A46">
        <w:t xml:space="preserve"> of</w:t>
      </w:r>
      <w:r w:rsidR="000F1988">
        <w:t xml:space="preserve"> Disabili</w:t>
      </w:r>
      <w:r w:rsidR="00B97A46">
        <w:t>ty, Employment and Carers Group</w:t>
      </w:r>
      <w:r w:rsidR="00C0565E">
        <w:t xml:space="preserve"> </w:t>
      </w:r>
      <w:r w:rsidRPr="00103A95">
        <w:t xml:space="preserve">must not approve funding if they reasonably consider the </w:t>
      </w:r>
      <w:r w:rsidR="00543F65">
        <w:t>P</w:t>
      </w:r>
      <w:r w:rsidRPr="00103A95">
        <w:t xml:space="preserve">rogram funding available across financial years will not accommodate the funding offer, and/or the application does not represent value for money. </w:t>
      </w:r>
    </w:p>
    <w:p w14:paraId="2A5A8D6C" w14:textId="77777777" w:rsidR="00340616" w:rsidRPr="002E0C03" w:rsidRDefault="00340616" w:rsidP="00340616">
      <w:r w:rsidRPr="00103A95">
        <w:t>There is no appeal mechanism for decisions to approve or not approve a grant.</w:t>
      </w:r>
    </w:p>
    <w:p w14:paraId="6EF03F86" w14:textId="77777777" w:rsidR="00340616" w:rsidRPr="00B72EE8" w:rsidRDefault="00340616" w:rsidP="003A04CD">
      <w:pPr>
        <w:pStyle w:val="Heading1Numbered"/>
      </w:pPr>
      <w:bookmarkStart w:id="92" w:name="_Toc467773977"/>
      <w:bookmarkStart w:id="93" w:name="_Toc530058198"/>
      <w:r w:rsidRPr="00B72EE8">
        <w:t>Notification of application outcomes</w:t>
      </w:r>
      <w:bookmarkEnd w:id="92"/>
      <w:bookmarkEnd w:id="93"/>
    </w:p>
    <w:p w14:paraId="11C1E8F9" w14:textId="4C88F04E"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CA41FA">
        <w:t>Group Manager</w:t>
      </w:r>
      <w:r w:rsidR="00B97A46">
        <w:t xml:space="preserve"> of</w:t>
      </w:r>
      <w:r w:rsidR="00CA41FA">
        <w:t xml:space="preserve"> Disability, Employment and Carers Group</w:t>
      </w:r>
      <w:r w:rsidR="00A14ED6">
        <w:t xml:space="preserve">. </w:t>
      </w:r>
      <w:r w:rsidR="00C0565E" w:rsidRPr="00C0565E">
        <w:t>If</w:t>
      </w:r>
      <w:r w:rsidRPr="00C0565E">
        <w:t xml:space="preserve"> </w:t>
      </w:r>
      <w:r w:rsidRPr="00C25555">
        <w:t>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14:paraId="57136482" w14:textId="77777777" w:rsidR="00340616" w:rsidRPr="00B72EE8" w:rsidRDefault="00340616" w:rsidP="003A04CD">
      <w:pPr>
        <w:pStyle w:val="Heading2Numbered"/>
        <w:ind w:left="567"/>
      </w:pPr>
      <w:bookmarkStart w:id="94" w:name="_Toc467773978"/>
      <w:bookmarkStart w:id="95" w:name="_Toc530058199"/>
      <w:r w:rsidRPr="00B72EE8">
        <w:t xml:space="preserve">Feedback on </w:t>
      </w:r>
      <w:r>
        <w:t xml:space="preserve">your </w:t>
      </w:r>
      <w:r w:rsidRPr="00B72EE8">
        <w:t>application</w:t>
      </w:r>
      <w:bookmarkEnd w:id="94"/>
      <w:bookmarkEnd w:id="95"/>
    </w:p>
    <w:p w14:paraId="1E03B714" w14:textId="77777777" w:rsidR="00831521" w:rsidRDefault="00A76EC7" w:rsidP="00831521">
      <w:r>
        <w:t>A F</w:t>
      </w:r>
      <w:r w:rsidR="00831521">
        <w:t xml:space="preserve">eedback </w:t>
      </w:r>
      <w:r>
        <w:t>S</w:t>
      </w:r>
      <w:r w:rsidR="00831521">
        <w:t>ummar</w:t>
      </w:r>
      <w:r>
        <w:t>y</w:t>
      </w:r>
      <w:r w:rsidR="00831521">
        <w:t xml:space="preserve"> will be published on the Community Grants Hub website to provide all organisations with easy to access information about the assessment process and the main strengths and areas for improving their applications.</w:t>
      </w:r>
    </w:p>
    <w:p w14:paraId="0F934AAB" w14:textId="77777777" w:rsidR="00A76EC7" w:rsidRDefault="006322D2" w:rsidP="00831521">
      <w:r>
        <w:t>Should individual feedback be required, t</w:t>
      </w:r>
      <w:r w:rsidR="00E963D2">
        <w:t>he process for requesting individual feedback will be included in the letter advising of the outcome of your application.</w:t>
      </w:r>
    </w:p>
    <w:p w14:paraId="20A431C7" w14:textId="77777777" w:rsidR="00340616" w:rsidRDefault="00340616" w:rsidP="003A04CD">
      <w:pPr>
        <w:pStyle w:val="Heading1Numbered"/>
      </w:pPr>
      <w:bookmarkStart w:id="96" w:name="_Toc421777622"/>
      <w:bookmarkStart w:id="97" w:name="_Toc433641183"/>
      <w:r>
        <w:t xml:space="preserve"> </w:t>
      </w:r>
      <w:bookmarkStart w:id="98" w:name="_Toc467773979"/>
      <w:bookmarkStart w:id="99" w:name="_Toc530058200"/>
      <w:r>
        <w:t>Successful grant applications</w:t>
      </w:r>
      <w:bookmarkEnd w:id="98"/>
      <w:bookmarkEnd w:id="99"/>
    </w:p>
    <w:p w14:paraId="561666D9" w14:textId="77777777" w:rsidR="00340616" w:rsidRDefault="00340616" w:rsidP="00E634FA">
      <w:pPr>
        <w:pStyle w:val="Heading2Numbered"/>
        <w:ind w:left="426" w:hanging="426"/>
      </w:pPr>
      <w:bookmarkStart w:id="100" w:name="_Toc467773980"/>
      <w:bookmarkStart w:id="101" w:name="_Toc530058201"/>
      <w:r>
        <w:t xml:space="preserve">The </w:t>
      </w:r>
      <w:r w:rsidR="00A078A8">
        <w:t>Grant A</w:t>
      </w:r>
      <w:r w:rsidRPr="0054078D">
        <w:t>greement</w:t>
      </w:r>
      <w:bookmarkEnd w:id="100"/>
      <w:bookmarkEnd w:id="101"/>
    </w:p>
    <w:bookmarkEnd w:id="96"/>
    <w:bookmarkEnd w:id="97"/>
    <w:p w14:paraId="34747E94" w14:textId="5EDD390D" w:rsidR="00340616" w:rsidRDefault="00704535" w:rsidP="00340616">
      <w:r>
        <w:t xml:space="preserve">If you are successful and you choose to accept a grant offer, </w:t>
      </w:r>
      <w:r w:rsidR="00340616" w:rsidRPr="00103A95">
        <w:t xml:space="preserve">you must enter into a legally binding </w:t>
      </w:r>
      <w:r w:rsidR="00A078A8">
        <w:t>G</w:t>
      </w:r>
      <w:r w:rsidR="00340616" w:rsidRPr="00103A95">
        <w:t xml:space="preserve">rant </w:t>
      </w:r>
      <w:r w:rsidR="00A078A8">
        <w:t>A</w:t>
      </w:r>
      <w:r w:rsidR="00340616" w:rsidRPr="00103A95">
        <w:t xml:space="preserve">greement with the Commonwealth represented </w:t>
      </w:r>
      <w:r w:rsidR="00340616" w:rsidRPr="00281048">
        <w:t>by</w:t>
      </w:r>
      <w:r w:rsidR="00340616" w:rsidRPr="00281048">
        <w:rPr>
          <w:rStyle w:val="highlightedtextChar"/>
          <w:b w:val="0"/>
          <w:color w:val="auto"/>
        </w:rPr>
        <w:t xml:space="preserve"> </w:t>
      </w:r>
      <w:r w:rsidR="00C60F74">
        <w:rPr>
          <w:rStyle w:val="highlightedtextChar"/>
          <w:b w:val="0"/>
          <w:color w:val="auto"/>
        </w:rPr>
        <w:t xml:space="preserve">DSS. </w:t>
      </w:r>
      <w:r w:rsidR="007C3D7A">
        <w:rPr>
          <w:rStyle w:val="highlightedtextChar"/>
          <w:b w:val="0"/>
          <w:color w:val="auto"/>
        </w:rPr>
        <w:t xml:space="preserve">DSS will use the </w:t>
      </w:r>
      <w:hyperlink r:id="rId25" w:history="1">
        <w:r w:rsidR="00340616" w:rsidRPr="00103A95">
          <w:rPr>
            <w:rStyle w:val="Hyperlink"/>
            <w:i/>
            <w:u w:val="none"/>
          </w:rPr>
          <w:t>Commonwealth</w:t>
        </w:r>
        <w:r w:rsidR="000B61E6">
          <w:rPr>
            <w:rStyle w:val="Hyperlink"/>
            <w:b/>
            <w:i/>
            <w:u w:val="none"/>
          </w:rPr>
          <w:t xml:space="preserve"> </w:t>
        </w:r>
        <w:r w:rsidR="00340616" w:rsidRPr="00F40AF4">
          <w:rPr>
            <w:rStyle w:val="Hyperlink"/>
            <w:i/>
            <w:u w:val="none"/>
          </w:rPr>
          <w:t xml:space="preserve">Standard </w:t>
        </w:r>
        <w:r w:rsidR="00340616" w:rsidRPr="000B61E6">
          <w:rPr>
            <w:rStyle w:val="Hyperlink"/>
            <w:i/>
            <w:u w:val="none"/>
          </w:rPr>
          <w:t>Grant Agreem</w:t>
        </w:r>
        <w:r w:rsidR="00340616" w:rsidRPr="00103A95">
          <w:rPr>
            <w:rStyle w:val="Hyperlink"/>
            <w:i/>
            <w:u w:val="none"/>
          </w:rPr>
          <w:t>ent</w:t>
        </w:r>
      </w:hyperlink>
      <w:r w:rsidR="00281048">
        <w:rPr>
          <w:rStyle w:val="highlightedtextChar"/>
        </w:rPr>
        <w:t xml:space="preserve">. </w:t>
      </w:r>
      <w:r w:rsidR="00340616" w:rsidRPr="00103A95">
        <w:t>Standar</w:t>
      </w:r>
      <w:r w:rsidR="00A078A8">
        <w:t>d terms and conditions for the Grant A</w:t>
      </w:r>
      <w:r w:rsidR="00340616" w:rsidRPr="00103A95">
        <w:t xml:space="preserve">greement will apply and cannot be changed. A </w:t>
      </w:r>
      <w:r w:rsidR="00051598">
        <w:t xml:space="preserve">schedule </w:t>
      </w:r>
      <w:r w:rsidR="00340616" w:rsidRPr="00103A95">
        <w:t>may be used to outline the specific grant</w:t>
      </w:r>
      <w:r w:rsidR="00C60F74">
        <w:t xml:space="preserve"> requirements. </w:t>
      </w:r>
      <w:r w:rsidR="00340616" w:rsidRPr="002E0C03">
        <w:t>Any additional conditions attached to the grant will be identified in</w:t>
      </w:r>
      <w:r w:rsidR="00A078A8">
        <w:t xml:space="preserve"> the grant offer or during the Grant A</w:t>
      </w:r>
      <w:r w:rsidR="00340616" w:rsidRPr="002E0C03">
        <w:t>greement negotiations.</w:t>
      </w:r>
    </w:p>
    <w:p w14:paraId="7428D53F" w14:textId="35FFAC0C" w:rsidR="00340616" w:rsidRPr="00B72EE8" w:rsidRDefault="00340616" w:rsidP="00340616">
      <w:r>
        <w:t>You</w:t>
      </w:r>
      <w:r w:rsidRPr="00B72EE8">
        <w:t xml:space="preserve"> will </w:t>
      </w:r>
      <w:r>
        <w:t>b</w:t>
      </w:r>
      <w:r w:rsidRPr="00B72EE8">
        <w:t xml:space="preserve">e required to: </w:t>
      </w:r>
    </w:p>
    <w:p w14:paraId="5D89B7CA" w14:textId="7BFA23BA" w:rsidR="0069422D" w:rsidRPr="00FB423C" w:rsidRDefault="0069422D" w:rsidP="00B64CD9">
      <w:pPr>
        <w:pStyle w:val="ListParagraph"/>
        <w:numPr>
          <w:ilvl w:val="0"/>
          <w:numId w:val="37"/>
        </w:numPr>
        <w:spacing w:before="120"/>
        <w:ind w:left="851" w:hanging="567"/>
        <w:rPr>
          <w:rFonts w:asciiTheme="minorHAnsi" w:eastAsiaTheme="minorHAnsi" w:hAnsiTheme="minorHAnsi" w:cstheme="minorBidi"/>
        </w:rPr>
      </w:pPr>
      <w:r w:rsidRPr="00FB423C">
        <w:rPr>
          <w:rFonts w:asciiTheme="minorHAnsi" w:eastAsiaTheme="minorHAnsi" w:hAnsiTheme="minorHAnsi" w:cstheme="minorBidi"/>
        </w:rPr>
        <w:t>Deliver the activities and meet the performance reporting and financial acquittal</w:t>
      </w:r>
      <w:r w:rsidR="00A078A8" w:rsidRPr="00FB423C">
        <w:rPr>
          <w:rFonts w:asciiTheme="minorHAnsi" w:eastAsiaTheme="minorHAnsi" w:hAnsiTheme="minorHAnsi" w:cstheme="minorBidi"/>
        </w:rPr>
        <w:t xml:space="preserve"> requirements outlined in your Grant A</w:t>
      </w:r>
      <w:r w:rsidRPr="00FB423C">
        <w:rPr>
          <w:rFonts w:asciiTheme="minorHAnsi" w:eastAsiaTheme="minorHAnsi" w:hAnsiTheme="minorHAnsi" w:cstheme="minorBidi"/>
        </w:rPr>
        <w:t>greement.</w:t>
      </w:r>
      <w:r w:rsidR="00E72FD5">
        <w:rPr>
          <w:rFonts w:asciiTheme="minorHAnsi" w:eastAsiaTheme="minorHAnsi" w:hAnsiTheme="minorHAnsi" w:cstheme="minorBidi"/>
        </w:rPr>
        <w:t xml:space="preserve"> </w:t>
      </w:r>
    </w:p>
    <w:p w14:paraId="075C9B6D" w14:textId="394407C5" w:rsidR="00FD4FF2" w:rsidRPr="0019293B" w:rsidRDefault="00723218" w:rsidP="00FD4FF2">
      <w:r>
        <w:t>DSS</w:t>
      </w:r>
      <w:r w:rsidR="00FD4FF2" w:rsidRPr="0019293B">
        <w:t xml:space="preserve"> will negotiate agreements with successful applicants within 30 business days of your organisation being notified your a</w:t>
      </w:r>
      <w:r w:rsidR="00C60F74">
        <w:t>pplication has been successful.</w:t>
      </w:r>
      <w:r w:rsidR="00FD4FF2" w:rsidRPr="0019293B">
        <w:t xml:space="preserve"> </w:t>
      </w:r>
      <w:r w:rsidR="00FD4FF2" w:rsidRPr="00150E7C">
        <w:t xml:space="preserve">If there are unreasonable delays in finalising </w:t>
      </w:r>
      <w:r w:rsidR="0056652C">
        <w:t>a Grant A</w:t>
      </w:r>
      <w:r w:rsidR="00FD4FF2" w:rsidRPr="0019293B">
        <w:t xml:space="preserve">greement, the grant offer may be withdrawn and the grant may be awarded to a different applicant. </w:t>
      </w:r>
    </w:p>
    <w:p w14:paraId="06C34C50" w14:textId="77777777" w:rsidR="00150E7C" w:rsidRPr="0019293B" w:rsidRDefault="00150E7C" w:rsidP="00150E7C">
      <w:r w:rsidRPr="0019293B">
        <w:t xml:space="preserve">Where a grantee fails </w:t>
      </w:r>
      <w:r w:rsidR="0056652C">
        <w:t>to meet the obligations of the Grant A</w:t>
      </w:r>
      <w:r w:rsidRPr="0019293B">
        <w:t xml:space="preserve">greement, </w:t>
      </w:r>
      <w:r w:rsidR="00723218">
        <w:t>DSS</w:t>
      </w:r>
      <w:r w:rsidRPr="0019293B">
        <w:t xml:space="preserve"> may terminate the agreement. </w:t>
      </w:r>
    </w:p>
    <w:p w14:paraId="0D5356E2" w14:textId="48D035B9" w:rsidR="00340616" w:rsidRDefault="00340616" w:rsidP="00340616">
      <w:pPr>
        <w:rPr>
          <w:bCs/>
          <w:lang w:eastAsia="en-AU"/>
        </w:rPr>
      </w:pPr>
      <w:r w:rsidRPr="00726710">
        <w:rPr>
          <w:bCs/>
          <w:lang w:eastAsia="en-AU"/>
        </w:rPr>
        <w:t xml:space="preserve">You should not make financial commitments </w:t>
      </w:r>
      <w:r w:rsidR="00704535">
        <w:rPr>
          <w:bCs/>
          <w:lang w:eastAsia="en-AU"/>
        </w:rPr>
        <w:t xml:space="preserve">related to this grant, </w:t>
      </w:r>
      <w:r w:rsidR="0056652C">
        <w:rPr>
          <w:bCs/>
          <w:lang w:eastAsia="en-AU"/>
        </w:rPr>
        <w:t>until a Grant A</w:t>
      </w:r>
      <w:r w:rsidRPr="00726710">
        <w:rPr>
          <w:bCs/>
          <w:lang w:eastAsia="en-AU"/>
        </w:rPr>
        <w:t>greement has been executed by the Commonwealth.</w:t>
      </w:r>
      <w:r>
        <w:rPr>
          <w:bCs/>
          <w:lang w:eastAsia="en-AU"/>
        </w:rPr>
        <w:t xml:space="preserve"> </w:t>
      </w:r>
    </w:p>
    <w:p w14:paraId="4AB94093" w14:textId="77777777" w:rsidR="00237AF4" w:rsidRPr="007F7327" w:rsidRDefault="00237AF4" w:rsidP="00237AF4">
      <w:pPr>
        <w:pStyle w:val="Heading2Numbered"/>
        <w:ind w:left="426" w:hanging="426"/>
      </w:pPr>
      <w:bookmarkStart w:id="102" w:name="_Toc526496934"/>
      <w:bookmarkStart w:id="103" w:name="_Toc526500618"/>
      <w:bookmarkStart w:id="104" w:name="_Toc530058202"/>
      <w:r w:rsidRPr="00403B82">
        <w:t>Commonwealth</w:t>
      </w:r>
      <w:r w:rsidRPr="007F7327">
        <w:t xml:space="preserve"> Child Safe Framework</w:t>
      </w:r>
      <w:bookmarkEnd w:id="102"/>
      <w:bookmarkEnd w:id="103"/>
      <w:bookmarkEnd w:id="104"/>
    </w:p>
    <w:p w14:paraId="3FEF1E2B" w14:textId="2FC65AB1" w:rsidR="00237AF4" w:rsidRPr="007F7327" w:rsidRDefault="00237AF4" w:rsidP="00237AF4">
      <w:pPr>
        <w:spacing w:afterLines="120" w:after="288"/>
        <w:rPr>
          <w:rFonts w:ascii="Arial" w:hAnsi="Arial" w:cs="Arial"/>
        </w:rPr>
      </w:pPr>
      <w:r w:rsidRPr="007F7327">
        <w:rPr>
          <w:rFonts w:ascii="Arial" w:hAnsi="Arial"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3653E7F" w14:textId="65022553" w:rsidR="00237AF4" w:rsidRPr="007F7327" w:rsidRDefault="00237AF4" w:rsidP="00237AF4">
      <w:pPr>
        <w:spacing w:afterLines="120" w:after="288"/>
        <w:rPr>
          <w:rFonts w:ascii="Arial" w:hAnsi="Arial" w:cs="Arial"/>
        </w:rPr>
      </w:pPr>
      <w:r w:rsidRPr="007F7327">
        <w:rPr>
          <w:rFonts w:ascii="Arial" w:hAnsi="Arial" w:cs="Arial"/>
        </w:rPr>
        <w:t>The Australian Government is considering appropriate ways to apply the requirements o</w:t>
      </w:r>
      <w:r w:rsidR="00C60F74">
        <w:rPr>
          <w:rFonts w:ascii="Arial" w:hAnsi="Arial" w:cs="Arial"/>
        </w:rPr>
        <w:t>f the CCSF to grant recipients.</w:t>
      </w:r>
      <w:r w:rsidRPr="007F7327">
        <w:rPr>
          <w:rFonts w:ascii="Arial" w:hAnsi="Arial" w:cs="Arial"/>
        </w:rPr>
        <w:t xml:space="preserve"> A child safety clause is likely to be included in a grant agreement where the Commonwealth considers the grant is for:</w:t>
      </w:r>
    </w:p>
    <w:p w14:paraId="6E1B7709" w14:textId="77777777" w:rsidR="00237AF4" w:rsidRPr="00CC146C" w:rsidRDefault="00237AF4" w:rsidP="00237AF4">
      <w:pPr>
        <w:numPr>
          <w:ilvl w:val="0"/>
          <w:numId w:val="40"/>
        </w:numPr>
        <w:spacing w:before="60"/>
        <w:rPr>
          <w:rFonts w:cstheme="minorHAnsi"/>
        </w:rPr>
      </w:pPr>
      <w:r w:rsidRPr="00CC146C">
        <w:rPr>
          <w:rFonts w:cstheme="minorHAnsi"/>
        </w:rPr>
        <w:t>services directly to children; or</w:t>
      </w:r>
    </w:p>
    <w:p w14:paraId="2EB27980" w14:textId="77777777" w:rsidR="00237AF4" w:rsidRPr="00CC146C" w:rsidRDefault="00237AF4" w:rsidP="00237AF4">
      <w:pPr>
        <w:numPr>
          <w:ilvl w:val="0"/>
          <w:numId w:val="40"/>
        </w:numPr>
        <w:spacing w:before="60"/>
        <w:rPr>
          <w:rFonts w:cstheme="minorHAnsi"/>
        </w:rPr>
      </w:pPr>
      <w:r w:rsidRPr="00CC146C">
        <w:rPr>
          <w:rFonts w:cstheme="minorHAnsi"/>
        </w:rPr>
        <w:t>activities that involve contact with children that is a usual part of, and more than incidental to, the grant activity.</w:t>
      </w:r>
    </w:p>
    <w:p w14:paraId="0FEBE644" w14:textId="44F6B3C4" w:rsidR="00237AF4" w:rsidRPr="007F7327" w:rsidRDefault="00237AF4" w:rsidP="00237AF4">
      <w:pPr>
        <w:spacing w:afterLines="120" w:after="288"/>
        <w:rPr>
          <w:rFonts w:ascii="Arial" w:hAnsi="Arial" w:cs="Arial"/>
        </w:rPr>
      </w:pPr>
      <w:r w:rsidRPr="007F7327">
        <w:rPr>
          <w:rFonts w:ascii="Arial" w:hAnsi="Arial" w:cs="Arial"/>
        </w:rPr>
        <w:t xml:space="preserve">A child safety clause may also be included in the grant agreement if the Commonwealth considers the grant activity </w:t>
      </w:r>
      <w:r w:rsidR="00C60F74">
        <w:rPr>
          <w:rFonts w:ascii="Arial" w:hAnsi="Arial" w:cs="Arial"/>
        </w:rPr>
        <w:t>involves children more broadly.</w:t>
      </w:r>
    </w:p>
    <w:p w14:paraId="76A9C4D5" w14:textId="240DF2B3" w:rsidR="00237AF4" w:rsidRDefault="00237AF4" w:rsidP="00237AF4">
      <w:pPr>
        <w:spacing w:afterLines="120" w:after="288"/>
        <w:rPr>
          <w:bCs/>
          <w:lang w:eastAsia="en-AU"/>
        </w:rPr>
      </w:pPr>
      <w:r w:rsidRPr="007F7327">
        <w:rPr>
          <w:rFonts w:ascii="Arial" w:hAnsi="Arial" w:cs="Arial"/>
        </w:rPr>
        <w:t>The successful applicant will be required to comply with all child safety obligations included in the grant agreement published with this grant opportunity or notified to the successful applicant prior to exe</w:t>
      </w:r>
      <w:r w:rsidR="00C60F74">
        <w:rPr>
          <w:rFonts w:ascii="Arial" w:hAnsi="Arial" w:cs="Arial"/>
        </w:rPr>
        <w:t xml:space="preserve">cution of the grant agreement. </w:t>
      </w:r>
      <w:r w:rsidRPr="007F7327">
        <w:rPr>
          <w:rFonts w:ascii="Arial" w:hAnsi="Arial" w:cs="Arial"/>
        </w:rPr>
        <w:t>Irrespective of the child safety obligations in the grant agreement you must always comply with your state and territory legislative requirements for working with children and mandatory reporting.</w:t>
      </w:r>
    </w:p>
    <w:p w14:paraId="5138C9F5" w14:textId="4BE0A831" w:rsidR="00340616" w:rsidRDefault="00340616" w:rsidP="003A04CD">
      <w:pPr>
        <w:pStyle w:val="Heading2Numbered"/>
        <w:ind w:left="567"/>
      </w:pPr>
      <w:bookmarkStart w:id="105" w:name="_Toc467773981"/>
      <w:bookmarkStart w:id="106" w:name="_Toc530058203"/>
      <w:r>
        <w:t>How the grant will be paid</w:t>
      </w:r>
      <w:bookmarkEnd w:id="105"/>
      <w:bookmarkEnd w:id="106"/>
    </w:p>
    <w:p w14:paraId="0AA89C24" w14:textId="77777777" w:rsidR="00D02209" w:rsidRPr="0019293B" w:rsidRDefault="00D02209" w:rsidP="00D02209">
      <w:pPr>
        <w:spacing w:after="120"/>
      </w:pPr>
      <w:bookmarkStart w:id="107" w:name="_Toc451936378"/>
      <w:bookmarkStart w:id="108" w:name="_Toc467773982"/>
      <w:r w:rsidRPr="0019293B">
        <w:t xml:space="preserve">The Grant Agreement will state the: </w:t>
      </w:r>
    </w:p>
    <w:p w14:paraId="017AC648" w14:textId="77777777" w:rsidR="00D02209" w:rsidRPr="00C03BED"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C03BED">
        <w:rPr>
          <w:rFonts w:asciiTheme="minorHAnsi" w:hAnsiTheme="minorHAnsi" w:cstheme="minorHAnsi"/>
        </w:rPr>
        <w:t xml:space="preserve">activity requirements; </w:t>
      </w:r>
    </w:p>
    <w:p w14:paraId="5E156A48" w14:textId="77777777" w:rsidR="00D02209" w:rsidRPr="00C03BED"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C03BED">
        <w:rPr>
          <w:rFonts w:asciiTheme="minorHAnsi" w:hAnsiTheme="minorHAnsi" w:cstheme="minorHAnsi"/>
        </w:rPr>
        <w:t xml:space="preserve">maximum grant amount to be paid; </w:t>
      </w:r>
    </w:p>
    <w:p w14:paraId="769B39D9" w14:textId="77777777" w:rsidR="00D02209" w:rsidRPr="00C03BED"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C03BED">
        <w:rPr>
          <w:rFonts w:asciiTheme="minorHAnsi" w:hAnsiTheme="minorHAnsi" w:cstheme="minorHAnsi"/>
        </w:rPr>
        <w:t xml:space="preserve">the payment amount and milestones; </w:t>
      </w:r>
    </w:p>
    <w:p w14:paraId="3C074280" w14:textId="77777777" w:rsidR="00D02209" w:rsidRPr="00C03BED"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C03BED">
        <w:rPr>
          <w:rFonts w:asciiTheme="minorHAnsi" w:hAnsiTheme="minorHAnsi" w:cstheme="minorHAnsi"/>
        </w:rPr>
        <w:t xml:space="preserve">performance indicators; </w:t>
      </w:r>
    </w:p>
    <w:p w14:paraId="7D8F0E53" w14:textId="77777777" w:rsidR="00D02209" w:rsidRPr="00C03BED"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C03BED">
        <w:rPr>
          <w:rFonts w:asciiTheme="minorHAnsi" w:hAnsiTheme="minorHAnsi" w:cstheme="minorHAnsi"/>
        </w:rPr>
        <w:t xml:space="preserve">reporting requirements; and </w:t>
      </w:r>
    </w:p>
    <w:p w14:paraId="74258095" w14:textId="77777777" w:rsidR="00D02209" w:rsidRPr="00C03BED"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C03BED">
        <w:rPr>
          <w:rFonts w:asciiTheme="minorHAnsi" w:hAnsiTheme="minorHAnsi" w:cstheme="minorHAnsi"/>
        </w:rPr>
        <w:t xml:space="preserve">financial acquittal requirements. </w:t>
      </w:r>
    </w:p>
    <w:p w14:paraId="5DC2CCD6" w14:textId="7B30F704" w:rsidR="00D02209" w:rsidRPr="0019293B" w:rsidRDefault="00D02209" w:rsidP="00D02209">
      <w:r w:rsidRPr="0019293B">
        <w:t>We will make an initial payment on the payment date shown in your Grant Agreement, when the Grant</w:t>
      </w:r>
      <w:r w:rsidR="00C60F74">
        <w:t xml:space="preserve"> Agreement has been executed. </w:t>
      </w:r>
      <w:r w:rsidRPr="0019293B">
        <w:t xml:space="preserve">We will then make six monthly payments on the dates </w:t>
      </w:r>
      <w:r w:rsidR="00C60F74">
        <w:t>shown in your Grant Agreement.</w:t>
      </w:r>
    </w:p>
    <w:p w14:paraId="15391F90" w14:textId="77777777" w:rsidR="00D02209" w:rsidRDefault="00D02209" w:rsidP="00D02209">
      <w:r w:rsidRPr="0019293B">
        <w:t>If you incur extra expenditure in delivering the activity, you must pay it yourself.</w:t>
      </w:r>
    </w:p>
    <w:p w14:paraId="4B7C876B" w14:textId="77777777" w:rsidR="00340616" w:rsidRPr="009E7919" w:rsidRDefault="0056652C" w:rsidP="003A04CD">
      <w:pPr>
        <w:pStyle w:val="Heading2Numbered"/>
        <w:ind w:left="426"/>
      </w:pPr>
      <w:bookmarkStart w:id="109" w:name="_Toc530058204"/>
      <w:r>
        <w:t>Grant A</w:t>
      </w:r>
      <w:r w:rsidR="00340616">
        <w:t>greement</w:t>
      </w:r>
      <w:r w:rsidR="00340616" w:rsidRPr="009E7919">
        <w:t xml:space="preserve"> variations</w:t>
      </w:r>
      <w:bookmarkEnd w:id="107"/>
      <w:bookmarkEnd w:id="108"/>
      <w:bookmarkEnd w:id="109"/>
    </w:p>
    <w:p w14:paraId="0363DEE1" w14:textId="6C7BB267" w:rsidR="00340616" w:rsidRPr="00DB0315" w:rsidRDefault="00340616" w:rsidP="00340616">
      <w:pPr>
        <w:tabs>
          <w:tab w:val="left" w:pos="0"/>
        </w:tabs>
        <w:rPr>
          <w:bCs/>
          <w:lang w:eastAsia="en-AU"/>
        </w:rPr>
      </w:pPr>
      <w:r w:rsidRPr="00DB0315">
        <w:rPr>
          <w:bCs/>
          <w:lang w:eastAsia="en-AU"/>
        </w:rPr>
        <w:t xml:space="preserve">We recognise that unexpected events may affect </w:t>
      </w:r>
      <w:r>
        <w:rPr>
          <w:bCs/>
          <w:lang w:eastAsia="en-AU"/>
        </w:rPr>
        <w:t xml:space="preserve">the progress of a </w:t>
      </w:r>
      <w:r w:rsidRPr="00DB0315">
        <w:rPr>
          <w:bCs/>
          <w:lang w:eastAsia="en-AU"/>
        </w:rPr>
        <w:t>project</w:t>
      </w:r>
      <w:r>
        <w:rPr>
          <w:bCs/>
          <w:lang w:eastAsia="en-AU"/>
        </w:rPr>
        <w:t>.</w:t>
      </w:r>
      <w:r w:rsidRPr="00DB0315">
        <w:rPr>
          <w:bCs/>
          <w:lang w:eastAsia="en-AU"/>
        </w:rPr>
        <w:t xml:space="preserve"> In these circumstances, you can request a project variation, including:</w:t>
      </w:r>
    </w:p>
    <w:p w14:paraId="296A0A66" w14:textId="77777777" w:rsidR="00340616" w:rsidRPr="00DB0315" w:rsidRDefault="00340616" w:rsidP="005367DC">
      <w:pPr>
        <w:pStyle w:val="Bullet1"/>
        <w:ind w:left="851" w:hanging="425"/>
      </w:pPr>
      <w:r w:rsidRPr="00DB0315">
        <w:t>changing project milestones</w:t>
      </w:r>
      <w:r w:rsidR="007656F3">
        <w:t>; and</w:t>
      </w:r>
    </w:p>
    <w:p w14:paraId="641DA86B" w14:textId="77777777" w:rsidR="00726710" w:rsidRPr="00726710" w:rsidRDefault="00340616" w:rsidP="005367DC">
      <w:pPr>
        <w:pStyle w:val="Bullet1"/>
        <w:ind w:left="851" w:hanging="425"/>
        <w:rPr>
          <w:b/>
        </w:rPr>
      </w:pPr>
      <w:r w:rsidRPr="00726710">
        <w:t>extending the timeframe for completing the project but within the</w:t>
      </w:r>
      <w:r w:rsidR="004E24AF">
        <w:t xml:space="preserve"> five</w:t>
      </w:r>
      <w:r w:rsidRPr="00726710">
        <w:t xml:space="preserve"> year period</w:t>
      </w:r>
      <w:r w:rsidR="007656F3">
        <w:t>.</w:t>
      </w:r>
    </w:p>
    <w:p w14:paraId="60D30801" w14:textId="77777777" w:rsidR="00340616" w:rsidRPr="00726710" w:rsidRDefault="00340616" w:rsidP="00AA7454">
      <w:pPr>
        <w:tabs>
          <w:tab w:val="left" w:pos="0"/>
        </w:tabs>
      </w:pPr>
      <w:r w:rsidRPr="00C25555">
        <w:rPr>
          <w:bCs/>
          <w:lang w:eastAsia="en-AU"/>
        </w:rPr>
        <w:t xml:space="preserve">The </w:t>
      </w:r>
      <w:r w:rsidR="00AA73D3">
        <w:rPr>
          <w:bCs/>
          <w:lang w:eastAsia="en-AU"/>
        </w:rPr>
        <w:t>P</w:t>
      </w:r>
      <w:r w:rsidR="00AA7454">
        <w:rPr>
          <w:bCs/>
          <w:lang w:eastAsia="en-AU"/>
        </w:rPr>
        <w:t xml:space="preserve">rogram does not allow for </w:t>
      </w:r>
      <w:r w:rsidRPr="00C25555">
        <w:t>an increase to the agreed amount of grant funds</w:t>
      </w:r>
      <w:r w:rsidR="007656F3">
        <w:t>.</w:t>
      </w:r>
    </w:p>
    <w:p w14:paraId="1AE7073A" w14:textId="0E661C69" w:rsidR="00340616" w:rsidRPr="00DB0315" w:rsidRDefault="00340616" w:rsidP="00340616">
      <w:pPr>
        <w:tabs>
          <w:tab w:val="left" w:pos="0"/>
        </w:tabs>
        <w:rPr>
          <w:bCs/>
          <w:lang w:eastAsia="en-AU"/>
        </w:rPr>
      </w:pPr>
      <w:r w:rsidRPr="00DB0315">
        <w:rPr>
          <w:bCs/>
          <w:lang w:eastAsia="en-AU"/>
        </w:rPr>
        <w:t xml:space="preserve">If you </w:t>
      </w:r>
      <w:r w:rsidR="0056652C">
        <w:rPr>
          <w:bCs/>
          <w:lang w:eastAsia="en-AU"/>
        </w:rPr>
        <w:t>want to propose changes to the Grant A</w:t>
      </w:r>
      <w:r w:rsidRPr="00DB0315">
        <w:rPr>
          <w:bCs/>
          <w:lang w:eastAsia="en-AU"/>
        </w:rPr>
        <w:t>greement, you must put them in writing befo</w:t>
      </w:r>
      <w:r w:rsidR="0056652C">
        <w:rPr>
          <w:bCs/>
          <w:lang w:eastAsia="en-AU"/>
        </w:rPr>
        <w:t>re the Grant A</w:t>
      </w:r>
      <w:r w:rsidR="00C60F74">
        <w:rPr>
          <w:bCs/>
          <w:lang w:eastAsia="en-AU"/>
        </w:rPr>
        <w:t>greement end date.</w:t>
      </w:r>
      <w:r w:rsidR="00C032C7">
        <w:rPr>
          <w:bCs/>
          <w:lang w:eastAsia="en-AU"/>
        </w:rPr>
        <w:t xml:space="preserve"> </w:t>
      </w:r>
      <w:r w:rsidRPr="00596635">
        <w:rPr>
          <w:bCs/>
          <w:lang w:eastAsia="en-AU"/>
        </w:rPr>
        <w:t xml:space="preserve">Contact </w:t>
      </w:r>
      <w:r w:rsidR="00596635" w:rsidRPr="00596635">
        <w:rPr>
          <w:bCs/>
          <w:lang w:eastAsia="en-AU"/>
        </w:rPr>
        <w:t xml:space="preserve">your </w:t>
      </w:r>
      <w:r w:rsidR="009F37CC">
        <w:rPr>
          <w:bCs/>
          <w:lang w:eastAsia="en-AU"/>
        </w:rPr>
        <w:t>Funding Arrangement</w:t>
      </w:r>
      <w:r w:rsidR="00596635" w:rsidRPr="00596635">
        <w:rPr>
          <w:bCs/>
          <w:lang w:eastAsia="en-AU"/>
        </w:rPr>
        <w:t xml:space="preserve"> </w:t>
      </w:r>
      <w:r w:rsidR="009F37CC">
        <w:rPr>
          <w:bCs/>
          <w:lang w:eastAsia="en-AU"/>
        </w:rPr>
        <w:t>M</w:t>
      </w:r>
      <w:r w:rsidR="00596635" w:rsidRPr="00596635">
        <w:rPr>
          <w:bCs/>
          <w:lang w:eastAsia="en-AU"/>
        </w:rPr>
        <w:t>anager</w:t>
      </w:r>
      <w:r w:rsidR="00596635" w:rsidRPr="00596635">
        <w:rPr>
          <w:b/>
          <w:bCs/>
          <w:lang w:eastAsia="en-AU"/>
        </w:rPr>
        <w:t xml:space="preserve"> </w:t>
      </w:r>
      <w:r>
        <w:rPr>
          <w:bCs/>
          <w:lang w:eastAsia="en-AU"/>
        </w:rPr>
        <w:t>for further information.</w:t>
      </w:r>
      <w:r w:rsidR="00C032C7">
        <w:rPr>
          <w:bCs/>
          <w:lang w:eastAsia="en-AU"/>
        </w:rPr>
        <w:t xml:space="preserve"> </w:t>
      </w:r>
      <w:r w:rsidRPr="00DB0315">
        <w:rPr>
          <w:bCs/>
          <w:lang w:eastAsia="en-AU"/>
        </w:rPr>
        <w:t xml:space="preserve">We will not consider changes after the </w:t>
      </w:r>
      <w:r w:rsidR="0056652C">
        <w:rPr>
          <w:bCs/>
          <w:lang w:eastAsia="en-AU"/>
        </w:rPr>
        <w:t>Grant A</w:t>
      </w:r>
      <w:r w:rsidRPr="00DB0315">
        <w:rPr>
          <w:bCs/>
          <w:lang w:eastAsia="en-AU"/>
        </w:rPr>
        <w:t>greement end date.</w:t>
      </w:r>
    </w:p>
    <w:p w14:paraId="2C0CEF06" w14:textId="771908CD" w:rsidR="00340616" w:rsidRPr="00DB0315" w:rsidRDefault="00340616" w:rsidP="00340616">
      <w:pPr>
        <w:tabs>
          <w:tab w:val="left" w:pos="0"/>
        </w:tabs>
        <w:rPr>
          <w:bCs/>
          <w:lang w:eastAsia="en-AU"/>
        </w:rPr>
      </w:pPr>
      <w:r w:rsidRPr="00DB0315">
        <w:rPr>
          <w:bCs/>
          <w:lang w:eastAsia="en-AU"/>
        </w:rPr>
        <w:t>You should not assume that a variation request will be successful. We will consider your request based on factors such as:</w:t>
      </w:r>
    </w:p>
    <w:p w14:paraId="073A8071" w14:textId="77777777" w:rsidR="00340616" w:rsidRPr="00DB0315" w:rsidRDefault="00340616" w:rsidP="005367DC">
      <w:pPr>
        <w:pStyle w:val="Bullet1"/>
        <w:ind w:left="851" w:hanging="425"/>
      </w:pPr>
      <w:r w:rsidRPr="00DB0315">
        <w:t>how it affects the project outcome</w:t>
      </w:r>
      <w:r w:rsidR="004F5F48">
        <w:t>;</w:t>
      </w:r>
    </w:p>
    <w:p w14:paraId="6A5E188F" w14:textId="77777777" w:rsidR="00340616" w:rsidRPr="00DB0315" w:rsidRDefault="00340616" w:rsidP="005367DC">
      <w:pPr>
        <w:pStyle w:val="Bullet1"/>
        <w:ind w:left="851" w:hanging="425"/>
      </w:pPr>
      <w:r w:rsidRPr="00DB0315">
        <w:t xml:space="preserve">consistency with the </w:t>
      </w:r>
      <w:r w:rsidR="00AA73D3">
        <w:t>P</w:t>
      </w:r>
      <w:r w:rsidRPr="00DB0315">
        <w:t xml:space="preserve">rogram policy objective and any relevant policies of </w:t>
      </w:r>
      <w:r w:rsidR="004001A5">
        <w:t>DSS</w:t>
      </w:r>
      <w:r w:rsidR="004F5F48">
        <w:t>;</w:t>
      </w:r>
    </w:p>
    <w:p w14:paraId="36E117EB" w14:textId="77777777" w:rsidR="00340616" w:rsidRPr="00DB0315" w:rsidRDefault="00340616" w:rsidP="005367DC">
      <w:pPr>
        <w:pStyle w:val="Bullet1"/>
        <w:ind w:left="851" w:hanging="425"/>
      </w:pPr>
      <w:r w:rsidRPr="00DB0315">
        <w:t>changes to the timing of grant payments</w:t>
      </w:r>
      <w:r w:rsidR="004F5F48">
        <w:t>; and</w:t>
      </w:r>
    </w:p>
    <w:p w14:paraId="745F5069" w14:textId="77777777" w:rsidR="00340616" w:rsidRDefault="00340616" w:rsidP="005367DC">
      <w:pPr>
        <w:pStyle w:val="Bullet1"/>
        <w:ind w:left="851" w:hanging="425"/>
      </w:pPr>
      <w:r w:rsidRPr="00DB0315">
        <w:t xml:space="preserve">availability of </w:t>
      </w:r>
      <w:r w:rsidR="00AA73D3">
        <w:t>P</w:t>
      </w:r>
      <w:r w:rsidRPr="00DB0315">
        <w:t>rogram funds.</w:t>
      </w:r>
    </w:p>
    <w:p w14:paraId="079CB546" w14:textId="77777777" w:rsidR="00340616" w:rsidRDefault="00340616" w:rsidP="003A04CD">
      <w:pPr>
        <w:pStyle w:val="Heading1Numbered"/>
      </w:pPr>
      <w:bookmarkStart w:id="110" w:name="_Toc467773983"/>
      <w:bookmarkStart w:id="111" w:name="_Toc530058205"/>
      <w:r w:rsidRPr="001607E9">
        <w:t>Announcement</w:t>
      </w:r>
      <w:r>
        <w:t xml:space="preserve"> of grants</w:t>
      </w:r>
      <w:bookmarkEnd w:id="110"/>
      <w:bookmarkEnd w:id="111"/>
    </w:p>
    <w:p w14:paraId="21E2EBEA" w14:textId="77777777" w:rsidR="00966462" w:rsidRPr="00966462" w:rsidRDefault="00966462" w:rsidP="00966462">
      <w:pPr>
        <w:rPr>
          <w:iCs/>
        </w:rPr>
      </w:pPr>
      <w:r>
        <w:t xml:space="preserve">If successful, your grant will be listed on </w:t>
      </w:r>
      <w:hyperlink r:id="rId26" w:history="1">
        <w:r w:rsidRPr="000510F7">
          <w:rPr>
            <w:rStyle w:val="Hyperlink"/>
            <w:rFonts w:cstheme="minorBidi"/>
          </w:rPr>
          <w:t>GrantConnect</w:t>
        </w:r>
      </w:hyperlink>
      <w:r>
        <w:t xml:space="preserve"> </w:t>
      </w:r>
      <w:r w:rsidR="00C03BED">
        <w:t xml:space="preserve">within </w:t>
      </w:r>
      <w:r w:rsidR="000510F7">
        <w:t>21 calendar days</w:t>
      </w:r>
      <w:r>
        <w:t xml:space="preserve"> after the date of effect as required by Section 5.3 of the </w:t>
      </w:r>
      <w:r>
        <w:rPr>
          <w:i/>
          <w:iCs/>
        </w:rPr>
        <w:t xml:space="preserve">CGRGs. </w:t>
      </w:r>
    </w:p>
    <w:p w14:paraId="19812D4D" w14:textId="77777777" w:rsidR="00340616" w:rsidRPr="00B72EE8" w:rsidRDefault="00340616" w:rsidP="005367DC">
      <w:pPr>
        <w:pStyle w:val="Heading1Numbered"/>
        <w:spacing w:before="240"/>
      </w:pPr>
      <w:bookmarkStart w:id="112" w:name="_Toc421777623"/>
      <w:bookmarkStart w:id="113" w:name="_Toc467773984"/>
      <w:bookmarkStart w:id="114" w:name="_Toc530058206"/>
      <w:r w:rsidRPr="00B72EE8">
        <w:t xml:space="preserve">Delivery of </w:t>
      </w:r>
      <w:r>
        <w:t>g</w:t>
      </w:r>
      <w:r w:rsidRPr="00B72EE8">
        <w:t>rant</w:t>
      </w:r>
      <w:r>
        <w:t xml:space="preserve"> activities</w:t>
      </w:r>
      <w:bookmarkEnd w:id="112"/>
      <w:bookmarkEnd w:id="113"/>
      <w:bookmarkEnd w:id="114"/>
    </w:p>
    <w:p w14:paraId="0BB3ACC8" w14:textId="77777777" w:rsidR="00340616" w:rsidRPr="00B72EE8" w:rsidDel="00D505A5" w:rsidRDefault="00340616" w:rsidP="005058BA">
      <w:pPr>
        <w:pStyle w:val="Heading2Numbered"/>
        <w:ind w:left="567"/>
      </w:pPr>
      <w:bookmarkStart w:id="115" w:name="_Toc421777624"/>
      <w:bookmarkStart w:id="116" w:name="_Toc433641185"/>
      <w:bookmarkStart w:id="117" w:name="_Toc467773985"/>
      <w:bookmarkStart w:id="118" w:name="_Toc530058207"/>
      <w:r>
        <w:t>Your</w:t>
      </w:r>
      <w:r w:rsidRPr="00B72EE8" w:rsidDel="00D505A5">
        <w:t xml:space="preserve"> responsibilities</w:t>
      </w:r>
      <w:bookmarkEnd w:id="115"/>
      <w:bookmarkEnd w:id="116"/>
      <w:bookmarkEnd w:id="117"/>
      <w:bookmarkEnd w:id="118"/>
    </w:p>
    <w:p w14:paraId="06F824EA" w14:textId="7393DC9F" w:rsidR="00D02209" w:rsidRPr="00CB2031" w:rsidRDefault="00D02209" w:rsidP="00D02209">
      <w:bookmarkStart w:id="119" w:name="_Toc420671454"/>
      <w:bookmarkStart w:id="120" w:name="_Toc433641186"/>
      <w:bookmarkStart w:id="121" w:name="_Toc467773986"/>
      <w:r w:rsidRPr="00CB2031">
        <w:t>If successful you must carry out the Grant Activities in accordance with these guidelines</w:t>
      </w:r>
      <w:r w:rsidR="002A24ED">
        <w:t xml:space="preserve">, the </w:t>
      </w:r>
      <w:r>
        <w:t xml:space="preserve">RDP Operating </w:t>
      </w:r>
      <w:r w:rsidR="00940A0A">
        <w:t>Model</w:t>
      </w:r>
      <w:r w:rsidRPr="00CB2031">
        <w:t xml:space="preserve"> and the </w:t>
      </w:r>
      <w:r>
        <w:t>DSS G</w:t>
      </w:r>
      <w:r w:rsidRPr="00CB2031">
        <w:t xml:space="preserve">rant </w:t>
      </w:r>
      <w:r>
        <w:t>A</w:t>
      </w:r>
      <w:r w:rsidRPr="00CB2031">
        <w:t xml:space="preserve">greement, which includes the standard terms and conditions and any </w:t>
      </w:r>
      <w:r w:rsidR="00C60F74">
        <w:t xml:space="preserve">supplementary conditions. </w:t>
      </w:r>
      <w:r w:rsidR="0056652C">
        <w:t>The Grant A</w:t>
      </w:r>
      <w:r w:rsidRPr="00CB2031">
        <w:t>greement schedule will outline the specific grant requireme</w:t>
      </w:r>
      <w:r w:rsidR="00C60F74">
        <w:t>nts.</w:t>
      </w:r>
    </w:p>
    <w:p w14:paraId="78ACD795" w14:textId="77777777" w:rsidR="00D02209" w:rsidRPr="00CB2031" w:rsidRDefault="00D02209" w:rsidP="00D02209">
      <w:pPr>
        <w:spacing w:after="120"/>
      </w:pPr>
      <w:r w:rsidRPr="00CB2031">
        <w:t>You</w:t>
      </w:r>
      <w:r w:rsidRPr="00CB2031" w:rsidDel="00D505A5">
        <w:t xml:space="preserve"> </w:t>
      </w:r>
      <w:r w:rsidRPr="00CB2031">
        <w:t>will also be</w:t>
      </w:r>
      <w:r w:rsidRPr="00CB2031" w:rsidDel="00D505A5">
        <w:t xml:space="preserve"> responsible for:</w:t>
      </w:r>
    </w:p>
    <w:p w14:paraId="19D76046" w14:textId="77777777" w:rsidR="00D02209" w:rsidRPr="00070F2E" w:rsidDel="00D505A5"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070F2E">
        <w:rPr>
          <w:rFonts w:asciiTheme="minorHAnsi" w:hAnsiTheme="minorHAnsi" w:cstheme="minorHAnsi"/>
        </w:rPr>
        <w:t>meeting</w:t>
      </w:r>
      <w:r w:rsidRPr="00070F2E" w:rsidDel="00D505A5">
        <w:rPr>
          <w:rFonts w:asciiTheme="minorHAnsi" w:hAnsiTheme="minorHAnsi" w:cstheme="minorHAnsi"/>
        </w:rPr>
        <w:t xml:space="preserve"> the terms and conditions of the Grant Agreement </w:t>
      </w:r>
      <w:r w:rsidRPr="00070F2E">
        <w:rPr>
          <w:rFonts w:asciiTheme="minorHAnsi" w:hAnsiTheme="minorHAnsi" w:cstheme="minorHAnsi"/>
        </w:rPr>
        <w:t>and managing the</w:t>
      </w:r>
      <w:r w:rsidRPr="00070F2E" w:rsidDel="00D505A5">
        <w:rPr>
          <w:rFonts w:asciiTheme="minorHAnsi" w:hAnsiTheme="minorHAnsi" w:cstheme="minorHAnsi"/>
        </w:rPr>
        <w:t xml:space="preserve"> activity efficient</w:t>
      </w:r>
      <w:r w:rsidRPr="00070F2E">
        <w:rPr>
          <w:rFonts w:asciiTheme="minorHAnsi" w:hAnsiTheme="minorHAnsi" w:cstheme="minorHAnsi"/>
        </w:rPr>
        <w:t>ly</w:t>
      </w:r>
      <w:r w:rsidRPr="00070F2E" w:rsidDel="00D505A5">
        <w:rPr>
          <w:rFonts w:asciiTheme="minorHAnsi" w:hAnsiTheme="minorHAnsi" w:cstheme="minorHAnsi"/>
        </w:rPr>
        <w:t xml:space="preserve"> and effective</w:t>
      </w:r>
      <w:r w:rsidRPr="00070F2E">
        <w:rPr>
          <w:rFonts w:asciiTheme="minorHAnsi" w:hAnsiTheme="minorHAnsi" w:cstheme="minorHAnsi"/>
        </w:rPr>
        <w:t>ly;</w:t>
      </w:r>
    </w:p>
    <w:p w14:paraId="76951BB1" w14:textId="77777777" w:rsidR="00D02209" w:rsidRPr="00070F2E"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070F2E">
        <w:rPr>
          <w:rFonts w:asciiTheme="minorHAnsi" w:hAnsiTheme="minorHAnsi" w:cstheme="minorHAnsi"/>
        </w:rPr>
        <w:t>meeting milestones and other timeframes specified in the Grant Agreement;</w:t>
      </w:r>
    </w:p>
    <w:p w14:paraId="51545354" w14:textId="77777777" w:rsidR="00D02209" w:rsidRPr="00070F2E" w:rsidDel="00D505A5"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070F2E" w:rsidDel="00D505A5">
        <w:rPr>
          <w:rFonts w:asciiTheme="minorHAnsi" w:hAnsiTheme="minorHAnsi" w:cstheme="minorHAnsi"/>
        </w:rPr>
        <w:t xml:space="preserve">complying with record keeping, reporting and acquittal requirements </w:t>
      </w:r>
      <w:r w:rsidRPr="00070F2E">
        <w:rPr>
          <w:rFonts w:asciiTheme="minorHAnsi" w:hAnsiTheme="minorHAnsi" w:cstheme="minorHAnsi"/>
        </w:rPr>
        <w:t xml:space="preserve">as set out in the Grant Agreement; </w:t>
      </w:r>
    </w:p>
    <w:p w14:paraId="2B0DAB70" w14:textId="77777777" w:rsidR="00D02209" w:rsidRPr="00070F2E"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070F2E">
        <w:rPr>
          <w:rFonts w:asciiTheme="minorHAnsi" w:hAnsiTheme="minorHAnsi" w:cstheme="minorHAnsi"/>
        </w:rPr>
        <w:t xml:space="preserve">participating in grant </w:t>
      </w:r>
      <w:r w:rsidR="00AA73D3">
        <w:rPr>
          <w:rFonts w:asciiTheme="minorHAnsi" w:hAnsiTheme="minorHAnsi" w:cstheme="minorHAnsi"/>
        </w:rPr>
        <w:t>P</w:t>
      </w:r>
      <w:r w:rsidRPr="00070F2E">
        <w:rPr>
          <w:rFonts w:asciiTheme="minorHAnsi" w:hAnsiTheme="minorHAnsi" w:cstheme="minorHAnsi"/>
        </w:rPr>
        <w:t xml:space="preserve">rogram evaluation as necessary for the period specified in the Grant Agreement; </w:t>
      </w:r>
      <w:r w:rsidR="00070F2E" w:rsidRPr="00070F2E">
        <w:rPr>
          <w:rFonts w:asciiTheme="minorHAnsi" w:hAnsiTheme="minorHAnsi" w:cstheme="minorHAnsi"/>
        </w:rPr>
        <w:t>a</w:t>
      </w:r>
      <w:r w:rsidRPr="00070F2E">
        <w:rPr>
          <w:rFonts w:asciiTheme="minorHAnsi" w:hAnsiTheme="minorHAnsi" w:cstheme="minorHAnsi"/>
        </w:rPr>
        <w:t>nd</w:t>
      </w:r>
    </w:p>
    <w:p w14:paraId="4676AD12" w14:textId="77777777" w:rsidR="00D02209" w:rsidRPr="00070F2E"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070F2E">
        <w:rPr>
          <w:rFonts w:asciiTheme="minorHAnsi" w:hAnsiTheme="minorHAnsi" w:cstheme="minorHAnsi"/>
        </w:rPr>
        <w:t xml:space="preserve">ensuring that the grant activity outputs and outcomes are </w:t>
      </w:r>
      <w:r w:rsidR="00FA0675">
        <w:rPr>
          <w:rFonts w:asciiTheme="minorHAnsi" w:hAnsiTheme="minorHAnsi" w:cstheme="minorHAnsi"/>
        </w:rPr>
        <w:t xml:space="preserve">reported </w:t>
      </w:r>
      <w:r w:rsidRPr="00070F2E">
        <w:rPr>
          <w:rFonts w:asciiTheme="minorHAnsi" w:hAnsiTheme="minorHAnsi" w:cstheme="minorHAnsi"/>
        </w:rPr>
        <w:t>in accordance with the Grant Agreement.</w:t>
      </w:r>
    </w:p>
    <w:p w14:paraId="51DA6D05" w14:textId="77777777" w:rsidR="00340616" w:rsidRPr="00B72EE8" w:rsidRDefault="00723218" w:rsidP="005058BA">
      <w:pPr>
        <w:pStyle w:val="Heading2Numbered"/>
        <w:ind w:left="567"/>
      </w:pPr>
      <w:bookmarkStart w:id="122" w:name="_Toc530058208"/>
      <w:r>
        <w:t>DSS</w:t>
      </w:r>
      <w:r w:rsidR="00340616" w:rsidRPr="005A3C34">
        <w:t xml:space="preserve"> </w:t>
      </w:r>
      <w:r w:rsidR="00340616" w:rsidRPr="00B72EE8">
        <w:t>responsibilities</w:t>
      </w:r>
      <w:bookmarkEnd w:id="119"/>
      <w:bookmarkEnd w:id="120"/>
      <w:bookmarkEnd w:id="121"/>
      <w:bookmarkEnd w:id="122"/>
    </w:p>
    <w:p w14:paraId="43953EB8" w14:textId="77777777" w:rsidR="00D02209" w:rsidRPr="00C03BED" w:rsidRDefault="00723218" w:rsidP="00D02209">
      <w:pPr>
        <w:spacing w:after="120"/>
        <w:rPr>
          <w:rFonts w:cstheme="minorHAnsi"/>
        </w:rPr>
      </w:pPr>
      <w:bookmarkStart w:id="123" w:name="_Toc421777626"/>
      <w:bookmarkStart w:id="124" w:name="_Toc467773987"/>
      <w:bookmarkStart w:id="125" w:name="_Toc433641188"/>
      <w:r>
        <w:rPr>
          <w:rFonts w:cstheme="minorHAnsi"/>
        </w:rPr>
        <w:t>DSS</w:t>
      </w:r>
      <w:r w:rsidR="00D02209" w:rsidRPr="00C03BED">
        <w:rPr>
          <w:rFonts w:cstheme="minorHAnsi"/>
        </w:rPr>
        <w:t xml:space="preserve"> will: </w:t>
      </w:r>
    </w:p>
    <w:p w14:paraId="4F93F3E2" w14:textId="77777777" w:rsidR="00D02209" w:rsidRPr="00C03BED"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C03BED">
        <w:rPr>
          <w:rFonts w:asciiTheme="minorHAnsi" w:hAnsiTheme="minorHAnsi" w:cstheme="minorHAnsi"/>
        </w:rPr>
        <w:t>meet the terms and conditions set out in the Grant Agreement;</w:t>
      </w:r>
    </w:p>
    <w:p w14:paraId="79FFF32C" w14:textId="77777777" w:rsidR="00D02209" w:rsidRPr="00C03BED" w:rsidRDefault="00D02209" w:rsidP="00B64CD9">
      <w:pPr>
        <w:pStyle w:val="ListParagraph"/>
        <w:numPr>
          <w:ilvl w:val="0"/>
          <w:numId w:val="22"/>
        </w:numPr>
        <w:spacing w:before="120" w:after="120" w:line="240" w:lineRule="auto"/>
        <w:ind w:left="851" w:hanging="491"/>
        <w:jc w:val="both"/>
        <w:rPr>
          <w:rFonts w:asciiTheme="minorHAnsi" w:hAnsiTheme="minorHAnsi" w:cstheme="minorHAnsi"/>
        </w:rPr>
      </w:pPr>
      <w:r w:rsidRPr="00C03BED">
        <w:rPr>
          <w:rFonts w:asciiTheme="minorHAnsi" w:hAnsiTheme="minorHAnsi" w:cstheme="minorHAnsi"/>
        </w:rPr>
        <w:t xml:space="preserve">provide timely administration of the Grant; </w:t>
      </w:r>
      <w:r w:rsidR="00F31E76">
        <w:rPr>
          <w:rFonts w:asciiTheme="minorHAnsi" w:hAnsiTheme="minorHAnsi" w:cstheme="minorHAnsi"/>
        </w:rPr>
        <w:t>and</w:t>
      </w:r>
    </w:p>
    <w:p w14:paraId="6B20E986" w14:textId="77777777" w:rsidR="00D02209" w:rsidRPr="00C03BED" w:rsidRDefault="00D02209" w:rsidP="00B64CD9">
      <w:pPr>
        <w:pStyle w:val="ListParagraph"/>
        <w:numPr>
          <w:ilvl w:val="0"/>
          <w:numId w:val="22"/>
        </w:numPr>
        <w:spacing w:before="120" w:line="240" w:lineRule="auto"/>
        <w:ind w:left="851" w:hanging="491"/>
        <w:jc w:val="both"/>
        <w:rPr>
          <w:rFonts w:asciiTheme="minorHAnsi" w:hAnsiTheme="minorHAnsi" w:cstheme="minorHAnsi"/>
        </w:rPr>
      </w:pPr>
      <w:r w:rsidRPr="00C03BED">
        <w:rPr>
          <w:rFonts w:asciiTheme="minorHAnsi" w:hAnsiTheme="minorHAnsi" w:cstheme="minorHAnsi"/>
        </w:rPr>
        <w:t>evaluate the Grantee’s performance.</w:t>
      </w:r>
    </w:p>
    <w:p w14:paraId="68ABB456" w14:textId="5251981C" w:rsidR="005367DC" w:rsidRDefault="00D02209" w:rsidP="00D02209">
      <w:r>
        <w:t xml:space="preserve">We will monitor your performance by assessing reports you submit and may conduct site visits to confirm details of your reports if necessary. Occasionally we may need to re-examine claims, seek further information or request an independent audit of claims and payments. </w:t>
      </w:r>
    </w:p>
    <w:p w14:paraId="1E322E6C" w14:textId="7367F687" w:rsidR="00340616" w:rsidRPr="00B72EE8" w:rsidRDefault="00340616" w:rsidP="005058BA">
      <w:pPr>
        <w:pStyle w:val="Heading2Numbered"/>
        <w:ind w:left="567"/>
      </w:pPr>
      <w:bookmarkStart w:id="126" w:name="_Toc530058209"/>
      <w:r>
        <w:t>Grant p</w:t>
      </w:r>
      <w:r w:rsidRPr="00B72EE8">
        <w:t>ayments</w:t>
      </w:r>
      <w:bookmarkEnd w:id="123"/>
      <w:r>
        <w:t xml:space="preserve"> and GST</w:t>
      </w:r>
      <w:bookmarkEnd w:id="124"/>
      <w:bookmarkEnd w:id="126"/>
      <w:r>
        <w:t xml:space="preserve"> </w:t>
      </w:r>
      <w:bookmarkEnd w:id="125"/>
    </w:p>
    <w:p w14:paraId="062B9D49" w14:textId="2FCBCE57" w:rsidR="00340616" w:rsidRPr="00B72EE8" w:rsidRDefault="00340616" w:rsidP="00340616">
      <w:r>
        <w:t>P</w:t>
      </w:r>
      <w:r w:rsidRPr="00B72EE8">
        <w:t xml:space="preserve">ayments </w:t>
      </w:r>
      <w:r>
        <w:t xml:space="preserve">will be made as set out in </w:t>
      </w:r>
      <w:r w:rsidRPr="00B72EE8">
        <w:t>the</w:t>
      </w:r>
      <w:r w:rsidR="001664FC">
        <w:t xml:space="preserve"> G</w:t>
      </w:r>
      <w:r>
        <w:t xml:space="preserve">rant </w:t>
      </w:r>
      <w:r w:rsidR="001664FC">
        <w:t>A</w:t>
      </w:r>
      <w:r>
        <w:t>greement</w:t>
      </w:r>
      <w:r w:rsidR="00D02209">
        <w:rPr>
          <w:color w:val="525252" w:themeColor="accent3" w:themeShade="80"/>
        </w:rPr>
        <w:t>.</w:t>
      </w:r>
    </w:p>
    <w:p w14:paraId="523DA7E6" w14:textId="77777777" w:rsidR="00340616" w:rsidRPr="008B782D" w:rsidRDefault="00340616" w:rsidP="00340616">
      <w:r w:rsidRPr="008B782D">
        <w:t xml:space="preserve">Before any payments are made, </w:t>
      </w:r>
      <w:r>
        <w:t>you</w:t>
      </w:r>
      <w:r w:rsidRPr="008B782D">
        <w:t xml:space="preserve"> </w:t>
      </w:r>
      <w:r>
        <w:t>must</w:t>
      </w:r>
      <w:r w:rsidRPr="008B782D">
        <w:t xml:space="preserve"> provide:</w:t>
      </w:r>
    </w:p>
    <w:p w14:paraId="225F0D1B" w14:textId="77777777" w:rsidR="00340616" w:rsidRPr="00B72EE8" w:rsidRDefault="00340616" w:rsidP="005367DC">
      <w:pPr>
        <w:pStyle w:val="Bullet1"/>
        <w:ind w:left="851" w:hanging="425"/>
      </w:pPr>
      <w:r w:rsidRPr="00B72EE8">
        <w:t>a tax invoice for the amount of the payment (the</w:t>
      </w:r>
      <w:r>
        <w:t xml:space="preserve"> Australian Government’s</w:t>
      </w:r>
      <w:r w:rsidRPr="00B72EE8">
        <w:t xml:space="preserve"> default invoice process is </w:t>
      </w:r>
      <w:r>
        <w:t>Recipient Created Tax Invoices)</w:t>
      </w:r>
      <w:r w:rsidR="00AE3CE8">
        <w:t>;</w:t>
      </w:r>
    </w:p>
    <w:p w14:paraId="33868386" w14:textId="77777777" w:rsidR="00340616" w:rsidRPr="00B72EE8" w:rsidRDefault="00340616" w:rsidP="005367DC">
      <w:pPr>
        <w:pStyle w:val="Bullet1"/>
        <w:ind w:left="851" w:hanging="425"/>
      </w:pPr>
      <w:r w:rsidRPr="00B72EE8">
        <w:t xml:space="preserve">evidence </w:t>
      </w:r>
      <w:r>
        <w:t>that you have achieved the associated milestone</w:t>
      </w:r>
      <w:r w:rsidR="00AE3CE8">
        <w:t>; and</w:t>
      </w:r>
    </w:p>
    <w:p w14:paraId="4A7086CB" w14:textId="77777777" w:rsidR="00340616" w:rsidRPr="00B72EE8" w:rsidRDefault="00340616" w:rsidP="005367DC">
      <w:pPr>
        <w:pStyle w:val="Bullet1"/>
        <w:ind w:left="851" w:hanging="425"/>
      </w:pPr>
      <w:r w:rsidRPr="00B72EE8">
        <w:t>any other conditions of payment (e.g. evidence of purchase of equipment, satisfactory progress report, approvals,</w:t>
      </w:r>
      <w:r>
        <w:t xml:space="preserve"> and any</w:t>
      </w:r>
      <w:r w:rsidRPr="00B72EE8">
        <w:t xml:space="preserve"> other documentation).</w:t>
      </w:r>
    </w:p>
    <w:p w14:paraId="59EFEECA" w14:textId="77777777" w:rsidR="00192CC4" w:rsidRPr="00305665" w:rsidRDefault="00192CC4" w:rsidP="005058BA">
      <w:pPr>
        <w:pStyle w:val="Heading2Numbered"/>
        <w:ind w:left="567"/>
      </w:pPr>
      <w:bookmarkStart w:id="127" w:name="_Toc530058210"/>
      <w:bookmarkStart w:id="128" w:name="_Toc421777629"/>
      <w:bookmarkStart w:id="129" w:name="_Toc467773988"/>
      <w:r>
        <w:t>Reporting</w:t>
      </w:r>
      <w:bookmarkEnd w:id="127"/>
    </w:p>
    <w:p w14:paraId="64C877CA" w14:textId="1804F598" w:rsidR="00363032" w:rsidRDefault="00363032" w:rsidP="00363032">
      <w:pPr>
        <w:rPr>
          <w:rFonts w:cstheme="minorHAnsi"/>
          <w:lang w:val="en-GB"/>
        </w:rPr>
      </w:pPr>
      <w:r>
        <w:rPr>
          <w:rFonts w:cstheme="minorHAnsi"/>
        </w:rPr>
        <w:t xml:space="preserve">RDP </w:t>
      </w:r>
      <w:r>
        <w:rPr>
          <w:rFonts w:cstheme="minorHAnsi"/>
          <w:lang w:val="en-GB"/>
        </w:rPr>
        <w:t>grant recipients must have systems in place to allow them to meet their data collection and reporting obligations outl</w:t>
      </w:r>
      <w:r w:rsidR="00C60F74">
        <w:rPr>
          <w:rFonts w:cstheme="minorHAnsi"/>
          <w:lang w:val="en-GB"/>
        </w:rPr>
        <w:t>ined in their Grant Agreement.</w:t>
      </w:r>
    </w:p>
    <w:p w14:paraId="79A8739F" w14:textId="77777777" w:rsidR="00363032" w:rsidRDefault="00363032" w:rsidP="00363032">
      <w:pPr>
        <w:rPr>
          <w:rFonts w:cstheme="minorHAnsi"/>
        </w:rPr>
      </w:pPr>
      <w:r>
        <w:rPr>
          <w:rFonts w:cstheme="minorHAnsi"/>
        </w:rPr>
        <w:t xml:space="preserve">Performance information (e.g. client characteristics and service delivery information) will be required to be collected by service providers at the client level and entered directly into DSS’ performance reporting solution, the Data Exchange. </w:t>
      </w:r>
    </w:p>
    <w:p w14:paraId="4E688289" w14:textId="77777777" w:rsidR="00363032" w:rsidRDefault="00363032" w:rsidP="00363032">
      <w:r>
        <w:t>The performance information reported through the Data Exchange includes:</w:t>
      </w:r>
    </w:p>
    <w:p w14:paraId="1A64B1A4" w14:textId="15F7B0DF" w:rsidR="00363032" w:rsidRPr="007645F3" w:rsidRDefault="00363032" w:rsidP="007645F3">
      <w:pPr>
        <w:pStyle w:val="Bullet1"/>
        <w:ind w:left="851" w:hanging="425"/>
      </w:pPr>
      <w:r w:rsidRPr="007645F3">
        <w:t xml:space="preserve">Client identity characteristics </w:t>
      </w:r>
      <w:r>
        <w:t>(given and family names, date of birth, gender and residential address)</w:t>
      </w:r>
      <w:r w:rsidRPr="007645F3">
        <w:t xml:space="preserve"> </w:t>
      </w:r>
    </w:p>
    <w:p w14:paraId="23FF9B53" w14:textId="77777777" w:rsidR="00363032" w:rsidRPr="007645F3" w:rsidRDefault="00363032" w:rsidP="007645F3">
      <w:pPr>
        <w:pStyle w:val="Bullet1"/>
        <w:ind w:left="851" w:hanging="425"/>
      </w:pPr>
      <w:r w:rsidRPr="007645F3">
        <w:t xml:space="preserve">Client demographic characteristics </w:t>
      </w:r>
      <w:r>
        <w:t>(Indigenous status, cultural and linguistic diversity, and disability status, impairment or condition)</w:t>
      </w:r>
    </w:p>
    <w:p w14:paraId="1FF68237" w14:textId="77777777" w:rsidR="00363032" w:rsidRPr="007645F3" w:rsidRDefault="00363032" w:rsidP="007645F3">
      <w:pPr>
        <w:pStyle w:val="Bullet1"/>
        <w:ind w:left="851" w:hanging="425"/>
      </w:pPr>
      <w:r w:rsidRPr="007645F3">
        <w:t>Service delivery information (outlets, cases, sessions)</w:t>
      </w:r>
    </w:p>
    <w:p w14:paraId="4EEE4142" w14:textId="77777777" w:rsidR="00363032" w:rsidRPr="007645F3" w:rsidRDefault="00363032" w:rsidP="007645F3">
      <w:pPr>
        <w:pStyle w:val="Bullet1"/>
        <w:ind w:left="851" w:hanging="425"/>
      </w:pPr>
      <w:r w:rsidRPr="007645F3">
        <w:t>Client outcomes</w:t>
      </w:r>
    </w:p>
    <w:p w14:paraId="254A738B" w14:textId="77777777" w:rsidR="00363032" w:rsidRDefault="00363032" w:rsidP="00363032">
      <w:pPr>
        <w:rPr>
          <w:rFonts w:cstheme="minorHAnsi"/>
        </w:rPr>
      </w:pPr>
      <w:r>
        <w:rPr>
          <w:rFonts w:ascii="Arial" w:hAnsi="Arial" w:cs="Arial"/>
        </w:rPr>
        <w:t xml:space="preserve">The Data Exchange has two standardised six monthly performance reporting periods each year, </w:t>
      </w:r>
      <w:r>
        <w:rPr>
          <w:rFonts w:ascii="Arial" w:hAnsi="Arial" w:cs="Arial"/>
          <w:bCs/>
        </w:rPr>
        <w:t>which run from 1 July to 31 December and 1 January to 30 June, with a 30 day close off period after each of these. Once the close-off period is completed no further changes can be made to the data.</w:t>
      </w:r>
    </w:p>
    <w:p w14:paraId="343F6AEC" w14:textId="77777777" w:rsidR="00363032" w:rsidRDefault="00363032" w:rsidP="00363032">
      <w:pPr>
        <w:rPr>
          <w:rFonts w:cstheme="minorHAnsi"/>
        </w:rPr>
      </w:pPr>
      <w:r>
        <w:rPr>
          <w:rFonts w:cstheme="minorHAnsi"/>
        </w:rPr>
        <w:t>Information must be provided in accordance with the</w:t>
      </w:r>
      <w:r>
        <w:rPr>
          <w:rFonts w:cstheme="minorHAnsi"/>
          <w:i/>
        </w:rPr>
        <w:t xml:space="preserve"> </w:t>
      </w:r>
      <w:r>
        <w:rPr>
          <w:rFonts w:cstheme="minorHAnsi"/>
        </w:rPr>
        <w:t xml:space="preserve">Data Exchange Protocols available at the </w:t>
      </w:r>
      <w:hyperlink r:id="rId27" w:history="1">
        <w:r>
          <w:rPr>
            <w:rStyle w:val="Hyperlink"/>
            <w:rFonts w:cstheme="minorHAnsi"/>
          </w:rPr>
          <w:t>Data Exchange website.</w:t>
        </w:r>
      </w:hyperlink>
      <w:r>
        <w:rPr>
          <w:rFonts w:cstheme="minorHAnsi"/>
        </w:rPr>
        <w:t xml:space="preserve">. </w:t>
      </w:r>
    </w:p>
    <w:p w14:paraId="7FF5A7E3" w14:textId="43AC6149" w:rsidR="00363032" w:rsidRDefault="00363032" w:rsidP="00363032">
      <w:pPr>
        <w:spacing w:after="0" w:line="240" w:lineRule="auto"/>
      </w:pPr>
      <w:r>
        <w:t xml:space="preserve">For this activity,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471D1944" w14:textId="3A406C99" w:rsidR="00051598" w:rsidRDefault="00051598" w:rsidP="00363032">
      <w:pPr>
        <w:spacing w:after="0" w:line="240" w:lineRule="auto"/>
      </w:pPr>
      <w:r>
        <w:t>The Data Exchange Technical Specifications are available on the Data Exchange Website. The Technical Specifications outline the requirements to meet DSS’ data formats.</w:t>
      </w:r>
      <w:r w:rsidR="00E72FD5">
        <w:t xml:space="preserve"> </w:t>
      </w:r>
      <w:r>
        <w:t>Additionally, there is a range of other training and support material on the Data Exchange website to help RDPs use the Data Exchange.</w:t>
      </w:r>
    </w:p>
    <w:p w14:paraId="54531AD4" w14:textId="7D32D889" w:rsidR="00051598" w:rsidRDefault="00051598" w:rsidP="00363032">
      <w:pPr>
        <w:spacing w:after="0" w:line="240" w:lineRule="auto"/>
      </w:pPr>
      <w:r>
        <w:t>A dedicated Data E</w:t>
      </w:r>
      <w:r w:rsidR="00C60F74">
        <w:t xml:space="preserve">xchange helpdesk is available. </w:t>
      </w:r>
      <w:r>
        <w:t>RDPs can email dssdataexchange.helpdesk@dss.gov.au</w:t>
      </w:r>
    </w:p>
    <w:p w14:paraId="27E8367E" w14:textId="62882A3E" w:rsidR="00340616" w:rsidRDefault="00363032" w:rsidP="007645F3">
      <w:pPr>
        <w:pStyle w:val="Heading2Numbered"/>
        <w:ind w:left="567"/>
      </w:pPr>
      <w:r>
        <w:t xml:space="preserve"> </w:t>
      </w:r>
      <w:bookmarkStart w:id="130" w:name="_Toc530058211"/>
      <w:r w:rsidR="00340616">
        <w:t>E</w:t>
      </w:r>
      <w:r w:rsidR="00340616" w:rsidRPr="00B72EE8">
        <w:t>valuation</w:t>
      </w:r>
      <w:bookmarkEnd w:id="128"/>
      <w:bookmarkEnd w:id="129"/>
      <w:bookmarkEnd w:id="130"/>
    </w:p>
    <w:p w14:paraId="127F54F8" w14:textId="45B852A3" w:rsidR="00167051" w:rsidRDefault="009A2443" w:rsidP="00167051">
      <w:r>
        <w:t>DSS</w:t>
      </w:r>
      <w:r w:rsidR="00167051">
        <w:t xml:space="preserve"> (or its contracted third party) will </w:t>
      </w:r>
      <w:r w:rsidR="00167051" w:rsidRPr="00B72EE8">
        <w:t>evaluat</w:t>
      </w:r>
      <w:r w:rsidR="00167051">
        <w:t>e</w:t>
      </w:r>
      <w:r w:rsidR="00167051" w:rsidRPr="00B72EE8">
        <w:t xml:space="preserve"> </w:t>
      </w:r>
      <w:r w:rsidR="00167051" w:rsidRPr="00CB5925">
        <w:t xml:space="preserve">the </w:t>
      </w:r>
      <w:r w:rsidR="00167051">
        <w:t xml:space="preserve">operations of the RDP to measure how well </w:t>
      </w:r>
      <w:r w:rsidR="00167051" w:rsidRPr="00B72EE8">
        <w:t>the outcomes and objectives</w:t>
      </w:r>
      <w:r w:rsidR="00167051">
        <w:t xml:space="preserve"> of the</w:t>
      </w:r>
      <w:r w:rsidR="00167051" w:rsidRPr="00B72EE8">
        <w:t xml:space="preserve"> </w:t>
      </w:r>
      <w:r w:rsidR="00167051">
        <w:t xml:space="preserve">ICSS </w:t>
      </w:r>
      <w:r w:rsidR="00167051" w:rsidRPr="00B72EE8">
        <w:t>have been achieved.</w:t>
      </w:r>
    </w:p>
    <w:p w14:paraId="39EB75BA" w14:textId="234F8EB7" w:rsidR="00167051" w:rsidRPr="0051789B" w:rsidRDefault="00167051" w:rsidP="00167051">
      <w:r w:rsidRPr="0051789B">
        <w:t xml:space="preserve">Your </w:t>
      </w:r>
      <w:r w:rsidR="001664FC">
        <w:t>G</w:t>
      </w:r>
      <w:r w:rsidRPr="0051789B">
        <w:t xml:space="preserve">rant </w:t>
      </w:r>
      <w:r w:rsidR="001664FC">
        <w:t>A</w:t>
      </w:r>
      <w:r w:rsidRPr="0051789B">
        <w:t>greement requires you to provide information</w:t>
      </w:r>
      <w:r w:rsidR="00C60F74">
        <w:t xml:space="preserve"> to help with this evaluation.</w:t>
      </w:r>
    </w:p>
    <w:p w14:paraId="19102CED" w14:textId="77777777" w:rsidR="00167051" w:rsidRDefault="00723218" w:rsidP="00167051">
      <w:r>
        <w:t>DSS</w:t>
      </w:r>
      <w:r w:rsidR="00167051" w:rsidRPr="0051789B">
        <w:t xml:space="preserve"> will evaluate a range of issues, including but not limited to, performance of the </w:t>
      </w:r>
      <w:r w:rsidR="00AA73D3">
        <w:t>P</w:t>
      </w:r>
      <w:r w:rsidR="00167051" w:rsidRPr="0051789B">
        <w:t xml:space="preserve">rogram, including efficiency of implementation and effectiveness of the </w:t>
      </w:r>
      <w:r w:rsidR="00AA73D3">
        <w:t>P</w:t>
      </w:r>
      <w:r w:rsidR="00167051" w:rsidRPr="0051789B">
        <w:t xml:space="preserve">rogram meeting policy outcomes. </w:t>
      </w:r>
    </w:p>
    <w:p w14:paraId="1C983719" w14:textId="77777777" w:rsidR="00167051" w:rsidRPr="0051789B" w:rsidRDefault="00723218" w:rsidP="00167051">
      <w:pPr>
        <w:spacing w:after="120"/>
      </w:pPr>
      <w:r>
        <w:t>DSS</w:t>
      </w:r>
      <w:r w:rsidR="00167051" w:rsidRPr="0051789B">
        <w:t xml:space="preserve">, in undertaking an evaluation of the </w:t>
      </w:r>
      <w:r w:rsidR="00BA0BFC">
        <w:t>P</w:t>
      </w:r>
      <w:r w:rsidR="00167051" w:rsidRPr="0051789B">
        <w:t xml:space="preserve">rogram, will engage with the following tools: </w:t>
      </w:r>
    </w:p>
    <w:p w14:paraId="16867A00" w14:textId="77777777" w:rsidR="00167051" w:rsidRPr="00070F2E" w:rsidRDefault="00167051" w:rsidP="00B64CD9">
      <w:pPr>
        <w:pStyle w:val="ListParagraph"/>
        <w:numPr>
          <w:ilvl w:val="0"/>
          <w:numId w:val="22"/>
        </w:numPr>
        <w:spacing w:before="120" w:after="120" w:line="240" w:lineRule="auto"/>
        <w:ind w:left="851" w:hanging="491"/>
        <w:jc w:val="both"/>
        <w:rPr>
          <w:rFonts w:asciiTheme="minorHAnsi" w:hAnsiTheme="minorHAnsi" w:cstheme="minorHAnsi"/>
        </w:rPr>
      </w:pPr>
      <w:r w:rsidRPr="00070F2E">
        <w:rPr>
          <w:rFonts w:asciiTheme="minorHAnsi" w:hAnsiTheme="minorHAnsi" w:cstheme="minorHAnsi"/>
        </w:rPr>
        <w:t>Post-implementation review – a review that asks and answers questions of whether an initiative was implemented in the manner envisaged, on time and within budget</w:t>
      </w:r>
      <w:r w:rsidR="00B92C2D">
        <w:rPr>
          <w:rFonts w:asciiTheme="minorHAnsi" w:hAnsiTheme="minorHAnsi" w:cstheme="minorHAnsi"/>
        </w:rPr>
        <w:t>;</w:t>
      </w:r>
      <w:r w:rsidRPr="00070F2E">
        <w:rPr>
          <w:rFonts w:asciiTheme="minorHAnsi" w:hAnsiTheme="minorHAnsi" w:cstheme="minorHAnsi"/>
        </w:rPr>
        <w:t xml:space="preserve"> </w:t>
      </w:r>
    </w:p>
    <w:p w14:paraId="40030327" w14:textId="77777777" w:rsidR="00167051" w:rsidRPr="00070F2E" w:rsidRDefault="00167051" w:rsidP="00B64CD9">
      <w:pPr>
        <w:pStyle w:val="ListParagraph"/>
        <w:numPr>
          <w:ilvl w:val="0"/>
          <w:numId w:val="22"/>
        </w:numPr>
        <w:spacing w:before="120" w:after="120" w:line="240" w:lineRule="auto"/>
        <w:ind w:left="851" w:hanging="491"/>
        <w:jc w:val="both"/>
        <w:rPr>
          <w:rFonts w:asciiTheme="minorHAnsi" w:hAnsiTheme="minorHAnsi" w:cstheme="minorHAnsi"/>
        </w:rPr>
      </w:pPr>
      <w:r w:rsidRPr="00070F2E">
        <w:rPr>
          <w:rFonts w:asciiTheme="minorHAnsi" w:hAnsiTheme="minorHAnsi" w:cstheme="minorHAnsi"/>
        </w:rPr>
        <w:t xml:space="preserve">Ongoing Program Performance Reviews – reviews (undertaken on a regular basis) of whether a </w:t>
      </w:r>
      <w:r w:rsidR="00BA0BFC">
        <w:rPr>
          <w:rFonts w:asciiTheme="minorHAnsi" w:hAnsiTheme="minorHAnsi" w:cstheme="minorHAnsi"/>
        </w:rPr>
        <w:t>P</w:t>
      </w:r>
      <w:r w:rsidRPr="00070F2E">
        <w:rPr>
          <w:rFonts w:asciiTheme="minorHAnsi" w:hAnsiTheme="minorHAnsi" w:cstheme="minorHAnsi"/>
        </w:rPr>
        <w:t>rogram is performing at the optimal level to deliver defined outputs and whether there is scope to improve efficiency and cost effectiveness</w:t>
      </w:r>
      <w:r w:rsidR="00B92C2D">
        <w:rPr>
          <w:rFonts w:asciiTheme="minorHAnsi" w:hAnsiTheme="minorHAnsi" w:cstheme="minorHAnsi"/>
        </w:rPr>
        <w:t>; and</w:t>
      </w:r>
      <w:r w:rsidRPr="00070F2E">
        <w:rPr>
          <w:rFonts w:asciiTheme="minorHAnsi" w:hAnsiTheme="minorHAnsi" w:cstheme="minorHAnsi"/>
        </w:rPr>
        <w:t xml:space="preserve"> </w:t>
      </w:r>
    </w:p>
    <w:p w14:paraId="4E9CCF00" w14:textId="77777777" w:rsidR="00167051" w:rsidRPr="00070F2E" w:rsidRDefault="00167051" w:rsidP="00B64CD9">
      <w:pPr>
        <w:pStyle w:val="ListParagraph"/>
        <w:numPr>
          <w:ilvl w:val="0"/>
          <w:numId w:val="22"/>
        </w:numPr>
        <w:spacing w:before="120" w:line="240" w:lineRule="auto"/>
        <w:ind w:left="851" w:hanging="491"/>
        <w:jc w:val="both"/>
        <w:rPr>
          <w:rFonts w:asciiTheme="minorHAnsi" w:hAnsiTheme="minorHAnsi" w:cstheme="minorHAnsi"/>
        </w:rPr>
      </w:pPr>
      <w:r w:rsidRPr="00070F2E">
        <w:rPr>
          <w:rFonts w:asciiTheme="minorHAnsi" w:hAnsiTheme="minorHAnsi" w:cstheme="minorHAnsi"/>
        </w:rPr>
        <w:t xml:space="preserve">Impact Evaluation – an assessment of the extent to which the </w:t>
      </w:r>
      <w:r w:rsidR="00BA0BFC">
        <w:rPr>
          <w:rFonts w:asciiTheme="minorHAnsi" w:hAnsiTheme="minorHAnsi" w:cstheme="minorHAnsi"/>
        </w:rPr>
        <w:t>P</w:t>
      </w:r>
      <w:r w:rsidRPr="00070F2E">
        <w:rPr>
          <w:rFonts w:asciiTheme="minorHAnsi" w:hAnsiTheme="minorHAnsi" w:cstheme="minorHAnsi"/>
        </w:rPr>
        <w:t xml:space="preserve">rogram is achieving the defined policy outcomes. </w:t>
      </w:r>
    </w:p>
    <w:p w14:paraId="70BE190D" w14:textId="1B8ED7FA" w:rsidR="00167051" w:rsidRPr="0051789B" w:rsidRDefault="00723218" w:rsidP="00167051">
      <w:r>
        <w:t>DSS</w:t>
      </w:r>
      <w:r w:rsidR="00167051" w:rsidRPr="0051789B">
        <w:t xml:space="preserve"> will be using the Data Exchange to assist in </w:t>
      </w:r>
      <w:r w:rsidR="000A6245">
        <w:t>P</w:t>
      </w:r>
      <w:r w:rsidR="00167051" w:rsidRPr="0051789B">
        <w:t>rogram evaluation.</w:t>
      </w:r>
      <w:r w:rsidR="00E20CDE">
        <w:t xml:space="preserve"> </w:t>
      </w:r>
      <w:r w:rsidR="00167051" w:rsidRPr="0051789B">
        <w:t>The Data Exchange is an IT system that provides flexible ways to submi</w:t>
      </w:r>
      <w:r w:rsidR="005B2EC3">
        <w:t>t performance information to</w:t>
      </w:r>
      <w:r w:rsidR="00167051" w:rsidRPr="0051789B">
        <w:t xml:space="preserve"> </w:t>
      </w:r>
      <w:r>
        <w:t>DSS</w:t>
      </w:r>
      <w:r w:rsidR="00167051" w:rsidRPr="0051789B">
        <w:t xml:space="preserve">. </w:t>
      </w:r>
    </w:p>
    <w:p w14:paraId="703BB994" w14:textId="5260D246" w:rsidR="005367DC" w:rsidRDefault="00167051" w:rsidP="007645F3">
      <w:r w:rsidRPr="0051789B">
        <w:t xml:space="preserve">Your Grant Agreement will be monitored on an on-going basis by the </w:t>
      </w:r>
      <w:r w:rsidR="002C295B">
        <w:t>Funding</w:t>
      </w:r>
      <w:r w:rsidRPr="0051789B">
        <w:t xml:space="preserve"> A</w:t>
      </w:r>
      <w:r w:rsidR="001664FC">
        <w:t>rrangement</w:t>
      </w:r>
      <w:r w:rsidRPr="0051789B">
        <w:t xml:space="preserve"> Manager assigned by </w:t>
      </w:r>
      <w:r w:rsidR="002C295B">
        <w:t>DSS</w:t>
      </w:r>
      <w:r w:rsidR="00C60F74">
        <w:t xml:space="preserve">. </w:t>
      </w:r>
      <w:r w:rsidRPr="0051789B">
        <w:t xml:space="preserve">The </w:t>
      </w:r>
      <w:r w:rsidR="0066314E">
        <w:t>Funding</w:t>
      </w:r>
      <w:r w:rsidRPr="0051789B">
        <w:t xml:space="preserve"> A</w:t>
      </w:r>
      <w:r w:rsidR="001664FC">
        <w:t>rrangement</w:t>
      </w:r>
      <w:r w:rsidRPr="0051789B">
        <w:t xml:space="preserve"> Manager will ensure all milestones shown in your Grant Agreement are met.</w:t>
      </w:r>
    </w:p>
    <w:p w14:paraId="28C5C8F0" w14:textId="77777777" w:rsidR="00340616" w:rsidRPr="00B72EE8" w:rsidRDefault="00340616" w:rsidP="005058BA">
      <w:pPr>
        <w:pStyle w:val="Heading2Numbered"/>
        <w:ind w:left="567"/>
      </w:pPr>
      <w:bookmarkStart w:id="131" w:name="_Toc467773989"/>
      <w:bookmarkStart w:id="132" w:name="_Toc530058212"/>
      <w:r>
        <w:t>Acknowledgement</w:t>
      </w:r>
      <w:bookmarkEnd w:id="131"/>
      <w:bookmarkEnd w:id="132"/>
    </w:p>
    <w:p w14:paraId="46BA64B9" w14:textId="77777777" w:rsidR="00340616" w:rsidRPr="008B782D" w:rsidRDefault="00340616" w:rsidP="000769C8">
      <w:pPr>
        <w:spacing w:after="120"/>
      </w:pPr>
      <w:r w:rsidRPr="008B782D">
        <w:t xml:space="preserve">All publications related to grants under the </w:t>
      </w:r>
      <w:r>
        <w:t>Program</w:t>
      </w:r>
      <w:r w:rsidRPr="008B782D">
        <w:t xml:space="preserve"> </w:t>
      </w:r>
      <w:r>
        <w:t xml:space="preserve">must </w:t>
      </w:r>
      <w:r w:rsidRPr="008B782D">
        <w:t>acknowledge the Commonwealth as follows:</w:t>
      </w:r>
    </w:p>
    <w:p w14:paraId="77B6D642" w14:textId="77777777" w:rsidR="00340616" w:rsidRDefault="00340616" w:rsidP="00B64CD9">
      <w:pPr>
        <w:pStyle w:val="ListParagraph"/>
        <w:numPr>
          <w:ilvl w:val="0"/>
          <w:numId w:val="37"/>
        </w:numPr>
        <w:spacing w:after="0"/>
        <w:ind w:left="851" w:hanging="425"/>
      </w:pPr>
      <w:r>
        <w:t>‘</w:t>
      </w:r>
      <w:r w:rsidRPr="005367DC">
        <w:rPr>
          <w:rFonts w:asciiTheme="minorHAnsi" w:eastAsiaTheme="minorHAnsi" w:hAnsiTheme="minorHAnsi" w:cstheme="minorBidi"/>
        </w:rPr>
        <w:t>This activity received grant funding from the Australian Government.</w:t>
      </w:r>
      <w:r>
        <w:t>’</w:t>
      </w:r>
    </w:p>
    <w:p w14:paraId="3C46A600" w14:textId="77777777" w:rsidR="002A2026" w:rsidRDefault="002A2026" w:rsidP="000769C8">
      <w:pPr>
        <w:pStyle w:val="Heading2Numbered"/>
        <w:spacing w:before="240" w:after="0"/>
        <w:ind w:left="567"/>
      </w:pPr>
      <w:bookmarkStart w:id="133" w:name="_Toc530058213"/>
      <w:r>
        <w:t>Multicultural Access and Equity</w:t>
      </w:r>
      <w:bookmarkEnd w:id="133"/>
    </w:p>
    <w:p w14:paraId="7D5B29EF" w14:textId="248956F6" w:rsidR="003D4119" w:rsidRDefault="002C3D2B" w:rsidP="00070F2E">
      <w:pPr>
        <w:pStyle w:val="Dash"/>
        <w:tabs>
          <w:tab w:val="clear" w:pos="567"/>
        </w:tabs>
        <w:spacing w:before="180" w:after="60" w:line="280" w:lineRule="atLeast"/>
        <w:ind w:left="0" w:firstLine="0"/>
        <w:rPr>
          <w:rFonts w:asciiTheme="majorHAnsi" w:hAnsiTheme="majorHAnsi" w:cstheme="majorHAnsi"/>
        </w:rPr>
      </w:pPr>
      <w:r w:rsidRPr="000104CF">
        <w:rPr>
          <w:rFonts w:asciiTheme="majorHAnsi" w:hAnsiTheme="majorHAnsi" w:cstheme="majorHAnsi"/>
        </w:rPr>
        <w:t xml:space="preserve">Australia’s </w:t>
      </w:r>
      <w:r w:rsidRPr="000104CF">
        <w:rPr>
          <w:rFonts w:asciiTheme="majorHAnsi" w:hAnsiTheme="majorHAnsi" w:cstheme="majorHAnsi"/>
          <w:i/>
          <w:iCs/>
        </w:rPr>
        <w:t>Multicultural Access and Equity Policy</w:t>
      </w:r>
      <w:r w:rsidRPr="000104CF">
        <w:rPr>
          <w:rFonts w:asciiTheme="majorHAnsi" w:hAnsiTheme="majorHAnsi" w:cstheme="majorHAnsi"/>
        </w:rPr>
        <w:t xml:space="preserve"> obliges Australian government agencies to ensure their policies, programs and services (including those conducted by contractors and service delivery partners) are accessible to, and deliver equitable outcomes for, people from culturally and linguistica</w:t>
      </w:r>
      <w:r w:rsidR="008E0186">
        <w:rPr>
          <w:rFonts w:asciiTheme="majorHAnsi" w:hAnsiTheme="majorHAnsi" w:cstheme="majorHAnsi"/>
        </w:rPr>
        <w:t>lly diverse (CALD) backgrounds.</w:t>
      </w:r>
    </w:p>
    <w:p w14:paraId="2D64B128" w14:textId="282AFF24" w:rsidR="000104CF" w:rsidRPr="000104CF" w:rsidRDefault="002C3D2B" w:rsidP="00070F2E">
      <w:pPr>
        <w:pStyle w:val="Dash"/>
        <w:tabs>
          <w:tab w:val="clear" w:pos="567"/>
        </w:tabs>
        <w:spacing w:before="180" w:after="60" w:line="280" w:lineRule="atLeast"/>
        <w:ind w:left="0" w:firstLine="0"/>
        <w:rPr>
          <w:rFonts w:asciiTheme="majorHAnsi" w:hAnsiTheme="majorHAnsi" w:cstheme="majorHAnsi"/>
        </w:rPr>
      </w:pPr>
      <w:r w:rsidRPr="000104CF">
        <w:rPr>
          <w:rFonts w:asciiTheme="majorHAnsi" w:hAnsiTheme="majorHAnsi" w:cstheme="majorHAnsi"/>
        </w:rPr>
        <w:t>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non-English spea</w:t>
      </w:r>
      <w:r w:rsidR="00C60F74">
        <w:rPr>
          <w:rFonts w:asciiTheme="majorHAnsi" w:hAnsiTheme="majorHAnsi" w:cstheme="majorHAnsi"/>
        </w:rPr>
        <w:t xml:space="preserve">kers. </w:t>
      </w:r>
      <w:r w:rsidRPr="000104CF">
        <w:rPr>
          <w:rFonts w:asciiTheme="majorHAnsi" w:hAnsiTheme="majorHAnsi" w:cstheme="majorHAnsi"/>
        </w:rPr>
        <w:t>If required, based on an assessment of the target group, costs for translating and interpreting services (and other requirements for ensuring accessibility) should be fa</w:t>
      </w:r>
      <w:r w:rsidR="00C60F74">
        <w:rPr>
          <w:rFonts w:asciiTheme="majorHAnsi" w:hAnsiTheme="majorHAnsi" w:cstheme="majorHAnsi"/>
        </w:rPr>
        <w:t>ctored into grant applications.</w:t>
      </w:r>
      <w:r w:rsidRPr="000104CF">
        <w:rPr>
          <w:rFonts w:asciiTheme="majorHAnsi" w:hAnsiTheme="majorHAnsi" w:cstheme="majorHAnsi"/>
        </w:rPr>
        <w:t xml:space="preserve"> For further information on the Multicultural Access and Equity Policy</w:t>
      </w:r>
      <w:r w:rsidR="003D4119">
        <w:rPr>
          <w:rFonts w:asciiTheme="majorHAnsi" w:hAnsiTheme="majorHAnsi" w:cstheme="majorHAnsi"/>
        </w:rPr>
        <w:t>,</w:t>
      </w:r>
      <w:r w:rsidRPr="000104CF">
        <w:rPr>
          <w:rFonts w:asciiTheme="majorHAnsi" w:hAnsiTheme="majorHAnsi" w:cstheme="majorHAnsi"/>
        </w:rPr>
        <w:t xml:space="preserve"> please refer to</w:t>
      </w:r>
      <w:r w:rsidRPr="000104CF">
        <w:rPr>
          <w:rFonts w:asciiTheme="majorHAnsi" w:hAnsiTheme="majorHAnsi" w:cstheme="majorHAnsi"/>
          <w:sz w:val="20"/>
        </w:rPr>
        <w:t xml:space="preserve"> </w:t>
      </w:r>
      <w:r w:rsidR="000104CF" w:rsidRPr="000104CF">
        <w:rPr>
          <w:rFonts w:asciiTheme="majorHAnsi" w:hAnsiTheme="majorHAnsi" w:cstheme="majorHAnsi"/>
        </w:rPr>
        <w:t xml:space="preserve">the </w:t>
      </w:r>
      <w:hyperlink r:id="rId28" w:history="1">
        <w:r w:rsidR="000104CF" w:rsidRPr="000104CF">
          <w:rPr>
            <w:rStyle w:val="Hyperlink"/>
            <w:rFonts w:asciiTheme="majorHAnsi" w:hAnsiTheme="majorHAnsi" w:cstheme="majorHAnsi"/>
          </w:rPr>
          <w:t>Home Affairs</w:t>
        </w:r>
      </w:hyperlink>
      <w:r w:rsidR="000104CF" w:rsidRPr="000104CF">
        <w:rPr>
          <w:rFonts w:asciiTheme="majorHAnsi" w:hAnsiTheme="majorHAnsi" w:cstheme="majorHAnsi"/>
          <w:sz w:val="20"/>
        </w:rPr>
        <w:t xml:space="preserve"> </w:t>
      </w:r>
      <w:r w:rsidR="000104CF" w:rsidRPr="000104CF">
        <w:rPr>
          <w:rFonts w:asciiTheme="majorHAnsi" w:hAnsiTheme="majorHAnsi" w:cstheme="majorHAnsi"/>
          <w:szCs w:val="22"/>
        </w:rPr>
        <w:t>website.</w:t>
      </w:r>
    </w:p>
    <w:p w14:paraId="0AED24C6" w14:textId="77777777" w:rsidR="00340616" w:rsidRPr="00B72EE8" w:rsidRDefault="00340616" w:rsidP="005058BA">
      <w:pPr>
        <w:pStyle w:val="Heading1Numbered"/>
      </w:pPr>
      <w:bookmarkStart w:id="134" w:name="_Toc467773990"/>
      <w:bookmarkStart w:id="135" w:name="_Toc530058214"/>
      <w:bookmarkStart w:id="136" w:name="_Toc421777631"/>
      <w:r w:rsidRPr="00B72EE8">
        <w:t>Probity</w:t>
      </w:r>
      <w:bookmarkEnd w:id="134"/>
      <w:bookmarkEnd w:id="135"/>
      <w:r w:rsidRPr="00B72EE8">
        <w:t xml:space="preserve"> </w:t>
      </w:r>
      <w:bookmarkEnd w:id="136"/>
    </w:p>
    <w:p w14:paraId="46A88038" w14:textId="77777777" w:rsidR="00340616" w:rsidRPr="00726710" w:rsidRDefault="00340616" w:rsidP="00340616">
      <w:r w:rsidRPr="00B72EE8">
        <w:t xml:space="preserve">The Australian Government </w:t>
      </w:r>
      <w:r>
        <w:t xml:space="preserve">will make sure that </w:t>
      </w:r>
      <w:r w:rsidRPr="00B72EE8">
        <w:t>the</w:t>
      </w:r>
      <w:r>
        <w:t xml:space="preserve"> </w:t>
      </w:r>
      <w:r w:rsidR="000A6245">
        <w:t>P</w:t>
      </w:r>
      <w:r>
        <w:t>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494BB857" w14:textId="594B547D" w:rsidR="00340616" w:rsidRDefault="00340616" w:rsidP="00340616">
      <w:r w:rsidRPr="00726710">
        <w:rPr>
          <w:b/>
        </w:rPr>
        <w:t>Note:</w:t>
      </w:r>
      <w:r w:rsidRPr="00726710">
        <w:t xml:space="preserve"> These guidelines may be changed from time-to-time by</w:t>
      </w:r>
      <w:r w:rsidR="00070F2E">
        <w:t xml:space="preserve"> </w:t>
      </w:r>
      <w:r w:rsidR="00723218">
        <w:t>DSS</w:t>
      </w:r>
      <w:r w:rsidRPr="00726710">
        <w:t>. When this happens</w:t>
      </w:r>
      <w:r w:rsidR="0039238C">
        <w:t>,</w:t>
      </w:r>
      <w:r w:rsidRPr="00726710">
        <w:t xml:space="preserve"> the revised guidelines will be published on </w:t>
      </w:r>
      <w:hyperlink r:id="rId29" w:history="1">
        <w:r w:rsidR="00DD52C8" w:rsidRPr="00DD52C8">
          <w:rPr>
            <w:rStyle w:val="Hyperlink"/>
            <w:rFonts w:cstheme="minorBidi"/>
          </w:rPr>
          <w:t>GrantConnect</w:t>
        </w:r>
      </w:hyperlink>
      <w:r w:rsidR="00181073">
        <w:rPr>
          <w:rStyle w:val="Hyperlink"/>
          <w:rFonts w:cstheme="minorBidi"/>
          <w:u w:val="none"/>
        </w:rPr>
        <w:t xml:space="preserve"> and the </w:t>
      </w:r>
      <w:hyperlink r:id="rId30"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6044AC4D" w14:textId="30B9B467" w:rsidR="006C5A0E" w:rsidRDefault="006C5A0E" w:rsidP="00340616"/>
    <w:p w14:paraId="5F4A9D5F" w14:textId="77777777" w:rsidR="006C5A0E" w:rsidRPr="00B72EE8" w:rsidRDefault="006C5A0E" w:rsidP="00340616"/>
    <w:p w14:paraId="78EBACD5" w14:textId="77777777" w:rsidR="00340616" w:rsidRPr="0054078D" w:rsidRDefault="00340616" w:rsidP="005058BA">
      <w:pPr>
        <w:pStyle w:val="Heading2Numbered"/>
        <w:ind w:left="567"/>
      </w:pPr>
      <w:bookmarkStart w:id="137" w:name="_Toc414983585"/>
      <w:bookmarkStart w:id="138" w:name="_Toc414984002"/>
      <w:bookmarkStart w:id="139" w:name="_Toc414984762"/>
      <w:bookmarkStart w:id="140" w:name="_Toc414984856"/>
      <w:bookmarkStart w:id="141" w:name="_Toc414984960"/>
      <w:bookmarkStart w:id="142" w:name="_Toc414985063"/>
      <w:bookmarkStart w:id="143" w:name="_Toc414985166"/>
      <w:bookmarkStart w:id="144" w:name="_Toc414985268"/>
      <w:bookmarkStart w:id="145" w:name="_Toc421777632"/>
      <w:bookmarkStart w:id="146" w:name="_Toc467773991"/>
      <w:bookmarkStart w:id="147" w:name="_Toc530058215"/>
      <w:bookmarkEnd w:id="137"/>
      <w:bookmarkEnd w:id="138"/>
      <w:bookmarkEnd w:id="139"/>
      <w:bookmarkEnd w:id="140"/>
      <w:bookmarkEnd w:id="141"/>
      <w:bookmarkEnd w:id="142"/>
      <w:bookmarkEnd w:id="143"/>
      <w:bookmarkEnd w:id="144"/>
      <w:r w:rsidRPr="0054078D">
        <w:t>Complaints process</w:t>
      </w:r>
      <w:bookmarkEnd w:id="145"/>
      <w:bookmarkEnd w:id="146"/>
      <w:bookmarkEnd w:id="147"/>
    </w:p>
    <w:p w14:paraId="04524F4F" w14:textId="77777777" w:rsidR="008F4C2E" w:rsidRPr="00C2163B" w:rsidRDefault="008F4C2E" w:rsidP="008F4C2E">
      <w:pPr>
        <w:rPr>
          <w:b/>
        </w:rPr>
      </w:pPr>
      <w:bookmarkStart w:id="148" w:name="_Toc421777633"/>
      <w:bookmarkStart w:id="149" w:name="_Toc467773992"/>
      <w:r>
        <w:rPr>
          <w:b/>
        </w:rPr>
        <w:t>Complaints about the Program</w:t>
      </w:r>
    </w:p>
    <w:p w14:paraId="64B93AC6" w14:textId="64CB9A6F" w:rsidR="008F4C2E" w:rsidRDefault="008F4C2E" w:rsidP="008F4C2E">
      <w:r>
        <w:t>The</w:t>
      </w:r>
      <w:r w:rsidR="00070F2E">
        <w:t xml:space="preserve"> </w:t>
      </w:r>
      <w:r w:rsidR="00723218">
        <w:t>DSS</w:t>
      </w:r>
      <w:r w:rsidR="00070F2E">
        <w:t xml:space="preserve"> </w:t>
      </w:r>
      <w:hyperlink r:id="rId31" w:history="1">
        <w:r w:rsidR="00070F2E">
          <w:rPr>
            <w:rStyle w:val="Hyperlink"/>
            <w:rFonts w:cstheme="minorBidi"/>
          </w:rPr>
          <w:t>Complaints Procedure</w:t>
        </w:r>
      </w:hyperlink>
      <w:r w:rsidR="00070F2E">
        <w:rPr>
          <w:b/>
          <w:color w:val="525252" w:themeColor="accent3" w:themeShade="80"/>
        </w:rPr>
        <w:t xml:space="preserve"> </w:t>
      </w:r>
      <w:r w:rsidRPr="00B72EE8">
        <w:t xml:space="preserve">apply to complaints </w:t>
      </w:r>
      <w:r>
        <w:t>about the Program.</w:t>
      </w:r>
      <w:r w:rsidRPr="009E25CE">
        <w:rPr>
          <w:b/>
        </w:rPr>
        <w:t xml:space="preserve"> </w:t>
      </w:r>
      <w:r>
        <w:t>A</w:t>
      </w:r>
      <w:r w:rsidRPr="00B72EE8">
        <w:t xml:space="preserve">ll complaints </w:t>
      </w:r>
      <w:r>
        <w:t xml:space="preserve">about the </w:t>
      </w:r>
      <w:r w:rsidR="000A6245">
        <w:t>P</w:t>
      </w:r>
      <w:r>
        <w:t>rogram, including</w:t>
      </w:r>
      <w:r w:rsidRPr="00B72EE8">
        <w:t xml:space="preserve"> grant </w:t>
      </w:r>
      <w:r>
        <w:t>decisions,</w:t>
      </w:r>
      <w:r w:rsidRPr="00B72EE8">
        <w:t xml:space="preserve"> </w:t>
      </w:r>
      <w:r>
        <w:t xml:space="preserve">must </w:t>
      </w:r>
      <w:r w:rsidRPr="00B72EE8">
        <w:t>be lodged in writing.</w:t>
      </w:r>
    </w:p>
    <w:p w14:paraId="3110BD29" w14:textId="77777777" w:rsidR="008F4C2E" w:rsidRPr="00B72EE8" w:rsidRDefault="008F4C2E" w:rsidP="008F4C2E">
      <w:r>
        <w:t xml:space="preserve">Any questions you have about grant decisions for the Program should be sent </w:t>
      </w:r>
      <w:r w:rsidR="000A6245">
        <w:t xml:space="preserve">to </w:t>
      </w:r>
      <w:hyperlink r:id="rId32" w:history="1">
        <w:r w:rsidR="0039238C" w:rsidRPr="00FC79C4">
          <w:rPr>
            <w:rStyle w:val="Hyperlink"/>
            <w:rFonts w:cstheme="minorBidi"/>
          </w:rPr>
          <w:t>support@communitygrants.gov.au</w:t>
        </w:r>
      </w:hyperlink>
      <w:r w:rsidR="000A6245">
        <w:t>.</w:t>
      </w:r>
    </w:p>
    <w:p w14:paraId="6A3591B4" w14:textId="77777777" w:rsidR="001C022C" w:rsidRDefault="001C022C" w:rsidP="001C022C">
      <w:pPr>
        <w:rPr>
          <w:b/>
        </w:rPr>
      </w:pPr>
      <w:r w:rsidRPr="00A916BA">
        <w:rPr>
          <w:b/>
        </w:rPr>
        <w:t>Complaints about the Process</w:t>
      </w:r>
    </w:p>
    <w:p w14:paraId="24238EFE" w14:textId="77777777" w:rsidR="001C022C" w:rsidRPr="00A916BA" w:rsidRDefault="001C022C" w:rsidP="000769C8">
      <w:pPr>
        <w:spacing w:before="120"/>
      </w:pPr>
      <w:r w:rsidRPr="00A916BA">
        <w:t xml:space="preserve">Applicants can contact the complaints service with complaints about Community Grants Hub’s service(s) or the application process. </w:t>
      </w:r>
    </w:p>
    <w:p w14:paraId="03316FA2" w14:textId="284929DA" w:rsidR="001C022C" w:rsidRDefault="001C022C" w:rsidP="000769C8">
      <w:pPr>
        <w:spacing w:before="120"/>
      </w:pPr>
      <w:r w:rsidRPr="00A916BA">
        <w:t>Details of what constitutes an eligible complaint can be provided upon reque</w:t>
      </w:r>
      <w:r w:rsidR="00C60F74">
        <w:t>st by the Community Grants Hub.</w:t>
      </w:r>
      <w:r w:rsidRPr="00A916BA">
        <w:t xml:space="preserve"> Applicants can lodge complaints using the </w:t>
      </w:r>
      <w:hyperlink r:id="rId33" w:history="1">
        <w:r w:rsidRPr="0011101F">
          <w:rPr>
            <w:rStyle w:val="Hyperlink"/>
            <w:rFonts w:cstheme="minorBidi"/>
          </w:rPr>
          <w:t>complaints form</w:t>
        </w:r>
      </w:hyperlink>
      <w:r w:rsidRPr="00A916BA">
        <w:t xml:space="preserve"> on </w:t>
      </w:r>
      <w:r w:rsidR="00BB3552">
        <w:t>DSS’</w:t>
      </w:r>
      <w:r w:rsidRPr="00A916BA">
        <w:t xml:space="preserve"> webs</w:t>
      </w:r>
      <w:r>
        <w:t>ite or by phone or mail.</w:t>
      </w:r>
    </w:p>
    <w:p w14:paraId="1A9446A9" w14:textId="77777777" w:rsidR="00592EB3" w:rsidRPr="000769C8" w:rsidRDefault="00592EB3" w:rsidP="00592EB3">
      <w:pPr>
        <w:spacing w:before="0" w:after="0" w:line="240" w:lineRule="auto"/>
        <w:rPr>
          <w:sz w:val="12"/>
          <w:szCs w:val="12"/>
        </w:rPr>
      </w:pPr>
    </w:p>
    <w:p w14:paraId="45678CB3" w14:textId="77777777" w:rsidR="0090794D" w:rsidRPr="00A916BA" w:rsidRDefault="0090794D" w:rsidP="00592EB3">
      <w:pPr>
        <w:spacing w:before="0" w:after="0" w:line="240" w:lineRule="auto"/>
      </w:pPr>
      <w:r>
        <w:t>Phone</w:t>
      </w:r>
      <w:r w:rsidRPr="00A916BA">
        <w:t>:</w:t>
      </w:r>
      <w:r w:rsidR="008C6A77">
        <w:tab/>
      </w:r>
      <w:r w:rsidR="008C6A77">
        <w:tab/>
      </w:r>
      <w:r w:rsidRPr="00A916BA">
        <w:t xml:space="preserve">1800 634 035 </w:t>
      </w:r>
    </w:p>
    <w:p w14:paraId="308D8E90" w14:textId="77777777" w:rsidR="0090794D" w:rsidRPr="00A916BA" w:rsidRDefault="0090794D" w:rsidP="00592EB3">
      <w:pPr>
        <w:spacing w:before="0" w:after="0" w:line="240" w:lineRule="auto"/>
      </w:pPr>
      <w:r w:rsidRPr="00A916BA">
        <w:t>Mail:</w:t>
      </w:r>
      <w:r w:rsidR="008C6A77">
        <w:tab/>
      </w:r>
      <w:r w:rsidR="008C6A77">
        <w:tab/>
      </w:r>
      <w:r w:rsidRPr="00A916BA">
        <w:t>Complaints</w:t>
      </w:r>
    </w:p>
    <w:p w14:paraId="41A2F47E" w14:textId="77777777" w:rsidR="0090794D" w:rsidRPr="00A916BA" w:rsidRDefault="0090794D" w:rsidP="008C6A77">
      <w:pPr>
        <w:spacing w:before="0" w:after="0" w:line="240" w:lineRule="auto"/>
        <w:ind w:left="720" w:firstLine="720"/>
      </w:pPr>
      <w:r w:rsidRPr="00A916BA">
        <w:t>GPO Box 9820</w:t>
      </w:r>
    </w:p>
    <w:p w14:paraId="238A58DF" w14:textId="77777777" w:rsidR="0090794D" w:rsidRPr="00A916BA" w:rsidRDefault="0090794D" w:rsidP="008C6A77">
      <w:pPr>
        <w:spacing w:before="0" w:after="0" w:line="240" w:lineRule="auto"/>
        <w:ind w:left="720" w:firstLine="720"/>
      </w:pPr>
      <w:r w:rsidRPr="00A916BA">
        <w:t>Canberra ACT 2601</w:t>
      </w:r>
    </w:p>
    <w:p w14:paraId="24268F6B" w14:textId="77777777" w:rsidR="001C022C" w:rsidRPr="00A916BA" w:rsidRDefault="001C022C" w:rsidP="001C022C">
      <w:pPr>
        <w:rPr>
          <w:b/>
        </w:rPr>
      </w:pPr>
      <w:r>
        <w:rPr>
          <w:b/>
        </w:rPr>
        <w:t>Complaints to the Ombudsman</w:t>
      </w:r>
    </w:p>
    <w:p w14:paraId="7658D1A9" w14:textId="49A72B05" w:rsidR="00B9726A" w:rsidRDefault="001C022C" w:rsidP="00B9726A">
      <w:pPr>
        <w:rPr>
          <w:color w:val="525252" w:themeColor="accent3" w:themeShade="80"/>
        </w:rPr>
      </w:pPr>
      <w:r>
        <w:t xml:space="preserve">If you do not agree with </w:t>
      </w:r>
      <w:r w:rsidR="00963312">
        <w:t>the way</w:t>
      </w:r>
      <w:r w:rsidRPr="00B9726A">
        <w:t xml:space="preserve"> </w:t>
      </w:r>
      <w:r w:rsidR="00723218">
        <w:t>DSS</w:t>
      </w:r>
      <w:r w:rsidR="00B9726A" w:rsidRPr="00B9726A">
        <w:t xml:space="preserve"> or the Community Grants Hub</w:t>
      </w:r>
      <w:r w:rsidR="008F4C2E" w:rsidRPr="00B9726A">
        <w:t xml:space="preserve"> </w:t>
      </w:r>
      <w:r w:rsidRPr="00B9726A">
        <w:t>has handled your complaint, you may complain to the Commonwealth Ombudsman.</w:t>
      </w:r>
      <w:r w:rsidR="00BA7F40">
        <w:t xml:space="preserve"> </w:t>
      </w:r>
      <w:r w:rsidRPr="00B9726A">
        <w:t xml:space="preserve">The Ombudsman will not usually look into a complaint unless the matter has first been raised directly with the </w:t>
      </w:r>
      <w:r w:rsidR="00723218">
        <w:t>DSS</w:t>
      </w:r>
      <w:r w:rsidR="00B9726A" w:rsidRPr="00B9726A">
        <w:t xml:space="preserve"> or the Community Grants Hub</w:t>
      </w:r>
      <w:r w:rsidR="00B9726A">
        <w:t>.</w:t>
      </w:r>
      <w:r w:rsidR="00B9726A" w:rsidRPr="00B9726A">
        <w:t xml:space="preserve"> </w:t>
      </w:r>
    </w:p>
    <w:p w14:paraId="48703FC6" w14:textId="77777777" w:rsidR="001C022C" w:rsidRDefault="001C022C" w:rsidP="00B9726A">
      <w:r>
        <w:t xml:space="preserve">The Commonwealth Ombudsman can be contacted on: </w:t>
      </w:r>
    </w:p>
    <w:p w14:paraId="154B60AE" w14:textId="77777777" w:rsidR="00302DEE" w:rsidRDefault="001C022C" w:rsidP="001C022C">
      <w:pPr>
        <w:ind w:left="1440"/>
      </w:pPr>
      <w:r>
        <w:t>Phone (Toll free): 1300 362 072</w:t>
      </w:r>
      <w:r>
        <w:br/>
        <w:t xml:space="preserve">Email: </w:t>
      </w:r>
      <w:hyperlink r:id="rId34" w:history="1">
        <w:r>
          <w:rPr>
            <w:rStyle w:val="Hyperlink"/>
          </w:rPr>
          <w:t>ombudsman@ombudsman.gov.au</w:t>
        </w:r>
      </w:hyperlink>
      <w:r>
        <w:t xml:space="preserve"> </w:t>
      </w:r>
      <w:r>
        <w:br/>
        <w:t xml:space="preserve">Website: </w:t>
      </w:r>
      <w:hyperlink r:id="rId35" w:history="1">
        <w:r>
          <w:rPr>
            <w:rStyle w:val="Hyperlink"/>
          </w:rPr>
          <w:t>www.ombudsman.gov.au</w:t>
        </w:r>
      </w:hyperlink>
    </w:p>
    <w:p w14:paraId="07C8AD36" w14:textId="77777777" w:rsidR="00340616" w:rsidRPr="00B72EE8" w:rsidRDefault="00340616" w:rsidP="005058BA">
      <w:pPr>
        <w:pStyle w:val="Heading2Numbered"/>
        <w:ind w:left="567"/>
      </w:pPr>
      <w:bookmarkStart w:id="150" w:name="_Toc530058216"/>
      <w:r w:rsidRPr="00B72EE8">
        <w:t>Conflict of interest</w:t>
      </w:r>
      <w:bookmarkEnd w:id="148"/>
      <w:bookmarkEnd w:id="149"/>
      <w:bookmarkEnd w:id="150"/>
    </w:p>
    <w:p w14:paraId="38A9945C" w14:textId="1F4AB243" w:rsidR="00340616" w:rsidRPr="00B72EE8" w:rsidRDefault="00340616" w:rsidP="00340616">
      <w:r>
        <w:t xml:space="preserve">Any </w:t>
      </w:r>
      <w:r w:rsidRPr="00726710">
        <w:t>conflicts of interest could affect</w:t>
      </w:r>
      <w:r w:rsidR="00C60F74">
        <w:t xml:space="preserve"> the performance of the grant. </w:t>
      </w:r>
      <w:r w:rsidRPr="00726710">
        <w:t xml:space="preserve">There may be a </w:t>
      </w:r>
      <w:hyperlink r:id="rId36" w:history="1">
        <w:r w:rsidRPr="00726710">
          <w:t>conflict of interest</w:t>
        </w:r>
      </w:hyperlink>
      <w:r w:rsidRPr="00726710">
        <w:t>, or</w:t>
      </w:r>
      <w:r w:rsidRPr="00781E9D">
        <w:t xml:space="preserve"> perceived conflict</w:t>
      </w:r>
      <w:r>
        <w:t xml:space="preserve"> of interest,</w:t>
      </w:r>
      <w:r w:rsidRPr="00B72EE8">
        <w:t xml:space="preserve"> </w:t>
      </w:r>
      <w:r w:rsidR="00963312">
        <w:t xml:space="preserve">if </w:t>
      </w:r>
      <w:r w:rsidR="00723218">
        <w:t>DSS</w:t>
      </w:r>
      <w:r w:rsidR="00A11B17" w:rsidRPr="00A11B17">
        <w:t xml:space="preserve"> and the Community Grants Hub</w:t>
      </w:r>
      <w:r w:rsidR="00533BCE">
        <w:rPr>
          <w:b/>
          <w:color w:val="525252" w:themeColor="accent3" w:themeShade="80"/>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5CAD598C" w14:textId="77777777" w:rsidR="00340616" w:rsidRPr="00B72EE8" w:rsidRDefault="00340616" w:rsidP="000769C8">
      <w:pPr>
        <w:pStyle w:val="Bullet1"/>
        <w:ind w:left="851" w:hanging="425"/>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r w:rsidR="00DC047E">
        <w:t>;</w:t>
      </w:r>
    </w:p>
    <w:p w14:paraId="01513EAF" w14:textId="77777777" w:rsidR="00340616" w:rsidRPr="00B72EE8" w:rsidRDefault="00340616" w:rsidP="000769C8">
      <w:pPr>
        <w:pStyle w:val="Bullet1"/>
        <w:ind w:left="851" w:hanging="425"/>
      </w:pPr>
      <w:r w:rsidRPr="00B72EE8">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00DC047E">
        <w:t>;</w:t>
      </w:r>
      <w:r w:rsidRPr="00B72EE8">
        <w:t xml:space="preserve"> or</w:t>
      </w:r>
    </w:p>
    <w:p w14:paraId="24DE657D" w14:textId="77777777" w:rsidR="00340616" w:rsidRPr="00B72EE8" w:rsidRDefault="00340616" w:rsidP="000769C8">
      <w:pPr>
        <w:pStyle w:val="Bullet1"/>
        <w:ind w:left="851" w:hanging="425"/>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02E842CF"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2357A860" w14:textId="4B676F66"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00163DEB">
        <w:t xml:space="preserve"> must inform </w:t>
      </w:r>
      <w:r w:rsidR="00723218">
        <w:t>DSS</w:t>
      </w:r>
      <w:r w:rsidR="00533BCE" w:rsidRPr="00A11B17">
        <w:t xml:space="preserve"> and the Community Grants Hub</w:t>
      </w:r>
      <w:r w:rsidRPr="00A11B17">
        <w:t xml:space="preserve"> in writing immediately. C</w:t>
      </w:r>
      <w:r>
        <w:t>ommittee members and other officials including the decision maker must also declare any conflicts of interest.</w:t>
      </w:r>
    </w:p>
    <w:p w14:paraId="74E32A4D" w14:textId="476EBCA5" w:rsidR="00340616" w:rsidRPr="00B72EE8" w:rsidRDefault="00340616" w:rsidP="00340616">
      <w:r w:rsidRPr="00B72EE8">
        <w:t>The chair of the</w:t>
      </w:r>
      <w:r w:rsidR="000817D4">
        <w:t xml:space="preserve"> Selection Advisory </w:t>
      </w:r>
      <w:r w:rsidR="007645F3">
        <w:t>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525252" w:themeColor="accent3" w:themeShade="80"/>
        </w:rPr>
        <w:t xml:space="preserve"> </w:t>
      </w:r>
      <w:hyperlink r:id="rId37" w:history="1">
        <w:r w:rsidR="00533BCE" w:rsidRPr="00367A67">
          <w:rPr>
            <w:rStyle w:val="Hyperlink"/>
            <w:rFonts w:cstheme="minorBidi"/>
          </w:rPr>
          <w:t>Community Grant Hub</w:t>
        </w:r>
      </w:hyperlink>
      <w:r w:rsidRPr="00367A67">
        <w:rPr>
          <w:color w:val="525252" w:themeColor="accent3" w:themeShade="80"/>
        </w:rPr>
        <w:t xml:space="preserve"> </w:t>
      </w:r>
      <w:r>
        <w:t xml:space="preserve">website. </w:t>
      </w:r>
    </w:p>
    <w:p w14:paraId="49DAC6BE" w14:textId="77777777" w:rsidR="00340616" w:rsidRPr="00440282" w:rsidRDefault="00340616" w:rsidP="005058BA">
      <w:pPr>
        <w:pStyle w:val="Heading2Numbered"/>
        <w:ind w:left="567"/>
      </w:pPr>
      <w:bookmarkStart w:id="151" w:name="_Toc421777634"/>
      <w:bookmarkStart w:id="152" w:name="_Toc467773993"/>
      <w:bookmarkStart w:id="153" w:name="_Toc530058217"/>
      <w:r w:rsidRPr="00B72EE8">
        <w:t>Privacy: confidentiality and protection of personal information</w:t>
      </w:r>
      <w:bookmarkEnd w:id="151"/>
      <w:bookmarkEnd w:id="152"/>
      <w:bookmarkEnd w:id="153"/>
    </w:p>
    <w:p w14:paraId="69074581" w14:textId="29845D50"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w:t>
      </w:r>
      <w:r w:rsidR="006F0374">
        <w:t xml:space="preserve"> </w:t>
      </w:r>
      <w:r w:rsidRPr="000D1F02">
        <w:t xml:space="preserve">This includes letting you know: </w:t>
      </w:r>
    </w:p>
    <w:p w14:paraId="570267F0" w14:textId="77777777" w:rsidR="00340616" w:rsidRPr="00E86A67" w:rsidRDefault="00340616" w:rsidP="000769C8">
      <w:pPr>
        <w:pStyle w:val="Bullet1"/>
        <w:ind w:left="709" w:hanging="425"/>
      </w:pPr>
      <w:r w:rsidRPr="00E86A67">
        <w:t>what personal information we collect</w:t>
      </w:r>
      <w:r w:rsidR="00163DEB">
        <w:t>;</w:t>
      </w:r>
    </w:p>
    <w:p w14:paraId="125A489E" w14:textId="77777777" w:rsidR="00340616" w:rsidRPr="00E86A67" w:rsidRDefault="00340616" w:rsidP="000769C8">
      <w:pPr>
        <w:pStyle w:val="Bullet1"/>
        <w:ind w:left="709" w:hanging="425"/>
      </w:pPr>
      <w:r w:rsidRPr="00E86A67">
        <w:t>why we co</w:t>
      </w:r>
      <w:r>
        <w:t>llect your personal information</w:t>
      </w:r>
      <w:r w:rsidR="00163DEB">
        <w:t>; and</w:t>
      </w:r>
    </w:p>
    <w:p w14:paraId="276D5701" w14:textId="2A2D33DE" w:rsidR="004C217D" w:rsidRDefault="00340616" w:rsidP="000769C8">
      <w:pPr>
        <w:pStyle w:val="Bullet1"/>
        <w:ind w:left="709" w:hanging="425"/>
      </w:pPr>
      <w:r w:rsidRPr="00E86A67">
        <w:t>who we gi</w:t>
      </w:r>
      <w:r>
        <w:t>ve your personal information to</w:t>
      </w:r>
      <w:r w:rsidR="00163DEB">
        <w:t>.</w:t>
      </w:r>
    </w:p>
    <w:p w14:paraId="28AF81CE" w14:textId="5E628F23" w:rsidR="00340616" w:rsidRPr="00E86A67" w:rsidRDefault="00340616" w:rsidP="00340616">
      <w:r w:rsidRPr="00E86A67">
        <w:t xml:space="preserve">You are required, as part of your application, to declare your ability to comply with the </w:t>
      </w:r>
      <w:hyperlink r:id="rId38"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0137767"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35D893C5" w14:textId="54A3BDFD"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50A9AF07"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18AC7DCE" w14:textId="77777777" w:rsidR="00340616" w:rsidRDefault="00340616" w:rsidP="00E52965">
      <w:pPr>
        <w:pStyle w:val="Bullet1"/>
        <w:ind w:left="709" w:hanging="425"/>
      </w:pPr>
      <w:r w:rsidRPr="0033741C">
        <w:t xml:space="preserve">employees and contractors of </w:t>
      </w:r>
      <w:r w:rsidR="00410354">
        <w:t>DSS</w:t>
      </w:r>
      <w:r w:rsidRPr="0033741C">
        <w:t xml:space="preserve">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r w:rsidR="005258F9">
        <w:t>;</w:t>
      </w:r>
    </w:p>
    <w:p w14:paraId="2C630EA5" w14:textId="77777777" w:rsidR="00340616" w:rsidRDefault="00340616" w:rsidP="00E52965">
      <w:pPr>
        <w:pStyle w:val="Bullet1"/>
        <w:ind w:left="709" w:hanging="425"/>
      </w:pPr>
      <w:r>
        <w:t>employees and contractors of other Commonwealth agencies for any purposes, including government administration, research or service delivery</w:t>
      </w:r>
      <w:r w:rsidR="005258F9">
        <w:t>;</w:t>
      </w:r>
    </w:p>
    <w:p w14:paraId="6F359C5E" w14:textId="77777777" w:rsidR="00340616" w:rsidRPr="0033741C" w:rsidRDefault="00340616" w:rsidP="00E52965">
      <w:pPr>
        <w:pStyle w:val="Bullet1"/>
        <w:ind w:left="709" w:hanging="425"/>
      </w:pPr>
      <w:r>
        <w:t>other Commonwealth, State, Territory or local government agencies in program reports and consultations</w:t>
      </w:r>
      <w:r w:rsidR="005258F9">
        <w:t>;</w:t>
      </w:r>
    </w:p>
    <w:p w14:paraId="76BCA679" w14:textId="77777777" w:rsidR="00340616" w:rsidRPr="0033741C" w:rsidRDefault="00340616" w:rsidP="00E52965">
      <w:pPr>
        <w:pStyle w:val="Bullet1"/>
        <w:ind w:left="709" w:hanging="425"/>
      </w:pPr>
      <w:r w:rsidRPr="0033741C">
        <w:t>the Auditor-General, Ombudsman or Privacy Commissioner</w:t>
      </w:r>
      <w:r w:rsidR="005258F9">
        <w:t>;</w:t>
      </w:r>
    </w:p>
    <w:p w14:paraId="3E4B788D" w14:textId="77777777" w:rsidR="00340616" w:rsidRPr="00BA6D16" w:rsidRDefault="00340616" w:rsidP="00E52965">
      <w:pPr>
        <w:pStyle w:val="Bullet1"/>
        <w:ind w:left="709" w:hanging="425"/>
      </w:pPr>
      <w:r w:rsidRPr="00BA6D16">
        <w:t>the responsible Minister or Parliamentary Secretary</w:t>
      </w:r>
      <w:r w:rsidR="005258F9">
        <w:t>; and</w:t>
      </w:r>
    </w:p>
    <w:p w14:paraId="705C9827" w14:textId="77777777" w:rsidR="00340616" w:rsidRPr="0033741C" w:rsidRDefault="00340616" w:rsidP="00E52965">
      <w:pPr>
        <w:pStyle w:val="Bullet1"/>
        <w:ind w:left="709" w:hanging="425"/>
      </w:pPr>
      <w:r w:rsidRPr="0033741C">
        <w:t xml:space="preserve">a House or a Committee of the </w:t>
      </w:r>
      <w:r>
        <w:t xml:space="preserve">Australian </w:t>
      </w:r>
      <w:r w:rsidRPr="0033741C">
        <w:t>Parliament</w:t>
      </w:r>
      <w:r>
        <w:t>.</w:t>
      </w:r>
    </w:p>
    <w:p w14:paraId="2B4615B1"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3ABAF527" w14:textId="77777777" w:rsidR="00340616" w:rsidRPr="00726710" w:rsidRDefault="00340616" w:rsidP="00E52965">
      <w:pPr>
        <w:pStyle w:val="Bullet1"/>
        <w:ind w:left="709" w:hanging="425"/>
        <w:rPr>
          <w:i/>
        </w:rPr>
      </w:pPr>
      <w:r w:rsidRPr="00726710">
        <w:rPr>
          <w:i/>
        </w:rPr>
        <w:t>Public Service Act 1999</w:t>
      </w:r>
      <w:r w:rsidR="00260395">
        <w:rPr>
          <w:i/>
        </w:rPr>
        <w:t>;</w:t>
      </w:r>
    </w:p>
    <w:p w14:paraId="315BA871" w14:textId="77777777" w:rsidR="00340616" w:rsidRPr="00726710" w:rsidRDefault="00340616" w:rsidP="00E52965">
      <w:pPr>
        <w:pStyle w:val="Bullet1"/>
        <w:ind w:left="709" w:hanging="425"/>
        <w:rPr>
          <w:i/>
        </w:rPr>
      </w:pPr>
      <w:r w:rsidRPr="00726710">
        <w:rPr>
          <w:i/>
        </w:rPr>
        <w:t>Public Service Regulations 1999</w:t>
      </w:r>
      <w:r w:rsidR="00260395">
        <w:rPr>
          <w:i/>
        </w:rPr>
        <w:t>;</w:t>
      </w:r>
    </w:p>
    <w:p w14:paraId="2459D7A3" w14:textId="77777777" w:rsidR="00340616" w:rsidRPr="00726710" w:rsidRDefault="00340616" w:rsidP="00E52965">
      <w:pPr>
        <w:pStyle w:val="Bullet1"/>
        <w:ind w:left="709" w:hanging="425"/>
        <w:rPr>
          <w:i/>
        </w:rPr>
      </w:pPr>
      <w:r w:rsidRPr="00726710">
        <w:rPr>
          <w:i/>
        </w:rPr>
        <w:t>Public Governance, Performance and Accountability Act</w:t>
      </w:r>
      <w:r w:rsidR="00260395">
        <w:rPr>
          <w:i/>
        </w:rPr>
        <w:t>;</w:t>
      </w:r>
    </w:p>
    <w:p w14:paraId="25B240DD" w14:textId="77777777" w:rsidR="00340616" w:rsidRPr="00726710" w:rsidRDefault="00260395" w:rsidP="00E52965">
      <w:pPr>
        <w:pStyle w:val="Bullet1"/>
        <w:ind w:left="709" w:hanging="425"/>
        <w:rPr>
          <w:i/>
        </w:rPr>
      </w:pPr>
      <w:r>
        <w:rPr>
          <w:i/>
        </w:rPr>
        <w:t>Privacy Act 1988;</w:t>
      </w:r>
    </w:p>
    <w:p w14:paraId="426F1E0D" w14:textId="77777777" w:rsidR="00340616" w:rsidRPr="00726710" w:rsidRDefault="00340616" w:rsidP="00E52965">
      <w:pPr>
        <w:pStyle w:val="Bullet1"/>
        <w:ind w:left="709" w:hanging="425"/>
        <w:rPr>
          <w:i/>
        </w:rPr>
      </w:pPr>
      <w:r w:rsidRPr="00726710">
        <w:rPr>
          <w:i/>
        </w:rPr>
        <w:t>Crimes Act 1914</w:t>
      </w:r>
      <w:r w:rsidR="00260395">
        <w:rPr>
          <w:i/>
        </w:rPr>
        <w:t xml:space="preserve">; </w:t>
      </w:r>
      <w:r w:rsidR="00260395" w:rsidRPr="00260395">
        <w:t>and</w:t>
      </w:r>
    </w:p>
    <w:p w14:paraId="3BE0A24E" w14:textId="77777777" w:rsidR="00340616" w:rsidRPr="00726710" w:rsidRDefault="00340616" w:rsidP="00E52965">
      <w:pPr>
        <w:pStyle w:val="Bullet1"/>
        <w:ind w:left="709" w:hanging="425"/>
        <w:rPr>
          <w:i/>
        </w:rPr>
      </w:pPr>
      <w:r w:rsidRPr="00726710">
        <w:rPr>
          <w:i/>
        </w:rPr>
        <w:t>Criminal Code Act 1995</w:t>
      </w:r>
      <w:r w:rsidR="00260395">
        <w:rPr>
          <w:i/>
        </w:rPr>
        <w:t>.</w:t>
      </w:r>
    </w:p>
    <w:p w14:paraId="33BF4C0D" w14:textId="732247E2" w:rsidR="00340616" w:rsidRPr="00AB0818" w:rsidRDefault="00C80F2F" w:rsidP="00340616">
      <w:pPr>
        <w:keepNext/>
      </w:pPr>
      <w:r w:rsidRPr="00AB0818">
        <w:t>We</w:t>
      </w:r>
      <w:r>
        <w:t xml:space="preserve"> will</w:t>
      </w:r>
      <w:r w:rsidRPr="00AB0818">
        <w:t xml:space="preserve"> </w:t>
      </w:r>
      <w:r w:rsidR="00340616" w:rsidRPr="00AB0818">
        <w:t>treat the information you give us as sensitive and therefore confidential if it meets all of the four conditions below:</w:t>
      </w:r>
    </w:p>
    <w:p w14:paraId="4CD54DA9" w14:textId="77777777" w:rsidR="00340616" w:rsidRPr="00AB0818" w:rsidRDefault="00340616" w:rsidP="00E52965">
      <w:pPr>
        <w:pStyle w:val="NumberedList1"/>
        <w:numPr>
          <w:ilvl w:val="0"/>
          <w:numId w:val="14"/>
        </w:numPr>
        <w:ind w:left="426" w:hanging="426"/>
      </w:pPr>
      <w:r>
        <w:t>y</w:t>
      </w:r>
      <w:r w:rsidRPr="00AB0818">
        <w:t>ou clearly identify the information as confidential and explain why we should treat it as conf</w:t>
      </w:r>
      <w:r>
        <w:t>idential</w:t>
      </w:r>
      <w:r w:rsidR="00F81A0F">
        <w:t>;</w:t>
      </w:r>
    </w:p>
    <w:p w14:paraId="2E113C6A" w14:textId="77777777" w:rsidR="00340616" w:rsidRPr="00AB0818" w:rsidRDefault="00340616" w:rsidP="00E52965">
      <w:pPr>
        <w:pStyle w:val="NumberedList1"/>
        <w:ind w:left="426" w:hanging="426"/>
      </w:pPr>
      <w:r>
        <w:t>t</w:t>
      </w:r>
      <w:r w:rsidRPr="00AB0818">
        <w:t>he inform</w:t>
      </w:r>
      <w:r>
        <w:t>ation is commercially sensitive</w:t>
      </w:r>
      <w:r w:rsidR="00F81A0F">
        <w:t>;</w:t>
      </w:r>
    </w:p>
    <w:p w14:paraId="66477730" w14:textId="77777777" w:rsidR="00340616" w:rsidRPr="00AB0818" w:rsidRDefault="00340616" w:rsidP="00E52965">
      <w:pPr>
        <w:pStyle w:val="NumberedList1"/>
        <w:ind w:left="426" w:hanging="426"/>
      </w:pPr>
      <w:r>
        <w:t>r</w:t>
      </w:r>
      <w:r w:rsidRPr="00AB0818">
        <w:t>evealing the information would cause unreasona</w:t>
      </w:r>
      <w:r>
        <w:t>ble harm to you or someone else</w:t>
      </w:r>
      <w:r w:rsidR="00F81A0F">
        <w:t>; and</w:t>
      </w:r>
    </w:p>
    <w:p w14:paraId="5EB44D9E" w14:textId="77777777" w:rsidR="00340616" w:rsidRDefault="00340616" w:rsidP="00E52965">
      <w:pPr>
        <w:pStyle w:val="NumberedList1"/>
        <w:ind w:left="426" w:hanging="426"/>
      </w:pPr>
      <w:r>
        <w:t>y</w:t>
      </w:r>
      <w:r w:rsidRPr="00AB0818">
        <w:t>ou provide the information with an understanding that it will stay confidential.</w:t>
      </w:r>
    </w:p>
    <w:p w14:paraId="461296CA" w14:textId="2F16668F" w:rsidR="000769C8" w:rsidRDefault="00340616" w:rsidP="00340616">
      <w:r w:rsidRPr="00E86A67">
        <w:t xml:space="preserve">The </w:t>
      </w:r>
      <w:r w:rsidR="00A078A8">
        <w:t>G</w:t>
      </w:r>
      <w:r>
        <w:t xml:space="preserve">rant </w:t>
      </w:r>
      <w:r w:rsidR="00A078A8">
        <w:t>A</w:t>
      </w:r>
      <w:r w:rsidRPr="00E86A67">
        <w:t xml:space="preserve">greement will include any specific requirements about special categories of information collected, created or held under the </w:t>
      </w:r>
      <w:r w:rsidR="00A078A8">
        <w:t>G</w:t>
      </w:r>
      <w:r>
        <w:t xml:space="preserve">rant </w:t>
      </w:r>
      <w:r w:rsidR="00A078A8">
        <w:t>A</w:t>
      </w:r>
      <w:r w:rsidRPr="00E86A67">
        <w:t xml:space="preserve">greement. </w:t>
      </w:r>
    </w:p>
    <w:p w14:paraId="09695245" w14:textId="1652E3D7" w:rsidR="000769C8" w:rsidRDefault="000769C8">
      <w:pPr>
        <w:suppressAutoHyphens w:val="0"/>
        <w:spacing w:before="0" w:after="120" w:line="440" w:lineRule="atLeast"/>
      </w:pPr>
    </w:p>
    <w:p w14:paraId="522FAEE7" w14:textId="3605CF80" w:rsidR="00340616" w:rsidRPr="00B72EE8" w:rsidRDefault="00340616" w:rsidP="005058BA">
      <w:pPr>
        <w:pStyle w:val="Heading2Numbered"/>
        <w:ind w:left="567"/>
      </w:pPr>
      <w:bookmarkStart w:id="154" w:name="_Toc421777635"/>
      <w:bookmarkStart w:id="155" w:name="_Toc467773994"/>
      <w:bookmarkStart w:id="156" w:name="_Toc530058218"/>
      <w:r w:rsidRPr="00B72EE8">
        <w:t>Freedom of information</w:t>
      </w:r>
      <w:bookmarkEnd w:id="154"/>
      <w:bookmarkEnd w:id="155"/>
      <w:bookmarkEnd w:id="156"/>
    </w:p>
    <w:p w14:paraId="0A55C6DD"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17BAB1D4" w14:textId="1C325A2E"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044C590" w14:textId="77777777" w:rsidR="00340616" w:rsidRPr="00B72EE8" w:rsidRDefault="00340616" w:rsidP="00875460">
      <w:pPr>
        <w:suppressAutoHyphens w:val="0"/>
        <w:spacing w:before="240" w:after="120" w:line="240" w:lineRule="auto"/>
      </w:pPr>
      <w:r w:rsidRPr="00B72EE8">
        <w:t>All F</w:t>
      </w:r>
      <w:r>
        <w:t xml:space="preserve">reedom of Information </w:t>
      </w:r>
      <w:r w:rsidRPr="00B72EE8">
        <w:t>requests must be referred to the Freedom of Inf</w:t>
      </w:r>
      <w:r w:rsidR="00875460">
        <w:t>ormation Coordinator in writing:</w:t>
      </w:r>
    </w:p>
    <w:p w14:paraId="195C2452"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7EEA0CC4" w14:textId="77777777" w:rsidR="00340616" w:rsidRPr="00A9798A" w:rsidRDefault="00723218" w:rsidP="00A9798A">
      <w:pPr>
        <w:tabs>
          <w:tab w:val="left" w:pos="1418"/>
        </w:tabs>
        <w:spacing w:before="0" w:after="0" w:line="240" w:lineRule="auto"/>
        <w:ind w:left="2836" w:hanging="1418"/>
      </w:pPr>
      <w:r>
        <w:t>DSS</w:t>
      </w:r>
    </w:p>
    <w:p w14:paraId="73F8B722" w14:textId="77777777" w:rsidR="00533BCE" w:rsidRPr="00A9798A" w:rsidRDefault="00192E36" w:rsidP="00A9798A">
      <w:pPr>
        <w:tabs>
          <w:tab w:val="left" w:pos="1418"/>
        </w:tabs>
        <w:spacing w:before="0" w:after="0" w:line="240" w:lineRule="auto"/>
        <w:ind w:left="2836" w:hanging="1418"/>
      </w:pPr>
      <w:r>
        <w:t>Government and Executive Services Branch</w:t>
      </w:r>
    </w:p>
    <w:p w14:paraId="27967DFA" w14:textId="77777777" w:rsidR="00533BCE" w:rsidRPr="00A9798A" w:rsidRDefault="00533BCE" w:rsidP="00A9798A">
      <w:pPr>
        <w:tabs>
          <w:tab w:val="left" w:pos="1418"/>
        </w:tabs>
        <w:spacing w:before="0" w:after="0" w:line="240" w:lineRule="auto"/>
        <w:ind w:left="2836" w:hanging="1418"/>
      </w:pPr>
      <w:r w:rsidRPr="00A9798A">
        <w:t>GPO Box 9820</w:t>
      </w:r>
    </w:p>
    <w:p w14:paraId="536BA594" w14:textId="2B048213" w:rsidR="00533BCE" w:rsidRPr="00A9798A" w:rsidRDefault="00533BCE" w:rsidP="00A9798A">
      <w:pPr>
        <w:tabs>
          <w:tab w:val="left" w:pos="1418"/>
        </w:tabs>
        <w:spacing w:before="0" w:after="0" w:line="240" w:lineRule="auto"/>
        <w:ind w:left="2836" w:hanging="1418"/>
      </w:pPr>
      <w:r w:rsidRPr="00A9798A">
        <w:t>C</w:t>
      </w:r>
      <w:r w:rsidR="00104084">
        <w:t>ANBERRA</w:t>
      </w:r>
      <w:r w:rsidR="00C60F74">
        <w:t xml:space="preserve"> ACT </w:t>
      </w:r>
      <w:r w:rsidRPr="00A9798A">
        <w:t>2601</w:t>
      </w:r>
    </w:p>
    <w:p w14:paraId="63BBFCB9" w14:textId="77777777" w:rsidR="00340616" w:rsidRPr="00B72EE8" w:rsidRDefault="00340616" w:rsidP="00340616">
      <w:r w:rsidRPr="00B72EE8">
        <w:t>By email:</w:t>
      </w:r>
      <w:r w:rsidRPr="00B72EE8">
        <w:tab/>
      </w:r>
      <w:hyperlink r:id="rId39" w:history="1">
        <w:r w:rsidR="00533BCE" w:rsidRPr="00367A67">
          <w:rPr>
            <w:rStyle w:val="Hyperlink"/>
            <w:rFonts w:cstheme="minorBidi"/>
          </w:rPr>
          <w:t>foi@dss.gov.au</w:t>
        </w:r>
      </w:hyperlink>
      <w:r w:rsidR="00533BCE" w:rsidRPr="00367A67">
        <w:rPr>
          <w:color w:val="525252" w:themeColor="accent3" w:themeShade="80"/>
        </w:rPr>
        <w:t xml:space="preserve"> </w:t>
      </w:r>
    </w:p>
    <w:p w14:paraId="3DDB3CDE" w14:textId="77777777" w:rsidR="00340616" w:rsidRDefault="00340616" w:rsidP="005058BA">
      <w:pPr>
        <w:pStyle w:val="Heading1Numbered"/>
      </w:pPr>
      <w:bookmarkStart w:id="157" w:name="_Toc421777637"/>
      <w:bookmarkStart w:id="158" w:name="_Toc467773995"/>
      <w:bookmarkStart w:id="159" w:name="_Toc530058219"/>
      <w:r w:rsidRPr="00B72EE8">
        <w:t>Consultation</w:t>
      </w:r>
      <w:bookmarkEnd w:id="157"/>
      <w:bookmarkEnd w:id="158"/>
      <w:bookmarkEnd w:id="159"/>
    </w:p>
    <w:p w14:paraId="1EBAED90" w14:textId="7DCDD6BC" w:rsidR="001A1D71" w:rsidRPr="00C513B8" w:rsidRDefault="008B515B" w:rsidP="004F67E7">
      <w:r>
        <w:t>DSS</w:t>
      </w:r>
      <w:r w:rsidR="00E13061">
        <w:t xml:space="preserve"> has undertaken a large consultation process with the Carer sector </w:t>
      </w:r>
      <w:r w:rsidR="001A1D71">
        <w:t xml:space="preserve">(including carers) </w:t>
      </w:r>
      <w:r w:rsidR="00E13061">
        <w:t>ov</w:t>
      </w:r>
      <w:r w:rsidR="00C60F74">
        <w:t xml:space="preserve">er the period 2016 to present. </w:t>
      </w:r>
      <w:r w:rsidR="00A81565">
        <w:t>Stage T</w:t>
      </w:r>
      <w:r w:rsidR="001A1D71">
        <w:t xml:space="preserve">wo of the Integrated Plan for Carer Support Services </w:t>
      </w:r>
      <w:r w:rsidR="001A1D71" w:rsidRPr="00C513B8">
        <w:t>involved work</w:t>
      </w:r>
      <w:r w:rsidR="001A1D71">
        <w:t>ing</w:t>
      </w:r>
      <w:r w:rsidR="001A1D71" w:rsidRPr="00C513B8">
        <w:t xml:space="preserve"> with the sector, through a process of co-design, to further develop and final</w:t>
      </w:r>
      <w:r w:rsidR="00C60F74">
        <w:t xml:space="preserve">ise the draft Service Concept. </w:t>
      </w:r>
      <w:r w:rsidR="001A1D71" w:rsidRPr="00C513B8">
        <w:t xml:space="preserve">The Service Concept, through a process of public consultation, subsequently informed the development of a draft Service Delivery Model for the new </w:t>
      </w:r>
      <w:r w:rsidR="001A1D71">
        <w:t>ICSS</w:t>
      </w:r>
      <w:r w:rsidR="001A1D71" w:rsidRPr="00C513B8">
        <w:t>. The Service Delivery Model defined:</w:t>
      </w:r>
    </w:p>
    <w:p w14:paraId="043869C9" w14:textId="77777777" w:rsidR="001A1D71" w:rsidRPr="00823597" w:rsidRDefault="001A1D71" w:rsidP="001B2BB6">
      <w:pPr>
        <w:pStyle w:val="ListParagraph"/>
        <w:numPr>
          <w:ilvl w:val="0"/>
          <w:numId w:val="21"/>
        </w:numPr>
        <w:spacing w:before="120" w:after="0"/>
        <w:ind w:left="850" w:hanging="493"/>
        <w:jc w:val="both"/>
        <w:rPr>
          <w:rFonts w:asciiTheme="minorHAnsi" w:eastAsiaTheme="minorHAnsi" w:hAnsiTheme="minorHAnsi" w:cstheme="minorBidi"/>
        </w:rPr>
      </w:pPr>
      <w:r w:rsidRPr="00823597">
        <w:rPr>
          <w:rFonts w:asciiTheme="minorHAnsi" w:eastAsiaTheme="minorHAnsi" w:hAnsiTheme="minorHAnsi" w:cstheme="minorBidi"/>
        </w:rPr>
        <w:t>contact channels – how users (including both carers and service providers) will access/deliver the services e.g. online, face to face, telephone;</w:t>
      </w:r>
    </w:p>
    <w:p w14:paraId="033EE78A" w14:textId="77777777" w:rsidR="001A1D71" w:rsidRPr="00823597" w:rsidRDefault="001A1D71" w:rsidP="001B2BB6">
      <w:pPr>
        <w:pStyle w:val="ListParagraph"/>
        <w:numPr>
          <w:ilvl w:val="0"/>
          <w:numId w:val="21"/>
        </w:numPr>
        <w:spacing w:before="120" w:after="0"/>
        <w:ind w:left="850" w:hanging="493"/>
        <w:jc w:val="both"/>
        <w:rPr>
          <w:rFonts w:asciiTheme="minorHAnsi" w:eastAsiaTheme="minorHAnsi" w:hAnsiTheme="minorHAnsi" w:cstheme="minorBidi"/>
        </w:rPr>
      </w:pPr>
      <w:r w:rsidRPr="00823597">
        <w:rPr>
          <w:rFonts w:asciiTheme="minorHAnsi" w:eastAsiaTheme="minorHAnsi" w:hAnsiTheme="minorHAnsi" w:cstheme="minorBidi"/>
        </w:rPr>
        <w:t>workforce</w:t>
      </w:r>
      <w:r w:rsidR="005F2EE5">
        <w:rPr>
          <w:rFonts w:asciiTheme="minorHAnsi" w:eastAsiaTheme="minorHAnsi" w:hAnsiTheme="minorHAnsi" w:cstheme="minorBidi"/>
        </w:rPr>
        <w:t xml:space="preserve"> – </w:t>
      </w:r>
      <w:r w:rsidRPr="00823597">
        <w:rPr>
          <w:rFonts w:asciiTheme="minorHAnsi" w:eastAsiaTheme="minorHAnsi" w:hAnsiTheme="minorHAnsi" w:cstheme="minorBidi"/>
        </w:rPr>
        <w:t>the people (and organisations) needed to provide the services to carers;</w:t>
      </w:r>
    </w:p>
    <w:p w14:paraId="1F45505B" w14:textId="77777777" w:rsidR="001A1D71" w:rsidRPr="00823597" w:rsidRDefault="001A1D71" w:rsidP="001B2BB6">
      <w:pPr>
        <w:pStyle w:val="ListParagraph"/>
        <w:numPr>
          <w:ilvl w:val="0"/>
          <w:numId w:val="21"/>
        </w:numPr>
        <w:spacing w:before="120" w:after="0"/>
        <w:ind w:left="850" w:hanging="493"/>
        <w:jc w:val="both"/>
        <w:rPr>
          <w:rFonts w:asciiTheme="minorHAnsi" w:eastAsiaTheme="minorHAnsi" w:hAnsiTheme="minorHAnsi" w:cstheme="minorBidi"/>
        </w:rPr>
      </w:pPr>
      <w:r w:rsidRPr="00823597">
        <w:rPr>
          <w:rFonts w:asciiTheme="minorHAnsi" w:eastAsiaTheme="minorHAnsi" w:hAnsiTheme="minorHAnsi" w:cstheme="minorBidi"/>
        </w:rPr>
        <w:t>operational capabilities – for example the ability to deliver a screening service that identifies carers most in need of support, or the ability to consistently assess a carer’s priority needs; and</w:t>
      </w:r>
    </w:p>
    <w:p w14:paraId="412887E1" w14:textId="77777777" w:rsidR="001A1D71" w:rsidRPr="00823597" w:rsidRDefault="001A1D71" w:rsidP="001B2BB6">
      <w:pPr>
        <w:pStyle w:val="ListParagraph"/>
        <w:numPr>
          <w:ilvl w:val="0"/>
          <w:numId w:val="21"/>
        </w:numPr>
        <w:spacing w:before="120" w:after="0"/>
        <w:ind w:left="850" w:hanging="493"/>
        <w:jc w:val="both"/>
        <w:rPr>
          <w:rFonts w:asciiTheme="minorHAnsi" w:eastAsiaTheme="minorHAnsi" w:hAnsiTheme="minorHAnsi" w:cstheme="minorBidi"/>
        </w:rPr>
      </w:pPr>
      <w:r w:rsidRPr="00823597">
        <w:rPr>
          <w:rFonts w:asciiTheme="minorHAnsi" w:eastAsiaTheme="minorHAnsi" w:hAnsiTheme="minorHAnsi" w:cstheme="minorBidi"/>
        </w:rPr>
        <w:t>IT systems – the websites, service finders and relationship management support systems that will support the service.</w:t>
      </w:r>
    </w:p>
    <w:p w14:paraId="4AF1A4E5" w14:textId="440E0BEF" w:rsidR="001A1D71" w:rsidRDefault="001A1D71" w:rsidP="001A1D71">
      <w:r w:rsidRPr="00C513B8">
        <w:t xml:space="preserve">The </w:t>
      </w:r>
      <w:hyperlink r:id="rId40" w:history="1">
        <w:r w:rsidRPr="00331C43">
          <w:rPr>
            <w:rStyle w:val="Hyperlink"/>
            <w:rFonts w:cstheme="minorBidi"/>
          </w:rPr>
          <w:t>Service Delivery Model</w:t>
        </w:r>
      </w:hyperlink>
      <w:r w:rsidRPr="00C513B8">
        <w:t xml:space="preserve"> </w:t>
      </w:r>
      <w:r w:rsidR="00B92C2D">
        <w:t>in</w:t>
      </w:r>
      <w:r w:rsidRPr="0034091C">
        <w:t xml:space="preserve">formed </w:t>
      </w:r>
      <w:r w:rsidR="00B92C2D">
        <w:t xml:space="preserve">the Government’s </w:t>
      </w:r>
      <w:r w:rsidRPr="0034091C">
        <w:t>decision on funding and implementation of the new ICSS.</w:t>
      </w:r>
      <w:r w:rsidR="00C60F74">
        <w:t xml:space="preserve"> </w:t>
      </w:r>
      <w:r>
        <w:t>The Department utilised two separate working groups (C</w:t>
      </w:r>
      <w:r w:rsidR="00771BEF">
        <w:t xml:space="preserve">arer </w:t>
      </w:r>
      <w:r>
        <w:t>G</w:t>
      </w:r>
      <w:r w:rsidR="00771BEF">
        <w:t xml:space="preserve">ateway </w:t>
      </w:r>
      <w:r>
        <w:t>A</w:t>
      </w:r>
      <w:r w:rsidR="00771BEF">
        <w:t>dvisory Group</w:t>
      </w:r>
      <w:r>
        <w:t xml:space="preserve"> and the S</w:t>
      </w:r>
      <w:r w:rsidR="00771BEF">
        <w:t xml:space="preserve">ubject </w:t>
      </w:r>
      <w:r>
        <w:t>M</w:t>
      </w:r>
      <w:r w:rsidR="00771BEF">
        <w:t xml:space="preserve">atter </w:t>
      </w:r>
      <w:r w:rsidR="009274B0">
        <w:t>Expert group</w:t>
      </w:r>
      <w:r>
        <w:t>), throughout the consultation period.</w:t>
      </w:r>
    </w:p>
    <w:p w14:paraId="334FBD15" w14:textId="1BB1DEBA" w:rsidR="003952A2" w:rsidRDefault="001A1D71" w:rsidP="008F3C72">
      <w:r>
        <w:t>The Department has continued to engage with the sector in the finalisation of t</w:t>
      </w:r>
      <w:r w:rsidR="00C60F74">
        <w:t xml:space="preserve">he service design of the ICSS. </w:t>
      </w:r>
      <w:r>
        <w:t>This has</w:t>
      </w:r>
      <w:r w:rsidR="005F2EE5">
        <w:t xml:space="preserve"> occurred</w:t>
      </w:r>
      <w:r>
        <w:t>, and will continue</w:t>
      </w:r>
      <w:r w:rsidR="005F2EE5">
        <w:t xml:space="preserve"> to occur,</w:t>
      </w:r>
      <w:r>
        <w:t xml:space="preserve"> throughout the implementation phase of the ICSS.</w:t>
      </w:r>
      <w:bookmarkStart w:id="160" w:name="_Toc467773996"/>
      <w:r w:rsidR="003952A2">
        <w:rPr>
          <w:bCs/>
        </w:rPr>
        <w:br w:type="page"/>
      </w:r>
    </w:p>
    <w:p w14:paraId="1515AAF2" w14:textId="5825C73A" w:rsidR="00340616" w:rsidRDefault="00340616" w:rsidP="00861125">
      <w:pPr>
        <w:pStyle w:val="Heading1Numbered"/>
      </w:pPr>
      <w:bookmarkStart w:id="161" w:name="_Toc530058220"/>
      <w:r w:rsidRPr="00B72EE8">
        <w:t>Glossary</w:t>
      </w:r>
      <w:bookmarkEnd w:id="160"/>
      <w:bookmarkEnd w:id="161"/>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12F59CCA" w14:textId="77777777" w:rsidTr="002A2026">
        <w:trPr>
          <w:tblHeader/>
        </w:trPr>
        <w:tc>
          <w:tcPr>
            <w:tcW w:w="2513" w:type="dxa"/>
          </w:tcPr>
          <w:p w14:paraId="7B4BB0FF" w14:textId="77777777" w:rsidR="0003793B" w:rsidRPr="00FF507B" w:rsidRDefault="0003793B" w:rsidP="002A2026">
            <w:pPr>
              <w:tabs>
                <w:tab w:val="left" w:pos="2835"/>
              </w:tabs>
              <w:spacing w:after="120"/>
            </w:pPr>
            <w:r w:rsidRPr="00FF507B">
              <w:rPr>
                <w:b/>
              </w:rPr>
              <w:t>Term</w:t>
            </w:r>
          </w:p>
        </w:tc>
        <w:tc>
          <w:tcPr>
            <w:tcW w:w="6395" w:type="dxa"/>
          </w:tcPr>
          <w:p w14:paraId="21D2117D"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5E6F618A" w14:textId="77777777" w:rsidTr="002A2026">
        <w:tc>
          <w:tcPr>
            <w:tcW w:w="2513" w:type="dxa"/>
          </w:tcPr>
          <w:p w14:paraId="738CA395" w14:textId="77777777" w:rsidR="0003793B" w:rsidRDefault="0003793B" w:rsidP="002A2026">
            <w:pPr>
              <w:tabs>
                <w:tab w:val="left" w:pos="2835"/>
              </w:tabs>
              <w:spacing w:after="120"/>
            </w:pPr>
            <w:r w:rsidRPr="001B21A4">
              <w:t>assessment criteria</w:t>
            </w:r>
          </w:p>
        </w:tc>
        <w:tc>
          <w:tcPr>
            <w:tcW w:w="6395" w:type="dxa"/>
          </w:tcPr>
          <w:p w14:paraId="756C7FCA" w14:textId="6501E643" w:rsidR="0003793B" w:rsidRPr="00463AB3" w:rsidRDefault="0003793B" w:rsidP="002A2026">
            <w:pPr>
              <w:tabs>
                <w:tab w:val="left" w:pos="2835"/>
              </w:tabs>
              <w:spacing w:after="120"/>
            </w:pPr>
            <w:r w:rsidRPr="00710FAB">
              <w:rPr>
                <w:rFonts w:cs="Arial"/>
                <w:lang w:eastAsia="en-AU"/>
              </w:rPr>
              <w:t>The specified principles or standards against whi</w:t>
            </w:r>
            <w:r w:rsidR="00C60F74">
              <w:rPr>
                <w:rFonts w:cs="Arial"/>
                <w:lang w:eastAsia="en-AU"/>
              </w:rPr>
              <w:t>ch applications will be judged.</w:t>
            </w:r>
            <w:r w:rsidR="00CD303F">
              <w:rPr>
                <w:rFonts w:cs="Arial"/>
                <w:lang w:eastAsia="en-AU"/>
              </w:rPr>
              <w:t xml:space="preserve"> </w:t>
            </w:r>
            <w:r w:rsidRPr="00710FAB">
              <w:rPr>
                <w:rFonts w:cs="Arial"/>
                <w:lang w:eastAsia="en-AU"/>
              </w:rPr>
              <w:t xml:space="preserve">These criteria are also used to assess the merits of proposals and, in the case of a competitive granting activity, to determine applicant rankings. </w:t>
            </w:r>
          </w:p>
        </w:tc>
      </w:tr>
      <w:tr w:rsidR="0003793B" w:rsidRPr="00463AB3" w14:paraId="2BF26D5D" w14:textId="77777777" w:rsidTr="002A2026">
        <w:tc>
          <w:tcPr>
            <w:tcW w:w="2513" w:type="dxa"/>
          </w:tcPr>
          <w:p w14:paraId="71FDE065" w14:textId="77777777" w:rsidR="0003793B" w:rsidRPr="00463AB3" w:rsidRDefault="0003793B" w:rsidP="002A2026">
            <w:pPr>
              <w:tabs>
                <w:tab w:val="left" w:pos="2835"/>
              </w:tabs>
              <w:spacing w:after="120"/>
            </w:pPr>
            <w:r>
              <w:t>c</w:t>
            </w:r>
            <w:r w:rsidRPr="00463AB3">
              <w:t>ommencement date</w:t>
            </w:r>
          </w:p>
        </w:tc>
        <w:tc>
          <w:tcPr>
            <w:tcW w:w="6395" w:type="dxa"/>
          </w:tcPr>
          <w:p w14:paraId="339666CC"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5E63D348" w14:textId="77777777" w:rsidTr="002A2026">
        <w:tc>
          <w:tcPr>
            <w:tcW w:w="2513" w:type="dxa"/>
          </w:tcPr>
          <w:p w14:paraId="0E5A46AE" w14:textId="77777777" w:rsidR="0003793B" w:rsidRPr="00463AB3" w:rsidRDefault="0003793B" w:rsidP="002A2026">
            <w:pPr>
              <w:tabs>
                <w:tab w:val="left" w:pos="2835"/>
              </w:tabs>
              <w:spacing w:after="120"/>
            </w:pPr>
            <w:r>
              <w:t>c</w:t>
            </w:r>
            <w:r w:rsidRPr="00463AB3">
              <w:t>ompletion date</w:t>
            </w:r>
          </w:p>
        </w:tc>
        <w:tc>
          <w:tcPr>
            <w:tcW w:w="6395" w:type="dxa"/>
          </w:tcPr>
          <w:p w14:paraId="38563609"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33374707" w14:textId="77777777" w:rsidTr="002A2026">
        <w:tc>
          <w:tcPr>
            <w:tcW w:w="2513" w:type="dxa"/>
          </w:tcPr>
          <w:p w14:paraId="36AD4D18"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317366B0"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02AB0D12" w14:textId="77777777" w:rsidTr="002A2026">
        <w:tc>
          <w:tcPr>
            <w:tcW w:w="2513" w:type="dxa"/>
          </w:tcPr>
          <w:p w14:paraId="706E8F9F" w14:textId="77777777" w:rsidR="0003793B" w:rsidRDefault="0003793B" w:rsidP="002A2026">
            <w:r>
              <w:t>date of effect</w:t>
            </w:r>
          </w:p>
        </w:tc>
        <w:tc>
          <w:tcPr>
            <w:tcW w:w="6395" w:type="dxa"/>
          </w:tcPr>
          <w:p w14:paraId="5C88AEE9" w14:textId="440B4E61" w:rsidR="0003793B" w:rsidRPr="00710FAB" w:rsidRDefault="0003793B" w:rsidP="00A078A8">
            <w:pPr>
              <w:rPr>
                <w:rFonts w:cs="Arial"/>
                <w:lang w:eastAsia="en-AU"/>
              </w:rPr>
            </w:pPr>
            <w:r w:rsidRPr="00710FAB">
              <w:rPr>
                <w:rFonts w:cs="Arial"/>
                <w:lang w:eastAsia="en-AU"/>
              </w:rPr>
              <w:t>This will depend on the particular grant.</w:t>
            </w:r>
            <w:r w:rsidR="00CD303F">
              <w:rPr>
                <w:rFonts w:cs="Arial"/>
                <w:lang w:eastAsia="en-AU"/>
              </w:rPr>
              <w:t xml:space="preserve"> </w:t>
            </w:r>
            <w:r w:rsidR="00A078A8">
              <w:rPr>
                <w:rFonts w:cs="Arial"/>
                <w:lang w:eastAsia="en-AU"/>
              </w:rPr>
              <w:t>It can be the date in which a G</w:t>
            </w:r>
            <w:r w:rsidRPr="00710FAB">
              <w:rPr>
                <w:rFonts w:cs="Arial"/>
                <w:lang w:eastAsia="en-AU"/>
              </w:rPr>
              <w:t xml:space="preserve">rant </w:t>
            </w:r>
            <w:r w:rsidR="00A078A8">
              <w:rPr>
                <w:rFonts w:cs="Arial"/>
                <w:lang w:eastAsia="en-AU"/>
              </w:rPr>
              <w:t>A</w:t>
            </w:r>
            <w:r w:rsidRPr="00710FAB">
              <w:rPr>
                <w:rFonts w:cs="Arial"/>
                <w:lang w:eastAsia="en-AU"/>
              </w:rPr>
              <w:t>greement is signed or a specified st</w:t>
            </w:r>
            <w:r w:rsidR="00A078A8">
              <w:rPr>
                <w:rFonts w:cs="Arial"/>
                <w:lang w:eastAsia="en-AU"/>
              </w:rPr>
              <w:t>arting date. Where there is no G</w:t>
            </w:r>
            <w:r w:rsidRPr="00710FAB">
              <w:rPr>
                <w:rFonts w:cs="Arial"/>
                <w:lang w:eastAsia="en-AU"/>
              </w:rPr>
              <w:t xml:space="preserve">rant </w:t>
            </w:r>
            <w:r w:rsidR="00A078A8">
              <w:rPr>
                <w:rFonts w:cs="Arial"/>
                <w:lang w:eastAsia="en-AU"/>
              </w:rPr>
              <w:t>A</w:t>
            </w:r>
            <w:r w:rsidRPr="00710FAB">
              <w:rPr>
                <w:rFonts w:cs="Arial"/>
                <w:lang w:eastAsia="en-AU"/>
              </w:rPr>
              <w:t>greement, entities must publish information on individual grants as soon as practicable.</w:t>
            </w:r>
            <w:r>
              <w:rPr>
                <w:rFonts w:cs="Arial"/>
                <w:lang w:eastAsia="en-AU"/>
              </w:rPr>
              <w:t xml:space="preserve"> </w:t>
            </w:r>
          </w:p>
        </w:tc>
      </w:tr>
      <w:tr w:rsidR="0003793B" w:rsidRPr="001B21A4" w14:paraId="6D56C94F" w14:textId="77777777" w:rsidTr="002A2026">
        <w:tc>
          <w:tcPr>
            <w:tcW w:w="2513" w:type="dxa"/>
          </w:tcPr>
          <w:p w14:paraId="772118A5" w14:textId="77777777" w:rsidR="0003793B" w:rsidRPr="001B21A4" w:rsidRDefault="0003793B" w:rsidP="002A2026">
            <w:r w:rsidRPr="001B21A4">
              <w:t>decision maker</w:t>
            </w:r>
          </w:p>
        </w:tc>
        <w:tc>
          <w:tcPr>
            <w:tcW w:w="6395" w:type="dxa"/>
          </w:tcPr>
          <w:p w14:paraId="4BBB591F" w14:textId="77777777" w:rsidR="0003793B" w:rsidRPr="00710FAB" w:rsidRDefault="0003793B" w:rsidP="002A2026">
            <w:r w:rsidRPr="00710FAB">
              <w:rPr>
                <w:rFonts w:cs="Arial"/>
                <w:lang w:eastAsia="en-AU"/>
              </w:rPr>
              <w:t>The person who makes a decision to award a grant.</w:t>
            </w:r>
          </w:p>
        </w:tc>
      </w:tr>
      <w:tr w:rsidR="0003793B" w:rsidRPr="001B21A4" w14:paraId="20BD573B" w14:textId="77777777" w:rsidTr="002A2026">
        <w:tc>
          <w:tcPr>
            <w:tcW w:w="2513" w:type="dxa"/>
          </w:tcPr>
          <w:p w14:paraId="75E19C91" w14:textId="77777777" w:rsidR="0003793B" w:rsidRPr="001B21A4" w:rsidRDefault="0003793B" w:rsidP="002A2026">
            <w:pPr>
              <w:tabs>
                <w:tab w:val="left" w:pos="2835"/>
              </w:tabs>
              <w:spacing w:after="120"/>
            </w:pPr>
            <w:r w:rsidRPr="001B21A4">
              <w:t>eligibility criteria</w:t>
            </w:r>
          </w:p>
        </w:tc>
        <w:tc>
          <w:tcPr>
            <w:tcW w:w="6395" w:type="dxa"/>
          </w:tcPr>
          <w:p w14:paraId="6B406707" w14:textId="6396D002"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03793B" w:rsidRPr="00463AB3" w14:paraId="7CC97EF3" w14:textId="77777777" w:rsidTr="002A2026">
        <w:tc>
          <w:tcPr>
            <w:tcW w:w="2513" w:type="dxa"/>
          </w:tcPr>
          <w:p w14:paraId="1AC82443"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0B23F02A"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CC13C38" w14:textId="77777777" w:rsidR="0003793B" w:rsidRDefault="0003793B" w:rsidP="00B64CD9">
            <w:pPr>
              <w:numPr>
                <w:ilvl w:val="0"/>
                <w:numId w:val="17"/>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1C301CB1" w14:textId="77777777" w:rsidR="0003793B" w:rsidRPr="00190651" w:rsidRDefault="0003793B" w:rsidP="00B64CD9">
            <w:pPr>
              <w:numPr>
                <w:ilvl w:val="0"/>
                <w:numId w:val="17"/>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14:paraId="28D3B45C" w14:textId="77777777" w:rsidTr="002A2026">
        <w:tc>
          <w:tcPr>
            <w:tcW w:w="2513" w:type="dxa"/>
          </w:tcPr>
          <w:p w14:paraId="59182983" w14:textId="77777777" w:rsidR="0003793B" w:rsidRPr="0007627E" w:rsidRDefault="0003793B" w:rsidP="002A2026">
            <w:pPr>
              <w:tabs>
                <w:tab w:val="left" w:pos="2835"/>
              </w:tabs>
              <w:spacing w:after="120"/>
            </w:pPr>
            <w:r>
              <w:t xml:space="preserve">grant </w:t>
            </w:r>
            <w:r w:rsidRPr="001B21A4">
              <w:t>activity</w:t>
            </w:r>
          </w:p>
        </w:tc>
        <w:tc>
          <w:tcPr>
            <w:tcW w:w="6395" w:type="dxa"/>
          </w:tcPr>
          <w:p w14:paraId="0EFD5C89" w14:textId="597E8C85"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14:paraId="0B108B51" w14:textId="77777777" w:rsidTr="002A2026">
        <w:tc>
          <w:tcPr>
            <w:tcW w:w="2513" w:type="dxa"/>
          </w:tcPr>
          <w:p w14:paraId="5CBAF6ED" w14:textId="77777777" w:rsidR="0003793B" w:rsidRPr="001B21A4" w:rsidRDefault="0003793B" w:rsidP="002A2026">
            <w:pPr>
              <w:tabs>
                <w:tab w:val="left" w:pos="2835"/>
              </w:tabs>
              <w:spacing w:after="120"/>
            </w:pPr>
            <w:r w:rsidRPr="001B21A4">
              <w:t>grant agreement</w:t>
            </w:r>
          </w:p>
        </w:tc>
        <w:tc>
          <w:tcPr>
            <w:tcW w:w="6395" w:type="dxa"/>
          </w:tcPr>
          <w:p w14:paraId="0B9FC335" w14:textId="30483CEC" w:rsidR="0003793B" w:rsidRPr="00710FAB" w:rsidRDefault="00A078A8" w:rsidP="002A2026">
            <w:pPr>
              <w:tabs>
                <w:tab w:val="left" w:pos="2835"/>
              </w:tabs>
              <w:spacing w:after="120"/>
            </w:pPr>
            <w:r>
              <w:t>Grant A</w:t>
            </w:r>
            <w:r w:rsidR="0003793B" w:rsidRPr="00710FAB">
              <w:t xml:space="preserve">greement means the contract template used by Australian Government entities to </w:t>
            </w:r>
            <w:r w:rsidR="0003793B">
              <w:t>set out the mutual obligations relating to the provision of the grant.</w:t>
            </w:r>
            <w:r w:rsidR="00CD303F">
              <w:t xml:space="preserve"> </w:t>
            </w:r>
            <w:r w:rsidR="0003793B">
              <w:t xml:space="preserve">The Australian Government is standardising and streamlining </w:t>
            </w:r>
            <w:r w:rsidR="0003793B" w:rsidRPr="00710FAB">
              <w:t xml:space="preserve">grant agreements between the Commonwealth and grant recipients to allow grant recipients to engage more easily and efficiently with the Commonwealth. </w:t>
            </w:r>
          </w:p>
        </w:tc>
      </w:tr>
      <w:tr w:rsidR="0003793B" w:rsidRPr="001B21A4" w14:paraId="5B4BE86D" w14:textId="77777777" w:rsidTr="002A2026">
        <w:tc>
          <w:tcPr>
            <w:tcW w:w="2513" w:type="dxa"/>
          </w:tcPr>
          <w:p w14:paraId="14BD6BB5" w14:textId="77777777" w:rsidR="0003793B" w:rsidRPr="001B21A4" w:rsidRDefault="0003793B" w:rsidP="002A2026">
            <w:pPr>
              <w:tabs>
                <w:tab w:val="left" w:pos="2835"/>
              </w:tabs>
              <w:spacing w:after="120"/>
            </w:pPr>
            <w:r>
              <w:t>grant opportunity</w:t>
            </w:r>
          </w:p>
        </w:tc>
        <w:tc>
          <w:tcPr>
            <w:tcW w:w="6395" w:type="dxa"/>
          </w:tcPr>
          <w:p w14:paraId="41D9CAF5"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71FA2DA2" w14:textId="77777777" w:rsidTr="002A2026">
        <w:tc>
          <w:tcPr>
            <w:tcW w:w="2513" w:type="dxa"/>
          </w:tcPr>
          <w:p w14:paraId="0A208C1F" w14:textId="77777777" w:rsidR="0003793B" w:rsidRPr="001B21A4" w:rsidRDefault="0003793B" w:rsidP="002A2026">
            <w:pPr>
              <w:tabs>
                <w:tab w:val="left" w:pos="2835"/>
              </w:tabs>
              <w:spacing w:after="120"/>
            </w:pPr>
            <w:r w:rsidRPr="001B21A4">
              <w:t xml:space="preserve">grant </w:t>
            </w:r>
            <w:r>
              <w:t>program</w:t>
            </w:r>
          </w:p>
        </w:tc>
        <w:tc>
          <w:tcPr>
            <w:tcW w:w="6395" w:type="dxa"/>
          </w:tcPr>
          <w:p w14:paraId="1DAC31AB" w14:textId="77777777"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r w:rsidR="008F3C72">
              <w:rPr>
                <w:rFonts w:cs="Arial"/>
              </w:rPr>
              <w:t>.</w:t>
            </w:r>
          </w:p>
        </w:tc>
      </w:tr>
      <w:tr w:rsidR="0003793B" w:rsidRPr="001B21A4" w14:paraId="4180E9DF" w14:textId="77777777" w:rsidTr="002A2026">
        <w:tc>
          <w:tcPr>
            <w:tcW w:w="2513" w:type="dxa"/>
          </w:tcPr>
          <w:p w14:paraId="25B588C1" w14:textId="77777777" w:rsidR="0003793B" w:rsidRPr="001B21A4" w:rsidRDefault="0003793B" w:rsidP="002A2026">
            <w:pPr>
              <w:tabs>
                <w:tab w:val="left" w:pos="2835"/>
              </w:tabs>
              <w:spacing w:after="120"/>
            </w:pPr>
            <w:r>
              <w:t>grantee</w:t>
            </w:r>
          </w:p>
        </w:tc>
        <w:tc>
          <w:tcPr>
            <w:tcW w:w="6395" w:type="dxa"/>
          </w:tcPr>
          <w:p w14:paraId="404C12FA" w14:textId="77777777" w:rsidR="0003793B" w:rsidRPr="00710FAB" w:rsidRDefault="0003793B" w:rsidP="002A2026">
            <w:pPr>
              <w:tabs>
                <w:tab w:val="left" w:pos="2835"/>
              </w:tabs>
              <w:spacing w:after="120"/>
            </w:pPr>
            <w:r w:rsidRPr="00710FAB">
              <w:t xml:space="preserve">An individual/organisation that has been awarded a grant. </w:t>
            </w:r>
          </w:p>
        </w:tc>
      </w:tr>
      <w:tr w:rsidR="001A1D71" w:rsidRPr="001B21A4" w14:paraId="0B542211" w14:textId="77777777" w:rsidTr="002A2026">
        <w:tc>
          <w:tcPr>
            <w:tcW w:w="2513" w:type="dxa"/>
          </w:tcPr>
          <w:p w14:paraId="0998DCD1" w14:textId="77777777" w:rsidR="001A1D71" w:rsidRDefault="001A1D71" w:rsidP="002A2026">
            <w:pPr>
              <w:tabs>
                <w:tab w:val="left" w:pos="2835"/>
              </w:tabs>
              <w:spacing w:after="120"/>
            </w:pPr>
            <w:r>
              <w:t>Integrated Carer Support Service (ICSS)</w:t>
            </w:r>
          </w:p>
        </w:tc>
        <w:tc>
          <w:tcPr>
            <w:tcW w:w="6395" w:type="dxa"/>
          </w:tcPr>
          <w:p w14:paraId="485BF85F" w14:textId="77777777" w:rsidR="001A1D71" w:rsidRPr="00710FAB" w:rsidRDefault="001A1D71" w:rsidP="008F3C72">
            <w:pPr>
              <w:tabs>
                <w:tab w:val="left" w:pos="2835"/>
              </w:tabs>
              <w:spacing w:after="120"/>
            </w:pPr>
            <w:r>
              <w:t>Program of work approved by the Government to replace the current DSS carer funded programs</w:t>
            </w:r>
            <w:r w:rsidR="008F3C72">
              <w:t>.</w:t>
            </w:r>
          </w:p>
        </w:tc>
      </w:tr>
      <w:tr w:rsidR="001A1D71" w:rsidRPr="00463AB3" w14:paraId="202B95B5" w14:textId="77777777" w:rsidTr="002A2026">
        <w:tc>
          <w:tcPr>
            <w:tcW w:w="2513" w:type="dxa"/>
          </w:tcPr>
          <w:p w14:paraId="67EA63A8" w14:textId="183E9C8A" w:rsidR="001A1D71" w:rsidRPr="00463AB3" w:rsidRDefault="001A1D71" w:rsidP="000C2CF7">
            <w:pPr>
              <w:tabs>
                <w:tab w:val="left" w:pos="2835"/>
              </w:tabs>
              <w:spacing w:after="120"/>
            </w:pPr>
            <w:r>
              <w:t xml:space="preserve">Regional delivery </w:t>
            </w:r>
            <w:r w:rsidR="000C2CF7">
              <w:t>partner</w:t>
            </w:r>
          </w:p>
        </w:tc>
        <w:tc>
          <w:tcPr>
            <w:tcW w:w="6395" w:type="dxa"/>
          </w:tcPr>
          <w:p w14:paraId="25FE19AC" w14:textId="77777777" w:rsidR="001A1D71" w:rsidRPr="00463AB3" w:rsidRDefault="001A1D71" w:rsidP="00451819">
            <w:pPr>
              <w:tabs>
                <w:tab w:val="left" w:pos="2835"/>
              </w:tabs>
              <w:spacing w:after="120"/>
              <w:rPr>
                <w:rFonts w:cs="Arial"/>
              </w:rPr>
            </w:pPr>
            <w:r>
              <w:rPr>
                <w:rFonts w:cs="Arial"/>
              </w:rPr>
              <w:t>The organisations responsible for the coordination and delivery of services to carers under the ICSS</w:t>
            </w:r>
            <w:r w:rsidR="00CD303F">
              <w:rPr>
                <w:rFonts w:cs="Arial"/>
              </w:rPr>
              <w:t>.</w:t>
            </w:r>
            <w:r>
              <w:rPr>
                <w:rFonts w:cs="Arial"/>
              </w:rPr>
              <w:t xml:space="preserve"> </w:t>
            </w:r>
          </w:p>
        </w:tc>
      </w:tr>
      <w:tr w:rsidR="0003793B" w:rsidRPr="001B21A4" w14:paraId="044D68A8" w14:textId="77777777" w:rsidTr="002A2026">
        <w:tc>
          <w:tcPr>
            <w:tcW w:w="2513" w:type="dxa"/>
          </w:tcPr>
          <w:p w14:paraId="431AF966" w14:textId="77777777" w:rsidR="0003793B" w:rsidRPr="001B21A4" w:rsidRDefault="0003793B" w:rsidP="002A2026">
            <w:pPr>
              <w:tabs>
                <w:tab w:val="left" w:pos="2835"/>
              </w:tabs>
              <w:spacing w:after="120"/>
            </w:pPr>
            <w:r w:rsidRPr="001B21A4">
              <w:t>selection criteria</w:t>
            </w:r>
          </w:p>
        </w:tc>
        <w:tc>
          <w:tcPr>
            <w:tcW w:w="6395" w:type="dxa"/>
          </w:tcPr>
          <w:p w14:paraId="7CDEA42E"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23E23FF4" w14:textId="77777777" w:rsidTr="002A2026">
        <w:tc>
          <w:tcPr>
            <w:tcW w:w="2513" w:type="dxa"/>
          </w:tcPr>
          <w:p w14:paraId="28B4B6E5" w14:textId="77777777" w:rsidR="0003793B" w:rsidRPr="001B21A4" w:rsidRDefault="0003793B" w:rsidP="002A2026">
            <w:pPr>
              <w:tabs>
                <w:tab w:val="left" w:pos="2835"/>
              </w:tabs>
              <w:spacing w:after="120"/>
            </w:pPr>
            <w:r w:rsidRPr="001B21A4">
              <w:t>selection process</w:t>
            </w:r>
          </w:p>
        </w:tc>
        <w:tc>
          <w:tcPr>
            <w:tcW w:w="6395" w:type="dxa"/>
          </w:tcPr>
          <w:p w14:paraId="37D93C12" w14:textId="4807CC23" w:rsidR="0003793B" w:rsidRPr="00710FAB" w:rsidRDefault="0003793B" w:rsidP="002A2026">
            <w:pPr>
              <w:tabs>
                <w:tab w:val="left" w:pos="2835"/>
              </w:tabs>
              <w:spacing w:after="120"/>
            </w:pPr>
            <w:r w:rsidRPr="00710FAB">
              <w:t>The method used to select potential grantees.</w:t>
            </w:r>
            <w:r w:rsidR="00C32C79">
              <w:t xml:space="preserve"> </w:t>
            </w:r>
            <w:r w:rsidRPr="00710FAB">
              <w:t>This process may involve comparative assessment of applications or the assessment of applications against the eligibility criteria and/or the assessment criteria.</w:t>
            </w:r>
          </w:p>
        </w:tc>
      </w:tr>
    </w:tbl>
    <w:p w14:paraId="39BC3D12" w14:textId="77777777" w:rsidR="00340616" w:rsidRPr="004F67E7" w:rsidRDefault="00340616" w:rsidP="00F059BC">
      <w:pPr>
        <w:pStyle w:val="Heading1Numbered"/>
      </w:pPr>
      <w:r>
        <w:br w:type="page"/>
      </w:r>
      <w:bookmarkStart w:id="162" w:name="_Toc467773997"/>
      <w:bookmarkStart w:id="163" w:name="_Toc530058221"/>
      <w:r w:rsidRPr="0054078D">
        <w:t xml:space="preserve">Appendix A: </w:t>
      </w:r>
      <w:bookmarkEnd w:id="162"/>
      <w:r w:rsidR="00821A65" w:rsidRPr="004F67E7">
        <w:t>Three Stages of the Integrated Plan for Carer Support Services</w:t>
      </w:r>
      <w:bookmarkEnd w:id="163"/>
      <w:r w:rsidR="00821A65" w:rsidRPr="004F67E7">
        <w:t xml:space="preserve"> </w:t>
      </w:r>
    </w:p>
    <w:p w14:paraId="057FB5AF" w14:textId="77777777" w:rsidR="00821A65" w:rsidRPr="0076020A" w:rsidRDefault="00821A65" w:rsidP="00821A65">
      <w:pPr>
        <w:spacing w:line="240" w:lineRule="auto"/>
        <w:jc w:val="both"/>
        <w:rPr>
          <w:b/>
          <w:i/>
        </w:rPr>
      </w:pPr>
      <w:bookmarkStart w:id="164" w:name="_Toc493750856"/>
      <w:r w:rsidRPr="0076020A">
        <w:rPr>
          <w:b/>
        </w:rPr>
        <w:t>Stage One: Build the Foundation</w:t>
      </w:r>
      <w:r w:rsidRPr="0076020A">
        <w:t xml:space="preserve"> – </w:t>
      </w:r>
      <w:r w:rsidRPr="0076020A">
        <w:rPr>
          <w:i/>
        </w:rPr>
        <w:t>completed January 2016</w:t>
      </w:r>
    </w:p>
    <w:p w14:paraId="0F699B65" w14:textId="77777777" w:rsidR="00821A65" w:rsidRPr="00A50927" w:rsidRDefault="00821A65" w:rsidP="00821A65">
      <w:r w:rsidRPr="00A50927">
        <w:t xml:space="preserve">In the 2015-16 Budget, the Government committed $33.7 million over four years for the establishment of the national carer gateway (Carer Gateway). </w:t>
      </w:r>
    </w:p>
    <w:p w14:paraId="617B3A98" w14:textId="4B20D1E8" w:rsidR="00821A65" w:rsidRPr="0076020A" w:rsidRDefault="00821A65" w:rsidP="00821A65">
      <w:r w:rsidRPr="0076020A">
        <w:t>Carer Gateway</w:t>
      </w:r>
      <w:r>
        <w:t>, launched in 2015,</w:t>
      </w:r>
      <w:r w:rsidRPr="0076020A">
        <w:t xml:space="preserve"> provides a recognisable source of clear, consistent and reliable information that helps carers navigate the system of support and services available.</w:t>
      </w:r>
      <w:r w:rsidR="00E72FD5">
        <w:t xml:space="preserve"> </w:t>
      </w:r>
      <w:r w:rsidRPr="0076020A">
        <w:t>Carer-specific information is delivered through an online platform (including website and service finder) and a national contact centre.</w:t>
      </w:r>
      <w:r w:rsidR="00E72FD5">
        <w:t xml:space="preserve"> </w:t>
      </w:r>
    </w:p>
    <w:p w14:paraId="4F83CF4E" w14:textId="3D2FA5F4" w:rsidR="00821A65" w:rsidRDefault="00821A65" w:rsidP="00821A65">
      <w:r w:rsidRPr="00EC6F58">
        <w:t xml:space="preserve">Carer Gateway provides the foundation infrastructure for the future </w:t>
      </w:r>
      <w:r>
        <w:t>Integrated Carer Support Service (ICSS)</w:t>
      </w:r>
      <w:r w:rsidR="00C60F74">
        <w:t xml:space="preserve">. </w:t>
      </w:r>
      <w:r w:rsidRPr="00EC6F58">
        <w:t xml:space="preserve">In parallel a preliminary design (called the Service Concept) for the future </w:t>
      </w:r>
      <w:r>
        <w:t>ICSS</w:t>
      </w:r>
      <w:r w:rsidRPr="00EC6F58">
        <w:t xml:space="preserve"> </w:t>
      </w:r>
      <w:r>
        <w:t>was</w:t>
      </w:r>
      <w:r w:rsidR="00C60F74">
        <w:t xml:space="preserve"> developed. </w:t>
      </w:r>
      <w:r w:rsidRPr="00EC6F58">
        <w:t xml:space="preserve">The </w:t>
      </w:r>
      <w:hyperlink r:id="rId41" w:history="1">
        <w:r w:rsidRPr="00821A65">
          <w:rPr>
            <w:rStyle w:val="Hyperlink"/>
            <w:rFonts w:cstheme="minorBidi"/>
          </w:rPr>
          <w:t>draft Service Concept</w:t>
        </w:r>
      </w:hyperlink>
      <w:r w:rsidRPr="00EC6F58">
        <w:t xml:space="preserve"> </w:t>
      </w:r>
      <w:r>
        <w:t>specified</w:t>
      </w:r>
      <w:r w:rsidRPr="00EC6F58">
        <w:t xml:space="preserve"> the outcomes to be achieved for carers and the services and supports best placed to deliver against these outcomes.</w:t>
      </w:r>
    </w:p>
    <w:p w14:paraId="0EB4C75E" w14:textId="5189A2BF" w:rsidR="00821A65" w:rsidRDefault="00821A65" w:rsidP="00821A65">
      <w:r w:rsidRPr="00EC6F58">
        <w:t>The draft Service Concept was developed through empirical research, current state analysis and engagement with the sector (through the Carer Gateway Advisory Group and a working gro</w:t>
      </w:r>
      <w:r w:rsidR="00C60F74">
        <w:t xml:space="preserve">up of subject matter experts). </w:t>
      </w:r>
      <w:r w:rsidRPr="00EC6F58">
        <w:t>The draft Service Concept provided a high-level framework for the more detailed co-design activities to be undertaken in Stage Two</w:t>
      </w:r>
      <w:r>
        <w:t xml:space="preserve"> of the Plan</w:t>
      </w:r>
      <w:r w:rsidRPr="00EC6F58">
        <w:t>.</w:t>
      </w:r>
    </w:p>
    <w:p w14:paraId="4851276E" w14:textId="77777777" w:rsidR="00821A65" w:rsidRPr="00C513B8" w:rsidRDefault="00821A65" w:rsidP="00821A65">
      <w:pPr>
        <w:spacing w:line="240" w:lineRule="auto"/>
        <w:jc w:val="both"/>
        <w:rPr>
          <w:b/>
          <w:i/>
        </w:rPr>
      </w:pPr>
      <w:r w:rsidRPr="00EC6F58">
        <w:rPr>
          <w:b/>
        </w:rPr>
        <w:t xml:space="preserve">Stage Two: Put forward options for the design </w:t>
      </w:r>
      <w:r>
        <w:rPr>
          <w:b/>
        </w:rPr>
        <w:t xml:space="preserve">of </w:t>
      </w:r>
      <w:r w:rsidRPr="00EC6F58">
        <w:rPr>
          <w:b/>
        </w:rPr>
        <w:t xml:space="preserve">the </w:t>
      </w:r>
      <w:r>
        <w:rPr>
          <w:b/>
        </w:rPr>
        <w:t>ICSS</w:t>
      </w:r>
      <w:r w:rsidRPr="00EC6F58">
        <w:rPr>
          <w:b/>
        </w:rPr>
        <w:t xml:space="preserve"> </w:t>
      </w:r>
      <w:r w:rsidRPr="00EC6F58">
        <w:t xml:space="preserve">– </w:t>
      </w:r>
      <w:r>
        <w:rPr>
          <w:i/>
        </w:rPr>
        <w:t>completed</w:t>
      </w:r>
      <w:r w:rsidRPr="00EC6F58">
        <w:rPr>
          <w:i/>
        </w:rPr>
        <w:t xml:space="preserve"> F</w:t>
      </w:r>
      <w:r w:rsidRPr="00C513B8">
        <w:rPr>
          <w:i/>
        </w:rPr>
        <w:t>ebruary 2017</w:t>
      </w:r>
    </w:p>
    <w:p w14:paraId="6C628F55" w14:textId="0765EF65" w:rsidR="00821A65" w:rsidRPr="00C513B8" w:rsidRDefault="00821A65" w:rsidP="00821A65">
      <w:pPr>
        <w:spacing w:after="0" w:line="240" w:lineRule="auto"/>
        <w:jc w:val="both"/>
      </w:pPr>
      <w:r w:rsidRPr="00C513B8">
        <w:t>The focus for Stage Two involved work</w:t>
      </w:r>
      <w:r>
        <w:t>ing</w:t>
      </w:r>
      <w:r w:rsidRPr="00C513B8">
        <w:t xml:space="preserve"> with the sector, through a process of co-design, to further develop and final</w:t>
      </w:r>
      <w:r w:rsidR="00C60F74">
        <w:t xml:space="preserve">ise the draft Service Concept. </w:t>
      </w:r>
      <w:r w:rsidRPr="00C513B8">
        <w:t xml:space="preserve">The Service Concept, through a process of public consultation, subsequently informed the development of a draft Service Delivery Model for the new </w:t>
      </w:r>
      <w:r>
        <w:t>ICSS</w:t>
      </w:r>
      <w:r w:rsidRPr="00C513B8">
        <w:t>.</w:t>
      </w:r>
      <w:r w:rsidR="00C32C79">
        <w:t xml:space="preserve"> </w:t>
      </w:r>
      <w:r w:rsidRPr="00C513B8">
        <w:t>The Service Delivery Model defined:</w:t>
      </w:r>
    </w:p>
    <w:p w14:paraId="1C21B10F" w14:textId="77777777" w:rsidR="00821A65" w:rsidRPr="00823597" w:rsidRDefault="00821A65" w:rsidP="00B64CD9">
      <w:pPr>
        <w:pStyle w:val="ListParagraph"/>
        <w:numPr>
          <w:ilvl w:val="0"/>
          <w:numId w:val="21"/>
        </w:numPr>
        <w:spacing w:before="120" w:after="0"/>
        <w:contextualSpacing/>
        <w:jc w:val="both"/>
        <w:rPr>
          <w:rFonts w:asciiTheme="minorHAnsi" w:eastAsiaTheme="minorHAnsi" w:hAnsiTheme="minorHAnsi" w:cstheme="minorBidi"/>
        </w:rPr>
      </w:pPr>
      <w:r w:rsidRPr="00823597">
        <w:rPr>
          <w:rFonts w:asciiTheme="minorHAnsi" w:eastAsiaTheme="minorHAnsi" w:hAnsiTheme="minorHAnsi" w:cstheme="minorBidi"/>
        </w:rPr>
        <w:t>contact channels – how users (including both carers and service providers) will access/deliver the services e.g. online, face to face, telephone;</w:t>
      </w:r>
    </w:p>
    <w:p w14:paraId="5392459E" w14:textId="77777777" w:rsidR="00821A65" w:rsidRPr="00823597" w:rsidRDefault="00821A65" w:rsidP="00B64CD9">
      <w:pPr>
        <w:pStyle w:val="ListParagraph"/>
        <w:numPr>
          <w:ilvl w:val="0"/>
          <w:numId w:val="21"/>
        </w:numPr>
        <w:spacing w:before="120" w:after="0"/>
        <w:contextualSpacing/>
        <w:jc w:val="both"/>
        <w:rPr>
          <w:rFonts w:asciiTheme="minorHAnsi" w:eastAsiaTheme="minorHAnsi" w:hAnsiTheme="minorHAnsi" w:cstheme="minorBidi"/>
        </w:rPr>
      </w:pPr>
      <w:r w:rsidRPr="00823597">
        <w:rPr>
          <w:rFonts w:asciiTheme="minorHAnsi" w:eastAsiaTheme="minorHAnsi" w:hAnsiTheme="minorHAnsi" w:cstheme="minorBidi"/>
        </w:rPr>
        <w:t>workforces</w:t>
      </w:r>
      <w:r w:rsidR="008D33DB">
        <w:rPr>
          <w:rFonts w:asciiTheme="minorHAnsi" w:eastAsiaTheme="minorHAnsi" w:hAnsiTheme="minorHAnsi" w:cstheme="minorBidi"/>
        </w:rPr>
        <w:t xml:space="preserve"> – </w:t>
      </w:r>
      <w:r w:rsidRPr="00823597">
        <w:rPr>
          <w:rFonts w:asciiTheme="minorHAnsi" w:eastAsiaTheme="minorHAnsi" w:hAnsiTheme="minorHAnsi" w:cstheme="minorBidi"/>
        </w:rPr>
        <w:t>the people (and organisations) needed to provide the services to carers;</w:t>
      </w:r>
    </w:p>
    <w:p w14:paraId="2D85AEF1" w14:textId="77777777" w:rsidR="00821A65" w:rsidRPr="00823597" w:rsidRDefault="00821A65" w:rsidP="00B64CD9">
      <w:pPr>
        <w:pStyle w:val="ListParagraph"/>
        <w:numPr>
          <w:ilvl w:val="0"/>
          <w:numId w:val="21"/>
        </w:numPr>
        <w:spacing w:before="120" w:after="0"/>
        <w:contextualSpacing/>
        <w:jc w:val="both"/>
        <w:rPr>
          <w:rFonts w:asciiTheme="minorHAnsi" w:eastAsiaTheme="minorHAnsi" w:hAnsiTheme="minorHAnsi" w:cstheme="minorBidi"/>
        </w:rPr>
      </w:pPr>
      <w:r w:rsidRPr="00823597">
        <w:rPr>
          <w:rFonts w:asciiTheme="minorHAnsi" w:eastAsiaTheme="minorHAnsi" w:hAnsiTheme="minorHAnsi" w:cstheme="minorBidi"/>
        </w:rPr>
        <w:t>operational capabilities – for example the ability to deliver a screening service that identifies carers most in need of support, or the ability to consistently assess a carer’s priority needs; and</w:t>
      </w:r>
    </w:p>
    <w:p w14:paraId="7C9526A5" w14:textId="77777777" w:rsidR="00821A65" w:rsidRPr="00823597" w:rsidRDefault="00821A65" w:rsidP="00B64CD9">
      <w:pPr>
        <w:pStyle w:val="ListParagraph"/>
        <w:numPr>
          <w:ilvl w:val="0"/>
          <w:numId w:val="21"/>
        </w:numPr>
        <w:spacing w:before="120" w:after="120"/>
        <w:contextualSpacing/>
        <w:jc w:val="both"/>
        <w:rPr>
          <w:rFonts w:asciiTheme="minorHAnsi" w:eastAsiaTheme="minorHAnsi" w:hAnsiTheme="minorHAnsi" w:cstheme="minorBidi"/>
        </w:rPr>
      </w:pPr>
      <w:r w:rsidRPr="00823597">
        <w:rPr>
          <w:rFonts w:asciiTheme="minorHAnsi" w:eastAsiaTheme="minorHAnsi" w:hAnsiTheme="minorHAnsi" w:cstheme="minorBidi"/>
        </w:rPr>
        <w:t>IT systems – the websites, service finders and relationship management support systems that will support the service.</w:t>
      </w:r>
    </w:p>
    <w:p w14:paraId="00F872A5" w14:textId="77777777" w:rsidR="00821A65" w:rsidRDefault="00821A65" w:rsidP="00821A65">
      <w:r w:rsidRPr="00C513B8">
        <w:t xml:space="preserve">The </w:t>
      </w:r>
      <w:hyperlink r:id="rId42" w:history="1">
        <w:r w:rsidRPr="00331C43">
          <w:rPr>
            <w:rStyle w:val="Hyperlink"/>
            <w:rFonts w:cstheme="minorBidi"/>
          </w:rPr>
          <w:t>Service Delivery Model</w:t>
        </w:r>
      </w:hyperlink>
      <w:r w:rsidRPr="00C513B8">
        <w:t xml:space="preserve"> </w:t>
      </w:r>
      <w:r w:rsidRPr="0034091C">
        <w:t>formed the basis of a proposal to Government for a decision on funding and implementation of the new ICSS.</w:t>
      </w:r>
    </w:p>
    <w:p w14:paraId="5652CA3B" w14:textId="38782C80" w:rsidR="00821A65" w:rsidRPr="00C513B8" w:rsidRDefault="00821A65" w:rsidP="00821A65">
      <w:pPr>
        <w:spacing w:line="240" w:lineRule="auto"/>
        <w:jc w:val="both"/>
        <w:rPr>
          <w:b/>
        </w:rPr>
      </w:pPr>
      <w:r w:rsidRPr="00C513B8">
        <w:rPr>
          <w:b/>
        </w:rPr>
        <w:t xml:space="preserve">Stage Three: Operationalise the </w:t>
      </w:r>
      <w:r>
        <w:rPr>
          <w:b/>
        </w:rPr>
        <w:t>ICSS</w:t>
      </w:r>
      <w:r w:rsidRPr="00C513B8">
        <w:rPr>
          <w:b/>
        </w:rPr>
        <w:t xml:space="preserve"> </w:t>
      </w:r>
      <w:r w:rsidRPr="00C513B8">
        <w:t xml:space="preserve">– </w:t>
      </w:r>
      <w:r>
        <w:rPr>
          <w:i/>
        </w:rPr>
        <w:t xml:space="preserve">from </w:t>
      </w:r>
      <w:r w:rsidR="00FC1EE8">
        <w:rPr>
          <w:i/>
        </w:rPr>
        <w:t xml:space="preserve">September </w:t>
      </w:r>
      <w:r>
        <w:rPr>
          <w:i/>
        </w:rPr>
        <w:t>2019</w:t>
      </w:r>
    </w:p>
    <w:p w14:paraId="41250C4E" w14:textId="4001D0A3" w:rsidR="00821A65" w:rsidRDefault="00821A65" w:rsidP="00821A65">
      <w:pPr>
        <w:spacing w:after="160" w:line="259" w:lineRule="auto"/>
        <w:rPr>
          <w:szCs w:val="20"/>
          <w:lang w:bidi="en-US"/>
        </w:rPr>
      </w:pPr>
      <w:r>
        <w:t xml:space="preserve">The ICSS will be operationalised through the </w:t>
      </w:r>
      <w:r>
        <w:rPr>
          <w:szCs w:val="20"/>
          <w:lang w:bidi="en-US"/>
        </w:rPr>
        <w:t>s</w:t>
      </w:r>
      <w:r w:rsidRPr="001E784D">
        <w:rPr>
          <w:szCs w:val="20"/>
          <w:lang w:bidi="en-US"/>
        </w:rPr>
        <w:t xml:space="preserve">ourcing and commissioning of services to deliver carer supports from </w:t>
      </w:r>
      <w:r w:rsidR="00771BEF">
        <w:rPr>
          <w:szCs w:val="20"/>
          <w:lang w:bidi="en-US"/>
        </w:rPr>
        <w:t>September</w:t>
      </w:r>
      <w:r>
        <w:rPr>
          <w:szCs w:val="20"/>
          <w:lang w:bidi="en-US"/>
        </w:rPr>
        <w:t xml:space="preserve"> 2019</w:t>
      </w:r>
      <w:r w:rsidRPr="001E784D">
        <w:rPr>
          <w:szCs w:val="20"/>
          <w:lang w:bidi="en-US"/>
        </w:rPr>
        <w:t>, including:</w:t>
      </w:r>
    </w:p>
    <w:p w14:paraId="4555ED98" w14:textId="13B9AAE5" w:rsidR="00821A65" w:rsidRPr="00D968A0" w:rsidRDefault="00234657" w:rsidP="00B64CD9">
      <w:pPr>
        <w:pStyle w:val="ListParagraph"/>
        <w:numPr>
          <w:ilvl w:val="0"/>
          <w:numId w:val="20"/>
        </w:numPr>
        <w:spacing w:after="160" w:line="259" w:lineRule="auto"/>
        <w:rPr>
          <w:rFonts w:asciiTheme="minorHAnsi" w:eastAsiaTheme="minorHAnsi" w:hAnsiTheme="minorHAnsi" w:cstheme="minorBidi"/>
        </w:rPr>
      </w:pPr>
      <w:r>
        <w:rPr>
          <w:rFonts w:asciiTheme="minorHAnsi" w:eastAsiaTheme="minorHAnsi" w:hAnsiTheme="minorHAnsi" w:cstheme="minorBidi"/>
        </w:rPr>
        <w:t>e</w:t>
      </w:r>
      <w:r w:rsidR="00821A65" w:rsidRPr="00D968A0">
        <w:rPr>
          <w:rFonts w:asciiTheme="minorHAnsi" w:eastAsiaTheme="minorHAnsi" w:hAnsiTheme="minorHAnsi" w:cstheme="minorBidi"/>
        </w:rPr>
        <w:t xml:space="preserve">ngagement and establishment of the </w:t>
      </w:r>
      <w:r w:rsidR="009A4A1C">
        <w:rPr>
          <w:rFonts w:asciiTheme="minorHAnsi" w:eastAsiaTheme="minorHAnsi" w:hAnsiTheme="minorHAnsi" w:cstheme="minorBidi"/>
        </w:rPr>
        <w:t xml:space="preserve">Carer Gateway </w:t>
      </w:r>
      <w:r w:rsidR="00940A0A">
        <w:rPr>
          <w:rFonts w:asciiTheme="minorHAnsi" w:eastAsiaTheme="minorHAnsi" w:hAnsiTheme="minorHAnsi" w:cstheme="minorBidi"/>
        </w:rPr>
        <w:t>r</w:t>
      </w:r>
      <w:r w:rsidR="00821A65" w:rsidRPr="00D968A0">
        <w:rPr>
          <w:rFonts w:asciiTheme="minorHAnsi" w:eastAsiaTheme="minorHAnsi" w:hAnsiTheme="minorHAnsi" w:cstheme="minorBidi"/>
        </w:rPr>
        <w:t xml:space="preserve">egional </w:t>
      </w:r>
      <w:r w:rsidR="00940A0A">
        <w:rPr>
          <w:rFonts w:asciiTheme="minorHAnsi" w:eastAsiaTheme="minorHAnsi" w:hAnsiTheme="minorHAnsi" w:cstheme="minorBidi"/>
        </w:rPr>
        <w:t>d</w:t>
      </w:r>
      <w:r w:rsidR="00821A65" w:rsidRPr="00D968A0">
        <w:rPr>
          <w:rFonts w:asciiTheme="minorHAnsi" w:eastAsiaTheme="minorHAnsi" w:hAnsiTheme="minorHAnsi" w:cstheme="minorBidi"/>
        </w:rPr>
        <w:t xml:space="preserve">elivery </w:t>
      </w:r>
      <w:r w:rsidR="00940A0A">
        <w:rPr>
          <w:rFonts w:asciiTheme="minorHAnsi" w:eastAsiaTheme="minorHAnsi" w:hAnsiTheme="minorHAnsi" w:cstheme="minorBidi"/>
        </w:rPr>
        <w:t>p</w:t>
      </w:r>
      <w:r w:rsidR="00821A65" w:rsidRPr="00D968A0">
        <w:rPr>
          <w:rFonts w:asciiTheme="minorHAnsi" w:eastAsiaTheme="minorHAnsi" w:hAnsiTheme="minorHAnsi" w:cstheme="minorBidi"/>
        </w:rPr>
        <w:t xml:space="preserve">artners (this Grant Opportunity) </w:t>
      </w:r>
      <w:r w:rsidR="00385135">
        <w:rPr>
          <w:rFonts w:asciiTheme="minorHAnsi" w:eastAsiaTheme="minorHAnsi" w:hAnsiTheme="minorHAnsi" w:cstheme="minorBidi"/>
        </w:rPr>
        <w:t xml:space="preserve">– </w:t>
      </w:r>
      <w:r w:rsidR="00821A65" w:rsidRPr="00D968A0">
        <w:rPr>
          <w:rFonts w:asciiTheme="minorHAnsi" w:eastAsiaTheme="minorHAnsi" w:hAnsiTheme="minorHAnsi" w:cstheme="minorBidi"/>
        </w:rPr>
        <w:t xml:space="preserve">these are the organisations that will replace the organisations funded under </w:t>
      </w:r>
      <w:r w:rsidR="00DA2063">
        <w:rPr>
          <w:rFonts w:asciiTheme="minorHAnsi" w:eastAsiaTheme="minorHAnsi" w:hAnsiTheme="minorHAnsi" w:cstheme="minorBidi"/>
        </w:rPr>
        <w:t>DSS’</w:t>
      </w:r>
      <w:r w:rsidR="00821A65" w:rsidRPr="00D968A0">
        <w:rPr>
          <w:rFonts w:asciiTheme="minorHAnsi" w:eastAsiaTheme="minorHAnsi" w:hAnsiTheme="minorHAnsi" w:cstheme="minorBidi"/>
        </w:rPr>
        <w:t xml:space="preserve"> current carer </w:t>
      </w:r>
      <w:r w:rsidR="00451819">
        <w:rPr>
          <w:rFonts w:asciiTheme="minorHAnsi" w:eastAsiaTheme="minorHAnsi" w:hAnsiTheme="minorHAnsi" w:cstheme="minorBidi"/>
        </w:rPr>
        <w:t>P</w:t>
      </w:r>
      <w:r w:rsidR="00821A65" w:rsidRPr="00D968A0">
        <w:rPr>
          <w:rFonts w:asciiTheme="minorHAnsi" w:eastAsiaTheme="minorHAnsi" w:hAnsiTheme="minorHAnsi" w:cstheme="minorBidi"/>
        </w:rPr>
        <w:t>rograms;</w:t>
      </w:r>
    </w:p>
    <w:p w14:paraId="0C88B138" w14:textId="77777777" w:rsidR="00821A65" w:rsidRPr="00D968A0" w:rsidRDefault="00234657" w:rsidP="00B64CD9">
      <w:pPr>
        <w:pStyle w:val="ListParagraph"/>
        <w:numPr>
          <w:ilvl w:val="0"/>
          <w:numId w:val="20"/>
        </w:numPr>
        <w:spacing w:after="160" w:line="259" w:lineRule="auto"/>
        <w:rPr>
          <w:rFonts w:asciiTheme="minorHAnsi" w:eastAsiaTheme="minorHAnsi" w:hAnsiTheme="minorHAnsi" w:cstheme="minorBidi"/>
        </w:rPr>
      </w:pPr>
      <w:r>
        <w:rPr>
          <w:rFonts w:asciiTheme="minorHAnsi" w:eastAsiaTheme="minorHAnsi" w:hAnsiTheme="minorHAnsi" w:cstheme="minorBidi"/>
        </w:rPr>
        <w:t>e</w:t>
      </w:r>
      <w:r w:rsidR="00821A65" w:rsidRPr="00D968A0">
        <w:rPr>
          <w:rFonts w:asciiTheme="minorHAnsi" w:eastAsiaTheme="minorHAnsi" w:hAnsiTheme="minorHAnsi" w:cstheme="minorBidi"/>
        </w:rPr>
        <w:t>ngagement and establishment of a national counselling provider to provide carers with access to an online/telephone based counselling service;</w:t>
      </w:r>
    </w:p>
    <w:p w14:paraId="73037261" w14:textId="77777777" w:rsidR="00821A65" w:rsidRPr="00D968A0" w:rsidRDefault="00234657" w:rsidP="00B64CD9">
      <w:pPr>
        <w:pStyle w:val="ListParagraph"/>
        <w:numPr>
          <w:ilvl w:val="0"/>
          <w:numId w:val="20"/>
        </w:numPr>
        <w:spacing w:after="160" w:line="259" w:lineRule="auto"/>
        <w:rPr>
          <w:rFonts w:asciiTheme="minorHAnsi" w:eastAsiaTheme="minorHAnsi" w:hAnsiTheme="minorHAnsi" w:cstheme="minorBidi"/>
        </w:rPr>
      </w:pPr>
      <w:r>
        <w:rPr>
          <w:rFonts w:asciiTheme="minorHAnsi" w:eastAsiaTheme="minorHAnsi" w:hAnsiTheme="minorHAnsi" w:cstheme="minorBidi"/>
        </w:rPr>
        <w:t>e</w:t>
      </w:r>
      <w:r w:rsidR="00821A65" w:rsidRPr="00D968A0">
        <w:rPr>
          <w:rFonts w:asciiTheme="minorHAnsi" w:eastAsiaTheme="minorHAnsi" w:hAnsiTheme="minorHAnsi" w:cstheme="minorBidi"/>
        </w:rPr>
        <w:t>ngagement and establishment of a specialist organisation to develop and operate an online community forum to provide carers with access to 24/7 peer support;</w:t>
      </w:r>
    </w:p>
    <w:p w14:paraId="6647E68D" w14:textId="77777777" w:rsidR="00821A65" w:rsidRPr="00D968A0" w:rsidRDefault="00234657" w:rsidP="00B64CD9">
      <w:pPr>
        <w:pStyle w:val="ListParagraph"/>
        <w:numPr>
          <w:ilvl w:val="0"/>
          <w:numId w:val="20"/>
        </w:numPr>
        <w:spacing w:after="160" w:line="259" w:lineRule="auto"/>
        <w:rPr>
          <w:rFonts w:asciiTheme="minorHAnsi" w:eastAsiaTheme="minorHAnsi" w:hAnsiTheme="minorHAnsi" w:cstheme="minorBidi"/>
        </w:rPr>
      </w:pPr>
      <w:r>
        <w:rPr>
          <w:rFonts w:asciiTheme="minorHAnsi" w:eastAsiaTheme="minorHAnsi" w:hAnsiTheme="minorHAnsi" w:cstheme="minorBidi"/>
        </w:rPr>
        <w:t>e</w:t>
      </w:r>
      <w:r w:rsidR="00821A65" w:rsidRPr="00D968A0">
        <w:rPr>
          <w:rFonts w:asciiTheme="minorHAnsi" w:eastAsiaTheme="minorHAnsi" w:hAnsiTheme="minorHAnsi" w:cstheme="minorBidi"/>
        </w:rPr>
        <w:t xml:space="preserve">ngagement of a specialist organisation to design and pilot a carer coaching service; </w:t>
      </w:r>
    </w:p>
    <w:p w14:paraId="6F649E0A" w14:textId="77777777" w:rsidR="00821A65" w:rsidRPr="00D968A0" w:rsidRDefault="00234657" w:rsidP="00B64CD9">
      <w:pPr>
        <w:pStyle w:val="ListParagraph"/>
        <w:numPr>
          <w:ilvl w:val="0"/>
          <w:numId w:val="20"/>
        </w:numPr>
        <w:spacing w:after="160" w:line="259" w:lineRule="auto"/>
        <w:rPr>
          <w:rFonts w:asciiTheme="minorHAnsi" w:eastAsiaTheme="minorHAnsi" w:hAnsiTheme="minorHAnsi" w:cstheme="minorBidi"/>
        </w:rPr>
      </w:pPr>
      <w:r>
        <w:rPr>
          <w:rFonts w:asciiTheme="minorHAnsi" w:eastAsiaTheme="minorHAnsi" w:hAnsiTheme="minorHAnsi" w:cstheme="minorBidi"/>
        </w:rPr>
        <w:t>e</w:t>
      </w:r>
      <w:r w:rsidR="00821A65" w:rsidRPr="00D968A0">
        <w:rPr>
          <w:rFonts w:asciiTheme="minorHAnsi" w:eastAsiaTheme="minorHAnsi" w:hAnsiTheme="minorHAnsi" w:cstheme="minorBidi"/>
        </w:rPr>
        <w:t>ngagement of a specialist organisation to design and deliver a national communications campaign; and</w:t>
      </w:r>
    </w:p>
    <w:p w14:paraId="020FD847" w14:textId="77777777" w:rsidR="00331C43" w:rsidRPr="000B21B0" w:rsidRDefault="00234657" w:rsidP="00B64CD9">
      <w:pPr>
        <w:pStyle w:val="ListParagraph"/>
        <w:numPr>
          <w:ilvl w:val="0"/>
          <w:numId w:val="20"/>
        </w:numPr>
        <w:spacing w:after="160" w:line="259" w:lineRule="auto"/>
        <w:rPr>
          <w:rFonts w:asciiTheme="minorHAnsi" w:eastAsiaTheme="minorHAnsi" w:hAnsiTheme="minorHAnsi" w:cstheme="minorBidi"/>
        </w:rPr>
      </w:pPr>
      <w:r>
        <w:rPr>
          <w:rFonts w:asciiTheme="minorHAnsi" w:eastAsiaTheme="minorHAnsi" w:hAnsiTheme="minorHAnsi" w:cstheme="minorBidi"/>
        </w:rPr>
        <w:t>e</w:t>
      </w:r>
      <w:r w:rsidR="00821A65" w:rsidRPr="00D968A0">
        <w:rPr>
          <w:rFonts w:asciiTheme="minorHAnsi" w:eastAsiaTheme="minorHAnsi" w:hAnsiTheme="minorHAnsi" w:cstheme="minorBidi"/>
        </w:rPr>
        <w:t xml:space="preserve">ngagement of a specialist organisation to design and administer an outcomes framework (to measure and report on the performance of the organisations engaged under the ICSS, including the </w:t>
      </w:r>
      <w:r w:rsidR="009A4A1C">
        <w:rPr>
          <w:rFonts w:asciiTheme="minorHAnsi" w:eastAsiaTheme="minorHAnsi" w:hAnsiTheme="minorHAnsi" w:cstheme="minorBidi"/>
        </w:rPr>
        <w:t xml:space="preserve">Carer Gateway </w:t>
      </w:r>
      <w:r w:rsidR="00821A65" w:rsidRPr="00D968A0">
        <w:rPr>
          <w:rFonts w:asciiTheme="minorHAnsi" w:eastAsiaTheme="minorHAnsi" w:hAnsiTheme="minorHAnsi" w:cstheme="minorBidi"/>
        </w:rPr>
        <w:t>RDPs).</w:t>
      </w:r>
    </w:p>
    <w:bookmarkEnd w:id="164"/>
    <w:p w14:paraId="4F804FA1" w14:textId="77777777" w:rsidR="003F555A" w:rsidRPr="003F555A" w:rsidRDefault="003F555A" w:rsidP="003F555A"/>
    <w:sectPr w:rsidR="003F555A" w:rsidRPr="003F555A" w:rsidSect="003F555A">
      <w:pgSz w:w="11907" w:h="16839" w:code="9"/>
      <w:pgMar w:top="1170" w:right="1440" w:bottom="1440" w:left="1440" w:header="284" w:footer="28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5FFF" w14:textId="77777777" w:rsidR="00C370EA" w:rsidRDefault="00C370EA" w:rsidP="00EF4574">
      <w:pPr>
        <w:spacing w:before="0" w:after="0" w:line="240" w:lineRule="auto"/>
      </w:pPr>
      <w:r>
        <w:separator/>
      </w:r>
    </w:p>
    <w:p w14:paraId="7A397F04" w14:textId="77777777" w:rsidR="00C370EA" w:rsidRDefault="00C370EA"/>
  </w:endnote>
  <w:endnote w:type="continuationSeparator" w:id="0">
    <w:p w14:paraId="1FD97D97" w14:textId="77777777" w:rsidR="00C370EA" w:rsidRDefault="00C370EA" w:rsidP="00EF4574">
      <w:pPr>
        <w:spacing w:before="0" w:after="0" w:line="240" w:lineRule="auto"/>
      </w:pPr>
      <w:r>
        <w:continuationSeparator/>
      </w:r>
    </w:p>
    <w:p w14:paraId="75B3C57F" w14:textId="77777777" w:rsidR="00C370EA" w:rsidRDefault="00C37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66251"/>
      <w:docPartObj>
        <w:docPartGallery w:val="Page Numbers (Bottom of Page)"/>
        <w:docPartUnique/>
      </w:docPartObj>
    </w:sdtPr>
    <w:sdtEndPr>
      <w:rPr>
        <w:noProof/>
      </w:rPr>
    </w:sdtEndPr>
    <w:sdtContent>
      <w:p w14:paraId="7D8688B3" w14:textId="70E5E80D" w:rsidR="00CD7D0E" w:rsidRDefault="00CD7D0E">
        <w:pPr>
          <w:pStyle w:val="Footer"/>
          <w:jc w:val="right"/>
        </w:pPr>
        <w:r>
          <w:fldChar w:fldCharType="begin"/>
        </w:r>
        <w:r>
          <w:instrText xml:space="preserve"> PAGE   \* MERGEFORMAT </w:instrText>
        </w:r>
        <w:r>
          <w:fldChar w:fldCharType="separate"/>
        </w:r>
        <w:r w:rsidR="00916BB9">
          <w:rPr>
            <w:noProof/>
          </w:rPr>
          <w:t>1</w:t>
        </w:r>
        <w:r>
          <w:rPr>
            <w:noProof/>
          </w:rPr>
          <w:fldChar w:fldCharType="end"/>
        </w:r>
      </w:p>
    </w:sdtContent>
  </w:sdt>
  <w:p w14:paraId="2D373636" w14:textId="77777777" w:rsidR="00CD7D0E" w:rsidRDefault="00CD7D0E"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C712" w14:textId="77777777" w:rsidR="00C370EA" w:rsidRDefault="00C370EA" w:rsidP="0020122A">
      <w:pPr>
        <w:pStyle w:val="FootnoteSeparator"/>
      </w:pPr>
    </w:p>
  </w:footnote>
  <w:footnote w:type="continuationSeparator" w:id="0">
    <w:p w14:paraId="402F8DB5" w14:textId="77777777" w:rsidR="00C370EA" w:rsidRDefault="00C370EA" w:rsidP="00EF4574">
      <w:pPr>
        <w:spacing w:before="0" w:after="0" w:line="240" w:lineRule="auto"/>
      </w:pPr>
      <w:r>
        <w:continuationSeparator/>
      </w:r>
    </w:p>
    <w:p w14:paraId="7B5C2926" w14:textId="77777777" w:rsidR="00C370EA" w:rsidRDefault="00C370EA"/>
  </w:footnote>
  <w:footnote w:id="1">
    <w:p w14:paraId="13539BE6" w14:textId="77777777" w:rsidR="00CD7D0E" w:rsidRPr="00CF3DF7" w:rsidRDefault="00CD7D0E" w:rsidP="00E63FB6">
      <w:pPr>
        <w:spacing w:before="0" w:after="0" w:line="240" w:lineRule="auto"/>
        <w:ind w:left="142" w:hanging="142"/>
        <w:rPr>
          <w:sz w:val="16"/>
          <w:szCs w:val="16"/>
        </w:rPr>
      </w:pPr>
      <w:r w:rsidRPr="00CF3DF7">
        <w:rPr>
          <w:sz w:val="16"/>
          <w:szCs w:val="16"/>
        </w:rPr>
        <w:footnoteRef/>
      </w:r>
      <w:r w:rsidRPr="00CF3DF7">
        <w:rPr>
          <w:sz w:val="16"/>
          <w:szCs w:val="16"/>
        </w:rPr>
        <w:t xml:space="preserve"> Partnership – </w:t>
      </w:r>
      <w:r w:rsidRPr="001807F0">
        <w:rPr>
          <w:sz w:val="16"/>
          <w:szCs w:val="16"/>
        </w:rPr>
        <w:t xml:space="preserve">the individual partners will enter in to the agreement with </w:t>
      </w:r>
      <w:r>
        <w:rPr>
          <w:sz w:val="16"/>
          <w:szCs w:val="16"/>
        </w:rPr>
        <w:t>DSS</w:t>
      </w:r>
      <w:r w:rsidRPr="001807F0">
        <w:rPr>
          <w:sz w:val="16"/>
          <w:szCs w:val="16"/>
        </w:rPr>
        <w:t>. A Partnership Agreement or a list of all individual Partner/s of the Partnership</w:t>
      </w:r>
      <w:r w:rsidRPr="001807F0">
        <w:rPr>
          <w:color w:val="1F497D"/>
          <w:sz w:val="16"/>
          <w:szCs w:val="16"/>
        </w:rPr>
        <w:t xml:space="preserve"> </w:t>
      </w:r>
      <w:r w:rsidRPr="001807F0">
        <w:rPr>
          <w:sz w:val="16"/>
          <w:szCs w:val="16"/>
        </w:rPr>
        <w:t>may be requested</w:t>
      </w:r>
    </w:p>
  </w:footnote>
  <w:footnote w:id="2">
    <w:p w14:paraId="099076AA" w14:textId="4418BDE6" w:rsidR="00CD7D0E" w:rsidRPr="00140D25" w:rsidRDefault="00CD7D0E" w:rsidP="00E63FB6">
      <w:pPr>
        <w:pStyle w:val="FootnoteText"/>
        <w:ind w:left="142" w:hanging="142"/>
        <w:rPr>
          <w:szCs w:val="16"/>
        </w:rPr>
      </w:pPr>
      <w:r w:rsidRPr="00E0135C">
        <w:rPr>
          <w:rStyle w:val="FootnoteReference"/>
          <w:rFonts w:ascii="Arial" w:hAnsi="Arial" w:cs="Arial"/>
          <w:szCs w:val="16"/>
        </w:rPr>
        <w:footnoteRef/>
      </w:r>
      <w:r w:rsidRPr="00E0135C">
        <w:rPr>
          <w:rFonts w:ascii="Arial" w:hAnsi="Arial" w:cs="Arial"/>
          <w:szCs w:val="16"/>
        </w:rPr>
        <w:t xml:space="preserve"> </w:t>
      </w:r>
      <w:r w:rsidRPr="00140D25">
        <w:rPr>
          <w:szCs w:val="16"/>
        </w:rPr>
        <w:t>Trusts are not legal entities in their own right – to be eligible, only the Trustee for the Trust can apply with providing the signed Trust Deed and any subsequent variations with the Application Form (refer Attachments Section</w:t>
      </w:r>
      <w:r>
        <w:rPr>
          <w:szCs w:val="16"/>
        </w:rPr>
        <w:t xml:space="preserve"> 7.4</w:t>
      </w:r>
      <w:r w:rsidRPr="00140D25">
        <w:rPr>
          <w:szCs w:val="16"/>
        </w:rPr>
        <w:t>)</w:t>
      </w:r>
      <w:r>
        <w:rPr>
          <w:szCs w:val="16"/>
        </w:rPr>
        <w:t>. The Trustee must not be an ineligible entity type as outlined in 3.2.</w:t>
      </w:r>
    </w:p>
  </w:footnote>
  <w:footnote w:id="3">
    <w:p w14:paraId="76E6AAEA" w14:textId="41E69D45" w:rsidR="00CD7D0E" w:rsidRDefault="00CD7D0E" w:rsidP="00FF55DD">
      <w:pPr>
        <w:pStyle w:val="FootnoteText"/>
      </w:pPr>
      <w:r>
        <w:rPr>
          <w:rStyle w:val="FootnoteReference"/>
        </w:rPr>
        <w:footnoteRef/>
      </w:r>
      <w:r>
        <w:t xml:space="preserve"> </w:t>
      </w:r>
      <w:r w:rsidRPr="008E7798">
        <w:rPr>
          <w:rFonts w:ascii="Arial" w:hAnsi="Arial" w:cs="Arial"/>
        </w:rPr>
        <w:t xml:space="preserve">The Australian Government recognises that some organisations may seek to form consortia in order to apply for a grant under the Program. </w:t>
      </w:r>
      <w:r>
        <w:rPr>
          <w:rFonts w:ascii="Arial" w:hAnsi="Arial" w:cs="Arial"/>
        </w:rPr>
        <w:t>The lead applicant must have legal entity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17D9" w14:textId="77777777" w:rsidR="00CD7D0E" w:rsidRPr="000A6A8B" w:rsidRDefault="00CD7D0E"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3E687" w14:textId="77777777" w:rsidR="00CD7D0E" w:rsidRDefault="00CD7D0E"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81F"/>
    <w:multiLevelType w:val="hybridMultilevel"/>
    <w:tmpl w:val="D84C70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E365B2"/>
    <w:multiLevelType w:val="hybridMultilevel"/>
    <w:tmpl w:val="54547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E0259A"/>
    <w:multiLevelType w:val="hybridMultilevel"/>
    <w:tmpl w:val="FF76E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8" w15:restartNumberingAfterBreak="0">
    <w:nsid w:val="1EBE26F3"/>
    <w:multiLevelType w:val="hybridMultilevel"/>
    <w:tmpl w:val="2844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2258E9"/>
    <w:multiLevelType w:val="hybridMultilevel"/>
    <w:tmpl w:val="473E84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ADB3C29"/>
    <w:multiLevelType w:val="hybridMultilevel"/>
    <w:tmpl w:val="920A1838"/>
    <w:lvl w:ilvl="0" w:tplc="2C2E4FB6">
      <w:start w:val="1"/>
      <w:numFmt w:val="decimal"/>
      <w:lvlText w:val="%1."/>
      <w:lvlJc w:val="left"/>
      <w:pPr>
        <w:ind w:left="760" w:hanging="360"/>
      </w:pPr>
    </w:lvl>
    <w:lvl w:ilvl="1" w:tplc="0C090019">
      <w:start w:val="1"/>
      <w:numFmt w:val="lowerLetter"/>
      <w:lvlText w:val="%2."/>
      <w:lvlJc w:val="left"/>
      <w:pPr>
        <w:ind w:left="1480" w:hanging="360"/>
      </w:pPr>
    </w:lvl>
    <w:lvl w:ilvl="2" w:tplc="0C09001B">
      <w:start w:val="1"/>
      <w:numFmt w:val="lowerRoman"/>
      <w:lvlText w:val="%3."/>
      <w:lvlJc w:val="right"/>
      <w:pPr>
        <w:ind w:left="2200" w:hanging="180"/>
      </w:pPr>
    </w:lvl>
    <w:lvl w:ilvl="3" w:tplc="0C09000F">
      <w:start w:val="1"/>
      <w:numFmt w:val="decimal"/>
      <w:lvlText w:val="%4."/>
      <w:lvlJc w:val="left"/>
      <w:pPr>
        <w:ind w:left="2920" w:hanging="360"/>
      </w:pPr>
    </w:lvl>
    <w:lvl w:ilvl="4" w:tplc="0C090019">
      <w:start w:val="1"/>
      <w:numFmt w:val="lowerLetter"/>
      <w:lvlText w:val="%5."/>
      <w:lvlJc w:val="left"/>
      <w:pPr>
        <w:ind w:left="3640" w:hanging="360"/>
      </w:pPr>
    </w:lvl>
    <w:lvl w:ilvl="5" w:tplc="0C09001B">
      <w:start w:val="1"/>
      <w:numFmt w:val="lowerRoman"/>
      <w:lvlText w:val="%6."/>
      <w:lvlJc w:val="right"/>
      <w:pPr>
        <w:ind w:left="4360" w:hanging="180"/>
      </w:pPr>
    </w:lvl>
    <w:lvl w:ilvl="6" w:tplc="0C09000F">
      <w:start w:val="1"/>
      <w:numFmt w:val="decimal"/>
      <w:lvlText w:val="%7."/>
      <w:lvlJc w:val="left"/>
      <w:pPr>
        <w:ind w:left="5080" w:hanging="360"/>
      </w:pPr>
    </w:lvl>
    <w:lvl w:ilvl="7" w:tplc="0C090019">
      <w:start w:val="1"/>
      <w:numFmt w:val="lowerLetter"/>
      <w:lvlText w:val="%8."/>
      <w:lvlJc w:val="left"/>
      <w:pPr>
        <w:ind w:left="5800" w:hanging="360"/>
      </w:pPr>
    </w:lvl>
    <w:lvl w:ilvl="8" w:tplc="0C09001B">
      <w:start w:val="1"/>
      <w:numFmt w:val="lowerRoman"/>
      <w:lvlText w:val="%9."/>
      <w:lvlJc w:val="right"/>
      <w:pPr>
        <w:ind w:left="6520" w:hanging="180"/>
      </w:pPr>
    </w:lvl>
  </w:abstractNum>
  <w:abstractNum w:abstractNumId="14" w15:restartNumberingAfterBreak="0">
    <w:nsid w:val="2B9B159F"/>
    <w:multiLevelType w:val="multilevel"/>
    <w:tmpl w:val="DEAC131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FA331A5"/>
    <w:multiLevelType w:val="hybridMultilevel"/>
    <w:tmpl w:val="9BA81C9E"/>
    <w:lvl w:ilvl="0" w:tplc="230A9152">
      <w:start w:val="1"/>
      <w:numFmt w:val="bullet"/>
      <w:lvlText w:val=""/>
      <w:lvlJc w:val="left"/>
      <w:pPr>
        <w:ind w:left="1440" w:hanging="360"/>
      </w:pPr>
      <w:rPr>
        <w:rFonts w:ascii="Symbol" w:hAnsi="Symbol" w:hint="default"/>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15B21EC"/>
    <w:multiLevelType w:val="hybridMultilevel"/>
    <w:tmpl w:val="119A8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757F2D"/>
    <w:multiLevelType w:val="hybridMultilevel"/>
    <w:tmpl w:val="084CC8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AF46949"/>
    <w:multiLevelType w:val="hybridMultilevel"/>
    <w:tmpl w:val="B4689B52"/>
    <w:lvl w:ilvl="0" w:tplc="0C090001">
      <w:start w:val="1"/>
      <w:numFmt w:val="bullet"/>
      <w:lvlText w:val=""/>
      <w:lvlJc w:val="left"/>
      <w:pPr>
        <w:ind w:left="720" w:hanging="360"/>
      </w:pPr>
      <w:rPr>
        <w:rFonts w:ascii="Symbol" w:hAnsi="Symbol" w:hint="default"/>
      </w:rPr>
    </w:lvl>
    <w:lvl w:ilvl="1" w:tplc="0F72D376">
      <w:numFmt w:val="bullet"/>
      <w:lvlText w:val="•"/>
      <w:lvlJc w:val="left"/>
      <w:pPr>
        <w:ind w:left="1500" w:hanging="4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E7350"/>
    <w:multiLevelType w:val="multilevel"/>
    <w:tmpl w:val="D14A82DC"/>
    <w:lvl w:ilvl="0">
      <w:start w:val="1"/>
      <w:numFmt w:val="decimal"/>
      <w:lvlText w:val="%1"/>
      <w:lvlJc w:val="left"/>
      <w:pPr>
        <w:tabs>
          <w:tab w:val="num" w:pos="1021"/>
        </w:tabs>
        <w:ind w:left="1021" w:hanging="1021"/>
      </w:pPr>
      <w:rPr>
        <w:rFonts w:asciiTheme="minorHAnsi" w:hAnsiTheme="minorHAnsi" w:cs="Arial" w:hint="default"/>
        <w:sz w:val="28"/>
        <w:szCs w:val="24"/>
      </w:rPr>
    </w:lvl>
    <w:lvl w:ilvl="1">
      <w:start w:val="1"/>
      <w:numFmt w:val="decimal"/>
      <w:lvlText w:val="%1.%2"/>
      <w:lvlJc w:val="left"/>
      <w:pPr>
        <w:tabs>
          <w:tab w:val="num" w:pos="1021"/>
        </w:tabs>
        <w:ind w:left="1021" w:hanging="1021"/>
      </w:pPr>
      <w:rPr>
        <w:rFonts w:asciiTheme="minorHAnsi" w:eastAsia="Times New Roman" w:hAnsiTheme="minorHAnsi" w:cs="Arial" w:hint="default"/>
        <w:sz w:val="24"/>
        <w:szCs w:val="21"/>
      </w:rPr>
    </w:lvl>
    <w:lvl w:ilvl="2">
      <w:start w:val="1"/>
      <w:numFmt w:val="decimal"/>
      <w:lvlText w:val="%1.%2.%3"/>
      <w:lvlJc w:val="left"/>
      <w:pPr>
        <w:tabs>
          <w:tab w:val="num" w:pos="1021"/>
        </w:tabs>
        <w:ind w:left="1021" w:hanging="1021"/>
      </w:pPr>
      <w:rPr>
        <w:rFonts w:asciiTheme="minorHAnsi" w:hAnsiTheme="minorHAnsi" w:cs="Arial" w:hint="default"/>
        <w:b w:val="0"/>
        <w:bCs w:val="0"/>
        <w:i w:val="0"/>
        <w:sz w:val="22"/>
        <w:szCs w:val="22"/>
      </w:rPr>
    </w:lvl>
    <w:lvl w:ilvl="3">
      <w:start w:val="1"/>
      <w:numFmt w:val="bullet"/>
      <w:lvlText w:val=""/>
      <w:lvlJc w:val="left"/>
      <w:pPr>
        <w:tabs>
          <w:tab w:val="num" w:pos="1701"/>
        </w:tabs>
        <w:ind w:left="1701" w:hanging="680"/>
      </w:pPr>
      <w:rPr>
        <w:rFonts w:ascii="Symbol" w:hAnsi="Symbol" w:hint="default"/>
        <w:b w:val="0"/>
        <w:i w:val="0"/>
        <w:sz w:val="22"/>
        <w:szCs w:val="20"/>
      </w:rPr>
    </w:lvl>
    <w:lvl w:ilvl="4">
      <w:start w:val="1"/>
      <w:numFmt w:val="lowerRoman"/>
      <w:lvlText w:val="%5."/>
      <w:lvlJc w:val="right"/>
      <w:pPr>
        <w:tabs>
          <w:tab w:val="num" w:pos="2552"/>
        </w:tabs>
        <w:ind w:left="2552" w:hanging="567"/>
      </w:pPr>
      <w:rPr>
        <w:rFonts w:hint="default"/>
        <w:b w:val="0"/>
        <w:sz w:val="20"/>
        <w:szCs w:val="2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9D36637"/>
    <w:multiLevelType w:val="hybridMultilevel"/>
    <w:tmpl w:val="1D6C3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D690533"/>
    <w:multiLevelType w:val="hybridMultilevel"/>
    <w:tmpl w:val="7046D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4"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5A1C53"/>
    <w:multiLevelType w:val="hybridMultilevel"/>
    <w:tmpl w:val="09CE8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9E02052"/>
    <w:multiLevelType w:val="hybridMultilevel"/>
    <w:tmpl w:val="1624AB5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45E2EF3"/>
    <w:multiLevelType w:val="hybridMultilevel"/>
    <w:tmpl w:val="B6347D3A"/>
    <w:lvl w:ilvl="0" w:tplc="76ECA14E">
      <w:start w:val="1"/>
      <w:numFmt w:val="decimal"/>
      <w:lvlText w:val="%1."/>
      <w:lvlJc w:val="left"/>
      <w:pPr>
        <w:ind w:left="760" w:hanging="360"/>
      </w:pPr>
    </w:lvl>
    <w:lvl w:ilvl="1" w:tplc="0C090019">
      <w:start w:val="1"/>
      <w:numFmt w:val="lowerLetter"/>
      <w:lvlText w:val="%2."/>
      <w:lvlJc w:val="left"/>
      <w:pPr>
        <w:ind w:left="1480" w:hanging="360"/>
      </w:pPr>
    </w:lvl>
    <w:lvl w:ilvl="2" w:tplc="0C09001B">
      <w:start w:val="1"/>
      <w:numFmt w:val="lowerRoman"/>
      <w:lvlText w:val="%3."/>
      <w:lvlJc w:val="right"/>
      <w:pPr>
        <w:ind w:left="2200" w:hanging="180"/>
      </w:pPr>
    </w:lvl>
    <w:lvl w:ilvl="3" w:tplc="0C09000F">
      <w:start w:val="1"/>
      <w:numFmt w:val="decimal"/>
      <w:lvlText w:val="%4."/>
      <w:lvlJc w:val="left"/>
      <w:pPr>
        <w:ind w:left="2920" w:hanging="360"/>
      </w:pPr>
    </w:lvl>
    <w:lvl w:ilvl="4" w:tplc="0C090019">
      <w:start w:val="1"/>
      <w:numFmt w:val="lowerLetter"/>
      <w:lvlText w:val="%5."/>
      <w:lvlJc w:val="left"/>
      <w:pPr>
        <w:ind w:left="3640" w:hanging="360"/>
      </w:pPr>
    </w:lvl>
    <w:lvl w:ilvl="5" w:tplc="0C09001B">
      <w:start w:val="1"/>
      <w:numFmt w:val="lowerRoman"/>
      <w:lvlText w:val="%6."/>
      <w:lvlJc w:val="right"/>
      <w:pPr>
        <w:ind w:left="4360" w:hanging="180"/>
      </w:pPr>
    </w:lvl>
    <w:lvl w:ilvl="6" w:tplc="0C09000F">
      <w:start w:val="1"/>
      <w:numFmt w:val="decimal"/>
      <w:lvlText w:val="%7."/>
      <w:lvlJc w:val="left"/>
      <w:pPr>
        <w:ind w:left="5080" w:hanging="360"/>
      </w:pPr>
    </w:lvl>
    <w:lvl w:ilvl="7" w:tplc="0C090019">
      <w:start w:val="1"/>
      <w:numFmt w:val="lowerLetter"/>
      <w:lvlText w:val="%8."/>
      <w:lvlJc w:val="left"/>
      <w:pPr>
        <w:ind w:left="5800" w:hanging="360"/>
      </w:pPr>
    </w:lvl>
    <w:lvl w:ilvl="8" w:tplc="0C09001B">
      <w:start w:val="1"/>
      <w:numFmt w:val="lowerRoman"/>
      <w:lvlText w:val="%9."/>
      <w:lvlJc w:val="right"/>
      <w:pPr>
        <w:ind w:left="6520" w:hanging="180"/>
      </w:pPr>
    </w:lvl>
  </w:abstractNum>
  <w:abstractNum w:abstractNumId="3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1" w15:restartNumberingAfterBreak="0">
    <w:nsid w:val="6B2D750A"/>
    <w:multiLevelType w:val="hybridMultilevel"/>
    <w:tmpl w:val="9306E8F2"/>
    <w:lvl w:ilvl="0" w:tplc="0C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FA345D"/>
    <w:multiLevelType w:val="hybridMultilevel"/>
    <w:tmpl w:val="317CDBEA"/>
    <w:lvl w:ilvl="0" w:tplc="230A9152">
      <w:start w:val="1"/>
      <w:numFmt w:val="bullet"/>
      <w:lvlText w:val=""/>
      <w:lvlJc w:val="left"/>
      <w:pPr>
        <w:ind w:left="1004" w:hanging="360"/>
      </w:pPr>
      <w:rPr>
        <w:rFonts w:ascii="Symbol" w:hAnsi="Symbol" w:hint="default"/>
        <w:sz w:val="22"/>
      </w:rPr>
    </w:lvl>
    <w:lvl w:ilvl="1" w:tplc="230A9152">
      <w:start w:val="1"/>
      <w:numFmt w:val="bullet"/>
      <w:lvlText w:val=""/>
      <w:lvlJc w:val="left"/>
      <w:pPr>
        <w:ind w:left="1440" w:hanging="360"/>
      </w:pPr>
      <w:rPr>
        <w:rFonts w:ascii="Symbol" w:hAnsi="Symbol"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4"/>
  </w:num>
  <w:num w:numId="2">
    <w:abstractNumId w:val="1"/>
  </w:num>
  <w:num w:numId="3">
    <w:abstractNumId w:val="14"/>
    <w:lvlOverride w:ilvl="0">
      <w:lvl w:ilvl="0">
        <w:start w:val="1"/>
        <w:numFmt w:val="decimal"/>
        <w:pStyle w:val="Heading1Numbered"/>
        <w:lvlText w:val="%1."/>
        <w:lvlJc w:val="left"/>
        <w:pPr>
          <w:ind w:left="567" w:hanging="56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ind w:left="184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6"/>
  </w:num>
  <w:num w:numId="5">
    <w:abstractNumId w:val="28"/>
  </w:num>
  <w:num w:numId="6">
    <w:abstractNumId w:val="4"/>
  </w:num>
  <w:num w:numId="7">
    <w:abstractNumId w:val="5"/>
  </w:num>
  <w:num w:numId="8">
    <w:abstractNumId w:val="11"/>
  </w:num>
  <w:num w:numId="9">
    <w:abstractNumId w:val="24"/>
  </w:num>
  <w:num w:numId="10">
    <w:abstractNumId w:val="30"/>
  </w:num>
  <w:num w:numId="11">
    <w:abstractNumId w:val="23"/>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2"/>
  </w:num>
  <w:num w:numId="13">
    <w:abstractNumId w:val="2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9"/>
  </w:num>
  <w:num w:numId="20">
    <w:abstractNumId w:val="25"/>
  </w:num>
  <w:num w:numId="21">
    <w:abstractNumId w:val="31"/>
  </w:num>
  <w:num w:numId="22">
    <w:abstractNumId w:val="0"/>
  </w:num>
  <w:num w:numId="23">
    <w:abstractNumId w:val="22"/>
  </w:num>
  <w:num w:numId="24">
    <w:abstractNumId w:val="27"/>
  </w:num>
  <w:num w:numId="25">
    <w:abstractNumId w:val="3"/>
  </w:num>
  <w:num w:numId="26">
    <w:abstractNumId w:val="16"/>
  </w:num>
  <w:num w:numId="27">
    <w:abstractNumId w:val="8"/>
  </w:num>
  <w:num w:numId="28">
    <w:abstractNumId w:val="20"/>
  </w:num>
  <w:num w:numId="29">
    <w:abstractNumId w:val="25"/>
  </w:num>
  <w:num w:numId="30">
    <w:abstractNumId w:val="2"/>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5"/>
  </w:num>
  <w:num w:numId="38">
    <w:abstractNumId w:val="1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9">
    <w:abstractNumId w:val="14"/>
    <w:lvlOverride w:ilvl="1">
      <w:lvl w:ilvl="1">
        <w:start w:val="1"/>
        <w:numFmt w:val="decimal"/>
        <w:pStyle w:val="Heading2Numbered"/>
        <w:lvlText w:val="%1.%2"/>
        <w:lvlJc w:val="left"/>
        <w:pPr>
          <w:ind w:left="567" w:hanging="567"/>
        </w:pPr>
        <w:rPr>
          <w:rFonts w:hint="default"/>
        </w:rPr>
      </w:lvl>
    </w:lvlOverride>
  </w:num>
  <w:num w:numId="40">
    <w:abstractNumId w:val="7"/>
  </w:num>
  <w:num w:numId="41">
    <w:abstractNumId w:val="14"/>
    <w:lvlOverride w:ilvl="0">
      <w:lvl w:ilvl="0">
        <w:start w:val="1"/>
        <w:numFmt w:val="decimal"/>
        <w:pStyle w:val="Heading1Numbered"/>
        <w:lvlText w:val="%1."/>
        <w:lvlJc w:val="left"/>
        <w:pPr>
          <w:ind w:left="567" w:hanging="56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ind w:left="184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2">
    <w:abstractNumId w:val="19"/>
  </w:num>
  <w:num w:numId="43">
    <w:abstractNumId w:val="34"/>
  </w:num>
  <w:num w:numId="44">
    <w:abstractNumId w:val="10"/>
  </w:num>
  <w:num w:numId="45">
    <w:abstractNumId w:val="14"/>
    <w:lvlOverride w:ilvl="0">
      <w:lvl w:ilvl="0">
        <w:start w:val="1"/>
        <w:numFmt w:val="decimal"/>
        <w:pStyle w:val="Heading1Numbered"/>
        <w:lvlText w:val="%1."/>
        <w:lvlJc w:val="left"/>
        <w:pPr>
          <w:ind w:left="567" w:hanging="56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ind w:left="184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6">
    <w:abstractNumId w:val="14"/>
    <w:lvlOverride w:ilvl="0">
      <w:lvl w:ilvl="0">
        <w:start w:val="1"/>
        <w:numFmt w:val="decimal"/>
        <w:pStyle w:val="Heading1Numbered"/>
        <w:lvlText w:val="%1."/>
        <w:lvlJc w:val="left"/>
        <w:pPr>
          <w:ind w:left="567" w:hanging="56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ind w:left="184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2D97"/>
    <w:rsid w:val="00003495"/>
    <w:rsid w:val="000048E2"/>
    <w:rsid w:val="00007ECB"/>
    <w:rsid w:val="000104CF"/>
    <w:rsid w:val="00010E97"/>
    <w:rsid w:val="00011183"/>
    <w:rsid w:val="000143B6"/>
    <w:rsid w:val="00015508"/>
    <w:rsid w:val="00023327"/>
    <w:rsid w:val="00023F8E"/>
    <w:rsid w:val="0002782F"/>
    <w:rsid w:val="00030769"/>
    <w:rsid w:val="00031305"/>
    <w:rsid w:val="00031A5F"/>
    <w:rsid w:val="0003793B"/>
    <w:rsid w:val="0004290A"/>
    <w:rsid w:val="00043B4D"/>
    <w:rsid w:val="00045933"/>
    <w:rsid w:val="00050D65"/>
    <w:rsid w:val="000510F7"/>
    <w:rsid w:val="00051598"/>
    <w:rsid w:val="00054E4D"/>
    <w:rsid w:val="00056305"/>
    <w:rsid w:val="00060073"/>
    <w:rsid w:val="000603C7"/>
    <w:rsid w:val="000608BF"/>
    <w:rsid w:val="00061A22"/>
    <w:rsid w:val="000623A2"/>
    <w:rsid w:val="0006243E"/>
    <w:rsid w:val="00062AC8"/>
    <w:rsid w:val="0006355E"/>
    <w:rsid w:val="00064FF1"/>
    <w:rsid w:val="00065224"/>
    <w:rsid w:val="000654EC"/>
    <w:rsid w:val="00070F2E"/>
    <w:rsid w:val="00073E1B"/>
    <w:rsid w:val="00074B2F"/>
    <w:rsid w:val="000769C8"/>
    <w:rsid w:val="000770C8"/>
    <w:rsid w:val="00077206"/>
    <w:rsid w:val="000817D4"/>
    <w:rsid w:val="00082289"/>
    <w:rsid w:val="00082602"/>
    <w:rsid w:val="000829F4"/>
    <w:rsid w:val="00082BF6"/>
    <w:rsid w:val="000844A1"/>
    <w:rsid w:val="0008501F"/>
    <w:rsid w:val="0008683F"/>
    <w:rsid w:val="00095165"/>
    <w:rsid w:val="000955F5"/>
    <w:rsid w:val="00096839"/>
    <w:rsid w:val="000969FA"/>
    <w:rsid w:val="00096B17"/>
    <w:rsid w:val="000A271A"/>
    <w:rsid w:val="000A340D"/>
    <w:rsid w:val="000A4B30"/>
    <w:rsid w:val="000A6245"/>
    <w:rsid w:val="000A67F0"/>
    <w:rsid w:val="000A68CE"/>
    <w:rsid w:val="000A6A8B"/>
    <w:rsid w:val="000A6E5E"/>
    <w:rsid w:val="000B0A3C"/>
    <w:rsid w:val="000B0F49"/>
    <w:rsid w:val="000B21B0"/>
    <w:rsid w:val="000B2A9D"/>
    <w:rsid w:val="000B61E6"/>
    <w:rsid w:val="000B6C9C"/>
    <w:rsid w:val="000C1018"/>
    <w:rsid w:val="000C2A48"/>
    <w:rsid w:val="000C2A8F"/>
    <w:rsid w:val="000C2CF7"/>
    <w:rsid w:val="000C5F75"/>
    <w:rsid w:val="000C74F1"/>
    <w:rsid w:val="000D5338"/>
    <w:rsid w:val="000D60B1"/>
    <w:rsid w:val="000E00CC"/>
    <w:rsid w:val="000E1AD1"/>
    <w:rsid w:val="000E1D06"/>
    <w:rsid w:val="000E6ABA"/>
    <w:rsid w:val="000F1988"/>
    <w:rsid w:val="000F3241"/>
    <w:rsid w:val="000F3482"/>
    <w:rsid w:val="00100BAD"/>
    <w:rsid w:val="001023A5"/>
    <w:rsid w:val="00102A7D"/>
    <w:rsid w:val="00103A95"/>
    <w:rsid w:val="00104084"/>
    <w:rsid w:val="00104AF2"/>
    <w:rsid w:val="00105E07"/>
    <w:rsid w:val="001069B7"/>
    <w:rsid w:val="001071A5"/>
    <w:rsid w:val="001103C1"/>
    <w:rsid w:val="00110CC6"/>
    <w:rsid w:val="0011101F"/>
    <w:rsid w:val="00112446"/>
    <w:rsid w:val="001156C3"/>
    <w:rsid w:val="00120A25"/>
    <w:rsid w:val="001274BA"/>
    <w:rsid w:val="00131C22"/>
    <w:rsid w:val="00132C78"/>
    <w:rsid w:val="0013464E"/>
    <w:rsid w:val="00135427"/>
    <w:rsid w:val="00135FE1"/>
    <w:rsid w:val="00136530"/>
    <w:rsid w:val="00142498"/>
    <w:rsid w:val="00143C27"/>
    <w:rsid w:val="001458E6"/>
    <w:rsid w:val="001459AB"/>
    <w:rsid w:val="00150096"/>
    <w:rsid w:val="00150B7A"/>
    <w:rsid w:val="00150E7C"/>
    <w:rsid w:val="001541EA"/>
    <w:rsid w:val="00155903"/>
    <w:rsid w:val="001575F3"/>
    <w:rsid w:val="00157662"/>
    <w:rsid w:val="001612A4"/>
    <w:rsid w:val="00163DEB"/>
    <w:rsid w:val="001658E7"/>
    <w:rsid w:val="001664FC"/>
    <w:rsid w:val="00167051"/>
    <w:rsid w:val="0016738D"/>
    <w:rsid w:val="0017002F"/>
    <w:rsid w:val="00171E0A"/>
    <w:rsid w:val="00173FA3"/>
    <w:rsid w:val="00176BF0"/>
    <w:rsid w:val="001777FE"/>
    <w:rsid w:val="001806AD"/>
    <w:rsid w:val="001807F0"/>
    <w:rsid w:val="00181073"/>
    <w:rsid w:val="00186E42"/>
    <w:rsid w:val="00190579"/>
    <w:rsid w:val="00190651"/>
    <w:rsid w:val="00190DC4"/>
    <w:rsid w:val="001917A4"/>
    <w:rsid w:val="001917FD"/>
    <w:rsid w:val="00192CC4"/>
    <w:rsid w:val="00192E36"/>
    <w:rsid w:val="00196362"/>
    <w:rsid w:val="00197CC3"/>
    <w:rsid w:val="001A0777"/>
    <w:rsid w:val="001A1425"/>
    <w:rsid w:val="001A1D71"/>
    <w:rsid w:val="001A22BB"/>
    <w:rsid w:val="001A4B3C"/>
    <w:rsid w:val="001A4F41"/>
    <w:rsid w:val="001A7CD7"/>
    <w:rsid w:val="001A7DA1"/>
    <w:rsid w:val="001B0746"/>
    <w:rsid w:val="001B0E3E"/>
    <w:rsid w:val="001B2BB6"/>
    <w:rsid w:val="001B74C4"/>
    <w:rsid w:val="001C022C"/>
    <w:rsid w:val="001C5431"/>
    <w:rsid w:val="001C6A5A"/>
    <w:rsid w:val="001C71EB"/>
    <w:rsid w:val="001D22E7"/>
    <w:rsid w:val="001D33EB"/>
    <w:rsid w:val="001D7A14"/>
    <w:rsid w:val="001D7BAB"/>
    <w:rsid w:val="001D7EB4"/>
    <w:rsid w:val="001E0201"/>
    <w:rsid w:val="001E0C82"/>
    <w:rsid w:val="001E18C1"/>
    <w:rsid w:val="001E1DC0"/>
    <w:rsid w:val="001E2EC9"/>
    <w:rsid w:val="001E4984"/>
    <w:rsid w:val="001E5E04"/>
    <w:rsid w:val="001E7360"/>
    <w:rsid w:val="001F0452"/>
    <w:rsid w:val="001F1016"/>
    <w:rsid w:val="001F2019"/>
    <w:rsid w:val="001F4CAD"/>
    <w:rsid w:val="001F6504"/>
    <w:rsid w:val="001F6517"/>
    <w:rsid w:val="00200637"/>
    <w:rsid w:val="0020122A"/>
    <w:rsid w:val="00207B9E"/>
    <w:rsid w:val="002177C3"/>
    <w:rsid w:val="002249B4"/>
    <w:rsid w:val="002263E0"/>
    <w:rsid w:val="00226CA0"/>
    <w:rsid w:val="00230A09"/>
    <w:rsid w:val="0023110D"/>
    <w:rsid w:val="002343B8"/>
    <w:rsid w:val="00234657"/>
    <w:rsid w:val="00235C6C"/>
    <w:rsid w:val="00236D9D"/>
    <w:rsid w:val="00237AF4"/>
    <w:rsid w:val="00240AC5"/>
    <w:rsid w:val="00241945"/>
    <w:rsid w:val="00243D70"/>
    <w:rsid w:val="00244E37"/>
    <w:rsid w:val="00247D5F"/>
    <w:rsid w:val="00250AEF"/>
    <w:rsid w:val="00251AC0"/>
    <w:rsid w:val="0025255E"/>
    <w:rsid w:val="00252FB2"/>
    <w:rsid w:val="0025763F"/>
    <w:rsid w:val="00260395"/>
    <w:rsid w:val="00262B5B"/>
    <w:rsid w:val="0026397F"/>
    <w:rsid w:val="00263AD9"/>
    <w:rsid w:val="0026465E"/>
    <w:rsid w:val="00264DE6"/>
    <w:rsid w:val="0026564C"/>
    <w:rsid w:val="00266BB1"/>
    <w:rsid w:val="00266D76"/>
    <w:rsid w:val="00272313"/>
    <w:rsid w:val="00281048"/>
    <w:rsid w:val="002844A3"/>
    <w:rsid w:val="002848CA"/>
    <w:rsid w:val="00285061"/>
    <w:rsid w:val="00285157"/>
    <w:rsid w:val="0028602A"/>
    <w:rsid w:val="00286805"/>
    <w:rsid w:val="00286CA5"/>
    <w:rsid w:val="002942B7"/>
    <w:rsid w:val="00295521"/>
    <w:rsid w:val="00296478"/>
    <w:rsid w:val="002A0045"/>
    <w:rsid w:val="002A2026"/>
    <w:rsid w:val="002A24ED"/>
    <w:rsid w:val="002A56D4"/>
    <w:rsid w:val="002B0C2A"/>
    <w:rsid w:val="002B53E2"/>
    <w:rsid w:val="002B60A2"/>
    <w:rsid w:val="002B6DEC"/>
    <w:rsid w:val="002B6FE0"/>
    <w:rsid w:val="002C2526"/>
    <w:rsid w:val="002C295B"/>
    <w:rsid w:val="002C384A"/>
    <w:rsid w:val="002C3D2B"/>
    <w:rsid w:val="002C4AF0"/>
    <w:rsid w:val="002C675F"/>
    <w:rsid w:val="002C7BB1"/>
    <w:rsid w:val="002D2A77"/>
    <w:rsid w:val="002D2E49"/>
    <w:rsid w:val="002D5E34"/>
    <w:rsid w:val="002D667B"/>
    <w:rsid w:val="002D77E8"/>
    <w:rsid w:val="002E06AB"/>
    <w:rsid w:val="002E10BE"/>
    <w:rsid w:val="002E2271"/>
    <w:rsid w:val="002E27F2"/>
    <w:rsid w:val="002E3E41"/>
    <w:rsid w:val="002E575C"/>
    <w:rsid w:val="002E6011"/>
    <w:rsid w:val="002F145D"/>
    <w:rsid w:val="002F1C58"/>
    <w:rsid w:val="002F29D6"/>
    <w:rsid w:val="002F547D"/>
    <w:rsid w:val="002F6667"/>
    <w:rsid w:val="00301144"/>
    <w:rsid w:val="0030281B"/>
    <w:rsid w:val="00302DEE"/>
    <w:rsid w:val="003035B0"/>
    <w:rsid w:val="00305661"/>
    <w:rsid w:val="00305665"/>
    <w:rsid w:val="003056C7"/>
    <w:rsid w:val="00306F1F"/>
    <w:rsid w:val="00310A66"/>
    <w:rsid w:val="003142DD"/>
    <w:rsid w:val="003148B7"/>
    <w:rsid w:val="003158C3"/>
    <w:rsid w:val="003165AC"/>
    <w:rsid w:val="003246B4"/>
    <w:rsid w:val="00324AD0"/>
    <w:rsid w:val="003274CD"/>
    <w:rsid w:val="00330D2F"/>
    <w:rsid w:val="00331C43"/>
    <w:rsid w:val="003357B0"/>
    <w:rsid w:val="00335DE5"/>
    <w:rsid w:val="00340332"/>
    <w:rsid w:val="00340616"/>
    <w:rsid w:val="00340B33"/>
    <w:rsid w:val="00342BBB"/>
    <w:rsid w:val="00342DC0"/>
    <w:rsid w:val="00344806"/>
    <w:rsid w:val="00346479"/>
    <w:rsid w:val="00347058"/>
    <w:rsid w:val="0034736D"/>
    <w:rsid w:val="0035119D"/>
    <w:rsid w:val="003605A9"/>
    <w:rsid w:val="00362551"/>
    <w:rsid w:val="00363032"/>
    <w:rsid w:val="0036533F"/>
    <w:rsid w:val="003664BD"/>
    <w:rsid w:val="0036664E"/>
    <w:rsid w:val="00366EC6"/>
    <w:rsid w:val="00367A67"/>
    <w:rsid w:val="00367C34"/>
    <w:rsid w:val="003713FC"/>
    <w:rsid w:val="003717CD"/>
    <w:rsid w:val="00376B7C"/>
    <w:rsid w:val="0038228C"/>
    <w:rsid w:val="00385135"/>
    <w:rsid w:val="00387587"/>
    <w:rsid w:val="00387A2D"/>
    <w:rsid w:val="00387EEA"/>
    <w:rsid w:val="0039238C"/>
    <w:rsid w:val="003952A2"/>
    <w:rsid w:val="00396473"/>
    <w:rsid w:val="00396FF1"/>
    <w:rsid w:val="003976F7"/>
    <w:rsid w:val="003A04CD"/>
    <w:rsid w:val="003A4242"/>
    <w:rsid w:val="003A4403"/>
    <w:rsid w:val="003A693F"/>
    <w:rsid w:val="003A71C5"/>
    <w:rsid w:val="003B0BAA"/>
    <w:rsid w:val="003B12C7"/>
    <w:rsid w:val="003B39C0"/>
    <w:rsid w:val="003B4C5C"/>
    <w:rsid w:val="003B4F12"/>
    <w:rsid w:val="003C7ABE"/>
    <w:rsid w:val="003D016A"/>
    <w:rsid w:val="003D0DB2"/>
    <w:rsid w:val="003D1805"/>
    <w:rsid w:val="003D20DC"/>
    <w:rsid w:val="003D2B0E"/>
    <w:rsid w:val="003D4119"/>
    <w:rsid w:val="003D60D6"/>
    <w:rsid w:val="003E0252"/>
    <w:rsid w:val="003E13EB"/>
    <w:rsid w:val="003E60A5"/>
    <w:rsid w:val="003E6A85"/>
    <w:rsid w:val="003F2970"/>
    <w:rsid w:val="003F33B5"/>
    <w:rsid w:val="003F3468"/>
    <w:rsid w:val="003F555A"/>
    <w:rsid w:val="003F5DC3"/>
    <w:rsid w:val="003F6C38"/>
    <w:rsid w:val="004001A5"/>
    <w:rsid w:val="004003E2"/>
    <w:rsid w:val="00402719"/>
    <w:rsid w:val="00410354"/>
    <w:rsid w:val="0041108C"/>
    <w:rsid w:val="004124DC"/>
    <w:rsid w:val="004179F2"/>
    <w:rsid w:val="00420E34"/>
    <w:rsid w:val="004218F6"/>
    <w:rsid w:val="004230AE"/>
    <w:rsid w:val="00423350"/>
    <w:rsid w:val="00423F31"/>
    <w:rsid w:val="00424CEA"/>
    <w:rsid w:val="00424FC8"/>
    <w:rsid w:val="00427288"/>
    <w:rsid w:val="00431088"/>
    <w:rsid w:val="00431899"/>
    <w:rsid w:val="00433C93"/>
    <w:rsid w:val="00436C64"/>
    <w:rsid w:val="00443AD8"/>
    <w:rsid w:val="004450AA"/>
    <w:rsid w:val="00445616"/>
    <w:rsid w:val="00445A0B"/>
    <w:rsid w:val="004475DB"/>
    <w:rsid w:val="00451819"/>
    <w:rsid w:val="00452B52"/>
    <w:rsid w:val="004567F2"/>
    <w:rsid w:val="00457AD0"/>
    <w:rsid w:val="00457D04"/>
    <w:rsid w:val="00461D39"/>
    <w:rsid w:val="0046745D"/>
    <w:rsid w:val="00471E7D"/>
    <w:rsid w:val="00472A15"/>
    <w:rsid w:val="004733CF"/>
    <w:rsid w:val="00476589"/>
    <w:rsid w:val="00476DCE"/>
    <w:rsid w:val="00480049"/>
    <w:rsid w:val="00480EDA"/>
    <w:rsid w:val="00481FCD"/>
    <w:rsid w:val="004823AE"/>
    <w:rsid w:val="004855A4"/>
    <w:rsid w:val="00486804"/>
    <w:rsid w:val="00491264"/>
    <w:rsid w:val="004925BA"/>
    <w:rsid w:val="00494F05"/>
    <w:rsid w:val="004A0F4F"/>
    <w:rsid w:val="004A47B7"/>
    <w:rsid w:val="004A6013"/>
    <w:rsid w:val="004B3775"/>
    <w:rsid w:val="004B53C4"/>
    <w:rsid w:val="004C217D"/>
    <w:rsid w:val="004C27DB"/>
    <w:rsid w:val="004C2A06"/>
    <w:rsid w:val="004C68FC"/>
    <w:rsid w:val="004C6F01"/>
    <w:rsid w:val="004D0B1B"/>
    <w:rsid w:val="004D0B83"/>
    <w:rsid w:val="004D589A"/>
    <w:rsid w:val="004E058F"/>
    <w:rsid w:val="004E24AF"/>
    <w:rsid w:val="004E3A71"/>
    <w:rsid w:val="004E3B87"/>
    <w:rsid w:val="004E408F"/>
    <w:rsid w:val="004E66F6"/>
    <w:rsid w:val="004F050D"/>
    <w:rsid w:val="004F1C5D"/>
    <w:rsid w:val="004F35B1"/>
    <w:rsid w:val="004F4210"/>
    <w:rsid w:val="004F5F48"/>
    <w:rsid w:val="004F6159"/>
    <w:rsid w:val="004F6462"/>
    <w:rsid w:val="004F67E7"/>
    <w:rsid w:val="004F6F15"/>
    <w:rsid w:val="004F790E"/>
    <w:rsid w:val="005058BA"/>
    <w:rsid w:val="00505A6E"/>
    <w:rsid w:val="0051085C"/>
    <w:rsid w:val="00510921"/>
    <w:rsid w:val="005109D1"/>
    <w:rsid w:val="005109D5"/>
    <w:rsid w:val="00510AD3"/>
    <w:rsid w:val="00511DD6"/>
    <w:rsid w:val="00513348"/>
    <w:rsid w:val="00514857"/>
    <w:rsid w:val="00517A22"/>
    <w:rsid w:val="00521A5F"/>
    <w:rsid w:val="005254D3"/>
    <w:rsid w:val="005258F9"/>
    <w:rsid w:val="00525EE8"/>
    <w:rsid w:val="00526825"/>
    <w:rsid w:val="00526B42"/>
    <w:rsid w:val="00533B5D"/>
    <w:rsid w:val="00533BCE"/>
    <w:rsid w:val="005344DB"/>
    <w:rsid w:val="005352BC"/>
    <w:rsid w:val="005367DC"/>
    <w:rsid w:val="0054078D"/>
    <w:rsid w:val="00542446"/>
    <w:rsid w:val="00543F65"/>
    <w:rsid w:val="00544298"/>
    <w:rsid w:val="00544D3A"/>
    <w:rsid w:val="00550F1C"/>
    <w:rsid w:val="00554F8E"/>
    <w:rsid w:val="005570E8"/>
    <w:rsid w:val="00557997"/>
    <w:rsid w:val="00557F21"/>
    <w:rsid w:val="00560903"/>
    <w:rsid w:val="005660B6"/>
    <w:rsid w:val="00566242"/>
    <w:rsid w:val="0056652C"/>
    <w:rsid w:val="00566A06"/>
    <w:rsid w:val="0057286E"/>
    <w:rsid w:val="00573C98"/>
    <w:rsid w:val="00576610"/>
    <w:rsid w:val="00576C34"/>
    <w:rsid w:val="00582662"/>
    <w:rsid w:val="00583019"/>
    <w:rsid w:val="00584CA3"/>
    <w:rsid w:val="0058519A"/>
    <w:rsid w:val="005906D8"/>
    <w:rsid w:val="00591998"/>
    <w:rsid w:val="00592EB3"/>
    <w:rsid w:val="00596635"/>
    <w:rsid w:val="005970EA"/>
    <w:rsid w:val="005A0D9B"/>
    <w:rsid w:val="005A20DB"/>
    <w:rsid w:val="005A2239"/>
    <w:rsid w:val="005A35C4"/>
    <w:rsid w:val="005A35F8"/>
    <w:rsid w:val="005A3C34"/>
    <w:rsid w:val="005A41E0"/>
    <w:rsid w:val="005A5D27"/>
    <w:rsid w:val="005A6BEE"/>
    <w:rsid w:val="005B1D56"/>
    <w:rsid w:val="005B2EC3"/>
    <w:rsid w:val="005B5CB0"/>
    <w:rsid w:val="005B67A6"/>
    <w:rsid w:val="005C0D74"/>
    <w:rsid w:val="005C37F0"/>
    <w:rsid w:val="005C754D"/>
    <w:rsid w:val="005D00E1"/>
    <w:rsid w:val="005D2D36"/>
    <w:rsid w:val="005D2F29"/>
    <w:rsid w:val="005D447C"/>
    <w:rsid w:val="005D5AA4"/>
    <w:rsid w:val="005E0682"/>
    <w:rsid w:val="005E3033"/>
    <w:rsid w:val="005E3563"/>
    <w:rsid w:val="005E735D"/>
    <w:rsid w:val="005F0384"/>
    <w:rsid w:val="005F2EE5"/>
    <w:rsid w:val="005F3DD0"/>
    <w:rsid w:val="00600B0B"/>
    <w:rsid w:val="00601E84"/>
    <w:rsid w:val="00602EEF"/>
    <w:rsid w:val="00606444"/>
    <w:rsid w:val="006066F5"/>
    <w:rsid w:val="00610900"/>
    <w:rsid w:val="0061156F"/>
    <w:rsid w:val="00613CBE"/>
    <w:rsid w:val="00617F34"/>
    <w:rsid w:val="00623BA1"/>
    <w:rsid w:val="006276EC"/>
    <w:rsid w:val="006322D2"/>
    <w:rsid w:val="006330A1"/>
    <w:rsid w:val="006338CC"/>
    <w:rsid w:val="006346BC"/>
    <w:rsid w:val="006409F5"/>
    <w:rsid w:val="00640A53"/>
    <w:rsid w:val="00640E85"/>
    <w:rsid w:val="006417DE"/>
    <w:rsid w:val="006420B3"/>
    <w:rsid w:val="006423CD"/>
    <w:rsid w:val="00642642"/>
    <w:rsid w:val="00642DEF"/>
    <w:rsid w:val="00644212"/>
    <w:rsid w:val="00645681"/>
    <w:rsid w:val="006471F3"/>
    <w:rsid w:val="0064778E"/>
    <w:rsid w:val="00647D91"/>
    <w:rsid w:val="00650146"/>
    <w:rsid w:val="006521C9"/>
    <w:rsid w:val="006534FE"/>
    <w:rsid w:val="006539C9"/>
    <w:rsid w:val="00661C4A"/>
    <w:rsid w:val="0066314E"/>
    <w:rsid w:val="00664CEA"/>
    <w:rsid w:val="00666054"/>
    <w:rsid w:val="00666291"/>
    <w:rsid w:val="0066652A"/>
    <w:rsid w:val="00667CBA"/>
    <w:rsid w:val="00671759"/>
    <w:rsid w:val="00673063"/>
    <w:rsid w:val="00677CB0"/>
    <w:rsid w:val="006806AF"/>
    <w:rsid w:val="006816E3"/>
    <w:rsid w:val="00681C88"/>
    <w:rsid w:val="00681DB5"/>
    <w:rsid w:val="00682167"/>
    <w:rsid w:val="00685ACF"/>
    <w:rsid w:val="00687BAA"/>
    <w:rsid w:val="006911FE"/>
    <w:rsid w:val="0069422D"/>
    <w:rsid w:val="00694DF9"/>
    <w:rsid w:val="00695AEE"/>
    <w:rsid w:val="00697E6A"/>
    <w:rsid w:val="006A31BC"/>
    <w:rsid w:val="006A6511"/>
    <w:rsid w:val="006A71EF"/>
    <w:rsid w:val="006B11FB"/>
    <w:rsid w:val="006B1C6B"/>
    <w:rsid w:val="006B5D03"/>
    <w:rsid w:val="006B60CD"/>
    <w:rsid w:val="006C2B8C"/>
    <w:rsid w:val="006C42AF"/>
    <w:rsid w:val="006C4DD1"/>
    <w:rsid w:val="006C5A0E"/>
    <w:rsid w:val="006C69B8"/>
    <w:rsid w:val="006C6E91"/>
    <w:rsid w:val="006C7AF0"/>
    <w:rsid w:val="006D09F8"/>
    <w:rsid w:val="006D3906"/>
    <w:rsid w:val="006D64DC"/>
    <w:rsid w:val="006D75FF"/>
    <w:rsid w:val="006E05CB"/>
    <w:rsid w:val="006E27CD"/>
    <w:rsid w:val="006E2A2C"/>
    <w:rsid w:val="006E3047"/>
    <w:rsid w:val="006F0218"/>
    <w:rsid w:val="006F032A"/>
    <w:rsid w:val="006F0374"/>
    <w:rsid w:val="006F4B2C"/>
    <w:rsid w:val="006F6574"/>
    <w:rsid w:val="0070162F"/>
    <w:rsid w:val="00704535"/>
    <w:rsid w:val="00705A34"/>
    <w:rsid w:val="007065A0"/>
    <w:rsid w:val="00710199"/>
    <w:rsid w:val="007119DE"/>
    <w:rsid w:val="00711D6F"/>
    <w:rsid w:val="00711D8E"/>
    <w:rsid w:val="00712672"/>
    <w:rsid w:val="00713797"/>
    <w:rsid w:val="007163A9"/>
    <w:rsid w:val="007224BA"/>
    <w:rsid w:val="00723218"/>
    <w:rsid w:val="00723678"/>
    <w:rsid w:val="007264AA"/>
    <w:rsid w:val="00726710"/>
    <w:rsid w:val="0073052A"/>
    <w:rsid w:val="007310EF"/>
    <w:rsid w:val="00732515"/>
    <w:rsid w:val="00734E3F"/>
    <w:rsid w:val="00736173"/>
    <w:rsid w:val="00736985"/>
    <w:rsid w:val="00737A13"/>
    <w:rsid w:val="00740395"/>
    <w:rsid w:val="00741CC9"/>
    <w:rsid w:val="00745EEA"/>
    <w:rsid w:val="007503A0"/>
    <w:rsid w:val="00756AF0"/>
    <w:rsid w:val="00757C9D"/>
    <w:rsid w:val="00761841"/>
    <w:rsid w:val="00762587"/>
    <w:rsid w:val="00763B4D"/>
    <w:rsid w:val="007645F3"/>
    <w:rsid w:val="007656F3"/>
    <w:rsid w:val="00767611"/>
    <w:rsid w:val="00770287"/>
    <w:rsid w:val="00771BEF"/>
    <w:rsid w:val="00773D42"/>
    <w:rsid w:val="0077586F"/>
    <w:rsid w:val="00777899"/>
    <w:rsid w:val="0079456B"/>
    <w:rsid w:val="00794773"/>
    <w:rsid w:val="00794A54"/>
    <w:rsid w:val="00795CFD"/>
    <w:rsid w:val="007963F2"/>
    <w:rsid w:val="00797934"/>
    <w:rsid w:val="007A0CD6"/>
    <w:rsid w:val="007A25F0"/>
    <w:rsid w:val="007B1202"/>
    <w:rsid w:val="007B13B3"/>
    <w:rsid w:val="007B1A1A"/>
    <w:rsid w:val="007B46F0"/>
    <w:rsid w:val="007B4DB9"/>
    <w:rsid w:val="007B6200"/>
    <w:rsid w:val="007C24EA"/>
    <w:rsid w:val="007C36D2"/>
    <w:rsid w:val="007C3B67"/>
    <w:rsid w:val="007C3D7A"/>
    <w:rsid w:val="007C6E0F"/>
    <w:rsid w:val="007D0768"/>
    <w:rsid w:val="007D1108"/>
    <w:rsid w:val="007D1C9C"/>
    <w:rsid w:val="007D6319"/>
    <w:rsid w:val="007E01C3"/>
    <w:rsid w:val="007E2853"/>
    <w:rsid w:val="007E33D7"/>
    <w:rsid w:val="007E58A6"/>
    <w:rsid w:val="007F5F85"/>
    <w:rsid w:val="007F6F2D"/>
    <w:rsid w:val="00801B9F"/>
    <w:rsid w:val="00801DB6"/>
    <w:rsid w:val="00803614"/>
    <w:rsid w:val="008055D0"/>
    <w:rsid w:val="008154F3"/>
    <w:rsid w:val="008170CC"/>
    <w:rsid w:val="00817DCA"/>
    <w:rsid w:val="00821151"/>
    <w:rsid w:val="00821A65"/>
    <w:rsid w:val="00821F0D"/>
    <w:rsid w:val="008225FE"/>
    <w:rsid w:val="00823597"/>
    <w:rsid w:val="0082468B"/>
    <w:rsid w:val="00825F67"/>
    <w:rsid w:val="008261EA"/>
    <w:rsid w:val="00826FB7"/>
    <w:rsid w:val="00830109"/>
    <w:rsid w:val="00830520"/>
    <w:rsid w:val="008308C1"/>
    <w:rsid w:val="00831521"/>
    <w:rsid w:val="008357C9"/>
    <w:rsid w:val="008408D3"/>
    <w:rsid w:val="00846AE6"/>
    <w:rsid w:val="00847CAC"/>
    <w:rsid w:val="00850DEE"/>
    <w:rsid w:val="008513E2"/>
    <w:rsid w:val="00852302"/>
    <w:rsid w:val="00854A7F"/>
    <w:rsid w:val="00856B19"/>
    <w:rsid w:val="00861125"/>
    <w:rsid w:val="008612F0"/>
    <w:rsid w:val="00861E29"/>
    <w:rsid w:val="00862C2D"/>
    <w:rsid w:val="00864EFA"/>
    <w:rsid w:val="00866544"/>
    <w:rsid w:val="008702AD"/>
    <w:rsid w:val="00870924"/>
    <w:rsid w:val="00875460"/>
    <w:rsid w:val="00875A16"/>
    <w:rsid w:val="00876CDB"/>
    <w:rsid w:val="00877EB8"/>
    <w:rsid w:val="00880B3F"/>
    <w:rsid w:val="008828FA"/>
    <w:rsid w:val="00884A70"/>
    <w:rsid w:val="00887029"/>
    <w:rsid w:val="008873D4"/>
    <w:rsid w:val="00890646"/>
    <w:rsid w:val="0089188B"/>
    <w:rsid w:val="00892C8B"/>
    <w:rsid w:val="00894F94"/>
    <w:rsid w:val="0089547F"/>
    <w:rsid w:val="0089786A"/>
    <w:rsid w:val="008A1A1B"/>
    <w:rsid w:val="008A4071"/>
    <w:rsid w:val="008A6B61"/>
    <w:rsid w:val="008B194A"/>
    <w:rsid w:val="008B24E9"/>
    <w:rsid w:val="008B2AAB"/>
    <w:rsid w:val="008B515B"/>
    <w:rsid w:val="008B523C"/>
    <w:rsid w:val="008B62C7"/>
    <w:rsid w:val="008C3FD2"/>
    <w:rsid w:val="008C6A77"/>
    <w:rsid w:val="008D33DB"/>
    <w:rsid w:val="008D4A99"/>
    <w:rsid w:val="008E0186"/>
    <w:rsid w:val="008E0EB8"/>
    <w:rsid w:val="008E1337"/>
    <w:rsid w:val="008E2331"/>
    <w:rsid w:val="008E2548"/>
    <w:rsid w:val="008E2AA6"/>
    <w:rsid w:val="008E43F9"/>
    <w:rsid w:val="008E61E7"/>
    <w:rsid w:val="008F0961"/>
    <w:rsid w:val="008F3945"/>
    <w:rsid w:val="008F3C72"/>
    <w:rsid w:val="008F4C2E"/>
    <w:rsid w:val="008F5CDE"/>
    <w:rsid w:val="00901CB4"/>
    <w:rsid w:val="009065B2"/>
    <w:rsid w:val="0090794D"/>
    <w:rsid w:val="009079EA"/>
    <w:rsid w:val="00907A10"/>
    <w:rsid w:val="00907DF1"/>
    <w:rsid w:val="00907FC2"/>
    <w:rsid w:val="00911AC6"/>
    <w:rsid w:val="0091308E"/>
    <w:rsid w:val="0091452D"/>
    <w:rsid w:val="00916BB9"/>
    <w:rsid w:val="0092046E"/>
    <w:rsid w:val="0092257C"/>
    <w:rsid w:val="00922C13"/>
    <w:rsid w:val="00923688"/>
    <w:rsid w:val="00925ECE"/>
    <w:rsid w:val="00926586"/>
    <w:rsid w:val="0092671E"/>
    <w:rsid w:val="0092699E"/>
    <w:rsid w:val="009274B0"/>
    <w:rsid w:val="009301CA"/>
    <w:rsid w:val="00933BED"/>
    <w:rsid w:val="00934587"/>
    <w:rsid w:val="0093505F"/>
    <w:rsid w:val="009376C8"/>
    <w:rsid w:val="00940A0A"/>
    <w:rsid w:val="00940F40"/>
    <w:rsid w:val="00941F19"/>
    <w:rsid w:val="00942579"/>
    <w:rsid w:val="00943028"/>
    <w:rsid w:val="00945022"/>
    <w:rsid w:val="00950336"/>
    <w:rsid w:val="009525F4"/>
    <w:rsid w:val="00953463"/>
    <w:rsid w:val="0095384A"/>
    <w:rsid w:val="00954ABA"/>
    <w:rsid w:val="00957D11"/>
    <w:rsid w:val="00957D78"/>
    <w:rsid w:val="00957FD5"/>
    <w:rsid w:val="00960AD1"/>
    <w:rsid w:val="009625B7"/>
    <w:rsid w:val="00963312"/>
    <w:rsid w:val="009653E2"/>
    <w:rsid w:val="00965D80"/>
    <w:rsid w:val="00966462"/>
    <w:rsid w:val="00967A00"/>
    <w:rsid w:val="00971FF6"/>
    <w:rsid w:val="00974F9C"/>
    <w:rsid w:val="00976DC0"/>
    <w:rsid w:val="009819B3"/>
    <w:rsid w:val="0098341B"/>
    <w:rsid w:val="00984B3C"/>
    <w:rsid w:val="00984EF2"/>
    <w:rsid w:val="00985560"/>
    <w:rsid w:val="00986061"/>
    <w:rsid w:val="009872D0"/>
    <w:rsid w:val="009901B1"/>
    <w:rsid w:val="00992E92"/>
    <w:rsid w:val="009937AD"/>
    <w:rsid w:val="00995483"/>
    <w:rsid w:val="00996DFA"/>
    <w:rsid w:val="009A05FF"/>
    <w:rsid w:val="009A2443"/>
    <w:rsid w:val="009A26BE"/>
    <w:rsid w:val="009A2DA7"/>
    <w:rsid w:val="009A3EF5"/>
    <w:rsid w:val="009A4A1C"/>
    <w:rsid w:val="009A72AD"/>
    <w:rsid w:val="009B3A31"/>
    <w:rsid w:val="009B4D3B"/>
    <w:rsid w:val="009B7497"/>
    <w:rsid w:val="009C0EA9"/>
    <w:rsid w:val="009C11A1"/>
    <w:rsid w:val="009C2929"/>
    <w:rsid w:val="009C3683"/>
    <w:rsid w:val="009C4265"/>
    <w:rsid w:val="009C46A0"/>
    <w:rsid w:val="009D3336"/>
    <w:rsid w:val="009D7407"/>
    <w:rsid w:val="009E0866"/>
    <w:rsid w:val="009E27BA"/>
    <w:rsid w:val="009E28B2"/>
    <w:rsid w:val="009E2AEF"/>
    <w:rsid w:val="009E65BD"/>
    <w:rsid w:val="009E676B"/>
    <w:rsid w:val="009E705C"/>
    <w:rsid w:val="009E7C6C"/>
    <w:rsid w:val="009F35C5"/>
    <w:rsid w:val="009F364D"/>
    <w:rsid w:val="009F37CC"/>
    <w:rsid w:val="009F6A39"/>
    <w:rsid w:val="009F78BE"/>
    <w:rsid w:val="00A011BC"/>
    <w:rsid w:val="00A04EF1"/>
    <w:rsid w:val="00A054B3"/>
    <w:rsid w:val="00A064D5"/>
    <w:rsid w:val="00A078A8"/>
    <w:rsid w:val="00A07CFC"/>
    <w:rsid w:val="00A11B17"/>
    <w:rsid w:val="00A14ED6"/>
    <w:rsid w:val="00A15A9B"/>
    <w:rsid w:val="00A15D03"/>
    <w:rsid w:val="00A164AB"/>
    <w:rsid w:val="00A2074A"/>
    <w:rsid w:val="00A20E8E"/>
    <w:rsid w:val="00A22DDB"/>
    <w:rsid w:val="00A24A62"/>
    <w:rsid w:val="00A25373"/>
    <w:rsid w:val="00A256BF"/>
    <w:rsid w:val="00A259D2"/>
    <w:rsid w:val="00A264F7"/>
    <w:rsid w:val="00A275FD"/>
    <w:rsid w:val="00A31C9F"/>
    <w:rsid w:val="00A329CC"/>
    <w:rsid w:val="00A33897"/>
    <w:rsid w:val="00A35BEB"/>
    <w:rsid w:val="00A35DDC"/>
    <w:rsid w:val="00A36233"/>
    <w:rsid w:val="00A40701"/>
    <w:rsid w:val="00A41108"/>
    <w:rsid w:val="00A4340E"/>
    <w:rsid w:val="00A43ED8"/>
    <w:rsid w:val="00A45D97"/>
    <w:rsid w:val="00A50A2F"/>
    <w:rsid w:val="00A6214D"/>
    <w:rsid w:val="00A632E3"/>
    <w:rsid w:val="00A6349D"/>
    <w:rsid w:val="00A65D05"/>
    <w:rsid w:val="00A668C8"/>
    <w:rsid w:val="00A75639"/>
    <w:rsid w:val="00A75BF8"/>
    <w:rsid w:val="00A75E85"/>
    <w:rsid w:val="00A76EC7"/>
    <w:rsid w:val="00A808A0"/>
    <w:rsid w:val="00A81565"/>
    <w:rsid w:val="00A86C9C"/>
    <w:rsid w:val="00A902E3"/>
    <w:rsid w:val="00A90EFA"/>
    <w:rsid w:val="00A916BA"/>
    <w:rsid w:val="00A920EE"/>
    <w:rsid w:val="00A921DF"/>
    <w:rsid w:val="00A92A2E"/>
    <w:rsid w:val="00A92DC3"/>
    <w:rsid w:val="00A933CA"/>
    <w:rsid w:val="00A936DC"/>
    <w:rsid w:val="00A95EB4"/>
    <w:rsid w:val="00A9798A"/>
    <w:rsid w:val="00A97C9C"/>
    <w:rsid w:val="00A97E00"/>
    <w:rsid w:val="00AA1D8B"/>
    <w:rsid w:val="00AA1FCE"/>
    <w:rsid w:val="00AA556C"/>
    <w:rsid w:val="00AA73D3"/>
    <w:rsid w:val="00AA7454"/>
    <w:rsid w:val="00AB19CF"/>
    <w:rsid w:val="00AB2F67"/>
    <w:rsid w:val="00AB3CD5"/>
    <w:rsid w:val="00AB4757"/>
    <w:rsid w:val="00AB5BD4"/>
    <w:rsid w:val="00AB67C7"/>
    <w:rsid w:val="00AC0610"/>
    <w:rsid w:val="00AC164A"/>
    <w:rsid w:val="00AC319D"/>
    <w:rsid w:val="00AC5EA9"/>
    <w:rsid w:val="00AD16EC"/>
    <w:rsid w:val="00AE3CE8"/>
    <w:rsid w:val="00AE5A5C"/>
    <w:rsid w:val="00AF06B8"/>
    <w:rsid w:val="00AF2050"/>
    <w:rsid w:val="00AF23B9"/>
    <w:rsid w:val="00AF28AB"/>
    <w:rsid w:val="00AF3A3D"/>
    <w:rsid w:val="00AF45E6"/>
    <w:rsid w:val="00AF6267"/>
    <w:rsid w:val="00B009FD"/>
    <w:rsid w:val="00B00E65"/>
    <w:rsid w:val="00B06121"/>
    <w:rsid w:val="00B06DC7"/>
    <w:rsid w:val="00B131CD"/>
    <w:rsid w:val="00B136A1"/>
    <w:rsid w:val="00B15F07"/>
    <w:rsid w:val="00B16947"/>
    <w:rsid w:val="00B21043"/>
    <w:rsid w:val="00B22CA8"/>
    <w:rsid w:val="00B233A5"/>
    <w:rsid w:val="00B27A14"/>
    <w:rsid w:val="00B328B0"/>
    <w:rsid w:val="00B32FD1"/>
    <w:rsid w:val="00B35A3A"/>
    <w:rsid w:val="00B413B5"/>
    <w:rsid w:val="00B413E3"/>
    <w:rsid w:val="00B418D4"/>
    <w:rsid w:val="00B424E7"/>
    <w:rsid w:val="00B44B05"/>
    <w:rsid w:val="00B4525A"/>
    <w:rsid w:val="00B460AC"/>
    <w:rsid w:val="00B53AFB"/>
    <w:rsid w:val="00B5661A"/>
    <w:rsid w:val="00B60932"/>
    <w:rsid w:val="00B61EBE"/>
    <w:rsid w:val="00B64B89"/>
    <w:rsid w:val="00B64CD9"/>
    <w:rsid w:val="00B655D0"/>
    <w:rsid w:val="00B6687E"/>
    <w:rsid w:val="00B67671"/>
    <w:rsid w:val="00B677CA"/>
    <w:rsid w:val="00B71944"/>
    <w:rsid w:val="00B7318C"/>
    <w:rsid w:val="00B73D10"/>
    <w:rsid w:val="00B813A0"/>
    <w:rsid w:val="00B819BC"/>
    <w:rsid w:val="00B82540"/>
    <w:rsid w:val="00B82CE5"/>
    <w:rsid w:val="00B84FEC"/>
    <w:rsid w:val="00B90A32"/>
    <w:rsid w:val="00B922D0"/>
    <w:rsid w:val="00B92C2D"/>
    <w:rsid w:val="00B932B4"/>
    <w:rsid w:val="00B9563A"/>
    <w:rsid w:val="00B96CBA"/>
    <w:rsid w:val="00B9726A"/>
    <w:rsid w:val="00B97A46"/>
    <w:rsid w:val="00BA00D0"/>
    <w:rsid w:val="00BA0BFC"/>
    <w:rsid w:val="00BA5B30"/>
    <w:rsid w:val="00BA6C1E"/>
    <w:rsid w:val="00BA7DF3"/>
    <w:rsid w:val="00BA7F40"/>
    <w:rsid w:val="00BB212F"/>
    <w:rsid w:val="00BB26C5"/>
    <w:rsid w:val="00BB3552"/>
    <w:rsid w:val="00BB4572"/>
    <w:rsid w:val="00BB5CF6"/>
    <w:rsid w:val="00BB66A9"/>
    <w:rsid w:val="00BB7BA0"/>
    <w:rsid w:val="00BC0C62"/>
    <w:rsid w:val="00BC1314"/>
    <w:rsid w:val="00BC29E7"/>
    <w:rsid w:val="00BC4F34"/>
    <w:rsid w:val="00BC6AC2"/>
    <w:rsid w:val="00BD0253"/>
    <w:rsid w:val="00BD1DD2"/>
    <w:rsid w:val="00BD2818"/>
    <w:rsid w:val="00BD3200"/>
    <w:rsid w:val="00BD42DA"/>
    <w:rsid w:val="00BD5A95"/>
    <w:rsid w:val="00BE0F17"/>
    <w:rsid w:val="00BE10F6"/>
    <w:rsid w:val="00BE263C"/>
    <w:rsid w:val="00BE38B2"/>
    <w:rsid w:val="00BE4696"/>
    <w:rsid w:val="00BE7603"/>
    <w:rsid w:val="00BE78B1"/>
    <w:rsid w:val="00BF18F9"/>
    <w:rsid w:val="00BF4DE6"/>
    <w:rsid w:val="00BF6901"/>
    <w:rsid w:val="00C0037E"/>
    <w:rsid w:val="00C00ED7"/>
    <w:rsid w:val="00C032C7"/>
    <w:rsid w:val="00C03BED"/>
    <w:rsid w:val="00C0565E"/>
    <w:rsid w:val="00C05747"/>
    <w:rsid w:val="00C07A0C"/>
    <w:rsid w:val="00C10A41"/>
    <w:rsid w:val="00C123A8"/>
    <w:rsid w:val="00C13514"/>
    <w:rsid w:val="00C13B98"/>
    <w:rsid w:val="00C15076"/>
    <w:rsid w:val="00C16CCC"/>
    <w:rsid w:val="00C177B8"/>
    <w:rsid w:val="00C21B58"/>
    <w:rsid w:val="00C237AC"/>
    <w:rsid w:val="00C240F0"/>
    <w:rsid w:val="00C247F8"/>
    <w:rsid w:val="00C25A62"/>
    <w:rsid w:val="00C26150"/>
    <w:rsid w:val="00C32C79"/>
    <w:rsid w:val="00C33F1E"/>
    <w:rsid w:val="00C370EA"/>
    <w:rsid w:val="00C41D2A"/>
    <w:rsid w:val="00C42CDE"/>
    <w:rsid w:val="00C50ADB"/>
    <w:rsid w:val="00C52098"/>
    <w:rsid w:val="00C572FB"/>
    <w:rsid w:val="00C60F74"/>
    <w:rsid w:val="00C63607"/>
    <w:rsid w:val="00C6580B"/>
    <w:rsid w:val="00C6741B"/>
    <w:rsid w:val="00C72555"/>
    <w:rsid w:val="00C744BA"/>
    <w:rsid w:val="00C7538C"/>
    <w:rsid w:val="00C80F2F"/>
    <w:rsid w:val="00C81B56"/>
    <w:rsid w:val="00C836BC"/>
    <w:rsid w:val="00C8787C"/>
    <w:rsid w:val="00C95E7D"/>
    <w:rsid w:val="00C966CD"/>
    <w:rsid w:val="00CA1071"/>
    <w:rsid w:val="00CA1B49"/>
    <w:rsid w:val="00CA37B1"/>
    <w:rsid w:val="00CA41FA"/>
    <w:rsid w:val="00CA7406"/>
    <w:rsid w:val="00CB1959"/>
    <w:rsid w:val="00CB304D"/>
    <w:rsid w:val="00CB456C"/>
    <w:rsid w:val="00CB4A92"/>
    <w:rsid w:val="00CB6899"/>
    <w:rsid w:val="00CC2AA4"/>
    <w:rsid w:val="00CD303F"/>
    <w:rsid w:val="00CD7D0E"/>
    <w:rsid w:val="00CE251D"/>
    <w:rsid w:val="00CE3165"/>
    <w:rsid w:val="00CF0CF0"/>
    <w:rsid w:val="00CF130A"/>
    <w:rsid w:val="00CF1A52"/>
    <w:rsid w:val="00CF276C"/>
    <w:rsid w:val="00CF3DF7"/>
    <w:rsid w:val="00CF5A89"/>
    <w:rsid w:val="00D02209"/>
    <w:rsid w:val="00D0296C"/>
    <w:rsid w:val="00D06823"/>
    <w:rsid w:val="00D0725E"/>
    <w:rsid w:val="00D1270B"/>
    <w:rsid w:val="00D14978"/>
    <w:rsid w:val="00D153BC"/>
    <w:rsid w:val="00D16868"/>
    <w:rsid w:val="00D20C44"/>
    <w:rsid w:val="00D22869"/>
    <w:rsid w:val="00D268E6"/>
    <w:rsid w:val="00D3569B"/>
    <w:rsid w:val="00D364C0"/>
    <w:rsid w:val="00D42245"/>
    <w:rsid w:val="00D43568"/>
    <w:rsid w:val="00D457E9"/>
    <w:rsid w:val="00D46D82"/>
    <w:rsid w:val="00D51066"/>
    <w:rsid w:val="00D51319"/>
    <w:rsid w:val="00D51EFD"/>
    <w:rsid w:val="00D52930"/>
    <w:rsid w:val="00D53851"/>
    <w:rsid w:val="00D53E0C"/>
    <w:rsid w:val="00D55471"/>
    <w:rsid w:val="00D55622"/>
    <w:rsid w:val="00D5643A"/>
    <w:rsid w:val="00D609A2"/>
    <w:rsid w:val="00D6106C"/>
    <w:rsid w:val="00D64161"/>
    <w:rsid w:val="00D66593"/>
    <w:rsid w:val="00D66C57"/>
    <w:rsid w:val="00D747C1"/>
    <w:rsid w:val="00D761AB"/>
    <w:rsid w:val="00D83C25"/>
    <w:rsid w:val="00D8495D"/>
    <w:rsid w:val="00D92247"/>
    <w:rsid w:val="00D92676"/>
    <w:rsid w:val="00D93189"/>
    <w:rsid w:val="00D94785"/>
    <w:rsid w:val="00D968A0"/>
    <w:rsid w:val="00DA2063"/>
    <w:rsid w:val="00DB0937"/>
    <w:rsid w:val="00DB3432"/>
    <w:rsid w:val="00DB5D1B"/>
    <w:rsid w:val="00DB6278"/>
    <w:rsid w:val="00DB6D69"/>
    <w:rsid w:val="00DC008C"/>
    <w:rsid w:val="00DC047E"/>
    <w:rsid w:val="00DC1682"/>
    <w:rsid w:val="00DC1A6A"/>
    <w:rsid w:val="00DC1A76"/>
    <w:rsid w:val="00DC322C"/>
    <w:rsid w:val="00DC430B"/>
    <w:rsid w:val="00DD0392"/>
    <w:rsid w:val="00DD3A07"/>
    <w:rsid w:val="00DD52C8"/>
    <w:rsid w:val="00DD55C0"/>
    <w:rsid w:val="00DD622B"/>
    <w:rsid w:val="00DD664E"/>
    <w:rsid w:val="00DE27D9"/>
    <w:rsid w:val="00DE3434"/>
    <w:rsid w:val="00DE3E90"/>
    <w:rsid w:val="00DE5749"/>
    <w:rsid w:val="00DF02D1"/>
    <w:rsid w:val="00DF0952"/>
    <w:rsid w:val="00DF0EF9"/>
    <w:rsid w:val="00DF25F7"/>
    <w:rsid w:val="00DF3526"/>
    <w:rsid w:val="00DF6374"/>
    <w:rsid w:val="00DF67B7"/>
    <w:rsid w:val="00DF756D"/>
    <w:rsid w:val="00E0392D"/>
    <w:rsid w:val="00E062D0"/>
    <w:rsid w:val="00E10AA5"/>
    <w:rsid w:val="00E12B2D"/>
    <w:rsid w:val="00E13061"/>
    <w:rsid w:val="00E14401"/>
    <w:rsid w:val="00E17504"/>
    <w:rsid w:val="00E20CDE"/>
    <w:rsid w:val="00E220C2"/>
    <w:rsid w:val="00E23CF2"/>
    <w:rsid w:val="00E24EE5"/>
    <w:rsid w:val="00E255D2"/>
    <w:rsid w:val="00E26680"/>
    <w:rsid w:val="00E313BF"/>
    <w:rsid w:val="00E32CE4"/>
    <w:rsid w:val="00E357B7"/>
    <w:rsid w:val="00E35BCA"/>
    <w:rsid w:val="00E3624C"/>
    <w:rsid w:val="00E3650C"/>
    <w:rsid w:val="00E407B1"/>
    <w:rsid w:val="00E41F7A"/>
    <w:rsid w:val="00E44E21"/>
    <w:rsid w:val="00E472B4"/>
    <w:rsid w:val="00E50952"/>
    <w:rsid w:val="00E52965"/>
    <w:rsid w:val="00E53800"/>
    <w:rsid w:val="00E60528"/>
    <w:rsid w:val="00E6075C"/>
    <w:rsid w:val="00E6081F"/>
    <w:rsid w:val="00E60953"/>
    <w:rsid w:val="00E61094"/>
    <w:rsid w:val="00E634FA"/>
    <w:rsid w:val="00E63FB6"/>
    <w:rsid w:val="00E673E5"/>
    <w:rsid w:val="00E6742F"/>
    <w:rsid w:val="00E6752F"/>
    <w:rsid w:val="00E67963"/>
    <w:rsid w:val="00E71B07"/>
    <w:rsid w:val="00E72FD5"/>
    <w:rsid w:val="00E7483E"/>
    <w:rsid w:val="00E84046"/>
    <w:rsid w:val="00E84803"/>
    <w:rsid w:val="00E90D32"/>
    <w:rsid w:val="00E92558"/>
    <w:rsid w:val="00E95846"/>
    <w:rsid w:val="00E963D2"/>
    <w:rsid w:val="00E96464"/>
    <w:rsid w:val="00E96706"/>
    <w:rsid w:val="00EA04B2"/>
    <w:rsid w:val="00EA20F3"/>
    <w:rsid w:val="00EA2750"/>
    <w:rsid w:val="00EA2D01"/>
    <w:rsid w:val="00EA3B0E"/>
    <w:rsid w:val="00EA4635"/>
    <w:rsid w:val="00EA515D"/>
    <w:rsid w:val="00EA75C1"/>
    <w:rsid w:val="00EB3594"/>
    <w:rsid w:val="00EB4889"/>
    <w:rsid w:val="00EB542E"/>
    <w:rsid w:val="00EC1593"/>
    <w:rsid w:val="00EC339C"/>
    <w:rsid w:val="00EC78F3"/>
    <w:rsid w:val="00ED30E7"/>
    <w:rsid w:val="00ED43D1"/>
    <w:rsid w:val="00ED44FE"/>
    <w:rsid w:val="00EE05E1"/>
    <w:rsid w:val="00EE2B1C"/>
    <w:rsid w:val="00EE4996"/>
    <w:rsid w:val="00EE4DCA"/>
    <w:rsid w:val="00EE4EE1"/>
    <w:rsid w:val="00EF4574"/>
    <w:rsid w:val="00EF5BDC"/>
    <w:rsid w:val="00EF7B34"/>
    <w:rsid w:val="00F00CFE"/>
    <w:rsid w:val="00F03DC2"/>
    <w:rsid w:val="00F059BC"/>
    <w:rsid w:val="00F05E4C"/>
    <w:rsid w:val="00F07425"/>
    <w:rsid w:val="00F109CE"/>
    <w:rsid w:val="00F13901"/>
    <w:rsid w:val="00F15774"/>
    <w:rsid w:val="00F15AF1"/>
    <w:rsid w:val="00F25C2C"/>
    <w:rsid w:val="00F26694"/>
    <w:rsid w:val="00F2684E"/>
    <w:rsid w:val="00F26A85"/>
    <w:rsid w:val="00F26F63"/>
    <w:rsid w:val="00F314F9"/>
    <w:rsid w:val="00F31E76"/>
    <w:rsid w:val="00F35092"/>
    <w:rsid w:val="00F40AF4"/>
    <w:rsid w:val="00F43B28"/>
    <w:rsid w:val="00F43EFC"/>
    <w:rsid w:val="00F500DB"/>
    <w:rsid w:val="00F5019A"/>
    <w:rsid w:val="00F50432"/>
    <w:rsid w:val="00F5243B"/>
    <w:rsid w:val="00F52AC5"/>
    <w:rsid w:val="00F601A0"/>
    <w:rsid w:val="00F61589"/>
    <w:rsid w:val="00F62F35"/>
    <w:rsid w:val="00F721A5"/>
    <w:rsid w:val="00F729EF"/>
    <w:rsid w:val="00F77CAE"/>
    <w:rsid w:val="00F80D9B"/>
    <w:rsid w:val="00F81A0F"/>
    <w:rsid w:val="00F862FA"/>
    <w:rsid w:val="00F878D3"/>
    <w:rsid w:val="00F9006E"/>
    <w:rsid w:val="00F941FE"/>
    <w:rsid w:val="00F96BB9"/>
    <w:rsid w:val="00F96E58"/>
    <w:rsid w:val="00F97941"/>
    <w:rsid w:val="00FA0675"/>
    <w:rsid w:val="00FA299B"/>
    <w:rsid w:val="00FA2D3B"/>
    <w:rsid w:val="00FA7CF7"/>
    <w:rsid w:val="00FA7D6D"/>
    <w:rsid w:val="00FB0864"/>
    <w:rsid w:val="00FB20FF"/>
    <w:rsid w:val="00FB423C"/>
    <w:rsid w:val="00FB44AA"/>
    <w:rsid w:val="00FC030A"/>
    <w:rsid w:val="00FC1E0A"/>
    <w:rsid w:val="00FC1EE8"/>
    <w:rsid w:val="00FC421D"/>
    <w:rsid w:val="00FD04C9"/>
    <w:rsid w:val="00FD08BB"/>
    <w:rsid w:val="00FD0E81"/>
    <w:rsid w:val="00FD1223"/>
    <w:rsid w:val="00FD416B"/>
    <w:rsid w:val="00FD4FF2"/>
    <w:rsid w:val="00FD7CC6"/>
    <w:rsid w:val="00FE20D0"/>
    <w:rsid w:val="00FE4A1C"/>
    <w:rsid w:val="00FE6D51"/>
    <w:rsid w:val="00FF15A4"/>
    <w:rsid w:val="00FF1BF5"/>
    <w:rsid w:val="00FF3638"/>
    <w:rsid w:val="00FF507B"/>
    <w:rsid w:val="00FF50DB"/>
    <w:rsid w:val="00FF55DD"/>
    <w:rsid w:val="00FF62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7AC27"/>
  <w15:docId w15:val="{EF08EB10-2BF1-4589-828E-1DEE1426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44546A" w:themeColor="text2"/>
      <w:sz w:val="40"/>
      <w:szCs w:val="28"/>
    </w:rPr>
  </w:style>
  <w:style w:type="paragraph" w:styleId="Heading2">
    <w:name w:val="heading 2"/>
    <w:aliases w:val="h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2F5496"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1F3763"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44546A"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44546A"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44546A"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44546A"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44546A"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44546A"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1B0746"/>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4472C4"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2F5496"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1F3763"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1F3763"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D9E2F3" w:themeColor="accent1" w:themeTint="33"/>
        <w:left w:val="single" w:sz="4" w:space="14" w:color="D9E2F3" w:themeColor="accent1" w:themeTint="33"/>
        <w:bottom w:val="single" w:sz="4" w:space="14" w:color="D9E2F3" w:themeColor="accent1" w:themeTint="33"/>
        <w:right w:val="single" w:sz="4" w:space="14" w:color="D9E2F3" w:themeColor="accent1" w:themeTint="33"/>
      </w:pBdr>
      <w:shd w:val="clear" w:color="auto" w:fill="D9E2F3"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4472C4"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uiPriority w:val="3"/>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7B7B7B" w:themeColor="accent3" w:themeShade="BF"/>
    </w:rPr>
  </w:style>
  <w:style w:type="paragraph" w:styleId="ListParagraph">
    <w:name w:val="List Paragraph"/>
    <w:aliases w:val="Recommendation,List Paragraph1,List Paragraph11,#List Paragraph,List Paragraph - bullet,List - bullet,List Paragraph - bullets,Use Case List Paragraph,L,Bullet point,Bullet Point,Bullet points,Content descriptions,List Paragraph Number"/>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ist Paragraph Char,List Paragraph - bullet Char,List - bullet Char,List Paragraph - bullets Char,Use Case List Paragraph Char,L Char,Bullet point Char,Bullet Poin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525252"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525252"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customStyle="1" w:styleId="ICSSBodyText">
    <w:name w:val="ICSS Body Text"/>
    <w:basedOn w:val="BodyText"/>
    <w:qFormat/>
    <w:rsid w:val="00823597"/>
    <w:pPr>
      <w:suppressAutoHyphens w:val="0"/>
      <w:spacing w:before="60" w:line="240" w:lineRule="auto"/>
      <w:ind w:left="142"/>
    </w:pPr>
  </w:style>
  <w:style w:type="paragraph" w:styleId="BodyText">
    <w:name w:val="Body Text"/>
    <w:basedOn w:val="Normal"/>
    <w:link w:val="BodyTextChar"/>
    <w:uiPriority w:val="99"/>
    <w:semiHidden/>
    <w:unhideWhenUsed/>
    <w:rsid w:val="00823597"/>
    <w:pPr>
      <w:spacing w:after="120"/>
    </w:pPr>
  </w:style>
  <w:style w:type="character" w:customStyle="1" w:styleId="BodyTextChar">
    <w:name w:val="Body Text Char"/>
    <w:basedOn w:val="DefaultParagraphFont"/>
    <w:link w:val="BodyText"/>
    <w:uiPriority w:val="99"/>
    <w:semiHidden/>
    <w:rsid w:val="0082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5531828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358506567">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37163918">
      <w:bodyDiv w:val="1"/>
      <w:marLeft w:val="0"/>
      <w:marRight w:val="0"/>
      <w:marTop w:val="0"/>
      <w:marBottom w:val="0"/>
      <w:divBdr>
        <w:top w:val="none" w:sz="0" w:space="0" w:color="auto"/>
        <w:left w:val="none" w:sz="0" w:space="0" w:color="auto"/>
        <w:bottom w:val="none" w:sz="0" w:space="0" w:color="auto"/>
        <w:right w:val="none" w:sz="0" w:space="0" w:color="auto"/>
      </w:divBdr>
    </w:div>
    <w:div w:id="714040210">
      <w:bodyDiv w:val="1"/>
      <w:marLeft w:val="0"/>
      <w:marRight w:val="0"/>
      <w:marTop w:val="0"/>
      <w:marBottom w:val="0"/>
      <w:divBdr>
        <w:top w:val="none" w:sz="0" w:space="0" w:color="auto"/>
        <w:left w:val="none" w:sz="0" w:space="0" w:color="auto"/>
        <w:bottom w:val="none" w:sz="0" w:space="0" w:color="auto"/>
        <w:right w:val="none" w:sz="0" w:space="0" w:color="auto"/>
      </w:divBdr>
    </w:div>
    <w:div w:id="729771738">
      <w:bodyDiv w:val="1"/>
      <w:marLeft w:val="0"/>
      <w:marRight w:val="0"/>
      <w:marTop w:val="0"/>
      <w:marBottom w:val="0"/>
      <w:divBdr>
        <w:top w:val="none" w:sz="0" w:space="0" w:color="auto"/>
        <w:left w:val="none" w:sz="0" w:space="0" w:color="auto"/>
        <w:bottom w:val="none" w:sz="0" w:space="0" w:color="auto"/>
        <w:right w:val="none" w:sz="0" w:space="0" w:color="auto"/>
      </w:divBdr>
      <w:divsChild>
        <w:div w:id="2132630055">
          <w:marLeft w:val="0"/>
          <w:marRight w:val="0"/>
          <w:marTop w:val="0"/>
          <w:marBottom w:val="0"/>
          <w:divBdr>
            <w:top w:val="none" w:sz="0" w:space="0" w:color="auto"/>
            <w:left w:val="none" w:sz="0" w:space="0" w:color="auto"/>
            <w:bottom w:val="none" w:sz="0" w:space="0" w:color="auto"/>
            <w:right w:val="none" w:sz="0" w:space="0" w:color="auto"/>
          </w:divBdr>
          <w:divsChild>
            <w:div w:id="180053329">
              <w:marLeft w:val="0"/>
              <w:marRight w:val="0"/>
              <w:marTop w:val="0"/>
              <w:marBottom w:val="0"/>
              <w:divBdr>
                <w:top w:val="none" w:sz="0" w:space="0" w:color="auto"/>
                <w:left w:val="none" w:sz="0" w:space="0" w:color="auto"/>
                <w:bottom w:val="none" w:sz="0" w:space="0" w:color="auto"/>
                <w:right w:val="none" w:sz="0" w:space="0" w:color="auto"/>
              </w:divBdr>
              <w:divsChild>
                <w:div w:id="13122454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45493847">
      <w:bodyDiv w:val="1"/>
      <w:marLeft w:val="0"/>
      <w:marRight w:val="0"/>
      <w:marTop w:val="0"/>
      <w:marBottom w:val="0"/>
      <w:divBdr>
        <w:top w:val="none" w:sz="0" w:space="0" w:color="auto"/>
        <w:left w:val="none" w:sz="0" w:space="0" w:color="auto"/>
        <w:bottom w:val="none" w:sz="0" w:space="0" w:color="auto"/>
        <w:right w:val="none" w:sz="0" w:space="0" w:color="auto"/>
      </w:divBdr>
    </w:div>
    <w:div w:id="823352643">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003899721">
      <w:bodyDiv w:val="1"/>
      <w:marLeft w:val="0"/>
      <w:marRight w:val="0"/>
      <w:marTop w:val="0"/>
      <w:marBottom w:val="0"/>
      <w:divBdr>
        <w:top w:val="none" w:sz="0" w:space="0" w:color="auto"/>
        <w:left w:val="none" w:sz="0" w:space="0" w:color="auto"/>
        <w:bottom w:val="none" w:sz="0" w:space="0" w:color="auto"/>
        <w:right w:val="none" w:sz="0" w:space="0" w:color="auto"/>
      </w:divBdr>
    </w:div>
    <w:div w:id="1022511382">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74619122">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32629817">
      <w:bodyDiv w:val="1"/>
      <w:marLeft w:val="0"/>
      <w:marRight w:val="0"/>
      <w:marTop w:val="0"/>
      <w:marBottom w:val="0"/>
      <w:divBdr>
        <w:top w:val="none" w:sz="0" w:space="0" w:color="auto"/>
        <w:left w:val="none" w:sz="0" w:space="0" w:color="auto"/>
        <w:bottom w:val="none" w:sz="0" w:space="0" w:color="auto"/>
        <w:right w:val="none" w:sz="0" w:space="0" w:color="auto"/>
      </w:divBdr>
    </w:div>
    <w:div w:id="1434935539">
      <w:bodyDiv w:val="1"/>
      <w:marLeft w:val="0"/>
      <w:marRight w:val="0"/>
      <w:marTop w:val="0"/>
      <w:marBottom w:val="0"/>
      <w:divBdr>
        <w:top w:val="none" w:sz="0" w:space="0" w:color="auto"/>
        <w:left w:val="none" w:sz="0" w:space="0" w:color="auto"/>
        <w:bottom w:val="none" w:sz="0" w:space="0" w:color="auto"/>
        <w:right w:val="none" w:sz="0" w:space="0" w:color="auto"/>
      </w:divBdr>
    </w:div>
    <w:div w:id="149880897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9266942">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14969988">
      <w:bodyDiv w:val="1"/>
      <w:marLeft w:val="0"/>
      <w:marRight w:val="0"/>
      <w:marTop w:val="0"/>
      <w:marBottom w:val="0"/>
      <w:divBdr>
        <w:top w:val="none" w:sz="0" w:space="0" w:color="auto"/>
        <w:left w:val="none" w:sz="0" w:space="0" w:color="auto"/>
        <w:bottom w:val="none" w:sz="0" w:space="0" w:color="auto"/>
        <w:right w:val="none" w:sz="0" w:space="0" w:color="auto"/>
      </w:divBdr>
    </w:div>
    <w:div w:id="1660037219">
      <w:bodyDiv w:val="1"/>
      <w:marLeft w:val="0"/>
      <w:marRight w:val="0"/>
      <w:marTop w:val="0"/>
      <w:marBottom w:val="0"/>
      <w:divBdr>
        <w:top w:val="none" w:sz="0" w:space="0" w:color="auto"/>
        <w:left w:val="none" w:sz="0" w:space="0" w:color="auto"/>
        <w:bottom w:val="none" w:sz="0" w:space="0" w:color="auto"/>
        <w:right w:val="none" w:sz="0" w:space="0" w:color="auto"/>
      </w:divBdr>
    </w:div>
    <w:div w:id="1726945730">
      <w:bodyDiv w:val="1"/>
      <w:marLeft w:val="0"/>
      <w:marRight w:val="0"/>
      <w:marTop w:val="0"/>
      <w:marBottom w:val="0"/>
      <w:divBdr>
        <w:top w:val="none" w:sz="0" w:space="0" w:color="auto"/>
        <w:left w:val="none" w:sz="0" w:space="0" w:color="auto"/>
        <w:bottom w:val="none" w:sz="0" w:space="0" w:color="auto"/>
        <w:right w:val="none" w:sz="0" w:space="0" w:color="auto"/>
      </w:divBdr>
    </w:div>
    <w:div w:id="1741368474">
      <w:bodyDiv w:val="1"/>
      <w:marLeft w:val="0"/>
      <w:marRight w:val="0"/>
      <w:marTop w:val="0"/>
      <w:marBottom w:val="0"/>
      <w:divBdr>
        <w:top w:val="none" w:sz="0" w:space="0" w:color="auto"/>
        <w:left w:val="none" w:sz="0" w:space="0" w:color="auto"/>
        <w:bottom w:val="none" w:sz="0" w:space="0" w:color="auto"/>
        <w:right w:val="none" w:sz="0" w:space="0" w:color="auto"/>
      </w:divBdr>
    </w:div>
    <w:div w:id="1757482664">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929538662">
      <w:bodyDiv w:val="1"/>
      <w:marLeft w:val="0"/>
      <w:marRight w:val="0"/>
      <w:marTop w:val="0"/>
      <w:marBottom w:val="0"/>
      <w:divBdr>
        <w:top w:val="none" w:sz="0" w:space="0" w:color="auto"/>
        <w:left w:val="none" w:sz="0" w:space="0" w:color="auto"/>
        <w:bottom w:val="none" w:sz="0" w:space="0" w:color="auto"/>
        <w:right w:val="none" w:sz="0" w:space="0" w:color="auto"/>
      </w:divBdr>
    </w:div>
    <w:div w:id="1988777084">
      <w:bodyDiv w:val="1"/>
      <w:marLeft w:val="0"/>
      <w:marRight w:val="0"/>
      <w:marTop w:val="0"/>
      <w:marBottom w:val="0"/>
      <w:divBdr>
        <w:top w:val="none" w:sz="0" w:space="0" w:color="auto"/>
        <w:left w:val="none" w:sz="0" w:space="0" w:color="auto"/>
        <w:bottom w:val="none" w:sz="0" w:space="0" w:color="auto"/>
        <w:right w:val="none" w:sz="0" w:space="0" w:color="auto"/>
      </w:divBdr>
    </w:div>
    <w:div w:id="2041474165">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www.abs.gov.au/websitedbs/D3310114.nsf/home/Australian+Statistical+Geography+Standard+(ASGS)" TargetMode="External"/><Relationship Id="rId18" Type="http://schemas.openxmlformats.org/officeDocument/2006/relationships/hyperlink" Target="https://www.grants.gov.au/" TargetMode="External"/><Relationship Id="rId26" Type="http://schemas.openxmlformats.org/officeDocument/2006/relationships/hyperlink" Target="https://www.grants.gov.au/?event=public.home" TargetMode="External"/><Relationship Id="rId39" Type="http://schemas.openxmlformats.org/officeDocument/2006/relationships/hyperlink" Target="mailto:foi@dss.gov.au" TargetMode="External"/><Relationship Id="rId3" Type="http://schemas.openxmlformats.org/officeDocument/2006/relationships/styles" Target="styles.xml"/><Relationship Id="rId21" Type="http://schemas.openxmlformats.org/officeDocument/2006/relationships/hyperlink" Target="mailto:support@communitygrants.gov.au" TargetMode="External"/><Relationship Id="rId34" Type="http://schemas.openxmlformats.org/officeDocument/2006/relationships/hyperlink" Target="mailto:ombudsman@ombudsman.gov.au" TargetMode="External"/><Relationship Id="rId42" Type="http://schemas.openxmlformats.org/officeDocument/2006/relationships/hyperlink" Target="https://engage.dss.gov.au/designing-the-new-integrated-carer-support-service/" TargetMode="External"/><Relationship Id="rId7" Type="http://schemas.openxmlformats.org/officeDocument/2006/relationships/endnotes" Target="endnotes.xml"/><Relationship Id="rId12" Type="http://schemas.openxmlformats.org/officeDocument/2006/relationships/hyperlink" Target="https://www.finance.gov.au/resource-management/grants/" TargetMode="External"/><Relationship Id="rId17" Type="http://schemas.openxmlformats.org/officeDocument/2006/relationships/hyperlink" Target="mailto:support@communitygrants.gov.au" TargetMode="External"/><Relationship Id="rId25" Type="http://schemas.openxmlformats.org/officeDocument/2006/relationships/hyperlink" Target="http://www.finance.gov.au/financial-framework/financial-management-policy-guidance/grants/grant-agreement-template-project.html"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www.comlaw.gov.au/Details/C2014C00757"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support@communitygrants.gov.au" TargetMode="External"/><Relationship Id="rId29" Type="http://schemas.openxmlformats.org/officeDocument/2006/relationships/hyperlink" Target="https://www.grants.gov.au/" TargetMode="External"/><Relationship Id="rId41" Type="http://schemas.openxmlformats.org/officeDocument/2006/relationships/hyperlink" Target="https://engage.dss.gov.au/designing-the-new-integrated-carer-support-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https://www.communitygrants@gov.au/" TargetMode="External"/><Relationship Id="rId32" Type="http://schemas.openxmlformats.org/officeDocument/2006/relationships/hyperlink" Target="mailto:support@communitygrants.gov.au" TargetMode="External"/><Relationship Id="rId37" Type="http://schemas.openxmlformats.org/officeDocument/2006/relationships/hyperlink" Target="https://www.communitygrants.gov.au/open-grants/how-apply/conflict-interest-policy-commonwealth-government-employee" TargetMode="External"/><Relationship Id="rId40" Type="http://schemas.openxmlformats.org/officeDocument/2006/relationships/hyperlink" Target="https://engage.dss.gov.au/designing-the-new-integrated-carer-support-servic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https://www.homeaffairs.gov.au/Search/Pages/Results.aspx?k=Multicultural%20Access%20and%20Equity%20Policy" TargetMode="External"/><Relationship Id="rId36" Type="http://schemas.openxmlformats.org/officeDocument/2006/relationships/hyperlink" Target="http://www.apsc.gov.au/publications-and-media/current-publications/aps-values-and-code-of-conduct-in-practice/conflict-of-interest" TargetMode="External"/><Relationship Id="rId10" Type="http://schemas.openxmlformats.org/officeDocument/2006/relationships/hyperlink" Target="https://www.communitygrants.gov.au/grants" TargetMode="External"/><Relationship Id="rId19" Type="http://schemas.openxmlformats.org/officeDocument/2006/relationships/hyperlink" Target="https://www.communitygrants.gov.au/grants" TargetMode="External"/><Relationship Id="rId31" Type="http://schemas.openxmlformats.org/officeDocument/2006/relationships/hyperlink" Target="https://www.dss.gov.au/contact/feedback-compliments-complaints-and-enquiries/complaints-pag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eader" Target="header1.xml"/><Relationship Id="rId22" Type="http://schemas.openxmlformats.org/officeDocument/2006/relationships/hyperlink" Target="mailto:support@communitygrants.gov.au" TargetMode="External"/><Relationship Id="rId27" Type="http://schemas.openxmlformats.org/officeDocument/2006/relationships/hyperlink" Target="https://dex.dss.gov.au/data-exchange-protocols/" TargetMode="External"/><Relationship Id="rId30" Type="http://schemas.openxmlformats.org/officeDocument/2006/relationships/hyperlink" Target="http://www.communitygrants.gov.au/" TargetMode="External"/><Relationship Id="rId35" Type="http://schemas.openxmlformats.org/officeDocument/2006/relationships/hyperlink" Target="http://www.ombudsman.gov.au" TargetMode="External"/><Relationship Id="rId43" Type="http://schemas.openxmlformats.org/officeDocument/2006/relationships/fontTable" Target="fontTable.xml"/></Relationships>
</file>

<file path=word/theme/theme1.xml><?xml version="1.0" encoding="utf-8"?>
<a:theme xmlns:a="http://schemas.openxmlformats.org/drawingml/2006/main" name="Finance 3 Yellow">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CA85-1498-488C-85E9-659C836A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10647</Words>
  <Characters>60691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Integrated Carer Support Services GOG – 2017-1148</vt:lpstr>
    </vt:vector>
  </TitlesOfParts>
  <Company/>
  <LinksUpToDate>false</LinksUpToDate>
  <CharactersWithSpaces>71196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Carer Support Services GOG – 2017-1148</dc:title>
  <dc:creator>Ben</dc:creator>
  <cp:lastModifiedBy>DONATH, Kristen</cp:lastModifiedBy>
  <cp:revision>2</cp:revision>
  <cp:lastPrinted>2018-11-15T20:24:00Z</cp:lastPrinted>
  <dcterms:created xsi:type="dcterms:W3CDTF">2018-11-15T23:01:00Z</dcterms:created>
  <dcterms:modified xsi:type="dcterms:W3CDTF">2018-11-15T23:01:00Z</dcterms:modified>
</cp:coreProperties>
</file>