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5"/>
        <w:ind w:left="8862" w:right="8571"/>
        <w:jc w:val="center"/>
      </w:pPr>
      <w:bookmarkStart w:name="Region mapping " w:id="1"/>
      <w:bookmarkEnd w:id="1"/>
      <w:r>
        <w:rPr>
          <w:b w:val="0"/>
        </w:rPr>
      </w:r>
      <w:r>
        <w:rPr/>
        <w:t>NDIS Service Region by Local Government Area (LGA)</w:t>
      </w:r>
    </w:p>
    <w:p>
      <w:pPr>
        <w:spacing w:line="240" w:lineRule="auto" w:before="5" w:after="0"/>
        <w:rPr>
          <w:b/>
          <w:sz w:val="11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624"/>
        <w:gridCol w:w="3694"/>
        <w:gridCol w:w="836"/>
        <w:gridCol w:w="648"/>
        <w:gridCol w:w="2771"/>
        <w:gridCol w:w="3548"/>
        <w:gridCol w:w="836"/>
        <w:gridCol w:w="648"/>
        <w:gridCol w:w="2420"/>
        <w:gridCol w:w="3898"/>
      </w:tblGrid>
      <w:tr>
        <w:trPr>
          <w:trHeight w:val="247" w:hRule="atLeast"/>
        </w:trPr>
        <w:tc>
          <w:tcPr>
            <w:tcW w:w="22561" w:type="dxa"/>
            <w:gridSpan w:val="11"/>
          </w:tcPr>
          <w:p>
            <w:pPr>
              <w:pStyle w:val="TableParagraph"/>
              <w:spacing w:line="227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New South Wales</w:t>
            </w:r>
          </w:p>
        </w:tc>
      </w:tr>
      <w:tr>
        <w:trPr>
          <w:trHeight w:val="292" w:hRule="atLeast"/>
        </w:trPr>
        <w:tc>
          <w:tcPr>
            <w:tcW w:w="638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624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694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618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771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548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420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898" w:type="dxa"/>
            <w:shd w:val="clear" w:color="auto" w:fill="D9E0F1"/>
          </w:tcPr>
          <w:p>
            <w:pPr>
              <w:pStyle w:val="TableParagraph"/>
              <w:spacing w:line="261" w:lineRule="exact" w:before="11"/>
              <w:ind w:left="817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</w:tr>
      <w:tr>
        <w:trPr>
          <w:trHeight w:val="308" w:hRule="atLeast"/>
        </w:trPr>
        <w:tc>
          <w:tcPr>
            <w:tcW w:w="638" w:type="dxa"/>
          </w:tcPr>
          <w:p>
            <w:pPr>
              <w:pStyle w:val="TableParagraph"/>
              <w:spacing w:before="9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before="9"/>
              <w:ind w:left="132"/>
              <w:rPr>
                <w:sz w:val="22"/>
              </w:rPr>
            </w:pPr>
            <w:r>
              <w:rPr>
                <w:sz w:val="22"/>
              </w:rPr>
              <w:t>Central Coast</w:t>
            </w:r>
          </w:p>
        </w:tc>
        <w:tc>
          <w:tcPr>
            <w:tcW w:w="3694" w:type="dxa"/>
          </w:tcPr>
          <w:p>
            <w:pPr>
              <w:pStyle w:val="TableParagraph"/>
              <w:spacing w:before="9"/>
              <w:ind w:left="618"/>
              <w:rPr>
                <w:sz w:val="22"/>
              </w:rPr>
            </w:pPr>
            <w:r>
              <w:rPr>
                <w:sz w:val="22"/>
              </w:rPr>
              <w:t>Central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9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before="9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before="9"/>
              <w:ind w:left="469"/>
              <w:rPr>
                <w:sz w:val="22"/>
              </w:rPr>
            </w:pPr>
            <w:r>
              <w:rPr>
                <w:sz w:val="22"/>
              </w:rPr>
              <w:t>Hilltops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9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before="9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before="9"/>
              <w:ind w:left="817"/>
              <w:rPr>
                <w:sz w:val="22"/>
              </w:rPr>
            </w:pPr>
            <w:r>
              <w:rPr>
                <w:sz w:val="22"/>
              </w:rPr>
              <w:t>Bega Valley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Coast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Central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Hay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Snowy Monaro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West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Balranald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Junee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Snowy Monaro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West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Broken Hill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Leeton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Eurobodalla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West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Central Darling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Lockhart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Goulburn Mulwaree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West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Wentworth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Murray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Queanbeyan-Palerang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Armidale Regional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Queanbeyan-Palerang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Cessnock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Narrandera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Snowy Monaro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Dungog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Temora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Upper Lachlan Shire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Glen Innes Severn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Snowy Valleys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Southern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Yass Valley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Mid-Coast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Snowy Valleys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Inner West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Mid-Coast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Federation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Burwood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Mid-Coast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Wagga Wagga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Canada Bay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Gunnedah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Hilltops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Canterbury-Bankstown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Armidale Regional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Nepean Blue Mountains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Blue Mountains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Inner West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Gwydir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Nepean Blue Mountains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Hawkesbury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Inner West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Inverell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Nepean Blue Mountains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Lithgow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Strathfield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Lake Macquarie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Nepean Blue Mountains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Penrith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Sydney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Liverpool Plains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Hornsby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Bathurst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Maitland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Hunters Hill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Blayney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Moree Plains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Ku-ring-gai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Bogan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Muswellbrook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Lane Cove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Bourke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Narrabri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Northern Beaches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Brewarrina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Newcastle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Mosman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Cabonne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Port Stephens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Cobar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Singleton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Northern Beaches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Coonamble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Tamworth Regional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Ryde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Cowra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Tenterfield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Northern Beaches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Western Plains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Upper Hunter Shire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Willoughby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Forbes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Uralla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Ballina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Gilgandra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Hunter New England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Walcha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Byron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Lachlan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Illawarra Shoalhaven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Kiama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Clarence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Mid-Western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Illawarra Shoalhaven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Shellharbour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Kyogle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Narromine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Illawarra Shoalhaven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Shoalhaven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Lismore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Oberon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Illawarra Shoalhaven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Wollongong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Richmond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Orange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Mid North Coast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Bellingen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Northern NSW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Tweed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Parkes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Mid North Coast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Coffs Harbour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Botany Bay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Walgett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Mid North Coast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Kempsey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Georges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Warren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Mid North Coast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Nambucca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Georges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Warrumbungle Shire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Mid North Coast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Port Macquarie-Hastings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Randwick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Weddin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Albury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Rockdale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NSW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Western Plains Regional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Berrigan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Sutherland Shire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Cumberland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Bland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Waverley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Blacktown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Hilltops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Eastern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Woollahra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Cumberland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Carrathool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Canterbury-Bankstown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Parramatta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Edward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Camden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3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27"/>
              <w:rPr>
                <w:sz w:val="22"/>
              </w:rPr>
            </w:pPr>
            <w:r>
              <w:rPr>
                <w:sz w:val="22"/>
              </w:rPr>
              <w:t>Western Sydney</w:t>
            </w:r>
          </w:p>
        </w:tc>
        <w:tc>
          <w:tcPr>
            <w:tcW w:w="3898" w:type="dxa"/>
          </w:tcPr>
          <w:p>
            <w:pPr>
              <w:pStyle w:val="TableParagraph"/>
              <w:spacing w:line="259" w:lineRule="exact"/>
              <w:ind w:left="817"/>
              <w:rPr>
                <w:sz w:val="22"/>
              </w:rPr>
            </w:pPr>
            <w:r>
              <w:rPr>
                <w:sz w:val="22"/>
              </w:rPr>
              <w:t>The Hills Shire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Coolamon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Campbelltown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Gundagai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Fairfield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Federation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Liverpool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Greater Hume Shire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Wingecarribee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9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59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59" w:lineRule="exact"/>
              <w:ind w:left="618"/>
              <w:rPr>
                <w:sz w:val="22"/>
              </w:rPr>
            </w:pPr>
            <w:r>
              <w:rPr>
                <w:sz w:val="22"/>
              </w:rPr>
              <w:t>Griffith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36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771" w:type="dxa"/>
          </w:tcPr>
          <w:p>
            <w:pPr>
              <w:pStyle w:val="TableParagraph"/>
              <w:spacing w:line="259" w:lineRule="exact"/>
              <w:ind w:left="130"/>
              <w:rPr>
                <w:sz w:val="22"/>
              </w:rPr>
            </w:pPr>
            <w:r>
              <w:rPr>
                <w:sz w:val="22"/>
              </w:rPr>
              <w:t>South Western Sydney</w:t>
            </w:r>
          </w:p>
        </w:tc>
        <w:tc>
          <w:tcPr>
            <w:tcW w:w="3548" w:type="dxa"/>
          </w:tcPr>
          <w:p>
            <w:pPr>
              <w:pStyle w:val="TableParagraph"/>
              <w:spacing w:line="259" w:lineRule="exact"/>
              <w:ind w:left="469"/>
              <w:rPr>
                <w:sz w:val="22"/>
              </w:rPr>
            </w:pPr>
            <w:r>
              <w:rPr>
                <w:sz w:val="22"/>
              </w:rPr>
              <w:t>Wollondilly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38" w:type="dxa"/>
          </w:tcPr>
          <w:p>
            <w:pPr>
              <w:pStyle w:val="TableParagraph"/>
              <w:spacing w:line="236" w:lineRule="exact"/>
              <w:ind w:left="28"/>
              <w:rPr>
                <w:sz w:val="22"/>
              </w:rPr>
            </w:pPr>
            <w:r>
              <w:rPr>
                <w:sz w:val="22"/>
              </w:rPr>
              <w:t>NSW</w:t>
            </w:r>
          </w:p>
        </w:tc>
        <w:tc>
          <w:tcPr>
            <w:tcW w:w="2624" w:type="dxa"/>
          </w:tcPr>
          <w:p>
            <w:pPr>
              <w:pStyle w:val="TableParagraph"/>
              <w:spacing w:line="236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94" w:type="dxa"/>
          </w:tcPr>
          <w:p>
            <w:pPr>
              <w:pStyle w:val="TableParagraph"/>
              <w:spacing w:line="236" w:lineRule="exact"/>
              <w:ind w:left="618"/>
              <w:rPr>
                <w:sz w:val="22"/>
              </w:rPr>
            </w:pPr>
            <w:r>
              <w:rPr>
                <w:sz w:val="22"/>
              </w:rPr>
              <w:t>Gundagai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23810" w:h="16840" w:orient="landscape"/>
          <w:pgMar w:top="220" w:bottom="280" w:left="480" w:right="56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689"/>
        <w:gridCol w:w="3630"/>
        <w:gridCol w:w="836"/>
        <w:gridCol w:w="648"/>
        <w:gridCol w:w="2688"/>
        <w:gridCol w:w="3631"/>
        <w:gridCol w:w="836"/>
        <w:gridCol w:w="648"/>
        <w:gridCol w:w="2358"/>
        <w:gridCol w:w="3960"/>
      </w:tblGrid>
      <w:tr>
        <w:trPr>
          <w:trHeight w:val="240" w:hRule="atLeast"/>
        </w:trPr>
        <w:tc>
          <w:tcPr>
            <w:tcW w:w="22562" w:type="dxa"/>
            <w:gridSpan w:val="11"/>
          </w:tcPr>
          <w:p>
            <w:pPr>
              <w:pStyle w:val="TableParagraph"/>
              <w:spacing w:line="21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Victoria</w:t>
            </w:r>
          </w:p>
        </w:tc>
      </w:tr>
      <w:tr>
        <w:trPr>
          <w:trHeight w:val="285" w:hRule="atLeast"/>
        </w:trPr>
        <w:tc>
          <w:tcPr>
            <w:tcW w:w="63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689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63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553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68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631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551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35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96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78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</w:tr>
      <w:tr>
        <w:trPr>
          <w:trHeight w:val="308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before="6"/>
              <w:ind w:left="132"/>
              <w:rPr>
                <w:sz w:val="22"/>
              </w:rPr>
            </w:pPr>
            <w:r>
              <w:rPr>
                <w:sz w:val="22"/>
              </w:rPr>
              <w:t>Barwon</w:t>
            </w:r>
          </w:p>
        </w:tc>
        <w:tc>
          <w:tcPr>
            <w:tcW w:w="3630" w:type="dxa"/>
          </w:tcPr>
          <w:p>
            <w:pPr>
              <w:pStyle w:val="TableParagraph"/>
              <w:spacing w:before="6"/>
              <w:ind w:left="553"/>
              <w:rPr>
                <w:sz w:val="22"/>
              </w:rPr>
            </w:pPr>
            <w:r>
              <w:rPr>
                <w:sz w:val="22"/>
              </w:rPr>
              <w:t>Colac-Otway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6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before="6"/>
              <w:ind w:left="129"/>
              <w:rPr>
                <w:sz w:val="22"/>
              </w:rPr>
            </w:pPr>
            <w:r>
              <w:rPr>
                <w:sz w:val="22"/>
              </w:rPr>
              <w:t>Outer East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before="6"/>
              <w:ind w:left="551"/>
              <w:rPr>
                <w:sz w:val="22"/>
              </w:rPr>
            </w:pPr>
            <w:r>
              <w:rPr>
                <w:sz w:val="22"/>
              </w:rPr>
              <w:t>Knox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Barwon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Greater Geelong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Outer East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Maroondah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Barwon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Queenscliffe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Outer East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Yarra Ranges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Barwon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Surf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Outer Gippsland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East Gippsland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Bayside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Outer Gippsland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Wellington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Frankston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Alpine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Glen Eira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Benalla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Kingston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Indigo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Mornington Peninsula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Mansfield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Port Phillip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Towong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Bayside Peninsula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Stonnington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Wangaratta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Brimbank Melton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Brimbank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Ovens Murray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Wodonga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Brimbank Melton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Melton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Southern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Cardinia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Ararat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Southern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Casey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Ballarat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Southern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Greater Dandenong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Golden Plains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Corangamite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Hepburn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Glenelg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Moorabool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Hindmarsh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Pyrenees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Horsham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Goulburn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Greater Shepparton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Moyne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Goulburn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Mitchell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Northern Grampians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Goulburn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Moira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Southern Grampians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Goulburn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Murrindindi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Warrnambool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Goulburn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Strathbogie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West Wimmera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Hume Moreland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Hume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District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Yarriambiack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Hume Moreland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Moreland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Hobsons Bay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Boroondara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Maribyrnong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Manningham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Melbourne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Monash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Moonee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Whitehorse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Western Melbourne</w:t>
            </w:r>
          </w:p>
        </w:tc>
        <w:tc>
          <w:tcPr>
            <w:tcW w:w="3631" w:type="dxa"/>
          </w:tcPr>
          <w:p>
            <w:pPr>
              <w:pStyle w:val="TableParagraph"/>
              <w:spacing w:line="257" w:lineRule="exact"/>
              <w:ind w:left="551"/>
              <w:rPr>
                <w:sz w:val="22"/>
              </w:rPr>
            </w:pPr>
            <w:r>
              <w:rPr>
                <w:sz w:val="22"/>
              </w:rPr>
              <w:t>Wyndham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Gippsland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Bass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Gippsland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Baw Baw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Gippsland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Latrobe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Inner Gippsland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South Gippsland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Campaspe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Central Goldfields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Greater Bendigo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Macedon Ranges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Loddon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Mount Alexander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Mallee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Buloke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Mallee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Gannawarra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Mallee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Mildura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Mallee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Swan Hill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Edward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Murrumbidgee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Murray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North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Banyule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North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Darebin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North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Nillumbik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North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57" w:lineRule="exact"/>
              <w:ind w:left="553"/>
              <w:rPr>
                <w:sz w:val="22"/>
              </w:rPr>
            </w:pPr>
            <w:r>
              <w:rPr>
                <w:sz w:val="22"/>
              </w:rPr>
              <w:t>Whittlesea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38" w:type="dxa"/>
          </w:tcPr>
          <w:p>
            <w:pPr>
              <w:pStyle w:val="TableParagraph"/>
              <w:spacing w:line="236" w:lineRule="exact"/>
              <w:ind w:left="28"/>
              <w:rPr>
                <w:sz w:val="22"/>
              </w:rPr>
            </w:pPr>
            <w:r>
              <w:rPr>
                <w:sz w:val="22"/>
              </w:rPr>
              <w:t>VIC</w:t>
            </w:r>
          </w:p>
        </w:tc>
        <w:tc>
          <w:tcPr>
            <w:tcW w:w="2689" w:type="dxa"/>
          </w:tcPr>
          <w:p>
            <w:pPr>
              <w:pStyle w:val="TableParagraph"/>
              <w:spacing w:line="236" w:lineRule="exact"/>
              <w:ind w:left="132"/>
              <w:rPr>
                <w:sz w:val="22"/>
              </w:rPr>
            </w:pPr>
            <w:r>
              <w:rPr>
                <w:sz w:val="22"/>
              </w:rPr>
              <w:t>North East Melbourne</w:t>
            </w:r>
          </w:p>
        </w:tc>
        <w:tc>
          <w:tcPr>
            <w:tcW w:w="3630" w:type="dxa"/>
          </w:tcPr>
          <w:p>
            <w:pPr>
              <w:pStyle w:val="TableParagraph"/>
              <w:spacing w:line="236" w:lineRule="exact"/>
              <w:ind w:left="553"/>
              <w:rPr>
                <w:sz w:val="22"/>
              </w:rPr>
            </w:pPr>
            <w:r>
              <w:rPr>
                <w:sz w:val="22"/>
              </w:rPr>
              <w:t>Yarra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810" w:h="16840" w:orient="landscape"/>
          <w:pgMar w:top="680" w:bottom="280" w:left="480" w:right="56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701"/>
        <w:gridCol w:w="3618"/>
        <w:gridCol w:w="836"/>
        <w:gridCol w:w="648"/>
        <w:gridCol w:w="2358"/>
        <w:gridCol w:w="3960"/>
        <w:gridCol w:w="836"/>
        <w:gridCol w:w="648"/>
        <w:gridCol w:w="2358"/>
        <w:gridCol w:w="3960"/>
      </w:tblGrid>
      <w:tr>
        <w:trPr>
          <w:trHeight w:val="240" w:hRule="atLeast"/>
        </w:trPr>
        <w:tc>
          <w:tcPr>
            <w:tcW w:w="22561" w:type="dxa"/>
            <w:gridSpan w:val="11"/>
          </w:tcPr>
          <w:p>
            <w:pPr>
              <w:pStyle w:val="TableParagraph"/>
              <w:spacing w:line="21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Queensland</w:t>
            </w:r>
          </w:p>
        </w:tc>
      </w:tr>
      <w:tr>
        <w:trPr>
          <w:trHeight w:val="285" w:hRule="atLeast"/>
        </w:trPr>
        <w:tc>
          <w:tcPr>
            <w:tcW w:w="63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0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701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61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541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35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96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81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35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96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79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</w:tr>
      <w:tr>
        <w:trPr>
          <w:trHeight w:val="308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before="6"/>
              <w:ind w:left="132"/>
              <w:rPr>
                <w:sz w:val="22"/>
              </w:rPr>
            </w:pPr>
            <w:r>
              <w:rPr>
                <w:sz w:val="22"/>
              </w:rPr>
              <w:t>Beenleigh</w:t>
            </w:r>
          </w:p>
        </w:tc>
        <w:tc>
          <w:tcPr>
            <w:tcW w:w="3618" w:type="dxa"/>
          </w:tcPr>
          <w:p>
            <w:pPr>
              <w:pStyle w:val="TableParagraph"/>
              <w:spacing w:before="6"/>
              <w:ind w:left="541"/>
              <w:rPr>
                <w:sz w:val="22"/>
              </w:rPr>
            </w:pPr>
            <w:r>
              <w:rPr>
                <w:sz w:val="22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6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before="6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881"/>
              <w:rPr>
                <w:sz w:val="22"/>
              </w:rPr>
            </w:pPr>
            <w:r>
              <w:rPr>
                <w:sz w:val="22"/>
              </w:rPr>
              <w:t>Balonne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Beenleigh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Redland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Bulloo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Brisbane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Brisbane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Goondiwindi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Bundaberg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Bundaberg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Maranoa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Caboolture/Strathpine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Moreton Bay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Murweh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Aurukun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Paroo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Quilpie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Cassowary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Southern Downs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Cook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Croydon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Toowoomba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Western Downs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Etheridge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Boulia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Hope Vale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Burdekin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Kowanyama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Burke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Lockhart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Carpentaria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Mapoon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Charters Towers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Napranum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Cloncurry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Northern Peninsula Area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Doomadgee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Pormpuraaw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Flinders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Mareeba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Hinchinbrook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Torres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McKinlay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Torres Strait Island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Mornington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Weipa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Mount Isa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Wujal Wujal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Palm Island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Cairns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Yarrabah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Richmond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Ipswich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Ipswich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29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1"/>
              <w:rPr>
                <w:sz w:val="22"/>
              </w:rPr>
            </w:pPr>
            <w:r>
              <w:rPr>
                <w:sz w:val="22"/>
              </w:rPr>
              <w:t>Townsville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Ipswich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Lockyer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Ipswich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Scenic Rim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Ipswich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Somerset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Mackay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Isaac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Mackay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Mackay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Mackay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Whitsunday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Maroochydore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Gympie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Maroochydore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Noosa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Maryborough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Cherbourg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Maryborough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Fraser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Maryborough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North Burnett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Maryborough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South Burnett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Robina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Gold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Banana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Barcaldine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Barcoo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Blackall-Tambo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Diamantina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Gladstone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Longreach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Livingstone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57" w:lineRule="exact"/>
              <w:ind w:left="541"/>
              <w:rPr>
                <w:sz w:val="22"/>
              </w:rPr>
            </w:pPr>
            <w:r>
              <w:rPr>
                <w:sz w:val="22"/>
              </w:rPr>
              <w:t>Winton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38" w:type="dxa"/>
          </w:tcPr>
          <w:p>
            <w:pPr>
              <w:pStyle w:val="TableParagraph"/>
              <w:spacing w:line="236" w:lineRule="exact"/>
              <w:ind w:left="10" w:right="210"/>
              <w:jc w:val="center"/>
              <w:rPr>
                <w:sz w:val="22"/>
              </w:rPr>
            </w:pPr>
            <w:r>
              <w:rPr>
                <w:sz w:val="22"/>
              </w:rPr>
              <w:t>QLD</w:t>
            </w:r>
          </w:p>
        </w:tc>
        <w:tc>
          <w:tcPr>
            <w:tcW w:w="2701" w:type="dxa"/>
          </w:tcPr>
          <w:p>
            <w:pPr>
              <w:pStyle w:val="TableParagraph"/>
              <w:spacing w:line="236" w:lineRule="exact"/>
              <w:ind w:left="132"/>
              <w:rPr>
                <w:sz w:val="22"/>
              </w:rPr>
            </w:pPr>
            <w:r>
              <w:rPr>
                <w:sz w:val="22"/>
              </w:rPr>
              <w:t>Rockhampton</w:t>
            </w:r>
          </w:p>
        </w:tc>
        <w:tc>
          <w:tcPr>
            <w:tcW w:w="3618" w:type="dxa"/>
          </w:tcPr>
          <w:p>
            <w:pPr>
              <w:pStyle w:val="TableParagraph"/>
              <w:spacing w:line="236" w:lineRule="exact"/>
              <w:ind w:left="541"/>
              <w:rPr>
                <w:sz w:val="22"/>
              </w:rPr>
            </w:pPr>
            <w:r>
              <w:rPr>
                <w:sz w:val="22"/>
              </w:rPr>
              <w:t>Woorabinda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810" w:h="16840" w:orient="landscape"/>
          <w:pgMar w:top="680" w:bottom="280" w:left="480" w:right="56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633"/>
        <w:gridCol w:w="3684"/>
        <w:gridCol w:w="835"/>
        <w:gridCol w:w="647"/>
        <w:gridCol w:w="2548"/>
        <w:gridCol w:w="3770"/>
        <w:gridCol w:w="836"/>
        <w:gridCol w:w="648"/>
        <w:gridCol w:w="2358"/>
        <w:gridCol w:w="3960"/>
      </w:tblGrid>
      <w:tr>
        <w:trPr>
          <w:trHeight w:val="240" w:hRule="atLeast"/>
        </w:trPr>
        <w:tc>
          <w:tcPr>
            <w:tcW w:w="22557" w:type="dxa"/>
            <w:gridSpan w:val="11"/>
          </w:tcPr>
          <w:p>
            <w:pPr>
              <w:pStyle w:val="TableParagraph"/>
              <w:spacing w:line="21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Western Australia</w:t>
            </w:r>
          </w:p>
        </w:tc>
      </w:tr>
      <w:tr>
        <w:trPr>
          <w:trHeight w:val="285" w:hRule="atLeast"/>
        </w:trPr>
        <w:tc>
          <w:tcPr>
            <w:tcW w:w="63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633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684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609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5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77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695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35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96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83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</w:tr>
      <w:tr>
        <w:trPr>
          <w:trHeight w:val="308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before="6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before="6"/>
              <w:ind w:left="609"/>
              <w:rPr>
                <w:sz w:val="22"/>
              </w:rPr>
            </w:pPr>
            <w:r>
              <w:rPr>
                <w:sz w:val="22"/>
              </w:rPr>
              <w:t>Cambridge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6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before="6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before="6"/>
              <w:ind w:left="695"/>
              <w:rPr>
                <w:sz w:val="22"/>
              </w:rPr>
            </w:pPr>
            <w:r>
              <w:rPr>
                <w:sz w:val="22"/>
              </w:rPr>
              <w:t>Carnamah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6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883"/>
              <w:rPr>
                <w:sz w:val="22"/>
              </w:rPr>
            </w:pPr>
            <w:r>
              <w:rPr>
                <w:sz w:val="22"/>
              </w:rPr>
              <w:t>Beverley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Claremont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Carnarvon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Boddington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Cottesloe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Chapman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Brookton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Mosman Park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Coorow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Bruce Rock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Nedlands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Cue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Chittering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Peppermint Grove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Exmouth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Corrigin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Perth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Greater Geraldton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Cuballing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Stirling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Irwin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Cunderdin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Subiaco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Meekatharra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Dalwallinu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North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Vincent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Mingenew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Dandaragan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South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Cockburn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Morawa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Dowerin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South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East Fremantle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Mount Magnet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Dumbleyung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South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Fremantle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Greater Geraldton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Gingin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South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Kwinana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Murchison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Goomalling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South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Melville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Northampton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Kellerberrin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Central South Metro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South Perth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Perenjori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Kondinin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Coolgardie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Sandstone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Koorda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Dundas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Shark Bay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Kulin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Esperance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Three Springs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Lake Grace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Kalgoorlie/Boulder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Upper Gascoyne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Merredin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Laverton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Wiluna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Moora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Leonora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Midwest-Gascoyne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Yalgoo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Mount Marshall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Menzies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Bassendean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Mukinbudin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Ngaanyatjarraku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Bayswater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Narembeen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Goldfields-Esperance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Ravensthorpe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Kalamunda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Narrogin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Albany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Mundaring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Narrogin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Broomehill-Tambellup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Swan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Northam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Cranbrook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Joondalup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Nungarin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Denmark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Wanneroo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Pingelly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Gnowangerup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Belmont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Quairading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Jerramungup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Canning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Tammin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Katanning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Gosnells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Toodyay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Kent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East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Victoria Park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Trayning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Kojonup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Armadale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Victoria Plains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Plantagenet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Mandurah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Wagin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Great Southern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Woodanilling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Murray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Wandering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Ashburton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Rockingham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West Arthur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Broome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Metro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Serpentine-Jarrahdale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Westonia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Derby-West Kimberley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Augusta-Margaret River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Wickepin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East Pilbara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Boyup Brook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Williams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Halls Creek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Bridgetown-Greenbushes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Wongan-Ballidu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Port Hedland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Bunbury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Wyalkatchem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Karratha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Busselton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Yilgarn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63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Kimberley-Pilbara</w:t>
            </w:r>
          </w:p>
        </w:tc>
        <w:tc>
          <w:tcPr>
            <w:tcW w:w="3684" w:type="dxa"/>
          </w:tcPr>
          <w:p>
            <w:pPr>
              <w:pStyle w:val="TableParagraph"/>
              <w:spacing w:line="257" w:lineRule="exact"/>
              <w:ind w:left="609"/>
              <w:rPr>
                <w:sz w:val="22"/>
              </w:rPr>
            </w:pPr>
            <w:r>
              <w:rPr>
                <w:sz w:val="22"/>
              </w:rPr>
              <w:t>Wyndham-East Kimberley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Capel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358" w:type="dxa"/>
          </w:tcPr>
          <w:p>
            <w:pPr>
              <w:pStyle w:val="TableParagraph"/>
              <w:spacing w:line="257" w:lineRule="exact"/>
              <w:ind w:left="131"/>
              <w:rPr>
                <w:sz w:val="22"/>
              </w:rPr>
            </w:pPr>
            <w:r>
              <w:rPr>
                <w:sz w:val="22"/>
              </w:rPr>
              <w:t>Wheat Belt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883"/>
              <w:rPr>
                <w:sz w:val="22"/>
              </w:rPr>
            </w:pPr>
            <w:r>
              <w:rPr>
                <w:sz w:val="22"/>
              </w:rPr>
              <w:t>York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Collie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Dardanup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Donnybrook-Balingup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Harvey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Manjimup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57" w:lineRule="exact"/>
              <w:ind w:left="695"/>
              <w:rPr>
                <w:sz w:val="22"/>
              </w:rPr>
            </w:pPr>
            <w:r>
              <w:rPr>
                <w:sz w:val="22"/>
              </w:rPr>
              <w:t>Nannup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36" w:lineRule="exact"/>
              <w:ind w:left="38"/>
              <w:rPr>
                <w:sz w:val="22"/>
              </w:rPr>
            </w:pPr>
            <w:r>
              <w:rPr>
                <w:sz w:val="22"/>
              </w:rPr>
              <w:t>WA</w:t>
            </w:r>
          </w:p>
        </w:tc>
        <w:tc>
          <w:tcPr>
            <w:tcW w:w="2548" w:type="dxa"/>
          </w:tcPr>
          <w:p>
            <w:pPr>
              <w:pStyle w:val="TableParagraph"/>
              <w:spacing w:line="236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 West</w:t>
            </w:r>
          </w:p>
        </w:tc>
        <w:tc>
          <w:tcPr>
            <w:tcW w:w="3770" w:type="dxa"/>
          </w:tcPr>
          <w:p>
            <w:pPr>
              <w:pStyle w:val="TableParagraph"/>
              <w:spacing w:line="236" w:lineRule="exact"/>
              <w:ind w:left="695"/>
              <w:rPr>
                <w:sz w:val="22"/>
              </w:rPr>
            </w:pPr>
            <w:r>
              <w:rPr>
                <w:sz w:val="22"/>
              </w:rPr>
              <w:t>Waroona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810" w:h="16840" w:orient="landscape"/>
          <w:pgMar w:top="680" w:bottom="280" w:left="480" w:right="56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093"/>
        <w:gridCol w:w="3224"/>
        <w:gridCol w:w="835"/>
        <w:gridCol w:w="647"/>
        <w:gridCol w:w="2629"/>
        <w:gridCol w:w="3689"/>
        <w:gridCol w:w="836"/>
        <w:gridCol w:w="648"/>
        <w:gridCol w:w="2358"/>
        <w:gridCol w:w="3960"/>
      </w:tblGrid>
      <w:tr>
        <w:trPr>
          <w:trHeight w:val="240" w:hRule="atLeast"/>
        </w:trPr>
        <w:tc>
          <w:tcPr>
            <w:tcW w:w="22557" w:type="dxa"/>
            <w:gridSpan w:val="11"/>
          </w:tcPr>
          <w:p>
            <w:pPr>
              <w:pStyle w:val="TableParagraph"/>
              <w:spacing w:line="21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South Australia</w:t>
            </w:r>
          </w:p>
        </w:tc>
      </w:tr>
      <w:tr>
        <w:trPr>
          <w:trHeight w:val="285" w:hRule="atLeast"/>
        </w:trPr>
        <w:tc>
          <w:tcPr>
            <w:tcW w:w="63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93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224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629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689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614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35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960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83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</w:tr>
      <w:tr>
        <w:trPr>
          <w:trHeight w:val="308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before="6"/>
              <w:ind w:left="132"/>
              <w:rPr>
                <w:sz w:val="22"/>
              </w:rPr>
            </w:pPr>
            <w:r>
              <w:rPr>
                <w:sz w:val="22"/>
              </w:rPr>
              <w:t>Adelaide Hills</w:t>
            </w:r>
          </w:p>
        </w:tc>
        <w:tc>
          <w:tcPr>
            <w:tcW w:w="3224" w:type="dxa"/>
          </w:tcPr>
          <w:p>
            <w:pPr>
              <w:pStyle w:val="TableParagraph"/>
              <w:spacing w:before="6"/>
              <w:ind w:left="149"/>
              <w:rPr>
                <w:sz w:val="22"/>
              </w:rPr>
            </w:pPr>
            <w:r>
              <w:rPr>
                <w:sz w:val="22"/>
              </w:rPr>
              <w:t>Adelaide Hills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6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before="6"/>
              <w:ind w:left="133"/>
              <w:rPr>
                <w:sz w:val="22"/>
              </w:rPr>
            </w:pPr>
            <w:r>
              <w:rPr>
                <w:sz w:val="22"/>
              </w:rPr>
              <w:t>Northern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before="6"/>
              <w:ind w:left="614"/>
              <w:rPr>
                <w:sz w:val="22"/>
              </w:rPr>
            </w:pPr>
            <w:r>
              <w:rPr>
                <w:sz w:val="22"/>
              </w:rPr>
              <w:t>Playford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Adelaide Hills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Mount Barker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Port Adelaide Enfield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Barossa, Light and Lower North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Barossa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Salisbury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Barossa, Light and Lower North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Gawler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Northern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Tea Tree Gully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Barossa, Light and Lower North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Light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Holdfast Bay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Barossa, Light and Lower North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Mallala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Adelaide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Mitcham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Burnside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Southern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Onkaparinga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Campbelltown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Western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Charles Sturt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Norwood Payneham St Peters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Western Adelaide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West Torrens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Prospect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Barunga West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Unley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Clare and Gilbert Valleys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Eastern Adelaide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Walkerville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Copper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Ceduna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Goyder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Cleve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Mount Remarkable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Elliston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Northern Areas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Franklin Harbour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Orroroo/Carrieton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Kimba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Peterborough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Lower Eyre Peninsula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Port Pirie City and Dists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Maralinga Tjarutja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Wakefield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Port Lincoln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57" w:lineRule="exact"/>
              <w:ind w:left="3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2629" w:type="dxa"/>
          </w:tcPr>
          <w:p>
            <w:pPr>
              <w:pStyle w:val="TableParagraph"/>
              <w:spacing w:line="257" w:lineRule="exact"/>
              <w:ind w:left="133"/>
              <w:rPr>
                <w:sz w:val="22"/>
              </w:rPr>
            </w:pPr>
            <w:r>
              <w:rPr>
                <w:sz w:val="22"/>
              </w:rPr>
              <w:t>Yorke and Mid North</w:t>
            </w:r>
          </w:p>
        </w:tc>
        <w:tc>
          <w:tcPr>
            <w:tcW w:w="3689" w:type="dxa"/>
          </w:tcPr>
          <w:p>
            <w:pPr>
              <w:pStyle w:val="TableParagraph"/>
              <w:spacing w:line="257" w:lineRule="exact"/>
              <w:ind w:left="614"/>
              <w:rPr>
                <w:sz w:val="22"/>
              </w:rPr>
            </w:pPr>
            <w:r>
              <w:rPr>
                <w:sz w:val="22"/>
              </w:rPr>
              <w:t>Yorke Peninsula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Streaky Bay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Tumby Bay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Whyalla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Eyre and Western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Wudinna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North (SA)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Anangu Pitjantjatjara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North (SA)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Coober Pedy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North (SA)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Flinders Ranges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North (SA)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Port Augusta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Far North (SA)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Roxby Downs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Fleurieu and Kangaroo Island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Alexandrina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Fleurieu and Kangaroo Island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Kangaroo Island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Fleurieu and Kangaroo Island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Victor Harbor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Fleurieu and Kangaroo Island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Yankalilla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Grant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Kingston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Mount Gambier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Naracoorte and Lucindale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Robe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Tatiara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Limestone Coast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Wattle Range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Berri and Barmera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Karoonda East Murray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Loxton Waikerie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Mid Murray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Murray Bridge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Renmark Paringa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57" w:lineRule="exact"/>
              <w:ind w:left="149"/>
              <w:rPr>
                <w:sz w:val="22"/>
              </w:rPr>
            </w:pPr>
            <w:r>
              <w:rPr>
                <w:sz w:val="22"/>
              </w:rPr>
              <w:t>Southern Mallee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38" w:type="dxa"/>
          </w:tcPr>
          <w:p>
            <w:pPr>
              <w:pStyle w:val="TableParagraph"/>
              <w:spacing w:line="236" w:lineRule="exact"/>
              <w:ind w:left="2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3093" w:type="dxa"/>
          </w:tcPr>
          <w:p>
            <w:pPr>
              <w:pStyle w:val="TableParagraph"/>
              <w:spacing w:line="236" w:lineRule="exact"/>
              <w:ind w:left="132"/>
              <w:rPr>
                <w:sz w:val="22"/>
              </w:rPr>
            </w:pPr>
            <w:r>
              <w:rPr>
                <w:sz w:val="22"/>
              </w:rPr>
              <w:t>Murray and Mallee</w:t>
            </w:r>
          </w:p>
        </w:tc>
        <w:tc>
          <w:tcPr>
            <w:tcW w:w="3224" w:type="dxa"/>
          </w:tcPr>
          <w:p>
            <w:pPr>
              <w:pStyle w:val="TableParagraph"/>
              <w:spacing w:line="236" w:lineRule="exact"/>
              <w:ind w:left="149"/>
              <w:rPr>
                <w:sz w:val="22"/>
              </w:rPr>
            </w:pPr>
            <w:r>
              <w:rPr>
                <w:sz w:val="22"/>
              </w:rPr>
              <w:t>The Coorong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810" w:h="16840" w:orient="landscape"/>
          <w:pgMar w:top="680" w:bottom="280" w:left="480" w:right="56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403"/>
        <w:gridCol w:w="3915"/>
        <w:gridCol w:w="836"/>
        <w:gridCol w:w="648"/>
        <w:gridCol w:w="2898"/>
        <w:gridCol w:w="3421"/>
        <w:gridCol w:w="836"/>
        <w:gridCol w:w="648"/>
        <w:gridCol w:w="2435"/>
        <w:gridCol w:w="3883"/>
      </w:tblGrid>
      <w:tr>
        <w:trPr>
          <w:trHeight w:val="240" w:hRule="atLeast"/>
        </w:trPr>
        <w:tc>
          <w:tcPr>
            <w:tcW w:w="3041" w:type="dxa"/>
            <w:gridSpan w:val="2"/>
          </w:tcPr>
          <w:p>
            <w:pPr>
              <w:pStyle w:val="TableParagraph"/>
              <w:spacing w:line="21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Tasmania</w:t>
            </w:r>
          </w:p>
        </w:tc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1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ACT</w:t>
            </w: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13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3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403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915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39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89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421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435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Service Region</w:t>
            </w:r>
          </w:p>
        </w:tc>
        <w:tc>
          <w:tcPr>
            <w:tcW w:w="3883" w:type="dxa"/>
            <w:shd w:val="clear" w:color="auto" w:fill="D9E0F1"/>
          </w:tcPr>
          <w:p>
            <w:pPr>
              <w:pStyle w:val="TableParagraph"/>
              <w:spacing w:line="264" w:lineRule="exact" w:before="9"/>
              <w:ind w:left="802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</w:tr>
      <w:tr>
        <w:trPr>
          <w:trHeight w:val="308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before="6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before="6"/>
              <w:ind w:left="839"/>
              <w:rPr>
                <w:sz w:val="22"/>
              </w:rPr>
            </w:pPr>
            <w:r>
              <w:rPr>
                <w:sz w:val="22"/>
              </w:rPr>
              <w:t>Break O'Day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6"/>
              <w:ind w:left="36"/>
              <w:rPr>
                <w:sz w:val="22"/>
              </w:rPr>
            </w:pPr>
            <w:r>
              <w:rPr>
                <w:sz w:val="22"/>
              </w:rPr>
              <w:t>ACT</w:t>
            </w:r>
          </w:p>
        </w:tc>
        <w:tc>
          <w:tcPr>
            <w:tcW w:w="2898" w:type="dxa"/>
          </w:tcPr>
          <w:p>
            <w:pPr>
              <w:pStyle w:val="TableParagraph"/>
              <w:spacing w:before="6"/>
              <w:ind w:left="130"/>
              <w:rPr>
                <w:sz w:val="22"/>
              </w:rPr>
            </w:pPr>
            <w:r>
              <w:rPr>
                <w:sz w:val="22"/>
              </w:rPr>
              <w:t>Australian Capital Territory</w:t>
            </w: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6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before="6"/>
              <w:ind w:left="127"/>
              <w:rPr>
                <w:sz w:val="22"/>
              </w:rPr>
            </w:pPr>
            <w:r>
              <w:rPr>
                <w:sz w:val="22"/>
              </w:rPr>
              <w:t>Barkly</w:t>
            </w:r>
          </w:p>
        </w:tc>
        <w:tc>
          <w:tcPr>
            <w:tcW w:w="3883" w:type="dxa"/>
          </w:tcPr>
          <w:p>
            <w:pPr>
              <w:pStyle w:val="TableParagraph"/>
              <w:spacing w:before="6"/>
              <w:ind w:left="802"/>
              <w:rPr>
                <w:sz w:val="22"/>
              </w:rPr>
            </w:pPr>
            <w:r>
              <w:rPr>
                <w:sz w:val="22"/>
              </w:rPr>
              <w:t>Barkly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Dorset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Central Australia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Alice Springs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Flinders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Central Australia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Central Desert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George Town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Central Australia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MacDonnell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Launceston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Remote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Roper Gulf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Meander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Remote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Tiwi Islands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Northern Midlands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Remote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Victoria Daly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West Tamar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Remote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West Arnhem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Burnie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Urban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Belyuen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Central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Urban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Coomalie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Circular Head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Urban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Darwin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Devonport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Urban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Litchfield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Kentish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Urban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Palmerston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King Island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Darwin Urban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Wagait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Latrobe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East Arnhem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East Arnhem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Waratah/Wynyard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7" w:lineRule="exact"/>
              <w:ind w:left="33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2435" w:type="dxa"/>
          </w:tcPr>
          <w:p>
            <w:pPr>
              <w:pStyle w:val="TableParagraph"/>
              <w:spacing w:line="257" w:lineRule="exact"/>
              <w:ind w:left="127"/>
              <w:rPr>
                <w:sz w:val="22"/>
              </w:rPr>
            </w:pPr>
            <w:r>
              <w:rPr>
                <w:sz w:val="22"/>
              </w:rPr>
              <w:t>Katherine</w:t>
            </w:r>
          </w:p>
        </w:tc>
        <w:tc>
          <w:tcPr>
            <w:tcW w:w="3883" w:type="dxa"/>
          </w:tcPr>
          <w:p>
            <w:pPr>
              <w:pStyle w:val="TableParagraph"/>
              <w:spacing w:line="257" w:lineRule="exact"/>
              <w:ind w:left="802"/>
              <w:rPr>
                <w:sz w:val="22"/>
              </w:rPr>
            </w:pPr>
            <w:r>
              <w:rPr>
                <w:sz w:val="22"/>
              </w:rPr>
              <w:t>Katherine</w:t>
            </w: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North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West Coast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Brighton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Central Highlands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Clarence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Derwent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Glamorgan/Spring Bay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Sorell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Southern Midlands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East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Tasman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Glenorchy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Hobart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38" w:type="dxa"/>
          </w:tcPr>
          <w:p>
            <w:pPr>
              <w:pStyle w:val="TableParagraph"/>
              <w:spacing w:line="257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57" w:lineRule="exact"/>
              <w:ind w:left="839"/>
              <w:rPr>
                <w:sz w:val="22"/>
              </w:rPr>
            </w:pPr>
            <w:r>
              <w:rPr>
                <w:sz w:val="22"/>
              </w:rPr>
              <w:t>Huon Valley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38" w:type="dxa"/>
          </w:tcPr>
          <w:p>
            <w:pPr>
              <w:pStyle w:val="TableParagraph"/>
              <w:spacing w:line="236" w:lineRule="exact"/>
              <w:ind w:left="28"/>
              <w:rPr>
                <w:sz w:val="22"/>
              </w:rPr>
            </w:pPr>
            <w:r>
              <w:rPr>
                <w:sz w:val="22"/>
              </w:rPr>
              <w:t>TAS</w:t>
            </w:r>
          </w:p>
        </w:tc>
        <w:tc>
          <w:tcPr>
            <w:tcW w:w="2403" w:type="dxa"/>
          </w:tcPr>
          <w:p>
            <w:pPr>
              <w:pStyle w:val="TableParagraph"/>
              <w:spacing w:line="236" w:lineRule="exact"/>
              <w:ind w:left="132"/>
              <w:rPr>
                <w:sz w:val="22"/>
              </w:rPr>
            </w:pPr>
            <w:r>
              <w:rPr>
                <w:sz w:val="22"/>
              </w:rPr>
              <w:t>TAS South West</w:t>
            </w:r>
          </w:p>
        </w:tc>
        <w:tc>
          <w:tcPr>
            <w:tcW w:w="3915" w:type="dxa"/>
          </w:tcPr>
          <w:p>
            <w:pPr>
              <w:pStyle w:val="TableParagraph"/>
              <w:spacing w:line="236" w:lineRule="exact"/>
              <w:ind w:left="839"/>
              <w:rPr>
                <w:sz w:val="22"/>
              </w:rPr>
            </w:pPr>
            <w:r>
              <w:rPr>
                <w:sz w:val="22"/>
              </w:rPr>
              <w:t>Kingborough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23810" w:h="16840" w:orient="landscape"/>
      <w:pgMar w:top="680" w:bottom="280" w:left="4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au" w:bidi="en-au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b/>
      <w:bCs/>
      <w:sz w:val="24"/>
      <w:szCs w:val="24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KRAUSE, Belinda</dc:creator>
  <dcterms:created xsi:type="dcterms:W3CDTF">2018-11-12T06:54:57Z</dcterms:created>
  <dcterms:modified xsi:type="dcterms:W3CDTF">2018-11-12T06:54:57Z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2018-11-12T00:00:00Z</vt:filetime>
  </property>
</Properties>
</file>