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5A70A" w14:textId="77777777" w:rsidR="007E1C17" w:rsidRDefault="002758D6" w:rsidP="007E1C17">
      <w:pPr>
        <w:pStyle w:val="Title"/>
        <w:spacing w:before="120" w:line="276" w:lineRule="auto"/>
        <w:contextualSpacing w:val="0"/>
        <w:jc w:val="center"/>
        <w:rPr>
          <w:color w:val="000000" w:themeColor="text1"/>
        </w:rPr>
      </w:pPr>
      <w:r w:rsidRPr="00A31E73">
        <w:rPr>
          <w:color w:val="000000" w:themeColor="text1"/>
        </w:rPr>
        <w:t>In</w:t>
      </w:r>
      <w:r w:rsidR="007E1C17">
        <w:rPr>
          <w:color w:val="000000" w:themeColor="text1"/>
        </w:rPr>
        <w:t>f</w:t>
      </w:r>
      <w:r w:rsidRPr="00A31E73">
        <w:rPr>
          <w:color w:val="000000" w:themeColor="text1"/>
        </w:rPr>
        <w:t>ormation Linkages and Capacity Building (ILC)</w:t>
      </w:r>
    </w:p>
    <w:p w14:paraId="23C609CB" w14:textId="77777777" w:rsidR="007E1C17" w:rsidRDefault="007E1C17" w:rsidP="007E1C17">
      <w:pPr>
        <w:pStyle w:val="Title"/>
        <w:spacing w:before="120" w:line="276" w:lineRule="auto"/>
        <w:contextualSpacing w:val="0"/>
        <w:jc w:val="center"/>
        <w:rPr>
          <w:color w:val="000000" w:themeColor="text1"/>
        </w:rPr>
      </w:pPr>
      <w:r>
        <w:rPr>
          <w:color w:val="000000" w:themeColor="text1"/>
        </w:rPr>
        <w:t>Grant Opportunity Guidelines</w:t>
      </w:r>
    </w:p>
    <w:p w14:paraId="7F727E71" w14:textId="77777777" w:rsidR="007E1C17" w:rsidRPr="00A31E73" w:rsidRDefault="007E1C17" w:rsidP="007E1C17">
      <w:pPr>
        <w:pStyle w:val="Title"/>
        <w:spacing w:before="120" w:line="276" w:lineRule="auto"/>
        <w:contextualSpacing w:val="0"/>
        <w:jc w:val="center"/>
        <w:rPr>
          <w:b/>
          <w:color w:val="000000" w:themeColor="text1"/>
          <w:sz w:val="32"/>
          <w:szCs w:val="32"/>
        </w:rPr>
      </w:pPr>
      <w:r>
        <w:rPr>
          <w:color w:val="000000" w:themeColor="text1"/>
        </w:rPr>
        <w:br/>
      </w:r>
      <w:r w:rsidRPr="00A31E73">
        <w:rPr>
          <w:b/>
          <w:color w:val="000000" w:themeColor="text1"/>
          <w:sz w:val="32"/>
          <w:szCs w:val="32"/>
        </w:rPr>
        <w:t>D</w:t>
      </w:r>
      <w:r>
        <w:rPr>
          <w:b/>
          <w:color w:val="000000" w:themeColor="text1"/>
          <w:sz w:val="32"/>
          <w:szCs w:val="32"/>
        </w:rPr>
        <w:t>isabled Peoples and Families Organisations –</w:t>
      </w:r>
      <w:r w:rsidRPr="00A31E73">
        <w:rPr>
          <w:b/>
          <w:color w:val="000000" w:themeColor="text1"/>
          <w:sz w:val="32"/>
          <w:szCs w:val="32"/>
        </w:rPr>
        <w:t xml:space="preserve"> </w:t>
      </w:r>
      <w:r>
        <w:rPr>
          <w:b/>
          <w:color w:val="000000" w:themeColor="text1"/>
          <w:sz w:val="32"/>
          <w:szCs w:val="32"/>
        </w:rPr>
        <w:t xml:space="preserve">ILC </w:t>
      </w:r>
      <w:r w:rsidRPr="00A31E73">
        <w:rPr>
          <w:b/>
          <w:color w:val="000000" w:themeColor="text1"/>
          <w:sz w:val="32"/>
          <w:szCs w:val="32"/>
        </w:rPr>
        <w:t>Readiness Grant Round 2018</w:t>
      </w:r>
      <w:r>
        <w:rPr>
          <w:b/>
          <w:color w:val="000000" w:themeColor="text1"/>
          <w:sz w:val="32"/>
          <w:szCs w:val="32"/>
        </w:rPr>
        <w:t>-19</w:t>
      </w:r>
    </w:p>
    <w:p w14:paraId="6669C31D" w14:textId="77777777" w:rsidR="007E1C17" w:rsidRPr="007E1C17" w:rsidRDefault="007E1C17" w:rsidP="007E1C17"/>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675ABD" w:rsidRPr="00A4747E" w14:paraId="3E918362" w14:textId="77777777" w:rsidTr="00E54637">
        <w:trPr>
          <w:tblHeader/>
        </w:trPr>
        <w:tc>
          <w:tcPr>
            <w:tcW w:w="2977" w:type="dxa"/>
          </w:tcPr>
          <w:p w14:paraId="026F185D" w14:textId="77777777" w:rsidR="00675ABD" w:rsidRPr="00C43F2D" w:rsidRDefault="00675ABD" w:rsidP="00E54637">
            <w:pPr>
              <w:spacing w:after="120" w:line="276" w:lineRule="auto"/>
              <w:jc w:val="both"/>
            </w:pPr>
            <w:r w:rsidRPr="00C43F2D">
              <w:t>Opening date:</w:t>
            </w:r>
          </w:p>
        </w:tc>
        <w:tc>
          <w:tcPr>
            <w:tcW w:w="6404" w:type="dxa"/>
            <w:shd w:val="clear" w:color="auto" w:fill="auto"/>
          </w:tcPr>
          <w:p w14:paraId="7B065FAE" w14:textId="775A6D14" w:rsidR="00675ABD" w:rsidRPr="00C43F2D" w:rsidRDefault="00DA53BD" w:rsidP="00DA53BD">
            <w:pPr>
              <w:pStyle w:val="inputcomment"/>
              <w:spacing w:after="120" w:line="276" w:lineRule="auto"/>
              <w:rPr>
                <w:b w:val="0"/>
                <w:color w:val="auto"/>
              </w:rPr>
            </w:pPr>
            <w:r>
              <w:rPr>
                <w:b w:val="0"/>
                <w:color w:val="auto"/>
              </w:rPr>
              <w:t>Tuesday 27</w:t>
            </w:r>
            <w:r w:rsidR="00C13E66">
              <w:rPr>
                <w:b w:val="0"/>
                <w:color w:val="auto"/>
              </w:rPr>
              <w:t xml:space="preserve"> </w:t>
            </w:r>
            <w:r w:rsidR="00517B9D" w:rsidRPr="00C43F2D">
              <w:rPr>
                <w:b w:val="0"/>
                <w:color w:val="auto"/>
              </w:rPr>
              <w:t>November</w:t>
            </w:r>
            <w:r w:rsidR="00675ABD" w:rsidRPr="00C43F2D">
              <w:rPr>
                <w:b w:val="0"/>
                <w:color w:val="auto"/>
              </w:rPr>
              <w:t xml:space="preserve"> 2018</w:t>
            </w:r>
          </w:p>
        </w:tc>
      </w:tr>
      <w:tr w:rsidR="00675ABD" w:rsidRPr="00A4747E" w14:paraId="369F64C1" w14:textId="77777777" w:rsidTr="00E54637">
        <w:tc>
          <w:tcPr>
            <w:tcW w:w="2977" w:type="dxa"/>
          </w:tcPr>
          <w:p w14:paraId="6F6A2A07" w14:textId="77777777" w:rsidR="00675ABD" w:rsidRPr="00C43F2D" w:rsidRDefault="00675ABD" w:rsidP="00E54637">
            <w:pPr>
              <w:spacing w:after="120" w:line="276" w:lineRule="auto"/>
              <w:jc w:val="both"/>
            </w:pPr>
            <w:r w:rsidRPr="00C43F2D">
              <w:t>Closing date and time:</w:t>
            </w:r>
          </w:p>
        </w:tc>
        <w:tc>
          <w:tcPr>
            <w:tcW w:w="6404" w:type="dxa"/>
            <w:shd w:val="clear" w:color="auto" w:fill="auto"/>
          </w:tcPr>
          <w:p w14:paraId="56DB502B" w14:textId="4AF26077" w:rsidR="00675ABD" w:rsidRPr="00C43F2D" w:rsidRDefault="00675ABD" w:rsidP="00242D32">
            <w:pPr>
              <w:pStyle w:val="inputcomment"/>
              <w:spacing w:after="120" w:line="276" w:lineRule="auto"/>
              <w:rPr>
                <w:b w:val="0"/>
                <w:color w:val="auto"/>
              </w:rPr>
            </w:pPr>
            <w:r w:rsidRPr="00C43F2D">
              <w:rPr>
                <w:b w:val="0"/>
                <w:color w:val="auto"/>
              </w:rPr>
              <w:t xml:space="preserve">2.00pm AEDT on </w:t>
            </w:r>
            <w:r w:rsidR="00242D32">
              <w:rPr>
                <w:b w:val="0"/>
                <w:color w:val="auto"/>
              </w:rPr>
              <w:t>Friday 21</w:t>
            </w:r>
            <w:r w:rsidR="00517B9D" w:rsidRPr="00C43F2D">
              <w:rPr>
                <w:b w:val="0"/>
                <w:color w:val="auto"/>
              </w:rPr>
              <w:t xml:space="preserve"> December</w:t>
            </w:r>
            <w:r w:rsidRPr="00C43F2D">
              <w:rPr>
                <w:b w:val="0"/>
                <w:color w:val="auto"/>
              </w:rPr>
              <w:t xml:space="preserve"> 2018</w:t>
            </w:r>
          </w:p>
        </w:tc>
      </w:tr>
      <w:tr w:rsidR="00675ABD" w:rsidRPr="00A4747E" w14:paraId="69F70E0C" w14:textId="77777777" w:rsidTr="00E54637">
        <w:tc>
          <w:tcPr>
            <w:tcW w:w="2977" w:type="dxa"/>
          </w:tcPr>
          <w:p w14:paraId="1BE8FF81" w14:textId="77777777" w:rsidR="00675ABD" w:rsidRPr="007040EB" w:rsidRDefault="00675ABD" w:rsidP="00E54637">
            <w:pPr>
              <w:spacing w:after="120" w:line="276" w:lineRule="auto"/>
            </w:pPr>
            <w:r w:rsidRPr="007040EB">
              <w:t>Commonwealth policy entity</w:t>
            </w:r>
            <w:r>
              <w:t>:</w:t>
            </w:r>
          </w:p>
        </w:tc>
        <w:tc>
          <w:tcPr>
            <w:tcW w:w="6404" w:type="dxa"/>
            <w:shd w:val="clear" w:color="auto" w:fill="auto"/>
          </w:tcPr>
          <w:p w14:paraId="549EC4F7" w14:textId="77777777" w:rsidR="00675ABD" w:rsidRPr="00A4747E" w:rsidRDefault="00675ABD" w:rsidP="00E54637">
            <w:pPr>
              <w:spacing w:after="120" w:line="276" w:lineRule="auto"/>
            </w:pPr>
            <w:r w:rsidRPr="00A4747E">
              <w:rPr>
                <w:bCs/>
              </w:rPr>
              <w:t>National Disability Insurance Scheme Launch Transition Agency (NDIA or Agency)</w:t>
            </w:r>
          </w:p>
        </w:tc>
      </w:tr>
      <w:tr w:rsidR="00675ABD" w:rsidRPr="002C7BB1" w14:paraId="54A1A885" w14:textId="77777777" w:rsidTr="00E54637">
        <w:tc>
          <w:tcPr>
            <w:tcW w:w="2977" w:type="dxa"/>
          </w:tcPr>
          <w:p w14:paraId="7ED3DA8C" w14:textId="77777777" w:rsidR="00675ABD" w:rsidRPr="007040EB" w:rsidRDefault="00675ABD" w:rsidP="00E54637">
            <w:pPr>
              <w:spacing w:after="120" w:line="276" w:lineRule="auto"/>
              <w:jc w:val="both"/>
            </w:pPr>
            <w:r w:rsidRPr="007040EB">
              <w:t>Enquir</w:t>
            </w:r>
            <w:r>
              <w:t>i</w:t>
            </w:r>
            <w:r w:rsidRPr="007040EB">
              <w:t>es</w:t>
            </w:r>
            <w:r>
              <w:t>:</w:t>
            </w:r>
          </w:p>
        </w:tc>
        <w:tc>
          <w:tcPr>
            <w:tcW w:w="6404" w:type="dxa"/>
            <w:shd w:val="clear" w:color="auto" w:fill="auto"/>
          </w:tcPr>
          <w:p w14:paraId="20742891" w14:textId="77777777" w:rsidR="00675ABD" w:rsidRDefault="00675ABD" w:rsidP="00E54637">
            <w:pPr>
              <w:spacing w:after="120" w:line="276" w:lineRule="auto"/>
            </w:pPr>
            <w:r w:rsidRPr="002C7BB1">
              <w:t xml:space="preserve">If you have any questions, please contact </w:t>
            </w:r>
          </w:p>
          <w:p w14:paraId="23451852" w14:textId="77777777" w:rsidR="00675ABD" w:rsidRPr="00441F7A" w:rsidRDefault="00675ABD" w:rsidP="00E54637">
            <w:pPr>
              <w:spacing w:after="120" w:line="276" w:lineRule="auto"/>
            </w:pPr>
            <w:r w:rsidRPr="00441F7A">
              <w:t>Phone: 1800 020 283</w:t>
            </w:r>
          </w:p>
          <w:p w14:paraId="2CC2CCDE" w14:textId="77777777" w:rsidR="00675ABD" w:rsidRPr="00441F7A" w:rsidRDefault="00675ABD" w:rsidP="00E54637">
            <w:pPr>
              <w:spacing w:after="120" w:line="276" w:lineRule="auto"/>
            </w:pPr>
            <w:r w:rsidRPr="00441F7A">
              <w:t>TTY: 1800 555 677</w:t>
            </w:r>
          </w:p>
          <w:p w14:paraId="483A3AA3" w14:textId="4F6BA566" w:rsidR="00675ABD" w:rsidRDefault="00675ABD" w:rsidP="00E54637">
            <w:pPr>
              <w:spacing w:after="120" w:line="276" w:lineRule="auto"/>
              <w:rPr>
                <w:color w:val="000000" w:themeColor="text1"/>
              </w:rPr>
            </w:pPr>
            <w:r w:rsidRPr="00441F7A">
              <w:t xml:space="preserve">Email: </w:t>
            </w:r>
            <w:hyperlink r:id="rId8" w:history="1">
              <w:r w:rsidRPr="00441F7A">
                <w:rPr>
                  <w:rStyle w:val="Hyperlink"/>
                  <w:rFonts w:cstheme="minorBidi"/>
                </w:rPr>
                <w:t>support@communitygrants.gov.au</w:t>
              </w:r>
            </w:hyperlink>
            <w:r w:rsidRPr="00441F7A">
              <w:br/>
              <w:t>Questions should be sent no la</w:t>
            </w:r>
            <w:r w:rsidRPr="00A4747E">
              <w:t xml:space="preserve">ter </w:t>
            </w:r>
            <w:r w:rsidRPr="00A4747E">
              <w:rPr>
                <w:color w:val="000000" w:themeColor="text1"/>
              </w:rPr>
              <w:t xml:space="preserve">than </w:t>
            </w:r>
            <w:r w:rsidR="00AB13D2">
              <w:rPr>
                <w:color w:val="000000" w:themeColor="text1"/>
              </w:rPr>
              <w:t>2</w:t>
            </w:r>
            <w:r w:rsidRPr="00AB13D2">
              <w:rPr>
                <w:color w:val="000000" w:themeColor="text1"/>
              </w:rPr>
              <w:t>:00pm</w:t>
            </w:r>
            <w:r w:rsidRPr="00A4747E">
              <w:rPr>
                <w:color w:val="000000" w:themeColor="text1"/>
              </w:rPr>
              <w:t xml:space="preserve"> AEDT</w:t>
            </w:r>
            <w:r>
              <w:rPr>
                <w:color w:val="000000" w:themeColor="text1"/>
              </w:rPr>
              <w:t xml:space="preserve"> </w:t>
            </w:r>
            <w:r w:rsidRPr="00A4747E">
              <w:rPr>
                <w:color w:val="000000" w:themeColor="text1"/>
              </w:rPr>
              <w:br/>
            </w:r>
            <w:r w:rsidR="00242D32">
              <w:rPr>
                <w:color w:val="000000" w:themeColor="text1"/>
              </w:rPr>
              <w:t>Friday 14</w:t>
            </w:r>
            <w:r w:rsidR="00F65EB9" w:rsidRPr="007D585C">
              <w:rPr>
                <w:color w:val="000000" w:themeColor="text1"/>
              </w:rPr>
              <w:t xml:space="preserve"> December</w:t>
            </w:r>
            <w:r w:rsidRPr="00A4747E">
              <w:rPr>
                <w:color w:val="000000" w:themeColor="text1"/>
              </w:rPr>
              <w:t xml:space="preserve"> 2018</w:t>
            </w:r>
          </w:p>
          <w:p w14:paraId="7CE85ED2" w14:textId="051B7A0E" w:rsidR="00456515" w:rsidRPr="007E1C17" w:rsidRDefault="00456515" w:rsidP="00E54637">
            <w:pPr>
              <w:spacing w:after="120" w:line="276" w:lineRule="auto"/>
            </w:pPr>
            <w:r>
              <w:t>If you require assistance contact the Community Grants Hub.</w:t>
            </w:r>
          </w:p>
          <w:p w14:paraId="798A95CC" w14:textId="77777777" w:rsidR="00675ABD" w:rsidRPr="002C7BB1" w:rsidRDefault="00675ABD" w:rsidP="00E54637">
            <w:pPr>
              <w:spacing w:after="120" w:line="276" w:lineRule="auto"/>
            </w:pPr>
          </w:p>
        </w:tc>
      </w:tr>
      <w:tr w:rsidR="00675ABD" w:rsidRPr="00A4747E" w14:paraId="6FB588DA" w14:textId="77777777" w:rsidTr="00E54637">
        <w:tc>
          <w:tcPr>
            <w:tcW w:w="2977" w:type="dxa"/>
          </w:tcPr>
          <w:p w14:paraId="58CAE86E" w14:textId="77777777" w:rsidR="00675ABD" w:rsidRPr="007040EB" w:rsidRDefault="007E1C17" w:rsidP="00E54637">
            <w:pPr>
              <w:spacing w:after="120" w:line="276" w:lineRule="auto"/>
              <w:jc w:val="both"/>
            </w:pPr>
            <w:r>
              <w:t>G</w:t>
            </w:r>
            <w:r w:rsidR="00675ABD" w:rsidRPr="007040EB">
              <w:t>uidelines released</w:t>
            </w:r>
            <w:r w:rsidR="00675ABD">
              <w:t>:</w:t>
            </w:r>
          </w:p>
        </w:tc>
        <w:tc>
          <w:tcPr>
            <w:tcW w:w="6404" w:type="dxa"/>
            <w:shd w:val="clear" w:color="auto" w:fill="auto"/>
          </w:tcPr>
          <w:p w14:paraId="7B43B64C" w14:textId="104D6F6D" w:rsidR="00675ABD" w:rsidRPr="00A4747E" w:rsidRDefault="00DA53BD" w:rsidP="00DA53BD">
            <w:pPr>
              <w:spacing w:after="120" w:line="276" w:lineRule="auto"/>
            </w:pPr>
            <w:r>
              <w:t>27</w:t>
            </w:r>
            <w:r w:rsidR="00242D32" w:rsidRPr="00A83D21">
              <w:t xml:space="preserve"> </w:t>
            </w:r>
            <w:r w:rsidR="007D0EA2" w:rsidRPr="00A83D21">
              <w:t>November</w:t>
            </w:r>
            <w:r w:rsidR="00675ABD" w:rsidRPr="00A83D21">
              <w:t xml:space="preserve"> 2018</w:t>
            </w:r>
            <w:r w:rsidR="00896961">
              <w:t xml:space="preserve"> </w:t>
            </w:r>
          </w:p>
        </w:tc>
      </w:tr>
      <w:tr w:rsidR="00675ABD" w:rsidRPr="00D60A29" w14:paraId="34E2017C" w14:textId="77777777" w:rsidTr="00E54637">
        <w:tc>
          <w:tcPr>
            <w:tcW w:w="2977" w:type="dxa"/>
          </w:tcPr>
          <w:p w14:paraId="22500E28" w14:textId="77777777" w:rsidR="00675ABD" w:rsidRPr="007040EB" w:rsidRDefault="00675ABD" w:rsidP="00E54637">
            <w:pPr>
              <w:spacing w:after="120" w:line="276" w:lineRule="auto"/>
              <w:jc w:val="both"/>
            </w:pPr>
            <w:r w:rsidRPr="007040EB">
              <w:t>Type of grant opportunity</w:t>
            </w:r>
            <w:r>
              <w:t>:</w:t>
            </w:r>
          </w:p>
        </w:tc>
        <w:tc>
          <w:tcPr>
            <w:tcW w:w="6404" w:type="dxa"/>
            <w:shd w:val="clear" w:color="auto" w:fill="auto"/>
          </w:tcPr>
          <w:p w14:paraId="743BCADA" w14:textId="77777777" w:rsidR="00675ABD" w:rsidRPr="00D60A29" w:rsidRDefault="00517B9D" w:rsidP="00E54637">
            <w:pPr>
              <w:spacing w:after="120" w:line="276" w:lineRule="auto"/>
            </w:pPr>
            <w:r>
              <w:t xml:space="preserve">Open </w:t>
            </w:r>
            <w:r w:rsidR="009964B4">
              <w:t>non-</w:t>
            </w:r>
            <w:r>
              <w:t>Competitive</w:t>
            </w:r>
          </w:p>
        </w:tc>
      </w:tr>
    </w:tbl>
    <w:p w14:paraId="4CE3DEA6" w14:textId="77777777" w:rsidR="007E1C17" w:rsidRDefault="007E1C17">
      <w:pPr>
        <w:suppressAutoHyphens w:val="0"/>
        <w:spacing w:before="0" w:after="120" w:line="440" w:lineRule="atLeast"/>
        <w:rPr>
          <w:rFonts w:asciiTheme="majorHAnsi" w:eastAsiaTheme="majorEastAsia" w:hAnsiTheme="majorHAnsi" w:cstheme="majorBidi"/>
          <w:color w:val="1C1C1C" w:themeColor="text2"/>
          <w:sz w:val="40"/>
          <w:szCs w:val="32"/>
          <w:lang w:val="en-US"/>
        </w:rPr>
      </w:pPr>
      <w:r>
        <w:rPr>
          <w:rFonts w:asciiTheme="majorHAnsi" w:eastAsiaTheme="majorEastAsia" w:hAnsiTheme="majorHAnsi" w:cstheme="majorBidi"/>
          <w:color w:val="1C1C1C" w:themeColor="text2"/>
          <w:sz w:val="40"/>
          <w:szCs w:val="32"/>
          <w:lang w:val="en-US"/>
        </w:rPr>
        <w:br w:type="page"/>
      </w:r>
    </w:p>
    <w:p w14:paraId="5CE15A00" w14:textId="77777777" w:rsidR="0020122A" w:rsidRDefault="0020122A" w:rsidP="00CC3C8E">
      <w:pPr>
        <w:pStyle w:val="TOCHeading"/>
        <w:spacing w:line="276" w:lineRule="auto"/>
      </w:pPr>
      <w:r>
        <w:lastRenderedPageBreak/>
        <w:t>Contents</w:t>
      </w:r>
    </w:p>
    <w:p w14:paraId="60C89731" w14:textId="3CC56266" w:rsidR="00C83DCF" w:rsidRDefault="0020122A">
      <w:pPr>
        <w:pStyle w:val="TOC1"/>
        <w:rPr>
          <w:rFonts w:eastAsiaTheme="minorEastAsia"/>
          <w:b w:val="0"/>
          <w:sz w:val="22"/>
          <w:lang w:eastAsia="en-AU"/>
        </w:rPr>
      </w:pPr>
      <w:r>
        <w:rPr>
          <w:sz w:val="19"/>
        </w:rPr>
        <w:fldChar w:fldCharType="begin"/>
      </w:r>
      <w:r>
        <w:instrText xml:space="preserve"> TOC \o "2-3" \h \z \t "Heading 1,1,Heading 1 Numbered,1" </w:instrText>
      </w:r>
      <w:r>
        <w:rPr>
          <w:sz w:val="19"/>
        </w:rPr>
        <w:fldChar w:fldCharType="separate"/>
      </w:r>
      <w:hyperlink w:anchor="_Toc531005157" w:history="1">
        <w:r w:rsidR="00C83DCF" w:rsidRPr="00793072">
          <w:rPr>
            <w:rStyle w:val="Hyperlink"/>
          </w:rPr>
          <w:t>1. Process - Community Inclusion and Capacity Development: Disabled Peoples and Families Organisations – ILC Readiness Grant Round 2018-19</w:t>
        </w:r>
        <w:r w:rsidR="00C83DCF">
          <w:rPr>
            <w:webHidden/>
          </w:rPr>
          <w:tab/>
        </w:r>
        <w:r w:rsidR="00C83DCF">
          <w:rPr>
            <w:webHidden/>
          </w:rPr>
          <w:fldChar w:fldCharType="begin"/>
        </w:r>
        <w:r w:rsidR="00C83DCF">
          <w:rPr>
            <w:webHidden/>
          </w:rPr>
          <w:instrText xml:space="preserve"> PAGEREF _Toc531005157 \h </w:instrText>
        </w:r>
        <w:r w:rsidR="00C83DCF">
          <w:rPr>
            <w:webHidden/>
          </w:rPr>
        </w:r>
        <w:r w:rsidR="00C83DCF">
          <w:rPr>
            <w:webHidden/>
          </w:rPr>
          <w:fldChar w:fldCharType="separate"/>
        </w:r>
        <w:r w:rsidR="00C83DCF">
          <w:rPr>
            <w:webHidden/>
          </w:rPr>
          <w:t>5</w:t>
        </w:r>
        <w:r w:rsidR="00C83DCF">
          <w:rPr>
            <w:webHidden/>
          </w:rPr>
          <w:fldChar w:fldCharType="end"/>
        </w:r>
      </w:hyperlink>
    </w:p>
    <w:p w14:paraId="0A5D2140" w14:textId="377E276F" w:rsidR="00C83DCF" w:rsidRDefault="00C83DCF">
      <w:pPr>
        <w:pStyle w:val="TOC2"/>
        <w:rPr>
          <w:rFonts w:eastAsiaTheme="minorEastAsia"/>
          <w:lang w:eastAsia="en-AU"/>
        </w:rPr>
      </w:pPr>
      <w:hyperlink w:anchor="_Toc531005158" w:history="1">
        <w:r w:rsidRPr="00793072">
          <w:rPr>
            <w:rStyle w:val="Hyperlink"/>
          </w:rPr>
          <w:t>1.1 Role of the Community Grants Hub</w:t>
        </w:r>
        <w:r>
          <w:rPr>
            <w:webHidden/>
          </w:rPr>
          <w:tab/>
        </w:r>
        <w:r>
          <w:rPr>
            <w:webHidden/>
          </w:rPr>
          <w:fldChar w:fldCharType="begin"/>
        </w:r>
        <w:r>
          <w:rPr>
            <w:webHidden/>
          </w:rPr>
          <w:instrText xml:space="preserve"> PAGEREF _Toc531005158 \h </w:instrText>
        </w:r>
        <w:r>
          <w:rPr>
            <w:webHidden/>
          </w:rPr>
        </w:r>
        <w:r>
          <w:rPr>
            <w:webHidden/>
          </w:rPr>
          <w:fldChar w:fldCharType="separate"/>
        </w:r>
        <w:r>
          <w:rPr>
            <w:webHidden/>
          </w:rPr>
          <w:t>6</w:t>
        </w:r>
        <w:r>
          <w:rPr>
            <w:webHidden/>
          </w:rPr>
          <w:fldChar w:fldCharType="end"/>
        </w:r>
      </w:hyperlink>
    </w:p>
    <w:p w14:paraId="31D13DB0" w14:textId="09AA642B" w:rsidR="00C83DCF" w:rsidRDefault="00C83DCF">
      <w:pPr>
        <w:pStyle w:val="TOC2"/>
        <w:rPr>
          <w:rFonts w:eastAsiaTheme="minorEastAsia"/>
          <w:lang w:eastAsia="en-AU"/>
        </w:rPr>
      </w:pPr>
      <w:hyperlink w:anchor="_Toc531005159" w:history="1">
        <w:r w:rsidRPr="00793072">
          <w:rPr>
            <w:rStyle w:val="Hyperlink"/>
          </w:rPr>
          <w:t>1.2</w:t>
        </w:r>
        <w:r>
          <w:rPr>
            <w:rFonts w:eastAsiaTheme="minorEastAsia"/>
            <w:lang w:eastAsia="en-AU"/>
          </w:rPr>
          <w:tab/>
        </w:r>
        <w:r w:rsidRPr="00793072">
          <w:rPr>
            <w:rStyle w:val="Hyperlink"/>
          </w:rPr>
          <w:t>Background to the ILC program</w:t>
        </w:r>
        <w:r>
          <w:rPr>
            <w:webHidden/>
          </w:rPr>
          <w:tab/>
        </w:r>
        <w:r>
          <w:rPr>
            <w:webHidden/>
          </w:rPr>
          <w:fldChar w:fldCharType="begin"/>
        </w:r>
        <w:r>
          <w:rPr>
            <w:webHidden/>
          </w:rPr>
          <w:instrText xml:space="preserve"> PAGEREF _Toc531005159 \h </w:instrText>
        </w:r>
        <w:r>
          <w:rPr>
            <w:webHidden/>
          </w:rPr>
        </w:r>
        <w:r>
          <w:rPr>
            <w:webHidden/>
          </w:rPr>
          <w:fldChar w:fldCharType="separate"/>
        </w:r>
        <w:r>
          <w:rPr>
            <w:webHidden/>
          </w:rPr>
          <w:t>6</w:t>
        </w:r>
        <w:r>
          <w:rPr>
            <w:webHidden/>
          </w:rPr>
          <w:fldChar w:fldCharType="end"/>
        </w:r>
      </w:hyperlink>
    </w:p>
    <w:p w14:paraId="43384D92" w14:textId="4698DD63" w:rsidR="00C83DCF" w:rsidRDefault="00C83DCF">
      <w:pPr>
        <w:pStyle w:val="TOC2"/>
        <w:rPr>
          <w:rFonts w:eastAsiaTheme="minorEastAsia"/>
          <w:lang w:eastAsia="en-AU"/>
        </w:rPr>
      </w:pPr>
      <w:hyperlink w:anchor="_Toc531005160" w:history="1">
        <w:r w:rsidRPr="00793072">
          <w:rPr>
            <w:rStyle w:val="Hyperlink"/>
          </w:rPr>
          <w:t>1.3</w:t>
        </w:r>
        <w:r>
          <w:rPr>
            <w:rFonts w:eastAsiaTheme="minorEastAsia"/>
            <w:lang w:eastAsia="en-AU"/>
          </w:rPr>
          <w:tab/>
        </w:r>
        <w:r w:rsidRPr="00793072">
          <w:rPr>
            <w:rStyle w:val="Hyperlink"/>
          </w:rPr>
          <w:t>About the Grant Opportunity Guidelines</w:t>
        </w:r>
        <w:r>
          <w:rPr>
            <w:webHidden/>
          </w:rPr>
          <w:tab/>
        </w:r>
        <w:r>
          <w:rPr>
            <w:webHidden/>
          </w:rPr>
          <w:fldChar w:fldCharType="begin"/>
        </w:r>
        <w:r>
          <w:rPr>
            <w:webHidden/>
          </w:rPr>
          <w:instrText xml:space="preserve"> PAGEREF _Toc531005160 \h </w:instrText>
        </w:r>
        <w:r>
          <w:rPr>
            <w:webHidden/>
          </w:rPr>
        </w:r>
        <w:r>
          <w:rPr>
            <w:webHidden/>
          </w:rPr>
          <w:fldChar w:fldCharType="separate"/>
        </w:r>
        <w:r>
          <w:rPr>
            <w:webHidden/>
          </w:rPr>
          <w:t>7</w:t>
        </w:r>
        <w:r>
          <w:rPr>
            <w:webHidden/>
          </w:rPr>
          <w:fldChar w:fldCharType="end"/>
        </w:r>
      </w:hyperlink>
    </w:p>
    <w:p w14:paraId="6204C290" w14:textId="4E269DF6" w:rsidR="00C83DCF" w:rsidRDefault="00C83DCF">
      <w:pPr>
        <w:pStyle w:val="TOC2"/>
        <w:rPr>
          <w:rFonts w:eastAsiaTheme="minorEastAsia"/>
          <w:lang w:eastAsia="en-AU"/>
        </w:rPr>
      </w:pPr>
      <w:hyperlink w:anchor="_Toc531005161" w:history="1">
        <w:r w:rsidRPr="00793072">
          <w:rPr>
            <w:rStyle w:val="Hyperlink"/>
          </w:rPr>
          <w:t>1.4</w:t>
        </w:r>
        <w:r>
          <w:rPr>
            <w:rFonts w:eastAsiaTheme="minorEastAsia"/>
            <w:lang w:eastAsia="en-AU"/>
          </w:rPr>
          <w:tab/>
        </w:r>
        <w:r w:rsidRPr="00793072">
          <w:rPr>
            <w:rStyle w:val="Hyperlink"/>
          </w:rPr>
          <w:t>About the grant opportunity</w:t>
        </w:r>
        <w:r>
          <w:rPr>
            <w:webHidden/>
          </w:rPr>
          <w:tab/>
        </w:r>
        <w:r>
          <w:rPr>
            <w:webHidden/>
          </w:rPr>
          <w:fldChar w:fldCharType="begin"/>
        </w:r>
        <w:r>
          <w:rPr>
            <w:webHidden/>
          </w:rPr>
          <w:instrText xml:space="preserve"> PAGEREF _Toc531005161 \h </w:instrText>
        </w:r>
        <w:r>
          <w:rPr>
            <w:webHidden/>
          </w:rPr>
        </w:r>
        <w:r>
          <w:rPr>
            <w:webHidden/>
          </w:rPr>
          <w:fldChar w:fldCharType="separate"/>
        </w:r>
        <w:r>
          <w:rPr>
            <w:webHidden/>
          </w:rPr>
          <w:t>8</w:t>
        </w:r>
        <w:r>
          <w:rPr>
            <w:webHidden/>
          </w:rPr>
          <w:fldChar w:fldCharType="end"/>
        </w:r>
      </w:hyperlink>
    </w:p>
    <w:p w14:paraId="6BA8F70F" w14:textId="29EBA5A5" w:rsidR="00C83DCF" w:rsidRDefault="00C83DCF">
      <w:pPr>
        <w:pStyle w:val="TOC1"/>
        <w:rPr>
          <w:rFonts w:eastAsiaTheme="minorEastAsia"/>
          <w:b w:val="0"/>
          <w:sz w:val="22"/>
          <w:lang w:eastAsia="en-AU"/>
        </w:rPr>
      </w:pPr>
      <w:hyperlink w:anchor="_Toc531005162" w:history="1">
        <w:r w:rsidRPr="00793072">
          <w:rPr>
            <w:rStyle w:val="Hyperlink"/>
          </w:rPr>
          <w:t>2. Grant Opportunity Details</w:t>
        </w:r>
        <w:r>
          <w:rPr>
            <w:webHidden/>
          </w:rPr>
          <w:tab/>
        </w:r>
        <w:r>
          <w:rPr>
            <w:webHidden/>
          </w:rPr>
          <w:fldChar w:fldCharType="begin"/>
        </w:r>
        <w:r>
          <w:rPr>
            <w:webHidden/>
          </w:rPr>
          <w:instrText xml:space="preserve"> PAGEREF _Toc531005162 \h </w:instrText>
        </w:r>
        <w:r>
          <w:rPr>
            <w:webHidden/>
          </w:rPr>
        </w:r>
        <w:r>
          <w:rPr>
            <w:webHidden/>
          </w:rPr>
          <w:fldChar w:fldCharType="separate"/>
        </w:r>
        <w:r>
          <w:rPr>
            <w:webHidden/>
          </w:rPr>
          <w:t>9</w:t>
        </w:r>
        <w:r>
          <w:rPr>
            <w:webHidden/>
          </w:rPr>
          <w:fldChar w:fldCharType="end"/>
        </w:r>
      </w:hyperlink>
    </w:p>
    <w:p w14:paraId="4C1AF81B" w14:textId="7C758E35" w:rsidR="00C83DCF" w:rsidRDefault="00C83DCF">
      <w:pPr>
        <w:pStyle w:val="TOC2"/>
        <w:rPr>
          <w:rFonts w:eastAsiaTheme="minorEastAsia"/>
          <w:lang w:eastAsia="en-AU"/>
        </w:rPr>
      </w:pPr>
      <w:hyperlink w:anchor="_Toc531005163" w:history="1">
        <w:r w:rsidRPr="00793072">
          <w:rPr>
            <w:rStyle w:val="Hyperlink"/>
          </w:rPr>
          <w:t>2.1 Grant amount</w:t>
        </w:r>
        <w:bookmarkStart w:id="0" w:name="_GoBack"/>
        <w:bookmarkEnd w:id="0"/>
        <w:r>
          <w:rPr>
            <w:webHidden/>
          </w:rPr>
          <w:tab/>
        </w:r>
        <w:r>
          <w:rPr>
            <w:webHidden/>
          </w:rPr>
          <w:fldChar w:fldCharType="begin"/>
        </w:r>
        <w:r>
          <w:rPr>
            <w:webHidden/>
          </w:rPr>
          <w:instrText xml:space="preserve"> PAGEREF _Toc531005163 \h </w:instrText>
        </w:r>
        <w:r>
          <w:rPr>
            <w:webHidden/>
          </w:rPr>
        </w:r>
        <w:r>
          <w:rPr>
            <w:webHidden/>
          </w:rPr>
          <w:fldChar w:fldCharType="separate"/>
        </w:r>
        <w:r>
          <w:rPr>
            <w:webHidden/>
          </w:rPr>
          <w:t>9</w:t>
        </w:r>
        <w:r>
          <w:rPr>
            <w:webHidden/>
          </w:rPr>
          <w:fldChar w:fldCharType="end"/>
        </w:r>
      </w:hyperlink>
    </w:p>
    <w:p w14:paraId="41ACEED0" w14:textId="14BE60EA" w:rsidR="00C83DCF" w:rsidRDefault="00C83DCF">
      <w:pPr>
        <w:pStyle w:val="TOC2"/>
        <w:rPr>
          <w:rFonts w:eastAsiaTheme="minorEastAsia"/>
          <w:lang w:eastAsia="en-AU"/>
        </w:rPr>
      </w:pPr>
      <w:hyperlink w:anchor="_Toc531005164" w:history="1">
        <w:r w:rsidRPr="00793072">
          <w:rPr>
            <w:rStyle w:val="Hyperlink"/>
          </w:rPr>
          <w:t>2.2 Grant term</w:t>
        </w:r>
        <w:r>
          <w:rPr>
            <w:webHidden/>
          </w:rPr>
          <w:tab/>
        </w:r>
        <w:r>
          <w:rPr>
            <w:webHidden/>
          </w:rPr>
          <w:fldChar w:fldCharType="begin"/>
        </w:r>
        <w:r>
          <w:rPr>
            <w:webHidden/>
          </w:rPr>
          <w:instrText xml:space="preserve"> PAGEREF _Toc531005164 \h </w:instrText>
        </w:r>
        <w:r>
          <w:rPr>
            <w:webHidden/>
          </w:rPr>
        </w:r>
        <w:r>
          <w:rPr>
            <w:webHidden/>
          </w:rPr>
          <w:fldChar w:fldCharType="separate"/>
        </w:r>
        <w:r>
          <w:rPr>
            <w:webHidden/>
          </w:rPr>
          <w:t>9</w:t>
        </w:r>
        <w:r>
          <w:rPr>
            <w:webHidden/>
          </w:rPr>
          <w:fldChar w:fldCharType="end"/>
        </w:r>
      </w:hyperlink>
    </w:p>
    <w:p w14:paraId="22527496" w14:textId="4EF3CD71" w:rsidR="00C83DCF" w:rsidRDefault="00C83DCF">
      <w:pPr>
        <w:pStyle w:val="TOC2"/>
        <w:rPr>
          <w:rFonts w:eastAsiaTheme="minorEastAsia"/>
          <w:lang w:eastAsia="en-AU"/>
        </w:rPr>
      </w:pPr>
      <w:hyperlink w:anchor="_Toc531005165" w:history="1">
        <w:r w:rsidRPr="00793072">
          <w:rPr>
            <w:rStyle w:val="Hyperlink"/>
          </w:rPr>
          <w:t>2.3 Grant request thresholds</w:t>
        </w:r>
        <w:r>
          <w:rPr>
            <w:webHidden/>
          </w:rPr>
          <w:tab/>
        </w:r>
        <w:r>
          <w:rPr>
            <w:webHidden/>
          </w:rPr>
          <w:fldChar w:fldCharType="begin"/>
        </w:r>
        <w:r>
          <w:rPr>
            <w:webHidden/>
          </w:rPr>
          <w:instrText xml:space="preserve"> PAGEREF _Toc531005165 \h </w:instrText>
        </w:r>
        <w:r>
          <w:rPr>
            <w:webHidden/>
          </w:rPr>
        </w:r>
        <w:r>
          <w:rPr>
            <w:webHidden/>
          </w:rPr>
          <w:fldChar w:fldCharType="separate"/>
        </w:r>
        <w:r>
          <w:rPr>
            <w:webHidden/>
          </w:rPr>
          <w:t>9</w:t>
        </w:r>
        <w:r>
          <w:rPr>
            <w:webHidden/>
          </w:rPr>
          <w:fldChar w:fldCharType="end"/>
        </w:r>
      </w:hyperlink>
    </w:p>
    <w:p w14:paraId="504F5BDC" w14:textId="533258DA" w:rsidR="00C83DCF" w:rsidRDefault="00C83DCF">
      <w:pPr>
        <w:pStyle w:val="TOC2"/>
        <w:rPr>
          <w:rFonts w:eastAsiaTheme="minorEastAsia"/>
          <w:lang w:eastAsia="en-AU"/>
        </w:rPr>
      </w:pPr>
      <w:hyperlink w:anchor="_Toc531005166" w:history="1">
        <w:r w:rsidRPr="00793072">
          <w:rPr>
            <w:rStyle w:val="Hyperlink"/>
          </w:rPr>
          <w:t>2.4 Number of application submissions</w:t>
        </w:r>
        <w:r>
          <w:rPr>
            <w:webHidden/>
          </w:rPr>
          <w:tab/>
        </w:r>
        <w:r>
          <w:rPr>
            <w:webHidden/>
          </w:rPr>
          <w:fldChar w:fldCharType="begin"/>
        </w:r>
        <w:r>
          <w:rPr>
            <w:webHidden/>
          </w:rPr>
          <w:instrText xml:space="preserve"> PAGEREF _Toc531005166 \h </w:instrText>
        </w:r>
        <w:r>
          <w:rPr>
            <w:webHidden/>
          </w:rPr>
        </w:r>
        <w:r>
          <w:rPr>
            <w:webHidden/>
          </w:rPr>
          <w:fldChar w:fldCharType="separate"/>
        </w:r>
        <w:r>
          <w:rPr>
            <w:webHidden/>
          </w:rPr>
          <w:t>9</w:t>
        </w:r>
        <w:r>
          <w:rPr>
            <w:webHidden/>
          </w:rPr>
          <w:fldChar w:fldCharType="end"/>
        </w:r>
      </w:hyperlink>
    </w:p>
    <w:p w14:paraId="0F83D7B3" w14:textId="355877C7" w:rsidR="00C83DCF" w:rsidRDefault="00C83DCF">
      <w:pPr>
        <w:pStyle w:val="TOC1"/>
        <w:rPr>
          <w:rFonts w:eastAsiaTheme="minorEastAsia"/>
          <w:b w:val="0"/>
          <w:sz w:val="22"/>
          <w:lang w:eastAsia="en-AU"/>
        </w:rPr>
      </w:pPr>
      <w:hyperlink w:anchor="_Toc531005167" w:history="1">
        <w:r w:rsidRPr="00793072">
          <w:rPr>
            <w:rStyle w:val="Hyperlink"/>
          </w:rPr>
          <w:t>3. Organisational Eligibility Criteria</w:t>
        </w:r>
        <w:r>
          <w:rPr>
            <w:webHidden/>
          </w:rPr>
          <w:tab/>
        </w:r>
        <w:r>
          <w:rPr>
            <w:webHidden/>
          </w:rPr>
          <w:fldChar w:fldCharType="begin"/>
        </w:r>
        <w:r>
          <w:rPr>
            <w:webHidden/>
          </w:rPr>
          <w:instrText xml:space="preserve"> PAGEREF _Toc531005167 \h </w:instrText>
        </w:r>
        <w:r>
          <w:rPr>
            <w:webHidden/>
          </w:rPr>
        </w:r>
        <w:r>
          <w:rPr>
            <w:webHidden/>
          </w:rPr>
          <w:fldChar w:fldCharType="separate"/>
        </w:r>
        <w:r>
          <w:rPr>
            <w:webHidden/>
          </w:rPr>
          <w:t>11</w:t>
        </w:r>
        <w:r>
          <w:rPr>
            <w:webHidden/>
          </w:rPr>
          <w:fldChar w:fldCharType="end"/>
        </w:r>
      </w:hyperlink>
    </w:p>
    <w:p w14:paraId="4FF69A29" w14:textId="55B272A2" w:rsidR="00C83DCF" w:rsidRDefault="00C83DCF">
      <w:pPr>
        <w:pStyle w:val="TOC2"/>
        <w:rPr>
          <w:rFonts w:eastAsiaTheme="minorEastAsia"/>
          <w:lang w:eastAsia="en-AU"/>
        </w:rPr>
      </w:pPr>
      <w:hyperlink w:anchor="_Toc531005168" w:history="1">
        <w:r w:rsidRPr="00793072">
          <w:rPr>
            <w:rStyle w:val="Hyperlink"/>
          </w:rPr>
          <w:t>3.1 Eligible applicant types</w:t>
        </w:r>
        <w:r>
          <w:rPr>
            <w:webHidden/>
          </w:rPr>
          <w:tab/>
        </w:r>
        <w:r>
          <w:rPr>
            <w:webHidden/>
          </w:rPr>
          <w:fldChar w:fldCharType="begin"/>
        </w:r>
        <w:r>
          <w:rPr>
            <w:webHidden/>
          </w:rPr>
          <w:instrText xml:space="preserve"> PAGEREF _Toc531005168 \h </w:instrText>
        </w:r>
        <w:r>
          <w:rPr>
            <w:webHidden/>
          </w:rPr>
        </w:r>
        <w:r>
          <w:rPr>
            <w:webHidden/>
          </w:rPr>
          <w:fldChar w:fldCharType="separate"/>
        </w:r>
        <w:r>
          <w:rPr>
            <w:webHidden/>
          </w:rPr>
          <w:t>11</w:t>
        </w:r>
        <w:r>
          <w:rPr>
            <w:webHidden/>
          </w:rPr>
          <w:fldChar w:fldCharType="end"/>
        </w:r>
      </w:hyperlink>
    </w:p>
    <w:p w14:paraId="4284F036" w14:textId="7AB1BBF6" w:rsidR="00C83DCF" w:rsidRDefault="00C83DCF">
      <w:pPr>
        <w:pStyle w:val="TOC2"/>
        <w:rPr>
          <w:rFonts w:eastAsiaTheme="minorEastAsia"/>
          <w:lang w:eastAsia="en-AU"/>
        </w:rPr>
      </w:pPr>
      <w:hyperlink w:anchor="_Toc531005169" w:history="1">
        <w:r w:rsidRPr="00793072">
          <w:rPr>
            <w:rStyle w:val="Hyperlink"/>
          </w:rPr>
          <w:t>3.2 Eligible entity types</w:t>
        </w:r>
        <w:r>
          <w:rPr>
            <w:webHidden/>
          </w:rPr>
          <w:tab/>
        </w:r>
        <w:r>
          <w:rPr>
            <w:webHidden/>
          </w:rPr>
          <w:fldChar w:fldCharType="begin"/>
        </w:r>
        <w:r>
          <w:rPr>
            <w:webHidden/>
          </w:rPr>
          <w:instrText xml:space="preserve"> PAGEREF _Toc531005169 \h </w:instrText>
        </w:r>
        <w:r>
          <w:rPr>
            <w:webHidden/>
          </w:rPr>
        </w:r>
        <w:r>
          <w:rPr>
            <w:webHidden/>
          </w:rPr>
          <w:fldChar w:fldCharType="separate"/>
        </w:r>
        <w:r>
          <w:rPr>
            <w:webHidden/>
          </w:rPr>
          <w:t>12</w:t>
        </w:r>
        <w:r>
          <w:rPr>
            <w:webHidden/>
          </w:rPr>
          <w:fldChar w:fldCharType="end"/>
        </w:r>
      </w:hyperlink>
    </w:p>
    <w:p w14:paraId="01000EE1" w14:textId="65416067" w:rsidR="00C83DCF" w:rsidRDefault="00C83DCF">
      <w:pPr>
        <w:pStyle w:val="TOC2"/>
        <w:rPr>
          <w:rFonts w:eastAsiaTheme="minorEastAsia"/>
          <w:lang w:eastAsia="en-AU"/>
        </w:rPr>
      </w:pPr>
      <w:hyperlink w:anchor="_Toc531005170" w:history="1">
        <w:r w:rsidRPr="00793072">
          <w:rPr>
            <w:rStyle w:val="Hyperlink"/>
          </w:rPr>
          <w:t>3.3 Additional requirements for organisational eligibility</w:t>
        </w:r>
        <w:r>
          <w:rPr>
            <w:webHidden/>
          </w:rPr>
          <w:tab/>
        </w:r>
        <w:r>
          <w:rPr>
            <w:webHidden/>
          </w:rPr>
          <w:fldChar w:fldCharType="begin"/>
        </w:r>
        <w:r>
          <w:rPr>
            <w:webHidden/>
          </w:rPr>
          <w:instrText xml:space="preserve"> PAGEREF _Toc531005170 \h </w:instrText>
        </w:r>
        <w:r>
          <w:rPr>
            <w:webHidden/>
          </w:rPr>
        </w:r>
        <w:r>
          <w:rPr>
            <w:webHidden/>
          </w:rPr>
          <w:fldChar w:fldCharType="separate"/>
        </w:r>
        <w:r>
          <w:rPr>
            <w:webHidden/>
          </w:rPr>
          <w:t>14</w:t>
        </w:r>
        <w:r>
          <w:rPr>
            <w:webHidden/>
          </w:rPr>
          <w:fldChar w:fldCharType="end"/>
        </w:r>
      </w:hyperlink>
    </w:p>
    <w:p w14:paraId="7A47773F" w14:textId="4375543A" w:rsidR="00C83DCF" w:rsidRDefault="00C83DCF">
      <w:pPr>
        <w:pStyle w:val="TOC2"/>
        <w:rPr>
          <w:rFonts w:eastAsiaTheme="minorEastAsia"/>
          <w:lang w:eastAsia="en-AU"/>
        </w:rPr>
      </w:pPr>
      <w:hyperlink w:anchor="_Toc531005171" w:history="1">
        <w:r w:rsidRPr="00793072">
          <w:rPr>
            <w:rStyle w:val="Hyperlink"/>
          </w:rPr>
          <w:t>3.4 Who is not eligible to apply for a grant?</w:t>
        </w:r>
        <w:r>
          <w:rPr>
            <w:webHidden/>
          </w:rPr>
          <w:tab/>
        </w:r>
        <w:r>
          <w:rPr>
            <w:webHidden/>
          </w:rPr>
          <w:fldChar w:fldCharType="begin"/>
        </w:r>
        <w:r>
          <w:rPr>
            <w:webHidden/>
          </w:rPr>
          <w:instrText xml:space="preserve"> PAGEREF _Toc531005171 \h </w:instrText>
        </w:r>
        <w:r>
          <w:rPr>
            <w:webHidden/>
          </w:rPr>
        </w:r>
        <w:r>
          <w:rPr>
            <w:webHidden/>
          </w:rPr>
          <w:fldChar w:fldCharType="separate"/>
        </w:r>
        <w:r>
          <w:rPr>
            <w:webHidden/>
          </w:rPr>
          <w:t>14</w:t>
        </w:r>
        <w:r>
          <w:rPr>
            <w:webHidden/>
          </w:rPr>
          <w:fldChar w:fldCharType="end"/>
        </w:r>
      </w:hyperlink>
    </w:p>
    <w:p w14:paraId="22B69DDB" w14:textId="04E59BA3" w:rsidR="00C83DCF" w:rsidRDefault="00C83DCF">
      <w:pPr>
        <w:pStyle w:val="TOC2"/>
        <w:rPr>
          <w:rFonts w:eastAsiaTheme="minorEastAsia"/>
          <w:lang w:eastAsia="en-AU"/>
        </w:rPr>
      </w:pPr>
      <w:hyperlink w:anchor="_Toc531005172" w:history="1">
        <w:r w:rsidRPr="00793072">
          <w:rPr>
            <w:rStyle w:val="Hyperlink"/>
          </w:rPr>
          <w:t>3.5 Applications from a consortium</w:t>
        </w:r>
        <w:r>
          <w:rPr>
            <w:webHidden/>
          </w:rPr>
          <w:tab/>
        </w:r>
        <w:r>
          <w:rPr>
            <w:webHidden/>
          </w:rPr>
          <w:fldChar w:fldCharType="begin"/>
        </w:r>
        <w:r>
          <w:rPr>
            <w:webHidden/>
          </w:rPr>
          <w:instrText xml:space="preserve"> PAGEREF _Toc531005172 \h </w:instrText>
        </w:r>
        <w:r>
          <w:rPr>
            <w:webHidden/>
          </w:rPr>
        </w:r>
        <w:r>
          <w:rPr>
            <w:webHidden/>
          </w:rPr>
          <w:fldChar w:fldCharType="separate"/>
        </w:r>
        <w:r>
          <w:rPr>
            <w:webHidden/>
          </w:rPr>
          <w:t>15</w:t>
        </w:r>
        <w:r>
          <w:rPr>
            <w:webHidden/>
          </w:rPr>
          <w:fldChar w:fldCharType="end"/>
        </w:r>
      </w:hyperlink>
    </w:p>
    <w:p w14:paraId="52D2A436" w14:textId="34423B6F" w:rsidR="00C83DCF" w:rsidRDefault="00C83DCF">
      <w:pPr>
        <w:pStyle w:val="TOC2"/>
        <w:rPr>
          <w:rFonts w:eastAsiaTheme="minorEastAsia"/>
          <w:lang w:eastAsia="en-AU"/>
        </w:rPr>
      </w:pPr>
      <w:hyperlink w:anchor="_Toc531005173" w:history="1">
        <w:r w:rsidRPr="00793072">
          <w:rPr>
            <w:rStyle w:val="Hyperlink"/>
          </w:rPr>
          <w:t>3.6 Applications under an auspice</w:t>
        </w:r>
        <w:r>
          <w:rPr>
            <w:webHidden/>
          </w:rPr>
          <w:tab/>
        </w:r>
        <w:r>
          <w:rPr>
            <w:webHidden/>
          </w:rPr>
          <w:fldChar w:fldCharType="begin"/>
        </w:r>
        <w:r>
          <w:rPr>
            <w:webHidden/>
          </w:rPr>
          <w:instrText xml:space="preserve"> PAGEREF _Toc531005173 \h </w:instrText>
        </w:r>
        <w:r>
          <w:rPr>
            <w:webHidden/>
          </w:rPr>
        </w:r>
        <w:r>
          <w:rPr>
            <w:webHidden/>
          </w:rPr>
          <w:fldChar w:fldCharType="separate"/>
        </w:r>
        <w:r>
          <w:rPr>
            <w:webHidden/>
          </w:rPr>
          <w:t>15</w:t>
        </w:r>
        <w:r>
          <w:rPr>
            <w:webHidden/>
          </w:rPr>
          <w:fldChar w:fldCharType="end"/>
        </w:r>
      </w:hyperlink>
    </w:p>
    <w:p w14:paraId="75F29AA8" w14:textId="289AABB1" w:rsidR="00C83DCF" w:rsidRDefault="00C83DCF">
      <w:pPr>
        <w:pStyle w:val="TOC2"/>
        <w:rPr>
          <w:rFonts w:eastAsiaTheme="minorEastAsia"/>
          <w:lang w:eastAsia="en-AU"/>
        </w:rPr>
      </w:pPr>
      <w:hyperlink w:anchor="_Toc531005174" w:history="1">
        <w:r w:rsidRPr="00793072">
          <w:rPr>
            <w:rStyle w:val="Hyperlink"/>
          </w:rPr>
          <w:t>3.7 Applications from ILC priority cohort organisations</w:t>
        </w:r>
        <w:r>
          <w:rPr>
            <w:webHidden/>
          </w:rPr>
          <w:tab/>
        </w:r>
        <w:r>
          <w:rPr>
            <w:webHidden/>
          </w:rPr>
          <w:fldChar w:fldCharType="begin"/>
        </w:r>
        <w:r>
          <w:rPr>
            <w:webHidden/>
          </w:rPr>
          <w:instrText xml:space="preserve"> PAGEREF _Toc531005174 \h </w:instrText>
        </w:r>
        <w:r>
          <w:rPr>
            <w:webHidden/>
          </w:rPr>
        </w:r>
        <w:r>
          <w:rPr>
            <w:webHidden/>
          </w:rPr>
          <w:fldChar w:fldCharType="separate"/>
        </w:r>
        <w:r>
          <w:rPr>
            <w:webHidden/>
          </w:rPr>
          <w:t>17</w:t>
        </w:r>
        <w:r>
          <w:rPr>
            <w:webHidden/>
          </w:rPr>
          <w:fldChar w:fldCharType="end"/>
        </w:r>
      </w:hyperlink>
    </w:p>
    <w:p w14:paraId="77242693" w14:textId="069CA30F" w:rsidR="00C83DCF" w:rsidRDefault="00C83DCF">
      <w:pPr>
        <w:pStyle w:val="TOC2"/>
        <w:rPr>
          <w:rFonts w:eastAsiaTheme="minorEastAsia"/>
          <w:lang w:eastAsia="en-AU"/>
        </w:rPr>
      </w:pPr>
      <w:hyperlink w:anchor="_Toc531005175" w:history="1">
        <w:r w:rsidRPr="00793072">
          <w:rPr>
            <w:rStyle w:val="Hyperlink"/>
          </w:rPr>
          <w:t>3.8 Applications from sibling and carer organisations</w:t>
        </w:r>
        <w:r>
          <w:rPr>
            <w:webHidden/>
          </w:rPr>
          <w:tab/>
        </w:r>
        <w:r>
          <w:rPr>
            <w:webHidden/>
          </w:rPr>
          <w:fldChar w:fldCharType="begin"/>
        </w:r>
        <w:r>
          <w:rPr>
            <w:webHidden/>
          </w:rPr>
          <w:instrText xml:space="preserve"> PAGEREF _Toc531005175 \h </w:instrText>
        </w:r>
        <w:r>
          <w:rPr>
            <w:webHidden/>
          </w:rPr>
        </w:r>
        <w:r>
          <w:rPr>
            <w:webHidden/>
          </w:rPr>
          <w:fldChar w:fldCharType="separate"/>
        </w:r>
        <w:r>
          <w:rPr>
            <w:webHidden/>
          </w:rPr>
          <w:t>17</w:t>
        </w:r>
        <w:r>
          <w:rPr>
            <w:webHidden/>
          </w:rPr>
          <w:fldChar w:fldCharType="end"/>
        </w:r>
      </w:hyperlink>
    </w:p>
    <w:p w14:paraId="40E8C5DF" w14:textId="15CA4229" w:rsidR="00C83DCF" w:rsidRDefault="00C83DCF">
      <w:pPr>
        <w:pStyle w:val="TOC2"/>
        <w:rPr>
          <w:rFonts w:eastAsiaTheme="minorEastAsia"/>
          <w:lang w:eastAsia="en-AU"/>
        </w:rPr>
      </w:pPr>
      <w:hyperlink w:anchor="_Toc531005176" w:history="1">
        <w:r w:rsidRPr="00793072">
          <w:rPr>
            <w:rStyle w:val="Hyperlink"/>
          </w:rPr>
          <w:t>3.9 Organisations currently in receipt of NDIA ILC funding</w:t>
        </w:r>
        <w:r>
          <w:rPr>
            <w:webHidden/>
          </w:rPr>
          <w:tab/>
        </w:r>
        <w:r>
          <w:rPr>
            <w:webHidden/>
          </w:rPr>
          <w:fldChar w:fldCharType="begin"/>
        </w:r>
        <w:r>
          <w:rPr>
            <w:webHidden/>
          </w:rPr>
          <w:instrText xml:space="preserve"> PAGEREF _Toc531005176 \h </w:instrText>
        </w:r>
        <w:r>
          <w:rPr>
            <w:webHidden/>
          </w:rPr>
        </w:r>
        <w:r>
          <w:rPr>
            <w:webHidden/>
          </w:rPr>
          <w:fldChar w:fldCharType="separate"/>
        </w:r>
        <w:r>
          <w:rPr>
            <w:webHidden/>
          </w:rPr>
          <w:t>17</w:t>
        </w:r>
        <w:r>
          <w:rPr>
            <w:webHidden/>
          </w:rPr>
          <w:fldChar w:fldCharType="end"/>
        </w:r>
      </w:hyperlink>
    </w:p>
    <w:p w14:paraId="3CFBC837" w14:textId="0E2C5B35" w:rsidR="00C83DCF" w:rsidRDefault="00C83DCF">
      <w:pPr>
        <w:pStyle w:val="TOC2"/>
        <w:rPr>
          <w:rFonts w:eastAsiaTheme="minorEastAsia"/>
          <w:lang w:eastAsia="en-AU"/>
        </w:rPr>
      </w:pPr>
      <w:hyperlink w:anchor="_Toc531005177" w:history="1">
        <w:r w:rsidRPr="00793072">
          <w:rPr>
            <w:rStyle w:val="Hyperlink"/>
          </w:rPr>
          <w:t>3.10 Organisations that are registered as providers of support</w:t>
        </w:r>
        <w:r>
          <w:rPr>
            <w:webHidden/>
          </w:rPr>
          <w:tab/>
        </w:r>
        <w:r>
          <w:rPr>
            <w:webHidden/>
          </w:rPr>
          <w:fldChar w:fldCharType="begin"/>
        </w:r>
        <w:r>
          <w:rPr>
            <w:webHidden/>
          </w:rPr>
          <w:instrText xml:space="preserve"> PAGEREF _Toc531005177 \h </w:instrText>
        </w:r>
        <w:r>
          <w:rPr>
            <w:webHidden/>
          </w:rPr>
        </w:r>
        <w:r>
          <w:rPr>
            <w:webHidden/>
          </w:rPr>
          <w:fldChar w:fldCharType="separate"/>
        </w:r>
        <w:r>
          <w:rPr>
            <w:webHidden/>
          </w:rPr>
          <w:t>17</w:t>
        </w:r>
        <w:r>
          <w:rPr>
            <w:webHidden/>
          </w:rPr>
          <w:fldChar w:fldCharType="end"/>
        </w:r>
      </w:hyperlink>
    </w:p>
    <w:p w14:paraId="223CB568" w14:textId="1F2993E7" w:rsidR="00C83DCF" w:rsidRDefault="00C83DCF">
      <w:pPr>
        <w:pStyle w:val="TOC2"/>
        <w:rPr>
          <w:rFonts w:eastAsiaTheme="minorEastAsia"/>
          <w:lang w:eastAsia="en-AU"/>
        </w:rPr>
      </w:pPr>
      <w:hyperlink w:anchor="_Toc531005178" w:history="1">
        <w:r w:rsidRPr="00793072">
          <w:rPr>
            <w:rStyle w:val="Hyperlink"/>
          </w:rPr>
          <w:t>3.11 Partners in the Community (Local Area Coordination and/or Early Childhood Early Intervention Partners)</w:t>
        </w:r>
        <w:r>
          <w:rPr>
            <w:webHidden/>
          </w:rPr>
          <w:tab/>
        </w:r>
        <w:r>
          <w:rPr>
            <w:webHidden/>
          </w:rPr>
          <w:fldChar w:fldCharType="begin"/>
        </w:r>
        <w:r>
          <w:rPr>
            <w:webHidden/>
          </w:rPr>
          <w:instrText xml:space="preserve"> PAGEREF _Toc531005178 \h </w:instrText>
        </w:r>
        <w:r>
          <w:rPr>
            <w:webHidden/>
          </w:rPr>
        </w:r>
        <w:r>
          <w:rPr>
            <w:webHidden/>
          </w:rPr>
          <w:fldChar w:fldCharType="separate"/>
        </w:r>
        <w:r>
          <w:rPr>
            <w:webHidden/>
          </w:rPr>
          <w:t>18</w:t>
        </w:r>
        <w:r>
          <w:rPr>
            <w:webHidden/>
          </w:rPr>
          <w:fldChar w:fldCharType="end"/>
        </w:r>
      </w:hyperlink>
    </w:p>
    <w:p w14:paraId="0E081EF1" w14:textId="472FBD37" w:rsidR="00C83DCF" w:rsidRDefault="00C83DCF">
      <w:pPr>
        <w:pStyle w:val="TOC2"/>
        <w:rPr>
          <w:rFonts w:eastAsiaTheme="minorEastAsia"/>
          <w:lang w:eastAsia="en-AU"/>
        </w:rPr>
      </w:pPr>
      <w:hyperlink w:anchor="_Toc531005179" w:history="1">
        <w:r w:rsidRPr="00793072">
          <w:rPr>
            <w:rStyle w:val="Hyperlink"/>
          </w:rPr>
          <w:t>3.12 What qualifications or skills are required?</w:t>
        </w:r>
        <w:r>
          <w:rPr>
            <w:webHidden/>
          </w:rPr>
          <w:tab/>
        </w:r>
        <w:r>
          <w:rPr>
            <w:webHidden/>
          </w:rPr>
          <w:fldChar w:fldCharType="begin"/>
        </w:r>
        <w:r>
          <w:rPr>
            <w:webHidden/>
          </w:rPr>
          <w:instrText xml:space="preserve"> PAGEREF _Toc531005179 \h </w:instrText>
        </w:r>
        <w:r>
          <w:rPr>
            <w:webHidden/>
          </w:rPr>
        </w:r>
        <w:r>
          <w:rPr>
            <w:webHidden/>
          </w:rPr>
          <w:fldChar w:fldCharType="separate"/>
        </w:r>
        <w:r>
          <w:rPr>
            <w:webHidden/>
          </w:rPr>
          <w:t>18</w:t>
        </w:r>
        <w:r>
          <w:rPr>
            <w:webHidden/>
          </w:rPr>
          <w:fldChar w:fldCharType="end"/>
        </w:r>
      </w:hyperlink>
    </w:p>
    <w:p w14:paraId="6897B3F4" w14:textId="25AC1F39" w:rsidR="00C83DCF" w:rsidRDefault="00C83DCF">
      <w:pPr>
        <w:pStyle w:val="TOC1"/>
        <w:rPr>
          <w:rFonts w:eastAsiaTheme="minorEastAsia"/>
          <w:b w:val="0"/>
          <w:sz w:val="22"/>
          <w:lang w:eastAsia="en-AU"/>
        </w:rPr>
      </w:pPr>
      <w:hyperlink w:anchor="_Toc531005180" w:history="1">
        <w:r w:rsidRPr="00793072">
          <w:rPr>
            <w:rStyle w:val="Hyperlink"/>
          </w:rPr>
          <w:t>4. Eligible grant activities</w:t>
        </w:r>
        <w:r>
          <w:rPr>
            <w:webHidden/>
          </w:rPr>
          <w:tab/>
        </w:r>
        <w:r>
          <w:rPr>
            <w:webHidden/>
          </w:rPr>
          <w:fldChar w:fldCharType="begin"/>
        </w:r>
        <w:r>
          <w:rPr>
            <w:webHidden/>
          </w:rPr>
          <w:instrText xml:space="preserve"> PAGEREF _Toc531005180 \h </w:instrText>
        </w:r>
        <w:r>
          <w:rPr>
            <w:webHidden/>
          </w:rPr>
        </w:r>
        <w:r>
          <w:rPr>
            <w:webHidden/>
          </w:rPr>
          <w:fldChar w:fldCharType="separate"/>
        </w:r>
        <w:r>
          <w:rPr>
            <w:webHidden/>
          </w:rPr>
          <w:t>18</w:t>
        </w:r>
        <w:r>
          <w:rPr>
            <w:webHidden/>
          </w:rPr>
          <w:fldChar w:fldCharType="end"/>
        </w:r>
      </w:hyperlink>
    </w:p>
    <w:p w14:paraId="1EDF7E85" w14:textId="0035C8FB" w:rsidR="00C83DCF" w:rsidRDefault="00C83DCF">
      <w:pPr>
        <w:pStyle w:val="TOC2"/>
        <w:rPr>
          <w:rFonts w:eastAsiaTheme="minorEastAsia"/>
          <w:lang w:eastAsia="en-AU"/>
        </w:rPr>
      </w:pPr>
      <w:hyperlink w:anchor="_Toc531005181" w:history="1">
        <w:r w:rsidRPr="00793072">
          <w:rPr>
            <w:rStyle w:val="Hyperlink"/>
          </w:rPr>
          <w:t>4.1 Component 1 – Organisational Capacity Building</w:t>
        </w:r>
        <w:r>
          <w:rPr>
            <w:webHidden/>
          </w:rPr>
          <w:tab/>
        </w:r>
        <w:r>
          <w:rPr>
            <w:webHidden/>
          </w:rPr>
          <w:fldChar w:fldCharType="begin"/>
        </w:r>
        <w:r>
          <w:rPr>
            <w:webHidden/>
          </w:rPr>
          <w:instrText xml:space="preserve"> PAGEREF _Toc531005181 \h </w:instrText>
        </w:r>
        <w:r>
          <w:rPr>
            <w:webHidden/>
          </w:rPr>
        </w:r>
        <w:r>
          <w:rPr>
            <w:webHidden/>
          </w:rPr>
          <w:fldChar w:fldCharType="separate"/>
        </w:r>
        <w:r>
          <w:rPr>
            <w:webHidden/>
          </w:rPr>
          <w:t>18</w:t>
        </w:r>
        <w:r>
          <w:rPr>
            <w:webHidden/>
          </w:rPr>
          <w:fldChar w:fldCharType="end"/>
        </w:r>
      </w:hyperlink>
    </w:p>
    <w:p w14:paraId="7F0576D9" w14:textId="5D5D3D0A" w:rsidR="00C83DCF" w:rsidRDefault="00C83DCF">
      <w:pPr>
        <w:pStyle w:val="TOC2"/>
        <w:rPr>
          <w:rFonts w:eastAsiaTheme="minorEastAsia"/>
          <w:lang w:eastAsia="en-AU"/>
        </w:rPr>
      </w:pPr>
      <w:hyperlink w:anchor="_Toc531005182" w:history="1">
        <w:r w:rsidRPr="00793072">
          <w:rPr>
            <w:rStyle w:val="Hyperlink"/>
          </w:rPr>
          <w:t>4.2 Component 2 – Individual Capacity Building Activities</w:t>
        </w:r>
        <w:r>
          <w:rPr>
            <w:webHidden/>
          </w:rPr>
          <w:tab/>
        </w:r>
        <w:r>
          <w:rPr>
            <w:webHidden/>
          </w:rPr>
          <w:fldChar w:fldCharType="begin"/>
        </w:r>
        <w:r>
          <w:rPr>
            <w:webHidden/>
          </w:rPr>
          <w:instrText xml:space="preserve"> PAGEREF _Toc531005182 \h </w:instrText>
        </w:r>
        <w:r>
          <w:rPr>
            <w:webHidden/>
          </w:rPr>
        </w:r>
        <w:r>
          <w:rPr>
            <w:webHidden/>
          </w:rPr>
          <w:fldChar w:fldCharType="separate"/>
        </w:r>
        <w:r>
          <w:rPr>
            <w:webHidden/>
          </w:rPr>
          <w:t>20</w:t>
        </w:r>
        <w:r>
          <w:rPr>
            <w:webHidden/>
          </w:rPr>
          <w:fldChar w:fldCharType="end"/>
        </w:r>
      </w:hyperlink>
    </w:p>
    <w:p w14:paraId="0FAD6E6D" w14:textId="033AACD8" w:rsidR="00C83DCF" w:rsidRDefault="00C83DCF">
      <w:pPr>
        <w:pStyle w:val="TOC2"/>
        <w:rPr>
          <w:rFonts w:eastAsiaTheme="minorEastAsia"/>
          <w:lang w:eastAsia="en-AU"/>
        </w:rPr>
      </w:pPr>
      <w:hyperlink w:anchor="_Toc531005183" w:history="1">
        <w:r w:rsidRPr="00793072">
          <w:rPr>
            <w:rStyle w:val="Hyperlink"/>
          </w:rPr>
          <w:t>4.3 What the grant money can be used for</w:t>
        </w:r>
        <w:r>
          <w:rPr>
            <w:webHidden/>
          </w:rPr>
          <w:tab/>
        </w:r>
        <w:r>
          <w:rPr>
            <w:webHidden/>
          </w:rPr>
          <w:fldChar w:fldCharType="begin"/>
        </w:r>
        <w:r>
          <w:rPr>
            <w:webHidden/>
          </w:rPr>
          <w:instrText xml:space="preserve"> PAGEREF _Toc531005183 \h </w:instrText>
        </w:r>
        <w:r>
          <w:rPr>
            <w:webHidden/>
          </w:rPr>
        </w:r>
        <w:r>
          <w:rPr>
            <w:webHidden/>
          </w:rPr>
          <w:fldChar w:fldCharType="separate"/>
        </w:r>
        <w:r>
          <w:rPr>
            <w:webHidden/>
          </w:rPr>
          <w:t>21</w:t>
        </w:r>
        <w:r>
          <w:rPr>
            <w:webHidden/>
          </w:rPr>
          <w:fldChar w:fldCharType="end"/>
        </w:r>
      </w:hyperlink>
    </w:p>
    <w:p w14:paraId="0B720E5D" w14:textId="31904F60" w:rsidR="00C83DCF" w:rsidRDefault="00C83DCF">
      <w:pPr>
        <w:pStyle w:val="TOC2"/>
        <w:rPr>
          <w:rFonts w:eastAsiaTheme="minorEastAsia"/>
          <w:lang w:eastAsia="en-AU"/>
        </w:rPr>
      </w:pPr>
      <w:hyperlink w:anchor="_Toc531005184" w:history="1">
        <w:r w:rsidRPr="00793072">
          <w:rPr>
            <w:rStyle w:val="Hyperlink"/>
          </w:rPr>
          <w:t>4.4 What the grant money cannot be used for</w:t>
        </w:r>
        <w:r>
          <w:rPr>
            <w:webHidden/>
          </w:rPr>
          <w:tab/>
        </w:r>
        <w:r>
          <w:rPr>
            <w:webHidden/>
          </w:rPr>
          <w:fldChar w:fldCharType="begin"/>
        </w:r>
        <w:r>
          <w:rPr>
            <w:webHidden/>
          </w:rPr>
          <w:instrText xml:space="preserve"> PAGEREF _Toc531005184 \h </w:instrText>
        </w:r>
        <w:r>
          <w:rPr>
            <w:webHidden/>
          </w:rPr>
        </w:r>
        <w:r>
          <w:rPr>
            <w:webHidden/>
          </w:rPr>
          <w:fldChar w:fldCharType="separate"/>
        </w:r>
        <w:r>
          <w:rPr>
            <w:webHidden/>
          </w:rPr>
          <w:t>22</w:t>
        </w:r>
        <w:r>
          <w:rPr>
            <w:webHidden/>
          </w:rPr>
          <w:fldChar w:fldCharType="end"/>
        </w:r>
      </w:hyperlink>
    </w:p>
    <w:p w14:paraId="319DB331" w14:textId="4052B2E6" w:rsidR="00C83DCF" w:rsidRDefault="00C83DCF">
      <w:pPr>
        <w:pStyle w:val="TOC1"/>
        <w:rPr>
          <w:rFonts w:eastAsiaTheme="minorEastAsia"/>
          <w:b w:val="0"/>
          <w:sz w:val="22"/>
          <w:lang w:eastAsia="en-AU"/>
        </w:rPr>
      </w:pPr>
      <w:hyperlink w:anchor="_Toc531005185" w:history="1">
        <w:r w:rsidRPr="00793072">
          <w:rPr>
            <w:rStyle w:val="Hyperlink"/>
          </w:rPr>
          <w:t>5. The grant selection process</w:t>
        </w:r>
        <w:r>
          <w:rPr>
            <w:webHidden/>
          </w:rPr>
          <w:tab/>
        </w:r>
        <w:r>
          <w:rPr>
            <w:webHidden/>
          </w:rPr>
          <w:fldChar w:fldCharType="begin"/>
        </w:r>
        <w:r>
          <w:rPr>
            <w:webHidden/>
          </w:rPr>
          <w:instrText xml:space="preserve"> PAGEREF _Toc531005185 \h </w:instrText>
        </w:r>
        <w:r>
          <w:rPr>
            <w:webHidden/>
          </w:rPr>
        </w:r>
        <w:r>
          <w:rPr>
            <w:webHidden/>
          </w:rPr>
          <w:fldChar w:fldCharType="separate"/>
        </w:r>
        <w:r>
          <w:rPr>
            <w:webHidden/>
          </w:rPr>
          <w:t>23</w:t>
        </w:r>
        <w:r>
          <w:rPr>
            <w:webHidden/>
          </w:rPr>
          <w:fldChar w:fldCharType="end"/>
        </w:r>
      </w:hyperlink>
    </w:p>
    <w:p w14:paraId="09F03B7E" w14:textId="3572FE0E" w:rsidR="00C83DCF" w:rsidRDefault="00C83DCF">
      <w:pPr>
        <w:pStyle w:val="TOC2"/>
        <w:rPr>
          <w:rFonts w:eastAsiaTheme="minorEastAsia"/>
          <w:lang w:eastAsia="en-AU"/>
        </w:rPr>
      </w:pPr>
      <w:hyperlink w:anchor="_Toc531005186" w:history="1">
        <w:r w:rsidRPr="00793072">
          <w:rPr>
            <w:rStyle w:val="Hyperlink"/>
          </w:rPr>
          <w:t>5.1 Selection processes summary</w:t>
        </w:r>
        <w:r>
          <w:rPr>
            <w:webHidden/>
          </w:rPr>
          <w:tab/>
        </w:r>
        <w:r>
          <w:rPr>
            <w:webHidden/>
          </w:rPr>
          <w:fldChar w:fldCharType="begin"/>
        </w:r>
        <w:r>
          <w:rPr>
            <w:webHidden/>
          </w:rPr>
          <w:instrText xml:space="preserve"> PAGEREF _Toc531005186 \h </w:instrText>
        </w:r>
        <w:r>
          <w:rPr>
            <w:webHidden/>
          </w:rPr>
        </w:r>
        <w:r>
          <w:rPr>
            <w:webHidden/>
          </w:rPr>
          <w:fldChar w:fldCharType="separate"/>
        </w:r>
        <w:r>
          <w:rPr>
            <w:webHidden/>
          </w:rPr>
          <w:t>23</w:t>
        </w:r>
        <w:r>
          <w:rPr>
            <w:webHidden/>
          </w:rPr>
          <w:fldChar w:fldCharType="end"/>
        </w:r>
      </w:hyperlink>
    </w:p>
    <w:p w14:paraId="6026F855" w14:textId="75D2A6A2" w:rsidR="00C83DCF" w:rsidRDefault="00C83DCF">
      <w:pPr>
        <w:pStyle w:val="TOC2"/>
        <w:rPr>
          <w:rFonts w:eastAsiaTheme="minorEastAsia"/>
          <w:lang w:eastAsia="en-AU"/>
        </w:rPr>
      </w:pPr>
      <w:hyperlink w:anchor="_Toc531005187" w:history="1">
        <w:r w:rsidRPr="00793072">
          <w:rPr>
            <w:rStyle w:val="Hyperlink"/>
          </w:rPr>
          <w:t>5.2 Compliance Criteria</w:t>
        </w:r>
        <w:r>
          <w:rPr>
            <w:webHidden/>
          </w:rPr>
          <w:tab/>
        </w:r>
        <w:r>
          <w:rPr>
            <w:webHidden/>
          </w:rPr>
          <w:fldChar w:fldCharType="begin"/>
        </w:r>
        <w:r>
          <w:rPr>
            <w:webHidden/>
          </w:rPr>
          <w:instrText xml:space="preserve"> PAGEREF _Toc531005187 \h </w:instrText>
        </w:r>
        <w:r>
          <w:rPr>
            <w:webHidden/>
          </w:rPr>
        </w:r>
        <w:r>
          <w:rPr>
            <w:webHidden/>
          </w:rPr>
          <w:fldChar w:fldCharType="separate"/>
        </w:r>
        <w:r>
          <w:rPr>
            <w:webHidden/>
          </w:rPr>
          <w:t>24</w:t>
        </w:r>
        <w:r>
          <w:rPr>
            <w:webHidden/>
          </w:rPr>
          <w:fldChar w:fldCharType="end"/>
        </w:r>
      </w:hyperlink>
    </w:p>
    <w:p w14:paraId="5211D17C" w14:textId="029A9ADA" w:rsidR="00C83DCF" w:rsidRDefault="00C83DCF">
      <w:pPr>
        <w:pStyle w:val="TOC2"/>
        <w:rPr>
          <w:rFonts w:eastAsiaTheme="minorEastAsia"/>
          <w:lang w:eastAsia="en-AU"/>
        </w:rPr>
      </w:pPr>
      <w:hyperlink w:anchor="_Toc531005188" w:history="1">
        <w:r w:rsidRPr="00793072">
          <w:rPr>
            <w:rStyle w:val="Hyperlink"/>
          </w:rPr>
          <w:t>5.3 Eligibility Criteria</w:t>
        </w:r>
        <w:r>
          <w:rPr>
            <w:webHidden/>
          </w:rPr>
          <w:tab/>
        </w:r>
        <w:r>
          <w:rPr>
            <w:webHidden/>
          </w:rPr>
          <w:fldChar w:fldCharType="begin"/>
        </w:r>
        <w:r>
          <w:rPr>
            <w:webHidden/>
          </w:rPr>
          <w:instrText xml:space="preserve"> PAGEREF _Toc531005188 \h </w:instrText>
        </w:r>
        <w:r>
          <w:rPr>
            <w:webHidden/>
          </w:rPr>
        </w:r>
        <w:r>
          <w:rPr>
            <w:webHidden/>
          </w:rPr>
          <w:fldChar w:fldCharType="separate"/>
        </w:r>
        <w:r>
          <w:rPr>
            <w:webHidden/>
          </w:rPr>
          <w:t>24</w:t>
        </w:r>
        <w:r>
          <w:rPr>
            <w:webHidden/>
          </w:rPr>
          <w:fldChar w:fldCharType="end"/>
        </w:r>
      </w:hyperlink>
    </w:p>
    <w:p w14:paraId="109E5E83" w14:textId="78388C53" w:rsidR="00C83DCF" w:rsidRDefault="00C83DCF">
      <w:pPr>
        <w:pStyle w:val="TOC2"/>
        <w:rPr>
          <w:rFonts w:eastAsiaTheme="minorEastAsia"/>
          <w:lang w:eastAsia="en-AU"/>
        </w:rPr>
      </w:pPr>
      <w:hyperlink w:anchor="_Toc531005189" w:history="1">
        <w:r w:rsidRPr="00793072">
          <w:rPr>
            <w:rStyle w:val="Hyperlink"/>
          </w:rPr>
          <w:t>5.4 Assessment Criteria</w:t>
        </w:r>
        <w:r>
          <w:rPr>
            <w:webHidden/>
          </w:rPr>
          <w:tab/>
        </w:r>
        <w:r>
          <w:rPr>
            <w:webHidden/>
          </w:rPr>
          <w:fldChar w:fldCharType="begin"/>
        </w:r>
        <w:r>
          <w:rPr>
            <w:webHidden/>
          </w:rPr>
          <w:instrText xml:space="preserve"> PAGEREF _Toc531005189 \h </w:instrText>
        </w:r>
        <w:r>
          <w:rPr>
            <w:webHidden/>
          </w:rPr>
        </w:r>
        <w:r>
          <w:rPr>
            <w:webHidden/>
          </w:rPr>
          <w:fldChar w:fldCharType="separate"/>
        </w:r>
        <w:r>
          <w:rPr>
            <w:webHidden/>
          </w:rPr>
          <w:t>25</w:t>
        </w:r>
        <w:r>
          <w:rPr>
            <w:webHidden/>
          </w:rPr>
          <w:fldChar w:fldCharType="end"/>
        </w:r>
      </w:hyperlink>
    </w:p>
    <w:p w14:paraId="269C809D" w14:textId="1CEA16C0" w:rsidR="00C83DCF" w:rsidRDefault="00C83DCF">
      <w:pPr>
        <w:pStyle w:val="TOC1"/>
        <w:rPr>
          <w:rFonts w:eastAsiaTheme="minorEastAsia"/>
          <w:b w:val="0"/>
          <w:sz w:val="22"/>
          <w:lang w:eastAsia="en-AU"/>
        </w:rPr>
      </w:pPr>
      <w:hyperlink w:anchor="_Toc531005190" w:history="1">
        <w:r w:rsidRPr="00793072">
          <w:rPr>
            <w:rStyle w:val="Hyperlink"/>
          </w:rPr>
          <w:t>6. Completing the detailed responses</w:t>
        </w:r>
        <w:r>
          <w:rPr>
            <w:webHidden/>
          </w:rPr>
          <w:tab/>
        </w:r>
        <w:r>
          <w:rPr>
            <w:webHidden/>
          </w:rPr>
          <w:fldChar w:fldCharType="begin"/>
        </w:r>
        <w:r>
          <w:rPr>
            <w:webHidden/>
          </w:rPr>
          <w:instrText xml:space="preserve"> PAGEREF _Toc531005190 \h </w:instrText>
        </w:r>
        <w:r>
          <w:rPr>
            <w:webHidden/>
          </w:rPr>
        </w:r>
        <w:r>
          <w:rPr>
            <w:webHidden/>
          </w:rPr>
          <w:fldChar w:fldCharType="separate"/>
        </w:r>
        <w:r>
          <w:rPr>
            <w:webHidden/>
          </w:rPr>
          <w:t>26</w:t>
        </w:r>
        <w:r>
          <w:rPr>
            <w:webHidden/>
          </w:rPr>
          <w:fldChar w:fldCharType="end"/>
        </w:r>
      </w:hyperlink>
    </w:p>
    <w:p w14:paraId="5CFEC347" w14:textId="3954CB2E" w:rsidR="00C83DCF" w:rsidRDefault="00C83DCF">
      <w:pPr>
        <w:pStyle w:val="TOC2"/>
        <w:rPr>
          <w:rFonts w:eastAsiaTheme="minorEastAsia"/>
          <w:lang w:eastAsia="en-AU"/>
        </w:rPr>
      </w:pPr>
      <w:hyperlink w:anchor="_Toc531005191" w:history="1">
        <w:r w:rsidRPr="00793072">
          <w:rPr>
            <w:rStyle w:val="Hyperlink"/>
          </w:rPr>
          <w:t>6.1 Responding to ‘Tell us about your organisation’</w:t>
        </w:r>
        <w:r>
          <w:rPr>
            <w:webHidden/>
          </w:rPr>
          <w:tab/>
        </w:r>
        <w:r>
          <w:rPr>
            <w:webHidden/>
          </w:rPr>
          <w:fldChar w:fldCharType="begin"/>
        </w:r>
        <w:r>
          <w:rPr>
            <w:webHidden/>
          </w:rPr>
          <w:instrText xml:space="preserve"> PAGEREF _Toc531005191 \h </w:instrText>
        </w:r>
        <w:r>
          <w:rPr>
            <w:webHidden/>
          </w:rPr>
        </w:r>
        <w:r>
          <w:rPr>
            <w:webHidden/>
          </w:rPr>
          <w:fldChar w:fldCharType="separate"/>
        </w:r>
        <w:r>
          <w:rPr>
            <w:webHidden/>
          </w:rPr>
          <w:t>26</w:t>
        </w:r>
        <w:r>
          <w:rPr>
            <w:webHidden/>
          </w:rPr>
          <w:fldChar w:fldCharType="end"/>
        </w:r>
      </w:hyperlink>
    </w:p>
    <w:p w14:paraId="34965622" w14:textId="2AFE1877" w:rsidR="00C83DCF" w:rsidRDefault="00C83DCF">
      <w:pPr>
        <w:pStyle w:val="TOC2"/>
        <w:rPr>
          <w:rFonts w:eastAsiaTheme="minorEastAsia"/>
          <w:lang w:eastAsia="en-AU"/>
        </w:rPr>
      </w:pPr>
      <w:hyperlink w:anchor="_Toc531005192" w:history="1">
        <w:r w:rsidRPr="00793072">
          <w:rPr>
            <w:rStyle w:val="Hyperlink"/>
          </w:rPr>
          <w:t>6.2 Activity summary response</w:t>
        </w:r>
        <w:r>
          <w:rPr>
            <w:webHidden/>
          </w:rPr>
          <w:tab/>
        </w:r>
        <w:r>
          <w:rPr>
            <w:webHidden/>
          </w:rPr>
          <w:fldChar w:fldCharType="begin"/>
        </w:r>
        <w:r>
          <w:rPr>
            <w:webHidden/>
          </w:rPr>
          <w:instrText xml:space="preserve"> PAGEREF _Toc531005192 \h </w:instrText>
        </w:r>
        <w:r>
          <w:rPr>
            <w:webHidden/>
          </w:rPr>
        </w:r>
        <w:r>
          <w:rPr>
            <w:webHidden/>
          </w:rPr>
          <w:fldChar w:fldCharType="separate"/>
        </w:r>
        <w:r>
          <w:rPr>
            <w:webHidden/>
          </w:rPr>
          <w:t>26</w:t>
        </w:r>
        <w:r>
          <w:rPr>
            <w:webHidden/>
          </w:rPr>
          <w:fldChar w:fldCharType="end"/>
        </w:r>
      </w:hyperlink>
    </w:p>
    <w:p w14:paraId="067319F1" w14:textId="11E2F7D9" w:rsidR="00C83DCF" w:rsidRDefault="00C83DCF">
      <w:pPr>
        <w:pStyle w:val="TOC2"/>
        <w:rPr>
          <w:rFonts w:eastAsiaTheme="minorEastAsia"/>
          <w:lang w:eastAsia="en-AU"/>
        </w:rPr>
      </w:pPr>
      <w:hyperlink w:anchor="_Toc531005193" w:history="1">
        <w:r w:rsidRPr="00793072">
          <w:rPr>
            <w:rStyle w:val="Hyperlink"/>
          </w:rPr>
          <w:t>6.3 Completing the Project Indicative Budget</w:t>
        </w:r>
        <w:r>
          <w:rPr>
            <w:webHidden/>
          </w:rPr>
          <w:tab/>
        </w:r>
        <w:r>
          <w:rPr>
            <w:webHidden/>
          </w:rPr>
          <w:fldChar w:fldCharType="begin"/>
        </w:r>
        <w:r>
          <w:rPr>
            <w:webHidden/>
          </w:rPr>
          <w:instrText xml:space="preserve"> PAGEREF _Toc531005193 \h </w:instrText>
        </w:r>
        <w:r>
          <w:rPr>
            <w:webHidden/>
          </w:rPr>
        </w:r>
        <w:r>
          <w:rPr>
            <w:webHidden/>
          </w:rPr>
          <w:fldChar w:fldCharType="separate"/>
        </w:r>
        <w:r>
          <w:rPr>
            <w:webHidden/>
          </w:rPr>
          <w:t>27</w:t>
        </w:r>
        <w:r>
          <w:rPr>
            <w:webHidden/>
          </w:rPr>
          <w:fldChar w:fldCharType="end"/>
        </w:r>
      </w:hyperlink>
    </w:p>
    <w:p w14:paraId="08B6DFE3" w14:textId="3D082C5E" w:rsidR="00C83DCF" w:rsidRDefault="00C83DCF">
      <w:pPr>
        <w:pStyle w:val="TOC2"/>
        <w:rPr>
          <w:rFonts w:eastAsiaTheme="minorEastAsia"/>
          <w:lang w:eastAsia="en-AU"/>
        </w:rPr>
      </w:pPr>
      <w:hyperlink w:anchor="_Toc531005194" w:history="1">
        <w:r w:rsidRPr="00793072">
          <w:rPr>
            <w:rStyle w:val="Hyperlink"/>
          </w:rPr>
          <w:t>6.4 Multicultural Access and Equity Policy</w:t>
        </w:r>
        <w:r>
          <w:rPr>
            <w:webHidden/>
          </w:rPr>
          <w:tab/>
        </w:r>
        <w:r>
          <w:rPr>
            <w:webHidden/>
          </w:rPr>
          <w:fldChar w:fldCharType="begin"/>
        </w:r>
        <w:r>
          <w:rPr>
            <w:webHidden/>
          </w:rPr>
          <w:instrText xml:space="preserve"> PAGEREF _Toc531005194 \h </w:instrText>
        </w:r>
        <w:r>
          <w:rPr>
            <w:webHidden/>
          </w:rPr>
        </w:r>
        <w:r>
          <w:rPr>
            <w:webHidden/>
          </w:rPr>
          <w:fldChar w:fldCharType="separate"/>
        </w:r>
        <w:r>
          <w:rPr>
            <w:webHidden/>
          </w:rPr>
          <w:t>27</w:t>
        </w:r>
        <w:r>
          <w:rPr>
            <w:webHidden/>
          </w:rPr>
          <w:fldChar w:fldCharType="end"/>
        </w:r>
      </w:hyperlink>
    </w:p>
    <w:p w14:paraId="6AB7B6D1" w14:textId="54E072ED" w:rsidR="00C83DCF" w:rsidRDefault="00C83DCF">
      <w:pPr>
        <w:pStyle w:val="TOC1"/>
        <w:rPr>
          <w:rFonts w:eastAsiaTheme="minorEastAsia"/>
          <w:b w:val="0"/>
          <w:sz w:val="22"/>
          <w:lang w:eastAsia="en-AU"/>
        </w:rPr>
      </w:pPr>
      <w:hyperlink w:anchor="_Toc531005195" w:history="1">
        <w:r w:rsidRPr="00793072">
          <w:rPr>
            <w:rStyle w:val="Hyperlink"/>
          </w:rPr>
          <w:t>7. The Selection Criteria</w:t>
        </w:r>
        <w:r>
          <w:rPr>
            <w:webHidden/>
          </w:rPr>
          <w:tab/>
        </w:r>
        <w:r>
          <w:rPr>
            <w:webHidden/>
          </w:rPr>
          <w:fldChar w:fldCharType="begin"/>
        </w:r>
        <w:r>
          <w:rPr>
            <w:webHidden/>
          </w:rPr>
          <w:instrText xml:space="preserve"> PAGEREF _Toc531005195 \h </w:instrText>
        </w:r>
        <w:r>
          <w:rPr>
            <w:webHidden/>
          </w:rPr>
        </w:r>
        <w:r>
          <w:rPr>
            <w:webHidden/>
          </w:rPr>
          <w:fldChar w:fldCharType="separate"/>
        </w:r>
        <w:r>
          <w:rPr>
            <w:webHidden/>
          </w:rPr>
          <w:t>28</w:t>
        </w:r>
        <w:r>
          <w:rPr>
            <w:webHidden/>
          </w:rPr>
          <w:fldChar w:fldCharType="end"/>
        </w:r>
      </w:hyperlink>
    </w:p>
    <w:p w14:paraId="24ED6856" w14:textId="1AF80630" w:rsidR="00C83DCF" w:rsidRDefault="00C83DCF">
      <w:pPr>
        <w:pStyle w:val="TOC2"/>
        <w:rPr>
          <w:rFonts w:eastAsiaTheme="minorEastAsia"/>
          <w:lang w:eastAsia="en-AU"/>
        </w:rPr>
      </w:pPr>
      <w:hyperlink w:anchor="_Toc531005196" w:history="1">
        <w:r w:rsidRPr="00793072">
          <w:rPr>
            <w:rStyle w:val="Hyperlink"/>
          </w:rPr>
          <w:t>7.1 The Selection Criteria in detail</w:t>
        </w:r>
        <w:r>
          <w:rPr>
            <w:webHidden/>
          </w:rPr>
          <w:tab/>
        </w:r>
        <w:r>
          <w:rPr>
            <w:webHidden/>
          </w:rPr>
          <w:fldChar w:fldCharType="begin"/>
        </w:r>
        <w:r>
          <w:rPr>
            <w:webHidden/>
          </w:rPr>
          <w:instrText xml:space="preserve"> PAGEREF _Toc531005196 \h </w:instrText>
        </w:r>
        <w:r>
          <w:rPr>
            <w:webHidden/>
          </w:rPr>
        </w:r>
        <w:r>
          <w:rPr>
            <w:webHidden/>
          </w:rPr>
          <w:fldChar w:fldCharType="separate"/>
        </w:r>
        <w:r>
          <w:rPr>
            <w:webHidden/>
          </w:rPr>
          <w:t>28</w:t>
        </w:r>
        <w:r>
          <w:rPr>
            <w:webHidden/>
          </w:rPr>
          <w:fldChar w:fldCharType="end"/>
        </w:r>
      </w:hyperlink>
    </w:p>
    <w:p w14:paraId="42C8811C" w14:textId="1AD6F9EE" w:rsidR="00C83DCF" w:rsidRDefault="00C83DCF">
      <w:pPr>
        <w:pStyle w:val="TOC1"/>
        <w:rPr>
          <w:rFonts w:eastAsiaTheme="minorEastAsia"/>
          <w:b w:val="0"/>
          <w:sz w:val="22"/>
          <w:lang w:eastAsia="en-AU"/>
        </w:rPr>
      </w:pPr>
      <w:hyperlink w:anchor="_Toc531005197" w:history="1">
        <w:r w:rsidRPr="00793072">
          <w:rPr>
            <w:rStyle w:val="Hyperlink"/>
          </w:rPr>
          <w:t>8. The grant application process</w:t>
        </w:r>
        <w:r>
          <w:rPr>
            <w:webHidden/>
          </w:rPr>
          <w:tab/>
        </w:r>
        <w:r>
          <w:rPr>
            <w:webHidden/>
          </w:rPr>
          <w:fldChar w:fldCharType="begin"/>
        </w:r>
        <w:r>
          <w:rPr>
            <w:webHidden/>
          </w:rPr>
          <w:instrText xml:space="preserve"> PAGEREF _Toc531005197 \h </w:instrText>
        </w:r>
        <w:r>
          <w:rPr>
            <w:webHidden/>
          </w:rPr>
        </w:r>
        <w:r>
          <w:rPr>
            <w:webHidden/>
          </w:rPr>
          <w:fldChar w:fldCharType="separate"/>
        </w:r>
        <w:r>
          <w:rPr>
            <w:webHidden/>
          </w:rPr>
          <w:t>30</w:t>
        </w:r>
        <w:r>
          <w:rPr>
            <w:webHidden/>
          </w:rPr>
          <w:fldChar w:fldCharType="end"/>
        </w:r>
      </w:hyperlink>
    </w:p>
    <w:p w14:paraId="210DEF28" w14:textId="6840F1B8" w:rsidR="00C83DCF" w:rsidRDefault="00C83DCF">
      <w:pPr>
        <w:pStyle w:val="TOC2"/>
        <w:rPr>
          <w:rFonts w:eastAsiaTheme="minorEastAsia"/>
          <w:lang w:eastAsia="en-AU"/>
        </w:rPr>
      </w:pPr>
      <w:hyperlink w:anchor="_Toc531005198" w:history="1">
        <w:r w:rsidRPr="00793072">
          <w:rPr>
            <w:rStyle w:val="Hyperlink"/>
          </w:rPr>
          <w:t>8.1 Overview of application process</w:t>
        </w:r>
        <w:r>
          <w:rPr>
            <w:webHidden/>
          </w:rPr>
          <w:tab/>
        </w:r>
        <w:r>
          <w:rPr>
            <w:webHidden/>
          </w:rPr>
          <w:fldChar w:fldCharType="begin"/>
        </w:r>
        <w:r>
          <w:rPr>
            <w:webHidden/>
          </w:rPr>
          <w:instrText xml:space="preserve"> PAGEREF _Toc531005198 \h </w:instrText>
        </w:r>
        <w:r>
          <w:rPr>
            <w:webHidden/>
          </w:rPr>
        </w:r>
        <w:r>
          <w:rPr>
            <w:webHidden/>
          </w:rPr>
          <w:fldChar w:fldCharType="separate"/>
        </w:r>
        <w:r>
          <w:rPr>
            <w:webHidden/>
          </w:rPr>
          <w:t>30</w:t>
        </w:r>
        <w:r>
          <w:rPr>
            <w:webHidden/>
          </w:rPr>
          <w:fldChar w:fldCharType="end"/>
        </w:r>
      </w:hyperlink>
    </w:p>
    <w:p w14:paraId="2E9C9F29" w14:textId="4288B0F6" w:rsidR="00C83DCF" w:rsidRDefault="00C83DCF">
      <w:pPr>
        <w:pStyle w:val="TOC2"/>
        <w:rPr>
          <w:rFonts w:eastAsiaTheme="minorEastAsia"/>
          <w:lang w:eastAsia="en-AU"/>
        </w:rPr>
      </w:pPr>
      <w:hyperlink w:anchor="_Toc531005199" w:history="1">
        <w:r w:rsidRPr="00793072">
          <w:rPr>
            <w:rStyle w:val="Hyperlink"/>
          </w:rPr>
          <w:t>8.2 Application process timing</w:t>
        </w:r>
        <w:r>
          <w:rPr>
            <w:webHidden/>
          </w:rPr>
          <w:tab/>
        </w:r>
        <w:r>
          <w:rPr>
            <w:webHidden/>
          </w:rPr>
          <w:fldChar w:fldCharType="begin"/>
        </w:r>
        <w:r>
          <w:rPr>
            <w:webHidden/>
          </w:rPr>
          <w:instrText xml:space="preserve"> PAGEREF _Toc531005199 \h </w:instrText>
        </w:r>
        <w:r>
          <w:rPr>
            <w:webHidden/>
          </w:rPr>
        </w:r>
        <w:r>
          <w:rPr>
            <w:webHidden/>
          </w:rPr>
          <w:fldChar w:fldCharType="separate"/>
        </w:r>
        <w:r>
          <w:rPr>
            <w:webHidden/>
          </w:rPr>
          <w:t>30</w:t>
        </w:r>
        <w:r>
          <w:rPr>
            <w:webHidden/>
          </w:rPr>
          <w:fldChar w:fldCharType="end"/>
        </w:r>
      </w:hyperlink>
    </w:p>
    <w:p w14:paraId="4992A243" w14:textId="331CD8D1" w:rsidR="00C83DCF" w:rsidRDefault="00C83DCF">
      <w:pPr>
        <w:pStyle w:val="TOC2"/>
        <w:rPr>
          <w:rFonts w:eastAsiaTheme="minorEastAsia"/>
          <w:lang w:eastAsia="en-AU"/>
        </w:rPr>
      </w:pPr>
      <w:hyperlink w:anchor="_Toc531005200" w:history="1">
        <w:r w:rsidRPr="00793072">
          <w:rPr>
            <w:rStyle w:val="Hyperlink"/>
          </w:rPr>
          <w:t>8.3 Completing the grant application</w:t>
        </w:r>
        <w:r>
          <w:rPr>
            <w:webHidden/>
          </w:rPr>
          <w:tab/>
        </w:r>
        <w:r>
          <w:rPr>
            <w:webHidden/>
          </w:rPr>
          <w:fldChar w:fldCharType="begin"/>
        </w:r>
        <w:r>
          <w:rPr>
            <w:webHidden/>
          </w:rPr>
          <w:instrText xml:space="preserve"> PAGEREF _Toc531005200 \h </w:instrText>
        </w:r>
        <w:r>
          <w:rPr>
            <w:webHidden/>
          </w:rPr>
        </w:r>
        <w:r>
          <w:rPr>
            <w:webHidden/>
          </w:rPr>
          <w:fldChar w:fldCharType="separate"/>
        </w:r>
        <w:r>
          <w:rPr>
            <w:webHidden/>
          </w:rPr>
          <w:t>31</w:t>
        </w:r>
        <w:r>
          <w:rPr>
            <w:webHidden/>
          </w:rPr>
          <w:fldChar w:fldCharType="end"/>
        </w:r>
      </w:hyperlink>
    </w:p>
    <w:p w14:paraId="1967D14A" w14:textId="4EC378B5" w:rsidR="00C83DCF" w:rsidRDefault="00C83DCF">
      <w:pPr>
        <w:pStyle w:val="TOC2"/>
        <w:rPr>
          <w:rFonts w:eastAsiaTheme="minorEastAsia"/>
          <w:lang w:eastAsia="en-AU"/>
        </w:rPr>
      </w:pPr>
      <w:hyperlink w:anchor="_Toc531005201" w:history="1">
        <w:r w:rsidRPr="00793072">
          <w:rPr>
            <w:rStyle w:val="Hyperlink"/>
          </w:rPr>
          <w:t>8.4 Attachments to the application</w:t>
        </w:r>
        <w:r>
          <w:rPr>
            <w:webHidden/>
          </w:rPr>
          <w:tab/>
        </w:r>
        <w:r>
          <w:rPr>
            <w:webHidden/>
          </w:rPr>
          <w:fldChar w:fldCharType="begin"/>
        </w:r>
        <w:r>
          <w:rPr>
            <w:webHidden/>
          </w:rPr>
          <w:instrText xml:space="preserve"> PAGEREF _Toc531005201 \h </w:instrText>
        </w:r>
        <w:r>
          <w:rPr>
            <w:webHidden/>
          </w:rPr>
        </w:r>
        <w:r>
          <w:rPr>
            <w:webHidden/>
          </w:rPr>
          <w:fldChar w:fldCharType="separate"/>
        </w:r>
        <w:r>
          <w:rPr>
            <w:webHidden/>
          </w:rPr>
          <w:t>32</w:t>
        </w:r>
        <w:r>
          <w:rPr>
            <w:webHidden/>
          </w:rPr>
          <w:fldChar w:fldCharType="end"/>
        </w:r>
      </w:hyperlink>
    </w:p>
    <w:p w14:paraId="3ED4BB68" w14:textId="17B6D5AA" w:rsidR="00C83DCF" w:rsidRDefault="00C83DCF">
      <w:pPr>
        <w:pStyle w:val="TOC2"/>
        <w:rPr>
          <w:rFonts w:eastAsiaTheme="minorEastAsia"/>
          <w:lang w:eastAsia="en-AU"/>
        </w:rPr>
      </w:pPr>
      <w:hyperlink w:anchor="_Toc531005202" w:history="1">
        <w:r w:rsidRPr="00793072">
          <w:rPr>
            <w:rStyle w:val="Hyperlink"/>
          </w:rPr>
          <w:t>8.5 Questions during the application process</w:t>
        </w:r>
        <w:r>
          <w:rPr>
            <w:webHidden/>
          </w:rPr>
          <w:tab/>
        </w:r>
        <w:r>
          <w:rPr>
            <w:webHidden/>
          </w:rPr>
          <w:fldChar w:fldCharType="begin"/>
        </w:r>
        <w:r>
          <w:rPr>
            <w:webHidden/>
          </w:rPr>
          <w:instrText xml:space="preserve"> PAGEREF _Toc531005202 \h </w:instrText>
        </w:r>
        <w:r>
          <w:rPr>
            <w:webHidden/>
          </w:rPr>
        </w:r>
        <w:r>
          <w:rPr>
            <w:webHidden/>
          </w:rPr>
          <w:fldChar w:fldCharType="separate"/>
        </w:r>
        <w:r>
          <w:rPr>
            <w:webHidden/>
          </w:rPr>
          <w:t>32</w:t>
        </w:r>
        <w:r>
          <w:rPr>
            <w:webHidden/>
          </w:rPr>
          <w:fldChar w:fldCharType="end"/>
        </w:r>
      </w:hyperlink>
    </w:p>
    <w:p w14:paraId="02264F1D" w14:textId="4B3DEC67" w:rsidR="00C83DCF" w:rsidRDefault="00C83DCF">
      <w:pPr>
        <w:pStyle w:val="TOC2"/>
        <w:rPr>
          <w:rFonts w:eastAsiaTheme="minorEastAsia"/>
          <w:lang w:eastAsia="en-AU"/>
        </w:rPr>
      </w:pPr>
      <w:hyperlink w:anchor="_Toc531005203" w:history="1">
        <w:r w:rsidRPr="00793072">
          <w:rPr>
            <w:rStyle w:val="Hyperlink"/>
          </w:rPr>
          <w:t>8.6 Requests for further information</w:t>
        </w:r>
        <w:r>
          <w:rPr>
            <w:webHidden/>
          </w:rPr>
          <w:tab/>
        </w:r>
        <w:r>
          <w:rPr>
            <w:webHidden/>
          </w:rPr>
          <w:fldChar w:fldCharType="begin"/>
        </w:r>
        <w:r>
          <w:rPr>
            <w:webHidden/>
          </w:rPr>
          <w:instrText xml:space="preserve"> PAGEREF _Toc531005203 \h </w:instrText>
        </w:r>
        <w:r>
          <w:rPr>
            <w:webHidden/>
          </w:rPr>
        </w:r>
        <w:r>
          <w:rPr>
            <w:webHidden/>
          </w:rPr>
          <w:fldChar w:fldCharType="separate"/>
        </w:r>
        <w:r>
          <w:rPr>
            <w:webHidden/>
          </w:rPr>
          <w:t>33</w:t>
        </w:r>
        <w:r>
          <w:rPr>
            <w:webHidden/>
          </w:rPr>
          <w:fldChar w:fldCharType="end"/>
        </w:r>
      </w:hyperlink>
    </w:p>
    <w:p w14:paraId="12B5C635" w14:textId="6B9260BC" w:rsidR="00C83DCF" w:rsidRDefault="00C83DCF">
      <w:pPr>
        <w:pStyle w:val="TOC1"/>
        <w:rPr>
          <w:rFonts w:eastAsiaTheme="minorEastAsia"/>
          <w:b w:val="0"/>
          <w:sz w:val="22"/>
          <w:lang w:eastAsia="en-AU"/>
        </w:rPr>
      </w:pPr>
      <w:hyperlink w:anchor="_Toc531005204" w:history="1">
        <w:r w:rsidRPr="00793072">
          <w:rPr>
            <w:rStyle w:val="Hyperlink"/>
          </w:rPr>
          <w:t>9. Assessment of grant applications</w:t>
        </w:r>
        <w:r>
          <w:rPr>
            <w:webHidden/>
          </w:rPr>
          <w:tab/>
        </w:r>
        <w:r>
          <w:rPr>
            <w:webHidden/>
          </w:rPr>
          <w:fldChar w:fldCharType="begin"/>
        </w:r>
        <w:r>
          <w:rPr>
            <w:webHidden/>
          </w:rPr>
          <w:instrText xml:space="preserve"> PAGEREF _Toc531005204 \h </w:instrText>
        </w:r>
        <w:r>
          <w:rPr>
            <w:webHidden/>
          </w:rPr>
        </w:r>
        <w:r>
          <w:rPr>
            <w:webHidden/>
          </w:rPr>
          <w:fldChar w:fldCharType="separate"/>
        </w:r>
        <w:r>
          <w:rPr>
            <w:webHidden/>
          </w:rPr>
          <w:t>33</w:t>
        </w:r>
        <w:r>
          <w:rPr>
            <w:webHidden/>
          </w:rPr>
          <w:fldChar w:fldCharType="end"/>
        </w:r>
      </w:hyperlink>
    </w:p>
    <w:p w14:paraId="62819B59" w14:textId="68A57C2D" w:rsidR="00C83DCF" w:rsidRDefault="00C83DCF">
      <w:pPr>
        <w:pStyle w:val="TOC2"/>
        <w:rPr>
          <w:rFonts w:eastAsiaTheme="minorEastAsia"/>
          <w:lang w:eastAsia="en-AU"/>
        </w:rPr>
      </w:pPr>
      <w:hyperlink w:anchor="_Toc531005205" w:history="1">
        <w:r w:rsidRPr="00793072">
          <w:rPr>
            <w:rStyle w:val="Hyperlink"/>
          </w:rPr>
          <w:t>9.1 Who will assess applications?</w:t>
        </w:r>
        <w:r>
          <w:rPr>
            <w:webHidden/>
          </w:rPr>
          <w:tab/>
        </w:r>
        <w:r>
          <w:rPr>
            <w:webHidden/>
          </w:rPr>
          <w:fldChar w:fldCharType="begin"/>
        </w:r>
        <w:r>
          <w:rPr>
            <w:webHidden/>
          </w:rPr>
          <w:instrText xml:space="preserve"> PAGEREF _Toc531005205 \h </w:instrText>
        </w:r>
        <w:r>
          <w:rPr>
            <w:webHidden/>
          </w:rPr>
        </w:r>
        <w:r>
          <w:rPr>
            <w:webHidden/>
          </w:rPr>
          <w:fldChar w:fldCharType="separate"/>
        </w:r>
        <w:r>
          <w:rPr>
            <w:webHidden/>
          </w:rPr>
          <w:t>33</w:t>
        </w:r>
        <w:r>
          <w:rPr>
            <w:webHidden/>
          </w:rPr>
          <w:fldChar w:fldCharType="end"/>
        </w:r>
      </w:hyperlink>
    </w:p>
    <w:p w14:paraId="213189BD" w14:textId="4DC404DA" w:rsidR="00C83DCF" w:rsidRDefault="00C83DCF">
      <w:pPr>
        <w:pStyle w:val="TOC2"/>
        <w:rPr>
          <w:rFonts w:eastAsiaTheme="minorEastAsia"/>
          <w:lang w:eastAsia="en-AU"/>
        </w:rPr>
      </w:pPr>
      <w:hyperlink w:anchor="_Toc531005206" w:history="1">
        <w:r w:rsidRPr="00793072">
          <w:rPr>
            <w:rStyle w:val="Hyperlink"/>
          </w:rPr>
          <w:t>9.2 Who will approve grants?</w:t>
        </w:r>
        <w:r>
          <w:rPr>
            <w:webHidden/>
          </w:rPr>
          <w:tab/>
        </w:r>
        <w:r>
          <w:rPr>
            <w:webHidden/>
          </w:rPr>
          <w:fldChar w:fldCharType="begin"/>
        </w:r>
        <w:r>
          <w:rPr>
            <w:webHidden/>
          </w:rPr>
          <w:instrText xml:space="preserve"> PAGEREF _Toc531005206 \h </w:instrText>
        </w:r>
        <w:r>
          <w:rPr>
            <w:webHidden/>
          </w:rPr>
        </w:r>
        <w:r>
          <w:rPr>
            <w:webHidden/>
          </w:rPr>
          <w:fldChar w:fldCharType="separate"/>
        </w:r>
        <w:r>
          <w:rPr>
            <w:webHidden/>
          </w:rPr>
          <w:t>34</w:t>
        </w:r>
        <w:r>
          <w:rPr>
            <w:webHidden/>
          </w:rPr>
          <w:fldChar w:fldCharType="end"/>
        </w:r>
      </w:hyperlink>
    </w:p>
    <w:p w14:paraId="047DDA6D" w14:textId="0F8AFE68" w:rsidR="00C83DCF" w:rsidRDefault="00C83DCF">
      <w:pPr>
        <w:pStyle w:val="TOC1"/>
        <w:rPr>
          <w:rFonts w:eastAsiaTheme="minorEastAsia"/>
          <w:b w:val="0"/>
          <w:sz w:val="22"/>
          <w:lang w:eastAsia="en-AU"/>
        </w:rPr>
      </w:pPr>
      <w:hyperlink w:anchor="_Toc531005207" w:history="1">
        <w:r w:rsidRPr="00793072">
          <w:rPr>
            <w:rStyle w:val="Hyperlink"/>
          </w:rPr>
          <w:t>10. Notification of application outcomes</w:t>
        </w:r>
        <w:r>
          <w:rPr>
            <w:webHidden/>
          </w:rPr>
          <w:tab/>
        </w:r>
        <w:r>
          <w:rPr>
            <w:webHidden/>
          </w:rPr>
          <w:fldChar w:fldCharType="begin"/>
        </w:r>
        <w:r>
          <w:rPr>
            <w:webHidden/>
          </w:rPr>
          <w:instrText xml:space="preserve"> PAGEREF _Toc531005207 \h </w:instrText>
        </w:r>
        <w:r>
          <w:rPr>
            <w:webHidden/>
          </w:rPr>
        </w:r>
        <w:r>
          <w:rPr>
            <w:webHidden/>
          </w:rPr>
          <w:fldChar w:fldCharType="separate"/>
        </w:r>
        <w:r>
          <w:rPr>
            <w:webHidden/>
          </w:rPr>
          <w:t>34</w:t>
        </w:r>
        <w:r>
          <w:rPr>
            <w:webHidden/>
          </w:rPr>
          <w:fldChar w:fldCharType="end"/>
        </w:r>
      </w:hyperlink>
    </w:p>
    <w:p w14:paraId="6B313500" w14:textId="5D36AEB2" w:rsidR="00C83DCF" w:rsidRDefault="00C83DCF">
      <w:pPr>
        <w:pStyle w:val="TOC2"/>
        <w:rPr>
          <w:rFonts w:eastAsiaTheme="minorEastAsia"/>
          <w:lang w:eastAsia="en-AU"/>
        </w:rPr>
      </w:pPr>
      <w:hyperlink w:anchor="_Toc531005208" w:history="1">
        <w:r w:rsidRPr="00793072">
          <w:rPr>
            <w:rStyle w:val="Hyperlink"/>
          </w:rPr>
          <w:t>10.1 Feedback on the application</w:t>
        </w:r>
        <w:r>
          <w:rPr>
            <w:webHidden/>
          </w:rPr>
          <w:tab/>
        </w:r>
        <w:r>
          <w:rPr>
            <w:webHidden/>
          </w:rPr>
          <w:fldChar w:fldCharType="begin"/>
        </w:r>
        <w:r>
          <w:rPr>
            <w:webHidden/>
          </w:rPr>
          <w:instrText xml:space="preserve"> PAGEREF _Toc531005208 \h </w:instrText>
        </w:r>
        <w:r>
          <w:rPr>
            <w:webHidden/>
          </w:rPr>
        </w:r>
        <w:r>
          <w:rPr>
            <w:webHidden/>
          </w:rPr>
          <w:fldChar w:fldCharType="separate"/>
        </w:r>
        <w:r>
          <w:rPr>
            <w:webHidden/>
          </w:rPr>
          <w:t>35</w:t>
        </w:r>
        <w:r>
          <w:rPr>
            <w:webHidden/>
          </w:rPr>
          <w:fldChar w:fldCharType="end"/>
        </w:r>
      </w:hyperlink>
    </w:p>
    <w:p w14:paraId="59CB440C" w14:textId="62B8FED8" w:rsidR="00C83DCF" w:rsidRDefault="00C83DCF">
      <w:pPr>
        <w:pStyle w:val="TOC1"/>
        <w:rPr>
          <w:rFonts w:eastAsiaTheme="minorEastAsia"/>
          <w:b w:val="0"/>
          <w:sz w:val="22"/>
          <w:lang w:eastAsia="en-AU"/>
        </w:rPr>
      </w:pPr>
      <w:hyperlink w:anchor="_Toc531005209" w:history="1">
        <w:r w:rsidRPr="00793072">
          <w:rPr>
            <w:rStyle w:val="Hyperlink"/>
          </w:rPr>
          <w:t>11. Successful grant applications</w:t>
        </w:r>
        <w:r>
          <w:rPr>
            <w:webHidden/>
          </w:rPr>
          <w:tab/>
        </w:r>
        <w:r>
          <w:rPr>
            <w:webHidden/>
          </w:rPr>
          <w:fldChar w:fldCharType="begin"/>
        </w:r>
        <w:r>
          <w:rPr>
            <w:webHidden/>
          </w:rPr>
          <w:instrText xml:space="preserve"> PAGEREF _Toc531005209 \h </w:instrText>
        </w:r>
        <w:r>
          <w:rPr>
            <w:webHidden/>
          </w:rPr>
        </w:r>
        <w:r>
          <w:rPr>
            <w:webHidden/>
          </w:rPr>
          <w:fldChar w:fldCharType="separate"/>
        </w:r>
        <w:r>
          <w:rPr>
            <w:webHidden/>
          </w:rPr>
          <w:t>35</w:t>
        </w:r>
        <w:r>
          <w:rPr>
            <w:webHidden/>
          </w:rPr>
          <w:fldChar w:fldCharType="end"/>
        </w:r>
      </w:hyperlink>
    </w:p>
    <w:p w14:paraId="65FE74B9" w14:textId="788A4AFB" w:rsidR="00C83DCF" w:rsidRDefault="00C83DCF">
      <w:pPr>
        <w:pStyle w:val="TOC2"/>
        <w:rPr>
          <w:rFonts w:eastAsiaTheme="minorEastAsia"/>
          <w:lang w:eastAsia="en-AU"/>
        </w:rPr>
      </w:pPr>
      <w:hyperlink w:anchor="_Toc531005210" w:history="1">
        <w:r w:rsidRPr="00793072">
          <w:rPr>
            <w:rStyle w:val="Hyperlink"/>
          </w:rPr>
          <w:t>11.1 The Grant Agreement</w:t>
        </w:r>
        <w:r>
          <w:rPr>
            <w:webHidden/>
          </w:rPr>
          <w:tab/>
        </w:r>
        <w:r>
          <w:rPr>
            <w:webHidden/>
          </w:rPr>
          <w:fldChar w:fldCharType="begin"/>
        </w:r>
        <w:r>
          <w:rPr>
            <w:webHidden/>
          </w:rPr>
          <w:instrText xml:space="preserve"> PAGEREF _Toc531005210 \h </w:instrText>
        </w:r>
        <w:r>
          <w:rPr>
            <w:webHidden/>
          </w:rPr>
        </w:r>
        <w:r>
          <w:rPr>
            <w:webHidden/>
          </w:rPr>
          <w:fldChar w:fldCharType="separate"/>
        </w:r>
        <w:r>
          <w:rPr>
            <w:webHidden/>
          </w:rPr>
          <w:t>35</w:t>
        </w:r>
        <w:r>
          <w:rPr>
            <w:webHidden/>
          </w:rPr>
          <w:fldChar w:fldCharType="end"/>
        </w:r>
      </w:hyperlink>
    </w:p>
    <w:p w14:paraId="6DD0BA6A" w14:textId="3306CC23" w:rsidR="00C83DCF" w:rsidRDefault="00C83DCF">
      <w:pPr>
        <w:pStyle w:val="TOC2"/>
        <w:rPr>
          <w:rFonts w:eastAsiaTheme="minorEastAsia"/>
          <w:lang w:eastAsia="en-AU"/>
        </w:rPr>
      </w:pPr>
      <w:hyperlink w:anchor="_Toc531005211" w:history="1">
        <w:r w:rsidRPr="00793072">
          <w:rPr>
            <w:rStyle w:val="Hyperlink"/>
          </w:rPr>
          <w:t>11.2. Activity Workplan and Reporting</w:t>
        </w:r>
        <w:r>
          <w:rPr>
            <w:webHidden/>
          </w:rPr>
          <w:tab/>
        </w:r>
        <w:r>
          <w:rPr>
            <w:webHidden/>
          </w:rPr>
          <w:fldChar w:fldCharType="begin"/>
        </w:r>
        <w:r>
          <w:rPr>
            <w:webHidden/>
          </w:rPr>
          <w:instrText xml:space="preserve"> PAGEREF _Toc531005211 \h </w:instrText>
        </w:r>
        <w:r>
          <w:rPr>
            <w:webHidden/>
          </w:rPr>
        </w:r>
        <w:r>
          <w:rPr>
            <w:webHidden/>
          </w:rPr>
          <w:fldChar w:fldCharType="separate"/>
        </w:r>
        <w:r>
          <w:rPr>
            <w:webHidden/>
          </w:rPr>
          <w:t>35</w:t>
        </w:r>
        <w:r>
          <w:rPr>
            <w:webHidden/>
          </w:rPr>
          <w:fldChar w:fldCharType="end"/>
        </w:r>
      </w:hyperlink>
    </w:p>
    <w:p w14:paraId="7B8C7335" w14:textId="46FD1B8F" w:rsidR="00C83DCF" w:rsidRDefault="00C83DCF">
      <w:pPr>
        <w:pStyle w:val="TOC2"/>
        <w:rPr>
          <w:rFonts w:eastAsiaTheme="minorEastAsia"/>
          <w:lang w:eastAsia="en-AU"/>
        </w:rPr>
      </w:pPr>
      <w:hyperlink w:anchor="_Toc531005212" w:history="1">
        <w:r w:rsidRPr="00793072">
          <w:rPr>
            <w:rStyle w:val="Hyperlink"/>
          </w:rPr>
          <w:t>11.3 Performance indicators</w:t>
        </w:r>
        <w:r>
          <w:rPr>
            <w:webHidden/>
          </w:rPr>
          <w:tab/>
        </w:r>
        <w:r>
          <w:rPr>
            <w:webHidden/>
          </w:rPr>
          <w:fldChar w:fldCharType="begin"/>
        </w:r>
        <w:r>
          <w:rPr>
            <w:webHidden/>
          </w:rPr>
          <w:instrText xml:space="preserve"> PAGEREF _Toc531005212 \h </w:instrText>
        </w:r>
        <w:r>
          <w:rPr>
            <w:webHidden/>
          </w:rPr>
        </w:r>
        <w:r>
          <w:rPr>
            <w:webHidden/>
          </w:rPr>
          <w:fldChar w:fldCharType="separate"/>
        </w:r>
        <w:r>
          <w:rPr>
            <w:webHidden/>
          </w:rPr>
          <w:t>36</w:t>
        </w:r>
        <w:r>
          <w:rPr>
            <w:webHidden/>
          </w:rPr>
          <w:fldChar w:fldCharType="end"/>
        </w:r>
      </w:hyperlink>
    </w:p>
    <w:p w14:paraId="562CBE73" w14:textId="7714C1A3" w:rsidR="00C83DCF" w:rsidRDefault="00C83DCF">
      <w:pPr>
        <w:pStyle w:val="TOC2"/>
        <w:rPr>
          <w:rFonts w:eastAsiaTheme="minorEastAsia"/>
          <w:lang w:eastAsia="en-AU"/>
        </w:rPr>
      </w:pPr>
      <w:hyperlink w:anchor="_Toc531005213" w:history="1">
        <w:r w:rsidRPr="00793072">
          <w:rPr>
            <w:rStyle w:val="Hyperlink"/>
          </w:rPr>
          <w:t>11.4 How the grant will be paid</w:t>
        </w:r>
        <w:r>
          <w:rPr>
            <w:webHidden/>
          </w:rPr>
          <w:tab/>
        </w:r>
        <w:r>
          <w:rPr>
            <w:webHidden/>
          </w:rPr>
          <w:fldChar w:fldCharType="begin"/>
        </w:r>
        <w:r>
          <w:rPr>
            <w:webHidden/>
          </w:rPr>
          <w:instrText xml:space="preserve"> PAGEREF _Toc531005213 \h </w:instrText>
        </w:r>
        <w:r>
          <w:rPr>
            <w:webHidden/>
          </w:rPr>
        </w:r>
        <w:r>
          <w:rPr>
            <w:webHidden/>
          </w:rPr>
          <w:fldChar w:fldCharType="separate"/>
        </w:r>
        <w:r>
          <w:rPr>
            <w:webHidden/>
          </w:rPr>
          <w:t>36</w:t>
        </w:r>
        <w:r>
          <w:rPr>
            <w:webHidden/>
          </w:rPr>
          <w:fldChar w:fldCharType="end"/>
        </w:r>
      </w:hyperlink>
    </w:p>
    <w:p w14:paraId="0D9327E8" w14:textId="05660BC0" w:rsidR="00C83DCF" w:rsidRDefault="00C83DCF">
      <w:pPr>
        <w:pStyle w:val="TOC1"/>
        <w:rPr>
          <w:rFonts w:eastAsiaTheme="minorEastAsia"/>
          <w:b w:val="0"/>
          <w:sz w:val="22"/>
          <w:lang w:eastAsia="en-AU"/>
        </w:rPr>
      </w:pPr>
      <w:hyperlink w:anchor="_Toc531005214" w:history="1">
        <w:r w:rsidRPr="00793072">
          <w:rPr>
            <w:rStyle w:val="Hyperlink"/>
          </w:rPr>
          <w:t>12. Announcement of grants</w:t>
        </w:r>
        <w:r>
          <w:rPr>
            <w:webHidden/>
          </w:rPr>
          <w:tab/>
        </w:r>
        <w:r>
          <w:rPr>
            <w:webHidden/>
          </w:rPr>
          <w:fldChar w:fldCharType="begin"/>
        </w:r>
        <w:r>
          <w:rPr>
            <w:webHidden/>
          </w:rPr>
          <w:instrText xml:space="preserve"> PAGEREF _Toc531005214 \h </w:instrText>
        </w:r>
        <w:r>
          <w:rPr>
            <w:webHidden/>
          </w:rPr>
        </w:r>
        <w:r>
          <w:rPr>
            <w:webHidden/>
          </w:rPr>
          <w:fldChar w:fldCharType="separate"/>
        </w:r>
        <w:r>
          <w:rPr>
            <w:webHidden/>
          </w:rPr>
          <w:t>37</w:t>
        </w:r>
        <w:r>
          <w:rPr>
            <w:webHidden/>
          </w:rPr>
          <w:fldChar w:fldCharType="end"/>
        </w:r>
      </w:hyperlink>
    </w:p>
    <w:p w14:paraId="616EB8DC" w14:textId="3B056A2B" w:rsidR="00C83DCF" w:rsidRDefault="00C83DCF">
      <w:pPr>
        <w:pStyle w:val="TOC1"/>
        <w:rPr>
          <w:rFonts w:eastAsiaTheme="minorEastAsia"/>
          <w:b w:val="0"/>
          <w:sz w:val="22"/>
          <w:lang w:eastAsia="en-AU"/>
        </w:rPr>
      </w:pPr>
      <w:hyperlink w:anchor="_Toc531005215" w:history="1">
        <w:r w:rsidRPr="00793072">
          <w:rPr>
            <w:rStyle w:val="Hyperlink"/>
          </w:rPr>
          <w:t>13. Delivery of grant activities</w:t>
        </w:r>
        <w:r>
          <w:rPr>
            <w:webHidden/>
          </w:rPr>
          <w:tab/>
        </w:r>
        <w:r>
          <w:rPr>
            <w:webHidden/>
          </w:rPr>
          <w:fldChar w:fldCharType="begin"/>
        </w:r>
        <w:r>
          <w:rPr>
            <w:webHidden/>
          </w:rPr>
          <w:instrText xml:space="preserve"> PAGEREF _Toc531005215 \h </w:instrText>
        </w:r>
        <w:r>
          <w:rPr>
            <w:webHidden/>
          </w:rPr>
        </w:r>
        <w:r>
          <w:rPr>
            <w:webHidden/>
          </w:rPr>
          <w:fldChar w:fldCharType="separate"/>
        </w:r>
        <w:r>
          <w:rPr>
            <w:webHidden/>
          </w:rPr>
          <w:t>37</w:t>
        </w:r>
        <w:r>
          <w:rPr>
            <w:webHidden/>
          </w:rPr>
          <w:fldChar w:fldCharType="end"/>
        </w:r>
      </w:hyperlink>
    </w:p>
    <w:p w14:paraId="6FB6B7FF" w14:textId="73BB1321" w:rsidR="00C83DCF" w:rsidRDefault="00C83DCF">
      <w:pPr>
        <w:pStyle w:val="TOC2"/>
        <w:rPr>
          <w:rFonts w:eastAsiaTheme="minorEastAsia"/>
          <w:lang w:eastAsia="en-AU"/>
        </w:rPr>
      </w:pPr>
      <w:hyperlink w:anchor="_Toc531005216" w:history="1">
        <w:r w:rsidRPr="00793072">
          <w:rPr>
            <w:rStyle w:val="Hyperlink"/>
          </w:rPr>
          <w:t>13.1 Grant recipients responsibilities</w:t>
        </w:r>
        <w:r>
          <w:rPr>
            <w:webHidden/>
          </w:rPr>
          <w:tab/>
        </w:r>
        <w:r>
          <w:rPr>
            <w:webHidden/>
          </w:rPr>
          <w:fldChar w:fldCharType="begin"/>
        </w:r>
        <w:r>
          <w:rPr>
            <w:webHidden/>
          </w:rPr>
          <w:instrText xml:space="preserve"> PAGEREF _Toc531005216 \h </w:instrText>
        </w:r>
        <w:r>
          <w:rPr>
            <w:webHidden/>
          </w:rPr>
        </w:r>
        <w:r>
          <w:rPr>
            <w:webHidden/>
          </w:rPr>
          <w:fldChar w:fldCharType="separate"/>
        </w:r>
        <w:r>
          <w:rPr>
            <w:webHidden/>
          </w:rPr>
          <w:t>37</w:t>
        </w:r>
        <w:r>
          <w:rPr>
            <w:webHidden/>
          </w:rPr>
          <w:fldChar w:fldCharType="end"/>
        </w:r>
      </w:hyperlink>
    </w:p>
    <w:p w14:paraId="4FBD96F0" w14:textId="7EE934F1" w:rsidR="00C83DCF" w:rsidRDefault="00C83DCF">
      <w:pPr>
        <w:pStyle w:val="TOC2"/>
        <w:rPr>
          <w:rFonts w:eastAsiaTheme="minorEastAsia"/>
          <w:lang w:eastAsia="en-AU"/>
        </w:rPr>
      </w:pPr>
      <w:hyperlink w:anchor="_Toc531005217" w:history="1">
        <w:r w:rsidRPr="00793072">
          <w:rPr>
            <w:rStyle w:val="Hyperlink"/>
          </w:rPr>
          <w:t>13.2 NDIA’s responsibilities</w:t>
        </w:r>
        <w:r>
          <w:rPr>
            <w:webHidden/>
          </w:rPr>
          <w:tab/>
        </w:r>
        <w:r>
          <w:rPr>
            <w:webHidden/>
          </w:rPr>
          <w:fldChar w:fldCharType="begin"/>
        </w:r>
        <w:r>
          <w:rPr>
            <w:webHidden/>
          </w:rPr>
          <w:instrText xml:space="preserve"> PAGEREF _Toc531005217 \h </w:instrText>
        </w:r>
        <w:r>
          <w:rPr>
            <w:webHidden/>
          </w:rPr>
        </w:r>
        <w:r>
          <w:rPr>
            <w:webHidden/>
          </w:rPr>
          <w:fldChar w:fldCharType="separate"/>
        </w:r>
        <w:r>
          <w:rPr>
            <w:webHidden/>
          </w:rPr>
          <w:t>37</w:t>
        </w:r>
        <w:r>
          <w:rPr>
            <w:webHidden/>
          </w:rPr>
          <w:fldChar w:fldCharType="end"/>
        </w:r>
      </w:hyperlink>
    </w:p>
    <w:p w14:paraId="37546535" w14:textId="22ECF08D" w:rsidR="00C83DCF" w:rsidRDefault="00C83DCF">
      <w:pPr>
        <w:pStyle w:val="TOC2"/>
        <w:rPr>
          <w:rFonts w:eastAsiaTheme="minorEastAsia"/>
          <w:lang w:eastAsia="en-AU"/>
        </w:rPr>
      </w:pPr>
      <w:hyperlink w:anchor="_Toc531005218" w:history="1">
        <w:r w:rsidRPr="00793072">
          <w:rPr>
            <w:rStyle w:val="Hyperlink"/>
          </w:rPr>
          <w:t>13.3 Grant payments and GST</w:t>
        </w:r>
        <w:r>
          <w:rPr>
            <w:webHidden/>
          </w:rPr>
          <w:tab/>
        </w:r>
        <w:r>
          <w:rPr>
            <w:webHidden/>
          </w:rPr>
          <w:fldChar w:fldCharType="begin"/>
        </w:r>
        <w:r>
          <w:rPr>
            <w:webHidden/>
          </w:rPr>
          <w:instrText xml:space="preserve"> PAGEREF _Toc531005218 \h </w:instrText>
        </w:r>
        <w:r>
          <w:rPr>
            <w:webHidden/>
          </w:rPr>
        </w:r>
        <w:r>
          <w:rPr>
            <w:webHidden/>
          </w:rPr>
          <w:fldChar w:fldCharType="separate"/>
        </w:r>
        <w:r>
          <w:rPr>
            <w:webHidden/>
          </w:rPr>
          <w:t>38</w:t>
        </w:r>
        <w:r>
          <w:rPr>
            <w:webHidden/>
          </w:rPr>
          <w:fldChar w:fldCharType="end"/>
        </w:r>
      </w:hyperlink>
    </w:p>
    <w:p w14:paraId="3BBB6AEF" w14:textId="79935C2B" w:rsidR="00C83DCF" w:rsidRDefault="00C83DCF">
      <w:pPr>
        <w:pStyle w:val="TOC2"/>
        <w:rPr>
          <w:rFonts w:eastAsiaTheme="minorEastAsia"/>
          <w:lang w:eastAsia="en-AU"/>
        </w:rPr>
      </w:pPr>
      <w:hyperlink w:anchor="_Toc531005219" w:history="1">
        <w:r w:rsidRPr="00793072">
          <w:rPr>
            <w:rStyle w:val="Hyperlink"/>
          </w:rPr>
          <w:t>13.4 Evaluation</w:t>
        </w:r>
        <w:r>
          <w:rPr>
            <w:webHidden/>
          </w:rPr>
          <w:tab/>
        </w:r>
        <w:r>
          <w:rPr>
            <w:webHidden/>
          </w:rPr>
          <w:fldChar w:fldCharType="begin"/>
        </w:r>
        <w:r>
          <w:rPr>
            <w:webHidden/>
          </w:rPr>
          <w:instrText xml:space="preserve"> PAGEREF _Toc531005219 \h </w:instrText>
        </w:r>
        <w:r>
          <w:rPr>
            <w:webHidden/>
          </w:rPr>
        </w:r>
        <w:r>
          <w:rPr>
            <w:webHidden/>
          </w:rPr>
          <w:fldChar w:fldCharType="separate"/>
        </w:r>
        <w:r>
          <w:rPr>
            <w:webHidden/>
          </w:rPr>
          <w:t>38</w:t>
        </w:r>
        <w:r>
          <w:rPr>
            <w:webHidden/>
          </w:rPr>
          <w:fldChar w:fldCharType="end"/>
        </w:r>
      </w:hyperlink>
    </w:p>
    <w:p w14:paraId="20023402" w14:textId="1303FF32" w:rsidR="00C83DCF" w:rsidRDefault="00C83DCF">
      <w:pPr>
        <w:pStyle w:val="TOC2"/>
        <w:rPr>
          <w:rFonts w:eastAsiaTheme="minorEastAsia"/>
          <w:lang w:eastAsia="en-AU"/>
        </w:rPr>
      </w:pPr>
      <w:hyperlink w:anchor="_Toc531005220" w:history="1">
        <w:r w:rsidRPr="00793072">
          <w:rPr>
            <w:rStyle w:val="Hyperlink"/>
          </w:rPr>
          <w:t>13.5 Acknowledgement</w:t>
        </w:r>
        <w:r>
          <w:rPr>
            <w:webHidden/>
          </w:rPr>
          <w:tab/>
        </w:r>
        <w:r>
          <w:rPr>
            <w:webHidden/>
          </w:rPr>
          <w:fldChar w:fldCharType="begin"/>
        </w:r>
        <w:r>
          <w:rPr>
            <w:webHidden/>
          </w:rPr>
          <w:instrText xml:space="preserve"> PAGEREF _Toc531005220 \h </w:instrText>
        </w:r>
        <w:r>
          <w:rPr>
            <w:webHidden/>
          </w:rPr>
        </w:r>
        <w:r>
          <w:rPr>
            <w:webHidden/>
          </w:rPr>
          <w:fldChar w:fldCharType="separate"/>
        </w:r>
        <w:r>
          <w:rPr>
            <w:webHidden/>
          </w:rPr>
          <w:t>39</w:t>
        </w:r>
        <w:r>
          <w:rPr>
            <w:webHidden/>
          </w:rPr>
          <w:fldChar w:fldCharType="end"/>
        </w:r>
      </w:hyperlink>
    </w:p>
    <w:p w14:paraId="0F91FAC2" w14:textId="0580B4B9" w:rsidR="00C83DCF" w:rsidRDefault="00C83DCF">
      <w:pPr>
        <w:pStyle w:val="TOC1"/>
        <w:rPr>
          <w:rFonts w:eastAsiaTheme="minorEastAsia"/>
          <w:b w:val="0"/>
          <w:sz w:val="22"/>
          <w:lang w:eastAsia="en-AU"/>
        </w:rPr>
      </w:pPr>
      <w:hyperlink w:anchor="_Toc531005221" w:history="1">
        <w:r w:rsidRPr="00793072">
          <w:rPr>
            <w:rStyle w:val="Hyperlink"/>
          </w:rPr>
          <w:t>14. Probity</w:t>
        </w:r>
        <w:r>
          <w:rPr>
            <w:webHidden/>
          </w:rPr>
          <w:tab/>
        </w:r>
        <w:r>
          <w:rPr>
            <w:webHidden/>
          </w:rPr>
          <w:fldChar w:fldCharType="begin"/>
        </w:r>
        <w:r>
          <w:rPr>
            <w:webHidden/>
          </w:rPr>
          <w:instrText xml:space="preserve"> PAGEREF _Toc531005221 \h </w:instrText>
        </w:r>
        <w:r>
          <w:rPr>
            <w:webHidden/>
          </w:rPr>
        </w:r>
        <w:r>
          <w:rPr>
            <w:webHidden/>
          </w:rPr>
          <w:fldChar w:fldCharType="separate"/>
        </w:r>
        <w:r>
          <w:rPr>
            <w:webHidden/>
          </w:rPr>
          <w:t>39</w:t>
        </w:r>
        <w:r>
          <w:rPr>
            <w:webHidden/>
          </w:rPr>
          <w:fldChar w:fldCharType="end"/>
        </w:r>
      </w:hyperlink>
    </w:p>
    <w:p w14:paraId="6E4DA9A2" w14:textId="34F2A526" w:rsidR="00C83DCF" w:rsidRDefault="00C83DCF">
      <w:pPr>
        <w:pStyle w:val="TOC2"/>
        <w:rPr>
          <w:rFonts w:eastAsiaTheme="minorEastAsia"/>
          <w:lang w:eastAsia="en-AU"/>
        </w:rPr>
      </w:pPr>
      <w:hyperlink w:anchor="_Toc531005222" w:history="1">
        <w:r w:rsidRPr="00793072">
          <w:rPr>
            <w:rStyle w:val="Hyperlink"/>
          </w:rPr>
          <w:t>14.1 Complaints process</w:t>
        </w:r>
        <w:r>
          <w:rPr>
            <w:webHidden/>
          </w:rPr>
          <w:tab/>
        </w:r>
        <w:r>
          <w:rPr>
            <w:webHidden/>
          </w:rPr>
          <w:fldChar w:fldCharType="begin"/>
        </w:r>
        <w:r>
          <w:rPr>
            <w:webHidden/>
          </w:rPr>
          <w:instrText xml:space="preserve"> PAGEREF _Toc531005222 \h </w:instrText>
        </w:r>
        <w:r>
          <w:rPr>
            <w:webHidden/>
          </w:rPr>
        </w:r>
        <w:r>
          <w:rPr>
            <w:webHidden/>
          </w:rPr>
          <w:fldChar w:fldCharType="separate"/>
        </w:r>
        <w:r>
          <w:rPr>
            <w:webHidden/>
          </w:rPr>
          <w:t>39</w:t>
        </w:r>
        <w:r>
          <w:rPr>
            <w:webHidden/>
          </w:rPr>
          <w:fldChar w:fldCharType="end"/>
        </w:r>
      </w:hyperlink>
    </w:p>
    <w:p w14:paraId="34719ECB" w14:textId="22EFDCDA" w:rsidR="00C83DCF" w:rsidRDefault="00C83DCF">
      <w:pPr>
        <w:pStyle w:val="TOC2"/>
        <w:rPr>
          <w:rFonts w:eastAsiaTheme="minorEastAsia"/>
          <w:lang w:eastAsia="en-AU"/>
        </w:rPr>
      </w:pPr>
      <w:hyperlink w:anchor="_Toc531005223" w:history="1">
        <w:r w:rsidRPr="00793072">
          <w:rPr>
            <w:rStyle w:val="Hyperlink"/>
          </w:rPr>
          <w:t>14.2 Conflict of interest</w:t>
        </w:r>
        <w:r>
          <w:rPr>
            <w:webHidden/>
          </w:rPr>
          <w:tab/>
        </w:r>
        <w:r>
          <w:rPr>
            <w:webHidden/>
          </w:rPr>
          <w:fldChar w:fldCharType="begin"/>
        </w:r>
        <w:r>
          <w:rPr>
            <w:webHidden/>
          </w:rPr>
          <w:instrText xml:space="preserve"> PAGEREF _Toc531005223 \h </w:instrText>
        </w:r>
        <w:r>
          <w:rPr>
            <w:webHidden/>
          </w:rPr>
        </w:r>
        <w:r>
          <w:rPr>
            <w:webHidden/>
          </w:rPr>
          <w:fldChar w:fldCharType="separate"/>
        </w:r>
        <w:r>
          <w:rPr>
            <w:webHidden/>
          </w:rPr>
          <w:t>40</w:t>
        </w:r>
        <w:r>
          <w:rPr>
            <w:webHidden/>
          </w:rPr>
          <w:fldChar w:fldCharType="end"/>
        </w:r>
      </w:hyperlink>
    </w:p>
    <w:p w14:paraId="05E59DCD" w14:textId="1270B3EE" w:rsidR="00C83DCF" w:rsidRDefault="00C83DCF">
      <w:pPr>
        <w:pStyle w:val="TOC2"/>
        <w:rPr>
          <w:rFonts w:eastAsiaTheme="minorEastAsia"/>
          <w:lang w:eastAsia="en-AU"/>
        </w:rPr>
      </w:pPr>
      <w:hyperlink w:anchor="_Toc531005224" w:history="1">
        <w:r w:rsidRPr="00793072">
          <w:rPr>
            <w:rStyle w:val="Hyperlink"/>
          </w:rPr>
          <w:t>14.3 Privacy: confidentiality and protection of personal information</w:t>
        </w:r>
        <w:r>
          <w:rPr>
            <w:webHidden/>
          </w:rPr>
          <w:tab/>
        </w:r>
        <w:r>
          <w:rPr>
            <w:webHidden/>
          </w:rPr>
          <w:fldChar w:fldCharType="begin"/>
        </w:r>
        <w:r>
          <w:rPr>
            <w:webHidden/>
          </w:rPr>
          <w:instrText xml:space="preserve"> PAGEREF _Toc531005224 \h </w:instrText>
        </w:r>
        <w:r>
          <w:rPr>
            <w:webHidden/>
          </w:rPr>
        </w:r>
        <w:r>
          <w:rPr>
            <w:webHidden/>
          </w:rPr>
          <w:fldChar w:fldCharType="separate"/>
        </w:r>
        <w:r>
          <w:rPr>
            <w:webHidden/>
          </w:rPr>
          <w:t>40</w:t>
        </w:r>
        <w:r>
          <w:rPr>
            <w:webHidden/>
          </w:rPr>
          <w:fldChar w:fldCharType="end"/>
        </w:r>
      </w:hyperlink>
    </w:p>
    <w:p w14:paraId="54E382F6" w14:textId="06CA4BB1" w:rsidR="00C83DCF" w:rsidRDefault="00C83DCF">
      <w:pPr>
        <w:pStyle w:val="TOC2"/>
        <w:rPr>
          <w:rFonts w:eastAsiaTheme="minorEastAsia"/>
          <w:lang w:eastAsia="en-AU"/>
        </w:rPr>
      </w:pPr>
      <w:hyperlink w:anchor="_Toc531005225" w:history="1">
        <w:r w:rsidRPr="00793072">
          <w:rPr>
            <w:rStyle w:val="Hyperlink"/>
          </w:rPr>
          <w:t>14.4 Freedom of information</w:t>
        </w:r>
        <w:r>
          <w:rPr>
            <w:webHidden/>
          </w:rPr>
          <w:tab/>
        </w:r>
        <w:r>
          <w:rPr>
            <w:webHidden/>
          </w:rPr>
          <w:fldChar w:fldCharType="begin"/>
        </w:r>
        <w:r>
          <w:rPr>
            <w:webHidden/>
          </w:rPr>
          <w:instrText xml:space="preserve"> PAGEREF _Toc531005225 \h </w:instrText>
        </w:r>
        <w:r>
          <w:rPr>
            <w:webHidden/>
          </w:rPr>
        </w:r>
        <w:r>
          <w:rPr>
            <w:webHidden/>
          </w:rPr>
          <w:fldChar w:fldCharType="separate"/>
        </w:r>
        <w:r>
          <w:rPr>
            <w:webHidden/>
          </w:rPr>
          <w:t>42</w:t>
        </w:r>
        <w:r>
          <w:rPr>
            <w:webHidden/>
          </w:rPr>
          <w:fldChar w:fldCharType="end"/>
        </w:r>
      </w:hyperlink>
    </w:p>
    <w:p w14:paraId="3723E7C4" w14:textId="576E3B48" w:rsidR="00C83DCF" w:rsidRDefault="00C83DCF">
      <w:pPr>
        <w:pStyle w:val="TOC1"/>
        <w:rPr>
          <w:rFonts w:eastAsiaTheme="minorEastAsia"/>
          <w:b w:val="0"/>
          <w:sz w:val="22"/>
          <w:lang w:eastAsia="en-AU"/>
        </w:rPr>
      </w:pPr>
      <w:hyperlink w:anchor="_Toc531005226" w:history="1">
        <w:r w:rsidRPr="00793072">
          <w:rPr>
            <w:rStyle w:val="Hyperlink"/>
          </w:rPr>
          <w:t>15. Glossary</w:t>
        </w:r>
        <w:r>
          <w:rPr>
            <w:webHidden/>
          </w:rPr>
          <w:tab/>
        </w:r>
        <w:r>
          <w:rPr>
            <w:webHidden/>
          </w:rPr>
          <w:fldChar w:fldCharType="begin"/>
        </w:r>
        <w:r>
          <w:rPr>
            <w:webHidden/>
          </w:rPr>
          <w:instrText xml:space="preserve"> PAGEREF _Toc531005226 \h </w:instrText>
        </w:r>
        <w:r>
          <w:rPr>
            <w:webHidden/>
          </w:rPr>
        </w:r>
        <w:r>
          <w:rPr>
            <w:webHidden/>
          </w:rPr>
          <w:fldChar w:fldCharType="separate"/>
        </w:r>
        <w:r>
          <w:rPr>
            <w:webHidden/>
          </w:rPr>
          <w:t>43</w:t>
        </w:r>
        <w:r>
          <w:rPr>
            <w:webHidden/>
          </w:rPr>
          <w:fldChar w:fldCharType="end"/>
        </w:r>
      </w:hyperlink>
    </w:p>
    <w:p w14:paraId="30D361FD" w14:textId="28264F9A" w:rsidR="00316682" w:rsidRDefault="0020122A" w:rsidP="00CC3C8E">
      <w:pPr>
        <w:spacing w:after="120" w:line="276" w:lineRule="auto"/>
      </w:pPr>
      <w:r>
        <w:fldChar w:fldCharType="end"/>
      </w:r>
    </w:p>
    <w:p w14:paraId="3862EDDE" w14:textId="77777777" w:rsidR="00316682" w:rsidRDefault="00316682" w:rsidP="00CC3C8E">
      <w:pPr>
        <w:spacing w:after="120" w:line="276" w:lineRule="auto"/>
      </w:pPr>
      <w:r>
        <w:br w:type="page"/>
      </w:r>
    </w:p>
    <w:p w14:paraId="464C3803" w14:textId="3C2755C9" w:rsidR="00EE2B1C" w:rsidRPr="00F40BDA" w:rsidRDefault="00EE1DF9" w:rsidP="00CC3C8E">
      <w:pPr>
        <w:pStyle w:val="Heading1Numbered"/>
        <w:spacing w:line="276" w:lineRule="auto"/>
        <w:contextualSpacing w:val="0"/>
      </w:pPr>
      <w:bookmarkStart w:id="1" w:name="_Toc458420391"/>
      <w:bookmarkStart w:id="2" w:name="_Toc467773950"/>
      <w:bookmarkStart w:id="3" w:name="_Toc531005157"/>
      <w:r w:rsidRPr="00A4747E">
        <w:rPr>
          <w:color w:val="auto"/>
        </w:rPr>
        <w:lastRenderedPageBreak/>
        <w:t xml:space="preserve">1. </w:t>
      </w:r>
      <w:r w:rsidR="00A4747E" w:rsidRPr="00A4747E">
        <w:t>Process</w:t>
      </w:r>
      <w:r w:rsidR="00A4747E">
        <w:t xml:space="preserve"> -</w:t>
      </w:r>
      <w:r w:rsidR="00A4747E" w:rsidRPr="00A4747E">
        <w:rPr>
          <w:color w:val="auto"/>
        </w:rPr>
        <w:t xml:space="preserve"> </w:t>
      </w:r>
      <w:r w:rsidR="00316682" w:rsidRPr="00A4747E">
        <w:rPr>
          <w:color w:val="auto"/>
        </w:rPr>
        <w:t>C</w:t>
      </w:r>
      <w:r w:rsidR="00F85AB7" w:rsidRPr="00A4747E">
        <w:rPr>
          <w:color w:val="auto"/>
        </w:rPr>
        <w:t xml:space="preserve">ommunity </w:t>
      </w:r>
      <w:r w:rsidR="00316682" w:rsidRPr="00A4747E">
        <w:rPr>
          <w:color w:val="auto"/>
        </w:rPr>
        <w:t>I</w:t>
      </w:r>
      <w:r w:rsidR="00F85AB7" w:rsidRPr="00A4747E">
        <w:rPr>
          <w:color w:val="auto"/>
        </w:rPr>
        <w:t xml:space="preserve">nclusion and </w:t>
      </w:r>
      <w:r w:rsidR="00316682" w:rsidRPr="00A4747E">
        <w:rPr>
          <w:color w:val="auto"/>
        </w:rPr>
        <w:t>C</w:t>
      </w:r>
      <w:r w:rsidR="00F85AB7" w:rsidRPr="00A4747E">
        <w:rPr>
          <w:color w:val="auto"/>
        </w:rPr>
        <w:t xml:space="preserve">apacity </w:t>
      </w:r>
      <w:r w:rsidR="00316682" w:rsidRPr="00A4747E">
        <w:rPr>
          <w:color w:val="auto"/>
        </w:rPr>
        <w:t>D</w:t>
      </w:r>
      <w:r w:rsidR="00F85AB7" w:rsidRPr="00A4747E">
        <w:rPr>
          <w:color w:val="auto"/>
        </w:rPr>
        <w:t>evelopment</w:t>
      </w:r>
      <w:r w:rsidR="00EE2B1C" w:rsidRPr="00A4747E">
        <w:rPr>
          <w:color w:val="auto"/>
        </w:rPr>
        <w:t xml:space="preserve">: </w:t>
      </w:r>
      <w:r w:rsidR="006F6CA2" w:rsidRPr="00A4747E">
        <w:rPr>
          <w:color w:val="auto"/>
        </w:rPr>
        <w:t>Disabled Peoples and Families Organisations</w:t>
      </w:r>
      <w:r w:rsidR="000565BD">
        <w:rPr>
          <w:color w:val="auto"/>
        </w:rPr>
        <w:t xml:space="preserve"> </w:t>
      </w:r>
      <w:r w:rsidR="00BA6FD8">
        <w:rPr>
          <w:color w:val="auto"/>
        </w:rPr>
        <w:t>–</w:t>
      </w:r>
      <w:r w:rsidR="006F6CA2" w:rsidRPr="00A4747E">
        <w:rPr>
          <w:color w:val="auto"/>
        </w:rPr>
        <w:t xml:space="preserve"> </w:t>
      </w:r>
      <w:r w:rsidR="00BA6FD8">
        <w:rPr>
          <w:color w:val="auto"/>
        </w:rPr>
        <w:t xml:space="preserve">ILC </w:t>
      </w:r>
      <w:r w:rsidR="006F6CA2" w:rsidRPr="00A4747E">
        <w:rPr>
          <w:color w:val="auto"/>
        </w:rPr>
        <w:t>Readiness Grant Round</w:t>
      </w:r>
      <w:r w:rsidR="00BA6FD8">
        <w:rPr>
          <w:color w:val="auto"/>
        </w:rPr>
        <w:t xml:space="preserve"> 2018-19</w:t>
      </w:r>
      <w:bookmarkEnd w:id="1"/>
      <w:bookmarkEnd w:id="2"/>
      <w:bookmarkEnd w:id="3"/>
    </w:p>
    <w:p w14:paraId="750DA72C" w14:textId="77777777" w:rsidR="00EE2B1C" w:rsidRPr="00FC1730" w:rsidRDefault="00EE2B1C" w:rsidP="00CC3C8E">
      <w:pPr>
        <w:pBdr>
          <w:top w:val="single" w:sz="4" w:space="1" w:color="auto"/>
          <w:left w:val="single" w:sz="4" w:space="4" w:color="auto"/>
          <w:bottom w:val="single" w:sz="4" w:space="1" w:color="auto"/>
          <w:right w:val="single" w:sz="4" w:space="4" w:color="auto"/>
        </w:pBdr>
        <w:spacing w:before="0" w:after="120" w:line="276" w:lineRule="auto"/>
        <w:jc w:val="center"/>
        <w:rPr>
          <w:b/>
        </w:rPr>
      </w:pPr>
      <w:r w:rsidRPr="00FC1730">
        <w:rPr>
          <w:b/>
        </w:rPr>
        <w:t xml:space="preserve">The Program is designed to achieve Australian Government objectives </w:t>
      </w:r>
    </w:p>
    <w:p w14:paraId="27D34C41" w14:textId="77777777" w:rsidR="00BB5938" w:rsidRPr="00FC1730" w:rsidRDefault="00BB5938" w:rsidP="00CC3C8E">
      <w:pPr>
        <w:pBdr>
          <w:top w:val="single" w:sz="4" w:space="1" w:color="auto"/>
          <w:left w:val="single" w:sz="4" w:space="4" w:color="auto"/>
          <w:bottom w:val="single" w:sz="4" w:space="1" w:color="auto"/>
          <w:right w:val="single" w:sz="4" w:space="4" w:color="auto"/>
        </w:pBdr>
        <w:spacing w:before="0" w:after="120" w:line="276" w:lineRule="auto"/>
        <w:jc w:val="center"/>
      </w:pPr>
      <w:r w:rsidRPr="00FC1730">
        <w:t xml:space="preserve">This grant opportunity funds projects to build the efficacy of </w:t>
      </w:r>
      <w:r w:rsidR="0046717E">
        <w:t>D</w:t>
      </w:r>
      <w:r w:rsidR="006F6CA2" w:rsidRPr="006F6CA2">
        <w:t>isabled Peoples and Families Organisations</w:t>
      </w:r>
      <w:r w:rsidR="006771EE">
        <w:t xml:space="preserve"> (DPFOs)</w:t>
      </w:r>
      <w:r w:rsidR="006F6CA2" w:rsidRPr="006F6CA2">
        <w:t xml:space="preserve"> </w:t>
      </w:r>
      <w:r w:rsidRPr="00FC1730">
        <w:t>to deliver ILC activities and to sustainably operate within the NDIS environment</w:t>
      </w:r>
      <w:r w:rsidR="00A4747E">
        <w:t>.</w:t>
      </w:r>
    </w:p>
    <w:p w14:paraId="70212A75" w14:textId="77777777" w:rsidR="00EE2B1C" w:rsidRPr="00704DFE" w:rsidRDefault="00EE2B1C" w:rsidP="00CC3C8E">
      <w:pPr>
        <w:pBdr>
          <w:top w:val="single" w:sz="4" w:space="1" w:color="auto"/>
          <w:left w:val="single" w:sz="4" w:space="4" w:color="auto"/>
          <w:bottom w:val="single" w:sz="4" w:space="1" w:color="auto"/>
          <w:right w:val="single" w:sz="4" w:space="4" w:color="auto"/>
        </w:pBdr>
        <w:spacing w:before="0" w:after="120" w:line="276" w:lineRule="auto"/>
        <w:jc w:val="center"/>
        <w:rPr>
          <w:sz w:val="20"/>
          <w:szCs w:val="20"/>
        </w:rPr>
      </w:pPr>
      <w:r w:rsidRPr="00704DFE">
        <w:t>This grant opportunity contributes to</w:t>
      </w:r>
      <w:r w:rsidR="00316682" w:rsidRPr="00704DFE">
        <w:t xml:space="preserve"> the</w:t>
      </w:r>
      <w:r w:rsidR="00BB5938" w:rsidRPr="00704DFE">
        <w:t xml:space="preserve"> National Disability Insurance Agency’s (NDIA) Information, Linkages and Capacity Building (ILC) which funds innovative ways to increase the independence, social and community participation of people with a disability</w:t>
      </w:r>
      <w:r w:rsidR="00BB5938" w:rsidRPr="00704DFE">
        <w:rPr>
          <w:rFonts w:cs="Arial"/>
        </w:rPr>
        <w:t xml:space="preserve">. </w:t>
      </w:r>
      <w:r w:rsidRPr="00704DFE">
        <w:t xml:space="preserve">The </w:t>
      </w:r>
      <w:r w:rsidR="00BB5938" w:rsidRPr="00704DFE">
        <w:t xml:space="preserve">NDIA </w:t>
      </w:r>
      <w:r w:rsidRPr="00704DFE">
        <w:t xml:space="preserve">works with stakeholders to plan and design the </w:t>
      </w:r>
      <w:r w:rsidR="00566242" w:rsidRPr="00704DFE">
        <w:t>G</w:t>
      </w:r>
      <w:r w:rsidRPr="00704DFE">
        <w:t xml:space="preserve">rant </w:t>
      </w:r>
      <w:r w:rsidR="00566242" w:rsidRPr="00704DFE">
        <w:t>P</w:t>
      </w:r>
      <w:r w:rsidRPr="00704DFE">
        <w:t xml:space="preserve">rogram according to the </w:t>
      </w:r>
      <w:r w:rsidRPr="00704DFE">
        <w:rPr>
          <w:i/>
        </w:rPr>
        <w:t>Commonwealth Grants Rules and Guidelines</w:t>
      </w:r>
      <w:r w:rsidR="002653E6">
        <w:rPr>
          <w:i/>
        </w:rPr>
        <w:t xml:space="preserve"> </w:t>
      </w:r>
      <w:r w:rsidR="002653E6" w:rsidRPr="00005E51">
        <w:t>(CGRGs)</w:t>
      </w:r>
      <w:r w:rsidRPr="00704DFE">
        <w:rPr>
          <w:sz w:val="20"/>
          <w:szCs w:val="20"/>
        </w:rPr>
        <w:t>.</w:t>
      </w:r>
    </w:p>
    <w:p w14:paraId="4366CA55" w14:textId="77777777" w:rsidR="005734AE" w:rsidRPr="00F40BDA" w:rsidRDefault="005734AE" w:rsidP="00996188">
      <w:pPr>
        <w:spacing w:before="0" w:after="120" w:line="276" w:lineRule="auto"/>
        <w:jc w:val="center"/>
        <w:rPr>
          <w:rFonts w:ascii="Wingdings" w:hAnsi="Wingdings"/>
          <w:sz w:val="20"/>
          <w:szCs w:val="20"/>
        </w:rPr>
      </w:pPr>
      <w:r w:rsidRPr="00F40BDA">
        <w:rPr>
          <w:rFonts w:ascii="Wingdings" w:hAnsi="Wingdings"/>
          <w:sz w:val="20"/>
          <w:szCs w:val="20"/>
        </w:rPr>
        <w:t></w:t>
      </w:r>
    </w:p>
    <w:p w14:paraId="596CF439" w14:textId="77777777" w:rsidR="00EE2B1C"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rPr>
          <w:b/>
        </w:rPr>
      </w:pPr>
      <w:r w:rsidRPr="00F40BDA">
        <w:rPr>
          <w:b/>
        </w:rPr>
        <w:t>The grant opportunity opens</w:t>
      </w:r>
    </w:p>
    <w:p w14:paraId="43E20446" w14:textId="77777777" w:rsidR="00EE2B1C" w:rsidRDefault="00704DFE" w:rsidP="00CC3C8E">
      <w:pPr>
        <w:pBdr>
          <w:top w:val="single" w:sz="2" w:space="1" w:color="auto"/>
          <w:left w:val="single" w:sz="2" w:space="4" w:color="auto"/>
          <w:bottom w:val="single" w:sz="2" w:space="1" w:color="auto"/>
          <w:right w:val="single" w:sz="2" w:space="4" w:color="auto"/>
        </w:pBdr>
        <w:spacing w:before="0" w:after="120" w:line="276" w:lineRule="auto"/>
        <w:jc w:val="center"/>
      </w:pPr>
      <w:r>
        <w:t>The Department of Social Services (</w:t>
      </w:r>
      <w:r w:rsidR="003A0849">
        <w:t>DSS</w:t>
      </w:r>
      <w:r>
        <w:t>)</w:t>
      </w:r>
      <w:r w:rsidR="002653E6">
        <w:t xml:space="preserve"> will</w:t>
      </w:r>
      <w:r w:rsidR="00EE2B1C">
        <w:t xml:space="preserve"> publish t</w:t>
      </w:r>
      <w:r w:rsidR="00EE2B1C" w:rsidRPr="00F40BDA">
        <w:t xml:space="preserve">he grant guidelines </w:t>
      </w:r>
      <w:r w:rsidR="00EE2B1C">
        <w:t xml:space="preserve">and advertise on </w:t>
      </w:r>
      <w:hyperlink r:id="rId9" w:history="1">
        <w:proofErr w:type="spellStart"/>
        <w:r w:rsidR="00EE2B1C" w:rsidRPr="00315464">
          <w:rPr>
            <w:rStyle w:val="Hyperlink"/>
            <w:rFonts w:cstheme="minorBidi"/>
          </w:rPr>
          <w:t>GrantConnect</w:t>
        </w:r>
        <w:proofErr w:type="spellEnd"/>
      </w:hyperlink>
      <w:r w:rsidR="00BD1DD2" w:rsidRPr="00315464">
        <w:t xml:space="preserve"> and the </w:t>
      </w:r>
      <w:hyperlink r:id="rId10" w:history="1">
        <w:r w:rsidR="00BD1DD2" w:rsidRPr="00315464">
          <w:rPr>
            <w:rStyle w:val="Hyperlink"/>
            <w:rFonts w:cstheme="minorBidi"/>
          </w:rPr>
          <w:t>Community Grants Hub</w:t>
        </w:r>
      </w:hyperlink>
      <w:r w:rsidR="00BD1DD2">
        <w:t xml:space="preserve"> websites</w:t>
      </w:r>
      <w:r w:rsidR="00A4747E">
        <w:t>.</w:t>
      </w:r>
    </w:p>
    <w:p w14:paraId="50CADBE7" w14:textId="77777777" w:rsidR="00EE2B1C" w:rsidRPr="00F40BDA" w:rsidRDefault="00EE2B1C" w:rsidP="00CC3C8E">
      <w:pPr>
        <w:spacing w:before="0" w:after="120" w:line="276" w:lineRule="auto"/>
        <w:jc w:val="center"/>
        <w:rPr>
          <w:rFonts w:ascii="Wingdings" w:hAnsi="Wingdings"/>
          <w:sz w:val="20"/>
          <w:szCs w:val="20"/>
        </w:rPr>
      </w:pPr>
      <w:r w:rsidRPr="00F40BDA">
        <w:rPr>
          <w:rFonts w:ascii="Wingdings" w:hAnsi="Wingdings"/>
          <w:sz w:val="20"/>
          <w:szCs w:val="20"/>
        </w:rPr>
        <w:t></w:t>
      </w:r>
    </w:p>
    <w:p w14:paraId="11630B08" w14:textId="77777777" w:rsidR="00EE2B1C"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rPr>
          <w:b/>
        </w:rPr>
      </w:pPr>
      <w:r w:rsidRPr="00947729">
        <w:rPr>
          <w:b/>
        </w:rPr>
        <w:t>You complete and submit a grant application</w:t>
      </w:r>
    </w:p>
    <w:p w14:paraId="1FAAEAC7" w14:textId="77777777" w:rsidR="00A4747E" w:rsidRDefault="007D1C9C" w:rsidP="00CC3C8E">
      <w:pPr>
        <w:pBdr>
          <w:top w:val="single" w:sz="2" w:space="1" w:color="auto"/>
          <w:left w:val="single" w:sz="2" w:space="4" w:color="auto"/>
          <w:bottom w:val="single" w:sz="2" w:space="1" w:color="auto"/>
          <w:right w:val="single" w:sz="2" w:space="4" w:color="auto"/>
        </w:pBdr>
        <w:spacing w:before="0" w:after="120" w:line="276" w:lineRule="auto"/>
        <w:jc w:val="center"/>
      </w:pPr>
      <w:r w:rsidRPr="004B61BC">
        <w:t xml:space="preserve">You must read these grant guidelines before you submit your </w:t>
      </w:r>
      <w:r w:rsidR="000E6ABA">
        <w:t>application</w:t>
      </w:r>
      <w:r w:rsidRPr="004B61BC">
        <w:t xml:space="preserve">. </w:t>
      </w:r>
      <w:r w:rsidR="002653E6">
        <w:t xml:space="preserve">An </w:t>
      </w:r>
      <w:r w:rsidR="00A4747E">
        <w:t xml:space="preserve">Easy English version of the </w:t>
      </w:r>
      <w:r w:rsidR="00996188">
        <w:t>Grant Opportunity Guidelines is</w:t>
      </w:r>
      <w:r w:rsidR="00A4747E">
        <w:t xml:space="preserve"> also available</w:t>
      </w:r>
      <w:r w:rsidR="00996188">
        <w:t>,</w:t>
      </w:r>
      <w:r w:rsidR="00E70568">
        <w:t xml:space="preserve"> however you must also read the full grant </w:t>
      </w:r>
      <w:r w:rsidR="002F4D2F">
        <w:t>guidelines.</w:t>
      </w:r>
    </w:p>
    <w:p w14:paraId="7AFDA8F5" w14:textId="60BBD814" w:rsidR="007D1C9C" w:rsidRPr="00A4747E" w:rsidRDefault="007D1C9C" w:rsidP="00CC3C8E">
      <w:pPr>
        <w:pBdr>
          <w:top w:val="single" w:sz="2" w:space="1" w:color="auto"/>
          <w:left w:val="single" w:sz="2" w:space="4" w:color="auto"/>
          <w:bottom w:val="single" w:sz="2" w:space="1" w:color="auto"/>
          <w:right w:val="single" w:sz="2" w:space="4" w:color="auto"/>
        </w:pBdr>
        <w:spacing w:before="0" w:after="120" w:line="276" w:lineRule="auto"/>
        <w:jc w:val="center"/>
        <w:rPr>
          <w:i/>
          <w:sz w:val="20"/>
        </w:rPr>
      </w:pPr>
      <w:r w:rsidRPr="0021211D">
        <w:rPr>
          <w:b/>
          <w:i/>
          <w:sz w:val="20"/>
        </w:rPr>
        <w:t>Note:</w:t>
      </w:r>
      <w:r w:rsidRPr="00A4747E">
        <w:rPr>
          <w:i/>
          <w:sz w:val="20"/>
        </w:rPr>
        <w:t xml:space="preserve"> Any </w:t>
      </w:r>
      <w:r w:rsidR="00173BFD" w:rsidRPr="00A4747E">
        <w:rPr>
          <w:i/>
          <w:sz w:val="20"/>
        </w:rPr>
        <w:t>changes</w:t>
      </w:r>
      <w:r w:rsidRPr="00A4747E">
        <w:rPr>
          <w:i/>
          <w:sz w:val="20"/>
        </w:rPr>
        <w:t xml:space="preserve"> for this grant opportunity will be published on </w:t>
      </w:r>
      <w:proofErr w:type="spellStart"/>
      <w:r w:rsidRPr="00A4747E">
        <w:rPr>
          <w:i/>
          <w:sz w:val="20"/>
        </w:rPr>
        <w:t>GrantConnect</w:t>
      </w:r>
      <w:proofErr w:type="spellEnd"/>
      <w:r w:rsidR="00864275" w:rsidRPr="00A4747E">
        <w:rPr>
          <w:i/>
          <w:sz w:val="20"/>
        </w:rPr>
        <w:t xml:space="preserve"> </w:t>
      </w:r>
      <w:r w:rsidRPr="00A4747E">
        <w:rPr>
          <w:i/>
          <w:sz w:val="20"/>
        </w:rPr>
        <w:t>and by registering on this website you will be automatic</w:t>
      </w:r>
      <w:r w:rsidR="00157662" w:rsidRPr="00A4747E">
        <w:rPr>
          <w:i/>
          <w:sz w:val="20"/>
        </w:rPr>
        <w:t>ally notified o</w:t>
      </w:r>
      <w:r w:rsidR="009A05FF" w:rsidRPr="00A4747E">
        <w:rPr>
          <w:i/>
          <w:sz w:val="20"/>
        </w:rPr>
        <w:t>f</w:t>
      </w:r>
      <w:r w:rsidR="00157662" w:rsidRPr="00A4747E">
        <w:rPr>
          <w:i/>
          <w:sz w:val="20"/>
        </w:rPr>
        <w:t xml:space="preserve"> any changes.</w:t>
      </w:r>
      <w:r w:rsidR="00864275" w:rsidRPr="00A4747E">
        <w:rPr>
          <w:i/>
          <w:sz w:val="20"/>
        </w:rPr>
        <w:t xml:space="preserve"> Revised Grant Opportunity Guidelines will also be published on the Community Grant</w:t>
      </w:r>
      <w:r w:rsidR="00BF581B" w:rsidRPr="00A4747E">
        <w:rPr>
          <w:i/>
          <w:sz w:val="20"/>
        </w:rPr>
        <w:t>s</w:t>
      </w:r>
      <w:r w:rsidR="00864275" w:rsidRPr="00A4747E">
        <w:rPr>
          <w:i/>
          <w:sz w:val="20"/>
        </w:rPr>
        <w:t xml:space="preserve"> Hub website.</w:t>
      </w:r>
    </w:p>
    <w:p w14:paraId="7047C8F2" w14:textId="77777777" w:rsidR="00EE2B1C" w:rsidRPr="00F40BDA" w:rsidRDefault="00EE2B1C" w:rsidP="00CC3C8E">
      <w:pPr>
        <w:spacing w:before="0" w:after="120" w:line="276" w:lineRule="auto"/>
        <w:jc w:val="center"/>
        <w:rPr>
          <w:rFonts w:ascii="Wingdings" w:hAnsi="Wingdings"/>
          <w:sz w:val="20"/>
          <w:szCs w:val="20"/>
        </w:rPr>
      </w:pPr>
      <w:r w:rsidRPr="00F40BDA">
        <w:rPr>
          <w:rFonts w:ascii="Wingdings" w:hAnsi="Wingdings"/>
          <w:sz w:val="20"/>
          <w:szCs w:val="20"/>
        </w:rPr>
        <w:t></w:t>
      </w:r>
    </w:p>
    <w:p w14:paraId="0CF4D531" w14:textId="77777777" w:rsidR="00EE2B1C"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rPr>
          <w:bCs/>
        </w:rPr>
      </w:pPr>
      <w:r>
        <w:rPr>
          <w:b/>
        </w:rPr>
        <w:t xml:space="preserve">We assess all </w:t>
      </w:r>
      <w:r w:rsidRPr="00F40BDA">
        <w:rPr>
          <w:b/>
        </w:rPr>
        <w:t>grant application</w:t>
      </w:r>
      <w:r>
        <w:rPr>
          <w:b/>
        </w:rPr>
        <w:t>s</w:t>
      </w:r>
    </w:p>
    <w:p w14:paraId="27A37439" w14:textId="77777777" w:rsidR="00EE2B1C" w:rsidRDefault="003A0849" w:rsidP="00CC3C8E">
      <w:pPr>
        <w:pBdr>
          <w:top w:val="single" w:sz="2" w:space="1" w:color="auto"/>
          <w:left w:val="single" w:sz="2" w:space="4" w:color="auto"/>
          <w:bottom w:val="single" w:sz="2" w:space="1" w:color="auto"/>
          <w:right w:val="single" w:sz="2" w:space="4" w:color="auto"/>
        </w:pBdr>
        <w:spacing w:before="0" w:after="120" w:line="276" w:lineRule="auto"/>
        <w:jc w:val="center"/>
      </w:pPr>
      <w:r>
        <w:t>DSS and the NDIA</w:t>
      </w:r>
      <w:r w:rsidR="00EE2B1C">
        <w:t xml:space="preserve"> assess the applications against </w:t>
      </w:r>
      <w:r w:rsidR="00D020A7">
        <w:t>Assessment</w:t>
      </w:r>
      <w:r w:rsidR="005F0481">
        <w:t xml:space="preserve"> Criteria (</w:t>
      </w:r>
      <w:r w:rsidR="00D020A7">
        <w:t xml:space="preserve">including </w:t>
      </w:r>
      <w:r w:rsidR="00EE2B1C">
        <w:t>eligibility</w:t>
      </w:r>
      <w:r w:rsidR="00D020A7">
        <w:t>,</w:t>
      </w:r>
      <w:r w:rsidR="005F0481">
        <w:t xml:space="preserve"> </w:t>
      </w:r>
      <w:r w:rsidR="00D020A7">
        <w:t>compliance,</w:t>
      </w:r>
      <w:r w:rsidR="008E5306">
        <w:t xml:space="preserve"> response to selection criteria</w:t>
      </w:r>
      <w:r w:rsidR="00D020A7">
        <w:t xml:space="preserve"> and value for money</w:t>
      </w:r>
      <w:r w:rsidR="005F0481">
        <w:t>)</w:t>
      </w:r>
      <w:r w:rsidR="00A4747E">
        <w:t>.</w:t>
      </w:r>
    </w:p>
    <w:p w14:paraId="3914067B" w14:textId="215D53BB" w:rsidR="00456515" w:rsidRPr="00F40BDA" w:rsidRDefault="00EE2B1C" w:rsidP="0021211D">
      <w:pPr>
        <w:spacing w:before="0" w:after="120" w:line="276" w:lineRule="auto"/>
        <w:jc w:val="center"/>
        <w:rPr>
          <w:rFonts w:ascii="Wingdings" w:hAnsi="Wingdings"/>
          <w:sz w:val="20"/>
          <w:szCs w:val="20"/>
        </w:rPr>
      </w:pPr>
      <w:r w:rsidRPr="00F40BDA">
        <w:rPr>
          <w:rFonts w:ascii="Wingdings" w:hAnsi="Wingdings"/>
          <w:sz w:val="20"/>
          <w:szCs w:val="20"/>
        </w:rPr>
        <w:t></w:t>
      </w:r>
    </w:p>
    <w:p w14:paraId="504972ED" w14:textId="77777777" w:rsidR="00EE2B1C"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rPr>
          <w:b/>
        </w:rPr>
      </w:pPr>
      <w:r>
        <w:rPr>
          <w:b/>
        </w:rPr>
        <w:t>We make grant recommendations</w:t>
      </w:r>
    </w:p>
    <w:p w14:paraId="2CCACA90" w14:textId="78D899BB" w:rsidR="00EE2B1C" w:rsidRPr="00A03DF3" w:rsidRDefault="00896961" w:rsidP="00CC3C8E">
      <w:pPr>
        <w:pBdr>
          <w:top w:val="single" w:sz="2" w:space="1" w:color="auto"/>
          <w:left w:val="single" w:sz="2" w:space="4" w:color="auto"/>
          <w:bottom w:val="single" w:sz="2" w:space="1" w:color="auto"/>
          <w:right w:val="single" w:sz="2" w:space="4" w:color="auto"/>
        </w:pBdr>
        <w:spacing w:before="0" w:after="120" w:line="276" w:lineRule="auto"/>
        <w:jc w:val="center"/>
      </w:pPr>
      <w:r>
        <w:t>The NDIA and DSS will</w:t>
      </w:r>
      <w:r w:rsidR="00704DFE">
        <w:t xml:space="preserve"> </w:t>
      </w:r>
      <w:r w:rsidR="00153E13">
        <w:rPr>
          <w:color w:val="000000"/>
        </w:rPr>
        <w:t xml:space="preserve">provide advice to a </w:t>
      </w:r>
      <w:r w:rsidR="00771C5D">
        <w:t>Selection Advisory Panel</w:t>
      </w:r>
      <w:r w:rsidR="00153E13">
        <w:t xml:space="preserve"> who then conduct an overall value for money assessment and</w:t>
      </w:r>
      <w:r w:rsidR="003A0849">
        <w:t xml:space="preserve"> provides </w:t>
      </w:r>
      <w:r w:rsidR="00153E13">
        <w:t xml:space="preserve">final </w:t>
      </w:r>
      <w:r w:rsidR="003A0849">
        <w:t xml:space="preserve">recommendations </w:t>
      </w:r>
      <w:r w:rsidR="00EE2B1C" w:rsidRPr="00123D11">
        <w:t xml:space="preserve">to the </w:t>
      </w:r>
      <w:r w:rsidR="00E84C48">
        <w:t>NDIA D</w:t>
      </w:r>
      <w:r w:rsidR="005F0481">
        <w:t>elegate</w:t>
      </w:r>
      <w:r w:rsidR="00EE2B1C" w:rsidRPr="00123D11">
        <w:t xml:space="preserve"> on </w:t>
      </w:r>
      <w:r w:rsidR="003A0849">
        <w:t>which</w:t>
      </w:r>
      <w:r w:rsidR="00EE2B1C" w:rsidRPr="00123D11">
        <w:t xml:space="preserve"> application</w:t>
      </w:r>
      <w:r w:rsidR="003A0849">
        <w:t>s should receive funding</w:t>
      </w:r>
      <w:r w:rsidR="00EE2B1C" w:rsidRPr="00123D11">
        <w:t>.</w:t>
      </w:r>
    </w:p>
    <w:p w14:paraId="7AC9AF54" w14:textId="77777777" w:rsidR="00EE2B1C" w:rsidRPr="00F40BDA" w:rsidRDefault="00EE2B1C" w:rsidP="00CC3C8E">
      <w:pPr>
        <w:spacing w:before="0" w:after="120" w:line="276" w:lineRule="auto"/>
        <w:jc w:val="center"/>
        <w:rPr>
          <w:rFonts w:ascii="Wingdings" w:hAnsi="Wingdings"/>
          <w:sz w:val="20"/>
          <w:szCs w:val="20"/>
        </w:rPr>
      </w:pPr>
      <w:r w:rsidRPr="00F40BDA">
        <w:rPr>
          <w:rFonts w:ascii="Wingdings" w:hAnsi="Wingdings"/>
          <w:sz w:val="20"/>
          <w:szCs w:val="20"/>
        </w:rPr>
        <w:t></w:t>
      </w:r>
    </w:p>
    <w:p w14:paraId="2658327D" w14:textId="77777777" w:rsidR="00EE2B1C"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rPr>
          <w:b/>
        </w:rPr>
      </w:pPr>
      <w:r>
        <w:rPr>
          <w:b/>
        </w:rPr>
        <w:lastRenderedPageBreak/>
        <w:t>Grant D</w:t>
      </w:r>
      <w:r w:rsidRPr="00DB0315">
        <w:rPr>
          <w:b/>
        </w:rPr>
        <w:t>ecision</w:t>
      </w:r>
      <w:r>
        <w:rPr>
          <w:b/>
        </w:rPr>
        <w:t>s are made</w:t>
      </w:r>
    </w:p>
    <w:p w14:paraId="20959A63" w14:textId="77777777" w:rsidR="00EE2B1C" w:rsidRPr="00123D11"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pPr>
      <w:r>
        <w:t>The</w:t>
      </w:r>
      <w:r w:rsidRPr="00123D11">
        <w:t xml:space="preserve"> </w:t>
      </w:r>
      <w:r w:rsidR="00E84C48">
        <w:t>NDIA D</w:t>
      </w:r>
      <w:r w:rsidR="005F0481">
        <w:t>elegate</w:t>
      </w:r>
      <w:r w:rsidRPr="00123D11">
        <w:t xml:space="preserve"> </w:t>
      </w:r>
      <w:r>
        <w:t xml:space="preserve">decides </w:t>
      </w:r>
      <w:r w:rsidRPr="00123D11">
        <w:t>which grant applications are successful.</w:t>
      </w:r>
    </w:p>
    <w:p w14:paraId="26508B8D" w14:textId="77777777" w:rsidR="00EE2B1C" w:rsidRPr="00F40BDA" w:rsidRDefault="00EE2B1C" w:rsidP="00CC3C8E">
      <w:pPr>
        <w:spacing w:before="0" w:after="120" w:line="276" w:lineRule="auto"/>
        <w:jc w:val="center"/>
        <w:rPr>
          <w:rFonts w:ascii="Wingdings" w:hAnsi="Wingdings"/>
          <w:sz w:val="20"/>
          <w:szCs w:val="20"/>
        </w:rPr>
      </w:pPr>
      <w:r w:rsidRPr="00F40BDA">
        <w:rPr>
          <w:rFonts w:ascii="Wingdings" w:hAnsi="Wingdings"/>
          <w:sz w:val="20"/>
          <w:szCs w:val="20"/>
        </w:rPr>
        <w:t></w:t>
      </w:r>
    </w:p>
    <w:p w14:paraId="7B0673EA" w14:textId="77777777" w:rsidR="00EE2B1C"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rPr>
          <w:b/>
        </w:rPr>
      </w:pPr>
      <w:r>
        <w:rPr>
          <w:b/>
        </w:rPr>
        <w:t xml:space="preserve">We notify you of the </w:t>
      </w:r>
      <w:r w:rsidRPr="00F40BDA">
        <w:rPr>
          <w:b/>
        </w:rPr>
        <w:t>outcome</w:t>
      </w:r>
    </w:p>
    <w:p w14:paraId="4199D417" w14:textId="77777777" w:rsidR="00EE2B1C" w:rsidRDefault="003A0849" w:rsidP="00CC3C8E">
      <w:pPr>
        <w:pBdr>
          <w:top w:val="single" w:sz="2" w:space="1" w:color="auto"/>
          <w:left w:val="single" w:sz="2" w:space="4" w:color="auto"/>
          <w:bottom w:val="single" w:sz="2" w:space="1" w:color="auto"/>
          <w:right w:val="single" w:sz="2" w:space="4" w:color="auto"/>
        </w:pBdr>
        <w:spacing w:before="0" w:after="120" w:line="276" w:lineRule="auto"/>
        <w:jc w:val="center"/>
      </w:pPr>
      <w:r>
        <w:t>DSS and the NDIA</w:t>
      </w:r>
      <w:r w:rsidR="00EE2B1C">
        <w:t xml:space="preserve"> advise you of th</w:t>
      </w:r>
      <w:r w:rsidR="005F0481">
        <w:t xml:space="preserve">e outcome of your application. </w:t>
      </w:r>
      <w:r>
        <w:t>Individual feedback can be requested by</w:t>
      </w:r>
      <w:r w:rsidR="00A4747E">
        <w:t xml:space="preserve"> unsuccessful grant applicants.</w:t>
      </w:r>
    </w:p>
    <w:p w14:paraId="456A4867" w14:textId="77777777" w:rsidR="00EE2B1C" w:rsidRPr="00F40BDA" w:rsidRDefault="00EE2B1C" w:rsidP="00CC3C8E">
      <w:pPr>
        <w:spacing w:before="0" w:after="120" w:line="276" w:lineRule="auto"/>
        <w:jc w:val="center"/>
        <w:rPr>
          <w:rFonts w:ascii="Wingdings" w:hAnsi="Wingdings"/>
          <w:sz w:val="20"/>
          <w:szCs w:val="20"/>
        </w:rPr>
      </w:pPr>
      <w:r w:rsidRPr="00F40BDA">
        <w:rPr>
          <w:rFonts w:ascii="Wingdings" w:hAnsi="Wingdings"/>
          <w:sz w:val="20"/>
          <w:szCs w:val="20"/>
        </w:rPr>
        <w:t></w:t>
      </w:r>
    </w:p>
    <w:p w14:paraId="19686D4A" w14:textId="48EA1D88" w:rsidR="00EE2B1C" w:rsidRPr="00BB5938"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rPr>
          <w:b/>
        </w:rPr>
      </w:pPr>
      <w:r w:rsidRPr="00BB5938">
        <w:rPr>
          <w:rStyle w:val="highlightedtextChar"/>
          <w:color w:val="auto"/>
        </w:rPr>
        <w:t xml:space="preserve">We enter into a </w:t>
      </w:r>
      <w:r w:rsidR="004563ED">
        <w:rPr>
          <w:rStyle w:val="highlightedtextChar"/>
          <w:color w:val="auto"/>
        </w:rPr>
        <w:t>G</w:t>
      </w:r>
      <w:r w:rsidRPr="00BB5938">
        <w:rPr>
          <w:rStyle w:val="highlightedtextChar"/>
          <w:color w:val="auto"/>
        </w:rPr>
        <w:t xml:space="preserve">rant </w:t>
      </w:r>
      <w:r w:rsidR="004563ED">
        <w:rPr>
          <w:rStyle w:val="highlightedtextChar"/>
          <w:color w:val="auto"/>
        </w:rPr>
        <w:t>A</w:t>
      </w:r>
      <w:r w:rsidRPr="00BB5938">
        <w:rPr>
          <w:rStyle w:val="highlightedtextChar"/>
          <w:color w:val="auto"/>
        </w:rPr>
        <w:t xml:space="preserve">greement </w:t>
      </w:r>
    </w:p>
    <w:p w14:paraId="56356980" w14:textId="034A5E15" w:rsidR="00EE2B1C" w:rsidRDefault="003A0849" w:rsidP="00CC3C8E">
      <w:pPr>
        <w:pBdr>
          <w:top w:val="single" w:sz="2" w:space="1" w:color="auto"/>
          <w:left w:val="single" w:sz="2" w:space="4" w:color="auto"/>
          <w:bottom w:val="single" w:sz="2" w:space="1" w:color="auto"/>
          <w:right w:val="single" w:sz="2" w:space="4" w:color="auto"/>
        </w:pBdr>
        <w:spacing w:before="0" w:after="120" w:line="276" w:lineRule="auto"/>
        <w:jc w:val="center"/>
        <w:rPr>
          <w:b/>
          <w:bCs/>
        </w:rPr>
      </w:pPr>
      <w:r>
        <w:t>NDIA</w:t>
      </w:r>
      <w:r w:rsidR="00EE2B1C">
        <w:t xml:space="preserve"> will enter into a </w:t>
      </w:r>
      <w:r w:rsidR="001D5020">
        <w:t>G</w:t>
      </w:r>
      <w:r w:rsidR="00EE2B1C">
        <w:t xml:space="preserve">rant </w:t>
      </w:r>
      <w:r w:rsidR="004563ED">
        <w:t>A</w:t>
      </w:r>
      <w:r w:rsidR="00EE2B1C">
        <w:t xml:space="preserve">greement </w:t>
      </w:r>
      <w:r w:rsidR="00A4747E">
        <w:t>with successful applicants.</w:t>
      </w:r>
    </w:p>
    <w:p w14:paraId="5A1D477D" w14:textId="77777777" w:rsidR="00EE2B1C" w:rsidRPr="00F40BDA" w:rsidRDefault="00EE2B1C" w:rsidP="00CC3C8E">
      <w:pPr>
        <w:spacing w:before="0" w:after="120" w:line="276" w:lineRule="auto"/>
        <w:jc w:val="center"/>
        <w:rPr>
          <w:rFonts w:ascii="Wingdings" w:hAnsi="Wingdings"/>
          <w:sz w:val="20"/>
          <w:szCs w:val="20"/>
        </w:rPr>
      </w:pPr>
      <w:r w:rsidRPr="00F40BDA">
        <w:rPr>
          <w:rFonts w:ascii="Wingdings" w:hAnsi="Wingdings"/>
          <w:sz w:val="20"/>
          <w:szCs w:val="20"/>
        </w:rPr>
        <w:t></w:t>
      </w:r>
    </w:p>
    <w:p w14:paraId="304C6725" w14:textId="77777777" w:rsidR="00EE2B1C"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rPr>
          <w:b/>
          <w:bCs/>
        </w:rPr>
      </w:pPr>
      <w:r w:rsidRPr="00F40BDA">
        <w:rPr>
          <w:b/>
        </w:rPr>
        <w:t>Delivery of grant</w:t>
      </w:r>
      <w:r w:rsidRPr="00F40BDA">
        <w:rPr>
          <w:b/>
          <w:bCs/>
        </w:rPr>
        <w:t xml:space="preserve"> </w:t>
      </w:r>
    </w:p>
    <w:p w14:paraId="7E1DBD05" w14:textId="6A289117" w:rsidR="00EE2B1C" w:rsidRDefault="001200E3" w:rsidP="00CC3C8E">
      <w:pPr>
        <w:pBdr>
          <w:top w:val="single" w:sz="2" w:space="1" w:color="auto"/>
          <w:left w:val="single" w:sz="2" w:space="4" w:color="auto"/>
          <w:bottom w:val="single" w:sz="2" w:space="1" w:color="auto"/>
          <w:right w:val="single" w:sz="2" w:space="4" w:color="auto"/>
        </w:pBdr>
        <w:spacing w:before="0" w:after="120" w:line="276" w:lineRule="auto"/>
        <w:jc w:val="center"/>
        <w:rPr>
          <w:bCs/>
        </w:rPr>
      </w:pPr>
      <w:r>
        <w:rPr>
          <w:bCs/>
        </w:rPr>
        <w:t xml:space="preserve">Successful </w:t>
      </w:r>
      <w:r w:rsidR="00AF0773">
        <w:rPr>
          <w:bCs/>
        </w:rPr>
        <w:t xml:space="preserve">applicants </w:t>
      </w:r>
      <w:r w:rsidR="00EE2B1C">
        <w:rPr>
          <w:bCs/>
        </w:rPr>
        <w:t xml:space="preserve">undertake </w:t>
      </w:r>
      <w:r w:rsidR="00EE2B1C" w:rsidRPr="00F40BDA">
        <w:rPr>
          <w:bCs/>
        </w:rPr>
        <w:t>the grant activity</w:t>
      </w:r>
      <w:r w:rsidR="00EE2B1C">
        <w:rPr>
          <w:bCs/>
        </w:rPr>
        <w:t xml:space="preserve"> as set out in </w:t>
      </w:r>
      <w:r w:rsidR="00985A26">
        <w:rPr>
          <w:bCs/>
        </w:rPr>
        <w:t xml:space="preserve">a </w:t>
      </w:r>
      <w:r w:rsidR="001D5020">
        <w:rPr>
          <w:rStyle w:val="highlightedtextChar"/>
          <w:b w:val="0"/>
          <w:color w:val="auto"/>
        </w:rPr>
        <w:t>G</w:t>
      </w:r>
      <w:r w:rsidR="00EE2B1C" w:rsidRPr="00BB5938">
        <w:rPr>
          <w:rStyle w:val="highlightedtextChar"/>
          <w:b w:val="0"/>
          <w:color w:val="auto"/>
        </w:rPr>
        <w:t xml:space="preserve">rant </w:t>
      </w:r>
      <w:r w:rsidR="004563ED">
        <w:rPr>
          <w:rStyle w:val="highlightedtextChar"/>
          <w:b w:val="0"/>
          <w:color w:val="auto"/>
        </w:rPr>
        <w:t>A</w:t>
      </w:r>
      <w:r w:rsidR="00EE2B1C" w:rsidRPr="00BB5938">
        <w:rPr>
          <w:rStyle w:val="highlightedtextChar"/>
          <w:b w:val="0"/>
          <w:color w:val="auto"/>
        </w:rPr>
        <w:t>greement</w:t>
      </w:r>
      <w:r w:rsidR="00EE2B1C" w:rsidRPr="00BB5938">
        <w:rPr>
          <w:b/>
          <w:bCs/>
        </w:rPr>
        <w:t>.</w:t>
      </w:r>
      <w:r w:rsidR="00EE2B1C" w:rsidRPr="00BB5938">
        <w:rPr>
          <w:bCs/>
        </w:rPr>
        <w:t xml:space="preserve"> </w:t>
      </w:r>
      <w:r w:rsidR="003A0849">
        <w:rPr>
          <w:bCs/>
        </w:rPr>
        <w:t>NDIA</w:t>
      </w:r>
      <w:r w:rsidR="00BB5938">
        <w:rPr>
          <w:rStyle w:val="highlightedtextChar"/>
        </w:rPr>
        <w:t xml:space="preserve"> </w:t>
      </w:r>
      <w:r w:rsidR="00EE2B1C" w:rsidRPr="00F40BDA">
        <w:rPr>
          <w:bCs/>
        </w:rPr>
        <w:t>manage</w:t>
      </w:r>
      <w:r w:rsidR="00985A26">
        <w:rPr>
          <w:bCs/>
        </w:rPr>
        <w:t>s</w:t>
      </w:r>
      <w:r w:rsidR="00EE2B1C" w:rsidRPr="00F40BDA">
        <w:rPr>
          <w:bCs/>
        </w:rPr>
        <w:t xml:space="preserve"> the grant</w:t>
      </w:r>
      <w:r w:rsidR="00EE2B1C">
        <w:rPr>
          <w:bCs/>
        </w:rPr>
        <w:t xml:space="preserve"> by working with you, monitoring your progress and </w:t>
      </w:r>
      <w:r w:rsidR="00EE2B1C" w:rsidRPr="00F40BDA">
        <w:rPr>
          <w:bCs/>
        </w:rPr>
        <w:t>making payments.</w:t>
      </w:r>
    </w:p>
    <w:p w14:paraId="55E96D10" w14:textId="77777777" w:rsidR="00EE2B1C" w:rsidRPr="00F40BDA" w:rsidRDefault="00EE2B1C" w:rsidP="00CC3C8E">
      <w:pPr>
        <w:spacing w:before="0" w:after="120" w:line="276" w:lineRule="auto"/>
        <w:jc w:val="center"/>
        <w:rPr>
          <w:rFonts w:ascii="Wingdings" w:hAnsi="Wingdings"/>
          <w:sz w:val="20"/>
          <w:szCs w:val="20"/>
        </w:rPr>
      </w:pPr>
      <w:r w:rsidRPr="00F40BDA">
        <w:rPr>
          <w:rFonts w:ascii="Wingdings" w:hAnsi="Wingdings"/>
          <w:sz w:val="20"/>
          <w:szCs w:val="20"/>
        </w:rPr>
        <w:t></w:t>
      </w:r>
    </w:p>
    <w:p w14:paraId="7709EF94" w14:textId="77777777" w:rsidR="00EE2B1C"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rPr>
          <w:b/>
        </w:rPr>
      </w:pPr>
      <w:r w:rsidRPr="00F40BDA">
        <w:rPr>
          <w:b/>
        </w:rPr>
        <w:t xml:space="preserve">Evaluation of </w:t>
      </w:r>
      <w:r w:rsidRPr="00B30747">
        <w:rPr>
          <w:b/>
        </w:rPr>
        <w:t xml:space="preserve">the </w:t>
      </w:r>
      <w:r w:rsidR="006C07BB">
        <w:rPr>
          <w:b/>
        </w:rPr>
        <w:t>grant o</w:t>
      </w:r>
      <w:r w:rsidR="001200E3">
        <w:rPr>
          <w:b/>
        </w:rPr>
        <w:t>pportunity</w:t>
      </w:r>
    </w:p>
    <w:p w14:paraId="5338E8C4" w14:textId="29444C14" w:rsidR="00FA15EB" w:rsidRDefault="00EE2B1C" w:rsidP="00CC3C8E">
      <w:pPr>
        <w:pBdr>
          <w:top w:val="single" w:sz="2" w:space="1" w:color="auto"/>
          <w:left w:val="single" w:sz="2" w:space="4" w:color="auto"/>
          <w:bottom w:val="single" w:sz="2" w:space="1" w:color="auto"/>
          <w:right w:val="single" w:sz="2" w:space="4" w:color="auto"/>
        </w:pBdr>
        <w:spacing w:before="0" w:after="120" w:line="276" w:lineRule="auto"/>
        <w:jc w:val="center"/>
      </w:pPr>
      <w:r>
        <w:t>We evaluate t</w:t>
      </w:r>
      <w:r w:rsidRPr="00F40BDA">
        <w:t xml:space="preserve">he specific grant </w:t>
      </w:r>
      <w:r>
        <w:t xml:space="preserve">activity and </w:t>
      </w:r>
      <w:r w:rsidR="005734AE" w:rsidRPr="005734AE">
        <w:t>Disabled Peo</w:t>
      </w:r>
      <w:r w:rsidR="0046717E">
        <w:t>ples and Families Organisations</w:t>
      </w:r>
      <w:r w:rsidR="003A0849">
        <w:t xml:space="preserve"> </w:t>
      </w:r>
      <w:r w:rsidR="00BA6FD8">
        <w:t>–</w:t>
      </w:r>
      <w:r w:rsidR="000565BD">
        <w:t xml:space="preserve"> </w:t>
      </w:r>
      <w:r w:rsidR="00BA6FD8">
        <w:t xml:space="preserve">ILC </w:t>
      </w:r>
      <w:r w:rsidR="003A0849">
        <w:t>Readiness Grant Round</w:t>
      </w:r>
      <w:r>
        <w:t xml:space="preserve"> as a whole</w:t>
      </w:r>
      <w:r w:rsidRPr="00F40BDA">
        <w:t xml:space="preserve">. </w:t>
      </w:r>
      <w:r>
        <w:t xml:space="preserve">We </w:t>
      </w:r>
      <w:r w:rsidRPr="00F40BDA">
        <w:t xml:space="preserve">base </w:t>
      </w:r>
      <w:r>
        <w:t xml:space="preserve">this on </w:t>
      </w:r>
      <w:r w:rsidRPr="00F40BDA">
        <w:t>information</w:t>
      </w:r>
      <w:r w:rsidR="00005E51">
        <w:t xml:space="preserve"> successful a</w:t>
      </w:r>
      <w:r w:rsidR="00C37D4B">
        <w:t xml:space="preserve">pplicants </w:t>
      </w:r>
      <w:r>
        <w:t>provide to us and that we collect from various sources</w:t>
      </w:r>
      <w:bookmarkStart w:id="4" w:name="_Toc484677032"/>
      <w:bookmarkStart w:id="5" w:name="_Toc467773951"/>
      <w:r w:rsidR="00A83D21">
        <w:t>.</w:t>
      </w:r>
    </w:p>
    <w:p w14:paraId="4946858A" w14:textId="77777777" w:rsidR="001A0777" w:rsidRPr="00367A67" w:rsidRDefault="00FC1730" w:rsidP="00CC3C8E">
      <w:pPr>
        <w:pStyle w:val="Heading2Numbered"/>
        <w:spacing w:before="600" w:line="276" w:lineRule="auto"/>
        <w:contextualSpacing w:val="0"/>
      </w:pPr>
      <w:bookmarkStart w:id="6" w:name="_Toc531005158"/>
      <w:r>
        <w:t xml:space="preserve">1.1 </w:t>
      </w:r>
      <w:r w:rsidR="001A0777" w:rsidRPr="00367A67">
        <w:t>Role of the Community Grants Hub</w:t>
      </w:r>
      <w:bookmarkEnd w:id="4"/>
      <w:bookmarkEnd w:id="6"/>
    </w:p>
    <w:p w14:paraId="317DCCE9" w14:textId="77777777" w:rsidR="001A0777" w:rsidRPr="001E5459" w:rsidRDefault="00D268E6" w:rsidP="00CC3C8E">
      <w:pPr>
        <w:spacing w:before="0" w:after="120" w:line="276" w:lineRule="auto"/>
      </w:pPr>
      <w:r w:rsidRPr="001E5459">
        <w:t xml:space="preserve">This grant opportunity will be administered by the Community Grants Hub on behalf of the </w:t>
      </w:r>
      <w:r w:rsidR="00BB5938" w:rsidRPr="001E5459">
        <w:rPr>
          <w:color w:val="000000" w:themeColor="text1"/>
        </w:rPr>
        <w:t>NDIA</w:t>
      </w:r>
      <w:r w:rsidR="00186E42" w:rsidRPr="001E5459">
        <w:rPr>
          <w:rStyle w:val="highlightedtextChar"/>
          <w:color w:val="000000" w:themeColor="text1"/>
        </w:rPr>
        <w:t xml:space="preserve"> </w:t>
      </w:r>
      <w:r w:rsidR="00186E42" w:rsidRPr="001E5459">
        <w:t>under</w:t>
      </w:r>
      <w:r w:rsidR="00186E42" w:rsidRPr="001E5459">
        <w:rPr>
          <w:rStyle w:val="highlightedtextChar"/>
        </w:rPr>
        <w:t xml:space="preserve"> </w:t>
      </w:r>
      <w:r w:rsidR="00186E42" w:rsidRPr="001E5459">
        <w:rPr>
          <w:rStyle w:val="highlightedtextChar"/>
          <w:b w:val="0"/>
          <w:color w:val="auto"/>
        </w:rPr>
        <w:t xml:space="preserve">a </w:t>
      </w:r>
      <w:r w:rsidR="00566242" w:rsidRPr="001E5459">
        <w:rPr>
          <w:rStyle w:val="highlightedtextChar"/>
          <w:b w:val="0"/>
          <w:color w:val="auto"/>
        </w:rPr>
        <w:t>Whole-of-</w:t>
      </w:r>
      <w:r w:rsidR="00186E42" w:rsidRPr="001E5459">
        <w:rPr>
          <w:rStyle w:val="highlightedtextChar"/>
          <w:b w:val="0"/>
          <w:color w:val="auto"/>
        </w:rPr>
        <w:t>Australian Government initiative to streamline grant processes across agencies.</w:t>
      </w:r>
    </w:p>
    <w:p w14:paraId="422ACEF3" w14:textId="77777777" w:rsidR="00045933" w:rsidRPr="00B72EE8" w:rsidRDefault="001A0777" w:rsidP="00CC3C8E">
      <w:pPr>
        <w:pStyle w:val="Heading2Numbered"/>
        <w:spacing w:line="276" w:lineRule="auto"/>
        <w:ind w:left="567" w:hanging="567"/>
        <w:contextualSpacing w:val="0"/>
      </w:pPr>
      <w:bookmarkStart w:id="7" w:name="_Toc531005159"/>
      <w:r w:rsidRPr="00367A67">
        <w:t>1.2</w:t>
      </w:r>
      <w:r w:rsidRPr="00367A67">
        <w:tab/>
      </w:r>
      <w:r w:rsidR="001200E3">
        <w:t xml:space="preserve">Background to the </w:t>
      </w:r>
      <w:bookmarkEnd w:id="5"/>
      <w:r w:rsidR="00A6373E">
        <w:t>ILC p</w:t>
      </w:r>
      <w:r w:rsidR="00106F32">
        <w:t>rogram</w:t>
      </w:r>
      <w:bookmarkEnd w:id="7"/>
    </w:p>
    <w:p w14:paraId="7F5224FA" w14:textId="097087C8" w:rsidR="000178D9" w:rsidRPr="000178D9" w:rsidRDefault="000178D9" w:rsidP="00300D06">
      <w:pPr>
        <w:spacing w:before="0" w:line="276" w:lineRule="auto"/>
        <w:rPr>
          <w:rFonts w:ascii="Arial" w:eastAsia="Arial" w:hAnsi="Arial" w:cstheme="minorHAnsi"/>
        </w:rPr>
      </w:pPr>
      <w:r w:rsidRPr="000178D9">
        <w:rPr>
          <w:rFonts w:ascii="Arial" w:eastAsia="Arial" w:hAnsi="Arial" w:cstheme="minorHAnsi"/>
        </w:rPr>
        <w:t xml:space="preserve">The vision of the </w:t>
      </w:r>
      <w:r w:rsidRPr="000178D9">
        <w:rPr>
          <w:rFonts w:ascii="Arial" w:eastAsia="MS PGothic" w:hAnsi="Arial" w:cstheme="minorHAnsi"/>
          <w:iCs/>
        </w:rPr>
        <w:t>National Disability Insurance Scheme (</w:t>
      </w:r>
      <w:r w:rsidRPr="000178D9">
        <w:rPr>
          <w:rFonts w:ascii="Arial" w:eastAsia="Arial" w:hAnsi="Arial" w:cstheme="minorHAnsi"/>
        </w:rPr>
        <w:t xml:space="preserve">NDIS) is to empower people with disability to choose and achieve their goals </w:t>
      </w:r>
      <w:r w:rsidR="00E70568">
        <w:rPr>
          <w:rFonts w:ascii="Arial" w:eastAsia="Arial" w:hAnsi="Arial" w:cstheme="minorHAnsi"/>
        </w:rPr>
        <w:t>with</w:t>
      </w:r>
      <w:r w:rsidRPr="000178D9">
        <w:rPr>
          <w:rFonts w:ascii="Arial" w:eastAsia="Arial" w:hAnsi="Arial" w:cstheme="minorHAnsi"/>
        </w:rPr>
        <w:t>in</w:t>
      </w:r>
      <w:r w:rsidR="00E70568">
        <w:rPr>
          <w:rFonts w:ascii="Arial" w:eastAsia="Arial" w:hAnsi="Arial" w:cstheme="minorHAnsi"/>
        </w:rPr>
        <w:t xml:space="preserve"> an inclusive community</w:t>
      </w:r>
      <w:r w:rsidR="00802C77">
        <w:rPr>
          <w:rFonts w:ascii="Arial" w:eastAsia="Arial" w:hAnsi="Arial" w:cstheme="minorHAnsi"/>
        </w:rPr>
        <w:t>,</w:t>
      </w:r>
      <w:r w:rsidRPr="000178D9">
        <w:rPr>
          <w:rFonts w:ascii="Arial" w:eastAsia="Arial" w:hAnsi="Arial" w:cstheme="minorHAnsi"/>
        </w:rPr>
        <w:t xml:space="preserve"> leading to their increased independence and social and economic participation. </w:t>
      </w:r>
      <w:r w:rsidRPr="000178D9">
        <w:rPr>
          <w:rFonts w:ascii="Arial" w:eastAsia="+mn-ea" w:hAnsi="Arial" w:cstheme="minorHAnsi"/>
          <w:color w:val="000000"/>
          <w:kern w:val="24"/>
          <w:lang w:eastAsia="en-AU"/>
        </w:rPr>
        <w:t xml:space="preserve">The NDIS achieves this through two </w:t>
      </w:r>
      <w:r w:rsidR="001200E3">
        <w:rPr>
          <w:rFonts w:ascii="Arial" w:eastAsia="+mn-ea" w:hAnsi="Arial" w:cstheme="minorHAnsi"/>
          <w:color w:val="000000"/>
          <w:kern w:val="24"/>
          <w:lang w:eastAsia="en-AU"/>
        </w:rPr>
        <w:t>components</w:t>
      </w:r>
      <w:r w:rsidR="00A83D21">
        <w:rPr>
          <w:rFonts w:ascii="Arial" w:eastAsia="+mn-ea" w:hAnsi="Arial" w:cstheme="minorHAnsi"/>
          <w:color w:val="000000"/>
          <w:kern w:val="24"/>
          <w:lang w:eastAsia="en-AU"/>
        </w:rPr>
        <w:t>:</w:t>
      </w:r>
    </w:p>
    <w:p w14:paraId="0D618FD2" w14:textId="77777777" w:rsidR="000178D9" w:rsidRPr="000178D9" w:rsidRDefault="000178D9" w:rsidP="00CC3C8E">
      <w:pPr>
        <w:numPr>
          <w:ilvl w:val="0"/>
          <w:numId w:val="19"/>
        </w:numPr>
        <w:suppressAutoHyphens w:val="0"/>
        <w:spacing w:before="0" w:after="120" w:line="276" w:lineRule="auto"/>
        <w:rPr>
          <w:rFonts w:eastAsia="Times New Roman" w:cstheme="minorHAnsi"/>
          <w:lang w:eastAsia="en-AU"/>
        </w:rPr>
      </w:pPr>
      <w:r w:rsidRPr="000178D9">
        <w:rPr>
          <w:rFonts w:eastAsia="+mn-ea" w:cstheme="minorHAnsi"/>
          <w:color w:val="000000"/>
          <w:kern w:val="24"/>
          <w:lang w:eastAsia="en-AU"/>
        </w:rPr>
        <w:t xml:space="preserve">Individual Funding Packages (or NDIS </w:t>
      </w:r>
      <w:r w:rsidR="001200E3">
        <w:rPr>
          <w:rFonts w:eastAsia="+mn-ea" w:cstheme="minorHAnsi"/>
          <w:color w:val="000000"/>
          <w:kern w:val="24"/>
          <w:lang w:eastAsia="en-AU"/>
        </w:rPr>
        <w:t xml:space="preserve">participant </w:t>
      </w:r>
      <w:r w:rsidRPr="000178D9">
        <w:rPr>
          <w:rFonts w:eastAsia="+mn-ea" w:cstheme="minorHAnsi"/>
          <w:color w:val="000000"/>
          <w:kern w:val="24"/>
          <w:lang w:eastAsia="en-AU"/>
        </w:rPr>
        <w:t>plans); and</w:t>
      </w:r>
    </w:p>
    <w:p w14:paraId="72D72EA6" w14:textId="77777777" w:rsidR="000178D9" w:rsidRPr="000178D9" w:rsidRDefault="000178D9" w:rsidP="00CC3C8E">
      <w:pPr>
        <w:numPr>
          <w:ilvl w:val="0"/>
          <w:numId w:val="19"/>
        </w:numPr>
        <w:suppressAutoHyphens w:val="0"/>
        <w:spacing w:before="0" w:after="120" w:line="276" w:lineRule="auto"/>
        <w:ind w:left="714" w:hanging="357"/>
        <w:rPr>
          <w:rFonts w:eastAsia="Times New Roman" w:cstheme="minorHAnsi"/>
          <w:lang w:eastAsia="en-AU"/>
        </w:rPr>
      </w:pPr>
      <w:r w:rsidRPr="000178D9">
        <w:rPr>
          <w:rFonts w:eastAsia="+mn-ea" w:cstheme="minorHAnsi"/>
          <w:color w:val="000000"/>
          <w:kern w:val="24"/>
          <w:lang w:eastAsia="en-AU"/>
        </w:rPr>
        <w:t>Information, Linkages and Capacity Building (ILC).</w:t>
      </w:r>
    </w:p>
    <w:p w14:paraId="44257B75" w14:textId="77777777" w:rsidR="004B6280" w:rsidRDefault="001200E3" w:rsidP="00CC3C8E">
      <w:pPr>
        <w:spacing w:after="120" w:line="276" w:lineRule="auto"/>
        <w:rPr>
          <w:rFonts w:ascii="Arial" w:eastAsia="Arial" w:hAnsi="Arial" w:cstheme="minorHAnsi"/>
        </w:rPr>
      </w:pPr>
      <w:r>
        <w:rPr>
          <w:rFonts w:ascii="Arial" w:eastAsia="Arial" w:hAnsi="Arial" w:cstheme="minorHAnsi"/>
        </w:rPr>
        <w:t xml:space="preserve">ILC </w:t>
      </w:r>
      <w:r w:rsidR="000178D9" w:rsidRPr="000178D9">
        <w:rPr>
          <w:rFonts w:ascii="Arial" w:eastAsia="Arial" w:hAnsi="Arial" w:cstheme="minorHAnsi"/>
        </w:rPr>
        <w:t xml:space="preserve">is funded under the Community Inclusion and Capacity Development (CICD) </w:t>
      </w:r>
      <w:r w:rsidRPr="000178D9">
        <w:rPr>
          <w:rFonts w:ascii="Arial" w:eastAsia="Arial" w:hAnsi="Arial" w:cstheme="minorHAnsi"/>
        </w:rPr>
        <w:t>Program</w:t>
      </w:r>
      <w:r>
        <w:rPr>
          <w:rFonts w:ascii="Arial" w:eastAsia="Arial" w:hAnsi="Arial" w:cstheme="minorHAnsi"/>
        </w:rPr>
        <w:t>,</w:t>
      </w:r>
      <w:r w:rsidRPr="00A83D21">
        <w:rPr>
          <w:rFonts w:ascii="Arial" w:eastAsia="Arial" w:hAnsi="Arial" w:cstheme="minorHAnsi"/>
        </w:rPr>
        <w:t xml:space="preserve"> </w:t>
      </w:r>
      <w:r w:rsidR="004B6280" w:rsidRPr="00A83D21">
        <w:rPr>
          <w:rFonts w:ascii="Arial" w:eastAsia="Arial" w:hAnsi="Arial" w:cstheme="minorHAnsi"/>
        </w:rPr>
        <w:t xml:space="preserve">which was </w:t>
      </w:r>
      <w:r w:rsidRPr="00A83D21">
        <w:rPr>
          <w:rFonts w:ascii="Arial" w:eastAsia="Arial" w:hAnsi="Arial" w:cstheme="minorHAnsi"/>
        </w:rPr>
        <w:t xml:space="preserve">established as part of the NDIS funding commitment in the 2013-14 Portfolio Budget Statement (PBS). </w:t>
      </w:r>
      <w:r w:rsidR="004B6280" w:rsidRPr="00A83D21">
        <w:rPr>
          <w:rFonts w:ascii="Arial" w:eastAsia="Arial" w:hAnsi="Arial" w:cstheme="minorHAnsi"/>
        </w:rPr>
        <w:t>The objective of the CICD Program is to build innovative ways to increase the independence, social and community participation of people with a disability.</w:t>
      </w:r>
    </w:p>
    <w:p w14:paraId="6CFE19BC" w14:textId="4443F41C" w:rsidR="00985A26" w:rsidRDefault="001200E3" w:rsidP="00CC3C8E">
      <w:pPr>
        <w:spacing w:after="120" w:line="276" w:lineRule="auto"/>
        <w:rPr>
          <w:rFonts w:eastAsiaTheme="majorEastAsia" w:cstheme="majorBidi"/>
          <w:bCs/>
        </w:rPr>
      </w:pPr>
      <w:r w:rsidRPr="00310249">
        <w:rPr>
          <w:rFonts w:eastAsiaTheme="majorEastAsia" w:cstheme="majorBidi"/>
          <w:bCs/>
        </w:rPr>
        <w:lastRenderedPageBreak/>
        <w:t>The CICD Program</w:t>
      </w:r>
      <w:r>
        <w:rPr>
          <w:rFonts w:eastAsiaTheme="majorEastAsia" w:cstheme="majorBidi"/>
          <w:bCs/>
        </w:rPr>
        <w:t>*</w:t>
      </w:r>
      <w:r w:rsidRPr="00310249">
        <w:rPr>
          <w:rFonts w:eastAsiaTheme="majorEastAsia" w:cstheme="majorBidi"/>
          <w:bCs/>
        </w:rPr>
        <w:t xml:space="preserve"> budget for</w:t>
      </w:r>
      <w:r w:rsidR="00EE271D">
        <w:rPr>
          <w:rFonts w:eastAsiaTheme="majorEastAsia" w:cstheme="majorBidi"/>
          <w:bCs/>
        </w:rPr>
        <w:t xml:space="preserve"> 2018</w:t>
      </w:r>
      <w:r w:rsidRPr="00310249">
        <w:rPr>
          <w:rFonts w:eastAsiaTheme="majorEastAsia" w:cstheme="majorBidi"/>
          <w:bCs/>
        </w:rPr>
        <w:t>-1</w:t>
      </w:r>
      <w:r w:rsidR="00EE271D">
        <w:rPr>
          <w:rFonts w:eastAsiaTheme="majorEastAsia" w:cstheme="majorBidi"/>
          <w:bCs/>
        </w:rPr>
        <w:t>9</w:t>
      </w:r>
      <w:r w:rsidRPr="00310249">
        <w:rPr>
          <w:rFonts w:eastAsiaTheme="majorEastAsia" w:cstheme="majorBidi"/>
          <w:bCs/>
        </w:rPr>
        <w:t xml:space="preserve"> to 202</w:t>
      </w:r>
      <w:r w:rsidR="00EE271D">
        <w:rPr>
          <w:rFonts w:eastAsiaTheme="majorEastAsia" w:cstheme="majorBidi"/>
          <w:bCs/>
        </w:rPr>
        <w:t>1-22</w:t>
      </w:r>
      <w:r w:rsidR="00A83D21">
        <w:rPr>
          <w:rFonts w:eastAsiaTheme="majorEastAsia" w:cstheme="majorBidi"/>
          <w:bCs/>
        </w:rPr>
        <w:t>,</w:t>
      </w:r>
      <w:r w:rsidRPr="00310249">
        <w:rPr>
          <w:rFonts w:eastAsiaTheme="majorEastAsia" w:cstheme="majorBidi"/>
          <w:bCs/>
        </w:rPr>
        <w:t xml:space="preserve"> that is being used to deliver ILC is detailed below. </w:t>
      </w:r>
    </w:p>
    <w:tbl>
      <w:tblPr>
        <w:tblStyle w:val="TableGrid"/>
        <w:tblW w:w="0" w:type="auto"/>
        <w:tblLook w:val="04A0" w:firstRow="1" w:lastRow="0" w:firstColumn="1" w:lastColumn="0" w:noHBand="0" w:noVBand="1"/>
        <w:tblCaption w:val="Funding by Financial Years"/>
        <w:tblDescription w:val="Funding by Financial Years"/>
      </w:tblPr>
      <w:tblGrid>
        <w:gridCol w:w="1812"/>
        <w:gridCol w:w="1812"/>
        <w:gridCol w:w="1812"/>
        <w:gridCol w:w="1812"/>
        <w:gridCol w:w="1812"/>
      </w:tblGrid>
      <w:tr w:rsidR="00985A26" w14:paraId="4B144A14" w14:textId="77777777" w:rsidTr="00F310C5">
        <w:trPr>
          <w:tblHeader/>
        </w:trPr>
        <w:tc>
          <w:tcPr>
            <w:tcW w:w="1812" w:type="dxa"/>
          </w:tcPr>
          <w:p w14:paraId="6B2E2027" w14:textId="77777777" w:rsidR="00985A26" w:rsidRDefault="00985A26" w:rsidP="00CC3C8E">
            <w:pPr>
              <w:spacing w:after="120" w:line="276" w:lineRule="auto"/>
            </w:pPr>
            <w:r w:rsidRPr="00310249">
              <w:t>Financial Year</w:t>
            </w:r>
          </w:p>
        </w:tc>
        <w:tc>
          <w:tcPr>
            <w:tcW w:w="1812" w:type="dxa"/>
          </w:tcPr>
          <w:p w14:paraId="639476DF" w14:textId="77777777" w:rsidR="00985A26" w:rsidRDefault="00985A26" w:rsidP="00CC3C8E">
            <w:pPr>
              <w:spacing w:after="120" w:line="276" w:lineRule="auto"/>
              <w:jc w:val="center"/>
            </w:pPr>
            <w:r w:rsidRPr="00310249">
              <w:t>2018-19</w:t>
            </w:r>
          </w:p>
        </w:tc>
        <w:tc>
          <w:tcPr>
            <w:tcW w:w="1812" w:type="dxa"/>
          </w:tcPr>
          <w:p w14:paraId="51A128D8" w14:textId="77777777" w:rsidR="00985A26" w:rsidRDefault="00985A26" w:rsidP="00CC3C8E">
            <w:pPr>
              <w:spacing w:after="120" w:line="276" w:lineRule="auto"/>
              <w:jc w:val="center"/>
            </w:pPr>
            <w:r w:rsidRPr="00310249">
              <w:t>2019-20</w:t>
            </w:r>
          </w:p>
        </w:tc>
        <w:tc>
          <w:tcPr>
            <w:tcW w:w="1812" w:type="dxa"/>
          </w:tcPr>
          <w:p w14:paraId="2EA8CC86" w14:textId="77777777" w:rsidR="00985A26" w:rsidRDefault="00985A26" w:rsidP="00CC3C8E">
            <w:pPr>
              <w:spacing w:after="120" w:line="276" w:lineRule="auto"/>
              <w:jc w:val="center"/>
            </w:pPr>
            <w:r w:rsidRPr="00310249">
              <w:t>2020-21</w:t>
            </w:r>
          </w:p>
        </w:tc>
        <w:tc>
          <w:tcPr>
            <w:tcW w:w="1812" w:type="dxa"/>
          </w:tcPr>
          <w:p w14:paraId="1CBAF34B" w14:textId="77777777" w:rsidR="00985A26" w:rsidRDefault="00985A26" w:rsidP="00CC3C8E">
            <w:pPr>
              <w:spacing w:after="120" w:line="276" w:lineRule="auto"/>
              <w:jc w:val="center"/>
            </w:pPr>
            <w:r>
              <w:t>2021-22</w:t>
            </w:r>
          </w:p>
        </w:tc>
      </w:tr>
      <w:tr w:rsidR="00985A26" w14:paraId="0652190C" w14:textId="77777777" w:rsidTr="00985A26">
        <w:tc>
          <w:tcPr>
            <w:tcW w:w="1812" w:type="dxa"/>
          </w:tcPr>
          <w:p w14:paraId="646AC631" w14:textId="77777777" w:rsidR="00985A26" w:rsidRDefault="00985A26" w:rsidP="00CC3C8E">
            <w:pPr>
              <w:spacing w:after="120" w:line="276" w:lineRule="auto"/>
            </w:pPr>
            <w:r w:rsidRPr="00310249">
              <w:t>Amount</w:t>
            </w:r>
            <w:r w:rsidR="00D93208">
              <w:t xml:space="preserve"> (GST Excl.)</w:t>
            </w:r>
          </w:p>
        </w:tc>
        <w:tc>
          <w:tcPr>
            <w:tcW w:w="1812" w:type="dxa"/>
          </w:tcPr>
          <w:p w14:paraId="6F423956" w14:textId="77777777" w:rsidR="00985A26" w:rsidRDefault="00985A26" w:rsidP="00CC3C8E">
            <w:pPr>
              <w:spacing w:after="120" w:line="276" w:lineRule="auto"/>
              <w:jc w:val="right"/>
            </w:pPr>
            <w:r>
              <w:t>$114,04</w:t>
            </w:r>
            <w:r w:rsidR="00314292">
              <w:t>4</w:t>
            </w:r>
            <w:r w:rsidRPr="00441F7A">
              <w:t>,000</w:t>
            </w:r>
          </w:p>
        </w:tc>
        <w:tc>
          <w:tcPr>
            <w:tcW w:w="1812" w:type="dxa"/>
          </w:tcPr>
          <w:p w14:paraId="5A9E9BE4" w14:textId="77777777" w:rsidR="00985A26" w:rsidRDefault="00985A26" w:rsidP="00CC3C8E">
            <w:pPr>
              <w:spacing w:after="120" w:line="276" w:lineRule="auto"/>
              <w:jc w:val="right"/>
            </w:pPr>
            <w:r>
              <w:t>$131</w:t>
            </w:r>
            <w:r w:rsidRPr="00441F7A">
              <w:t>,</w:t>
            </w:r>
            <w:r>
              <w:t>47</w:t>
            </w:r>
            <w:r w:rsidR="00314292">
              <w:t>8</w:t>
            </w:r>
            <w:r w:rsidRPr="00441F7A">
              <w:t>,000</w:t>
            </w:r>
          </w:p>
        </w:tc>
        <w:tc>
          <w:tcPr>
            <w:tcW w:w="1812" w:type="dxa"/>
          </w:tcPr>
          <w:p w14:paraId="11CF5937" w14:textId="77777777" w:rsidR="00985A26" w:rsidRDefault="00985A26" w:rsidP="00CC3C8E">
            <w:pPr>
              <w:spacing w:after="120" w:line="276" w:lineRule="auto"/>
              <w:jc w:val="right"/>
            </w:pPr>
            <w:r w:rsidRPr="00441F7A">
              <w:t>$</w:t>
            </w:r>
            <w:r>
              <w:t>132,57</w:t>
            </w:r>
            <w:r w:rsidR="00314292">
              <w:t>3</w:t>
            </w:r>
            <w:r w:rsidRPr="00441F7A">
              <w:t>,000</w:t>
            </w:r>
          </w:p>
        </w:tc>
        <w:tc>
          <w:tcPr>
            <w:tcW w:w="1812" w:type="dxa"/>
          </w:tcPr>
          <w:p w14:paraId="5A9E4F39" w14:textId="77777777" w:rsidR="00985A26" w:rsidRDefault="00985A26" w:rsidP="00CC3C8E">
            <w:pPr>
              <w:spacing w:after="120" w:line="276" w:lineRule="auto"/>
              <w:jc w:val="right"/>
            </w:pPr>
            <w:r>
              <w:t>$134,29</w:t>
            </w:r>
            <w:r w:rsidR="00314292">
              <w:t>6</w:t>
            </w:r>
            <w:r>
              <w:t>,000</w:t>
            </w:r>
          </w:p>
        </w:tc>
      </w:tr>
    </w:tbl>
    <w:p w14:paraId="1697A4F3" w14:textId="77777777" w:rsidR="001200E3" w:rsidRPr="00985A26" w:rsidRDefault="001200E3" w:rsidP="00CC3C8E">
      <w:pPr>
        <w:spacing w:before="0" w:after="120" w:line="276" w:lineRule="auto"/>
        <w:ind w:firstLine="357"/>
        <w:rPr>
          <w:i/>
          <w:color w:val="808080" w:themeColor="background1" w:themeShade="80"/>
          <w:sz w:val="20"/>
          <w:szCs w:val="20"/>
        </w:rPr>
      </w:pPr>
      <w:r w:rsidRPr="00985A26">
        <w:rPr>
          <w:i/>
          <w:color w:val="808080" w:themeColor="background1" w:themeShade="80"/>
          <w:sz w:val="20"/>
          <w:szCs w:val="20"/>
        </w:rPr>
        <w:t>* National Disability Insurance Agency Port</w:t>
      </w:r>
      <w:r w:rsidR="00985A26">
        <w:rPr>
          <w:i/>
          <w:color w:val="808080" w:themeColor="background1" w:themeShade="80"/>
          <w:sz w:val="20"/>
          <w:szCs w:val="20"/>
        </w:rPr>
        <w:t>folio Budget Statements 201</w:t>
      </w:r>
      <w:r w:rsidR="002A1FC0">
        <w:rPr>
          <w:i/>
          <w:color w:val="808080" w:themeColor="background1" w:themeShade="80"/>
          <w:sz w:val="20"/>
          <w:szCs w:val="20"/>
        </w:rPr>
        <w:t>8</w:t>
      </w:r>
      <w:r w:rsidR="00985A26">
        <w:rPr>
          <w:i/>
          <w:color w:val="808080" w:themeColor="background1" w:themeShade="80"/>
          <w:sz w:val="20"/>
          <w:szCs w:val="20"/>
        </w:rPr>
        <w:t>-1</w:t>
      </w:r>
      <w:r w:rsidR="002A1FC0">
        <w:rPr>
          <w:i/>
          <w:color w:val="808080" w:themeColor="background1" w:themeShade="80"/>
          <w:sz w:val="20"/>
          <w:szCs w:val="20"/>
        </w:rPr>
        <w:t>9</w:t>
      </w:r>
    </w:p>
    <w:p w14:paraId="529FAB9C" w14:textId="77777777" w:rsidR="000178D9" w:rsidRPr="000178D9" w:rsidRDefault="000178D9" w:rsidP="00300D06">
      <w:pPr>
        <w:spacing w:line="276" w:lineRule="auto"/>
        <w:rPr>
          <w:rFonts w:ascii="Arial" w:eastAsia="Arial" w:hAnsi="Arial" w:cstheme="minorHAnsi"/>
        </w:rPr>
      </w:pPr>
      <w:r>
        <w:t>Over the last two years, t</w:t>
      </w:r>
      <w:r w:rsidR="004B6280">
        <w:t>he CICD</w:t>
      </w:r>
      <w:r w:rsidRPr="003E202F">
        <w:t xml:space="preserve"> Pro</w:t>
      </w:r>
      <w:r>
        <w:t xml:space="preserve">gram has funded </w:t>
      </w:r>
      <w:r w:rsidR="00F85AB7">
        <w:t>over 200</w:t>
      </w:r>
      <w:r>
        <w:t xml:space="preserve"> </w:t>
      </w:r>
      <w:r w:rsidRPr="003E202F">
        <w:rPr>
          <w:rFonts w:ascii="Arial" w:hAnsi="Arial" w:cs="Arial"/>
        </w:rPr>
        <w:t>ILC</w:t>
      </w:r>
      <w:r w:rsidR="00314292">
        <w:rPr>
          <w:rFonts w:ascii="Arial" w:hAnsi="Arial" w:cs="Arial"/>
        </w:rPr>
        <w:t xml:space="preserve"> grants </w:t>
      </w:r>
      <w:r w:rsidRPr="003E202F">
        <w:t>to help make communities more accessible and inclusive for people with disability</w:t>
      </w:r>
      <w:r w:rsidR="004B6280">
        <w:t xml:space="preserve">, working towards enabling </w:t>
      </w:r>
      <w:r w:rsidRPr="000178D9">
        <w:rPr>
          <w:rFonts w:ascii="Arial" w:eastAsia="Arial" w:hAnsi="Arial" w:cs="Times New Roman"/>
        </w:rPr>
        <w:t>people with disability</w:t>
      </w:r>
      <w:r w:rsidR="004B6280">
        <w:rPr>
          <w:rFonts w:ascii="Arial" w:eastAsia="Arial" w:hAnsi="Arial" w:cs="Times New Roman"/>
        </w:rPr>
        <w:t xml:space="preserve"> to</w:t>
      </w:r>
      <w:r w:rsidRPr="000178D9">
        <w:rPr>
          <w:rFonts w:ascii="Arial" w:eastAsia="Arial" w:hAnsi="Arial" w:cs="Times New Roman"/>
        </w:rPr>
        <w:t>:</w:t>
      </w:r>
    </w:p>
    <w:p w14:paraId="52875564" w14:textId="77777777" w:rsidR="000178D9" w:rsidRPr="000178D9" w:rsidRDefault="00341A4F" w:rsidP="00CC3C8E">
      <w:pPr>
        <w:numPr>
          <w:ilvl w:val="0"/>
          <w:numId w:val="18"/>
        </w:numPr>
        <w:suppressAutoHyphens w:val="0"/>
        <w:spacing w:before="0" w:after="120" w:line="276" w:lineRule="auto"/>
        <w:ind w:left="714" w:hanging="357"/>
        <w:rPr>
          <w:rFonts w:eastAsiaTheme="majorEastAsia" w:cstheme="minorHAnsi"/>
        </w:rPr>
      </w:pPr>
      <w:r>
        <w:rPr>
          <w:rFonts w:eastAsiaTheme="majorEastAsia" w:cstheme="minorHAnsi"/>
        </w:rPr>
        <w:t>H</w:t>
      </w:r>
      <w:r w:rsidRPr="000178D9">
        <w:rPr>
          <w:rFonts w:eastAsiaTheme="majorEastAsia" w:cstheme="minorHAnsi"/>
        </w:rPr>
        <w:t xml:space="preserve">ave </w:t>
      </w:r>
      <w:r w:rsidR="000178D9" w:rsidRPr="000178D9">
        <w:rPr>
          <w:rFonts w:eastAsiaTheme="majorEastAsia" w:cstheme="minorHAnsi"/>
        </w:rPr>
        <w:t>the ability to achieve their goals (capability); and</w:t>
      </w:r>
    </w:p>
    <w:p w14:paraId="2CE3AF60" w14:textId="77777777" w:rsidR="000178D9" w:rsidRPr="000178D9" w:rsidRDefault="00341A4F" w:rsidP="00CC3C8E">
      <w:pPr>
        <w:numPr>
          <w:ilvl w:val="0"/>
          <w:numId w:val="18"/>
        </w:numPr>
        <w:suppressAutoHyphens w:val="0"/>
        <w:spacing w:before="0" w:after="120" w:line="276" w:lineRule="auto"/>
        <w:ind w:left="714" w:hanging="357"/>
        <w:rPr>
          <w:rFonts w:eastAsiaTheme="majorEastAsia" w:cstheme="minorHAnsi"/>
        </w:rPr>
      </w:pPr>
      <w:r>
        <w:rPr>
          <w:rFonts w:eastAsiaTheme="majorEastAsia" w:cstheme="minorHAnsi"/>
        </w:rPr>
        <w:t>Be</w:t>
      </w:r>
      <w:r w:rsidRPr="000178D9">
        <w:rPr>
          <w:rFonts w:eastAsiaTheme="majorEastAsia" w:cstheme="minorHAnsi"/>
        </w:rPr>
        <w:t xml:space="preserve"> </w:t>
      </w:r>
      <w:r w:rsidR="000178D9" w:rsidRPr="000178D9">
        <w:rPr>
          <w:rFonts w:eastAsiaTheme="majorEastAsia" w:cstheme="minorHAnsi"/>
        </w:rPr>
        <w:t>included in all aspects of community life (opportunity).</w:t>
      </w:r>
    </w:p>
    <w:p w14:paraId="35CBCBBE" w14:textId="77777777" w:rsidR="003E202F" w:rsidRDefault="003E202F" w:rsidP="00CC3C8E">
      <w:pPr>
        <w:spacing w:after="120" w:line="276" w:lineRule="auto"/>
      </w:pPr>
      <w:r w:rsidRPr="003E202F">
        <w:t xml:space="preserve">From </w:t>
      </w:r>
      <w:r w:rsidR="00005E51">
        <w:t>July 2019</w:t>
      </w:r>
      <w:r w:rsidRPr="003E202F">
        <w:t xml:space="preserve">, </w:t>
      </w:r>
      <w:r>
        <w:rPr>
          <w:rFonts w:ascii="Arial" w:hAnsi="Arial" w:cs="Arial"/>
        </w:rPr>
        <w:t xml:space="preserve">the NDIA </w:t>
      </w:r>
      <w:r w:rsidRPr="003E202F">
        <w:t xml:space="preserve">will adapt its approach by evolving </w:t>
      </w:r>
      <w:r w:rsidR="00F85AB7">
        <w:t xml:space="preserve">a </w:t>
      </w:r>
      <w:r w:rsidRPr="003E202F">
        <w:t>more strat</w:t>
      </w:r>
      <w:r w:rsidR="00502B97">
        <w:t>egic and programmatic approach</w:t>
      </w:r>
      <w:r w:rsidRPr="003E202F">
        <w:t xml:space="preserve"> to ILC investment. To prepare for this, </w:t>
      </w:r>
      <w:r w:rsidR="000178D9">
        <w:t xml:space="preserve">a portion of </w:t>
      </w:r>
      <w:r w:rsidR="00E460B1">
        <w:t>CICD funding f</w:t>
      </w:r>
      <w:r w:rsidRPr="003E202F">
        <w:t>r</w:t>
      </w:r>
      <w:r w:rsidR="00E460B1">
        <w:t>om</w:t>
      </w:r>
      <w:r w:rsidRPr="003E202F">
        <w:t xml:space="preserve"> the 2018-19 financial</w:t>
      </w:r>
      <w:r w:rsidR="000178D9">
        <w:t xml:space="preserve"> year is being directed towards </w:t>
      </w:r>
      <w:r w:rsidR="00886CDB">
        <w:t>strengthen</w:t>
      </w:r>
      <w:r w:rsidR="00F85AB7">
        <w:t>ing</w:t>
      </w:r>
      <w:r w:rsidR="00886CDB">
        <w:t xml:space="preserve"> the foundations</w:t>
      </w:r>
      <w:r w:rsidR="001E5459">
        <w:t xml:space="preserve"> of the </w:t>
      </w:r>
      <w:r w:rsidR="006771EE">
        <w:t>D</w:t>
      </w:r>
      <w:r w:rsidR="006771EE" w:rsidRPr="006F6CA2">
        <w:t>isabled Pe</w:t>
      </w:r>
      <w:r w:rsidR="006771EE">
        <w:t>oples and Families Organisations (</w:t>
      </w:r>
      <w:r w:rsidR="005734AE">
        <w:t>DPFO</w:t>
      </w:r>
      <w:r w:rsidR="006771EE">
        <w:t>)</w:t>
      </w:r>
      <w:r w:rsidR="001E5459">
        <w:t xml:space="preserve"> sector for when</w:t>
      </w:r>
      <w:r w:rsidR="00EE271D">
        <w:t xml:space="preserve"> ILC </w:t>
      </w:r>
      <w:r w:rsidR="001E5459">
        <w:t>is</w:t>
      </w:r>
      <w:r w:rsidR="00EE271D">
        <w:t xml:space="preserve"> rolled out nationally.</w:t>
      </w:r>
      <w:r w:rsidR="00886CDB">
        <w:t xml:space="preserve"> </w:t>
      </w:r>
    </w:p>
    <w:p w14:paraId="66541801" w14:textId="77777777" w:rsidR="003E202F" w:rsidRDefault="003E202F" w:rsidP="00CC3C8E">
      <w:pPr>
        <w:spacing w:before="120" w:after="120" w:line="276" w:lineRule="auto"/>
        <w:rPr>
          <w:rFonts w:ascii="Arial" w:hAnsi="Arial" w:cs="Arial"/>
        </w:rPr>
      </w:pPr>
      <w:r w:rsidRPr="003E202F">
        <w:rPr>
          <w:rFonts w:ascii="Arial" w:hAnsi="Arial" w:cs="Arial"/>
        </w:rPr>
        <w:t xml:space="preserve">This grant round </w:t>
      </w:r>
      <w:r w:rsidR="00290F96">
        <w:rPr>
          <w:rFonts w:ascii="Arial" w:hAnsi="Arial" w:cs="Arial"/>
        </w:rPr>
        <w:t>is</w:t>
      </w:r>
      <w:r w:rsidRPr="003E202F">
        <w:rPr>
          <w:rFonts w:ascii="Arial" w:hAnsi="Arial" w:cs="Arial"/>
        </w:rPr>
        <w:t xml:space="preserve"> the first of a range of ILC initiatives </w:t>
      </w:r>
      <w:r w:rsidR="00886CDB">
        <w:rPr>
          <w:rFonts w:ascii="Arial" w:hAnsi="Arial" w:cs="Arial"/>
        </w:rPr>
        <w:t>over coming years</w:t>
      </w:r>
      <w:r w:rsidR="00502B97">
        <w:rPr>
          <w:rFonts w:ascii="Arial" w:hAnsi="Arial" w:cs="Arial"/>
        </w:rPr>
        <w:t>,</w:t>
      </w:r>
      <w:r w:rsidR="00886CDB">
        <w:rPr>
          <w:rFonts w:ascii="Arial" w:hAnsi="Arial" w:cs="Arial"/>
        </w:rPr>
        <w:t xml:space="preserve"> </w:t>
      </w:r>
      <w:r>
        <w:rPr>
          <w:rFonts w:ascii="Arial" w:hAnsi="Arial" w:cs="Arial"/>
        </w:rPr>
        <w:t>aim</w:t>
      </w:r>
      <w:r w:rsidR="00886CDB">
        <w:rPr>
          <w:rFonts w:ascii="Arial" w:hAnsi="Arial" w:cs="Arial"/>
        </w:rPr>
        <w:t>ed</w:t>
      </w:r>
      <w:r>
        <w:rPr>
          <w:rFonts w:ascii="Arial" w:hAnsi="Arial" w:cs="Arial"/>
        </w:rPr>
        <w:t xml:space="preserve"> at growing and strengthening the</w:t>
      </w:r>
      <w:r w:rsidRPr="003E202F">
        <w:rPr>
          <w:rFonts w:ascii="Arial" w:hAnsi="Arial" w:cs="Arial"/>
        </w:rPr>
        <w:t xml:space="preserve"> network of </w:t>
      </w:r>
      <w:r w:rsidR="00F85AB7">
        <w:t xml:space="preserve">organisations </w:t>
      </w:r>
      <w:r w:rsidR="00502B97">
        <w:t>across</w:t>
      </w:r>
      <w:r w:rsidR="00502B97" w:rsidRPr="003E202F">
        <w:rPr>
          <w:rFonts w:ascii="Arial" w:hAnsi="Arial" w:cs="Arial"/>
        </w:rPr>
        <w:t xml:space="preserve"> Australia</w:t>
      </w:r>
      <w:r w:rsidR="00502B97">
        <w:t xml:space="preserve"> </w:t>
      </w:r>
      <w:r w:rsidR="00F85AB7">
        <w:t>led by people with disability</w:t>
      </w:r>
      <w:r w:rsidR="005734AE">
        <w:t>,</w:t>
      </w:r>
      <w:r w:rsidR="00F85AB7">
        <w:t xml:space="preserve"> for people with disability</w:t>
      </w:r>
      <w:r w:rsidR="00502B97">
        <w:rPr>
          <w:rFonts w:ascii="Arial" w:hAnsi="Arial" w:cs="Arial"/>
        </w:rPr>
        <w:t>.</w:t>
      </w:r>
    </w:p>
    <w:p w14:paraId="4329D25A" w14:textId="77777777" w:rsidR="00045933" w:rsidRPr="00DF4FFA" w:rsidRDefault="00045933" w:rsidP="00CC3C8E">
      <w:pPr>
        <w:pStyle w:val="Heading2Numbered"/>
        <w:numPr>
          <w:ilvl w:val="1"/>
          <w:numId w:val="14"/>
        </w:numPr>
        <w:spacing w:line="276" w:lineRule="auto"/>
        <w:ind w:left="567"/>
        <w:contextualSpacing w:val="0"/>
      </w:pPr>
      <w:bookmarkStart w:id="8" w:name="_Toc467773952"/>
      <w:bookmarkStart w:id="9" w:name="_Toc531005160"/>
      <w:r w:rsidRPr="00141248">
        <w:t xml:space="preserve">About the </w:t>
      </w:r>
      <w:r w:rsidRPr="00045933">
        <w:t>Grant Opportunity</w:t>
      </w:r>
      <w:bookmarkEnd w:id="8"/>
      <w:r w:rsidR="002F4423">
        <w:t xml:space="preserve"> Guidelines</w:t>
      </w:r>
      <w:bookmarkEnd w:id="9"/>
    </w:p>
    <w:p w14:paraId="3677A76E" w14:textId="132D1C42" w:rsidR="00372D2A" w:rsidRDefault="00045933" w:rsidP="00CC3C8E">
      <w:pPr>
        <w:spacing w:before="0" w:after="120" w:line="276" w:lineRule="auto"/>
      </w:pPr>
      <w:bookmarkStart w:id="10" w:name="_Ref421783365"/>
      <w:r w:rsidRPr="00045933">
        <w:t xml:space="preserve">These guidelines contain information for the </w:t>
      </w:r>
      <w:r w:rsidR="006F6CA2" w:rsidRPr="0021211D">
        <w:rPr>
          <w:rStyle w:val="highlightedtextChar"/>
          <w:b w:val="0"/>
          <w:i/>
          <w:color w:val="auto"/>
        </w:rPr>
        <w:t>Disabled Peoples and Families Organisations</w:t>
      </w:r>
      <w:r w:rsidR="000565BD" w:rsidRPr="0021211D">
        <w:rPr>
          <w:rStyle w:val="highlightedtextChar"/>
          <w:b w:val="0"/>
          <w:i/>
          <w:color w:val="auto"/>
        </w:rPr>
        <w:t xml:space="preserve"> </w:t>
      </w:r>
      <w:r w:rsidR="00BA6FD8" w:rsidRPr="0021211D">
        <w:rPr>
          <w:rStyle w:val="highlightedtextChar"/>
          <w:b w:val="0"/>
          <w:i/>
          <w:color w:val="auto"/>
        </w:rPr>
        <w:t>–</w:t>
      </w:r>
      <w:r w:rsidR="006F6CA2" w:rsidRPr="0021211D">
        <w:rPr>
          <w:rStyle w:val="highlightedtextChar"/>
          <w:b w:val="0"/>
          <w:i/>
          <w:color w:val="auto"/>
        </w:rPr>
        <w:t xml:space="preserve"> </w:t>
      </w:r>
      <w:r w:rsidR="00BA6FD8" w:rsidRPr="0021211D">
        <w:rPr>
          <w:rStyle w:val="highlightedtextChar"/>
          <w:b w:val="0"/>
          <w:i/>
          <w:color w:val="auto"/>
        </w:rPr>
        <w:t xml:space="preserve">ILC </w:t>
      </w:r>
      <w:r w:rsidR="006F6CA2" w:rsidRPr="0021211D">
        <w:rPr>
          <w:rStyle w:val="highlightedtextChar"/>
          <w:b w:val="0"/>
          <w:i/>
          <w:color w:val="auto"/>
        </w:rPr>
        <w:t xml:space="preserve">Readiness </w:t>
      </w:r>
      <w:r w:rsidR="001E5459" w:rsidRPr="0021211D">
        <w:rPr>
          <w:i/>
        </w:rPr>
        <w:t>G</w:t>
      </w:r>
      <w:r w:rsidRPr="0021211D">
        <w:rPr>
          <w:i/>
        </w:rPr>
        <w:t>rant</w:t>
      </w:r>
      <w:r w:rsidR="001E5459" w:rsidRPr="0021211D">
        <w:rPr>
          <w:i/>
        </w:rPr>
        <w:t xml:space="preserve"> R</w:t>
      </w:r>
      <w:r w:rsidR="006F6CA2" w:rsidRPr="0021211D">
        <w:rPr>
          <w:i/>
        </w:rPr>
        <w:t>ound</w:t>
      </w:r>
      <w:r w:rsidR="00445418" w:rsidRPr="0021211D">
        <w:rPr>
          <w:i/>
        </w:rPr>
        <w:t xml:space="preserve"> 2018-19</w:t>
      </w:r>
      <w:r w:rsidR="00C31FEE">
        <w:t xml:space="preserve"> (the grant </w:t>
      </w:r>
      <w:r w:rsidR="006777B5">
        <w:t>round</w:t>
      </w:r>
      <w:r w:rsidR="00C31FEE">
        <w:t>)</w:t>
      </w:r>
      <w:r w:rsidRPr="00045933">
        <w:t xml:space="preserve">. </w:t>
      </w:r>
      <w:r w:rsidR="00372D2A" w:rsidRPr="00372D2A">
        <w:t xml:space="preserve">This grant opportunity is </w:t>
      </w:r>
      <w:r w:rsidR="00517B9D">
        <w:t xml:space="preserve">an </w:t>
      </w:r>
      <w:r w:rsidR="00E70568">
        <w:t>open</w:t>
      </w:r>
      <w:r w:rsidR="00E70568" w:rsidRPr="00372D2A">
        <w:t xml:space="preserve"> </w:t>
      </w:r>
      <w:r w:rsidR="002A1FC0">
        <w:t>non-</w:t>
      </w:r>
      <w:r w:rsidR="00E70568" w:rsidRPr="00372D2A">
        <w:t>competitive</w:t>
      </w:r>
      <w:r w:rsidR="00372D2A" w:rsidRPr="00372D2A">
        <w:t xml:space="preserve"> selection process, </w:t>
      </w:r>
      <w:r w:rsidR="00517B9D">
        <w:t>with specific eligibility criteria</w:t>
      </w:r>
      <w:r w:rsidR="00E70568">
        <w:t xml:space="preserve"> </w:t>
      </w:r>
      <w:r w:rsidR="00C7765E">
        <w:t>targeted at</w:t>
      </w:r>
      <w:r w:rsidR="00517B9D">
        <w:t xml:space="preserve"> </w:t>
      </w:r>
      <w:r w:rsidR="00372D2A" w:rsidRPr="00372D2A">
        <w:t>DPFOs</w:t>
      </w:r>
      <w:r w:rsidR="002A1FC0">
        <w:t>,</w:t>
      </w:r>
      <w:r w:rsidR="00517B9D">
        <w:t xml:space="preserve"> and organisations le</w:t>
      </w:r>
      <w:r w:rsidR="00A83D21">
        <w:t>d by ILC Priority cohort groups</w:t>
      </w:r>
      <w:r w:rsidR="00372D2A" w:rsidRPr="00372D2A">
        <w:t>.</w:t>
      </w:r>
    </w:p>
    <w:p w14:paraId="275EED8C" w14:textId="77777777" w:rsidR="00045933" w:rsidRPr="00045933" w:rsidRDefault="00B51177" w:rsidP="00CC3C8E">
      <w:pPr>
        <w:spacing w:before="0" w:after="120" w:line="276" w:lineRule="auto"/>
      </w:pPr>
      <w:r>
        <w:rPr>
          <w:rFonts w:asciiTheme="majorHAnsi" w:hAnsiTheme="majorHAnsi" w:cstheme="majorHAnsi"/>
        </w:rPr>
        <w:t>Applicants</w:t>
      </w:r>
      <w:r w:rsidR="00CE0F11" w:rsidRPr="00045933">
        <w:rPr>
          <w:rFonts w:asciiTheme="majorHAnsi" w:hAnsiTheme="majorHAnsi" w:cstheme="majorHAnsi"/>
        </w:rPr>
        <w:t xml:space="preserve"> </w:t>
      </w:r>
      <w:r w:rsidR="00CE0F11" w:rsidRPr="00E460B1">
        <w:rPr>
          <w:rFonts w:asciiTheme="majorHAnsi" w:hAnsiTheme="majorHAnsi" w:cstheme="majorHAnsi"/>
          <w:b/>
        </w:rPr>
        <w:t>must</w:t>
      </w:r>
      <w:r w:rsidR="00CE0F11" w:rsidRPr="00045933">
        <w:rPr>
          <w:rFonts w:asciiTheme="majorHAnsi" w:hAnsiTheme="majorHAnsi" w:cstheme="majorHAnsi"/>
        </w:rPr>
        <w:t xml:space="preserve"> read this document before filling out an application</w:t>
      </w:r>
      <w:r w:rsidR="00CE0F11">
        <w:rPr>
          <w:b/>
        </w:rPr>
        <w:t xml:space="preserve">. </w:t>
      </w:r>
      <w:r>
        <w:t>Applicants</w:t>
      </w:r>
      <w:r w:rsidR="00CE0F11" w:rsidRPr="00CA5F3B">
        <w:rPr>
          <w:b/>
        </w:rPr>
        <w:t xml:space="preserve"> should </w:t>
      </w:r>
      <w:r w:rsidR="00EB401F" w:rsidRPr="00E460B1">
        <w:t>also</w:t>
      </w:r>
      <w:r w:rsidR="00CE0F11" w:rsidRPr="00E460B1">
        <w:t xml:space="preserve"> read</w:t>
      </w:r>
      <w:r w:rsidR="00CE0F11" w:rsidRPr="00CA5F3B">
        <w:t xml:space="preserve"> the ILC Policy and familiarise </w:t>
      </w:r>
      <w:r>
        <w:t>themselves</w:t>
      </w:r>
      <w:r w:rsidR="00CE0F11" w:rsidRPr="00CA5F3B">
        <w:t xml:space="preserve"> with the ILC Outcomes Framework (Discussion Starter), which can be found at</w:t>
      </w:r>
      <w:r w:rsidR="00314292">
        <w:t xml:space="preserve"> the</w:t>
      </w:r>
      <w:r w:rsidR="00BA6FD8">
        <w:t xml:space="preserve"> </w:t>
      </w:r>
      <w:hyperlink r:id="rId11" w:history="1">
        <w:r w:rsidR="00CE0F11" w:rsidRPr="00CA5F3B">
          <w:rPr>
            <w:rStyle w:val="Hyperlink"/>
            <w:rFonts w:cstheme="minorBidi"/>
          </w:rPr>
          <w:t>ILC Toolkit</w:t>
        </w:r>
      </w:hyperlink>
      <w:r w:rsidR="00BA6FD8">
        <w:t xml:space="preserve"> (www.ilctoolkit.ndis.gov.au)</w:t>
      </w:r>
      <w:r w:rsidR="00E70568">
        <w:t>.</w:t>
      </w:r>
    </w:p>
    <w:p w14:paraId="7FCBCB61" w14:textId="77777777" w:rsidR="00045933" w:rsidRPr="00045933" w:rsidRDefault="00045933" w:rsidP="00300D06">
      <w:pPr>
        <w:spacing w:line="276" w:lineRule="auto"/>
        <w:rPr>
          <w:rFonts w:asciiTheme="majorHAnsi" w:hAnsiTheme="majorHAnsi" w:cstheme="majorHAnsi"/>
        </w:rPr>
      </w:pPr>
      <w:r w:rsidRPr="00045933">
        <w:rPr>
          <w:rFonts w:asciiTheme="majorHAnsi" w:hAnsiTheme="majorHAnsi" w:cstheme="majorHAnsi"/>
        </w:rPr>
        <w:t>This document sets out:</w:t>
      </w:r>
    </w:p>
    <w:p w14:paraId="484638EE" w14:textId="77777777" w:rsidR="00045933" w:rsidRPr="000A271A" w:rsidRDefault="00E460B1" w:rsidP="00CC3C8E">
      <w:pPr>
        <w:pStyle w:val="Bullet1"/>
        <w:spacing w:before="0" w:after="120" w:line="276" w:lineRule="auto"/>
      </w:pPr>
      <w:r>
        <w:t>T</w:t>
      </w:r>
      <w:r w:rsidR="00045933" w:rsidRPr="000A271A">
        <w:t xml:space="preserve">he purpose of the grant </w:t>
      </w:r>
      <w:r w:rsidR="006777B5">
        <w:t>round</w:t>
      </w:r>
      <w:r w:rsidR="00C31FEE">
        <w:t>;</w:t>
      </w:r>
    </w:p>
    <w:p w14:paraId="4902E37E" w14:textId="77777777" w:rsidR="00045933" w:rsidRPr="000A271A" w:rsidRDefault="00E460B1" w:rsidP="00CC3C8E">
      <w:pPr>
        <w:pStyle w:val="Bullet1"/>
        <w:spacing w:before="0" w:after="120" w:line="276" w:lineRule="auto"/>
      </w:pPr>
      <w:r>
        <w:t>C</w:t>
      </w:r>
      <w:r w:rsidR="00A31308">
        <w:t>riteria for eligibility, assessment and selection</w:t>
      </w:r>
      <w:r w:rsidR="00C31FEE">
        <w:t>;</w:t>
      </w:r>
    </w:p>
    <w:p w14:paraId="0EDE3B3C" w14:textId="77777777" w:rsidR="00045933" w:rsidRPr="000A271A" w:rsidRDefault="00E460B1" w:rsidP="00CC3C8E">
      <w:pPr>
        <w:pStyle w:val="Bullet1"/>
        <w:spacing w:before="0" w:after="120" w:line="276" w:lineRule="auto"/>
      </w:pPr>
      <w:r>
        <w:t>H</w:t>
      </w:r>
      <w:r w:rsidR="00045933" w:rsidRPr="000A271A">
        <w:t xml:space="preserve">ow grant applications are </w:t>
      </w:r>
      <w:r w:rsidR="00566242">
        <w:t>checked</w:t>
      </w:r>
      <w:r w:rsidR="00045933" w:rsidRPr="000A271A">
        <w:t xml:space="preserve"> and </w:t>
      </w:r>
      <w:r w:rsidR="00566242">
        <w:t>assessed</w:t>
      </w:r>
      <w:r w:rsidR="00C31FEE">
        <w:t>; and</w:t>
      </w:r>
    </w:p>
    <w:p w14:paraId="7E9313D5" w14:textId="77777777" w:rsidR="00045933" w:rsidRDefault="00E460B1" w:rsidP="00CC3C8E">
      <w:pPr>
        <w:pStyle w:val="Bullet1"/>
        <w:spacing w:before="0" w:after="120" w:line="276" w:lineRule="auto"/>
      </w:pPr>
      <w:r>
        <w:t>R</w:t>
      </w:r>
      <w:r w:rsidR="00045933" w:rsidRPr="000A271A">
        <w:t xml:space="preserve">esponsibilities and expectations in relation to the </w:t>
      </w:r>
      <w:r w:rsidR="001E5459">
        <w:t xml:space="preserve">grant </w:t>
      </w:r>
      <w:r w:rsidR="00216EC4">
        <w:t>round</w:t>
      </w:r>
      <w:r w:rsidR="00045933" w:rsidRPr="000A271A">
        <w:t xml:space="preserve">. </w:t>
      </w:r>
    </w:p>
    <w:p w14:paraId="6B6CC491" w14:textId="44A1BD15" w:rsidR="00BF581B" w:rsidRDefault="00BF581B" w:rsidP="00CC3C8E">
      <w:pPr>
        <w:pStyle w:val="Bullet1"/>
        <w:numPr>
          <w:ilvl w:val="0"/>
          <w:numId w:val="0"/>
        </w:numPr>
        <w:spacing w:before="180" w:after="120" w:line="276" w:lineRule="auto"/>
      </w:pPr>
      <w:r w:rsidRPr="005734AE">
        <w:t>An Easy English version of the</w:t>
      </w:r>
      <w:r w:rsidR="001E5459" w:rsidRPr="005734AE">
        <w:t>se</w:t>
      </w:r>
      <w:r w:rsidRPr="005734AE">
        <w:t xml:space="preserve"> Grant Opportunity Guidelines </w:t>
      </w:r>
      <w:r w:rsidR="0004691D">
        <w:t>will be</w:t>
      </w:r>
      <w:r w:rsidR="00314292">
        <w:t xml:space="preserve"> </w:t>
      </w:r>
      <w:r w:rsidRPr="005734AE">
        <w:t>available on the Community Grants Hub website.</w:t>
      </w:r>
    </w:p>
    <w:p w14:paraId="46BDE7FC" w14:textId="77777777" w:rsidR="004B6280" w:rsidRDefault="001E5459" w:rsidP="00CC3C8E">
      <w:pPr>
        <w:pStyle w:val="Bullet1"/>
        <w:numPr>
          <w:ilvl w:val="0"/>
          <w:numId w:val="0"/>
        </w:numPr>
        <w:spacing w:before="180" w:after="120" w:line="276" w:lineRule="auto"/>
      </w:pPr>
      <w:r>
        <w:lastRenderedPageBreak/>
        <w:t>Th</w:t>
      </w:r>
      <w:r w:rsidR="00C57FB5">
        <w:t xml:space="preserve">is grant </w:t>
      </w:r>
      <w:r w:rsidR="00E460B1">
        <w:t>round</w:t>
      </w:r>
      <w:r w:rsidR="004B6280" w:rsidRPr="00045933">
        <w:t xml:space="preserve"> will be undertaken </w:t>
      </w:r>
      <w:r w:rsidR="001D685D">
        <w:t>in accordance with</w:t>
      </w:r>
      <w:r w:rsidR="001D685D" w:rsidRPr="00045933">
        <w:t xml:space="preserve"> </w:t>
      </w:r>
      <w:r w:rsidR="004B6280" w:rsidRPr="00045933">
        <w:t>the</w:t>
      </w:r>
      <w:r w:rsidR="00C57FB5">
        <w:t xml:space="preserve"> </w:t>
      </w:r>
      <w:r w:rsidR="004B6280" w:rsidRPr="00045933">
        <w:t>Commonwealth Grants Rules and Guidelines</w:t>
      </w:r>
      <w:r w:rsidR="004B6280">
        <w:t xml:space="preserve"> </w:t>
      </w:r>
      <w:r w:rsidR="004B6280" w:rsidRPr="00045933">
        <w:t>(</w:t>
      </w:r>
      <w:hyperlink r:id="rId12" w:history="1">
        <w:r w:rsidR="004B6280" w:rsidRPr="004B6280">
          <w:t>CGRGs</w:t>
        </w:r>
      </w:hyperlink>
      <w:r w:rsidR="00E460B1">
        <w:t>)</w:t>
      </w:r>
      <w:r w:rsidR="004B6280">
        <w:t>.</w:t>
      </w:r>
    </w:p>
    <w:p w14:paraId="7E798B61" w14:textId="77777777" w:rsidR="002F4423" w:rsidRPr="000F576B" w:rsidRDefault="002F4423" w:rsidP="00CC3C8E">
      <w:pPr>
        <w:pStyle w:val="Heading2Numbered"/>
        <w:numPr>
          <w:ilvl w:val="1"/>
          <w:numId w:val="14"/>
        </w:numPr>
        <w:spacing w:line="276" w:lineRule="auto"/>
        <w:ind w:left="567"/>
        <w:contextualSpacing w:val="0"/>
      </w:pPr>
      <w:bookmarkStart w:id="11" w:name="_Toc531005161"/>
      <w:r w:rsidRPr="00141248">
        <w:t>About the</w:t>
      </w:r>
      <w:r>
        <w:t xml:space="preserve"> </w:t>
      </w:r>
      <w:r w:rsidR="006C07BB">
        <w:t>grant o</w:t>
      </w:r>
      <w:r w:rsidRPr="00045933">
        <w:t>pportunity</w:t>
      </w:r>
      <w:bookmarkEnd w:id="11"/>
      <w:r>
        <w:t xml:space="preserve"> </w:t>
      </w:r>
    </w:p>
    <w:p w14:paraId="17E50A77" w14:textId="77777777" w:rsidR="00CE0F11" w:rsidRPr="003E202F" w:rsidRDefault="004570DB" w:rsidP="00CC3C8E">
      <w:pPr>
        <w:spacing w:before="0" w:after="120" w:line="276" w:lineRule="auto"/>
        <w:rPr>
          <w:rFonts w:ascii="Arial" w:hAnsi="Arial" w:cs="Arial"/>
        </w:rPr>
      </w:pPr>
      <w:r w:rsidRPr="00372D2A">
        <w:rPr>
          <w:rFonts w:ascii="Arial" w:hAnsi="Arial" w:cs="Arial"/>
        </w:rPr>
        <w:t>Th</w:t>
      </w:r>
      <w:r>
        <w:rPr>
          <w:rFonts w:ascii="Arial" w:hAnsi="Arial" w:cs="Arial"/>
        </w:rPr>
        <w:t>e</w:t>
      </w:r>
      <w:r w:rsidRPr="00372D2A">
        <w:rPr>
          <w:rFonts w:ascii="Arial" w:hAnsi="Arial" w:cs="Arial"/>
        </w:rPr>
        <w:t xml:space="preserve"> </w:t>
      </w:r>
      <w:r w:rsidR="00372D2A" w:rsidRPr="00372D2A">
        <w:rPr>
          <w:rFonts w:ascii="Arial" w:hAnsi="Arial" w:cs="Arial"/>
        </w:rPr>
        <w:t xml:space="preserve">objective of this ILC </w:t>
      </w:r>
      <w:r w:rsidR="00E460B1">
        <w:rPr>
          <w:rFonts w:ascii="Arial" w:hAnsi="Arial" w:cs="Arial"/>
        </w:rPr>
        <w:t>grant</w:t>
      </w:r>
      <w:r w:rsidR="00372D2A">
        <w:rPr>
          <w:rFonts w:ascii="Arial" w:hAnsi="Arial" w:cs="Arial"/>
        </w:rPr>
        <w:t xml:space="preserve"> </w:t>
      </w:r>
      <w:r w:rsidR="006777B5">
        <w:rPr>
          <w:rFonts w:ascii="Arial" w:hAnsi="Arial" w:cs="Arial"/>
        </w:rPr>
        <w:t xml:space="preserve">round is </w:t>
      </w:r>
      <w:r w:rsidR="00CE0F11">
        <w:rPr>
          <w:rFonts w:ascii="Arial" w:hAnsi="Arial" w:cs="Arial"/>
        </w:rPr>
        <w:t xml:space="preserve">to </w:t>
      </w:r>
      <w:r w:rsidR="00CE0F11" w:rsidRPr="003E202F">
        <w:rPr>
          <w:rFonts w:ascii="Arial" w:hAnsi="Arial" w:cs="Arial"/>
        </w:rPr>
        <w:t xml:space="preserve">strengthen and build the </w:t>
      </w:r>
      <w:r w:rsidR="00B24D41">
        <w:rPr>
          <w:rFonts w:ascii="Arial" w:hAnsi="Arial" w:cs="Arial"/>
        </w:rPr>
        <w:t xml:space="preserve">organisational </w:t>
      </w:r>
      <w:r w:rsidR="00CE0F11" w:rsidRPr="003E202F">
        <w:rPr>
          <w:rFonts w:ascii="Arial" w:hAnsi="Arial" w:cs="Arial"/>
        </w:rPr>
        <w:t xml:space="preserve">capacity of DPFOs across Australia and to </w:t>
      </w:r>
      <w:r w:rsidR="0085694B">
        <w:rPr>
          <w:rFonts w:ascii="Arial" w:hAnsi="Arial" w:cs="Arial"/>
        </w:rPr>
        <w:t>deliver</w:t>
      </w:r>
      <w:r w:rsidR="00CE0F11">
        <w:rPr>
          <w:rFonts w:ascii="Arial" w:hAnsi="Arial" w:cs="Arial"/>
        </w:rPr>
        <w:t xml:space="preserve"> </w:t>
      </w:r>
      <w:r w:rsidR="00CE0F11" w:rsidRPr="003E202F">
        <w:rPr>
          <w:rFonts w:ascii="Arial" w:hAnsi="Arial" w:cs="Arial"/>
        </w:rPr>
        <w:t>individual capacity building</w:t>
      </w:r>
      <w:r w:rsidR="0085694B">
        <w:rPr>
          <w:rFonts w:ascii="Arial" w:hAnsi="Arial" w:cs="Arial"/>
        </w:rPr>
        <w:t xml:space="preserve"> activities for people with disability.</w:t>
      </w:r>
    </w:p>
    <w:p w14:paraId="48CF4561" w14:textId="758AE07F" w:rsidR="00A31308" w:rsidRDefault="008125A9" w:rsidP="00CC3C8E">
      <w:pPr>
        <w:pStyle w:val="Bullet1"/>
        <w:numPr>
          <w:ilvl w:val="0"/>
          <w:numId w:val="0"/>
        </w:numPr>
        <w:spacing w:before="180" w:after="120" w:line="276" w:lineRule="auto"/>
      </w:pPr>
      <w:r>
        <w:t>T</w:t>
      </w:r>
      <w:r w:rsidR="00E70568">
        <w:t>his grant round is</w:t>
      </w:r>
      <w:r w:rsidR="002C76A9">
        <w:t xml:space="preserve"> </w:t>
      </w:r>
      <w:r w:rsidR="00517B9D">
        <w:t>an open</w:t>
      </w:r>
      <w:r w:rsidR="00A83D21">
        <w:t>,</w:t>
      </w:r>
      <w:r w:rsidR="00517B9D">
        <w:t xml:space="preserve"> </w:t>
      </w:r>
      <w:r w:rsidR="002C76A9">
        <w:t>non-</w:t>
      </w:r>
      <w:r w:rsidR="006C07BB" w:rsidRPr="00A31308">
        <w:t>competitive round</w:t>
      </w:r>
      <w:r w:rsidR="00E70568">
        <w:t xml:space="preserve">, </w:t>
      </w:r>
      <w:r w:rsidR="00C7765E">
        <w:t>which targets</w:t>
      </w:r>
      <w:r w:rsidR="00E70568" w:rsidRPr="00372D2A">
        <w:t xml:space="preserve"> DPFOs</w:t>
      </w:r>
      <w:r w:rsidR="00E70568">
        <w:t xml:space="preserve"> and organisations led by ILC Priority cohorts</w:t>
      </w:r>
      <w:r w:rsidR="00A83D21">
        <w:t>.</w:t>
      </w:r>
    </w:p>
    <w:p w14:paraId="52A58563" w14:textId="77777777" w:rsidR="00576845" w:rsidRDefault="00576845" w:rsidP="00300D06">
      <w:pPr>
        <w:pStyle w:val="Bullet1"/>
        <w:numPr>
          <w:ilvl w:val="0"/>
          <w:numId w:val="0"/>
        </w:numPr>
        <w:spacing w:before="180" w:line="276" w:lineRule="auto"/>
      </w:pPr>
      <w:r>
        <w:t xml:space="preserve">The grant round invites </w:t>
      </w:r>
      <w:r w:rsidR="00E26329">
        <w:t>applications</w:t>
      </w:r>
      <w:r>
        <w:t xml:space="preserve"> </w:t>
      </w:r>
      <w:r w:rsidRPr="00E70568">
        <w:rPr>
          <w:u w:val="single"/>
        </w:rPr>
        <w:t>that contain two components</w:t>
      </w:r>
      <w:r>
        <w:t>:</w:t>
      </w:r>
    </w:p>
    <w:p w14:paraId="32FAF710" w14:textId="77777777" w:rsidR="00576845" w:rsidRDefault="00576845" w:rsidP="00300D06">
      <w:pPr>
        <w:pStyle w:val="Bullet1"/>
        <w:numPr>
          <w:ilvl w:val="0"/>
          <w:numId w:val="0"/>
        </w:numPr>
        <w:spacing w:before="0" w:after="120" w:line="276" w:lineRule="auto"/>
        <w:ind w:left="720"/>
      </w:pPr>
      <w:r w:rsidRPr="00576845">
        <w:rPr>
          <w:b/>
        </w:rPr>
        <w:t>Component 1:</w:t>
      </w:r>
      <w:r w:rsidRPr="00A31308">
        <w:t xml:space="preserve"> Organisational Capacity Building</w:t>
      </w:r>
      <w:r>
        <w:t xml:space="preserve">, which are activities that build the organisational capacity (refer to sections 4.1 for further information), </w:t>
      </w:r>
      <w:r w:rsidRPr="00576845">
        <w:t>and</w:t>
      </w:r>
      <w:r>
        <w:t xml:space="preserve"> </w:t>
      </w:r>
    </w:p>
    <w:p w14:paraId="60E50152" w14:textId="77777777" w:rsidR="00576845" w:rsidRDefault="00576845" w:rsidP="00300D06">
      <w:pPr>
        <w:pStyle w:val="Bullet1"/>
        <w:numPr>
          <w:ilvl w:val="0"/>
          <w:numId w:val="0"/>
        </w:numPr>
        <w:spacing w:before="180" w:line="276" w:lineRule="auto"/>
        <w:ind w:left="720"/>
      </w:pPr>
      <w:r w:rsidRPr="00576845">
        <w:rPr>
          <w:b/>
        </w:rPr>
        <w:t>Component 2:</w:t>
      </w:r>
      <w:r>
        <w:t xml:space="preserve"> Individual Capacity Building, which are activities that build the capacity of people with disability </w:t>
      </w:r>
      <w:r w:rsidRPr="008125A9">
        <w:t>(</w:t>
      </w:r>
      <w:r>
        <w:t xml:space="preserve">refer to sections </w:t>
      </w:r>
      <w:r w:rsidRPr="008125A9">
        <w:t>4.2</w:t>
      </w:r>
      <w:r>
        <w:t xml:space="preserve"> for further information</w:t>
      </w:r>
      <w:r w:rsidRPr="008125A9">
        <w:t>).</w:t>
      </w:r>
    </w:p>
    <w:p w14:paraId="4C707ED4" w14:textId="77777777" w:rsidR="004B6280" w:rsidRDefault="00C2123E" w:rsidP="00300D06">
      <w:pPr>
        <w:pStyle w:val="Bullet1"/>
        <w:numPr>
          <w:ilvl w:val="0"/>
          <w:numId w:val="0"/>
        </w:numPr>
        <w:spacing w:before="0" w:after="120" w:line="276" w:lineRule="auto"/>
        <w:ind w:left="720"/>
      </w:pPr>
      <w:r>
        <w:t xml:space="preserve">Individual </w:t>
      </w:r>
      <w:r w:rsidR="003A6BAB">
        <w:t xml:space="preserve">capacity building </w:t>
      </w:r>
      <w:r>
        <w:t xml:space="preserve">activities that feature </w:t>
      </w:r>
      <w:r w:rsidR="00864275">
        <w:t>peer</w:t>
      </w:r>
      <w:r w:rsidR="004570DB" w:rsidDel="004570DB">
        <w:t xml:space="preserve"> </w:t>
      </w:r>
      <w:r w:rsidR="00864275">
        <w:t>support</w:t>
      </w:r>
      <w:r w:rsidR="00300D06">
        <w:t xml:space="preserve"> </w:t>
      </w:r>
      <w:r w:rsidR="00631BC1">
        <w:t xml:space="preserve">are </w:t>
      </w:r>
      <w:r w:rsidR="006C0184">
        <w:t>encouraged</w:t>
      </w:r>
      <w:r w:rsidR="00631BC1">
        <w:t xml:space="preserve">, however </w:t>
      </w:r>
      <w:r w:rsidR="00864275">
        <w:t xml:space="preserve">other </w:t>
      </w:r>
      <w:r w:rsidR="003A6BAB">
        <w:t>i</w:t>
      </w:r>
      <w:r w:rsidR="00864275">
        <w:t>ndividu</w:t>
      </w:r>
      <w:r w:rsidR="00631BC1">
        <w:t xml:space="preserve">al </w:t>
      </w:r>
      <w:r w:rsidR="003A6BAB">
        <w:t xml:space="preserve">capacity building </w:t>
      </w:r>
      <w:r w:rsidR="00631BC1">
        <w:t xml:space="preserve">activities </w:t>
      </w:r>
      <w:r>
        <w:t>are also eligible.</w:t>
      </w:r>
    </w:p>
    <w:p w14:paraId="12BE7544" w14:textId="288E9A3D" w:rsidR="00C7765E" w:rsidRPr="00A83D21" w:rsidRDefault="00C7765E" w:rsidP="0021211D">
      <w:pPr>
        <w:pStyle w:val="Bullet1"/>
        <w:numPr>
          <w:ilvl w:val="0"/>
          <w:numId w:val="0"/>
        </w:numPr>
        <w:spacing w:before="0" w:after="120" w:line="276" w:lineRule="auto"/>
        <w:rPr>
          <w:b/>
        </w:rPr>
      </w:pPr>
      <w:r w:rsidRPr="00A83D21">
        <w:rPr>
          <w:b/>
        </w:rPr>
        <w:t xml:space="preserve">Organisations which meet the criteria of DPFOs must apply for both Component 1 </w:t>
      </w:r>
      <w:r w:rsidR="000D26B2" w:rsidRPr="00A83D21">
        <w:rPr>
          <w:b/>
        </w:rPr>
        <w:t>and</w:t>
      </w:r>
      <w:r w:rsidRPr="00A83D21">
        <w:rPr>
          <w:b/>
        </w:rPr>
        <w:t xml:space="preserve"> 2, and non-DPFO organisations led by ILC Priority cohorts can only apply for Component 2.</w:t>
      </w:r>
    </w:p>
    <w:p w14:paraId="2FA57AE9" w14:textId="77777777" w:rsidR="00B73656" w:rsidRDefault="00B73656" w:rsidP="00CC3C8E">
      <w:pPr>
        <w:pStyle w:val="highlightedtext"/>
        <w:pBdr>
          <w:top w:val="none" w:sz="0" w:space="0" w:color="auto"/>
          <w:left w:val="none" w:sz="0" w:space="0" w:color="auto"/>
          <w:bottom w:val="none" w:sz="0" w:space="0" w:color="auto"/>
          <w:right w:val="none" w:sz="0" w:space="0" w:color="auto"/>
        </w:pBdr>
        <w:spacing w:after="120" w:line="276" w:lineRule="auto"/>
        <w:jc w:val="left"/>
        <w:rPr>
          <w:rFonts w:ascii="Arial" w:eastAsia="Times New Roman" w:hAnsi="Arial" w:cs="Arial"/>
          <w:b w:val="0"/>
          <w:color w:val="auto"/>
        </w:rPr>
      </w:pPr>
      <w:r w:rsidRPr="00B73656">
        <w:rPr>
          <w:rFonts w:ascii="Arial" w:eastAsia="Times New Roman" w:hAnsi="Arial" w:cs="Arial"/>
          <w:b w:val="0"/>
          <w:color w:val="auto"/>
        </w:rPr>
        <w:t>This is a na</w:t>
      </w:r>
      <w:r w:rsidR="00631BC1">
        <w:rPr>
          <w:rFonts w:ascii="Arial" w:eastAsia="Times New Roman" w:hAnsi="Arial" w:cs="Arial"/>
          <w:b w:val="0"/>
          <w:color w:val="auto"/>
        </w:rPr>
        <w:t>tional grant round. A</w:t>
      </w:r>
      <w:r w:rsidRPr="00B73656">
        <w:rPr>
          <w:rFonts w:ascii="Arial" w:eastAsia="Times New Roman" w:hAnsi="Arial" w:cs="Arial"/>
          <w:b w:val="0"/>
          <w:color w:val="auto"/>
        </w:rPr>
        <w:t xml:space="preserve">pplicants can </w:t>
      </w:r>
      <w:r w:rsidR="005734AE">
        <w:rPr>
          <w:rFonts w:ascii="Arial" w:eastAsia="Times New Roman" w:hAnsi="Arial" w:cs="Arial"/>
          <w:b w:val="0"/>
          <w:color w:val="auto"/>
        </w:rPr>
        <w:t>submit</w:t>
      </w:r>
      <w:r w:rsidR="00631BC1">
        <w:rPr>
          <w:rFonts w:ascii="Arial" w:eastAsia="Times New Roman" w:hAnsi="Arial" w:cs="Arial"/>
          <w:b w:val="0"/>
          <w:color w:val="auto"/>
        </w:rPr>
        <w:t xml:space="preserve"> </w:t>
      </w:r>
      <w:r w:rsidR="00E26329">
        <w:rPr>
          <w:rFonts w:ascii="Arial" w:eastAsia="Times New Roman" w:hAnsi="Arial" w:cs="Arial"/>
          <w:b w:val="0"/>
          <w:color w:val="auto"/>
        </w:rPr>
        <w:t>applications</w:t>
      </w:r>
      <w:r w:rsidR="00631BC1">
        <w:rPr>
          <w:rFonts w:ascii="Arial" w:eastAsia="Times New Roman" w:hAnsi="Arial" w:cs="Arial"/>
          <w:b w:val="0"/>
          <w:color w:val="auto"/>
        </w:rPr>
        <w:t xml:space="preserve"> that are national</w:t>
      </w:r>
      <w:r w:rsidR="00A94970">
        <w:rPr>
          <w:rFonts w:ascii="Arial" w:eastAsia="Times New Roman" w:hAnsi="Arial" w:cs="Arial"/>
          <w:b w:val="0"/>
          <w:color w:val="auto"/>
        </w:rPr>
        <w:t>,</w:t>
      </w:r>
      <w:r w:rsidR="002F4423">
        <w:rPr>
          <w:rFonts w:ascii="Arial" w:eastAsia="Times New Roman" w:hAnsi="Arial" w:cs="Arial"/>
          <w:b w:val="0"/>
          <w:color w:val="auto"/>
        </w:rPr>
        <w:t xml:space="preserve"> state-based or</w:t>
      </w:r>
      <w:r w:rsidRPr="00B73656">
        <w:rPr>
          <w:rFonts w:ascii="Arial" w:eastAsia="Times New Roman" w:hAnsi="Arial" w:cs="Arial"/>
          <w:b w:val="0"/>
          <w:color w:val="auto"/>
        </w:rPr>
        <w:t xml:space="preserve"> across </w:t>
      </w:r>
      <w:r w:rsidR="00006537">
        <w:rPr>
          <w:rFonts w:ascii="Arial" w:eastAsia="Times New Roman" w:hAnsi="Arial" w:cs="Arial"/>
          <w:b w:val="0"/>
          <w:color w:val="auto"/>
        </w:rPr>
        <w:t>multiple</w:t>
      </w:r>
      <w:r w:rsidRPr="00B73656">
        <w:rPr>
          <w:rFonts w:ascii="Arial" w:eastAsia="Times New Roman" w:hAnsi="Arial" w:cs="Arial"/>
          <w:b w:val="0"/>
          <w:color w:val="auto"/>
        </w:rPr>
        <w:t xml:space="preserve"> jurisd</w:t>
      </w:r>
      <w:r w:rsidR="00CA5F3B">
        <w:rPr>
          <w:rFonts w:ascii="Arial" w:eastAsia="Times New Roman" w:hAnsi="Arial" w:cs="Arial"/>
          <w:b w:val="0"/>
          <w:color w:val="auto"/>
        </w:rPr>
        <w:t xml:space="preserve">ictions. </w:t>
      </w:r>
      <w:r w:rsidR="00006537">
        <w:rPr>
          <w:rFonts w:ascii="Arial" w:eastAsia="Times New Roman" w:hAnsi="Arial" w:cs="Arial"/>
          <w:b w:val="0"/>
          <w:color w:val="auto"/>
        </w:rPr>
        <w:t>A</w:t>
      </w:r>
      <w:r w:rsidR="00631BC1">
        <w:rPr>
          <w:rFonts w:ascii="Arial" w:eastAsia="Times New Roman" w:hAnsi="Arial" w:cs="Arial"/>
          <w:b w:val="0"/>
          <w:color w:val="auto"/>
        </w:rPr>
        <w:t>pplicant</w:t>
      </w:r>
      <w:r w:rsidR="00006537">
        <w:rPr>
          <w:rFonts w:ascii="Arial" w:eastAsia="Times New Roman" w:hAnsi="Arial" w:cs="Arial"/>
          <w:b w:val="0"/>
          <w:color w:val="auto"/>
        </w:rPr>
        <w:t>s</w:t>
      </w:r>
      <w:r w:rsidR="00631BC1">
        <w:rPr>
          <w:rFonts w:ascii="Arial" w:eastAsia="Times New Roman" w:hAnsi="Arial" w:cs="Arial"/>
          <w:b w:val="0"/>
          <w:color w:val="auto"/>
        </w:rPr>
        <w:t xml:space="preserve"> </w:t>
      </w:r>
      <w:r w:rsidR="00CA5F3B">
        <w:rPr>
          <w:rFonts w:ascii="Arial" w:eastAsia="Times New Roman" w:hAnsi="Arial" w:cs="Arial"/>
          <w:b w:val="0"/>
          <w:color w:val="auto"/>
        </w:rPr>
        <w:t xml:space="preserve">do not need to be </w:t>
      </w:r>
      <w:r w:rsidRPr="00B73656">
        <w:rPr>
          <w:rFonts w:ascii="Arial" w:eastAsia="Times New Roman" w:hAnsi="Arial" w:cs="Arial"/>
          <w:b w:val="0"/>
          <w:color w:val="auto"/>
        </w:rPr>
        <w:t xml:space="preserve">sited within a jurisdiction to be eligible to apply for delivery of activities </w:t>
      </w:r>
      <w:r w:rsidR="00CA5F3B">
        <w:rPr>
          <w:rFonts w:ascii="Arial" w:eastAsia="Times New Roman" w:hAnsi="Arial" w:cs="Arial"/>
          <w:b w:val="0"/>
          <w:color w:val="auto"/>
        </w:rPr>
        <w:t xml:space="preserve">there, however </w:t>
      </w:r>
      <w:r w:rsidR="006C0184">
        <w:rPr>
          <w:rFonts w:ascii="Arial" w:eastAsia="Times New Roman" w:hAnsi="Arial" w:cs="Arial"/>
          <w:b w:val="0"/>
          <w:color w:val="auto"/>
        </w:rPr>
        <w:t>a</w:t>
      </w:r>
      <w:r w:rsidR="00006537">
        <w:rPr>
          <w:rFonts w:ascii="Arial" w:eastAsia="Times New Roman" w:hAnsi="Arial" w:cs="Arial"/>
          <w:b w:val="0"/>
          <w:color w:val="auto"/>
        </w:rPr>
        <w:t>pplications</w:t>
      </w:r>
      <w:r w:rsidR="00CA5F3B">
        <w:rPr>
          <w:rFonts w:ascii="Arial" w:eastAsia="Times New Roman" w:hAnsi="Arial" w:cs="Arial"/>
          <w:b w:val="0"/>
          <w:color w:val="auto"/>
        </w:rPr>
        <w:t xml:space="preserve"> will be assessed on </w:t>
      </w:r>
      <w:r w:rsidR="006C0184">
        <w:rPr>
          <w:rFonts w:ascii="Arial" w:eastAsia="Times New Roman" w:hAnsi="Arial" w:cs="Arial"/>
          <w:b w:val="0"/>
          <w:color w:val="auto"/>
        </w:rPr>
        <w:t>the a</w:t>
      </w:r>
      <w:r w:rsidR="00006537">
        <w:rPr>
          <w:rFonts w:ascii="Arial" w:eastAsia="Times New Roman" w:hAnsi="Arial" w:cs="Arial"/>
          <w:b w:val="0"/>
          <w:color w:val="auto"/>
        </w:rPr>
        <w:t xml:space="preserve">pplicant’s </w:t>
      </w:r>
      <w:r w:rsidR="00CA5F3B">
        <w:rPr>
          <w:rFonts w:ascii="Arial" w:eastAsia="Times New Roman" w:hAnsi="Arial" w:cs="Arial"/>
          <w:b w:val="0"/>
          <w:color w:val="auto"/>
        </w:rPr>
        <w:t>knowledge and connection</w:t>
      </w:r>
      <w:r w:rsidR="00A94970">
        <w:rPr>
          <w:rFonts w:ascii="Arial" w:eastAsia="Times New Roman" w:hAnsi="Arial" w:cs="Arial"/>
          <w:b w:val="0"/>
          <w:color w:val="auto"/>
        </w:rPr>
        <w:t xml:space="preserve"> (or ability to build this connection)</w:t>
      </w:r>
      <w:r w:rsidR="00CA5F3B">
        <w:rPr>
          <w:rFonts w:ascii="Arial" w:eastAsia="Times New Roman" w:hAnsi="Arial" w:cs="Arial"/>
          <w:b w:val="0"/>
          <w:color w:val="auto"/>
        </w:rPr>
        <w:t xml:space="preserve"> with the community that </w:t>
      </w:r>
      <w:r w:rsidR="0099503F">
        <w:rPr>
          <w:rFonts w:ascii="Arial" w:eastAsia="Times New Roman" w:hAnsi="Arial" w:cs="Arial"/>
          <w:b w:val="0"/>
          <w:color w:val="auto"/>
        </w:rPr>
        <w:t xml:space="preserve">it is </w:t>
      </w:r>
      <w:r w:rsidR="00A0005C">
        <w:rPr>
          <w:rFonts w:ascii="Arial" w:eastAsia="Times New Roman" w:hAnsi="Arial" w:cs="Arial"/>
          <w:b w:val="0"/>
          <w:color w:val="auto"/>
        </w:rPr>
        <w:t>proposing to</w:t>
      </w:r>
      <w:r w:rsidR="0019394C">
        <w:rPr>
          <w:rFonts w:ascii="Arial" w:eastAsia="Times New Roman" w:hAnsi="Arial" w:cs="Arial"/>
          <w:b w:val="0"/>
          <w:color w:val="auto"/>
        </w:rPr>
        <w:t xml:space="preserve"> deliver</w:t>
      </w:r>
      <w:r w:rsidR="00445418">
        <w:rPr>
          <w:rFonts w:ascii="Arial" w:eastAsia="Times New Roman" w:hAnsi="Arial" w:cs="Arial"/>
          <w:b w:val="0"/>
          <w:color w:val="auto"/>
        </w:rPr>
        <w:t xml:space="preserve"> </w:t>
      </w:r>
      <w:r w:rsidR="00A0005C">
        <w:rPr>
          <w:rFonts w:ascii="Arial" w:eastAsia="Times New Roman" w:hAnsi="Arial" w:cs="Arial"/>
          <w:b w:val="0"/>
          <w:color w:val="auto"/>
        </w:rPr>
        <w:t xml:space="preserve">activities in. </w:t>
      </w:r>
    </w:p>
    <w:p w14:paraId="7A6901E0" w14:textId="6BD3512F" w:rsidR="006C0184" w:rsidRDefault="000A209E" w:rsidP="00300D06">
      <w:pPr>
        <w:spacing w:line="276" w:lineRule="auto"/>
        <w:rPr>
          <w:rFonts w:eastAsia="Calibri" w:cstheme="minorHAnsi"/>
        </w:rPr>
      </w:pPr>
      <w:r w:rsidRPr="008B6F30">
        <w:rPr>
          <w:rFonts w:eastAsia="Calibri" w:cstheme="minorHAnsi"/>
        </w:rPr>
        <w:t xml:space="preserve">The NDIA encourages </w:t>
      </w:r>
      <w:r w:rsidR="006C0184">
        <w:rPr>
          <w:rFonts w:eastAsia="Calibri" w:cstheme="minorHAnsi"/>
        </w:rPr>
        <w:t>a</w:t>
      </w:r>
      <w:r w:rsidRPr="008B6F30">
        <w:rPr>
          <w:rFonts w:eastAsia="Calibri" w:cstheme="minorHAnsi"/>
        </w:rPr>
        <w:t xml:space="preserve">pplications that </w:t>
      </w:r>
      <w:r w:rsidRPr="008B6F30">
        <w:rPr>
          <w:rFonts w:ascii="Arial" w:hAnsi="Arial" w:cs="Arial"/>
        </w:rPr>
        <w:t xml:space="preserve">outline evidence-based, innovative models and modes of delivery aligned with </w:t>
      </w:r>
      <w:r>
        <w:rPr>
          <w:rFonts w:ascii="Arial" w:hAnsi="Arial" w:cs="Arial"/>
        </w:rPr>
        <w:t>the grant purpose</w:t>
      </w:r>
      <w:r w:rsidR="00A83D21">
        <w:rPr>
          <w:rFonts w:ascii="Arial" w:hAnsi="Arial" w:cs="Arial"/>
        </w:rPr>
        <w:t>,</w:t>
      </w:r>
      <w:r>
        <w:rPr>
          <w:rFonts w:ascii="Arial" w:hAnsi="Arial" w:cs="Arial"/>
        </w:rPr>
        <w:t xml:space="preserve"> and</w:t>
      </w:r>
      <w:r w:rsidRPr="008B6F30">
        <w:rPr>
          <w:rFonts w:eastAsia="Calibri" w:cstheme="minorHAnsi"/>
        </w:rPr>
        <w:t xml:space="preserve"> that will contribute to</w:t>
      </w:r>
      <w:r w:rsidR="006C0184">
        <w:rPr>
          <w:rFonts w:eastAsia="Calibri" w:cstheme="minorHAnsi"/>
        </w:rPr>
        <w:t xml:space="preserve"> the following</w:t>
      </w:r>
      <w:r w:rsidRPr="008B6F30">
        <w:rPr>
          <w:rFonts w:eastAsia="Calibri" w:cstheme="minorHAnsi"/>
        </w:rPr>
        <w:t xml:space="preserve"> ILC Outcome</w:t>
      </w:r>
      <w:r w:rsidR="006C0184">
        <w:rPr>
          <w:rFonts w:eastAsia="Calibri" w:cstheme="minorHAnsi"/>
        </w:rPr>
        <w:t>:</w:t>
      </w:r>
    </w:p>
    <w:p w14:paraId="2979E849" w14:textId="77777777" w:rsidR="006C0184" w:rsidRPr="0055589A" w:rsidRDefault="006C0184" w:rsidP="00EC3661">
      <w:pPr>
        <w:pStyle w:val="ListParagraph"/>
        <w:numPr>
          <w:ilvl w:val="0"/>
          <w:numId w:val="31"/>
        </w:numPr>
        <w:spacing w:before="40" w:after="120"/>
        <w:rPr>
          <w:rFonts w:ascii="Arial" w:hAnsi="Arial" w:cs="Arial"/>
        </w:rPr>
      </w:pPr>
      <w:r w:rsidRPr="0055589A">
        <w:rPr>
          <w:rFonts w:ascii="Arial" w:hAnsi="Arial" w:cs="Arial"/>
        </w:rPr>
        <w:t>People with disability have the skills and confidence to participate and contribute to the community and protect their rights</w:t>
      </w:r>
    </w:p>
    <w:p w14:paraId="14886FFF" w14:textId="0FFA224D" w:rsidR="00F65EB9" w:rsidRPr="00A83D21" w:rsidRDefault="000A209E" w:rsidP="00A83D21">
      <w:pPr>
        <w:spacing w:after="120" w:line="276" w:lineRule="auto"/>
        <w:rPr>
          <w:rFonts w:eastAsia="Calibri" w:cstheme="minorHAnsi"/>
        </w:rPr>
      </w:pPr>
      <w:r>
        <w:rPr>
          <w:rFonts w:eastAsia="Calibri" w:cstheme="minorHAnsi"/>
        </w:rPr>
        <w:t xml:space="preserve">The proposed activities should meet identified needs and interests of people with disability and reflect a contemporary, positive and progressive approach to </w:t>
      </w:r>
      <w:r w:rsidR="002F4423">
        <w:rPr>
          <w:rFonts w:eastAsia="Calibri" w:cstheme="minorHAnsi"/>
        </w:rPr>
        <w:t>individual capacity building</w:t>
      </w:r>
      <w:r w:rsidR="00A83D21">
        <w:rPr>
          <w:rFonts w:eastAsia="Calibri" w:cstheme="minorHAnsi"/>
        </w:rPr>
        <w:t xml:space="preserve">. </w:t>
      </w:r>
    </w:p>
    <w:p w14:paraId="513D5923" w14:textId="77777777" w:rsidR="00045933" w:rsidRPr="00B72EE8" w:rsidRDefault="00F64AC7" w:rsidP="00CC3C8E">
      <w:pPr>
        <w:pStyle w:val="Heading1Numbered"/>
        <w:spacing w:before="720" w:line="276" w:lineRule="auto"/>
        <w:contextualSpacing w:val="0"/>
      </w:pPr>
      <w:bookmarkStart w:id="12" w:name="_Toc461105052"/>
      <w:bookmarkStart w:id="13" w:name="_Toc467773954"/>
      <w:bookmarkStart w:id="14" w:name="_Toc531005162"/>
      <w:bookmarkEnd w:id="10"/>
      <w:bookmarkEnd w:id="12"/>
      <w:r>
        <w:lastRenderedPageBreak/>
        <w:t xml:space="preserve">2. </w:t>
      </w:r>
      <w:r w:rsidR="00045933">
        <w:t xml:space="preserve">Grant </w:t>
      </w:r>
      <w:r w:rsidR="006C07BB">
        <w:t>O</w:t>
      </w:r>
      <w:r w:rsidR="00D37BAB">
        <w:t xml:space="preserve">pportunity </w:t>
      </w:r>
      <w:r w:rsidR="000A209E">
        <w:t>Details</w:t>
      </w:r>
      <w:bookmarkEnd w:id="13"/>
      <w:bookmarkEnd w:id="14"/>
    </w:p>
    <w:p w14:paraId="399162D7" w14:textId="77777777" w:rsidR="00FD0550" w:rsidRDefault="00FD0550" w:rsidP="00CC3C8E">
      <w:pPr>
        <w:pStyle w:val="Heading2Numbered"/>
        <w:spacing w:line="276" w:lineRule="auto"/>
        <w:contextualSpacing w:val="0"/>
      </w:pPr>
      <w:bookmarkStart w:id="15" w:name="_Toc531005163"/>
      <w:r>
        <w:t xml:space="preserve">2.1 Grant </w:t>
      </w:r>
      <w:r w:rsidR="00D37BAB">
        <w:t>a</w:t>
      </w:r>
      <w:r>
        <w:t>mount</w:t>
      </w:r>
      <w:bookmarkEnd w:id="15"/>
    </w:p>
    <w:p w14:paraId="380A93DD" w14:textId="5D0691B3" w:rsidR="00637E21" w:rsidRPr="00A83D21" w:rsidRDefault="00FD0550" w:rsidP="00A83D21">
      <w:pPr>
        <w:spacing w:after="120" w:line="276" w:lineRule="auto"/>
      </w:pPr>
      <w:r>
        <w:t>U</w:t>
      </w:r>
      <w:r w:rsidR="00B74055">
        <w:t xml:space="preserve">p to </w:t>
      </w:r>
      <w:r w:rsidR="00B74055" w:rsidRPr="005734AE">
        <w:t>$</w:t>
      </w:r>
      <w:r w:rsidR="00353B54" w:rsidRPr="005734AE">
        <w:t>19.</w:t>
      </w:r>
      <w:r w:rsidR="00C83ECD">
        <w:t>9</w:t>
      </w:r>
      <w:r w:rsidR="00B74055" w:rsidRPr="005734AE">
        <w:t xml:space="preserve"> million</w:t>
      </w:r>
      <w:r w:rsidR="009821FA" w:rsidRPr="005734AE">
        <w:t xml:space="preserve"> (GST </w:t>
      </w:r>
      <w:r w:rsidR="005734AE" w:rsidRPr="005734AE">
        <w:t>Incl</w:t>
      </w:r>
      <w:r w:rsidR="009821FA" w:rsidRPr="005734AE">
        <w:t>.)</w:t>
      </w:r>
      <w:r w:rsidR="00D93208">
        <w:t xml:space="preserve"> ($</w:t>
      </w:r>
      <w:r w:rsidR="00C83ECD">
        <w:t xml:space="preserve">18.09 </w:t>
      </w:r>
      <w:r w:rsidR="00D93208">
        <w:t>million GST Excl.)</w:t>
      </w:r>
      <w:r w:rsidR="006C0184">
        <w:t xml:space="preserve"> </w:t>
      </w:r>
      <w:proofErr w:type="gramStart"/>
      <w:r w:rsidR="006C0184">
        <w:t>in</w:t>
      </w:r>
      <w:proofErr w:type="gramEnd"/>
      <w:r w:rsidR="006C0184">
        <w:t xml:space="preserve"> total</w:t>
      </w:r>
      <w:r w:rsidR="00A83D21">
        <w:t>,</w:t>
      </w:r>
      <w:r w:rsidR="006C07BB">
        <w:t xml:space="preserve"> </w:t>
      </w:r>
      <w:r w:rsidR="00602965">
        <w:t>is</w:t>
      </w:r>
      <w:r w:rsidR="006C07BB">
        <w:t xml:space="preserve"> available through this grant o</w:t>
      </w:r>
      <w:r w:rsidR="00B74055">
        <w:t>pportunity</w:t>
      </w:r>
      <w:r w:rsidR="006C0184">
        <w:t>.</w:t>
      </w:r>
      <w:r w:rsidR="00BA67DA">
        <w:t xml:space="preserve"> This funding pool will be divided among the eligible applicant types </w:t>
      </w:r>
      <w:r w:rsidR="00BA67DA" w:rsidRPr="001B13D0">
        <w:t xml:space="preserve">(See section </w:t>
      </w:r>
      <w:r w:rsidR="001B13D0" w:rsidRPr="001B13D0">
        <w:t>3.1</w:t>
      </w:r>
      <w:r w:rsidR="00BA67DA" w:rsidRPr="001B13D0">
        <w:t>)</w:t>
      </w:r>
      <w:r w:rsidR="00A83D21">
        <w:t>.</w:t>
      </w:r>
    </w:p>
    <w:p w14:paraId="08D749D9" w14:textId="77777777" w:rsidR="00F4062C" w:rsidRDefault="00BA67DA" w:rsidP="00A83D21">
      <w:pPr>
        <w:spacing w:after="120" w:line="276" w:lineRule="auto"/>
      </w:pPr>
      <w:r>
        <w:t xml:space="preserve">The NDIA reserves the right to adjust amounts allocated to each </w:t>
      </w:r>
      <w:r w:rsidR="001B13D0">
        <w:t>application type depending on the demand and quality of applications.</w:t>
      </w:r>
      <w:r w:rsidR="00637E21">
        <w:t xml:space="preserve"> </w:t>
      </w:r>
      <w:r w:rsidR="00685380">
        <w:t>NDIA reserves the right to increase the overall amount of funding available in this funding round.</w:t>
      </w:r>
    </w:p>
    <w:p w14:paraId="4638C506" w14:textId="77777777" w:rsidR="00FD0550" w:rsidRDefault="00FD0550" w:rsidP="00CC3C8E">
      <w:pPr>
        <w:pStyle w:val="Heading2Numbered"/>
        <w:spacing w:line="276" w:lineRule="auto"/>
        <w:contextualSpacing w:val="0"/>
      </w:pPr>
      <w:bookmarkStart w:id="16" w:name="_Toc531005164"/>
      <w:r>
        <w:t xml:space="preserve">2.2 Grant </w:t>
      </w:r>
      <w:r w:rsidR="00D37BAB">
        <w:t>t</w:t>
      </w:r>
      <w:r>
        <w:t>erm</w:t>
      </w:r>
      <w:bookmarkEnd w:id="16"/>
    </w:p>
    <w:p w14:paraId="0AEB640E" w14:textId="3724AF6C" w:rsidR="00FD0550" w:rsidRDefault="002F5738" w:rsidP="00CC3C8E">
      <w:pPr>
        <w:spacing w:before="0" w:after="120" w:line="276" w:lineRule="auto"/>
      </w:pPr>
      <w:r>
        <w:t>Proposed p</w:t>
      </w:r>
      <w:r w:rsidR="00D37BAB">
        <w:t>roject</w:t>
      </w:r>
      <w:r>
        <w:t>s</w:t>
      </w:r>
      <w:r w:rsidR="00FD0550">
        <w:t xml:space="preserve"> </w:t>
      </w:r>
      <w:r w:rsidR="00B24A51" w:rsidRPr="006C0184">
        <w:rPr>
          <w:b/>
        </w:rPr>
        <w:t>must</w:t>
      </w:r>
      <w:r w:rsidR="00B24A51">
        <w:t xml:space="preserve"> be </w:t>
      </w:r>
      <w:r w:rsidR="00D37BAB">
        <w:t xml:space="preserve">able to be delivered within </w:t>
      </w:r>
      <w:r w:rsidR="009821FA">
        <w:t>12</w:t>
      </w:r>
      <w:r w:rsidR="00FD0550">
        <w:t xml:space="preserve"> months</w:t>
      </w:r>
      <w:r w:rsidR="00F123E4">
        <w:t xml:space="preserve">, </w:t>
      </w:r>
      <w:r w:rsidR="00B24A51">
        <w:t xml:space="preserve">likely </w:t>
      </w:r>
      <w:r w:rsidR="00F123E4">
        <w:t xml:space="preserve">commencing from </w:t>
      </w:r>
      <w:r w:rsidR="002C76A9">
        <w:t xml:space="preserve">May or </w:t>
      </w:r>
      <w:r w:rsidR="0058694B">
        <w:t xml:space="preserve">June </w:t>
      </w:r>
      <w:r w:rsidR="00F123E4">
        <w:t>2019</w:t>
      </w:r>
      <w:r w:rsidR="00FD0550">
        <w:t xml:space="preserve">. </w:t>
      </w:r>
      <w:r w:rsidR="00045933" w:rsidRPr="00340616">
        <w:t>The maximum grant period is</w:t>
      </w:r>
      <w:r w:rsidR="00045933" w:rsidRPr="00340616">
        <w:rPr>
          <w:rStyle w:val="highlightedtextChar"/>
        </w:rPr>
        <w:t xml:space="preserve"> </w:t>
      </w:r>
      <w:r w:rsidR="009821FA" w:rsidRPr="009821FA">
        <w:rPr>
          <w:rStyle w:val="highlightedtextChar"/>
          <w:color w:val="1C1C1C" w:themeColor="text2"/>
        </w:rPr>
        <w:t>one</w:t>
      </w:r>
      <w:r w:rsidR="00541075" w:rsidRPr="009821FA">
        <w:rPr>
          <w:rStyle w:val="highlightedtextChar"/>
          <w:color w:val="1C1C1C" w:themeColor="text2"/>
        </w:rPr>
        <w:t xml:space="preserve"> year</w:t>
      </w:r>
      <w:r w:rsidR="00541075" w:rsidRPr="009821FA">
        <w:rPr>
          <w:color w:val="1C1C1C" w:themeColor="text2"/>
        </w:rPr>
        <w:t xml:space="preserve">. </w:t>
      </w:r>
    </w:p>
    <w:p w14:paraId="036A1DA5" w14:textId="77777777" w:rsidR="00541075" w:rsidRDefault="00541075" w:rsidP="00CC3C8E">
      <w:pPr>
        <w:spacing w:after="120" w:line="276" w:lineRule="auto"/>
      </w:pPr>
      <w:r w:rsidRPr="001C6E9E">
        <w:t xml:space="preserve">An extension </w:t>
      </w:r>
      <w:r w:rsidR="002F5738">
        <w:t>to the grant period may</w:t>
      </w:r>
      <w:r w:rsidR="002F5738" w:rsidRPr="001C6E9E">
        <w:t xml:space="preserve"> </w:t>
      </w:r>
      <w:r w:rsidRPr="001C6E9E">
        <w:t xml:space="preserve">be negotiated with the NDIA. Any extension </w:t>
      </w:r>
      <w:r w:rsidRPr="006C0184">
        <w:rPr>
          <w:b/>
        </w:rPr>
        <w:t>must</w:t>
      </w:r>
      <w:r w:rsidRPr="001C6E9E">
        <w:t xml:space="preserve"> be agreed to in writing by both parties and the grant recipient may be required to submit a revised project outline and supporting budget.</w:t>
      </w:r>
    </w:p>
    <w:p w14:paraId="18FFEB08" w14:textId="77777777" w:rsidR="00BA67DA" w:rsidRDefault="00BA67DA" w:rsidP="00CC3C8E">
      <w:pPr>
        <w:spacing w:after="120" w:line="276" w:lineRule="auto"/>
      </w:pPr>
      <w:r>
        <w:t xml:space="preserve">From 2019/20 financial year, the NDIA expects to offer further funding opportunities </w:t>
      </w:r>
      <w:r w:rsidR="00637E21">
        <w:t>to the DPFO sector with</w:t>
      </w:r>
      <w:r>
        <w:t xml:space="preserve"> longer funding terms. Please subscribe to the </w:t>
      </w:r>
      <w:hyperlink r:id="rId13" w:history="1">
        <w:r w:rsidRPr="00BA67DA">
          <w:rPr>
            <w:rStyle w:val="Hyperlink"/>
            <w:rFonts w:cstheme="minorBidi"/>
          </w:rPr>
          <w:t>ILC mailing list</w:t>
        </w:r>
      </w:hyperlink>
      <w:r>
        <w:t xml:space="preserve"> to be alerted to future </w:t>
      </w:r>
      <w:r w:rsidR="00637E21">
        <w:t xml:space="preserve">ILC </w:t>
      </w:r>
      <w:r>
        <w:t>funding opportunities.</w:t>
      </w:r>
    </w:p>
    <w:p w14:paraId="2CE84C34" w14:textId="77777777" w:rsidR="00FD0550" w:rsidRDefault="00D37BAB" w:rsidP="00CC3C8E">
      <w:pPr>
        <w:pStyle w:val="Heading2Numbered"/>
        <w:spacing w:line="276" w:lineRule="auto"/>
        <w:contextualSpacing w:val="0"/>
      </w:pPr>
      <w:bookmarkStart w:id="17" w:name="_Toc531005165"/>
      <w:r>
        <w:t>2.3 Grant r</w:t>
      </w:r>
      <w:r w:rsidR="00FD0550">
        <w:t xml:space="preserve">equest </w:t>
      </w:r>
      <w:r>
        <w:t>t</w:t>
      </w:r>
      <w:r w:rsidR="00FD0550">
        <w:t>hresholds</w:t>
      </w:r>
      <w:bookmarkEnd w:id="17"/>
    </w:p>
    <w:p w14:paraId="66C02681" w14:textId="73AF71D9" w:rsidR="00FD0550" w:rsidRDefault="00F65762" w:rsidP="00CC3C8E">
      <w:pPr>
        <w:spacing w:before="0" w:after="120" w:line="276" w:lineRule="auto"/>
        <w:rPr>
          <w:rFonts w:ascii="Arial" w:hAnsi="Arial" w:cs="Arial"/>
        </w:rPr>
      </w:pPr>
      <w:r w:rsidRPr="0072057C">
        <w:t>Please note that</w:t>
      </w:r>
      <w:r>
        <w:t xml:space="preserve"> it is recommended that applicants do not apply for more than</w:t>
      </w:r>
      <w:r w:rsidRPr="0072057C">
        <w:t xml:space="preserve"> </w:t>
      </w:r>
      <w:r>
        <w:rPr>
          <w:rFonts w:ascii="Arial" w:hAnsi="Arial" w:cs="Arial"/>
        </w:rPr>
        <w:t>$</w:t>
      </w:r>
      <w:r w:rsidR="009964B4">
        <w:rPr>
          <w:rFonts w:ascii="Arial" w:hAnsi="Arial" w:cs="Arial"/>
        </w:rPr>
        <w:t>118,000</w:t>
      </w:r>
      <w:r w:rsidR="00300D06">
        <w:rPr>
          <w:rFonts w:ascii="Arial" w:hAnsi="Arial" w:cs="Arial"/>
        </w:rPr>
        <w:t xml:space="preserve"> </w:t>
      </w:r>
      <w:r w:rsidR="00500F38">
        <w:rPr>
          <w:rFonts w:ascii="Arial" w:hAnsi="Arial" w:cs="Arial"/>
        </w:rPr>
        <w:t>(</w:t>
      </w:r>
      <w:r>
        <w:rPr>
          <w:rFonts w:ascii="Arial" w:hAnsi="Arial" w:cs="Arial"/>
        </w:rPr>
        <w:t>GST Excl</w:t>
      </w:r>
      <w:r w:rsidR="00500F38">
        <w:rPr>
          <w:rFonts w:ascii="Arial" w:hAnsi="Arial" w:cs="Arial"/>
        </w:rPr>
        <w:t>.)</w:t>
      </w:r>
      <w:r w:rsidRPr="0072057C">
        <w:t xml:space="preserve"> in this grant round</w:t>
      </w:r>
      <w:r w:rsidR="00500F38">
        <w:t>. However applications requesting more than</w:t>
      </w:r>
      <w:r w:rsidR="00500F38" w:rsidRPr="0072057C">
        <w:t xml:space="preserve"> </w:t>
      </w:r>
      <w:r w:rsidR="00500F38">
        <w:rPr>
          <w:rFonts w:ascii="Arial" w:hAnsi="Arial" w:cs="Arial"/>
        </w:rPr>
        <w:t>$</w:t>
      </w:r>
      <w:r w:rsidR="009964B4">
        <w:rPr>
          <w:rFonts w:ascii="Arial" w:hAnsi="Arial" w:cs="Arial"/>
        </w:rPr>
        <w:t>118,000</w:t>
      </w:r>
      <w:r w:rsidR="00500F38">
        <w:rPr>
          <w:rFonts w:ascii="Arial" w:hAnsi="Arial" w:cs="Arial"/>
        </w:rPr>
        <w:t xml:space="preserve"> (GST Excl.)</w:t>
      </w:r>
      <w:r w:rsidR="00500F38">
        <w:t xml:space="preserve"> will still be considered. </w:t>
      </w:r>
      <w:r w:rsidR="00FD0550" w:rsidRPr="00F665C7">
        <w:rPr>
          <w:rFonts w:ascii="Arial" w:hAnsi="Arial" w:cs="Arial"/>
        </w:rPr>
        <w:t xml:space="preserve">There is no minimum amount </w:t>
      </w:r>
      <w:r w:rsidR="002F5738">
        <w:rPr>
          <w:rFonts w:ascii="Arial" w:hAnsi="Arial" w:cs="Arial"/>
        </w:rPr>
        <w:t xml:space="preserve">for which </w:t>
      </w:r>
      <w:r w:rsidR="00101205">
        <w:rPr>
          <w:rFonts w:ascii="Arial" w:hAnsi="Arial" w:cs="Arial"/>
        </w:rPr>
        <w:t>a</w:t>
      </w:r>
      <w:r w:rsidR="002F5738">
        <w:rPr>
          <w:rFonts w:ascii="Arial" w:hAnsi="Arial" w:cs="Arial"/>
        </w:rPr>
        <w:t>pplicants</w:t>
      </w:r>
      <w:r w:rsidR="002F5738" w:rsidRPr="00F665C7">
        <w:rPr>
          <w:rFonts w:ascii="Arial" w:hAnsi="Arial" w:cs="Arial"/>
        </w:rPr>
        <w:t xml:space="preserve"> </w:t>
      </w:r>
      <w:r w:rsidR="00FD0550" w:rsidRPr="00F665C7">
        <w:rPr>
          <w:rFonts w:ascii="Arial" w:hAnsi="Arial" w:cs="Arial"/>
        </w:rPr>
        <w:t>can apply for</w:t>
      </w:r>
      <w:r w:rsidR="00FD0550">
        <w:rPr>
          <w:rFonts w:ascii="Arial" w:hAnsi="Arial" w:cs="Arial"/>
        </w:rPr>
        <w:t>.</w:t>
      </w:r>
    </w:p>
    <w:p w14:paraId="749204DE" w14:textId="77777777" w:rsidR="00D37BAB" w:rsidRPr="00D37BAB" w:rsidRDefault="00541075" w:rsidP="00CC3C8E">
      <w:pPr>
        <w:spacing w:after="120" w:line="276" w:lineRule="auto"/>
      </w:pPr>
      <w:r w:rsidRPr="00D37BAB">
        <w:t xml:space="preserve">The amount of funding </w:t>
      </w:r>
      <w:r w:rsidR="00D95E30" w:rsidRPr="00D37BAB">
        <w:t>appl</w:t>
      </w:r>
      <w:r w:rsidR="004F3C11">
        <w:t>i</w:t>
      </w:r>
      <w:r w:rsidR="00D95E30" w:rsidRPr="00D37BAB">
        <w:t xml:space="preserve">ed </w:t>
      </w:r>
      <w:r w:rsidRPr="00D37BAB">
        <w:t>for</w:t>
      </w:r>
      <w:r w:rsidR="001B13D0">
        <w:t>,</w:t>
      </w:r>
      <w:r w:rsidRPr="00D37BAB">
        <w:t xml:space="preserve"> will be taken into account when determining whether an </w:t>
      </w:r>
      <w:r w:rsidR="00101205">
        <w:t>a</w:t>
      </w:r>
      <w:r w:rsidRPr="00D37BAB">
        <w:t>pplication represents value for money</w:t>
      </w:r>
      <w:r w:rsidR="00B34B33">
        <w:t xml:space="preserve"> for the NDIA</w:t>
      </w:r>
      <w:r w:rsidRPr="00D37BAB">
        <w:t>.</w:t>
      </w:r>
    </w:p>
    <w:p w14:paraId="20D1A8F8" w14:textId="77777777" w:rsidR="00A93A48" w:rsidRDefault="00A93A48" w:rsidP="00CC3C8E">
      <w:pPr>
        <w:pStyle w:val="Heading2Numbered"/>
        <w:spacing w:line="276" w:lineRule="auto"/>
        <w:contextualSpacing w:val="0"/>
      </w:pPr>
      <w:bookmarkStart w:id="18" w:name="_Toc531005166"/>
      <w:r>
        <w:t>2.4 Number of application submissions</w:t>
      </w:r>
      <w:bookmarkEnd w:id="18"/>
    </w:p>
    <w:p w14:paraId="264BF05C" w14:textId="77777777" w:rsidR="00205977" w:rsidRDefault="00374F74" w:rsidP="00CC3C8E">
      <w:pPr>
        <w:spacing w:before="0" w:after="120" w:line="276" w:lineRule="auto"/>
      </w:pPr>
      <w:r>
        <w:t>Overall</w:t>
      </w:r>
      <w:r w:rsidR="001B13D0">
        <w:t>,</w:t>
      </w:r>
      <w:r w:rsidR="00683D4D">
        <w:t xml:space="preserve"> </w:t>
      </w:r>
      <w:r>
        <w:t>organisations can only submit</w:t>
      </w:r>
      <w:r w:rsidR="00101205" w:rsidRPr="00374F74">
        <w:t xml:space="preserve"> one</w:t>
      </w:r>
      <w:r>
        <w:t xml:space="preserve"> application</w:t>
      </w:r>
      <w:r w:rsidR="00101205" w:rsidRPr="00374F74">
        <w:t xml:space="preserve">. They can apply </w:t>
      </w:r>
      <w:r w:rsidR="004570DB">
        <w:t xml:space="preserve">either </w:t>
      </w:r>
      <w:r w:rsidR="00101205" w:rsidRPr="00374F74">
        <w:t xml:space="preserve">on behalf of their </w:t>
      </w:r>
      <w:r w:rsidRPr="00374F74">
        <w:t>organisation</w:t>
      </w:r>
      <w:r w:rsidR="001B13D0">
        <w:t xml:space="preserve"> or </w:t>
      </w:r>
      <w:r w:rsidR="00101205" w:rsidRPr="00374F74">
        <w:t xml:space="preserve">as a lead member of a consortium. </w:t>
      </w:r>
    </w:p>
    <w:p w14:paraId="4A50D116" w14:textId="77777777" w:rsidR="00101205" w:rsidRDefault="00374F74" w:rsidP="00CC3C8E">
      <w:pPr>
        <w:spacing w:before="0" w:after="120" w:line="276" w:lineRule="auto"/>
      </w:pPr>
      <w:r w:rsidRPr="00374F74">
        <w:t>However, i</w:t>
      </w:r>
      <w:r w:rsidR="00101205" w:rsidRPr="00374F74">
        <w:t>n addition to this, applicants can also be a non-lead member of a consorti</w:t>
      </w:r>
      <w:r w:rsidR="00205977">
        <w:t xml:space="preserve">um </w:t>
      </w:r>
      <w:r w:rsidRPr="00374F74">
        <w:t xml:space="preserve">or </w:t>
      </w:r>
      <w:r w:rsidR="00205977">
        <w:t>apply as the</w:t>
      </w:r>
      <w:r w:rsidRPr="00374F74">
        <w:t xml:space="preserve"> </w:t>
      </w:r>
      <w:proofErr w:type="spellStart"/>
      <w:r w:rsidR="00FC4351">
        <w:t>a</w:t>
      </w:r>
      <w:r w:rsidR="001B13D0">
        <w:t>uspicor</w:t>
      </w:r>
      <w:proofErr w:type="spellEnd"/>
      <w:r w:rsidR="00FC4351" w:rsidRPr="00374F74">
        <w:t xml:space="preserve"> </w:t>
      </w:r>
      <w:r w:rsidRPr="00374F74">
        <w:t>of an</w:t>
      </w:r>
      <w:r w:rsidR="00205977">
        <w:t>other</w:t>
      </w:r>
      <w:r w:rsidRPr="00374F74">
        <w:t xml:space="preserve"> organisation.</w:t>
      </w:r>
      <w:r>
        <w:t xml:space="preserve"> Further information about the number of applications that can be submitted is provided below. </w:t>
      </w:r>
    </w:p>
    <w:p w14:paraId="2CAF78DC" w14:textId="77777777" w:rsidR="008D1648" w:rsidRPr="00374F74" w:rsidRDefault="008D1648" w:rsidP="00CC3C8E">
      <w:pPr>
        <w:spacing w:before="0" w:after="120" w:line="276" w:lineRule="auto"/>
      </w:pPr>
    </w:p>
    <w:p w14:paraId="197226C4" w14:textId="77777777" w:rsidR="00D72278" w:rsidRDefault="00D72278" w:rsidP="00205977">
      <w:pPr>
        <w:spacing w:line="276" w:lineRule="auto"/>
        <w:rPr>
          <w:b/>
        </w:rPr>
      </w:pPr>
      <w:r>
        <w:rPr>
          <w:b/>
        </w:rPr>
        <w:lastRenderedPageBreak/>
        <w:t>Applications for a single organisation</w:t>
      </w:r>
    </w:p>
    <w:p w14:paraId="4B45E4A6" w14:textId="77777777" w:rsidR="00D72278" w:rsidRDefault="001B13D0" w:rsidP="00205977">
      <w:pPr>
        <w:spacing w:before="0" w:line="276" w:lineRule="auto"/>
      </w:pPr>
      <w:r>
        <w:t>O</w:t>
      </w:r>
      <w:r w:rsidR="00374F74">
        <w:t>rganisation</w:t>
      </w:r>
      <w:r w:rsidR="00D72278">
        <w:t xml:space="preserve"> can only submit </w:t>
      </w:r>
      <w:r w:rsidR="00D72278" w:rsidRPr="005064A0">
        <w:rPr>
          <w:b/>
        </w:rPr>
        <w:t>one</w:t>
      </w:r>
      <w:r w:rsidR="00D72278">
        <w:t xml:space="preserve"> application for a project on behalf of their organisation. </w:t>
      </w:r>
    </w:p>
    <w:p w14:paraId="53619E07" w14:textId="77777777" w:rsidR="00D72278" w:rsidRDefault="00D72278" w:rsidP="00CC3C8E">
      <w:pPr>
        <w:spacing w:before="0" w:after="120" w:line="276" w:lineRule="auto"/>
        <w:rPr>
          <w:i/>
          <w:color w:val="7F7F7F" w:themeColor="text1" w:themeTint="80"/>
        </w:rPr>
      </w:pPr>
      <w:proofErr w:type="spellStart"/>
      <w:r w:rsidRPr="00106F32">
        <w:rPr>
          <w:i/>
          <w:color w:val="7F7F7F" w:themeColor="text1" w:themeTint="80"/>
        </w:rPr>
        <w:t>E.g</w:t>
      </w:r>
      <w:proofErr w:type="spellEnd"/>
      <w:r w:rsidRPr="00106F32">
        <w:rPr>
          <w:i/>
          <w:color w:val="7F7F7F" w:themeColor="text1" w:themeTint="80"/>
        </w:rPr>
        <w:t xml:space="preserve"> </w:t>
      </w:r>
      <w:r>
        <w:rPr>
          <w:i/>
          <w:color w:val="7F7F7F" w:themeColor="text1" w:themeTint="80"/>
        </w:rPr>
        <w:t>Carpenter Creek have submitted a single application for $10,000. This is their only application.</w:t>
      </w:r>
    </w:p>
    <w:p w14:paraId="62F857B2" w14:textId="77777777" w:rsidR="00D72278" w:rsidRDefault="00D72278" w:rsidP="00CC3C8E">
      <w:pPr>
        <w:spacing w:before="0" w:after="120" w:line="276" w:lineRule="auto"/>
      </w:pPr>
    </w:p>
    <w:p w14:paraId="6C4929BE" w14:textId="36AEAA03" w:rsidR="00D72278" w:rsidRPr="009F2369" w:rsidRDefault="00D72278" w:rsidP="00205977">
      <w:pPr>
        <w:spacing w:line="276" w:lineRule="auto"/>
      </w:pPr>
      <w:r w:rsidRPr="00F9163E">
        <w:rPr>
          <w:b/>
        </w:rPr>
        <w:t xml:space="preserve">Applications from </w:t>
      </w:r>
      <w:r w:rsidR="0011633A">
        <w:rPr>
          <w:b/>
        </w:rPr>
        <w:t>l</w:t>
      </w:r>
      <w:r>
        <w:rPr>
          <w:b/>
        </w:rPr>
        <w:t xml:space="preserve">ead organisations of </w:t>
      </w:r>
      <w:r w:rsidRPr="00F9163E">
        <w:rPr>
          <w:b/>
        </w:rPr>
        <w:t>a consortium</w:t>
      </w:r>
      <w:r w:rsidR="009F2369">
        <w:rPr>
          <w:b/>
        </w:rPr>
        <w:t xml:space="preserve"> </w:t>
      </w:r>
      <w:r w:rsidR="009F2369" w:rsidRPr="009F2369">
        <w:t xml:space="preserve">(see </w:t>
      </w:r>
      <w:r w:rsidR="008D1648">
        <w:t xml:space="preserve">also </w:t>
      </w:r>
      <w:r w:rsidR="009F2369" w:rsidRPr="009F2369">
        <w:t>S</w:t>
      </w:r>
      <w:r w:rsidR="00487FDE" w:rsidRPr="009F2369">
        <w:t>ection 3.5</w:t>
      </w:r>
      <w:r w:rsidR="00C76D22" w:rsidRPr="009F2369">
        <w:t>)</w:t>
      </w:r>
    </w:p>
    <w:p w14:paraId="4DD3554F" w14:textId="77777777" w:rsidR="00D72278" w:rsidRDefault="00D72278" w:rsidP="00205977">
      <w:pPr>
        <w:spacing w:before="0" w:line="276" w:lineRule="auto"/>
      </w:pPr>
      <w:r>
        <w:t xml:space="preserve">Organisations are eligible to submit applications as a consortium. The lead organisation of the consortium is the applicant. Applications submitted as a consortium counts towards the total number of applications of the lead organisation only. </w:t>
      </w:r>
      <w:r w:rsidR="00A577E9">
        <w:t xml:space="preserve">This means the </w:t>
      </w:r>
      <w:r>
        <w:t>lead organisation cannot submit a further application on behalf of its own organisation</w:t>
      </w:r>
      <w:r w:rsidR="00A577E9">
        <w:t xml:space="preserve"> (i</w:t>
      </w:r>
      <w:r w:rsidR="00205977">
        <w:t>.</w:t>
      </w:r>
      <w:r w:rsidR="00A577E9">
        <w:t>e</w:t>
      </w:r>
      <w:r w:rsidR="00205977">
        <w:t>.</w:t>
      </w:r>
      <w:r w:rsidR="00A577E9">
        <w:t xml:space="preserve"> in its own right)</w:t>
      </w:r>
      <w:r>
        <w:t>.</w:t>
      </w:r>
    </w:p>
    <w:p w14:paraId="3F7C9822" w14:textId="77777777" w:rsidR="00D72278" w:rsidRDefault="00D72278" w:rsidP="00205977">
      <w:pPr>
        <w:spacing w:before="0" w:after="120" w:line="276" w:lineRule="auto"/>
        <w:rPr>
          <w:i/>
          <w:color w:val="7F7F7F" w:themeColor="text1" w:themeTint="80"/>
        </w:rPr>
      </w:pPr>
      <w:proofErr w:type="spellStart"/>
      <w:r w:rsidRPr="00106F32">
        <w:rPr>
          <w:i/>
          <w:color w:val="7F7F7F" w:themeColor="text1" w:themeTint="80"/>
        </w:rPr>
        <w:t>E.g</w:t>
      </w:r>
      <w:proofErr w:type="spellEnd"/>
      <w:r w:rsidRPr="00106F32">
        <w:rPr>
          <w:i/>
          <w:color w:val="7F7F7F" w:themeColor="text1" w:themeTint="80"/>
        </w:rPr>
        <w:t xml:space="preserve"> </w:t>
      </w:r>
      <w:proofErr w:type="spellStart"/>
      <w:r>
        <w:rPr>
          <w:i/>
          <w:color w:val="7F7F7F" w:themeColor="text1" w:themeTint="80"/>
        </w:rPr>
        <w:t>LifEnAble</w:t>
      </w:r>
      <w:proofErr w:type="spellEnd"/>
      <w:r>
        <w:rPr>
          <w:i/>
          <w:color w:val="7F7F7F" w:themeColor="text1" w:themeTint="80"/>
        </w:rPr>
        <w:t xml:space="preserve"> planned to submit a proposal on behalf of their own organisation, when they were approached to lead a local consortium. </w:t>
      </w:r>
      <w:proofErr w:type="spellStart"/>
      <w:r>
        <w:rPr>
          <w:i/>
          <w:color w:val="7F7F7F" w:themeColor="text1" w:themeTint="80"/>
        </w:rPr>
        <w:t>LifEnAble</w:t>
      </w:r>
      <w:proofErr w:type="spellEnd"/>
      <w:r>
        <w:rPr>
          <w:i/>
          <w:color w:val="7F7F7F" w:themeColor="text1" w:themeTint="80"/>
        </w:rPr>
        <w:t xml:space="preserve"> </w:t>
      </w:r>
      <w:r w:rsidRPr="00667B2A">
        <w:rPr>
          <w:i/>
          <w:color w:val="7F7F7F" w:themeColor="text1" w:themeTint="80"/>
          <w:u w:val="single"/>
        </w:rPr>
        <w:t>must choose between</w:t>
      </w:r>
      <w:r>
        <w:rPr>
          <w:i/>
          <w:color w:val="7F7F7F" w:themeColor="text1" w:themeTint="80"/>
        </w:rPr>
        <w:t xml:space="preserve"> submitting an application just for </w:t>
      </w:r>
      <w:proofErr w:type="spellStart"/>
      <w:r w:rsidR="00E711DD">
        <w:rPr>
          <w:i/>
          <w:color w:val="7F7F7F" w:themeColor="text1" w:themeTint="80"/>
        </w:rPr>
        <w:t>LifEnAble</w:t>
      </w:r>
      <w:proofErr w:type="spellEnd"/>
      <w:r>
        <w:rPr>
          <w:i/>
          <w:color w:val="7F7F7F" w:themeColor="text1" w:themeTint="80"/>
        </w:rPr>
        <w:t xml:space="preserve"> OR leading a consortium</w:t>
      </w:r>
      <w:r w:rsidR="00A577E9">
        <w:rPr>
          <w:i/>
          <w:color w:val="7F7F7F" w:themeColor="text1" w:themeTint="80"/>
        </w:rPr>
        <w:t xml:space="preserve"> and submitting an application in that capacity</w:t>
      </w:r>
      <w:r>
        <w:rPr>
          <w:i/>
          <w:color w:val="7F7F7F" w:themeColor="text1" w:themeTint="80"/>
        </w:rPr>
        <w:t>.</w:t>
      </w:r>
    </w:p>
    <w:p w14:paraId="29E5216D" w14:textId="77777777" w:rsidR="00D72278" w:rsidRPr="00667B2A" w:rsidRDefault="00D72278" w:rsidP="00205977">
      <w:pPr>
        <w:spacing w:before="0" w:after="0" w:line="276" w:lineRule="auto"/>
      </w:pPr>
    </w:p>
    <w:p w14:paraId="56401A9A" w14:textId="77777777" w:rsidR="00D72278" w:rsidRPr="00F9163E" w:rsidRDefault="00D72278" w:rsidP="00637E21">
      <w:pPr>
        <w:spacing w:line="276" w:lineRule="auto"/>
        <w:rPr>
          <w:b/>
        </w:rPr>
      </w:pPr>
      <w:r w:rsidRPr="00F9163E">
        <w:rPr>
          <w:b/>
        </w:rPr>
        <w:t xml:space="preserve">Applications </w:t>
      </w:r>
      <w:r>
        <w:rPr>
          <w:b/>
        </w:rPr>
        <w:t>involving</w:t>
      </w:r>
      <w:r w:rsidRPr="00F9163E">
        <w:rPr>
          <w:b/>
        </w:rPr>
        <w:t xml:space="preserve"> </w:t>
      </w:r>
      <w:r>
        <w:rPr>
          <w:b/>
        </w:rPr>
        <w:t xml:space="preserve">non lead </w:t>
      </w:r>
      <w:r w:rsidRPr="00F9163E">
        <w:rPr>
          <w:b/>
        </w:rPr>
        <w:t>consortium</w:t>
      </w:r>
      <w:r>
        <w:rPr>
          <w:b/>
        </w:rPr>
        <w:t xml:space="preserve"> members</w:t>
      </w:r>
    </w:p>
    <w:p w14:paraId="74497523" w14:textId="5CF7C409" w:rsidR="00D72278" w:rsidRDefault="00D72278" w:rsidP="00637E21">
      <w:pPr>
        <w:spacing w:before="0" w:line="276" w:lineRule="auto"/>
      </w:pPr>
      <w:r>
        <w:t xml:space="preserve">Organisations can participate in </w:t>
      </w:r>
      <w:r w:rsidR="00D452A8" w:rsidRPr="00CC3C8E">
        <w:rPr>
          <w:b/>
        </w:rPr>
        <w:t>one</w:t>
      </w:r>
      <w:r w:rsidR="00D452A8">
        <w:t xml:space="preserve"> application</w:t>
      </w:r>
      <w:r>
        <w:t xml:space="preserve"> as </w:t>
      </w:r>
      <w:r w:rsidR="00D452A8">
        <w:t xml:space="preserve">a </w:t>
      </w:r>
      <w:r>
        <w:t xml:space="preserve">non-lead member of </w:t>
      </w:r>
      <w:r w:rsidR="00D452A8">
        <w:t>a consortium. This application</w:t>
      </w:r>
      <w:r>
        <w:t xml:space="preserve"> </w:t>
      </w:r>
      <w:r w:rsidRPr="001E272B">
        <w:rPr>
          <w:u w:val="single"/>
        </w:rPr>
        <w:t>do</w:t>
      </w:r>
      <w:r w:rsidR="00D452A8">
        <w:rPr>
          <w:u w:val="single"/>
        </w:rPr>
        <w:t>es</w:t>
      </w:r>
      <w:r w:rsidRPr="001E272B">
        <w:rPr>
          <w:u w:val="single"/>
        </w:rPr>
        <w:t xml:space="preserve"> not</w:t>
      </w:r>
      <w:r>
        <w:t xml:space="preserve"> count towards the total number of applications</w:t>
      </w:r>
      <w:r w:rsidR="00A577E9">
        <w:t xml:space="preserve"> that </w:t>
      </w:r>
      <w:r w:rsidR="008D1648">
        <w:t xml:space="preserve">the </w:t>
      </w:r>
      <w:r w:rsidR="00A577E9">
        <w:t>organisation may make in its own right</w:t>
      </w:r>
      <w:r>
        <w:t>.</w:t>
      </w:r>
    </w:p>
    <w:p w14:paraId="411FAED5" w14:textId="77777777" w:rsidR="00D72278" w:rsidRDefault="00D72278" w:rsidP="00205977">
      <w:pPr>
        <w:spacing w:before="0" w:after="120" w:line="276" w:lineRule="auto"/>
        <w:rPr>
          <w:i/>
          <w:color w:val="7F7F7F" w:themeColor="text1" w:themeTint="80"/>
        </w:rPr>
      </w:pPr>
      <w:proofErr w:type="spellStart"/>
      <w:r w:rsidRPr="00106F32">
        <w:rPr>
          <w:i/>
          <w:color w:val="7F7F7F" w:themeColor="text1" w:themeTint="80"/>
        </w:rPr>
        <w:t>E.g</w:t>
      </w:r>
      <w:proofErr w:type="spellEnd"/>
      <w:r w:rsidRPr="00106F32">
        <w:rPr>
          <w:i/>
          <w:color w:val="7F7F7F" w:themeColor="text1" w:themeTint="80"/>
        </w:rPr>
        <w:t xml:space="preserve"> </w:t>
      </w:r>
      <w:proofErr w:type="spellStart"/>
      <w:r w:rsidR="001B13D0">
        <w:rPr>
          <w:i/>
          <w:color w:val="7F7F7F" w:themeColor="text1" w:themeTint="80"/>
        </w:rPr>
        <w:t>Parson</w:t>
      </w:r>
      <w:r w:rsidR="00205977">
        <w:rPr>
          <w:i/>
          <w:color w:val="7F7F7F" w:themeColor="text1" w:themeTint="80"/>
        </w:rPr>
        <w:t>ville</w:t>
      </w:r>
      <w:proofErr w:type="spellEnd"/>
      <w:r>
        <w:rPr>
          <w:i/>
          <w:color w:val="7F7F7F" w:themeColor="text1" w:themeTint="80"/>
        </w:rPr>
        <w:t xml:space="preserve"> Peers have submitted a single application on behalf of their own organisation. They have been invited to join </w:t>
      </w:r>
      <w:r w:rsidR="00A577E9">
        <w:rPr>
          <w:i/>
          <w:color w:val="7F7F7F" w:themeColor="text1" w:themeTint="80"/>
        </w:rPr>
        <w:t xml:space="preserve">(but not lead) </w:t>
      </w:r>
      <w:r>
        <w:rPr>
          <w:i/>
          <w:color w:val="7F7F7F" w:themeColor="text1" w:themeTint="80"/>
        </w:rPr>
        <w:t xml:space="preserve">a consortium. Their involvement in both </w:t>
      </w:r>
      <w:r w:rsidR="00A577E9">
        <w:rPr>
          <w:i/>
          <w:color w:val="7F7F7F" w:themeColor="text1" w:themeTint="80"/>
        </w:rPr>
        <w:t xml:space="preserve">applications in this way </w:t>
      </w:r>
      <w:r>
        <w:rPr>
          <w:i/>
          <w:color w:val="7F7F7F" w:themeColor="text1" w:themeTint="80"/>
        </w:rPr>
        <w:t xml:space="preserve">is </w:t>
      </w:r>
      <w:r w:rsidR="00A577E9">
        <w:rPr>
          <w:i/>
          <w:color w:val="7F7F7F" w:themeColor="text1" w:themeTint="80"/>
        </w:rPr>
        <w:t>acceptable</w:t>
      </w:r>
      <w:r>
        <w:rPr>
          <w:i/>
          <w:color w:val="7F7F7F" w:themeColor="text1" w:themeTint="80"/>
        </w:rPr>
        <w:t>.</w:t>
      </w:r>
    </w:p>
    <w:p w14:paraId="7783099A" w14:textId="77777777" w:rsidR="00D72278" w:rsidRDefault="00D72278" w:rsidP="00205977">
      <w:pPr>
        <w:spacing w:before="0" w:after="120" w:line="276" w:lineRule="auto"/>
        <w:rPr>
          <w:i/>
          <w:color w:val="7F7F7F" w:themeColor="text1" w:themeTint="80"/>
        </w:rPr>
      </w:pPr>
      <w:r>
        <w:rPr>
          <w:i/>
          <w:color w:val="7F7F7F" w:themeColor="text1" w:themeTint="80"/>
        </w:rPr>
        <w:t xml:space="preserve">E.g. </w:t>
      </w:r>
      <w:proofErr w:type="spellStart"/>
      <w:r>
        <w:rPr>
          <w:i/>
          <w:color w:val="7F7F7F" w:themeColor="text1" w:themeTint="80"/>
        </w:rPr>
        <w:t>LifEnAble</w:t>
      </w:r>
      <w:proofErr w:type="spellEnd"/>
      <w:r>
        <w:rPr>
          <w:i/>
          <w:color w:val="7F7F7F" w:themeColor="text1" w:themeTint="80"/>
        </w:rPr>
        <w:t xml:space="preserve"> decided to submit an application as a lead organisation of a consortium. They have </w:t>
      </w:r>
      <w:r w:rsidR="004570DB">
        <w:rPr>
          <w:i/>
          <w:color w:val="7F7F7F" w:themeColor="text1" w:themeTint="80"/>
        </w:rPr>
        <w:t xml:space="preserve">also </w:t>
      </w:r>
      <w:r>
        <w:rPr>
          <w:i/>
          <w:color w:val="7F7F7F" w:themeColor="text1" w:themeTint="80"/>
        </w:rPr>
        <w:t xml:space="preserve">been approached to be a non-lead member of a separate consortium. Their involvement in both </w:t>
      </w:r>
      <w:r w:rsidR="00A577E9">
        <w:rPr>
          <w:i/>
          <w:color w:val="7F7F7F" w:themeColor="text1" w:themeTint="80"/>
        </w:rPr>
        <w:t xml:space="preserve">applications </w:t>
      </w:r>
      <w:r w:rsidR="00D43003">
        <w:rPr>
          <w:i/>
          <w:color w:val="7F7F7F" w:themeColor="text1" w:themeTint="80"/>
        </w:rPr>
        <w:t xml:space="preserve">in this way </w:t>
      </w:r>
      <w:r w:rsidR="00A577E9">
        <w:rPr>
          <w:i/>
          <w:color w:val="7F7F7F" w:themeColor="text1" w:themeTint="80"/>
        </w:rPr>
        <w:t>is acceptable</w:t>
      </w:r>
      <w:r>
        <w:rPr>
          <w:i/>
          <w:color w:val="7F7F7F" w:themeColor="text1" w:themeTint="80"/>
        </w:rPr>
        <w:t>.</w:t>
      </w:r>
    </w:p>
    <w:p w14:paraId="79144C2F" w14:textId="77777777" w:rsidR="00445418" w:rsidRPr="00445418" w:rsidRDefault="00445418" w:rsidP="00D43003">
      <w:pPr>
        <w:spacing w:before="0" w:after="0" w:line="276" w:lineRule="auto"/>
      </w:pPr>
    </w:p>
    <w:p w14:paraId="1ABB8F01" w14:textId="77777777" w:rsidR="00D72278" w:rsidRPr="0057469B" w:rsidRDefault="00D72278" w:rsidP="00637E21">
      <w:pPr>
        <w:spacing w:line="276" w:lineRule="auto"/>
        <w:rPr>
          <w:b/>
        </w:rPr>
      </w:pPr>
      <w:proofErr w:type="spellStart"/>
      <w:r w:rsidRPr="0057469B">
        <w:rPr>
          <w:b/>
        </w:rPr>
        <w:t>Auspicing</w:t>
      </w:r>
      <w:proofErr w:type="spellEnd"/>
      <w:r w:rsidRPr="0057469B">
        <w:rPr>
          <w:b/>
        </w:rPr>
        <w:t xml:space="preserve"> </w:t>
      </w:r>
      <w:r w:rsidR="00484A81" w:rsidRPr="0057469B">
        <w:rPr>
          <w:b/>
        </w:rPr>
        <w:t xml:space="preserve">applications </w:t>
      </w:r>
      <w:r w:rsidRPr="0057469B">
        <w:t xml:space="preserve">(see also Section </w:t>
      </w:r>
      <w:r w:rsidR="00487FDE" w:rsidRPr="0057469B">
        <w:t>3.6</w:t>
      </w:r>
      <w:r w:rsidRPr="0057469B">
        <w:t>)</w:t>
      </w:r>
    </w:p>
    <w:p w14:paraId="2869CA71" w14:textId="613A43E7" w:rsidR="00683D4D" w:rsidRDefault="00AE4821" w:rsidP="00683D4D">
      <w:pPr>
        <w:spacing w:before="0" w:line="276" w:lineRule="auto"/>
      </w:pPr>
      <w:r>
        <w:t>A</w:t>
      </w:r>
      <w:r w:rsidR="001B13D0">
        <w:t xml:space="preserve">n organisation </w:t>
      </w:r>
      <w:r>
        <w:t xml:space="preserve">that </w:t>
      </w:r>
      <w:r w:rsidR="001B13D0">
        <w:t>meets the eligible applicant types</w:t>
      </w:r>
      <w:r w:rsidR="00873C4C">
        <w:t xml:space="preserve"> defined in section 3.1 (i.e.</w:t>
      </w:r>
      <w:r w:rsidR="009964B4">
        <w:t xml:space="preserve"> </w:t>
      </w:r>
      <w:r w:rsidR="001B13D0">
        <w:t>is a DPFO, or is a</w:t>
      </w:r>
      <w:r w:rsidR="008D1648">
        <w:t>n organisation led by ILC</w:t>
      </w:r>
      <w:r w:rsidR="001B13D0">
        <w:t xml:space="preserve"> Priority Cohort </w:t>
      </w:r>
      <w:r w:rsidR="008D1648">
        <w:t>groups</w:t>
      </w:r>
      <w:r w:rsidR="00873C4C">
        <w:t xml:space="preserve">), but </w:t>
      </w:r>
      <w:r>
        <w:t xml:space="preserve">is </w:t>
      </w:r>
      <w:r w:rsidRPr="0057469B">
        <w:rPr>
          <w:lang w:val="en-US"/>
        </w:rPr>
        <w:t>unwilling or unable to take on the responsibilities of grant management</w:t>
      </w:r>
      <w:r>
        <w:rPr>
          <w:lang w:val="en-US"/>
        </w:rPr>
        <w:t xml:space="preserve">, </w:t>
      </w:r>
      <w:r w:rsidR="0057469B" w:rsidRPr="0057469B">
        <w:t xml:space="preserve">can approach any eligible entity that satisfies the requirements at Section 3.2 and 3.3 to act as an </w:t>
      </w:r>
      <w:proofErr w:type="spellStart"/>
      <w:r w:rsidR="0057469B" w:rsidRPr="0057469B">
        <w:t>auspicor</w:t>
      </w:r>
      <w:proofErr w:type="spellEnd"/>
      <w:r w:rsidR="0057469B" w:rsidRPr="0057469B">
        <w:t xml:space="preserve"> for their application. </w:t>
      </w:r>
    </w:p>
    <w:p w14:paraId="7D8829EA" w14:textId="77777777" w:rsidR="0057469B" w:rsidRPr="0057469B" w:rsidRDefault="0057469B" w:rsidP="00683D4D">
      <w:pPr>
        <w:spacing w:before="0" w:line="276" w:lineRule="auto"/>
      </w:pPr>
      <w:r w:rsidRPr="0057469B">
        <w:t xml:space="preserve">In these circumstances the </w:t>
      </w:r>
      <w:proofErr w:type="spellStart"/>
      <w:r w:rsidRPr="0057469B">
        <w:t>auspicor</w:t>
      </w:r>
      <w:proofErr w:type="spellEnd"/>
      <w:r w:rsidRPr="0057469B">
        <w:t xml:space="preserve"> becomes the applicant and, if the application is successful, will receive and manage the funding on behalf of the </w:t>
      </w:r>
      <w:proofErr w:type="spellStart"/>
      <w:r w:rsidRPr="0057469B">
        <w:t>auspiced</w:t>
      </w:r>
      <w:proofErr w:type="spellEnd"/>
      <w:r w:rsidRPr="0057469B">
        <w:t xml:space="preserve"> group or organisation (</w:t>
      </w:r>
      <w:proofErr w:type="spellStart"/>
      <w:r w:rsidRPr="0057469B">
        <w:t>auspicee</w:t>
      </w:r>
      <w:proofErr w:type="spellEnd"/>
      <w:r w:rsidRPr="0057469B">
        <w:t xml:space="preserve">). </w:t>
      </w:r>
      <w:r w:rsidRPr="0057469B">
        <w:rPr>
          <w:lang w:val="en-US"/>
        </w:rPr>
        <w:t xml:space="preserve">As the successful applicant and contracting entity, the </w:t>
      </w:r>
      <w:proofErr w:type="spellStart"/>
      <w:r w:rsidRPr="0057469B">
        <w:t>auspicor</w:t>
      </w:r>
      <w:proofErr w:type="spellEnd"/>
      <w:r w:rsidRPr="0057469B">
        <w:rPr>
          <w:lang w:val="en-US"/>
        </w:rPr>
        <w:t xml:space="preserve"> is legally responsible for meeting the contractual obligations of the grant. </w:t>
      </w:r>
    </w:p>
    <w:p w14:paraId="6BBCE02E" w14:textId="77777777" w:rsidR="0057469B" w:rsidRPr="0057469B" w:rsidRDefault="00AE4821" w:rsidP="0057469B">
      <w:pPr>
        <w:spacing w:after="120" w:line="276" w:lineRule="auto"/>
      </w:pPr>
      <w:proofErr w:type="spellStart"/>
      <w:r>
        <w:rPr>
          <w:lang w:val="en-US"/>
        </w:rPr>
        <w:t>O</w:t>
      </w:r>
      <w:r w:rsidR="0057469B" w:rsidRPr="0057469B">
        <w:rPr>
          <w:lang w:val="en-US"/>
        </w:rPr>
        <w:t>rganisations</w:t>
      </w:r>
      <w:proofErr w:type="spellEnd"/>
      <w:r w:rsidR="0057469B" w:rsidRPr="0057469B">
        <w:rPr>
          <w:lang w:val="en-US"/>
        </w:rPr>
        <w:t xml:space="preserve"> may act as the </w:t>
      </w:r>
      <w:proofErr w:type="spellStart"/>
      <w:r w:rsidR="0057469B" w:rsidRPr="0057469B">
        <w:t>auspicor</w:t>
      </w:r>
      <w:proofErr w:type="spellEnd"/>
      <w:r w:rsidR="0057469B" w:rsidRPr="0057469B">
        <w:rPr>
          <w:lang w:val="en-US"/>
        </w:rPr>
        <w:t xml:space="preserve"> for more than one </w:t>
      </w:r>
      <w:r>
        <w:rPr>
          <w:lang w:val="en-US"/>
        </w:rPr>
        <w:t>application</w:t>
      </w:r>
      <w:r w:rsidR="0057469B" w:rsidRPr="0057469B">
        <w:rPr>
          <w:lang w:val="en-US"/>
        </w:rPr>
        <w:t xml:space="preserve">. Acting as an </w:t>
      </w:r>
      <w:proofErr w:type="spellStart"/>
      <w:r w:rsidR="0057469B" w:rsidRPr="0057469B">
        <w:t>auspicor</w:t>
      </w:r>
      <w:proofErr w:type="spellEnd"/>
      <w:r w:rsidR="0057469B" w:rsidRPr="0057469B">
        <w:t xml:space="preserve"> </w:t>
      </w:r>
      <w:r w:rsidR="0057469B" w:rsidRPr="0057469B">
        <w:rPr>
          <w:u w:val="single"/>
        </w:rPr>
        <w:t>does not</w:t>
      </w:r>
      <w:r w:rsidR="0057469B" w:rsidRPr="0057469B">
        <w:t xml:space="preserve"> count towards the total number </w:t>
      </w:r>
      <w:r>
        <w:t xml:space="preserve">of applications that an </w:t>
      </w:r>
      <w:r w:rsidR="0057469B" w:rsidRPr="0057469B">
        <w:t xml:space="preserve">organisation is eligible to submit. </w:t>
      </w:r>
    </w:p>
    <w:p w14:paraId="47F12D63" w14:textId="77777777" w:rsidR="0057469B" w:rsidRPr="0057469B" w:rsidRDefault="0057469B" w:rsidP="0057469B">
      <w:pPr>
        <w:spacing w:line="276" w:lineRule="auto"/>
      </w:pPr>
      <w:r w:rsidRPr="0057469B">
        <w:lastRenderedPageBreak/>
        <w:t xml:space="preserve">In addition to the other requirements, the application must explain why the </w:t>
      </w:r>
      <w:proofErr w:type="spellStart"/>
      <w:r w:rsidRPr="0057469B">
        <w:t>auspicor</w:t>
      </w:r>
      <w:proofErr w:type="spellEnd"/>
      <w:r w:rsidRPr="0057469B">
        <w:t xml:space="preserve"> is the appropriate body to be </w:t>
      </w:r>
      <w:proofErr w:type="spellStart"/>
      <w:r w:rsidRPr="0057469B">
        <w:t>auspicing</w:t>
      </w:r>
      <w:proofErr w:type="spellEnd"/>
      <w:r w:rsidRPr="0057469B">
        <w:t xml:space="preserve"> the application.</w:t>
      </w:r>
    </w:p>
    <w:p w14:paraId="0A66FF5E" w14:textId="77777777" w:rsidR="0057469B" w:rsidRPr="0057469B" w:rsidRDefault="0057469B" w:rsidP="0057469B">
      <w:pPr>
        <w:spacing w:before="0" w:after="120" w:line="276" w:lineRule="auto"/>
        <w:rPr>
          <w:i/>
          <w:color w:val="7F7F7F" w:themeColor="text1" w:themeTint="80"/>
        </w:rPr>
      </w:pPr>
      <w:r w:rsidRPr="0057469B">
        <w:rPr>
          <w:i/>
          <w:color w:val="7F7F7F" w:themeColor="text1" w:themeTint="80"/>
        </w:rPr>
        <w:t xml:space="preserve">E.g. </w:t>
      </w:r>
      <w:proofErr w:type="spellStart"/>
      <w:r w:rsidRPr="0057469B">
        <w:rPr>
          <w:i/>
          <w:color w:val="7F7F7F" w:themeColor="text1" w:themeTint="80"/>
        </w:rPr>
        <w:t>Cardi</w:t>
      </w:r>
      <w:proofErr w:type="spellEnd"/>
      <w:r w:rsidRPr="0057469B">
        <w:rPr>
          <w:i/>
          <w:color w:val="7F7F7F" w:themeColor="text1" w:themeTint="80"/>
        </w:rPr>
        <w:t xml:space="preserve"> Parent Support group is an unincorporated organisation</w:t>
      </w:r>
      <w:r w:rsidR="0049210D">
        <w:rPr>
          <w:i/>
          <w:color w:val="7F7F7F" w:themeColor="text1" w:themeTint="80"/>
        </w:rPr>
        <w:t xml:space="preserve"> that meets the definition of a DPFO</w:t>
      </w:r>
      <w:r w:rsidRPr="0057469B">
        <w:rPr>
          <w:i/>
          <w:color w:val="7F7F7F" w:themeColor="text1" w:themeTint="80"/>
        </w:rPr>
        <w:t xml:space="preserve">. They have approached the </w:t>
      </w:r>
      <w:proofErr w:type="spellStart"/>
      <w:r w:rsidRPr="0057469B">
        <w:rPr>
          <w:i/>
          <w:color w:val="7F7F7F" w:themeColor="text1" w:themeTint="80"/>
        </w:rPr>
        <w:t>Cardi</w:t>
      </w:r>
      <w:proofErr w:type="spellEnd"/>
      <w:r w:rsidRPr="0057469B">
        <w:rPr>
          <w:i/>
          <w:color w:val="7F7F7F" w:themeColor="text1" w:themeTint="80"/>
        </w:rPr>
        <w:t xml:space="preserve"> District Neighbourhood House to </w:t>
      </w:r>
      <w:r w:rsidR="00AE4821">
        <w:rPr>
          <w:i/>
          <w:color w:val="7F7F7F" w:themeColor="text1" w:themeTint="80"/>
        </w:rPr>
        <w:t xml:space="preserve">be the </w:t>
      </w:r>
      <w:proofErr w:type="spellStart"/>
      <w:r w:rsidR="00AE4821">
        <w:rPr>
          <w:i/>
          <w:color w:val="7F7F7F" w:themeColor="text1" w:themeTint="80"/>
        </w:rPr>
        <w:t>auspicor</w:t>
      </w:r>
      <w:proofErr w:type="spellEnd"/>
      <w:r w:rsidR="00AE4821">
        <w:rPr>
          <w:i/>
          <w:color w:val="7F7F7F" w:themeColor="text1" w:themeTint="80"/>
        </w:rPr>
        <w:t xml:space="preserve"> for</w:t>
      </w:r>
      <w:r w:rsidRPr="0057469B">
        <w:rPr>
          <w:i/>
          <w:color w:val="7F7F7F" w:themeColor="text1" w:themeTint="80"/>
        </w:rPr>
        <w:t xml:space="preserve"> their application. The Neighbourhood House will be the applicant and will receive and administer the funds on behalf of the </w:t>
      </w:r>
      <w:proofErr w:type="spellStart"/>
      <w:r w:rsidRPr="0057469B">
        <w:rPr>
          <w:i/>
          <w:color w:val="7F7F7F" w:themeColor="text1" w:themeTint="80"/>
        </w:rPr>
        <w:t>Cardi</w:t>
      </w:r>
      <w:proofErr w:type="spellEnd"/>
      <w:r w:rsidRPr="0057469B">
        <w:rPr>
          <w:i/>
          <w:color w:val="7F7F7F" w:themeColor="text1" w:themeTint="80"/>
        </w:rPr>
        <w:t xml:space="preserve"> Parent Support group.</w:t>
      </w:r>
    </w:p>
    <w:p w14:paraId="2C5F68CE" w14:textId="6197B3FF" w:rsidR="0057469B" w:rsidRPr="0057469B" w:rsidRDefault="0057469B" w:rsidP="0057469B">
      <w:pPr>
        <w:spacing w:before="0" w:after="120" w:line="276" w:lineRule="auto"/>
        <w:rPr>
          <w:i/>
          <w:color w:val="7F7F7F" w:themeColor="text1" w:themeTint="80"/>
        </w:rPr>
      </w:pPr>
      <w:r w:rsidRPr="0057469B">
        <w:rPr>
          <w:i/>
          <w:color w:val="7F7F7F" w:themeColor="text1" w:themeTint="80"/>
        </w:rPr>
        <w:t xml:space="preserve">E.g. </w:t>
      </w:r>
      <w:proofErr w:type="spellStart"/>
      <w:r w:rsidRPr="0057469B">
        <w:rPr>
          <w:i/>
          <w:color w:val="7F7F7F" w:themeColor="text1" w:themeTint="80"/>
        </w:rPr>
        <w:t>LifEnAble</w:t>
      </w:r>
      <w:proofErr w:type="spellEnd"/>
      <w:r w:rsidRPr="0057469B">
        <w:rPr>
          <w:i/>
          <w:color w:val="7F7F7F" w:themeColor="text1" w:themeTint="80"/>
        </w:rPr>
        <w:t xml:space="preserve"> have submitted an application as a lead member of a consortium. They are involved in a second application as a non-lead member of a separate consortium. They will also submit two further applications as </w:t>
      </w:r>
      <w:proofErr w:type="spellStart"/>
      <w:r w:rsidRPr="0057469B">
        <w:rPr>
          <w:i/>
          <w:color w:val="7F7F7F" w:themeColor="text1" w:themeTint="80"/>
        </w:rPr>
        <w:t>auspicor</w:t>
      </w:r>
      <w:proofErr w:type="spellEnd"/>
      <w:r w:rsidRPr="0057469B">
        <w:rPr>
          <w:i/>
          <w:color w:val="7F7F7F" w:themeColor="text1" w:themeTint="80"/>
        </w:rPr>
        <w:t xml:space="preserve"> of two local community organisations that </w:t>
      </w:r>
      <w:r w:rsidR="0049210D">
        <w:rPr>
          <w:i/>
          <w:color w:val="7F7F7F" w:themeColor="text1" w:themeTint="80"/>
        </w:rPr>
        <w:t>are DPFO</w:t>
      </w:r>
      <w:r w:rsidR="008D1648">
        <w:rPr>
          <w:i/>
          <w:color w:val="7F7F7F" w:themeColor="text1" w:themeTint="80"/>
        </w:rPr>
        <w:t>s</w:t>
      </w:r>
      <w:r w:rsidR="0049210D">
        <w:rPr>
          <w:i/>
          <w:color w:val="7F7F7F" w:themeColor="text1" w:themeTint="80"/>
        </w:rPr>
        <w:t>.</w:t>
      </w:r>
      <w:r w:rsidRPr="0057469B">
        <w:rPr>
          <w:i/>
          <w:color w:val="7F7F7F" w:themeColor="text1" w:themeTint="80"/>
        </w:rPr>
        <w:t xml:space="preserve"> </w:t>
      </w:r>
      <w:proofErr w:type="spellStart"/>
      <w:r w:rsidR="0049210D">
        <w:rPr>
          <w:i/>
          <w:color w:val="7F7F7F" w:themeColor="text1" w:themeTint="80"/>
        </w:rPr>
        <w:t>LifEnAble’s</w:t>
      </w:r>
      <w:proofErr w:type="spellEnd"/>
      <w:r w:rsidR="0049210D">
        <w:rPr>
          <w:i/>
          <w:color w:val="7F7F7F" w:themeColor="text1" w:themeTint="80"/>
        </w:rPr>
        <w:t xml:space="preserve"> </w:t>
      </w:r>
      <w:r w:rsidRPr="0057469B">
        <w:rPr>
          <w:i/>
          <w:color w:val="7F7F7F" w:themeColor="text1" w:themeTint="80"/>
        </w:rPr>
        <w:t>involvement in each of these applications is acceptable.</w:t>
      </w:r>
    </w:p>
    <w:p w14:paraId="63446E64" w14:textId="77777777" w:rsidR="0057469B" w:rsidRDefault="0057469B" w:rsidP="00CC3C8E">
      <w:pPr>
        <w:spacing w:before="0" w:after="120" w:line="276" w:lineRule="auto"/>
        <w:rPr>
          <w:color w:val="000000" w:themeColor="text1"/>
        </w:rPr>
      </w:pPr>
    </w:p>
    <w:p w14:paraId="534BDE13" w14:textId="77777777" w:rsidR="00882ED3" w:rsidRPr="00866E8F" w:rsidRDefault="00882ED3" w:rsidP="00D43003">
      <w:pPr>
        <w:spacing w:line="276" w:lineRule="auto"/>
        <w:rPr>
          <w:b/>
        </w:rPr>
      </w:pPr>
      <w:r w:rsidRPr="00866E8F">
        <w:rPr>
          <w:b/>
        </w:rPr>
        <w:t>Applications in excess of the total number</w:t>
      </w:r>
    </w:p>
    <w:p w14:paraId="20936063" w14:textId="77777777" w:rsidR="00D72278" w:rsidRDefault="00D72278" w:rsidP="00D43003">
      <w:pPr>
        <w:spacing w:before="0" w:after="120" w:line="276" w:lineRule="auto"/>
      </w:pPr>
      <w:r>
        <w:t xml:space="preserve">Where an </w:t>
      </w:r>
      <w:r w:rsidR="00D57101">
        <w:t xml:space="preserve">applicant </w:t>
      </w:r>
      <w:r w:rsidR="00157BE7">
        <w:t xml:space="preserve">submits more </w:t>
      </w:r>
      <w:r w:rsidR="00484A81">
        <w:t>applications</w:t>
      </w:r>
      <w:r w:rsidR="0049210D">
        <w:t xml:space="preserve"> than it is eligible to submit, </w:t>
      </w:r>
      <w:r w:rsidR="001E272B">
        <w:t>the</w:t>
      </w:r>
      <w:r>
        <w:t xml:space="preserve"> </w:t>
      </w:r>
      <w:r w:rsidR="00484A81">
        <w:t xml:space="preserve">application </w:t>
      </w:r>
      <w:r w:rsidR="00157BE7">
        <w:t xml:space="preserve">that </w:t>
      </w:r>
      <w:r w:rsidR="00A63C7B">
        <w:t>is</w:t>
      </w:r>
      <w:r w:rsidR="00157BE7">
        <w:t xml:space="preserve"> </w:t>
      </w:r>
      <w:r w:rsidR="00F9058D">
        <w:t xml:space="preserve">received closest to the closing date will be accepted and assessed. </w:t>
      </w:r>
      <w:r w:rsidR="00D71DEE">
        <w:t xml:space="preserve">All other </w:t>
      </w:r>
      <w:r w:rsidR="00484A81">
        <w:t xml:space="preserve">applications </w:t>
      </w:r>
      <w:r w:rsidR="00D71DEE">
        <w:t>in excess of the tota</w:t>
      </w:r>
      <w:r w:rsidR="00866E8F">
        <w:t>l number will not be considered in assessment</w:t>
      </w:r>
      <w:r w:rsidR="00E960EF">
        <w:t>.</w:t>
      </w:r>
    </w:p>
    <w:p w14:paraId="50E57581" w14:textId="77777777" w:rsidR="002E34E4" w:rsidRDefault="00F9058D" w:rsidP="00CC3C8E">
      <w:pPr>
        <w:spacing w:after="120" w:line="276" w:lineRule="auto"/>
      </w:pPr>
      <w:r>
        <w:t>During assessment, t</w:t>
      </w:r>
      <w:r w:rsidR="00227548">
        <w:t>he</w:t>
      </w:r>
      <w:r w:rsidR="0049210D">
        <w:t xml:space="preserve"> NDIA will consider </w:t>
      </w:r>
      <w:r w:rsidR="00D71DEE">
        <w:t>capacity</w:t>
      </w:r>
      <w:r w:rsidR="0049210D">
        <w:t>,</w:t>
      </w:r>
      <w:r w:rsidR="00D71DEE">
        <w:t xml:space="preserve"> </w:t>
      </w:r>
      <w:r w:rsidR="0049210D">
        <w:t xml:space="preserve">where the applicant is </w:t>
      </w:r>
      <w:r>
        <w:t>involved in</w:t>
      </w:r>
      <w:r w:rsidR="00D71DEE">
        <w:t xml:space="preserve"> multiple </w:t>
      </w:r>
      <w:r w:rsidR="00484A81">
        <w:t xml:space="preserve">applications </w:t>
      </w:r>
      <w:r w:rsidR="00636F59">
        <w:t>via consortia</w:t>
      </w:r>
      <w:r w:rsidR="002E34E4">
        <w:t xml:space="preserve"> or auspice arrang</w:t>
      </w:r>
      <w:r w:rsidR="001928C1">
        <w:t>e</w:t>
      </w:r>
      <w:r w:rsidR="002E34E4">
        <w:t>ment</w:t>
      </w:r>
      <w:r w:rsidR="001928C1">
        <w:t>s</w:t>
      </w:r>
      <w:r w:rsidR="00636F59">
        <w:t>.</w:t>
      </w:r>
      <w:r w:rsidR="00F123E4">
        <w:t xml:space="preserve"> </w:t>
      </w:r>
      <w:r w:rsidR="00D71DEE">
        <w:t xml:space="preserve">The NDIA </w:t>
      </w:r>
      <w:r w:rsidR="001E272B">
        <w:t>will also consider potential duplication of funding across multiple applications involving the same organisation</w:t>
      </w:r>
      <w:r>
        <w:t xml:space="preserve"> (i.e.</w:t>
      </w:r>
      <w:r w:rsidR="00D71DEE">
        <w:t xml:space="preserve"> will consider whether </w:t>
      </w:r>
      <w:r w:rsidR="00D57101">
        <w:t xml:space="preserve">applicants </w:t>
      </w:r>
      <w:r w:rsidR="00D71DEE">
        <w:t>are receiving multipl</w:t>
      </w:r>
      <w:r w:rsidR="005C7ED5">
        <w:t>e</w:t>
      </w:r>
      <w:r w:rsidR="00D71DEE">
        <w:t xml:space="preserve"> streams of funding for delivering the same </w:t>
      </w:r>
      <w:r w:rsidR="00227548">
        <w:t>or similar services or projects</w:t>
      </w:r>
      <w:r>
        <w:t>)</w:t>
      </w:r>
      <w:r w:rsidR="001E272B">
        <w:t>.</w:t>
      </w:r>
    </w:p>
    <w:p w14:paraId="0DD9B0E8" w14:textId="77777777" w:rsidR="0045446B" w:rsidRDefault="0045446B" w:rsidP="00CC3C8E">
      <w:pPr>
        <w:pStyle w:val="Heading1Numbered"/>
        <w:spacing w:before="600" w:line="276" w:lineRule="auto"/>
        <w:contextualSpacing w:val="0"/>
      </w:pPr>
      <w:bookmarkStart w:id="19" w:name="_Toc531005167"/>
      <w:r>
        <w:t xml:space="preserve">3. </w:t>
      </w:r>
      <w:r w:rsidR="00ED58F1">
        <w:t>Organisational Eligibility Criteria</w:t>
      </w:r>
      <w:bookmarkEnd w:id="19"/>
    </w:p>
    <w:p w14:paraId="73645BFE" w14:textId="1E13F002" w:rsidR="001403F1" w:rsidRDefault="00D72278" w:rsidP="0049210D">
      <w:pPr>
        <w:spacing w:before="0" w:after="120" w:line="276" w:lineRule="auto"/>
      </w:pPr>
      <w:r>
        <w:t xml:space="preserve">This </w:t>
      </w:r>
      <w:r w:rsidR="00D71DEE">
        <w:t>g</w:t>
      </w:r>
      <w:r>
        <w:t xml:space="preserve">rant </w:t>
      </w:r>
      <w:r w:rsidR="00D71DEE">
        <w:t>r</w:t>
      </w:r>
      <w:r w:rsidR="001403F1">
        <w:t xml:space="preserve">ound is </w:t>
      </w:r>
      <w:r w:rsidR="00517B9D">
        <w:t>an open</w:t>
      </w:r>
      <w:r w:rsidR="008D1648">
        <w:t>,</w:t>
      </w:r>
      <w:r w:rsidR="00517B9D">
        <w:t xml:space="preserve"> </w:t>
      </w:r>
      <w:r w:rsidR="0058694B">
        <w:t>non-</w:t>
      </w:r>
      <w:r w:rsidR="001403F1">
        <w:t>co</w:t>
      </w:r>
      <w:r>
        <w:t>mpetitive process.</w:t>
      </w:r>
      <w:r w:rsidR="00552798">
        <w:t xml:space="preserve"> </w:t>
      </w:r>
      <w:r w:rsidR="000C1399">
        <w:t xml:space="preserve">All </w:t>
      </w:r>
      <w:r w:rsidR="00D57101">
        <w:t xml:space="preserve">applicants </w:t>
      </w:r>
      <w:r w:rsidR="00C72271" w:rsidRPr="003E5947">
        <w:rPr>
          <w:b/>
        </w:rPr>
        <w:t>must</w:t>
      </w:r>
      <w:r w:rsidR="000C1399">
        <w:t xml:space="preserve"> demonstrate that they meet eligibility and assessment criteria and submit eligible</w:t>
      </w:r>
      <w:r w:rsidR="008D1648">
        <w:t xml:space="preserve"> applications to be considered.</w:t>
      </w:r>
    </w:p>
    <w:p w14:paraId="6C2A0373" w14:textId="77777777" w:rsidR="00A70770" w:rsidRDefault="00A70770" w:rsidP="00CC3C8E">
      <w:pPr>
        <w:pStyle w:val="Heading2Numbered"/>
        <w:spacing w:line="276" w:lineRule="auto"/>
        <w:contextualSpacing w:val="0"/>
      </w:pPr>
      <w:bookmarkStart w:id="20" w:name="_Toc531005168"/>
      <w:r>
        <w:t xml:space="preserve">3.1 </w:t>
      </w:r>
      <w:r w:rsidR="001B13D0">
        <w:t xml:space="preserve">Eligible </w:t>
      </w:r>
      <w:r w:rsidR="0049210D">
        <w:t>a</w:t>
      </w:r>
      <w:r w:rsidR="001B13D0">
        <w:t xml:space="preserve">pplicant </w:t>
      </w:r>
      <w:r w:rsidR="0049210D">
        <w:t>t</w:t>
      </w:r>
      <w:r w:rsidR="001B13D0">
        <w:t>ypes</w:t>
      </w:r>
      <w:bookmarkEnd w:id="20"/>
    </w:p>
    <w:p w14:paraId="7667E9DD" w14:textId="3C992C73" w:rsidR="000D26B2" w:rsidRDefault="000D26B2" w:rsidP="000D26B2">
      <w:pPr>
        <w:spacing w:line="276" w:lineRule="auto"/>
        <w:rPr>
          <w:rFonts w:asciiTheme="majorHAnsi" w:hAnsiTheme="majorHAnsi" w:cstheme="majorHAnsi"/>
        </w:rPr>
      </w:pPr>
      <w:r>
        <w:rPr>
          <w:rFonts w:asciiTheme="majorHAnsi" w:hAnsiTheme="majorHAnsi" w:cstheme="majorHAnsi"/>
        </w:rPr>
        <w:t>To be eligible to apply</w:t>
      </w:r>
      <w:r w:rsidR="008D1648">
        <w:rPr>
          <w:rFonts w:asciiTheme="majorHAnsi" w:hAnsiTheme="majorHAnsi" w:cstheme="majorHAnsi"/>
        </w:rPr>
        <w:t>,</w:t>
      </w:r>
      <w:r>
        <w:rPr>
          <w:rFonts w:asciiTheme="majorHAnsi" w:hAnsiTheme="majorHAnsi" w:cstheme="majorHAnsi"/>
        </w:rPr>
        <w:t xml:space="preserve"> organisations must be </w:t>
      </w:r>
      <w:r w:rsidR="008D1648">
        <w:rPr>
          <w:rFonts w:asciiTheme="majorHAnsi" w:hAnsiTheme="majorHAnsi" w:cstheme="majorHAnsi"/>
        </w:rPr>
        <w:t>either</w:t>
      </w:r>
      <w:r>
        <w:rPr>
          <w:rFonts w:asciiTheme="majorHAnsi" w:hAnsiTheme="majorHAnsi" w:cstheme="majorHAnsi"/>
        </w:rPr>
        <w:t xml:space="preserve"> one of the following:</w:t>
      </w:r>
    </w:p>
    <w:p w14:paraId="0B83AF69" w14:textId="77777777" w:rsidR="000D26B2" w:rsidRPr="00070763" w:rsidRDefault="000D26B2" w:rsidP="000D26B2">
      <w:pPr>
        <w:spacing w:line="276" w:lineRule="auto"/>
        <w:rPr>
          <w:rFonts w:asciiTheme="majorHAnsi" w:hAnsiTheme="majorHAnsi" w:cstheme="majorHAnsi"/>
        </w:rPr>
      </w:pPr>
      <w:r>
        <w:rPr>
          <w:rFonts w:asciiTheme="majorHAnsi" w:hAnsiTheme="majorHAnsi" w:cstheme="majorHAnsi"/>
        </w:rPr>
        <w:t xml:space="preserve">1. An organisation that meets </w:t>
      </w:r>
      <w:r w:rsidRPr="00EB255C">
        <w:rPr>
          <w:rFonts w:asciiTheme="majorHAnsi" w:hAnsiTheme="majorHAnsi" w:cstheme="majorHAnsi"/>
          <w:b/>
        </w:rPr>
        <w:t xml:space="preserve">all three </w:t>
      </w:r>
      <w:r>
        <w:rPr>
          <w:rFonts w:asciiTheme="majorHAnsi" w:hAnsiTheme="majorHAnsi" w:cstheme="majorHAnsi"/>
          <w:b/>
        </w:rPr>
        <w:t>criteria</w:t>
      </w:r>
      <w:r>
        <w:rPr>
          <w:rFonts w:asciiTheme="majorHAnsi" w:hAnsiTheme="majorHAnsi" w:cstheme="majorHAnsi"/>
        </w:rPr>
        <w:t xml:space="preserve"> for a DPFO outlined below</w:t>
      </w:r>
      <w:r w:rsidRPr="00070763">
        <w:rPr>
          <w:rFonts w:asciiTheme="majorHAnsi" w:hAnsiTheme="majorHAnsi" w:cstheme="majorHAnsi"/>
        </w:rPr>
        <w:t xml:space="preserve">: </w:t>
      </w:r>
    </w:p>
    <w:p w14:paraId="55ED06D1" w14:textId="77777777" w:rsidR="000D26B2" w:rsidRPr="00F665C7" w:rsidRDefault="000D26B2" w:rsidP="00EC3661">
      <w:pPr>
        <w:pStyle w:val="ListParagraph"/>
        <w:numPr>
          <w:ilvl w:val="0"/>
          <w:numId w:val="38"/>
        </w:numPr>
        <w:spacing w:after="120"/>
        <w:rPr>
          <w:rFonts w:ascii="Arial" w:hAnsi="Arial" w:cs="Arial"/>
        </w:rPr>
      </w:pPr>
      <w:r w:rsidRPr="00F665C7">
        <w:rPr>
          <w:rFonts w:ascii="Arial" w:hAnsi="Arial" w:cs="Arial"/>
        </w:rPr>
        <w:t>Actively demonstrate their commitment to the Social Model of Disability</w:t>
      </w:r>
      <w:r>
        <w:rPr>
          <w:rFonts w:ascii="Arial" w:hAnsi="Arial" w:cs="Arial"/>
        </w:rPr>
        <w:t xml:space="preserve">, </w:t>
      </w:r>
      <w:r w:rsidRPr="009426D1">
        <w:rPr>
          <w:rFonts w:ascii="Arial" w:hAnsi="Arial" w:cs="Arial"/>
        </w:rPr>
        <w:t xml:space="preserve">which seeks to </w:t>
      </w:r>
      <w:r w:rsidRPr="0017143D">
        <w:rPr>
          <w:rFonts w:ascii="Arial" w:hAnsi="Arial" w:cs="Arial"/>
        </w:rPr>
        <w:t>remove barriers</w:t>
      </w:r>
      <w:r w:rsidRPr="009426D1">
        <w:rPr>
          <w:rFonts w:ascii="Arial" w:hAnsi="Arial" w:cs="Arial"/>
        </w:rPr>
        <w:t xml:space="preserve"> for people with disability to access mainstream services and live an ordinary life</w:t>
      </w:r>
      <w:r w:rsidRPr="00F665C7">
        <w:rPr>
          <w:rFonts w:ascii="Arial" w:hAnsi="Arial" w:cs="Arial"/>
        </w:rPr>
        <w:t>;</w:t>
      </w:r>
      <w:r>
        <w:rPr>
          <w:rFonts w:ascii="Arial" w:hAnsi="Arial" w:cs="Arial"/>
        </w:rPr>
        <w:t xml:space="preserve"> and</w:t>
      </w:r>
    </w:p>
    <w:p w14:paraId="012B5832" w14:textId="77777777" w:rsidR="000D26B2" w:rsidRPr="00070763" w:rsidRDefault="000D26B2" w:rsidP="00EC3661">
      <w:pPr>
        <w:pStyle w:val="ListParagraph"/>
        <w:numPr>
          <w:ilvl w:val="0"/>
          <w:numId w:val="38"/>
        </w:numPr>
        <w:spacing w:after="120"/>
        <w:rPr>
          <w:rFonts w:asciiTheme="majorHAnsi" w:hAnsiTheme="majorHAnsi" w:cstheme="majorHAnsi"/>
        </w:rPr>
      </w:pPr>
      <w:r w:rsidRPr="00070763">
        <w:rPr>
          <w:rFonts w:asciiTheme="majorHAnsi" w:hAnsiTheme="majorHAnsi" w:cstheme="majorHAnsi"/>
        </w:rPr>
        <w:t xml:space="preserve">Are run by and for people with disability and/or </w:t>
      </w:r>
      <w:r>
        <w:rPr>
          <w:rFonts w:asciiTheme="majorHAnsi" w:hAnsiTheme="majorHAnsi" w:cstheme="majorHAnsi"/>
        </w:rPr>
        <w:t xml:space="preserve">their </w:t>
      </w:r>
      <w:r w:rsidRPr="00070763">
        <w:rPr>
          <w:rFonts w:asciiTheme="majorHAnsi" w:hAnsiTheme="majorHAnsi" w:cstheme="majorHAnsi"/>
        </w:rPr>
        <w:t>families;</w:t>
      </w:r>
      <w:r>
        <w:rPr>
          <w:rFonts w:asciiTheme="majorHAnsi" w:hAnsiTheme="majorHAnsi" w:cstheme="majorHAnsi"/>
        </w:rPr>
        <w:t xml:space="preserve"> and</w:t>
      </w:r>
    </w:p>
    <w:p w14:paraId="76E32896" w14:textId="77777777" w:rsidR="000D26B2" w:rsidRDefault="000D26B2" w:rsidP="00EC3661">
      <w:pPr>
        <w:pStyle w:val="ListParagraph"/>
        <w:numPr>
          <w:ilvl w:val="0"/>
          <w:numId w:val="38"/>
        </w:numPr>
        <w:spacing w:after="120"/>
        <w:rPr>
          <w:rFonts w:asciiTheme="majorHAnsi" w:hAnsiTheme="majorHAnsi" w:cstheme="majorHAnsi"/>
        </w:rPr>
      </w:pPr>
      <w:r w:rsidRPr="00070763">
        <w:rPr>
          <w:rFonts w:asciiTheme="majorHAnsi" w:hAnsiTheme="majorHAnsi" w:cstheme="majorHAnsi"/>
        </w:rPr>
        <w:t xml:space="preserve">Are led and controlled by people with disability and/or </w:t>
      </w:r>
      <w:r>
        <w:rPr>
          <w:rFonts w:asciiTheme="majorHAnsi" w:hAnsiTheme="majorHAnsi" w:cstheme="majorHAnsi"/>
        </w:rPr>
        <w:t xml:space="preserve">their </w:t>
      </w:r>
      <w:r w:rsidRPr="00070763">
        <w:rPr>
          <w:rFonts w:asciiTheme="majorHAnsi" w:hAnsiTheme="majorHAnsi" w:cstheme="majorHAnsi"/>
        </w:rPr>
        <w:t xml:space="preserve">families </w:t>
      </w:r>
      <w:r>
        <w:rPr>
          <w:rFonts w:asciiTheme="majorHAnsi" w:hAnsiTheme="majorHAnsi" w:cstheme="majorHAnsi"/>
        </w:rPr>
        <w:t>with</w:t>
      </w:r>
      <w:r w:rsidRPr="00070763">
        <w:rPr>
          <w:rFonts w:asciiTheme="majorHAnsi" w:hAnsiTheme="majorHAnsi" w:cstheme="majorHAnsi"/>
        </w:rPr>
        <w:t xml:space="preserve"> a minimum membership of 50% of people with a disability and/or </w:t>
      </w:r>
      <w:r>
        <w:rPr>
          <w:rFonts w:asciiTheme="majorHAnsi" w:hAnsiTheme="majorHAnsi" w:cstheme="majorHAnsi"/>
        </w:rPr>
        <w:t xml:space="preserve">their </w:t>
      </w:r>
      <w:r w:rsidRPr="00070763">
        <w:rPr>
          <w:rFonts w:asciiTheme="majorHAnsi" w:hAnsiTheme="majorHAnsi" w:cstheme="majorHAnsi"/>
        </w:rPr>
        <w:t xml:space="preserve">families </w:t>
      </w:r>
      <w:r>
        <w:rPr>
          <w:rFonts w:asciiTheme="majorHAnsi" w:hAnsiTheme="majorHAnsi" w:cstheme="majorHAnsi"/>
        </w:rPr>
        <w:t>making up the organisation’s</w:t>
      </w:r>
      <w:r w:rsidRPr="00070763">
        <w:rPr>
          <w:rFonts w:asciiTheme="majorHAnsi" w:hAnsiTheme="majorHAnsi" w:cstheme="majorHAnsi"/>
        </w:rPr>
        <w:t xml:space="preserve"> board, staff, volunteers or members</w:t>
      </w:r>
      <w:r>
        <w:rPr>
          <w:rFonts w:asciiTheme="majorHAnsi" w:hAnsiTheme="majorHAnsi" w:cstheme="majorHAnsi"/>
        </w:rPr>
        <w:t>.</w:t>
      </w:r>
    </w:p>
    <w:p w14:paraId="03990C11" w14:textId="77777777" w:rsidR="000D26B2" w:rsidRPr="00951B87" w:rsidRDefault="000D26B2" w:rsidP="008D1648">
      <w:pPr>
        <w:spacing w:after="360"/>
        <w:ind w:left="357"/>
        <w:rPr>
          <w:rFonts w:asciiTheme="majorHAnsi" w:hAnsiTheme="majorHAnsi" w:cstheme="majorHAnsi"/>
        </w:rPr>
      </w:pPr>
      <w:r>
        <w:lastRenderedPageBreak/>
        <w:t xml:space="preserve">Organisations which meet the criteria of DPFOs </w:t>
      </w:r>
      <w:r w:rsidRPr="00AF6E28">
        <w:rPr>
          <w:b/>
        </w:rPr>
        <w:t>must</w:t>
      </w:r>
      <w:r>
        <w:t xml:space="preserve"> apply for both Component 1 and 2 – organisational capacity building activities and individual capacity building activities.</w:t>
      </w:r>
    </w:p>
    <w:p w14:paraId="217093B6" w14:textId="77777777" w:rsidR="000D26B2" w:rsidRPr="00D445BF" w:rsidRDefault="000D26B2" w:rsidP="000D26B2">
      <w:pPr>
        <w:rPr>
          <w:rFonts w:asciiTheme="majorHAnsi" w:hAnsiTheme="majorHAnsi" w:cstheme="majorHAnsi"/>
        </w:rPr>
      </w:pPr>
      <w:r>
        <w:rPr>
          <w:rFonts w:asciiTheme="majorHAnsi" w:hAnsiTheme="majorHAnsi" w:cstheme="majorHAnsi"/>
        </w:rPr>
        <w:t>2. An</w:t>
      </w:r>
      <w:r w:rsidRPr="00D445BF">
        <w:rPr>
          <w:rFonts w:asciiTheme="majorHAnsi" w:hAnsiTheme="majorHAnsi" w:cstheme="majorHAnsi"/>
        </w:rPr>
        <w:t xml:space="preserve"> organisation led by and for ILC’s Priority Cohort Groups – these are organisations with a minimum of 50% representation of the cohort group on the board, s</w:t>
      </w:r>
      <w:r>
        <w:rPr>
          <w:rFonts w:asciiTheme="majorHAnsi" w:hAnsiTheme="majorHAnsi" w:cstheme="majorHAnsi"/>
        </w:rPr>
        <w:t>taff, volunteers or members (See Section 3.7</w:t>
      </w:r>
      <w:r w:rsidRPr="00D445BF">
        <w:rPr>
          <w:rFonts w:asciiTheme="majorHAnsi" w:hAnsiTheme="majorHAnsi" w:cstheme="majorHAnsi"/>
        </w:rPr>
        <w:t>) – ILC priority cohort groups for this funding round are:</w:t>
      </w:r>
    </w:p>
    <w:p w14:paraId="76DF750C" w14:textId="77777777" w:rsidR="000D26B2" w:rsidRPr="00C47598" w:rsidRDefault="000D26B2" w:rsidP="00EC3661">
      <w:pPr>
        <w:pStyle w:val="ListParagraph"/>
        <w:numPr>
          <w:ilvl w:val="0"/>
          <w:numId w:val="30"/>
        </w:numPr>
        <w:spacing w:after="120"/>
        <w:ind w:left="1077" w:hanging="357"/>
        <w:rPr>
          <w:rFonts w:asciiTheme="majorHAnsi" w:hAnsiTheme="majorHAnsi" w:cstheme="majorHAnsi"/>
        </w:rPr>
      </w:pPr>
      <w:r w:rsidRPr="00C47598">
        <w:rPr>
          <w:rFonts w:asciiTheme="majorHAnsi" w:hAnsiTheme="majorHAnsi" w:cstheme="majorHAnsi"/>
        </w:rPr>
        <w:t xml:space="preserve">Aboriginal and Torres Strait Islander </w:t>
      </w:r>
      <w:r>
        <w:rPr>
          <w:rFonts w:asciiTheme="majorHAnsi" w:hAnsiTheme="majorHAnsi" w:cstheme="majorHAnsi"/>
        </w:rPr>
        <w:t>communities</w:t>
      </w:r>
    </w:p>
    <w:p w14:paraId="759A3595" w14:textId="77777777" w:rsidR="000D26B2" w:rsidRPr="00C47598" w:rsidRDefault="000D26B2" w:rsidP="00EC3661">
      <w:pPr>
        <w:pStyle w:val="ListParagraph"/>
        <w:numPr>
          <w:ilvl w:val="0"/>
          <w:numId w:val="30"/>
        </w:numPr>
        <w:spacing w:after="120"/>
        <w:ind w:left="1077" w:hanging="357"/>
        <w:rPr>
          <w:rFonts w:asciiTheme="majorHAnsi" w:hAnsiTheme="majorHAnsi" w:cstheme="majorHAnsi"/>
        </w:rPr>
      </w:pPr>
      <w:r w:rsidRPr="00C47598">
        <w:rPr>
          <w:rFonts w:asciiTheme="majorHAnsi" w:hAnsiTheme="majorHAnsi" w:cstheme="majorHAnsi"/>
        </w:rPr>
        <w:t xml:space="preserve">Culturally and Linguistically Diverse </w:t>
      </w:r>
      <w:r>
        <w:rPr>
          <w:rFonts w:asciiTheme="majorHAnsi" w:hAnsiTheme="majorHAnsi" w:cstheme="majorHAnsi"/>
        </w:rPr>
        <w:t>c</w:t>
      </w:r>
      <w:r w:rsidRPr="00C47598">
        <w:rPr>
          <w:rFonts w:asciiTheme="majorHAnsi" w:hAnsiTheme="majorHAnsi" w:cstheme="majorHAnsi"/>
        </w:rPr>
        <w:t>ommunities</w:t>
      </w:r>
    </w:p>
    <w:p w14:paraId="38068872" w14:textId="77777777" w:rsidR="000D26B2" w:rsidRPr="00951B87" w:rsidRDefault="000D26B2" w:rsidP="00EC3661">
      <w:pPr>
        <w:pStyle w:val="ListParagraph"/>
        <w:numPr>
          <w:ilvl w:val="0"/>
          <w:numId w:val="30"/>
        </w:numPr>
        <w:spacing w:after="120"/>
        <w:ind w:left="1077" w:hanging="357"/>
        <w:rPr>
          <w:rFonts w:asciiTheme="majorHAnsi" w:eastAsiaTheme="minorHAnsi" w:hAnsiTheme="majorHAnsi" w:cstheme="majorHAnsi"/>
        </w:rPr>
      </w:pPr>
      <w:r>
        <w:rPr>
          <w:rStyle w:val="ilfuvd"/>
          <w:rFonts w:ascii="Arial" w:hAnsi="Arial" w:cs="Arial"/>
          <w:color w:val="222222"/>
        </w:rPr>
        <w:t>Lesbian, Gay, Bisexual, Transgender, Intersex and Questioning and Plus (</w:t>
      </w:r>
      <w:r w:rsidRPr="00C47598">
        <w:rPr>
          <w:rFonts w:asciiTheme="majorHAnsi" w:hAnsiTheme="majorHAnsi" w:cstheme="majorHAnsi"/>
        </w:rPr>
        <w:t>LGBTIQ+</w:t>
      </w:r>
      <w:r>
        <w:rPr>
          <w:rFonts w:asciiTheme="majorHAnsi" w:hAnsiTheme="majorHAnsi" w:cstheme="majorHAnsi"/>
        </w:rPr>
        <w:t>)</w:t>
      </w:r>
    </w:p>
    <w:p w14:paraId="3F5E3F37" w14:textId="380D30A1" w:rsidR="00685380" w:rsidRPr="008D1648" w:rsidRDefault="000D26B2" w:rsidP="008D1648">
      <w:pPr>
        <w:spacing w:after="360"/>
        <w:ind w:left="357"/>
      </w:pPr>
      <w:r>
        <w:t>Non-DPFO organisations led by ILC Priority cohorts can only apply for Component 2 – individual capacity building activities.</w:t>
      </w:r>
    </w:p>
    <w:p w14:paraId="1DABEC49" w14:textId="77777777" w:rsidR="004B4DA6" w:rsidRPr="00B72EE8" w:rsidRDefault="004B4DA6" w:rsidP="00CC3C8E">
      <w:pPr>
        <w:pStyle w:val="Heading2Numbered"/>
        <w:spacing w:line="276" w:lineRule="auto"/>
        <w:contextualSpacing w:val="0"/>
      </w:pPr>
      <w:bookmarkStart w:id="21" w:name="_Toc531005169"/>
      <w:r>
        <w:t>3.2 E</w:t>
      </w:r>
      <w:r w:rsidRPr="00B72EE8">
        <w:t xml:space="preserve">ligible </w:t>
      </w:r>
      <w:r>
        <w:t>entity types</w:t>
      </w:r>
      <w:bookmarkEnd w:id="21"/>
    </w:p>
    <w:p w14:paraId="6794750C" w14:textId="77777777" w:rsidR="002C085A" w:rsidRDefault="002920E1" w:rsidP="00CC3C8E">
      <w:pPr>
        <w:spacing w:before="0" w:after="120" w:line="276" w:lineRule="auto"/>
      </w:pPr>
      <w:r>
        <w:t xml:space="preserve">The NDIA can only provide funding to </w:t>
      </w:r>
      <w:r w:rsidRPr="002920E1">
        <w:t>an organisation that is a legal entity</w:t>
      </w:r>
      <w:r>
        <w:t>.</w:t>
      </w:r>
      <w:r w:rsidR="00344FAC">
        <w:t xml:space="preserve"> Le</w:t>
      </w:r>
      <w:r w:rsidR="002B7B3C">
        <w:t>a</w:t>
      </w:r>
      <w:r w:rsidR="00344FAC">
        <w:t xml:space="preserve">d organisations of </w:t>
      </w:r>
      <w:r w:rsidR="00F9058D">
        <w:t>a consortium</w:t>
      </w:r>
      <w:r w:rsidR="00344FAC">
        <w:t xml:space="preserve"> and </w:t>
      </w:r>
      <w:proofErr w:type="spellStart"/>
      <w:r w:rsidR="00A91D66">
        <w:t>Auspicors</w:t>
      </w:r>
      <w:proofErr w:type="spellEnd"/>
      <w:r w:rsidR="00344FAC">
        <w:t xml:space="preserve"> must also be an eligible entity type.</w:t>
      </w:r>
      <w:r>
        <w:t xml:space="preserve"> </w:t>
      </w:r>
      <w:r w:rsidR="004B0CA2" w:rsidRPr="004B0CA2">
        <w:t>O</w:t>
      </w:r>
      <w:r w:rsidRPr="004B0CA2">
        <w:t>nly applications from the following entity types will be eligible</w:t>
      </w:r>
      <w:r w:rsidR="00340616" w:rsidRPr="000A271A">
        <w:t xml:space="preserve">: </w:t>
      </w:r>
    </w:p>
    <w:tbl>
      <w:tblPr>
        <w:tblW w:w="5000" w:type="pct"/>
        <w:tblLayout w:type="fixed"/>
        <w:tblCellMar>
          <w:left w:w="0" w:type="dxa"/>
          <w:right w:w="0" w:type="dxa"/>
        </w:tblCellMar>
        <w:tblLook w:val="04A0" w:firstRow="1" w:lastRow="0" w:firstColumn="1" w:lastColumn="0" w:noHBand="0" w:noVBand="1"/>
      </w:tblPr>
      <w:tblGrid>
        <w:gridCol w:w="1843"/>
        <w:gridCol w:w="7217"/>
      </w:tblGrid>
      <w:tr w:rsidR="00F9058D" w:rsidRPr="00F9058D" w14:paraId="79035C8E" w14:textId="77777777" w:rsidTr="006074EA">
        <w:trPr>
          <w:tblHeader/>
        </w:trPr>
        <w:tc>
          <w:tcPr>
            <w:tcW w:w="1017" w:type="pct"/>
            <w:tcBorders>
              <w:top w:val="nil"/>
              <w:left w:val="nil"/>
              <w:bottom w:val="single" w:sz="18" w:space="0" w:color="FFFFFF" w:themeColor="background1"/>
              <w:right w:val="single" w:sz="8" w:space="0" w:color="FFFFFF"/>
            </w:tcBorders>
            <w:shd w:val="clear" w:color="auto" w:fill="6B2976"/>
            <w:vAlign w:val="center"/>
            <w:hideMark/>
          </w:tcPr>
          <w:p w14:paraId="455B46F8" w14:textId="77777777" w:rsidR="00B74EDA" w:rsidRPr="00F9058D" w:rsidRDefault="00A91D66" w:rsidP="00A91D66">
            <w:pPr>
              <w:keepNext/>
              <w:spacing w:before="80" w:after="80"/>
              <w:ind w:left="113" w:right="113"/>
              <w:rPr>
                <w:b/>
                <w:bCs/>
                <w:color w:val="FFFFFF" w:themeColor="background1"/>
                <w:sz w:val="24"/>
                <w:szCs w:val="24"/>
              </w:rPr>
            </w:pPr>
            <w:r>
              <w:rPr>
                <w:b/>
                <w:bCs/>
                <w:color w:val="FFFFFF" w:themeColor="background1"/>
                <w:sz w:val="24"/>
                <w:szCs w:val="24"/>
              </w:rPr>
              <w:t xml:space="preserve">Entity </w:t>
            </w:r>
            <w:r w:rsidR="00B74EDA" w:rsidRPr="00F9058D">
              <w:rPr>
                <w:b/>
                <w:bCs/>
                <w:color w:val="FFFFFF" w:themeColor="background1"/>
                <w:sz w:val="24"/>
                <w:szCs w:val="24"/>
              </w:rPr>
              <w:t xml:space="preserve">Type </w:t>
            </w:r>
          </w:p>
        </w:tc>
        <w:tc>
          <w:tcPr>
            <w:tcW w:w="3983" w:type="pct"/>
            <w:tcBorders>
              <w:top w:val="nil"/>
              <w:left w:val="nil"/>
              <w:bottom w:val="single" w:sz="18" w:space="0" w:color="FFFFFF" w:themeColor="background1"/>
              <w:right w:val="single" w:sz="8" w:space="0" w:color="FFFFFF"/>
            </w:tcBorders>
            <w:shd w:val="clear" w:color="auto" w:fill="6B2976"/>
            <w:vAlign w:val="center"/>
            <w:hideMark/>
          </w:tcPr>
          <w:p w14:paraId="59BE6A5D" w14:textId="77777777" w:rsidR="00B74EDA" w:rsidRPr="00F9058D" w:rsidRDefault="00B74EDA" w:rsidP="00F9058D">
            <w:pPr>
              <w:keepNext/>
              <w:spacing w:before="80" w:after="80"/>
              <w:ind w:left="113" w:right="113"/>
              <w:rPr>
                <w:b/>
                <w:bCs/>
                <w:color w:val="FFFFFF" w:themeColor="background1"/>
                <w:sz w:val="24"/>
                <w:szCs w:val="24"/>
              </w:rPr>
            </w:pPr>
            <w:r w:rsidRPr="00F9058D">
              <w:rPr>
                <w:b/>
                <w:bCs/>
                <w:color w:val="FFFFFF" w:themeColor="background1"/>
                <w:sz w:val="24"/>
                <w:szCs w:val="24"/>
              </w:rPr>
              <w:t>Description</w:t>
            </w:r>
          </w:p>
        </w:tc>
      </w:tr>
      <w:tr w:rsidR="00B74EDA" w14:paraId="0491838E"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1102AD93" w14:textId="77777777" w:rsidR="00B74EDA" w:rsidRDefault="00B74EDA" w:rsidP="006074EA">
            <w:pPr>
              <w:spacing w:before="60"/>
              <w:ind w:left="113" w:right="113"/>
              <w:rPr>
                <w:color w:val="000000"/>
              </w:rPr>
            </w:pPr>
            <w:r>
              <w:rPr>
                <w:color w:val="000000"/>
              </w:rPr>
              <w:t>Incorporated Association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2EC988CA" w14:textId="77777777" w:rsidR="00B74EDA" w:rsidRDefault="00B74EDA" w:rsidP="006074EA">
            <w:pPr>
              <w:spacing w:before="60"/>
              <w:ind w:left="113" w:right="113"/>
              <w:rPr>
                <w:color w:val="000000"/>
              </w:rPr>
            </w:pPr>
            <w:r>
              <w:rPr>
                <w:color w:val="000000"/>
              </w:rPr>
              <w:t>An Incorporated Association is an association that has been incorporated or registered as an incorporated association under the relevant incorporated associations</w:t>
            </w:r>
            <w:r w:rsidR="00A91D66">
              <w:rPr>
                <w:color w:val="000000"/>
              </w:rPr>
              <w:t>’</w:t>
            </w:r>
            <w:r>
              <w:rPr>
                <w:color w:val="000000"/>
              </w:rPr>
              <w:t xml:space="preserve"> legislation in the State or Territory in which they were formed.</w:t>
            </w:r>
          </w:p>
        </w:tc>
      </w:tr>
      <w:tr w:rsidR="00B74EDA" w14:paraId="1D090DC8"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5D708DB7" w14:textId="77777777" w:rsidR="00B74EDA" w:rsidRDefault="00B74EDA" w:rsidP="006074EA">
            <w:pPr>
              <w:spacing w:before="60"/>
              <w:ind w:left="113" w:right="113"/>
              <w:rPr>
                <w:color w:val="000000"/>
              </w:rPr>
            </w:pPr>
            <w:r>
              <w:rPr>
                <w:color w:val="000000"/>
              </w:rPr>
              <w:t>Cooperative</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41F988FC" w14:textId="77777777" w:rsidR="00B74EDA" w:rsidRDefault="00B74EDA" w:rsidP="006074EA">
            <w:pPr>
              <w:spacing w:before="60"/>
              <w:ind w:left="113" w:right="113"/>
              <w:rPr>
                <w:color w:val="000000"/>
              </w:rPr>
            </w:pPr>
            <w:r>
              <w:rPr>
                <w:color w:val="000000"/>
              </w:rPr>
              <w:t>A Cooperative is an entity of that name which has been established and/or registered as a cooperative under the relevant legislation in the State or Territory in which they formed. Sometimes this is under the incorporated associations</w:t>
            </w:r>
            <w:r w:rsidR="00A91D66">
              <w:rPr>
                <w:color w:val="000000"/>
              </w:rPr>
              <w:t>’</w:t>
            </w:r>
            <w:r>
              <w:rPr>
                <w:color w:val="000000"/>
              </w:rPr>
              <w:t xml:space="preserve"> legislation.</w:t>
            </w:r>
          </w:p>
        </w:tc>
      </w:tr>
      <w:tr w:rsidR="00B74EDA" w14:paraId="798BC551"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7F626A26" w14:textId="77777777" w:rsidR="00B74EDA" w:rsidRDefault="00B74EDA" w:rsidP="006074EA">
            <w:pPr>
              <w:spacing w:before="60"/>
              <w:ind w:left="113" w:right="113"/>
              <w:rPr>
                <w:color w:val="000000"/>
              </w:rPr>
            </w:pPr>
            <w:r>
              <w:rPr>
                <w:color w:val="000000"/>
              </w:rPr>
              <w:t>Statutory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7D8F325B" w14:textId="77777777" w:rsidR="00B74EDA" w:rsidRDefault="00B74EDA" w:rsidP="006074EA">
            <w:pPr>
              <w:spacing w:before="60"/>
              <w:ind w:left="113" w:right="113"/>
              <w:rPr>
                <w:color w:val="000000"/>
              </w:rPr>
            </w:pPr>
            <w:r>
              <w:rPr>
                <w:color w:val="000000"/>
              </w:rPr>
              <w:t>Some statutory entities are not Government entities, but have been created by, or at least recognised by Commonwealth or State/Territory legislation. Often these are religious or educational institutions that pre-date the current forms of legal entities. For example, the Anglican Church to the extent that it holds and administers property, is recognised as a distinct type of corporation under various different Acts in each State.</w:t>
            </w:r>
          </w:p>
        </w:tc>
      </w:tr>
      <w:tr w:rsidR="00B74EDA" w14:paraId="512DAA2E"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021DA2CD" w14:textId="77777777" w:rsidR="00B74EDA" w:rsidRDefault="00A91D66" w:rsidP="006074EA">
            <w:pPr>
              <w:spacing w:before="60"/>
              <w:ind w:left="113" w:right="113"/>
              <w:rPr>
                <w:color w:val="000000"/>
              </w:rPr>
            </w:pPr>
            <w:r>
              <w:rPr>
                <w:color w:val="000000"/>
              </w:rPr>
              <w:t>Partnership</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45FB3504" w14:textId="77777777" w:rsidR="00B74EDA" w:rsidRDefault="00B74EDA" w:rsidP="006074EA">
            <w:pPr>
              <w:spacing w:before="60"/>
              <w:ind w:left="113" w:right="113"/>
              <w:rPr>
                <w:color w:val="000000"/>
              </w:rPr>
            </w:pPr>
            <w:r>
              <w:rPr>
                <w:color w:val="000000"/>
              </w:rPr>
              <w:t xml:space="preserve">A Partnership is an agreement by legal persons to share responsibility for debts, losses and obligations which any individual Partner may take on in the course of conducting the business or activities of the Partnership. An individual Partner may be any of the types of legal entities described herein. A Partnership may consist of both Government and Private partners. An individual Partner can enter into </w:t>
            </w:r>
            <w:r>
              <w:rPr>
                <w:color w:val="000000"/>
              </w:rPr>
              <w:lastRenderedPageBreak/>
              <w:t>agreements on behalf of the Partnership. The Department will enter in to an Agreement with the individual partners of the partnership.</w:t>
            </w:r>
          </w:p>
        </w:tc>
      </w:tr>
      <w:tr w:rsidR="00B74EDA" w14:paraId="76C1485C"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28181BD2" w14:textId="69C48E01" w:rsidR="00B74EDA" w:rsidRPr="008D1648" w:rsidRDefault="00B74EDA" w:rsidP="008D1648">
            <w:pPr>
              <w:spacing w:before="60"/>
              <w:ind w:left="113" w:right="113"/>
              <w:rPr>
                <w:color w:val="000000" w:themeColor="text1"/>
              </w:rPr>
            </w:pPr>
            <w:r w:rsidRPr="00591906">
              <w:rPr>
                <w:color w:val="000000" w:themeColor="text1"/>
              </w:rPr>
              <w:lastRenderedPageBreak/>
              <w:t>Trust</w:t>
            </w:r>
            <w:r w:rsidR="00A91D66">
              <w:rPr>
                <w:color w:val="000000" w:themeColor="text1"/>
              </w:rPr>
              <w:t>ee of a Trust</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3FF00A20" w14:textId="77777777" w:rsidR="00B74EDA" w:rsidRDefault="00B74EDA" w:rsidP="006074EA">
            <w:pPr>
              <w:spacing w:before="60"/>
              <w:ind w:left="113" w:right="113"/>
              <w:rPr>
                <w:color w:val="000000"/>
              </w:rPr>
            </w:pPr>
            <w:r>
              <w:rPr>
                <w:color w:val="000000"/>
              </w:rPr>
              <w:t xml:space="preserve">A trust is a set of relationships between legal entities. A trust, per se, cannot enter into an </w:t>
            </w:r>
            <w:r w:rsidRPr="001D5020">
              <w:rPr>
                <w:color w:val="000000"/>
              </w:rPr>
              <w:t>agreement</w:t>
            </w:r>
            <w:r>
              <w:rPr>
                <w:color w:val="000000"/>
              </w:rPr>
              <w:t xml:space="preserve">. The trustee of a Trust is a legal entity that can enter into </w:t>
            </w:r>
            <w:r w:rsidRPr="001D5020">
              <w:rPr>
                <w:color w:val="000000"/>
              </w:rPr>
              <w:t>agreements</w:t>
            </w:r>
            <w:r>
              <w:rPr>
                <w:color w:val="000000"/>
              </w:rPr>
              <w:t xml:space="preserve"> on behalf of the Trust (provided the terms of the trust permit it to do so). The trustee can be any of the types of legal entities described herein.</w:t>
            </w:r>
          </w:p>
        </w:tc>
      </w:tr>
      <w:tr w:rsidR="00B74EDA" w14:paraId="4A771B2C"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001F059" w14:textId="77777777" w:rsidR="00B74EDA" w:rsidRPr="00F83241" w:rsidRDefault="00B74EDA" w:rsidP="006074EA">
            <w:pPr>
              <w:spacing w:before="60"/>
              <w:ind w:left="113" w:right="113"/>
              <w:rPr>
                <w:color w:val="000000" w:themeColor="text1"/>
              </w:rPr>
            </w:pPr>
            <w:r>
              <w:t>Non-corporate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56E7B26" w14:textId="5BA87CB2" w:rsidR="00B74EDA" w:rsidRDefault="00B74EDA" w:rsidP="006074EA">
            <w:pPr>
              <w:spacing w:before="60"/>
              <w:ind w:left="113" w:right="113"/>
              <w:rPr>
                <w:color w:val="000000"/>
              </w:rPr>
            </w:pPr>
            <w:r>
              <w:rPr>
                <w:color w:val="000000"/>
              </w:rPr>
              <w:t>A Non-corporate Commonwealth Entity is a Commonwealth entity that is part of the Commonwealth and which represents and acts on behalf of the Commonwealth. They are Commonwealth Departments i.e. a Department of State, as recognised by the Administrative Arrangements Orders, or a Parliamentary Department.</w:t>
            </w:r>
          </w:p>
        </w:tc>
      </w:tr>
      <w:tr w:rsidR="00B74EDA" w14:paraId="191DB3AA"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565A53EE" w14:textId="77777777" w:rsidR="00B74EDA" w:rsidRDefault="00B74EDA" w:rsidP="006074EA">
            <w:pPr>
              <w:spacing w:before="60"/>
              <w:ind w:left="113" w:right="113"/>
            </w:pPr>
            <w:r>
              <w:t>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6252AF58" w14:textId="77777777" w:rsidR="00B74EDA" w:rsidRDefault="00B74EDA" w:rsidP="006074EA">
            <w:pPr>
              <w:spacing w:before="60"/>
              <w:ind w:left="113" w:right="113"/>
              <w:rPr>
                <w:color w:val="000000"/>
              </w:rPr>
            </w:pPr>
            <w:r>
              <w:rPr>
                <w:color w:val="000000"/>
              </w:rPr>
              <w:t>A Corporate Commonwealth Entity is a Commonwealth entity that is a body corporate. It is legally separate to the Commonwealth and has the capacity to enter into contracts in its own right. It is a body corporates established under Commonwealth legislation.</w:t>
            </w:r>
          </w:p>
        </w:tc>
      </w:tr>
      <w:tr w:rsidR="00B74EDA" w14:paraId="56CB917C"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3823B6E" w14:textId="77777777" w:rsidR="00B74EDA" w:rsidRDefault="00B74EDA" w:rsidP="006074EA">
            <w:pPr>
              <w:spacing w:before="60"/>
              <w:ind w:left="113" w:right="113"/>
            </w:pPr>
            <w:r>
              <w:t>Non-corporate Commonwealth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562EA70D" w14:textId="77777777" w:rsidR="00B74EDA" w:rsidRDefault="00B74EDA" w:rsidP="006074EA">
            <w:pPr>
              <w:spacing w:before="60"/>
              <w:ind w:left="113" w:right="113"/>
              <w:rPr>
                <w:color w:val="000000"/>
              </w:rPr>
            </w:pPr>
            <w:r>
              <w:rPr>
                <w:color w:val="000000"/>
              </w:rPr>
              <w:t>A Commonwealth Non-corporate Statutory Authority is an entity that is separate to the Commonwealth but is not strictly a body corporate for example it may be a commission, a commissioner, an authority, or other statutory position to which a person or persons may be appointed. It is established by Commonwealth legislation.</w:t>
            </w:r>
          </w:p>
        </w:tc>
      </w:tr>
      <w:tr w:rsidR="00B74EDA" w14:paraId="3E637792"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5A99343C" w14:textId="77777777" w:rsidR="00B74EDA" w:rsidRDefault="00B74EDA" w:rsidP="006074EA">
            <w:pPr>
              <w:spacing w:before="60"/>
              <w:ind w:left="113" w:right="113"/>
            </w:pPr>
            <w:r>
              <w:t>Commonwealth Company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275DB1B" w14:textId="77777777" w:rsidR="00B74EDA" w:rsidRDefault="00A91D66" w:rsidP="00B85F02">
            <w:pPr>
              <w:spacing w:before="60"/>
              <w:ind w:left="113" w:right="113"/>
              <w:rPr>
                <w:color w:val="000000"/>
              </w:rPr>
            </w:pPr>
            <w:r>
              <w:rPr>
                <w:color w:val="000000"/>
              </w:rPr>
              <w:t>A Commonwealth Company is a company incorporated under the Corporations Act 2001, owned or controlled by the Commonwealth</w:t>
            </w:r>
            <w:r w:rsidR="00B74EDA">
              <w:rPr>
                <w:color w:val="000000"/>
              </w:rPr>
              <w:t>.</w:t>
            </w:r>
          </w:p>
        </w:tc>
      </w:tr>
      <w:tr w:rsidR="00B74EDA" w14:paraId="2EB26AC0"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8EEF0F0" w14:textId="77777777" w:rsidR="00B74EDA" w:rsidRDefault="00B74EDA" w:rsidP="006074EA">
            <w:pPr>
              <w:spacing w:before="60"/>
              <w:ind w:left="113" w:right="113"/>
            </w:pPr>
            <w:r>
              <w:t>Non-corporate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519DD2F2" w14:textId="77777777" w:rsidR="00B74EDA" w:rsidRDefault="00B74EDA" w:rsidP="006074EA">
            <w:pPr>
              <w:spacing w:before="60"/>
              <w:ind w:left="113" w:right="113"/>
              <w:rPr>
                <w:color w:val="000000"/>
              </w:rPr>
            </w:pPr>
            <w:r>
              <w:rPr>
                <w:color w:val="000000"/>
              </w:rPr>
              <w:t>A Non-corporate State or Territory Entity is a State or Territory entity that is part of the State or Territory. It represents and acts on behalf of the State or Territory. It is not legally separate to the State or Territory. Known as Departments of State in South Australia and Directorates in the ACT.</w:t>
            </w:r>
          </w:p>
        </w:tc>
      </w:tr>
      <w:tr w:rsidR="00B74EDA" w14:paraId="34B7927B"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DB6239E" w14:textId="77777777" w:rsidR="00B74EDA" w:rsidRDefault="00B74EDA" w:rsidP="006074EA">
            <w:pPr>
              <w:spacing w:before="60"/>
              <w:ind w:left="113" w:right="113"/>
            </w:pPr>
            <w:r>
              <w:t>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F810C0A" w14:textId="77777777" w:rsidR="00B74EDA" w:rsidRDefault="00B74EDA" w:rsidP="006074EA">
            <w:pPr>
              <w:spacing w:before="60"/>
              <w:ind w:left="113" w:right="113"/>
              <w:rPr>
                <w:color w:val="000000"/>
              </w:rPr>
            </w:pPr>
            <w:r>
              <w:rPr>
                <w:color w:val="000000"/>
              </w:rPr>
              <w:t>Corporate State or Territory Entities are State or Territory entities that are a body corporate. They are legally separate to the relevant State or Territory and have the capacity to enter into contracts in their own right. They are body corporates established under State or Territory legislation.</w:t>
            </w:r>
          </w:p>
        </w:tc>
      </w:tr>
      <w:tr w:rsidR="00B74EDA" w14:paraId="1E0F0046"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17B5107" w14:textId="77777777" w:rsidR="00B74EDA" w:rsidRDefault="00B74EDA" w:rsidP="006074EA">
            <w:pPr>
              <w:spacing w:before="60"/>
              <w:ind w:left="113" w:right="113"/>
            </w:pPr>
            <w:r>
              <w:t>Non-corporate State or Territory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2E032EF" w14:textId="77777777" w:rsidR="00B74EDA" w:rsidRDefault="00B74EDA" w:rsidP="006074EA">
            <w:pPr>
              <w:spacing w:before="60"/>
              <w:ind w:left="113" w:right="113"/>
              <w:rPr>
                <w:color w:val="000000"/>
              </w:rPr>
            </w:pPr>
            <w:r>
              <w:rPr>
                <w:color w:val="000000"/>
              </w:rPr>
              <w:t>A State or Territory Non-corporate Statutory Authority is an entity that is separate to the State or Territory but is not strictly a body corporate, for example it may be a commission, a commissioner, an authority, or other statutory position to which a person or persons may be appointed. It is established by State or Territory legislation.</w:t>
            </w:r>
          </w:p>
        </w:tc>
      </w:tr>
      <w:tr w:rsidR="00B74EDA" w14:paraId="06DAA5FD"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08A4FC7" w14:textId="77777777" w:rsidR="00B74EDA" w:rsidRDefault="00B74EDA" w:rsidP="006074EA">
            <w:pPr>
              <w:spacing w:before="60"/>
              <w:ind w:left="113" w:right="113"/>
            </w:pPr>
            <w:r>
              <w:rPr>
                <w:color w:val="000000"/>
              </w:rPr>
              <w:lastRenderedPageBreak/>
              <w:t xml:space="preserve">Local Government </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52350AC" w14:textId="77777777" w:rsidR="00B74EDA" w:rsidRDefault="00B74EDA" w:rsidP="006074EA">
            <w:pPr>
              <w:spacing w:before="60"/>
              <w:ind w:left="113" w:right="113"/>
              <w:rPr>
                <w:color w:val="000000"/>
              </w:rPr>
            </w:pPr>
            <w:r>
              <w:rPr>
                <w:color w:val="000000"/>
              </w:rPr>
              <w:t>A Local Government Entity Is an entity established under State or Territory local government legislation, for the purposes of governing local areas within the State or Territory. In States they are generally referred to as local councils.</w:t>
            </w:r>
          </w:p>
        </w:tc>
      </w:tr>
      <w:tr w:rsidR="00B74EDA" w14:paraId="4379493D"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D1E83AD" w14:textId="77777777" w:rsidR="00B74EDA" w:rsidRDefault="00B74EDA" w:rsidP="006074EA">
            <w:pPr>
              <w:spacing w:before="60"/>
              <w:ind w:left="113" w:right="113"/>
              <w:rPr>
                <w:color w:val="000000"/>
              </w:rPr>
            </w:pPr>
            <w:r>
              <w:rPr>
                <w:color w:val="000000"/>
              </w:rPr>
              <w:t>Company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66AE3021" w14:textId="77777777" w:rsidR="00B74EDA" w:rsidRDefault="00B74EDA" w:rsidP="006074EA">
            <w:pPr>
              <w:spacing w:before="60"/>
              <w:ind w:left="113" w:right="113"/>
              <w:rPr>
                <w:color w:val="000000"/>
              </w:rPr>
            </w:pPr>
            <w:r>
              <w:rPr>
                <w:color w:val="000000"/>
              </w:rPr>
              <w:t>A Company is a company incorporated under the Corporations Act 2001 of the Commonwealth.</w:t>
            </w:r>
          </w:p>
        </w:tc>
      </w:tr>
      <w:tr w:rsidR="00B74EDA" w14:paraId="6C611B09" w14:textId="77777777" w:rsidTr="006074EA">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EFB8E8A" w14:textId="77777777" w:rsidR="00B74EDA" w:rsidRDefault="00B74EDA" w:rsidP="006074EA">
            <w:pPr>
              <w:spacing w:before="60"/>
              <w:ind w:left="113" w:right="113"/>
              <w:rPr>
                <w:color w:val="000000"/>
              </w:rPr>
            </w:pPr>
            <w:r>
              <w:rPr>
                <w:color w:val="000000"/>
              </w:rPr>
              <w:t>Indigenous Corporation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39814C2" w14:textId="77777777" w:rsidR="00B74EDA" w:rsidRDefault="00B74EDA" w:rsidP="006074EA">
            <w:pPr>
              <w:spacing w:before="60"/>
              <w:ind w:left="113" w:right="113"/>
              <w:rPr>
                <w:color w:val="000000"/>
              </w:rPr>
            </w:pPr>
            <w:r>
              <w:rPr>
                <w:color w:val="000000"/>
              </w:rPr>
              <w:t>A Corporation incorporated under the Corporations (Aboriginal and Torres Strait Islander) Act 2006 – CATSI Act.</w:t>
            </w:r>
          </w:p>
        </w:tc>
      </w:tr>
    </w:tbl>
    <w:p w14:paraId="645709D3" w14:textId="77777777" w:rsidR="00196F53" w:rsidRDefault="00196F53" w:rsidP="00CC3C8E">
      <w:pPr>
        <w:spacing w:before="0" w:after="120" w:line="276" w:lineRule="auto"/>
      </w:pPr>
    </w:p>
    <w:p w14:paraId="7A20D0AB" w14:textId="77777777" w:rsidR="00057D81" w:rsidRPr="00B72EE8" w:rsidRDefault="00057D81" w:rsidP="00CC3C8E">
      <w:pPr>
        <w:pStyle w:val="Heading2Numbered"/>
        <w:spacing w:line="276" w:lineRule="auto"/>
        <w:contextualSpacing w:val="0"/>
      </w:pPr>
      <w:bookmarkStart w:id="22" w:name="_Toc531005170"/>
      <w:r>
        <w:t>3.</w:t>
      </w:r>
      <w:r w:rsidR="004B0CA2">
        <w:t>3 Additional requirements for organisational eligibility</w:t>
      </w:r>
      <w:bookmarkEnd w:id="22"/>
      <w:r>
        <w:t xml:space="preserve"> </w:t>
      </w:r>
    </w:p>
    <w:p w14:paraId="57F23B56" w14:textId="77777777" w:rsidR="004B0CA2" w:rsidRDefault="004B0CA2" w:rsidP="00E42162">
      <w:pPr>
        <w:spacing w:before="0" w:line="276" w:lineRule="auto"/>
      </w:pPr>
      <w:r>
        <w:t xml:space="preserve">The following additional organisational eligibility requirements </w:t>
      </w:r>
      <w:r w:rsidR="007A6532">
        <w:t xml:space="preserve">must be satisfied in </w:t>
      </w:r>
      <w:r w:rsidRPr="00D3524B">
        <w:rPr>
          <w:b/>
        </w:rPr>
        <w:t>all</w:t>
      </w:r>
      <w:r>
        <w:t xml:space="preserve"> </w:t>
      </w:r>
      <w:r w:rsidR="00C40842">
        <w:t>A</w:t>
      </w:r>
      <w:r>
        <w:t xml:space="preserve">pplications: </w:t>
      </w:r>
    </w:p>
    <w:p w14:paraId="02DB3EF8" w14:textId="77777777" w:rsidR="00340616" w:rsidRPr="000A271A" w:rsidRDefault="00341A4F" w:rsidP="005B632B">
      <w:pPr>
        <w:pStyle w:val="Bullet1"/>
        <w:spacing w:before="0" w:after="120" w:line="276" w:lineRule="auto"/>
      </w:pPr>
      <w:r>
        <w:t xml:space="preserve">All </w:t>
      </w:r>
      <w:r w:rsidR="00D57101">
        <w:t xml:space="preserve">applicants </w:t>
      </w:r>
      <w:r w:rsidR="007A6532">
        <w:t xml:space="preserve">must </w:t>
      </w:r>
      <w:r w:rsidR="00340616" w:rsidRPr="000A271A">
        <w:t>have an Australian Business Number (ABN)</w:t>
      </w:r>
      <w:r w:rsidR="004E0D14">
        <w:t xml:space="preserve"> </w:t>
      </w:r>
      <w:r w:rsidR="004E0D14" w:rsidRPr="004E0D14">
        <w:t>or be willing to obtain one prior to the execution of the Grant Agreement</w:t>
      </w:r>
      <w:r w:rsidR="004E0AEB">
        <w:t>;</w:t>
      </w:r>
    </w:p>
    <w:p w14:paraId="300B52B6" w14:textId="29A73F5A" w:rsidR="00442B5D" w:rsidRDefault="00442B5D" w:rsidP="0021211D">
      <w:pPr>
        <w:pStyle w:val="Bullet1"/>
        <w:spacing w:before="0" w:after="120"/>
      </w:pPr>
      <w:r>
        <w:t xml:space="preserve">All applicants must </w:t>
      </w:r>
      <w:r w:rsidRPr="000A271A">
        <w:t>be registered</w:t>
      </w:r>
      <w:r w:rsidR="008D1648">
        <w:t>,</w:t>
      </w:r>
      <w:r w:rsidR="00D14E4C">
        <w:t xml:space="preserve"> or willing to register</w:t>
      </w:r>
      <w:r w:rsidRPr="000A271A">
        <w:t xml:space="preserve"> for the purposes of GST</w:t>
      </w:r>
      <w:r>
        <w:t xml:space="preserve"> if their income turnover</w:t>
      </w:r>
      <w:r w:rsidR="008D1648">
        <w:t>,</w:t>
      </w:r>
      <w:r>
        <w:t xml:space="preserve"> as a result of a successful grant</w:t>
      </w:r>
      <w:r w:rsidR="008D1648">
        <w:t>,</w:t>
      </w:r>
      <w:r>
        <w:t xml:space="preserve"> will exceed the thresholds defi</w:t>
      </w:r>
      <w:r w:rsidR="008D1648">
        <w:t>ned by the Australia Tax Office</w:t>
      </w:r>
      <w:r>
        <w:t xml:space="preserve">; </w:t>
      </w:r>
    </w:p>
    <w:p w14:paraId="3D70E6D0" w14:textId="77777777" w:rsidR="00340616" w:rsidRDefault="00341A4F" w:rsidP="00E42162">
      <w:pPr>
        <w:pStyle w:val="Bullet1"/>
        <w:spacing w:before="0" w:after="120" w:line="276" w:lineRule="auto"/>
      </w:pPr>
      <w:r>
        <w:t xml:space="preserve">All </w:t>
      </w:r>
      <w:r w:rsidR="00D57101">
        <w:t xml:space="preserve">applicants </w:t>
      </w:r>
      <w:r w:rsidR="007A6532">
        <w:t xml:space="preserve">must </w:t>
      </w:r>
      <w:r w:rsidR="00340616" w:rsidRPr="000A271A">
        <w:t>have an account with an Australian financial institution</w:t>
      </w:r>
      <w:r w:rsidR="004E0AEB">
        <w:t>; and</w:t>
      </w:r>
    </w:p>
    <w:p w14:paraId="2F538A1D" w14:textId="77777777" w:rsidR="00C675D3" w:rsidRDefault="00341A4F" w:rsidP="00E42162">
      <w:pPr>
        <w:pStyle w:val="Bullet1"/>
        <w:spacing w:before="0" w:after="0" w:line="276" w:lineRule="auto"/>
      </w:pPr>
      <w:r>
        <w:t xml:space="preserve">All </w:t>
      </w:r>
      <w:r w:rsidR="00D57101">
        <w:t xml:space="preserve">applicants </w:t>
      </w:r>
      <w:r w:rsidR="007A6532">
        <w:t xml:space="preserve">must </w:t>
      </w:r>
      <w:r w:rsidR="00C675D3" w:rsidRPr="00564EE9">
        <w:t>have Public Liability Insurance coverage for the duration of the project</w:t>
      </w:r>
      <w:r w:rsidR="004E0AEB">
        <w:t>.</w:t>
      </w:r>
    </w:p>
    <w:p w14:paraId="73B1C3B0" w14:textId="77777777" w:rsidR="009B78EB" w:rsidRPr="009B78EB" w:rsidRDefault="008746D1" w:rsidP="009B78EB">
      <w:pPr>
        <w:pStyle w:val="Bullet1"/>
        <w:numPr>
          <w:ilvl w:val="0"/>
          <w:numId w:val="0"/>
        </w:numPr>
        <w:spacing w:before="0" w:after="0" w:line="276" w:lineRule="auto"/>
        <w:ind w:left="284"/>
        <w:rPr>
          <w:i/>
        </w:rPr>
      </w:pPr>
      <w:r w:rsidRPr="009B78EB">
        <w:rPr>
          <w:i/>
        </w:rPr>
        <w:t xml:space="preserve">[Note: </w:t>
      </w:r>
      <w:r w:rsidR="00D57101" w:rsidRPr="009B78EB">
        <w:rPr>
          <w:i/>
        </w:rPr>
        <w:t xml:space="preserve">applicants </w:t>
      </w:r>
      <w:r w:rsidRPr="009B78EB">
        <w:rPr>
          <w:i/>
        </w:rPr>
        <w:t xml:space="preserve">may be asked for a copy of </w:t>
      </w:r>
      <w:r w:rsidR="007F4EE0" w:rsidRPr="009B78EB">
        <w:rPr>
          <w:i/>
        </w:rPr>
        <w:t>their</w:t>
      </w:r>
      <w:r w:rsidRPr="009B78EB">
        <w:rPr>
          <w:i/>
        </w:rPr>
        <w:t xml:space="preserve"> Public Liability Insurance]</w:t>
      </w:r>
      <w:bookmarkStart w:id="23" w:name="_Toc467773957"/>
    </w:p>
    <w:p w14:paraId="46E5BB78" w14:textId="05AD31E6" w:rsidR="00340616" w:rsidRDefault="00C76D22" w:rsidP="00CC3C8E">
      <w:pPr>
        <w:pStyle w:val="Heading2Numbered"/>
        <w:spacing w:line="276" w:lineRule="auto"/>
        <w:contextualSpacing w:val="0"/>
      </w:pPr>
      <w:bookmarkStart w:id="24" w:name="_Toc531005171"/>
      <w:r>
        <w:t>3.4</w:t>
      </w:r>
      <w:r w:rsidR="00F64AC7">
        <w:t xml:space="preserve"> </w:t>
      </w:r>
      <w:r w:rsidR="00340616">
        <w:t>Who is not eligible to apply for a grant?</w:t>
      </w:r>
      <w:bookmarkEnd w:id="23"/>
      <w:bookmarkEnd w:id="24"/>
    </w:p>
    <w:p w14:paraId="7655C507" w14:textId="77777777" w:rsidR="00340616" w:rsidRDefault="00875C70" w:rsidP="0046143A">
      <w:pPr>
        <w:pStyle w:val="NoSpacing"/>
        <w:spacing w:after="120" w:line="276" w:lineRule="auto"/>
        <w:rPr>
          <w:rFonts w:asciiTheme="minorHAnsi" w:hAnsiTheme="minorHAnsi" w:cstheme="minorHAnsi"/>
        </w:rPr>
      </w:pPr>
      <w:r>
        <w:rPr>
          <w:rFonts w:asciiTheme="minorHAnsi" w:hAnsiTheme="minorHAnsi" w:cstheme="minorHAnsi"/>
        </w:rPr>
        <w:t>T</w:t>
      </w:r>
      <w:r w:rsidR="00C76D22">
        <w:rPr>
          <w:rFonts w:asciiTheme="minorHAnsi" w:hAnsiTheme="minorHAnsi" w:cstheme="minorHAnsi"/>
        </w:rPr>
        <w:t xml:space="preserve">he following </w:t>
      </w:r>
      <w:r w:rsidR="004B0CA2">
        <w:rPr>
          <w:rFonts w:asciiTheme="minorHAnsi" w:hAnsiTheme="minorHAnsi" w:cstheme="minorHAnsi"/>
        </w:rPr>
        <w:t>entity types</w:t>
      </w:r>
      <w:r w:rsidR="00647F41">
        <w:rPr>
          <w:rFonts w:asciiTheme="minorHAnsi" w:hAnsiTheme="minorHAnsi" w:cstheme="minorHAnsi"/>
        </w:rPr>
        <w:t xml:space="preserve"> are not eligible to apply in the grant round</w:t>
      </w:r>
      <w:r w:rsidR="00340616" w:rsidRPr="00A668C8">
        <w:rPr>
          <w:rFonts w:asciiTheme="minorHAnsi" w:hAnsiTheme="minorHAnsi" w:cstheme="minorHAnsi"/>
        </w:rPr>
        <w:t xml:space="preserve">: </w:t>
      </w:r>
    </w:p>
    <w:tbl>
      <w:tblPr>
        <w:tblW w:w="5000" w:type="pct"/>
        <w:tblLayout w:type="fixed"/>
        <w:tblCellMar>
          <w:left w:w="0" w:type="dxa"/>
          <w:right w:w="0" w:type="dxa"/>
        </w:tblCellMar>
        <w:tblLook w:val="04A0" w:firstRow="1" w:lastRow="0" w:firstColumn="1" w:lastColumn="0" w:noHBand="0" w:noVBand="1"/>
      </w:tblPr>
      <w:tblGrid>
        <w:gridCol w:w="2269"/>
        <w:gridCol w:w="6791"/>
      </w:tblGrid>
      <w:tr w:rsidR="00E42162" w:rsidRPr="00E42162" w14:paraId="5D360B21" w14:textId="77777777" w:rsidTr="0021211D">
        <w:trPr>
          <w:tblHeader/>
        </w:trPr>
        <w:tc>
          <w:tcPr>
            <w:tcW w:w="1252" w:type="pct"/>
            <w:tcBorders>
              <w:top w:val="nil"/>
              <w:left w:val="nil"/>
              <w:bottom w:val="single" w:sz="18" w:space="0" w:color="FFFFFF"/>
              <w:right w:val="single" w:sz="8" w:space="0" w:color="FFFFFF"/>
            </w:tcBorders>
            <w:shd w:val="clear" w:color="auto" w:fill="6B2976"/>
          </w:tcPr>
          <w:p w14:paraId="5374A6F6" w14:textId="77777777" w:rsidR="00B74EDA" w:rsidRPr="00E42162" w:rsidRDefault="00B74EDA" w:rsidP="00F272A4">
            <w:pPr>
              <w:spacing w:before="40" w:after="100"/>
              <w:ind w:left="113" w:right="113"/>
              <w:rPr>
                <w:strike/>
                <w:color w:val="FFFFFF" w:themeColor="background1"/>
              </w:rPr>
            </w:pPr>
            <w:r w:rsidRPr="00E42162">
              <w:rPr>
                <w:b/>
                <w:bCs/>
                <w:color w:val="FFFFFF" w:themeColor="background1"/>
                <w:sz w:val="24"/>
                <w:szCs w:val="24"/>
              </w:rPr>
              <w:t>Party Type Value</w:t>
            </w:r>
          </w:p>
        </w:tc>
        <w:tc>
          <w:tcPr>
            <w:tcW w:w="3748" w:type="pct"/>
            <w:tcBorders>
              <w:top w:val="nil"/>
              <w:left w:val="nil"/>
              <w:bottom w:val="single" w:sz="18" w:space="0" w:color="FFFFFF"/>
              <w:right w:val="single" w:sz="8" w:space="0" w:color="FFFFFF"/>
            </w:tcBorders>
            <w:shd w:val="clear" w:color="auto" w:fill="6B2976"/>
          </w:tcPr>
          <w:p w14:paraId="3D360A4D" w14:textId="77777777" w:rsidR="00B74EDA" w:rsidRPr="00E42162" w:rsidRDefault="00B74EDA" w:rsidP="00F272A4">
            <w:pPr>
              <w:spacing w:before="40" w:after="100"/>
              <w:ind w:left="113" w:right="113"/>
              <w:rPr>
                <w:strike/>
                <w:color w:val="FFFFFF" w:themeColor="background1"/>
              </w:rPr>
            </w:pPr>
            <w:r w:rsidRPr="00E42162">
              <w:rPr>
                <w:b/>
                <w:bCs/>
                <w:color w:val="FFFFFF" w:themeColor="background1"/>
                <w:sz w:val="24"/>
                <w:szCs w:val="24"/>
              </w:rPr>
              <w:t>Description</w:t>
            </w:r>
          </w:p>
        </w:tc>
      </w:tr>
      <w:tr w:rsidR="00B74EDA" w:rsidRPr="0047496C" w14:paraId="5160170F" w14:textId="77777777" w:rsidTr="00E42162">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14:paraId="7D55E50C" w14:textId="77777777" w:rsidR="00B74EDA" w:rsidRPr="00591906" w:rsidRDefault="00B74EDA" w:rsidP="00E42162">
            <w:pPr>
              <w:spacing w:before="120" w:after="120"/>
              <w:ind w:left="113" w:right="113"/>
              <w:rPr>
                <w:color w:val="000000"/>
              </w:rPr>
            </w:pPr>
            <w:r w:rsidRPr="00591906">
              <w:rPr>
                <w:color w:val="000000"/>
              </w:rPr>
              <w:t>Person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14:paraId="63410B6C" w14:textId="77777777" w:rsidR="00B74EDA" w:rsidRPr="00591906" w:rsidRDefault="00B74EDA" w:rsidP="00E42162">
            <w:pPr>
              <w:spacing w:before="120" w:after="120"/>
              <w:ind w:left="113" w:right="113"/>
              <w:rPr>
                <w:color w:val="000000"/>
              </w:rPr>
            </w:pPr>
            <w:r w:rsidRPr="00591906">
              <w:rPr>
                <w:color w:val="000000"/>
              </w:rPr>
              <w:t>A Person is a natural person, an individual, a human being.</w:t>
            </w:r>
          </w:p>
        </w:tc>
      </w:tr>
      <w:tr w:rsidR="00B74EDA" w:rsidRPr="0047496C" w14:paraId="3485ACE1" w14:textId="77777777" w:rsidTr="00E42162">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14:paraId="6E6178B5" w14:textId="77777777" w:rsidR="00B74EDA" w:rsidRPr="00591906" w:rsidRDefault="00B74EDA" w:rsidP="00E42162">
            <w:pPr>
              <w:spacing w:before="120" w:after="120"/>
              <w:ind w:left="113" w:right="113"/>
              <w:rPr>
                <w:color w:val="000000"/>
              </w:rPr>
            </w:pPr>
            <w:r w:rsidRPr="00591906">
              <w:rPr>
                <w:color w:val="000000"/>
              </w:rPr>
              <w:t>Sole Trader</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14:paraId="2C60A4ED" w14:textId="77777777" w:rsidR="00B74EDA" w:rsidRPr="00591906" w:rsidRDefault="00B74EDA" w:rsidP="00E42162">
            <w:pPr>
              <w:spacing w:before="120" w:after="120"/>
              <w:ind w:left="113" w:right="113"/>
              <w:rPr>
                <w:color w:val="000000"/>
              </w:rPr>
            </w:pPr>
            <w:r w:rsidRPr="00591906">
              <w:rPr>
                <w:color w:val="000000"/>
              </w:rPr>
              <w:t>A Sole Trader is a Person who trades in their own right, and controls and manages their business. They are legally responsible for all aspects of the business, and personally responsible for debts and losses incurred in carrying on their business.</w:t>
            </w:r>
          </w:p>
          <w:p w14:paraId="12A3E49A" w14:textId="77777777" w:rsidR="00B74EDA" w:rsidRPr="00591906" w:rsidRDefault="00B74EDA" w:rsidP="00E42162">
            <w:pPr>
              <w:spacing w:before="120" w:after="120"/>
              <w:ind w:left="113" w:right="113"/>
              <w:rPr>
                <w:color w:val="000000"/>
              </w:rPr>
            </w:pPr>
            <w:r w:rsidRPr="00591906">
              <w:rPr>
                <w:color w:val="000000"/>
              </w:rPr>
              <w:t>They may trade under their own name, or they may operate under a separate registered Business Name. The legal contracting entity is the Person.</w:t>
            </w:r>
          </w:p>
        </w:tc>
      </w:tr>
      <w:tr w:rsidR="00B74EDA" w:rsidRPr="0047496C" w14:paraId="68AEA3F4" w14:textId="77777777" w:rsidTr="00E42162">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14:paraId="074611C7" w14:textId="77777777" w:rsidR="00B74EDA" w:rsidRPr="00B74EDA" w:rsidRDefault="00B74EDA" w:rsidP="00E42162">
            <w:pPr>
              <w:spacing w:before="120" w:after="120"/>
              <w:ind w:left="113" w:right="113"/>
              <w:rPr>
                <w:color w:val="000000"/>
              </w:rPr>
            </w:pPr>
            <w:r w:rsidRPr="00591906">
              <w:rPr>
                <w:color w:val="000000"/>
              </w:rPr>
              <w:lastRenderedPageBreak/>
              <w:t>International Entity</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14:paraId="2624B132" w14:textId="77777777" w:rsidR="00B74EDA" w:rsidRPr="00B74EDA" w:rsidRDefault="00B74EDA" w:rsidP="00E42162">
            <w:pPr>
              <w:spacing w:before="120" w:after="120"/>
              <w:ind w:left="113" w:right="113"/>
              <w:rPr>
                <w:color w:val="000000"/>
              </w:rPr>
            </w:pPr>
            <w:r w:rsidRPr="00591906">
              <w:rPr>
                <w:color w:val="000000"/>
              </w:rPr>
              <w:t>An International Entity is a foreign party that is not registered for business in Australia.</w:t>
            </w:r>
          </w:p>
        </w:tc>
      </w:tr>
      <w:tr w:rsidR="00C12A05" w:rsidRPr="0047496C" w14:paraId="3720A459" w14:textId="77777777" w:rsidTr="00E42162">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14:paraId="0ED4AAD9" w14:textId="77777777" w:rsidR="00C12A05" w:rsidRPr="00591906" w:rsidRDefault="00C12A05" w:rsidP="00C12A05">
            <w:pPr>
              <w:spacing w:before="120" w:after="120"/>
              <w:ind w:left="113" w:right="113"/>
              <w:rPr>
                <w:color w:val="000000"/>
              </w:rPr>
            </w:pPr>
            <w:r>
              <w:rPr>
                <w:color w:val="000000"/>
              </w:rPr>
              <w:t>Unincorporated Group</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14:paraId="0FAB0D31" w14:textId="77777777" w:rsidR="00C12A05" w:rsidRDefault="00C12A05" w:rsidP="00C12A05">
            <w:pPr>
              <w:spacing w:before="120" w:after="120"/>
              <w:ind w:left="113" w:right="113"/>
              <w:rPr>
                <w:color w:val="000000"/>
              </w:rPr>
            </w:pPr>
            <w:r>
              <w:rPr>
                <w:color w:val="000000"/>
              </w:rPr>
              <w:t xml:space="preserve">Groups or organisations not legally formed or registered. </w:t>
            </w:r>
          </w:p>
          <w:p w14:paraId="3025D9C8" w14:textId="77777777" w:rsidR="00C64F76" w:rsidRPr="00591906" w:rsidRDefault="00C12A05" w:rsidP="00C64F76">
            <w:pPr>
              <w:spacing w:before="120" w:after="120"/>
              <w:ind w:left="113" w:right="113"/>
              <w:rPr>
                <w:color w:val="000000"/>
              </w:rPr>
            </w:pPr>
            <w:r>
              <w:rPr>
                <w:color w:val="000000"/>
              </w:rPr>
              <w:t>An Unincorporated group that meets the eligible applicant types (section 3.1) may participate in a consortium</w:t>
            </w:r>
            <w:r w:rsidR="00C64F76">
              <w:rPr>
                <w:color w:val="000000"/>
              </w:rPr>
              <w:t>,</w:t>
            </w:r>
            <w:r>
              <w:rPr>
                <w:color w:val="000000"/>
              </w:rPr>
              <w:t xml:space="preserve"> or </w:t>
            </w:r>
            <w:r w:rsidR="00C64F76">
              <w:rPr>
                <w:rFonts w:ascii="Arial" w:hAnsi="Arial" w:cs="Arial"/>
              </w:rPr>
              <w:t>will need to</w:t>
            </w:r>
            <w:r w:rsidR="00C64F76" w:rsidRPr="00372D2A">
              <w:rPr>
                <w:rFonts w:ascii="Arial" w:hAnsi="Arial" w:cs="Arial"/>
              </w:rPr>
              <w:t xml:space="preserve"> </w:t>
            </w:r>
            <w:r w:rsidR="00C64F76">
              <w:rPr>
                <w:rFonts w:ascii="Arial" w:hAnsi="Arial" w:cs="Arial"/>
              </w:rPr>
              <w:t xml:space="preserve">arrange </w:t>
            </w:r>
            <w:r w:rsidR="00C64F76" w:rsidRPr="00372D2A">
              <w:rPr>
                <w:rFonts w:ascii="Arial" w:hAnsi="Arial" w:cs="Arial"/>
              </w:rPr>
              <w:t xml:space="preserve">an </w:t>
            </w:r>
            <w:proofErr w:type="spellStart"/>
            <w:r w:rsidR="00C64F76">
              <w:rPr>
                <w:rFonts w:ascii="Arial" w:hAnsi="Arial" w:cs="Arial"/>
              </w:rPr>
              <w:t>auspicor</w:t>
            </w:r>
            <w:proofErr w:type="spellEnd"/>
            <w:r w:rsidR="00C64F76">
              <w:rPr>
                <w:rFonts w:ascii="Arial" w:hAnsi="Arial" w:cs="Arial"/>
              </w:rPr>
              <w:t xml:space="preserve"> </w:t>
            </w:r>
            <w:r w:rsidR="00C64F76" w:rsidRPr="00372D2A">
              <w:rPr>
                <w:rFonts w:ascii="Arial" w:hAnsi="Arial" w:cs="Arial"/>
              </w:rPr>
              <w:t xml:space="preserve">(see section </w:t>
            </w:r>
            <w:r w:rsidR="00C64F76">
              <w:rPr>
                <w:rFonts w:ascii="Arial" w:hAnsi="Arial" w:cs="Arial"/>
              </w:rPr>
              <w:t>3.6</w:t>
            </w:r>
            <w:r w:rsidR="00C64F76" w:rsidRPr="00372D2A">
              <w:rPr>
                <w:rFonts w:ascii="Arial" w:hAnsi="Arial" w:cs="Arial"/>
              </w:rPr>
              <w:t>)</w:t>
            </w:r>
            <w:r w:rsidR="00C64F76">
              <w:rPr>
                <w:rFonts w:ascii="Arial" w:hAnsi="Arial" w:cs="Arial"/>
              </w:rPr>
              <w:t xml:space="preserve"> or a related</w:t>
            </w:r>
            <w:r w:rsidR="00C64F76" w:rsidRPr="00372D2A">
              <w:rPr>
                <w:rFonts w:ascii="Arial" w:hAnsi="Arial" w:cs="Arial"/>
              </w:rPr>
              <w:t xml:space="preserve"> organisation</w:t>
            </w:r>
            <w:r w:rsidR="00C64F76">
              <w:rPr>
                <w:rFonts w:ascii="Arial" w:hAnsi="Arial" w:cs="Arial"/>
              </w:rPr>
              <w:t xml:space="preserve"> (such as a ‘parent’ organisation), provided it is a legal entity,</w:t>
            </w:r>
            <w:r w:rsidR="00C64F76" w:rsidRPr="00372D2A">
              <w:rPr>
                <w:rFonts w:ascii="Arial" w:hAnsi="Arial" w:cs="Arial"/>
              </w:rPr>
              <w:t xml:space="preserve"> to apply on </w:t>
            </w:r>
            <w:r w:rsidR="00C64F76">
              <w:rPr>
                <w:rFonts w:ascii="Arial" w:hAnsi="Arial" w:cs="Arial"/>
              </w:rPr>
              <w:t>their</w:t>
            </w:r>
            <w:r w:rsidR="00C64F76" w:rsidRPr="00372D2A">
              <w:rPr>
                <w:rFonts w:ascii="Arial" w:hAnsi="Arial" w:cs="Arial"/>
              </w:rPr>
              <w:t xml:space="preserve"> behalf.</w:t>
            </w:r>
            <w:r w:rsidR="00C64F76">
              <w:rPr>
                <w:color w:val="000000"/>
              </w:rPr>
              <w:t xml:space="preserve"> </w:t>
            </w:r>
          </w:p>
        </w:tc>
      </w:tr>
    </w:tbl>
    <w:p w14:paraId="7A4DCA3D" w14:textId="77777777" w:rsidR="00C675D3" w:rsidRPr="00B72EE8" w:rsidRDefault="00C675D3" w:rsidP="003129ED">
      <w:pPr>
        <w:pStyle w:val="Heading2Numbered"/>
        <w:spacing w:before="240" w:line="276" w:lineRule="auto"/>
        <w:contextualSpacing w:val="0"/>
      </w:pPr>
      <w:bookmarkStart w:id="25" w:name="_Toc496539154"/>
      <w:bookmarkStart w:id="26" w:name="_Toc531005172"/>
      <w:r>
        <w:t>3.</w:t>
      </w:r>
      <w:r w:rsidR="00487FDE">
        <w:t>5</w:t>
      </w:r>
      <w:r>
        <w:t xml:space="preserve"> Applications from </w:t>
      </w:r>
      <w:r w:rsidR="003B4911">
        <w:t>a consortium</w:t>
      </w:r>
      <w:bookmarkEnd w:id="26"/>
    </w:p>
    <w:p w14:paraId="1554732F" w14:textId="77777777" w:rsidR="00E560FE" w:rsidRDefault="00E560FE" w:rsidP="0046143A">
      <w:pPr>
        <w:spacing w:after="120" w:line="276" w:lineRule="auto"/>
        <w:rPr>
          <w:rFonts w:cs="Arial"/>
        </w:rPr>
      </w:pPr>
      <w:r>
        <w:rPr>
          <w:rFonts w:cs="Arial"/>
        </w:rPr>
        <w:t>To encourage organisations to work together to achieve ILC Outcomes,</w:t>
      </w:r>
      <w:r w:rsidRPr="007D2FEC">
        <w:rPr>
          <w:rFonts w:cs="Arial"/>
        </w:rPr>
        <w:t xml:space="preserve"> </w:t>
      </w:r>
      <w:r>
        <w:rPr>
          <w:rFonts w:cs="Arial"/>
        </w:rPr>
        <w:t>t</w:t>
      </w:r>
      <w:r w:rsidRPr="007D2FEC">
        <w:rPr>
          <w:rFonts w:cs="Arial"/>
        </w:rPr>
        <w:t>he NDIA welc</w:t>
      </w:r>
      <w:r>
        <w:rPr>
          <w:rFonts w:cs="Arial"/>
        </w:rPr>
        <w:t>omes applications from a consortium</w:t>
      </w:r>
      <w:r w:rsidRPr="007D2FEC">
        <w:rPr>
          <w:rFonts w:cs="Arial"/>
        </w:rPr>
        <w:t xml:space="preserve"> of organisations</w:t>
      </w:r>
      <w:r>
        <w:rPr>
          <w:rFonts w:cs="Arial"/>
        </w:rPr>
        <w:t>.</w:t>
      </w:r>
    </w:p>
    <w:p w14:paraId="63D390A3" w14:textId="18BB090D" w:rsidR="00DE3074" w:rsidRDefault="00C675D3" w:rsidP="0046143A">
      <w:pPr>
        <w:spacing w:after="120" w:line="276" w:lineRule="auto"/>
      </w:pPr>
      <w:r>
        <w:t>A</w:t>
      </w:r>
      <w:r w:rsidRPr="00621BBB">
        <w:t xml:space="preserve"> consorti</w:t>
      </w:r>
      <w:r>
        <w:t>um</w:t>
      </w:r>
      <w:r w:rsidRPr="00621BBB">
        <w:t xml:space="preserve"> is </w:t>
      </w:r>
      <w:r>
        <w:t>two</w:t>
      </w:r>
      <w:r w:rsidRPr="00621BBB">
        <w:t xml:space="preserve"> or more </w:t>
      </w:r>
      <w:r w:rsidR="004A5EDD">
        <w:t xml:space="preserve">entities/organisations </w:t>
      </w:r>
      <w:r w:rsidR="00E560FE">
        <w:t>who</w:t>
      </w:r>
      <w:r w:rsidR="009C6F5C">
        <w:t xml:space="preserve"> </w:t>
      </w:r>
      <w:r w:rsidR="00E560FE">
        <w:t xml:space="preserve">are working to combine </w:t>
      </w:r>
      <w:r w:rsidRPr="00621BBB">
        <w:t>their capabilities when developing and delivering a grant activity</w:t>
      </w:r>
      <w:r w:rsidR="003129ED">
        <w:t>.</w:t>
      </w:r>
    </w:p>
    <w:p w14:paraId="4660B0C1" w14:textId="77777777" w:rsidR="00DE3074" w:rsidRDefault="003B4911" w:rsidP="0046143A">
      <w:pPr>
        <w:spacing w:after="120" w:line="276" w:lineRule="auto"/>
      </w:pPr>
      <w:r>
        <w:t>One organisation</w:t>
      </w:r>
      <w:r w:rsidR="009C6F5C">
        <w:t xml:space="preserve"> in a consortium</w:t>
      </w:r>
      <w:r>
        <w:t xml:space="preserve"> must be nominated as the </w:t>
      </w:r>
      <w:r w:rsidR="00C675D3">
        <w:t>‘</w:t>
      </w:r>
      <w:r w:rsidR="00C675D3" w:rsidRPr="00B72EE8">
        <w:t xml:space="preserve">lead </w:t>
      </w:r>
      <w:r w:rsidR="00C675D3">
        <w:t>organisation’</w:t>
      </w:r>
      <w:r w:rsidR="00C675D3" w:rsidRPr="00B72EE8">
        <w:t>.</w:t>
      </w:r>
      <w:r w:rsidR="009637BC">
        <w:t xml:space="preserve"> </w:t>
      </w:r>
      <w:r>
        <w:t xml:space="preserve">The lead organisation must be </w:t>
      </w:r>
      <w:r w:rsidR="00DE3074">
        <w:t>capable of satisfying all of the organi</w:t>
      </w:r>
      <w:r w:rsidR="00875C70">
        <w:t>sational eligibility criteria (S</w:t>
      </w:r>
      <w:r w:rsidR="00DE3074">
        <w:t>ections</w:t>
      </w:r>
      <w:r w:rsidR="009F2369">
        <w:t xml:space="preserve"> </w:t>
      </w:r>
      <w:r w:rsidR="00DE3074">
        <w:t>3.1, 3.2 and 3.3)</w:t>
      </w:r>
      <w:r>
        <w:t>.</w:t>
      </w:r>
      <w:r w:rsidRPr="00B72EE8">
        <w:t xml:space="preserve"> </w:t>
      </w:r>
      <w:r w:rsidR="00292F8D">
        <w:t xml:space="preserve">Non-lead members of the consortium </w:t>
      </w:r>
      <w:r w:rsidR="00292F8D" w:rsidRPr="000F1419">
        <w:rPr>
          <w:b/>
        </w:rPr>
        <w:t>do not</w:t>
      </w:r>
      <w:r w:rsidR="00292F8D">
        <w:t xml:space="preserve"> need to be </w:t>
      </w:r>
      <w:r w:rsidR="00C12A05">
        <w:t>eligible applicant types (section 3.1)</w:t>
      </w:r>
      <w:r w:rsidR="004957A3">
        <w:t>, or legal entities</w:t>
      </w:r>
      <w:r w:rsidR="00292F8D">
        <w:t>.</w:t>
      </w:r>
    </w:p>
    <w:p w14:paraId="0669B967" w14:textId="5BCF0F8D" w:rsidR="00C675D3" w:rsidRDefault="003B4911" w:rsidP="0046143A">
      <w:pPr>
        <w:spacing w:after="120" w:line="276" w:lineRule="auto"/>
      </w:pPr>
      <w:r>
        <w:t xml:space="preserve">The lead organisation completes and submits the application on behalf of the consortium members. </w:t>
      </w:r>
      <w:r w:rsidR="00C675D3" w:rsidRPr="00B72EE8">
        <w:t>The</w:t>
      </w:r>
      <w:r w:rsidR="00C675D3">
        <w:t xml:space="preserve"> lead organisation must </w:t>
      </w:r>
      <w:r w:rsidR="00C675D3" w:rsidRPr="00B72EE8">
        <w:t xml:space="preserve">identify all other members of the proposed consortium in the application. </w:t>
      </w:r>
      <w:r w:rsidR="006248AF" w:rsidRPr="00B72EE8">
        <w:t xml:space="preserve">Only the lead </w:t>
      </w:r>
      <w:r w:rsidR="006248AF">
        <w:t>organisation</w:t>
      </w:r>
      <w:r w:rsidR="006248AF" w:rsidRPr="00B72EE8">
        <w:t xml:space="preserve"> will enter into</w:t>
      </w:r>
      <w:r w:rsidR="006248AF">
        <w:t xml:space="preserve"> a </w:t>
      </w:r>
      <w:r w:rsidR="001D5020">
        <w:t>G</w:t>
      </w:r>
      <w:r w:rsidR="006248AF">
        <w:t xml:space="preserve">rant </w:t>
      </w:r>
      <w:r w:rsidR="004563ED">
        <w:t>A</w:t>
      </w:r>
      <w:r w:rsidR="006248AF">
        <w:t>greement with the</w:t>
      </w:r>
      <w:r w:rsidR="006248AF" w:rsidRPr="00B929D5">
        <w:t xml:space="preserve"> </w:t>
      </w:r>
      <w:r w:rsidR="006248AF">
        <w:t>NDIA</w:t>
      </w:r>
      <w:r w:rsidR="007D275C">
        <w:t>, but the lead organisation must have the authority to do so on behalf of the consortium members</w:t>
      </w:r>
      <w:r w:rsidR="006248AF">
        <w:t>.</w:t>
      </w:r>
    </w:p>
    <w:p w14:paraId="20FA5D5E" w14:textId="77777777" w:rsidR="00DE3074" w:rsidRDefault="004957A3" w:rsidP="0046143A">
      <w:pPr>
        <w:pStyle w:val="Bullet1"/>
        <w:numPr>
          <w:ilvl w:val="0"/>
          <w:numId w:val="0"/>
        </w:numPr>
        <w:spacing w:before="180" w:after="120" w:line="276" w:lineRule="auto"/>
      </w:pPr>
      <w:r>
        <w:t xml:space="preserve">Applicants considering applying as a consortium should </w:t>
      </w:r>
      <w:r w:rsidR="00E0447A">
        <w:t>refer to S</w:t>
      </w:r>
      <w:r w:rsidR="00DE3074">
        <w:t xml:space="preserve">ection 2.4 </w:t>
      </w:r>
      <w:r>
        <w:t xml:space="preserve">concerning </w:t>
      </w:r>
      <w:r w:rsidR="00DE3074">
        <w:t>the limit</w:t>
      </w:r>
      <w:r w:rsidR="00E42162">
        <w:t>s on</w:t>
      </w:r>
      <w:r>
        <w:t xml:space="preserve"> number</w:t>
      </w:r>
      <w:r w:rsidR="00E42162">
        <w:t>s</w:t>
      </w:r>
      <w:r w:rsidR="00DE3074">
        <w:t xml:space="preserve"> of </w:t>
      </w:r>
      <w:r w:rsidR="00484A81">
        <w:t xml:space="preserve">applications </w:t>
      </w:r>
      <w:r w:rsidR="00DE3074">
        <w:t xml:space="preserve">for lead organisations or members of </w:t>
      </w:r>
      <w:r w:rsidR="00487FDE">
        <w:t>a consortium</w:t>
      </w:r>
      <w:r w:rsidR="00DE3074">
        <w:t>.</w:t>
      </w:r>
    </w:p>
    <w:p w14:paraId="3FDC946C" w14:textId="77777777" w:rsidR="00DE3074" w:rsidRDefault="00DE3074" w:rsidP="00CC3C8E">
      <w:pPr>
        <w:spacing w:after="120" w:line="276" w:lineRule="auto"/>
        <w:rPr>
          <w:i/>
          <w:color w:val="7F7F7F" w:themeColor="text1" w:themeTint="80"/>
        </w:rPr>
      </w:pPr>
      <w:r>
        <w:rPr>
          <w:i/>
          <w:color w:val="7F7F7F" w:themeColor="text1" w:themeTint="80"/>
        </w:rPr>
        <w:t xml:space="preserve">E.g. </w:t>
      </w:r>
      <w:proofErr w:type="spellStart"/>
      <w:r>
        <w:rPr>
          <w:i/>
          <w:color w:val="7F7F7F" w:themeColor="text1" w:themeTint="80"/>
        </w:rPr>
        <w:t>LifEnAble</w:t>
      </w:r>
      <w:proofErr w:type="spellEnd"/>
      <w:r>
        <w:rPr>
          <w:i/>
          <w:color w:val="7F7F7F" w:themeColor="text1" w:themeTint="80"/>
        </w:rPr>
        <w:t xml:space="preserve"> decided to submit an application as a lead organisation of a consortium. </w:t>
      </w:r>
      <w:proofErr w:type="spellStart"/>
      <w:r>
        <w:rPr>
          <w:i/>
          <w:color w:val="7F7F7F" w:themeColor="text1" w:themeTint="80"/>
        </w:rPr>
        <w:t>LifEnAble</w:t>
      </w:r>
      <w:proofErr w:type="spellEnd"/>
      <w:r>
        <w:rPr>
          <w:i/>
          <w:color w:val="7F7F7F" w:themeColor="text1" w:themeTint="80"/>
        </w:rPr>
        <w:t xml:space="preserve"> m</w:t>
      </w:r>
      <w:r w:rsidR="009F2369">
        <w:rPr>
          <w:i/>
          <w:color w:val="7F7F7F" w:themeColor="text1" w:themeTint="80"/>
        </w:rPr>
        <w:t>eets the definition of a DPFO (S</w:t>
      </w:r>
      <w:r>
        <w:rPr>
          <w:i/>
          <w:color w:val="7F7F7F" w:themeColor="text1" w:themeTint="80"/>
        </w:rPr>
        <w:t>ection 3.</w:t>
      </w:r>
      <w:r w:rsidR="009F2369">
        <w:rPr>
          <w:i/>
          <w:color w:val="7F7F7F" w:themeColor="text1" w:themeTint="80"/>
        </w:rPr>
        <w:t>1), it is a legal entity type (S</w:t>
      </w:r>
      <w:r>
        <w:rPr>
          <w:i/>
          <w:color w:val="7F7F7F" w:themeColor="text1" w:themeTint="80"/>
        </w:rPr>
        <w:t>ection 3.2) and can meet the additiona</w:t>
      </w:r>
      <w:r w:rsidR="00E0447A">
        <w:rPr>
          <w:i/>
          <w:color w:val="7F7F7F" w:themeColor="text1" w:themeTint="80"/>
        </w:rPr>
        <w:t>l requirements</w:t>
      </w:r>
      <w:r w:rsidR="009F2369">
        <w:rPr>
          <w:i/>
          <w:color w:val="7F7F7F" w:themeColor="text1" w:themeTint="80"/>
        </w:rPr>
        <w:t xml:space="preserve"> (S</w:t>
      </w:r>
      <w:r>
        <w:rPr>
          <w:i/>
          <w:color w:val="7F7F7F" w:themeColor="text1" w:themeTint="80"/>
        </w:rPr>
        <w:t>ection 3.3). One</w:t>
      </w:r>
      <w:r w:rsidR="00F0340B">
        <w:rPr>
          <w:i/>
          <w:color w:val="7F7F7F" w:themeColor="text1" w:themeTint="80"/>
        </w:rPr>
        <w:t xml:space="preserve"> member of the consortium</w:t>
      </w:r>
      <w:r>
        <w:rPr>
          <w:i/>
          <w:color w:val="7F7F7F" w:themeColor="text1" w:themeTint="80"/>
        </w:rPr>
        <w:t xml:space="preserve"> is an unincorporated organisation but it is not a requirement that consortium members are legal entities.</w:t>
      </w:r>
      <w:r w:rsidR="00E0447A">
        <w:rPr>
          <w:i/>
          <w:color w:val="7F7F7F" w:themeColor="text1" w:themeTint="80"/>
        </w:rPr>
        <w:t xml:space="preserve"> </w:t>
      </w:r>
      <w:proofErr w:type="spellStart"/>
      <w:r>
        <w:rPr>
          <w:i/>
          <w:color w:val="7F7F7F" w:themeColor="text1" w:themeTint="80"/>
        </w:rPr>
        <w:t>LifeEnAble</w:t>
      </w:r>
      <w:proofErr w:type="spellEnd"/>
      <w:r>
        <w:rPr>
          <w:i/>
          <w:color w:val="7F7F7F" w:themeColor="text1" w:themeTint="80"/>
        </w:rPr>
        <w:t xml:space="preserve"> would not be eligible to submit any further applications as a lead organisation, or on its own behalf.</w:t>
      </w:r>
    </w:p>
    <w:p w14:paraId="0C36D2B2" w14:textId="77777777" w:rsidR="00487FDE" w:rsidRPr="004671AE" w:rsidRDefault="00487FDE" w:rsidP="004671AE">
      <w:pPr>
        <w:pStyle w:val="Heading2Numbered"/>
        <w:spacing w:before="240" w:line="276" w:lineRule="auto"/>
        <w:contextualSpacing w:val="0"/>
      </w:pPr>
      <w:bookmarkStart w:id="27" w:name="_Toc531005173"/>
      <w:r>
        <w:t xml:space="preserve">3.6 Applications under an </w:t>
      </w:r>
      <w:r w:rsidR="00F13559">
        <w:t>auspice</w:t>
      </w:r>
      <w:bookmarkEnd w:id="27"/>
    </w:p>
    <w:p w14:paraId="2E3DB9E0" w14:textId="627CD523" w:rsidR="0057469B" w:rsidRPr="0057469B" w:rsidRDefault="0057469B" w:rsidP="0057469B">
      <w:pPr>
        <w:spacing w:after="120" w:line="276" w:lineRule="auto"/>
        <w:rPr>
          <w:lang w:val="en-US"/>
        </w:rPr>
      </w:pPr>
      <w:r w:rsidRPr="0057469B">
        <w:rPr>
          <w:lang w:val="en-US"/>
        </w:rPr>
        <w:t xml:space="preserve">NDIA can only award grants to an </w:t>
      </w:r>
      <w:proofErr w:type="spellStart"/>
      <w:r w:rsidRPr="0057469B">
        <w:rPr>
          <w:lang w:val="en-US"/>
        </w:rPr>
        <w:t>organisation</w:t>
      </w:r>
      <w:proofErr w:type="spellEnd"/>
      <w:r w:rsidRPr="0057469B">
        <w:rPr>
          <w:lang w:val="en-US"/>
        </w:rPr>
        <w:t xml:space="preserve"> that is a legal entity to ensure that the </w:t>
      </w:r>
      <w:proofErr w:type="spellStart"/>
      <w:r w:rsidRPr="0057469B">
        <w:rPr>
          <w:lang w:val="en-US"/>
        </w:rPr>
        <w:t>organisation</w:t>
      </w:r>
      <w:proofErr w:type="spellEnd"/>
      <w:r w:rsidRPr="0057469B">
        <w:rPr>
          <w:lang w:val="en-US"/>
        </w:rPr>
        <w:t xml:space="preserve"> can be held legally responsible for meeting the contra</w:t>
      </w:r>
      <w:r w:rsidR="003129ED">
        <w:rPr>
          <w:lang w:val="en-US"/>
        </w:rPr>
        <w:t>ctual obligations of the grant.</w:t>
      </w:r>
    </w:p>
    <w:p w14:paraId="11109D98" w14:textId="77777777" w:rsidR="0057469B" w:rsidRDefault="003A7138" w:rsidP="0057469B">
      <w:pPr>
        <w:spacing w:after="120" w:line="276" w:lineRule="auto"/>
        <w:rPr>
          <w:lang w:val="en-US"/>
        </w:rPr>
      </w:pPr>
      <w:r>
        <w:rPr>
          <w:lang w:val="en-US"/>
        </w:rPr>
        <w:lastRenderedPageBreak/>
        <w:t>A</w:t>
      </w:r>
      <w:r w:rsidR="0057469B" w:rsidRPr="0057469B">
        <w:rPr>
          <w:lang w:val="en-US"/>
        </w:rPr>
        <w:t xml:space="preserve">n </w:t>
      </w:r>
      <w:proofErr w:type="spellStart"/>
      <w:r w:rsidR="0057469B" w:rsidRPr="0057469B">
        <w:rPr>
          <w:lang w:val="en-US"/>
        </w:rPr>
        <w:t>organisation</w:t>
      </w:r>
      <w:proofErr w:type="spellEnd"/>
      <w:r w:rsidR="0057469B" w:rsidRPr="0057469B">
        <w:rPr>
          <w:lang w:val="en-US"/>
        </w:rPr>
        <w:t>/group</w:t>
      </w:r>
      <w:r>
        <w:rPr>
          <w:lang w:val="en-US"/>
        </w:rPr>
        <w:t xml:space="preserve"> that is an eligible applicant type (section 3.1)</w:t>
      </w:r>
      <w:r w:rsidR="0057469B" w:rsidRPr="0057469B">
        <w:rPr>
          <w:lang w:val="en-US"/>
        </w:rPr>
        <w:t xml:space="preserve"> </w:t>
      </w:r>
      <w:r>
        <w:rPr>
          <w:lang w:val="en-US"/>
        </w:rPr>
        <w:t xml:space="preserve">but </w:t>
      </w:r>
      <w:r w:rsidR="006C5997">
        <w:rPr>
          <w:lang w:val="en-US"/>
        </w:rPr>
        <w:t>is not a legal entity,</w:t>
      </w:r>
      <w:r w:rsidR="0057469B" w:rsidRPr="0057469B">
        <w:rPr>
          <w:lang w:val="en-US"/>
        </w:rPr>
        <w:t xml:space="preserve"> </w:t>
      </w:r>
      <w:proofErr w:type="gramStart"/>
      <w:r w:rsidR="0057469B" w:rsidRPr="0057469B">
        <w:rPr>
          <w:lang w:val="en-US"/>
        </w:rPr>
        <w:t>may</w:t>
      </w:r>
      <w:proofErr w:type="gramEnd"/>
      <w:r w:rsidR="0057469B" w:rsidRPr="0057469B">
        <w:rPr>
          <w:lang w:val="en-US"/>
        </w:rPr>
        <w:t xml:space="preserve"> still be able to participate in the grant round if they are able to establish an auspice arrangement. An auspice</w:t>
      </w:r>
      <w:r w:rsidR="006C5997">
        <w:rPr>
          <w:lang w:val="en-US"/>
        </w:rPr>
        <w:t xml:space="preserve"> arrangement</w:t>
      </w:r>
      <w:r w:rsidR="0057469B" w:rsidRPr="0057469B">
        <w:rPr>
          <w:lang w:val="en-US"/>
        </w:rPr>
        <w:t xml:space="preserve"> can also be used by </w:t>
      </w:r>
      <w:proofErr w:type="spellStart"/>
      <w:r w:rsidR="0057469B" w:rsidRPr="0057469B">
        <w:rPr>
          <w:lang w:val="en-US"/>
        </w:rPr>
        <w:t>organisations</w:t>
      </w:r>
      <w:proofErr w:type="spellEnd"/>
      <w:r w:rsidR="0057469B" w:rsidRPr="0057469B">
        <w:rPr>
          <w:lang w:val="en-US"/>
        </w:rPr>
        <w:t xml:space="preserve"> unwilling or unable to take on the responsibilities of grant management.</w:t>
      </w:r>
    </w:p>
    <w:p w14:paraId="457A942E" w14:textId="77777777" w:rsidR="003A7138" w:rsidRDefault="003A7138" w:rsidP="0057469B">
      <w:pPr>
        <w:spacing w:after="120" w:line="276" w:lineRule="auto"/>
        <w:rPr>
          <w:lang w:val="en-US"/>
        </w:rPr>
      </w:pPr>
      <w:r>
        <w:rPr>
          <w:lang w:val="en-US"/>
        </w:rPr>
        <w:t xml:space="preserve">The </w:t>
      </w:r>
      <w:proofErr w:type="spellStart"/>
      <w:r>
        <w:rPr>
          <w:lang w:val="en-US"/>
        </w:rPr>
        <w:t>organisation</w:t>
      </w:r>
      <w:proofErr w:type="spellEnd"/>
      <w:r>
        <w:rPr>
          <w:lang w:val="en-US"/>
        </w:rPr>
        <w:t>/group (</w:t>
      </w:r>
      <w:proofErr w:type="spellStart"/>
      <w:r>
        <w:rPr>
          <w:lang w:val="en-US"/>
        </w:rPr>
        <w:t>auspicee</w:t>
      </w:r>
      <w:proofErr w:type="spellEnd"/>
      <w:r>
        <w:rPr>
          <w:lang w:val="en-US"/>
        </w:rPr>
        <w:t xml:space="preserve">) must arrange for another </w:t>
      </w:r>
      <w:proofErr w:type="spellStart"/>
      <w:r>
        <w:rPr>
          <w:lang w:val="en-US"/>
        </w:rPr>
        <w:t>organisation</w:t>
      </w:r>
      <w:proofErr w:type="spellEnd"/>
      <w:r>
        <w:rPr>
          <w:lang w:val="en-US"/>
        </w:rPr>
        <w:t xml:space="preserve"> to be their </w:t>
      </w:r>
      <w:proofErr w:type="spellStart"/>
      <w:r>
        <w:rPr>
          <w:lang w:val="en-US"/>
        </w:rPr>
        <w:t>auspicor</w:t>
      </w:r>
      <w:proofErr w:type="spellEnd"/>
      <w:r>
        <w:rPr>
          <w:lang w:val="en-US"/>
        </w:rPr>
        <w:t xml:space="preserve">. </w:t>
      </w:r>
      <w:r w:rsidR="0057469B" w:rsidRPr="0057469B">
        <w:rPr>
          <w:lang w:val="en-US"/>
        </w:rPr>
        <w:t xml:space="preserve">The </w:t>
      </w:r>
      <w:proofErr w:type="spellStart"/>
      <w:r w:rsidR="0057469B" w:rsidRPr="0057469B">
        <w:t>auspicor</w:t>
      </w:r>
      <w:proofErr w:type="spellEnd"/>
      <w:r w:rsidR="0057469B" w:rsidRPr="0057469B">
        <w:t xml:space="preserve"> </w:t>
      </w:r>
      <w:r w:rsidR="0057469B" w:rsidRPr="0057469B">
        <w:rPr>
          <w:lang w:val="en-US"/>
        </w:rPr>
        <w:t>applies</w:t>
      </w:r>
      <w:r>
        <w:rPr>
          <w:lang w:val="en-US"/>
        </w:rPr>
        <w:t xml:space="preserve"> on behalf of the </w:t>
      </w:r>
      <w:proofErr w:type="spellStart"/>
      <w:r>
        <w:rPr>
          <w:lang w:val="en-US"/>
        </w:rPr>
        <w:t>auspicee</w:t>
      </w:r>
      <w:proofErr w:type="spellEnd"/>
      <w:r w:rsidR="0057469B" w:rsidRPr="0057469B">
        <w:rPr>
          <w:lang w:val="en-US"/>
        </w:rPr>
        <w:t xml:space="preserve">. </w:t>
      </w:r>
      <w:r>
        <w:rPr>
          <w:lang w:val="en-US"/>
        </w:rPr>
        <w:t xml:space="preserve">The </w:t>
      </w:r>
      <w:proofErr w:type="spellStart"/>
      <w:r>
        <w:rPr>
          <w:lang w:val="en-US"/>
        </w:rPr>
        <w:t>Auspicee</w:t>
      </w:r>
      <w:proofErr w:type="spellEnd"/>
      <w:r>
        <w:rPr>
          <w:lang w:val="en-US"/>
        </w:rPr>
        <w:t xml:space="preserve"> will still carry out the project, but under the direction of the </w:t>
      </w:r>
      <w:proofErr w:type="spellStart"/>
      <w:r>
        <w:rPr>
          <w:lang w:val="en-US"/>
        </w:rPr>
        <w:t>auspicor</w:t>
      </w:r>
      <w:proofErr w:type="spellEnd"/>
      <w:r>
        <w:rPr>
          <w:lang w:val="en-US"/>
        </w:rPr>
        <w:t>.</w:t>
      </w:r>
    </w:p>
    <w:p w14:paraId="0A9378E3" w14:textId="77777777" w:rsidR="0057469B" w:rsidRPr="0057469B" w:rsidRDefault="0057469B" w:rsidP="0057469B">
      <w:pPr>
        <w:spacing w:after="120" w:line="276" w:lineRule="auto"/>
        <w:rPr>
          <w:lang w:val="en-US"/>
        </w:rPr>
      </w:pPr>
      <w:r w:rsidRPr="0057469B">
        <w:t xml:space="preserve">The </w:t>
      </w:r>
      <w:proofErr w:type="spellStart"/>
      <w:r w:rsidRPr="0057469B">
        <w:t>auspicor</w:t>
      </w:r>
      <w:proofErr w:type="spellEnd"/>
      <w:r w:rsidRPr="0057469B">
        <w:t xml:space="preserve"> becomes the applicant and, if the application is successful, </w:t>
      </w:r>
      <w:r w:rsidR="003A7138">
        <w:t xml:space="preserve">the </w:t>
      </w:r>
      <w:proofErr w:type="spellStart"/>
      <w:r w:rsidR="003A7138">
        <w:t>auspicor</w:t>
      </w:r>
      <w:proofErr w:type="spellEnd"/>
      <w:r w:rsidR="003A7138">
        <w:t xml:space="preserve"> </w:t>
      </w:r>
      <w:r w:rsidRPr="0057469B">
        <w:t xml:space="preserve">will receive and manage the funding on behalf of the </w:t>
      </w:r>
      <w:proofErr w:type="spellStart"/>
      <w:r w:rsidRPr="0057469B">
        <w:t>auspicee</w:t>
      </w:r>
      <w:proofErr w:type="spellEnd"/>
      <w:r w:rsidRPr="0057469B">
        <w:t>.</w:t>
      </w:r>
      <w:r w:rsidR="008969C6">
        <w:rPr>
          <w:lang w:val="en-US"/>
        </w:rPr>
        <w:t xml:space="preserve"> If </w:t>
      </w:r>
      <w:r w:rsidRPr="0057469B">
        <w:rPr>
          <w:lang w:val="en-US"/>
        </w:rPr>
        <w:t xml:space="preserve">successful, the </w:t>
      </w:r>
      <w:proofErr w:type="spellStart"/>
      <w:r w:rsidRPr="0057469B">
        <w:t>auspicor</w:t>
      </w:r>
      <w:proofErr w:type="spellEnd"/>
      <w:r w:rsidRPr="0057469B">
        <w:rPr>
          <w:lang w:val="en-US"/>
        </w:rPr>
        <w:t xml:space="preserve"> is </w:t>
      </w:r>
      <w:r w:rsidR="008969C6">
        <w:rPr>
          <w:lang w:val="en-US"/>
        </w:rPr>
        <w:t xml:space="preserve">the </w:t>
      </w:r>
      <w:r w:rsidR="008969C6" w:rsidRPr="0057469B">
        <w:rPr>
          <w:lang w:val="en-US"/>
        </w:rPr>
        <w:t>contracting entity</w:t>
      </w:r>
      <w:r w:rsidR="008969C6">
        <w:rPr>
          <w:lang w:val="en-US"/>
        </w:rPr>
        <w:t xml:space="preserve"> and is</w:t>
      </w:r>
      <w:r w:rsidR="008969C6" w:rsidRPr="0057469B">
        <w:rPr>
          <w:lang w:val="en-US"/>
        </w:rPr>
        <w:t xml:space="preserve"> </w:t>
      </w:r>
      <w:r w:rsidRPr="0057469B">
        <w:rPr>
          <w:lang w:val="en-US"/>
        </w:rPr>
        <w:t>legally responsible for meeting the contractual obligations of the grant.</w:t>
      </w:r>
      <w:r w:rsidR="008969C6">
        <w:rPr>
          <w:lang w:val="en-US"/>
        </w:rPr>
        <w:t xml:space="preserve"> This means that the </w:t>
      </w:r>
      <w:proofErr w:type="spellStart"/>
      <w:r w:rsidR="008969C6">
        <w:rPr>
          <w:lang w:val="en-US"/>
        </w:rPr>
        <w:t>auspicor</w:t>
      </w:r>
      <w:proofErr w:type="spellEnd"/>
      <w:r w:rsidR="008969C6">
        <w:rPr>
          <w:lang w:val="en-US"/>
        </w:rPr>
        <w:t xml:space="preserve"> may direct the auspice to deliver the grant project in a certain way.</w:t>
      </w:r>
    </w:p>
    <w:p w14:paraId="56915D94" w14:textId="77777777" w:rsidR="003A7138" w:rsidRPr="0057469B" w:rsidRDefault="003A7138" w:rsidP="003A7138">
      <w:pPr>
        <w:spacing w:after="120" w:line="276" w:lineRule="auto"/>
      </w:pPr>
      <w:r w:rsidRPr="0057469B">
        <w:rPr>
          <w:lang w:val="en-US"/>
        </w:rPr>
        <w:t xml:space="preserve">The </w:t>
      </w:r>
      <w:proofErr w:type="spellStart"/>
      <w:r w:rsidRPr="0057469B">
        <w:t>auspicor</w:t>
      </w:r>
      <w:proofErr w:type="spellEnd"/>
      <w:r w:rsidRPr="0057469B">
        <w:t xml:space="preserve"> </w:t>
      </w:r>
      <w:r>
        <w:t xml:space="preserve">can be any organisation that is </w:t>
      </w:r>
      <w:r w:rsidRPr="0057469B">
        <w:rPr>
          <w:lang w:val="en-US"/>
        </w:rPr>
        <w:t xml:space="preserve">a legal entity (Section 3.2) and </w:t>
      </w:r>
      <w:r w:rsidRPr="0057469B">
        <w:t>capable of satisfying the additional requirements outlined in Section 3.3.</w:t>
      </w:r>
    </w:p>
    <w:p w14:paraId="21BFCAB0" w14:textId="77777777" w:rsidR="0057469B" w:rsidRPr="0057469B" w:rsidRDefault="0057469B" w:rsidP="0057469B">
      <w:pPr>
        <w:spacing w:after="120" w:line="276" w:lineRule="auto"/>
        <w:rPr>
          <w:lang w:val="en-US"/>
        </w:rPr>
      </w:pPr>
      <w:r w:rsidRPr="0057469B">
        <w:rPr>
          <w:lang w:val="en-US"/>
        </w:rPr>
        <w:t xml:space="preserve">The </w:t>
      </w:r>
      <w:proofErr w:type="spellStart"/>
      <w:r w:rsidR="003A7138">
        <w:rPr>
          <w:lang w:val="en-US"/>
        </w:rPr>
        <w:t>auspicee</w:t>
      </w:r>
      <w:proofErr w:type="spellEnd"/>
      <w:r w:rsidR="008969C6">
        <w:rPr>
          <w:lang w:val="en-US"/>
        </w:rPr>
        <w:t xml:space="preserve"> must</w:t>
      </w:r>
      <w:r w:rsidRPr="0057469B">
        <w:rPr>
          <w:lang w:val="en-US"/>
        </w:rPr>
        <w:t xml:space="preserve"> complete the template provided on the </w:t>
      </w:r>
      <w:proofErr w:type="spellStart"/>
      <w:r w:rsidRPr="0057469B">
        <w:rPr>
          <w:lang w:val="en-US"/>
        </w:rPr>
        <w:t>GrantConnect</w:t>
      </w:r>
      <w:proofErr w:type="spellEnd"/>
      <w:r w:rsidRPr="0057469B">
        <w:rPr>
          <w:lang w:val="en-US"/>
        </w:rPr>
        <w:t xml:space="preserve"> website </w:t>
      </w:r>
      <w:proofErr w:type="spellStart"/>
      <w:r w:rsidRPr="0057469B">
        <w:rPr>
          <w:lang w:val="en-US"/>
        </w:rPr>
        <w:t>authorising</w:t>
      </w:r>
      <w:proofErr w:type="spellEnd"/>
      <w:r w:rsidRPr="0057469B">
        <w:rPr>
          <w:lang w:val="en-US"/>
        </w:rPr>
        <w:t xml:space="preserve"> the </w:t>
      </w:r>
      <w:proofErr w:type="spellStart"/>
      <w:r w:rsidRPr="0057469B">
        <w:t>auspicor</w:t>
      </w:r>
      <w:proofErr w:type="spellEnd"/>
      <w:r w:rsidRPr="0057469B">
        <w:t xml:space="preserve"> </w:t>
      </w:r>
      <w:r w:rsidRPr="0057469B">
        <w:rPr>
          <w:lang w:val="en-US"/>
        </w:rPr>
        <w:t>to apply on their behalf. The Applicant will be prompted to include this template as part of the application process.</w:t>
      </w:r>
    </w:p>
    <w:p w14:paraId="55CF8632" w14:textId="3E3743F8" w:rsidR="0057469B" w:rsidRDefault="0057469B" w:rsidP="0057469B">
      <w:pPr>
        <w:spacing w:after="120" w:line="276" w:lineRule="auto"/>
      </w:pPr>
      <w:r w:rsidRPr="0057469B">
        <w:t xml:space="preserve">If the grant is successful the </w:t>
      </w:r>
      <w:proofErr w:type="spellStart"/>
      <w:r w:rsidRPr="0057469B">
        <w:t>Auspicor</w:t>
      </w:r>
      <w:proofErr w:type="spellEnd"/>
      <w:r w:rsidRPr="0057469B">
        <w:t xml:space="preserve"> and </w:t>
      </w:r>
      <w:proofErr w:type="spellStart"/>
      <w:r w:rsidRPr="0057469B">
        <w:t>Auspicee</w:t>
      </w:r>
      <w:proofErr w:type="spellEnd"/>
      <w:r w:rsidRPr="0057469B">
        <w:t xml:space="preserve"> must enter into an Auspice Agreement and show proof of this. An Auspice </w:t>
      </w:r>
      <w:r w:rsidR="004563ED">
        <w:t>A</w:t>
      </w:r>
      <w:r w:rsidRPr="0057469B">
        <w:t xml:space="preserve">greement is a legally binding document. </w:t>
      </w:r>
      <w:hyperlink r:id="rId14" w:history="1">
        <w:r w:rsidRPr="00F310C5">
          <w:rPr>
            <w:rStyle w:val="Hyperlink"/>
            <w:rFonts w:cstheme="minorBidi"/>
          </w:rPr>
          <w:t>Not-for-profit Law</w:t>
        </w:r>
      </w:hyperlink>
      <w:r w:rsidR="00F310C5">
        <w:t xml:space="preserve"> </w:t>
      </w:r>
      <w:r w:rsidRPr="0057469B">
        <w:t xml:space="preserve">has information about </w:t>
      </w:r>
      <w:proofErr w:type="spellStart"/>
      <w:r w:rsidRPr="0057469B">
        <w:t>auspicing</w:t>
      </w:r>
      <w:proofErr w:type="spellEnd"/>
      <w:r w:rsidR="006C5997">
        <w:t>,</w:t>
      </w:r>
      <w:r w:rsidRPr="0057469B">
        <w:t xml:space="preserve"> including a template </w:t>
      </w:r>
      <w:r w:rsidR="004563ED">
        <w:t>A</w:t>
      </w:r>
      <w:r w:rsidRPr="0057469B">
        <w:t xml:space="preserve">uspice </w:t>
      </w:r>
      <w:r w:rsidR="004563ED">
        <w:t>A</w:t>
      </w:r>
      <w:r w:rsidRPr="0057469B">
        <w:t>greement.</w:t>
      </w:r>
    </w:p>
    <w:p w14:paraId="155C1837" w14:textId="77777777" w:rsidR="008969C6" w:rsidRPr="008969C6" w:rsidRDefault="008969C6" w:rsidP="0057469B">
      <w:pPr>
        <w:spacing w:after="120" w:line="276" w:lineRule="auto"/>
        <w:rPr>
          <w:lang w:val="en-US"/>
        </w:rPr>
      </w:pPr>
      <w:r w:rsidRPr="0057469B">
        <w:t xml:space="preserve">An </w:t>
      </w:r>
      <w:proofErr w:type="spellStart"/>
      <w:r w:rsidRPr="0057469B">
        <w:t>auspicor</w:t>
      </w:r>
      <w:proofErr w:type="spellEnd"/>
      <w:r w:rsidRPr="0057469B">
        <w:t xml:space="preserve"> </w:t>
      </w:r>
      <w:r w:rsidRPr="0057469B">
        <w:rPr>
          <w:lang w:val="en-US"/>
        </w:rPr>
        <w:t>ma</w:t>
      </w:r>
      <w:r>
        <w:rPr>
          <w:lang w:val="en-US"/>
        </w:rPr>
        <w:t xml:space="preserve">y auspice more than one </w:t>
      </w:r>
      <w:r w:rsidRPr="0057469B">
        <w:rPr>
          <w:lang w:val="en-US"/>
        </w:rPr>
        <w:t xml:space="preserve">group or </w:t>
      </w:r>
      <w:proofErr w:type="spellStart"/>
      <w:r w:rsidRPr="0057469B">
        <w:rPr>
          <w:lang w:val="en-US"/>
        </w:rPr>
        <w:t>organisation</w:t>
      </w:r>
      <w:proofErr w:type="spellEnd"/>
      <w:r w:rsidRPr="0057469B">
        <w:rPr>
          <w:lang w:val="en-US"/>
        </w:rPr>
        <w:t>, but must submit a separate application, and enter into a separate funding agreement, for each g</w:t>
      </w:r>
      <w:r>
        <w:rPr>
          <w:lang w:val="en-US"/>
        </w:rPr>
        <w:t xml:space="preserve">roup or </w:t>
      </w:r>
      <w:proofErr w:type="spellStart"/>
      <w:r>
        <w:rPr>
          <w:lang w:val="en-US"/>
        </w:rPr>
        <w:t>organisation</w:t>
      </w:r>
      <w:proofErr w:type="spellEnd"/>
      <w:r>
        <w:rPr>
          <w:lang w:val="en-US"/>
        </w:rPr>
        <w:t xml:space="preserve"> </w:t>
      </w:r>
      <w:proofErr w:type="spellStart"/>
      <w:r>
        <w:rPr>
          <w:lang w:val="en-US"/>
        </w:rPr>
        <w:t>auspiced</w:t>
      </w:r>
      <w:proofErr w:type="spellEnd"/>
      <w:r>
        <w:rPr>
          <w:lang w:val="en-US"/>
        </w:rPr>
        <w:t xml:space="preserve">. </w:t>
      </w:r>
    </w:p>
    <w:p w14:paraId="0919A69D" w14:textId="2A823D1E" w:rsidR="0057469B" w:rsidRDefault="0057469B" w:rsidP="0057469B">
      <w:pPr>
        <w:spacing w:after="120" w:line="276" w:lineRule="auto"/>
        <w:rPr>
          <w:i/>
          <w:iCs/>
          <w:color w:val="7F7F7F"/>
        </w:rPr>
      </w:pPr>
      <w:r>
        <w:rPr>
          <w:i/>
          <w:iCs/>
          <w:color w:val="7F7F7F"/>
        </w:rPr>
        <w:t>E.g. Grady Support Group meets the eligibility of being a DPFO</w:t>
      </w:r>
      <w:r w:rsidR="008969C6">
        <w:rPr>
          <w:i/>
          <w:iCs/>
          <w:color w:val="7F7F7F"/>
        </w:rPr>
        <w:t>, but they are not incorporated</w:t>
      </w:r>
      <w:r>
        <w:rPr>
          <w:i/>
          <w:iCs/>
          <w:color w:val="7F7F7F"/>
        </w:rPr>
        <w:t xml:space="preserve">. They approach All4One who submits an application </w:t>
      </w:r>
      <w:r w:rsidR="003129ED">
        <w:rPr>
          <w:i/>
          <w:iCs/>
          <w:color w:val="7F7F7F"/>
        </w:rPr>
        <w:t>to be</w:t>
      </w:r>
      <w:r>
        <w:rPr>
          <w:i/>
          <w:iCs/>
          <w:color w:val="7F7F7F"/>
        </w:rPr>
        <w:t xml:space="preserve"> the </w:t>
      </w:r>
      <w:proofErr w:type="spellStart"/>
      <w:r w:rsidRPr="0057469B">
        <w:rPr>
          <w:i/>
          <w:iCs/>
          <w:color w:val="7F7F7F"/>
        </w:rPr>
        <w:t>auspicor</w:t>
      </w:r>
      <w:proofErr w:type="spellEnd"/>
      <w:r w:rsidRPr="0057469B">
        <w:rPr>
          <w:i/>
          <w:iCs/>
          <w:color w:val="7F7F7F"/>
        </w:rPr>
        <w:t xml:space="preserve"> </w:t>
      </w:r>
      <w:r>
        <w:rPr>
          <w:i/>
          <w:iCs/>
          <w:color w:val="7F7F7F"/>
        </w:rPr>
        <w:t xml:space="preserve">of the Grady Support Group. </w:t>
      </w:r>
      <w:r w:rsidR="008969C6">
        <w:rPr>
          <w:i/>
          <w:iCs/>
          <w:color w:val="7F7F7F"/>
        </w:rPr>
        <w:t xml:space="preserve">If successful, All4One will receive the grant funding. They may also direct Grady Support Group to undertake activities to ensure that the Grady Support Group are compliant with the </w:t>
      </w:r>
      <w:r w:rsidR="001D5020">
        <w:rPr>
          <w:i/>
          <w:iCs/>
          <w:color w:val="7F7F7F"/>
        </w:rPr>
        <w:t>G</w:t>
      </w:r>
      <w:r w:rsidR="008969C6">
        <w:rPr>
          <w:i/>
          <w:iCs/>
          <w:color w:val="7F7F7F"/>
        </w:rPr>
        <w:t xml:space="preserve">rant </w:t>
      </w:r>
      <w:r w:rsidR="004563ED">
        <w:rPr>
          <w:i/>
          <w:iCs/>
          <w:color w:val="7F7F7F"/>
        </w:rPr>
        <w:t>A</w:t>
      </w:r>
      <w:r w:rsidR="008969C6">
        <w:rPr>
          <w:i/>
          <w:iCs/>
          <w:color w:val="7F7F7F"/>
        </w:rPr>
        <w:t>greement and other terms of their Auspice Agreement.</w:t>
      </w:r>
    </w:p>
    <w:p w14:paraId="38198417" w14:textId="77777777" w:rsidR="0057469B" w:rsidRDefault="0057469B" w:rsidP="0057469B">
      <w:pPr>
        <w:spacing w:after="120" w:line="276" w:lineRule="auto"/>
        <w:rPr>
          <w:i/>
          <w:iCs/>
          <w:color w:val="7F7F7F"/>
        </w:rPr>
      </w:pPr>
      <w:r>
        <w:rPr>
          <w:i/>
          <w:iCs/>
          <w:color w:val="7F7F7F"/>
        </w:rPr>
        <w:t>E.g. Grady Access-a-ball social sporting group meets the eligibility of being an organisation run by and for people from culturally and linguistically diverse communities. Even though they are incorporated, they don’t feel confident to manage the grant by themselves. The Grady City Council has agreed to auspice their application and manage the funding on their behalf.</w:t>
      </w:r>
    </w:p>
    <w:p w14:paraId="45ED42E4" w14:textId="77777777" w:rsidR="0057469B" w:rsidRDefault="0057469B" w:rsidP="0046143A">
      <w:pPr>
        <w:widowControl w:val="0"/>
        <w:spacing w:after="120" w:line="276" w:lineRule="auto"/>
        <w:ind w:right="-51"/>
        <w:rPr>
          <w:lang w:val="en-US"/>
        </w:rPr>
      </w:pPr>
    </w:p>
    <w:p w14:paraId="3A2C0B2E" w14:textId="77777777" w:rsidR="0036655A" w:rsidRPr="00B72EE8" w:rsidRDefault="00E0447A" w:rsidP="00CC3C8E">
      <w:pPr>
        <w:pStyle w:val="Heading2Numbered"/>
        <w:spacing w:line="276" w:lineRule="auto"/>
        <w:contextualSpacing w:val="0"/>
      </w:pPr>
      <w:bookmarkStart w:id="28" w:name="_Toc531005174"/>
      <w:r>
        <w:lastRenderedPageBreak/>
        <w:t>3.7</w:t>
      </w:r>
      <w:r w:rsidR="0036655A">
        <w:t xml:space="preserve"> Applications from ILC priority cohort organisations</w:t>
      </w:r>
      <w:bookmarkEnd w:id="28"/>
    </w:p>
    <w:p w14:paraId="46B5C232" w14:textId="77777777" w:rsidR="008969C6" w:rsidRDefault="008969C6" w:rsidP="008969C6">
      <w:pPr>
        <w:rPr>
          <w:rFonts w:asciiTheme="majorHAnsi" w:hAnsiTheme="majorHAnsi" w:cstheme="majorHAnsi"/>
        </w:rPr>
      </w:pPr>
      <w:r w:rsidRPr="008969C6">
        <w:rPr>
          <w:rFonts w:asciiTheme="majorHAnsi" w:hAnsiTheme="majorHAnsi" w:cstheme="majorHAnsi"/>
        </w:rPr>
        <w:t>An organisation led by and for ILC’s Priority Cohort Groups are organisations with a minimum of 50% representation of the cohort group on the board, staff, volunteers or members (See Section 3.</w:t>
      </w:r>
      <w:r>
        <w:rPr>
          <w:rFonts w:asciiTheme="majorHAnsi" w:hAnsiTheme="majorHAnsi" w:cstheme="majorHAnsi"/>
        </w:rPr>
        <w:t>1</w:t>
      </w:r>
      <w:r w:rsidRPr="008969C6">
        <w:rPr>
          <w:rFonts w:asciiTheme="majorHAnsi" w:hAnsiTheme="majorHAnsi" w:cstheme="majorHAnsi"/>
        </w:rPr>
        <w:t>)</w:t>
      </w:r>
      <w:r>
        <w:rPr>
          <w:rFonts w:asciiTheme="majorHAnsi" w:hAnsiTheme="majorHAnsi" w:cstheme="majorHAnsi"/>
        </w:rPr>
        <w:t>.</w:t>
      </w:r>
    </w:p>
    <w:p w14:paraId="45E7D3E0" w14:textId="77777777" w:rsidR="008969C6" w:rsidRPr="008969C6" w:rsidRDefault="008969C6" w:rsidP="008969C6">
      <w:pPr>
        <w:rPr>
          <w:rFonts w:asciiTheme="majorHAnsi" w:hAnsiTheme="majorHAnsi" w:cstheme="majorHAnsi"/>
        </w:rPr>
      </w:pPr>
      <w:r w:rsidRPr="008969C6">
        <w:rPr>
          <w:rFonts w:asciiTheme="majorHAnsi" w:hAnsiTheme="majorHAnsi" w:cstheme="majorHAnsi"/>
        </w:rPr>
        <w:t>ILC priority cohort groups for this funding round are:</w:t>
      </w:r>
    </w:p>
    <w:p w14:paraId="69B81ECD" w14:textId="77777777" w:rsidR="008969C6" w:rsidRPr="00C47598" w:rsidRDefault="008969C6" w:rsidP="00EC3661">
      <w:pPr>
        <w:pStyle w:val="ListParagraph"/>
        <w:numPr>
          <w:ilvl w:val="0"/>
          <w:numId w:val="30"/>
        </w:numPr>
        <w:spacing w:after="120"/>
        <w:ind w:left="1077" w:hanging="357"/>
        <w:rPr>
          <w:rFonts w:asciiTheme="majorHAnsi" w:hAnsiTheme="majorHAnsi" w:cstheme="majorHAnsi"/>
        </w:rPr>
      </w:pPr>
      <w:r w:rsidRPr="00C47598">
        <w:rPr>
          <w:rFonts w:asciiTheme="majorHAnsi" w:hAnsiTheme="majorHAnsi" w:cstheme="majorHAnsi"/>
        </w:rPr>
        <w:t xml:space="preserve">Aboriginal and Torres Strait Islander </w:t>
      </w:r>
      <w:r>
        <w:rPr>
          <w:rFonts w:asciiTheme="majorHAnsi" w:hAnsiTheme="majorHAnsi" w:cstheme="majorHAnsi"/>
        </w:rPr>
        <w:t>communities</w:t>
      </w:r>
    </w:p>
    <w:p w14:paraId="578283ED" w14:textId="77777777" w:rsidR="008969C6" w:rsidRPr="00C47598" w:rsidRDefault="008969C6" w:rsidP="00EC3661">
      <w:pPr>
        <w:pStyle w:val="ListParagraph"/>
        <w:numPr>
          <w:ilvl w:val="0"/>
          <w:numId w:val="30"/>
        </w:numPr>
        <w:spacing w:after="120"/>
        <w:ind w:left="1077" w:hanging="357"/>
        <w:rPr>
          <w:rFonts w:asciiTheme="majorHAnsi" w:hAnsiTheme="majorHAnsi" w:cstheme="majorHAnsi"/>
        </w:rPr>
      </w:pPr>
      <w:r w:rsidRPr="00C47598">
        <w:rPr>
          <w:rFonts w:asciiTheme="majorHAnsi" w:hAnsiTheme="majorHAnsi" w:cstheme="majorHAnsi"/>
        </w:rPr>
        <w:t xml:space="preserve">Culturally and Linguistically Diverse </w:t>
      </w:r>
      <w:r>
        <w:rPr>
          <w:rFonts w:asciiTheme="majorHAnsi" w:hAnsiTheme="majorHAnsi" w:cstheme="majorHAnsi"/>
        </w:rPr>
        <w:t>c</w:t>
      </w:r>
      <w:r w:rsidRPr="00C47598">
        <w:rPr>
          <w:rFonts w:asciiTheme="majorHAnsi" w:hAnsiTheme="majorHAnsi" w:cstheme="majorHAnsi"/>
        </w:rPr>
        <w:t>ommunities</w:t>
      </w:r>
    </w:p>
    <w:p w14:paraId="450BF2B0" w14:textId="77777777" w:rsidR="008969C6" w:rsidRPr="002920E1" w:rsidRDefault="008969C6" w:rsidP="00EC3661">
      <w:pPr>
        <w:pStyle w:val="ListParagraph"/>
        <w:numPr>
          <w:ilvl w:val="0"/>
          <w:numId w:val="30"/>
        </w:numPr>
        <w:spacing w:after="120"/>
        <w:ind w:left="1077" w:hanging="357"/>
        <w:rPr>
          <w:rStyle w:val="highlightedtextChar"/>
          <w:rFonts w:asciiTheme="majorHAnsi" w:eastAsiaTheme="minorHAnsi" w:hAnsiTheme="majorHAnsi" w:cstheme="majorHAnsi"/>
          <w:b w:val="0"/>
          <w:color w:val="auto"/>
        </w:rPr>
      </w:pPr>
      <w:r>
        <w:rPr>
          <w:rStyle w:val="ilfuvd"/>
          <w:rFonts w:ascii="Arial" w:hAnsi="Arial" w:cs="Arial"/>
          <w:color w:val="222222"/>
        </w:rPr>
        <w:t>Lesbian, Gay, Bisexual, Transgender, Intersex and Questioning and Plus (</w:t>
      </w:r>
      <w:r w:rsidRPr="00C47598">
        <w:rPr>
          <w:rFonts w:asciiTheme="majorHAnsi" w:hAnsiTheme="majorHAnsi" w:cstheme="majorHAnsi"/>
        </w:rPr>
        <w:t>LGBTIQ+</w:t>
      </w:r>
      <w:r>
        <w:rPr>
          <w:rFonts w:asciiTheme="majorHAnsi" w:hAnsiTheme="majorHAnsi" w:cstheme="majorHAnsi"/>
        </w:rPr>
        <w:t>)</w:t>
      </w:r>
    </w:p>
    <w:p w14:paraId="766A30BC" w14:textId="77777777" w:rsidR="00D41D9C" w:rsidRDefault="004E38A1" w:rsidP="0046143A">
      <w:pPr>
        <w:spacing w:after="120" w:line="276" w:lineRule="auto"/>
      </w:pPr>
      <w:r>
        <w:t>The applicant must be capable of satisfying all of the organi</w:t>
      </w:r>
      <w:r w:rsidR="00867A81">
        <w:t>sational eligibility criteria (S</w:t>
      </w:r>
      <w:r>
        <w:t>ections</w:t>
      </w:r>
      <w:r w:rsidR="001462CE">
        <w:t xml:space="preserve"> </w:t>
      </w:r>
      <w:r>
        <w:t>3.1, 3.2 and 3.3).</w:t>
      </w:r>
      <w:r w:rsidRPr="00B72EE8">
        <w:t xml:space="preserve"> </w:t>
      </w:r>
    </w:p>
    <w:p w14:paraId="62DCA497" w14:textId="51FB98AE" w:rsidR="004E38A1" w:rsidRDefault="00D41D9C" w:rsidP="0046143A">
      <w:pPr>
        <w:spacing w:after="120" w:line="276" w:lineRule="auto"/>
      </w:pPr>
      <w:r>
        <w:rPr>
          <w:rFonts w:asciiTheme="majorHAnsi" w:hAnsiTheme="majorHAnsi" w:cstheme="majorHAnsi"/>
        </w:rPr>
        <w:t>Applications from these organisations must demonstrate a clear, direct benefit to people with disability</w:t>
      </w:r>
      <w:r>
        <w:t xml:space="preserve">. </w:t>
      </w:r>
      <w:r w:rsidR="00DD1B6C">
        <w:t xml:space="preserve">Non-DPFO organisations cannot apply for </w:t>
      </w:r>
      <w:r w:rsidR="0007602A">
        <w:t xml:space="preserve">organisational </w:t>
      </w:r>
      <w:r w:rsidR="00DD1B6C">
        <w:t>capacity building funding through this round, and where they are both a DPFO and an ILC priority cohort organisation</w:t>
      </w:r>
      <w:r w:rsidR="003129ED">
        <w:t>,</w:t>
      </w:r>
      <w:r w:rsidR="00DD1B6C">
        <w:t xml:space="preserve"> they cannot use </w:t>
      </w:r>
      <w:r w:rsidR="0007602A">
        <w:t>o</w:t>
      </w:r>
      <w:r w:rsidR="00473FBD">
        <w:t>rganisational capacity building funding to fund other parts of the organisation that do not work with people with disability.</w:t>
      </w:r>
    </w:p>
    <w:p w14:paraId="45A31E48" w14:textId="77777777" w:rsidR="004E38A1" w:rsidRPr="00B72EE8" w:rsidRDefault="004E38A1" w:rsidP="00CC3C8E">
      <w:pPr>
        <w:pStyle w:val="Heading2Numbered"/>
        <w:spacing w:line="276" w:lineRule="auto"/>
        <w:contextualSpacing w:val="0"/>
      </w:pPr>
      <w:bookmarkStart w:id="29" w:name="_Toc531005175"/>
      <w:r>
        <w:t>3.</w:t>
      </w:r>
      <w:r w:rsidR="00E0447A">
        <w:t>8 Applications from sibling and carer</w:t>
      </w:r>
      <w:r>
        <w:t xml:space="preserve"> organisations</w:t>
      </w:r>
      <w:bookmarkEnd w:id="29"/>
    </w:p>
    <w:p w14:paraId="1DCD7970" w14:textId="3C1D2174" w:rsidR="00E0447A" w:rsidRPr="00C82998" w:rsidRDefault="00D41D9C" w:rsidP="0046143A">
      <w:pPr>
        <w:spacing w:after="120" w:line="276" w:lineRule="auto"/>
        <w:rPr>
          <w:rFonts w:cs="Times New Roman"/>
        </w:rPr>
      </w:pPr>
      <w:r>
        <w:rPr>
          <w:rFonts w:asciiTheme="majorHAnsi" w:hAnsiTheme="majorHAnsi" w:cstheme="majorHAnsi"/>
        </w:rPr>
        <w:t>O</w:t>
      </w:r>
      <w:r w:rsidR="00E0447A">
        <w:rPr>
          <w:rFonts w:asciiTheme="majorHAnsi" w:hAnsiTheme="majorHAnsi" w:cstheme="majorHAnsi"/>
        </w:rPr>
        <w:t>rganisations established to primarily support sibling</w:t>
      </w:r>
      <w:r w:rsidR="004A5EDD">
        <w:rPr>
          <w:rFonts w:asciiTheme="majorHAnsi" w:hAnsiTheme="majorHAnsi" w:cstheme="majorHAnsi"/>
        </w:rPr>
        <w:t>s</w:t>
      </w:r>
      <w:r w:rsidR="00E0447A">
        <w:rPr>
          <w:rFonts w:asciiTheme="majorHAnsi" w:hAnsiTheme="majorHAnsi" w:cstheme="majorHAnsi"/>
        </w:rPr>
        <w:t xml:space="preserve"> and carers of people with disability</w:t>
      </w:r>
      <w:r>
        <w:rPr>
          <w:rFonts w:asciiTheme="majorHAnsi" w:hAnsiTheme="majorHAnsi" w:cstheme="majorHAnsi"/>
        </w:rPr>
        <w:t xml:space="preserve"> are eligible to apply</w:t>
      </w:r>
      <w:r w:rsidR="00E0447A">
        <w:rPr>
          <w:rFonts w:asciiTheme="majorHAnsi" w:hAnsiTheme="majorHAnsi" w:cstheme="majorHAnsi"/>
        </w:rPr>
        <w:t xml:space="preserve">. </w:t>
      </w:r>
      <w:r>
        <w:rPr>
          <w:rFonts w:asciiTheme="majorHAnsi" w:hAnsiTheme="majorHAnsi" w:cstheme="majorHAnsi"/>
        </w:rPr>
        <w:t>Applications from these organisations must demonstrate a clear direct benefit to people with disabil</w:t>
      </w:r>
      <w:r w:rsidR="00F4062C">
        <w:rPr>
          <w:rFonts w:asciiTheme="majorHAnsi" w:hAnsiTheme="majorHAnsi" w:cstheme="majorHAnsi"/>
        </w:rPr>
        <w:t>ity, no</w:t>
      </w:r>
      <w:r>
        <w:rPr>
          <w:rFonts w:asciiTheme="majorHAnsi" w:hAnsiTheme="majorHAnsi" w:cstheme="majorHAnsi"/>
        </w:rPr>
        <w:t>t as a secondary outcome achieved through carer/sibling wellbeing.</w:t>
      </w:r>
      <w:r w:rsidR="0058694B">
        <w:rPr>
          <w:rFonts w:asciiTheme="majorHAnsi" w:hAnsiTheme="majorHAnsi" w:cstheme="majorHAnsi"/>
        </w:rPr>
        <w:t xml:space="preserve"> </w:t>
      </w:r>
      <w:r w:rsidR="00867A81">
        <w:t>A</w:t>
      </w:r>
      <w:r w:rsidR="00E0447A">
        <w:t>pplicant</w:t>
      </w:r>
      <w:r w:rsidR="00316E96">
        <w:t>s</w:t>
      </w:r>
      <w:r w:rsidR="00E0447A">
        <w:t xml:space="preserve"> must be capable of satisfying all of the organisational eligibility criteria (</w:t>
      </w:r>
      <w:r w:rsidR="00867A81">
        <w:t>S</w:t>
      </w:r>
      <w:r w:rsidR="00E0447A">
        <w:t>ections</w:t>
      </w:r>
      <w:r w:rsidR="00867A81">
        <w:t xml:space="preserve"> </w:t>
      </w:r>
      <w:r w:rsidR="00E0447A">
        <w:t>3.1, 3.2 and 3.3).</w:t>
      </w:r>
      <w:r w:rsidR="00E0447A" w:rsidRPr="00B72EE8">
        <w:t xml:space="preserve"> </w:t>
      </w:r>
    </w:p>
    <w:p w14:paraId="6EB889E3" w14:textId="77777777" w:rsidR="00A54B66" w:rsidRPr="004671AE" w:rsidRDefault="00867A81" w:rsidP="004671AE">
      <w:pPr>
        <w:pStyle w:val="Heading2Numbered"/>
        <w:spacing w:line="276" w:lineRule="auto"/>
        <w:contextualSpacing w:val="0"/>
      </w:pPr>
      <w:bookmarkStart w:id="30" w:name="_Toc531005176"/>
      <w:r>
        <w:t>3</w:t>
      </w:r>
      <w:r w:rsidR="000C1399">
        <w:t>.</w:t>
      </w:r>
      <w:r w:rsidR="004B4AFC">
        <w:t>9</w:t>
      </w:r>
      <w:r w:rsidR="00A54B66">
        <w:t xml:space="preserve"> Organisations current</w:t>
      </w:r>
      <w:r w:rsidR="00106F32">
        <w:t>ly</w:t>
      </w:r>
      <w:r w:rsidR="00A54B66">
        <w:t xml:space="preserve"> in receipt of NDIA ILC funding</w:t>
      </w:r>
      <w:bookmarkEnd w:id="30"/>
    </w:p>
    <w:p w14:paraId="388EBF41" w14:textId="2BD11631" w:rsidR="00A54B66" w:rsidRPr="00D94E78" w:rsidRDefault="004C5FB0" w:rsidP="0046143A">
      <w:pPr>
        <w:spacing w:after="120" w:line="276" w:lineRule="auto"/>
      </w:pPr>
      <w:r>
        <w:t>Applicants</w:t>
      </w:r>
      <w:r w:rsidRPr="000536A0">
        <w:t xml:space="preserve"> </w:t>
      </w:r>
      <w:r>
        <w:t xml:space="preserve">that </w:t>
      </w:r>
      <w:r w:rsidR="00911585">
        <w:t xml:space="preserve">are currently receiving </w:t>
      </w:r>
      <w:r w:rsidR="00A54B66" w:rsidRPr="000536A0">
        <w:t>ILC funding</w:t>
      </w:r>
      <w:r w:rsidR="006E6DA9">
        <w:t xml:space="preserve"> through a previous ILC grant round,</w:t>
      </w:r>
      <w:r w:rsidR="00A54B66" w:rsidRPr="000536A0">
        <w:t xml:space="preserve"> </w:t>
      </w:r>
      <w:r w:rsidR="00911585">
        <w:rPr>
          <w:rFonts w:eastAsia="Calibri" w:cs="Arial"/>
        </w:rPr>
        <w:t xml:space="preserve">and </w:t>
      </w:r>
      <w:r>
        <w:rPr>
          <w:rFonts w:eastAsia="Calibri" w:cs="Arial"/>
        </w:rPr>
        <w:t>that</w:t>
      </w:r>
      <w:r w:rsidRPr="000536A0">
        <w:rPr>
          <w:rFonts w:eastAsia="Calibri" w:cs="Arial"/>
        </w:rPr>
        <w:t xml:space="preserve"> </w:t>
      </w:r>
      <w:r w:rsidR="00A54B66" w:rsidRPr="000536A0">
        <w:rPr>
          <w:rFonts w:eastAsia="Calibri" w:cs="Arial"/>
        </w:rPr>
        <w:t xml:space="preserve">meet the eligibility criteria, </w:t>
      </w:r>
      <w:r w:rsidR="00A54B66" w:rsidRPr="000536A0">
        <w:t>may apply,</w:t>
      </w:r>
      <w:r w:rsidR="00911585">
        <w:t xml:space="preserve"> however</w:t>
      </w:r>
      <w:r w:rsidR="00C82998">
        <w:t xml:space="preserve"> </w:t>
      </w:r>
      <w:r w:rsidR="00A54B66" w:rsidRPr="000536A0">
        <w:t xml:space="preserve">the current level of ILC </w:t>
      </w:r>
      <w:r w:rsidR="00A54B66">
        <w:t>funding</w:t>
      </w:r>
      <w:r w:rsidR="00D14E4C">
        <w:t xml:space="preserve"> and what it is being directed towards</w:t>
      </w:r>
      <w:r w:rsidR="00A54B66" w:rsidRPr="000536A0">
        <w:t xml:space="preserve"> will be a consideration during assessment.</w:t>
      </w:r>
      <w:r w:rsidR="00D14E4C">
        <w:t xml:space="preserve"> </w:t>
      </w:r>
    </w:p>
    <w:p w14:paraId="574BE8C5" w14:textId="77777777" w:rsidR="00A54B66" w:rsidRPr="004671AE" w:rsidRDefault="00A54B66" w:rsidP="004671AE">
      <w:pPr>
        <w:pStyle w:val="Heading2Numbered"/>
        <w:spacing w:line="276" w:lineRule="auto"/>
        <w:contextualSpacing w:val="0"/>
      </w:pPr>
      <w:bookmarkStart w:id="31" w:name="_Toc531005177"/>
      <w:r w:rsidRPr="00A54B66">
        <w:t>3.</w:t>
      </w:r>
      <w:r w:rsidR="00867A81">
        <w:t>1</w:t>
      </w:r>
      <w:r w:rsidR="004B4AFC">
        <w:t>0</w:t>
      </w:r>
      <w:r w:rsidRPr="00A54B66">
        <w:t xml:space="preserve"> Organisations </w:t>
      </w:r>
      <w:r>
        <w:t xml:space="preserve">that are </w:t>
      </w:r>
      <w:r w:rsidR="00E14A90">
        <w:t>registered as p</w:t>
      </w:r>
      <w:r w:rsidRPr="00A54B66">
        <w:t>roviders of support</w:t>
      </w:r>
      <w:bookmarkEnd w:id="31"/>
      <w:r w:rsidRPr="00A54B66">
        <w:t xml:space="preserve"> </w:t>
      </w:r>
      <w:bookmarkEnd w:id="25"/>
    </w:p>
    <w:p w14:paraId="162DA456" w14:textId="77777777" w:rsidR="006C5997" w:rsidRPr="00C82998" w:rsidRDefault="00E14A90" w:rsidP="006C5997">
      <w:pPr>
        <w:spacing w:after="120" w:line="276" w:lineRule="auto"/>
        <w:rPr>
          <w:rFonts w:cs="Times New Roman"/>
        </w:rPr>
      </w:pPr>
      <w:r>
        <w:t>R</w:t>
      </w:r>
      <w:r w:rsidR="00A54B66" w:rsidRPr="00A97B04">
        <w:t>egistered providers of support can apply for a grant under this ILC grant opportunity</w:t>
      </w:r>
      <w:r w:rsidR="00D553C0">
        <w:t xml:space="preserve"> if they</w:t>
      </w:r>
      <w:r w:rsidR="001403F1">
        <w:t xml:space="preserve"> </w:t>
      </w:r>
      <w:r w:rsidR="00D553C0">
        <w:t xml:space="preserve">meet </w:t>
      </w:r>
      <w:r w:rsidR="006C5997">
        <w:t>all of the organisational eligibility criteria (Sections 3.1, 3.2 and 3.3).</w:t>
      </w:r>
      <w:r w:rsidR="006C5997" w:rsidRPr="00B72EE8">
        <w:t xml:space="preserve"> </w:t>
      </w:r>
    </w:p>
    <w:p w14:paraId="700637C1" w14:textId="77777777" w:rsidR="00A54B66" w:rsidRPr="00A97B04" w:rsidRDefault="00A54B66" w:rsidP="0046143A">
      <w:pPr>
        <w:spacing w:after="120" w:line="276" w:lineRule="auto"/>
      </w:pPr>
      <w:r w:rsidRPr="00A97B04">
        <w:lastRenderedPageBreak/>
        <w:t>The NDIA recognises that</w:t>
      </w:r>
      <w:r w:rsidR="002665EA">
        <w:t>,</w:t>
      </w:r>
      <w:r w:rsidRPr="00A97B04">
        <w:t xml:space="preserve"> in a small number of cases, </w:t>
      </w:r>
      <w:r w:rsidR="002665EA">
        <w:t xml:space="preserve">this may result in actual or potential conflicts of interest. </w:t>
      </w:r>
      <w:r w:rsidR="000F1419">
        <w:t>Organisations</w:t>
      </w:r>
      <w:r w:rsidR="00F646D6" w:rsidRPr="00A97B04">
        <w:t xml:space="preserve"> </w:t>
      </w:r>
      <w:r w:rsidRPr="00A97B04">
        <w:t>intending to apply for funding should ref</w:t>
      </w:r>
      <w:r w:rsidR="009F2369">
        <w:t>er to the Conflict of Interest S</w:t>
      </w:r>
      <w:r w:rsidRPr="00A97B04">
        <w:t xml:space="preserve">ection </w:t>
      </w:r>
      <w:r w:rsidR="00867A81">
        <w:t>(S</w:t>
      </w:r>
      <w:r w:rsidR="00867A81" w:rsidRPr="00867A81">
        <w:t>ection 14</w:t>
      </w:r>
      <w:r w:rsidRPr="00867A81">
        <w:t>.2)</w:t>
      </w:r>
      <w:r w:rsidRPr="00A97B04">
        <w:t xml:space="preserve"> in </w:t>
      </w:r>
      <w:r w:rsidR="00F646D6">
        <w:t>th</w:t>
      </w:r>
      <w:r w:rsidR="001E69F9">
        <w:t xml:space="preserve">ese Grant </w:t>
      </w:r>
      <w:r w:rsidR="004D71F3">
        <w:t>O</w:t>
      </w:r>
      <w:r w:rsidR="001E69F9">
        <w:t>pportunity Guidelines</w:t>
      </w:r>
      <w:r w:rsidRPr="00A97B04">
        <w:t>.</w:t>
      </w:r>
    </w:p>
    <w:p w14:paraId="3995D003" w14:textId="77777777" w:rsidR="00A54B66" w:rsidRPr="004671AE" w:rsidRDefault="004B4AFC" w:rsidP="004671AE">
      <w:pPr>
        <w:pStyle w:val="Heading2Numbered"/>
        <w:spacing w:line="276" w:lineRule="auto"/>
        <w:contextualSpacing w:val="0"/>
      </w:pPr>
      <w:bookmarkStart w:id="32" w:name="_Toc496539155"/>
      <w:bookmarkStart w:id="33" w:name="_Toc531005178"/>
      <w:r>
        <w:t>3.11</w:t>
      </w:r>
      <w:r w:rsidR="00A54B66" w:rsidRPr="00D6158E">
        <w:t xml:space="preserve"> Partners in the Community (Local Area Coordination and/or Early Childhood Early Intervention Partners</w:t>
      </w:r>
      <w:bookmarkEnd w:id="32"/>
      <w:r w:rsidR="00A54B66" w:rsidRPr="00D6158E">
        <w:t>)</w:t>
      </w:r>
      <w:bookmarkEnd w:id="33"/>
    </w:p>
    <w:p w14:paraId="4359E851" w14:textId="303C98E1" w:rsidR="006C5997" w:rsidRPr="00C82998" w:rsidRDefault="00A54B66" w:rsidP="006C5997">
      <w:pPr>
        <w:spacing w:after="120" w:line="276" w:lineRule="auto"/>
        <w:rPr>
          <w:rFonts w:cs="Times New Roman"/>
        </w:rPr>
      </w:pPr>
      <w:r w:rsidRPr="00D6158E">
        <w:t xml:space="preserve">Organisations partnering with the NDIA to provide Local Area Coordination (LAC) and/or Early Childhood Early Intervention (ECEI) services through the NDIS Partners in the Community Program are eligible to apply </w:t>
      </w:r>
      <w:r w:rsidR="003129ED">
        <w:t xml:space="preserve">if they meet </w:t>
      </w:r>
      <w:r w:rsidR="006C5997">
        <w:t>all of the organisational eligibility criteria (Sections 3.1, 3.2 and 3.3).</w:t>
      </w:r>
      <w:r w:rsidR="006C5997" w:rsidRPr="00B72EE8">
        <w:t xml:space="preserve"> </w:t>
      </w:r>
    </w:p>
    <w:p w14:paraId="6B325479" w14:textId="77777777" w:rsidR="00A54B66" w:rsidRPr="00D6158E" w:rsidRDefault="004D71F3" w:rsidP="0046143A">
      <w:pPr>
        <w:spacing w:after="120" w:line="276" w:lineRule="auto"/>
      </w:pPr>
      <w:r>
        <w:t>A</w:t>
      </w:r>
      <w:r w:rsidR="00A54B66" w:rsidRPr="00D6158E">
        <w:t xml:space="preserve">ctivities </w:t>
      </w:r>
      <w:r>
        <w:t>must</w:t>
      </w:r>
      <w:r w:rsidR="00A54B66" w:rsidRPr="00D6158E">
        <w:t xml:space="preserve"> not duplicate activities that would be expected to be </w:t>
      </w:r>
      <w:r w:rsidR="006E6DA9">
        <w:t>delivered</w:t>
      </w:r>
      <w:r w:rsidR="002B785E" w:rsidRPr="00D6158E">
        <w:t xml:space="preserve"> </w:t>
      </w:r>
      <w:r w:rsidR="00A54B66" w:rsidRPr="00D6158E">
        <w:t>through their Partner role. Organisations intending to apply for funding under th</w:t>
      </w:r>
      <w:r w:rsidR="00935E45">
        <w:t xml:space="preserve">is grant approach </w:t>
      </w:r>
      <w:r w:rsidR="00A54B66" w:rsidRPr="00D6158E">
        <w:t xml:space="preserve">should refer to the Conflict of Interest section </w:t>
      </w:r>
      <w:r w:rsidR="00A54B66" w:rsidRPr="002F04C1">
        <w:t>(</w:t>
      </w:r>
      <w:r w:rsidR="00A54B66" w:rsidRPr="000F1419">
        <w:t>Section 1</w:t>
      </w:r>
      <w:r w:rsidR="002B785E" w:rsidRPr="000F1419">
        <w:t>4</w:t>
      </w:r>
      <w:r w:rsidR="00A54B66" w:rsidRPr="000F1419">
        <w:t>.</w:t>
      </w:r>
      <w:r w:rsidR="002B785E" w:rsidRPr="000F1419">
        <w:t>2</w:t>
      </w:r>
      <w:r w:rsidR="00A54B66" w:rsidRPr="000F1419">
        <w:t>)</w:t>
      </w:r>
      <w:r w:rsidR="00A54B66" w:rsidRPr="00D6158E">
        <w:t xml:space="preserve"> in these Guidelines.</w:t>
      </w:r>
    </w:p>
    <w:p w14:paraId="04DF9920" w14:textId="77777777" w:rsidR="00340616" w:rsidRPr="00B72EE8" w:rsidRDefault="00F64AC7" w:rsidP="00CC3C8E">
      <w:pPr>
        <w:pStyle w:val="Heading2Numbered"/>
        <w:spacing w:line="276" w:lineRule="auto"/>
        <w:contextualSpacing w:val="0"/>
      </w:pPr>
      <w:bookmarkStart w:id="34" w:name="_Toc467773958"/>
      <w:bookmarkStart w:id="35" w:name="_Toc531005179"/>
      <w:r>
        <w:t>3.</w:t>
      </w:r>
      <w:r w:rsidR="00867A81">
        <w:t>1</w:t>
      </w:r>
      <w:r w:rsidR="000C1399">
        <w:t>2</w:t>
      </w:r>
      <w:r>
        <w:t xml:space="preserve"> </w:t>
      </w:r>
      <w:r w:rsidR="00340616">
        <w:t xml:space="preserve">What </w:t>
      </w:r>
      <w:r w:rsidR="00340616" w:rsidRPr="00B72EE8">
        <w:t>qualifications or skills</w:t>
      </w:r>
      <w:r w:rsidR="00340616">
        <w:t xml:space="preserve"> are required?</w:t>
      </w:r>
      <w:bookmarkEnd w:id="34"/>
      <w:bookmarkEnd w:id="35"/>
    </w:p>
    <w:p w14:paraId="11021B26" w14:textId="77777777" w:rsidR="00340616" w:rsidRDefault="00935E45" w:rsidP="0046143A">
      <w:pPr>
        <w:spacing w:after="120" w:line="276" w:lineRule="auto"/>
      </w:pPr>
      <w:r>
        <w:t xml:space="preserve">Upon </w:t>
      </w:r>
      <w:r w:rsidR="00CE251D">
        <w:t>accept</w:t>
      </w:r>
      <w:r>
        <w:t>ing</w:t>
      </w:r>
      <w:r w:rsidR="00CE251D">
        <w:t xml:space="preserve"> a grant</w:t>
      </w:r>
      <w:r w:rsidR="00043B4D">
        <w:t xml:space="preserve"> offer</w:t>
      </w:r>
      <w:r w:rsidR="00340616">
        <w:t xml:space="preserve">, </w:t>
      </w:r>
      <w:r w:rsidR="00D57101">
        <w:t xml:space="preserve">applicants </w:t>
      </w:r>
      <w:r w:rsidR="00340616">
        <w:t>will need to make sure that staff</w:t>
      </w:r>
      <w:r w:rsidR="00340616" w:rsidRPr="00B72EE8">
        <w:t xml:space="preserve"> </w:t>
      </w:r>
      <w:r w:rsidR="00DB6EDA">
        <w:t>(including s</w:t>
      </w:r>
      <w:r w:rsidR="00627375">
        <w:t xml:space="preserve">ubcontracted personnel) </w:t>
      </w:r>
      <w:r w:rsidR="00340616">
        <w:t xml:space="preserve">working on the </w:t>
      </w:r>
      <w:r w:rsidR="00340616" w:rsidRPr="008D642A">
        <w:t>grant</w:t>
      </w:r>
      <w:r w:rsidR="00340616" w:rsidRPr="001457EB">
        <w:t xml:space="preserve"> </w:t>
      </w:r>
      <w:r w:rsidR="00340616">
        <w:t>activity maintain</w:t>
      </w:r>
      <w:r w:rsidR="00DB6EDA" w:rsidRPr="00DB6EDA">
        <w:t xml:space="preserve"> </w:t>
      </w:r>
      <w:r w:rsidR="00DB6EDA">
        <w:t xml:space="preserve">relevant accreditations and qualifications as required by law and </w:t>
      </w:r>
      <w:r>
        <w:t xml:space="preserve">relevant </w:t>
      </w:r>
      <w:r w:rsidR="00DB6EDA">
        <w:t>industry standards</w:t>
      </w:r>
      <w:r w:rsidR="00DC3840">
        <w:t>.</w:t>
      </w:r>
    </w:p>
    <w:p w14:paraId="18D82EF7" w14:textId="77777777" w:rsidR="00340616" w:rsidRPr="00A668C8" w:rsidRDefault="00F64AC7" w:rsidP="00CC3C8E">
      <w:pPr>
        <w:pStyle w:val="Heading1Numbered"/>
        <w:spacing w:before="720" w:line="276" w:lineRule="auto"/>
        <w:contextualSpacing w:val="0"/>
      </w:pPr>
      <w:bookmarkStart w:id="36" w:name="_Toc467773959"/>
      <w:bookmarkStart w:id="37" w:name="_Toc531005180"/>
      <w:r>
        <w:t xml:space="preserve">4. </w:t>
      </w:r>
      <w:r w:rsidR="00340616" w:rsidRPr="00A668C8">
        <w:t>Eligible grant activities</w:t>
      </w:r>
      <w:bookmarkEnd w:id="36"/>
      <w:bookmarkEnd w:id="37"/>
    </w:p>
    <w:p w14:paraId="388E6903" w14:textId="77777777" w:rsidR="00C22686" w:rsidRPr="00F56535" w:rsidRDefault="00C22686" w:rsidP="00CC3C8E">
      <w:pPr>
        <w:pStyle w:val="Heading2Numbered"/>
        <w:spacing w:line="276" w:lineRule="auto"/>
        <w:contextualSpacing w:val="0"/>
      </w:pPr>
      <w:bookmarkStart w:id="38" w:name="_Toc467773960"/>
      <w:bookmarkStart w:id="39" w:name="_Toc531005181"/>
      <w:r>
        <w:t xml:space="preserve">4.1 </w:t>
      </w:r>
      <w:r w:rsidR="001101CB">
        <w:t>C</w:t>
      </w:r>
      <w:r>
        <w:t>omponent</w:t>
      </w:r>
      <w:r w:rsidR="001101CB">
        <w:t xml:space="preserve"> 1</w:t>
      </w:r>
      <w:r w:rsidR="00167E4E">
        <w:t xml:space="preserve"> – Organisational Capacity Building</w:t>
      </w:r>
      <w:bookmarkEnd w:id="39"/>
    </w:p>
    <w:bookmarkEnd w:id="38"/>
    <w:p w14:paraId="4A5F632B" w14:textId="77777777" w:rsidR="00A31CA5" w:rsidRDefault="00B02504" w:rsidP="0046143A">
      <w:pPr>
        <w:spacing w:before="0" w:after="120" w:line="276" w:lineRule="auto"/>
        <w:rPr>
          <w:rFonts w:cstheme="minorHAnsi"/>
        </w:rPr>
      </w:pPr>
      <w:r>
        <w:rPr>
          <w:rFonts w:cstheme="minorHAnsi"/>
        </w:rPr>
        <w:t>To be eligible,</w:t>
      </w:r>
      <w:r w:rsidR="00A31CA5">
        <w:rPr>
          <w:rFonts w:cstheme="minorHAnsi"/>
        </w:rPr>
        <w:t xml:space="preserve"> </w:t>
      </w:r>
      <w:r w:rsidR="0097147D">
        <w:rPr>
          <w:rFonts w:cstheme="minorHAnsi"/>
        </w:rPr>
        <w:t xml:space="preserve">if the applicant is a DPFO, </w:t>
      </w:r>
      <w:r w:rsidR="00A31CA5">
        <w:rPr>
          <w:rFonts w:cstheme="minorHAnsi"/>
        </w:rPr>
        <w:t xml:space="preserve">a component of </w:t>
      </w:r>
      <w:r w:rsidR="004F7B54">
        <w:rPr>
          <w:rFonts w:cstheme="minorHAnsi"/>
        </w:rPr>
        <w:t xml:space="preserve">the </w:t>
      </w:r>
      <w:r w:rsidR="00A31CA5">
        <w:rPr>
          <w:rFonts w:cstheme="minorHAnsi"/>
        </w:rPr>
        <w:t xml:space="preserve">project proposal </w:t>
      </w:r>
      <w:r w:rsidR="00A31CA5" w:rsidRPr="000F1419">
        <w:rPr>
          <w:rFonts w:cstheme="minorHAnsi"/>
          <w:b/>
        </w:rPr>
        <w:t xml:space="preserve">must </w:t>
      </w:r>
      <w:r w:rsidR="00A31CA5" w:rsidRPr="000F1419">
        <w:rPr>
          <w:rFonts w:cstheme="minorHAnsi"/>
        </w:rPr>
        <w:t>be</w:t>
      </w:r>
      <w:r w:rsidR="00A31CA5">
        <w:rPr>
          <w:rFonts w:cstheme="minorHAnsi"/>
        </w:rPr>
        <w:t xml:space="preserve"> directed towards building</w:t>
      </w:r>
      <w:r w:rsidR="00316E96">
        <w:rPr>
          <w:rFonts w:cstheme="minorHAnsi"/>
        </w:rPr>
        <w:t xml:space="preserve"> </w:t>
      </w:r>
      <w:r w:rsidR="004F7B54">
        <w:rPr>
          <w:rFonts w:cstheme="minorHAnsi"/>
        </w:rPr>
        <w:t xml:space="preserve">the </w:t>
      </w:r>
      <w:r w:rsidR="00A31CA5">
        <w:rPr>
          <w:rFonts w:cstheme="minorHAnsi"/>
        </w:rPr>
        <w:t>organisational capacity</w:t>
      </w:r>
      <w:r w:rsidR="004D71F3">
        <w:rPr>
          <w:rFonts w:cstheme="minorHAnsi"/>
        </w:rPr>
        <w:t xml:space="preserve"> o</w:t>
      </w:r>
      <w:r w:rsidR="00FC1156">
        <w:rPr>
          <w:rFonts w:cstheme="minorHAnsi"/>
        </w:rPr>
        <w:t>f</w:t>
      </w:r>
      <w:r w:rsidR="004D71F3">
        <w:rPr>
          <w:rFonts w:cstheme="minorHAnsi"/>
        </w:rPr>
        <w:t xml:space="preserve"> the organisation delivering the grant activity</w:t>
      </w:r>
      <w:r w:rsidR="00BA38AB">
        <w:rPr>
          <w:rFonts w:cstheme="minorHAnsi"/>
        </w:rPr>
        <w:t>.</w:t>
      </w:r>
      <w:r w:rsidR="00A31CA5">
        <w:rPr>
          <w:rFonts w:cstheme="minorHAnsi"/>
        </w:rPr>
        <w:t xml:space="preserve"> </w:t>
      </w:r>
    </w:p>
    <w:p w14:paraId="486C429C" w14:textId="070A8D4C" w:rsidR="00C22686" w:rsidRDefault="00A31CA5" w:rsidP="0046143A">
      <w:pPr>
        <w:spacing w:after="120" w:line="276" w:lineRule="auto"/>
        <w:rPr>
          <w:rFonts w:ascii="Arial" w:eastAsia="Times New Roman" w:hAnsi="Arial" w:cs="Arial"/>
        </w:rPr>
      </w:pPr>
      <w:r w:rsidRPr="003E202F">
        <w:rPr>
          <w:rFonts w:ascii="Arial" w:eastAsia="Times New Roman" w:hAnsi="Arial" w:cs="Arial"/>
        </w:rPr>
        <w:t>Organisational capacity building</w:t>
      </w:r>
      <w:r w:rsidR="00911585">
        <w:rPr>
          <w:rFonts w:ascii="Arial" w:eastAsia="Times New Roman" w:hAnsi="Arial" w:cs="Arial"/>
        </w:rPr>
        <w:t xml:space="preserve"> involves</w:t>
      </w:r>
      <w:r w:rsidR="00BA38AB">
        <w:rPr>
          <w:rFonts w:ascii="Arial" w:eastAsia="Times New Roman" w:hAnsi="Arial" w:cs="Arial"/>
        </w:rPr>
        <w:t xml:space="preserve"> </w:t>
      </w:r>
      <w:r w:rsidRPr="003E202F">
        <w:rPr>
          <w:rFonts w:ascii="Arial" w:eastAsia="Times New Roman" w:hAnsi="Arial" w:cs="Arial"/>
        </w:rPr>
        <w:t>activities</w:t>
      </w:r>
      <w:r w:rsidR="00B02504">
        <w:rPr>
          <w:rFonts w:ascii="Arial" w:eastAsia="Times New Roman" w:hAnsi="Arial" w:cs="Arial"/>
        </w:rPr>
        <w:t xml:space="preserve"> </w:t>
      </w:r>
      <w:r w:rsidR="004F7B54">
        <w:rPr>
          <w:rFonts w:ascii="Arial" w:eastAsia="Times New Roman" w:hAnsi="Arial" w:cs="Arial"/>
        </w:rPr>
        <w:t>that</w:t>
      </w:r>
      <w:r w:rsidR="004F7B54" w:rsidRPr="003E202F">
        <w:rPr>
          <w:rFonts w:ascii="Arial" w:eastAsia="Times New Roman" w:hAnsi="Arial" w:cs="Arial"/>
        </w:rPr>
        <w:t xml:space="preserve"> </w:t>
      </w:r>
      <w:r w:rsidRPr="003E202F">
        <w:rPr>
          <w:rFonts w:ascii="Arial" w:eastAsia="Times New Roman" w:hAnsi="Arial" w:cs="Arial"/>
        </w:rPr>
        <w:t xml:space="preserve">improve the ability of </w:t>
      </w:r>
      <w:r w:rsidR="00395D4F">
        <w:rPr>
          <w:rFonts w:ascii="Arial" w:eastAsia="Times New Roman" w:hAnsi="Arial" w:cs="Arial"/>
        </w:rPr>
        <w:t xml:space="preserve">the </w:t>
      </w:r>
      <w:r w:rsidR="00D57101">
        <w:rPr>
          <w:rFonts w:ascii="Arial" w:eastAsia="Times New Roman" w:hAnsi="Arial" w:cs="Arial"/>
        </w:rPr>
        <w:t>applicant</w:t>
      </w:r>
      <w:r w:rsidR="00D57101" w:rsidRPr="003E202F">
        <w:rPr>
          <w:rFonts w:ascii="Arial" w:eastAsia="Times New Roman" w:hAnsi="Arial" w:cs="Arial"/>
        </w:rPr>
        <w:t xml:space="preserve"> </w:t>
      </w:r>
      <w:r w:rsidRPr="003E202F">
        <w:rPr>
          <w:rFonts w:ascii="Arial" w:eastAsia="Times New Roman" w:hAnsi="Arial" w:cs="Arial"/>
        </w:rPr>
        <w:t xml:space="preserve">to </w:t>
      </w:r>
      <w:r w:rsidR="00B02504">
        <w:rPr>
          <w:rFonts w:ascii="Arial" w:eastAsia="Times New Roman" w:hAnsi="Arial" w:cs="Arial"/>
        </w:rPr>
        <w:t>deliver</w:t>
      </w:r>
      <w:r w:rsidRPr="003E202F">
        <w:rPr>
          <w:rFonts w:ascii="Arial" w:eastAsia="Times New Roman" w:hAnsi="Arial" w:cs="Arial"/>
        </w:rPr>
        <w:t xml:space="preserve"> its purpose</w:t>
      </w:r>
      <w:r w:rsidR="00316E96">
        <w:rPr>
          <w:rFonts w:ascii="Arial" w:eastAsia="Times New Roman" w:hAnsi="Arial" w:cs="Arial"/>
        </w:rPr>
        <w:t xml:space="preserve"> and </w:t>
      </w:r>
      <w:r w:rsidR="004D71F3">
        <w:rPr>
          <w:rFonts w:ascii="Arial" w:eastAsia="Times New Roman" w:hAnsi="Arial" w:cs="Arial"/>
        </w:rPr>
        <w:t xml:space="preserve">to </w:t>
      </w:r>
      <w:r w:rsidR="00911585">
        <w:rPr>
          <w:rFonts w:ascii="Arial" w:eastAsia="Times New Roman" w:hAnsi="Arial" w:cs="Arial"/>
        </w:rPr>
        <w:t>deliver</w:t>
      </w:r>
      <w:r w:rsidR="00316E96">
        <w:rPr>
          <w:rFonts w:ascii="Arial" w:eastAsia="Times New Roman" w:hAnsi="Arial" w:cs="Arial"/>
        </w:rPr>
        <w:t xml:space="preserve"> ILC in the community</w:t>
      </w:r>
      <w:r w:rsidR="00BA38AB">
        <w:rPr>
          <w:rFonts w:ascii="Arial" w:eastAsia="Times New Roman" w:hAnsi="Arial" w:cs="Arial"/>
        </w:rPr>
        <w:t xml:space="preserve">. </w:t>
      </w:r>
      <w:r w:rsidR="00685380">
        <w:rPr>
          <w:rFonts w:ascii="Arial" w:eastAsia="Times New Roman" w:hAnsi="Arial" w:cs="Arial"/>
        </w:rPr>
        <w:t>Organisational capacity building a</w:t>
      </w:r>
      <w:r w:rsidR="00BA38AB">
        <w:rPr>
          <w:rFonts w:ascii="Arial" w:eastAsia="Times New Roman" w:hAnsi="Arial" w:cs="Arial"/>
        </w:rPr>
        <w:t xml:space="preserve">ctivities focus on </w:t>
      </w:r>
      <w:r w:rsidR="00316E96">
        <w:rPr>
          <w:rFonts w:ascii="Arial" w:eastAsia="Times New Roman" w:hAnsi="Arial" w:cs="Arial"/>
        </w:rPr>
        <w:t xml:space="preserve">improving </w:t>
      </w:r>
      <w:r w:rsidR="00261EC5">
        <w:rPr>
          <w:rFonts w:ascii="Arial" w:eastAsia="Times New Roman" w:hAnsi="Arial" w:cs="Arial"/>
        </w:rPr>
        <w:t xml:space="preserve">the </w:t>
      </w:r>
      <w:r w:rsidR="004D71F3">
        <w:rPr>
          <w:rFonts w:ascii="Arial" w:eastAsia="Times New Roman" w:hAnsi="Arial" w:cs="Arial"/>
        </w:rPr>
        <w:t>organisation’s</w:t>
      </w:r>
      <w:r w:rsidR="004D71F3" w:rsidRPr="003E202F">
        <w:rPr>
          <w:rFonts w:ascii="Arial" w:eastAsia="Times New Roman" w:hAnsi="Arial" w:cs="Arial"/>
        </w:rPr>
        <w:t xml:space="preserve"> </w:t>
      </w:r>
      <w:r w:rsidRPr="003E202F">
        <w:rPr>
          <w:rFonts w:ascii="Arial" w:eastAsia="Times New Roman" w:hAnsi="Arial" w:cs="Arial"/>
        </w:rPr>
        <w:t>functions such as</w:t>
      </w:r>
      <w:r w:rsidR="0004691D">
        <w:rPr>
          <w:rFonts w:ascii="Arial" w:eastAsia="Times New Roman" w:hAnsi="Arial" w:cs="Arial"/>
        </w:rPr>
        <w:t xml:space="preserve"> </w:t>
      </w:r>
      <w:r w:rsidRPr="003E202F">
        <w:rPr>
          <w:rFonts w:ascii="Arial" w:eastAsia="Times New Roman" w:hAnsi="Arial" w:cs="Arial"/>
        </w:rPr>
        <w:t>strategy</w:t>
      </w:r>
      <w:r w:rsidR="00685380">
        <w:rPr>
          <w:rFonts w:ascii="Arial" w:eastAsia="Times New Roman" w:hAnsi="Arial" w:cs="Arial"/>
        </w:rPr>
        <w:t xml:space="preserve">, improving </w:t>
      </w:r>
      <w:r w:rsidR="006C5997">
        <w:rPr>
          <w:rFonts w:ascii="Arial" w:eastAsia="Times New Roman" w:hAnsi="Arial" w:cs="Arial"/>
        </w:rPr>
        <w:t>the effectiveness of governance</w:t>
      </w:r>
      <w:r w:rsidR="001B4A86">
        <w:rPr>
          <w:rFonts w:ascii="Arial" w:eastAsia="Times New Roman" w:hAnsi="Arial" w:cs="Arial"/>
        </w:rPr>
        <w:t xml:space="preserve"> (such as </w:t>
      </w:r>
      <w:r w:rsidR="0004691D">
        <w:rPr>
          <w:rFonts w:ascii="Arial" w:eastAsia="Times New Roman" w:hAnsi="Arial" w:cs="Arial"/>
        </w:rPr>
        <w:t>effectively enabling people with disability to be strong leaders and decisions makers</w:t>
      </w:r>
      <w:r w:rsidR="001B4A86">
        <w:rPr>
          <w:rFonts w:ascii="Arial" w:eastAsia="Times New Roman" w:hAnsi="Arial" w:cs="Arial"/>
        </w:rPr>
        <w:t>)</w:t>
      </w:r>
      <w:r w:rsidR="0004691D">
        <w:rPr>
          <w:rFonts w:ascii="Arial" w:eastAsia="Times New Roman" w:hAnsi="Arial" w:cs="Arial"/>
        </w:rPr>
        <w:t>,</w:t>
      </w:r>
      <w:r w:rsidRPr="003E202F">
        <w:rPr>
          <w:rFonts w:ascii="Arial" w:eastAsia="Times New Roman" w:hAnsi="Arial" w:cs="Arial"/>
        </w:rPr>
        <w:t xml:space="preserve"> </w:t>
      </w:r>
      <w:r w:rsidR="001B4A86">
        <w:rPr>
          <w:rFonts w:ascii="Arial" w:eastAsia="Times New Roman" w:hAnsi="Arial" w:cs="Arial"/>
        </w:rPr>
        <w:t xml:space="preserve">improving </w:t>
      </w:r>
      <w:r w:rsidRPr="003E202F">
        <w:rPr>
          <w:rFonts w:ascii="Arial" w:eastAsia="Times New Roman" w:hAnsi="Arial" w:cs="Arial"/>
        </w:rPr>
        <w:t xml:space="preserve">culture, processes/systems, people management or </w:t>
      </w:r>
      <w:r w:rsidR="001B4A86">
        <w:rPr>
          <w:rFonts w:ascii="Arial" w:eastAsia="Times New Roman" w:hAnsi="Arial" w:cs="Arial"/>
        </w:rPr>
        <w:t xml:space="preserve">building </w:t>
      </w:r>
      <w:r w:rsidRPr="003E202F">
        <w:rPr>
          <w:rFonts w:ascii="Arial" w:eastAsia="Times New Roman" w:hAnsi="Arial" w:cs="Arial"/>
        </w:rPr>
        <w:t>the skills and capability of its peop</w:t>
      </w:r>
      <w:r w:rsidR="003024B5">
        <w:rPr>
          <w:rFonts w:ascii="Arial" w:eastAsia="Times New Roman" w:hAnsi="Arial" w:cs="Arial"/>
        </w:rPr>
        <w:t>le</w:t>
      </w:r>
      <w:r w:rsidR="001B4A86">
        <w:rPr>
          <w:rFonts w:ascii="Arial" w:eastAsia="Times New Roman" w:hAnsi="Arial" w:cs="Arial"/>
        </w:rPr>
        <w:t xml:space="preserve"> (particularly building the capability of staff, volunteers and/or board members with disability)</w:t>
      </w:r>
      <w:r w:rsidR="003024B5">
        <w:rPr>
          <w:rFonts w:ascii="Arial" w:eastAsia="Times New Roman" w:hAnsi="Arial" w:cs="Arial"/>
        </w:rPr>
        <w:t>.</w:t>
      </w:r>
      <w:r w:rsidR="00C22686">
        <w:rPr>
          <w:rFonts w:ascii="Arial" w:eastAsia="Times New Roman" w:hAnsi="Arial" w:cs="Arial"/>
        </w:rPr>
        <w:t xml:space="preserve"> </w:t>
      </w:r>
      <w:r w:rsidR="00685380">
        <w:rPr>
          <w:rFonts w:ascii="Arial" w:eastAsia="Times New Roman" w:hAnsi="Arial" w:cs="Arial"/>
        </w:rPr>
        <w:t xml:space="preserve">ILC </w:t>
      </w:r>
      <w:r w:rsidR="0046143A">
        <w:rPr>
          <w:rFonts w:ascii="Arial" w:eastAsia="Times New Roman" w:hAnsi="Arial" w:cs="Arial"/>
        </w:rPr>
        <w:t>Grant f</w:t>
      </w:r>
      <w:r w:rsidR="0068573F">
        <w:rPr>
          <w:rFonts w:ascii="Arial" w:eastAsia="Times New Roman" w:hAnsi="Arial" w:cs="Arial"/>
        </w:rPr>
        <w:t>unding</w:t>
      </w:r>
      <w:r w:rsidR="00316E96">
        <w:rPr>
          <w:rFonts w:ascii="Arial" w:eastAsia="Times New Roman" w:hAnsi="Arial" w:cs="Arial"/>
        </w:rPr>
        <w:t>, for example,</w:t>
      </w:r>
      <w:r w:rsidR="0068573F">
        <w:rPr>
          <w:rFonts w:ascii="Arial" w:eastAsia="Times New Roman" w:hAnsi="Arial" w:cs="Arial"/>
        </w:rPr>
        <w:t xml:space="preserve"> cannot be directed towards o</w:t>
      </w:r>
      <w:r w:rsidR="003024B5">
        <w:rPr>
          <w:rFonts w:ascii="Arial" w:eastAsia="Times New Roman" w:hAnsi="Arial" w:cs="Arial"/>
        </w:rPr>
        <w:t xml:space="preserve">rganisational activities </w:t>
      </w:r>
      <w:r w:rsidR="0068573F">
        <w:rPr>
          <w:rFonts w:ascii="Arial" w:eastAsia="Times New Roman" w:hAnsi="Arial" w:cs="Arial"/>
        </w:rPr>
        <w:t>for the purpose of</w:t>
      </w:r>
      <w:r w:rsidR="003024B5">
        <w:rPr>
          <w:rFonts w:ascii="Arial" w:eastAsia="Times New Roman" w:hAnsi="Arial" w:cs="Arial"/>
        </w:rPr>
        <w:t xml:space="preserve"> fundraising</w:t>
      </w:r>
      <w:r w:rsidR="0068573F">
        <w:rPr>
          <w:rFonts w:ascii="Arial" w:eastAsia="Times New Roman" w:hAnsi="Arial" w:cs="Arial"/>
        </w:rPr>
        <w:t>, clinical research</w:t>
      </w:r>
      <w:r w:rsidR="003024B5">
        <w:rPr>
          <w:rFonts w:ascii="Arial" w:eastAsia="Times New Roman" w:hAnsi="Arial" w:cs="Arial"/>
        </w:rPr>
        <w:t xml:space="preserve"> or systemic advocacy.</w:t>
      </w:r>
    </w:p>
    <w:p w14:paraId="7C443A47" w14:textId="2490AC26" w:rsidR="009601ED" w:rsidRPr="00FE6DAE" w:rsidRDefault="0046143A" w:rsidP="0046143A">
      <w:pPr>
        <w:spacing w:after="120" w:line="276" w:lineRule="auto"/>
        <w:rPr>
          <w:rFonts w:ascii="Arial" w:eastAsia="Times New Roman" w:hAnsi="Arial" w:cs="Arial"/>
        </w:rPr>
      </w:pPr>
      <w:r>
        <w:rPr>
          <w:rFonts w:ascii="Arial" w:eastAsia="Times New Roman" w:hAnsi="Arial" w:cs="Arial"/>
        </w:rPr>
        <w:t>The NDIA is in the process of developing r</w:t>
      </w:r>
      <w:r w:rsidR="009601ED">
        <w:rPr>
          <w:rFonts w:ascii="Arial" w:eastAsia="Times New Roman" w:hAnsi="Arial" w:cs="Arial"/>
        </w:rPr>
        <w:t xml:space="preserve">esources to help </w:t>
      </w:r>
      <w:r>
        <w:rPr>
          <w:rFonts w:ascii="Arial" w:eastAsia="Times New Roman" w:hAnsi="Arial" w:cs="Arial"/>
        </w:rPr>
        <w:t xml:space="preserve">organisations </w:t>
      </w:r>
      <w:r w:rsidR="009601ED">
        <w:rPr>
          <w:rFonts w:ascii="Arial" w:eastAsia="Times New Roman" w:hAnsi="Arial" w:cs="Arial"/>
        </w:rPr>
        <w:t xml:space="preserve">to build organisational capacity. These resources will be available to </w:t>
      </w:r>
      <w:r>
        <w:rPr>
          <w:rFonts w:ascii="Arial" w:eastAsia="Times New Roman" w:hAnsi="Arial" w:cs="Arial"/>
        </w:rPr>
        <w:t xml:space="preserve">successful </w:t>
      </w:r>
      <w:r w:rsidR="009601ED">
        <w:rPr>
          <w:rFonts w:ascii="Arial" w:eastAsia="Times New Roman" w:hAnsi="Arial" w:cs="Arial"/>
        </w:rPr>
        <w:t>grant recipients.</w:t>
      </w:r>
    </w:p>
    <w:p w14:paraId="607CAD4D" w14:textId="77777777" w:rsidR="00972BBF" w:rsidRPr="00C22686" w:rsidRDefault="00972BBF" w:rsidP="0046143A">
      <w:pPr>
        <w:spacing w:after="0" w:line="276" w:lineRule="auto"/>
        <w:rPr>
          <w:rFonts w:cstheme="minorHAnsi"/>
        </w:rPr>
      </w:pPr>
      <w:r w:rsidRPr="00C22686">
        <w:rPr>
          <w:rFonts w:cstheme="minorHAnsi"/>
        </w:rPr>
        <w:lastRenderedPageBreak/>
        <w:t>Types of organisational capacity building activities eligible under this grant round could include:</w:t>
      </w:r>
    </w:p>
    <w:p w14:paraId="2A115863" w14:textId="08598AAA" w:rsidR="00972BBF" w:rsidRDefault="00972BBF" w:rsidP="00CC3C8E">
      <w:pPr>
        <w:pStyle w:val="Bullet1"/>
        <w:spacing w:before="0" w:after="120" w:line="276" w:lineRule="auto"/>
      </w:pPr>
      <w:r w:rsidRPr="00C22686">
        <w:t>Upskilling, train</w:t>
      </w:r>
      <w:r w:rsidR="009C6943">
        <w:t xml:space="preserve">ing or developing </w:t>
      </w:r>
      <w:r w:rsidRPr="00C22686">
        <w:t xml:space="preserve">existing or potential staff, volunteers or committee/board members to improve their </w:t>
      </w:r>
      <w:r w:rsidR="00D04C49">
        <w:t>leadership,</w:t>
      </w:r>
      <w:r w:rsidR="00640BEC">
        <w:t xml:space="preserve"> </w:t>
      </w:r>
      <w:r w:rsidRPr="00C22686">
        <w:t xml:space="preserve">skills and capability (e.g. </w:t>
      </w:r>
      <w:r w:rsidR="0004691D">
        <w:t>leadership</w:t>
      </w:r>
      <w:r w:rsidRPr="00C22686">
        <w:t xml:space="preserve"> training </w:t>
      </w:r>
      <w:r w:rsidR="0004691D">
        <w:t>for</w:t>
      </w:r>
      <w:r w:rsidRPr="00C22686">
        <w:t xml:space="preserve"> </w:t>
      </w:r>
      <w:r w:rsidR="00211471">
        <w:t>staff</w:t>
      </w:r>
      <w:r w:rsidR="0004691D">
        <w:t>, board members</w:t>
      </w:r>
      <w:r w:rsidR="00211471">
        <w:t xml:space="preserve"> and</w:t>
      </w:r>
      <w:r w:rsidR="0004691D">
        <w:t>/or</w:t>
      </w:r>
      <w:r w:rsidR="00211471">
        <w:t xml:space="preserve"> </w:t>
      </w:r>
      <w:r w:rsidRPr="00C22686">
        <w:t>volunteers</w:t>
      </w:r>
      <w:r w:rsidR="0004691D">
        <w:t xml:space="preserve"> with disability</w:t>
      </w:r>
      <w:r w:rsidRPr="00C22686">
        <w:t>)</w:t>
      </w:r>
      <w:r w:rsidR="00312B9C">
        <w:t>;</w:t>
      </w:r>
    </w:p>
    <w:p w14:paraId="655FD876" w14:textId="2F9FF736" w:rsidR="0004691D" w:rsidRDefault="0004691D" w:rsidP="0004691D">
      <w:pPr>
        <w:pStyle w:val="Bullet1"/>
        <w:spacing w:before="0" w:after="120" w:line="276" w:lineRule="auto"/>
      </w:pPr>
      <w:r w:rsidRPr="008B1CE6">
        <w:t>Developing and delivering strateg</w:t>
      </w:r>
      <w:r>
        <w:t>ies</w:t>
      </w:r>
      <w:r w:rsidRPr="008B1CE6">
        <w:t xml:space="preserve"> and activities to</w:t>
      </w:r>
      <w:r w:rsidRPr="009C6943">
        <w:t xml:space="preserve"> </w:t>
      </w:r>
      <w:r>
        <w:t xml:space="preserve">strengthen the involvement of </w:t>
      </w:r>
      <w:r w:rsidRPr="008B1CE6">
        <w:t>people with disability and/or families and carers in organisational decision making</w:t>
      </w:r>
      <w:r>
        <w:t>(e.g. r</w:t>
      </w:r>
      <w:r w:rsidRPr="001E74C9">
        <w:t>ecruiting and supporting staff</w:t>
      </w:r>
      <w:r>
        <w:t xml:space="preserve"> and/or volunteers</w:t>
      </w:r>
      <w:r w:rsidRPr="001E74C9">
        <w:t xml:space="preserve"> with disability</w:t>
      </w:r>
      <w:r>
        <w:t>, or s</w:t>
      </w:r>
      <w:r w:rsidRPr="001E74C9">
        <w:t xml:space="preserve">upporting leaders with disability </w:t>
      </w:r>
      <w:r>
        <w:t xml:space="preserve">to operate effectively </w:t>
      </w:r>
      <w:r w:rsidRPr="001E74C9">
        <w:t>on boards and management committees</w:t>
      </w:r>
      <w:r>
        <w:t>);</w:t>
      </w:r>
    </w:p>
    <w:p w14:paraId="5FA92D03" w14:textId="6CA48948" w:rsidR="0004691D" w:rsidRPr="00C22686" w:rsidRDefault="0004691D" w:rsidP="0004691D">
      <w:pPr>
        <w:pStyle w:val="Bullet1"/>
        <w:spacing w:before="0" w:after="120" w:line="276" w:lineRule="auto"/>
      </w:pPr>
      <w:r w:rsidRPr="008B1CE6">
        <w:t>Developing and delivering strateg</w:t>
      </w:r>
      <w:r>
        <w:t>ies</w:t>
      </w:r>
      <w:r w:rsidRPr="008B1CE6">
        <w:t xml:space="preserve"> and activities to</w:t>
      </w:r>
      <w:r>
        <w:t xml:space="preserve"> support knowledge and skill transfer between board members with and without disability; </w:t>
      </w:r>
    </w:p>
    <w:p w14:paraId="767899A4" w14:textId="77777777" w:rsidR="00972BBF" w:rsidRPr="00C22686" w:rsidRDefault="00972BBF" w:rsidP="00CC3C8E">
      <w:pPr>
        <w:pStyle w:val="Bullet1"/>
        <w:spacing w:before="0" w:after="120" w:line="276" w:lineRule="auto"/>
      </w:pPr>
      <w:r w:rsidRPr="00C22686">
        <w:t xml:space="preserve">Establishing and maintaining partnerships to collaborate with other organisations (e.g. developing formal or informal cooperative agreements to share resources or partner in </w:t>
      </w:r>
      <w:r w:rsidR="0068573F">
        <w:t>program</w:t>
      </w:r>
      <w:r w:rsidRPr="00C22686">
        <w:t xml:space="preserve"> delivery)</w:t>
      </w:r>
      <w:r w:rsidR="00312B9C">
        <w:t>;</w:t>
      </w:r>
    </w:p>
    <w:p w14:paraId="0BAB13F4" w14:textId="77777777" w:rsidR="00972BBF" w:rsidRPr="00FE6DAE" w:rsidRDefault="00972BBF" w:rsidP="00CC3C8E">
      <w:pPr>
        <w:pStyle w:val="Bullet1"/>
        <w:spacing w:before="0" w:after="120" w:line="276" w:lineRule="auto"/>
      </w:pPr>
      <w:r w:rsidRPr="00FE6DAE">
        <w:t>Improving organisational systems or processes to deliver organisational efficiencies (e.g. purchasing and installing a new client management database)</w:t>
      </w:r>
      <w:r w:rsidR="00312B9C">
        <w:t>;</w:t>
      </w:r>
    </w:p>
    <w:p w14:paraId="3D29365B" w14:textId="77777777" w:rsidR="00972BBF" w:rsidRPr="00FE6DAE" w:rsidRDefault="00640BEC" w:rsidP="00CC3C8E">
      <w:pPr>
        <w:pStyle w:val="Bullet1"/>
        <w:spacing w:before="0" w:after="120" w:line="276" w:lineRule="auto"/>
      </w:pPr>
      <w:r>
        <w:t xml:space="preserve">Strengthening the quality of organisational activities </w:t>
      </w:r>
      <w:r w:rsidR="00972BBF" w:rsidRPr="00FE6DAE">
        <w:t>(e.g. commissioning a risk management framework</w:t>
      </w:r>
      <w:r w:rsidR="0068573F">
        <w:t xml:space="preserve"> </w:t>
      </w:r>
      <w:r w:rsidR="00972BBF" w:rsidRPr="00FE6DAE">
        <w:t>)</w:t>
      </w:r>
      <w:r w:rsidR="00312B9C">
        <w:t>;</w:t>
      </w:r>
    </w:p>
    <w:p w14:paraId="121B81AE" w14:textId="77777777" w:rsidR="00972BBF" w:rsidRPr="00036BFE" w:rsidRDefault="00972BBF" w:rsidP="0046143A">
      <w:pPr>
        <w:pStyle w:val="Bullet1"/>
        <w:spacing w:before="0" w:after="120" w:line="276" w:lineRule="auto"/>
      </w:pPr>
      <w:r w:rsidRPr="00694704">
        <w:t xml:space="preserve">Develop and implement strategies to upskill the organisation (or parts of organisation) to better function in NDIS environment </w:t>
      </w:r>
      <w:r w:rsidRPr="00036BFE">
        <w:t>(e.g. finance, case management, marketing</w:t>
      </w:r>
      <w:r w:rsidR="00C20006">
        <w:t xml:space="preserve"> or</w:t>
      </w:r>
      <w:r w:rsidRPr="00036BFE">
        <w:t xml:space="preserve"> business development</w:t>
      </w:r>
      <w:r w:rsidR="00167E4E">
        <w:t xml:space="preserve"> </w:t>
      </w:r>
      <w:r w:rsidRPr="00036BFE">
        <w:t>etc.)</w:t>
      </w:r>
      <w:r w:rsidR="00312B9C">
        <w:t>;</w:t>
      </w:r>
      <w:r w:rsidRPr="00036BFE">
        <w:t xml:space="preserve"> </w:t>
      </w:r>
    </w:p>
    <w:p w14:paraId="444AA569" w14:textId="77777777" w:rsidR="00972BBF" w:rsidRPr="00036BFE" w:rsidRDefault="00972BBF" w:rsidP="0046143A">
      <w:pPr>
        <w:pStyle w:val="Bullet1"/>
        <w:spacing w:before="0" w:after="120" w:line="276" w:lineRule="auto"/>
      </w:pPr>
      <w:r w:rsidRPr="00036BFE">
        <w:t>Developing organisational str</w:t>
      </w:r>
      <w:r w:rsidR="00167E4E">
        <w:t>ategy and future outlook (e.g.</w:t>
      </w:r>
      <w:r w:rsidR="00D553C0">
        <w:t xml:space="preserve"> </w:t>
      </w:r>
      <w:r w:rsidRPr="00036BFE">
        <w:t>conducting needs analysis to better understand emerging priorities of constituent group)</w:t>
      </w:r>
      <w:r w:rsidR="00312B9C">
        <w:t>; and/or</w:t>
      </w:r>
    </w:p>
    <w:p w14:paraId="7EB885A2" w14:textId="77777777" w:rsidR="00972BBF" w:rsidRPr="00C22686" w:rsidRDefault="00972BBF" w:rsidP="0046143A">
      <w:pPr>
        <w:pStyle w:val="Bullet1"/>
        <w:spacing w:before="0" w:after="180" w:line="276" w:lineRule="auto"/>
      </w:pPr>
      <w:r w:rsidRPr="00FE6DAE">
        <w:t>Scoping and developing a business case for revenue generating services that lead towards financial independence (e.g. developing a new social enterprise)</w:t>
      </w:r>
      <w:r w:rsidR="00312B9C">
        <w:t>.</w:t>
      </w:r>
    </w:p>
    <w:p w14:paraId="07EB858D" w14:textId="77777777" w:rsidR="00FE6DAE" w:rsidRPr="00FE6DAE" w:rsidRDefault="00FE6DAE" w:rsidP="0046143A">
      <w:pPr>
        <w:spacing w:before="0" w:after="0" w:line="276" w:lineRule="auto"/>
        <w:rPr>
          <w:rFonts w:ascii="Arial" w:eastAsia="Times New Roman" w:hAnsi="Arial" w:cs="Arial"/>
        </w:rPr>
      </w:pPr>
      <w:r w:rsidRPr="00FE6DAE">
        <w:rPr>
          <w:rFonts w:ascii="Arial" w:eastAsia="Times New Roman" w:hAnsi="Arial" w:cs="Arial"/>
        </w:rPr>
        <w:t>Project funding could be directed towards</w:t>
      </w:r>
      <w:r w:rsidR="00D7390C">
        <w:rPr>
          <w:rFonts w:ascii="Arial" w:eastAsia="Times New Roman" w:hAnsi="Arial" w:cs="Arial"/>
        </w:rPr>
        <w:t>:</w:t>
      </w:r>
    </w:p>
    <w:p w14:paraId="716F22B3" w14:textId="77777777" w:rsidR="00FE6DAE" w:rsidRPr="00FE6DAE" w:rsidRDefault="00FE6DAE" w:rsidP="0046143A">
      <w:pPr>
        <w:pStyle w:val="Bullet1"/>
        <w:spacing w:before="60" w:after="120" w:line="276" w:lineRule="auto"/>
      </w:pPr>
      <w:r w:rsidRPr="00FE6DAE">
        <w:t>Salary and on</w:t>
      </w:r>
      <w:r w:rsidR="00D200CE">
        <w:t>-</w:t>
      </w:r>
      <w:r w:rsidRPr="00FE6DAE">
        <w:t xml:space="preserve">costs for staff </w:t>
      </w:r>
      <w:r w:rsidRPr="0068573F">
        <w:rPr>
          <w:u w:val="single"/>
        </w:rPr>
        <w:t>directly involved</w:t>
      </w:r>
      <w:r w:rsidRPr="00FE6DAE">
        <w:t xml:space="preserve"> in the establishment, delivery and management of </w:t>
      </w:r>
      <w:r w:rsidR="0068573F">
        <w:t xml:space="preserve">organisational </w:t>
      </w:r>
      <w:r w:rsidRPr="00FE6DAE">
        <w:t xml:space="preserve">capacity building strategy </w:t>
      </w:r>
      <w:r w:rsidR="0068573F">
        <w:t>and</w:t>
      </w:r>
      <w:r w:rsidR="00316E96">
        <w:t xml:space="preserve"> program delivery</w:t>
      </w:r>
      <w:r w:rsidR="00D04C49">
        <w:t xml:space="preserve"> (with a priority on employing people with disability)</w:t>
      </w:r>
      <w:r w:rsidR="00312B9C">
        <w:t>;</w:t>
      </w:r>
    </w:p>
    <w:p w14:paraId="556F07BA" w14:textId="77777777" w:rsidR="00FE6DAE" w:rsidRPr="00FE6DAE" w:rsidRDefault="00FE6DAE" w:rsidP="00CC3C8E">
      <w:pPr>
        <w:pStyle w:val="Bullet1"/>
        <w:spacing w:before="0" w:after="120" w:line="276" w:lineRule="auto"/>
      </w:pPr>
      <w:r w:rsidRPr="00FE6DAE">
        <w:t>Purchasing technological systems or minor equipment</w:t>
      </w:r>
      <w:r w:rsidR="00312B9C">
        <w:t>;</w:t>
      </w:r>
      <w:r w:rsidRPr="00FE6DAE">
        <w:t xml:space="preserve"> </w:t>
      </w:r>
    </w:p>
    <w:p w14:paraId="1F8847DC" w14:textId="77777777" w:rsidR="00FE6DAE" w:rsidRPr="00FE6DAE" w:rsidRDefault="00FE6DAE" w:rsidP="00CC3C8E">
      <w:pPr>
        <w:pStyle w:val="Bullet1"/>
        <w:spacing w:before="0" w:after="120" w:line="276" w:lineRule="auto"/>
      </w:pPr>
      <w:r w:rsidRPr="00FE6DAE">
        <w:t>Costs associated with running events or forums</w:t>
      </w:r>
      <w:r w:rsidR="00312B9C">
        <w:t>;</w:t>
      </w:r>
    </w:p>
    <w:p w14:paraId="4A397BDE" w14:textId="77777777" w:rsidR="00FE6DAE" w:rsidRPr="00FE6DAE" w:rsidRDefault="00FE6DAE" w:rsidP="00CC3C8E">
      <w:pPr>
        <w:pStyle w:val="Bullet1"/>
        <w:spacing w:before="0" w:after="120" w:line="276" w:lineRule="auto"/>
      </w:pPr>
      <w:r w:rsidRPr="00FE6DAE">
        <w:t>Consumables for activity costs (e.g. printing, paper, catering)</w:t>
      </w:r>
      <w:r w:rsidR="00312B9C">
        <w:t>; and/or</w:t>
      </w:r>
    </w:p>
    <w:p w14:paraId="1A51CF4A" w14:textId="77777777" w:rsidR="00FE6DAE" w:rsidRPr="00FE6DAE" w:rsidRDefault="00FE6DAE" w:rsidP="00CC3C8E">
      <w:pPr>
        <w:pStyle w:val="Bullet1"/>
        <w:spacing w:before="0" w:after="120" w:line="276" w:lineRule="auto"/>
      </w:pPr>
      <w:r w:rsidRPr="00FE6DAE">
        <w:t>Legal fees associated with incorporation or registering your organisation</w:t>
      </w:r>
      <w:r w:rsidR="00312B9C">
        <w:t>.</w:t>
      </w:r>
    </w:p>
    <w:p w14:paraId="4F8A02FA" w14:textId="77777777" w:rsidR="00171F5A" w:rsidRPr="00E54637" w:rsidRDefault="00171F5A" w:rsidP="000F1419">
      <w:pPr>
        <w:pStyle w:val="Bullet1"/>
        <w:numPr>
          <w:ilvl w:val="0"/>
          <w:numId w:val="0"/>
        </w:numPr>
        <w:spacing w:after="120" w:line="276" w:lineRule="auto"/>
        <w:ind w:left="568" w:hanging="284"/>
        <w:rPr>
          <w:i/>
        </w:rPr>
      </w:pPr>
      <w:r w:rsidRPr="00E54637">
        <w:rPr>
          <w:i/>
        </w:rPr>
        <w:t>[Note: the above is a non-exhaustive list]</w:t>
      </w:r>
    </w:p>
    <w:p w14:paraId="7CA11A64" w14:textId="77777777" w:rsidR="00171F5A" w:rsidRDefault="00171F5A" w:rsidP="00CC3C8E">
      <w:pPr>
        <w:pStyle w:val="Bullet1"/>
        <w:numPr>
          <w:ilvl w:val="0"/>
          <w:numId w:val="0"/>
        </w:numPr>
        <w:spacing w:before="0" w:after="120" w:line="276" w:lineRule="auto"/>
        <w:ind w:left="568" w:hanging="284"/>
      </w:pPr>
    </w:p>
    <w:p w14:paraId="61519D7F" w14:textId="77777777" w:rsidR="00D96E26" w:rsidRDefault="00D96E26" w:rsidP="0046143A">
      <w:pPr>
        <w:pStyle w:val="Bullet1"/>
        <w:numPr>
          <w:ilvl w:val="0"/>
          <w:numId w:val="0"/>
        </w:numPr>
        <w:spacing w:before="0" w:line="276" w:lineRule="auto"/>
        <w:ind w:left="568" w:hanging="284"/>
      </w:pPr>
    </w:p>
    <w:p w14:paraId="4B7E6BE8" w14:textId="77777777" w:rsidR="00D200CE" w:rsidRDefault="00FE6DAE" w:rsidP="0046143A">
      <w:pPr>
        <w:pStyle w:val="Bullet1"/>
        <w:numPr>
          <w:ilvl w:val="0"/>
          <w:numId w:val="0"/>
        </w:numPr>
        <w:spacing w:before="0" w:line="276" w:lineRule="auto"/>
        <w:ind w:left="568" w:hanging="284"/>
      </w:pPr>
      <w:r w:rsidRPr="00FE6DAE">
        <w:lastRenderedPageBreak/>
        <w:t>ILC will consider funding of critical infrastructure and resources where a case can be made for the</w:t>
      </w:r>
      <w:r w:rsidR="00D200CE">
        <w:t>:</w:t>
      </w:r>
      <w:r w:rsidRPr="00FE6DAE">
        <w:t xml:space="preserve"> </w:t>
      </w:r>
    </w:p>
    <w:p w14:paraId="4BFE8D9B" w14:textId="77777777" w:rsidR="00D200CE" w:rsidRDefault="00FE6DAE" w:rsidP="00CC3C8E">
      <w:pPr>
        <w:pStyle w:val="Bullet1"/>
        <w:numPr>
          <w:ilvl w:val="0"/>
          <w:numId w:val="0"/>
        </w:numPr>
        <w:spacing w:before="0" w:after="120" w:line="276" w:lineRule="auto"/>
        <w:ind w:left="851"/>
      </w:pPr>
      <w:r w:rsidRPr="00FE6DAE">
        <w:t xml:space="preserve">a) </w:t>
      </w:r>
      <w:r w:rsidR="00D200CE">
        <w:t>O</w:t>
      </w:r>
      <w:r w:rsidRPr="00FE6DAE">
        <w:t>utcomes reliant on this infrastru</w:t>
      </w:r>
      <w:r w:rsidR="00A209C2">
        <w:t>cture</w:t>
      </w:r>
      <w:r w:rsidR="00312B9C">
        <w:t>;</w:t>
      </w:r>
      <w:r w:rsidR="00A209C2">
        <w:t xml:space="preserve"> and </w:t>
      </w:r>
    </w:p>
    <w:p w14:paraId="7F8B437A" w14:textId="77777777" w:rsidR="0046143A" w:rsidRDefault="00A209C2" w:rsidP="00CC3C8E">
      <w:pPr>
        <w:pStyle w:val="Bullet1"/>
        <w:numPr>
          <w:ilvl w:val="0"/>
          <w:numId w:val="0"/>
        </w:numPr>
        <w:spacing w:before="0" w:after="120" w:line="276" w:lineRule="auto"/>
        <w:ind w:left="851"/>
      </w:pPr>
      <w:r>
        <w:t xml:space="preserve">b) </w:t>
      </w:r>
      <w:r w:rsidR="00D200CE" w:rsidRPr="00FE6DAE">
        <w:t>Sustainability</w:t>
      </w:r>
      <w:r w:rsidR="00FE6DAE" w:rsidRPr="00FE6DAE">
        <w:t xml:space="preserve"> of this infrastructure (not needing ongoing funding prior to normal upgrade) </w:t>
      </w:r>
    </w:p>
    <w:p w14:paraId="1CA8AD29" w14:textId="77777777" w:rsidR="00FE6DAE" w:rsidRDefault="00FE6DAE" w:rsidP="00CC3C8E">
      <w:pPr>
        <w:pStyle w:val="Bullet1"/>
        <w:numPr>
          <w:ilvl w:val="0"/>
          <w:numId w:val="0"/>
        </w:numPr>
        <w:spacing w:before="0" w:after="120" w:line="276" w:lineRule="auto"/>
        <w:ind w:left="851"/>
      </w:pPr>
      <w:r w:rsidRPr="00FE6DAE">
        <w:t>(</w:t>
      </w:r>
      <w:proofErr w:type="gramStart"/>
      <w:r w:rsidRPr="00FE6DAE">
        <w:t>e</w:t>
      </w:r>
      <w:r w:rsidR="00A209C2">
        <w:t>.</w:t>
      </w:r>
      <w:r w:rsidRPr="00FE6DAE">
        <w:t>g</w:t>
      </w:r>
      <w:proofErr w:type="gramEnd"/>
      <w:r w:rsidR="00A209C2">
        <w:t>.</w:t>
      </w:r>
      <w:r w:rsidRPr="00FE6DAE">
        <w:t xml:space="preserve"> mobile communication capacity in remote areas; financial management system, transport in remote or rural area)</w:t>
      </w:r>
    </w:p>
    <w:p w14:paraId="0E07D1E4" w14:textId="77777777" w:rsidR="00261EC5" w:rsidRDefault="00261EC5" w:rsidP="00CC3C8E">
      <w:pPr>
        <w:pStyle w:val="Bullet1"/>
        <w:numPr>
          <w:ilvl w:val="0"/>
          <w:numId w:val="0"/>
        </w:numPr>
        <w:spacing w:before="0" w:after="120" w:line="276" w:lineRule="auto"/>
        <w:ind w:left="567"/>
      </w:pPr>
    </w:p>
    <w:p w14:paraId="5D0BE30E" w14:textId="77777777" w:rsidR="00FE6DAE" w:rsidRPr="00F56535" w:rsidRDefault="001101CB" w:rsidP="00CC3C8E">
      <w:pPr>
        <w:pStyle w:val="Heading2Numbered"/>
        <w:spacing w:line="276" w:lineRule="auto"/>
        <w:contextualSpacing w:val="0"/>
      </w:pPr>
      <w:bookmarkStart w:id="40" w:name="_Toc531005182"/>
      <w:r>
        <w:t>4.2 C</w:t>
      </w:r>
      <w:r w:rsidR="00FE6DAE">
        <w:t>omponent</w:t>
      </w:r>
      <w:r w:rsidR="007D6CA5">
        <w:t xml:space="preserve"> 2</w:t>
      </w:r>
      <w:r w:rsidR="00167E4E">
        <w:t xml:space="preserve"> – </w:t>
      </w:r>
      <w:r w:rsidR="00542CD5">
        <w:t>Individual Capacity Building</w:t>
      </w:r>
      <w:r w:rsidR="00167E4E">
        <w:t xml:space="preserve"> Activities</w:t>
      </w:r>
      <w:bookmarkEnd w:id="40"/>
    </w:p>
    <w:p w14:paraId="2C127803" w14:textId="092B6228" w:rsidR="00DD1B6C" w:rsidRDefault="0007602A" w:rsidP="0046143A">
      <w:pPr>
        <w:spacing w:before="0" w:after="120" w:line="276" w:lineRule="auto"/>
        <w:rPr>
          <w:rFonts w:ascii="Arial" w:eastAsia="Times New Roman" w:hAnsi="Arial" w:cs="Arial"/>
        </w:rPr>
      </w:pPr>
      <w:r>
        <w:rPr>
          <w:rFonts w:ascii="Arial" w:eastAsia="Times New Roman" w:hAnsi="Arial" w:cs="Arial"/>
        </w:rPr>
        <w:t xml:space="preserve">All </w:t>
      </w:r>
      <w:r w:rsidR="009140F6">
        <w:rPr>
          <w:rFonts w:ascii="Arial" w:eastAsia="Times New Roman" w:hAnsi="Arial" w:cs="Arial"/>
        </w:rPr>
        <w:t>proposals</w:t>
      </w:r>
      <w:r w:rsidR="00A209C2">
        <w:rPr>
          <w:rFonts w:ascii="Arial" w:eastAsia="Times New Roman" w:hAnsi="Arial" w:cs="Arial"/>
        </w:rPr>
        <w:t xml:space="preserve"> </w:t>
      </w:r>
      <w:r w:rsidR="00A209C2" w:rsidRPr="000F1419">
        <w:rPr>
          <w:rFonts w:ascii="Arial" w:eastAsia="Times New Roman" w:hAnsi="Arial" w:cs="Arial"/>
          <w:b/>
        </w:rPr>
        <w:t xml:space="preserve">must </w:t>
      </w:r>
      <w:r w:rsidR="00A209C2" w:rsidRPr="000F1419">
        <w:rPr>
          <w:rFonts w:ascii="Arial" w:eastAsia="Times New Roman" w:hAnsi="Arial" w:cs="Arial"/>
        </w:rPr>
        <w:t>include</w:t>
      </w:r>
      <w:r w:rsidR="00A209C2">
        <w:rPr>
          <w:rFonts w:ascii="Arial" w:eastAsia="Times New Roman" w:hAnsi="Arial" w:cs="Arial"/>
        </w:rPr>
        <w:t xml:space="preserve"> a component </w:t>
      </w:r>
      <w:r w:rsidR="004D1728">
        <w:rPr>
          <w:rFonts w:ascii="Arial" w:eastAsia="Times New Roman" w:hAnsi="Arial" w:cs="Arial"/>
        </w:rPr>
        <w:t>of</w:t>
      </w:r>
      <w:r w:rsidR="003024B5">
        <w:rPr>
          <w:rFonts w:ascii="Arial" w:eastAsia="Times New Roman" w:hAnsi="Arial" w:cs="Arial"/>
        </w:rPr>
        <w:t xml:space="preserve"> designing and delivering </w:t>
      </w:r>
      <w:r w:rsidR="00484A81">
        <w:rPr>
          <w:rFonts w:ascii="Arial" w:eastAsia="Times New Roman" w:hAnsi="Arial" w:cs="Arial"/>
        </w:rPr>
        <w:t xml:space="preserve">individual capacity building </w:t>
      </w:r>
      <w:r w:rsidR="003024B5">
        <w:rPr>
          <w:rFonts w:ascii="Arial" w:eastAsia="Times New Roman" w:hAnsi="Arial" w:cs="Arial"/>
        </w:rPr>
        <w:t xml:space="preserve">activities. </w:t>
      </w:r>
      <w:r>
        <w:rPr>
          <w:rFonts w:ascii="Arial" w:eastAsia="Times New Roman" w:hAnsi="Arial" w:cs="Arial"/>
        </w:rPr>
        <w:t>N</w:t>
      </w:r>
      <w:r w:rsidR="00DD1B6C">
        <w:rPr>
          <w:rFonts w:ascii="Arial" w:eastAsia="Times New Roman" w:hAnsi="Arial" w:cs="Arial"/>
        </w:rPr>
        <w:t xml:space="preserve">on-DPFO </w:t>
      </w:r>
      <w:r w:rsidR="00DD1B6C" w:rsidRPr="00D445BF">
        <w:rPr>
          <w:rFonts w:asciiTheme="majorHAnsi" w:hAnsiTheme="majorHAnsi" w:cstheme="majorHAnsi"/>
        </w:rPr>
        <w:t>organisation</w:t>
      </w:r>
      <w:r w:rsidR="00DD1B6C">
        <w:rPr>
          <w:rFonts w:asciiTheme="majorHAnsi" w:hAnsiTheme="majorHAnsi" w:cstheme="majorHAnsi"/>
        </w:rPr>
        <w:t xml:space="preserve">s </w:t>
      </w:r>
      <w:r w:rsidR="00DD1B6C" w:rsidRPr="00D445BF">
        <w:rPr>
          <w:rFonts w:asciiTheme="majorHAnsi" w:hAnsiTheme="majorHAnsi" w:cstheme="majorHAnsi"/>
        </w:rPr>
        <w:t>led by and for ILC’s Priority Cohort Groups</w:t>
      </w:r>
      <w:r w:rsidR="00DD1B6C">
        <w:rPr>
          <w:rFonts w:asciiTheme="majorHAnsi" w:hAnsiTheme="majorHAnsi" w:cstheme="majorHAnsi"/>
        </w:rPr>
        <w:t xml:space="preserve"> can only apply for Component 2 activities</w:t>
      </w:r>
      <w:r>
        <w:rPr>
          <w:rFonts w:asciiTheme="majorHAnsi" w:hAnsiTheme="majorHAnsi" w:cstheme="majorHAnsi"/>
        </w:rPr>
        <w:t xml:space="preserve"> (individual capacity building)</w:t>
      </w:r>
      <w:r w:rsidR="00DD1B6C">
        <w:rPr>
          <w:rFonts w:asciiTheme="majorHAnsi" w:hAnsiTheme="majorHAnsi" w:cstheme="majorHAnsi"/>
        </w:rPr>
        <w:t>.</w:t>
      </w:r>
    </w:p>
    <w:p w14:paraId="5B92E274" w14:textId="77777777" w:rsidR="00C2123E" w:rsidRDefault="003024B5" w:rsidP="0046143A">
      <w:pPr>
        <w:spacing w:before="0" w:after="120" w:line="276" w:lineRule="auto"/>
        <w:rPr>
          <w:rFonts w:ascii="Arial" w:eastAsia="Times New Roman" w:hAnsi="Arial" w:cs="Arial"/>
        </w:rPr>
      </w:pPr>
      <w:r>
        <w:rPr>
          <w:rFonts w:ascii="Arial" w:eastAsia="Times New Roman" w:hAnsi="Arial" w:cs="Arial"/>
        </w:rPr>
        <w:t xml:space="preserve">These activities </w:t>
      </w:r>
      <w:r w:rsidRPr="000F1419">
        <w:rPr>
          <w:rFonts w:ascii="Arial" w:eastAsia="Times New Roman" w:hAnsi="Arial" w:cs="Arial"/>
          <w:b/>
        </w:rPr>
        <w:t>must</w:t>
      </w:r>
      <w:r w:rsidRPr="000F1419">
        <w:rPr>
          <w:rFonts w:ascii="Arial" w:eastAsia="Times New Roman" w:hAnsi="Arial" w:cs="Arial"/>
        </w:rPr>
        <w:t xml:space="preserve"> be for the primary </w:t>
      </w:r>
      <w:r w:rsidR="002D00FD" w:rsidRPr="000F1419">
        <w:rPr>
          <w:rFonts w:ascii="Arial" w:eastAsia="Times New Roman" w:hAnsi="Arial" w:cs="Arial"/>
        </w:rPr>
        <w:t xml:space="preserve">and direct </w:t>
      </w:r>
      <w:r w:rsidRPr="000F1419">
        <w:rPr>
          <w:rFonts w:ascii="Arial" w:eastAsia="Times New Roman" w:hAnsi="Arial" w:cs="Arial"/>
        </w:rPr>
        <w:t>be</w:t>
      </w:r>
      <w:r w:rsidR="001101CB" w:rsidRPr="000F1419">
        <w:rPr>
          <w:rFonts w:ascii="Arial" w:eastAsia="Times New Roman" w:hAnsi="Arial" w:cs="Arial"/>
        </w:rPr>
        <w:t>nefit of people with disability</w:t>
      </w:r>
      <w:r w:rsidR="005A06F1">
        <w:rPr>
          <w:rFonts w:ascii="Arial" w:eastAsia="Times New Roman" w:hAnsi="Arial" w:cs="Arial"/>
        </w:rPr>
        <w:t>,</w:t>
      </w:r>
      <w:r w:rsidR="001101CB">
        <w:rPr>
          <w:rFonts w:ascii="Arial" w:eastAsia="Times New Roman" w:hAnsi="Arial" w:cs="Arial"/>
        </w:rPr>
        <w:t xml:space="preserve"> and </w:t>
      </w:r>
      <w:r>
        <w:rPr>
          <w:rFonts w:ascii="Arial" w:eastAsia="Times New Roman" w:hAnsi="Arial" w:cs="Arial"/>
        </w:rPr>
        <w:t xml:space="preserve">developed and delivered in collaboration with people with disability. </w:t>
      </w:r>
    </w:p>
    <w:p w14:paraId="2D067467" w14:textId="77777777" w:rsidR="00694704" w:rsidRPr="00694704" w:rsidRDefault="00484A81" w:rsidP="0046143A">
      <w:pPr>
        <w:spacing w:after="120" w:line="276" w:lineRule="auto"/>
        <w:rPr>
          <w:rFonts w:ascii="Arial" w:eastAsia="Times New Roman" w:hAnsi="Arial" w:cs="Arial"/>
        </w:rPr>
      </w:pPr>
      <w:r>
        <w:rPr>
          <w:rFonts w:ascii="Arial" w:eastAsia="Times New Roman" w:hAnsi="Arial" w:cs="Arial"/>
        </w:rPr>
        <w:t xml:space="preserve">Individual capacity building </w:t>
      </w:r>
      <w:r w:rsidR="00694704" w:rsidRPr="00694704">
        <w:rPr>
          <w:rFonts w:ascii="Arial" w:eastAsia="Times New Roman" w:hAnsi="Arial" w:cs="Arial"/>
        </w:rPr>
        <w:t>activities empo</w:t>
      </w:r>
      <w:r w:rsidR="000562A2">
        <w:rPr>
          <w:rFonts w:ascii="Arial" w:eastAsia="Times New Roman" w:hAnsi="Arial" w:cs="Arial"/>
        </w:rPr>
        <w:t xml:space="preserve">wer a person to be independent </w:t>
      </w:r>
      <w:r w:rsidR="00694704" w:rsidRPr="00694704">
        <w:rPr>
          <w:rFonts w:ascii="Arial" w:eastAsia="Times New Roman" w:hAnsi="Arial" w:cs="Arial"/>
        </w:rPr>
        <w:t xml:space="preserve">and to be engaged in social, economic and civic life. Capacity </w:t>
      </w:r>
      <w:r w:rsidR="009140F6">
        <w:rPr>
          <w:rFonts w:ascii="Arial" w:eastAsia="Times New Roman" w:hAnsi="Arial" w:cs="Arial"/>
        </w:rPr>
        <w:t>is built</w:t>
      </w:r>
      <w:r w:rsidR="00694704" w:rsidRPr="00694704">
        <w:rPr>
          <w:rFonts w:ascii="Arial" w:eastAsia="Times New Roman" w:hAnsi="Arial" w:cs="Arial"/>
        </w:rPr>
        <w:t xml:space="preserve"> through building the knowledge, skills and confidence </w:t>
      </w:r>
      <w:r w:rsidR="001101CB">
        <w:rPr>
          <w:rFonts w:ascii="Arial" w:eastAsia="Times New Roman" w:hAnsi="Arial" w:cs="Arial"/>
        </w:rPr>
        <w:t xml:space="preserve">of individuals </w:t>
      </w:r>
      <w:r w:rsidR="00694704" w:rsidRPr="00694704">
        <w:rPr>
          <w:rFonts w:ascii="Arial" w:eastAsia="Times New Roman" w:hAnsi="Arial" w:cs="Arial"/>
        </w:rPr>
        <w:t>to set, self-manage and achieve personal goals.</w:t>
      </w:r>
      <w:r w:rsidR="00036BFE" w:rsidRPr="00036BFE">
        <w:rPr>
          <w:rFonts w:ascii="Arial" w:eastAsia="Times New Roman" w:hAnsi="Arial" w:cs="Arial"/>
        </w:rPr>
        <w:t xml:space="preserve"> </w:t>
      </w:r>
      <w:r w:rsidR="00036BFE" w:rsidRPr="00694704">
        <w:rPr>
          <w:rFonts w:ascii="Arial" w:eastAsia="Times New Roman" w:hAnsi="Arial" w:cs="Arial"/>
        </w:rPr>
        <w:t xml:space="preserve">Individual capacity building activities </w:t>
      </w:r>
      <w:r w:rsidR="00036BFE">
        <w:rPr>
          <w:rFonts w:ascii="Arial" w:eastAsia="Times New Roman" w:hAnsi="Arial" w:cs="Arial"/>
        </w:rPr>
        <w:t>should be</w:t>
      </w:r>
      <w:r w:rsidR="00036BFE" w:rsidRPr="00694704">
        <w:rPr>
          <w:rFonts w:ascii="Arial" w:eastAsia="Times New Roman" w:hAnsi="Arial" w:cs="Arial"/>
        </w:rPr>
        <w:t xml:space="preserve"> tailored to the individual</w:t>
      </w:r>
      <w:r w:rsidR="00036BFE">
        <w:rPr>
          <w:rFonts w:ascii="Arial" w:eastAsia="Times New Roman" w:hAnsi="Arial" w:cs="Arial"/>
        </w:rPr>
        <w:t>’</w:t>
      </w:r>
      <w:r w:rsidR="00036BFE" w:rsidRPr="00694704">
        <w:rPr>
          <w:rFonts w:ascii="Arial" w:eastAsia="Times New Roman" w:hAnsi="Arial" w:cs="Arial"/>
        </w:rPr>
        <w:t xml:space="preserve">s unique needs and </w:t>
      </w:r>
      <w:r w:rsidR="00036BFE">
        <w:rPr>
          <w:rFonts w:ascii="Arial" w:eastAsia="Times New Roman" w:hAnsi="Arial" w:cs="Arial"/>
        </w:rPr>
        <w:t>aspirations.</w:t>
      </w:r>
    </w:p>
    <w:p w14:paraId="6BAC5B59" w14:textId="77777777" w:rsidR="000F1419" w:rsidRPr="000F1419" w:rsidRDefault="00484A81" w:rsidP="0046143A">
      <w:pPr>
        <w:pStyle w:val="Bullet1"/>
        <w:numPr>
          <w:ilvl w:val="0"/>
          <w:numId w:val="0"/>
        </w:numPr>
        <w:spacing w:before="180" w:after="120" w:line="276" w:lineRule="auto"/>
        <w:rPr>
          <w:rFonts w:ascii="Arial" w:eastAsia="Times New Roman" w:hAnsi="Arial" w:cs="Arial"/>
        </w:rPr>
      </w:pPr>
      <w:r>
        <w:t xml:space="preserve">Individual capacity building </w:t>
      </w:r>
      <w:r w:rsidR="009140F6">
        <w:t>activities that feature peer</w:t>
      </w:r>
      <w:r w:rsidR="0046143A">
        <w:t>-to-peer learning</w:t>
      </w:r>
      <w:r w:rsidR="00FC1156">
        <w:t xml:space="preserve">, such as peer support </w:t>
      </w:r>
      <w:r w:rsidR="00CB7DAF">
        <w:t>activities</w:t>
      </w:r>
      <w:r w:rsidR="00FC1156">
        <w:t>,</w:t>
      </w:r>
      <w:r w:rsidR="009140F6">
        <w:t xml:space="preserve"> are </w:t>
      </w:r>
      <w:r w:rsidR="000F1419">
        <w:t>encouraged</w:t>
      </w:r>
      <w:r w:rsidR="009140F6">
        <w:t xml:space="preserve">. </w:t>
      </w:r>
      <w:r w:rsidR="002D00FD">
        <w:rPr>
          <w:rFonts w:ascii="Arial" w:eastAsia="Times New Roman" w:hAnsi="Arial" w:cs="Arial"/>
        </w:rPr>
        <w:t>Research shows us that Peer-to-</w:t>
      </w:r>
      <w:r w:rsidR="00694704" w:rsidRPr="00694704">
        <w:rPr>
          <w:rFonts w:ascii="Arial" w:eastAsia="Times New Roman" w:hAnsi="Arial" w:cs="Arial"/>
        </w:rPr>
        <w:t>Peer learning throu</w:t>
      </w:r>
      <w:r w:rsidR="00BB269E">
        <w:rPr>
          <w:rFonts w:ascii="Arial" w:eastAsia="Times New Roman" w:hAnsi="Arial" w:cs="Arial"/>
        </w:rPr>
        <w:t xml:space="preserve">gh sharing lived experiences, </w:t>
      </w:r>
      <w:r w:rsidR="00694704" w:rsidRPr="00694704">
        <w:rPr>
          <w:rFonts w:ascii="Arial" w:eastAsia="Times New Roman" w:hAnsi="Arial" w:cs="Arial"/>
        </w:rPr>
        <w:t xml:space="preserve">is an effective and trusted process for individual capacity building. </w:t>
      </w:r>
      <w:r w:rsidR="000F1419">
        <w:rPr>
          <w:rFonts w:ascii="Arial" w:eastAsia="Times New Roman" w:hAnsi="Arial" w:cs="Arial"/>
        </w:rPr>
        <w:t>O</w:t>
      </w:r>
      <w:r w:rsidR="000F1419">
        <w:t xml:space="preserve">ther </w:t>
      </w:r>
      <w:r>
        <w:t xml:space="preserve">individual capacity building </w:t>
      </w:r>
      <w:r w:rsidR="000F1419">
        <w:t>activities are also eligible in this grant round.</w:t>
      </w:r>
    </w:p>
    <w:p w14:paraId="4E394D8F" w14:textId="77777777" w:rsidR="00694704" w:rsidRDefault="000562A2" w:rsidP="0046143A">
      <w:pPr>
        <w:spacing w:line="276" w:lineRule="auto"/>
        <w:rPr>
          <w:rFonts w:ascii="Arial" w:eastAsia="Times New Roman" w:hAnsi="Arial" w:cs="Arial"/>
        </w:rPr>
      </w:pPr>
      <w:r w:rsidRPr="00C51A5A">
        <w:rPr>
          <w:rFonts w:ascii="Arial" w:eastAsia="Times New Roman" w:hAnsi="Arial" w:cs="Arial"/>
        </w:rPr>
        <w:t xml:space="preserve">Types of </w:t>
      </w:r>
      <w:r w:rsidR="00484A81" w:rsidRPr="00C51A5A">
        <w:rPr>
          <w:rFonts w:ascii="Arial" w:eastAsia="Times New Roman" w:hAnsi="Arial" w:cs="Arial"/>
        </w:rPr>
        <w:t xml:space="preserve">individual capacity building </w:t>
      </w:r>
      <w:r w:rsidR="00694704" w:rsidRPr="00C51A5A">
        <w:rPr>
          <w:rFonts w:ascii="Arial" w:eastAsia="Times New Roman" w:hAnsi="Arial" w:cs="Arial"/>
        </w:rPr>
        <w:t>activities that this grant round will fund include</w:t>
      </w:r>
      <w:r w:rsidRPr="00C51A5A">
        <w:rPr>
          <w:rFonts w:ascii="Arial" w:eastAsia="Times New Roman" w:hAnsi="Arial" w:cs="Arial"/>
        </w:rPr>
        <w:t>s</w:t>
      </w:r>
      <w:r w:rsidR="00694704" w:rsidRPr="00C51A5A">
        <w:rPr>
          <w:rFonts w:ascii="Arial" w:eastAsia="Times New Roman" w:hAnsi="Arial" w:cs="Arial"/>
        </w:rPr>
        <w:t>:</w:t>
      </w:r>
    </w:p>
    <w:p w14:paraId="076133E8" w14:textId="77777777" w:rsidR="00615F38" w:rsidRPr="00615F38" w:rsidRDefault="00341A4F" w:rsidP="0046143A">
      <w:pPr>
        <w:pStyle w:val="Bullet1"/>
        <w:spacing w:before="0" w:line="276" w:lineRule="auto"/>
        <w:rPr>
          <w:b/>
        </w:rPr>
      </w:pPr>
      <w:r>
        <w:rPr>
          <w:b/>
        </w:rPr>
        <w:t>P</w:t>
      </w:r>
      <w:r w:rsidRPr="00615F38">
        <w:rPr>
          <w:b/>
        </w:rPr>
        <w:t xml:space="preserve">eer </w:t>
      </w:r>
      <w:r w:rsidR="00615F38" w:rsidRPr="00615F38">
        <w:rPr>
          <w:b/>
        </w:rPr>
        <w:t xml:space="preserve">support groups; </w:t>
      </w:r>
    </w:p>
    <w:p w14:paraId="3710ED4D" w14:textId="77777777" w:rsidR="00615F38" w:rsidRDefault="00615F38" w:rsidP="0046143A">
      <w:pPr>
        <w:pStyle w:val="Bullet2"/>
        <w:spacing w:before="0" w:after="120"/>
        <w:ind w:left="851"/>
      </w:pPr>
      <w:proofErr w:type="gramStart"/>
      <w:r>
        <w:t>which</w:t>
      </w:r>
      <w:proofErr w:type="gramEnd"/>
      <w:r>
        <w:t xml:space="preserve"> could involve d</w:t>
      </w:r>
      <w:r w:rsidRPr="00036BFE">
        <w:t>eveloping and runnin</w:t>
      </w:r>
      <w:r>
        <w:t>g new or existing peer-to-</w:t>
      </w:r>
      <w:r w:rsidRPr="00036BFE">
        <w:t>peer programs</w:t>
      </w:r>
      <w:r w:rsidR="00013B60">
        <w:t>, including peer groups in-</w:t>
      </w:r>
      <w:r>
        <w:t>person, online, via phone/teleconference</w:t>
      </w:r>
      <w:r w:rsidRPr="00036BFE">
        <w:t xml:space="preserve"> </w:t>
      </w:r>
      <w:r>
        <w:t>and the development and t</w:t>
      </w:r>
      <w:r w:rsidRPr="00036BFE">
        <w:t>raining</w:t>
      </w:r>
      <w:r>
        <w:t xml:space="preserve"> of associated </w:t>
      </w:r>
      <w:r w:rsidRPr="00036BFE">
        <w:t>educational/information materi</w:t>
      </w:r>
      <w:r w:rsidR="00013B60">
        <w:t>als for people with disability.</w:t>
      </w:r>
    </w:p>
    <w:p w14:paraId="1F6C6849" w14:textId="77777777" w:rsidR="00615F38" w:rsidRPr="00615F38" w:rsidRDefault="00341A4F" w:rsidP="0046143A">
      <w:pPr>
        <w:pStyle w:val="Bullet1"/>
        <w:spacing w:before="180" w:line="276" w:lineRule="auto"/>
        <w:rPr>
          <w:b/>
        </w:rPr>
      </w:pPr>
      <w:r>
        <w:rPr>
          <w:b/>
        </w:rPr>
        <w:t>M</w:t>
      </w:r>
      <w:r w:rsidRPr="00615F38">
        <w:rPr>
          <w:b/>
        </w:rPr>
        <w:t xml:space="preserve">entoring </w:t>
      </w:r>
      <w:r w:rsidR="00615F38" w:rsidRPr="00615F38">
        <w:rPr>
          <w:b/>
        </w:rPr>
        <w:t>programs</w:t>
      </w:r>
      <w:r w:rsidR="00615F38">
        <w:rPr>
          <w:b/>
        </w:rPr>
        <w:t xml:space="preserve"> (individual or group based)</w:t>
      </w:r>
      <w:r w:rsidR="00615F38" w:rsidRPr="00615F38">
        <w:rPr>
          <w:b/>
        </w:rPr>
        <w:t xml:space="preserve">; </w:t>
      </w:r>
    </w:p>
    <w:p w14:paraId="1CE96CAC" w14:textId="77777777" w:rsidR="00615F38" w:rsidRDefault="00615F38" w:rsidP="0046143A">
      <w:pPr>
        <w:pStyle w:val="Bullet2"/>
        <w:spacing w:before="0" w:after="120"/>
        <w:ind w:left="851"/>
      </w:pPr>
      <w:proofErr w:type="gramStart"/>
      <w:r>
        <w:t>which</w:t>
      </w:r>
      <w:proofErr w:type="gramEnd"/>
      <w:r>
        <w:t xml:space="preserve"> could involve d</w:t>
      </w:r>
      <w:r w:rsidRPr="00036BFE">
        <w:t>eveloping and delivering programs for buildi</w:t>
      </w:r>
      <w:r>
        <w:t>ng individual capacity such as building autonomy</w:t>
      </w:r>
      <w:r w:rsidRPr="00036BFE">
        <w:t>, connection to local supports and engagement in community activities</w:t>
      </w:r>
      <w:r w:rsidR="00013B60">
        <w:t>.</w:t>
      </w:r>
    </w:p>
    <w:p w14:paraId="41FAC625" w14:textId="77777777" w:rsidR="00550340" w:rsidRDefault="00550340" w:rsidP="00550340">
      <w:pPr>
        <w:pStyle w:val="Bullet1"/>
        <w:spacing w:before="180" w:line="276" w:lineRule="auto"/>
      </w:pPr>
      <w:r w:rsidRPr="00550340">
        <w:rPr>
          <w:b/>
        </w:rPr>
        <w:t>Skill building programs for self-management and independence</w:t>
      </w:r>
    </w:p>
    <w:p w14:paraId="4C90541B" w14:textId="77777777" w:rsidR="00615F38" w:rsidRDefault="00615F38" w:rsidP="0046143A">
      <w:pPr>
        <w:pStyle w:val="Bullet2"/>
        <w:spacing w:before="0" w:after="120"/>
        <w:ind w:left="851"/>
      </w:pPr>
      <w:proofErr w:type="gramStart"/>
      <w:r>
        <w:t>which</w:t>
      </w:r>
      <w:proofErr w:type="gramEnd"/>
      <w:r>
        <w:t xml:space="preserve"> could involve d</w:t>
      </w:r>
      <w:r w:rsidRPr="00036BFE">
        <w:t>evelop</w:t>
      </w:r>
      <w:r>
        <w:t>ing</w:t>
      </w:r>
      <w:r w:rsidRPr="00036BFE">
        <w:t xml:space="preserve"> or trial</w:t>
      </w:r>
      <w:r>
        <w:t>ling</w:t>
      </w:r>
      <w:r w:rsidRPr="00036BFE">
        <w:t xml:space="preserve"> models of activities</w:t>
      </w:r>
      <w:r>
        <w:t xml:space="preserve"> led by people with disability</w:t>
      </w:r>
      <w:r w:rsidRPr="00036BFE">
        <w:t xml:space="preserve"> relevant to the NDIS environment (e.g. peer-</w:t>
      </w:r>
      <w:r>
        <w:t>mentors for service navigation</w:t>
      </w:r>
      <w:r w:rsidRPr="00036BFE">
        <w:t xml:space="preserve">, peer-led capacity building </w:t>
      </w:r>
      <w:r>
        <w:t>for self-management of plans</w:t>
      </w:r>
      <w:r w:rsidRPr="00036BFE">
        <w:t>)</w:t>
      </w:r>
      <w:r w:rsidR="00013B60">
        <w:t>.</w:t>
      </w:r>
    </w:p>
    <w:p w14:paraId="57F76168" w14:textId="77777777" w:rsidR="00550340" w:rsidRPr="00550340" w:rsidRDefault="00550340" w:rsidP="00550340">
      <w:pPr>
        <w:pStyle w:val="Bullet1"/>
        <w:spacing w:before="180" w:line="276" w:lineRule="auto"/>
        <w:rPr>
          <w:b/>
        </w:rPr>
      </w:pPr>
      <w:r w:rsidRPr="00550340">
        <w:rPr>
          <w:b/>
        </w:rPr>
        <w:lastRenderedPageBreak/>
        <w:t>Capacity building programs to enable people to speak up for themselves</w:t>
      </w:r>
    </w:p>
    <w:p w14:paraId="4860A534" w14:textId="77777777" w:rsidR="00FD0F3A" w:rsidRDefault="00615F38" w:rsidP="0046143A">
      <w:pPr>
        <w:pStyle w:val="Bullet2"/>
        <w:spacing w:before="0" w:after="120"/>
        <w:ind w:left="851"/>
      </w:pPr>
      <w:r>
        <w:t xml:space="preserve">which could involve developing and delivering a peer support program that </w:t>
      </w:r>
      <w:r w:rsidR="00550340">
        <w:t>enable</w:t>
      </w:r>
      <w:r w:rsidR="00E610A7">
        <w:t>s</w:t>
      </w:r>
      <w:r w:rsidR="00550340">
        <w:t xml:space="preserve"> </w:t>
      </w:r>
      <w:r>
        <w:t xml:space="preserve">people with disability </w:t>
      </w:r>
      <w:r w:rsidR="00550340">
        <w:t xml:space="preserve">to </w:t>
      </w:r>
      <w:r>
        <w:t>build their capacity to voice their concerns, access information, resolve issues and</w:t>
      </w:r>
      <w:r w:rsidR="00FD0F3A">
        <w:t>/or</w:t>
      </w:r>
      <w:r>
        <w:t xml:space="preserve"> identify available support options.</w:t>
      </w:r>
    </w:p>
    <w:p w14:paraId="3EAE8E3D" w14:textId="77777777" w:rsidR="00615F38" w:rsidRPr="00615F38" w:rsidRDefault="00341A4F" w:rsidP="00550340">
      <w:pPr>
        <w:pStyle w:val="Bullet1"/>
        <w:spacing w:before="180" w:line="276" w:lineRule="auto"/>
        <w:rPr>
          <w:b/>
        </w:rPr>
      </w:pPr>
      <w:r>
        <w:rPr>
          <w:b/>
        </w:rPr>
        <w:t>O</w:t>
      </w:r>
      <w:r w:rsidRPr="00615F38">
        <w:rPr>
          <w:b/>
        </w:rPr>
        <w:t xml:space="preserve">ther </w:t>
      </w:r>
      <w:r w:rsidR="00615F38" w:rsidRPr="00615F38">
        <w:rPr>
          <w:b/>
        </w:rPr>
        <w:t xml:space="preserve">programs or activities to develop the capacity of individuals with disability </w:t>
      </w:r>
    </w:p>
    <w:p w14:paraId="4993858A" w14:textId="77777777" w:rsidR="00C82998" w:rsidRDefault="007F016C" w:rsidP="00550340">
      <w:pPr>
        <w:pStyle w:val="Bullet2"/>
        <w:spacing w:before="0" w:after="120"/>
        <w:ind w:left="851"/>
      </w:pPr>
      <w:proofErr w:type="gramStart"/>
      <w:r>
        <w:t>w</w:t>
      </w:r>
      <w:r w:rsidR="00615F38">
        <w:t>hich</w:t>
      </w:r>
      <w:proofErr w:type="gramEnd"/>
      <w:r w:rsidR="00615F38">
        <w:t xml:space="preserve"> could involve the e</w:t>
      </w:r>
      <w:r w:rsidR="00F61FEC" w:rsidRPr="00036BFE">
        <w:t xml:space="preserve">stablishment or piloting new or innovative </w:t>
      </w:r>
      <w:r w:rsidR="00F61FEC">
        <w:t>supports or services</w:t>
      </w:r>
      <w:r w:rsidR="00060AF5">
        <w:t xml:space="preserve"> led by people with disability</w:t>
      </w:r>
      <w:r>
        <w:t>, for people with disability</w:t>
      </w:r>
      <w:r w:rsidR="00013B60">
        <w:t>.</w:t>
      </w:r>
    </w:p>
    <w:p w14:paraId="3B76CEA2" w14:textId="77777777" w:rsidR="00615F38" w:rsidRDefault="00615F38" w:rsidP="00550340">
      <w:pPr>
        <w:pStyle w:val="Bullet1"/>
        <w:numPr>
          <w:ilvl w:val="0"/>
          <w:numId w:val="0"/>
        </w:numPr>
        <w:spacing w:before="240" w:after="120" w:line="276" w:lineRule="auto"/>
      </w:pPr>
      <w:r>
        <w:t>[</w:t>
      </w:r>
      <w:r w:rsidRPr="00615F38">
        <w:rPr>
          <w:i/>
        </w:rPr>
        <w:t xml:space="preserve">Note: Applicants will be required to select in the application form which </w:t>
      </w:r>
      <w:r>
        <w:rPr>
          <w:i/>
        </w:rPr>
        <w:t>‘</w:t>
      </w:r>
      <w:r w:rsidRPr="00615F38">
        <w:rPr>
          <w:i/>
        </w:rPr>
        <w:t>type</w:t>
      </w:r>
      <w:r>
        <w:rPr>
          <w:i/>
        </w:rPr>
        <w:t>’</w:t>
      </w:r>
      <w:r w:rsidRPr="00615F38">
        <w:rPr>
          <w:i/>
        </w:rPr>
        <w:t xml:space="preserve"> of individual capacity building </w:t>
      </w:r>
      <w:r>
        <w:rPr>
          <w:i/>
        </w:rPr>
        <w:t>activity</w:t>
      </w:r>
      <w:r w:rsidRPr="00615F38">
        <w:rPr>
          <w:i/>
        </w:rPr>
        <w:t xml:space="preserve"> </w:t>
      </w:r>
      <w:r>
        <w:rPr>
          <w:i/>
        </w:rPr>
        <w:t xml:space="preserve">(from the list above) </w:t>
      </w:r>
      <w:r w:rsidRPr="00615F38">
        <w:rPr>
          <w:i/>
        </w:rPr>
        <w:t xml:space="preserve">they propose to deliver.] </w:t>
      </w:r>
    </w:p>
    <w:p w14:paraId="57E1EBFA" w14:textId="77777777" w:rsidR="00036BFE" w:rsidRPr="00FE6DAE" w:rsidRDefault="00C82998" w:rsidP="00550340">
      <w:pPr>
        <w:pStyle w:val="Bullet1"/>
        <w:numPr>
          <w:ilvl w:val="0"/>
          <w:numId w:val="0"/>
        </w:numPr>
        <w:spacing w:before="180" w:line="276" w:lineRule="auto"/>
        <w:ind w:left="284" w:hanging="284"/>
      </w:pPr>
      <w:r w:rsidRPr="00FE6DAE">
        <w:t>Project</w:t>
      </w:r>
      <w:r w:rsidR="00036BFE" w:rsidRPr="00FE6DAE">
        <w:t xml:space="preserve"> funding could be directed towards</w:t>
      </w:r>
      <w:r w:rsidR="000562A2">
        <w:t xml:space="preserve"> (</w:t>
      </w:r>
      <w:r w:rsidR="000562A2">
        <w:rPr>
          <w:rFonts w:ascii="Arial" w:eastAsia="Times New Roman" w:hAnsi="Arial" w:cs="Arial"/>
        </w:rPr>
        <w:t>please note this is not an ex</w:t>
      </w:r>
      <w:r w:rsidR="00BB269E">
        <w:rPr>
          <w:rFonts w:ascii="Arial" w:eastAsia="Times New Roman" w:hAnsi="Arial" w:cs="Arial"/>
        </w:rPr>
        <w:t>haustive</w:t>
      </w:r>
      <w:r w:rsidR="000562A2">
        <w:rPr>
          <w:rFonts w:ascii="Arial" w:eastAsia="Times New Roman" w:hAnsi="Arial" w:cs="Arial"/>
        </w:rPr>
        <w:t xml:space="preserve"> list)</w:t>
      </w:r>
      <w:r w:rsidR="00036BFE">
        <w:t>:</w:t>
      </w:r>
    </w:p>
    <w:p w14:paraId="1126A878" w14:textId="77777777" w:rsidR="00036BFE" w:rsidRPr="00036BFE" w:rsidRDefault="00036BFE" w:rsidP="00550340">
      <w:pPr>
        <w:pStyle w:val="Bullet1"/>
        <w:spacing w:before="0" w:after="120" w:line="276" w:lineRule="auto"/>
      </w:pPr>
      <w:r w:rsidRPr="00036BFE">
        <w:t>Salary and on</w:t>
      </w:r>
      <w:r w:rsidR="006C7938">
        <w:t xml:space="preserve"> </w:t>
      </w:r>
      <w:r w:rsidRPr="00036BFE">
        <w:t>costs for staff directly involved in the establishme</w:t>
      </w:r>
      <w:r w:rsidR="00BB269E">
        <w:t>nt, delivery and management of i</w:t>
      </w:r>
      <w:r w:rsidRPr="00036BFE">
        <w:t>ndividual capacity building activities</w:t>
      </w:r>
      <w:r w:rsidR="00D04C49">
        <w:t xml:space="preserve"> (with a priority on employing people with disability)</w:t>
      </w:r>
      <w:r w:rsidR="00312B9C">
        <w:t>;</w:t>
      </w:r>
    </w:p>
    <w:p w14:paraId="1319C47C" w14:textId="77777777" w:rsidR="00036BFE" w:rsidRPr="00036BFE" w:rsidRDefault="00036BFE" w:rsidP="00550340">
      <w:pPr>
        <w:pStyle w:val="Bullet1"/>
        <w:spacing w:before="0" w:after="120" w:line="276" w:lineRule="auto"/>
      </w:pPr>
      <w:r w:rsidRPr="00036BFE">
        <w:t>Training costs for staff or volunteers</w:t>
      </w:r>
      <w:r w:rsidR="002D00FD">
        <w:t xml:space="preserve"> or program participants</w:t>
      </w:r>
      <w:r w:rsidR="00312B9C">
        <w:t>;</w:t>
      </w:r>
    </w:p>
    <w:p w14:paraId="5E93880F" w14:textId="77777777" w:rsidR="00036BFE" w:rsidRPr="00036BFE" w:rsidRDefault="00036BFE" w:rsidP="00550340">
      <w:pPr>
        <w:pStyle w:val="Bullet1"/>
        <w:spacing w:before="0" w:after="120" w:line="276" w:lineRule="auto"/>
      </w:pPr>
      <w:r w:rsidRPr="00036BFE">
        <w:t>Costs associated with running events or forums</w:t>
      </w:r>
      <w:r w:rsidR="00312B9C">
        <w:t>;</w:t>
      </w:r>
    </w:p>
    <w:p w14:paraId="5CD79E6F" w14:textId="77777777" w:rsidR="00036BFE" w:rsidRPr="00036BFE" w:rsidRDefault="00036BFE" w:rsidP="00550340">
      <w:pPr>
        <w:pStyle w:val="Bullet1"/>
        <w:spacing w:before="0" w:after="120" w:line="276" w:lineRule="auto"/>
      </w:pPr>
      <w:r w:rsidRPr="00036BFE">
        <w:t>Consumables for activity costs (e.g. tea and coffee, venue hire, printing costs)</w:t>
      </w:r>
      <w:r w:rsidR="00312B9C">
        <w:t>; and/or</w:t>
      </w:r>
    </w:p>
    <w:p w14:paraId="56E5F33F" w14:textId="6061566C" w:rsidR="00694704" w:rsidRPr="00036BFE" w:rsidRDefault="00036BFE" w:rsidP="00550340">
      <w:pPr>
        <w:pStyle w:val="Bullet1"/>
        <w:spacing w:before="0" w:after="120" w:line="276" w:lineRule="auto"/>
      </w:pPr>
      <w:r w:rsidRPr="00036BFE">
        <w:t>Purchasing technological systems or minor equipment</w:t>
      </w:r>
      <w:r w:rsidR="003129ED">
        <w:t>.</w:t>
      </w:r>
    </w:p>
    <w:p w14:paraId="4EB19971" w14:textId="77777777" w:rsidR="00972BBF" w:rsidRPr="00F56535" w:rsidRDefault="00A24647" w:rsidP="00CC3C8E">
      <w:pPr>
        <w:pStyle w:val="Heading2Numbered"/>
        <w:spacing w:line="276" w:lineRule="auto"/>
        <w:contextualSpacing w:val="0"/>
      </w:pPr>
      <w:bookmarkStart w:id="41" w:name="_Toc531005183"/>
      <w:r>
        <w:t>4.3</w:t>
      </w:r>
      <w:r w:rsidR="00972BBF">
        <w:t xml:space="preserve"> </w:t>
      </w:r>
      <w:r w:rsidR="00972BBF" w:rsidRPr="00F56535">
        <w:t xml:space="preserve">What the grant money </w:t>
      </w:r>
      <w:r w:rsidR="004C5106">
        <w:t xml:space="preserve">can </w:t>
      </w:r>
      <w:r w:rsidR="00972BBF" w:rsidRPr="00F56535">
        <w:t>be used for</w:t>
      </w:r>
      <w:bookmarkEnd w:id="41"/>
    </w:p>
    <w:p w14:paraId="0E5870ED" w14:textId="77777777" w:rsidR="00372D2A" w:rsidRDefault="00372D2A" w:rsidP="00550340">
      <w:pPr>
        <w:spacing w:before="0" w:line="276" w:lineRule="auto"/>
        <w:rPr>
          <w:rFonts w:cstheme="minorHAnsi"/>
        </w:rPr>
      </w:pPr>
      <w:r w:rsidRPr="00372D2A">
        <w:rPr>
          <w:rFonts w:cstheme="minorHAnsi"/>
        </w:rPr>
        <w:t xml:space="preserve">In addition to the where project funding can be directed (see section 4.1 and 4.2 above), </w:t>
      </w:r>
      <w:r w:rsidR="004C5106">
        <w:rPr>
          <w:rFonts w:cstheme="minorHAnsi"/>
        </w:rPr>
        <w:t>a</w:t>
      </w:r>
      <w:r w:rsidR="005E7F40">
        <w:rPr>
          <w:rFonts w:cstheme="minorHAnsi"/>
        </w:rPr>
        <w:t>pplicants</w:t>
      </w:r>
      <w:r w:rsidR="005E7F40" w:rsidRPr="00372D2A">
        <w:rPr>
          <w:rFonts w:cstheme="minorHAnsi"/>
        </w:rPr>
        <w:t xml:space="preserve"> </w:t>
      </w:r>
      <w:r w:rsidRPr="00372D2A">
        <w:rPr>
          <w:rFonts w:cstheme="minorHAnsi"/>
        </w:rPr>
        <w:t xml:space="preserve">can use the grant to pay for: </w:t>
      </w:r>
    </w:p>
    <w:p w14:paraId="71F0E4A6" w14:textId="77777777" w:rsidR="00627375" w:rsidRPr="00372D2A" w:rsidRDefault="00341A4F" w:rsidP="00EC3661">
      <w:pPr>
        <w:pStyle w:val="ListParagraph"/>
        <w:numPr>
          <w:ilvl w:val="0"/>
          <w:numId w:val="35"/>
        </w:numPr>
        <w:spacing w:after="120"/>
        <w:ind w:left="714" w:hanging="357"/>
        <w:rPr>
          <w:rFonts w:ascii="Arial" w:hAnsi="Arial" w:cs="Arial"/>
        </w:rPr>
      </w:pPr>
      <w:r>
        <w:rPr>
          <w:rFonts w:ascii="Arial" w:hAnsi="Arial" w:cs="Arial"/>
        </w:rPr>
        <w:t>S</w:t>
      </w:r>
      <w:r w:rsidRPr="00372D2A">
        <w:rPr>
          <w:rFonts w:ascii="Arial" w:hAnsi="Arial" w:cs="Arial"/>
        </w:rPr>
        <w:t xml:space="preserve">taff </w:t>
      </w:r>
      <w:r w:rsidR="00627375" w:rsidRPr="00372D2A">
        <w:rPr>
          <w:rFonts w:ascii="Arial" w:hAnsi="Arial" w:cs="Arial"/>
        </w:rPr>
        <w:t>salaries and on-costs that can be directly attributed to the provision of the pro</w:t>
      </w:r>
      <w:r w:rsidR="00312B9C">
        <w:rPr>
          <w:rFonts w:ascii="Arial" w:hAnsi="Arial" w:cs="Arial"/>
        </w:rPr>
        <w:t>ject as per the Grant Agreement;</w:t>
      </w:r>
    </w:p>
    <w:p w14:paraId="4180A91E" w14:textId="77777777" w:rsidR="00627375" w:rsidRPr="00310249" w:rsidRDefault="00341A4F" w:rsidP="00EC3661">
      <w:pPr>
        <w:pStyle w:val="ListParagraph"/>
        <w:numPr>
          <w:ilvl w:val="0"/>
          <w:numId w:val="20"/>
        </w:numPr>
        <w:spacing w:after="120"/>
        <w:ind w:left="714" w:hanging="357"/>
        <w:rPr>
          <w:rFonts w:asciiTheme="minorHAnsi" w:hAnsiTheme="minorHAnsi" w:cstheme="minorHAnsi"/>
        </w:rPr>
      </w:pPr>
      <w:r>
        <w:rPr>
          <w:rFonts w:asciiTheme="minorHAnsi" w:hAnsiTheme="minorHAnsi" w:cstheme="minorHAnsi"/>
        </w:rPr>
        <w:t>E</w:t>
      </w:r>
      <w:r w:rsidRPr="00310249">
        <w:rPr>
          <w:rFonts w:asciiTheme="minorHAnsi" w:hAnsiTheme="minorHAnsi" w:cstheme="minorHAnsi"/>
        </w:rPr>
        <w:t xml:space="preserve">mployee </w:t>
      </w:r>
      <w:r w:rsidR="00627375" w:rsidRPr="00310249">
        <w:rPr>
          <w:rFonts w:asciiTheme="minorHAnsi" w:hAnsiTheme="minorHAnsi" w:cstheme="minorHAnsi"/>
        </w:rPr>
        <w:t>training for staff</w:t>
      </w:r>
      <w:r w:rsidR="008C5516">
        <w:rPr>
          <w:rFonts w:asciiTheme="minorHAnsi" w:hAnsiTheme="minorHAnsi" w:cstheme="minorHAnsi"/>
        </w:rPr>
        <w:t>, volunteers and</w:t>
      </w:r>
      <w:r w:rsidR="00627375" w:rsidRPr="00310249">
        <w:rPr>
          <w:rFonts w:asciiTheme="minorHAnsi" w:hAnsiTheme="minorHAnsi" w:cstheme="minorHAnsi"/>
        </w:rPr>
        <w:t xml:space="preserve"> Committee </w:t>
      </w:r>
      <w:r w:rsidR="008C5516">
        <w:rPr>
          <w:rFonts w:asciiTheme="minorHAnsi" w:hAnsiTheme="minorHAnsi" w:cstheme="minorHAnsi"/>
        </w:rPr>
        <w:t xml:space="preserve">or </w:t>
      </w:r>
      <w:r w:rsidR="00627375" w:rsidRPr="00310249">
        <w:rPr>
          <w:rFonts w:asciiTheme="minorHAnsi" w:hAnsiTheme="minorHAnsi" w:cstheme="minorHAnsi"/>
        </w:rPr>
        <w:t xml:space="preserve">Board members, that is relevant, appropriate and in line with the project (except </w:t>
      </w:r>
      <w:r w:rsidR="00060AF5" w:rsidRPr="00F03448">
        <w:rPr>
          <w:rFonts w:asciiTheme="minorHAnsi" w:hAnsiTheme="minorHAnsi" w:cstheme="minorHAnsi"/>
        </w:rPr>
        <w:t>staff training or professional development on disability inclu</w:t>
      </w:r>
      <w:r w:rsidR="00060AF5">
        <w:rPr>
          <w:rFonts w:asciiTheme="minorHAnsi" w:hAnsiTheme="minorHAnsi" w:cstheme="minorHAnsi"/>
        </w:rPr>
        <w:t>sion that should be funded by a mainstream</w:t>
      </w:r>
      <w:r w:rsidR="00060AF5" w:rsidRPr="00F03448">
        <w:rPr>
          <w:rFonts w:asciiTheme="minorHAnsi" w:hAnsiTheme="minorHAnsi" w:cstheme="minorHAnsi"/>
        </w:rPr>
        <w:t xml:space="preserve"> employer</w:t>
      </w:r>
      <w:r w:rsidR="00060AF5" w:rsidRPr="00310249">
        <w:rPr>
          <w:rFonts w:asciiTheme="minorHAnsi" w:hAnsiTheme="minorHAnsi" w:cstheme="minorHAnsi"/>
        </w:rPr>
        <w:t xml:space="preserve"> </w:t>
      </w:r>
      <w:r w:rsidR="00060AF5">
        <w:rPr>
          <w:rFonts w:asciiTheme="minorHAnsi" w:hAnsiTheme="minorHAnsi" w:cstheme="minorHAnsi"/>
        </w:rPr>
        <w:t>such as Education or Health</w:t>
      </w:r>
      <w:r w:rsidR="007955D8">
        <w:rPr>
          <w:rFonts w:asciiTheme="minorHAnsi" w:hAnsiTheme="minorHAnsi" w:cstheme="minorHAnsi"/>
        </w:rPr>
        <w:t xml:space="preserve"> Systems</w:t>
      </w:r>
      <w:r w:rsidR="00627375" w:rsidRPr="00310249">
        <w:rPr>
          <w:rFonts w:asciiTheme="minorHAnsi" w:hAnsiTheme="minorHAnsi" w:cstheme="minorHAnsi"/>
        </w:rPr>
        <w:t>)</w:t>
      </w:r>
      <w:r w:rsidR="00312B9C">
        <w:rPr>
          <w:rFonts w:asciiTheme="minorHAnsi" w:hAnsiTheme="minorHAnsi" w:cstheme="minorHAnsi"/>
        </w:rPr>
        <w:t>;</w:t>
      </w:r>
    </w:p>
    <w:p w14:paraId="7FE4C4A1" w14:textId="77777777" w:rsidR="00627375" w:rsidRDefault="00167E4E" w:rsidP="00EC3661">
      <w:pPr>
        <w:pStyle w:val="ListParagraph"/>
        <w:numPr>
          <w:ilvl w:val="0"/>
          <w:numId w:val="20"/>
        </w:numPr>
        <w:spacing w:after="60"/>
        <w:ind w:left="714" w:hanging="357"/>
        <w:rPr>
          <w:rFonts w:asciiTheme="minorHAnsi" w:hAnsiTheme="minorHAnsi" w:cstheme="minorHAnsi"/>
        </w:rPr>
      </w:pPr>
      <w:r>
        <w:rPr>
          <w:rFonts w:asciiTheme="minorHAnsi" w:hAnsiTheme="minorHAnsi" w:cstheme="minorHAnsi"/>
        </w:rPr>
        <w:t xml:space="preserve">The portion of </w:t>
      </w:r>
      <w:r w:rsidR="00627375" w:rsidRPr="00310249">
        <w:rPr>
          <w:rFonts w:asciiTheme="minorHAnsi" w:hAnsiTheme="minorHAnsi" w:cstheme="minorHAnsi"/>
        </w:rPr>
        <w:t>operating and administration expenses directly related to the proje</w:t>
      </w:r>
      <w:r w:rsidR="00627375">
        <w:rPr>
          <w:rFonts w:asciiTheme="minorHAnsi" w:hAnsiTheme="minorHAnsi" w:cstheme="minorHAnsi"/>
        </w:rPr>
        <w:t>ct as per the Grant A</w:t>
      </w:r>
      <w:r w:rsidR="00627375" w:rsidRPr="00310249">
        <w:rPr>
          <w:rFonts w:asciiTheme="minorHAnsi" w:hAnsiTheme="minorHAnsi" w:cstheme="minorHAnsi"/>
        </w:rPr>
        <w:t xml:space="preserve">greement, such as: </w:t>
      </w:r>
    </w:p>
    <w:p w14:paraId="06584170" w14:textId="77777777" w:rsidR="00627375" w:rsidRPr="00310249" w:rsidRDefault="00627375" w:rsidP="00EC3661">
      <w:pPr>
        <w:numPr>
          <w:ilvl w:val="1"/>
          <w:numId w:val="21"/>
        </w:numPr>
        <w:suppressAutoHyphens w:val="0"/>
        <w:spacing w:before="0" w:after="120" w:line="276" w:lineRule="auto"/>
        <w:rPr>
          <w:rFonts w:cstheme="minorHAnsi"/>
          <w:iCs/>
        </w:rPr>
      </w:pPr>
      <w:r w:rsidRPr="00310249">
        <w:rPr>
          <w:rFonts w:cstheme="minorHAnsi"/>
          <w:iCs/>
        </w:rPr>
        <w:t>telephones;</w:t>
      </w:r>
    </w:p>
    <w:p w14:paraId="02D31D5D" w14:textId="77777777" w:rsidR="00627375" w:rsidRPr="00310249" w:rsidRDefault="00627375" w:rsidP="00EC3661">
      <w:pPr>
        <w:numPr>
          <w:ilvl w:val="1"/>
          <w:numId w:val="21"/>
        </w:numPr>
        <w:suppressAutoHyphens w:val="0"/>
        <w:spacing w:before="0" w:after="120" w:line="276" w:lineRule="auto"/>
        <w:rPr>
          <w:rFonts w:cstheme="minorHAnsi"/>
          <w:iCs/>
        </w:rPr>
      </w:pPr>
      <w:r w:rsidRPr="00310249">
        <w:rPr>
          <w:rFonts w:cstheme="minorHAnsi"/>
          <w:iCs/>
        </w:rPr>
        <w:t>computer/ IT/website/software;</w:t>
      </w:r>
    </w:p>
    <w:p w14:paraId="781A2AAF" w14:textId="77777777" w:rsidR="00627375" w:rsidRPr="00310249" w:rsidRDefault="00627375" w:rsidP="00EC3661">
      <w:pPr>
        <w:numPr>
          <w:ilvl w:val="1"/>
          <w:numId w:val="21"/>
        </w:numPr>
        <w:suppressAutoHyphens w:val="0"/>
        <w:spacing w:before="0" w:after="120" w:line="276" w:lineRule="auto"/>
        <w:rPr>
          <w:rFonts w:cstheme="minorHAnsi"/>
          <w:iCs/>
        </w:rPr>
      </w:pPr>
      <w:r w:rsidRPr="00310249">
        <w:rPr>
          <w:rFonts w:cstheme="minorHAnsi"/>
          <w:iCs/>
        </w:rPr>
        <w:t>insurance;</w:t>
      </w:r>
    </w:p>
    <w:p w14:paraId="1EE47ABB" w14:textId="77777777" w:rsidR="00627375" w:rsidRPr="00310249" w:rsidRDefault="00627375" w:rsidP="00EC3661">
      <w:pPr>
        <w:numPr>
          <w:ilvl w:val="1"/>
          <w:numId w:val="21"/>
        </w:numPr>
        <w:suppressAutoHyphens w:val="0"/>
        <w:spacing w:before="0" w:after="120" w:line="276" w:lineRule="auto"/>
        <w:rPr>
          <w:rFonts w:cstheme="minorHAnsi"/>
          <w:iCs/>
        </w:rPr>
      </w:pPr>
      <w:r w:rsidRPr="00310249">
        <w:rPr>
          <w:rFonts w:cstheme="minorHAnsi"/>
          <w:iCs/>
        </w:rPr>
        <w:t>utilities;</w:t>
      </w:r>
    </w:p>
    <w:p w14:paraId="3E452BC7" w14:textId="77777777" w:rsidR="00627375" w:rsidRPr="00310249" w:rsidRDefault="00627375" w:rsidP="00EC3661">
      <w:pPr>
        <w:numPr>
          <w:ilvl w:val="1"/>
          <w:numId w:val="21"/>
        </w:numPr>
        <w:suppressAutoHyphens w:val="0"/>
        <w:spacing w:before="0" w:after="120" w:line="276" w:lineRule="auto"/>
        <w:rPr>
          <w:rFonts w:cstheme="minorHAnsi"/>
          <w:iCs/>
        </w:rPr>
      </w:pPr>
      <w:r w:rsidRPr="00310249">
        <w:rPr>
          <w:rFonts w:cstheme="minorHAnsi"/>
          <w:iCs/>
        </w:rPr>
        <w:t>postage;</w:t>
      </w:r>
    </w:p>
    <w:p w14:paraId="7EAD54F2" w14:textId="77777777" w:rsidR="00627375" w:rsidRPr="00310249" w:rsidRDefault="00627375" w:rsidP="00EC3661">
      <w:pPr>
        <w:numPr>
          <w:ilvl w:val="1"/>
          <w:numId w:val="21"/>
        </w:numPr>
        <w:suppressAutoHyphens w:val="0"/>
        <w:spacing w:before="0" w:after="120" w:line="276" w:lineRule="auto"/>
        <w:rPr>
          <w:rFonts w:cstheme="minorHAnsi"/>
          <w:iCs/>
        </w:rPr>
      </w:pPr>
      <w:r w:rsidRPr="00310249">
        <w:rPr>
          <w:rFonts w:cstheme="minorHAnsi"/>
          <w:iCs/>
        </w:rPr>
        <w:t>stationery and printing;</w:t>
      </w:r>
    </w:p>
    <w:p w14:paraId="5AA0B815" w14:textId="77777777" w:rsidR="00627375" w:rsidRPr="00310249" w:rsidRDefault="00627375" w:rsidP="00EC3661">
      <w:pPr>
        <w:numPr>
          <w:ilvl w:val="1"/>
          <w:numId w:val="21"/>
        </w:numPr>
        <w:suppressAutoHyphens w:val="0"/>
        <w:spacing w:before="0" w:after="120" w:line="276" w:lineRule="auto"/>
        <w:rPr>
          <w:rFonts w:cstheme="minorHAnsi"/>
          <w:iCs/>
        </w:rPr>
      </w:pPr>
      <w:r w:rsidRPr="00310249">
        <w:rPr>
          <w:rFonts w:cstheme="minorHAnsi"/>
          <w:iCs/>
        </w:rPr>
        <w:lastRenderedPageBreak/>
        <w:t>accounting and auditing;</w:t>
      </w:r>
    </w:p>
    <w:p w14:paraId="62C2D452" w14:textId="77777777" w:rsidR="00627375" w:rsidRPr="00310249" w:rsidRDefault="00627375" w:rsidP="00EC3661">
      <w:pPr>
        <w:numPr>
          <w:ilvl w:val="1"/>
          <w:numId w:val="21"/>
        </w:numPr>
        <w:suppressAutoHyphens w:val="0"/>
        <w:spacing w:before="0" w:after="120" w:line="276" w:lineRule="auto"/>
        <w:rPr>
          <w:rFonts w:cstheme="minorHAnsi"/>
          <w:iCs/>
        </w:rPr>
      </w:pPr>
      <w:r w:rsidRPr="00310249">
        <w:rPr>
          <w:rFonts w:cstheme="minorHAnsi"/>
          <w:iCs/>
        </w:rPr>
        <w:t>travel/accommodation costs; and</w:t>
      </w:r>
      <w:r w:rsidR="00312B9C">
        <w:rPr>
          <w:rFonts w:cstheme="minorHAnsi"/>
          <w:iCs/>
        </w:rPr>
        <w:t>/or</w:t>
      </w:r>
    </w:p>
    <w:p w14:paraId="67582DB2" w14:textId="77777777" w:rsidR="00627375" w:rsidRDefault="00627375" w:rsidP="00EC3661">
      <w:pPr>
        <w:numPr>
          <w:ilvl w:val="1"/>
          <w:numId w:val="21"/>
        </w:numPr>
        <w:suppressAutoHyphens w:val="0"/>
        <w:spacing w:before="0" w:after="120" w:line="276" w:lineRule="auto"/>
        <w:ind w:left="1434" w:hanging="357"/>
        <w:rPr>
          <w:rFonts w:cstheme="minorHAnsi"/>
          <w:iCs/>
        </w:rPr>
      </w:pPr>
      <w:r w:rsidRPr="00310249">
        <w:rPr>
          <w:rFonts w:cstheme="minorHAnsi"/>
          <w:iCs/>
        </w:rPr>
        <w:t xml:space="preserve">assets as defined in the </w:t>
      </w:r>
      <w:r>
        <w:rPr>
          <w:rFonts w:cstheme="minorHAnsi"/>
          <w:iCs/>
        </w:rPr>
        <w:t>Grant Agreement t</w:t>
      </w:r>
      <w:r w:rsidRPr="00310249">
        <w:rPr>
          <w:rFonts w:cstheme="minorHAnsi"/>
          <w:iCs/>
        </w:rPr>
        <w:t xml:space="preserve">erms and </w:t>
      </w:r>
      <w:r>
        <w:rPr>
          <w:rFonts w:cstheme="minorHAnsi"/>
          <w:iCs/>
        </w:rPr>
        <w:t>c</w:t>
      </w:r>
      <w:r w:rsidRPr="00310249">
        <w:rPr>
          <w:rFonts w:cstheme="minorHAnsi"/>
          <w:iCs/>
        </w:rPr>
        <w:t>onditions that can be reasonably attributed to meeting agreement deliverables, and</w:t>
      </w:r>
    </w:p>
    <w:p w14:paraId="3CDDF2AF" w14:textId="77777777" w:rsidR="00627375" w:rsidRPr="00310249" w:rsidRDefault="00627375" w:rsidP="00EC3661">
      <w:pPr>
        <w:pStyle w:val="ListParagraph"/>
        <w:numPr>
          <w:ilvl w:val="0"/>
          <w:numId w:val="20"/>
        </w:numPr>
        <w:spacing w:after="120"/>
        <w:ind w:left="714" w:hanging="357"/>
        <w:rPr>
          <w:rFonts w:asciiTheme="minorHAnsi" w:hAnsiTheme="minorHAnsi" w:cstheme="minorHAnsi"/>
        </w:rPr>
      </w:pPr>
      <w:r w:rsidRPr="00310249">
        <w:rPr>
          <w:rFonts w:asciiTheme="minorHAnsi" w:hAnsiTheme="minorHAnsi" w:cstheme="minorHAnsi"/>
        </w:rPr>
        <w:t>A proportion of the grant funding can be used for evaluation of the funded project to demonstrate delivery of outcomes.</w:t>
      </w:r>
    </w:p>
    <w:p w14:paraId="29B4086E" w14:textId="0CBD0DC0" w:rsidR="00340616" w:rsidRPr="000A271A" w:rsidRDefault="00B51177" w:rsidP="00550340">
      <w:pPr>
        <w:spacing w:after="120" w:line="276" w:lineRule="auto"/>
        <w:rPr>
          <w:rFonts w:cstheme="minorHAnsi"/>
          <w:highlight w:val="cyan"/>
        </w:rPr>
      </w:pPr>
      <w:r>
        <w:rPr>
          <w:rFonts w:cstheme="minorHAnsi"/>
        </w:rPr>
        <w:t>Successful applicants</w:t>
      </w:r>
      <w:r w:rsidR="00340616" w:rsidRPr="000A271A">
        <w:rPr>
          <w:rFonts w:cstheme="minorHAnsi"/>
        </w:rPr>
        <w:t xml:space="preserve"> can only spend grant funds on eligible grant activities as defi</w:t>
      </w:r>
      <w:r>
        <w:rPr>
          <w:rFonts w:cstheme="minorHAnsi"/>
        </w:rPr>
        <w:t>ned in the grant details in their</w:t>
      </w:r>
      <w:r w:rsidR="00340616" w:rsidRPr="000A271A">
        <w:rPr>
          <w:rFonts w:cstheme="minorHAnsi"/>
        </w:rPr>
        <w:t xml:space="preserve"> </w:t>
      </w:r>
      <w:r w:rsidR="001D5020">
        <w:rPr>
          <w:rFonts w:cstheme="minorHAnsi"/>
        </w:rPr>
        <w:t>G</w:t>
      </w:r>
      <w:r w:rsidR="00340616" w:rsidRPr="000A271A">
        <w:rPr>
          <w:rFonts w:cstheme="minorHAnsi"/>
        </w:rPr>
        <w:t xml:space="preserve">rant </w:t>
      </w:r>
      <w:r w:rsidR="004563ED">
        <w:rPr>
          <w:rFonts w:cstheme="minorHAnsi"/>
        </w:rPr>
        <w:t>A</w:t>
      </w:r>
      <w:r w:rsidR="00340616" w:rsidRPr="000A271A">
        <w:rPr>
          <w:rFonts w:cstheme="minorHAnsi"/>
        </w:rPr>
        <w:t xml:space="preserve">greement. </w:t>
      </w:r>
    </w:p>
    <w:p w14:paraId="7AB42A2A" w14:textId="77777777" w:rsidR="00340616" w:rsidRPr="00B72EE8" w:rsidRDefault="004049B0" w:rsidP="00CC3C8E">
      <w:pPr>
        <w:pStyle w:val="Heading2Numbered"/>
        <w:spacing w:line="276" w:lineRule="auto"/>
        <w:contextualSpacing w:val="0"/>
      </w:pPr>
      <w:bookmarkStart w:id="42" w:name="_Toc467773961"/>
      <w:bookmarkStart w:id="43" w:name="_Toc531005184"/>
      <w:r>
        <w:t>4.4</w:t>
      </w:r>
      <w:r w:rsidR="00F64AC7">
        <w:t xml:space="preserve"> </w:t>
      </w:r>
      <w:r w:rsidR="00340616" w:rsidRPr="00B72EE8">
        <w:t xml:space="preserve">What </w:t>
      </w:r>
      <w:r w:rsidR="00340616">
        <w:t>the grant money cannot be used for</w:t>
      </w:r>
      <w:bookmarkEnd w:id="42"/>
      <w:bookmarkEnd w:id="43"/>
    </w:p>
    <w:p w14:paraId="6CC29507" w14:textId="77777777" w:rsidR="00167E4E" w:rsidRDefault="005A0062" w:rsidP="00550340">
      <w:pPr>
        <w:spacing w:before="0" w:line="276" w:lineRule="auto"/>
        <w:rPr>
          <w:rFonts w:ascii="Arial" w:eastAsia="Times New Roman" w:hAnsi="Arial" w:cs="Arial"/>
        </w:rPr>
      </w:pPr>
      <w:r>
        <w:rPr>
          <w:rFonts w:ascii="Arial" w:eastAsia="Times New Roman" w:hAnsi="Arial" w:cs="Arial"/>
        </w:rPr>
        <w:t xml:space="preserve">Applicants </w:t>
      </w:r>
      <w:r w:rsidR="00167E4E">
        <w:rPr>
          <w:rFonts w:ascii="Arial" w:eastAsia="Times New Roman" w:hAnsi="Arial" w:cs="Arial"/>
        </w:rPr>
        <w:t xml:space="preserve">cannot direct the ILC grant funding towards: </w:t>
      </w:r>
    </w:p>
    <w:p w14:paraId="7FDC0C79" w14:textId="77777777" w:rsidR="00167E4E" w:rsidRDefault="00341A4F" w:rsidP="00CC3C8E">
      <w:pPr>
        <w:pStyle w:val="Bullet1"/>
        <w:spacing w:before="0" w:after="120" w:line="276" w:lineRule="auto"/>
      </w:pPr>
      <w:r>
        <w:t xml:space="preserve">Costs </w:t>
      </w:r>
      <w:r w:rsidR="004049B0">
        <w:t xml:space="preserve">incurred from </w:t>
      </w:r>
      <w:r w:rsidR="00167E4E">
        <w:t>activities delivered prior to the ILC funding being approved</w:t>
      </w:r>
      <w:r w:rsidR="004049B0">
        <w:t xml:space="preserve"> (retrospective costs)</w:t>
      </w:r>
      <w:r w:rsidR="00A23BD4">
        <w:t>;</w:t>
      </w:r>
    </w:p>
    <w:p w14:paraId="37D7838E" w14:textId="77777777" w:rsidR="004049B0" w:rsidRDefault="00341A4F" w:rsidP="00CC3C8E">
      <w:pPr>
        <w:pStyle w:val="Bullet1"/>
        <w:spacing w:before="0" w:after="120" w:line="276" w:lineRule="auto"/>
      </w:pPr>
      <w:r>
        <w:t>C</w:t>
      </w:r>
      <w:r w:rsidRPr="000A271A">
        <w:t xml:space="preserve">osts </w:t>
      </w:r>
      <w:r w:rsidR="004049B0" w:rsidRPr="000A271A">
        <w:t>incurred in the preparation of a grant applic</w:t>
      </w:r>
      <w:r w:rsidR="004049B0">
        <w:t>ation or related documentation</w:t>
      </w:r>
      <w:r w:rsidR="00A23BD4">
        <w:t>;</w:t>
      </w:r>
    </w:p>
    <w:p w14:paraId="61DEB354" w14:textId="77777777" w:rsidR="004049B0" w:rsidRPr="000A271A" w:rsidRDefault="00341A4F" w:rsidP="00CC3C8E">
      <w:pPr>
        <w:pStyle w:val="Bullet1"/>
        <w:spacing w:before="0" w:after="120" w:line="276" w:lineRule="auto"/>
      </w:pPr>
      <w:r>
        <w:t xml:space="preserve">Costs </w:t>
      </w:r>
      <w:r w:rsidR="00167E4E">
        <w:t xml:space="preserve">that </w:t>
      </w:r>
      <w:r w:rsidR="00B51177">
        <w:t>the</w:t>
      </w:r>
      <w:r w:rsidR="00167E4E">
        <w:t xml:space="preserve"> organi</w:t>
      </w:r>
      <w:r w:rsidR="004049B0">
        <w:t>sation would usually fund (e.g.</w:t>
      </w:r>
      <w:r w:rsidR="00BB5B57">
        <w:t xml:space="preserve"> </w:t>
      </w:r>
      <w:r w:rsidR="004049B0" w:rsidRPr="000A271A">
        <w:t>general ongoing administration of an organisation such</w:t>
      </w:r>
      <w:r w:rsidR="004049B0">
        <w:t xml:space="preserve"> as electricity, rent)</w:t>
      </w:r>
      <w:r w:rsidR="00A23BD4">
        <w:t>;</w:t>
      </w:r>
    </w:p>
    <w:p w14:paraId="37928811" w14:textId="129E6813" w:rsidR="00282960" w:rsidRPr="000A271A" w:rsidRDefault="00341A4F" w:rsidP="00CC3C8E">
      <w:pPr>
        <w:pStyle w:val="Bullet1"/>
        <w:spacing w:before="0" w:after="120" w:line="276" w:lineRule="auto"/>
      </w:pPr>
      <w:r>
        <w:t xml:space="preserve">The </w:t>
      </w:r>
      <w:r w:rsidR="00282960">
        <w:t xml:space="preserve">purchase of land, </w:t>
      </w:r>
      <w:r w:rsidR="00282960" w:rsidRPr="000A271A">
        <w:t>major capital expenditure</w:t>
      </w:r>
      <w:r w:rsidR="00282960">
        <w:t xml:space="preserve"> or </w:t>
      </w:r>
      <w:r w:rsidR="00282960" w:rsidRPr="000A271A">
        <w:t>major construction/capital works</w:t>
      </w:r>
      <w:r w:rsidR="00A23BD4">
        <w:t>;</w:t>
      </w:r>
    </w:p>
    <w:p w14:paraId="0B7AB2E5" w14:textId="77777777" w:rsidR="00282960" w:rsidRDefault="00341A4F" w:rsidP="00CC3C8E">
      <w:pPr>
        <w:pStyle w:val="Bullet1"/>
        <w:spacing w:before="0" w:after="120" w:line="276" w:lineRule="auto"/>
      </w:pPr>
      <w:r>
        <w:t>O</w:t>
      </w:r>
      <w:r w:rsidRPr="000A271A">
        <w:t xml:space="preserve">verseas </w:t>
      </w:r>
      <w:r w:rsidR="00282960" w:rsidRPr="000A271A">
        <w:t>travel</w:t>
      </w:r>
      <w:r w:rsidR="00A23BD4">
        <w:t>;</w:t>
      </w:r>
    </w:p>
    <w:p w14:paraId="7D2DAFF0" w14:textId="77777777" w:rsidR="0082288B" w:rsidRPr="000A271A" w:rsidRDefault="00341A4F" w:rsidP="00CC3C8E">
      <w:pPr>
        <w:pStyle w:val="Bullet1"/>
        <w:spacing w:before="0" w:after="120" w:line="276" w:lineRule="auto"/>
      </w:pPr>
      <w:r>
        <w:t xml:space="preserve">Activities </w:t>
      </w:r>
      <w:r w:rsidR="0082288B">
        <w:t>subsequently funded</w:t>
      </w:r>
      <w:r w:rsidR="0082288B" w:rsidRPr="000A271A">
        <w:t xml:space="preserve"> from another </w:t>
      </w:r>
      <w:r w:rsidR="0082288B">
        <w:t xml:space="preserve">funding </w:t>
      </w:r>
      <w:r w:rsidR="0082288B" w:rsidRPr="000A271A">
        <w:t>source for the same purpose</w:t>
      </w:r>
      <w:r w:rsidR="00A23BD4">
        <w:t>;</w:t>
      </w:r>
    </w:p>
    <w:p w14:paraId="5CC38598" w14:textId="77777777" w:rsidR="00282960" w:rsidRDefault="00341A4F" w:rsidP="00CC3C8E">
      <w:pPr>
        <w:pStyle w:val="Bullet1"/>
        <w:spacing w:before="0" w:after="120" w:line="276" w:lineRule="auto"/>
      </w:pPr>
      <w:r>
        <w:t xml:space="preserve">Activities </w:t>
      </w:r>
      <w:r w:rsidR="0082288B">
        <w:t>that are the role of peak body activities such as</w:t>
      </w:r>
      <w:r w:rsidR="00167E4E" w:rsidRPr="00FE6DAE">
        <w:t xml:space="preserve"> </w:t>
      </w:r>
      <w:r w:rsidR="00164EE7">
        <w:t>policy advice,</w:t>
      </w:r>
      <w:r w:rsidR="00167E4E" w:rsidRPr="00FE6DAE">
        <w:t xml:space="preserve"> </w:t>
      </w:r>
      <w:r w:rsidR="0082288B">
        <w:t xml:space="preserve">advocacy, </w:t>
      </w:r>
      <w:r w:rsidR="00167E4E" w:rsidRPr="00FE6DAE">
        <w:t xml:space="preserve">research or </w:t>
      </w:r>
      <w:r w:rsidR="00164EE7">
        <w:t>diagnosis</w:t>
      </w:r>
      <w:r w:rsidR="00A23BD4">
        <w:t>;</w:t>
      </w:r>
    </w:p>
    <w:p w14:paraId="53E8F85A" w14:textId="77777777" w:rsidR="0082288B" w:rsidRDefault="00341A4F" w:rsidP="00CC3C8E">
      <w:pPr>
        <w:pStyle w:val="Bullet1"/>
        <w:spacing w:after="120" w:line="276" w:lineRule="auto"/>
      </w:pPr>
      <w:r>
        <w:t xml:space="preserve">Activities </w:t>
      </w:r>
      <w:r w:rsidR="0082288B" w:rsidRPr="00310249">
        <w:t>that provide individual legal representation or systemic advocacy</w:t>
      </w:r>
      <w:r w:rsidR="00A23BD4">
        <w:t>;</w:t>
      </w:r>
    </w:p>
    <w:p w14:paraId="2B8C7042" w14:textId="77777777" w:rsidR="0082288B" w:rsidRDefault="0082288B" w:rsidP="00CC3C8E">
      <w:pPr>
        <w:pStyle w:val="Bullet2"/>
        <w:spacing w:before="0" w:after="120" w:line="276" w:lineRule="auto"/>
        <w:ind w:left="851"/>
      </w:pPr>
      <w:r>
        <w:t>Systemic advocacy typically builds upon the outcomes of research, inquiries and reviews and seeks to improve understanding of an issue and initiate change for a group of people. Individual advocacy is when someone advocates on behalf of someone else. Both activity types are not eligible for funding in this grant round.</w:t>
      </w:r>
    </w:p>
    <w:p w14:paraId="45BB6C78" w14:textId="77777777" w:rsidR="0082288B" w:rsidRDefault="00E4742A" w:rsidP="00CC3C8E">
      <w:pPr>
        <w:pStyle w:val="Bullet2"/>
        <w:spacing w:after="120" w:line="276" w:lineRule="auto"/>
      </w:pPr>
      <w:r>
        <w:t>S</w:t>
      </w:r>
      <w:r w:rsidR="0082288B">
        <w:t>elf-advocacy</w:t>
      </w:r>
      <w:r w:rsidR="004C5106">
        <w:t xml:space="preserve"> type activities </w:t>
      </w:r>
      <w:r w:rsidR="0082288B" w:rsidRPr="00550340">
        <w:rPr>
          <w:u w:val="single"/>
        </w:rPr>
        <w:t>can be</w:t>
      </w:r>
      <w:r w:rsidR="0082288B">
        <w:t xml:space="preserve"> funded through this grant round</w:t>
      </w:r>
      <w:r w:rsidR="00F8430E">
        <w:t xml:space="preserve"> (is referred to as ‘speaking up’ in Section 4.2)</w:t>
      </w:r>
      <w:r>
        <w:t>, as it</w:t>
      </w:r>
      <w:r w:rsidR="0082288B">
        <w:t xml:space="preserve"> involves supporting people with disability to increase their capacity to exercise their rights by helping them build their capacity to voice their concerns, access information, resolve issues and identify available support options. </w:t>
      </w:r>
    </w:p>
    <w:p w14:paraId="423CFEED" w14:textId="77777777" w:rsidR="000562A2" w:rsidRDefault="00341A4F" w:rsidP="00CC3C8E">
      <w:pPr>
        <w:pStyle w:val="Bullet1"/>
        <w:spacing w:after="120" w:line="276" w:lineRule="auto"/>
      </w:pPr>
      <w:r>
        <w:t xml:space="preserve">Activities </w:t>
      </w:r>
      <w:r w:rsidR="000562A2">
        <w:t>and supports</w:t>
      </w:r>
      <w:r w:rsidR="00164EE7">
        <w:t xml:space="preserve"> that would be</w:t>
      </w:r>
      <w:r w:rsidR="00E62579">
        <w:t xml:space="preserve"> deemed reasonable and necessary for participants and</w:t>
      </w:r>
      <w:r w:rsidR="00164EE7">
        <w:t xml:space="preserve"> funded under an NDIS</w:t>
      </w:r>
      <w:r w:rsidR="00282960">
        <w:t xml:space="preserve"> Plan. </w:t>
      </w:r>
      <w:r w:rsidR="00282960" w:rsidRPr="000D2479">
        <w:rPr>
          <w:rFonts w:cstheme="minorHAnsi"/>
        </w:rPr>
        <w:t>Funds may not be provided directly to individuals.</w:t>
      </w:r>
    </w:p>
    <w:p w14:paraId="390CA0F1" w14:textId="77777777" w:rsidR="00282960" w:rsidRPr="00310249" w:rsidRDefault="00341A4F" w:rsidP="00550340">
      <w:pPr>
        <w:pStyle w:val="Bullet1"/>
        <w:spacing w:line="276" w:lineRule="auto"/>
      </w:pPr>
      <w:r>
        <w:t xml:space="preserve">Activities </w:t>
      </w:r>
      <w:r w:rsidR="00282960">
        <w:t>that</w:t>
      </w:r>
      <w:r w:rsidR="00282960" w:rsidRPr="00310249">
        <w:t xml:space="preserve"> other Commonwealth, state, territory or local government bodies have responsibility for ensuring access and inclusion of people with disability. For example:</w:t>
      </w:r>
    </w:p>
    <w:p w14:paraId="34870509" w14:textId="77777777" w:rsidR="00282960" w:rsidRPr="00310249" w:rsidRDefault="00282960" w:rsidP="00EC3661">
      <w:pPr>
        <w:pStyle w:val="Bullet2"/>
        <w:numPr>
          <w:ilvl w:val="1"/>
          <w:numId w:val="32"/>
        </w:numPr>
        <w:spacing w:before="0" w:after="120" w:line="276" w:lineRule="auto"/>
        <w:ind w:left="851"/>
      </w:pPr>
      <w:r w:rsidRPr="00310249">
        <w:lastRenderedPageBreak/>
        <w:t>Education – ILC grants cannot be used to pay for the cost of teachers or childcare workers to undertake disability inclusion training;</w:t>
      </w:r>
    </w:p>
    <w:p w14:paraId="3AD8E8AF" w14:textId="77777777" w:rsidR="00282960" w:rsidRPr="00310249" w:rsidRDefault="00282960" w:rsidP="00EC3661">
      <w:pPr>
        <w:pStyle w:val="Bullet2"/>
        <w:numPr>
          <w:ilvl w:val="1"/>
          <w:numId w:val="32"/>
        </w:numPr>
        <w:spacing w:after="120" w:line="276" w:lineRule="auto"/>
      </w:pPr>
      <w:r w:rsidRPr="00310249">
        <w:t>Transport – ILC grants cannot be used to fund capital works to make a transport facility more accessible;</w:t>
      </w:r>
    </w:p>
    <w:p w14:paraId="2E63672E" w14:textId="77777777" w:rsidR="00282960" w:rsidRPr="00310249" w:rsidRDefault="00282960" w:rsidP="00EC3661">
      <w:pPr>
        <w:pStyle w:val="Bullet2"/>
        <w:numPr>
          <w:ilvl w:val="1"/>
          <w:numId w:val="32"/>
        </w:numPr>
        <w:spacing w:after="120" w:line="276" w:lineRule="auto"/>
      </w:pPr>
      <w:r w:rsidRPr="00310249">
        <w:t>Health – ILC grants cannot be used to pay for the cost of health professionals to undertake disability inclusion training; and</w:t>
      </w:r>
    </w:p>
    <w:p w14:paraId="367A0EE0" w14:textId="77777777" w:rsidR="00282960" w:rsidRPr="00310249" w:rsidRDefault="00282960" w:rsidP="00EC3661">
      <w:pPr>
        <w:pStyle w:val="Bullet2"/>
        <w:numPr>
          <w:ilvl w:val="1"/>
          <w:numId w:val="32"/>
        </w:numPr>
        <w:spacing w:after="120" w:line="276" w:lineRule="auto"/>
      </w:pPr>
      <w:r w:rsidRPr="00310249">
        <w:t xml:space="preserve">Employment – ILC grants cannot be used to fund activities that are the responsibility of the </w:t>
      </w:r>
      <w:r>
        <w:t>Disability Employment Services’</w:t>
      </w:r>
      <w:r w:rsidRPr="00310249">
        <w:t xml:space="preserve"> ‘Employment Assistance Fund’ which provides financial support for work-related equipment, modifications and services to adjust the workplace to suit employees with disability.</w:t>
      </w:r>
    </w:p>
    <w:p w14:paraId="039985F0" w14:textId="77777777" w:rsidR="00282960" w:rsidRDefault="00341A4F" w:rsidP="00CC3C8E">
      <w:pPr>
        <w:pStyle w:val="Bullet1"/>
        <w:spacing w:after="120" w:line="276" w:lineRule="auto"/>
      </w:pPr>
      <w:r>
        <w:t xml:space="preserve">Activities </w:t>
      </w:r>
      <w:r w:rsidR="0082288B">
        <w:t xml:space="preserve">to fulfil </w:t>
      </w:r>
      <w:r w:rsidR="00BB5B57">
        <w:t xml:space="preserve">the obligations of </w:t>
      </w:r>
      <w:r w:rsidR="00B51177">
        <w:t>the</w:t>
      </w:r>
      <w:r w:rsidR="00BB5B57">
        <w:t xml:space="preserve"> organisation under the disability discrimination legislation to be accessible, inclusive and meet the needs of people with disability, such as a reasonable adjustment </w:t>
      </w:r>
      <w:r w:rsidR="00BB5B57" w:rsidRPr="00310249">
        <w:t xml:space="preserve">under the </w:t>
      </w:r>
      <w:r w:rsidR="00BB5B57" w:rsidRPr="00310249">
        <w:rPr>
          <w:i/>
        </w:rPr>
        <w:t>Disability Discrimination Act 1992</w:t>
      </w:r>
      <w:r w:rsidR="00312B9C">
        <w:t xml:space="preserve"> (</w:t>
      </w:r>
      <w:proofErr w:type="spellStart"/>
      <w:r w:rsidR="00312B9C">
        <w:t>Cth</w:t>
      </w:r>
      <w:proofErr w:type="spellEnd"/>
      <w:r w:rsidR="00312B9C">
        <w:t>)</w:t>
      </w:r>
      <w:r w:rsidR="006962DE">
        <w:t xml:space="preserve"> (e.g. general inclusion or disability awareness training for staff)</w:t>
      </w:r>
      <w:r w:rsidR="00312B9C">
        <w:t>;</w:t>
      </w:r>
    </w:p>
    <w:p w14:paraId="33B40481" w14:textId="77777777" w:rsidR="0082288B" w:rsidRDefault="00341A4F" w:rsidP="00CC3C8E">
      <w:pPr>
        <w:pStyle w:val="Bullet1"/>
        <w:spacing w:after="120" w:line="276" w:lineRule="auto"/>
      </w:pPr>
      <w:r>
        <w:t xml:space="preserve">Activities </w:t>
      </w:r>
      <w:r w:rsidR="00C82998">
        <w:t xml:space="preserve">that </w:t>
      </w:r>
      <w:r w:rsidR="00BB5B57">
        <w:t>could be more appropriately</w:t>
      </w:r>
      <w:r w:rsidR="00282960" w:rsidRPr="000D2479">
        <w:t xml:space="preserve"> provided by other mechanisms or support</w:t>
      </w:r>
      <w:r w:rsidR="00282960" w:rsidRPr="00310249">
        <w:t xml:space="preserve"> services such as “reasonable adjustment” under the </w:t>
      </w:r>
      <w:r w:rsidR="00282960" w:rsidRPr="00310249">
        <w:rPr>
          <w:i/>
        </w:rPr>
        <w:t>Disability Discrimination Act 1992</w:t>
      </w:r>
      <w:r w:rsidR="00282960" w:rsidRPr="00310249">
        <w:t xml:space="preserve"> (</w:t>
      </w:r>
      <w:proofErr w:type="spellStart"/>
      <w:r w:rsidR="00282960" w:rsidRPr="00310249">
        <w:t>Cth</w:t>
      </w:r>
      <w:proofErr w:type="spellEnd"/>
      <w:r w:rsidR="00282960" w:rsidRPr="00310249">
        <w:t>)</w:t>
      </w:r>
      <w:r w:rsidR="00312B9C">
        <w:t>;</w:t>
      </w:r>
      <w:r w:rsidR="0082288B" w:rsidRPr="0082288B">
        <w:t xml:space="preserve"> </w:t>
      </w:r>
    </w:p>
    <w:p w14:paraId="1C1DAB2C" w14:textId="77777777" w:rsidR="0088785B" w:rsidRPr="0082288B" w:rsidRDefault="00341A4F" w:rsidP="00CC3C8E">
      <w:pPr>
        <w:pStyle w:val="Bullet1"/>
        <w:spacing w:after="120" w:line="276" w:lineRule="auto"/>
      </w:pPr>
      <w:r>
        <w:t>A</w:t>
      </w:r>
      <w:r w:rsidRPr="0082288B">
        <w:t xml:space="preserve">ctivities </w:t>
      </w:r>
      <w:r w:rsidR="0088785B" w:rsidRPr="0082288B">
        <w:t>that are considered by the NDIA as being eligible for funding support through a mor</w:t>
      </w:r>
      <w:r w:rsidR="00B2495B">
        <w:t>e appropriate source</w:t>
      </w:r>
      <w:r w:rsidR="008B212B">
        <w:t>;</w:t>
      </w:r>
    </w:p>
    <w:p w14:paraId="393C7673" w14:textId="77777777" w:rsidR="0082288B" w:rsidRDefault="00341A4F" w:rsidP="00550340">
      <w:pPr>
        <w:pStyle w:val="Bullet1"/>
        <w:spacing w:line="276" w:lineRule="auto"/>
      </w:pPr>
      <w:r>
        <w:t>A</w:t>
      </w:r>
      <w:r w:rsidRPr="0082288B">
        <w:t xml:space="preserve">ctivities </w:t>
      </w:r>
      <w:r w:rsidR="00BB5B57" w:rsidRPr="0082288B">
        <w:t xml:space="preserve">that </w:t>
      </w:r>
      <w:r w:rsidR="0088785B" w:rsidRPr="0082288B">
        <w:t xml:space="preserve">duplicate </w:t>
      </w:r>
      <w:r w:rsidR="00B2495B">
        <w:t>previous</w:t>
      </w:r>
      <w:r w:rsidR="004C5106">
        <w:t xml:space="preserve"> ILC g</w:t>
      </w:r>
      <w:r w:rsidR="0088785B" w:rsidRPr="0082288B">
        <w:t>rant</w:t>
      </w:r>
      <w:r w:rsidR="0082288B" w:rsidRPr="0082288B">
        <w:t xml:space="preserve"> funded projects</w:t>
      </w:r>
      <w:r w:rsidR="008B212B">
        <w:t>;</w:t>
      </w:r>
      <w:r w:rsidR="0088785B" w:rsidRPr="0082288B">
        <w:t xml:space="preserve"> </w:t>
      </w:r>
    </w:p>
    <w:p w14:paraId="5F98EDD8" w14:textId="77777777" w:rsidR="0088785B" w:rsidRPr="0082288B" w:rsidRDefault="0088785B" w:rsidP="00EC3661">
      <w:pPr>
        <w:pStyle w:val="Bullet2"/>
        <w:numPr>
          <w:ilvl w:val="1"/>
          <w:numId w:val="32"/>
        </w:numPr>
        <w:spacing w:before="0" w:after="120" w:line="276" w:lineRule="auto"/>
        <w:ind w:left="851"/>
      </w:pPr>
      <w:r w:rsidRPr="0082288B">
        <w:t xml:space="preserve">Where an application is seeking funds to continue delivery of a project previously funded through an </w:t>
      </w:r>
      <w:hyperlink r:id="rId15" w:history="1">
        <w:r w:rsidR="004C5106">
          <w:t>ILC grant r</w:t>
        </w:r>
        <w:r w:rsidRPr="0082288B">
          <w:t>ound</w:t>
        </w:r>
      </w:hyperlink>
      <w:r w:rsidRPr="0082288B">
        <w:t xml:space="preserve">, the </w:t>
      </w:r>
      <w:r w:rsidR="00D57101">
        <w:t>a</w:t>
      </w:r>
      <w:r w:rsidR="00D57101" w:rsidRPr="0082288B">
        <w:t xml:space="preserve">pplicant </w:t>
      </w:r>
      <w:r w:rsidRPr="0082288B">
        <w:t>must demonstrate that the need being addressed still exists</w:t>
      </w:r>
      <w:r w:rsidR="009277D3">
        <w:t>,</w:t>
      </w:r>
      <w:r w:rsidRPr="0082288B">
        <w:t xml:space="preserve"> and</w:t>
      </w:r>
      <w:r w:rsidR="009277D3">
        <w:t xml:space="preserve"> must explain</w:t>
      </w:r>
      <w:r w:rsidRPr="0082288B">
        <w:t xml:space="preserve"> how the continuation of the project will contribute to achievement of ILC outcomes</w:t>
      </w:r>
    </w:p>
    <w:p w14:paraId="08E97008" w14:textId="77777777" w:rsidR="0088785B" w:rsidRDefault="00341A4F" w:rsidP="00CC3C8E">
      <w:pPr>
        <w:pStyle w:val="Bullet1"/>
        <w:spacing w:after="120" w:line="276" w:lineRule="auto"/>
      </w:pPr>
      <w:r>
        <w:t xml:space="preserve">Activities </w:t>
      </w:r>
      <w:r w:rsidR="0088785B" w:rsidRPr="0082288B">
        <w:t xml:space="preserve">that duplicate </w:t>
      </w:r>
      <w:r w:rsidR="0082288B" w:rsidRPr="0082288B">
        <w:t xml:space="preserve">the </w:t>
      </w:r>
      <w:r w:rsidR="0082288B">
        <w:t xml:space="preserve">activities </w:t>
      </w:r>
      <w:r w:rsidR="00B2495B">
        <w:t>undertaken by</w:t>
      </w:r>
      <w:r w:rsidR="0082288B">
        <w:t xml:space="preserve"> </w:t>
      </w:r>
      <w:r w:rsidR="0088785B" w:rsidRPr="0082288B">
        <w:t>NDIS Partners in the Community (Local Area Coordination and/or Early Childhood Early Intervention)</w:t>
      </w:r>
      <w:r w:rsidR="00005611" w:rsidRPr="00005611">
        <w:t xml:space="preserve"> </w:t>
      </w:r>
      <w:r w:rsidR="00005611">
        <w:t>organisations</w:t>
      </w:r>
      <w:r w:rsidR="004C5106">
        <w:t>.</w:t>
      </w:r>
    </w:p>
    <w:p w14:paraId="7E7BA058" w14:textId="77777777" w:rsidR="00340616" w:rsidRPr="00B72EE8" w:rsidRDefault="00F64AC7" w:rsidP="00CC3C8E">
      <w:pPr>
        <w:pStyle w:val="Heading1Numbered"/>
        <w:spacing w:before="720" w:line="276" w:lineRule="auto"/>
        <w:contextualSpacing w:val="0"/>
      </w:pPr>
      <w:bookmarkStart w:id="44" w:name="_Toc414983554"/>
      <w:bookmarkStart w:id="45" w:name="_Toc414983971"/>
      <w:bookmarkStart w:id="46" w:name="_Toc414984731"/>
      <w:bookmarkStart w:id="47" w:name="_Toc414984825"/>
      <w:bookmarkStart w:id="48" w:name="_Toc414984929"/>
      <w:bookmarkStart w:id="49" w:name="_Toc414985033"/>
      <w:bookmarkStart w:id="50" w:name="_Toc414985136"/>
      <w:bookmarkStart w:id="51" w:name="_Toc414985238"/>
      <w:bookmarkStart w:id="52" w:name="_Toc467773963"/>
      <w:bookmarkStart w:id="53" w:name="_Ref416444108"/>
      <w:bookmarkStart w:id="54" w:name="_Toc421777599"/>
      <w:bookmarkStart w:id="55" w:name="_Toc531005185"/>
      <w:bookmarkEnd w:id="44"/>
      <w:bookmarkEnd w:id="45"/>
      <w:bookmarkEnd w:id="46"/>
      <w:bookmarkEnd w:id="47"/>
      <w:bookmarkEnd w:id="48"/>
      <w:bookmarkEnd w:id="49"/>
      <w:bookmarkEnd w:id="50"/>
      <w:bookmarkEnd w:id="51"/>
      <w:r>
        <w:t xml:space="preserve">5. </w:t>
      </w:r>
      <w:r w:rsidR="00340616">
        <w:t>The grant s</w:t>
      </w:r>
      <w:r w:rsidR="00340616" w:rsidRPr="00B72EE8">
        <w:t xml:space="preserve">election </w:t>
      </w:r>
      <w:r w:rsidR="00340616">
        <w:t>p</w:t>
      </w:r>
      <w:r w:rsidR="00340616" w:rsidRPr="00B72EE8">
        <w:t>rocess</w:t>
      </w:r>
      <w:bookmarkEnd w:id="52"/>
      <w:bookmarkEnd w:id="55"/>
    </w:p>
    <w:p w14:paraId="67C34E12" w14:textId="77777777" w:rsidR="003C371F" w:rsidRPr="003C371F" w:rsidRDefault="00167E4E" w:rsidP="00CC3C8E">
      <w:pPr>
        <w:pStyle w:val="Heading2Numbered"/>
        <w:spacing w:line="276" w:lineRule="auto"/>
        <w:contextualSpacing w:val="0"/>
      </w:pPr>
      <w:bookmarkStart w:id="56" w:name="_Toc531005186"/>
      <w:r>
        <w:t>5.1 Selection processes s</w:t>
      </w:r>
      <w:r w:rsidR="003C371F">
        <w:t>ummary</w:t>
      </w:r>
      <w:bookmarkEnd w:id="56"/>
    </w:p>
    <w:p w14:paraId="35B3E32E" w14:textId="602F3C15" w:rsidR="007C34E6" w:rsidRDefault="007C34E6" w:rsidP="0021211D">
      <w:pPr>
        <w:spacing w:before="0" w:after="120" w:line="276" w:lineRule="auto"/>
        <w:rPr>
          <w:rFonts w:cstheme="minorHAnsi"/>
        </w:rPr>
      </w:pPr>
      <w:r w:rsidRPr="0047010D">
        <w:rPr>
          <w:rFonts w:cstheme="minorHAnsi"/>
        </w:rPr>
        <w:t xml:space="preserve">The Community Grants Hub will firstly assess </w:t>
      </w:r>
      <w:r>
        <w:rPr>
          <w:rFonts w:cstheme="minorHAnsi"/>
        </w:rPr>
        <w:t>each</w:t>
      </w:r>
      <w:r w:rsidRPr="0047010D">
        <w:rPr>
          <w:rFonts w:cstheme="minorHAnsi"/>
        </w:rPr>
        <w:t xml:space="preserve"> </w:t>
      </w:r>
      <w:r>
        <w:rPr>
          <w:rFonts w:cstheme="minorHAnsi"/>
        </w:rPr>
        <w:t>a</w:t>
      </w:r>
      <w:r w:rsidRPr="0047010D">
        <w:rPr>
          <w:rFonts w:cstheme="minorHAnsi"/>
        </w:rPr>
        <w:t>pplication against the Compliance and Eligibility Criteria</w:t>
      </w:r>
      <w:r>
        <w:rPr>
          <w:rFonts w:cstheme="minorHAnsi"/>
        </w:rPr>
        <w:t xml:space="preserve"> (see S</w:t>
      </w:r>
      <w:r w:rsidRPr="0047010D">
        <w:rPr>
          <w:rFonts w:cstheme="minorHAnsi"/>
        </w:rPr>
        <w:t xml:space="preserve">ection 5.2 and 5.3). Only eligible </w:t>
      </w:r>
      <w:r>
        <w:rPr>
          <w:rFonts w:cstheme="minorHAnsi"/>
        </w:rPr>
        <w:t>applications</w:t>
      </w:r>
      <w:r w:rsidRPr="0047010D">
        <w:rPr>
          <w:rFonts w:cstheme="minorHAnsi"/>
        </w:rPr>
        <w:t xml:space="preserve"> will </w:t>
      </w:r>
      <w:r>
        <w:rPr>
          <w:rFonts w:cstheme="minorHAnsi"/>
        </w:rPr>
        <w:t>progress</w:t>
      </w:r>
      <w:r w:rsidRPr="0047010D">
        <w:rPr>
          <w:rFonts w:cstheme="minorHAnsi"/>
        </w:rPr>
        <w:t xml:space="preserve"> to the next stage</w:t>
      </w:r>
      <w:r>
        <w:rPr>
          <w:rFonts w:cstheme="minorHAnsi"/>
        </w:rPr>
        <w:t xml:space="preserve"> of assessment</w:t>
      </w:r>
      <w:r w:rsidRPr="0047010D">
        <w:rPr>
          <w:rFonts w:cstheme="minorHAnsi"/>
        </w:rPr>
        <w:t xml:space="preserve">. </w:t>
      </w:r>
      <w:r>
        <w:rPr>
          <w:rFonts w:cstheme="minorHAnsi"/>
        </w:rPr>
        <w:t xml:space="preserve">Each application is then </w:t>
      </w:r>
      <w:r w:rsidRPr="00FA15EB">
        <w:rPr>
          <w:rFonts w:cstheme="minorHAnsi"/>
        </w:rPr>
        <w:t>assess</w:t>
      </w:r>
      <w:r>
        <w:rPr>
          <w:rFonts w:cstheme="minorHAnsi"/>
        </w:rPr>
        <w:t>ed</w:t>
      </w:r>
      <w:r w:rsidRPr="00FA15EB">
        <w:rPr>
          <w:rFonts w:cstheme="minorHAnsi"/>
        </w:rPr>
        <w:t xml:space="preserve"> against </w:t>
      </w:r>
      <w:r>
        <w:rPr>
          <w:rFonts w:cstheme="minorHAnsi"/>
        </w:rPr>
        <w:t>responses to the Selection Criteria (Section 7)</w:t>
      </w:r>
      <w:r w:rsidR="00C0603F">
        <w:rPr>
          <w:rFonts w:cstheme="minorHAnsi"/>
        </w:rPr>
        <w:t xml:space="preserve"> by an Assessment Team</w:t>
      </w:r>
      <w:r w:rsidRPr="00FA15EB">
        <w:rPr>
          <w:rFonts w:cstheme="minorHAnsi"/>
        </w:rPr>
        <w:t xml:space="preserve"> </w:t>
      </w:r>
    </w:p>
    <w:p w14:paraId="0C1FE5B1" w14:textId="0F20DEF4" w:rsidR="007C34E6" w:rsidRDefault="007C34E6" w:rsidP="007C34E6">
      <w:pPr>
        <w:rPr>
          <w:rFonts w:cstheme="minorHAnsi"/>
        </w:rPr>
      </w:pPr>
      <w:r w:rsidRPr="004156A6">
        <w:rPr>
          <w:rFonts w:cstheme="minorHAnsi"/>
        </w:rPr>
        <w:t xml:space="preserve">After assessment </w:t>
      </w:r>
      <w:r w:rsidR="00C0603F">
        <w:rPr>
          <w:rFonts w:cstheme="minorHAnsi"/>
        </w:rPr>
        <w:t xml:space="preserve">against the selection criteria </w:t>
      </w:r>
      <w:r w:rsidRPr="004156A6">
        <w:rPr>
          <w:rFonts w:cstheme="minorHAnsi"/>
        </w:rPr>
        <w:t xml:space="preserve">by the </w:t>
      </w:r>
      <w:r w:rsidR="00C0603F">
        <w:rPr>
          <w:rFonts w:cstheme="minorHAnsi"/>
        </w:rPr>
        <w:t>Assessment Team</w:t>
      </w:r>
      <w:r w:rsidRPr="004156A6">
        <w:rPr>
          <w:rFonts w:cstheme="minorHAnsi"/>
        </w:rPr>
        <w:t>, financial viability assessment</w:t>
      </w:r>
      <w:r>
        <w:rPr>
          <w:rFonts w:cstheme="minorHAnsi"/>
        </w:rPr>
        <w:t>s will be undertaken on applicants</w:t>
      </w:r>
      <w:r w:rsidRPr="004156A6">
        <w:rPr>
          <w:rFonts w:cstheme="minorHAnsi"/>
        </w:rPr>
        <w:t>. This can include assessment of the financial health of an entity</w:t>
      </w:r>
      <w:r>
        <w:rPr>
          <w:rFonts w:cstheme="minorHAnsi"/>
        </w:rPr>
        <w:t>.</w:t>
      </w:r>
    </w:p>
    <w:p w14:paraId="4010E785" w14:textId="77777777" w:rsidR="003129ED" w:rsidRDefault="007C34E6" w:rsidP="007C34E6">
      <w:pPr>
        <w:spacing w:after="120" w:line="276" w:lineRule="auto"/>
      </w:pPr>
      <w:r>
        <w:lastRenderedPageBreak/>
        <w:t>The Assessment Team will report on its assessme</w:t>
      </w:r>
      <w:r w:rsidR="003129ED">
        <w:t xml:space="preserve">nt of applications to the NDIA. </w:t>
      </w:r>
      <w:r w:rsidR="003129ED" w:rsidRPr="0047010D">
        <w:rPr>
          <w:rFonts w:cstheme="minorHAnsi"/>
        </w:rPr>
        <w:t>The Community Grants Hub</w:t>
      </w:r>
      <w:r w:rsidRPr="00D438F0">
        <w:rPr>
          <w:color w:val="000000" w:themeColor="text1"/>
        </w:rPr>
        <w:t xml:space="preserve"> and</w:t>
      </w:r>
      <w:r>
        <w:rPr>
          <w:color w:val="000000" w:themeColor="text1"/>
        </w:rPr>
        <w:t xml:space="preserve"> the</w:t>
      </w:r>
      <w:r w:rsidRPr="00D438F0">
        <w:rPr>
          <w:color w:val="000000" w:themeColor="text1"/>
        </w:rPr>
        <w:t xml:space="preserve"> NDIA </w:t>
      </w:r>
      <w:r>
        <w:t xml:space="preserve">will provide advice to </w:t>
      </w:r>
      <w:r w:rsidR="003129ED">
        <w:t>a</w:t>
      </w:r>
      <w:r>
        <w:t xml:space="preserve"> Selection Advisory Panel </w:t>
      </w:r>
      <w:r w:rsidR="00C0603F">
        <w:t xml:space="preserve">on the outcomes of the assessment undertaken by the </w:t>
      </w:r>
      <w:r>
        <w:t xml:space="preserve">Assessment Team and other </w:t>
      </w:r>
      <w:r w:rsidR="00C0603F">
        <w:t>matters, including</w:t>
      </w:r>
      <w:r>
        <w:t xml:space="preserve"> risk and alignment to ILC. The Selection Advisory Panel </w:t>
      </w:r>
      <w:r w:rsidR="00291A4A">
        <w:t xml:space="preserve">considers the overall value for money of proposals </w:t>
      </w:r>
      <w:r>
        <w:t xml:space="preserve">and </w:t>
      </w:r>
      <w:r w:rsidR="00291A4A">
        <w:t xml:space="preserve">provides </w:t>
      </w:r>
      <w:r>
        <w:t xml:space="preserve">list of recommended projects to the NDIA Delegate for final decision. </w:t>
      </w:r>
    </w:p>
    <w:p w14:paraId="5742FDC4" w14:textId="5670813A" w:rsidR="007C34E6" w:rsidRPr="0021211D" w:rsidRDefault="007C34E6" w:rsidP="003129ED">
      <w:pPr>
        <w:spacing w:after="120" w:line="276" w:lineRule="auto"/>
      </w:pPr>
      <w:r>
        <w:t>Refer to Section 9.1 for further information about the selection process and the role o</w:t>
      </w:r>
      <w:r w:rsidR="003129ED">
        <w:t>f the Selection Advisory Panel.</w:t>
      </w:r>
    </w:p>
    <w:p w14:paraId="61D84CC7" w14:textId="77777777" w:rsidR="003C371F" w:rsidRPr="00B131FE" w:rsidRDefault="003C371F" w:rsidP="00CC3C8E">
      <w:pPr>
        <w:pStyle w:val="Heading2Numbered"/>
        <w:spacing w:line="276" w:lineRule="auto"/>
        <w:contextualSpacing w:val="0"/>
      </w:pPr>
      <w:bookmarkStart w:id="57" w:name="_Toc508880223"/>
      <w:bookmarkStart w:id="58" w:name="_Toc531005187"/>
      <w:r>
        <w:t>5.2 Compliance Criteria</w:t>
      </w:r>
      <w:bookmarkEnd w:id="57"/>
      <w:bookmarkEnd w:id="58"/>
    </w:p>
    <w:p w14:paraId="4206570B" w14:textId="63D03ED3" w:rsidR="003C371F" w:rsidRPr="008E3993" w:rsidRDefault="003129ED" w:rsidP="00CC3C8E">
      <w:pPr>
        <w:spacing w:before="0" w:after="120" w:line="276" w:lineRule="auto"/>
        <w:rPr>
          <w:rFonts w:cstheme="minorHAnsi"/>
        </w:rPr>
      </w:pPr>
      <w:r>
        <w:rPr>
          <w:rFonts w:cstheme="minorHAnsi"/>
        </w:rPr>
        <w:t xml:space="preserve">The </w:t>
      </w:r>
      <w:r w:rsidR="003C371F" w:rsidRPr="008E3993">
        <w:rPr>
          <w:rFonts w:cstheme="minorHAnsi"/>
        </w:rPr>
        <w:t xml:space="preserve">Community Grant Hub will assess </w:t>
      </w:r>
      <w:r w:rsidR="0001454E">
        <w:rPr>
          <w:rFonts w:cstheme="minorHAnsi"/>
        </w:rPr>
        <w:t>each</w:t>
      </w:r>
      <w:r w:rsidR="0001454E" w:rsidRPr="008E3993">
        <w:rPr>
          <w:rFonts w:cstheme="minorHAnsi"/>
        </w:rPr>
        <w:t xml:space="preserve"> </w:t>
      </w:r>
      <w:r w:rsidR="00D57101">
        <w:rPr>
          <w:rFonts w:cstheme="minorHAnsi"/>
        </w:rPr>
        <w:t>a</w:t>
      </w:r>
      <w:r w:rsidR="00D57101" w:rsidRPr="008E3993">
        <w:rPr>
          <w:rFonts w:cstheme="minorHAnsi"/>
        </w:rPr>
        <w:t xml:space="preserve">pplication </w:t>
      </w:r>
      <w:r w:rsidR="003C371F" w:rsidRPr="008E3993">
        <w:rPr>
          <w:rFonts w:cstheme="minorHAnsi"/>
        </w:rPr>
        <w:t>against the compliance criteria</w:t>
      </w:r>
      <w:r w:rsidR="00DC0F0C">
        <w:rPr>
          <w:rFonts w:cstheme="minorHAnsi"/>
        </w:rPr>
        <w:t xml:space="preserve"> </w:t>
      </w:r>
      <w:r w:rsidR="007130AA">
        <w:rPr>
          <w:rFonts w:cstheme="minorHAnsi"/>
        </w:rPr>
        <w:t>set out below</w:t>
      </w:r>
      <w:r w:rsidR="00DC0F0C">
        <w:rPr>
          <w:rFonts w:cstheme="minorHAnsi"/>
        </w:rPr>
        <w:t xml:space="preserve">. </w:t>
      </w:r>
      <w:r w:rsidR="003C371F" w:rsidRPr="008E3993">
        <w:rPr>
          <w:rFonts w:cstheme="minorHAnsi"/>
        </w:rPr>
        <w:t xml:space="preserve">An </w:t>
      </w:r>
      <w:r w:rsidR="00D57101">
        <w:rPr>
          <w:rFonts w:cstheme="minorHAnsi"/>
        </w:rPr>
        <w:t>a</w:t>
      </w:r>
      <w:r w:rsidR="00D57101" w:rsidRPr="008E3993">
        <w:rPr>
          <w:rFonts w:cstheme="minorHAnsi"/>
        </w:rPr>
        <w:t xml:space="preserve">pplication </w:t>
      </w:r>
      <w:r w:rsidR="003C371F" w:rsidRPr="008E3993">
        <w:rPr>
          <w:rFonts w:cstheme="minorHAnsi"/>
        </w:rPr>
        <w:t xml:space="preserve">may be excluded from assessment </w:t>
      </w:r>
      <w:r w:rsidR="007130AA">
        <w:rPr>
          <w:rFonts w:cstheme="minorHAnsi"/>
        </w:rPr>
        <w:t xml:space="preserve">at the NDIA’s discretion </w:t>
      </w:r>
      <w:r w:rsidR="00DC0F0C" w:rsidRPr="004632E3">
        <w:rPr>
          <w:rFonts w:cstheme="minorHAnsi"/>
        </w:rPr>
        <w:t>based on issues of non-compliance, omission and/or e</w:t>
      </w:r>
      <w:r w:rsidR="003C371F" w:rsidRPr="004632E3">
        <w:rPr>
          <w:rFonts w:cstheme="minorHAnsi"/>
        </w:rPr>
        <w:t>rror in relation to the following:</w:t>
      </w:r>
    </w:p>
    <w:tbl>
      <w:tblPr>
        <w:tblStyle w:val="TableGrid"/>
        <w:tblW w:w="5000" w:type="pct"/>
        <w:tblCellMar>
          <w:left w:w="0" w:type="dxa"/>
          <w:right w:w="0" w:type="dxa"/>
        </w:tblCellMar>
        <w:tblLook w:val="04A0" w:firstRow="1" w:lastRow="0" w:firstColumn="1" w:lastColumn="0" w:noHBand="0" w:noVBand="1"/>
        <w:tblCaption w:val="5.2 Compliance Criteria"/>
        <w:tblDescription w:val="Includes information about the compliance criteria and what section to find them in the Grant Opportunity Guidelines."/>
      </w:tblPr>
      <w:tblGrid>
        <w:gridCol w:w="6949"/>
        <w:gridCol w:w="2121"/>
      </w:tblGrid>
      <w:tr w:rsidR="003C371F" w:rsidRPr="008E3993" w14:paraId="24FF8C9E" w14:textId="77777777" w:rsidTr="00F310C5">
        <w:trPr>
          <w:tblHeader/>
        </w:trPr>
        <w:tc>
          <w:tcPr>
            <w:tcW w:w="3831" w:type="pct"/>
            <w:tcBorders>
              <w:top w:val="nil"/>
              <w:left w:val="nil"/>
              <w:bottom w:val="nil"/>
              <w:right w:val="nil"/>
            </w:tcBorders>
          </w:tcPr>
          <w:p w14:paraId="0846184B" w14:textId="77777777" w:rsidR="003C371F" w:rsidRPr="008E3993" w:rsidRDefault="00BF3941" w:rsidP="00BF3941">
            <w:pPr>
              <w:spacing w:before="60" w:after="120" w:line="276" w:lineRule="auto"/>
            </w:pPr>
            <w:r>
              <w:t>Any a</w:t>
            </w:r>
            <w:r w:rsidR="003C371F" w:rsidRPr="008E3993">
              <w:t>pplications faxed or sent by postal service</w:t>
            </w:r>
          </w:p>
        </w:tc>
        <w:tc>
          <w:tcPr>
            <w:tcW w:w="1169" w:type="pct"/>
            <w:tcBorders>
              <w:top w:val="nil"/>
              <w:left w:val="nil"/>
              <w:bottom w:val="nil"/>
              <w:right w:val="nil"/>
            </w:tcBorders>
          </w:tcPr>
          <w:p w14:paraId="041E99D1" w14:textId="77777777" w:rsidR="003C371F" w:rsidRPr="008E3993" w:rsidRDefault="003C371F" w:rsidP="00CC3C8E">
            <w:pPr>
              <w:spacing w:before="60" w:after="120" w:line="276" w:lineRule="auto"/>
              <w:jc w:val="right"/>
            </w:pPr>
            <w:r w:rsidRPr="008E3993">
              <w:t xml:space="preserve">Section </w:t>
            </w:r>
            <w:r w:rsidR="00C20139">
              <w:t>8.3</w:t>
            </w:r>
          </w:p>
        </w:tc>
      </w:tr>
      <w:tr w:rsidR="003C371F" w:rsidRPr="008E3993" w14:paraId="1660A9A7" w14:textId="77777777" w:rsidTr="006962DE">
        <w:tc>
          <w:tcPr>
            <w:tcW w:w="3831" w:type="pct"/>
            <w:tcBorders>
              <w:top w:val="nil"/>
              <w:left w:val="nil"/>
              <w:bottom w:val="nil"/>
              <w:right w:val="nil"/>
            </w:tcBorders>
          </w:tcPr>
          <w:p w14:paraId="096A2E60" w14:textId="77777777" w:rsidR="003C371F" w:rsidRPr="008E3993" w:rsidRDefault="003C371F" w:rsidP="00CC3C8E">
            <w:pPr>
              <w:spacing w:before="60" w:after="120" w:line="276" w:lineRule="auto"/>
              <w:rPr>
                <w:rFonts w:cstheme="minorHAnsi"/>
              </w:rPr>
            </w:pPr>
            <w:r w:rsidRPr="008E3993">
              <w:rPr>
                <w:rFonts w:cstheme="minorHAnsi"/>
              </w:rPr>
              <w:t xml:space="preserve">Has not declared ability to comply with </w:t>
            </w:r>
            <w:r w:rsidRPr="008E3993">
              <w:rPr>
                <w:rFonts w:cstheme="minorHAnsi"/>
                <w:i/>
              </w:rPr>
              <w:t>Privacy Act 1988</w:t>
            </w:r>
            <w:r w:rsidRPr="008E3993">
              <w:rPr>
                <w:rFonts w:cstheme="minorHAnsi"/>
              </w:rPr>
              <w:t xml:space="preserve"> and the </w:t>
            </w:r>
            <w:r w:rsidRPr="008E3993">
              <w:rPr>
                <w:rFonts w:cstheme="minorHAnsi"/>
                <w:i/>
              </w:rPr>
              <w:t>National Disability Insurance Scheme Act 2013</w:t>
            </w:r>
          </w:p>
        </w:tc>
        <w:tc>
          <w:tcPr>
            <w:tcW w:w="1169" w:type="pct"/>
            <w:tcBorders>
              <w:top w:val="nil"/>
              <w:left w:val="nil"/>
              <w:bottom w:val="nil"/>
              <w:right w:val="nil"/>
            </w:tcBorders>
          </w:tcPr>
          <w:p w14:paraId="4981DF4F" w14:textId="77777777" w:rsidR="003C371F" w:rsidRPr="008E3993" w:rsidRDefault="003C371F" w:rsidP="00CC3C8E">
            <w:pPr>
              <w:spacing w:before="60" w:after="120" w:line="276" w:lineRule="auto"/>
              <w:jc w:val="right"/>
            </w:pPr>
            <w:r w:rsidRPr="008E3993">
              <w:t>Section</w:t>
            </w:r>
            <w:r w:rsidR="00C20139">
              <w:t xml:space="preserve"> 14.3</w:t>
            </w:r>
          </w:p>
        </w:tc>
      </w:tr>
      <w:tr w:rsidR="003C371F" w:rsidRPr="008E3993" w14:paraId="11B93289" w14:textId="77777777" w:rsidTr="006962DE">
        <w:tc>
          <w:tcPr>
            <w:tcW w:w="3831" w:type="pct"/>
            <w:tcBorders>
              <w:top w:val="nil"/>
              <w:left w:val="nil"/>
              <w:bottom w:val="nil"/>
              <w:right w:val="nil"/>
            </w:tcBorders>
          </w:tcPr>
          <w:p w14:paraId="155917E1" w14:textId="77777777" w:rsidR="003C371F" w:rsidRPr="008E3993" w:rsidRDefault="003C371F" w:rsidP="00CC3C8E">
            <w:pPr>
              <w:spacing w:before="60" w:after="120" w:line="276" w:lineRule="auto"/>
              <w:rPr>
                <w:rFonts w:cstheme="minorHAnsi"/>
              </w:rPr>
            </w:pPr>
            <w:r w:rsidRPr="008E3993">
              <w:rPr>
                <w:rFonts w:cstheme="minorHAnsi"/>
              </w:rPr>
              <w:t>Applicant has provided false or misleading information</w:t>
            </w:r>
          </w:p>
        </w:tc>
        <w:tc>
          <w:tcPr>
            <w:tcW w:w="1169" w:type="pct"/>
            <w:tcBorders>
              <w:top w:val="nil"/>
              <w:left w:val="nil"/>
              <w:bottom w:val="nil"/>
              <w:right w:val="nil"/>
            </w:tcBorders>
          </w:tcPr>
          <w:p w14:paraId="15F5CCA9" w14:textId="77777777" w:rsidR="003C371F" w:rsidRPr="008E3993" w:rsidRDefault="003C371F" w:rsidP="00CC3C8E">
            <w:pPr>
              <w:spacing w:before="60" w:after="120" w:line="276" w:lineRule="auto"/>
              <w:jc w:val="right"/>
            </w:pPr>
            <w:r w:rsidRPr="008E3993">
              <w:t xml:space="preserve">Section </w:t>
            </w:r>
            <w:r w:rsidR="00C20139">
              <w:t>8.1</w:t>
            </w:r>
          </w:p>
        </w:tc>
      </w:tr>
      <w:tr w:rsidR="003C371F" w:rsidRPr="008E3993" w14:paraId="35239C56" w14:textId="77777777" w:rsidTr="006962DE">
        <w:tc>
          <w:tcPr>
            <w:tcW w:w="3831" w:type="pct"/>
            <w:tcBorders>
              <w:top w:val="nil"/>
              <w:left w:val="nil"/>
              <w:bottom w:val="nil"/>
              <w:right w:val="nil"/>
            </w:tcBorders>
          </w:tcPr>
          <w:p w14:paraId="08D45BA8" w14:textId="77777777" w:rsidR="003C371F" w:rsidRPr="008E3993" w:rsidRDefault="00AD7008" w:rsidP="00CC3C8E">
            <w:pPr>
              <w:spacing w:before="60" w:after="120" w:line="276" w:lineRule="auto"/>
              <w:rPr>
                <w:rFonts w:cstheme="minorHAnsi"/>
              </w:rPr>
            </w:pPr>
            <w:r w:rsidRPr="008E3993">
              <w:rPr>
                <w:rFonts w:cstheme="minorHAnsi"/>
              </w:rPr>
              <w:t>N</w:t>
            </w:r>
            <w:r w:rsidR="003C371F" w:rsidRPr="008E3993">
              <w:rPr>
                <w:rFonts w:cstheme="minorHAnsi"/>
              </w:rPr>
              <w:t>o budget submitted</w:t>
            </w:r>
          </w:p>
        </w:tc>
        <w:tc>
          <w:tcPr>
            <w:tcW w:w="1169" w:type="pct"/>
            <w:tcBorders>
              <w:top w:val="nil"/>
              <w:left w:val="nil"/>
              <w:bottom w:val="nil"/>
              <w:right w:val="nil"/>
            </w:tcBorders>
          </w:tcPr>
          <w:p w14:paraId="55CD041C" w14:textId="77777777" w:rsidR="003C371F" w:rsidRPr="008E3993" w:rsidRDefault="003C371F" w:rsidP="00CC3C8E">
            <w:pPr>
              <w:spacing w:before="60" w:after="120" w:line="276" w:lineRule="auto"/>
              <w:jc w:val="right"/>
            </w:pPr>
            <w:r w:rsidRPr="008E3993">
              <w:t xml:space="preserve">Section </w:t>
            </w:r>
            <w:r w:rsidR="00C20139">
              <w:t>6.3</w:t>
            </w:r>
          </w:p>
        </w:tc>
      </w:tr>
      <w:tr w:rsidR="003C371F" w:rsidRPr="008E3993" w14:paraId="2108804F" w14:textId="77777777" w:rsidTr="006962DE">
        <w:tc>
          <w:tcPr>
            <w:tcW w:w="3831" w:type="pct"/>
            <w:tcBorders>
              <w:top w:val="nil"/>
              <w:left w:val="nil"/>
              <w:bottom w:val="nil"/>
              <w:right w:val="nil"/>
            </w:tcBorders>
          </w:tcPr>
          <w:p w14:paraId="323153E1" w14:textId="77777777" w:rsidR="003C371F" w:rsidRPr="008E3993" w:rsidRDefault="003C371F" w:rsidP="00CC3C8E">
            <w:pPr>
              <w:spacing w:before="60" w:after="120" w:line="276" w:lineRule="auto"/>
              <w:rPr>
                <w:rFonts w:cstheme="minorHAnsi"/>
              </w:rPr>
            </w:pPr>
            <w:r w:rsidRPr="008E3993">
              <w:rPr>
                <w:rFonts w:cstheme="minorHAnsi"/>
              </w:rPr>
              <w:t>Failure to use any of the required templates</w:t>
            </w:r>
          </w:p>
        </w:tc>
        <w:tc>
          <w:tcPr>
            <w:tcW w:w="1169" w:type="pct"/>
            <w:tcBorders>
              <w:top w:val="nil"/>
              <w:left w:val="nil"/>
              <w:bottom w:val="nil"/>
              <w:right w:val="nil"/>
            </w:tcBorders>
          </w:tcPr>
          <w:p w14:paraId="296BA0E7" w14:textId="77777777" w:rsidR="003C371F" w:rsidRPr="008E3993" w:rsidRDefault="003C371F" w:rsidP="00CC3C8E">
            <w:pPr>
              <w:spacing w:before="60" w:after="120" w:line="276" w:lineRule="auto"/>
              <w:jc w:val="right"/>
              <w:rPr>
                <w:b/>
              </w:rPr>
            </w:pPr>
            <w:r w:rsidRPr="008E3993">
              <w:t xml:space="preserve">Section </w:t>
            </w:r>
            <w:r w:rsidR="00C20139">
              <w:t>8.3</w:t>
            </w:r>
          </w:p>
        </w:tc>
      </w:tr>
      <w:tr w:rsidR="00417072" w:rsidRPr="008E3993" w14:paraId="567FB2EC" w14:textId="77777777" w:rsidTr="006962DE">
        <w:tc>
          <w:tcPr>
            <w:tcW w:w="3831" w:type="pct"/>
            <w:tcBorders>
              <w:top w:val="nil"/>
              <w:left w:val="nil"/>
              <w:bottom w:val="nil"/>
              <w:right w:val="nil"/>
            </w:tcBorders>
          </w:tcPr>
          <w:p w14:paraId="5E2F07A0" w14:textId="77777777" w:rsidR="00417072" w:rsidRPr="008E3993" w:rsidRDefault="00417072" w:rsidP="00CC3C8E">
            <w:pPr>
              <w:spacing w:before="60" w:after="120" w:line="276" w:lineRule="auto"/>
              <w:rPr>
                <w:rFonts w:cstheme="minorHAnsi"/>
              </w:rPr>
            </w:pPr>
            <w:r>
              <w:rPr>
                <w:rFonts w:cstheme="minorHAnsi"/>
              </w:rPr>
              <w:t>Application is</w:t>
            </w:r>
            <w:r w:rsidR="004421B2">
              <w:rPr>
                <w:rFonts w:cstheme="minorHAnsi"/>
              </w:rPr>
              <w:t xml:space="preserve"> more than 3 days</w:t>
            </w:r>
            <w:r>
              <w:rPr>
                <w:rFonts w:cstheme="minorHAnsi"/>
              </w:rPr>
              <w:t xml:space="preserve"> late</w:t>
            </w:r>
            <w:r w:rsidR="00434787">
              <w:rPr>
                <w:rFonts w:cstheme="minorHAnsi"/>
              </w:rPr>
              <w:t xml:space="preserve"> or does not meet the Late Policy</w:t>
            </w:r>
          </w:p>
        </w:tc>
        <w:tc>
          <w:tcPr>
            <w:tcW w:w="1169" w:type="pct"/>
            <w:tcBorders>
              <w:top w:val="nil"/>
              <w:left w:val="nil"/>
              <w:bottom w:val="nil"/>
              <w:right w:val="nil"/>
            </w:tcBorders>
          </w:tcPr>
          <w:p w14:paraId="4D44766B" w14:textId="77777777" w:rsidR="00417072" w:rsidRPr="008E3993" w:rsidRDefault="00417072" w:rsidP="00CC3C8E">
            <w:pPr>
              <w:spacing w:before="60" w:after="120" w:line="276" w:lineRule="auto"/>
              <w:jc w:val="right"/>
            </w:pPr>
            <w:r>
              <w:t>Section 8.2</w:t>
            </w:r>
          </w:p>
        </w:tc>
      </w:tr>
      <w:tr w:rsidR="00434787" w:rsidRPr="008E3993" w14:paraId="546289EB" w14:textId="77777777" w:rsidTr="006962DE">
        <w:tc>
          <w:tcPr>
            <w:tcW w:w="3831" w:type="pct"/>
            <w:tcBorders>
              <w:top w:val="nil"/>
              <w:left w:val="nil"/>
              <w:bottom w:val="nil"/>
              <w:right w:val="nil"/>
            </w:tcBorders>
          </w:tcPr>
          <w:p w14:paraId="7BFFEF95" w14:textId="77777777" w:rsidR="00434787" w:rsidRDefault="00434787" w:rsidP="00434787">
            <w:pPr>
              <w:spacing w:before="60" w:after="120" w:line="276" w:lineRule="auto"/>
              <w:rPr>
                <w:rFonts w:cstheme="minorHAnsi"/>
              </w:rPr>
            </w:pPr>
            <w:r>
              <w:rPr>
                <w:rFonts w:cstheme="minorHAnsi"/>
              </w:rPr>
              <w:t xml:space="preserve">Any applications exceeding the threshold number </w:t>
            </w:r>
          </w:p>
        </w:tc>
        <w:tc>
          <w:tcPr>
            <w:tcW w:w="1169" w:type="pct"/>
            <w:tcBorders>
              <w:top w:val="nil"/>
              <w:left w:val="nil"/>
              <w:bottom w:val="nil"/>
              <w:right w:val="nil"/>
            </w:tcBorders>
          </w:tcPr>
          <w:p w14:paraId="24971DE4" w14:textId="77777777" w:rsidR="00434787" w:rsidRDefault="00434787" w:rsidP="00CC3C8E">
            <w:pPr>
              <w:spacing w:before="60" w:after="120" w:line="276" w:lineRule="auto"/>
              <w:jc w:val="right"/>
            </w:pPr>
            <w:r>
              <w:rPr>
                <w:rFonts w:cstheme="minorHAnsi"/>
              </w:rPr>
              <w:t>Section 2.4</w:t>
            </w:r>
          </w:p>
        </w:tc>
      </w:tr>
    </w:tbl>
    <w:p w14:paraId="6351F142" w14:textId="77777777" w:rsidR="003C371F" w:rsidRPr="008E3993" w:rsidRDefault="003C371F" w:rsidP="00CC3C8E">
      <w:pPr>
        <w:pStyle w:val="Heading2Numbered"/>
        <w:spacing w:line="276" w:lineRule="auto"/>
        <w:contextualSpacing w:val="0"/>
      </w:pPr>
      <w:bookmarkStart w:id="59" w:name="_Toc508880224"/>
      <w:bookmarkStart w:id="60" w:name="_Toc531005188"/>
      <w:r w:rsidRPr="008E3993">
        <w:t>5.3 Eligibility Criteria</w:t>
      </w:r>
      <w:bookmarkEnd w:id="59"/>
      <w:bookmarkEnd w:id="60"/>
    </w:p>
    <w:p w14:paraId="59A1589A" w14:textId="77777777" w:rsidR="003C371F" w:rsidRPr="008E3993" w:rsidRDefault="003C371F" w:rsidP="00CC3C8E">
      <w:pPr>
        <w:spacing w:before="0" w:after="120" w:line="276" w:lineRule="auto"/>
        <w:rPr>
          <w:rFonts w:cstheme="minorHAnsi"/>
        </w:rPr>
      </w:pPr>
      <w:r w:rsidRPr="008E3993">
        <w:rPr>
          <w:rFonts w:cstheme="minorHAnsi"/>
        </w:rPr>
        <w:t xml:space="preserve">Applications that meet </w:t>
      </w:r>
      <w:r w:rsidR="00A90610" w:rsidRPr="008E3993">
        <w:rPr>
          <w:rFonts w:cstheme="minorHAnsi"/>
        </w:rPr>
        <w:t>Compliance C</w:t>
      </w:r>
      <w:r w:rsidRPr="008E3993">
        <w:rPr>
          <w:rFonts w:cstheme="minorHAnsi"/>
        </w:rPr>
        <w:t xml:space="preserve">riteria are then assessed against the </w:t>
      </w:r>
      <w:r w:rsidR="00DC6728">
        <w:rPr>
          <w:rFonts w:cstheme="minorHAnsi"/>
        </w:rPr>
        <w:t>E</w:t>
      </w:r>
      <w:r w:rsidRPr="008E3993">
        <w:rPr>
          <w:rFonts w:cstheme="minorHAnsi"/>
        </w:rPr>
        <w:t xml:space="preserve">ligibility </w:t>
      </w:r>
      <w:r w:rsidR="00DC6728">
        <w:rPr>
          <w:rFonts w:cstheme="minorHAnsi"/>
        </w:rPr>
        <w:t>C</w:t>
      </w:r>
      <w:r w:rsidRPr="008E3993">
        <w:rPr>
          <w:rFonts w:cstheme="minorHAnsi"/>
        </w:rPr>
        <w:t xml:space="preserve">riteria outlined in these Guidelines. An application which fails to meet any of the </w:t>
      </w:r>
      <w:r w:rsidR="00070C19">
        <w:rPr>
          <w:rFonts w:cstheme="minorHAnsi"/>
        </w:rPr>
        <w:t>E</w:t>
      </w:r>
      <w:r w:rsidRPr="008E3993">
        <w:rPr>
          <w:rFonts w:cstheme="minorHAnsi"/>
        </w:rPr>
        <w:t xml:space="preserve">ligibility </w:t>
      </w:r>
      <w:r w:rsidR="00070C19">
        <w:rPr>
          <w:rFonts w:cstheme="minorHAnsi"/>
        </w:rPr>
        <w:t>C</w:t>
      </w:r>
      <w:r w:rsidRPr="008E3993">
        <w:rPr>
          <w:rFonts w:cstheme="minorHAnsi"/>
        </w:rPr>
        <w:t>riteria will not be cons</w:t>
      </w:r>
      <w:r w:rsidR="00A90610" w:rsidRPr="008E3993">
        <w:rPr>
          <w:rFonts w:cstheme="minorHAnsi"/>
        </w:rPr>
        <w:t xml:space="preserve">idered for further assessment. </w:t>
      </w:r>
      <w:r w:rsidRPr="008E3993">
        <w:rPr>
          <w:rFonts w:cstheme="minorHAnsi"/>
        </w:rPr>
        <w:t xml:space="preserve">An </w:t>
      </w:r>
      <w:r w:rsidR="00D57101">
        <w:rPr>
          <w:rFonts w:cstheme="minorHAnsi"/>
        </w:rPr>
        <w:t>a</w:t>
      </w:r>
      <w:r w:rsidR="00D57101" w:rsidRPr="008E3993">
        <w:rPr>
          <w:rFonts w:cstheme="minorHAnsi"/>
        </w:rPr>
        <w:t xml:space="preserve">pplication </w:t>
      </w:r>
      <w:r w:rsidR="00070C19">
        <w:rPr>
          <w:rFonts w:cstheme="minorHAnsi"/>
        </w:rPr>
        <w:t>will not be progressed to further assessment</w:t>
      </w:r>
      <w:r w:rsidR="00070C19" w:rsidRPr="008E3993">
        <w:rPr>
          <w:rFonts w:cstheme="minorHAnsi"/>
        </w:rPr>
        <w:t xml:space="preserve"> </w:t>
      </w:r>
      <w:r w:rsidRPr="008E3993">
        <w:rPr>
          <w:rFonts w:cstheme="minorHAnsi"/>
        </w:rPr>
        <w:t>if: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5.3 Eligibility Criteria "/>
        <w:tblDescription w:val="Includes information about the Eligibility Criteria and which sections in the Grant Opportunity Guidelines to find them."/>
      </w:tblPr>
      <w:tblGrid>
        <w:gridCol w:w="6875"/>
        <w:gridCol w:w="2195"/>
      </w:tblGrid>
      <w:tr w:rsidR="00B45A00" w:rsidRPr="008E3993" w14:paraId="6DE39EFD" w14:textId="77777777" w:rsidTr="00F310C5">
        <w:trPr>
          <w:tblHeader/>
        </w:trPr>
        <w:tc>
          <w:tcPr>
            <w:tcW w:w="3790" w:type="pct"/>
          </w:tcPr>
          <w:p w14:paraId="1DD0EDCE" w14:textId="77777777" w:rsidR="00B45A00" w:rsidRDefault="00B45A00" w:rsidP="00B45A00">
            <w:pPr>
              <w:spacing w:before="60" w:after="120" w:line="276" w:lineRule="auto"/>
              <w:rPr>
                <w:rFonts w:cstheme="minorHAnsi"/>
              </w:rPr>
            </w:pPr>
            <w:r>
              <w:rPr>
                <w:rFonts w:cstheme="minorHAnsi"/>
              </w:rPr>
              <w:t>The applicant is not an eligible applicant type</w:t>
            </w:r>
          </w:p>
        </w:tc>
        <w:tc>
          <w:tcPr>
            <w:tcW w:w="1210" w:type="pct"/>
          </w:tcPr>
          <w:p w14:paraId="733FB3DA" w14:textId="77777777" w:rsidR="00B45A00" w:rsidRDefault="00B45A00" w:rsidP="00B45A00">
            <w:pPr>
              <w:spacing w:before="60" w:after="120" w:line="276" w:lineRule="auto"/>
              <w:jc w:val="right"/>
              <w:rPr>
                <w:rFonts w:cstheme="minorHAnsi"/>
              </w:rPr>
            </w:pPr>
            <w:r>
              <w:rPr>
                <w:rFonts w:cstheme="minorHAnsi"/>
              </w:rPr>
              <w:t>Section 3.1</w:t>
            </w:r>
          </w:p>
        </w:tc>
      </w:tr>
      <w:tr w:rsidR="003C371F" w:rsidRPr="008E3993" w14:paraId="5ADF22F2" w14:textId="77777777" w:rsidTr="00DC0F0C">
        <w:tc>
          <w:tcPr>
            <w:tcW w:w="3790" w:type="pct"/>
          </w:tcPr>
          <w:p w14:paraId="50574639" w14:textId="77777777" w:rsidR="003C371F" w:rsidRPr="008E3993" w:rsidRDefault="00BF3941" w:rsidP="00434787">
            <w:pPr>
              <w:spacing w:before="60" w:after="120" w:line="276" w:lineRule="auto"/>
              <w:rPr>
                <w:rFonts w:cstheme="minorHAnsi"/>
              </w:rPr>
            </w:pPr>
            <w:r>
              <w:rPr>
                <w:rFonts w:cstheme="minorHAnsi"/>
              </w:rPr>
              <w:t>T</w:t>
            </w:r>
            <w:r w:rsidR="00B93837">
              <w:rPr>
                <w:rFonts w:cstheme="minorHAnsi"/>
              </w:rPr>
              <w:t xml:space="preserve">he </w:t>
            </w:r>
            <w:r w:rsidR="00484A81">
              <w:rPr>
                <w:rFonts w:cstheme="minorHAnsi"/>
              </w:rPr>
              <w:t xml:space="preserve">applicant </w:t>
            </w:r>
            <w:r w:rsidR="00B93837">
              <w:rPr>
                <w:rFonts w:cstheme="minorHAnsi"/>
              </w:rPr>
              <w:t xml:space="preserve">is an </w:t>
            </w:r>
            <w:r w:rsidR="003C371F" w:rsidRPr="008E3993">
              <w:rPr>
                <w:rFonts w:cstheme="minorHAnsi"/>
              </w:rPr>
              <w:t xml:space="preserve">ineligible </w:t>
            </w:r>
            <w:r w:rsidR="00434787">
              <w:rPr>
                <w:rFonts w:cstheme="minorHAnsi"/>
              </w:rPr>
              <w:t>entity</w:t>
            </w:r>
          </w:p>
        </w:tc>
        <w:tc>
          <w:tcPr>
            <w:tcW w:w="1210" w:type="pct"/>
          </w:tcPr>
          <w:p w14:paraId="3F2DCB5A" w14:textId="77777777" w:rsidR="003C371F" w:rsidRPr="008E3993" w:rsidRDefault="00C20139" w:rsidP="00434787">
            <w:pPr>
              <w:spacing w:before="60" w:after="120" w:line="276" w:lineRule="auto"/>
              <w:jc w:val="right"/>
              <w:rPr>
                <w:rFonts w:cstheme="minorHAnsi"/>
              </w:rPr>
            </w:pPr>
            <w:r>
              <w:rPr>
                <w:rFonts w:cstheme="minorHAnsi"/>
              </w:rPr>
              <w:t>Section 3.2</w:t>
            </w:r>
          </w:p>
        </w:tc>
      </w:tr>
      <w:tr w:rsidR="003C371F" w:rsidRPr="008E3993" w14:paraId="5FA2C392" w14:textId="77777777" w:rsidTr="00DC0F0C">
        <w:tc>
          <w:tcPr>
            <w:tcW w:w="3790" w:type="pct"/>
          </w:tcPr>
          <w:p w14:paraId="3D4C834B" w14:textId="77777777" w:rsidR="003C371F" w:rsidRPr="008E3993" w:rsidRDefault="00BF3941" w:rsidP="00484A81">
            <w:pPr>
              <w:spacing w:before="60" w:after="120" w:line="276" w:lineRule="auto"/>
              <w:rPr>
                <w:rFonts w:cstheme="minorHAnsi"/>
              </w:rPr>
            </w:pPr>
            <w:r>
              <w:rPr>
                <w:rFonts w:cstheme="minorHAnsi"/>
              </w:rPr>
              <w:t>T</w:t>
            </w:r>
            <w:r w:rsidR="003C74C7">
              <w:rPr>
                <w:rFonts w:cstheme="minorHAnsi"/>
              </w:rPr>
              <w:t xml:space="preserve">he </w:t>
            </w:r>
            <w:r w:rsidR="00484A81">
              <w:rPr>
                <w:rFonts w:cstheme="minorHAnsi"/>
              </w:rPr>
              <w:t xml:space="preserve">application </w:t>
            </w:r>
            <w:r w:rsidR="003C74C7">
              <w:rPr>
                <w:rFonts w:cstheme="minorHAnsi"/>
              </w:rPr>
              <w:t>p</w:t>
            </w:r>
            <w:r w:rsidR="00483DD3">
              <w:rPr>
                <w:rFonts w:cstheme="minorHAnsi"/>
              </w:rPr>
              <w:t>roposes</w:t>
            </w:r>
            <w:r w:rsidR="003C371F" w:rsidRPr="008E3993">
              <w:rPr>
                <w:rFonts w:cstheme="minorHAnsi"/>
              </w:rPr>
              <w:t xml:space="preserve"> in</w:t>
            </w:r>
            <w:r w:rsidR="00483DD3">
              <w:rPr>
                <w:rFonts w:cstheme="minorHAnsi"/>
              </w:rPr>
              <w:t>eligible activities</w:t>
            </w:r>
            <w:r w:rsidR="003C371F" w:rsidRPr="008E3993">
              <w:rPr>
                <w:rFonts w:cstheme="minorHAnsi"/>
              </w:rPr>
              <w:t xml:space="preserve"> </w:t>
            </w:r>
          </w:p>
        </w:tc>
        <w:tc>
          <w:tcPr>
            <w:tcW w:w="1210" w:type="pct"/>
          </w:tcPr>
          <w:p w14:paraId="3B55A4DF" w14:textId="77777777" w:rsidR="003C371F" w:rsidRPr="008E3993" w:rsidRDefault="003C371F" w:rsidP="00CC3C8E">
            <w:pPr>
              <w:spacing w:before="60" w:after="120" w:line="276" w:lineRule="auto"/>
              <w:jc w:val="right"/>
              <w:rPr>
                <w:rFonts w:cstheme="minorHAnsi"/>
              </w:rPr>
            </w:pPr>
            <w:r w:rsidRPr="008E3993">
              <w:rPr>
                <w:rFonts w:cstheme="minorHAnsi"/>
              </w:rPr>
              <w:t xml:space="preserve">Section </w:t>
            </w:r>
            <w:r w:rsidR="00C20139">
              <w:rPr>
                <w:rFonts w:cstheme="minorHAnsi"/>
              </w:rPr>
              <w:t>4.4</w:t>
            </w:r>
          </w:p>
        </w:tc>
      </w:tr>
      <w:tr w:rsidR="003C371F" w:rsidRPr="008E3993" w14:paraId="38CACE47" w14:textId="77777777" w:rsidTr="00DC0F0C">
        <w:tc>
          <w:tcPr>
            <w:tcW w:w="3790" w:type="pct"/>
          </w:tcPr>
          <w:p w14:paraId="0235999A" w14:textId="67DDB7D2" w:rsidR="003C371F" w:rsidRPr="008E3993" w:rsidRDefault="00FD63DE" w:rsidP="00FD63DE">
            <w:pPr>
              <w:spacing w:before="60" w:after="120" w:line="276" w:lineRule="auto"/>
              <w:rPr>
                <w:rFonts w:cstheme="minorHAnsi"/>
              </w:rPr>
            </w:pPr>
            <w:r>
              <w:rPr>
                <w:rFonts w:cstheme="minorHAnsi"/>
              </w:rPr>
              <w:t>If the organisation is a DPFO, the</w:t>
            </w:r>
            <w:r w:rsidR="003C74C7">
              <w:rPr>
                <w:rFonts w:cstheme="minorHAnsi"/>
              </w:rPr>
              <w:t xml:space="preserve"> </w:t>
            </w:r>
            <w:r w:rsidR="00484A81">
              <w:rPr>
                <w:rFonts w:cstheme="minorHAnsi"/>
              </w:rPr>
              <w:t xml:space="preserve">application </w:t>
            </w:r>
            <w:r w:rsidR="003C74C7">
              <w:rPr>
                <w:rFonts w:cstheme="minorHAnsi"/>
              </w:rPr>
              <w:t>d</w:t>
            </w:r>
            <w:r w:rsidR="008E3993">
              <w:rPr>
                <w:rFonts w:cstheme="minorHAnsi"/>
              </w:rPr>
              <w:t xml:space="preserve">oes not </w:t>
            </w:r>
            <w:r w:rsidR="003C74C7">
              <w:rPr>
                <w:rFonts w:cstheme="minorHAnsi"/>
              </w:rPr>
              <w:t xml:space="preserve">address </w:t>
            </w:r>
            <w:r w:rsidR="008E3993">
              <w:rPr>
                <w:rFonts w:asciiTheme="majorHAnsi" w:hAnsiTheme="majorHAnsi" w:cstheme="majorHAnsi"/>
                <w:b/>
              </w:rPr>
              <w:t>both components</w:t>
            </w:r>
            <w:r w:rsidR="00DC0F0C">
              <w:rPr>
                <w:rFonts w:asciiTheme="majorHAnsi" w:hAnsiTheme="majorHAnsi" w:cstheme="majorHAnsi"/>
              </w:rPr>
              <w:t xml:space="preserve"> of the grant (</w:t>
            </w:r>
            <w:r w:rsidR="00484A81">
              <w:rPr>
                <w:rFonts w:asciiTheme="majorHAnsi" w:hAnsiTheme="majorHAnsi" w:cstheme="majorHAnsi"/>
              </w:rPr>
              <w:t xml:space="preserve">organisational capacity building </w:t>
            </w:r>
            <w:r w:rsidR="008E3993">
              <w:rPr>
                <w:rFonts w:asciiTheme="majorHAnsi" w:hAnsiTheme="majorHAnsi" w:cstheme="majorHAnsi"/>
              </w:rPr>
              <w:t xml:space="preserve">activities and </w:t>
            </w:r>
            <w:r w:rsidR="00484A81">
              <w:rPr>
                <w:rFonts w:asciiTheme="majorHAnsi" w:hAnsiTheme="majorHAnsi" w:cstheme="majorHAnsi"/>
              </w:rPr>
              <w:t>individual capacity building</w:t>
            </w:r>
            <w:r w:rsidR="00434787">
              <w:rPr>
                <w:rFonts w:asciiTheme="majorHAnsi" w:hAnsiTheme="majorHAnsi" w:cstheme="majorHAnsi"/>
              </w:rPr>
              <w:t>)</w:t>
            </w:r>
          </w:p>
        </w:tc>
        <w:tc>
          <w:tcPr>
            <w:tcW w:w="1210" w:type="pct"/>
          </w:tcPr>
          <w:p w14:paraId="5D524917" w14:textId="77777777" w:rsidR="003C371F" w:rsidRPr="008E3993" w:rsidRDefault="003C371F" w:rsidP="00CC3C8E">
            <w:pPr>
              <w:spacing w:before="60" w:after="120" w:line="276" w:lineRule="auto"/>
              <w:jc w:val="right"/>
              <w:rPr>
                <w:rFonts w:cstheme="minorHAnsi"/>
              </w:rPr>
            </w:pPr>
            <w:r w:rsidRPr="008E3993">
              <w:rPr>
                <w:rFonts w:cstheme="minorHAnsi"/>
              </w:rPr>
              <w:t xml:space="preserve">Section </w:t>
            </w:r>
            <w:r w:rsidR="00C20139">
              <w:rPr>
                <w:rFonts w:cstheme="minorHAnsi"/>
              </w:rPr>
              <w:t>4.1 and 4.2</w:t>
            </w:r>
          </w:p>
        </w:tc>
      </w:tr>
    </w:tbl>
    <w:p w14:paraId="575838E2" w14:textId="77777777" w:rsidR="00DB5D11" w:rsidRPr="00DB5D11" w:rsidRDefault="00DB5D11" w:rsidP="00CC3C8E">
      <w:pPr>
        <w:pStyle w:val="Heading2Numbered"/>
        <w:spacing w:line="276" w:lineRule="auto"/>
        <w:contextualSpacing w:val="0"/>
      </w:pPr>
      <w:bookmarkStart w:id="61" w:name="_Toc531005189"/>
      <w:r w:rsidRPr="00DB5D11">
        <w:lastRenderedPageBreak/>
        <w:t>5.4 Assessment Criteria</w:t>
      </w:r>
      <w:bookmarkEnd w:id="61"/>
    </w:p>
    <w:p w14:paraId="6E8B0DB1" w14:textId="77777777" w:rsidR="00DB5D11" w:rsidRPr="004632E3" w:rsidRDefault="00914E9D" w:rsidP="00CC3C8E">
      <w:pPr>
        <w:spacing w:before="0" w:after="120" w:line="276" w:lineRule="auto"/>
        <w:rPr>
          <w:rFonts w:cstheme="minorHAnsi"/>
        </w:rPr>
      </w:pPr>
      <w:r>
        <w:rPr>
          <w:rFonts w:cstheme="minorHAnsi"/>
        </w:rPr>
        <w:t xml:space="preserve">The detailed </w:t>
      </w:r>
      <w:r w:rsidR="0033079D">
        <w:rPr>
          <w:rFonts w:cstheme="minorHAnsi"/>
        </w:rPr>
        <w:t>responses</w:t>
      </w:r>
      <w:r>
        <w:rPr>
          <w:rFonts w:cstheme="minorHAnsi"/>
        </w:rPr>
        <w:t xml:space="preserve"> in the </w:t>
      </w:r>
      <w:r w:rsidR="00E16BD5">
        <w:rPr>
          <w:rFonts w:cstheme="minorHAnsi"/>
        </w:rPr>
        <w:t>application</w:t>
      </w:r>
      <w:r w:rsidR="00DB5D11" w:rsidRPr="004632E3">
        <w:rPr>
          <w:rFonts w:cstheme="minorHAnsi"/>
        </w:rPr>
        <w:t xml:space="preserve"> will </w:t>
      </w:r>
      <w:r>
        <w:rPr>
          <w:rFonts w:cstheme="minorHAnsi"/>
        </w:rPr>
        <w:t xml:space="preserve">then </w:t>
      </w:r>
      <w:r w:rsidR="00DB5D11" w:rsidRPr="004632E3">
        <w:rPr>
          <w:rFonts w:cstheme="minorHAnsi"/>
        </w:rPr>
        <w:t xml:space="preserve">be assessed against </w:t>
      </w:r>
      <w:r w:rsidR="00BE5BBD" w:rsidRPr="004632E3">
        <w:rPr>
          <w:rFonts w:cstheme="minorHAnsi"/>
        </w:rPr>
        <w:t>the selection criteria</w:t>
      </w:r>
      <w:r w:rsidR="00E16BD5">
        <w:rPr>
          <w:rFonts w:cstheme="minorHAnsi"/>
        </w:rPr>
        <w:t xml:space="preserve">, </w:t>
      </w:r>
      <w:r>
        <w:rPr>
          <w:rFonts w:cstheme="minorHAnsi"/>
        </w:rPr>
        <w:t xml:space="preserve">and the NDIA will </w:t>
      </w:r>
      <w:r w:rsidR="006962DE">
        <w:rPr>
          <w:rFonts w:cstheme="minorHAnsi"/>
        </w:rPr>
        <w:t xml:space="preserve">also </w:t>
      </w:r>
      <w:r w:rsidR="00BF3941">
        <w:rPr>
          <w:rFonts w:cstheme="minorHAnsi"/>
        </w:rPr>
        <w:t>consider</w:t>
      </w:r>
      <w:r w:rsidR="00BE5BBD" w:rsidRPr="004632E3">
        <w:rPr>
          <w:rFonts w:cstheme="minorHAnsi"/>
        </w:rPr>
        <w:t xml:space="preserve"> the extent to which the </w:t>
      </w:r>
      <w:r w:rsidR="00D57101">
        <w:rPr>
          <w:rFonts w:cstheme="minorHAnsi"/>
        </w:rPr>
        <w:t>application</w:t>
      </w:r>
      <w:r w:rsidR="00D57101" w:rsidRPr="004632E3">
        <w:rPr>
          <w:rFonts w:cstheme="minorHAnsi"/>
        </w:rPr>
        <w:t xml:space="preserve"> </w:t>
      </w:r>
      <w:r w:rsidR="00BE5BBD" w:rsidRPr="004632E3">
        <w:rPr>
          <w:rFonts w:cstheme="minorHAnsi"/>
        </w:rPr>
        <w:t>represents value for money.</w:t>
      </w:r>
    </w:p>
    <w:p w14:paraId="6799261A" w14:textId="77777777" w:rsidR="00D6788C" w:rsidRDefault="004632E3" w:rsidP="006962DE">
      <w:pPr>
        <w:spacing w:after="120" w:line="276" w:lineRule="auto"/>
        <w:rPr>
          <w:rFonts w:cstheme="minorHAnsi"/>
          <w:color w:val="000000" w:themeColor="text1"/>
        </w:rPr>
      </w:pPr>
      <w:r w:rsidRPr="004632E3">
        <w:rPr>
          <w:rFonts w:cstheme="minorHAnsi"/>
          <w:b/>
          <w:color w:val="000000" w:themeColor="text1"/>
        </w:rPr>
        <w:t xml:space="preserve">Selection </w:t>
      </w:r>
      <w:r>
        <w:rPr>
          <w:rFonts w:cstheme="minorHAnsi"/>
          <w:b/>
          <w:color w:val="000000" w:themeColor="text1"/>
        </w:rPr>
        <w:t>C</w:t>
      </w:r>
      <w:r w:rsidRPr="004632E3">
        <w:rPr>
          <w:rFonts w:cstheme="minorHAnsi"/>
          <w:b/>
          <w:color w:val="000000" w:themeColor="text1"/>
        </w:rPr>
        <w:t>riteria</w:t>
      </w:r>
      <w:r w:rsidR="006962DE">
        <w:rPr>
          <w:rFonts w:cstheme="minorHAnsi"/>
          <w:b/>
          <w:color w:val="000000" w:themeColor="text1"/>
        </w:rPr>
        <w:t xml:space="preserve"> (see also section 7.0)</w:t>
      </w:r>
      <w:r>
        <w:rPr>
          <w:rFonts w:cstheme="minorHAnsi"/>
          <w:color w:val="000000" w:themeColor="text1"/>
        </w:rPr>
        <w:t xml:space="preserve"> </w:t>
      </w:r>
    </w:p>
    <w:p w14:paraId="79579560" w14:textId="3FE1F032" w:rsidR="00BE5BBD" w:rsidRPr="004632E3" w:rsidRDefault="00BE5BBD" w:rsidP="006962DE">
      <w:pPr>
        <w:spacing w:line="276" w:lineRule="auto"/>
        <w:rPr>
          <w:rFonts w:cstheme="minorHAnsi"/>
          <w:color w:val="000000" w:themeColor="text1"/>
        </w:rPr>
      </w:pPr>
      <w:r w:rsidRPr="004632E3">
        <w:rPr>
          <w:rFonts w:cstheme="minorHAnsi"/>
          <w:color w:val="000000" w:themeColor="text1"/>
        </w:rPr>
        <w:t xml:space="preserve">This grant round has </w:t>
      </w:r>
      <w:r w:rsidRPr="00E16BD5">
        <w:rPr>
          <w:rFonts w:cstheme="minorHAnsi"/>
          <w:b/>
          <w:color w:val="000000" w:themeColor="text1"/>
          <w:u w:val="single"/>
        </w:rPr>
        <w:t>four</w:t>
      </w:r>
      <w:r w:rsidRPr="004632E3">
        <w:rPr>
          <w:rFonts w:cstheme="minorHAnsi"/>
          <w:color w:val="000000" w:themeColor="text1"/>
        </w:rPr>
        <w:t xml:space="preserve"> selection criteria</w:t>
      </w:r>
      <w:r w:rsidR="00E16BD5">
        <w:rPr>
          <w:rFonts w:cstheme="minorHAnsi"/>
          <w:color w:val="000000" w:themeColor="text1"/>
        </w:rPr>
        <w:t>:</w:t>
      </w:r>
      <w:r w:rsidR="004632E3" w:rsidRPr="004632E3">
        <w:rPr>
          <w:rFonts w:cstheme="minorHAnsi"/>
          <w:color w:val="000000" w:themeColor="text1"/>
        </w:rPr>
        <w:t xml:space="preserve"> </w:t>
      </w:r>
    </w:p>
    <w:p w14:paraId="300A6D3A" w14:textId="6A97E380" w:rsidR="004632E3" w:rsidRPr="004632E3" w:rsidRDefault="004632E3" w:rsidP="00EC3661">
      <w:pPr>
        <w:pStyle w:val="ListParagraph"/>
        <w:numPr>
          <w:ilvl w:val="0"/>
          <w:numId w:val="36"/>
        </w:numPr>
        <w:spacing w:after="120"/>
        <w:rPr>
          <w:rFonts w:asciiTheme="minorHAnsi" w:eastAsiaTheme="minorHAnsi" w:hAnsiTheme="minorHAnsi" w:cstheme="minorHAnsi"/>
          <w:color w:val="000000" w:themeColor="text1"/>
        </w:rPr>
      </w:pPr>
      <w:r w:rsidRPr="004632E3">
        <w:rPr>
          <w:rFonts w:asciiTheme="minorHAnsi" w:eastAsiaTheme="minorHAnsi" w:hAnsiTheme="minorHAnsi" w:cstheme="minorHAnsi"/>
          <w:color w:val="000000" w:themeColor="text1"/>
        </w:rPr>
        <w:t>Criterion 1: Build</w:t>
      </w:r>
      <w:r w:rsidR="001408EF">
        <w:rPr>
          <w:rFonts w:asciiTheme="minorHAnsi" w:eastAsiaTheme="minorHAnsi" w:hAnsiTheme="minorHAnsi" w:cstheme="minorHAnsi"/>
          <w:color w:val="000000" w:themeColor="text1"/>
        </w:rPr>
        <w:t xml:space="preserve">ing organisational </w:t>
      </w:r>
      <w:r w:rsidRPr="004632E3">
        <w:rPr>
          <w:rFonts w:asciiTheme="minorHAnsi" w:eastAsiaTheme="minorHAnsi" w:hAnsiTheme="minorHAnsi" w:cstheme="minorHAnsi"/>
          <w:color w:val="000000" w:themeColor="text1"/>
        </w:rPr>
        <w:t xml:space="preserve">capability </w:t>
      </w:r>
      <w:r w:rsidR="0004691D">
        <w:rPr>
          <w:rFonts w:asciiTheme="minorHAnsi" w:eastAsiaTheme="minorHAnsi" w:hAnsiTheme="minorHAnsi" w:cstheme="minorHAnsi"/>
          <w:color w:val="000000" w:themeColor="text1"/>
        </w:rPr>
        <w:t>(</w:t>
      </w:r>
      <w:r w:rsidR="0004691D" w:rsidRPr="0021211D">
        <w:rPr>
          <w:rFonts w:asciiTheme="minorHAnsi" w:eastAsiaTheme="minorHAnsi" w:hAnsiTheme="minorHAnsi" w:cstheme="minorHAnsi"/>
          <w:i/>
          <w:color w:val="000000" w:themeColor="text1"/>
        </w:rPr>
        <w:t>This question is only to be completed by DPFO applicants. Non-DPFO organisations led by and for ILC’s Priority Cohort Groups need to state ‘not applicable’ for this question in the online application form.</w:t>
      </w:r>
      <w:r w:rsidR="0004691D">
        <w:rPr>
          <w:rFonts w:asciiTheme="minorHAnsi" w:eastAsiaTheme="minorHAnsi" w:hAnsiTheme="minorHAnsi" w:cstheme="minorHAnsi"/>
          <w:i/>
          <w:color w:val="000000" w:themeColor="text1"/>
        </w:rPr>
        <w:t>)</w:t>
      </w:r>
    </w:p>
    <w:p w14:paraId="1B0D0C89" w14:textId="77777777" w:rsidR="004632E3" w:rsidRPr="004632E3" w:rsidRDefault="006962DE" w:rsidP="00C358DE">
      <w:pPr>
        <w:pStyle w:val="ListParagraph"/>
        <w:numPr>
          <w:ilvl w:val="0"/>
          <w:numId w:val="36"/>
        </w:numPr>
        <w:spacing w:after="120"/>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Criterion 2: Building</w:t>
      </w:r>
      <w:r w:rsidR="004632E3" w:rsidRPr="004632E3">
        <w:rPr>
          <w:rFonts w:asciiTheme="minorHAnsi" w:eastAsiaTheme="minorHAnsi" w:hAnsiTheme="minorHAnsi" w:cstheme="minorHAnsi"/>
          <w:color w:val="000000" w:themeColor="text1"/>
        </w:rPr>
        <w:t xml:space="preserve"> individual capability and opportunity for people with disability and their families and carers </w:t>
      </w:r>
    </w:p>
    <w:p w14:paraId="5EA69BAA" w14:textId="77777777" w:rsidR="004632E3" w:rsidRPr="004632E3" w:rsidRDefault="004632E3" w:rsidP="00C358DE">
      <w:pPr>
        <w:pStyle w:val="ListParagraph"/>
        <w:numPr>
          <w:ilvl w:val="0"/>
          <w:numId w:val="36"/>
        </w:numPr>
        <w:spacing w:after="120"/>
        <w:rPr>
          <w:rFonts w:asciiTheme="minorHAnsi" w:eastAsiaTheme="minorHAnsi" w:hAnsiTheme="minorHAnsi" w:cstheme="minorHAnsi"/>
          <w:color w:val="000000" w:themeColor="text1"/>
        </w:rPr>
      </w:pPr>
      <w:r w:rsidRPr="004632E3">
        <w:rPr>
          <w:rFonts w:asciiTheme="minorHAnsi" w:eastAsiaTheme="minorHAnsi" w:hAnsiTheme="minorHAnsi" w:cstheme="minorHAnsi"/>
          <w:color w:val="000000" w:themeColor="text1"/>
        </w:rPr>
        <w:t xml:space="preserve">Criterion 3: </w:t>
      </w:r>
      <w:r w:rsidR="00D6788C">
        <w:rPr>
          <w:rFonts w:asciiTheme="minorHAnsi" w:eastAsiaTheme="minorHAnsi" w:hAnsiTheme="minorHAnsi" w:cstheme="minorHAnsi"/>
          <w:color w:val="000000" w:themeColor="text1"/>
        </w:rPr>
        <w:t>Expected results from organisation capacity building and individual capacity building activities</w:t>
      </w:r>
      <w:r w:rsidRPr="004632E3">
        <w:rPr>
          <w:rFonts w:asciiTheme="minorHAnsi" w:eastAsiaTheme="minorHAnsi" w:hAnsiTheme="minorHAnsi" w:cstheme="minorHAnsi"/>
          <w:color w:val="000000" w:themeColor="text1"/>
        </w:rPr>
        <w:t xml:space="preserve"> </w:t>
      </w:r>
    </w:p>
    <w:p w14:paraId="38AEB5EE" w14:textId="77777777" w:rsidR="004632E3" w:rsidRPr="004632E3" w:rsidRDefault="004632E3" w:rsidP="00C358DE">
      <w:pPr>
        <w:pStyle w:val="ListParagraph"/>
        <w:numPr>
          <w:ilvl w:val="0"/>
          <w:numId w:val="36"/>
        </w:numPr>
        <w:spacing w:after="120"/>
        <w:rPr>
          <w:rFonts w:asciiTheme="minorHAnsi" w:eastAsiaTheme="minorHAnsi" w:hAnsiTheme="minorHAnsi" w:cstheme="minorHAnsi"/>
          <w:color w:val="000000" w:themeColor="text1"/>
        </w:rPr>
      </w:pPr>
      <w:r w:rsidRPr="004632E3">
        <w:rPr>
          <w:rFonts w:asciiTheme="minorHAnsi" w:eastAsiaTheme="minorHAnsi" w:hAnsiTheme="minorHAnsi" w:cstheme="minorHAnsi"/>
          <w:color w:val="000000" w:themeColor="text1"/>
        </w:rPr>
        <w:t xml:space="preserve">Criterion 4: Organisational Capability </w:t>
      </w:r>
    </w:p>
    <w:p w14:paraId="218637E4" w14:textId="77777777" w:rsidR="003E3111" w:rsidRPr="004632E3" w:rsidRDefault="003E3111" w:rsidP="00C358DE">
      <w:pPr>
        <w:spacing w:after="120" w:line="276" w:lineRule="auto"/>
        <w:rPr>
          <w:rFonts w:asciiTheme="majorHAnsi" w:eastAsiaTheme="majorEastAsia" w:hAnsiTheme="majorHAnsi" w:cstheme="majorBidi"/>
          <w:b/>
          <w:bCs/>
          <w:color w:val="1C1C1C" w:themeColor="text2"/>
        </w:rPr>
      </w:pPr>
      <w:bookmarkStart w:id="62" w:name="_Toc508880217"/>
      <w:r w:rsidRPr="004632E3">
        <w:rPr>
          <w:rFonts w:asciiTheme="majorHAnsi" w:eastAsiaTheme="majorEastAsia" w:hAnsiTheme="majorHAnsi" w:cstheme="majorBidi"/>
          <w:b/>
          <w:bCs/>
          <w:color w:val="1C1C1C" w:themeColor="text2"/>
        </w:rPr>
        <w:t xml:space="preserve">Value for </w:t>
      </w:r>
      <w:r w:rsidRPr="00C358DE">
        <w:rPr>
          <w:rFonts w:cstheme="minorHAnsi"/>
          <w:b/>
          <w:color w:val="000000" w:themeColor="text1"/>
        </w:rPr>
        <w:t>Money</w:t>
      </w:r>
      <w:bookmarkEnd w:id="62"/>
    </w:p>
    <w:p w14:paraId="351AE3CB" w14:textId="77777777" w:rsidR="006962DE" w:rsidRDefault="003E3111" w:rsidP="00CC3C8E">
      <w:pPr>
        <w:spacing w:after="120" w:line="276" w:lineRule="auto"/>
        <w:rPr>
          <w:rFonts w:cstheme="minorHAnsi"/>
        </w:rPr>
      </w:pPr>
      <w:r w:rsidRPr="004632E3">
        <w:rPr>
          <w:rFonts w:cstheme="minorHAnsi"/>
        </w:rPr>
        <w:t xml:space="preserve">Value for money forms a key part of the </w:t>
      </w:r>
      <w:r w:rsidR="006F1CA2" w:rsidRPr="004632E3">
        <w:rPr>
          <w:rFonts w:cstheme="minorHAnsi"/>
        </w:rPr>
        <w:t xml:space="preserve">selection process, </w:t>
      </w:r>
      <w:r w:rsidR="00B2495B">
        <w:rPr>
          <w:rFonts w:cstheme="minorHAnsi"/>
        </w:rPr>
        <w:t>and is one of the key considerations</w:t>
      </w:r>
      <w:r w:rsidR="006F1CA2" w:rsidRPr="004632E3">
        <w:rPr>
          <w:rFonts w:cstheme="minorHAnsi"/>
        </w:rPr>
        <w:t xml:space="preserve"> for the </w:t>
      </w:r>
      <w:r w:rsidR="00771C5D">
        <w:rPr>
          <w:rFonts w:cstheme="minorHAnsi"/>
        </w:rPr>
        <w:t>Selection Advisory Panel</w:t>
      </w:r>
      <w:r w:rsidR="006F1CA2" w:rsidRPr="004632E3">
        <w:rPr>
          <w:rFonts w:cstheme="minorHAnsi"/>
        </w:rPr>
        <w:t xml:space="preserve">. </w:t>
      </w:r>
    </w:p>
    <w:p w14:paraId="63A1C4E6" w14:textId="77777777" w:rsidR="003E3111" w:rsidRPr="004632E3" w:rsidRDefault="003E3111" w:rsidP="006962DE">
      <w:pPr>
        <w:spacing w:line="276" w:lineRule="auto"/>
        <w:rPr>
          <w:rFonts w:cstheme="minorHAnsi"/>
        </w:rPr>
      </w:pPr>
      <w:r w:rsidRPr="004632E3">
        <w:rPr>
          <w:rFonts w:cstheme="minorHAnsi"/>
        </w:rPr>
        <w:t xml:space="preserve">Applicants should demonstrate </w:t>
      </w:r>
      <w:r w:rsidR="0033079D">
        <w:rPr>
          <w:rFonts w:cstheme="minorHAnsi"/>
        </w:rPr>
        <w:t xml:space="preserve">that their </w:t>
      </w:r>
      <w:r w:rsidR="00BF3941">
        <w:rPr>
          <w:rFonts w:cstheme="minorHAnsi"/>
        </w:rPr>
        <w:t>Application</w:t>
      </w:r>
      <w:r w:rsidR="0033079D">
        <w:rPr>
          <w:rFonts w:cstheme="minorHAnsi"/>
        </w:rPr>
        <w:t xml:space="preserve"> represents </w:t>
      </w:r>
      <w:r w:rsidRPr="004632E3">
        <w:rPr>
          <w:rFonts w:cstheme="minorHAnsi"/>
        </w:rPr>
        <w:t>value for money</w:t>
      </w:r>
      <w:r w:rsidR="00E52C74" w:rsidRPr="004632E3">
        <w:rPr>
          <w:rFonts w:cstheme="minorHAnsi"/>
        </w:rPr>
        <w:t xml:space="preserve"> across all of their </w:t>
      </w:r>
      <w:r w:rsidR="001408EF">
        <w:rPr>
          <w:rFonts w:cstheme="minorHAnsi"/>
        </w:rPr>
        <w:t>selection</w:t>
      </w:r>
      <w:r w:rsidR="00E52C74" w:rsidRPr="004632E3">
        <w:rPr>
          <w:rFonts w:cstheme="minorHAnsi"/>
        </w:rPr>
        <w:t xml:space="preserve"> criteria responses</w:t>
      </w:r>
      <w:r w:rsidRPr="004632E3">
        <w:rPr>
          <w:rFonts w:cstheme="minorHAnsi"/>
        </w:rPr>
        <w:t xml:space="preserve"> by: </w:t>
      </w:r>
    </w:p>
    <w:p w14:paraId="500BA9CF" w14:textId="77777777" w:rsidR="003E3111" w:rsidRPr="00A67314" w:rsidRDefault="00341A4F" w:rsidP="00EC3661">
      <w:pPr>
        <w:numPr>
          <w:ilvl w:val="0"/>
          <w:numId w:val="24"/>
        </w:numPr>
        <w:suppressAutoHyphens w:val="0"/>
        <w:spacing w:before="0" w:after="120" w:line="276" w:lineRule="auto"/>
        <w:ind w:left="714" w:hanging="357"/>
        <w:rPr>
          <w:rFonts w:asciiTheme="majorHAnsi" w:eastAsia="Times New Roman" w:hAnsiTheme="majorHAnsi" w:cstheme="majorHAnsi"/>
          <w:lang w:eastAsia="en-AU"/>
        </w:rPr>
      </w:pPr>
      <w:r>
        <w:rPr>
          <w:rFonts w:asciiTheme="majorHAnsi" w:eastAsia="Times New Roman" w:hAnsiTheme="majorHAnsi" w:cstheme="majorHAnsi"/>
          <w:lang w:eastAsia="en-AU"/>
        </w:rPr>
        <w:t>E</w:t>
      </w:r>
      <w:r w:rsidRPr="00A67314">
        <w:rPr>
          <w:rFonts w:asciiTheme="majorHAnsi" w:eastAsia="Times New Roman" w:hAnsiTheme="majorHAnsi" w:cstheme="majorHAnsi"/>
          <w:lang w:eastAsia="en-AU"/>
        </w:rPr>
        <w:t xml:space="preserve">xplaining </w:t>
      </w:r>
      <w:r w:rsidR="003E3111" w:rsidRPr="00A67314">
        <w:rPr>
          <w:rFonts w:asciiTheme="majorHAnsi" w:eastAsia="Times New Roman" w:hAnsiTheme="majorHAnsi" w:cstheme="majorHAnsi"/>
          <w:lang w:eastAsia="en-AU"/>
        </w:rPr>
        <w:t xml:space="preserve">how </w:t>
      </w:r>
      <w:r w:rsidR="003B437A">
        <w:rPr>
          <w:rFonts w:asciiTheme="majorHAnsi" w:eastAsia="Times New Roman" w:hAnsiTheme="majorHAnsi" w:cstheme="majorHAnsi"/>
          <w:lang w:eastAsia="en-AU"/>
        </w:rPr>
        <w:t xml:space="preserve">the </w:t>
      </w:r>
      <w:r w:rsidR="00D57101">
        <w:rPr>
          <w:rFonts w:asciiTheme="majorHAnsi" w:eastAsia="Times New Roman" w:hAnsiTheme="majorHAnsi" w:cstheme="majorHAnsi"/>
          <w:lang w:eastAsia="en-AU"/>
        </w:rPr>
        <w:t>applicant</w:t>
      </w:r>
      <w:r w:rsidR="00D57101" w:rsidRPr="00A67314">
        <w:rPr>
          <w:rFonts w:asciiTheme="majorHAnsi" w:eastAsia="Times New Roman" w:hAnsiTheme="majorHAnsi" w:cstheme="majorHAnsi"/>
          <w:lang w:eastAsia="en-AU"/>
        </w:rPr>
        <w:t xml:space="preserve"> </w:t>
      </w:r>
      <w:r w:rsidR="003E3111" w:rsidRPr="00A67314">
        <w:rPr>
          <w:rFonts w:asciiTheme="majorHAnsi" w:eastAsia="Times New Roman" w:hAnsiTheme="majorHAnsi" w:cstheme="majorHAnsi"/>
          <w:lang w:eastAsia="en-AU"/>
        </w:rPr>
        <w:t>will efficiently and effectively implement the proposed activity. This may involve using existing processes and technologies or professional standards, or it may involve innovation and performance improvement;</w:t>
      </w:r>
    </w:p>
    <w:p w14:paraId="6A7E4682" w14:textId="77777777" w:rsidR="003E3111" w:rsidRPr="00A67314" w:rsidRDefault="00341A4F" w:rsidP="00EC3661">
      <w:pPr>
        <w:numPr>
          <w:ilvl w:val="0"/>
          <w:numId w:val="24"/>
        </w:numPr>
        <w:suppressAutoHyphens w:val="0"/>
        <w:spacing w:before="0" w:after="120" w:line="276" w:lineRule="auto"/>
        <w:ind w:left="714" w:hanging="357"/>
        <w:rPr>
          <w:rFonts w:asciiTheme="majorHAnsi" w:eastAsia="Times New Roman" w:hAnsiTheme="majorHAnsi" w:cstheme="majorHAnsi"/>
          <w:lang w:eastAsia="en-AU"/>
        </w:rPr>
      </w:pPr>
      <w:r>
        <w:rPr>
          <w:rFonts w:asciiTheme="majorHAnsi" w:eastAsia="Times New Roman" w:hAnsiTheme="majorHAnsi" w:cstheme="majorHAnsi"/>
          <w:lang w:eastAsia="en-AU"/>
        </w:rPr>
        <w:t>H</w:t>
      </w:r>
      <w:r w:rsidRPr="00A67314">
        <w:rPr>
          <w:rFonts w:asciiTheme="majorHAnsi" w:eastAsia="Times New Roman" w:hAnsiTheme="majorHAnsi" w:cstheme="majorHAnsi"/>
          <w:lang w:eastAsia="en-AU"/>
        </w:rPr>
        <w:t xml:space="preserve">aving </w:t>
      </w:r>
      <w:r w:rsidR="003E3111" w:rsidRPr="00A67314">
        <w:rPr>
          <w:rFonts w:asciiTheme="majorHAnsi" w:eastAsia="Times New Roman" w:hAnsiTheme="majorHAnsi" w:cstheme="majorHAnsi"/>
          <w:lang w:eastAsia="en-AU"/>
        </w:rPr>
        <w:t>in place an effective risk management approach to ensure grant money is used efficiently and to maximise ILC outcomes</w:t>
      </w:r>
      <w:r w:rsidR="00B2495B">
        <w:rPr>
          <w:rFonts w:asciiTheme="majorHAnsi" w:eastAsia="Times New Roman" w:hAnsiTheme="majorHAnsi" w:cstheme="majorHAnsi"/>
          <w:lang w:eastAsia="en-AU"/>
        </w:rPr>
        <w:t>;</w:t>
      </w:r>
    </w:p>
    <w:p w14:paraId="0963E10A" w14:textId="77777777" w:rsidR="003E3111" w:rsidRPr="00A67314" w:rsidRDefault="00341A4F" w:rsidP="00EC3661">
      <w:pPr>
        <w:numPr>
          <w:ilvl w:val="0"/>
          <w:numId w:val="24"/>
        </w:numPr>
        <w:suppressAutoHyphens w:val="0"/>
        <w:spacing w:before="0" w:after="120" w:line="276" w:lineRule="auto"/>
        <w:ind w:left="714" w:hanging="357"/>
        <w:rPr>
          <w:rFonts w:asciiTheme="majorHAnsi" w:eastAsia="Times New Roman" w:hAnsiTheme="majorHAnsi" w:cstheme="majorHAnsi"/>
          <w:lang w:eastAsia="en-AU"/>
        </w:rPr>
      </w:pPr>
      <w:r>
        <w:rPr>
          <w:rFonts w:asciiTheme="majorHAnsi" w:eastAsia="Times New Roman" w:hAnsiTheme="majorHAnsi" w:cstheme="majorHAnsi"/>
          <w:lang w:eastAsia="en-AU"/>
        </w:rPr>
        <w:t>H</w:t>
      </w:r>
      <w:r w:rsidRPr="00A67314">
        <w:rPr>
          <w:rFonts w:asciiTheme="majorHAnsi" w:eastAsia="Times New Roman" w:hAnsiTheme="majorHAnsi" w:cstheme="majorHAnsi"/>
          <w:lang w:eastAsia="en-AU"/>
        </w:rPr>
        <w:t xml:space="preserve">aving </w:t>
      </w:r>
      <w:r w:rsidR="003E3111" w:rsidRPr="00A67314">
        <w:rPr>
          <w:rFonts w:asciiTheme="majorHAnsi" w:eastAsia="Times New Roman" w:hAnsiTheme="majorHAnsi" w:cstheme="majorHAnsi"/>
          <w:lang w:eastAsia="en-AU"/>
        </w:rPr>
        <w:t xml:space="preserve">processes in place for ongoing monitoring and management of the proposed activity funded by the grant, as appropriate. This may involve the effective use of organisational processes, procedures and systems to produce the required reporting information; and </w:t>
      </w:r>
    </w:p>
    <w:p w14:paraId="57BD011E" w14:textId="77777777" w:rsidR="003E3111" w:rsidRDefault="00341A4F" w:rsidP="00EC3661">
      <w:pPr>
        <w:numPr>
          <w:ilvl w:val="0"/>
          <w:numId w:val="24"/>
        </w:numPr>
        <w:suppressAutoHyphens w:val="0"/>
        <w:spacing w:before="0" w:after="120" w:line="276" w:lineRule="auto"/>
        <w:ind w:left="714" w:hanging="357"/>
        <w:rPr>
          <w:rFonts w:asciiTheme="majorHAnsi" w:eastAsia="Times New Roman" w:hAnsiTheme="majorHAnsi" w:cstheme="majorHAnsi"/>
          <w:lang w:eastAsia="en-AU"/>
        </w:rPr>
      </w:pPr>
      <w:r>
        <w:rPr>
          <w:rFonts w:asciiTheme="majorHAnsi" w:eastAsia="Times New Roman" w:hAnsiTheme="majorHAnsi" w:cstheme="majorHAnsi"/>
          <w:lang w:eastAsia="en-AU"/>
        </w:rPr>
        <w:t>C</w:t>
      </w:r>
      <w:r w:rsidRPr="00A67314">
        <w:rPr>
          <w:rFonts w:asciiTheme="majorHAnsi" w:eastAsia="Times New Roman" w:hAnsiTheme="majorHAnsi" w:cstheme="majorHAnsi"/>
          <w:lang w:eastAsia="en-AU"/>
        </w:rPr>
        <w:t xml:space="preserve">onsidering </w:t>
      </w:r>
      <w:r w:rsidR="003E3111" w:rsidRPr="00A67314">
        <w:rPr>
          <w:rFonts w:asciiTheme="majorHAnsi" w:eastAsia="Times New Roman" w:hAnsiTheme="majorHAnsi" w:cstheme="majorHAnsi"/>
          <w:lang w:eastAsia="en-AU"/>
        </w:rPr>
        <w:t>both the financial and non-financial costs and benefits of each activity proposal throughout the whole grant cycle.</w:t>
      </w:r>
    </w:p>
    <w:p w14:paraId="2C58FD67" w14:textId="77777777" w:rsidR="009B78EB" w:rsidRDefault="009B78EB">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63" w:name="_Ref421697890"/>
      <w:bookmarkStart w:id="64" w:name="_Ref421697892"/>
      <w:bookmarkStart w:id="65" w:name="_Toc421777600"/>
      <w:bookmarkStart w:id="66" w:name="_Toc467773964"/>
      <w:bookmarkEnd w:id="53"/>
      <w:bookmarkEnd w:id="54"/>
      <w:r>
        <w:br w:type="page"/>
      </w:r>
    </w:p>
    <w:p w14:paraId="08E0B67E" w14:textId="7DBF3B75" w:rsidR="00340616" w:rsidRPr="00B72EE8" w:rsidRDefault="00F64AC7" w:rsidP="00CC3C8E">
      <w:pPr>
        <w:pStyle w:val="Heading1Numbered"/>
        <w:spacing w:before="720" w:line="276" w:lineRule="auto"/>
        <w:contextualSpacing w:val="0"/>
      </w:pPr>
      <w:bookmarkStart w:id="67" w:name="_Toc531005190"/>
      <w:r>
        <w:lastRenderedPageBreak/>
        <w:t xml:space="preserve">6. </w:t>
      </w:r>
      <w:bookmarkEnd w:id="63"/>
      <w:bookmarkEnd w:id="64"/>
      <w:bookmarkEnd w:id="65"/>
      <w:bookmarkEnd w:id="66"/>
      <w:r w:rsidR="00916165">
        <w:t>Completing the detailed response</w:t>
      </w:r>
      <w:r w:rsidR="00BF3941">
        <w:t>s</w:t>
      </w:r>
      <w:bookmarkEnd w:id="67"/>
    </w:p>
    <w:p w14:paraId="2FC5A40A" w14:textId="6CFE22AB" w:rsidR="00064124" w:rsidRPr="004632E3" w:rsidRDefault="00F62FD6" w:rsidP="00CC3C8E">
      <w:pPr>
        <w:spacing w:after="120" w:line="276" w:lineRule="auto"/>
        <w:rPr>
          <w:rFonts w:cstheme="minorHAnsi"/>
        </w:rPr>
      </w:pPr>
      <w:r w:rsidRPr="004632E3">
        <w:rPr>
          <w:rFonts w:cstheme="minorHAnsi"/>
        </w:rPr>
        <w:t xml:space="preserve">Each </w:t>
      </w:r>
      <w:r w:rsidR="00E81B06">
        <w:rPr>
          <w:rFonts w:cstheme="minorHAnsi"/>
        </w:rPr>
        <w:t>response</w:t>
      </w:r>
      <w:r w:rsidR="00E81B06" w:rsidRPr="004632E3">
        <w:rPr>
          <w:rFonts w:cstheme="minorHAnsi"/>
        </w:rPr>
        <w:t xml:space="preserve"> </w:t>
      </w:r>
      <w:r w:rsidRPr="004632E3">
        <w:rPr>
          <w:rFonts w:cstheme="minorHAnsi"/>
        </w:rPr>
        <w:t xml:space="preserve">has a word limit. </w:t>
      </w:r>
      <w:r w:rsidR="00064124" w:rsidRPr="004632E3">
        <w:rPr>
          <w:rFonts w:cstheme="minorHAnsi"/>
        </w:rPr>
        <w:t>When assessing applications, the DSS Community Grants Hub reserves the right to not take into account any words in excess of this limit</w:t>
      </w:r>
      <w:r w:rsidR="009B78EB">
        <w:rPr>
          <w:rFonts w:cstheme="minorHAnsi"/>
        </w:rPr>
        <w:t>.</w:t>
      </w:r>
    </w:p>
    <w:p w14:paraId="4C32EA2D" w14:textId="77777777" w:rsidR="00483DD3" w:rsidRDefault="00916165" w:rsidP="00CC3C8E">
      <w:pPr>
        <w:pStyle w:val="Heading2Numbered"/>
        <w:spacing w:line="276" w:lineRule="auto"/>
        <w:contextualSpacing w:val="0"/>
      </w:pPr>
      <w:bookmarkStart w:id="68" w:name="_Toc531005191"/>
      <w:r>
        <w:t xml:space="preserve">6.1 </w:t>
      </w:r>
      <w:r w:rsidR="00873511">
        <w:t xml:space="preserve">Responding to </w:t>
      </w:r>
      <w:r w:rsidR="00E16BD5">
        <w:t>‘T</w:t>
      </w:r>
      <w:r w:rsidR="00BF3941">
        <w:t xml:space="preserve">ell us </w:t>
      </w:r>
      <w:r w:rsidR="00873511">
        <w:t>about your organisation</w:t>
      </w:r>
      <w:r w:rsidR="00BF3941">
        <w:t>’</w:t>
      </w:r>
      <w:bookmarkEnd w:id="68"/>
      <w:r w:rsidR="00873511">
        <w:t xml:space="preserve"> </w:t>
      </w:r>
    </w:p>
    <w:p w14:paraId="584E9251" w14:textId="77777777" w:rsidR="00873511" w:rsidRPr="008A2BAE" w:rsidRDefault="00873511" w:rsidP="00CC3C8E">
      <w:pPr>
        <w:spacing w:before="0" w:after="120" w:line="276" w:lineRule="auto"/>
      </w:pPr>
      <w:r>
        <w:t xml:space="preserve">This question </w:t>
      </w:r>
      <w:r w:rsidR="00BF3941">
        <w:t>in the application form asks the</w:t>
      </w:r>
      <w:r>
        <w:t xml:space="preserve"> </w:t>
      </w:r>
      <w:r w:rsidR="00BF3941">
        <w:t>a</w:t>
      </w:r>
      <w:r w:rsidR="004E7A6C">
        <w:t xml:space="preserve">pplicant </w:t>
      </w:r>
      <w:r>
        <w:t xml:space="preserve">to provide details about </w:t>
      </w:r>
      <w:r w:rsidRPr="008A2BAE">
        <w:t xml:space="preserve">the organisation </w:t>
      </w:r>
      <w:r w:rsidR="006E56CD">
        <w:t>that</w:t>
      </w:r>
      <w:r w:rsidR="006E56CD" w:rsidRPr="008A2BAE">
        <w:t xml:space="preserve"> </w:t>
      </w:r>
      <w:r w:rsidRPr="008A2BAE">
        <w:t xml:space="preserve">would deliver the grant and how it meets the eligibility requirements. </w:t>
      </w:r>
      <w:r w:rsidR="00434787">
        <w:t>This response is used by NDIA and the Hub to determine whether the applicant is an eligible applicant type (section 3.1).</w:t>
      </w:r>
    </w:p>
    <w:p w14:paraId="595022B0" w14:textId="77777777" w:rsidR="00873511" w:rsidRPr="008A2BAE" w:rsidRDefault="00873511" w:rsidP="006962DE">
      <w:pPr>
        <w:spacing w:line="276" w:lineRule="auto"/>
      </w:pPr>
      <w:r w:rsidRPr="008A2BAE">
        <w:t xml:space="preserve">Include in </w:t>
      </w:r>
      <w:r w:rsidR="00C64AC2">
        <w:t>the</w:t>
      </w:r>
      <w:r w:rsidR="00C64AC2" w:rsidRPr="008A2BAE">
        <w:t xml:space="preserve"> </w:t>
      </w:r>
      <w:r w:rsidRPr="008A2BAE">
        <w:t>answer a description of:</w:t>
      </w:r>
    </w:p>
    <w:p w14:paraId="724F9E0A" w14:textId="4CA066F6" w:rsidR="00873511" w:rsidRPr="008A2BAE" w:rsidRDefault="00873511" w:rsidP="00EC3661">
      <w:pPr>
        <w:pStyle w:val="ListParagraph"/>
        <w:numPr>
          <w:ilvl w:val="0"/>
          <w:numId w:val="23"/>
        </w:numPr>
        <w:spacing w:after="120"/>
        <w:ind w:left="714" w:hanging="357"/>
        <w:rPr>
          <w:rFonts w:asciiTheme="minorHAnsi" w:eastAsiaTheme="minorHAnsi" w:hAnsiTheme="minorHAnsi" w:cstheme="minorBidi"/>
        </w:rPr>
      </w:pPr>
      <w:r w:rsidRPr="008A2BAE">
        <w:rPr>
          <w:rFonts w:asciiTheme="minorHAnsi" w:eastAsiaTheme="minorHAnsi" w:hAnsiTheme="minorHAnsi" w:cstheme="minorBidi"/>
        </w:rPr>
        <w:t xml:space="preserve">How </w:t>
      </w:r>
      <w:r w:rsidR="00C64AC2">
        <w:rPr>
          <w:rFonts w:asciiTheme="minorHAnsi" w:eastAsiaTheme="minorHAnsi" w:hAnsiTheme="minorHAnsi" w:cstheme="minorBidi"/>
        </w:rPr>
        <w:t>the</w:t>
      </w:r>
      <w:r w:rsidR="00C64AC2" w:rsidRPr="008A2BAE">
        <w:rPr>
          <w:rFonts w:asciiTheme="minorHAnsi" w:eastAsiaTheme="minorHAnsi" w:hAnsiTheme="minorHAnsi" w:cstheme="minorBidi"/>
        </w:rPr>
        <w:t xml:space="preserve"> </w:t>
      </w:r>
      <w:r w:rsidRPr="008A2BAE">
        <w:rPr>
          <w:rFonts w:asciiTheme="minorHAnsi" w:eastAsiaTheme="minorHAnsi" w:hAnsiTheme="minorHAnsi" w:cstheme="minorBidi"/>
        </w:rPr>
        <w:t xml:space="preserve">organisation meets the definition of a </w:t>
      </w:r>
      <w:r w:rsidRPr="005B632B">
        <w:rPr>
          <w:rFonts w:asciiTheme="minorHAnsi" w:eastAsiaTheme="minorHAnsi" w:hAnsiTheme="minorHAnsi" w:cstheme="minorHAnsi"/>
        </w:rPr>
        <w:t>DPFO</w:t>
      </w:r>
      <w:r w:rsidR="005B632B" w:rsidRPr="005B632B">
        <w:rPr>
          <w:rFonts w:asciiTheme="minorHAnsi" w:eastAsiaTheme="minorHAnsi" w:hAnsiTheme="minorHAnsi" w:cstheme="minorHAnsi"/>
        </w:rPr>
        <w:t xml:space="preserve"> or an </w:t>
      </w:r>
      <w:r w:rsidR="005B632B" w:rsidRPr="0021211D">
        <w:rPr>
          <w:rFonts w:asciiTheme="minorHAnsi" w:hAnsiTheme="minorHAnsi" w:cstheme="minorHAnsi"/>
        </w:rPr>
        <w:t>organisation led by ILC Priority cohorts</w:t>
      </w:r>
      <w:r w:rsidR="009B78EB">
        <w:rPr>
          <w:rFonts w:asciiTheme="minorHAnsi" w:hAnsiTheme="minorHAnsi" w:cstheme="minorHAnsi"/>
        </w:rPr>
        <w:t xml:space="preserve"> groups</w:t>
      </w:r>
      <w:r w:rsidR="00386168">
        <w:rPr>
          <w:rFonts w:asciiTheme="minorHAnsi" w:eastAsiaTheme="minorHAnsi" w:hAnsiTheme="minorHAnsi" w:cstheme="minorBidi"/>
        </w:rPr>
        <w:t xml:space="preserve"> (where relevant)</w:t>
      </w:r>
      <w:r w:rsidR="00312B9C">
        <w:rPr>
          <w:rFonts w:asciiTheme="minorHAnsi" w:eastAsiaTheme="minorHAnsi" w:hAnsiTheme="minorHAnsi" w:cstheme="minorBidi"/>
        </w:rPr>
        <w:t>;</w:t>
      </w:r>
    </w:p>
    <w:p w14:paraId="736ED93F" w14:textId="77777777" w:rsidR="00873511" w:rsidRPr="008A2BAE" w:rsidRDefault="00873511" w:rsidP="00EC3661">
      <w:pPr>
        <w:pStyle w:val="ListParagraph"/>
        <w:numPr>
          <w:ilvl w:val="0"/>
          <w:numId w:val="23"/>
        </w:numPr>
        <w:spacing w:after="120"/>
        <w:ind w:left="714" w:hanging="357"/>
        <w:rPr>
          <w:rFonts w:asciiTheme="minorHAnsi" w:eastAsiaTheme="minorHAnsi" w:hAnsiTheme="minorHAnsi" w:cstheme="minorBidi"/>
        </w:rPr>
      </w:pPr>
      <w:r w:rsidRPr="008A2BAE">
        <w:rPr>
          <w:rFonts w:asciiTheme="minorHAnsi" w:eastAsiaTheme="minorHAnsi" w:hAnsiTheme="minorHAnsi" w:cstheme="minorBidi"/>
        </w:rPr>
        <w:t>The organisation’s mission/purpose</w:t>
      </w:r>
      <w:r w:rsidR="00312B9C">
        <w:rPr>
          <w:rFonts w:asciiTheme="minorHAnsi" w:eastAsiaTheme="minorHAnsi" w:hAnsiTheme="minorHAnsi" w:cstheme="minorBidi"/>
        </w:rPr>
        <w:t>;</w:t>
      </w:r>
    </w:p>
    <w:p w14:paraId="7E912A36" w14:textId="77777777" w:rsidR="00873511" w:rsidRPr="008A2BAE" w:rsidRDefault="00873511" w:rsidP="00EC3661">
      <w:pPr>
        <w:pStyle w:val="ListParagraph"/>
        <w:numPr>
          <w:ilvl w:val="0"/>
          <w:numId w:val="23"/>
        </w:numPr>
        <w:spacing w:after="120"/>
        <w:ind w:left="714" w:hanging="357"/>
        <w:rPr>
          <w:rFonts w:asciiTheme="minorHAnsi" w:eastAsiaTheme="minorHAnsi" w:hAnsiTheme="minorHAnsi" w:cstheme="minorBidi"/>
        </w:rPr>
      </w:pPr>
      <w:r w:rsidRPr="008A2BAE">
        <w:rPr>
          <w:rFonts w:asciiTheme="minorHAnsi" w:eastAsiaTheme="minorHAnsi" w:hAnsiTheme="minorHAnsi" w:cstheme="minorBidi"/>
        </w:rPr>
        <w:t xml:space="preserve">The size of </w:t>
      </w:r>
      <w:r w:rsidR="007B2085">
        <w:rPr>
          <w:rFonts w:asciiTheme="minorHAnsi" w:eastAsiaTheme="minorHAnsi" w:hAnsiTheme="minorHAnsi" w:cstheme="minorBidi"/>
        </w:rPr>
        <w:t>the</w:t>
      </w:r>
      <w:r w:rsidR="007B2085" w:rsidRPr="008A2BAE">
        <w:rPr>
          <w:rFonts w:asciiTheme="minorHAnsi" w:eastAsiaTheme="minorHAnsi" w:hAnsiTheme="minorHAnsi" w:cstheme="minorBidi"/>
        </w:rPr>
        <w:t xml:space="preserve"> </w:t>
      </w:r>
      <w:r w:rsidRPr="008A2BAE">
        <w:rPr>
          <w:rFonts w:asciiTheme="minorHAnsi" w:eastAsiaTheme="minorHAnsi" w:hAnsiTheme="minorHAnsi" w:cstheme="minorBidi"/>
        </w:rPr>
        <w:t>organisation (including volunteers) and the number of people or members</w:t>
      </w:r>
      <w:r w:rsidR="00B2495B">
        <w:rPr>
          <w:rFonts w:asciiTheme="minorHAnsi" w:eastAsiaTheme="minorHAnsi" w:hAnsiTheme="minorHAnsi" w:cstheme="minorBidi"/>
        </w:rPr>
        <w:t xml:space="preserve"> with disability</w:t>
      </w:r>
      <w:r w:rsidRPr="008A2BAE">
        <w:rPr>
          <w:rFonts w:asciiTheme="minorHAnsi" w:eastAsiaTheme="minorHAnsi" w:hAnsiTheme="minorHAnsi" w:cstheme="minorBidi"/>
        </w:rPr>
        <w:t xml:space="preserve"> it supports</w:t>
      </w:r>
      <w:r w:rsidR="00312B9C">
        <w:rPr>
          <w:rFonts w:asciiTheme="minorHAnsi" w:eastAsiaTheme="minorHAnsi" w:hAnsiTheme="minorHAnsi" w:cstheme="minorBidi"/>
        </w:rPr>
        <w:t>;</w:t>
      </w:r>
    </w:p>
    <w:p w14:paraId="220D6237" w14:textId="77777777" w:rsidR="00873511" w:rsidRPr="008A2BAE" w:rsidRDefault="00873511" w:rsidP="00EC3661">
      <w:pPr>
        <w:pStyle w:val="ListParagraph"/>
        <w:numPr>
          <w:ilvl w:val="0"/>
          <w:numId w:val="23"/>
        </w:numPr>
        <w:spacing w:after="120"/>
        <w:ind w:left="714" w:hanging="357"/>
        <w:rPr>
          <w:rFonts w:asciiTheme="minorHAnsi" w:eastAsiaTheme="minorHAnsi" w:hAnsiTheme="minorHAnsi" w:cstheme="minorBidi"/>
        </w:rPr>
      </w:pPr>
      <w:r w:rsidRPr="008A2BAE">
        <w:rPr>
          <w:rFonts w:asciiTheme="minorHAnsi" w:eastAsiaTheme="minorHAnsi" w:hAnsiTheme="minorHAnsi" w:cstheme="minorBidi"/>
        </w:rPr>
        <w:t xml:space="preserve">The day to day activities or services that </w:t>
      </w:r>
      <w:r w:rsidR="00A0651C">
        <w:rPr>
          <w:rFonts w:asciiTheme="minorHAnsi" w:eastAsiaTheme="minorHAnsi" w:hAnsiTheme="minorHAnsi" w:cstheme="minorBidi"/>
        </w:rPr>
        <w:t>the</w:t>
      </w:r>
      <w:r w:rsidR="00A0651C" w:rsidRPr="008A2BAE">
        <w:rPr>
          <w:rFonts w:asciiTheme="minorHAnsi" w:eastAsiaTheme="minorHAnsi" w:hAnsiTheme="minorHAnsi" w:cstheme="minorBidi"/>
        </w:rPr>
        <w:t xml:space="preserve"> </w:t>
      </w:r>
      <w:r w:rsidRPr="008A2BAE">
        <w:rPr>
          <w:rFonts w:asciiTheme="minorHAnsi" w:eastAsiaTheme="minorHAnsi" w:hAnsiTheme="minorHAnsi" w:cstheme="minorBidi"/>
        </w:rPr>
        <w:t>organisation delivers</w:t>
      </w:r>
      <w:r w:rsidR="00312B9C">
        <w:rPr>
          <w:rFonts w:asciiTheme="minorHAnsi" w:eastAsiaTheme="minorHAnsi" w:hAnsiTheme="minorHAnsi" w:cstheme="minorBidi"/>
        </w:rPr>
        <w:t>;</w:t>
      </w:r>
    </w:p>
    <w:p w14:paraId="767D908C" w14:textId="77777777" w:rsidR="00873511" w:rsidRPr="008A2BAE" w:rsidRDefault="00873511" w:rsidP="00EC3661">
      <w:pPr>
        <w:pStyle w:val="ListParagraph"/>
        <w:numPr>
          <w:ilvl w:val="0"/>
          <w:numId w:val="23"/>
        </w:numPr>
        <w:spacing w:after="120"/>
        <w:ind w:left="714" w:hanging="357"/>
        <w:rPr>
          <w:rFonts w:asciiTheme="minorHAnsi" w:eastAsiaTheme="minorHAnsi" w:hAnsiTheme="minorHAnsi" w:cstheme="minorBidi"/>
        </w:rPr>
      </w:pPr>
      <w:r w:rsidRPr="008A2BAE">
        <w:rPr>
          <w:rFonts w:asciiTheme="minorHAnsi" w:eastAsiaTheme="minorHAnsi" w:hAnsiTheme="minorHAnsi" w:cstheme="minorBidi"/>
        </w:rPr>
        <w:t xml:space="preserve">The people </w:t>
      </w:r>
      <w:r w:rsidR="00822DD4">
        <w:rPr>
          <w:rFonts w:asciiTheme="minorHAnsi" w:eastAsiaTheme="minorHAnsi" w:hAnsiTheme="minorHAnsi" w:cstheme="minorBidi"/>
        </w:rPr>
        <w:t xml:space="preserve">the </w:t>
      </w:r>
      <w:r w:rsidR="008C5636">
        <w:rPr>
          <w:rFonts w:asciiTheme="minorHAnsi" w:eastAsiaTheme="minorHAnsi" w:hAnsiTheme="minorHAnsi" w:cstheme="minorBidi"/>
        </w:rPr>
        <w:t>organisation</w:t>
      </w:r>
      <w:r w:rsidR="00822DD4" w:rsidRPr="008A2BAE">
        <w:rPr>
          <w:rFonts w:asciiTheme="minorHAnsi" w:eastAsiaTheme="minorHAnsi" w:hAnsiTheme="minorHAnsi" w:cstheme="minorBidi"/>
        </w:rPr>
        <w:t xml:space="preserve"> </w:t>
      </w:r>
      <w:r w:rsidRPr="008A2BAE">
        <w:rPr>
          <w:rFonts w:asciiTheme="minorHAnsi" w:eastAsiaTheme="minorHAnsi" w:hAnsiTheme="minorHAnsi" w:cstheme="minorBidi"/>
        </w:rPr>
        <w:t>work</w:t>
      </w:r>
      <w:r w:rsidR="008C5636">
        <w:rPr>
          <w:rFonts w:asciiTheme="minorHAnsi" w:eastAsiaTheme="minorHAnsi" w:hAnsiTheme="minorHAnsi" w:cstheme="minorBidi"/>
        </w:rPr>
        <w:t>s</w:t>
      </w:r>
      <w:r w:rsidRPr="008A2BAE">
        <w:rPr>
          <w:rFonts w:asciiTheme="minorHAnsi" w:eastAsiaTheme="minorHAnsi" w:hAnsiTheme="minorHAnsi" w:cstheme="minorBidi"/>
        </w:rPr>
        <w:t xml:space="preserve"> with and how </w:t>
      </w:r>
      <w:r w:rsidR="00B91CCA">
        <w:rPr>
          <w:rFonts w:asciiTheme="minorHAnsi" w:eastAsiaTheme="minorHAnsi" w:hAnsiTheme="minorHAnsi" w:cstheme="minorBidi"/>
        </w:rPr>
        <w:t>this</w:t>
      </w:r>
      <w:r w:rsidR="00B91CCA" w:rsidRPr="008A2BAE">
        <w:rPr>
          <w:rFonts w:asciiTheme="minorHAnsi" w:eastAsiaTheme="minorHAnsi" w:hAnsiTheme="minorHAnsi" w:cstheme="minorBidi"/>
        </w:rPr>
        <w:t xml:space="preserve"> </w:t>
      </w:r>
      <w:r w:rsidRPr="008A2BAE">
        <w:rPr>
          <w:rFonts w:asciiTheme="minorHAnsi" w:eastAsiaTheme="minorHAnsi" w:hAnsiTheme="minorHAnsi" w:cstheme="minorBidi"/>
        </w:rPr>
        <w:t>work contributes to changing their lives</w:t>
      </w:r>
      <w:r w:rsidR="00312B9C">
        <w:rPr>
          <w:rFonts w:asciiTheme="minorHAnsi" w:eastAsiaTheme="minorHAnsi" w:hAnsiTheme="minorHAnsi" w:cstheme="minorBidi"/>
        </w:rPr>
        <w:t>; and</w:t>
      </w:r>
    </w:p>
    <w:p w14:paraId="4A1F5062" w14:textId="77777777" w:rsidR="00873511" w:rsidRPr="008A2BAE" w:rsidRDefault="00873511" w:rsidP="00EC3661">
      <w:pPr>
        <w:pStyle w:val="ListParagraph"/>
        <w:numPr>
          <w:ilvl w:val="0"/>
          <w:numId w:val="23"/>
        </w:numPr>
        <w:spacing w:after="120"/>
        <w:ind w:left="714" w:hanging="357"/>
        <w:rPr>
          <w:rFonts w:asciiTheme="minorHAnsi" w:eastAsiaTheme="minorHAnsi" w:hAnsiTheme="minorHAnsi" w:cstheme="minorBidi"/>
        </w:rPr>
      </w:pPr>
      <w:r w:rsidRPr="008A2BAE">
        <w:rPr>
          <w:rFonts w:asciiTheme="minorHAnsi" w:eastAsiaTheme="minorHAnsi" w:hAnsiTheme="minorHAnsi" w:cstheme="minorBidi"/>
        </w:rPr>
        <w:t xml:space="preserve">Any relationships or partnerships that </w:t>
      </w:r>
      <w:r w:rsidR="00B91CCA">
        <w:rPr>
          <w:rFonts w:asciiTheme="minorHAnsi" w:eastAsiaTheme="minorHAnsi" w:hAnsiTheme="minorHAnsi" w:cstheme="minorBidi"/>
        </w:rPr>
        <w:t>the organisation has</w:t>
      </w:r>
      <w:r w:rsidRPr="008A2BAE">
        <w:rPr>
          <w:rFonts w:asciiTheme="minorHAnsi" w:eastAsiaTheme="minorHAnsi" w:hAnsiTheme="minorHAnsi" w:cstheme="minorBidi"/>
        </w:rPr>
        <w:t xml:space="preserve"> that will support the delivery of </w:t>
      </w:r>
      <w:r w:rsidR="00B51177">
        <w:rPr>
          <w:rFonts w:asciiTheme="minorHAnsi" w:eastAsiaTheme="minorHAnsi" w:hAnsiTheme="minorHAnsi" w:cstheme="minorBidi"/>
        </w:rPr>
        <w:t>the</w:t>
      </w:r>
      <w:r w:rsidRPr="008A2BAE">
        <w:rPr>
          <w:rFonts w:asciiTheme="minorHAnsi" w:eastAsiaTheme="minorHAnsi" w:hAnsiTheme="minorHAnsi" w:cstheme="minorBidi"/>
        </w:rPr>
        <w:t xml:space="preserve"> activities.</w:t>
      </w:r>
    </w:p>
    <w:p w14:paraId="2E5B8D74" w14:textId="0BC8DCB9" w:rsidR="00B2495B" w:rsidRPr="00B2495B" w:rsidRDefault="00B2495B" w:rsidP="00CC3C8E">
      <w:pPr>
        <w:spacing w:after="120" w:line="276" w:lineRule="auto"/>
        <w:rPr>
          <w:rFonts w:ascii="Arial" w:hAnsi="Arial" w:cs="Arial"/>
        </w:rPr>
      </w:pPr>
      <w:r>
        <w:rPr>
          <w:rFonts w:ascii="Arial" w:hAnsi="Arial" w:cs="Arial"/>
        </w:rPr>
        <w:t>In the application form</w:t>
      </w:r>
      <w:r w:rsidR="009B78EB">
        <w:rPr>
          <w:rFonts w:ascii="Arial" w:hAnsi="Arial" w:cs="Arial"/>
        </w:rPr>
        <w:t>,</w:t>
      </w:r>
      <w:r>
        <w:rPr>
          <w:rFonts w:ascii="Arial" w:hAnsi="Arial" w:cs="Arial"/>
        </w:rPr>
        <w:t xml:space="preserve"> </w:t>
      </w:r>
      <w:r w:rsidR="00B91CCA">
        <w:rPr>
          <w:rFonts w:ascii="Arial" w:hAnsi="Arial" w:cs="Arial"/>
        </w:rPr>
        <w:t xml:space="preserve">the </w:t>
      </w:r>
      <w:r w:rsidR="00D57101">
        <w:rPr>
          <w:rFonts w:ascii="Arial" w:hAnsi="Arial" w:cs="Arial"/>
        </w:rPr>
        <w:t xml:space="preserve">applicant </w:t>
      </w:r>
      <w:r>
        <w:rPr>
          <w:rFonts w:ascii="Arial" w:hAnsi="Arial" w:cs="Arial"/>
        </w:rPr>
        <w:t>will be asked to</w:t>
      </w:r>
      <w:r w:rsidRPr="00B2495B">
        <w:rPr>
          <w:rFonts w:ascii="Arial" w:hAnsi="Arial" w:cs="Arial"/>
        </w:rPr>
        <w:t xml:space="preserve"> attach </w:t>
      </w:r>
      <w:r w:rsidR="001234B6">
        <w:rPr>
          <w:rFonts w:ascii="Arial" w:hAnsi="Arial" w:cs="Arial"/>
        </w:rPr>
        <w:t xml:space="preserve">or provide a web link to </w:t>
      </w:r>
      <w:r w:rsidRPr="00B2495B">
        <w:rPr>
          <w:rFonts w:ascii="Arial" w:hAnsi="Arial" w:cs="Arial"/>
        </w:rPr>
        <w:t>an Annual Report</w:t>
      </w:r>
      <w:r w:rsidR="009B78EB">
        <w:rPr>
          <w:rFonts w:ascii="Arial" w:hAnsi="Arial" w:cs="Arial"/>
        </w:rPr>
        <w:t>,</w:t>
      </w:r>
      <w:r w:rsidR="00582EFD">
        <w:rPr>
          <w:rFonts w:ascii="Arial" w:hAnsi="Arial" w:cs="Arial"/>
        </w:rPr>
        <w:t xml:space="preserve"> if you produce one</w:t>
      </w:r>
      <w:r w:rsidRPr="00B2495B">
        <w:rPr>
          <w:rFonts w:ascii="Arial" w:hAnsi="Arial" w:cs="Arial"/>
        </w:rPr>
        <w:t>.</w:t>
      </w:r>
    </w:p>
    <w:p w14:paraId="094E6A6B" w14:textId="33C863EC" w:rsidR="00873511" w:rsidRPr="001234B6" w:rsidRDefault="003D620F" w:rsidP="00CC3C8E">
      <w:pPr>
        <w:spacing w:after="120" w:line="276" w:lineRule="auto"/>
        <w:rPr>
          <w:i/>
        </w:rPr>
      </w:pPr>
      <w:r>
        <w:rPr>
          <w:i/>
        </w:rPr>
        <w:t>[</w:t>
      </w:r>
      <w:r w:rsidR="00873511" w:rsidRPr="001234B6">
        <w:rPr>
          <w:i/>
        </w:rPr>
        <w:t>Note</w:t>
      </w:r>
      <w:r w:rsidR="000328DE">
        <w:rPr>
          <w:i/>
        </w:rPr>
        <w:t>:</w:t>
      </w:r>
      <w:r w:rsidR="00E16BD5">
        <w:rPr>
          <w:i/>
        </w:rPr>
        <w:t xml:space="preserve"> </w:t>
      </w:r>
      <w:proofErr w:type="spellStart"/>
      <w:r w:rsidR="00E16BD5">
        <w:rPr>
          <w:i/>
        </w:rPr>
        <w:t>Auspicor</w:t>
      </w:r>
      <w:proofErr w:type="spellEnd"/>
      <w:r w:rsidR="00873511" w:rsidRPr="001234B6">
        <w:rPr>
          <w:i/>
        </w:rPr>
        <w:t xml:space="preserve"> </w:t>
      </w:r>
      <w:r w:rsidR="001234B6">
        <w:rPr>
          <w:i/>
        </w:rPr>
        <w:t>o</w:t>
      </w:r>
      <w:r w:rsidR="009F2369" w:rsidRPr="001234B6">
        <w:rPr>
          <w:i/>
        </w:rPr>
        <w:t>rganisation</w:t>
      </w:r>
      <w:r w:rsidR="000328DE">
        <w:rPr>
          <w:i/>
        </w:rPr>
        <w:t xml:space="preserve">s should provide information </w:t>
      </w:r>
      <w:r w:rsidR="00873511" w:rsidRPr="001234B6">
        <w:rPr>
          <w:i/>
        </w:rPr>
        <w:t>about the organisation that will deliver the project</w:t>
      </w:r>
      <w:r w:rsidR="00E16BD5">
        <w:rPr>
          <w:i/>
        </w:rPr>
        <w:t xml:space="preserve"> (</w:t>
      </w:r>
      <w:proofErr w:type="spellStart"/>
      <w:r w:rsidR="00E16BD5">
        <w:rPr>
          <w:i/>
        </w:rPr>
        <w:t>auspicee</w:t>
      </w:r>
      <w:proofErr w:type="spellEnd"/>
      <w:r w:rsidR="00E16BD5">
        <w:rPr>
          <w:i/>
        </w:rPr>
        <w:t>)</w:t>
      </w:r>
      <w:r w:rsidR="00873511" w:rsidRPr="001234B6">
        <w:rPr>
          <w:i/>
        </w:rPr>
        <w:t xml:space="preserve">, but should include details about the relationship between </w:t>
      </w:r>
      <w:r w:rsidR="000328DE">
        <w:rPr>
          <w:i/>
        </w:rPr>
        <w:t xml:space="preserve">the </w:t>
      </w:r>
      <w:proofErr w:type="spellStart"/>
      <w:r w:rsidR="00E16BD5">
        <w:rPr>
          <w:i/>
        </w:rPr>
        <w:t>auspicor</w:t>
      </w:r>
      <w:proofErr w:type="spellEnd"/>
      <w:r w:rsidR="000328DE">
        <w:rPr>
          <w:i/>
        </w:rPr>
        <w:t xml:space="preserve"> and the </w:t>
      </w:r>
      <w:r w:rsidR="00E16BD5">
        <w:rPr>
          <w:i/>
        </w:rPr>
        <w:t>auspice.</w:t>
      </w:r>
      <w:r w:rsidR="009B78EB">
        <w:rPr>
          <w:i/>
        </w:rPr>
        <w:t>]</w:t>
      </w:r>
    </w:p>
    <w:p w14:paraId="20554518" w14:textId="77777777" w:rsidR="00873511" w:rsidRDefault="006313D1" w:rsidP="00CC3C8E">
      <w:pPr>
        <w:spacing w:after="120" w:line="276" w:lineRule="auto"/>
      </w:pPr>
      <w:r>
        <w:rPr>
          <w:i/>
        </w:rPr>
        <w:t>[</w:t>
      </w:r>
      <w:r w:rsidR="00873511" w:rsidRPr="001234B6">
        <w:rPr>
          <w:i/>
        </w:rPr>
        <w:t xml:space="preserve">Note: </w:t>
      </w:r>
      <w:r>
        <w:rPr>
          <w:i/>
        </w:rPr>
        <w:t>L</w:t>
      </w:r>
      <w:r w:rsidR="00B2495B" w:rsidRPr="001234B6">
        <w:rPr>
          <w:i/>
        </w:rPr>
        <w:t>ead organisation</w:t>
      </w:r>
      <w:r>
        <w:rPr>
          <w:i/>
        </w:rPr>
        <w:t>s</w:t>
      </w:r>
      <w:r w:rsidR="00B2495B" w:rsidRPr="001234B6">
        <w:rPr>
          <w:i/>
        </w:rPr>
        <w:t xml:space="preserve"> of a Consortium</w:t>
      </w:r>
      <w:r>
        <w:rPr>
          <w:i/>
        </w:rPr>
        <w:t xml:space="preserve"> should </w:t>
      </w:r>
      <w:r w:rsidR="00B2495B" w:rsidRPr="001234B6">
        <w:rPr>
          <w:i/>
        </w:rPr>
        <w:t>include details about the consorti</w:t>
      </w:r>
      <w:r>
        <w:rPr>
          <w:i/>
        </w:rPr>
        <w:t>um</w:t>
      </w:r>
      <w:r w:rsidR="00B2495B" w:rsidRPr="001234B6">
        <w:rPr>
          <w:i/>
        </w:rPr>
        <w:t xml:space="preserve"> members as well as </w:t>
      </w:r>
      <w:r w:rsidR="00004DB2">
        <w:rPr>
          <w:i/>
        </w:rPr>
        <w:t>its</w:t>
      </w:r>
      <w:r w:rsidR="00004DB2" w:rsidRPr="001234B6">
        <w:rPr>
          <w:i/>
        </w:rPr>
        <w:t xml:space="preserve"> </w:t>
      </w:r>
      <w:r w:rsidR="00B2495B" w:rsidRPr="001234B6">
        <w:rPr>
          <w:i/>
        </w:rPr>
        <w:t>own organisation.</w:t>
      </w:r>
      <w:r>
        <w:rPr>
          <w:i/>
        </w:rPr>
        <w:t>]</w:t>
      </w:r>
    </w:p>
    <w:p w14:paraId="0248625E" w14:textId="77777777" w:rsidR="00483DD3" w:rsidRDefault="00916165" w:rsidP="00CC3C8E">
      <w:pPr>
        <w:pStyle w:val="Heading2Numbered"/>
        <w:spacing w:line="276" w:lineRule="auto"/>
        <w:contextualSpacing w:val="0"/>
      </w:pPr>
      <w:bookmarkStart w:id="69" w:name="_Toc531005192"/>
      <w:r>
        <w:t>6.2</w:t>
      </w:r>
      <w:r w:rsidR="00483DD3">
        <w:t xml:space="preserve"> </w:t>
      </w:r>
      <w:r w:rsidR="001234B6">
        <w:t>A</w:t>
      </w:r>
      <w:r w:rsidR="00873511">
        <w:t xml:space="preserve">ctivity summary </w:t>
      </w:r>
      <w:r w:rsidR="001234B6">
        <w:t>response</w:t>
      </w:r>
      <w:bookmarkEnd w:id="69"/>
    </w:p>
    <w:p w14:paraId="2DF26FEA" w14:textId="77777777" w:rsidR="00873511" w:rsidRPr="000B7724" w:rsidRDefault="00873511" w:rsidP="00CC3C8E">
      <w:pPr>
        <w:spacing w:before="0" w:after="120" w:line="276" w:lineRule="auto"/>
        <w:rPr>
          <w:rFonts w:cstheme="minorHAnsi"/>
          <w:lang w:eastAsia="en-AU"/>
        </w:rPr>
      </w:pPr>
      <w:r w:rsidRPr="008E609D">
        <w:rPr>
          <w:rFonts w:cstheme="minorHAnsi"/>
          <w:lang w:eastAsia="en-AU"/>
        </w:rPr>
        <w:t xml:space="preserve">Applicants are required to provide a </w:t>
      </w:r>
      <w:r>
        <w:rPr>
          <w:rFonts w:cstheme="minorHAnsi"/>
          <w:lang w:eastAsia="en-AU"/>
        </w:rPr>
        <w:t>clear</w:t>
      </w:r>
      <w:r w:rsidRPr="008E609D">
        <w:rPr>
          <w:rFonts w:cstheme="minorHAnsi"/>
          <w:lang w:eastAsia="en-AU"/>
        </w:rPr>
        <w:t xml:space="preserve"> sum</w:t>
      </w:r>
      <w:r>
        <w:rPr>
          <w:rFonts w:cstheme="minorHAnsi"/>
          <w:lang w:eastAsia="en-AU"/>
        </w:rPr>
        <w:t xml:space="preserve">mary of </w:t>
      </w:r>
      <w:r w:rsidR="00897CF6">
        <w:rPr>
          <w:rFonts w:cstheme="minorHAnsi"/>
          <w:lang w:eastAsia="en-AU"/>
        </w:rPr>
        <w:t>their</w:t>
      </w:r>
      <w:r>
        <w:rPr>
          <w:rFonts w:cstheme="minorHAnsi"/>
          <w:lang w:eastAsia="en-AU"/>
        </w:rPr>
        <w:t xml:space="preserve"> organisational capacity building and individual capacity building activities. </w:t>
      </w:r>
      <w:r w:rsidRPr="008E609D">
        <w:rPr>
          <w:rFonts w:cstheme="minorHAnsi"/>
          <w:lang w:eastAsia="en-AU"/>
        </w:rPr>
        <w:t xml:space="preserve">This will provide </w:t>
      </w:r>
      <w:r>
        <w:rPr>
          <w:rFonts w:cstheme="minorHAnsi"/>
          <w:lang w:eastAsia="en-AU"/>
        </w:rPr>
        <w:t>the assessor</w:t>
      </w:r>
      <w:r w:rsidR="00811B69">
        <w:rPr>
          <w:rFonts w:cstheme="minorHAnsi"/>
          <w:lang w:eastAsia="en-AU"/>
        </w:rPr>
        <w:t>s</w:t>
      </w:r>
      <w:r w:rsidRPr="008E609D">
        <w:rPr>
          <w:rFonts w:cstheme="minorHAnsi"/>
          <w:lang w:eastAsia="en-AU"/>
        </w:rPr>
        <w:t xml:space="preserve"> with an </w:t>
      </w:r>
      <w:r>
        <w:rPr>
          <w:rFonts w:cstheme="minorHAnsi"/>
          <w:lang w:eastAsia="en-AU"/>
        </w:rPr>
        <w:t>understanding</w:t>
      </w:r>
      <w:r w:rsidRPr="008E609D">
        <w:rPr>
          <w:rFonts w:cstheme="minorHAnsi"/>
          <w:lang w:eastAsia="en-AU"/>
        </w:rPr>
        <w:t xml:space="preserve"> o</w:t>
      </w:r>
      <w:r>
        <w:rPr>
          <w:rFonts w:cstheme="minorHAnsi"/>
          <w:lang w:eastAsia="en-AU"/>
        </w:rPr>
        <w:t xml:space="preserve">f what </w:t>
      </w:r>
      <w:r w:rsidR="00DA6F7D">
        <w:rPr>
          <w:rFonts w:cstheme="minorHAnsi"/>
          <w:lang w:eastAsia="en-AU"/>
        </w:rPr>
        <w:t xml:space="preserve">the </w:t>
      </w:r>
      <w:r>
        <w:rPr>
          <w:rFonts w:cstheme="minorHAnsi"/>
          <w:lang w:eastAsia="en-AU"/>
        </w:rPr>
        <w:t xml:space="preserve">overall project proposal involves. </w:t>
      </w:r>
      <w:r w:rsidR="004579D6">
        <w:rPr>
          <w:rFonts w:cstheme="minorHAnsi"/>
          <w:lang w:eastAsia="en-AU"/>
        </w:rPr>
        <w:t>T</w:t>
      </w:r>
      <w:r w:rsidR="007641EF">
        <w:rPr>
          <w:rFonts w:cstheme="minorHAnsi"/>
          <w:lang w:eastAsia="en-AU"/>
        </w:rPr>
        <w:t xml:space="preserve">he </w:t>
      </w:r>
      <w:r w:rsidR="00D57101" w:rsidRPr="000B7724">
        <w:rPr>
          <w:rFonts w:cstheme="minorHAnsi"/>
          <w:lang w:eastAsia="en-AU"/>
        </w:rPr>
        <w:t xml:space="preserve">applicants </w:t>
      </w:r>
      <w:r w:rsidRPr="000B7724">
        <w:rPr>
          <w:rFonts w:cstheme="minorHAnsi"/>
          <w:lang w:eastAsia="en-AU"/>
        </w:rPr>
        <w:t xml:space="preserve">will be asked </w:t>
      </w:r>
      <w:r w:rsidR="00582EFD">
        <w:rPr>
          <w:rFonts w:cstheme="minorHAnsi"/>
          <w:lang w:eastAsia="en-AU"/>
        </w:rPr>
        <w:t>to also provide</w:t>
      </w:r>
      <w:r w:rsidR="00582EFD" w:rsidRPr="000B7724">
        <w:rPr>
          <w:rFonts w:cstheme="minorHAnsi"/>
          <w:lang w:eastAsia="en-AU"/>
        </w:rPr>
        <w:t xml:space="preserve"> </w:t>
      </w:r>
      <w:r w:rsidRPr="000B7724">
        <w:rPr>
          <w:rFonts w:cstheme="minorHAnsi"/>
          <w:lang w:eastAsia="en-AU"/>
        </w:rPr>
        <w:t xml:space="preserve">greater detail in the Selection Criteria questions. </w:t>
      </w:r>
    </w:p>
    <w:p w14:paraId="48BC2D97" w14:textId="77777777" w:rsidR="00873511" w:rsidRPr="000B7724" w:rsidRDefault="00A353FF" w:rsidP="00582EFD">
      <w:pPr>
        <w:spacing w:line="276" w:lineRule="auto"/>
        <w:rPr>
          <w:rFonts w:cstheme="minorHAnsi"/>
          <w:lang w:eastAsia="en-AU"/>
        </w:rPr>
      </w:pPr>
      <w:r w:rsidRPr="000B7724">
        <w:rPr>
          <w:rFonts w:cstheme="minorHAnsi"/>
          <w:lang w:eastAsia="en-AU"/>
        </w:rPr>
        <w:t>T</w:t>
      </w:r>
      <w:r w:rsidR="004579D6" w:rsidRPr="000B7724">
        <w:rPr>
          <w:rFonts w:cstheme="minorHAnsi"/>
          <w:lang w:eastAsia="en-AU"/>
        </w:rPr>
        <w:t xml:space="preserve">he </w:t>
      </w:r>
      <w:r w:rsidR="00873511" w:rsidRPr="000B7724">
        <w:rPr>
          <w:rFonts w:cstheme="minorHAnsi"/>
          <w:lang w:eastAsia="en-AU"/>
        </w:rPr>
        <w:t>response should include</w:t>
      </w:r>
      <w:r w:rsidR="002B785E" w:rsidRPr="000B7724">
        <w:rPr>
          <w:rFonts w:cstheme="minorHAnsi"/>
          <w:lang w:eastAsia="en-AU"/>
        </w:rPr>
        <w:t xml:space="preserve"> a summary of</w:t>
      </w:r>
      <w:r w:rsidR="00873511" w:rsidRPr="000B7724">
        <w:rPr>
          <w:rFonts w:cstheme="minorHAnsi"/>
          <w:lang w:eastAsia="en-AU"/>
        </w:rPr>
        <w:t xml:space="preserve">: </w:t>
      </w:r>
    </w:p>
    <w:p w14:paraId="762DD291" w14:textId="1B306A13" w:rsidR="002B785E" w:rsidRPr="000B7724" w:rsidRDefault="002B785E" w:rsidP="00582EFD">
      <w:pPr>
        <w:spacing w:line="276" w:lineRule="auto"/>
        <w:rPr>
          <w:rFonts w:ascii="Arial" w:hAnsi="Arial" w:cs="Arial"/>
        </w:rPr>
      </w:pPr>
      <w:r w:rsidRPr="000B7724">
        <w:rPr>
          <w:rFonts w:ascii="Arial" w:hAnsi="Arial" w:cs="Arial"/>
        </w:rPr>
        <w:t xml:space="preserve">1. </w:t>
      </w:r>
      <w:r w:rsidR="00B20674" w:rsidRPr="000B7724">
        <w:rPr>
          <w:rFonts w:ascii="Arial" w:hAnsi="Arial" w:cs="Arial"/>
        </w:rPr>
        <w:t xml:space="preserve">The </w:t>
      </w:r>
      <w:r w:rsidRPr="000B7724">
        <w:rPr>
          <w:rFonts w:ascii="Arial" w:hAnsi="Arial" w:cs="Arial"/>
        </w:rPr>
        <w:t>organisational capacity building activities</w:t>
      </w:r>
      <w:r w:rsidR="005B632B">
        <w:rPr>
          <w:rFonts w:ascii="Arial" w:hAnsi="Arial" w:cs="Arial"/>
        </w:rPr>
        <w:t xml:space="preserve"> (if the applicant is a DPFO)</w:t>
      </w:r>
      <w:r w:rsidRPr="000B7724">
        <w:rPr>
          <w:rFonts w:ascii="Arial" w:hAnsi="Arial" w:cs="Arial"/>
        </w:rPr>
        <w:t xml:space="preserve">: </w:t>
      </w:r>
    </w:p>
    <w:p w14:paraId="56F40746" w14:textId="77777777" w:rsidR="002B785E" w:rsidRPr="000B7724" w:rsidRDefault="00341A4F" w:rsidP="00EC3661">
      <w:pPr>
        <w:pStyle w:val="ListParagraph"/>
        <w:numPr>
          <w:ilvl w:val="0"/>
          <w:numId w:val="28"/>
        </w:numPr>
        <w:spacing w:after="120"/>
        <w:rPr>
          <w:rFonts w:ascii="Arial" w:hAnsi="Arial" w:cs="Arial"/>
        </w:rPr>
      </w:pPr>
      <w:r>
        <w:rPr>
          <w:rFonts w:ascii="Arial" w:hAnsi="Arial" w:cs="Arial"/>
        </w:rPr>
        <w:lastRenderedPageBreak/>
        <w:t>T</w:t>
      </w:r>
      <w:r w:rsidRPr="000B7724">
        <w:rPr>
          <w:rFonts w:ascii="Arial" w:hAnsi="Arial" w:cs="Arial"/>
        </w:rPr>
        <w:t xml:space="preserve">he </w:t>
      </w:r>
      <w:r w:rsidR="002B785E" w:rsidRPr="000B7724">
        <w:rPr>
          <w:rFonts w:ascii="Arial" w:hAnsi="Arial" w:cs="Arial"/>
        </w:rPr>
        <w:t xml:space="preserve">main activities </w:t>
      </w:r>
      <w:r w:rsidR="00B20674" w:rsidRPr="000B7724">
        <w:rPr>
          <w:rFonts w:ascii="Arial" w:hAnsi="Arial" w:cs="Arial"/>
        </w:rPr>
        <w:t xml:space="preserve">the organisation </w:t>
      </w:r>
      <w:r w:rsidR="002B785E" w:rsidRPr="000B7724">
        <w:rPr>
          <w:rFonts w:ascii="Arial" w:hAnsi="Arial" w:cs="Arial"/>
        </w:rPr>
        <w:t>intend</w:t>
      </w:r>
      <w:r w:rsidR="00B20674" w:rsidRPr="000B7724">
        <w:rPr>
          <w:rFonts w:ascii="Arial" w:hAnsi="Arial" w:cs="Arial"/>
        </w:rPr>
        <w:t>s</w:t>
      </w:r>
      <w:r w:rsidR="002B785E" w:rsidRPr="000B7724">
        <w:rPr>
          <w:rFonts w:ascii="Arial" w:hAnsi="Arial" w:cs="Arial"/>
        </w:rPr>
        <w:t xml:space="preserve"> to do to build organisational capacity</w:t>
      </w:r>
      <w:r w:rsidR="00312B9C">
        <w:rPr>
          <w:rFonts w:ascii="Arial" w:hAnsi="Arial" w:cs="Arial"/>
        </w:rPr>
        <w:t>;</w:t>
      </w:r>
    </w:p>
    <w:p w14:paraId="6AC7F958" w14:textId="77777777" w:rsidR="002B785E" w:rsidRPr="000B7724" w:rsidRDefault="00341A4F" w:rsidP="00EC3661">
      <w:pPr>
        <w:pStyle w:val="ListParagraph"/>
        <w:numPr>
          <w:ilvl w:val="0"/>
          <w:numId w:val="28"/>
        </w:numPr>
        <w:spacing w:after="120"/>
        <w:rPr>
          <w:rFonts w:ascii="Arial" w:hAnsi="Arial" w:cs="Arial"/>
        </w:rPr>
      </w:pPr>
      <w:r>
        <w:rPr>
          <w:rFonts w:ascii="Arial" w:hAnsi="Arial" w:cs="Arial"/>
        </w:rPr>
        <w:t>W</w:t>
      </w:r>
      <w:r w:rsidRPr="000B7724">
        <w:rPr>
          <w:rFonts w:ascii="Arial" w:hAnsi="Arial" w:cs="Arial"/>
        </w:rPr>
        <w:t xml:space="preserve">hy </w:t>
      </w:r>
      <w:r w:rsidR="002B785E" w:rsidRPr="000B7724">
        <w:rPr>
          <w:rFonts w:ascii="Arial" w:hAnsi="Arial" w:cs="Arial"/>
        </w:rPr>
        <w:t>it is important or needed to build organisational capacity</w:t>
      </w:r>
      <w:r w:rsidR="00312B9C">
        <w:rPr>
          <w:rFonts w:ascii="Arial" w:hAnsi="Arial" w:cs="Arial"/>
        </w:rPr>
        <w:t>; and</w:t>
      </w:r>
    </w:p>
    <w:p w14:paraId="45EB2DE8" w14:textId="29AE2FD9" w:rsidR="005B632B" w:rsidRPr="0021211D" w:rsidRDefault="00341A4F" w:rsidP="00EC3661">
      <w:pPr>
        <w:pStyle w:val="ListParagraph"/>
        <w:numPr>
          <w:ilvl w:val="0"/>
          <w:numId w:val="28"/>
        </w:numPr>
        <w:spacing w:after="120"/>
        <w:rPr>
          <w:rFonts w:ascii="Arial" w:hAnsi="Arial" w:cs="Arial"/>
        </w:rPr>
      </w:pPr>
      <w:r>
        <w:rPr>
          <w:rFonts w:ascii="Arial" w:hAnsi="Arial" w:cs="Arial"/>
        </w:rPr>
        <w:t>W</w:t>
      </w:r>
      <w:r w:rsidRPr="000B7724">
        <w:rPr>
          <w:rFonts w:ascii="Arial" w:hAnsi="Arial" w:cs="Arial"/>
        </w:rPr>
        <w:t xml:space="preserve">hat </w:t>
      </w:r>
      <w:r w:rsidR="002B785E" w:rsidRPr="000B7724">
        <w:rPr>
          <w:rFonts w:ascii="Arial" w:hAnsi="Arial" w:cs="Arial"/>
        </w:rPr>
        <w:t xml:space="preserve">difference </w:t>
      </w:r>
      <w:r w:rsidR="00B20674" w:rsidRPr="000B7724">
        <w:rPr>
          <w:rFonts w:ascii="Arial" w:hAnsi="Arial" w:cs="Arial"/>
        </w:rPr>
        <w:t xml:space="preserve">the organisation </w:t>
      </w:r>
      <w:r w:rsidR="002B785E" w:rsidRPr="000B7724">
        <w:rPr>
          <w:rFonts w:ascii="Arial" w:hAnsi="Arial" w:cs="Arial"/>
        </w:rPr>
        <w:t>expect</w:t>
      </w:r>
      <w:r w:rsidR="00B20674" w:rsidRPr="000B7724">
        <w:rPr>
          <w:rFonts w:ascii="Arial" w:hAnsi="Arial" w:cs="Arial"/>
        </w:rPr>
        <w:t>s</w:t>
      </w:r>
      <w:r w:rsidR="002B785E" w:rsidRPr="000B7724">
        <w:rPr>
          <w:rFonts w:ascii="Arial" w:hAnsi="Arial" w:cs="Arial"/>
        </w:rPr>
        <w:t xml:space="preserve"> to achieve as a result of the organisational capacity building activities</w:t>
      </w:r>
      <w:r w:rsidR="009B78EB">
        <w:rPr>
          <w:rFonts w:ascii="Arial" w:hAnsi="Arial" w:cs="Arial"/>
        </w:rPr>
        <w:t>.</w:t>
      </w:r>
    </w:p>
    <w:p w14:paraId="16048C87" w14:textId="77777777" w:rsidR="002B785E" w:rsidRPr="000B7724" w:rsidRDefault="002B785E" w:rsidP="00582EFD">
      <w:pPr>
        <w:spacing w:line="276" w:lineRule="auto"/>
        <w:rPr>
          <w:rFonts w:ascii="Arial" w:hAnsi="Arial" w:cs="Arial"/>
        </w:rPr>
      </w:pPr>
      <w:r w:rsidRPr="000B7724">
        <w:rPr>
          <w:rFonts w:ascii="Arial" w:hAnsi="Arial" w:cs="Arial"/>
        </w:rPr>
        <w:t xml:space="preserve">2. </w:t>
      </w:r>
      <w:r w:rsidR="00B20674" w:rsidRPr="000B7724">
        <w:rPr>
          <w:rFonts w:ascii="Arial" w:hAnsi="Arial" w:cs="Arial"/>
        </w:rPr>
        <w:t xml:space="preserve">The </w:t>
      </w:r>
      <w:r w:rsidRPr="000B7724">
        <w:rPr>
          <w:rFonts w:ascii="Arial" w:hAnsi="Arial" w:cs="Arial"/>
        </w:rPr>
        <w:t>proposed individual capacity building activities</w:t>
      </w:r>
      <w:r w:rsidR="00341A4F">
        <w:rPr>
          <w:rFonts w:ascii="Arial" w:hAnsi="Arial" w:cs="Arial"/>
        </w:rPr>
        <w:t>:</w:t>
      </w:r>
    </w:p>
    <w:p w14:paraId="478FCD24" w14:textId="77777777" w:rsidR="002B785E" w:rsidRPr="000B7724" w:rsidRDefault="00341A4F" w:rsidP="00EC3661">
      <w:pPr>
        <w:pStyle w:val="ListParagraph"/>
        <w:numPr>
          <w:ilvl w:val="0"/>
          <w:numId w:val="28"/>
        </w:numPr>
        <w:spacing w:after="120"/>
        <w:rPr>
          <w:rFonts w:ascii="Arial" w:hAnsi="Arial" w:cs="Arial"/>
        </w:rPr>
      </w:pPr>
      <w:r>
        <w:rPr>
          <w:rFonts w:ascii="Arial" w:hAnsi="Arial" w:cs="Arial"/>
        </w:rPr>
        <w:t>T</w:t>
      </w:r>
      <w:r w:rsidRPr="000B7724">
        <w:rPr>
          <w:rFonts w:ascii="Arial" w:hAnsi="Arial" w:cs="Arial"/>
        </w:rPr>
        <w:t xml:space="preserve">he </w:t>
      </w:r>
      <w:r w:rsidR="002B785E" w:rsidRPr="000B7724">
        <w:rPr>
          <w:rFonts w:ascii="Arial" w:hAnsi="Arial" w:cs="Arial"/>
        </w:rPr>
        <w:t xml:space="preserve">main individual capacity building activities </w:t>
      </w:r>
      <w:r w:rsidR="00A938C0" w:rsidRPr="000B7724">
        <w:rPr>
          <w:rFonts w:ascii="Arial" w:hAnsi="Arial" w:cs="Arial"/>
        </w:rPr>
        <w:t xml:space="preserve">the organisation </w:t>
      </w:r>
      <w:r w:rsidR="002B785E" w:rsidRPr="000B7724">
        <w:rPr>
          <w:rFonts w:ascii="Arial" w:hAnsi="Arial" w:cs="Arial"/>
        </w:rPr>
        <w:t>intend</w:t>
      </w:r>
      <w:r w:rsidR="00312412" w:rsidRPr="000B7724">
        <w:rPr>
          <w:rFonts w:ascii="Arial" w:hAnsi="Arial" w:cs="Arial"/>
        </w:rPr>
        <w:t>s</w:t>
      </w:r>
      <w:r w:rsidR="002B785E" w:rsidRPr="000B7724">
        <w:rPr>
          <w:rFonts w:ascii="Arial" w:hAnsi="Arial" w:cs="Arial"/>
        </w:rPr>
        <w:t xml:space="preserve"> to do</w:t>
      </w:r>
      <w:r w:rsidR="00312B9C">
        <w:rPr>
          <w:rFonts w:ascii="Arial" w:hAnsi="Arial" w:cs="Arial"/>
        </w:rPr>
        <w:t>;</w:t>
      </w:r>
    </w:p>
    <w:p w14:paraId="72BDBD76" w14:textId="77777777" w:rsidR="002B785E" w:rsidRPr="000B7724" w:rsidRDefault="00341A4F" w:rsidP="00EC3661">
      <w:pPr>
        <w:pStyle w:val="ListParagraph"/>
        <w:numPr>
          <w:ilvl w:val="0"/>
          <w:numId w:val="28"/>
        </w:numPr>
        <w:spacing w:after="120"/>
        <w:rPr>
          <w:rFonts w:ascii="Arial" w:hAnsi="Arial" w:cs="Arial"/>
        </w:rPr>
      </w:pPr>
      <w:r>
        <w:rPr>
          <w:rFonts w:ascii="Arial" w:hAnsi="Arial" w:cs="Arial"/>
        </w:rPr>
        <w:t>W</w:t>
      </w:r>
      <w:r w:rsidRPr="000B7724">
        <w:rPr>
          <w:rFonts w:ascii="Arial" w:hAnsi="Arial" w:cs="Arial"/>
        </w:rPr>
        <w:t xml:space="preserve">hy </w:t>
      </w:r>
      <w:r w:rsidR="002B785E" w:rsidRPr="000B7724">
        <w:rPr>
          <w:rFonts w:ascii="Arial" w:hAnsi="Arial" w:cs="Arial"/>
        </w:rPr>
        <w:t>the individual capacity building activities are important or needed</w:t>
      </w:r>
      <w:r w:rsidR="00312B9C">
        <w:rPr>
          <w:rFonts w:ascii="Arial" w:hAnsi="Arial" w:cs="Arial"/>
        </w:rPr>
        <w:t>;</w:t>
      </w:r>
    </w:p>
    <w:p w14:paraId="741A3A78" w14:textId="18D8C0A5" w:rsidR="002B785E" w:rsidRPr="000B7724" w:rsidRDefault="00341A4F" w:rsidP="00EC3661">
      <w:pPr>
        <w:pStyle w:val="ListParagraph"/>
        <w:numPr>
          <w:ilvl w:val="0"/>
          <w:numId w:val="28"/>
        </w:numPr>
        <w:spacing w:after="120"/>
        <w:rPr>
          <w:rFonts w:ascii="Arial" w:hAnsi="Arial" w:cs="Arial"/>
        </w:rPr>
      </w:pPr>
      <w:r>
        <w:rPr>
          <w:rFonts w:ascii="Arial" w:hAnsi="Arial" w:cs="Arial"/>
        </w:rPr>
        <w:t>H</w:t>
      </w:r>
      <w:r w:rsidRPr="000B7724">
        <w:rPr>
          <w:rFonts w:ascii="Arial" w:hAnsi="Arial" w:cs="Arial"/>
        </w:rPr>
        <w:t xml:space="preserve">ow </w:t>
      </w:r>
      <w:r w:rsidR="002B785E" w:rsidRPr="000B7724">
        <w:rPr>
          <w:rFonts w:ascii="Arial" w:hAnsi="Arial" w:cs="Arial"/>
        </w:rPr>
        <w:t>people with disability will benefit through the activities</w:t>
      </w:r>
      <w:r w:rsidR="00312B9C">
        <w:rPr>
          <w:rFonts w:ascii="Arial" w:hAnsi="Arial" w:cs="Arial"/>
        </w:rPr>
        <w:t xml:space="preserve">; </w:t>
      </w:r>
      <w:r w:rsidR="009B78EB">
        <w:rPr>
          <w:rFonts w:ascii="Arial" w:hAnsi="Arial" w:cs="Arial"/>
        </w:rPr>
        <w:t>and</w:t>
      </w:r>
    </w:p>
    <w:p w14:paraId="2D420F4C" w14:textId="7E4A9C6E" w:rsidR="002B785E" w:rsidRPr="000B7724" w:rsidRDefault="00341A4F" w:rsidP="00EC3661">
      <w:pPr>
        <w:pStyle w:val="ListParagraph"/>
        <w:numPr>
          <w:ilvl w:val="0"/>
          <w:numId w:val="28"/>
        </w:numPr>
        <w:spacing w:after="120"/>
        <w:rPr>
          <w:rFonts w:ascii="Arial" w:hAnsi="Arial" w:cs="Arial"/>
        </w:rPr>
      </w:pPr>
      <w:r>
        <w:rPr>
          <w:rFonts w:ascii="Arial" w:hAnsi="Arial" w:cs="Arial"/>
        </w:rPr>
        <w:t>W</w:t>
      </w:r>
      <w:r w:rsidRPr="000B7724">
        <w:rPr>
          <w:rFonts w:ascii="Arial" w:hAnsi="Arial" w:cs="Arial"/>
        </w:rPr>
        <w:t xml:space="preserve">hat </w:t>
      </w:r>
      <w:r w:rsidR="002B785E" w:rsidRPr="000B7724">
        <w:rPr>
          <w:rFonts w:ascii="Arial" w:hAnsi="Arial" w:cs="Arial"/>
        </w:rPr>
        <w:t xml:space="preserve">difference </w:t>
      </w:r>
      <w:r w:rsidR="00010FC3" w:rsidRPr="000B7724">
        <w:rPr>
          <w:rFonts w:ascii="Arial" w:hAnsi="Arial" w:cs="Arial"/>
        </w:rPr>
        <w:t>the organis</w:t>
      </w:r>
      <w:r w:rsidR="00571135" w:rsidRPr="000B7724">
        <w:rPr>
          <w:rFonts w:ascii="Arial" w:hAnsi="Arial" w:cs="Arial"/>
        </w:rPr>
        <w:t>ation</w:t>
      </w:r>
      <w:r w:rsidR="00010FC3" w:rsidRPr="000B7724">
        <w:rPr>
          <w:rFonts w:ascii="Arial" w:hAnsi="Arial" w:cs="Arial"/>
        </w:rPr>
        <w:t xml:space="preserve"> </w:t>
      </w:r>
      <w:r w:rsidR="002B785E" w:rsidRPr="000B7724">
        <w:rPr>
          <w:rFonts w:ascii="Arial" w:hAnsi="Arial" w:cs="Arial"/>
        </w:rPr>
        <w:t>expect</w:t>
      </w:r>
      <w:r w:rsidR="00C97323" w:rsidRPr="000B7724">
        <w:rPr>
          <w:rFonts w:ascii="Arial" w:hAnsi="Arial" w:cs="Arial"/>
        </w:rPr>
        <w:t>s</w:t>
      </w:r>
      <w:r w:rsidR="002B785E" w:rsidRPr="000B7724">
        <w:rPr>
          <w:rFonts w:ascii="Arial" w:hAnsi="Arial" w:cs="Arial"/>
        </w:rPr>
        <w:t xml:space="preserve"> to achieve as a result of the individual capacity building activities</w:t>
      </w:r>
      <w:r w:rsidR="009B78EB">
        <w:rPr>
          <w:rFonts w:ascii="Arial" w:hAnsi="Arial" w:cs="Arial"/>
        </w:rPr>
        <w:t>.</w:t>
      </w:r>
    </w:p>
    <w:p w14:paraId="5A519A45" w14:textId="77777777" w:rsidR="002B785E" w:rsidRPr="000B7724" w:rsidRDefault="002B785E" w:rsidP="00EC3661">
      <w:pPr>
        <w:pStyle w:val="ListParagraph"/>
        <w:numPr>
          <w:ilvl w:val="0"/>
          <w:numId w:val="34"/>
        </w:numPr>
        <w:spacing w:before="180" w:after="120"/>
        <w:ind w:left="357" w:hanging="357"/>
        <w:rPr>
          <w:rFonts w:ascii="Arial" w:hAnsi="Arial" w:cs="Arial"/>
        </w:rPr>
      </w:pPr>
      <w:r w:rsidRPr="000B7724">
        <w:rPr>
          <w:rFonts w:ascii="Arial" w:hAnsi="Arial" w:cs="Arial"/>
        </w:rPr>
        <w:t xml:space="preserve">Where </w:t>
      </w:r>
      <w:r w:rsidR="00EB35B8" w:rsidRPr="000B7724">
        <w:rPr>
          <w:rFonts w:ascii="Arial" w:hAnsi="Arial" w:cs="Arial"/>
        </w:rPr>
        <w:t xml:space="preserve">the </w:t>
      </w:r>
      <w:r w:rsidRPr="000B7724">
        <w:rPr>
          <w:rFonts w:ascii="Arial" w:hAnsi="Arial" w:cs="Arial"/>
        </w:rPr>
        <w:t>project will be delivered</w:t>
      </w:r>
      <w:r w:rsidR="00341A4F">
        <w:rPr>
          <w:rFonts w:ascii="Arial" w:hAnsi="Arial" w:cs="Arial"/>
        </w:rPr>
        <w:t>.</w:t>
      </w:r>
    </w:p>
    <w:p w14:paraId="079823BC" w14:textId="77777777" w:rsidR="00483DD3" w:rsidRPr="004671AE" w:rsidRDefault="00F46C1C" w:rsidP="004671AE">
      <w:pPr>
        <w:pStyle w:val="Heading2Numbered"/>
        <w:spacing w:line="276" w:lineRule="auto"/>
        <w:contextualSpacing w:val="0"/>
      </w:pPr>
      <w:bookmarkStart w:id="70" w:name="_Toc531005193"/>
      <w:r w:rsidRPr="004671AE">
        <w:t>6.3</w:t>
      </w:r>
      <w:r w:rsidR="00483DD3" w:rsidRPr="004671AE">
        <w:t xml:space="preserve"> </w:t>
      </w:r>
      <w:r w:rsidR="00916165" w:rsidRPr="004671AE">
        <w:t xml:space="preserve">Completing the </w:t>
      </w:r>
      <w:r w:rsidR="00483DD3" w:rsidRPr="004671AE">
        <w:t>Project Indicative Budget</w:t>
      </w:r>
      <w:bookmarkEnd w:id="70"/>
    </w:p>
    <w:p w14:paraId="729F8E87" w14:textId="77777777" w:rsidR="00483DD3" w:rsidRPr="001D26F3" w:rsidRDefault="00483DD3" w:rsidP="00CC3C8E">
      <w:pPr>
        <w:spacing w:after="120" w:line="276" w:lineRule="auto"/>
      </w:pPr>
      <w:r w:rsidRPr="001D26F3">
        <w:t xml:space="preserve">The </w:t>
      </w:r>
      <w:r w:rsidR="00EB35B8">
        <w:t>b</w:t>
      </w:r>
      <w:r w:rsidRPr="001D26F3">
        <w:t xml:space="preserve">udget template </w:t>
      </w:r>
      <w:r w:rsidR="006D079F">
        <w:t>can</w:t>
      </w:r>
      <w:r w:rsidR="006D079F" w:rsidRPr="001D26F3">
        <w:t xml:space="preserve"> </w:t>
      </w:r>
      <w:r w:rsidRPr="001D26F3">
        <w:t xml:space="preserve">be downloaded from the Community Grants Hub or Grants Connect website and </w:t>
      </w:r>
      <w:r w:rsidR="00582EFD">
        <w:t>must</w:t>
      </w:r>
      <w:r w:rsidR="00582EFD" w:rsidRPr="001D26F3">
        <w:t xml:space="preserve"> </w:t>
      </w:r>
      <w:r w:rsidRPr="001D26F3">
        <w:t xml:space="preserve">be included with </w:t>
      </w:r>
      <w:r w:rsidR="00EB35B8">
        <w:t xml:space="preserve">the </w:t>
      </w:r>
      <w:r w:rsidR="00D57101">
        <w:t>application</w:t>
      </w:r>
      <w:r w:rsidRPr="001D26F3">
        <w:t xml:space="preserve">. The </w:t>
      </w:r>
      <w:r w:rsidR="00EB35B8">
        <w:t>b</w:t>
      </w:r>
      <w:r w:rsidRPr="001D26F3">
        <w:t xml:space="preserve">udget helps to define value for money and may be used during the </w:t>
      </w:r>
      <w:r w:rsidR="00F46C1C">
        <w:t>assessment</w:t>
      </w:r>
      <w:r w:rsidRPr="001D26F3">
        <w:t xml:space="preserve"> process.</w:t>
      </w:r>
    </w:p>
    <w:p w14:paraId="6E2BC9D3" w14:textId="77777777" w:rsidR="00994D5C" w:rsidRDefault="00483DD3" w:rsidP="00CC3C8E">
      <w:pPr>
        <w:spacing w:after="120" w:line="276" w:lineRule="auto"/>
      </w:pPr>
      <w:r w:rsidRPr="001D26F3">
        <w:t xml:space="preserve">The </w:t>
      </w:r>
      <w:r w:rsidR="00EB35B8">
        <w:t>b</w:t>
      </w:r>
      <w:r w:rsidR="00F46C1C">
        <w:t xml:space="preserve">udget </w:t>
      </w:r>
      <w:r w:rsidR="00994D5C">
        <w:t xml:space="preserve">template requires </w:t>
      </w:r>
      <w:r w:rsidR="00B51177">
        <w:t>applicants</w:t>
      </w:r>
      <w:r w:rsidR="00994D5C">
        <w:t xml:space="preserve"> to list the approximate costs</w:t>
      </w:r>
      <w:r w:rsidRPr="001D26F3">
        <w:t xml:space="preserve"> of the key expense i</w:t>
      </w:r>
      <w:r w:rsidR="00994D5C">
        <w:t xml:space="preserve">tems </w:t>
      </w:r>
      <w:r w:rsidR="00F46C1C">
        <w:t xml:space="preserve">as incurred by </w:t>
      </w:r>
      <w:r w:rsidR="00EB35B8">
        <w:t xml:space="preserve">the </w:t>
      </w:r>
      <w:r w:rsidR="00F46C1C">
        <w:t>organisation,</w:t>
      </w:r>
      <w:r w:rsidRPr="001D26F3">
        <w:t xml:space="preserve"> </w:t>
      </w:r>
      <w:r w:rsidR="00F46C1C">
        <w:t xml:space="preserve">rounded to the nearest dollar. </w:t>
      </w:r>
    </w:p>
    <w:p w14:paraId="20EA9C5D" w14:textId="68DF58D3" w:rsidR="00BC79B3" w:rsidRDefault="00BC79B3" w:rsidP="00CC3C8E">
      <w:pPr>
        <w:pStyle w:val="Bullet1"/>
        <w:numPr>
          <w:ilvl w:val="0"/>
          <w:numId w:val="0"/>
        </w:numPr>
        <w:spacing w:before="180" w:after="120" w:line="276" w:lineRule="auto"/>
      </w:pPr>
      <w:r w:rsidRPr="000F4F32">
        <w:t xml:space="preserve">If </w:t>
      </w:r>
      <w:r w:rsidR="0094684C">
        <w:t>the</w:t>
      </w:r>
      <w:r w:rsidR="0094684C" w:rsidRPr="000F4F32">
        <w:t xml:space="preserve"> </w:t>
      </w:r>
      <w:r w:rsidRPr="000F4F32">
        <w:t>organisation has indicated that it is registered for GST</w:t>
      </w:r>
      <w:r w:rsidR="001234B6">
        <w:t xml:space="preserve"> or </w:t>
      </w:r>
      <w:r w:rsidR="00582EFD">
        <w:t xml:space="preserve">subsequently </w:t>
      </w:r>
      <w:r w:rsidR="00312B9C">
        <w:t>register</w:t>
      </w:r>
      <w:r w:rsidR="00582EFD">
        <w:t>s</w:t>
      </w:r>
      <w:r w:rsidR="001234B6">
        <w:t xml:space="preserve"> for GST</w:t>
      </w:r>
      <w:r w:rsidR="00582EFD">
        <w:t xml:space="preserve"> prior to execution of the </w:t>
      </w:r>
      <w:r w:rsidR="001D5020">
        <w:t>G</w:t>
      </w:r>
      <w:r w:rsidR="00582EFD">
        <w:t xml:space="preserve">rant </w:t>
      </w:r>
      <w:r w:rsidR="004563ED">
        <w:t>A</w:t>
      </w:r>
      <w:r w:rsidR="00582EFD">
        <w:t>greement</w:t>
      </w:r>
      <w:r w:rsidRPr="000F4F32">
        <w:t xml:space="preserve">, a </w:t>
      </w:r>
      <w:r w:rsidR="00582EFD">
        <w:t xml:space="preserve">GST </w:t>
      </w:r>
      <w:r w:rsidRPr="000F4F32">
        <w:t xml:space="preserve">payment of 10% of the value of the grant will be </w:t>
      </w:r>
      <w:r w:rsidR="001408EF">
        <w:t>added</w:t>
      </w:r>
      <w:r w:rsidR="003B5437">
        <w:t xml:space="preserve"> to the grant</w:t>
      </w:r>
      <w:r w:rsidR="00FC1156">
        <w:t xml:space="preserve"> amount</w:t>
      </w:r>
      <w:r w:rsidR="003B5437">
        <w:t xml:space="preserve"> requested</w:t>
      </w:r>
      <w:r w:rsidRPr="000F4F32">
        <w:t>.</w:t>
      </w:r>
      <w:r>
        <w:t xml:space="preserve"> This will be calculated </w:t>
      </w:r>
      <w:r w:rsidR="00235012">
        <w:t>by the NDIA</w:t>
      </w:r>
      <w:r>
        <w:t xml:space="preserve">. </w:t>
      </w:r>
      <w:r w:rsidR="00E166AD">
        <w:t xml:space="preserve">Applicants </w:t>
      </w:r>
      <w:r w:rsidRPr="001408EF">
        <w:rPr>
          <w:b/>
        </w:rPr>
        <w:t>DO NOT</w:t>
      </w:r>
      <w:r>
        <w:t xml:space="preserve"> need to add this GST payment into </w:t>
      </w:r>
      <w:r w:rsidR="00E166AD">
        <w:t xml:space="preserve">the </w:t>
      </w:r>
      <w:r>
        <w:t>budget.</w:t>
      </w:r>
    </w:p>
    <w:p w14:paraId="637D673C" w14:textId="77777777" w:rsidR="00483DD3" w:rsidRPr="001D26F3" w:rsidRDefault="000D53EA" w:rsidP="003B5437">
      <w:pPr>
        <w:spacing w:line="276" w:lineRule="auto"/>
      </w:pPr>
      <w:r>
        <w:t>Applicants</w:t>
      </w:r>
      <w:r w:rsidRPr="001D26F3">
        <w:t xml:space="preserve"> </w:t>
      </w:r>
      <w:r w:rsidR="00994D5C" w:rsidRPr="001D26F3">
        <w:t>will see that the budget</w:t>
      </w:r>
      <w:r w:rsidR="003B5437">
        <w:t xml:space="preserve"> template</w:t>
      </w:r>
      <w:r w:rsidR="00994D5C" w:rsidRPr="001D26F3">
        <w:t xml:space="preserve"> asks </w:t>
      </w:r>
      <w:r w:rsidR="00C9382B">
        <w:t xml:space="preserve">the </w:t>
      </w:r>
      <w:r w:rsidR="00D57101">
        <w:t>applicant</w:t>
      </w:r>
      <w:r w:rsidR="00D57101" w:rsidRPr="001D26F3">
        <w:t xml:space="preserve"> </w:t>
      </w:r>
      <w:r w:rsidR="00994D5C" w:rsidRPr="001D26F3">
        <w:t>to divide project expense across both components of the grant.</w:t>
      </w:r>
      <w:r w:rsidR="00897CF6">
        <w:t xml:space="preserve"> </w:t>
      </w:r>
      <w:r w:rsidR="00E747C7">
        <w:t xml:space="preserve">The </w:t>
      </w:r>
      <w:r w:rsidR="00897CF6">
        <w:t>budget c</w:t>
      </w:r>
      <w:r w:rsidR="00994D5C">
        <w:t>ould detail</w:t>
      </w:r>
      <w:r w:rsidR="00483DD3" w:rsidRPr="001D26F3">
        <w:t>:</w:t>
      </w:r>
    </w:p>
    <w:p w14:paraId="5CEE65A0" w14:textId="77777777" w:rsidR="00483DD3" w:rsidRPr="001D26F3" w:rsidRDefault="00341A4F" w:rsidP="00EC3661">
      <w:pPr>
        <w:numPr>
          <w:ilvl w:val="1"/>
          <w:numId w:val="26"/>
        </w:numPr>
        <w:spacing w:before="120" w:after="120" w:line="276" w:lineRule="auto"/>
      </w:pPr>
      <w:r>
        <w:t>L</w:t>
      </w:r>
      <w:r w:rsidRPr="001D26F3">
        <w:t xml:space="preserve">ine </w:t>
      </w:r>
      <w:r w:rsidR="00483DD3" w:rsidRPr="001D26F3">
        <w:t>items relating to salaries and on-costs for the grant activity</w:t>
      </w:r>
      <w:r w:rsidR="00312B9C">
        <w:t>;</w:t>
      </w:r>
    </w:p>
    <w:p w14:paraId="40BD9C7E" w14:textId="77777777" w:rsidR="00483DD3" w:rsidRPr="001D26F3" w:rsidRDefault="00341A4F" w:rsidP="00EC3661">
      <w:pPr>
        <w:numPr>
          <w:ilvl w:val="1"/>
          <w:numId w:val="26"/>
        </w:numPr>
        <w:spacing w:before="120" w:after="120" w:line="276" w:lineRule="auto"/>
      </w:pPr>
      <w:r>
        <w:t>L</w:t>
      </w:r>
      <w:r w:rsidRPr="001D26F3">
        <w:t xml:space="preserve">ine </w:t>
      </w:r>
      <w:r w:rsidR="00483DD3" w:rsidRPr="001D26F3">
        <w:t>items relating to operational and administration expenses</w:t>
      </w:r>
      <w:r w:rsidR="00312B9C">
        <w:t>;</w:t>
      </w:r>
    </w:p>
    <w:p w14:paraId="5F732F79" w14:textId="380E62CF" w:rsidR="00483DD3" w:rsidRPr="001D26F3" w:rsidRDefault="00341A4F" w:rsidP="00D96E26">
      <w:pPr>
        <w:numPr>
          <w:ilvl w:val="1"/>
          <w:numId w:val="26"/>
        </w:numPr>
        <w:spacing w:before="120" w:after="120" w:line="276" w:lineRule="auto"/>
      </w:pPr>
      <w:r>
        <w:t>L</w:t>
      </w:r>
      <w:r w:rsidRPr="001D26F3">
        <w:t xml:space="preserve">ine </w:t>
      </w:r>
      <w:r w:rsidR="00483DD3" w:rsidRPr="001D26F3">
        <w:t>items relating to other expenses related to the grant activity</w:t>
      </w:r>
      <w:r w:rsidR="00312B9C">
        <w:t>;</w:t>
      </w:r>
      <w:r w:rsidR="00D96E26">
        <w:t xml:space="preserve"> </w:t>
      </w:r>
      <w:r w:rsidR="00312B9C">
        <w:t>and/or</w:t>
      </w:r>
    </w:p>
    <w:p w14:paraId="60F12C17" w14:textId="0F6032A8" w:rsidR="00483DD3" w:rsidRPr="001D26F3" w:rsidRDefault="00341A4F" w:rsidP="00EC3661">
      <w:pPr>
        <w:numPr>
          <w:ilvl w:val="1"/>
          <w:numId w:val="26"/>
        </w:numPr>
        <w:spacing w:before="120" w:after="120" w:line="276" w:lineRule="auto"/>
      </w:pPr>
      <w:r>
        <w:t>L</w:t>
      </w:r>
      <w:r w:rsidRPr="001D26F3">
        <w:t xml:space="preserve">ine </w:t>
      </w:r>
      <w:r w:rsidR="00483DD3" w:rsidRPr="001D26F3">
        <w:t>item for the purchase of equipment or technical systems</w:t>
      </w:r>
      <w:r w:rsidR="009B78EB">
        <w:t>.</w:t>
      </w:r>
    </w:p>
    <w:p w14:paraId="1F356738" w14:textId="77777777" w:rsidR="00E747C7" w:rsidRDefault="006102EF" w:rsidP="006102EF">
      <w:pPr>
        <w:spacing w:before="120" w:after="120" w:line="276" w:lineRule="auto"/>
        <w:ind w:left="284"/>
        <w:rPr>
          <w:i/>
        </w:rPr>
      </w:pPr>
      <w:r w:rsidRPr="006102EF">
        <w:rPr>
          <w:i/>
        </w:rPr>
        <w:t xml:space="preserve"> </w:t>
      </w:r>
      <w:r w:rsidR="00E747C7" w:rsidRPr="006102EF">
        <w:rPr>
          <w:i/>
        </w:rPr>
        <w:t>[Note: The above is not an extensive list]</w:t>
      </w:r>
    </w:p>
    <w:p w14:paraId="5EC5824B" w14:textId="77777777" w:rsidR="00277F9C" w:rsidRPr="004671AE" w:rsidRDefault="00277F9C" w:rsidP="004671AE">
      <w:pPr>
        <w:pStyle w:val="Heading2Numbered"/>
        <w:spacing w:line="276" w:lineRule="auto"/>
        <w:contextualSpacing w:val="0"/>
      </w:pPr>
      <w:bookmarkStart w:id="71" w:name="_Toc531005194"/>
      <w:r w:rsidRPr="004671AE">
        <w:t>6.4 Multicultural Access and Equity Policy</w:t>
      </w:r>
      <w:bookmarkEnd w:id="71"/>
    </w:p>
    <w:p w14:paraId="5A2464DD" w14:textId="0A03327C" w:rsidR="00277F9C" w:rsidRPr="0082687C" w:rsidRDefault="00277F9C" w:rsidP="0082687C">
      <w:pPr>
        <w:rPr>
          <w:rFonts w:cs="Arial"/>
          <w:color w:val="000000"/>
          <w:spacing w:val="5"/>
        </w:rPr>
      </w:pPr>
      <w:r w:rsidRPr="00947688">
        <w:rPr>
          <w:rFonts w:cs="Arial"/>
          <w:color w:val="000000"/>
        </w:rPr>
        <w:t xml:space="preserve">Australia’s </w:t>
      </w:r>
      <w:r w:rsidRPr="00947688">
        <w:rPr>
          <w:rFonts w:cs="Arial"/>
          <w:i/>
          <w:color w:val="000000"/>
        </w:rPr>
        <w:t>Multicultural Access and Equity Policy: Respecting diversity. Improving responsiveness</w:t>
      </w:r>
      <w:r w:rsidR="009B78EB">
        <w:rPr>
          <w:rFonts w:cs="Arial"/>
          <w:i/>
          <w:color w:val="000000"/>
        </w:rPr>
        <w:t>,</w:t>
      </w:r>
      <w:r w:rsidRPr="00947688">
        <w:rPr>
          <w:rFonts w:cs="Arial"/>
          <w:color w:val="000000"/>
        </w:rPr>
        <w:t xml:space="preserve"> means that Australian Government agencies make sure that cultural and linguistic diversity is not a barrier for people who need to access government and community </w:t>
      </w:r>
      <w:r w:rsidRPr="00947688">
        <w:rPr>
          <w:rFonts w:cs="Arial"/>
          <w:color w:val="000000"/>
        </w:rPr>
        <w:lastRenderedPageBreak/>
        <w:t>services. This means, for example, that appropriate languag</w:t>
      </w:r>
      <w:r w:rsidR="00875345">
        <w:rPr>
          <w:rFonts w:cs="Arial"/>
          <w:color w:val="000000"/>
        </w:rPr>
        <w:t xml:space="preserve">e services should be provided. </w:t>
      </w:r>
      <w:r w:rsidRPr="00947688">
        <w:rPr>
          <w:rFonts w:cs="Arial"/>
          <w:color w:val="000000"/>
        </w:rPr>
        <w:t>Grant applicants should consider whether professional translating or interpreting services may be needed to deliver services, projects, activities or events to non-Eng</w:t>
      </w:r>
      <w:r w:rsidR="00875345">
        <w:rPr>
          <w:rFonts w:cs="Arial"/>
          <w:color w:val="000000"/>
        </w:rPr>
        <w:t>lish speakers.</w:t>
      </w:r>
      <w:r w:rsidRPr="00947688">
        <w:rPr>
          <w:rFonts w:cs="Arial"/>
          <w:color w:val="000000"/>
        </w:rPr>
        <w:t xml:space="preserve"> If your Application Form states that a budget is required, costs for translating and interpreting services should be included in your budget.</w:t>
      </w:r>
    </w:p>
    <w:p w14:paraId="413E6886" w14:textId="77777777" w:rsidR="00DB2761" w:rsidRDefault="00DB2761" w:rsidP="00CC3C8E">
      <w:pPr>
        <w:pStyle w:val="Heading1Numbered"/>
        <w:spacing w:before="720" w:line="276" w:lineRule="auto"/>
        <w:contextualSpacing w:val="0"/>
      </w:pPr>
      <w:bookmarkStart w:id="72" w:name="_Toc531005195"/>
      <w:r>
        <w:t>7. The Selection Criteria</w:t>
      </w:r>
      <w:bookmarkEnd w:id="72"/>
    </w:p>
    <w:p w14:paraId="123CA849" w14:textId="77777777" w:rsidR="00DB2761" w:rsidRPr="004632E3" w:rsidRDefault="008606D3" w:rsidP="00CC3C8E">
      <w:pPr>
        <w:pStyle w:val="Bullet1"/>
        <w:numPr>
          <w:ilvl w:val="0"/>
          <w:numId w:val="0"/>
        </w:numPr>
        <w:spacing w:after="120" w:line="276" w:lineRule="auto"/>
      </w:pPr>
      <w:r>
        <w:t>Applicants</w:t>
      </w:r>
      <w:r w:rsidRPr="004632E3">
        <w:t xml:space="preserve"> </w:t>
      </w:r>
      <w:r w:rsidR="00DB2761" w:rsidRPr="004632E3">
        <w:t xml:space="preserve">will need to address all of the following </w:t>
      </w:r>
      <w:r w:rsidR="001408EF">
        <w:t>Selection</w:t>
      </w:r>
      <w:r w:rsidR="001408EF" w:rsidRPr="004632E3">
        <w:t xml:space="preserve"> </w:t>
      </w:r>
      <w:r w:rsidR="001408EF">
        <w:t>C</w:t>
      </w:r>
      <w:r w:rsidR="00DB2761" w:rsidRPr="004632E3">
        <w:t xml:space="preserve">riteria questions in </w:t>
      </w:r>
      <w:r w:rsidR="001E50D1">
        <w:t>the</w:t>
      </w:r>
      <w:r w:rsidR="001E50D1" w:rsidRPr="004632E3">
        <w:t xml:space="preserve"> </w:t>
      </w:r>
      <w:r w:rsidR="00DB2761" w:rsidRPr="004632E3">
        <w:t xml:space="preserve">application. </w:t>
      </w:r>
      <w:r w:rsidR="00133B67">
        <w:t>T</w:t>
      </w:r>
      <w:r w:rsidR="00E93F8A">
        <w:t>he NDIA</w:t>
      </w:r>
      <w:r w:rsidR="00E93F8A" w:rsidRPr="004632E3">
        <w:t xml:space="preserve"> </w:t>
      </w:r>
      <w:r w:rsidR="00DB2761" w:rsidRPr="004632E3">
        <w:t xml:space="preserve">will </w:t>
      </w:r>
      <w:r w:rsidR="004570DB">
        <w:t>assess</w:t>
      </w:r>
      <w:r w:rsidR="004570DB" w:rsidRPr="004632E3">
        <w:t xml:space="preserve"> </w:t>
      </w:r>
      <w:r w:rsidR="002D5D80">
        <w:t>each</w:t>
      </w:r>
      <w:r w:rsidR="002D5D80" w:rsidRPr="004632E3">
        <w:t xml:space="preserve"> </w:t>
      </w:r>
      <w:r w:rsidR="00DB2761" w:rsidRPr="004632E3">
        <w:t xml:space="preserve">application based on the </w:t>
      </w:r>
      <w:r w:rsidR="003B5437">
        <w:t>responses provided</w:t>
      </w:r>
      <w:r w:rsidR="00DB2761" w:rsidRPr="004632E3">
        <w:t xml:space="preserve"> to each criterion. </w:t>
      </w:r>
    </w:p>
    <w:p w14:paraId="3C10B690" w14:textId="7DD5E069" w:rsidR="00DB2761" w:rsidRPr="004632E3" w:rsidRDefault="00DB2761" w:rsidP="00CC3C8E">
      <w:pPr>
        <w:pStyle w:val="Bullet1"/>
        <w:numPr>
          <w:ilvl w:val="0"/>
          <w:numId w:val="0"/>
        </w:numPr>
        <w:spacing w:before="180" w:after="120" w:line="276" w:lineRule="auto"/>
      </w:pPr>
      <w:r w:rsidRPr="004632E3">
        <w:t>Each criterion has a word limit. When assessing applications, the DSS Community Grants Hub reserves the right to not take into account any words in excess of this limit</w:t>
      </w:r>
      <w:r w:rsidR="009B78EB">
        <w:t>.</w:t>
      </w:r>
    </w:p>
    <w:p w14:paraId="68387512" w14:textId="77777777" w:rsidR="00A67314" w:rsidRPr="00A67314" w:rsidRDefault="00994D5C" w:rsidP="00CC3C8E">
      <w:pPr>
        <w:pStyle w:val="Heading2Numbered"/>
        <w:spacing w:line="276" w:lineRule="auto"/>
        <w:contextualSpacing w:val="0"/>
      </w:pPr>
      <w:bookmarkStart w:id="73" w:name="_Toc531005196"/>
      <w:r>
        <w:t>7</w:t>
      </w:r>
      <w:r w:rsidR="00A67314" w:rsidRPr="00A67314">
        <w:t xml:space="preserve">.1 </w:t>
      </w:r>
      <w:r w:rsidR="00A67314">
        <w:t>T</w:t>
      </w:r>
      <w:r w:rsidR="00A67314" w:rsidRPr="00A67314">
        <w:t xml:space="preserve">he </w:t>
      </w:r>
      <w:r w:rsidR="008E5306">
        <w:t xml:space="preserve">Selection </w:t>
      </w:r>
      <w:r w:rsidR="00A67314">
        <w:t>C</w:t>
      </w:r>
      <w:r w:rsidR="00A67314" w:rsidRPr="00A67314">
        <w:t>riteria in detail</w:t>
      </w:r>
      <w:bookmarkEnd w:id="73"/>
    </w:p>
    <w:p w14:paraId="58F02DAC" w14:textId="77777777" w:rsidR="001E049F" w:rsidRPr="007B4C91" w:rsidRDefault="001274AF" w:rsidP="00CC3C8E">
      <w:pPr>
        <w:spacing w:after="120" w:line="276" w:lineRule="auto"/>
        <w:rPr>
          <w:rFonts w:ascii="Arial" w:hAnsi="Arial" w:cs="Arial"/>
          <w:b/>
          <w:u w:val="single"/>
        </w:rPr>
      </w:pPr>
      <w:r w:rsidRPr="007B4C91">
        <w:rPr>
          <w:b/>
          <w:u w:val="single"/>
        </w:rPr>
        <w:t xml:space="preserve">Criterion 1: </w:t>
      </w:r>
      <w:r w:rsidR="00AD3E03">
        <w:rPr>
          <w:rFonts w:ascii="Arial" w:hAnsi="Arial" w:cs="Arial"/>
          <w:b/>
          <w:u w:val="single"/>
        </w:rPr>
        <w:t>Building organisational</w:t>
      </w:r>
      <w:r w:rsidRPr="007B4C91">
        <w:rPr>
          <w:rFonts w:ascii="Arial" w:hAnsi="Arial" w:cs="Arial"/>
          <w:b/>
          <w:u w:val="single"/>
        </w:rPr>
        <w:t xml:space="preserve"> capa</w:t>
      </w:r>
      <w:r w:rsidR="002B785E">
        <w:rPr>
          <w:rFonts w:ascii="Arial" w:hAnsi="Arial" w:cs="Arial"/>
          <w:b/>
          <w:u w:val="single"/>
        </w:rPr>
        <w:t>city</w:t>
      </w:r>
      <w:r w:rsidRPr="007B4C91">
        <w:rPr>
          <w:rFonts w:ascii="Arial" w:hAnsi="Arial" w:cs="Arial"/>
          <w:b/>
          <w:u w:val="single"/>
        </w:rPr>
        <w:t xml:space="preserve"> </w:t>
      </w:r>
    </w:p>
    <w:p w14:paraId="1114FC2D" w14:textId="77777777" w:rsidR="00835B4E" w:rsidRPr="00AD3E03" w:rsidRDefault="00835B4E" w:rsidP="003B5437">
      <w:pPr>
        <w:spacing w:before="120" w:after="120" w:line="276" w:lineRule="auto"/>
        <w:rPr>
          <w:rFonts w:ascii="Arial" w:hAnsi="Arial" w:cs="Arial"/>
          <w:b/>
          <w:i/>
          <w:sz w:val="20"/>
          <w:szCs w:val="20"/>
        </w:rPr>
      </w:pPr>
      <w:r w:rsidRPr="00AD3E03">
        <w:rPr>
          <w:rFonts w:ascii="Arial" w:hAnsi="Arial" w:cs="Arial"/>
          <w:b/>
          <w:i/>
        </w:rPr>
        <w:t>Question</w:t>
      </w:r>
      <w:r w:rsidRPr="00AD3E03">
        <w:rPr>
          <w:b/>
          <w:i/>
        </w:rPr>
        <w:t xml:space="preserve">: </w:t>
      </w:r>
      <w:r w:rsidR="002B785E" w:rsidRPr="002B785E">
        <w:rPr>
          <w:b/>
          <w:i/>
        </w:rPr>
        <w:t xml:space="preserve">Describe the specific activities that you intend to do to build organisational capacity and why these are important. </w:t>
      </w:r>
      <w:r w:rsidR="004F6682" w:rsidRPr="00AD3E03">
        <w:rPr>
          <w:b/>
          <w:i/>
        </w:rPr>
        <w:t>(</w:t>
      </w:r>
      <w:proofErr w:type="gramStart"/>
      <w:r w:rsidR="004F6682" w:rsidRPr="00AD3E03">
        <w:rPr>
          <w:b/>
          <w:i/>
        </w:rPr>
        <w:t>word</w:t>
      </w:r>
      <w:proofErr w:type="gramEnd"/>
      <w:r w:rsidR="004F6682" w:rsidRPr="00AD3E03">
        <w:rPr>
          <w:b/>
          <w:i/>
        </w:rPr>
        <w:t xml:space="preserve"> count </w:t>
      </w:r>
      <w:r w:rsidR="004F2E3A">
        <w:rPr>
          <w:b/>
          <w:i/>
        </w:rPr>
        <w:t>5</w:t>
      </w:r>
      <w:r w:rsidR="003B5437">
        <w:rPr>
          <w:b/>
          <w:i/>
        </w:rPr>
        <w:t>25</w:t>
      </w:r>
      <w:r w:rsidR="004F2E3A" w:rsidRPr="00AD3E03">
        <w:rPr>
          <w:b/>
          <w:i/>
        </w:rPr>
        <w:t xml:space="preserve"> </w:t>
      </w:r>
      <w:r w:rsidR="004F6682" w:rsidRPr="00AD3E03">
        <w:rPr>
          <w:b/>
          <w:i/>
        </w:rPr>
        <w:t>words)</w:t>
      </w:r>
    </w:p>
    <w:p w14:paraId="6D1AF1E8" w14:textId="77777777" w:rsidR="001274AF" w:rsidRDefault="00E21A30" w:rsidP="00CC3C8E">
      <w:pPr>
        <w:spacing w:after="120" w:line="276" w:lineRule="auto"/>
      </w:pPr>
      <w:r>
        <w:t>A</w:t>
      </w:r>
      <w:r w:rsidR="001274AF" w:rsidRPr="001274AF">
        <w:t xml:space="preserve"> component of this grant opportunity is to deliver activities to build organisational capacity. In this question we are looking for a clear description of the organisational capacity building activities proposed and why they have been chosen. </w:t>
      </w:r>
    </w:p>
    <w:p w14:paraId="3DBF4DE3" w14:textId="77777777" w:rsidR="00AD3E03" w:rsidRPr="00AD3E03" w:rsidRDefault="00AD3E03" w:rsidP="003B5437">
      <w:pPr>
        <w:spacing w:line="276" w:lineRule="auto"/>
      </w:pPr>
      <w:r w:rsidRPr="00AD3E03">
        <w:t>In your response you should:</w:t>
      </w:r>
    </w:p>
    <w:p w14:paraId="6F1BDA00" w14:textId="77777777" w:rsidR="002B785E" w:rsidRPr="002B785E" w:rsidRDefault="00D356B0" w:rsidP="00EC3661">
      <w:pPr>
        <w:pStyle w:val="ListParagraph"/>
        <w:numPr>
          <w:ilvl w:val="0"/>
          <w:numId w:val="33"/>
        </w:numPr>
        <w:spacing w:after="120"/>
        <w:rPr>
          <w:rFonts w:ascii="Arial" w:hAnsi="Arial" w:cs="Arial"/>
        </w:rPr>
      </w:pPr>
      <w:r w:rsidRPr="00D356B0">
        <w:rPr>
          <w:rFonts w:ascii="Arial" w:hAnsi="Arial" w:cs="Arial"/>
        </w:rPr>
        <w:t>Describe the main activities you intend to do to build organisational capacity</w:t>
      </w:r>
      <w:r w:rsidR="002B785E" w:rsidRPr="002B785E">
        <w:rPr>
          <w:rFonts w:ascii="Arial" w:hAnsi="Arial" w:cs="Arial"/>
        </w:rPr>
        <w:t>; and</w:t>
      </w:r>
    </w:p>
    <w:p w14:paraId="1A87185B" w14:textId="77777777" w:rsidR="002B785E" w:rsidRDefault="002B785E" w:rsidP="00EC3661">
      <w:pPr>
        <w:pStyle w:val="ListParagraph"/>
        <w:numPr>
          <w:ilvl w:val="0"/>
          <w:numId w:val="33"/>
        </w:numPr>
        <w:spacing w:after="120"/>
        <w:rPr>
          <w:rFonts w:ascii="Arial" w:hAnsi="Arial" w:cs="Arial"/>
          <w:color w:val="000000" w:themeColor="text1"/>
          <w:szCs w:val="28"/>
        </w:rPr>
      </w:pPr>
      <w:r w:rsidRPr="002B785E">
        <w:rPr>
          <w:rFonts w:ascii="Arial" w:hAnsi="Arial" w:cs="Arial"/>
          <w:color w:val="000000" w:themeColor="text1"/>
          <w:szCs w:val="28"/>
        </w:rPr>
        <w:t>Explain why these activities are needed</w:t>
      </w:r>
      <w:r w:rsidR="00E21A30">
        <w:rPr>
          <w:rFonts w:ascii="Arial" w:hAnsi="Arial" w:cs="Arial"/>
          <w:color w:val="000000" w:themeColor="text1"/>
          <w:szCs w:val="28"/>
        </w:rPr>
        <w:t>.</w:t>
      </w:r>
      <w:r w:rsidRPr="002B785E">
        <w:rPr>
          <w:rFonts w:ascii="Arial" w:hAnsi="Arial" w:cs="Arial"/>
          <w:color w:val="000000" w:themeColor="text1"/>
          <w:szCs w:val="28"/>
        </w:rPr>
        <w:t xml:space="preserve"> </w:t>
      </w:r>
    </w:p>
    <w:p w14:paraId="4BBE1354" w14:textId="26D3D2C1" w:rsidR="003B5437" w:rsidRPr="0021211D" w:rsidRDefault="0007602A" w:rsidP="0021211D">
      <w:pPr>
        <w:spacing w:after="120"/>
        <w:rPr>
          <w:rFonts w:ascii="Arial" w:hAnsi="Arial" w:cs="Arial"/>
          <w:i/>
          <w:color w:val="000000" w:themeColor="text1"/>
          <w:szCs w:val="28"/>
        </w:rPr>
      </w:pPr>
      <w:r w:rsidRPr="0021211D">
        <w:rPr>
          <w:rFonts w:ascii="Arial" w:hAnsi="Arial" w:cs="Arial"/>
          <w:i/>
        </w:rPr>
        <w:t>This question is only to be completed by DPFO applicants. N</w:t>
      </w:r>
      <w:r w:rsidRPr="0021211D">
        <w:rPr>
          <w:rFonts w:ascii="Arial" w:eastAsia="Times New Roman" w:hAnsi="Arial" w:cs="Arial"/>
          <w:i/>
        </w:rPr>
        <w:t xml:space="preserve">on-DPFO </w:t>
      </w:r>
      <w:r w:rsidRPr="0021211D">
        <w:rPr>
          <w:rFonts w:asciiTheme="majorHAnsi" w:hAnsiTheme="majorHAnsi" w:cstheme="majorHAnsi"/>
          <w:i/>
        </w:rPr>
        <w:t xml:space="preserve">organisations led by and for ILC’s Priority Cohort Groups </w:t>
      </w:r>
      <w:r>
        <w:rPr>
          <w:rFonts w:asciiTheme="majorHAnsi" w:hAnsiTheme="majorHAnsi" w:cstheme="majorHAnsi"/>
          <w:i/>
        </w:rPr>
        <w:t xml:space="preserve">need </w:t>
      </w:r>
      <w:r w:rsidRPr="00550156">
        <w:rPr>
          <w:rFonts w:asciiTheme="majorHAnsi" w:hAnsiTheme="majorHAnsi" w:cstheme="majorHAnsi"/>
          <w:i/>
        </w:rPr>
        <w:t xml:space="preserve">to state ‘not applicable’ </w:t>
      </w:r>
      <w:r>
        <w:rPr>
          <w:rFonts w:asciiTheme="majorHAnsi" w:hAnsiTheme="majorHAnsi" w:cstheme="majorHAnsi"/>
          <w:i/>
        </w:rPr>
        <w:t>for</w:t>
      </w:r>
      <w:r w:rsidRPr="0021211D">
        <w:rPr>
          <w:rFonts w:asciiTheme="majorHAnsi" w:hAnsiTheme="majorHAnsi" w:cstheme="majorHAnsi"/>
          <w:i/>
        </w:rPr>
        <w:t xml:space="preserve"> this question</w:t>
      </w:r>
      <w:r>
        <w:rPr>
          <w:rFonts w:asciiTheme="majorHAnsi" w:hAnsiTheme="majorHAnsi" w:cstheme="majorHAnsi"/>
          <w:i/>
        </w:rPr>
        <w:t xml:space="preserve"> in the online application form</w:t>
      </w:r>
      <w:r w:rsidRPr="0021211D">
        <w:rPr>
          <w:rFonts w:asciiTheme="majorHAnsi" w:hAnsiTheme="majorHAnsi" w:cstheme="majorHAnsi"/>
          <w:i/>
        </w:rPr>
        <w:t>.</w:t>
      </w:r>
    </w:p>
    <w:p w14:paraId="55F8672A" w14:textId="77777777" w:rsidR="003B5437" w:rsidRDefault="001274AF" w:rsidP="009B78EB">
      <w:pPr>
        <w:spacing w:before="360" w:after="120" w:line="276" w:lineRule="auto"/>
        <w:rPr>
          <w:rFonts w:ascii="Arial" w:hAnsi="Arial" w:cs="Arial"/>
          <w:b/>
          <w:u w:val="single"/>
        </w:rPr>
      </w:pPr>
      <w:r w:rsidRPr="007B4C91">
        <w:rPr>
          <w:b/>
          <w:u w:val="single"/>
        </w:rPr>
        <w:t xml:space="preserve">Criterion 2: </w:t>
      </w:r>
      <w:r w:rsidR="006102EF">
        <w:rPr>
          <w:rFonts w:ascii="Arial" w:hAnsi="Arial" w:cs="Arial"/>
          <w:b/>
          <w:u w:val="single"/>
        </w:rPr>
        <w:t>Building</w:t>
      </w:r>
      <w:r w:rsidRPr="007B4C91">
        <w:rPr>
          <w:rFonts w:ascii="Arial" w:hAnsi="Arial" w:cs="Arial"/>
          <w:b/>
          <w:u w:val="single"/>
        </w:rPr>
        <w:t xml:space="preserve"> individual capa</w:t>
      </w:r>
      <w:r w:rsidR="002B785E">
        <w:rPr>
          <w:rFonts w:ascii="Arial" w:hAnsi="Arial" w:cs="Arial"/>
          <w:b/>
          <w:u w:val="single"/>
        </w:rPr>
        <w:t>city</w:t>
      </w:r>
      <w:r w:rsidRPr="007B4C91">
        <w:rPr>
          <w:rFonts w:ascii="Arial" w:hAnsi="Arial" w:cs="Arial"/>
          <w:b/>
          <w:u w:val="single"/>
        </w:rPr>
        <w:t xml:space="preserve"> and opportunity for people with disability and their families and carers </w:t>
      </w:r>
    </w:p>
    <w:p w14:paraId="359A9472" w14:textId="77777777" w:rsidR="00835B4E" w:rsidRPr="00873511" w:rsidRDefault="00835B4E" w:rsidP="003B5437">
      <w:pPr>
        <w:spacing w:before="120" w:after="120" w:line="276" w:lineRule="auto"/>
        <w:rPr>
          <w:rFonts w:ascii="Arial" w:hAnsi="Arial" w:cs="Arial"/>
          <w:i/>
          <w:sz w:val="20"/>
          <w:szCs w:val="20"/>
        </w:rPr>
      </w:pPr>
      <w:r w:rsidRPr="00873511">
        <w:rPr>
          <w:rFonts w:ascii="Arial" w:hAnsi="Arial" w:cs="Arial"/>
          <w:b/>
          <w:i/>
        </w:rPr>
        <w:t>Question:</w:t>
      </w:r>
      <w:r w:rsidRPr="00873511">
        <w:rPr>
          <w:i/>
        </w:rPr>
        <w:t xml:space="preserve"> </w:t>
      </w:r>
      <w:r w:rsidR="002B785E" w:rsidRPr="002B785E">
        <w:rPr>
          <w:rFonts w:ascii="Arial" w:hAnsi="Arial" w:cs="Arial"/>
          <w:b/>
          <w:i/>
          <w:szCs w:val="28"/>
        </w:rPr>
        <w:t>Describe the individual capacity building activities that you intend to deliver and why these are important.</w:t>
      </w:r>
      <w:r w:rsidR="002B785E" w:rsidRPr="00873511">
        <w:rPr>
          <w:b/>
          <w:i/>
        </w:rPr>
        <w:t xml:space="preserve"> </w:t>
      </w:r>
      <w:r w:rsidR="004F6682" w:rsidRPr="00873511">
        <w:rPr>
          <w:b/>
          <w:i/>
        </w:rPr>
        <w:t xml:space="preserve">(Word count </w:t>
      </w:r>
      <w:r w:rsidR="003B5437">
        <w:rPr>
          <w:b/>
          <w:i/>
        </w:rPr>
        <w:t xml:space="preserve">525 </w:t>
      </w:r>
      <w:r w:rsidR="004F6682" w:rsidRPr="00873511">
        <w:rPr>
          <w:b/>
          <w:i/>
        </w:rPr>
        <w:t>words)</w:t>
      </w:r>
    </w:p>
    <w:p w14:paraId="063D9942" w14:textId="77777777" w:rsidR="001274AF" w:rsidRPr="00E21A30" w:rsidRDefault="001274AF" w:rsidP="00CC3C8E">
      <w:pPr>
        <w:spacing w:after="120" w:line="276" w:lineRule="auto"/>
        <w:rPr>
          <w:rFonts w:ascii="Arial" w:hAnsi="Arial" w:cs="Arial"/>
          <w:i/>
          <w:szCs w:val="28"/>
        </w:rPr>
      </w:pPr>
      <w:r w:rsidRPr="00A67314">
        <w:t xml:space="preserve">The </w:t>
      </w:r>
      <w:r w:rsidR="003B5437">
        <w:t>second</w:t>
      </w:r>
      <w:r w:rsidRPr="00A67314">
        <w:t xml:space="preserve"> component of th</w:t>
      </w:r>
      <w:r w:rsidR="00835B4E">
        <w:t xml:space="preserve">is grant opportunity is </w:t>
      </w:r>
      <w:r w:rsidR="007D6CA5">
        <w:t>to design and deliver</w:t>
      </w:r>
      <w:r w:rsidR="00835B4E">
        <w:t xml:space="preserve"> </w:t>
      </w:r>
      <w:r w:rsidRPr="00A67314">
        <w:t xml:space="preserve">activities that will build </w:t>
      </w:r>
      <w:r w:rsidR="00937BDA">
        <w:t>individual c</w:t>
      </w:r>
      <w:r w:rsidR="004F6682" w:rsidRPr="004F6682">
        <w:t xml:space="preserve">apacity </w:t>
      </w:r>
      <w:r w:rsidR="00937BDA" w:rsidRPr="00A67314">
        <w:t>of people with disability</w:t>
      </w:r>
      <w:r w:rsidR="00937BDA">
        <w:t>.</w:t>
      </w:r>
      <w:r w:rsidR="00937BDA" w:rsidRPr="00A67314">
        <w:t xml:space="preserve"> </w:t>
      </w:r>
      <w:r w:rsidR="00C32C86" w:rsidRPr="001274AF">
        <w:t xml:space="preserve">In this question we are looking for a clear description of the </w:t>
      </w:r>
      <w:r w:rsidR="00C32C86">
        <w:t>individual</w:t>
      </w:r>
      <w:r w:rsidR="00C32C86" w:rsidRPr="001274AF">
        <w:t xml:space="preserve"> capacity building activities proposed and why they have been chosen. </w:t>
      </w:r>
      <w:r w:rsidR="00E21A30" w:rsidRPr="00E21A30">
        <w:rPr>
          <w:rFonts w:ascii="Arial" w:hAnsi="Arial" w:cs="Arial"/>
          <w:szCs w:val="28"/>
        </w:rPr>
        <w:t xml:space="preserve">Your individual capacity building activities must be for the direct benefit of people with disability and </w:t>
      </w:r>
      <w:r w:rsidR="003B5437">
        <w:rPr>
          <w:rFonts w:ascii="Arial" w:hAnsi="Arial" w:cs="Arial"/>
          <w:szCs w:val="28"/>
        </w:rPr>
        <w:t xml:space="preserve">fit within the categories described in Section 4.2. </w:t>
      </w:r>
    </w:p>
    <w:p w14:paraId="042D232A" w14:textId="77777777" w:rsidR="00AD3E03" w:rsidRPr="00AD3E03" w:rsidRDefault="00AD3E03" w:rsidP="003B5437">
      <w:pPr>
        <w:spacing w:line="276" w:lineRule="auto"/>
      </w:pPr>
      <w:r w:rsidRPr="00AD3E03">
        <w:lastRenderedPageBreak/>
        <w:t>In your response you should:</w:t>
      </w:r>
    </w:p>
    <w:p w14:paraId="52AABFD9" w14:textId="77777777" w:rsidR="002B785E" w:rsidRPr="002B785E" w:rsidRDefault="002B785E" w:rsidP="00EC3661">
      <w:pPr>
        <w:pStyle w:val="ListParagraph"/>
        <w:numPr>
          <w:ilvl w:val="0"/>
          <w:numId w:val="33"/>
        </w:numPr>
        <w:spacing w:after="120"/>
        <w:rPr>
          <w:rFonts w:ascii="Arial" w:hAnsi="Arial" w:cs="Arial"/>
        </w:rPr>
      </w:pPr>
      <w:r w:rsidRPr="002B785E">
        <w:rPr>
          <w:rFonts w:ascii="Arial" w:hAnsi="Arial" w:cs="Arial"/>
        </w:rPr>
        <w:t>Describe the main individual capacity building activities you intend to do; and</w:t>
      </w:r>
    </w:p>
    <w:p w14:paraId="7B8ECD82" w14:textId="7D3CABBB" w:rsidR="002B785E" w:rsidRPr="002B785E" w:rsidRDefault="002B785E" w:rsidP="00EC3661">
      <w:pPr>
        <w:pStyle w:val="ListParagraph"/>
        <w:numPr>
          <w:ilvl w:val="0"/>
          <w:numId w:val="33"/>
        </w:numPr>
        <w:spacing w:after="120"/>
        <w:rPr>
          <w:rFonts w:ascii="Arial" w:hAnsi="Arial" w:cs="Arial"/>
        </w:rPr>
      </w:pPr>
      <w:r w:rsidRPr="002B785E">
        <w:rPr>
          <w:rFonts w:ascii="Arial" w:hAnsi="Arial" w:cs="Arial"/>
        </w:rPr>
        <w:t>Explain why these activities are needed</w:t>
      </w:r>
      <w:r w:rsidR="00E21A30">
        <w:rPr>
          <w:rFonts w:ascii="Arial" w:hAnsi="Arial" w:cs="Arial"/>
        </w:rPr>
        <w:t>.</w:t>
      </w:r>
    </w:p>
    <w:p w14:paraId="306EE0B9" w14:textId="77777777" w:rsidR="008257A9" w:rsidRPr="007B4C91" w:rsidRDefault="001274AF" w:rsidP="009B78EB">
      <w:pPr>
        <w:spacing w:before="360" w:after="120" w:line="276" w:lineRule="auto"/>
        <w:rPr>
          <w:rFonts w:ascii="Arial" w:hAnsi="Arial" w:cs="Arial"/>
          <w:b/>
          <w:u w:val="single"/>
        </w:rPr>
      </w:pPr>
      <w:r w:rsidRPr="007B4C91">
        <w:rPr>
          <w:b/>
          <w:u w:val="single"/>
        </w:rPr>
        <w:t>C</w:t>
      </w:r>
      <w:r w:rsidR="00FA3BB2" w:rsidRPr="007B4C91">
        <w:rPr>
          <w:b/>
          <w:u w:val="single"/>
        </w:rPr>
        <w:t xml:space="preserve">riterion 3: </w:t>
      </w:r>
      <w:r w:rsidR="002B785E" w:rsidRPr="002B785E">
        <w:rPr>
          <w:b/>
          <w:u w:val="single"/>
        </w:rPr>
        <w:t>Expected results from organisational capacity building and individual capacity building activities</w:t>
      </w:r>
      <w:r w:rsidRPr="007B4C91">
        <w:rPr>
          <w:b/>
          <w:u w:val="single"/>
        </w:rPr>
        <w:t xml:space="preserve"> </w:t>
      </w:r>
    </w:p>
    <w:p w14:paraId="28AFF3A6" w14:textId="77777777" w:rsidR="00835B4E" w:rsidRPr="00873511" w:rsidRDefault="00835B4E" w:rsidP="003B5437">
      <w:pPr>
        <w:spacing w:before="120" w:after="120" w:line="276" w:lineRule="auto"/>
        <w:rPr>
          <w:b/>
          <w:i/>
        </w:rPr>
      </w:pPr>
      <w:r w:rsidRPr="00873511">
        <w:rPr>
          <w:b/>
          <w:i/>
        </w:rPr>
        <w:t xml:space="preserve">Question: </w:t>
      </w:r>
      <w:r w:rsidR="00E21A30" w:rsidRPr="00E21A30">
        <w:rPr>
          <w:rFonts w:ascii="Arial" w:hAnsi="Arial" w:cs="Arial"/>
          <w:b/>
          <w:i/>
          <w:szCs w:val="28"/>
        </w:rPr>
        <w:t>Describe the results of delivering the project and how you will measure this.</w:t>
      </w:r>
      <w:r w:rsidR="00E21A30">
        <w:rPr>
          <w:rFonts w:ascii="Arial" w:hAnsi="Arial" w:cs="Arial"/>
          <w:b/>
          <w:szCs w:val="28"/>
        </w:rPr>
        <w:t xml:space="preserve"> </w:t>
      </w:r>
      <w:r w:rsidR="00EE1195" w:rsidRPr="00873511">
        <w:rPr>
          <w:b/>
          <w:i/>
        </w:rPr>
        <w:t>(</w:t>
      </w:r>
      <w:proofErr w:type="gramStart"/>
      <w:r w:rsidR="00EE1195" w:rsidRPr="00873511">
        <w:rPr>
          <w:b/>
          <w:i/>
        </w:rPr>
        <w:t>word</w:t>
      </w:r>
      <w:proofErr w:type="gramEnd"/>
      <w:r w:rsidR="00EE1195" w:rsidRPr="00873511">
        <w:rPr>
          <w:b/>
          <w:i/>
        </w:rPr>
        <w:t xml:space="preserve"> count </w:t>
      </w:r>
      <w:r w:rsidR="004F2E3A">
        <w:rPr>
          <w:b/>
          <w:i/>
        </w:rPr>
        <w:t>5</w:t>
      </w:r>
      <w:r w:rsidR="003B5437">
        <w:rPr>
          <w:b/>
          <w:i/>
        </w:rPr>
        <w:t>25</w:t>
      </w:r>
      <w:r w:rsidR="004F2E3A" w:rsidRPr="00873511">
        <w:rPr>
          <w:b/>
          <w:i/>
        </w:rPr>
        <w:t xml:space="preserve"> </w:t>
      </w:r>
      <w:r w:rsidR="004F6682" w:rsidRPr="00873511">
        <w:rPr>
          <w:b/>
          <w:i/>
        </w:rPr>
        <w:t>words)</w:t>
      </w:r>
    </w:p>
    <w:p w14:paraId="0122E400" w14:textId="77777777" w:rsidR="00E21A30" w:rsidRDefault="00937BDA" w:rsidP="003B5437">
      <w:pPr>
        <w:spacing w:after="120" w:line="276" w:lineRule="auto"/>
      </w:pPr>
      <w:r>
        <w:t>Y</w:t>
      </w:r>
      <w:r w:rsidR="001274AF" w:rsidRPr="00A67314">
        <w:t>our res</w:t>
      </w:r>
      <w:r>
        <w:t xml:space="preserve">ponse </w:t>
      </w:r>
      <w:r w:rsidR="00E21A30">
        <w:t xml:space="preserve">should </w:t>
      </w:r>
      <w:r w:rsidR="003B5437">
        <w:t xml:space="preserve">describe </w:t>
      </w:r>
      <w:r w:rsidR="00E21A30">
        <w:t>the benefits you expect the organisational capacity building and individual capacity building activities</w:t>
      </w:r>
      <w:r w:rsidR="003B5437">
        <w:t xml:space="preserve"> to provide</w:t>
      </w:r>
      <w:r w:rsidR="00E21A30">
        <w:t xml:space="preserve"> and how you will measure the overall results of the project. </w:t>
      </w:r>
    </w:p>
    <w:p w14:paraId="32918C6C" w14:textId="77777777" w:rsidR="00C32C86" w:rsidRDefault="00C32C86" w:rsidP="009427E6">
      <w:pPr>
        <w:spacing w:after="120" w:line="276" w:lineRule="auto"/>
      </w:pPr>
      <w:r>
        <w:t>In regards to organisational capacity building activities, w</w:t>
      </w:r>
      <w:r w:rsidRPr="001274AF">
        <w:t xml:space="preserve">e will be considering the level of benefit these activities will provide to </w:t>
      </w:r>
      <w:r w:rsidR="006102EF">
        <w:t>the</w:t>
      </w:r>
      <w:r w:rsidRPr="001274AF">
        <w:t xml:space="preserve"> organisation and the people that you support</w:t>
      </w:r>
      <w:r>
        <w:t>, as well considering how these activities will enable you to deliver ILC activities in the future</w:t>
      </w:r>
      <w:r w:rsidRPr="001274AF">
        <w:t>.</w:t>
      </w:r>
    </w:p>
    <w:p w14:paraId="14C4DC76" w14:textId="77777777" w:rsidR="009427E6" w:rsidRDefault="00C32C86" w:rsidP="00CB7D7B">
      <w:pPr>
        <w:spacing w:after="120" w:line="276" w:lineRule="auto"/>
      </w:pPr>
      <w:r>
        <w:t xml:space="preserve">You should also describe the </w:t>
      </w:r>
      <w:r w:rsidRPr="00A67314">
        <w:t>method that</w:t>
      </w:r>
      <w:r>
        <w:t xml:space="preserve"> you might take to measure the project results</w:t>
      </w:r>
      <w:r w:rsidRPr="00A67314">
        <w:t xml:space="preserve"> (e.g. a post peer program survey (method) of group participant’s confidence levels (indicator)).</w:t>
      </w:r>
      <w:r w:rsidR="00032AF6">
        <w:t xml:space="preserve"> </w:t>
      </w:r>
    </w:p>
    <w:p w14:paraId="5F4A55F2" w14:textId="77777777" w:rsidR="00E21A30" w:rsidRDefault="00032AF6" w:rsidP="00ED748E">
      <w:pPr>
        <w:spacing w:after="120" w:line="276" w:lineRule="auto"/>
      </w:pPr>
      <w:r>
        <w:t xml:space="preserve">Further information and guidance will be provided to </w:t>
      </w:r>
      <w:r w:rsidR="009427E6">
        <w:t xml:space="preserve">successful </w:t>
      </w:r>
      <w:r>
        <w:t xml:space="preserve">grant applicants </w:t>
      </w:r>
      <w:r w:rsidR="009427E6">
        <w:t xml:space="preserve">to develop and measure </w:t>
      </w:r>
      <w:r>
        <w:t>suitable indicators.</w:t>
      </w:r>
    </w:p>
    <w:p w14:paraId="41D01A84" w14:textId="77777777" w:rsidR="00EE1195" w:rsidRPr="00EE1195" w:rsidRDefault="00EE1195" w:rsidP="009427E6">
      <w:pPr>
        <w:spacing w:line="276" w:lineRule="auto"/>
      </w:pPr>
      <w:r w:rsidRPr="00EE1195">
        <w:t>In your response you should describe:</w:t>
      </w:r>
    </w:p>
    <w:p w14:paraId="679603D5" w14:textId="77777777" w:rsidR="00E21A30" w:rsidRPr="00E21A30" w:rsidRDefault="00E21A30" w:rsidP="00EC3661">
      <w:pPr>
        <w:pStyle w:val="ListParagraph"/>
        <w:numPr>
          <w:ilvl w:val="0"/>
          <w:numId w:val="33"/>
        </w:numPr>
        <w:spacing w:after="120"/>
        <w:rPr>
          <w:rFonts w:ascii="Arial" w:hAnsi="Arial" w:cs="Arial"/>
          <w:szCs w:val="28"/>
        </w:rPr>
      </w:pPr>
      <w:r w:rsidRPr="00E21A30">
        <w:rPr>
          <w:rFonts w:ascii="Arial" w:hAnsi="Arial" w:cs="Arial"/>
          <w:szCs w:val="28"/>
        </w:rPr>
        <w:t xml:space="preserve">The benefit you expect the organisational capacity building activities will provide for </w:t>
      </w:r>
      <w:r w:rsidR="00D356B0">
        <w:rPr>
          <w:rFonts w:ascii="Arial" w:hAnsi="Arial" w:cs="Arial"/>
          <w:szCs w:val="28"/>
        </w:rPr>
        <w:t>the</w:t>
      </w:r>
      <w:r w:rsidR="00D356B0" w:rsidRPr="00E21A30">
        <w:rPr>
          <w:rFonts w:ascii="Arial" w:hAnsi="Arial" w:cs="Arial"/>
          <w:szCs w:val="28"/>
        </w:rPr>
        <w:t xml:space="preserve"> </w:t>
      </w:r>
      <w:r w:rsidRPr="00E21A30">
        <w:rPr>
          <w:rFonts w:ascii="Arial" w:hAnsi="Arial" w:cs="Arial"/>
          <w:szCs w:val="28"/>
        </w:rPr>
        <w:t>organisation and the people with disability you work with;</w:t>
      </w:r>
    </w:p>
    <w:p w14:paraId="011DDFF8" w14:textId="77777777" w:rsidR="00E21A30" w:rsidRPr="00E21A30" w:rsidRDefault="00E21A30" w:rsidP="00EC3661">
      <w:pPr>
        <w:pStyle w:val="ListParagraph"/>
        <w:numPr>
          <w:ilvl w:val="0"/>
          <w:numId w:val="33"/>
        </w:numPr>
        <w:spacing w:after="120"/>
        <w:rPr>
          <w:rFonts w:ascii="Arial" w:hAnsi="Arial" w:cs="Arial"/>
          <w:szCs w:val="28"/>
        </w:rPr>
      </w:pPr>
      <w:r w:rsidRPr="00E21A30">
        <w:rPr>
          <w:rFonts w:ascii="Arial" w:hAnsi="Arial" w:cs="Arial"/>
          <w:szCs w:val="28"/>
        </w:rPr>
        <w:t>The benefit you expect the individual capacity building activities will provide to people with disability; and</w:t>
      </w:r>
    </w:p>
    <w:p w14:paraId="31647B61" w14:textId="6EA7A426" w:rsidR="009427E6" w:rsidRPr="009B78EB" w:rsidRDefault="00E21A30" w:rsidP="009B78EB">
      <w:pPr>
        <w:pStyle w:val="ListParagraph"/>
        <w:numPr>
          <w:ilvl w:val="0"/>
          <w:numId w:val="33"/>
        </w:numPr>
        <w:spacing w:after="120"/>
        <w:rPr>
          <w:rFonts w:ascii="Arial" w:hAnsi="Arial" w:cs="Arial"/>
          <w:szCs w:val="28"/>
        </w:rPr>
      </w:pPr>
      <w:r w:rsidRPr="00E21A30">
        <w:rPr>
          <w:rFonts w:ascii="Arial" w:hAnsi="Arial" w:cs="Arial"/>
          <w:szCs w:val="28"/>
        </w:rPr>
        <w:t>How you will measure the results of the project, including indicators that will be measured</w:t>
      </w:r>
      <w:r>
        <w:rPr>
          <w:rFonts w:ascii="Arial" w:hAnsi="Arial" w:cs="Arial"/>
          <w:szCs w:val="28"/>
        </w:rPr>
        <w:t>.</w:t>
      </w:r>
    </w:p>
    <w:p w14:paraId="76DDFE71" w14:textId="77777777" w:rsidR="008257A9" w:rsidRPr="007B4C91" w:rsidRDefault="00A67314" w:rsidP="009B78EB">
      <w:pPr>
        <w:spacing w:before="360" w:after="120" w:line="276" w:lineRule="auto"/>
        <w:rPr>
          <w:rFonts w:ascii="Arial" w:hAnsi="Arial" w:cs="Arial"/>
          <w:b/>
          <w:u w:val="single"/>
        </w:rPr>
      </w:pPr>
      <w:r w:rsidRPr="007B4C91">
        <w:rPr>
          <w:b/>
          <w:u w:val="single"/>
        </w:rPr>
        <w:t>Criterion 4: Organisational Capability</w:t>
      </w:r>
      <w:r w:rsidR="008257A9">
        <w:rPr>
          <w:b/>
          <w:u w:val="single"/>
        </w:rPr>
        <w:t xml:space="preserve"> </w:t>
      </w:r>
    </w:p>
    <w:p w14:paraId="3D773CD2" w14:textId="77777777" w:rsidR="00835B4E" w:rsidRPr="00873511" w:rsidRDefault="00835B4E" w:rsidP="00591906">
      <w:pPr>
        <w:spacing w:before="360" w:after="120" w:line="276" w:lineRule="auto"/>
        <w:rPr>
          <w:rFonts w:ascii="Arial" w:hAnsi="Arial" w:cs="Arial"/>
          <w:b/>
          <w:i/>
          <w:sz w:val="20"/>
          <w:szCs w:val="20"/>
        </w:rPr>
      </w:pPr>
      <w:r w:rsidRPr="00873511">
        <w:rPr>
          <w:b/>
          <w:i/>
        </w:rPr>
        <w:t xml:space="preserve">Question: </w:t>
      </w:r>
      <w:r w:rsidR="00E21A30" w:rsidRPr="00E21A30">
        <w:rPr>
          <w:rFonts w:ascii="Arial" w:hAnsi="Arial" w:cs="Arial"/>
          <w:b/>
          <w:i/>
          <w:szCs w:val="28"/>
        </w:rPr>
        <w:t>Describe how you will manage the activities.</w:t>
      </w:r>
      <w:r w:rsidR="00E21A30">
        <w:rPr>
          <w:rFonts w:ascii="Arial" w:hAnsi="Arial" w:cs="Arial"/>
          <w:b/>
          <w:szCs w:val="28"/>
        </w:rPr>
        <w:t xml:space="preserve"> </w:t>
      </w:r>
      <w:r w:rsidR="00EE1195" w:rsidRPr="00873511">
        <w:rPr>
          <w:b/>
          <w:i/>
        </w:rPr>
        <w:t>(</w:t>
      </w:r>
      <w:proofErr w:type="gramStart"/>
      <w:r w:rsidR="00EE1195" w:rsidRPr="00873511">
        <w:rPr>
          <w:b/>
          <w:i/>
        </w:rPr>
        <w:t>word</w:t>
      </w:r>
      <w:proofErr w:type="gramEnd"/>
      <w:r w:rsidR="00EE1195" w:rsidRPr="00873511">
        <w:rPr>
          <w:b/>
          <w:i/>
        </w:rPr>
        <w:t xml:space="preserve"> count </w:t>
      </w:r>
      <w:r w:rsidR="004F2E3A">
        <w:rPr>
          <w:b/>
          <w:i/>
        </w:rPr>
        <w:t>5</w:t>
      </w:r>
      <w:r w:rsidR="009427E6">
        <w:rPr>
          <w:b/>
          <w:i/>
        </w:rPr>
        <w:t>25</w:t>
      </w:r>
      <w:r w:rsidR="004F2E3A">
        <w:rPr>
          <w:b/>
          <w:i/>
        </w:rPr>
        <w:t xml:space="preserve"> </w:t>
      </w:r>
      <w:r w:rsidR="004F6682" w:rsidRPr="00873511">
        <w:rPr>
          <w:b/>
          <w:i/>
        </w:rPr>
        <w:t>words)</w:t>
      </w:r>
    </w:p>
    <w:p w14:paraId="2265233A" w14:textId="77777777" w:rsidR="00EE1195" w:rsidRDefault="00A67314" w:rsidP="00CC3C8E">
      <w:pPr>
        <w:spacing w:after="120" w:line="276" w:lineRule="auto"/>
      </w:pPr>
      <w:r w:rsidRPr="00A67314">
        <w:t xml:space="preserve">In this response we are looking for evidence that your organisation can manage and effectively deliver the </w:t>
      </w:r>
      <w:r w:rsidR="009427E6">
        <w:t>proposed</w:t>
      </w:r>
      <w:r w:rsidRPr="00A67314">
        <w:t xml:space="preserve"> organisational capacity building activities and</w:t>
      </w:r>
      <w:r w:rsidR="00835B4E">
        <w:t xml:space="preserve"> </w:t>
      </w:r>
      <w:r w:rsidR="00691A3A">
        <w:t>individual capacity building</w:t>
      </w:r>
      <w:r w:rsidRPr="00A67314">
        <w:t xml:space="preserve"> activities. </w:t>
      </w:r>
    </w:p>
    <w:p w14:paraId="1D0520DE" w14:textId="77777777" w:rsidR="00EE1195" w:rsidRPr="00EE1195" w:rsidRDefault="00EE1195" w:rsidP="009427E6">
      <w:pPr>
        <w:spacing w:line="276" w:lineRule="auto"/>
      </w:pPr>
      <w:bookmarkStart w:id="74" w:name="_Toc421777611"/>
      <w:bookmarkStart w:id="75" w:name="_Toc467773965"/>
      <w:bookmarkStart w:id="76" w:name="_Toc421777601"/>
      <w:r w:rsidRPr="00EE1195">
        <w:t>In your response you should</w:t>
      </w:r>
      <w:r w:rsidR="00E21A30">
        <w:t xml:space="preserve"> describe</w:t>
      </w:r>
      <w:r w:rsidRPr="00EE1195">
        <w:t>:</w:t>
      </w:r>
    </w:p>
    <w:p w14:paraId="68CAB259" w14:textId="77777777" w:rsidR="00E21A30" w:rsidRPr="00E21A30" w:rsidRDefault="00E21A30" w:rsidP="00EC3661">
      <w:pPr>
        <w:pStyle w:val="ListParagraph"/>
        <w:numPr>
          <w:ilvl w:val="0"/>
          <w:numId w:val="33"/>
        </w:numPr>
        <w:spacing w:after="120"/>
        <w:rPr>
          <w:rFonts w:ascii="Arial" w:hAnsi="Arial" w:cs="Arial"/>
          <w:szCs w:val="28"/>
        </w:rPr>
      </w:pPr>
      <w:r w:rsidRPr="00E21A30">
        <w:rPr>
          <w:rFonts w:ascii="Arial" w:hAnsi="Arial" w:cs="Arial"/>
          <w:szCs w:val="28"/>
        </w:rPr>
        <w:t xml:space="preserve">Your project plan including key milestones or stages for both organisational capacity building and individual capacity building activities; </w:t>
      </w:r>
    </w:p>
    <w:p w14:paraId="4328E808" w14:textId="77777777" w:rsidR="00E21A30" w:rsidRPr="00E21A30" w:rsidRDefault="00E21A30" w:rsidP="00EC3661">
      <w:pPr>
        <w:pStyle w:val="ListParagraph"/>
        <w:numPr>
          <w:ilvl w:val="0"/>
          <w:numId w:val="33"/>
        </w:numPr>
        <w:spacing w:after="120"/>
        <w:rPr>
          <w:rFonts w:ascii="Arial" w:hAnsi="Arial" w:cs="Arial"/>
          <w:szCs w:val="28"/>
        </w:rPr>
      </w:pPr>
      <w:r w:rsidRPr="00E21A30">
        <w:rPr>
          <w:rFonts w:ascii="Arial" w:hAnsi="Arial" w:cs="Arial"/>
          <w:szCs w:val="28"/>
        </w:rPr>
        <w:t xml:space="preserve">Describe how you plan to engage people with disability in the planning and delivery of the project (including employment); </w:t>
      </w:r>
    </w:p>
    <w:p w14:paraId="135A63BC" w14:textId="77777777" w:rsidR="00E21A30" w:rsidRPr="00E21A30" w:rsidRDefault="00E21A30" w:rsidP="00EC3661">
      <w:pPr>
        <w:pStyle w:val="ListParagraph"/>
        <w:numPr>
          <w:ilvl w:val="0"/>
          <w:numId w:val="33"/>
        </w:numPr>
        <w:spacing w:after="120"/>
        <w:rPr>
          <w:rFonts w:ascii="Arial" w:hAnsi="Arial" w:cs="Arial"/>
          <w:szCs w:val="28"/>
        </w:rPr>
      </w:pPr>
      <w:r w:rsidRPr="00E21A30">
        <w:rPr>
          <w:rFonts w:ascii="Arial" w:hAnsi="Arial" w:cs="Arial"/>
          <w:szCs w:val="28"/>
        </w:rPr>
        <w:lastRenderedPageBreak/>
        <w:t>Who will manage the project and the role of your board/committee in oversight of the activities; and</w:t>
      </w:r>
    </w:p>
    <w:p w14:paraId="0DB0DB32" w14:textId="77777777" w:rsidR="00EE1195" w:rsidRPr="00E21A30" w:rsidRDefault="006F1E28" w:rsidP="00EC3661">
      <w:pPr>
        <w:pStyle w:val="ListParagraph"/>
        <w:numPr>
          <w:ilvl w:val="0"/>
          <w:numId w:val="33"/>
        </w:numPr>
        <w:spacing w:before="60" w:after="120"/>
        <w:ind w:left="760" w:hanging="357"/>
        <w:rPr>
          <w:rFonts w:asciiTheme="minorHAnsi" w:eastAsiaTheme="minorHAnsi" w:hAnsiTheme="minorHAnsi" w:cstheme="minorBidi"/>
        </w:rPr>
      </w:pPr>
      <w:r>
        <w:rPr>
          <w:rFonts w:ascii="Arial" w:hAnsi="Arial" w:cs="Arial"/>
          <w:szCs w:val="28"/>
        </w:rPr>
        <w:t xml:space="preserve">Outline any </w:t>
      </w:r>
      <w:r w:rsidR="00E21A30" w:rsidRPr="00E21A30">
        <w:rPr>
          <w:rFonts w:ascii="Arial" w:hAnsi="Arial" w:cs="Arial"/>
          <w:szCs w:val="28"/>
        </w:rPr>
        <w:t>partnerships or collaborations you intend to undertake.</w:t>
      </w:r>
    </w:p>
    <w:p w14:paraId="54D5D3F8" w14:textId="77777777" w:rsidR="00340616" w:rsidRPr="00B72EE8" w:rsidRDefault="00873511" w:rsidP="00CC3C8E">
      <w:pPr>
        <w:pStyle w:val="Heading1Numbered"/>
        <w:spacing w:before="720" w:line="276" w:lineRule="auto"/>
        <w:contextualSpacing w:val="0"/>
      </w:pPr>
      <w:bookmarkStart w:id="77" w:name="_Toc531005197"/>
      <w:r>
        <w:t>8</w:t>
      </w:r>
      <w:r w:rsidR="00F64AC7">
        <w:t xml:space="preserve">. </w:t>
      </w:r>
      <w:r w:rsidR="00340616">
        <w:t>The grant application p</w:t>
      </w:r>
      <w:r w:rsidR="00340616" w:rsidRPr="00B72EE8">
        <w:t>rocess</w:t>
      </w:r>
      <w:bookmarkEnd w:id="74"/>
      <w:bookmarkEnd w:id="75"/>
      <w:bookmarkEnd w:id="77"/>
    </w:p>
    <w:p w14:paraId="2A31C3E3" w14:textId="77777777" w:rsidR="00340616" w:rsidRPr="009D325B" w:rsidRDefault="00873511" w:rsidP="00CC3C8E">
      <w:pPr>
        <w:pStyle w:val="Heading2Numbered"/>
        <w:spacing w:line="276" w:lineRule="auto"/>
        <w:contextualSpacing w:val="0"/>
      </w:pPr>
      <w:bookmarkStart w:id="78" w:name="_Toc421777612"/>
      <w:bookmarkStart w:id="79" w:name="_Toc467773966"/>
      <w:bookmarkStart w:id="80" w:name="_Toc531005198"/>
      <w:r>
        <w:t>8</w:t>
      </w:r>
      <w:r w:rsidR="00F64AC7">
        <w:t xml:space="preserve">.1 </w:t>
      </w:r>
      <w:r w:rsidR="00340616" w:rsidRPr="009D325B">
        <w:t>Overview of application process</w:t>
      </w:r>
      <w:bookmarkEnd w:id="78"/>
      <w:bookmarkEnd w:id="79"/>
      <w:bookmarkEnd w:id="80"/>
    </w:p>
    <w:p w14:paraId="5234996E" w14:textId="3F064FB0" w:rsidR="00340616" w:rsidRPr="00223B5B" w:rsidRDefault="009427E6" w:rsidP="00CC3C8E">
      <w:pPr>
        <w:spacing w:before="0" w:after="120" w:line="276" w:lineRule="auto"/>
      </w:pPr>
      <w:r>
        <w:t>T</w:t>
      </w:r>
      <w:r w:rsidR="00953123">
        <w:t xml:space="preserve">he </w:t>
      </w:r>
      <w:r w:rsidR="00D57101">
        <w:t>applicant</w:t>
      </w:r>
      <w:r w:rsidR="00D57101" w:rsidRPr="00223B5B">
        <w:t xml:space="preserve"> </w:t>
      </w:r>
      <w:r w:rsidR="00223B5B" w:rsidRPr="006102EF">
        <w:rPr>
          <w:b/>
        </w:rPr>
        <w:t>must</w:t>
      </w:r>
      <w:r w:rsidR="00223B5B" w:rsidRPr="00223B5B">
        <w:t xml:space="preserve"> read these Grant Opportunity Guidel</w:t>
      </w:r>
      <w:r w:rsidR="00910FD2">
        <w:t>ines,</w:t>
      </w:r>
      <w:r w:rsidR="001E77B7">
        <w:t xml:space="preserve"> the application form, </w:t>
      </w:r>
      <w:r w:rsidR="00223B5B" w:rsidRPr="00223B5B">
        <w:t xml:space="preserve">the </w:t>
      </w:r>
      <w:r w:rsidR="001E77B7">
        <w:t>General</w:t>
      </w:r>
      <w:r w:rsidR="00223B5B" w:rsidRPr="00223B5B">
        <w:t xml:space="preserve"> Grant </w:t>
      </w:r>
      <w:r w:rsidR="001E77B7">
        <w:t>Conditions and Supplementary Terms and Conditions</w:t>
      </w:r>
      <w:r>
        <w:t xml:space="preserve"> before they submit an application</w:t>
      </w:r>
      <w:r w:rsidR="00223B5B" w:rsidRPr="00223B5B">
        <w:t xml:space="preserve">. </w:t>
      </w:r>
      <w:r w:rsidR="006102EF">
        <w:t>The applicant</w:t>
      </w:r>
      <w:r w:rsidR="00223B5B" w:rsidRPr="00223B5B">
        <w:t xml:space="preserve"> should also familiarise </w:t>
      </w:r>
      <w:r w:rsidR="006102EF">
        <w:t>themselves</w:t>
      </w:r>
      <w:r w:rsidR="00223B5B" w:rsidRPr="00223B5B">
        <w:t xml:space="preserve"> with the ILC Outcomes Framework (Discussion Starter), which can be found at: </w:t>
      </w:r>
      <w:hyperlink r:id="rId16" w:history="1">
        <w:r w:rsidR="00223B5B" w:rsidRPr="00D6158E">
          <w:rPr>
            <w:b/>
          </w:rPr>
          <w:t>ILC Toolkit</w:t>
        </w:r>
      </w:hyperlink>
      <w:r w:rsidR="00223B5B" w:rsidRPr="00FA3BB2">
        <w:t xml:space="preserve"> </w:t>
      </w:r>
    </w:p>
    <w:p w14:paraId="46EEF31E" w14:textId="77777777" w:rsidR="00340616" w:rsidRDefault="00522CE3" w:rsidP="00CC3C8E">
      <w:pPr>
        <w:spacing w:after="120" w:line="276" w:lineRule="auto"/>
      </w:pPr>
      <w:r>
        <w:t>Applicants</w:t>
      </w:r>
      <w:r w:rsidRPr="00B72EE8">
        <w:t xml:space="preserve"> </w:t>
      </w:r>
      <w:r w:rsidR="00340616" w:rsidRPr="00B72EE8">
        <w:t>are</w:t>
      </w:r>
      <w:r w:rsidR="00340616">
        <w:t xml:space="preserve"> responsible for ensuring that </w:t>
      </w:r>
      <w:r w:rsidR="0003279F">
        <w:t>the</w:t>
      </w:r>
      <w:r w:rsidR="0003279F" w:rsidRPr="00B72EE8">
        <w:t xml:space="preserve"> </w:t>
      </w:r>
      <w:r w:rsidR="00340616" w:rsidRPr="00B72EE8">
        <w:t xml:space="preserve">application is complete and accurate. Giving false or misleading information </w:t>
      </w:r>
      <w:r w:rsidR="00340616">
        <w:t xml:space="preserve">will </w:t>
      </w:r>
      <w:r w:rsidR="00340616" w:rsidRPr="00B72EE8">
        <w:t xml:space="preserve">exclude </w:t>
      </w:r>
      <w:r w:rsidR="00E21B2A">
        <w:t>the</w:t>
      </w:r>
      <w:r w:rsidR="00E21B2A" w:rsidRPr="00B72EE8">
        <w:t xml:space="preserve"> </w:t>
      </w:r>
      <w:r w:rsidR="00340616" w:rsidRPr="00B72EE8">
        <w:t xml:space="preserve">application from </w:t>
      </w:r>
      <w:r w:rsidR="00340616">
        <w:t xml:space="preserve">further </w:t>
      </w:r>
      <w:r w:rsidR="00340616" w:rsidRPr="00B72EE8">
        <w:t xml:space="preserve">consideration. </w:t>
      </w:r>
    </w:p>
    <w:p w14:paraId="57F19DCA" w14:textId="4AD55FEA" w:rsidR="007119DE" w:rsidRPr="000037AB" w:rsidRDefault="00E75674" w:rsidP="00CC3C8E">
      <w:pPr>
        <w:spacing w:after="120" w:line="276" w:lineRule="auto"/>
      </w:pPr>
      <w:r>
        <w:t>Applicants</w:t>
      </w:r>
      <w:r w:rsidRPr="00B72EE8">
        <w:t xml:space="preserve"> </w:t>
      </w:r>
      <w:r w:rsidR="00340616">
        <w:t>must</w:t>
      </w:r>
      <w:r w:rsidR="00340616" w:rsidRPr="00B72EE8">
        <w:t xml:space="preserve"> address </w:t>
      </w:r>
      <w:r w:rsidR="00340616" w:rsidRPr="006102EF">
        <w:rPr>
          <w:b/>
        </w:rPr>
        <w:t>all</w:t>
      </w:r>
      <w:r w:rsidR="00340616" w:rsidRPr="00B72EE8">
        <w:t xml:space="preserve"> of the eligibility </w:t>
      </w:r>
      <w:r w:rsidR="00340616">
        <w:t xml:space="preserve">and </w:t>
      </w:r>
      <w:r w:rsidR="00EE5FBF">
        <w:t>selection</w:t>
      </w:r>
      <w:r w:rsidR="00EE5FBF" w:rsidRPr="00B72EE8">
        <w:t xml:space="preserve"> criteria </w:t>
      </w:r>
      <w:r w:rsidR="00340616" w:rsidRPr="00B72EE8">
        <w:t xml:space="preserve">to be considered for </w:t>
      </w:r>
      <w:r w:rsidR="00340616">
        <w:t>a grant</w:t>
      </w:r>
      <w:r w:rsidR="00E65F4A">
        <w:t>,</w:t>
      </w:r>
      <w:r w:rsidR="004F6159">
        <w:t xml:space="preserve"> otherwise </w:t>
      </w:r>
      <w:r w:rsidR="00B51177">
        <w:t>their</w:t>
      </w:r>
      <w:r w:rsidR="004F6159">
        <w:t xml:space="preserve"> application will not progress</w:t>
      </w:r>
      <w:r w:rsidR="00340616" w:rsidRPr="00B72EE8">
        <w:t xml:space="preserve">. </w:t>
      </w:r>
      <w:r w:rsidR="00340616">
        <w:t>Please</w:t>
      </w:r>
      <w:r w:rsidR="006102EF">
        <w:t xml:space="preserve"> complete each s</w:t>
      </w:r>
      <w:r w:rsidR="00340616" w:rsidRPr="00B72EE8">
        <w:t xml:space="preserve">ection of the application </w:t>
      </w:r>
      <w:r w:rsidR="00340616">
        <w:t xml:space="preserve">form </w:t>
      </w:r>
      <w:r w:rsidR="00340616" w:rsidRPr="00B72EE8">
        <w:t xml:space="preserve">and </w:t>
      </w:r>
      <w:r w:rsidR="00340616">
        <w:t xml:space="preserve">make sure </w:t>
      </w:r>
      <w:r w:rsidR="00881BCE">
        <w:t>requested information has been provided</w:t>
      </w:r>
      <w:r w:rsidR="00340616">
        <w:t>.</w:t>
      </w:r>
    </w:p>
    <w:p w14:paraId="6B3F2AB1" w14:textId="77777777" w:rsidR="00937BDA" w:rsidRDefault="00774449" w:rsidP="00CC3C8E">
      <w:pPr>
        <w:spacing w:after="120" w:line="276" w:lineRule="auto"/>
      </w:pPr>
      <w:r>
        <w:t xml:space="preserve">Applicants must retain </w:t>
      </w:r>
      <w:r w:rsidR="00340616" w:rsidRPr="00B72EE8">
        <w:t xml:space="preserve">a copy of </w:t>
      </w:r>
      <w:r>
        <w:t xml:space="preserve">the </w:t>
      </w:r>
      <w:r w:rsidR="00D57101">
        <w:t>a</w:t>
      </w:r>
      <w:r w:rsidR="00D57101" w:rsidRPr="00B72EE8">
        <w:t>pplica</w:t>
      </w:r>
      <w:r w:rsidR="00D57101">
        <w:t xml:space="preserve">tion </w:t>
      </w:r>
      <w:r w:rsidR="00340616">
        <w:t>and any supporting papers</w:t>
      </w:r>
      <w:r w:rsidR="00340616" w:rsidRPr="00B72EE8">
        <w:t xml:space="preserve">. </w:t>
      </w:r>
    </w:p>
    <w:p w14:paraId="7155C01C" w14:textId="76675D43" w:rsidR="007C0464" w:rsidRDefault="007C0464" w:rsidP="00CC3C8E">
      <w:pPr>
        <w:spacing w:after="120" w:line="276" w:lineRule="auto"/>
        <w:rPr>
          <w:rFonts w:cstheme="minorHAnsi"/>
        </w:rPr>
      </w:pPr>
      <w:r w:rsidRPr="00310249">
        <w:rPr>
          <w:rFonts w:cstheme="minorHAnsi"/>
        </w:rPr>
        <w:t xml:space="preserve">The NDIA is not under any obligation to fund every application that meets the CICD Program objectives and </w:t>
      </w:r>
      <w:r w:rsidR="009B78EB">
        <w:rPr>
          <w:rFonts w:cstheme="minorHAnsi"/>
        </w:rPr>
        <w:t>assessment c</w:t>
      </w:r>
      <w:r w:rsidRPr="00310249">
        <w:rPr>
          <w:rFonts w:cstheme="minorHAnsi"/>
        </w:rPr>
        <w:t xml:space="preserve">riteria. </w:t>
      </w:r>
    </w:p>
    <w:p w14:paraId="01B7DD19" w14:textId="77777777" w:rsidR="007C0464" w:rsidRPr="00310249" w:rsidRDefault="007C0464" w:rsidP="009427E6">
      <w:pPr>
        <w:spacing w:line="276" w:lineRule="auto"/>
        <w:rPr>
          <w:rFonts w:cstheme="minorHAnsi"/>
        </w:rPr>
      </w:pPr>
      <w:r w:rsidRPr="00310249">
        <w:rPr>
          <w:rFonts w:cstheme="minorHAnsi"/>
        </w:rPr>
        <w:t>If the NDIA considers that applications received are unlikely to:</w:t>
      </w:r>
    </w:p>
    <w:p w14:paraId="05A9C35B" w14:textId="77777777" w:rsidR="00937BDA" w:rsidRDefault="007C0464" w:rsidP="00EC3661">
      <w:pPr>
        <w:pStyle w:val="ListParagraph"/>
        <w:numPr>
          <w:ilvl w:val="0"/>
          <w:numId w:val="22"/>
        </w:numPr>
        <w:spacing w:after="120"/>
        <w:ind w:left="1077"/>
        <w:rPr>
          <w:rFonts w:asciiTheme="minorHAnsi" w:hAnsiTheme="minorHAnsi" w:cstheme="minorHAnsi"/>
        </w:rPr>
      </w:pPr>
      <w:r w:rsidRPr="00310249">
        <w:rPr>
          <w:rFonts w:asciiTheme="minorHAnsi" w:hAnsiTheme="minorHAnsi" w:cstheme="minorHAnsi"/>
        </w:rPr>
        <w:t>meet the NDIA and CICD Program objectives; or</w:t>
      </w:r>
    </w:p>
    <w:p w14:paraId="5CB8212C" w14:textId="77777777" w:rsidR="007C0464" w:rsidRPr="00937BDA" w:rsidRDefault="007C0464" w:rsidP="00EC3661">
      <w:pPr>
        <w:pStyle w:val="ListParagraph"/>
        <w:numPr>
          <w:ilvl w:val="0"/>
          <w:numId w:val="22"/>
        </w:numPr>
        <w:spacing w:before="60" w:after="120"/>
        <w:rPr>
          <w:rFonts w:asciiTheme="minorHAnsi" w:hAnsiTheme="minorHAnsi" w:cstheme="minorHAnsi"/>
        </w:rPr>
      </w:pPr>
      <w:r w:rsidRPr="00937BDA">
        <w:rPr>
          <w:rFonts w:asciiTheme="minorHAnsi" w:hAnsiTheme="minorHAnsi" w:cstheme="minorHAnsi"/>
        </w:rPr>
        <w:t xml:space="preserve">deliver a satisfactory result for the community </w:t>
      </w:r>
    </w:p>
    <w:p w14:paraId="1EDD7EC7" w14:textId="77777777" w:rsidR="007C0464" w:rsidRDefault="007C0464" w:rsidP="00CC3C8E">
      <w:pPr>
        <w:spacing w:before="0" w:after="120" w:line="276" w:lineRule="auto"/>
        <w:rPr>
          <w:rFonts w:cstheme="minorHAnsi"/>
        </w:rPr>
      </w:pPr>
      <w:proofErr w:type="gramStart"/>
      <w:r>
        <w:rPr>
          <w:rFonts w:cstheme="minorHAnsi"/>
        </w:rPr>
        <w:t>a</w:t>
      </w:r>
      <w:r w:rsidRPr="00310249">
        <w:rPr>
          <w:rFonts w:cstheme="minorHAnsi"/>
        </w:rPr>
        <w:t>ll</w:t>
      </w:r>
      <w:proofErr w:type="gramEnd"/>
      <w:r w:rsidRPr="00310249">
        <w:rPr>
          <w:rFonts w:cstheme="minorHAnsi"/>
        </w:rPr>
        <w:t xml:space="preserve"> or part of the funding round may be withdrawn or readvertised at the NDIA’s discretion; or the NDIA may decide to conduct a new and/or different selection process for the funding round. </w:t>
      </w:r>
    </w:p>
    <w:p w14:paraId="32554EC4" w14:textId="77777777" w:rsidR="007C0464" w:rsidRPr="00310249" w:rsidRDefault="007C0464" w:rsidP="00CC3C8E">
      <w:pPr>
        <w:spacing w:before="0" w:after="120" w:line="276" w:lineRule="auto"/>
        <w:rPr>
          <w:rFonts w:cstheme="minorHAnsi"/>
        </w:rPr>
      </w:pPr>
      <w:r w:rsidRPr="00310249">
        <w:rPr>
          <w:rFonts w:cstheme="minorHAnsi"/>
        </w:rPr>
        <w:t>For all funding rou</w:t>
      </w:r>
      <w:r w:rsidR="00E84C48">
        <w:rPr>
          <w:rFonts w:cstheme="minorHAnsi"/>
        </w:rPr>
        <w:t>nds or opportunities, the NDIA D</w:t>
      </w:r>
      <w:r w:rsidRPr="00310249">
        <w:rPr>
          <w:rFonts w:cstheme="minorHAnsi"/>
        </w:rPr>
        <w:t xml:space="preserve">elegate will ultimately determine whether an application will receive funding and/or whether the allocated budget for the funding round is fully expended. </w:t>
      </w:r>
    </w:p>
    <w:p w14:paraId="0DBB9112" w14:textId="77777777" w:rsidR="00340616" w:rsidRPr="00B72EE8" w:rsidRDefault="000B6BA1" w:rsidP="00CC3C8E">
      <w:pPr>
        <w:pStyle w:val="Heading2Numbered"/>
        <w:spacing w:line="276" w:lineRule="auto"/>
        <w:contextualSpacing w:val="0"/>
      </w:pPr>
      <w:bookmarkStart w:id="81" w:name="_Toc467773967"/>
      <w:bookmarkStart w:id="82" w:name="_Toc421777613"/>
      <w:bookmarkStart w:id="83" w:name="_Ref421787098"/>
      <w:bookmarkStart w:id="84" w:name="_Ref422127559"/>
      <w:bookmarkStart w:id="85" w:name="_Ref422128505"/>
      <w:bookmarkStart w:id="86" w:name="_Toc531005199"/>
      <w:r>
        <w:t>8</w:t>
      </w:r>
      <w:r w:rsidR="00F64AC7">
        <w:t xml:space="preserve">.2 </w:t>
      </w:r>
      <w:r w:rsidR="00340616">
        <w:t>Application p</w:t>
      </w:r>
      <w:r w:rsidR="00340616" w:rsidRPr="00B72EE8">
        <w:t xml:space="preserve">rocess </w:t>
      </w:r>
      <w:r w:rsidR="00340616">
        <w:t>t</w:t>
      </w:r>
      <w:r w:rsidR="00340616" w:rsidRPr="00B72EE8">
        <w:t>iming</w:t>
      </w:r>
      <w:bookmarkEnd w:id="81"/>
      <w:bookmarkEnd w:id="86"/>
      <w:r w:rsidR="00340616" w:rsidRPr="00B72EE8">
        <w:t xml:space="preserve"> </w:t>
      </w:r>
      <w:bookmarkEnd w:id="82"/>
      <w:bookmarkEnd w:id="83"/>
      <w:bookmarkEnd w:id="84"/>
      <w:bookmarkEnd w:id="85"/>
    </w:p>
    <w:p w14:paraId="6FB9072C" w14:textId="668CECAD" w:rsidR="00884D3E" w:rsidRDefault="000342BD" w:rsidP="00CC3C8E">
      <w:pPr>
        <w:spacing w:after="120" w:line="276" w:lineRule="auto"/>
      </w:pPr>
      <w:r>
        <w:t xml:space="preserve">All </w:t>
      </w:r>
      <w:r w:rsidR="00484A81">
        <w:t>applications</w:t>
      </w:r>
      <w:r>
        <w:t xml:space="preserve"> must be submitted </w:t>
      </w:r>
      <w:r w:rsidR="00910FD2">
        <w:t>by</w:t>
      </w:r>
      <w:r w:rsidR="006338CC" w:rsidRPr="0089786A">
        <w:t xml:space="preserve"> </w:t>
      </w:r>
      <w:r w:rsidR="00E54637" w:rsidRPr="00D96E26">
        <w:rPr>
          <w:b/>
        </w:rPr>
        <w:t xml:space="preserve">2pm </w:t>
      </w:r>
      <w:r w:rsidR="008B2D42" w:rsidRPr="00D96E26">
        <w:rPr>
          <w:b/>
        </w:rPr>
        <w:t>AED</w:t>
      </w:r>
      <w:r w:rsidR="00884D3E" w:rsidRPr="00D96E26">
        <w:rPr>
          <w:b/>
        </w:rPr>
        <w:t xml:space="preserve">T </w:t>
      </w:r>
      <w:r w:rsidR="00DA53BD">
        <w:rPr>
          <w:b/>
        </w:rPr>
        <w:t>Friday 21</w:t>
      </w:r>
      <w:r w:rsidR="00EE5FBF" w:rsidRPr="00D96E26">
        <w:rPr>
          <w:b/>
        </w:rPr>
        <w:t xml:space="preserve"> December</w:t>
      </w:r>
      <w:r w:rsidR="000B6BA1" w:rsidRPr="00D96E26">
        <w:rPr>
          <w:b/>
        </w:rPr>
        <w:t xml:space="preserve"> </w:t>
      </w:r>
      <w:r w:rsidR="00884D3E" w:rsidRPr="00D96E26">
        <w:rPr>
          <w:b/>
        </w:rPr>
        <w:t>2018.</w:t>
      </w:r>
    </w:p>
    <w:p w14:paraId="65B5144A" w14:textId="7DC21804" w:rsidR="006338CC" w:rsidRPr="0089786A" w:rsidRDefault="00AD7633" w:rsidP="009427E6">
      <w:pPr>
        <w:spacing w:line="276" w:lineRule="auto"/>
      </w:pPr>
      <w:r>
        <w:t>Applications submitted</w:t>
      </w:r>
      <w:r w:rsidR="00844B2F">
        <w:t xml:space="preserve"> </w:t>
      </w:r>
      <w:r w:rsidR="00242D32">
        <w:t>after this time</w:t>
      </w:r>
      <w:r>
        <w:t xml:space="preserve"> due to</w:t>
      </w:r>
      <w:r w:rsidR="006338CC" w:rsidRPr="0089786A">
        <w:t xml:space="preserve"> circumstances </w:t>
      </w:r>
      <w:r w:rsidR="0033079D">
        <w:t xml:space="preserve">that are, in the </w:t>
      </w:r>
      <w:r w:rsidR="00F14348">
        <w:t>opinion of the NDIA</w:t>
      </w:r>
      <w:r w:rsidR="00E54637">
        <w:t xml:space="preserve"> and Community Grants Hub</w:t>
      </w:r>
      <w:r w:rsidR="00F14348">
        <w:t xml:space="preserve">, exceptional and </w:t>
      </w:r>
      <w:r w:rsidR="006338CC" w:rsidRPr="0089786A">
        <w:t xml:space="preserve">beyond the applicant’s control </w:t>
      </w:r>
      <w:r w:rsidR="0010393C">
        <w:t xml:space="preserve">may </w:t>
      </w:r>
      <w:r>
        <w:t xml:space="preserve">still </w:t>
      </w:r>
      <w:r>
        <w:lastRenderedPageBreak/>
        <w:t>be assessed</w:t>
      </w:r>
      <w:r w:rsidR="006338CC" w:rsidRPr="0089786A">
        <w:t>. Examples of exceptional circumstances could include, but may not be limited to:</w:t>
      </w:r>
    </w:p>
    <w:p w14:paraId="6ED83AA3" w14:textId="77777777" w:rsidR="006338CC" w:rsidRPr="0089786A" w:rsidRDefault="006338CC" w:rsidP="00CC3C8E">
      <w:pPr>
        <w:numPr>
          <w:ilvl w:val="0"/>
          <w:numId w:val="15"/>
        </w:numPr>
        <w:suppressAutoHyphens w:val="0"/>
        <w:spacing w:before="0" w:after="120" w:line="276" w:lineRule="auto"/>
        <w:ind w:left="714" w:hanging="357"/>
      </w:pPr>
      <w:r w:rsidRPr="0089786A">
        <w:t>Community Grants Hub infrastructure failures</w:t>
      </w:r>
      <w:r w:rsidR="00341A4F">
        <w:t>;</w:t>
      </w:r>
    </w:p>
    <w:p w14:paraId="784E84A9" w14:textId="77777777" w:rsidR="006338CC" w:rsidRPr="0089786A" w:rsidRDefault="00341A4F" w:rsidP="00CC3C8E">
      <w:pPr>
        <w:numPr>
          <w:ilvl w:val="0"/>
          <w:numId w:val="15"/>
        </w:numPr>
        <w:suppressAutoHyphens w:val="0"/>
        <w:spacing w:before="0" w:after="120" w:line="276" w:lineRule="auto"/>
        <w:ind w:left="714" w:hanging="357"/>
      </w:pPr>
      <w:r>
        <w:t>N</w:t>
      </w:r>
      <w:r w:rsidR="006338CC" w:rsidRPr="0089786A">
        <w:t>atural disasters</w:t>
      </w:r>
      <w:r>
        <w:t>;</w:t>
      </w:r>
    </w:p>
    <w:p w14:paraId="77443490" w14:textId="77777777" w:rsidR="006338CC" w:rsidRPr="0089786A" w:rsidRDefault="00341A4F" w:rsidP="00CC3C8E">
      <w:pPr>
        <w:numPr>
          <w:ilvl w:val="0"/>
          <w:numId w:val="15"/>
        </w:numPr>
        <w:suppressAutoHyphens w:val="0"/>
        <w:spacing w:before="0" w:after="120" w:line="276" w:lineRule="auto"/>
        <w:ind w:left="714" w:hanging="357"/>
      </w:pPr>
      <w:r>
        <w:t>P</w:t>
      </w:r>
      <w:r w:rsidR="006338CC" w:rsidRPr="0089786A">
        <w:t>ower outages affecting the ability of the applicant to submit their application by the deadline, and</w:t>
      </w:r>
    </w:p>
    <w:p w14:paraId="0EA16B2E" w14:textId="77777777" w:rsidR="006338CC" w:rsidRPr="0089786A" w:rsidRDefault="00341A4F" w:rsidP="00CC3C8E">
      <w:pPr>
        <w:numPr>
          <w:ilvl w:val="0"/>
          <w:numId w:val="15"/>
        </w:numPr>
        <w:suppressAutoHyphens w:val="0"/>
        <w:spacing w:before="0" w:after="120" w:line="276" w:lineRule="auto"/>
        <w:ind w:left="714" w:hanging="357"/>
      </w:pPr>
      <w:r>
        <w:t>D</w:t>
      </w:r>
      <w:r w:rsidR="006338CC" w:rsidRPr="0089786A">
        <w:t>eath or disability of key personnel.</w:t>
      </w:r>
    </w:p>
    <w:p w14:paraId="5A1EDFD9" w14:textId="6BBE36C3" w:rsidR="00541075" w:rsidRPr="00FA5687" w:rsidRDefault="00541075" w:rsidP="00CC3C8E">
      <w:pPr>
        <w:spacing w:before="200" w:after="120" w:line="276" w:lineRule="auto"/>
      </w:pPr>
      <w:bookmarkStart w:id="87" w:name="_Toc467773968"/>
      <w:r w:rsidRPr="00FA5687">
        <w:t xml:space="preserve">The </w:t>
      </w:r>
      <w:r w:rsidR="00FA3BB2">
        <w:t>start date for the grant</w:t>
      </w:r>
      <w:r w:rsidRPr="00FA5687">
        <w:t xml:space="preserve"> activities is</w:t>
      </w:r>
      <w:r w:rsidR="00E65F4A">
        <w:t xml:space="preserve"> likely to be </w:t>
      </w:r>
      <w:r w:rsidR="0004691D">
        <w:t xml:space="preserve">May or </w:t>
      </w:r>
      <w:r w:rsidR="00386168">
        <w:t>June</w:t>
      </w:r>
      <w:r w:rsidR="00386168" w:rsidRPr="00FA5687">
        <w:t xml:space="preserve"> </w:t>
      </w:r>
      <w:r w:rsidRPr="00FA5687">
        <w:t>2019 and the</w:t>
      </w:r>
      <w:r w:rsidR="001F04B7">
        <w:t xml:space="preserve"> grants will run for a maximum of 12 months</w:t>
      </w:r>
      <w:r w:rsidRPr="00FA5687">
        <w:t xml:space="preserve">. </w:t>
      </w:r>
    </w:p>
    <w:p w14:paraId="6D7E5BF9" w14:textId="77777777" w:rsidR="00541075" w:rsidRPr="00FA5687" w:rsidRDefault="00541075" w:rsidP="00CC3C8E">
      <w:pPr>
        <w:pStyle w:val="Caption"/>
        <w:keepNext/>
        <w:spacing w:line="276" w:lineRule="auto"/>
      </w:pPr>
      <w:r w:rsidRPr="00FA5687">
        <w:rPr>
          <w:bCs/>
          <w:iCs w:val="0"/>
        </w:rPr>
        <w:t>Table 1: Indicative timing for this grant opportunity</w:t>
      </w:r>
      <w:r w:rsidRPr="00FA5687">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1075" w:rsidRPr="00FA5687" w14:paraId="4C15744A" w14:textId="77777777" w:rsidTr="00B73656">
        <w:trPr>
          <w:cnfStyle w:val="100000000000" w:firstRow="1" w:lastRow="0" w:firstColumn="0" w:lastColumn="0" w:oddVBand="0" w:evenVBand="0" w:oddHBand="0" w:evenHBand="0" w:firstRowFirstColumn="0" w:firstRowLastColumn="0" w:lastRowFirstColumn="0" w:lastRowLastColumn="0"/>
        </w:trPr>
        <w:tc>
          <w:tcPr>
            <w:tcW w:w="5387" w:type="dxa"/>
          </w:tcPr>
          <w:p w14:paraId="239B5EFD" w14:textId="77777777" w:rsidR="00541075" w:rsidRPr="00FA5687" w:rsidRDefault="00541075" w:rsidP="00CC3C8E">
            <w:pPr>
              <w:pStyle w:val="TableText"/>
              <w:spacing w:after="120" w:line="276" w:lineRule="auto"/>
            </w:pPr>
            <w:r w:rsidRPr="00FA5687">
              <w:t>Activity</w:t>
            </w:r>
          </w:p>
        </w:tc>
        <w:tc>
          <w:tcPr>
            <w:tcW w:w="3402" w:type="dxa"/>
          </w:tcPr>
          <w:p w14:paraId="1A97C962" w14:textId="77777777" w:rsidR="00541075" w:rsidRPr="00FA5687" w:rsidRDefault="00541075" w:rsidP="00CC3C8E">
            <w:pPr>
              <w:pStyle w:val="TableText"/>
              <w:spacing w:after="120" w:line="276" w:lineRule="auto"/>
            </w:pPr>
            <w:r w:rsidRPr="00FA5687">
              <w:t>Timeframes</w:t>
            </w:r>
          </w:p>
        </w:tc>
      </w:tr>
      <w:tr w:rsidR="00541075" w:rsidRPr="00FA5687" w14:paraId="5DFAF50A" w14:textId="77777777" w:rsidTr="00B73656">
        <w:tc>
          <w:tcPr>
            <w:tcW w:w="5387" w:type="dxa"/>
          </w:tcPr>
          <w:p w14:paraId="6E1B23DB" w14:textId="77777777" w:rsidR="00541075" w:rsidRPr="00FA5687" w:rsidRDefault="00541075" w:rsidP="00CC3C8E">
            <w:pPr>
              <w:pStyle w:val="TableText"/>
              <w:spacing w:before="40" w:after="120" w:line="276" w:lineRule="auto"/>
            </w:pPr>
            <w:r w:rsidRPr="00FA5687">
              <w:t xml:space="preserve">Application period </w:t>
            </w:r>
          </w:p>
        </w:tc>
        <w:tc>
          <w:tcPr>
            <w:tcW w:w="3402" w:type="dxa"/>
          </w:tcPr>
          <w:p w14:paraId="223B74C2" w14:textId="7F7F615F" w:rsidR="00541075" w:rsidRPr="00FA5687" w:rsidRDefault="00541075" w:rsidP="00DA53BD">
            <w:pPr>
              <w:pStyle w:val="TableText"/>
              <w:spacing w:before="40" w:after="120" w:line="276" w:lineRule="auto"/>
            </w:pPr>
            <w:r w:rsidRPr="00FA5687">
              <w:t xml:space="preserve">Open: </w:t>
            </w:r>
            <w:r w:rsidR="00DA53BD">
              <w:t>27</w:t>
            </w:r>
            <w:r w:rsidR="00242D32" w:rsidRPr="00D96E26">
              <w:t xml:space="preserve"> </w:t>
            </w:r>
            <w:r w:rsidR="00731989" w:rsidRPr="00D96E26">
              <w:t xml:space="preserve">November </w:t>
            </w:r>
            <w:r w:rsidRPr="00D96E26">
              <w:t xml:space="preserve">2018 </w:t>
            </w:r>
            <w:r w:rsidRPr="00D96E26">
              <w:br/>
              <w:t xml:space="preserve">Close: </w:t>
            </w:r>
            <w:r w:rsidR="00242D32">
              <w:t>21</w:t>
            </w:r>
            <w:r w:rsidR="00242D32" w:rsidRPr="00D96E26">
              <w:t xml:space="preserve"> </w:t>
            </w:r>
            <w:r w:rsidR="00EE5FBF" w:rsidRPr="00D96E26">
              <w:t>December</w:t>
            </w:r>
            <w:r w:rsidRPr="00D96E26">
              <w:t xml:space="preserve"> 2018</w:t>
            </w:r>
          </w:p>
        </w:tc>
      </w:tr>
      <w:tr w:rsidR="00541075" w:rsidRPr="00FA5687" w14:paraId="5F14CB73" w14:textId="77777777" w:rsidTr="00B73656">
        <w:tc>
          <w:tcPr>
            <w:tcW w:w="5387" w:type="dxa"/>
          </w:tcPr>
          <w:p w14:paraId="7F97742B" w14:textId="77777777" w:rsidR="00541075" w:rsidRPr="00FA5687" w:rsidRDefault="00541075" w:rsidP="00CC3C8E">
            <w:pPr>
              <w:pStyle w:val="TableText"/>
              <w:spacing w:before="40" w:after="120" w:line="276" w:lineRule="auto"/>
            </w:pPr>
            <w:r w:rsidRPr="00FA5687">
              <w:t>Assessment of applications</w:t>
            </w:r>
          </w:p>
        </w:tc>
        <w:tc>
          <w:tcPr>
            <w:tcW w:w="3402" w:type="dxa"/>
          </w:tcPr>
          <w:p w14:paraId="70509944" w14:textId="00A8D89E" w:rsidR="00541075" w:rsidRPr="00FA5687" w:rsidRDefault="00EE5FBF" w:rsidP="00682DCF">
            <w:pPr>
              <w:pStyle w:val="TableText"/>
              <w:spacing w:before="40" w:after="120" w:line="276" w:lineRule="auto"/>
              <w:rPr>
                <w:szCs w:val="18"/>
              </w:rPr>
            </w:pPr>
            <w:r>
              <w:rPr>
                <w:szCs w:val="18"/>
              </w:rPr>
              <w:t>January 2019</w:t>
            </w:r>
          </w:p>
        </w:tc>
      </w:tr>
      <w:tr w:rsidR="00541075" w:rsidRPr="00FA5687" w14:paraId="4CBFF207" w14:textId="77777777" w:rsidTr="00B73656">
        <w:tc>
          <w:tcPr>
            <w:tcW w:w="5387" w:type="dxa"/>
          </w:tcPr>
          <w:p w14:paraId="3BCDDD75" w14:textId="77777777" w:rsidR="00541075" w:rsidRPr="00FA5687" w:rsidRDefault="00541075" w:rsidP="00CC3C8E">
            <w:pPr>
              <w:pStyle w:val="TableText"/>
              <w:spacing w:before="40" w:after="120" w:line="276" w:lineRule="auto"/>
            </w:pPr>
            <w:r w:rsidRPr="00FA5687">
              <w:t>Notification to unsuccessful applicants</w:t>
            </w:r>
          </w:p>
        </w:tc>
        <w:tc>
          <w:tcPr>
            <w:tcW w:w="3402" w:type="dxa"/>
          </w:tcPr>
          <w:p w14:paraId="63B5B3CF" w14:textId="77777777" w:rsidR="00541075" w:rsidRPr="00FA5687" w:rsidRDefault="00541075" w:rsidP="00EE5FBF">
            <w:pPr>
              <w:spacing w:before="40" w:after="120" w:line="276" w:lineRule="auto"/>
              <w:rPr>
                <w:sz w:val="18"/>
                <w:szCs w:val="18"/>
              </w:rPr>
            </w:pPr>
            <w:r w:rsidRPr="00FA5687">
              <w:rPr>
                <w:sz w:val="18"/>
                <w:szCs w:val="18"/>
              </w:rPr>
              <w:t xml:space="preserve">Anticipated </w:t>
            </w:r>
            <w:r w:rsidR="00EE5FBF">
              <w:rPr>
                <w:sz w:val="18"/>
                <w:szCs w:val="18"/>
              </w:rPr>
              <w:t xml:space="preserve">April </w:t>
            </w:r>
            <w:r w:rsidR="0044378A">
              <w:rPr>
                <w:sz w:val="18"/>
                <w:szCs w:val="18"/>
              </w:rPr>
              <w:t>2019</w:t>
            </w:r>
          </w:p>
        </w:tc>
      </w:tr>
      <w:tr w:rsidR="00541075" w:rsidRPr="00FA5687" w14:paraId="6394AA50" w14:textId="77777777" w:rsidTr="00B73656">
        <w:tc>
          <w:tcPr>
            <w:tcW w:w="5387" w:type="dxa"/>
          </w:tcPr>
          <w:p w14:paraId="7AB4CA9C" w14:textId="77777777" w:rsidR="00541075" w:rsidRPr="00FA5687" w:rsidRDefault="00541075" w:rsidP="00CC3C8E">
            <w:pPr>
              <w:pStyle w:val="TableText"/>
              <w:spacing w:before="40" w:after="120" w:line="276" w:lineRule="auto"/>
            </w:pPr>
            <w:r w:rsidRPr="00FA5687">
              <w:t>Negotiations and award of Grant Agreements</w:t>
            </w:r>
          </w:p>
        </w:tc>
        <w:tc>
          <w:tcPr>
            <w:tcW w:w="3402" w:type="dxa"/>
          </w:tcPr>
          <w:p w14:paraId="04CDBB3C" w14:textId="77777777" w:rsidR="00541075" w:rsidRPr="00FA5687" w:rsidRDefault="00541075" w:rsidP="00EE5FBF">
            <w:pPr>
              <w:spacing w:before="40" w:after="120" w:line="276" w:lineRule="auto"/>
              <w:rPr>
                <w:sz w:val="18"/>
                <w:szCs w:val="18"/>
              </w:rPr>
            </w:pPr>
            <w:r w:rsidRPr="00FA5687">
              <w:rPr>
                <w:sz w:val="18"/>
                <w:szCs w:val="18"/>
              </w:rPr>
              <w:t xml:space="preserve">Anticipated </w:t>
            </w:r>
            <w:r w:rsidR="00E65F4A">
              <w:rPr>
                <w:sz w:val="18"/>
                <w:szCs w:val="18"/>
              </w:rPr>
              <w:t>M</w:t>
            </w:r>
            <w:r w:rsidR="00EE5FBF">
              <w:rPr>
                <w:sz w:val="18"/>
                <w:szCs w:val="18"/>
              </w:rPr>
              <w:t>ay</w:t>
            </w:r>
            <w:r w:rsidR="0044378A">
              <w:rPr>
                <w:sz w:val="18"/>
                <w:szCs w:val="18"/>
              </w:rPr>
              <w:t xml:space="preserve"> 2019</w:t>
            </w:r>
          </w:p>
        </w:tc>
      </w:tr>
      <w:tr w:rsidR="00541075" w:rsidRPr="00FA5687" w14:paraId="00EF0824" w14:textId="77777777" w:rsidTr="00B73656">
        <w:tc>
          <w:tcPr>
            <w:tcW w:w="5387" w:type="dxa"/>
          </w:tcPr>
          <w:p w14:paraId="59569DC5" w14:textId="77777777" w:rsidR="00541075" w:rsidRPr="00FA5687" w:rsidRDefault="00541075" w:rsidP="00CC3C8E">
            <w:pPr>
              <w:pStyle w:val="TableText"/>
              <w:spacing w:before="40" w:after="120" w:line="276" w:lineRule="auto"/>
            </w:pPr>
            <w:r w:rsidRPr="00FA5687">
              <w:t>Activity commences</w:t>
            </w:r>
          </w:p>
        </w:tc>
        <w:tc>
          <w:tcPr>
            <w:tcW w:w="3402" w:type="dxa"/>
          </w:tcPr>
          <w:p w14:paraId="6AEF7F2E" w14:textId="61283C1B" w:rsidR="00541075" w:rsidRPr="00FA5687" w:rsidRDefault="0004691D" w:rsidP="00CC3C8E">
            <w:pPr>
              <w:spacing w:before="40" w:after="120" w:line="276" w:lineRule="auto"/>
              <w:rPr>
                <w:sz w:val="18"/>
                <w:szCs w:val="18"/>
              </w:rPr>
            </w:pPr>
            <w:r>
              <w:rPr>
                <w:sz w:val="18"/>
                <w:szCs w:val="18"/>
              </w:rPr>
              <w:t>May/</w:t>
            </w:r>
            <w:r w:rsidR="00EE5FBF">
              <w:rPr>
                <w:sz w:val="18"/>
                <w:szCs w:val="18"/>
              </w:rPr>
              <w:t xml:space="preserve">June </w:t>
            </w:r>
            <w:r w:rsidR="00541075" w:rsidRPr="00FA5687">
              <w:rPr>
                <w:sz w:val="18"/>
                <w:szCs w:val="18"/>
              </w:rPr>
              <w:t>2019</w:t>
            </w:r>
          </w:p>
        </w:tc>
      </w:tr>
      <w:tr w:rsidR="00541075" w:rsidRPr="00310249" w14:paraId="7D570318" w14:textId="77777777" w:rsidTr="00B73656">
        <w:trPr>
          <w:cnfStyle w:val="010000000000" w:firstRow="0" w:lastRow="1" w:firstColumn="0" w:lastColumn="0" w:oddVBand="0" w:evenVBand="0" w:oddHBand="0" w:evenHBand="0" w:firstRowFirstColumn="0" w:firstRowLastColumn="0" w:lastRowFirstColumn="0" w:lastRowLastColumn="0"/>
        </w:trPr>
        <w:tc>
          <w:tcPr>
            <w:tcW w:w="5387" w:type="dxa"/>
            <w:shd w:val="clear" w:color="auto" w:fill="FFFFFF" w:themeFill="background1"/>
          </w:tcPr>
          <w:p w14:paraId="6D180D70" w14:textId="77777777" w:rsidR="00541075" w:rsidRPr="00FA5687" w:rsidRDefault="00541075" w:rsidP="00CC3C8E">
            <w:pPr>
              <w:pStyle w:val="TableText"/>
              <w:spacing w:before="40" w:after="120" w:line="276" w:lineRule="auto"/>
            </w:pPr>
            <w:r w:rsidRPr="00FA5687">
              <w:t>End date</w:t>
            </w:r>
          </w:p>
        </w:tc>
        <w:tc>
          <w:tcPr>
            <w:tcW w:w="3402" w:type="dxa"/>
            <w:shd w:val="clear" w:color="auto" w:fill="FFFFFF" w:themeFill="background1"/>
          </w:tcPr>
          <w:p w14:paraId="4EC88304" w14:textId="272094E4" w:rsidR="00541075" w:rsidRPr="00310249" w:rsidRDefault="00541075" w:rsidP="004563ED">
            <w:pPr>
              <w:spacing w:before="40" w:after="120" w:line="276" w:lineRule="auto"/>
              <w:rPr>
                <w:sz w:val="18"/>
                <w:szCs w:val="18"/>
              </w:rPr>
            </w:pPr>
            <w:r w:rsidRPr="00FA5687">
              <w:rPr>
                <w:sz w:val="18"/>
                <w:szCs w:val="18"/>
              </w:rPr>
              <w:t xml:space="preserve">Dependent on the term of </w:t>
            </w:r>
            <w:r w:rsidR="004563ED">
              <w:rPr>
                <w:sz w:val="18"/>
                <w:szCs w:val="18"/>
              </w:rPr>
              <w:t>A</w:t>
            </w:r>
            <w:r w:rsidRPr="00FA5687">
              <w:rPr>
                <w:sz w:val="18"/>
                <w:szCs w:val="18"/>
              </w:rPr>
              <w:t>greement</w:t>
            </w:r>
            <w:r>
              <w:rPr>
                <w:sz w:val="18"/>
                <w:szCs w:val="18"/>
              </w:rPr>
              <w:t xml:space="preserve"> (cannot exceed </w:t>
            </w:r>
            <w:r w:rsidR="000B6BA1">
              <w:rPr>
                <w:sz w:val="18"/>
                <w:szCs w:val="18"/>
              </w:rPr>
              <w:t xml:space="preserve">one </w:t>
            </w:r>
            <w:r>
              <w:rPr>
                <w:sz w:val="18"/>
                <w:szCs w:val="18"/>
              </w:rPr>
              <w:t>year from commencement date)</w:t>
            </w:r>
          </w:p>
        </w:tc>
      </w:tr>
    </w:tbl>
    <w:p w14:paraId="0E1EBD56" w14:textId="77777777" w:rsidR="00340616" w:rsidRPr="00B72EE8" w:rsidRDefault="000B6BA1" w:rsidP="00CC3C8E">
      <w:pPr>
        <w:pStyle w:val="Heading2Numbered"/>
        <w:spacing w:line="276" w:lineRule="auto"/>
        <w:contextualSpacing w:val="0"/>
      </w:pPr>
      <w:bookmarkStart w:id="88" w:name="_Toc421777614"/>
      <w:bookmarkStart w:id="89" w:name="_Toc433641169"/>
      <w:bookmarkStart w:id="90" w:name="_Toc467773969"/>
      <w:bookmarkStart w:id="91" w:name="_Toc531005200"/>
      <w:bookmarkEnd w:id="87"/>
      <w:r>
        <w:t>8</w:t>
      </w:r>
      <w:r w:rsidR="00F64AC7">
        <w:t xml:space="preserve">.3 </w:t>
      </w:r>
      <w:r w:rsidR="00340616">
        <w:t>Completing the grant a</w:t>
      </w:r>
      <w:r w:rsidR="00340616" w:rsidRPr="00B72EE8">
        <w:t>pplication</w:t>
      </w:r>
      <w:bookmarkEnd w:id="88"/>
      <w:bookmarkEnd w:id="89"/>
      <w:bookmarkEnd w:id="90"/>
      <w:bookmarkEnd w:id="91"/>
    </w:p>
    <w:p w14:paraId="4C524B68" w14:textId="69BA74DB" w:rsidR="00516F84" w:rsidRDefault="00550156" w:rsidP="00CC3C8E">
      <w:pPr>
        <w:spacing w:before="0" w:after="120" w:line="276" w:lineRule="auto"/>
      </w:pPr>
      <w:r>
        <w:t>Applicants</w:t>
      </w:r>
      <w:r w:rsidR="004F2E3A">
        <w:t xml:space="preserve"> must </w:t>
      </w:r>
      <w:r w:rsidR="00340616">
        <w:t xml:space="preserve">submit </w:t>
      </w:r>
      <w:r w:rsidR="00B51177">
        <w:t>their</w:t>
      </w:r>
      <w:r w:rsidR="009C4265">
        <w:t xml:space="preserve"> </w:t>
      </w:r>
      <w:r w:rsidR="00340616">
        <w:t>grant a</w:t>
      </w:r>
      <w:r w:rsidR="00340616" w:rsidRPr="00B72EE8">
        <w:t xml:space="preserve">pplication </w:t>
      </w:r>
      <w:r w:rsidR="00031305">
        <w:t>using</w:t>
      </w:r>
      <w:r w:rsidR="00340616" w:rsidRPr="00B72EE8">
        <w:t xml:space="preserve"> the</w:t>
      </w:r>
      <w:r w:rsidR="00B522E9">
        <w:t xml:space="preserve"> electronic</w:t>
      </w:r>
      <w:r w:rsidR="00340616" w:rsidRPr="00B72EE8">
        <w:t xml:space="preserve"> application form, w</w:t>
      </w:r>
      <w:r w:rsidR="00340616">
        <w:t xml:space="preserve">hich </w:t>
      </w:r>
      <w:r w:rsidR="00031305">
        <w:t>is available on</w:t>
      </w:r>
      <w:r w:rsidR="009C4265">
        <w:t xml:space="preserve"> </w:t>
      </w:r>
      <w:r w:rsidR="00031305">
        <w:t xml:space="preserve">the </w:t>
      </w:r>
      <w:hyperlink r:id="rId17" w:history="1">
        <w:proofErr w:type="spellStart"/>
        <w:r w:rsidR="009C4265" w:rsidRPr="008B2D42">
          <w:t>GrantConnect</w:t>
        </w:r>
        <w:proofErr w:type="spellEnd"/>
      </w:hyperlink>
      <w:r w:rsidR="00A92A2E">
        <w:t xml:space="preserve"> </w:t>
      </w:r>
      <w:r w:rsidR="009C4265">
        <w:t xml:space="preserve">and </w:t>
      </w:r>
      <w:hyperlink r:id="rId18" w:history="1">
        <w:r w:rsidR="009C4265" w:rsidRPr="008B2D42">
          <w:t xml:space="preserve">Community Grants </w:t>
        </w:r>
        <w:r w:rsidR="00925ECE" w:rsidRPr="008B2D42">
          <w:t>Hub</w:t>
        </w:r>
      </w:hyperlink>
      <w:r w:rsidR="00031305" w:rsidRPr="008B2D42">
        <w:t xml:space="preserve"> websites.</w:t>
      </w:r>
      <w:r w:rsidR="00340616" w:rsidRPr="00031305">
        <w:t xml:space="preserve"> </w:t>
      </w:r>
      <w:r w:rsidR="00340616" w:rsidRPr="00103A95">
        <w:t xml:space="preserve">The application form includes help information. </w:t>
      </w:r>
    </w:p>
    <w:p w14:paraId="0C23B358" w14:textId="10D68F7F" w:rsidR="0084196F" w:rsidRDefault="00516F84" w:rsidP="00CC3C8E">
      <w:pPr>
        <w:spacing w:after="120" w:line="276" w:lineRule="auto"/>
      </w:pPr>
      <w:r w:rsidRPr="004475DB">
        <w:t xml:space="preserve">This is an online application form that </w:t>
      </w:r>
      <w:r>
        <w:t>is submitted</w:t>
      </w:r>
      <w:r w:rsidRPr="004475DB">
        <w:t xml:space="preserve"> electronically. If you have any technical difficulties</w:t>
      </w:r>
      <w:r w:rsidR="00E54637">
        <w:t xml:space="preserve"> or difficulty accessing the form</w:t>
      </w:r>
      <w:r>
        <w:t xml:space="preserve"> </w:t>
      </w:r>
      <w:r w:rsidRPr="004475DB">
        <w:t xml:space="preserve">please contact 1800 020 283 or email </w:t>
      </w:r>
      <w:hyperlink r:id="rId19" w:history="1">
        <w:r w:rsidRPr="008B2D42">
          <w:t>support@communitygrants.gov.au</w:t>
        </w:r>
      </w:hyperlink>
    </w:p>
    <w:p w14:paraId="50A3F349" w14:textId="2B46E328" w:rsidR="00984B3C" w:rsidRPr="004475DB" w:rsidRDefault="00984B3C" w:rsidP="00CC3C8E">
      <w:pPr>
        <w:spacing w:after="120" w:line="276" w:lineRule="auto"/>
      </w:pPr>
      <w:r w:rsidRPr="000B6BA1">
        <w:t xml:space="preserve">The </w:t>
      </w:r>
      <w:r w:rsidR="00064124" w:rsidRPr="008B2D42">
        <w:t>Community Grants Hub</w:t>
      </w:r>
      <w:r w:rsidRPr="000B6BA1">
        <w:t xml:space="preserve"> will not provide </w:t>
      </w:r>
      <w:r w:rsidR="005B632B">
        <w:t xml:space="preserve">hardcopy </w:t>
      </w:r>
      <w:r w:rsidRPr="004475DB">
        <w:t xml:space="preserve">application forms or accept applications for this grant opportunity by fax or mail. </w:t>
      </w:r>
      <w:r w:rsidR="00064124" w:rsidRPr="00310249">
        <w:t xml:space="preserve">If </w:t>
      </w:r>
      <w:r w:rsidR="00B51177">
        <w:t xml:space="preserve">an </w:t>
      </w:r>
      <w:r w:rsidR="00064124" w:rsidRPr="00310249">
        <w:t>application is sent by fax or mail, it will not be assessed.</w:t>
      </w:r>
    </w:p>
    <w:p w14:paraId="3CB919D3" w14:textId="77777777" w:rsidR="00984B3C" w:rsidRDefault="00B51177" w:rsidP="00CC3C8E">
      <w:pPr>
        <w:spacing w:after="120" w:line="276" w:lineRule="auto"/>
      </w:pPr>
      <w:r>
        <w:t>Applicants</w:t>
      </w:r>
      <w:r w:rsidR="00984B3C" w:rsidRPr="004475DB">
        <w:t xml:space="preserve"> must make sure </w:t>
      </w:r>
      <w:r w:rsidR="00984B3C" w:rsidRPr="004475DB" w:rsidDel="00D505A5">
        <w:t xml:space="preserve">that </w:t>
      </w:r>
      <w:r>
        <w:t>their</w:t>
      </w:r>
      <w:r w:rsidR="00984B3C" w:rsidRPr="004475DB" w:rsidDel="00D505A5">
        <w:t xml:space="preserve"> application</w:t>
      </w:r>
      <w:r w:rsidR="00984B3C" w:rsidRPr="004475DB">
        <w:t xml:space="preserve"> is</w:t>
      </w:r>
      <w:r w:rsidR="00984B3C" w:rsidRPr="004475DB" w:rsidDel="00D505A5">
        <w:t xml:space="preserve"> complete</w:t>
      </w:r>
      <w:r w:rsidR="00875A16">
        <w:t>,</w:t>
      </w:r>
      <w:r w:rsidR="00984B3C" w:rsidRPr="004475DB" w:rsidDel="00D505A5">
        <w:t xml:space="preserve"> accurate and submitted</w:t>
      </w:r>
      <w:r w:rsidR="00984B3C" w:rsidRPr="004475DB">
        <w:t xml:space="preserve"> </w:t>
      </w:r>
      <w:r w:rsidR="00875A16">
        <w:t xml:space="preserve">by the closing date and time </w:t>
      </w:r>
      <w:r w:rsidR="00984B3C" w:rsidRPr="004475DB" w:rsidDel="00D505A5">
        <w:t>in accordance with the</w:t>
      </w:r>
      <w:r w:rsidR="00984B3C" w:rsidRPr="004475DB">
        <w:t>se</w:t>
      </w:r>
      <w:r w:rsidR="00984B3C" w:rsidRPr="004475DB" w:rsidDel="00D505A5">
        <w:t xml:space="preserve"> </w:t>
      </w:r>
      <w:r w:rsidR="00984B3C" w:rsidRPr="004475DB">
        <w:t>Guidelines.</w:t>
      </w:r>
    </w:p>
    <w:p w14:paraId="2420997B" w14:textId="77777777" w:rsidR="00B51177" w:rsidRDefault="003A4403" w:rsidP="00CC3C8E">
      <w:pPr>
        <w:spacing w:after="120" w:line="276" w:lineRule="auto"/>
      </w:pPr>
      <w:r w:rsidRPr="004475DB">
        <w:lastRenderedPageBreak/>
        <w:t xml:space="preserve">If </w:t>
      </w:r>
      <w:r w:rsidR="00B51177">
        <w:t>applicants</w:t>
      </w:r>
      <w:r w:rsidRPr="004475DB">
        <w:t xml:space="preserve"> find a mistake in </w:t>
      </w:r>
      <w:r w:rsidR="00B51177">
        <w:t xml:space="preserve">their </w:t>
      </w:r>
      <w:r w:rsidRPr="004475DB">
        <w:t xml:space="preserve">application after it has been submitted, </w:t>
      </w:r>
      <w:r w:rsidR="00B51177">
        <w:t>they</w:t>
      </w:r>
      <w:r w:rsidRPr="004475DB">
        <w:t xml:space="preserve"> should contact the Community Grants Hub by phone on 1800 020 283 or by email at </w:t>
      </w:r>
      <w:hyperlink r:id="rId20" w:history="1">
        <w:r w:rsidRPr="008B2D42">
          <w:t>support@communitygrants.gov.au</w:t>
        </w:r>
      </w:hyperlink>
      <w:r w:rsidRPr="004475DB">
        <w:t xml:space="preserve"> straight away. </w:t>
      </w:r>
    </w:p>
    <w:p w14:paraId="11ACD7C2" w14:textId="77777777" w:rsidR="00884D3E" w:rsidRDefault="003A4403" w:rsidP="00CC3C8E">
      <w:pPr>
        <w:spacing w:after="120" w:line="276" w:lineRule="auto"/>
      </w:pPr>
      <w:r w:rsidRPr="004475DB">
        <w:t xml:space="preserve">The Community Grants Hub may ask </w:t>
      </w:r>
      <w:r w:rsidR="00B51177">
        <w:t>the applicant</w:t>
      </w:r>
      <w:r w:rsidRPr="004475DB">
        <w:t xml:space="preserve">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00B51177">
        <w:t>their</w:t>
      </w:r>
      <w:r w:rsidRPr="004475DB">
        <w:t xml:space="preserve">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2EDDD950" w14:textId="4B7DCD88" w:rsidR="00372D2A" w:rsidRPr="00372D2A" w:rsidRDefault="00372D2A" w:rsidP="00CC3C8E">
      <w:pPr>
        <w:spacing w:after="120" w:line="276" w:lineRule="auto"/>
        <w:rPr>
          <w:b/>
        </w:rPr>
      </w:pPr>
      <w:r w:rsidRPr="00372D2A">
        <w:rPr>
          <w:b/>
        </w:rPr>
        <w:t xml:space="preserve">Please note the requirements specific to </w:t>
      </w:r>
      <w:r w:rsidR="009B78EB">
        <w:rPr>
          <w:b/>
        </w:rPr>
        <w:t>number of applications</w:t>
      </w:r>
      <w:r w:rsidRPr="00372D2A">
        <w:rPr>
          <w:b/>
        </w:rPr>
        <w:t xml:space="preserve"> (refer to </w:t>
      </w:r>
      <w:r w:rsidR="009B78EB">
        <w:rPr>
          <w:b/>
        </w:rPr>
        <w:t>section 2.4):</w:t>
      </w:r>
    </w:p>
    <w:p w14:paraId="0FE68F82" w14:textId="77777777" w:rsidR="00372D2A" w:rsidRPr="00372D2A" w:rsidRDefault="00372D2A" w:rsidP="00CB7D7B">
      <w:pPr>
        <w:spacing w:after="0" w:line="276" w:lineRule="auto"/>
        <w:rPr>
          <w:b/>
        </w:rPr>
      </w:pPr>
      <w:r w:rsidRPr="00372D2A">
        <w:rPr>
          <w:b/>
        </w:rPr>
        <w:t xml:space="preserve">Applications from an auspice arrangement </w:t>
      </w:r>
    </w:p>
    <w:p w14:paraId="1B1C1F9B" w14:textId="77777777" w:rsidR="00372D2A" w:rsidRPr="00372D2A" w:rsidRDefault="00EE5FBF" w:rsidP="00CC3C8E">
      <w:pPr>
        <w:spacing w:before="0" w:after="120" w:line="276" w:lineRule="auto"/>
        <w:rPr>
          <w:rFonts w:cs="Swiss721BT-Light"/>
          <w:lang w:val="en-US"/>
        </w:rPr>
      </w:pPr>
      <w:proofErr w:type="spellStart"/>
      <w:r>
        <w:rPr>
          <w:rFonts w:cs="Swiss721BT-Light"/>
          <w:lang w:val="en-US"/>
        </w:rPr>
        <w:t>Auspicor</w:t>
      </w:r>
      <w:proofErr w:type="spellEnd"/>
      <w:r w:rsidR="00372D2A" w:rsidRPr="00372D2A">
        <w:rPr>
          <w:rFonts w:cs="Swiss721BT-Light"/>
          <w:lang w:val="en-US"/>
        </w:rPr>
        <w:t xml:space="preserve"> </w:t>
      </w:r>
      <w:proofErr w:type="spellStart"/>
      <w:r w:rsidR="00372D2A" w:rsidRPr="00372D2A">
        <w:rPr>
          <w:rFonts w:cs="Swiss721BT-Light"/>
          <w:lang w:val="en-US"/>
        </w:rPr>
        <w:t>organisations</w:t>
      </w:r>
      <w:proofErr w:type="spellEnd"/>
      <w:r w:rsidR="00372D2A" w:rsidRPr="00372D2A">
        <w:rPr>
          <w:rFonts w:cs="Swiss721BT-Light"/>
          <w:lang w:val="en-US"/>
        </w:rPr>
        <w:t xml:space="preserve"> may sponsor more than one </w:t>
      </w:r>
      <w:proofErr w:type="spellStart"/>
      <w:r>
        <w:rPr>
          <w:rFonts w:cs="Swiss721BT-Light"/>
          <w:lang w:val="en-US"/>
        </w:rPr>
        <w:t>auspicee</w:t>
      </w:r>
      <w:proofErr w:type="spellEnd"/>
      <w:r w:rsidR="00372D2A" w:rsidRPr="00372D2A">
        <w:rPr>
          <w:rFonts w:cs="Swiss721BT-Light"/>
          <w:lang w:val="en-US"/>
        </w:rPr>
        <w:t>, but must submit a separate application for each.</w:t>
      </w:r>
    </w:p>
    <w:p w14:paraId="20F54BB0" w14:textId="77777777" w:rsidR="00372D2A" w:rsidRPr="00372D2A" w:rsidRDefault="00CB7D7B" w:rsidP="00CB7D7B">
      <w:pPr>
        <w:spacing w:after="0" w:line="276" w:lineRule="auto"/>
        <w:rPr>
          <w:b/>
        </w:rPr>
      </w:pPr>
      <w:r>
        <w:rPr>
          <w:b/>
        </w:rPr>
        <w:t>Applications from a consortium</w:t>
      </w:r>
      <w:r w:rsidR="00372D2A" w:rsidRPr="00372D2A">
        <w:rPr>
          <w:b/>
        </w:rPr>
        <w:t xml:space="preserve"> </w:t>
      </w:r>
    </w:p>
    <w:p w14:paraId="7D655243" w14:textId="77777777" w:rsidR="00372D2A" w:rsidRPr="00B72EE8" w:rsidDel="00D505A5" w:rsidRDefault="00372D2A" w:rsidP="00CC3C8E">
      <w:pPr>
        <w:spacing w:before="0" w:after="120" w:line="276" w:lineRule="auto"/>
      </w:pPr>
      <w:r w:rsidRPr="00372D2A">
        <w:t>The lead organisation completes and submits the application on behalf of the consortium members.</w:t>
      </w:r>
    </w:p>
    <w:p w14:paraId="3311BE70" w14:textId="77777777" w:rsidR="00340616" w:rsidRPr="00B72EE8" w:rsidRDefault="008B2D42" w:rsidP="00CC3C8E">
      <w:pPr>
        <w:pStyle w:val="Heading2Numbered"/>
        <w:spacing w:line="276" w:lineRule="auto"/>
        <w:contextualSpacing w:val="0"/>
      </w:pPr>
      <w:bookmarkStart w:id="92" w:name="_Ref416443515"/>
      <w:bookmarkStart w:id="93" w:name="_Toc421777616"/>
      <w:bookmarkStart w:id="94" w:name="_Ref422125371"/>
      <w:bookmarkStart w:id="95" w:name="_Ref422125393"/>
      <w:bookmarkStart w:id="96" w:name="_Toc433641170"/>
      <w:bookmarkStart w:id="97" w:name="_Toc467773970"/>
      <w:bookmarkStart w:id="98" w:name="_Toc531005201"/>
      <w:r>
        <w:t>8</w:t>
      </w:r>
      <w:r w:rsidR="00F64AC7">
        <w:t xml:space="preserve">.4 </w:t>
      </w:r>
      <w:r w:rsidR="00340616" w:rsidRPr="00B72EE8">
        <w:t>Attachments</w:t>
      </w:r>
      <w:bookmarkEnd w:id="92"/>
      <w:r w:rsidR="00340616">
        <w:t xml:space="preserve"> to the a</w:t>
      </w:r>
      <w:r w:rsidR="00340616" w:rsidRPr="00B72EE8">
        <w:t>pplication</w:t>
      </w:r>
      <w:bookmarkEnd w:id="93"/>
      <w:bookmarkEnd w:id="94"/>
      <w:bookmarkEnd w:id="95"/>
      <w:bookmarkEnd w:id="96"/>
      <w:bookmarkEnd w:id="97"/>
      <w:bookmarkEnd w:id="98"/>
    </w:p>
    <w:p w14:paraId="4AC3B052" w14:textId="77777777" w:rsidR="00875A16" w:rsidRPr="00875A16" w:rsidRDefault="00875A16" w:rsidP="00CC3C8E">
      <w:pPr>
        <w:suppressAutoHyphens w:val="0"/>
        <w:autoSpaceDE w:val="0"/>
        <w:autoSpaceDN w:val="0"/>
        <w:adjustRightInd w:val="0"/>
        <w:spacing w:before="0" w:after="120" w:line="276" w:lineRule="auto"/>
        <w:rPr>
          <w:rFonts w:ascii="Arial" w:hAnsi="Arial" w:cs="Arial"/>
          <w:color w:val="000000"/>
        </w:rPr>
      </w:pPr>
      <w:r w:rsidRPr="00875A16">
        <w:rPr>
          <w:rFonts w:ascii="Arial" w:hAnsi="Arial" w:cs="Arial"/>
          <w:color w:val="000000"/>
        </w:rPr>
        <w:t xml:space="preserve">The following documents </w:t>
      </w:r>
      <w:r w:rsidR="00647384" w:rsidRPr="00E54637">
        <w:rPr>
          <w:rFonts w:ascii="Arial" w:hAnsi="Arial" w:cs="Arial"/>
          <w:bCs/>
          <w:color w:val="000000"/>
        </w:rPr>
        <w:t>should</w:t>
      </w:r>
      <w:r w:rsidRPr="001D412E">
        <w:rPr>
          <w:rFonts w:ascii="Arial" w:hAnsi="Arial" w:cs="Arial"/>
          <w:b/>
          <w:bCs/>
          <w:color w:val="000000"/>
        </w:rPr>
        <w:t xml:space="preserve"> </w:t>
      </w:r>
      <w:r w:rsidRPr="00875A16">
        <w:rPr>
          <w:rFonts w:ascii="Arial" w:hAnsi="Arial" w:cs="Arial"/>
          <w:color w:val="000000"/>
        </w:rPr>
        <w:t xml:space="preserve">be included with </w:t>
      </w:r>
      <w:r w:rsidR="00CD46E8">
        <w:rPr>
          <w:rFonts w:ascii="Arial" w:hAnsi="Arial" w:cs="Arial"/>
          <w:color w:val="000000"/>
        </w:rPr>
        <w:t>the</w:t>
      </w:r>
      <w:r w:rsidR="00CD46E8" w:rsidRPr="00875A16">
        <w:rPr>
          <w:rFonts w:ascii="Arial" w:hAnsi="Arial" w:cs="Arial"/>
          <w:color w:val="000000"/>
        </w:rPr>
        <w:t xml:space="preserve"> </w:t>
      </w:r>
      <w:r w:rsidRPr="00875A16">
        <w:rPr>
          <w:rFonts w:ascii="Arial" w:hAnsi="Arial" w:cs="Arial"/>
          <w:color w:val="000000"/>
        </w:rPr>
        <w:t>a</w:t>
      </w:r>
      <w:r w:rsidR="00455A86">
        <w:rPr>
          <w:rFonts w:ascii="Arial" w:hAnsi="Arial" w:cs="Arial"/>
          <w:color w:val="000000"/>
        </w:rPr>
        <w:t>p</w:t>
      </w:r>
      <w:r w:rsidRPr="00875A16">
        <w:rPr>
          <w:rFonts w:ascii="Arial" w:hAnsi="Arial" w:cs="Arial"/>
          <w:color w:val="000000"/>
        </w:rPr>
        <w:t>plication</w:t>
      </w:r>
      <w:r w:rsidR="00CD46E8">
        <w:rPr>
          <w:rFonts w:ascii="Arial" w:hAnsi="Arial" w:cs="Arial"/>
          <w:color w:val="000000"/>
        </w:rPr>
        <w:t>. Applicants</w:t>
      </w:r>
      <w:r w:rsidRPr="00875A16">
        <w:rPr>
          <w:rFonts w:ascii="Arial" w:hAnsi="Arial" w:cs="Arial"/>
          <w:color w:val="000000"/>
        </w:rPr>
        <w:t xml:space="preserve"> </w:t>
      </w:r>
      <w:r w:rsidR="00647384">
        <w:rPr>
          <w:rFonts w:ascii="Arial" w:hAnsi="Arial" w:cs="Arial"/>
          <w:color w:val="000000"/>
        </w:rPr>
        <w:t>should</w:t>
      </w:r>
      <w:r w:rsidRPr="00875A16">
        <w:rPr>
          <w:rFonts w:ascii="Arial" w:hAnsi="Arial" w:cs="Arial"/>
          <w:color w:val="000000"/>
        </w:rPr>
        <w:t xml:space="preserve"> use the provided template where </w:t>
      </w:r>
      <w:r w:rsidR="00CD46E8">
        <w:rPr>
          <w:rFonts w:ascii="Arial" w:hAnsi="Arial" w:cs="Arial"/>
          <w:color w:val="000000"/>
        </w:rPr>
        <w:t>this is</w:t>
      </w:r>
      <w:r w:rsidR="00E54637">
        <w:rPr>
          <w:rFonts w:ascii="Arial" w:hAnsi="Arial" w:cs="Arial"/>
          <w:color w:val="000000"/>
        </w:rPr>
        <w:t xml:space="preserve"> </w:t>
      </w:r>
      <w:r w:rsidRPr="00875A16">
        <w:rPr>
          <w:rFonts w:ascii="Arial" w:hAnsi="Arial" w:cs="Arial"/>
          <w:color w:val="000000"/>
        </w:rPr>
        <w:t>specified</w:t>
      </w:r>
      <w:r w:rsidR="00E54637">
        <w:rPr>
          <w:rFonts w:ascii="Arial" w:hAnsi="Arial" w:cs="Arial"/>
          <w:color w:val="000000"/>
        </w:rPr>
        <w:t>.</w:t>
      </w:r>
    </w:p>
    <w:p w14:paraId="50500744" w14:textId="77777777" w:rsidR="00875A16" w:rsidRPr="00D601F8" w:rsidRDefault="00875A16" w:rsidP="00CC3C8E">
      <w:pPr>
        <w:pStyle w:val="Bullet1"/>
        <w:spacing w:after="120" w:line="276" w:lineRule="auto"/>
      </w:pPr>
      <w:r w:rsidRPr="00417072">
        <w:t xml:space="preserve">Budget </w:t>
      </w:r>
      <w:r w:rsidR="0045577C" w:rsidRPr="00417072">
        <w:rPr>
          <w:rFonts w:cstheme="minorHAnsi"/>
        </w:rPr>
        <w:t xml:space="preserve">using the template provided on </w:t>
      </w:r>
      <w:proofErr w:type="spellStart"/>
      <w:r w:rsidR="0045577C" w:rsidRPr="00417072">
        <w:rPr>
          <w:rFonts w:cstheme="minorHAnsi"/>
        </w:rPr>
        <w:t>GrantConnect</w:t>
      </w:r>
      <w:proofErr w:type="spellEnd"/>
      <w:r w:rsidR="0045577C" w:rsidRPr="00417072">
        <w:rPr>
          <w:rFonts w:cstheme="minorHAnsi"/>
        </w:rPr>
        <w:t xml:space="preserve"> or the Community Grants Hub websites</w:t>
      </w:r>
      <w:r w:rsidR="00CD46E8">
        <w:rPr>
          <w:rFonts w:cstheme="minorHAnsi"/>
        </w:rPr>
        <w:t>;</w:t>
      </w:r>
    </w:p>
    <w:p w14:paraId="29338E80" w14:textId="00EC6553" w:rsidR="00D601F8" w:rsidRDefault="00D601F8" w:rsidP="00CC3C8E">
      <w:pPr>
        <w:pStyle w:val="Bullet1"/>
        <w:spacing w:after="120" w:line="276" w:lineRule="auto"/>
      </w:pPr>
      <w:r w:rsidRPr="00417072">
        <w:t xml:space="preserve">Most recent Annual </w:t>
      </w:r>
      <w:r w:rsidR="00E54637">
        <w:t>R</w:t>
      </w:r>
      <w:r w:rsidRPr="00417072">
        <w:t xml:space="preserve">eport (if </w:t>
      </w:r>
      <w:r w:rsidR="00B51177">
        <w:t>the</w:t>
      </w:r>
      <w:r w:rsidRPr="00417072">
        <w:t xml:space="preserve"> organisation produces one)</w:t>
      </w:r>
      <w:r w:rsidR="00E54637">
        <w:t>. A web link to the most recent Annual Report will also be a</w:t>
      </w:r>
      <w:r w:rsidR="009B78EB">
        <w:t>ccepted in the application form</w:t>
      </w:r>
      <w:r w:rsidR="00CB7D7B">
        <w:t>;</w:t>
      </w:r>
    </w:p>
    <w:p w14:paraId="39EE9353" w14:textId="77777777" w:rsidR="00CB7D7B" w:rsidRPr="00CB7D7B" w:rsidRDefault="00785055" w:rsidP="00CC3C8E">
      <w:pPr>
        <w:pStyle w:val="Bullet1"/>
        <w:spacing w:after="120" w:line="276" w:lineRule="auto"/>
      </w:pPr>
      <w:r>
        <w:rPr>
          <w:rFonts w:ascii="Arial" w:hAnsi="Arial" w:cs="Arial"/>
          <w:bCs/>
          <w:lang w:val="en"/>
        </w:rPr>
        <w:t>The t</w:t>
      </w:r>
      <w:r w:rsidR="00CB7D7B" w:rsidRPr="00CB7D7B">
        <w:rPr>
          <w:rFonts w:ascii="Arial" w:hAnsi="Arial" w:cs="Arial"/>
          <w:bCs/>
          <w:lang w:val="en"/>
        </w:rPr>
        <w:t>wo most recent sets of year-end</w:t>
      </w:r>
      <w:r>
        <w:rPr>
          <w:rFonts w:ascii="Arial" w:hAnsi="Arial" w:cs="Arial"/>
          <w:bCs/>
          <w:lang w:val="en"/>
        </w:rPr>
        <w:t>,</w:t>
      </w:r>
      <w:r w:rsidR="00CB7D7B" w:rsidRPr="00CB7D7B">
        <w:rPr>
          <w:rFonts w:ascii="Arial" w:hAnsi="Arial" w:cs="Arial"/>
          <w:bCs/>
          <w:lang w:val="en"/>
        </w:rPr>
        <w:t xml:space="preserve"> and preferably audited financial statements inclusive of Profit and Loss Statements and Balance Sheets</w:t>
      </w:r>
      <w:r w:rsidR="00CB7D7B">
        <w:rPr>
          <w:rFonts w:ascii="Arial" w:hAnsi="Arial" w:cs="Arial"/>
          <w:b/>
          <w:bCs/>
          <w:lang w:val="en"/>
        </w:rPr>
        <w:t>;</w:t>
      </w:r>
    </w:p>
    <w:p w14:paraId="1096B44B" w14:textId="6DD4423F" w:rsidR="00CB7D7B" w:rsidRPr="00417072" w:rsidRDefault="009B78EB" w:rsidP="00CC3C8E">
      <w:pPr>
        <w:pStyle w:val="Bullet1"/>
        <w:spacing w:after="120" w:line="276" w:lineRule="auto"/>
      </w:pPr>
      <w:r>
        <w:rPr>
          <w:rFonts w:ascii="Arial" w:hAnsi="Arial" w:cs="Arial"/>
          <w:bCs/>
          <w:lang w:val="en"/>
        </w:rPr>
        <w:t xml:space="preserve">Auspice </w:t>
      </w:r>
      <w:proofErr w:type="spellStart"/>
      <w:r w:rsidR="00CB7D7B">
        <w:rPr>
          <w:rFonts w:ascii="Arial" w:hAnsi="Arial" w:cs="Arial"/>
          <w:bCs/>
          <w:lang w:val="en"/>
        </w:rPr>
        <w:t>Authorisation</w:t>
      </w:r>
      <w:proofErr w:type="spellEnd"/>
      <w:r w:rsidR="00CB7D7B">
        <w:rPr>
          <w:rFonts w:ascii="Arial" w:hAnsi="Arial" w:cs="Arial"/>
          <w:bCs/>
          <w:lang w:val="en"/>
        </w:rPr>
        <w:t xml:space="preserve"> </w:t>
      </w:r>
      <w:r w:rsidR="00EE5FBF">
        <w:rPr>
          <w:rFonts w:ascii="Arial" w:hAnsi="Arial" w:cs="Arial"/>
          <w:bCs/>
          <w:lang w:val="en"/>
        </w:rPr>
        <w:t xml:space="preserve">template (only for </w:t>
      </w:r>
      <w:proofErr w:type="spellStart"/>
      <w:r w:rsidR="00CB7D7B">
        <w:rPr>
          <w:rFonts w:ascii="Arial" w:hAnsi="Arial" w:cs="Arial"/>
          <w:bCs/>
          <w:lang w:val="en"/>
        </w:rPr>
        <w:t>organisations</w:t>
      </w:r>
      <w:proofErr w:type="spellEnd"/>
      <w:r w:rsidR="00CB7D7B">
        <w:rPr>
          <w:rFonts w:ascii="Arial" w:hAnsi="Arial" w:cs="Arial"/>
          <w:bCs/>
          <w:lang w:val="en"/>
        </w:rPr>
        <w:t xml:space="preserve"> to </w:t>
      </w:r>
      <w:proofErr w:type="spellStart"/>
      <w:r w:rsidR="00CB7D7B">
        <w:rPr>
          <w:rFonts w:ascii="Arial" w:hAnsi="Arial" w:cs="Arial"/>
          <w:bCs/>
          <w:lang w:val="en"/>
        </w:rPr>
        <w:t>authorise</w:t>
      </w:r>
      <w:proofErr w:type="spellEnd"/>
      <w:r w:rsidR="00CB7D7B">
        <w:rPr>
          <w:rFonts w:ascii="Arial" w:hAnsi="Arial" w:cs="Arial"/>
          <w:bCs/>
          <w:lang w:val="en"/>
        </w:rPr>
        <w:t xml:space="preserve"> another </w:t>
      </w:r>
      <w:proofErr w:type="spellStart"/>
      <w:r w:rsidR="00CB7D7B">
        <w:rPr>
          <w:rFonts w:ascii="Arial" w:hAnsi="Arial" w:cs="Arial"/>
          <w:bCs/>
          <w:lang w:val="en"/>
        </w:rPr>
        <w:t>organisation</w:t>
      </w:r>
      <w:proofErr w:type="spellEnd"/>
      <w:r w:rsidR="00CB7D7B">
        <w:rPr>
          <w:rFonts w:ascii="Arial" w:hAnsi="Arial" w:cs="Arial"/>
          <w:bCs/>
          <w:lang w:val="en"/>
        </w:rPr>
        <w:t xml:space="preserve"> to apply on their behalf)</w:t>
      </w:r>
      <w:r>
        <w:rPr>
          <w:rFonts w:ascii="Arial" w:hAnsi="Arial" w:cs="Arial"/>
          <w:bCs/>
          <w:lang w:val="en"/>
        </w:rPr>
        <w:t>.</w:t>
      </w:r>
      <w:r w:rsidR="00CB7D7B">
        <w:rPr>
          <w:rFonts w:ascii="Arial" w:hAnsi="Arial" w:cs="Arial"/>
          <w:bCs/>
          <w:lang w:val="en"/>
        </w:rPr>
        <w:t xml:space="preserve"> </w:t>
      </w:r>
    </w:p>
    <w:p w14:paraId="008F4C42" w14:textId="77777777" w:rsidR="00875A16" w:rsidRPr="00875A16" w:rsidRDefault="00875A16" w:rsidP="00CC3C8E">
      <w:pPr>
        <w:spacing w:before="120" w:after="120" w:line="276" w:lineRule="auto"/>
        <w:rPr>
          <w:rFonts w:ascii="Arial" w:hAnsi="Arial" w:cs="Arial"/>
          <w:color w:val="745B00" w:themeColor="accent3" w:themeShade="80"/>
        </w:rPr>
      </w:pPr>
      <w:r w:rsidRPr="00875A16">
        <w:rPr>
          <w:rFonts w:ascii="Arial" w:hAnsi="Arial" w:cs="Arial"/>
          <w:color w:val="000000"/>
        </w:rPr>
        <w:t xml:space="preserve">Applications that include an attachment that does not use the template provided </w:t>
      </w:r>
      <w:r>
        <w:rPr>
          <w:rFonts w:ascii="Arial" w:hAnsi="Arial" w:cs="Arial"/>
          <w:color w:val="000000"/>
        </w:rPr>
        <w:t>in</w:t>
      </w:r>
      <w:r w:rsidRPr="00875A16">
        <w:rPr>
          <w:rFonts w:ascii="Arial" w:hAnsi="Arial" w:cs="Arial"/>
          <w:color w:val="000000"/>
        </w:rPr>
        <w:t xml:space="preserve"> the</w:t>
      </w:r>
      <w:r>
        <w:rPr>
          <w:rFonts w:ascii="Arial" w:hAnsi="Arial" w:cs="Arial"/>
          <w:color w:val="000000"/>
        </w:rPr>
        <w:t xml:space="preserve"> grant opportunity documents on the </w:t>
      </w:r>
      <w:hyperlink r:id="rId21" w:history="1">
        <w:proofErr w:type="spellStart"/>
        <w:r w:rsidRPr="00875A16">
          <w:rPr>
            <w:rStyle w:val="Hyperlink"/>
            <w:rFonts w:ascii="Arial" w:hAnsi="Arial" w:cs="Arial"/>
          </w:rPr>
          <w:t>GrantConnect</w:t>
        </w:r>
        <w:proofErr w:type="spellEnd"/>
      </w:hyperlink>
      <w:r>
        <w:rPr>
          <w:rFonts w:ascii="Arial" w:hAnsi="Arial" w:cs="Arial"/>
          <w:color w:val="000000"/>
        </w:rPr>
        <w:t xml:space="preserve"> and</w:t>
      </w:r>
      <w:r w:rsidRPr="00875A16">
        <w:rPr>
          <w:rFonts w:ascii="Arial" w:hAnsi="Arial" w:cs="Arial"/>
          <w:color w:val="000000"/>
        </w:rPr>
        <w:t xml:space="preserve"> </w:t>
      </w:r>
      <w:hyperlink r:id="rId22" w:history="1">
        <w:r w:rsidRPr="00875A16">
          <w:rPr>
            <w:rStyle w:val="Hyperlink"/>
            <w:rFonts w:ascii="Arial" w:hAnsi="Arial" w:cs="Arial"/>
          </w:rPr>
          <w:t>Community Grants Hub</w:t>
        </w:r>
      </w:hyperlink>
      <w:r>
        <w:rPr>
          <w:rFonts w:ascii="Arial" w:hAnsi="Arial" w:cs="Arial"/>
          <w:color w:val="000000"/>
        </w:rPr>
        <w:t xml:space="preserve"> websites (where specified)</w:t>
      </w:r>
      <w:r w:rsidRPr="00875A16">
        <w:rPr>
          <w:rFonts w:ascii="Arial" w:hAnsi="Arial" w:cs="Arial"/>
          <w:color w:val="000000"/>
        </w:rPr>
        <w:t xml:space="preserve"> </w:t>
      </w:r>
      <w:r w:rsidR="00647384">
        <w:rPr>
          <w:rFonts w:ascii="Arial" w:hAnsi="Arial" w:cs="Arial"/>
          <w:color w:val="000000"/>
        </w:rPr>
        <w:t xml:space="preserve">may </w:t>
      </w:r>
      <w:r w:rsidRPr="00647384">
        <w:rPr>
          <w:rFonts w:ascii="Arial" w:hAnsi="Arial" w:cs="Arial"/>
          <w:color w:val="000000"/>
        </w:rPr>
        <w:t>not</w:t>
      </w:r>
      <w:r w:rsidRPr="00875A16">
        <w:rPr>
          <w:rFonts w:ascii="Arial" w:hAnsi="Arial" w:cs="Arial"/>
          <w:color w:val="000000"/>
        </w:rPr>
        <w:t xml:space="preserve"> progress to assessment.</w:t>
      </w:r>
      <w:r w:rsidR="00647384">
        <w:rPr>
          <w:rFonts w:ascii="Arial" w:hAnsi="Arial" w:cs="Arial"/>
          <w:color w:val="000000"/>
        </w:rPr>
        <w:t xml:space="preserve"> Where possible use the provided template.</w:t>
      </w:r>
    </w:p>
    <w:p w14:paraId="146D3D7F" w14:textId="77777777" w:rsidR="004475DB" w:rsidRPr="00E54637" w:rsidRDefault="00E262D1" w:rsidP="00CC3C8E">
      <w:pPr>
        <w:spacing w:before="120" w:after="120" w:line="276" w:lineRule="auto"/>
        <w:rPr>
          <w:i/>
        </w:rPr>
      </w:pPr>
      <w:r w:rsidRPr="00E54637">
        <w:rPr>
          <w:i/>
        </w:rPr>
        <w:t>[Note:</w:t>
      </w:r>
      <w:r w:rsidR="00F14348">
        <w:rPr>
          <w:i/>
        </w:rPr>
        <w:t xml:space="preserve"> </w:t>
      </w:r>
      <w:r w:rsidR="004475DB" w:rsidRPr="00E54637">
        <w:rPr>
          <w:i/>
        </w:rPr>
        <w:t xml:space="preserve">There is a </w:t>
      </w:r>
      <w:r w:rsidR="004475DB" w:rsidRPr="00E54637">
        <w:rPr>
          <w:b/>
          <w:i/>
        </w:rPr>
        <w:t>2mb</w:t>
      </w:r>
      <w:r w:rsidR="004475DB" w:rsidRPr="00E54637">
        <w:rPr>
          <w:i/>
        </w:rPr>
        <w:t xml:space="preserve"> limit for each attachment.</w:t>
      </w:r>
      <w:r w:rsidRPr="00E54637">
        <w:rPr>
          <w:i/>
        </w:rPr>
        <w:t>]</w:t>
      </w:r>
    </w:p>
    <w:p w14:paraId="3DDCE97C" w14:textId="77777777" w:rsidR="00340616" w:rsidRPr="00B72EE8" w:rsidRDefault="008B2D42" w:rsidP="00CC3C8E">
      <w:pPr>
        <w:pStyle w:val="Heading2Numbered"/>
        <w:spacing w:line="276" w:lineRule="auto"/>
        <w:contextualSpacing w:val="0"/>
      </w:pPr>
      <w:bookmarkStart w:id="99" w:name="_Toc384307739"/>
      <w:bookmarkStart w:id="100" w:name="_Toc384307810"/>
      <w:bookmarkStart w:id="101" w:name="_Toc389141038"/>
      <w:bookmarkStart w:id="102" w:name="_Toc433641171"/>
      <w:bookmarkStart w:id="103" w:name="_Toc467773972"/>
      <w:bookmarkStart w:id="104" w:name="_Toc421777609"/>
      <w:bookmarkStart w:id="105" w:name="_Toc531005202"/>
      <w:bookmarkEnd w:id="76"/>
      <w:r>
        <w:t>8.5</w:t>
      </w:r>
      <w:r w:rsidR="00F64AC7">
        <w:t xml:space="preserve"> </w:t>
      </w:r>
      <w:r w:rsidR="00340616" w:rsidRPr="00B72EE8">
        <w:t xml:space="preserve">Questions during the application </w:t>
      </w:r>
      <w:bookmarkEnd w:id="99"/>
      <w:bookmarkEnd w:id="100"/>
      <w:bookmarkEnd w:id="101"/>
      <w:bookmarkEnd w:id="102"/>
      <w:r w:rsidR="00340616">
        <w:t>process</w:t>
      </w:r>
      <w:bookmarkEnd w:id="103"/>
      <w:bookmarkEnd w:id="105"/>
    </w:p>
    <w:p w14:paraId="5EF60FCD" w14:textId="02FE69AB" w:rsidR="00DA130D" w:rsidRDefault="00340616" w:rsidP="00CC3C8E">
      <w:pPr>
        <w:spacing w:before="0" w:after="120" w:line="276" w:lineRule="auto"/>
      </w:pPr>
      <w:r w:rsidRPr="00103A95">
        <w:t xml:space="preserve">If </w:t>
      </w:r>
      <w:r w:rsidR="00D57101">
        <w:t>a</w:t>
      </w:r>
      <w:r w:rsidR="00113574">
        <w:t>pplicants</w:t>
      </w:r>
      <w:r w:rsidR="00113574" w:rsidRPr="00103A95">
        <w:t xml:space="preserve"> </w:t>
      </w:r>
      <w:r w:rsidRPr="00103A95">
        <w:t>have any questions during the application period</w:t>
      </w:r>
      <w:r w:rsidR="00E54637">
        <w:t xml:space="preserve"> they</w:t>
      </w:r>
      <w:r w:rsidR="00113574">
        <w:t xml:space="preserve"> should</w:t>
      </w:r>
      <w:r w:rsidRPr="00103A95">
        <w:t xml:space="preserve"> contact</w:t>
      </w:r>
      <w:r w:rsidR="00D14978">
        <w:t xml:space="preserve"> the Community Grants Hub on 1800 020 283</w:t>
      </w:r>
      <w:r w:rsidR="007176CA">
        <w:t>,</w:t>
      </w:r>
      <w:r w:rsidR="00D14978">
        <w:t xml:space="preserve"> or email </w:t>
      </w:r>
      <w:hyperlink r:id="rId23" w:history="1">
        <w:r w:rsidR="00D14978" w:rsidRPr="008B2D42">
          <w:t>support@communitygrants.gov.au</w:t>
        </w:r>
      </w:hyperlink>
      <w:r w:rsidR="00D14978">
        <w:t xml:space="preserve"> </w:t>
      </w:r>
    </w:p>
    <w:p w14:paraId="20C9143A" w14:textId="77777777" w:rsidR="00340616" w:rsidRPr="00B72EE8" w:rsidRDefault="00340616" w:rsidP="00CC3C8E">
      <w:pPr>
        <w:spacing w:before="0" w:after="120" w:line="276" w:lineRule="auto"/>
      </w:pPr>
      <w:r w:rsidRPr="00103A95">
        <w:t xml:space="preserve">The </w:t>
      </w:r>
      <w:r w:rsidR="00061A22" w:rsidRPr="008B2D42">
        <w:t>Community Grants Hub</w:t>
      </w:r>
      <w:r w:rsidRPr="008B2D42">
        <w:rPr>
          <w:b/>
        </w:rPr>
        <w:t xml:space="preserve"> </w:t>
      </w:r>
      <w:r w:rsidRPr="00103A95">
        <w:t xml:space="preserve">will respond to emailed questions within </w:t>
      </w:r>
      <w:r w:rsidR="008873D4" w:rsidRPr="008B2D42">
        <w:t>five</w:t>
      </w:r>
      <w:r w:rsidRPr="00103A95">
        <w:t xml:space="preserve"> working days.</w:t>
      </w:r>
    </w:p>
    <w:p w14:paraId="5D19A5FF" w14:textId="77777777" w:rsidR="00340616" w:rsidRDefault="00340616" w:rsidP="00CC3C8E">
      <w:pPr>
        <w:spacing w:after="120" w:line="276" w:lineRule="auto"/>
      </w:pPr>
      <w:r>
        <w:lastRenderedPageBreak/>
        <w:t>Answers to questions</w:t>
      </w:r>
      <w:r w:rsidRPr="00EA3E47">
        <w:t xml:space="preserve"> may be posted on </w:t>
      </w:r>
      <w:hyperlink r:id="rId24" w:history="1">
        <w:proofErr w:type="spellStart"/>
        <w:r w:rsidRPr="008B2D42">
          <w:t>GrantConnect</w:t>
        </w:r>
        <w:proofErr w:type="spellEnd"/>
      </w:hyperlink>
      <w:r w:rsidR="00192CC4" w:rsidRPr="008B2D42">
        <w:t xml:space="preserve"> and on the </w:t>
      </w:r>
      <w:hyperlink r:id="rId25" w:history="1">
        <w:r w:rsidR="00192CC4" w:rsidRPr="008B2D42">
          <w:t>Community Grants Hub</w:t>
        </w:r>
      </w:hyperlink>
      <w:r w:rsidR="003D016A" w:rsidRPr="008B2D42">
        <w:t xml:space="preserve"> website</w:t>
      </w:r>
      <w:r w:rsidRPr="00EA3E47">
        <w:t>.</w:t>
      </w:r>
      <w:r w:rsidDel="00FA6425">
        <w:t xml:space="preserve"> </w:t>
      </w:r>
    </w:p>
    <w:p w14:paraId="3C0218EE" w14:textId="7D5C18B7" w:rsidR="00340616" w:rsidRDefault="00BC0C62" w:rsidP="00CC3C8E">
      <w:pPr>
        <w:spacing w:after="120" w:line="276" w:lineRule="auto"/>
      </w:pPr>
      <w:r>
        <w:t xml:space="preserve">The question period will </w:t>
      </w:r>
      <w:r w:rsidR="003357B0">
        <w:t>c</w:t>
      </w:r>
      <w:r>
        <w:t xml:space="preserve">lose at </w:t>
      </w:r>
      <w:r w:rsidR="006E34A7">
        <w:t>2</w:t>
      </w:r>
      <w:r w:rsidR="008B2D42" w:rsidRPr="00D96E26">
        <w:t xml:space="preserve">:00pm AEDT on </w:t>
      </w:r>
      <w:r w:rsidR="00242D32">
        <w:t>Friday 14</w:t>
      </w:r>
      <w:r w:rsidR="00785055" w:rsidRPr="00D96E26">
        <w:t xml:space="preserve"> December</w:t>
      </w:r>
      <w:r w:rsidR="008B2D42" w:rsidRPr="00D96E26">
        <w:t>.</w:t>
      </w:r>
      <w:r w:rsidR="00E96706">
        <w:t xml:space="preserve"> Following this time, </w:t>
      </w:r>
      <w:r w:rsidR="00E96706" w:rsidRPr="00E54637">
        <w:rPr>
          <w:b/>
        </w:rPr>
        <w:t>only</w:t>
      </w:r>
      <w:r w:rsidR="00E96706">
        <w:t xml:space="preserve"> questions relating to using and/or submitting the application form will be answered.</w:t>
      </w:r>
      <w:bookmarkEnd w:id="104"/>
      <w:r w:rsidR="00340616" w:rsidRPr="00B72EE8">
        <w:t xml:space="preserve"> </w:t>
      </w:r>
    </w:p>
    <w:p w14:paraId="37832E84" w14:textId="77777777" w:rsidR="00064124" w:rsidRDefault="008B2D42" w:rsidP="00CC3C8E">
      <w:pPr>
        <w:pStyle w:val="Heading2Numbered"/>
        <w:spacing w:line="276" w:lineRule="auto"/>
        <w:contextualSpacing w:val="0"/>
      </w:pPr>
      <w:bookmarkStart w:id="106" w:name="_Toc531005203"/>
      <w:r>
        <w:t>8.6</w:t>
      </w:r>
      <w:r w:rsidR="00E52C74">
        <w:t xml:space="preserve"> </w:t>
      </w:r>
      <w:r>
        <w:t>Requests for further i</w:t>
      </w:r>
      <w:r w:rsidR="00064124">
        <w:t>nformation</w:t>
      </w:r>
      <w:bookmarkEnd w:id="106"/>
    </w:p>
    <w:p w14:paraId="3E9C3F71" w14:textId="4A89F6FD" w:rsidR="00064124" w:rsidRDefault="009B78EB" w:rsidP="00CC3C8E">
      <w:pPr>
        <w:spacing w:before="0" w:after="120" w:line="276" w:lineRule="auto"/>
      </w:pPr>
      <w:r>
        <w:t xml:space="preserve">Both the </w:t>
      </w:r>
      <w:r w:rsidR="00064124">
        <w:t>Community Grants Hub and the NDIA reserves the right to clarify or seek additional substantive information for the purposes of assessment</w:t>
      </w:r>
      <w:r w:rsidR="00B51177">
        <w:t>, as well as to negotiate with the applicant’s</w:t>
      </w:r>
      <w:r w:rsidR="00064124">
        <w:t xml:space="preserve"> organisation in relation to the details of the proposed Activity and its </w:t>
      </w:r>
      <w:r w:rsidR="00DA130D">
        <w:t>b</w:t>
      </w:r>
      <w:r w:rsidR="00064124">
        <w:t>udget.</w:t>
      </w:r>
    </w:p>
    <w:p w14:paraId="0B3AA274" w14:textId="77777777" w:rsidR="00340616" w:rsidRPr="00B72EE8" w:rsidRDefault="008B2D42" w:rsidP="00CC3C8E">
      <w:pPr>
        <w:pStyle w:val="Heading1Numbered"/>
        <w:spacing w:before="720" w:line="276" w:lineRule="auto"/>
        <w:contextualSpacing w:val="0"/>
      </w:pPr>
      <w:bookmarkStart w:id="107" w:name="_Toc467773974"/>
      <w:bookmarkStart w:id="108" w:name="_Toc531005204"/>
      <w:r>
        <w:t>9</w:t>
      </w:r>
      <w:r w:rsidR="00F64AC7">
        <w:t xml:space="preserve">. </w:t>
      </w:r>
      <w:r w:rsidR="00340616">
        <w:t>Assessment of grant ap</w:t>
      </w:r>
      <w:r w:rsidR="00340616" w:rsidRPr="00B72EE8">
        <w:t>plications</w:t>
      </w:r>
      <w:bookmarkEnd w:id="107"/>
      <w:bookmarkEnd w:id="108"/>
    </w:p>
    <w:p w14:paraId="6376EBCB" w14:textId="77777777" w:rsidR="00340616" w:rsidRDefault="008B2D42" w:rsidP="00CC3C8E">
      <w:pPr>
        <w:pStyle w:val="Heading2Numbered"/>
        <w:spacing w:line="276" w:lineRule="auto"/>
        <w:contextualSpacing w:val="0"/>
      </w:pPr>
      <w:bookmarkStart w:id="109" w:name="_Toc467773975"/>
      <w:bookmarkStart w:id="110" w:name="_Toc421777603"/>
      <w:bookmarkStart w:id="111" w:name="_Toc531005205"/>
      <w:r>
        <w:t>9</w:t>
      </w:r>
      <w:r w:rsidR="00F64AC7">
        <w:t xml:space="preserve">.1 </w:t>
      </w:r>
      <w:r w:rsidR="00340616" w:rsidRPr="00B72EE8">
        <w:t xml:space="preserve">Who will assess </w:t>
      </w:r>
      <w:r w:rsidR="00340616">
        <w:t>applications?</w:t>
      </w:r>
      <w:bookmarkEnd w:id="109"/>
      <w:bookmarkEnd w:id="111"/>
      <w:r w:rsidR="00340616">
        <w:t xml:space="preserve"> </w:t>
      </w:r>
      <w:bookmarkEnd w:id="110"/>
    </w:p>
    <w:p w14:paraId="37403DA0" w14:textId="2C999A93" w:rsidR="007C34E6" w:rsidRDefault="007C34E6" w:rsidP="007C34E6">
      <w:pPr>
        <w:spacing w:after="120" w:line="276" w:lineRule="auto"/>
      </w:pPr>
      <w:r>
        <w:t xml:space="preserve">The Assessment Team will assess all eligible and compliant applications based on their merits. The assessment team will comprise Community Grants Hub staff, with NDIA staff also </w:t>
      </w:r>
      <w:r w:rsidR="00C0603F">
        <w:t>undertaking a quality assurance role</w:t>
      </w:r>
      <w:r w:rsidR="00EC3661">
        <w:t>. The Assessment T</w:t>
      </w:r>
      <w:r>
        <w:t xml:space="preserve">eam will undertake training to ensure consistent assessment of all applications. </w:t>
      </w:r>
    </w:p>
    <w:p w14:paraId="3688FEFD" w14:textId="77777777" w:rsidR="007C34E6" w:rsidRDefault="007C34E6" w:rsidP="007C34E6">
      <w:pPr>
        <w:spacing w:after="120" w:line="276" w:lineRule="auto"/>
      </w:pPr>
      <w:r>
        <w:t>If the selection process identifies unintentional errors in the application, applicants may be contacted to correct or explain the information.</w:t>
      </w:r>
    </w:p>
    <w:p w14:paraId="39A3C570" w14:textId="518B7EBF" w:rsidR="00625819" w:rsidRDefault="007C34E6" w:rsidP="0021211D">
      <w:r>
        <w:t>The Assessment Team will report on its assessme</w:t>
      </w:r>
      <w:r w:rsidR="00EC3661">
        <w:t>nt of applications to the NDIA.</w:t>
      </w:r>
      <w:r>
        <w:t xml:space="preserve"> </w:t>
      </w:r>
      <w:r w:rsidR="00EC3661" w:rsidRPr="0047010D">
        <w:rPr>
          <w:rFonts w:cstheme="minorHAnsi"/>
        </w:rPr>
        <w:t xml:space="preserve">The Community Grants Hub </w:t>
      </w:r>
      <w:r w:rsidRPr="007C34E6">
        <w:rPr>
          <w:color w:val="000000" w:themeColor="text1"/>
        </w:rPr>
        <w:t xml:space="preserve">and </w:t>
      </w:r>
      <w:r>
        <w:rPr>
          <w:color w:val="000000" w:themeColor="text1"/>
        </w:rPr>
        <w:t xml:space="preserve">the </w:t>
      </w:r>
      <w:r w:rsidRPr="007C34E6">
        <w:rPr>
          <w:color w:val="000000" w:themeColor="text1"/>
        </w:rPr>
        <w:t xml:space="preserve">NDIA </w:t>
      </w:r>
      <w:r>
        <w:t>will provide advice to the Selection Advisory Panel on the</w:t>
      </w:r>
      <w:r w:rsidR="00625819">
        <w:t xml:space="preserve"> outcomes of the </w:t>
      </w:r>
      <w:r>
        <w:t>assessment</w:t>
      </w:r>
      <w:r w:rsidR="00625819" w:rsidRPr="00625819">
        <w:t xml:space="preserve"> </w:t>
      </w:r>
      <w:r w:rsidR="00625819">
        <w:t xml:space="preserve">undertaken by the Assessment Team and other matters, including, </w:t>
      </w:r>
      <w:r>
        <w:t xml:space="preserve">risk and alignment to ILC. </w:t>
      </w:r>
    </w:p>
    <w:p w14:paraId="7ADBB0DA" w14:textId="77777777" w:rsidR="007C34E6" w:rsidRDefault="007C34E6" w:rsidP="007C34E6">
      <w:pPr>
        <w:spacing w:after="120" w:line="276" w:lineRule="auto"/>
      </w:pPr>
      <w:r>
        <w:t xml:space="preserve">The Selection Advisory Panel may include a mix of employees of the NDIA, Commonwealth, State and Territory Governments, people with disability, and people of specialist relevant expertise. </w:t>
      </w:r>
    </w:p>
    <w:p w14:paraId="591C99E6" w14:textId="77777777" w:rsidR="007C34E6" w:rsidRDefault="007C34E6" w:rsidP="007C34E6">
      <w:pPr>
        <w:spacing w:line="276" w:lineRule="auto"/>
      </w:pPr>
      <w:r>
        <w:t>The Selection Advisory Panel will consider the extent to which applications represent value for money and make recommendations to the NDIA Delegate having regard to:</w:t>
      </w:r>
    </w:p>
    <w:p w14:paraId="3948EC64" w14:textId="5B936A54" w:rsidR="007C34E6" w:rsidRDefault="009B78EB" w:rsidP="00EC3661">
      <w:pPr>
        <w:pStyle w:val="Bullet1"/>
        <w:numPr>
          <w:ilvl w:val="0"/>
          <w:numId w:val="37"/>
        </w:numPr>
        <w:suppressAutoHyphens w:val="0"/>
        <w:spacing w:before="0" w:after="120" w:line="276" w:lineRule="auto"/>
        <w:ind w:left="930"/>
      </w:pPr>
      <w:r>
        <w:t xml:space="preserve">Advice provided by the </w:t>
      </w:r>
      <w:r w:rsidR="007C34E6">
        <w:t>Assessment Team and the NDIA, who will flag considerations, such as risk and alignment to ILC;</w:t>
      </w:r>
    </w:p>
    <w:p w14:paraId="3DA17805" w14:textId="77777777" w:rsidR="007C34E6" w:rsidRDefault="007C34E6" w:rsidP="00EC3661">
      <w:pPr>
        <w:pStyle w:val="Bullet1"/>
        <w:numPr>
          <w:ilvl w:val="0"/>
          <w:numId w:val="37"/>
        </w:numPr>
        <w:suppressAutoHyphens w:val="0"/>
        <w:spacing w:before="0" w:after="120" w:line="276" w:lineRule="auto"/>
        <w:ind w:left="930"/>
      </w:pPr>
      <w:r>
        <w:t>Organisations meeting the eligibility criteria;</w:t>
      </w:r>
    </w:p>
    <w:p w14:paraId="76861A6D" w14:textId="77777777" w:rsidR="007C34E6" w:rsidRDefault="007C34E6" w:rsidP="00EC3661">
      <w:pPr>
        <w:pStyle w:val="Bullet1"/>
        <w:numPr>
          <w:ilvl w:val="0"/>
          <w:numId w:val="37"/>
        </w:numPr>
        <w:suppressAutoHyphens w:val="0"/>
        <w:spacing w:after="120" w:line="276" w:lineRule="auto"/>
        <w:ind w:left="928"/>
      </w:pPr>
      <w:r>
        <w:t>Alignment with ILC Policy and outcomes;</w:t>
      </w:r>
    </w:p>
    <w:p w14:paraId="11B0B3CC" w14:textId="77777777" w:rsidR="007C34E6" w:rsidRDefault="007C34E6" w:rsidP="00EC3661">
      <w:pPr>
        <w:pStyle w:val="Bullet1"/>
        <w:numPr>
          <w:ilvl w:val="0"/>
          <w:numId w:val="37"/>
        </w:numPr>
        <w:suppressAutoHyphens w:val="0"/>
        <w:spacing w:after="120" w:line="276" w:lineRule="auto"/>
        <w:ind w:left="928"/>
      </w:pPr>
      <w:r>
        <w:t xml:space="preserve">Overall investment mix across jurisdictions and disability types; </w:t>
      </w:r>
    </w:p>
    <w:p w14:paraId="42EE57AD" w14:textId="77777777" w:rsidR="007C34E6" w:rsidRDefault="007C34E6" w:rsidP="00EC3661">
      <w:pPr>
        <w:pStyle w:val="Bullet1"/>
        <w:numPr>
          <w:ilvl w:val="0"/>
          <w:numId w:val="37"/>
        </w:numPr>
        <w:suppressAutoHyphens w:val="0"/>
        <w:spacing w:after="120" w:line="276" w:lineRule="auto"/>
        <w:ind w:left="928"/>
      </w:pPr>
      <w:r>
        <w:t>Risks and their management – including financial risk, organisational capability, organisational type and value of the proposed grant;</w:t>
      </w:r>
    </w:p>
    <w:p w14:paraId="4CA65506" w14:textId="77777777" w:rsidR="007C34E6" w:rsidRDefault="007C34E6" w:rsidP="00EC3661">
      <w:pPr>
        <w:pStyle w:val="Bullet1"/>
        <w:numPr>
          <w:ilvl w:val="0"/>
          <w:numId w:val="37"/>
        </w:numPr>
        <w:suppressAutoHyphens w:val="0"/>
        <w:spacing w:after="120" w:line="276" w:lineRule="auto"/>
        <w:ind w:left="928"/>
      </w:pPr>
      <w:r>
        <w:lastRenderedPageBreak/>
        <w:t>Activity mix by grant recipient;</w:t>
      </w:r>
    </w:p>
    <w:p w14:paraId="2418A478" w14:textId="77777777" w:rsidR="007C34E6" w:rsidRDefault="007C34E6" w:rsidP="00EC3661">
      <w:pPr>
        <w:pStyle w:val="Bullet1"/>
        <w:numPr>
          <w:ilvl w:val="0"/>
          <w:numId w:val="37"/>
        </w:numPr>
        <w:suppressAutoHyphens w:val="0"/>
        <w:spacing w:after="120" w:line="276" w:lineRule="auto"/>
        <w:ind w:left="928"/>
      </w:pPr>
      <w:r>
        <w:t>Activity location and activity type competency; and</w:t>
      </w:r>
    </w:p>
    <w:p w14:paraId="606A488A" w14:textId="77777777" w:rsidR="007C34E6" w:rsidRDefault="007C34E6" w:rsidP="00EC3661">
      <w:pPr>
        <w:pStyle w:val="Bullet1"/>
        <w:numPr>
          <w:ilvl w:val="0"/>
          <w:numId w:val="37"/>
        </w:numPr>
        <w:suppressAutoHyphens w:val="0"/>
        <w:spacing w:after="120" w:line="276" w:lineRule="auto"/>
        <w:ind w:left="928"/>
      </w:pPr>
      <w:r>
        <w:t>Existing and potential activity gaps.</w:t>
      </w:r>
    </w:p>
    <w:p w14:paraId="686DB1C5" w14:textId="77777777" w:rsidR="007C34E6" w:rsidRDefault="007C34E6" w:rsidP="007C34E6">
      <w:pPr>
        <w:spacing w:after="120" w:line="276" w:lineRule="auto"/>
      </w:pPr>
      <w:r>
        <w:t xml:space="preserve">The NDIA or the Selection Advisory Panel may seek information about the applicant or application. They may do this from within the Commonwealth, even if the sources are not nominated by the applicant as referees. The NDIA or the Selection Advisory Panel may also consider information about the applicant or the application that is available through the normal course of business, from other NDIA processes and that is publicly available. </w:t>
      </w:r>
    </w:p>
    <w:p w14:paraId="5349B206" w14:textId="77777777" w:rsidR="007C34E6" w:rsidRDefault="007C34E6" w:rsidP="007C34E6">
      <w:pPr>
        <w:spacing w:after="120" w:line="276" w:lineRule="auto"/>
      </w:pPr>
      <w:r>
        <w:t xml:space="preserve">During assessment the NDIA may also contact the applicant to clarify or revise elements of the grant application to enable activities to better align with grant round objectives and ILC outcomes or to provide value for money. </w:t>
      </w:r>
    </w:p>
    <w:p w14:paraId="5C9F733C" w14:textId="1CC7C971" w:rsidR="00AA3B51" w:rsidRDefault="007C34E6" w:rsidP="00AA3B51">
      <w:pPr>
        <w:spacing w:after="120" w:line="276" w:lineRule="auto"/>
      </w:pPr>
      <w:r>
        <w:t>The NDIA may also contact the applicant to request further information about the application, or potential expansion of the application, to potentially provide additional funding to what was requested. If applicants are contacted, it is likely to be during late January/early February 2019.</w:t>
      </w:r>
      <w:bookmarkStart w:id="112" w:name="_Toc490635105"/>
    </w:p>
    <w:p w14:paraId="2C7B083A" w14:textId="77777777" w:rsidR="00340616" w:rsidRPr="00647D91" w:rsidRDefault="003B1EA8" w:rsidP="00CC3C8E">
      <w:pPr>
        <w:pStyle w:val="Heading2Numbered"/>
        <w:spacing w:line="276" w:lineRule="auto"/>
        <w:contextualSpacing w:val="0"/>
      </w:pPr>
      <w:bookmarkStart w:id="113" w:name="_Toc467773976"/>
      <w:bookmarkStart w:id="114" w:name="_Toc531005206"/>
      <w:bookmarkEnd w:id="112"/>
      <w:r>
        <w:t>9</w:t>
      </w:r>
      <w:r w:rsidR="00F64AC7">
        <w:t xml:space="preserve">.2 </w:t>
      </w:r>
      <w:r w:rsidR="00340616" w:rsidRPr="00647D91">
        <w:t>Who will approve grants?</w:t>
      </w:r>
      <w:bookmarkEnd w:id="113"/>
      <w:bookmarkEnd w:id="114"/>
    </w:p>
    <w:p w14:paraId="06F76401" w14:textId="77777777" w:rsidR="00ED4A65" w:rsidRDefault="00340616" w:rsidP="00CC3C8E">
      <w:pPr>
        <w:spacing w:before="0" w:after="120" w:line="276" w:lineRule="auto"/>
      </w:pPr>
      <w:r w:rsidRPr="00103A95">
        <w:t xml:space="preserve">The </w:t>
      </w:r>
      <w:r w:rsidR="00771C5D">
        <w:t>Selection Advisory Panel</w:t>
      </w:r>
      <w:r w:rsidR="004003E2" w:rsidRPr="00647D91">
        <w:rPr>
          <w:color w:val="745B00" w:themeColor="accent3" w:themeShade="80"/>
        </w:rPr>
        <w:t xml:space="preserve"> </w:t>
      </w:r>
      <w:r w:rsidR="00ED4A65">
        <w:t xml:space="preserve">will make recommendations to the NDIA Delegate (with the Delegate determined in accordance with the </w:t>
      </w:r>
      <w:r w:rsidR="00ED4A65" w:rsidRPr="009C1DC5">
        <w:rPr>
          <w:i/>
          <w:iCs/>
          <w:color w:val="000000" w:themeColor="text1"/>
        </w:rPr>
        <w:t>NDIA’s Financial Authorisations</w:t>
      </w:r>
      <w:r w:rsidR="00ED4A65">
        <w:t>) who will make the final decision in relation to each application.</w:t>
      </w:r>
    </w:p>
    <w:p w14:paraId="5BC4200D" w14:textId="77777777" w:rsidR="00340616" w:rsidRPr="00103A95" w:rsidRDefault="00340616" w:rsidP="00833B56">
      <w:pPr>
        <w:spacing w:line="276" w:lineRule="auto"/>
      </w:pPr>
      <w:r w:rsidRPr="00103A95">
        <w:t xml:space="preserve">The </w:t>
      </w:r>
      <w:r w:rsidR="00A90610" w:rsidRPr="00417072">
        <w:rPr>
          <w:color w:val="000000" w:themeColor="text1"/>
        </w:rPr>
        <w:t>NDIA Delegate’s</w:t>
      </w:r>
      <w:r w:rsidR="00A90610" w:rsidRPr="009C1DC5">
        <w:rPr>
          <w:b/>
          <w:color w:val="000000" w:themeColor="text1"/>
        </w:rPr>
        <w:t xml:space="preserve"> </w:t>
      </w:r>
      <w:r w:rsidRPr="00103A95">
        <w:t>decision is final in all matters, including:</w:t>
      </w:r>
    </w:p>
    <w:p w14:paraId="0E0E7A94" w14:textId="77777777" w:rsidR="00340616" w:rsidRPr="00103A95" w:rsidRDefault="006C5650" w:rsidP="00CC3C8E">
      <w:pPr>
        <w:pStyle w:val="Bullet1"/>
        <w:spacing w:before="0" w:after="120" w:line="276" w:lineRule="auto"/>
      </w:pPr>
      <w:r>
        <w:t>T</w:t>
      </w:r>
      <w:r w:rsidR="00340616" w:rsidRPr="00103A95">
        <w:t>he approval of the grant</w:t>
      </w:r>
      <w:r>
        <w:t>;</w:t>
      </w:r>
    </w:p>
    <w:p w14:paraId="5C8129CD" w14:textId="77777777" w:rsidR="00340616" w:rsidRPr="00103A95" w:rsidRDefault="006C5650" w:rsidP="00CC3C8E">
      <w:pPr>
        <w:pStyle w:val="Bullet1"/>
        <w:spacing w:before="0" w:after="120" w:line="276" w:lineRule="auto"/>
      </w:pPr>
      <w:r>
        <w:t>T</w:t>
      </w:r>
      <w:r w:rsidR="00340616" w:rsidRPr="00103A95">
        <w:t>he grant funding amount to be awarded</w:t>
      </w:r>
      <w:r>
        <w:t>;</w:t>
      </w:r>
    </w:p>
    <w:p w14:paraId="622D737D" w14:textId="77777777" w:rsidR="00340616" w:rsidRDefault="006C5650" w:rsidP="00CC3C8E">
      <w:pPr>
        <w:pStyle w:val="Bullet1"/>
        <w:spacing w:before="0" w:after="120" w:line="276" w:lineRule="auto"/>
      </w:pPr>
      <w:r>
        <w:t>T</w:t>
      </w:r>
      <w:r w:rsidRPr="00103A95">
        <w:t xml:space="preserve">he </w:t>
      </w:r>
      <w:r w:rsidR="00340616" w:rsidRPr="00103A95">
        <w:t>terms and conditions of the grant</w:t>
      </w:r>
      <w:r>
        <w:t>;</w:t>
      </w:r>
      <w:r w:rsidR="00340616" w:rsidRPr="00103A95">
        <w:t xml:space="preserve"> </w:t>
      </w:r>
    </w:p>
    <w:p w14:paraId="04B47055" w14:textId="77777777" w:rsidR="00A90610" w:rsidRPr="00103A95" w:rsidRDefault="006C5650" w:rsidP="00CC3C8E">
      <w:pPr>
        <w:pStyle w:val="Bullet1"/>
        <w:spacing w:before="0" w:after="120" w:line="276" w:lineRule="auto"/>
      </w:pPr>
      <w:r>
        <w:t>U</w:t>
      </w:r>
      <w:r w:rsidRPr="00310249">
        <w:t xml:space="preserve">nsuccessful </w:t>
      </w:r>
      <w:r w:rsidR="00A90610" w:rsidRPr="00310249">
        <w:t xml:space="preserve">applications. </w:t>
      </w:r>
    </w:p>
    <w:p w14:paraId="19463244" w14:textId="77777777" w:rsidR="00340616" w:rsidRPr="00103A95" w:rsidRDefault="00340616" w:rsidP="00CC3C8E">
      <w:pPr>
        <w:spacing w:after="120" w:line="276" w:lineRule="auto"/>
      </w:pPr>
      <w:r w:rsidRPr="00103A95">
        <w:t xml:space="preserve">The </w:t>
      </w:r>
      <w:r w:rsidR="00A90610" w:rsidRPr="00417072">
        <w:rPr>
          <w:color w:val="000000" w:themeColor="text1"/>
        </w:rPr>
        <w:t>NDIA Delegate</w:t>
      </w:r>
      <w:r w:rsidR="00A90610" w:rsidRPr="009C1DC5">
        <w:rPr>
          <w:b/>
          <w:color w:val="000000" w:themeColor="text1"/>
        </w:rPr>
        <w:t xml:space="preserve"> </w:t>
      </w:r>
      <w:r w:rsidR="00A90610">
        <w:t xml:space="preserve">will </w:t>
      </w:r>
      <w:r w:rsidRPr="00103A95">
        <w:t xml:space="preserve">not approve funding if they reasonably consider the program funding available will not accommodate the funding offer, and/or the application does not represent value for money. </w:t>
      </w:r>
    </w:p>
    <w:p w14:paraId="350315D3" w14:textId="77777777" w:rsidR="00340616" w:rsidRPr="002E0C03" w:rsidRDefault="00340616" w:rsidP="00CC3C8E">
      <w:pPr>
        <w:spacing w:after="120" w:line="276" w:lineRule="auto"/>
      </w:pPr>
      <w:r w:rsidRPr="00103A95">
        <w:t>There is no appeal mechanism for decisions to approve or not approve a grant.</w:t>
      </w:r>
    </w:p>
    <w:p w14:paraId="5268FF31" w14:textId="77777777" w:rsidR="00340616" w:rsidRPr="00B72EE8" w:rsidRDefault="003B1EA8" w:rsidP="00CC3C8E">
      <w:pPr>
        <w:pStyle w:val="Heading1Numbered"/>
        <w:spacing w:before="720" w:line="276" w:lineRule="auto"/>
        <w:contextualSpacing w:val="0"/>
      </w:pPr>
      <w:bookmarkStart w:id="115" w:name="_Toc467773977"/>
      <w:bookmarkStart w:id="116" w:name="_Toc531005207"/>
      <w:r>
        <w:t>10</w:t>
      </w:r>
      <w:r w:rsidR="00F64AC7">
        <w:t xml:space="preserve">. </w:t>
      </w:r>
      <w:r w:rsidR="00340616" w:rsidRPr="00B72EE8">
        <w:t>Notification of application outcomes</w:t>
      </w:r>
      <w:bookmarkEnd w:id="115"/>
      <w:bookmarkEnd w:id="116"/>
    </w:p>
    <w:p w14:paraId="2112D5D7" w14:textId="77777777" w:rsidR="00340616" w:rsidRDefault="004602F5" w:rsidP="00CC3C8E">
      <w:pPr>
        <w:spacing w:after="120" w:line="276" w:lineRule="auto"/>
      </w:pPr>
      <w:r>
        <w:t>The Community Grants Hub will</w:t>
      </w:r>
      <w:r w:rsidR="00340616">
        <w:t xml:space="preserve"> advise</w:t>
      </w:r>
      <w:r>
        <w:t xml:space="preserve"> </w:t>
      </w:r>
      <w:r w:rsidR="00E54637">
        <w:t>applicants</w:t>
      </w:r>
      <w:r w:rsidR="00340616">
        <w:t xml:space="preserve"> </w:t>
      </w:r>
      <w:r w:rsidR="00340616" w:rsidRPr="00B72EE8">
        <w:t xml:space="preserve">of the outcomes of </w:t>
      </w:r>
      <w:r w:rsidR="00E54637">
        <w:t>their</w:t>
      </w:r>
      <w:r w:rsidR="00340616">
        <w:t xml:space="preserve"> </w:t>
      </w:r>
      <w:r w:rsidR="00340616" w:rsidRPr="002E0C03">
        <w:t>application in writing,</w:t>
      </w:r>
      <w:r w:rsidR="00340616" w:rsidRPr="00B72EE8">
        <w:t xml:space="preserve"> following a decision by the </w:t>
      </w:r>
      <w:r w:rsidR="003C371F" w:rsidRPr="00417072">
        <w:rPr>
          <w:color w:val="000000" w:themeColor="text1"/>
        </w:rPr>
        <w:t xml:space="preserve">NDIA </w:t>
      </w:r>
      <w:r w:rsidR="00E84C48">
        <w:rPr>
          <w:color w:val="000000" w:themeColor="text1"/>
        </w:rPr>
        <w:t>D</w:t>
      </w:r>
      <w:r w:rsidR="003C371F" w:rsidRPr="00417072">
        <w:rPr>
          <w:color w:val="000000" w:themeColor="text1"/>
        </w:rPr>
        <w:t>elegate.</w:t>
      </w:r>
      <w:r w:rsidR="00340616" w:rsidRPr="009C1DC5">
        <w:rPr>
          <w:b/>
          <w:color w:val="000000" w:themeColor="text1"/>
        </w:rPr>
        <w:t xml:space="preserve"> </w:t>
      </w:r>
      <w:r w:rsidR="00340616" w:rsidRPr="00C25555">
        <w:t xml:space="preserve">If </w:t>
      </w:r>
      <w:r w:rsidR="00E54637">
        <w:t>the applicant is</w:t>
      </w:r>
      <w:r w:rsidR="00340616" w:rsidRPr="00C25555">
        <w:t xml:space="preserve"> successful, </w:t>
      </w:r>
      <w:r w:rsidR="00E54637">
        <w:t>they</w:t>
      </w:r>
      <w:r w:rsidR="00340616" w:rsidRPr="00C25555">
        <w:t xml:space="preserve"> will also be advised</w:t>
      </w:r>
      <w:r w:rsidR="00340616" w:rsidRPr="00C25555">
        <w:rPr>
          <w:b/>
        </w:rPr>
        <w:t xml:space="preserve"> </w:t>
      </w:r>
      <w:r w:rsidR="00340616" w:rsidRPr="00C25555">
        <w:t xml:space="preserve">about any </w:t>
      </w:r>
      <w:r w:rsidR="00340616" w:rsidRPr="00B72EE8">
        <w:t xml:space="preserve">specific conditions attached to the </w:t>
      </w:r>
      <w:r w:rsidR="00340616">
        <w:t>grant</w:t>
      </w:r>
      <w:r w:rsidR="00340616" w:rsidRPr="00B72EE8">
        <w:t xml:space="preserve">. </w:t>
      </w:r>
    </w:p>
    <w:p w14:paraId="6AA2672E" w14:textId="77777777" w:rsidR="00340616" w:rsidRPr="00B72EE8" w:rsidRDefault="003B1EA8" w:rsidP="00CC3C8E">
      <w:pPr>
        <w:pStyle w:val="Heading2Numbered"/>
        <w:spacing w:line="276" w:lineRule="auto"/>
        <w:contextualSpacing w:val="0"/>
      </w:pPr>
      <w:bookmarkStart w:id="117" w:name="_Toc467773978"/>
      <w:bookmarkStart w:id="118" w:name="_Toc531005208"/>
      <w:r>
        <w:lastRenderedPageBreak/>
        <w:t>10</w:t>
      </w:r>
      <w:r w:rsidR="00F64AC7">
        <w:t xml:space="preserve">.1 </w:t>
      </w:r>
      <w:r w:rsidR="00340616" w:rsidRPr="00B72EE8">
        <w:t xml:space="preserve">Feedback on </w:t>
      </w:r>
      <w:r w:rsidR="00E54637">
        <w:t>the</w:t>
      </w:r>
      <w:r w:rsidR="00340616">
        <w:t xml:space="preserve"> </w:t>
      </w:r>
      <w:r w:rsidR="00340616" w:rsidRPr="00B72EE8">
        <w:t>application</w:t>
      </w:r>
      <w:bookmarkEnd w:id="117"/>
      <w:bookmarkEnd w:id="118"/>
    </w:p>
    <w:p w14:paraId="735D33E3" w14:textId="77777777" w:rsidR="00831521" w:rsidRPr="00B76C75" w:rsidRDefault="00A76EC7" w:rsidP="00CC3C8E">
      <w:pPr>
        <w:spacing w:before="0" w:after="120" w:line="276" w:lineRule="auto"/>
      </w:pPr>
      <w:r w:rsidRPr="00B76C75">
        <w:t>A F</w:t>
      </w:r>
      <w:r w:rsidR="00831521" w:rsidRPr="00B76C75">
        <w:t xml:space="preserve">eedback </w:t>
      </w:r>
      <w:r w:rsidRPr="00B76C75">
        <w:t>S</w:t>
      </w:r>
      <w:r w:rsidR="00831521" w:rsidRPr="00B76C75">
        <w:t>ummar</w:t>
      </w:r>
      <w:r w:rsidRPr="00B76C75">
        <w:t>y</w:t>
      </w:r>
      <w:r w:rsidR="00831521" w:rsidRPr="00B76C75">
        <w:t xml:space="preserve"> will be published on the Community Grants Hub website to provide all organisations with easy to access information about the assessment process and the main strengths and areas for improving their applications.</w:t>
      </w:r>
    </w:p>
    <w:p w14:paraId="599C860C" w14:textId="77777777" w:rsidR="00A76EC7" w:rsidRDefault="00A76EC7" w:rsidP="00CC3C8E">
      <w:pPr>
        <w:spacing w:after="120" w:line="276" w:lineRule="auto"/>
      </w:pPr>
      <w:r>
        <w:t xml:space="preserve">Individual feedback </w:t>
      </w:r>
      <w:r w:rsidR="00423C8F">
        <w:t>will be available</w:t>
      </w:r>
      <w:r w:rsidR="00D57345">
        <w:t xml:space="preserve"> for unsuccessful applicants</w:t>
      </w:r>
      <w:r w:rsidR="00423C8F">
        <w:t xml:space="preserve">. </w:t>
      </w:r>
      <w:r w:rsidR="00E963D2">
        <w:t xml:space="preserve">The process for requesting individual feedback will be included in the letter advising of the outcome of </w:t>
      </w:r>
      <w:r w:rsidR="00E54637">
        <w:t>the</w:t>
      </w:r>
      <w:r w:rsidR="00E963D2">
        <w:t xml:space="preserve"> application.</w:t>
      </w:r>
    </w:p>
    <w:p w14:paraId="64CF5A7E" w14:textId="77777777" w:rsidR="00340616" w:rsidRDefault="003B1EA8" w:rsidP="00CC3C8E">
      <w:pPr>
        <w:pStyle w:val="Heading1Numbered"/>
        <w:spacing w:before="720" w:line="276" w:lineRule="auto"/>
        <w:contextualSpacing w:val="0"/>
      </w:pPr>
      <w:bookmarkStart w:id="119" w:name="_Toc467773979"/>
      <w:bookmarkStart w:id="120" w:name="_Toc421777622"/>
      <w:bookmarkStart w:id="121" w:name="_Toc433641183"/>
      <w:bookmarkStart w:id="122" w:name="_Toc531005209"/>
      <w:r>
        <w:t>11</w:t>
      </w:r>
      <w:r w:rsidR="00F64AC7">
        <w:t xml:space="preserve">. </w:t>
      </w:r>
      <w:r w:rsidR="00340616">
        <w:t>Successful grant applications</w:t>
      </w:r>
      <w:bookmarkEnd w:id="119"/>
      <w:bookmarkEnd w:id="122"/>
    </w:p>
    <w:p w14:paraId="01CF6F57" w14:textId="23AC8552" w:rsidR="00340616" w:rsidRDefault="003B1EA8" w:rsidP="00CC3C8E">
      <w:pPr>
        <w:pStyle w:val="Heading2Numbered"/>
        <w:spacing w:line="276" w:lineRule="auto"/>
        <w:ind w:left="709" w:hanging="709"/>
        <w:contextualSpacing w:val="0"/>
      </w:pPr>
      <w:bookmarkStart w:id="123" w:name="_Toc467773980"/>
      <w:bookmarkStart w:id="124" w:name="_Toc531005210"/>
      <w:r>
        <w:t>11</w:t>
      </w:r>
      <w:r w:rsidR="00F64AC7">
        <w:t xml:space="preserve">.1 </w:t>
      </w:r>
      <w:r w:rsidR="00340616">
        <w:t xml:space="preserve">The </w:t>
      </w:r>
      <w:r w:rsidR="001D5020">
        <w:t>G</w:t>
      </w:r>
      <w:r w:rsidR="00340616" w:rsidRPr="0054078D">
        <w:t xml:space="preserve">rant </w:t>
      </w:r>
      <w:r w:rsidR="004563ED">
        <w:t>A</w:t>
      </w:r>
      <w:r w:rsidR="00340616" w:rsidRPr="0054078D">
        <w:t>greement</w:t>
      </w:r>
      <w:bookmarkEnd w:id="123"/>
      <w:bookmarkEnd w:id="124"/>
    </w:p>
    <w:bookmarkEnd w:id="120"/>
    <w:bookmarkEnd w:id="121"/>
    <w:p w14:paraId="0DEF0EBC" w14:textId="45D9C74E" w:rsidR="003B1EA8" w:rsidRDefault="00E54637" w:rsidP="00CC3C8E">
      <w:pPr>
        <w:spacing w:before="0" w:after="120" w:line="276" w:lineRule="auto"/>
        <w:rPr>
          <w:rStyle w:val="highlightedtextChar"/>
          <w:color w:val="000000" w:themeColor="text1"/>
        </w:rPr>
      </w:pPr>
      <w:r>
        <w:t xml:space="preserve">If the applicant is </w:t>
      </w:r>
      <w:r w:rsidR="00704535" w:rsidRPr="003B1EA8">
        <w:t xml:space="preserve">successful and </w:t>
      </w:r>
      <w:r>
        <w:t>they</w:t>
      </w:r>
      <w:r w:rsidR="00704535" w:rsidRPr="003B1EA8">
        <w:t xml:space="preserve"> choose to accept a grant offer, </w:t>
      </w:r>
      <w:r>
        <w:t>they</w:t>
      </w:r>
      <w:r w:rsidR="00340616" w:rsidRPr="003B1EA8">
        <w:t xml:space="preserve"> must enter into a legally binding </w:t>
      </w:r>
      <w:r w:rsidR="001D5020" w:rsidRPr="002B602E">
        <w:t>G</w:t>
      </w:r>
      <w:r w:rsidR="00340616" w:rsidRPr="002B602E">
        <w:t xml:space="preserve">rant </w:t>
      </w:r>
      <w:r w:rsidR="001D5020" w:rsidRPr="002B602E">
        <w:t>A</w:t>
      </w:r>
      <w:r w:rsidR="00340616" w:rsidRPr="002B602E">
        <w:t>greement</w:t>
      </w:r>
      <w:r w:rsidR="00340616" w:rsidRPr="003B1EA8">
        <w:t xml:space="preserve"> with the </w:t>
      </w:r>
      <w:r w:rsidR="009C18C5" w:rsidRPr="003B1EA8">
        <w:rPr>
          <w:rStyle w:val="highlightedtextChar"/>
          <w:b w:val="0"/>
          <w:color w:val="000000" w:themeColor="text1"/>
        </w:rPr>
        <w:t>NDIA</w:t>
      </w:r>
      <w:r w:rsidR="00DB0937" w:rsidRPr="003B1EA8">
        <w:rPr>
          <w:rStyle w:val="highlightedtextChar"/>
          <w:b w:val="0"/>
          <w:color w:val="000000" w:themeColor="text1"/>
        </w:rPr>
        <w:t>.</w:t>
      </w:r>
      <w:r w:rsidR="00340616" w:rsidRPr="003B1EA8">
        <w:rPr>
          <w:rStyle w:val="highlightedtextChar"/>
          <w:b w:val="0"/>
          <w:color w:val="000000" w:themeColor="text1"/>
        </w:rPr>
        <w:t xml:space="preserve"> </w:t>
      </w:r>
      <w:r w:rsidR="00DB0937" w:rsidRPr="003B1EA8">
        <w:rPr>
          <w:rStyle w:val="highlightedtextChar"/>
          <w:b w:val="0"/>
          <w:color w:val="000000" w:themeColor="text1"/>
        </w:rPr>
        <w:t>The</w:t>
      </w:r>
      <w:r w:rsidR="00340616" w:rsidRPr="003B1EA8">
        <w:rPr>
          <w:rStyle w:val="highlightedtextChar"/>
          <w:b w:val="0"/>
          <w:color w:val="000000" w:themeColor="text1"/>
        </w:rPr>
        <w:t xml:space="preserve"> </w:t>
      </w:r>
      <w:r w:rsidR="009C18C5" w:rsidRPr="003B1EA8">
        <w:rPr>
          <w:rStyle w:val="highlightedtextChar"/>
          <w:b w:val="0"/>
          <w:color w:val="000000" w:themeColor="text1"/>
        </w:rPr>
        <w:t>NDIA</w:t>
      </w:r>
      <w:r w:rsidR="00DB0937" w:rsidRPr="003B1EA8">
        <w:rPr>
          <w:rStyle w:val="highlightedtextChar"/>
          <w:color w:val="000000" w:themeColor="text1"/>
        </w:rPr>
        <w:t xml:space="preserve"> </w:t>
      </w:r>
      <w:r w:rsidR="00340616" w:rsidRPr="003B1EA8">
        <w:rPr>
          <w:color w:val="000000" w:themeColor="text1"/>
        </w:rPr>
        <w:t xml:space="preserve">will </w:t>
      </w:r>
      <w:r w:rsidR="00423C8F" w:rsidRPr="003B1EA8">
        <w:rPr>
          <w:color w:val="000000" w:themeColor="text1"/>
        </w:rPr>
        <w:t xml:space="preserve">issue </w:t>
      </w:r>
      <w:r>
        <w:rPr>
          <w:color w:val="000000" w:themeColor="text1"/>
        </w:rPr>
        <w:t>them</w:t>
      </w:r>
      <w:r w:rsidR="00423C8F" w:rsidRPr="003B1EA8">
        <w:rPr>
          <w:color w:val="000000" w:themeColor="text1"/>
        </w:rPr>
        <w:t xml:space="preserve"> with</w:t>
      </w:r>
      <w:r w:rsidR="00340616" w:rsidRPr="003B1EA8">
        <w:rPr>
          <w:color w:val="000000" w:themeColor="text1"/>
        </w:rPr>
        <w:t xml:space="preserve"> the </w:t>
      </w:r>
      <w:hyperlink r:id="rId26" w:history="1">
        <w:r w:rsidR="00F94A67" w:rsidRPr="003B1EA8">
          <w:rPr>
            <w:rStyle w:val="Hyperlink"/>
            <w:i/>
            <w:color w:val="000000" w:themeColor="text1"/>
            <w:u w:val="none"/>
          </w:rPr>
          <w:t>NDIA</w:t>
        </w:r>
        <w:r w:rsidR="00340616" w:rsidRPr="003B1EA8">
          <w:rPr>
            <w:rStyle w:val="Hyperlink"/>
            <w:i/>
            <w:color w:val="000000" w:themeColor="text1"/>
            <w:u w:val="none"/>
          </w:rPr>
          <w:t xml:space="preserve"> Grant Agreement</w:t>
        </w:r>
      </w:hyperlink>
      <w:r w:rsidR="00340616" w:rsidRPr="003B1EA8">
        <w:rPr>
          <w:rStyle w:val="highlightedtextChar"/>
          <w:color w:val="000000" w:themeColor="text1"/>
        </w:rPr>
        <w:t>.</w:t>
      </w:r>
      <w:r w:rsidR="0076186A">
        <w:rPr>
          <w:rStyle w:val="highlightedtextChar"/>
          <w:color w:val="000000" w:themeColor="text1"/>
        </w:rPr>
        <w:t xml:space="preserve"> </w:t>
      </w:r>
    </w:p>
    <w:p w14:paraId="271509A2" w14:textId="3EBE4C5E" w:rsidR="00B82540" w:rsidRDefault="009C18C5" w:rsidP="00CC3C8E">
      <w:pPr>
        <w:spacing w:after="120" w:line="276" w:lineRule="auto"/>
      </w:pPr>
      <w:r>
        <w:t>Simple</w:t>
      </w:r>
      <w:r w:rsidR="00340616" w:rsidRPr="00103A95">
        <w:t xml:space="preserve"> terms and conditions for the </w:t>
      </w:r>
      <w:r w:rsidR="001D5020">
        <w:t>G</w:t>
      </w:r>
      <w:r w:rsidR="00340616" w:rsidRPr="00103A95">
        <w:t xml:space="preserve">rant </w:t>
      </w:r>
      <w:r w:rsidR="004563ED">
        <w:t>A</w:t>
      </w:r>
      <w:r w:rsidR="00340616" w:rsidRPr="00103A95">
        <w:t>greement will apply and cannot be changed. A schedule may be used to outline the specific grant</w:t>
      </w:r>
      <w:r>
        <w:t xml:space="preserve"> requirements. </w:t>
      </w:r>
      <w:r w:rsidR="00340616" w:rsidRPr="002E0C03">
        <w:t xml:space="preserve">Any additional conditions attached to the grant will be identified in the grant offer or during the </w:t>
      </w:r>
      <w:r w:rsidR="001D5020">
        <w:t>G</w:t>
      </w:r>
      <w:r w:rsidR="00340616" w:rsidRPr="002E0C03">
        <w:t xml:space="preserve">rant </w:t>
      </w:r>
      <w:r w:rsidR="004563ED">
        <w:t>A</w:t>
      </w:r>
      <w:r w:rsidR="00340616" w:rsidRPr="002E0C03">
        <w:t>greement negotiations.</w:t>
      </w:r>
      <w:r w:rsidR="0076186A">
        <w:t xml:space="preserve"> </w:t>
      </w:r>
    </w:p>
    <w:p w14:paraId="6D1F5355" w14:textId="55080B28" w:rsidR="003B1EA8" w:rsidRPr="0076186A" w:rsidRDefault="001E77B7" w:rsidP="00CC3C8E">
      <w:pPr>
        <w:spacing w:after="120" w:line="276" w:lineRule="auto"/>
        <w:rPr>
          <w:color w:val="000000" w:themeColor="text1"/>
        </w:rPr>
      </w:pPr>
      <w:r>
        <w:rPr>
          <w:rStyle w:val="highlightedtextChar"/>
          <w:b w:val="0"/>
          <w:color w:val="000000" w:themeColor="text1"/>
        </w:rPr>
        <w:t>Sample General Conditions and Supplementary Terms and Conditions are</w:t>
      </w:r>
      <w:r w:rsidR="00E54637">
        <w:rPr>
          <w:rStyle w:val="highlightedtextChar"/>
          <w:b w:val="0"/>
          <w:color w:val="000000" w:themeColor="text1"/>
        </w:rPr>
        <w:t xml:space="preserve"> </w:t>
      </w:r>
      <w:r w:rsidR="003B1EA8">
        <w:t xml:space="preserve">available as part of the application documents for this grant opportunity on the </w:t>
      </w:r>
      <w:hyperlink r:id="rId27" w:history="1">
        <w:proofErr w:type="spellStart"/>
        <w:r w:rsidR="003B1EA8" w:rsidRPr="008B2D42">
          <w:t>GrantConnect</w:t>
        </w:r>
        <w:proofErr w:type="spellEnd"/>
      </w:hyperlink>
      <w:r w:rsidR="003B1EA8">
        <w:t xml:space="preserve"> and </w:t>
      </w:r>
      <w:hyperlink r:id="rId28" w:history="1">
        <w:r w:rsidR="003B1EA8" w:rsidRPr="008B2D42">
          <w:t>Community Grants Hub</w:t>
        </w:r>
      </w:hyperlink>
      <w:r w:rsidR="003B1EA8" w:rsidRPr="008B2D42">
        <w:t xml:space="preserve"> websites</w:t>
      </w:r>
      <w:r w:rsidR="003B1EA8">
        <w:t>.</w:t>
      </w:r>
    </w:p>
    <w:p w14:paraId="65CCC8A8" w14:textId="77777777" w:rsidR="00340616" w:rsidRPr="00B72EE8" w:rsidRDefault="00E54637" w:rsidP="00CC3C8E">
      <w:pPr>
        <w:spacing w:after="120" w:line="276" w:lineRule="auto"/>
      </w:pPr>
      <w:r>
        <w:t>Successful applicants</w:t>
      </w:r>
      <w:r w:rsidR="00340616" w:rsidRPr="00B72EE8">
        <w:t xml:space="preserve"> will </w:t>
      </w:r>
      <w:r w:rsidR="00340616">
        <w:t>b</w:t>
      </w:r>
      <w:r w:rsidR="00340616" w:rsidRPr="00B72EE8">
        <w:t xml:space="preserve">e required to: </w:t>
      </w:r>
    </w:p>
    <w:p w14:paraId="7C3ABAB5" w14:textId="77777777" w:rsidR="00340616" w:rsidRPr="003B1EA8" w:rsidRDefault="006C5650" w:rsidP="00CC3C8E">
      <w:pPr>
        <w:pStyle w:val="Bullet1"/>
        <w:spacing w:before="0" w:after="120" w:line="276" w:lineRule="auto"/>
        <w:rPr>
          <w:color w:val="000000" w:themeColor="text1"/>
        </w:rPr>
      </w:pPr>
      <w:r>
        <w:rPr>
          <w:color w:val="000000" w:themeColor="text1"/>
        </w:rPr>
        <w:t>C</w:t>
      </w:r>
      <w:r w:rsidRPr="003B1EA8">
        <w:rPr>
          <w:color w:val="000000" w:themeColor="text1"/>
        </w:rPr>
        <w:t xml:space="preserve">omplete </w:t>
      </w:r>
      <w:r w:rsidR="001619F7" w:rsidRPr="003B1EA8">
        <w:rPr>
          <w:color w:val="000000" w:themeColor="text1"/>
        </w:rPr>
        <w:t xml:space="preserve">an Activity Work Plan as part of the Grant Agreement Negotiations. </w:t>
      </w:r>
    </w:p>
    <w:p w14:paraId="74199E3F" w14:textId="77777777" w:rsidR="00224901" w:rsidRPr="003B1EA8" w:rsidRDefault="006C5650" w:rsidP="00CC3C8E">
      <w:pPr>
        <w:pStyle w:val="Bullet1"/>
        <w:spacing w:after="120" w:line="276" w:lineRule="auto"/>
        <w:rPr>
          <w:color w:val="000000" w:themeColor="text1"/>
        </w:rPr>
      </w:pPr>
      <w:r>
        <w:rPr>
          <w:color w:val="000000" w:themeColor="text1"/>
        </w:rPr>
        <w:t>C</w:t>
      </w:r>
      <w:r w:rsidRPr="003B1EA8">
        <w:rPr>
          <w:color w:val="000000" w:themeColor="text1"/>
        </w:rPr>
        <w:t xml:space="preserve">omplete </w:t>
      </w:r>
      <w:r w:rsidR="001619F7" w:rsidRPr="003B1EA8">
        <w:rPr>
          <w:color w:val="000000" w:themeColor="text1"/>
        </w:rPr>
        <w:t>and submit output reporting as defined in the Grant Agreement or at the request of NDIA</w:t>
      </w:r>
      <w:r>
        <w:rPr>
          <w:color w:val="000000" w:themeColor="text1"/>
        </w:rPr>
        <w:t>.</w:t>
      </w:r>
    </w:p>
    <w:p w14:paraId="15D8D7B1" w14:textId="6851A236" w:rsidR="00340616" w:rsidRPr="003B1EA8" w:rsidRDefault="00340616" w:rsidP="00CC3C8E">
      <w:pPr>
        <w:spacing w:after="120" w:line="276" w:lineRule="auto"/>
        <w:rPr>
          <w:lang w:eastAsia="en-AU"/>
        </w:rPr>
      </w:pPr>
      <w:r w:rsidRPr="003B1EA8">
        <w:t xml:space="preserve">The </w:t>
      </w:r>
      <w:r w:rsidR="00423C8F" w:rsidRPr="003B1EA8">
        <w:rPr>
          <w:rStyle w:val="highlightedtextChar"/>
          <w:b w:val="0"/>
          <w:color w:val="auto"/>
        </w:rPr>
        <w:t>NDIA</w:t>
      </w:r>
      <w:r w:rsidR="00DB0937" w:rsidRPr="003B1EA8">
        <w:rPr>
          <w:rStyle w:val="highlightedtextChar"/>
          <w:color w:val="auto"/>
        </w:rPr>
        <w:t xml:space="preserve"> </w:t>
      </w:r>
      <w:r w:rsidRPr="003B1EA8">
        <w:t xml:space="preserve">will negotiate </w:t>
      </w:r>
      <w:r w:rsidR="001D5020" w:rsidRPr="002B602E">
        <w:t>A</w:t>
      </w:r>
      <w:r w:rsidRPr="002B602E">
        <w:t>greements</w:t>
      </w:r>
      <w:r w:rsidRPr="003B1EA8">
        <w:t xml:space="preserve"> with successful applicants</w:t>
      </w:r>
      <w:r w:rsidR="0076186A" w:rsidRPr="003B1EA8">
        <w:t>.</w:t>
      </w:r>
      <w:r w:rsidRPr="003B1EA8">
        <w:rPr>
          <w:rStyle w:val="Strong"/>
          <w:b w:val="0"/>
        </w:rPr>
        <w:t xml:space="preserve"> If there are unreasonable delays in finalising </w:t>
      </w:r>
      <w:r w:rsidRPr="003B1EA8">
        <w:rPr>
          <w:lang w:eastAsia="en-AU"/>
        </w:rPr>
        <w:t xml:space="preserve">a </w:t>
      </w:r>
      <w:r w:rsidR="001D5020">
        <w:rPr>
          <w:lang w:eastAsia="en-AU"/>
        </w:rPr>
        <w:t>G</w:t>
      </w:r>
      <w:r w:rsidRPr="003B1EA8">
        <w:rPr>
          <w:lang w:eastAsia="en-AU"/>
        </w:rPr>
        <w:t xml:space="preserve">rant </w:t>
      </w:r>
      <w:r w:rsidR="001D5020" w:rsidRPr="002B602E">
        <w:rPr>
          <w:lang w:eastAsia="en-AU"/>
        </w:rPr>
        <w:t>A</w:t>
      </w:r>
      <w:r w:rsidRPr="002B602E">
        <w:rPr>
          <w:lang w:eastAsia="en-AU"/>
        </w:rPr>
        <w:t>greement</w:t>
      </w:r>
      <w:r w:rsidRPr="003B1EA8">
        <w:rPr>
          <w:lang w:eastAsia="en-AU"/>
        </w:rPr>
        <w:t>, the grant offer may be withdrawn and the grant may be awarded to a different applicant.</w:t>
      </w:r>
    </w:p>
    <w:p w14:paraId="3AD75E11" w14:textId="1A122395" w:rsidR="00340616" w:rsidRDefault="00E54637" w:rsidP="00CC3C8E">
      <w:pPr>
        <w:spacing w:after="120" w:line="276" w:lineRule="auto"/>
        <w:rPr>
          <w:bCs/>
          <w:lang w:eastAsia="en-AU"/>
        </w:rPr>
      </w:pPr>
      <w:r>
        <w:rPr>
          <w:bCs/>
          <w:lang w:eastAsia="en-AU"/>
        </w:rPr>
        <w:t>Applicants</w:t>
      </w:r>
      <w:r w:rsidR="00340616" w:rsidRPr="00726710">
        <w:rPr>
          <w:bCs/>
          <w:lang w:eastAsia="en-AU"/>
        </w:rPr>
        <w:t xml:space="preserve"> should not make financial commitments </w:t>
      </w:r>
      <w:r w:rsidR="00704535">
        <w:rPr>
          <w:bCs/>
          <w:lang w:eastAsia="en-AU"/>
        </w:rPr>
        <w:t xml:space="preserve">related to this grant, </w:t>
      </w:r>
      <w:r w:rsidR="00340616" w:rsidRPr="00726710">
        <w:rPr>
          <w:bCs/>
          <w:lang w:eastAsia="en-AU"/>
        </w:rPr>
        <w:t xml:space="preserve">until a </w:t>
      </w:r>
      <w:r w:rsidR="001D5020">
        <w:rPr>
          <w:bCs/>
          <w:lang w:eastAsia="en-AU"/>
        </w:rPr>
        <w:t>G</w:t>
      </w:r>
      <w:r w:rsidR="00340616" w:rsidRPr="00726710">
        <w:rPr>
          <w:bCs/>
          <w:lang w:eastAsia="en-AU"/>
        </w:rPr>
        <w:t xml:space="preserve">rant </w:t>
      </w:r>
      <w:r w:rsidR="004563ED">
        <w:rPr>
          <w:bCs/>
          <w:lang w:eastAsia="en-AU"/>
        </w:rPr>
        <w:t>A</w:t>
      </w:r>
      <w:r w:rsidR="00340616" w:rsidRPr="00726710">
        <w:rPr>
          <w:bCs/>
          <w:lang w:eastAsia="en-AU"/>
        </w:rPr>
        <w:t xml:space="preserve">greement has been executed by the </w:t>
      </w:r>
      <w:r w:rsidR="00833B56">
        <w:rPr>
          <w:bCs/>
          <w:lang w:eastAsia="en-AU"/>
        </w:rPr>
        <w:t>NDIA</w:t>
      </w:r>
      <w:r w:rsidR="00340616" w:rsidRPr="00726710">
        <w:rPr>
          <w:bCs/>
          <w:lang w:eastAsia="en-AU"/>
        </w:rPr>
        <w:t>.</w:t>
      </w:r>
      <w:r w:rsidR="00340616">
        <w:rPr>
          <w:bCs/>
          <w:lang w:eastAsia="en-AU"/>
        </w:rPr>
        <w:t xml:space="preserve"> </w:t>
      </w:r>
    </w:p>
    <w:p w14:paraId="734097ED" w14:textId="77777777" w:rsidR="00CC133D" w:rsidRDefault="001C3A7F" w:rsidP="00CC3C8E">
      <w:pPr>
        <w:pStyle w:val="Heading2Numbered"/>
        <w:spacing w:line="276" w:lineRule="auto"/>
        <w:contextualSpacing w:val="0"/>
      </w:pPr>
      <w:bookmarkStart w:id="125" w:name="_Toc467773981"/>
      <w:bookmarkStart w:id="126" w:name="_Toc531005211"/>
      <w:r>
        <w:t>11</w:t>
      </w:r>
      <w:r w:rsidR="00CC133D">
        <w:t xml:space="preserve">.2. Activity </w:t>
      </w:r>
      <w:proofErr w:type="spellStart"/>
      <w:r w:rsidR="00CC133D">
        <w:t>Workplan</w:t>
      </w:r>
      <w:proofErr w:type="spellEnd"/>
      <w:r w:rsidR="00CC133D">
        <w:t xml:space="preserve"> and Reporting</w:t>
      </w:r>
      <w:bookmarkEnd w:id="126"/>
    </w:p>
    <w:p w14:paraId="10115291" w14:textId="77777777" w:rsidR="00CC133D" w:rsidRPr="00C22B25" w:rsidRDefault="00CC133D" w:rsidP="00CC3C8E">
      <w:pPr>
        <w:spacing w:before="0" w:after="120" w:line="276" w:lineRule="auto"/>
        <w:rPr>
          <w:color w:val="000000" w:themeColor="text1"/>
        </w:rPr>
      </w:pPr>
      <w:r w:rsidRPr="00C22B25">
        <w:rPr>
          <w:color w:val="000000" w:themeColor="text1"/>
        </w:rPr>
        <w:t xml:space="preserve">As part of the Grant Agreement negotiations, the NDIA will provide successful recipients with an Activity </w:t>
      </w:r>
      <w:proofErr w:type="spellStart"/>
      <w:r w:rsidRPr="00C22B25">
        <w:rPr>
          <w:color w:val="000000" w:themeColor="text1"/>
        </w:rPr>
        <w:t>Workplan</w:t>
      </w:r>
      <w:proofErr w:type="spellEnd"/>
      <w:r w:rsidRPr="00C22B25">
        <w:rPr>
          <w:color w:val="000000" w:themeColor="text1"/>
        </w:rPr>
        <w:t xml:space="preserve"> template. The Activity </w:t>
      </w:r>
      <w:proofErr w:type="spellStart"/>
      <w:r w:rsidRPr="00C22B25">
        <w:rPr>
          <w:color w:val="000000" w:themeColor="text1"/>
        </w:rPr>
        <w:t>Workplan</w:t>
      </w:r>
      <w:proofErr w:type="spellEnd"/>
      <w:r w:rsidRPr="00C22B25">
        <w:rPr>
          <w:color w:val="000000" w:themeColor="text1"/>
        </w:rPr>
        <w:t xml:space="preserve"> documents planned deliverables, milestones and activity outputs for funded activities. The Activity </w:t>
      </w:r>
      <w:proofErr w:type="spellStart"/>
      <w:r w:rsidRPr="00C22B25">
        <w:rPr>
          <w:color w:val="000000" w:themeColor="text1"/>
        </w:rPr>
        <w:t>Workplan</w:t>
      </w:r>
      <w:proofErr w:type="spellEnd"/>
      <w:r w:rsidRPr="00C22B25">
        <w:rPr>
          <w:color w:val="000000" w:themeColor="text1"/>
        </w:rPr>
        <w:t xml:space="preserve"> also documents risk management and community engagement relevant to the funded project.</w:t>
      </w:r>
    </w:p>
    <w:p w14:paraId="039934B5" w14:textId="77777777" w:rsidR="00CC133D" w:rsidRPr="00C22B25" w:rsidRDefault="00E54637" w:rsidP="00CC3C8E">
      <w:pPr>
        <w:spacing w:after="120" w:line="276" w:lineRule="auto"/>
        <w:rPr>
          <w:color w:val="000000" w:themeColor="text1"/>
        </w:rPr>
      </w:pPr>
      <w:r>
        <w:rPr>
          <w:color w:val="000000" w:themeColor="text1"/>
        </w:rPr>
        <w:lastRenderedPageBreak/>
        <w:t>Successful applicants’</w:t>
      </w:r>
      <w:r w:rsidR="00CC133D" w:rsidRPr="00C22B25">
        <w:rPr>
          <w:color w:val="000000" w:themeColor="text1"/>
        </w:rPr>
        <w:t xml:space="preserve"> progress and outcomes against the Activity </w:t>
      </w:r>
      <w:proofErr w:type="spellStart"/>
      <w:r w:rsidR="00CC133D" w:rsidRPr="00C22B25">
        <w:rPr>
          <w:color w:val="000000" w:themeColor="text1"/>
        </w:rPr>
        <w:t>Workplan</w:t>
      </w:r>
      <w:proofErr w:type="spellEnd"/>
      <w:r w:rsidR="00CC133D" w:rsidRPr="00C22B25">
        <w:rPr>
          <w:color w:val="000000" w:themeColor="text1"/>
        </w:rPr>
        <w:t xml:space="preserve"> are monitored throughout the grant through regular reports. </w:t>
      </w:r>
    </w:p>
    <w:p w14:paraId="2787C7CA" w14:textId="0BE5E1B3" w:rsidR="001C3A7F" w:rsidRDefault="00CC133D" w:rsidP="00CC3C8E">
      <w:pPr>
        <w:spacing w:after="120" w:line="276" w:lineRule="auto"/>
      </w:pPr>
      <w:r>
        <w:t>T</w:t>
      </w:r>
      <w:r w:rsidR="00217DC4">
        <w:t xml:space="preserve">he </w:t>
      </w:r>
      <w:r w:rsidR="001D5020">
        <w:t>G</w:t>
      </w:r>
      <w:r w:rsidR="00217DC4">
        <w:t xml:space="preserve">rant </w:t>
      </w:r>
      <w:r w:rsidR="004563ED">
        <w:t>A</w:t>
      </w:r>
      <w:r w:rsidRPr="00310249">
        <w:t xml:space="preserve">greement will specify the type and frequency of reports the Grant Recipient will be required to submit. Grant Recipients </w:t>
      </w:r>
      <w:r>
        <w:t xml:space="preserve">are </w:t>
      </w:r>
      <w:r w:rsidRPr="00310249">
        <w:t xml:space="preserve">required to have </w:t>
      </w:r>
      <w:r w:rsidR="001C3A7F">
        <w:t>organisational processes and systems</w:t>
      </w:r>
      <w:r w:rsidRPr="00310249">
        <w:t xml:space="preserve"> in place to allow them to meet their data collection and reporting oblig</w:t>
      </w:r>
      <w:r w:rsidR="00217DC4">
        <w:t xml:space="preserve">ations outlined in their </w:t>
      </w:r>
      <w:r w:rsidR="001D5020">
        <w:t>G</w:t>
      </w:r>
      <w:r w:rsidR="00217DC4">
        <w:t xml:space="preserve">rant </w:t>
      </w:r>
      <w:r w:rsidR="004563ED">
        <w:t>A</w:t>
      </w:r>
      <w:r w:rsidRPr="00310249">
        <w:t>greement.</w:t>
      </w:r>
      <w:r w:rsidR="00B755C5">
        <w:t xml:space="preserve"> </w:t>
      </w:r>
    </w:p>
    <w:p w14:paraId="1F086787" w14:textId="45EBD58A" w:rsidR="00A93517" w:rsidRPr="00726710" w:rsidRDefault="00E54637" w:rsidP="00CC3C8E">
      <w:pPr>
        <w:spacing w:after="120" w:line="276" w:lineRule="auto"/>
        <w:rPr>
          <w:rFonts w:cstheme="minorHAnsi"/>
        </w:rPr>
      </w:pPr>
      <w:r>
        <w:rPr>
          <w:rFonts w:cstheme="minorHAnsi"/>
        </w:rPr>
        <w:t>Successful applicants</w:t>
      </w:r>
      <w:r w:rsidR="00A93517" w:rsidRPr="00726710">
        <w:rPr>
          <w:rFonts w:cstheme="minorHAnsi"/>
        </w:rPr>
        <w:t xml:space="preserve"> must submit reports</w:t>
      </w:r>
      <w:r w:rsidR="00A93517" w:rsidRPr="00726710">
        <w:rPr>
          <w:rFonts w:cstheme="minorHAnsi"/>
          <w:b/>
        </w:rPr>
        <w:t xml:space="preserve"> </w:t>
      </w:r>
      <w:r w:rsidR="00A93517" w:rsidRPr="00726710">
        <w:rPr>
          <w:rFonts w:cstheme="minorHAnsi"/>
        </w:rPr>
        <w:t>in the timeframes</w:t>
      </w:r>
      <w:r w:rsidR="001C3A7F">
        <w:rPr>
          <w:rFonts w:cstheme="minorHAnsi"/>
        </w:rPr>
        <w:t xml:space="preserve"> stated</w:t>
      </w:r>
      <w:r w:rsidR="00A93517" w:rsidRPr="00726710">
        <w:rPr>
          <w:rFonts w:cstheme="minorHAnsi"/>
        </w:rPr>
        <w:t xml:space="preserve"> in the </w:t>
      </w:r>
      <w:hyperlink r:id="rId29" w:history="1">
        <w:r w:rsidR="001D5020">
          <w:rPr>
            <w:rFonts w:cstheme="minorHAnsi"/>
          </w:rPr>
          <w:t>G</w:t>
        </w:r>
        <w:r w:rsidR="00A93517" w:rsidRPr="00726710">
          <w:rPr>
            <w:rFonts w:cstheme="minorHAnsi"/>
          </w:rPr>
          <w:t xml:space="preserve">rant </w:t>
        </w:r>
        <w:r w:rsidR="004563ED">
          <w:rPr>
            <w:rFonts w:cstheme="minorHAnsi"/>
          </w:rPr>
          <w:t>A</w:t>
        </w:r>
        <w:r w:rsidR="00A93517" w:rsidRPr="00726710">
          <w:rPr>
            <w:rFonts w:cstheme="minorHAnsi"/>
          </w:rPr>
          <w:t>greement</w:t>
        </w:r>
      </w:hyperlink>
      <w:r w:rsidR="00A93517" w:rsidRPr="00726710">
        <w:rPr>
          <w:rFonts w:cstheme="minorHAnsi"/>
        </w:rPr>
        <w:t xml:space="preserve">. </w:t>
      </w:r>
      <w:r w:rsidR="00A93517">
        <w:rPr>
          <w:rFonts w:cstheme="minorHAnsi"/>
        </w:rPr>
        <w:t>The NDIA</w:t>
      </w:r>
      <w:r w:rsidR="00A93517" w:rsidRPr="00726710">
        <w:rPr>
          <w:rFonts w:cstheme="minorHAnsi"/>
        </w:rPr>
        <w:t xml:space="preserve"> will provide </w:t>
      </w:r>
      <w:r w:rsidR="001C3A7F">
        <w:rPr>
          <w:rFonts w:cstheme="minorHAnsi"/>
        </w:rPr>
        <w:t>templates for these reports to enable</w:t>
      </w:r>
      <w:r w:rsidR="00A93517" w:rsidRPr="00726710">
        <w:rPr>
          <w:rFonts w:cstheme="minorHAnsi"/>
        </w:rPr>
        <w:t xml:space="preserve"> </w:t>
      </w:r>
      <w:r>
        <w:rPr>
          <w:rFonts w:cstheme="minorHAnsi"/>
        </w:rPr>
        <w:t>them</w:t>
      </w:r>
      <w:r w:rsidR="00A93517" w:rsidRPr="00726710">
        <w:rPr>
          <w:rFonts w:cstheme="minorHAnsi"/>
        </w:rPr>
        <w:t xml:space="preserve"> to report on</w:t>
      </w:r>
      <w:r w:rsidR="00A93517">
        <w:rPr>
          <w:rFonts w:cstheme="minorHAnsi"/>
        </w:rPr>
        <w:t>:</w:t>
      </w:r>
    </w:p>
    <w:p w14:paraId="20786309" w14:textId="77777777" w:rsidR="00A93517" w:rsidRPr="00726710" w:rsidRDefault="006C5650" w:rsidP="00CC3C8E">
      <w:pPr>
        <w:pStyle w:val="Bullet1"/>
        <w:spacing w:before="0" w:after="120" w:line="276" w:lineRule="auto"/>
      </w:pPr>
      <w:r>
        <w:t>P</w:t>
      </w:r>
      <w:r w:rsidRPr="00726710">
        <w:t xml:space="preserve">rogress </w:t>
      </w:r>
      <w:r w:rsidR="00A93517" w:rsidRPr="00726710">
        <w:t>against agreed project milestones</w:t>
      </w:r>
      <w:r>
        <w:t>;</w:t>
      </w:r>
    </w:p>
    <w:p w14:paraId="457C2490" w14:textId="77777777" w:rsidR="00A93517" w:rsidRDefault="006C5650" w:rsidP="00CC3C8E">
      <w:pPr>
        <w:pStyle w:val="Bullet1"/>
        <w:spacing w:before="0" w:after="120" w:line="276" w:lineRule="auto"/>
      </w:pPr>
      <w:r>
        <w:t>E</w:t>
      </w:r>
      <w:r w:rsidRPr="00726710">
        <w:t xml:space="preserve">ligible </w:t>
      </w:r>
      <w:r w:rsidR="00A93517" w:rsidRPr="00726710">
        <w:t>expenditure of grant funds.</w:t>
      </w:r>
    </w:p>
    <w:p w14:paraId="46938F6A" w14:textId="77777777" w:rsidR="00A93517" w:rsidRPr="00310249" w:rsidRDefault="001C3A7F" w:rsidP="00CC3C8E">
      <w:pPr>
        <w:pStyle w:val="Heading2Numbered"/>
        <w:spacing w:line="276" w:lineRule="auto"/>
        <w:ind w:left="709" w:hanging="709"/>
        <w:contextualSpacing w:val="0"/>
      </w:pPr>
      <w:bookmarkStart w:id="127" w:name="_Toc496539179"/>
      <w:bookmarkStart w:id="128" w:name="_Toc508880236"/>
      <w:bookmarkStart w:id="129" w:name="_Toc531005212"/>
      <w:r>
        <w:t>11</w:t>
      </w:r>
      <w:r w:rsidR="00A93517">
        <w:t xml:space="preserve">.3 </w:t>
      </w:r>
      <w:r w:rsidR="00A93517" w:rsidRPr="00310249">
        <w:t>Performance indicators</w:t>
      </w:r>
      <w:bookmarkEnd w:id="127"/>
      <w:bookmarkEnd w:id="128"/>
      <w:bookmarkEnd w:id="129"/>
    </w:p>
    <w:p w14:paraId="25F1ACF3" w14:textId="77777777" w:rsidR="00833B56" w:rsidRDefault="00A93517" w:rsidP="00CC3C8E">
      <w:pPr>
        <w:spacing w:before="0" w:after="120" w:line="276" w:lineRule="auto"/>
      </w:pPr>
      <w:r w:rsidRPr="00310249">
        <w:t xml:space="preserve">Grant Recipients will be required to report both on </w:t>
      </w:r>
      <w:r>
        <w:t xml:space="preserve">outputs and </w:t>
      </w:r>
      <w:r w:rsidRPr="00310249">
        <w:t xml:space="preserve">outcomes </w:t>
      </w:r>
      <w:r w:rsidR="001C3A7F">
        <w:t xml:space="preserve">that have been </w:t>
      </w:r>
      <w:r w:rsidRPr="00310249">
        <w:t>documented and agreed through the Activity Work Plan.</w:t>
      </w:r>
      <w:r w:rsidR="00032AF6">
        <w:t xml:space="preserve"> Further information and guidance will be provided to grant applicants regarding suitable indicators. </w:t>
      </w:r>
    </w:p>
    <w:p w14:paraId="4384BF24" w14:textId="77777777" w:rsidR="00A93517" w:rsidRDefault="00A93517" w:rsidP="00CC3C8E">
      <w:pPr>
        <w:spacing w:before="0" w:after="120" w:line="276" w:lineRule="auto"/>
      </w:pPr>
      <w:r>
        <w:t>P</w:t>
      </w:r>
      <w:r w:rsidRPr="00310249">
        <w:t xml:space="preserve">erformance indicators will be </w:t>
      </w:r>
      <w:r w:rsidR="001C3A7F">
        <w:t>documented</w:t>
      </w:r>
      <w:r w:rsidRPr="00310249">
        <w:t xml:space="preserve"> in Grant Agreements and the Activity Work Plan. This will </w:t>
      </w:r>
      <w:r w:rsidR="001C3A7F">
        <w:t>enable</w:t>
      </w:r>
      <w:r w:rsidRPr="00310249">
        <w:t xml:space="preserve"> the impact of individual activities funded through the CICD Program as well as the impact of the CICD Program overall</w:t>
      </w:r>
      <w:r w:rsidR="001C3A7F">
        <w:t xml:space="preserve"> to be tracked</w:t>
      </w:r>
      <w:r w:rsidRPr="00310249">
        <w:t>.</w:t>
      </w:r>
    </w:p>
    <w:p w14:paraId="56A5B240" w14:textId="77777777" w:rsidR="00A93517" w:rsidRDefault="001C3A7F" w:rsidP="00CC3C8E">
      <w:pPr>
        <w:spacing w:after="120" w:line="276" w:lineRule="auto"/>
      </w:pPr>
      <w:r>
        <w:t xml:space="preserve">Some projects may require </w:t>
      </w:r>
      <w:r w:rsidR="00A93517" w:rsidRPr="00526C2D">
        <w:t xml:space="preserve">specific reporting </w:t>
      </w:r>
      <w:r>
        <w:t xml:space="preserve">which </w:t>
      </w:r>
      <w:r w:rsidR="00A93517" w:rsidRPr="00526C2D">
        <w:t xml:space="preserve">will be defined on an individual project basis. </w:t>
      </w:r>
      <w:r>
        <w:t xml:space="preserve">NDIA will provide templates for reporting </w:t>
      </w:r>
      <w:r w:rsidR="00886E97">
        <w:t>which grant recipients are expected to use.</w:t>
      </w:r>
    </w:p>
    <w:p w14:paraId="2DB429DA" w14:textId="77777777" w:rsidR="00340616" w:rsidRDefault="00886E97" w:rsidP="00CC3C8E">
      <w:pPr>
        <w:pStyle w:val="Heading2Numbered"/>
        <w:spacing w:line="276" w:lineRule="auto"/>
        <w:contextualSpacing w:val="0"/>
      </w:pPr>
      <w:bookmarkStart w:id="130" w:name="_Toc531005213"/>
      <w:r>
        <w:t>11.4</w:t>
      </w:r>
      <w:r w:rsidR="00F64AC7">
        <w:t xml:space="preserve"> </w:t>
      </w:r>
      <w:r w:rsidR="00340616">
        <w:t>How the grant will be paid</w:t>
      </w:r>
      <w:bookmarkEnd w:id="125"/>
      <w:bookmarkEnd w:id="130"/>
    </w:p>
    <w:p w14:paraId="73B6598C" w14:textId="5D2725FA" w:rsidR="00340616" w:rsidRPr="000D4328" w:rsidRDefault="00340616" w:rsidP="00CC3C8E">
      <w:pPr>
        <w:tabs>
          <w:tab w:val="left" w:pos="0"/>
        </w:tabs>
        <w:spacing w:before="0" w:after="120" w:line="276" w:lineRule="auto"/>
        <w:rPr>
          <w:bCs/>
          <w:lang w:eastAsia="en-AU"/>
        </w:rPr>
      </w:pPr>
      <w:r w:rsidRPr="00DB0315">
        <w:rPr>
          <w:bCs/>
          <w:lang w:eastAsia="en-AU"/>
        </w:rPr>
        <w:t xml:space="preserve">The </w:t>
      </w:r>
      <w:r w:rsidR="001D5020">
        <w:rPr>
          <w:bCs/>
          <w:lang w:eastAsia="en-AU"/>
        </w:rPr>
        <w:t>G</w:t>
      </w:r>
      <w:r w:rsidR="000D4328">
        <w:rPr>
          <w:bCs/>
          <w:lang w:eastAsia="en-AU"/>
        </w:rPr>
        <w:t xml:space="preserve">rant </w:t>
      </w:r>
      <w:r w:rsidR="004563ED">
        <w:rPr>
          <w:bCs/>
          <w:lang w:eastAsia="en-AU"/>
        </w:rPr>
        <w:t>A</w:t>
      </w:r>
      <w:r w:rsidR="000D4328">
        <w:rPr>
          <w:bCs/>
          <w:lang w:eastAsia="en-AU"/>
        </w:rPr>
        <w:t xml:space="preserve">greement will state the </w:t>
      </w:r>
      <w:r w:rsidRPr="00DB0315">
        <w:t>maximum grant amount to be paid</w:t>
      </w:r>
    </w:p>
    <w:p w14:paraId="35964965" w14:textId="77777777" w:rsidR="00340616" w:rsidRDefault="00340616" w:rsidP="00CC3C8E">
      <w:pPr>
        <w:tabs>
          <w:tab w:val="left" w:pos="0"/>
        </w:tabs>
        <w:spacing w:after="120" w:line="276" w:lineRule="auto"/>
        <w:rPr>
          <w:bCs/>
          <w:lang w:eastAsia="en-AU"/>
        </w:rPr>
      </w:pPr>
      <w:r w:rsidRPr="00DB0315">
        <w:rPr>
          <w:bCs/>
          <w:lang w:eastAsia="en-AU"/>
        </w:rPr>
        <w:t xml:space="preserve">We will not exceed the maximum grant amount under any circumstances. If </w:t>
      </w:r>
      <w:r w:rsidR="00E54637">
        <w:rPr>
          <w:bCs/>
          <w:lang w:eastAsia="en-AU"/>
        </w:rPr>
        <w:t>successful grant applicants</w:t>
      </w:r>
      <w:r w:rsidRPr="00DB0315">
        <w:rPr>
          <w:bCs/>
          <w:lang w:eastAsia="en-AU"/>
        </w:rPr>
        <w:t xml:space="preserve"> incur extra expenditure, </w:t>
      </w:r>
      <w:r w:rsidR="00E54637">
        <w:rPr>
          <w:bCs/>
          <w:lang w:eastAsia="en-AU"/>
        </w:rPr>
        <w:t>they</w:t>
      </w:r>
      <w:r w:rsidRPr="00DB0315">
        <w:rPr>
          <w:bCs/>
          <w:lang w:eastAsia="en-AU"/>
        </w:rPr>
        <w:t xml:space="preserve"> must </w:t>
      </w:r>
      <w:r>
        <w:rPr>
          <w:bCs/>
          <w:lang w:eastAsia="en-AU"/>
        </w:rPr>
        <w:t>pay</w:t>
      </w:r>
      <w:r w:rsidRPr="00DB0315">
        <w:rPr>
          <w:bCs/>
          <w:lang w:eastAsia="en-AU"/>
        </w:rPr>
        <w:t xml:space="preserve"> it.</w:t>
      </w:r>
    </w:p>
    <w:p w14:paraId="618A7324" w14:textId="77777777" w:rsidR="000D4328" w:rsidRDefault="000D4328" w:rsidP="00CC3C8E">
      <w:pPr>
        <w:tabs>
          <w:tab w:val="left" w:pos="0"/>
        </w:tabs>
        <w:spacing w:after="120" w:line="276" w:lineRule="auto"/>
        <w:rPr>
          <w:bCs/>
          <w:lang w:eastAsia="en-AU"/>
        </w:rPr>
      </w:pPr>
      <w:r>
        <w:rPr>
          <w:bCs/>
          <w:lang w:eastAsia="en-AU"/>
        </w:rPr>
        <w:t xml:space="preserve">The grant will be paid via Electronic Funds Transfer (EFT) into the back account nominated by </w:t>
      </w:r>
      <w:r w:rsidR="00E54637">
        <w:rPr>
          <w:bCs/>
          <w:lang w:eastAsia="en-AU"/>
        </w:rPr>
        <w:t>the applicant</w:t>
      </w:r>
      <w:r>
        <w:rPr>
          <w:bCs/>
          <w:lang w:eastAsia="en-AU"/>
        </w:rPr>
        <w:t xml:space="preserve"> in </w:t>
      </w:r>
      <w:r w:rsidR="00E54637">
        <w:rPr>
          <w:bCs/>
          <w:lang w:eastAsia="en-AU"/>
        </w:rPr>
        <w:t>the</w:t>
      </w:r>
      <w:r>
        <w:rPr>
          <w:bCs/>
          <w:lang w:eastAsia="en-AU"/>
        </w:rPr>
        <w:t xml:space="preserve"> application form. No other forms of payment (e.g. cheque) are available.</w:t>
      </w:r>
    </w:p>
    <w:p w14:paraId="177028E9" w14:textId="1C5C9F69" w:rsidR="00340616" w:rsidRPr="00DB0315" w:rsidRDefault="00340616" w:rsidP="00CC3C8E">
      <w:pPr>
        <w:tabs>
          <w:tab w:val="left" w:pos="0"/>
        </w:tabs>
        <w:spacing w:after="120" w:line="276" w:lineRule="auto"/>
        <w:rPr>
          <w:bCs/>
          <w:lang w:eastAsia="en-AU"/>
        </w:rPr>
      </w:pPr>
      <w:r w:rsidRPr="00DB0315">
        <w:rPr>
          <w:bCs/>
          <w:lang w:eastAsia="en-AU"/>
        </w:rPr>
        <w:t xml:space="preserve">We will make an initial payment on execution of the </w:t>
      </w:r>
      <w:r w:rsidR="001D5020">
        <w:rPr>
          <w:bCs/>
          <w:lang w:eastAsia="en-AU"/>
        </w:rPr>
        <w:t>G</w:t>
      </w:r>
      <w:r w:rsidRPr="00DB0315">
        <w:rPr>
          <w:bCs/>
          <w:lang w:eastAsia="en-AU"/>
        </w:rPr>
        <w:t xml:space="preserve">rant </w:t>
      </w:r>
      <w:r w:rsidR="004563ED">
        <w:rPr>
          <w:bCs/>
          <w:lang w:eastAsia="en-AU"/>
        </w:rPr>
        <w:t>A</w:t>
      </w:r>
      <w:r w:rsidRPr="00DB0315">
        <w:rPr>
          <w:bCs/>
          <w:lang w:eastAsia="en-AU"/>
        </w:rPr>
        <w:t xml:space="preserve">greement. We will make subsequent payments progressively based on </w:t>
      </w:r>
      <w:r w:rsidR="00E54637">
        <w:rPr>
          <w:bCs/>
          <w:lang w:eastAsia="en-AU"/>
        </w:rPr>
        <w:t>the</w:t>
      </w:r>
      <w:r w:rsidRPr="00DB0315">
        <w:rPr>
          <w:bCs/>
          <w:lang w:eastAsia="en-AU"/>
        </w:rPr>
        <w:t xml:space="preserve"> progress reports</w:t>
      </w:r>
      <w:r w:rsidR="00217DC4">
        <w:rPr>
          <w:bCs/>
          <w:lang w:eastAsia="en-AU"/>
        </w:rPr>
        <w:t xml:space="preserve"> and </w:t>
      </w:r>
      <w:r w:rsidR="00E54637">
        <w:rPr>
          <w:bCs/>
          <w:lang w:eastAsia="en-AU"/>
        </w:rPr>
        <w:t>the</w:t>
      </w:r>
      <w:r w:rsidR="00217DC4">
        <w:rPr>
          <w:bCs/>
          <w:lang w:eastAsia="en-AU"/>
        </w:rPr>
        <w:t xml:space="preserve"> eligible expenditure</w:t>
      </w:r>
      <w:r w:rsidRPr="00DB0315">
        <w:rPr>
          <w:bCs/>
          <w:lang w:eastAsia="en-AU"/>
        </w:rPr>
        <w:t>.</w:t>
      </w:r>
    </w:p>
    <w:p w14:paraId="44DE3DA6" w14:textId="77777777" w:rsidR="00340616" w:rsidRDefault="00886E97" w:rsidP="00CC3C8E">
      <w:pPr>
        <w:pStyle w:val="Heading1Numbered"/>
        <w:spacing w:before="720" w:line="276" w:lineRule="auto"/>
        <w:contextualSpacing w:val="0"/>
      </w:pPr>
      <w:bookmarkStart w:id="131" w:name="_Toc467773983"/>
      <w:bookmarkStart w:id="132" w:name="_Toc531005214"/>
      <w:r>
        <w:lastRenderedPageBreak/>
        <w:t>12</w:t>
      </w:r>
      <w:r w:rsidR="00F64AC7">
        <w:t xml:space="preserve">. </w:t>
      </w:r>
      <w:r w:rsidR="00340616" w:rsidRPr="001607E9">
        <w:t>Announcement</w:t>
      </w:r>
      <w:r w:rsidR="00340616">
        <w:t xml:space="preserve"> of grants</w:t>
      </w:r>
      <w:bookmarkEnd w:id="131"/>
      <w:bookmarkEnd w:id="132"/>
    </w:p>
    <w:p w14:paraId="1CEFDC54" w14:textId="77777777" w:rsidR="00340616" w:rsidRPr="00726710" w:rsidRDefault="00E54637" w:rsidP="00CC3C8E">
      <w:pPr>
        <w:spacing w:after="120" w:line="276" w:lineRule="auto"/>
        <w:rPr>
          <w:b/>
          <w:color w:val="745B00" w:themeColor="accent3" w:themeShade="80"/>
        </w:rPr>
      </w:pPr>
      <w:r>
        <w:t>Successful</w:t>
      </w:r>
      <w:r w:rsidR="00966462">
        <w:t xml:space="preserve"> grant</w:t>
      </w:r>
      <w:r>
        <w:t>s</w:t>
      </w:r>
      <w:r w:rsidR="00966462">
        <w:t xml:space="preserve"> will be listed on</w:t>
      </w:r>
      <w:r w:rsidR="009E2A50">
        <w:t xml:space="preserve"> the NDIA website</w:t>
      </w:r>
      <w:r w:rsidR="00DE1EB4">
        <w:t xml:space="preserve">. Successful grants will also be listed on </w:t>
      </w:r>
      <w:hyperlink r:id="rId30" w:history="1">
        <w:proofErr w:type="spellStart"/>
        <w:r w:rsidR="00966462" w:rsidRPr="000510F7">
          <w:rPr>
            <w:rStyle w:val="Hyperlink"/>
            <w:rFonts w:cstheme="minorBidi"/>
          </w:rPr>
          <w:t>GrantConnect</w:t>
        </w:r>
        <w:proofErr w:type="spellEnd"/>
      </w:hyperlink>
      <w:r w:rsidR="00966462">
        <w:t xml:space="preserve"> as required by Section 5.3 of the</w:t>
      </w:r>
      <w:r w:rsidR="00DE1EB4">
        <w:t xml:space="preserve"> </w:t>
      </w:r>
      <w:r w:rsidR="00DE1EB4" w:rsidRPr="00310249">
        <w:rPr>
          <w:i/>
        </w:rPr>
        <w:t>Commonwealth Grants Rules and Guidelines</w:t>
      </w:r>
      <w:r w:rsidR="00DE1EB4" w:rsidRPr="005B02AC">
        <w:t>.</w:t>
      </w:r>
      <w:r w:rsidR="00966462">
        <w:t xml:space="preserve"> </w:t>
      </w:r>
    </w:p>
    <w:p w14:paraId="38E43FE2" w14:textId="77777777" w:rsidR="00340616" w:rsidRPr="00B72EE8" w:rsidRDefault="00886E97" w:rsidP="00CC3C8E">
      <w:pPr>
        <w:pStyle w:val="Heading1Numbered"/>
        <w:spacing w:before="720" w:line="276" w:lineRule="auto"/>
        <w:contextualSpacing w:val="0"/>
      </w:pPr>
      <w:bookmarkStart w:id="133" w:name="_Toc421777623"/>
      <w:bookmarkStart w:id="134" w:name="_Toc467773984"/>
      <w:bookmarkStart w:id="135" w:name="_Toc531005215"/>
      <w:r>
        <w:t>13</w:t>
      </w:r>
      <w:r w:rsidR="00F64AC7">
        <w:t xml:space="preserve">. </w:t>
      </w:r>
      <w:r w:rsidR="00340616" w:rsidRPr="00B72EE8">
        <w:t xml:space="preserve">Delivery of </w:t>
      </w:r>
      <w:r w:rsidR="00340616">
        <w:t>g</w:t>
      </w:r>
      <w:r w:rsidR="00340616" w:rsidRPr="00B72EE8">
        <w:t>rant</w:t>
      </w:r>
      <w:r w:rsidR="00340616">
        <w:t xml:space="preserve"> activities</w:t>
      </w:r>
      <w:bookmarkEnd w:id="133"/>
      <w:bookmarkEnd w:id="134"/>
      <w:bookmarkEnd w:id="135"/>
    </w:p>
    <w:p w14:paraId="277391E0" w14:textId="77777777" w:rsidR="00A93517" w:rsidRDefault="00886E97" w:rsidP="00CC3C8E">
      <w:pPr>
        <w:pStyle w:val="Heading2Numbered"/>
        <w:spacing w:line="276" w:lineRule="auto"/>
        <w:ind w:left="709" w:hanging="709"/>
        <w:contextualSpacing w:val="0"/>
      </w:pPr>
      <w:bookmarkStart w:id="136" w:name="_Toc421777624"/>
      <w:bookmarkStart w:id="137" w:name="_Toc433641185"/>
      <w:bookmarkStart w:id="138" w:name="_Toc467773985"/>
      <w:bookmarkStart w:id="139" w:name="_Toc531005216"/>
      <w:r>
        <w:t>13</w:t>
      </w:r>
      <w:r w:rsidR="00F64AC7">
        <w:t xml:space="preserve">.1 </w:t>
      </w:r>
      <w:r w:rsidR="00E54637">
        <w:t>Grant recipients</w:t>
      </w:r>
      <w:r w:rsidR="00340616" w:rsidRPr="00B72EE8" w:rsidDel="00D505A5">
        <w:t xml:space="preserve"> responsibilities</w:t>
      </w:r>
      <w:bookmarkEnd w:id="136"/>
      <w:bookmarkEnd w:id="137"/>
      <w:bookmarkEnd w:id="138"/>
      <w:bookmarkEnd w:id="139"/>
    </w:p>
    <w:p w14:paraId="17B010E0" w14:textId="77777777" w:rsidR="00A93517" w:rsidRDefault="00E54637" w:rsidP="00833B56">
      <w:pPr>
        <w:pStyle w:val="Bullet1"/>
        <w:numPr>
          <w:ilvl w:val="0"/>
          <w:numId w:val="0"/>
        </w:numPr>
        <w:spacing w:line="276" w:lineRule="auto"/>
      </w:pPr>
      <w:r>
        <w:t>Grant recipients</w:t>
      </w:r>
      <w:r w:rsidR="00A93517" w:rsidRPr="00310249" w:rsidDel="00D505A5">
        <w:t xml:space="preserve"> </w:t>
      </w:r>
      <w:r w:rsidR="00A93517" w:rsidRPr="00310249">
        <w:t>will be</w:t>
      </w:r>
      <w:r w:rsidR="00A93517" w:rsidRPr="00310249" w:rsidDel="00D505A5">
        <w:t xml:space="preserve"> responsible for:</w:t>
      </w:r>
    </w:p>
    <w:p w14:paraId="58841453" w14:textId="7534023D" w:rsidR="00A93517" w:rsidRPr="009139C6" w:rsidRDefault="00A93517" w:rsidP="00EC3661">
      <w:pPr>
        <w:pStyle w:val="ListParagraph"/>
        <w:numPr>
          <w:ilvl w:val="0"/>
          <w:numId w:val="29"/>
        </w:numPr>
        <w:spacing w:after="120"/>
        <w:ind w:left="283" w:hanging="283"/>
        <w:rPr>
          <w:rFonts w:asciiTheme="minorHAnsi" w:hAnsiTheme="minorHAnsi" w:cstheme="minorHAnsi"/>
        </w:rPr>
      </w:pPr>
      <w:r w:rsidRPr="009139C6">
        <w:rPr>
          <w:rFonts w:asciiTheme="minorHAnsi" w:hAnsiTheme="minorHAnsi" w:cstheme="minorHAnsi"/>
        </w:rPr>
        <w:t>Submitting reports in line with the tim</w:t>
      </w:r>
      <w:r w:rsidR="00217DC4">
        <w:rPr>
          <w:rFonts w:asciiTheme="minorHAnsi" w:hAnsiTheme="minorHAnsi" w:cstheme="minorHAnsi"/>
        </w:rPr>
        <w:t xml:space="preserve">eframes specified in the </w:t>
      </w:r>
      <w:r w:rsidR="001D5020">
        <w:rPr>
          <w:rFonts w:asciiTheme="minorHAnsi" w:hAnsiTheme="minorHAnsi" w:cstheme="minorHAnsi"/>
        </w:rPr>
        <w:t>G</w:t>
      </w:r>
      <w:r w:rsidR="00217DC4">
        <w:rPr>
          <w:rFonts w:asciiTheme="minorHAnsi" w:hAnsiTheme="minorHAnsi" w:cstheme="minorHAnsi"/>
        </w:rPr>
        <w:t xml:space="preserve">rant </w:t>
      </w:r>
      <w:r w:rsidR="00414C25">
        <w:rPr>
          <w:rFonts w:asciiTheme="minorHAnsi" w:hAnsiTheme="minorHAnsi" w:cstheme="minorHAnsi"/>
        </w:rPr>
        <w:t>A</w:t>
      </w:r>
      <w:r w:rsidRPr="009139C6">
        <w:rPr>
          <w:rFonts w:asciiTheme="minorHAnsi" w:hAnsiTheme="minorHAnsi" w:cstheme="minorHAnsi"/>
        </w:rPr>
        <w:t>greement</w:t>
      </w:r>
      <w:r>
        <w:rPr>
          <w:rFonts w:asciiTheme="minorHAnsi" w:hAnsiTheme="minorHAnsi" w:cstheme="minorHAnsi"/>
        </w:rPr>
        <w:t xml:space="preserve"> and on the templates provided;</w:t>
      </w:r>
    </w:p>
    <w:p w14:paraId="5E0CA1C5" w14:textId="24FB6577" w:rsidR="00A93517" w:rsidRPr="00310249" w:rsidDel="00D505A5" w:rsidRDefault="006C5650" w:rsidP="00CC3C8E">
      <w:pPr>
        <w:pStyle w:val="Bullet1"/>
        <w:spacing w:before="0" w:after="120" w:line="276" w:lineRule="auto"/>
        <w:ind w:left="284"/>
      </w:pPr>
      <w:r>
        <w:t>M</w:t>
      </w:r>
      <w:r w:rsidRPr="00310249">
        <w:t>eeting</w:t>
      </w:r>
      <w:r w:rsidRPr="00310249" w:rsidDel="00D505A5">
        <w:t xml:space="preserve"> </w:t>
      </w:r>
      <w:r w:rsidR="00A93517" w:rsidRPr="00310249" w:rsidDel="00D505A5">
        <w:t xml:space="preserve">the terms and conditions of the </w:t>
      </w:r>
      <w:r w:rsidR="001D5020">
        <w:t>G</w:t>
      </w:r>
      <w:r w:rsidR="00A93517" w:rsidRPr="00310249" w:rsidDel="00D505A5">
        <w:t xml:space="preserve">rant </w:t>
      </w:r>
      <w:r w:rsidR="00414C25">
        <w:t>A</w:t>
      </w:r>
      <w:r w:rsidR="00A93517" w:rsidRPr="00310249" w:rsidDel="00D505A5">
        <w:t xml:space="preserve">greement </w:t>
      </w:r>
      <w:r w:rsidR="00A93517" w:rsidRPr="00310249">
        <w:t>and managing the</w:t>
      </w:r>
      <w:r w:rsidR="00A93517" w:rsidRPr="00310249" w:rsidDel="00D505A5">
        <w:t xml:space="preserve"> activity efficient</w:t>
      </w:r>
      <w:r w:rsidR="00A93517" w:rsidRPr="00310249">
        <w:t>ly</w:t>
      </w:r>
      <w:r w:rsidR="00A93517" w:rsidRPr="00310249" w:rsidDel="00D505A5">
        <w:t xml:space="preserve"> and effective</w:t>
      </w:r>
      <w:r w:rsidR="00A93517" w:rsidRPr="00310249">
        <w:t>ly;</w:t>
      </w:r>
    </w:p>
    <w:p w14:paraId="25A6F8CE" w14:textId="7DFAA88C" w:rsidR="00A93517" w:rsidRPr="00310249" w:rsidDel="00D505A5" w:rsidRDefault="006C5650" w:rsidP="00CC3C8E">
      <w:pPr>
        <w:pStyle w:val="Bullet1"/>
        <w:spacing w:before="0" w:after="120" w:line="276" w:lineRule="auto"/>
        <w:ind w:left="284"/>
      </w:pPr>
      <w:r>
        <w:t>C</w:t>
      </w:r>
      <w:r w:rsidRPr="00310249" w:rsidDel="00D505A5">
        <w:t xml:space="preserve">omplying </w:t>
      </w:r>
      <w:r w:rsidR="00A93517" w:rsidRPr="00310249" w:rsidDel="00D505A5">
        <w:t xml:space="preserve">with record keeping, reporting and acquittal requirements </w:t>
      </w:r>
      <w:r w:rsidR="00217DC4">
        <w:t xml:space="preserve">as set out in the </w:t>
      </w:r>
      <w:r w:rsidR="001D5020">
        <w:t>G</w:t>
      </w:r>
      <w:r w:rsidR="00217DC4">
        <w:t xml:space="preserve">rant </w:t>
      </w:r>
      <w:r w:rsidR="00414C25">
        <w:t>A</w:t>
      </w:r>
      <w:r w:rsidR="00A93517" w:rsidRPr="00310249">
        <w:t>greement; and</w:t>
      </w:r>
    </w:p>
    <w:p w14:paraId="11A3C271" w14:textId="527F22F9" w:rsidR="00A93517" w:rsidRPr="00310249" w:rsidRDefault="006C5650" w:rsidP="00CC3C8E">
      <w:pPr>
        <w:pStyle w:val="Bullet1"/>
        <w:spacing w:before="0" w:after="120" w:line="276" w:lineRule="auto"/>
        <w:ind w:left="284"/>
      </w:pPr>
      <w:r>
        <w:t>P</w:t>
      </w:r>
      <w:r w:rsidRPr="00310249" w:rsidDel="00D505A5">
        <w:t xml:space="preserve">articipating </w:t>
      </w:r>
      <w:r w:rsidR="00A93517" w:rsidRPr="00310249" w:rsidDel="00D505A5">
        <w:t xml:space="preserve">in </w:t>
      </w:r>
      <w:r w:rsidR="00A93517" w:rsidRPr="00310249">
        <w:t>a grant program e</w:t>
      </w:r>
      <w:r w:rsidR="00A93517" w:rsidRPr="00310249" w:rsidDel="00D505A5">
        <w:t xml:space="preserve">valuation as </w:t>
      </w:r>
      <w:r w:rsidR="00217DC4">
        <w:t xml:space="preserve">specified in the </w:t>
      </w:r>
      <w:r w:rsidR="001D5020">
        <w:t>G</w:t>
      </w:r>
      <w:r w:rsidR="00217DC4">
        <w:t xml:space="preserve">rant </w:t>
      </w:r>
      <w:r w:rsidR="00414C25">
        <w:t>A</w:t>
      </w:r>
      <w:r w:rsidR="00A93517" w:rsidRPr="00310249">
        <w:t>greement.</w:t>
      </w:r>
    </w:p>
    <w:p w14:paraId="52672717" w14:textId="77777777" w:rsidR="00340616" w:rsidRPr="00886E97" w:rsidRDefault="00886E97" w:rsidP="00CC3C8E">
      <w:pPr>
        <w:pStyle w:val="Heading2Numbered"/>
        <w:spacing w:line="276" w:lineRule="auto"/>
        <w:ind w:left="709" w:hanging="709"/>
        <w:contextualSpacing w:val="0"/>
        <w:rPr>
          <w:color w:val="auto"/>
        </w:rPr>
      </w:pPr>
      <w:bookmarkStart w:id="140" w:name="_Toc420671454"/>
      <w:bookmarkStart w:id="141" w:name="_Toc433641186"/>
      <w:bookmarkStart w:id="142" w:name="_Toc467773986"/>
      <w:bookmarkStart w:id="143" w:name="_Toc531005217"/>
      <w:r>
        <w:rPr>
          <w:color w:val="auto"/>
        </w:rPr>
        <w:t>13</w:t>
      </w:r>
      <w:r w:rsidR="00F64AC7" w:rsidRPr="00886E97">
        <w:rPr>
          <w:color w:val="auto"/>
        </w:rPr>
        <w:t xml:space="preserve">.2 </w:t>
      </w:r>
      <w:r w:rsidR="00A93517" w:rsidRPr="00886E97">
        <w:rPr>
          <w:color w:val="auto"/>
        </w:rPr>
        <w:t>NDIA’s</w:t>
      </w:r>
      <w:r w:rsidR="00340616" w:rsidRPr="00886E97">
        <w:rPr>
          <w:color w:val="auto"/>
        </w:rPr>
        <w:t xml:space="preserve"> responsibilities</w:t>
      </w:r>
      <w:bookmarkEnd w:id="140"/>
      <w:bookmarkEnd w:id="141"/>
      <w:bookmarkEnd w:id="142"/>
      <w:bookmarkEnd w:id="143"/>
    </w:p>
    <w:p w14:paraId="5A53867B" w14:textId="77777777" w:rsidR="00A93517" w:rsidRPr="00310249" w:rsidRDefault="00A93517" w:rsidP="00833B56">
      <w:pPr>
        <w:spacing w:before="120" w:line="276" w:lineRule="auto"/>
      </w:pPr>
      <w:r w:rsidRPr="00310249">
        <w:t xml:space="preserve">The NDIA has responsibility for the day to day oversight of the CICD Program. For individual grants the NDIA will: </w:t>
      </w:r>
    </w:p>
    <w:p w14:paraId="515AF074" w14:textId="77777777" w:rsidR="00A93517" w:rsidRPr="00310249" w:rsidRDefault="00145941" w:rsidP="00EC3661">
      <w:pPr>
        <w:pStyle w:val="ListParagraph"/>
        <w:numPr>
          <w:ilvl w:val="0"/>
          <w:numId w:val="29"/>
        </w:numPr>
        <w:spacing w:after="120"/>
        <w:ind w:left="283" w:hanging="283"/>
        <w:rPr>
          <w:rFonts w:asciiTheme="minorHAnsi" w:hAnsiTheme="minorHAnsi" w:cstheme="minorHAnsi"/>
        </w:rPr>
      </w:pPr>
      <w:r>
        <w:rPr>
          <w:rFonts w:asciiTheme="minorHAnsi" w:hAnsiTheme="minorHAnsi" w:cstheme="minorHAnsi"/>
        </w:rPr>
        <w:t>I</w:t>
      </w:r>
      <w:r w:rsidR="00886E97">
        <w:rPr>
          <w:rFonts w:asciiTheme="minorHAnsi" w:hAnsiTheme="minorHAnsi" w:cstheme="minorHAnsi"/>
        </w:rPr>
        <w:t>dentify suitable a</w:t>
      </w:r>
      <w:r w:rsidR="00217DC4">
        <w:rPr>
          <w:rFonts w:asciiTheme="minorHAnsi" w:hAnsiTheme="minorHAnsi" w:cstheme="minorHAnsi"/>
        </w:rPr>
        <w:t>pplicants to deliver the a</w:t>
      </w:r>
      <w:r w:rsidR="00A93517" w:rsidRPr="00310249">
        <w:rPr>
          <w:rFonts w:asciiTheme="minorHAnsi" w:hAnsiTheme="minorHAnsi" w:cstheme="minorHAnsi"/>
        </w:rPr>
        <w:t>ctivities required as per these Grant Opportunity Guidelines;</w:t>
      </w:r>
    </w:p>
    <w:p w14:paraId="28C76ED4" w14:textId="77777777" w:rsidR="00A93517" w:rsidRPr="00310249" w:rsidRDefault="00145941" w:rsidP="00EC3661">
      <w:pPr>
        <w:pStyle w:val="ListParagraph"/>
        <w:numPr>
          <w:ilvl w:val="0"/>
          <w:numId w:val="29"/>
        </w:numPr>
        <w:spacing w:after="120"/>
        <w:ind w:left="283" w:hanging="283"/>
        <w:rPr>
          <w:rFonts w:asciiTheme="minorHAnsi" w:hAnsiTheme="minorHAnsi" w:cstheme="minorHAnsi"/>
        </w:rPr>
      </w:pPr>
      <w:r>
        <w:rPr>
          <w:rFonts w:asciiTheme="minorHAnsi" w:hAnsiTheme="minorHAnsi" w:cstheme="minorHAnsi"/>
        </w:rPr>
        <w:t>A</w:t>
      </w:r>
      <w:r w:rsidRPr="00310249">
        <w:rPr>
          <w:rFonts w:asciiTheme="minorHAnsi" w:hAnsiTheme="minorHAnsi" w:cstheme="minorHAnsi"/>
        </w:rPr>
        <w:t xml:space="preserve">dminister </w:t>
      </w:r>
      <w:r w:rsidR="00A93517" w:rsidRPr="00310249">
        <w:rPr>
          <w:rFonts w:asciiTheme="minorHAnsi" w:hAnsiTheme="minorHAnsi" w:cstheme="minorHAnsi"/>
        </w:rPr>
        <w:t xml:space="preserve">the CICD Program in a professional and effective manner, and in accordance with applicable legislation (e.g. </w:t>
      </w:r>
      <w:r w:rsidR="00A93517" w:rsidRPr="00217DC4">
        <w:rPr>
          <w:rFonts w:asciiTheme="minorHAnsi" w:hAnsiTheme="minorHAnsi" w:cstheme="minorHAnsi"/>
          <w:i/>
        </w:rPr>
        <w:t>the National Disability Insurance Scheme Act 2013, Public Governance Performance Accountability Act 2013, Commonwealth Grant Rules and Guidelines</w:t>
      </w:r>
      <w:r w:rsidR="00A93517" w:rsidRPr="00310249">
        <w:rPr>
          <w:rFonts w:asciiTheme="minorHAnsi" w:hAnsiTheme="minorHAnsi" w:cstheme="minorHAnsi"/>
        </w:rPr>
        <w:t>);</w:t>
      </w:r>
    </w:p>
    <w:p w14:paraId="05F388F2" w14:textId="77777777" w:rsidR="00A93517" w:rsidRPr="00310249" w:rsidRDefault="00145941" w:rsidP="00EC3661">
      <w:pPr>
        <w:pStyle w:val="ListParagraph"/>
        <w:numPr>
          <w:ilvl w:val="0"/>
          <w:numId w:val="29"/>
        </w:numPr>
        <w:spacing w:after="120"/>
        <w:ind w:left="283" w:hanging="283"/>
        <w:rPr>
          <w:rFonts w:asciiTheme="minorHAnsi" w:hAnsiTheme="minorHAnsi" w:cstheme="minorHAnsi"/>
        </w:rPr>
      </w:pPr>
      <w:r>
        <w:rPr>
          <w:rFonts w:asciiTheme="minorHAnsi" w:hAnsiTheme="minorHAnsi" w:cstheme="minorHAnsi"/>
        </w:rPr>
        <w:t xml:space="preserve">Work </w:t>
      </w:r>
      <w:r w:rsidR="00217DC4">
        <w:rPr>
          <w:rFonts w:asciiTheme="minorHAnsi" w:hAnsiTheme="minorHAnsi" w:cstheme="minorHAnsi"/>
        </w:rPr>
        <w:t>with grant r</w:t>
      </w:r>
      <w:r w:rsidR="00A93517" w:rsidRPr="00310249">
        <w:rPr>
          <w:rFonts w:asciiTheme="minorHAnsi" w:hAnsiTheme="minorHAnsi" w:cstheme="minorHAnsi"/>
        </w:rPr>
        <w:t xml:space="preserve">ecipients to ensure the CICD Program is implemented to agreed standards and within the approved budget and timeframe; </w:t>
      </w:r>
    </w:p>
    <w:p w14:paraId="6AD95BCA" w14:textId="77777777" w:rsidR="00A93517" w:rsidRPr="00310249" w:rsidRDefault="00145941" w:rsidP="00EC3661">
      <w:pPr>
        <w:pStyle w:val="ListParagraph"/>
        <w:numPr>
          <w:ilvl w:val="0"/>
          <w:numId w:val="29"/>
        </w:numPr>
        <w:spacing w:after="120"/>
        <w:ind w:left="283" w:hanging="283"/>
        <w:rPr>
          <w:rFonts w:asciiTheme="minorHAnsi" w:hAnsiTheme="minorHAnsi" w:cstheme="minorHAnsi"/>
        </w:rPr>
      </w:pPr>
      <w:r>
        <w:rPr>
          <w:rFonts w:asciiTheme="minorHAnsi" w:hAnsiTheme="minorHAnsi" w:cstheme="minorHAnsi"/>
        </w:rPr>
        <w:t>I</w:t>
      </w:r>
      <w:r w:rsidRPr="00310249">
        <w:rPr>
          <w:rFonts w:asciiTheme="minorHAnsi" w:hAnsiTheme="minorHAnsi" w:cstheme="minorHAnsi"/>
        </w:rPr>
        <w:t xml:space="preserve">n </w:t>
      </w:r>
      <w:r w:rsidR="00A93517" w:rsidRPr="00310249">
        <w:rPr>
          <w:rFonts w:asciiTheme="minorHAnsi" w:hAnsiTheme="minorHAnsi" w:cstheme="minorHAnsi"/>
        </w:rPr>
        <w:t>approving activities for funding, ensure that relevant outco</w:t>
      </w:r>
      <w:r w:rsidR="00C46191">
        <w:rPr>
          <w:rFonts w:asciiTheme="minorHAnsi" w:hAnsiTheme="minorHAnsi" w:cstheme="minorHAnsi"/>
        </w:rPr>
        <w:t>mes expressed within these ILC Grant O</w:t>
      </w:r>
      <w:r w:rsidR="00A93517" w:rsidRPr="00310249">
        <w:rPr>
          <w:rFonts w:asciiTheme="minorHAnsi" w:hAnsiTheme="minorHAnsi" w:cstheme="minorHAnsi"/>
        </w:rPr>
        <w:t xml:space="preserve">pportunity </w:t>
      </w:r>
      <w:r w:rsidR="00C46191">
        <w:rPr>
          <w:rFonts w:asciiTheme="minorHAnsi" w:hAnsiTheme="minorHAnsi" w:cstheme="minorHAnsi"/>
        </w:rPr>
        <w:t>G</w:t>
      </w:r>
      <w:r w:rsidR="00A93517" w:rsidRPr="00310249">
        <w:rPr>
          <w:rFonts w:asciiTheme="minorHAnsi" w:hAnsiTheme="minorHAnsi" w:cstheme="minorHAnsi"/>
        </w:rPr>
        <w:t>uidelines are achieved;</w:t>
      </w:r>
    </w:p>
    <w:p w14:paraId="2FA35735" w14:textId="77777777" w:rsidR="00A93517" w:rsidRPr="00310249" w:rsidRDefault="00145941" w:rsidP="00EC3661">
      <w:pPr>
        <w:pStyle w:val="ListParagraph"/>
        <w:numPr>
          <w:ilvl w:val="0"/>
          <w:numId w:val="29"/>
        </w:numPr>
        <w:spacing w:after="120"/>
        <w:ind w:left="283" w:hanging="283"/>
        <w:rPr>
          <w:rFonts w:asciiTheme="minorHAnsi" w:hAnsiTheme="minorHAnsi" w:cstheme="minorHAnsi"/>
        </w:rPr>
      </w:pPr>
      <w:r>
        <w:rPr>
          <w:rFonts w:asciiTheme="minorHAnsi" w:hAnsiTheme="minorHAnsi" w:cstheme="minorHAnsi"/>
        </w:rPr>
        <w:t>W</w:t>
      </w:r>
      <w:r w:rsidRPr="00310249">
        <w:rPr>
          <w:rFonts w:asciiTheme="minorHAnsi" w:hAnsiTheme="minorHAnsi" w:cstheme="minorHAnsi"/>
        </w:rPr>
        <w:t xml:space="preserve">ork </w:t>
      </w:r>
      <w:r w:rsidR="00A93517" w:rsidRPr="00310249">
        <w:rPr>
          <w:rFonts w:asciiTheme="minorHAnsi" w:hAnsiTheme="minorHAnsi" w:cstheme="minorHAnsi"/>
        </w:rPr>
        <w:t>to ensure that the outcomes contained within the CICD Program Guidelines are being met and evaluate the organisa</w:t>
      </w:r>
      <w:r w:rsidR="00217DC4">
        <w:rPr>
          <w:rFonts w:asciiTheme="minorHAnsi" w:hAnsiTheme="minorHAnsi" w:cstheme="minorHAnsi"/>
        </w:rPr>
        <w:t>tion’s performance against the a</w:t>
      </w:r>
      <w:r w:rsidR="00A93517" w:rsidRPr="00310249">
        <w:rPr>
          <w:rFonts w:asciiTheme="minorHAnsi" w:hAnsiTheme="minorHAnsi" w:cstheme="minorHAnsi"/>
        </w:rPr>
        <w:t>ctivity outcomes;</w:t>
      </w:r>
    </w:p>
    <w:p w14:paraId="28556BCA" w14:textId="77777777" w:rsidR="00A93517" w:rsidRPr="00310249" w:rsidRDefault="00145941" w:rsidP="00EC3661">
      <w:pPr>
        <w:pStyle w:val="ListParagraph"/>
        <w:numPr>
          <w:ilvl w:val="0"/>
          <w:numId w:val="29"/>
        </w:numPr>
        <w:spacing w:after="120"/>
        <w:ind w:left="283" w:hanging="283"/>
        <w:rPr>
          <w:rFonts w:asciiTheme="minorHAnsi" w:hAnsiTheme="minorHAnsi" w:cstheme="minorHAnsi"/>
        </w:rPr>
      </w:pPr>
      <w:r>
        <w:rPr>
          <w:rFonts w:asciiTheme="minorHAnsi" w:hAnsiTheme="minorHAnsi" w:cstheme="minorHAnsi"/>
        </w:rPr>
        <w:t>P</w:t>
      </w:r>
      <w:r w:rsidRPr="00310249">
        <w:rPr>
          <w:rFonts w:asciiTheme="minorHAnsi" w:hAnsiTheme="minorHAnsi" w:cstheme="minorHAnsi"/>
        </w:rPr>
        <w:t xml:space="preserve">ublish </w:t>
      </w:r>
      <w:r w:rsidR="00A93517" w:rsidRPr="00310249">
        <w:rPr>
          <w:rFonts w:asciiTheme="minorHAnsi" w:hAnsiTheme="minorHAnsi" w:cstheme="minorHAnsi"/>
        </w:rPr>
        <w:t>information on the successful grants on the NDIS website;</w:t>
      </w:r>
    </w:p>
    <w:p w14:paraId="7014EE8F" w14:textId="77777777" w:rsidR="00A93517" w:rsidRPr="00310249" w:rsidRDefault="00145941" w:rsidP="00EC3661">
      <w:pPr>
        <w:pStyle w:val="ListParagraph"/>
        <w:numPr>
          <w:ilvl w:val="0"/>
          <w:numId w:val="29"/>
        </w:numPr>
        <w:spacing w:after="120"/>
        <w:ind w:left="283" w:hanging="283"/>
        <w:rPr>
          <w:rFonts w:asciiTheme="minorHAnsi" w:hAnsiTheme="minorHAnsi" w:cstheme="minorHAnsi"/>
        </w:rPr>
      </w:pPr>
      <w:r>
        <w:rPr>
          <w:rFonts w:asciiTheme="minorHAnsi" w:hAnsiTheme="minorHAnsi" w:cstheme="minorHAnsi"/>
        </w:rPr>
        <w:t>M</w:t>
      </w:r>
      <w:r w:rsidRPr="00310249">
        <w:rPr>
          <w:rFonts w:asciiTheme="minorHAnsi" w:hAnsiTheme="minorHAnsi" w:cstheme="minorHAnsi"/>
        </w:rPr>
        <w:t xml:space="preserve">onitor </w:t>
      </w:r>
      <w:r w:rsidR="00A93517" w:rsidRPr="00310249">
        <w:rPr>
          <w:rFonts w:asciiTheme="minorHAnsi" w:hAnsiTheme="minorHAnsi" w:cstheme="minorHAnsi"/>
        </w:rPr>
        <w:t>the progress of project by assessing submitted reports;</w:t>
      </w:r>
    </w:p>
    <w:p w14:paraId="6E10DD68" w14:textId="77777777" w:rsidR="00A93517" w:rsidRPr="00310249" w:rsidRDefault="00145941" w:rsidP="00EC3661">
      <w:pPr>
        <w:pStyle w:val="ListParagraph"/>
        <w:numPr>
          <w:ilvl w:val="0"/>
          <w:numId w:val="29"/>
        </w:numPr>
        <w:spacing w:after="120"/>
        <w:ind w:left="283" w:hanging="283"/>
        <w:rPr>
          <w:rFonts w:asciiTheme="minorHAnsi" w:hAnsiTheme="minorHAnsi" w:cstheme="minorHAnsi"/>
        </w:rPr>
      </w:pPr>
      <w:r>
        <w:rPr>
          <w:rFonts w:asciiTheme="minorHAnsi" w:hAnsiTheme="minorHAnsi" w:cstheme="minorHAnsi"/>
        </w:rPr>
        <w:lastRenderedPageBreak/>
        <w:t>C</w:t>
      </w:r>
      <w:r w:rsidRPr="00310249">
        <w:rPr>
          <w:rFonts w:asciiTheme="minorHAnsi" w:hAnsiTheme="minorHAnsi" w:cstheme="minorHAnsi"/>
        </w:rPr>
        <w:t xml:space="preserve">onduct </w:t>
      </w:r>
      <w:r w:rsidR="00A93517" w:rsidRPr="005D7563">
        <w:rPr>
          <w:rFonts w:asciiTheme="minorHAnsi" w:hAnsiTheme="minorHAnsi" w:cstheme="minorHAnsi"/>
        </w:rPr>
        <w:t>site visits to confirm details of reports if necessary;</w:t>
      </w:r>
      <w:r w:rsidR="00A93517" w:rsidRPr="00310249">
        <w:rPr>
          <w:rFonts w:asciiTheme="minorHAnsi" w:hAnsiTheme="minorHAnsi" w:cstheme="minorHAnsi"/>
        </w:rPr>
        <w:t xml:space="preserve"> </w:t>
      </w:r>
    </w:p>
    <w:p w14:paraId="180AC98F" w14:textId="77777777" w:rsidR="00A93517" w:rsidRPr="00310249" w:rsidRDefault="00145941" w:rsidP="00EC3661">
      <w:pPr>
        <w:pStyle w:val="ListParagraph"/>
        <w:numPr>
          <w:ilvl w:val="0"/>
          <w:numId w:val="29"/>
        </w:numPr>
        <w:spacing w:after="120"/>
        <w:ind w:left="283" w:hanging="283"/>
        <w:rPr>
          <w:rFonts w:asciiTheme="minorHAnsi" w:hAnsiTheme="minorHAnsi" w:cstheme="minorHAnsi"/>
        </w:rPr>
      </w:pPr>
      <w:r>
        <w:rPr>
          <w:rFonts w:asciiTheme="minorHAnsi" w:hAnsiTheme="minorHAnsi" w:cstheme="minorHAnsi"/>
        </w:rPr>
        <w:t>O</w:t>
      </w:r>
      <w:r w:rsidRPr="00310249">
        <w:rPr>
          <w:rFonts w:asciiTheme="minorHAnsi" w:hAnsiTheme="minorHAnsi" w:cstheme="minorHAnsi"/>
        </w:rPr>
        <w:t>ccasionally</w:t>
      </w:r>
      <w:r w:rsidR="00A93517" w:rsidRPr="00310249">
        <w:rPr>
          <w:rFonts w:asciiTheme="minorHAnsi" w:hAnsiTheme="minorHAnsi" w:cstheme="minorHAnsi"/>
        </w:rPr>
        <w:t>, where required, re-examine claims, seek further information or request an independent audit of claims and payments;</w:t>
      </w:r>
      <w:r w:rsidR="00886E97">
        <w:rPr>
          <w:rFonts w:asciiTheme="minorHAnsi" w:hAnsiTheme="minorHAnsi" w:cstheme="minorHAnsi"/>
        </w:rPr>
        <w:t xml:space="preserve"> and</w:t>
      </w:r>
    </w:p>
    <w:p w14:paraId="70E32047" w14:textId="70EEACF5" w:rsidR="00340616" w:rsidRPr="00A93517" w:rsidRDefault="00145941" w:rsidP="00EC3661">
      <w:pPr>
        <w:pStyle w:val="ListParagraph"/>
        <w:numPr>
          <w:ilvl w:val="0"/>
          <w:numId w:val="29"/>
        </w:numPr>
        <w:spacing w:after="120"/>
        <w:ind w:left="283" w:hanging="283"/>
        <w:rPr>
          <w:rFonts w:asciiTheme="minorHAnsi" w:hAnsiTheme="minorHAnsi" w:cstheme="minorHAnsi"/>
        </w:rPr>
      </w:pPr>
      <w:r>
        <w:rPr>
          <w:rFonts w:asciiTheme="minorHAnsi" w:hAnsiTheme="minorHAnsi" w:cstheme="minorHAnsi"/>
        </w:rPr>
        <w:t>E</w:t>
      </w:r>
      <w:r w:rsidRPr="00310249">
        <w:rPr>
          <w:rFonts w:asciiTheme="minorHAnsi" w:hAnsiTheme="minorHAnsi" w:cstheme="minorHAnsi"/>
        </w:rPr>
        <w:t xml:space="preserve">valuate </w:t>
      </w:r>
      <w:r w:rsidR="00A93517" w:rsidRPr="00310249">
        <w:rPr>
          <w:rFonts w:asciiTheme="minorHAnsi" w:hAnsiTheme="minorHAnsi" w:cstheme="minorHAnsi"/>
        </w:rPr>
        <w:t>the CICD Grant program to measure how well the outcomes and objectives have been achieved. The</w:t>
      </w:r>
      <w:r w:rsidR="00217DC4">
        <w:rPr>
          <w:rFonts w:asciiTheme="minorHAnsi" w:hAnsiTheme="minorHAnsi" w:cstheme="minorHAnsi"/>
        </w:rPr>
        <w:t xml:space="preserve"> </w:t>
      </w:r>
      <w:r w:rsidR="001D5020">
        <w:rPr>
          <w:rFonts w:asciiTheme="minorHAnsi" w:hAnsiTheme="minorHAnsi" w:cstheme="minorHAnsi"/>
        </w:rPr>
        <w:t>G</w:t>
      </w:r>
      <w:r w:rsidR="00217DC4">
        <w:rPr>
          <w:rFonts w:asciiTheme="minorHAnsi" w:hAnsiTheme="minorHAnsi" w:cstheme="minorHAnsi"/>
        </w:rPr>
        <w:t xml:space="preserve">rant </w:t>
      </w:r>
      <w:r w:rsidR="00414C25">
        <w:rPr>
          <w:rFonts w:asciiTheme="minorHAnsi" w:hAnsiTheme="minorHAnsi" w:cstheme="minorHAnsi"/>
        </w:rPr>
        <w:t>A</w:t>
      </w:r>
      <w:r w:rsidR="00217DC4">
        <w:rPr>
          <w:rFonts w:asciiTheme="minorHAnsi" w:hAnsiTheme="minorHAnsi" w:cstheme="minorHAnsi"/>
        </w:rPr>
        <w:t>greement will require grant r</w:t>
      </w:r>
      <w:r w:rsidR="00A93517" w:rsidRPr="00310249">
        <w:rPr>
          <w:rFonts w:asciiTheme="minorHAnsi" w:hAnsiTheme="minorHAnsi" w:cstheme="minorHAnsi"/>
        </w:rPr>
        <w:t>ecipients to provide information to help with this evaluation.</w:t>
      </w:r>
    </w:p>
    <w:p w14:paraId="545A3FE0" w14:textId="77777777" w:rsidR="00340616" w:rsidRPr="00B72EE8" w:rsidRDefault="00886E97" w:rsidP="00CC3C8E">
      <w:pPr>
        <w:pStyle w:val="Heading2Numbered"/>
        <w:spacing w:line="276" w:lineRule="auto"/>
        <w:ind w:left="709" w:hanging="709"/>
        <w:contextualSpacing w:val="0"/>
      </w:pPr>
      <w:bookmarkStart w:id="144" w:name="_Toc421777626"/>
      <w:bookmarkStart w:id="145" w:name="_Toc467773987"/>
      <w:bookmarkStart w:id="146" w:name="_Toc433641188"/>
      <w:bookmarkStart w:id="147" w:name="_Toc531005218"/>
      <w:r>
        <w:t>13</w:t>
      </w:r>
      <w:r w:rsidR="00F64AC7">
        <w:t xml:space="preserve">.3 </w:t>
      </w:r>
      <w:r w:rsidR="00340616">
        <w:t>Grant p</w:t>
      </w:r>
      <w:r w:rsidR="00340616" w:rsidRPr="00B72EE8">
        <w:t>ayments</w:t>
      </w:r>
      <w:bookmarkEnd w:id="144"/>
      <w:r w:rsidR="00340616">
        <w:t xml:space="preserve"> and GST</w:t>
      </w:r>
      <w:bookmarkEnd w:id="145"/>
      <w:bookmarkEnd w:id="147"/>
      <w:r w:rsidR="00340616">
        <w:t xml:space="preserve"> </w:t>
      </w:r>
      <w:bookmarkEnd w:id="146"/>
    </w:p>
    <w:p w14:paraId="2551466C" w14:textId="58A0932B" w:rsidR="00032A9A" w:rsidRDefault="00340616" w:rsidP="00CC3C8E">
      <w:pPr>
        <w:spacing w:before="0" w:after="120" w:line="276" w:lineRule="auto"/>
        <w:rPr>
          <w:color w:val="745B00" w:themeColor="accent3" w:themeShade="80"/>
        </w:rPr>
      </w:pPr>
      <w:r>
        <w:t>P</w:t>
      </w:r>
      <w:r w:rsidRPr="00B72EE8">
        <w:t xml:space="preserve">ayments </w:t>
      </w:r>
      <w:r>
        <w:t xml:space="preserve">will be made as set out in </w:t>
      </w:r>
      <w:r w:rsidRPr="00B72EE8">
        <w:t>the</w:t>
      </w:r>
      <w:r>
        <w:t xml:space="preserve"> </w:t>
      </w:r>
      <w:r w:rsidR="00414C25">
        <w:t>G</w:t>
      </w:r>
      <w:r>
        <w:t xml:space="preserve">rant </w:t>
      </w:r>
      <w:r w:rsidR="00414C25">
        <w:t>A</w:t>
      </w:r>
      <w:r>
        <w:t>greement</w:t>
      </w:r>
      <w:r w:rsidRPr="00726710">
        <w:rPr>
          <w:color w:val="745B00" w:themeColor="accent3" w:themeShade="80"/>
        </w:rPr>
        <w:t xml:space="preserve">. </w:t>
      </w:r>
    </w:p>
    <w:p w14:paraId="3A07731A" w14:textId="77777777" w:rsidR="00DC408F" w:rsidRDefault="002334DF" w:rsidP="00CC3C8E">
      <w:pPr>
        <w:spacing w:before="0" w:after="120" w:line="276" w:lineRule="auto"/>
      </w:pPr>
      <w:r w:rsidRPr="000F4F32">
        <w:t xml:space="preserve">If </w:t>
      </w:r>
      <w:r>
        <w:t>the successful applicant</w:t>
      </w:r>
      <w:r w:rsidRPr="000F4F32">
        <w:t xml:space="preserve"> has indicated that it is registered for GST, </w:t>
      </w:r>
      <w:r w:rsidR="00DC408F" w:rsidRPr="000F4F32">
        <w:t xml:space="preserve">a </w:t>
      </w:r>
      <w:r w:rsidR="00DC408F">
        <w:t xml:space="preserve">GST </w:t>
      </w:r>
      <w:r w:rsidR="00DC408F" w:rsidRPr="000F4F32">
        <w:t xml:space="preserve">payment of 10% of the value of the grant will be </w:t>
      </w:r>
      <w:r w:rsidR="00DC408F">
        <w:t>added to the grant amount requested</w:t>
      </w:r>
      <w:r w:rsidR="00DC408F" w:rsidRPr="000F4F32">
        <w:t>.</w:t>
      </w:r>
    </w:p>
    <w:p w14:paraId="4AD78C6E" w14:textId="77777777" w:rsidR="002334DF" w:rsidRDefault="002334DF" w:rsidP="00CC3C8E">
      <w:pPr>
        <w:spacing w:before="0" w:after="120" w:line="276" w:lineRule="auto"/>
        <w:rPr>
          <w:color w:val="745B00" w:themeColor="accent3" w:themeShade="80"/>
        </w:rPr>
      </w:pPr>
      <w:r>
        <w:t xml:space="preserve">Organisations that are not registered for GST at the time of signing the Grant Agreement will not be paid a GST </w:t>
      </w:r>
      <w:r w:rsidR="00ED748E">
        <w:t>component</w:t>
      </w:r>
      <w:r>
        <w:t>.</w:t>
      </w:r>
    </w:p>
    <w:p w14:paraId="4A332596" w14:textId="23F95025" w:rsidR="00DC408F" w:rsidRPr="00DC408F" w:rsidRDefault="00ED748E" w:rsidP="00DC408F">
      <w:pPr>
        <w:spacing w:before="0" w:after="120" w:line="276" w:lineRule="auto"/>
        <w:rPr>
          <w:color w:val="000000" w:themeColor="text1"/>
        </w:rPr>
      </w:pPr>
      <w:r w:rsidRPr="00731989">
        <w:rPr>
          <w:color w:val="000000" w:themeColor="text1"/>
        </w:rPr>
        <w:t xml:space="preserve">It is the responsibility of the applicant to manage its obligations for registration for GST as set by the Australian Taxation </w:t>
      </w:r>
      <w:r w:rsidR="004F61C3" w:rsidRPr="00731989">
        <w:rPr>
          <w:color w:val="000000" w:themeColor="text1"/>
        </w:rPr>
        <w:t>O</w:t>
      </w:r>
      <w:r w:rsidRPr="00731989">
        <w:rPr>
          <w:color w:val="000000" w:themeColor="text1"/>
        </w:rPr>
        <w:t xml:space="preserve">ffice. This includes </w:t>
      </w:r>
      <w:r w:rsidR="00E26329" w:rsidRPr="00731989">
        <w:rPr>
          <w:color w:val="000000" w:themeColor="text1"/>
        </w:rPr>
        <w:t>registering for GST if the organisation’s income as a result of</w:t>
      </w:r>
      <w:r w:rsidRPr="00731989">
        <w:rPr>
          <w:color w:val="000000" w:themeColor="text1"/>
        </w:rPr>
        <w:t xml:space="preserve"> success in </w:t>
      </w:r>
      <w:r w:rsidR="00E26329" w:rsidRPr="00731989">
        <w:rPr>
          <w:color w:val="000000" w:themeColor="text1"/>
        </w:rPr>
        <w:t xml:space="preserve">a </w:t>
      </w:r>
      <w:r w:rsidRPr="00731989">
        <w:rPr>
          <w:color w:val="000000" w:themeColor="text1"/>
        </w:rPr>
        <w:t>grant round</w:t>
      </w:r>
      <w:r w:rsidR="00E26329" w:rsidRPr="00731989">
        <w:rPr>
          <w:color w:val="000000" w:themeColor="text1"/>
        </w:rPr>
        <w:t xml:space="preserve"> exceed the thresholds set by the </w:t>
      </w:r>
      <w:r w:rsidR="004F61C3" w:rsidRPr="00731989">
        <w:rPr>
          <w:color w:val="000000" w:themeColor="text1"/>
        </w:rPr>
        <w:t>Australian Taxation office</w:t>
      </w:r>
      <w:r w:rsidRPr="00731989">
        <w:rPr>
          <w:color w:val="000000" w:themeColor="text1"/>
        </w:rPr>
        <w:t xml:space="preserve">. </w:t>
      </w:r>
      <w:r w:rsidR="00DC408F">
        <w:t>Note that organisations need to be registered for GST if their total turnover thresholds reaches and exceeds $75</w:t>
      </w:r>
      <w:r w:rsidR="005B632B">
        <w:t>,000</w:t>
      </w:r>
      <w:r w:rsidR="00DC408F">
        <w:t xml:space="preserve"> individual, $150</w:t>
      </w:r>
      <w:r w:rsidR="005B632B">
        <w:t>,000</w:t>
      </w:r>
      <w:r w:rsidR="00DC408F">
        <w:t xml:space="preserve"> not-for profit. Total GST turnover also includes grant funding. </w:t>
      </w:r>
    </w:p>
    <w:p w14:paraId="2735CC3A" w14:textId="169F7356" w:rsidR="00464949" w:rsidRDefault="00464949" w:rsidP="00CC3C8E">
      <w:pPr>
        <w:spacing w:after="120" w:line="276" w:lineRule="auto"/>
      </w:pPr>
      <w:r>
        <w:t xml:space="preserve">The GST status of the organisation at the time of execution of the </w:t>
      </w:r>
      <w:r w:rsidR="00414C25">
        <w:t>G</w:t>
      </w:r>
      <w:r>
        <w:t xml:space="preserve">rant </w:t>
      </w:r>
      <w:r w:rsidR="00414C25">
        <w:t>A</w:t>
      </w:r>
      <w:r>
        <w:t xml:space="preserve">greement will hold throughout the term of the grant. The NDIA is not obligated to pay a GST component to applicants who have registered for GST following execution of the </w:t>
      </w:r>
      <w:r w:rsidR="00414C25">
        <w:t>G</w:t>
      </w:r>
      <w:r>
        <w:t xml:space="preserve">rant </w:t>
      </w:r>
      <w:r w:rsidR="00414C25">
        <w:t>A</w:t>
      </w:r>
      <w:r>
        <w:t>greement.</w:t>
      </w:r>
    </w:p>
    <w:p w14:paraId="55E893A7" w14:textId="77777777" w:rsidR="00340616" w:rsidRPr="008B782D" w:rsidRDefault="00340616" w:rsidP="00833B56">
      <w:pPr>
        <w:spacing w:line="276" w:lineRule="auto"/>
      </w:pPr>
      <w:r w:rsidRPr="008B782D">
        <w:t xml:space="preserve">Before any payments are made, </w:t>
      </w:r>
      <w:r w:rsidR="003A1B46">
        <w:t>the Grant Recipient</w:t>
      </w:r>
      <w:r w:rsidRPr="008B782D">
        <w:t xml:space="preserve"> </w:t>
      </w:r>
      <w:r w:rsidR="00833B56">
        <w:t>will be requested to</w:t>
      </w:r>
      <w:r w:rsidRPr="008B782D">
        <w:t xml:space="preserve"> provide:</w:t>
      </w:r>
    </w:p>
    <w:p w14:paraId="56754B8D" w14:textId="77777777" w:rsidR="00340616" w:rsidRPr="00B72EE8" w:rsidRDefault="00145941" w:rsidP="00CC3C8E">
      <w:pPr>
        <w:pStyle w:val="Bullet1"/>
        <w:spacing w:before="0" w:after="120" w:line="276" w:lineRule="auto"/>
      </w:pPr>
      <w:r>
        <w:t>E</w:t>
      </w:r>
      <w:r w:rsidRPr="00B72EE8">
        <w:t xml:space="preserve">vidence </w:t>
      </w:r>
      <w:r w:rsidR="00340616">
        <w:t xml:space="preserve">that </w:t>
      </w:r>
      <w:r w:rsidR="00B51177">
        <w:t>they</w:t>
      </w:r>
      <w:r w:rsidR="00340616">
        <w:t xml:space="preserve"> have achieved the associated milestone</w:t>
      </w:r>
      <w:r>
        <w:t>;</w:t>
      </w:r>
    </w:p>
    <w:p w14:paraId="6CE050EA" w14:textId="77777777" w:rsidR="00340616" w:rsidRPr="00B72EE8" w:rsidRDefault="00145941" w:rsidP="00CC3C8E">
      <w:pPr>
        <w:pStyle w:val="Bullet1"/>
        <w:spacing w:before="0" w:after="120" w:line="276" w:lineRule="auto"/>
      </w:pPr>
      <w:r>
        <w:t>A</w:t>
      </w:r>
      <w:r w:rsidRPr="00B72EE8">
        <w:t xml:space="preserve">ny </w:t>
      </w:r>
      <w:r w:rsidR="00340616" w:rsidRPr="00B72EE8">
        <w:t xml:space="preserve">other conditions of payment </w:t>
      </w:r>
      <w:r w:rsidR="00E26329">
        <w:t xml:space="preserve">set by the NDIA </w:t>
      </w:r>
      <w:r w:rsidR="00340616" w:rsidRPr="00B72EE8">
        <w:t>(e.g. evidence of purchase of equipment, satisfactory progress report, approvals,</w:t>
      </w:r>
      <w:r w:rsidR="00340616">
        <w:t xml:space="preserve"> and any</w:t>
      </w:r>
      <w:r w:rsidR="00340616" w:rsidRPr="00B72EE8">
        <w:t xml:space="preserve"> other documentation).</w:t>
      </w:r>
    </w:p>
    <w:p w14:paraId="748D0209" w14:textId="44DC086A" w:rsidR="00340616" w:rsidRPr="00DE3325" w:rsidRDefault="00340616" w:rsidP="00CC3C8E">
      <w:pPr>
        <w:spacing w:after="120" w:line="276" w:lineRule="auto"/>
      </w:pPr>
      <w:r w:rsidRPr="000715D5">
        <w:t xml:space="preserve">If </w:t>
      </w:r>
      <w:r w:rsidR="00B51177">
        <w:t>an applicant</w:t>
      </w:r>
      <w:r w:rsidRPr="000715D5">
        <w:t xml:space="preserve"> receive</w:t>
      </w:r>
      <w:r w:rsidR="00B51177">
        <w:t>s</w:t>
      </w:r>
      <w:r w:rsidRPr="000715D5">
        <w:t xml:space="preserve"> a grant,</w:t>
      </w:r>
      <w:r w:rsidRPr="00C44FAA">
        <w:t xml:space="preserve"> </w:t>
      </w:r>
      <w:r w:rsidR="00B51177">
        <w:t>they</w:t>
      </w:r>
      <w:r w:rsidRPr="00C44FAA">
        <w:t xml:space="preserve"> should consider speaking to a tax advisor </w:t>
      </w:r>
      <w:r w:rsidRPr="00433E7D">
        <w:t xml:space="preserve">about the effect of receiving a grant before </w:t>
      </w:r>
      <w:r w:rsidR="00B51177">
        <w:t>they</w:t>
      </w:r>
      <w:r w:rsidRPr="00433E7D">
        <w:t xml:space="preserve"> enter into a </w:t>
      </w:r>
      <w:r w:rsidR="00414C25">
        <w:t>G</w:t>
      </w:r>
      <w:r w:rsidRPr="00433E7D">
        <w:t xml:space="preserve">rant </w:t>
      </w:r>
      <w:r w:rsidR="00414C25">
        <w:t>A</w:t>
      </w:r>
      <w:r w:rsidRPr="00433E7D">
        <w:t xml:space="preserve">greement. </w:t>
      </w:r>
      <w:r w:rsidR="00B51177">
        <w:t>Applicants</w:t>
      </w:r>
      <w:r w:rsidRPr="00430E14">
        <w:t xml:space="preserve"> can also visit the</w:t>
      </w:r>
      <w:r w:rsidRPr="00C033CD">
        <w:t xml:space="preserve"> </w:t>
      </w:r>
      <w:hyperlink r:id="rId31" w:history="1">
        <w:r w:rsidRPr="00AE5A5C">
          <w:rPr>
            <w:rStyle w:val="Hyperlink"/>
            <w:rFonts w:cstheme="minorBidi"/>
          </w:rPr>
          <w:t>Australian Taxation Office website</w:t>
        </w:r>
      </w:hyperlink>
      <w:r w:rsidRPr="00E620C7">
        <w:t xml:space="preserve"> for more information.</w:t>
      </w:r>
    </w:p>
    <w:p w14:paraId="60941C29" w14:textId="77777777" w:rsidR="00340616" w:rsidRPr="00B72EE8" w:rsidRDefault="00464949" w:rsidP="00CC3C8E">
      <w:pPr>
        <w:pStyle w:val="Heading2Numbered"/>
        <w:spacing w:line="276" w:lineRule="auto"/>
        <w:contextualSpacing w:val="0"/>
      </w:pPr>
      <w:bookmarkStart w:id="148" w:name="_Toc421777629"/>
      <w:bookmarkStart w:id="149" w:name="_Toc467773988"/>
      <w:bookmarkStart w:id="150" w:name="_Toc531005219"/>
      <w:r>
        <w:t>13.4</w:t>
      </w:r>
      <w:r w:rsidR="00F64AC7">
        <w:t xml:space="preserve"> </w:t>
      </w:r>
      <w:r w:rsidR="00340616">
        <w:t>E</w:t>
      </w:r>
      <w:r w:rsidR="00340616" w:rsidRPr="00B72EE8">
        <w:t>valuation</w:t>
      </w:r>
      <w:bookmarkEnd w:id="148"/>
      <w:bookmarkEnd w:id="149"/>
      <w:bookmarkEnd w:id="150"/>
    </w:p>
    <w:p w14:paraId="2D094BB4" w14:textId="0E9BAD70" w:rsidR="00340616" w:rsidRDefault="00726710" w:rsidP="00CC3C8E">
      <w:pPr>
        <w:spacing w:before="0" w:after="120" w:line="276" w:lineRule="auto"/>
      </w:pPr>
      <w:r w:rsidRPr="00247F52">
        <w:rPr>
          <w:color w:val="000000" w:themeColor="text1"/>
        </w:rPr>
        <w:t>The</w:t>
      </w:r>
      <w:r w:rsidRPr="00247F52">
        <w:rPr>
          <w:b/>
          <w:color w:val="000000" w:themeColor="text1"/>
        </w:rPr>
        <w:t xml:space="preserve"> </w:t>
      </w:r>
      <w:r w:rsidR="000E3772" w:rsidRPr="00464949">
        <w:rPr>
          <w:color w:val="000000" w:themeColor="text1"/>
        </w:rPr>
        <w:t>NDIA</w:t>
      </w:r>
      <w:r w:rsidR="00340616" w:rsidRPr="00247F52">
        <w:rPr>
          <w:color w:val="000000" w:themeColor="text1"/>
        </w:rPr>
        <w:t xml:space="preserve"> will evaluate the </w:t>
      </w:r>
      <w:r w:rsidR="000E3772" w:rsidRPr="00247F52">
        <w:rPr>
          <w:color w:val="000000" w:themeColor="text1"/>
        </w:rPr>
        <w:t>gr</w:t>
      </w:r>
      <w:r w:rsidR="006C07BB">
        <w:rPr>
          <w:color w:val="000000" w:themeColor="text1"/>
        </w:rPr>
        <w:t>ants awarded through this ILC grant o</w:t>
      </w:r>
      <w:r w:rsidR="000E3772" w:rsidRPr="00247F52">
        <w:rPr>
          <w:color w:val="000000" w:themeColor="text1"/>
        </w:rPr>
        <w:t>pportunity</w:t>
      </w:r>
      <w:r w:rsidR="00340616" w:rsidRPr="00247F52">
        <w:rPr>
          <w:b/>
          <w:color w:val="000000" w:themeColor="text1"/>
        </w:rPr>
        <w:t xml:space="preserve"> </w:t>
      </w:r>
      <w:r w:rsidR="00340616" w:rsidRPr="00247F52">
        <w:rPr>
          <w:color w:val="000000" w:themeColor="text1"/>
        </w:rPr>
        <w:t xml:space="preserve">to measure how well the outcomes and objectives have been achieved. </w:t>
      </w:r>
      <w:r w:rsidR="00B51177">
        <w:rPr>
          <w:color w:val="000000" w:themeColor="text1"/>
        </w:rPr>
        <w:t>The</w:t>
      </w:r>
      <w:r w:rsidR="00340616" w:rsidRPr="00247F52">
        <w:rPr>
          <w:color w:val="000000" w:themeColor="text1"/>
        </w:rPr>
        <w:t xml:space="preserve"> </w:t>
      </w:r>
      <w:r w:rsidR="001D5020">
        <w:rPr>
          <w:color w:val="000000" w:themeColor="text1"/>
        </w:rPr>
        <w:t>G</w:t>
      </w:r>
      <w:r w:rsidR="00340616" w:rsidRPr="00247F52">
        <w:rPr>
          <w:color w:val="000000" w:themeColor="text1"/>
        </w:rPr>
        <w:t xml:space="preserve">rant </w:t>
      </w:r>
      <w:r w:rsidR="00414C25">
        <w:t>A</w:t>
      </w:r>
      <w:r w:rsidR="00340616">
        <w:t xml:space="preserve">greement </w:t>
      </w:r>
      <w:r w:rsidR="00340616" w:rsidRPr="00B72EE8">
        <w:t>require</w:t>
      </w:r>
      <w:r w:rsidR="00340616">
        <w:t>s</w:t>
      </w:r>
      <w:r w:rsidR="00340616" w:rsidRPr="00B72EE8">
        <w:t xml:space="preserve"> </w:t>
      </w:r>
      <w:r w:rsidR="00B51177">
        <w:t>grant recipient</w:t>
      </w:r>
      <w:r w:rsidR="00340616" w:rsidRPr="00B72EE8">
        <w:t xml:space="preserve"> to provide information </w:t>
      </w:r>
      <w:r w:rsidR="000E3182">
        <w:t>that forms the basis of this</w:t>
      </w:r>
      <w:r w:rsidR="00340616" w:rsidRPr="00B72EE8">
        <w:t xml:space="preserve"> evaluation.</w:t>
      </w:r>
    </w:p>
    <w:p w14:paraId="58AA0710" w14:textId="77777777" w:rsidR="00340616" w:rsidRPr="00B72EE8" w:rsidRDefault="00464949" w:rsidP="00CC3C8E">
      <w:pPr>
        <w:pStyle w:val="Heading2Numbered"/>
        <w:spacing w:line="276" w:lineRule="auto"/>
        <w:ind w:left="709" w:hanging="709"/>
        <w:contextualSpacing w:val="0"/>
      </w:pPr>
      <w:bookmarkStart w:id="151" w:name="_Toc467773989"/>
      <w:bookmarkStart w:id="152" w:name="_Toc531005220"/>
      <w:r>
        <w:lastRenderedPageBreak/>
        <w:t>13.5</w:t>
      </w:r>
      <w:r w:rsidR="00F64AC7">
        <w:t xml:space="preserve"> </w:t>
      </w:r>
      <w:r w:rsidR="00340616">
        <w:t>Acknowledgement</w:t>
      </w:r>
      <w:bookmarkEnd w:id="151"/>
      <w:bookmarkEnd w:id="152"/>
    </w:p>
    <w:p w14:paraId="0DDDE661" w14:textId="77777777" w:rsidR="009C18C5" w:rsidRPr="00310249" w:rsidRDefault="009C18C5" w:rsidP="00CC3C8E">
      <w:pPr>
        <w:spacing w:before="0" w:after="120" w:line="276" w:lineRule="auto"/>
        <w:rPr>
          <w:rFonts w:ascii="Arial" w:hAnsi="Arial" w:cs="Arial"/>
          <w:color w:val="000000"/>
        </w:rPr>
      </w:pPr>
      <w:r w:rsidRPr="00310249">
        <w:rPr>
          <w:rFonts w:ascii="Arial" w:hAnsi="Arial" w:cs="Arial"/>
          <w:color w:val="000000"/>
        </w:rPr>
        <w:t xml:space="preserve">All publications relating to grants </w:t>
      </w:r>
      <w:r w:rsidR="00217DC4">
        <w:rPr>
          <w:rFonts w:ascii="Arial" w:hAnsi="Arial" w:cs="Arial"/>
          <w:color w:val="000000"/>
        </w:rPr>
        <w:t xml:space="preserve">awarded </w:t>
      </w:r>
      <w:r w:rsidRPr="00310249">
        <w:rPr>
          <w:rFonts w:ascii="Arial" w:hAnsi="Arial" w:cs="Arial"/>
          <w:color w:val="000000"/>
        </w:rPr>
        <w:t>under the</w:t>
      </w:r>
      <w:r w:rsidR="00217DC4">
        <w:rPr>
          <w:rFonts w:ascii="Arial" w:hAnsi="Arial" w:cs="Arial"/>
          <w:color w:val="000000"/>
        </w:rPr>
        <w:t>se Grant Opportunity Guidelines</w:t>
      </w:r>
      <w:r w:rsidRPr="00310249">
        <w:rPr>
          <w:rFonts w:ascii="Arial" w:hAnsi="Arial" w:cs="Arial"/>
          <w:color w:val="000000"/>
        </w:rPr>
        <w:t xml:space="preserve"> must include the following acknowledgement:</w:t>
      </w:r>
    </w:p>
    <w:p w14:paraId="14DBCA7E" w14:textId="77777777" w:rsidR="009C18C5" w:rsidRDefault="009C18C5" w:rsidP="00CC3C8E">
      <w:pPr>
        <w:spacing w:before="0" w:after="120" w:line="276" w:lineRule="auto"/>
        <w:rPr>
          <w:rFonts w:ascii="Arial" w:hAnsi="Arial" w:cs="Arial"/>
          <w:i/>
          <w:color w:val="000000"/>
        </w:rPr>
      </w:pPr>
      <w:r w:rsidRPr="000A016F">
        <w:rPr>
          <w:rFonts w:ascii="Arial" w:hAnsi="Arial" w:cs="Arial"/>
          <w:i/>
          <w:color w:val="000000"/>
        </w:rPr>
        <w:t>“</w:t>
      </w:r>
      <w:r w:rsidRPr="007244F5">
        <w:rPr>
          <w:rFonts w:ascii="Arial" w:hAnsi="Arial" w:cs="Arial"/>
          <w:i/>
          <w:color w:val="000000"/>
        </w:rPr>
        <w:t>Funded by the NDIS through the Information, Linkages and Capacity Building (ILC) –</w:t>
      </w:r>
      <w:r>
        <w:rPr>
          <w:rFonts w:ascii="Arial" w:hAnsi="Arial" w:cs="Arial"/>
          <w:i/>
        </w:rPr>
        <w:t>Disabled Pe</w:t>
      </w:r>
      <w:r w:rsidR="00247F52">
        <w:rPr>
          <w:rFonts w:ascii="Arial" w:hAnsi="Arial" w:cs="Arial"/>
          <w:i/>
        </w:rPr>
        <w:t>oples</w:t>
      </w:r>
      <w:r>
        <w:rPr>
          <w:rFonts w:ascii="Arial" w:hAnsi="Arial" w:cs="Arial"/>
          <w:i/>
        </w:rPr>
        <w:t xml:space="preserve"> and Famil</w:t>
      </w:r>
      <w:r w:rsidR="00247F52">
        <w:rPr>
          <w:rFonts w:ascii="Arial" w:hAnsi="Arial" w:cs="Arial"/>
          <w:i/>
        </w:rPr>
        <w:t>ies</w:t>
      </w:r>
      <w:r w:rsidRPr="00070763">
        <w:rPr>
          <w:rFonts w:ascii="Arial" w:hAnsi="Arial" w:cs="Arial"/>
          <w:i/>
        </w:rPr>
        <w:t xml:space="preserve"> Organisations</w:t>
      </w:r>
      <w:r w:rsidR="000565BD">
        <w:rPr>
          <w:rFonts w:ascii="Arial" w:hAnsi="Arial" w:cs="Arial"/>
          <w:i/>
        </w:rPr>
        <w:t xml:space="preserve"> </w:t>
      </w:r>
      <w:r w:rsidR="00BA6FD8">
        <w:rPr>
          <w:rFonts w:ascii="Arial" w:hAnsi="Arial" w:cs="Arial"/>
          <w:i/>
        </w:rPr>
        <w:t>–</w:t>
      </w:r>
      <w:r w:rsidRPr="00070763">
        <w:rPr>
          <w:rFonts w:ascii="Arial" w:hAnsi="Arial" w:cs="Arial"/>
          <w:i/>
        </w:rPr>
        <w:t xml:space="preserve"> </w:t>
      </w:r>
      <w:r w:rsidR="00BA6FD8">
        <w:rPr>
          <w:rFonts w:ascii="Arial" w:hAnsi="Arial" w:cs="Arial"/>
          <w:i/>
        </w:rPr>
        <w:t xml:space="preserve">ILC </w:t>
      </w:r>
      <w:r w:rsidR="00247F52">
        <w:rPr>
          <w:rFonts w:ascii="Arial" w:hAnsi="Arial" w:cs="Arial"/>
          <w:i/>
        </w:rPr>
        <w:t xml:space="preserve">Readiness </w:t>
      </w:r>
      <w:r w:rsidR="00E26329">
        <w:rPr>
          <w:rFonts w:ascii="Arial" w:hAnsi="Arial" w:cs="Arial"/>
          <w:i/>
          <w:color w:val="000000"/>
        </w:rPr>
        <w:t>Grant</w:t>
      </w:r>
      <w:r>
        <w:rPr>
          <w:rFonts w:ascii="Arial" w:hAnsi="Arial" w:cs="Arial"/>
          <w:i/>
          <w:color w:val="000000"/>
        </w:rPr>
        <w:t xml:space="preserve"> Round</w:t>
      </w:r>
      <w:r w:rsidR="00445418">
        <w:rPr>
          <w:rFonts w:ascii="Arial" w:hAnsi="Arial" w:cs="Arial"/>
          <w:i/>
          <w:color w:val="000000"/>
        </w:rPr>
        <w:t xml:space="preserve"> 2018-19</w:t>
      </w:r>
      <w:r w:rsidRPr="007244F5">
        <w:rPr>
          <w:rFonts w:ascii="Arial" w:hAnsi="Arial" w:cs="Arial"/>
          <w:i/>
          <w:color w:val="000000"/>
        </w:rPr>
        <w:t>”.</w:t>
      </w:r>
    </w:p>
    <w:p w14:paraId="4EF4008A" w14:textId="77777777" w:rsidR="00340616" w:rsidRPr="00B72EE8" w:rsidRDefault="00464949" w:rsidP="00CC3C8E">
      <w:pPr>
        <w:pStyle w:val="Heading1Numbered"/>
        <w:spacing w:before="720" w:line="276" w:lineRule="auto"/>
        <w:contextualSpacing w:val="0"/>
      </w:pPr>
      <w:bookmarkStart w:id="153" w:name="_Toc467773990"/>
      <w:bookmarkStart w:id="154" w:name="_Toc421777631"/>
      <w:bookmarkStart w:id="155" w:name="_Toc531005221"/>
      <w:r>
        <w:t>14</w:t>
      </w:r>
      <w:r w:rsidR="00F64AC7">
        <w:t xml:space="preserve">. </w:t>
      </w:r>
      <w:r w:rsidR="00340616" w:rsidRPr="00B72EE8">
        <w:t>Probity</w:t>
      </w:r>
      <w:bookmarkEnd w:id="153"/>
      <w:bookmarkEnd w:id="155"/>
      <w:r w:rsidR="00340616" w:rsidRPr="00B72EE8">
        <w:t xml:space="preserve"> </w:t>
      </w:r>
      <w:bookmarkEnd w:id="154"/>
    </w:p>
    <w:p w14:paraId="01C593E4" w14:textId="77777777" w:rsidR="00340616" w:rsidRPr="00726710" w:rsidRDefault="00340616" w:rsidP="00CC3C8E">
      <w:pPr>
        <w:spacing w:after="120" w:line="276" w:lineRule="auto"/>
      </w:pPr>
      <w:r w:rsidRPr="00B72EE8">
        <w:t xml:space="preserve">The </w:t>
      </w:r>
      <w:r w:rsidR="000E3182" w:rsidRPr="00310249">
        <w:t xml:space="preserve">NDIA and the Community Grants Hub and </w:t>
      </w:r>
      <w:proofErr w:type="spellStart"/>
      <w:r w:rsidR="000E3182" w:rsidRPr="00310249">
        <w:t>GrantConnect</w:t>
      </w:r>
      <w:proofErr w:type="spellEnd"/>
      <w:r w:rsidR="000E3182">
        <w:t xml:space="preserve">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13C73892" w14:textId="77777777" w:rsidR="00340616" w:rsidRPr="00B72EE8" w:rsidRDefault="00340616" w:rsidP="00CC3C8E">
      <w:pPr>
        <w:spacing w:after="120" w:line="276" w:lineRule="auto"/>
      </w:pPr>
      <w:r w:rsidRPr="00726710">
        <w:rPr>
          <w:b/>
        </w:rPr>
        <w:t>Note:</w:t>
      </w:r>
      <w:r w:rsidRPr="00726710">
        <w:t xml:space="preserve"> These guidelines may be changed by</w:t>
      </w:r>
      <w:r w:rsidRPr="00726710">
        <w:rPr>
          <w:b/>
        </w:rPr>
        <w:t xml:space="preserve"> </w:t>
      </w:r>
      <w:r w:rsidR="00247F52" w:rsidRPr="00247F52">
        <w:rPr>
          <w:color w:val="000000" w:themeColor="text1"/>
        </w:rPr>
        <w:t>the NDIA</w:t>
      </w:r>
      <w:r w:rsidRPr="00726710">
        <w:t xml:space="preserve">. When this happens the revised guidelines will be published on </w:t>
      </w:r>
      <w:hyperlink r:id="rId32" w:history="1">
        <w:proofErr w:type="spellStart"/>
        <w:r w:rsidR="00DD52C8" w:rsidRPr="00DD52C8">
          <w:rPr>
            <w:rStyle w:val="Hyperlink"/>
            <w:rFonts w:cstheme="minorBidi"/>
          </w:rPr>
          <w:t>GrantConnect</w:t>
        </w:r>
        <w:proofErr w:type="spellEnd"/>
      </w:hyperlink>
      <w:r w:rsidR="00181073">
        <w:rPr>
          <w:rStyle w:val="Hyperlink"/>
          <w:rFonts w:cstheme="minorBidi"/>
          <w:u w:val="none"/>
        </w:rPr>
        <w:t xml:space="preserve"> and the </w:t>
      </w:r>
      <w:hyperlink r:id="rId33"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5CD1E8FE" w14:textId="77777777" w:rsidR="00340616" w:rsidRPr="0054078D" w:rsidRDefault="00464949" w:rsidP="00CC3C8E">
      <w:pPr>
        <w:pStyle w:val="Heading2Numbered"/>
        <w:spacing w:line="276" w:lineRule="auto"/>
        <w:ind w:left="709" w:hanging="709"/>
        <w:contextualSpacing w:val="0"/>
      </w:pPr>
      <w:bookmarkStart w:id="156" w:name="_Toc414983585"/>
      <w:bookmarkStart w:id="157" w:name="_Toc414984002"/>
      <w:bookmarkStart w:id="158" w:name="_Toc414984762"/>
      <w:bookmarkStart w:id="159" w:name="_Toc414984856"/>
      <w:bookmarkStart w:id="160" w:name="_Toc414984960"/>
      <w:bookmarkStart w:id="161" w:name="_Toc414985063"/>
      <w:bookmarkStart w:id="162" w:name="_Toc414985166"/>
      <w:bookmarkStart w:id="163" w:name="_Toc414985268"/>
      <w:bookmarkStart w:id="164" w:name="_Toc421777632"/>
      <w:bookmarkStart w:id="165" w:name="_Toc467773991"/>
      <w:bookmarkStart w:id="166" w:name="_Toc531005222"/>
      <w:bookmarkEnd w:id="156"/>
      <w:bookmarkEnd w:id="157"/>
      <w:bookmarkEnd w:id="158"/>
      <w:bookmarkEnd w:id="159"/>
      <w:bookmarkEnd w:id="160"/>
      <w:bookmarkEnd w:id="161"/>
      <w:bookmarkEnd w:id="162"/>
      <w:bookmarkEnd w:id="163"/>
      <w:r>
        <w:t>14</w:t>
      </w:r>
      <w:r w:rsidR="00F64AC7">
        <w:t xml:space="preserve">.1 </w:t>
      </w:r>
      <w:r w:rsidR="00340616" w:rsidRPr="0054078D">
        <w:t>Complaints process</w:t>
      </w:r>
      <w:bookmarkEnd w:id="164"/>
      <w:bookmarkEnd w:id="165"/>
      <w:bookmarkEnd w:id="166"/>
    </w:p>
    <w:p w14:paraId="7BE452B4" w14:textId="77777777" w:rsidR="008F4C2E" w:rsidRPr="00C2163B" w:rsidRDefault="008F4C2E" w:rsidP="00CC3C8E">
      <w:pPr>
        <w:spacing w:after="120" w:line="276" w:lineRule="auto"/>
        <w:rPr>
          <w:b/>
        </w:rPr>
      </w:pPr>
      <w:bookmarkStart w:id="167" w:name="_Toc421777633"/>
      <w:bookmarkStart w:id="168" w:name="_Toc467773992"/>
      <w:r>
        <w:rPr>
          <w:b/>
        </w:rPr>
        <w:t>Complaints about the Program</w:t>
      </w:r>
    </w:p>
    <w:p w14:paraId="0145BBF4" w14:textId="77777777" w:rsidR="00115880" w:rsidRDefault="00115880" w:rsidP="00CC3C8E">
      <w:pPr>
        <w:spacing w:before="0" w:after="120" w:line="276" w:lineRule="auto"/>
      </w:pPr>
      <w:r>
        <w:t>The ILC Branch within the NDIA handles complaints about the Program. All complaints about the Program must be lodged in writing and sent to ILC@ndis.gov.au. Any questions you have about grant decisions for the Program should also be sent to ILC@ndis.gov.au</w:t>
      </w:r>
    </w:p>
    <w:p w14:paraId="6B483D28" w14:textId="77777777" w:rsidR="001C022C" w:rsidRDefault="001C022C" w:rsidP="00CC3C8E">
      <w:pPr>
        <w:spacing w:after="120" w:line="276" w:lineRule="auto"/>
        <w:rPr>
          <w:b/>
        </w:rPr>
      </w:pPr>
      <w:r w:rsidRPr="00A916BA">
        <w:rPr>
          <w:b/>
        </w:rPr>
        <w:t>Complaints about the Process</w:t>
      </w:r>
    </w:p>
    <w:p w14:paraId="4D5F063E" w14:textId="77777777" w:rsidR="001C022C" w:rsidRPr="00A916BA" w:rsidRDefault="001C022C" w:rsidP="00CC3C8E">
      <w:pPr>
        <w:spacing w:before="0" w:after="120" w:line="276" w:lineRule="auto"/>
      </w:pPr>
      <w:r w:rsidRPr="00A916BA">
        <w:t xml:space="preserve">Applicants can contact the complaints service with complaints about Community Grants Hub’s service(s) or the application process. </w:t>
      </w:r>
    </w:p>
    <w:p w14:paraId="517F4E51" w14:textId="6EC3F2F1" w:rsidR="001C022C" w:rsidRDefault="001C022C" w:rsidP="00CC3C8E">
      <w:pPr>
        <w:spacing w:after="120" w:line="276" w:lineRule="auto"/>
      </w:pPr>
      <w:r w:rsidRPr="00A916BA">
        <w:t>Details of what constitutes an eligible complaint can be provided upon request by</w:t>
      </w:r>
      <w:r w:rsidR="00875345">
        <w:t xml:space="preserve"> the Community Grants Hub.</w:t>
      </w:r>
      <w:r w:rsidRPr="00A916BA">
        <w:t xml:space="preserve"> Applicants can lodge complaints using the </w:t>
      </w:r>
      <w:hyperlink r:id="rId34" w:history="1">
        <w:r w:rsidRPr="0011101F">
          <w:rPr>
            <w:rStyle w:val="Hyperlink"/>
            <w:rFonts w:cstheme="minorBidi"/>
          </w:rPr>
          <w:t>complaints form</w:t>
        </w:r>
      </w:hyperlink>
      <w:r w:rsidRPr="00A916BA">
        <w:t xml:space="preserve"> on the Department</w:t>
      </w:r>
      <w:r>
        <w:t>’</w:t>
      </w:r>
      <w:r w:rsidRPr="00A916BA">
        <w:t>s webs</w:t>
      </w:r>
      <w:r>
        <w:t>ite or by phone or 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plaints about the process"/>
        <w:tblDescription w:val="Includes information about the number to call to make a complaint and where to send complaints by mail. "/>
      </w:tblPr>
      <w:tblGrid>
        <w:gridCol w:w="1129"/>
        <w:gridCol w:w="7931"/>
      </w:tblGrid>
      <w:tr w:rsidR="00375F50" w14:paraId="72909477" w14:textId="77777777" w:rsidTr="00F310C5">
        <w:trPr>
          <w:tblHeader/>
        </w:trPr>
        <w:tc>
          <w:tcPr>
            <w:tcW w:w="1129" w:type="dxa"/>
          </w:tcPr>
          <w:p w14:paraId="1BEC5271" w14:textId="77777777" w:rsidR="00375F50" w:rsidRDefault="00375F50" w:rsidP="00CC3C8E">
            <w:pPr>
              <w:spacing w:after="120" w:line="276" w:lineRule="auto"/>
            </w:pPr>
            <w:r>
              <w:t>Phone</w:t>
            </w:r>
          </w:p>
        </w:tc>
        <w:tc>
          <w:tcPr>
            <w:tcW w:w="7931" w:type="dxa"/>
          </w:tcPr>
          <w:p w14:paraId="54238ACC" w14:textId="77777777" w:rsidR="00375F50" w:rsidRDefault="00375F50" w:rsidP="00CC3C8E">
            <w:pPr>
              <w:spacing w:after="120" w:line="276" w:lineRule="auto"/>
            </w:pPr>
            <w:r w:rsidRPr="00A916BA">
              <w:t>1800 634 035</w:t>
            </w:r>
          </w:p>
        </w:tc>
      </w:tr>
      <w:tr w:rsidR="00375F50" w14:paraId="61A4E008" w14:textId="77777777" w:rsidTr="00375F50">
        <w:tc>
          <w:tcPr>
            <w:tcW w:w="1129" w:type="dxa"/>
          </w:tcPr>
          <w:p w14:paraId="2F9C89B3" w14:textId="77777777" w:rsidR="00375F50" w:rsidRDefault="00375F50" w:rsidP="00CC3C8E">
            <w:pPr>
              <w:spacing w:after="120" w:line="276" w:lineRule="auto"/>
            </w:pPr>
            <w:r w:rsidRPr="00A916BA">
              <w:t>Mail</w:t>
            </w:r>
          </w:p>
        </w:tc>
        <w:tc>
          <w:tcPr>
            <w:tcW w:w="7931" w:type="dxa"/>
          </w:tcPr>
          <w:p w14:paraId="235B643B" w14:textId="77777777" w:rsidR="00375F50" w:rsidRDefault="00375F50" w:rsidP="00CC3C8E">
            <w:pPr>
              <w:spacing w:before="0" w:after="120" w:line="276" w:lineRule="auto"/>
            </w:pPr>
            <w:r w:rsidRPr="00A916BA">
              <w:t>Complaints</w:t>
            </w:r>
          </w:p>
          <w:p w14:paraId="0420FADD" w14:textId="77777777" w:rsidR="00375F50" w:rsidRDefault="00375F50" w:rsidP="00CC3C8E">
            <w:pPr>
              <w:spacing w:before="0" w:after="120" w:line="276" w:lineRule="auto"/>
            </w:pPr>
            <w:r w:rsidRPr="00A916BA">
              <w:t>GPO Box 9820</w:t>
            </w:r>
          </w:p>
          <w:p w14:paraId="00449215" w14:textId="77777777" w:rsidR="00375F50" w:rsidRDefault="00375F50" w:rsidP="00CC3C8E">
            <w:pPr>
              <w:spacing w:before="0" w:after="120" w:line="276" w:lineRule="auto"/>
            </w:pPr>
            <w:r w:rsidRPr="00A916BA">
              <w:t>Canberra ACT 2601</w:t>
            </w:r>
          </w:p>
        </w:tc>
      </w:tr>
    </w:tbl>
    <w:p w14:paraId="0D3379CA" w14:textId="77777777" w:rsidR="001C022C" w:rsidRPr="00A916BA" w:rsidRDefault="001C022C" w:rsidP="00CC3C8E">
      <w:pPr>
        <w:spacing w:after="120" w:line="276" w:lineRule="auto"/>
        <w:rPr>
          <w:b/>
        </w:rPr>
      </w:pPr>
      <w:r>
        <w:rPr>
          <w:b/>
        </w:rPr>
        <w:t>Complaints to the Ombudsman</w:t>
      </w:r>
    </w:p>
    <w:p w14:paraId="0AD3E4F2" w14:textId="77777777" w:rsidR="001C022C" w:rsidRDefault="001C022C" w:rsidP="00CC3C8E">
      <w:pPr>
        <w:spacing w:before="0" w:after="120" w:line="276" w:lineRule="auto"/>
      </w:pPr>
      <w:r>
        <w:t xml:space="preserve">If you do not agree with the way </w:t>
      </w:r>
      <w:r w:rsidR="0080578C">
        <w:t xml:space="preserve">that </w:t>
      </w:r>
      <w:r>
        <w:t>th</w:t>
      </w:r>
      <w:r w:rsidRPr="00115880">
        <w:rPr>
          <w:color w:val="000000" w:themeColor="text1"/>
        </w:rPr>
        <w:t xml:space="preserve">e </w:t>
      </w:r>
      <w:r w:rsidR="0080578C" w:rsidRPr="00115880">
        <w:rPr>
          <w:color w:val="000000" w:themeColor="text1"/>
        </w:rPr>
        <w:t>NDIA or the Community Grants Hub</w:t>
      </w:r>
      <w:r w:rsidR="008F4C2E" w:rsidRPr="00115880">
        <w:rPr>
          <w:color w:val="000000" w:themeColor="text1"/>
        </w:rPr>
        <w:t xml:space="preserve"> </w:t>
      </w:r>
      <w:r w:rsidRPr="00115880">
        <w:rPr>
          <w:color w:val="000000" w:themeColor="text1"/>
        </w:rPr>
        <w:t xml:space="preserve">has handled your complaint, you may complain to the Commonwealth Ombudsman. The Ombudsman will </w:t>
      </w:r>
      <w:r w:rsidRPr="00115880">
        <w:rPr>
          <w:color w:val="000000" w:themeColor="text1"/>
        </w:rPr>
        <w:lastRenderedPageBreak/>
        <w:t xml:space="preserve">not usually look into a complaint unless the matter has first been raised directly with the </w:t>
      </w:r>
      <w:r w:rsidR="0080578C" w:rsidRPr="00115880">
        <w:rPr>
          <w:color w:val="000000" w:themeColor="text1"/>
        </w:rPr>
        <w:t>NDIA or the Community Grants Hub.</w:t>
      </w:r>
    </w:p>
    <w:p w14:paraId="7E02D1FB" w14:textId="77777777" w:rsidR="001C022C" w:rsidRDefault="001C022C" w:rsidP="00CC3C8E">
      <w:pPr>
        <w:spacing w:after="120" w:line="276" w:lineRule="auto"/>
        <w:ind w:left="5041" w:hanging="5041"/>
      </w:pPr>
      <w:r>
        <w:t xml:space="preserve">The Commonwealth Ombudsman can be contacted on: </w:t>
      </w:r>
    </w:p>
    <w:p w14:paraId="4D3E819E" w14:textId="77777777" w:rsidR="00302DEE" w:rsidRDefault="001C022C" w:rsidP="00CC3C8E">
      <w:pPr>
        <w:spacing w:before="0" w:after="120" w:line="276" w:lineRule="auto"/>
        <w:ind w:left="720"/>
        <w:rPr>
          <w:rStyle w:val="Hyperlink"/>
        </w:rPr>
      </w:pPr>
      <w:r>
        <w:t>Phone (Toll free): 1300 362 072</w:t>
      </w:r>
      <w:r>
        <w:br/>
        <w:t xml:space="preserve">Email: </w:t>
      </w:r>
      <w:hyperlink r:id="rId35" w:history="1">
        <w:r>
          <w:rPr>
            <w:rStyle w:val="Hyperlink"/>
          </w:rPr>
          <w:t>ombudsman@ombudsman.gov.au</w:t>
        </w:r>
      </w:hyperlink>
      <w:r>
        <w:t xml:space="preserve"> </w:t>
      </w:r>
      <w:r>
        <w:br/>
        <w:t xml:space="preserve">Website: </w:t>
      </w:r>
      <w:hyperlink r:id="rId36" w:history="1">
        <w:r>
          <w:rPr>
            <w:rStyle w:val="Hyperlink"/>
          </w:rPr>
          <w:t>www.ombudsman.gov.au</w:t>
        </w:r>
      </w:hyperlink>
    </w:p>
    <w:p w14:paraId="71FF78EA" w14:textId="77777777" w:rsidR="0080578C" w:rsidRPr="0080578C" w:rsidRDefault="0080578C" w:rsidP="00CC3C8E">
      <w:pPr>
        <w:spacing w:before="0" w:after="120" w:line="276" w:lineRule="auto"/>
        <w:ind w:left="1440" w:hanging="720"/>
        <w:rPr>
          <w:rFonts w:eastAsia="Times New Roman" w:cstheme="minorHAnsi"/>
          <w:color w:val="000000"/>
          <w:lang w:val="en" w:eastAsia="en-AU"/>
        </w:rPr>
      </w:pPr>
      <w:r w:rsidRPr="00AE4F7E">
        <w:rPr>
          <w:rFonts w:cstheme="minorHAnsi"/>
        </w:rPr>
        <w:t xml:space="preserve">Internet Relay users connect to the </w:t>
      </w:r>
      <w:hyperlink r:id="rId37" w:tgtFrame="_blank" w:history="1">
        <w:r w:rsidRPr="00AE4F7E">
          <w:rPr>
            <w:rFonts w:eastAsia="Times New Roman" w:cstheme="minorHAnsi"/>
            <w:color w:val="003AB3"/>
            <w:lang w:val="en" w:eastAsia="en-AU"/>
          </w:rPr>
          <w:t xml:space="preserve">National Relay Service </w:t>
        </w:r>
      </w:hyperlink>
      <w:r w:rsidRPr="00AE4F7E">
        <w:rPr>
          <w:rFonts w:eastAsia="Times New Roman" w:cstheme="minorHAnsi"/>
          <w:color w:val="000000"/>
          <w:lang w:val="en" w:eastAsia="en-AU"/>
        </w:rPr>
        <w:t>then ask for 1300 362 072</w:t>
      </w:r>
    </w:p>
    <w:p w14:paraId="70CEA623" w14:textId="77777777" w:rsidR="00340616" w:rsidRPr="00B72EE8" w:rsidRDefault="00375F50" w:rsidP="00CC3C8E">
      <w:pPr>
        <w:pStyle w:val="Heading2Numbered"/>
        <w:spacing w:line="276" w:lineRule="auto"/>
        <w:ind w:left="709" w:hanging="709"/>
        <w:contextualSpacing w:val="0"/>
      </w:pPr>
      <w:bookmarkStart w:id="169" w:name="_Toc531005223"/>
      <w:r>
        <w:t>14</w:t>
      </w:r>
      <w:r w:rsidR="00F64AC7">
        <w:t xml:space="preserve">.2 </w:t>
      </w:r>
      <w:r w:rsidR="00340616" w:rsidRPr="00B72EE8">
        <w:t>Conflict of interest</w:t>
      </w:r>
      <w:bookmarkEnd w:id="167"/>
      <w:bookmarkEnd w:id="168"/>
      <w:bookmarkEnd w:id="169"/>
    </w:p>
    <w:p w14:paraId="42C873BE" w14:textId="77777777" w:rsidR="00340616" w:rsidRPr="00B72EE8" w:rsidRDefault="00340616" w:rsidP="00CC3C8E">
      <w:pPr>
        <w:spacing w:before="0" w:after="120" w:line="276" w:lineRule="auto"/>
      </w:pPr>
      <w:r>
        <w:t xml:space="preserve">Any </w:t>
      </w:r>
      <w:r w:rsidRPr="00726710">
        <w:t>conflicts of interest could affect</w:t>
      </w:r>
      <w:r w:rsidR="0080578C">
        <w:t xml:space="preserve"> the performance of the grant</w:t>
      </w:r>
      <w:r w:rsidR="00DE6EF8">
        <w:t xml:space="preserve"> and the assessment process</w:t>
      </w:r>
      <w:r w:rsidR="0080578C">
        <w:t xml:space="preserve">. </w:t>
      </w:r>
      <w:r w:rsidRPr="00726710">
        <w:t xml:space="preserve">There may be a </w:t>
      </w:r>
      <w:hyperlink r:id="rId38"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80578C" w:rsidRPr="00C617DB">
        <w:rPr>
          <w:color w:val="000000" w:themeColor="text1"/>
        </w:rPr>
        <w:t>an NDIA</w:t>
      </w:r>
      <w:r w:rsidR="00DB0937" w:rsidRPr="00C617DB">
        <w:rPr>
          <w:color w:val="000000" w:themeColor="text1"/>
        </w:rPr>
        <w:t xml:space="preserve"> </w:t>
      </w:r>
      <w:r w:rsidR="0080578C" w:rsidRPr="00C617DB">
        <w:rPr>
          <w:color w:val="000000" w:themeColor="text1"/>
        </w:rPr>
        <w:t>or</w:t>
      </w:r>
      <w:r w:rsidR="00533BCE" w:rsidRPr="00C617DB">
        <w:rPr>
          <w:color w:val="000000" w:themeColor="text1"/>
        </w:rPr>
        <w:t xml:space="preserve"> Community Grants Hub</w:t>
      </w:r>
      <w:r w:rsidR="00533BCE" w:rsidRPr="00C617DB">
        <w:rPr>
          <w:b/>
          <w:color w:val="000000" w:themeColor="text1"/>
        </w:rPr>
        <w:t xml:space="preserve"> </w:t>
      </w:r>
      <w:r w:rsidR="00DB0937">
        <w:t>st</w:t>
      </w:r>
      <w:r w:rsidRPr="00B72EE8">
        <w:t>aff</w:t>
      </w:r>
      <w:r w:rsidR="0080578C">
        <w:t xml:space="preserve"> member</w:t>
      </w:r>
      <w:r w:rsidRPr="00B72EE8">
        <w:t>, any member of a</w:t>
      </w:r>
      <w:r>
        <w:t xml:space="preserve"> committee or advisor</w:t>
      </w:r>
      <w:r w:rsidRPr="00B72EE8">
        <w:t xml:space="preserve"> and/or </w:t>
      </w:r>
      <w:r w:rsidR="00B51177">
        <w:t>the applicant</w:t>
      </w:r>
      <w:r w:rsidRPr="00B72EE8">
        <w:t xml:space="preserve"> or any of </w:t>
      </w:r>
      <w:r w:rsidR="00B51177">
        <w:t>their</w:t>
      </w:r>
      <w:r>
        <w:t xml:space="preserve"> </w:t>
      </w:r>
      <w:r w:rsidRPr="00B72EE8">
        <w:t>personnel:</w:t>
      </w:r>
    </w:p>
    <w:p w14:paraId="1F0D1093" w14:textId="77777777" w:rsidR="00340616" w:rsidRPr="00B72EE8" w:rsidRDefault="00145941" w:rsidP="00CC3C8E">
      <w:pPr>
        <w:pStyle w:val="Bullet1"/>
        <w:spacing w:before="0" w:after="120" w:line="276" w:lineRule="auto"/>
      </w:pPr>
      <w:r>
        <w:t>H</w:t>
      </w:r>
      <w:r w:rsidRPr="00B72EE8">
        <w:t xml:space="preserve">as </w:t>
      </w:r>
      <w:r w:rsidR="00340616" w:rsidRPr="00B72EE8">
        <w:t xml:space="preserve">a professional, commercial or personal relationship with a party who is able to influence the application </w:t>
      </w:r>
      <w:r w:rsidR="00340616">
        <w:t>selection</w:t>
      </w:r>
      <w:r w:rsidR="00340616" w:rsidRPr="00B72EE8">
        <w:t xml:space="preserve"> process, such as a</w:t>
      </w:r>
      <w:r w:rsidR="00340616">
        <w:t>n</w:t>
      </w:r>
      <w:r w:rsidR="00340616" w:rsidRPr="00B72EE8">
        <w:t xml:space="preserve"> </w:t>
      </w:r>
      <w:r w:rsidR="00340616">
        <w:t>Australian Government officer</w:t>
      </w:r>
      <w:r>
        <w:t>;</w:t>
      </w:r>
    </w:p>
    <w:p w14:paraId="534194FE" w14:textId="77777777" w:rsidR="00340616" w:rsidRPr="00B72EE8" w:rsidRDefault="00145941" w:rsidP="00CC3C8E">
      <w:pPr>
        <w:pStyle w:val="Bullet1"/>
        <w:spacing w:after="120" w:line="276" w:lineRule="auto"/>
      </w:pPr>
      <w:r>
        <w:t>H</w:t>
      </w:r>
      <w:r w:rsidRPr="00B72EE8">
        <w:t xml:space="preserve">as </w:t>
      </w:r>
      <w:r w:rsidR="00340616">
        <w:t>a relationship with an organisation</w:t>
      </w:r>
      <w:r w:rsidR="007A0CD6">
        <w:t>, or in</w:t>
      </w:r>
      <w:r w:rsidR="00340616" w:rsidRPr="00B72EE8">
        <w:t xml:space="preserve"> an organisation, which is likely to interfere with or restrict the applicants from carrying out the proposed acti</w:t>
      </w:r>
      <w:r w:rsidR="00340616">
        <w:t>vities fairly and independently</w:t>
      </w:r>
      <w:r w:rsidR="00340616" w:rsidRPr="00B72EE8">
        <w:t xml:space="preserve"> or</w:t>
      </w:r>
    </w:p>
    <w:p w14:paraId="15FDB9F4" w14:textId="77777777" w:rsidR="00340616" w:rsidRPr="00B72EE8" w:rsidRDefault="00145941" w:rsidP="00CC3C8E">
      <w:pPr>
        <w:pStyle w:val="Bullet1"/>
        <w:spacing w:after="120" w:line="276" w:lineRule="auto"/>
      </w:pPr>
      <w:r>
        <w:t>H</w:t>
      </w:r>
      <w:r w:rsidRPr="00B72EE8">
        <w:t xml:space="preserve">as </w:t>
      </w:r>
      <w:r w:rsidR="00340616" w:rsidRPr="00B72EE8">
        <w:t xml:space="preserve">a relationship with, or interest in, an organisation from which they will receive personal gain </w:t>
      </w:r>
      <w:r w:rsidR="00340616">
        <w:t xml:space="preserve">because </w:t>
      </w:r>
      <w:r w:rsidR="00340616" w:rsidRPr="00B72EE8">
        <w:t>the organisation receiv</w:t>
      </w:r>
      <w:r w:rsidR="00340616">
        <w:t>es</w:t>
      </w:r>
      <w:r w:rsidR="00340616" w:rsidRPr="00B72EE8">
        <w:t xml:space="preserve"> funding under</w:t>
      </w:r>
      <w:r w:rsidR="00340616">
        <w:t xml:space="preserve"> the Program.</w:t>
      </w:r>
    </w:p>
    <w:p w14:paraId="41D38BC6" w14:textId="77777777" w:rsidR="00340616" w:rsidRPr="00B72EE8" w:rsidRDefault="00B51177" w:rsidP="00CC3C8E">
      <w:pPr>
        <w:spacing w:after="120" w:line="276" w:lineRule="auto"/>
      </w:pPr>
      <w:r>
        <w:t>Applicants</w:t>
      </w:r>
      <w:r w:rsidR="00340616">
        <w:t xml:space="preserve"> will be asked to declare, </w:t>
      </w:r>
      <w:r w:rsidR="00340616" w:rsidRPr="00B72EE8">
        <w:t xml:space="preserve">as part of </w:t>
      </w:r>
      <w:r>
        <w:t>their</w:t>
      </w:r>
      <w:r w:rsidR="00340616" w:rsidRPr="00B72EE8">
        <w:t xml:space="preserve"> application, </w:t>
      </w:r>
      <w:r w:rsidR="00340616">
        <w:t xml:space="preserve">any perceived or </w:t>
      </w:r>
      <w:r w:rsidR="00340616" w:rsidRPr="00B72EE8">
        <w:t>existing conflicts of interest</w:t>
      </w:r>
      <w:r w:rsidR="00340616">
        <w:t>s</w:t>
      </w:r>
      <w:r w:rsidR="00340616" w:rsidRPr="00B72EE8">
        <w:t xml:space="preserve"> or</w:t>
      </w:r>
      <w:r w:rsidR="00217DC4">
        <w:t>,</w:t>
      </w:r>
      <w:r w:rsidR="00340616" w:rsidRPr="00B72EE8">
        <w:t xml:space="preserve"> that to the best of </w:t>
      </w:r>
      <w:r>
        <w:t>their</w:t>
      </w:r>
      <w:r w:rsidR="00340616" w:rsidRPr="00B72EE8">
        <w:t xml:space="preserve"> knowledge</w:t>
      </w:r>
      <w:r w:rsidR="00340616">
        <w:t>,</w:t>
      </w:r>
      <w:r w:rsidR="00340616" w:rsidRPr="00B72EE8">
        <w:t xml:space="preserve"> there is no</w:t>
      </w:r>
      <w:r w:rsidR="00340616">
        <w:t xml:space="preserve"> conflict of interest</w:t>
      </w:r>
      <w:r w:rsidR="00340616" w:rsidRPr="00B72EE8">
        <w:t>.</w:t>
      </w:r>
    </w:p>
    <w:p w14:paraId="6BA6055E" w14:textId="77777777" w:rsidR="00340616" w:rsidRDefault="00340616" w:rsidP="00CC3C8E">
      <w:pPr>
        <w:spacing w:after="120" w:line="276" w:lineRule="auto"/>
      </w:pPr>
      <w:r>
        <w:t xml:space="preserve">If </w:t>
      </w:r>
      <w:r w:rsidR="00B51177">
        <w:t>the applicant</w:t>
      </w:r>
      <w:r>
        <w:t xml:space="preserve"> later </w:t>
      </w:r>
      <w:r w:rsidRPr="00375F50">
        <w:t>identif</w:t>
      </w:r>
      <w:r w:rsidR="00B51177">
        <w:t>ies</w:t>
      </w:r>
      <w:r w:rsidRPr="00375F50">
        <w:t xml:space="preserve"> that there is an actual, apparent, or potential conflict of interest or that one might arise in relation to a gr</w:t>
      </w:r>
      <w:r w:rsidR="00B51177">
        <w:t>ant application, the applicant</w:t>
      </w:r>
      <w:r w:rsidRPr="00375F50">
        <w:t xml:space="preserve"> must inform the </w:t>
      </w:r>
      <w:r w:rsidR="0080578C" w:rsidRPr="00375F50">
        <w:t xml:space="preserve">NDIA </w:t>
      </w:r>
      <w:r w:rsidR="00533BCE" w:rsidRPr="00375F50">
        <w:t>and the Community Grants Hub</w:t>
      </w:r>
      <w:r w:rsidRPr="00375F50">
        <w:t xml:space="preserve"> in writing </w:t>
      </w:r>
      <w:r w:rsidRPr="00B72EE8">
        <w:t xml:space="preserve">immediately. </w:t>
      </w:r>
      <w:r>
        <w:t xml:space="preserve">Committee members and other officials including the </w:t>
      </w:r>
      <w:r w:rsidR="001C4088">
        <w:t xml:space="preserve">Delegate </w:t>
      </w:r>
      <w:r>
        <w:t>must also declare any conflicts of interest.</w:t>
      </w:r>
    </w:p>
    <w:p w14:paraId="5B28CA34" w14:textId="77777777" w:rsidR="00340616" w:rsidRPr="00B72EE8" w:rsidRDefault="00340616" w:rsidP="00CC3C8E">
      <w:pPr>
        <w:spacing w:after="120" w:line="276" w:lineRule="auto"/>
      </w:pP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9"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46E20BD3" w14:textId="77777777" w:rsidR="00340616" w:rsidRPr="00440282" w:rsidRDefault="00375F50" w:rsidP="00CC3C8E">
      <w:pPr>
        <w:pStyle w:val="Heading2Numbered"/>
        <w:spacing w:line="276" w:lineRule="auto"/>
        <w:ind w:left="709" w:hanging="709"/>
        <w:contextualSpacing w:val="0"/>
      </w:pPr>
      <w:bookmarkStart w:id="170" w:name="_Toc421777634"/>
      <w:bookmarkStart w:id="171" w:name="_Toc467773993"/>
      <w:bookmarkStart w:id="172" w:name="_Toc531005224"/>
      <w:r>
        <w:t>14</w:t>
      </w:r>
      <w:r w:rsidR="00F64AC7">
        <w:t xml:space="preserve">.3 </w:t>
      </w:r>
      <w:r w:rsidR="00340616" w:rsidRPr="00B72EE8">
        <w:t>Privacy: confidentiality and protection of personal information</w:t>
      </w:r>
      <w:bookmarkEnd w:id="170"/>
      <w:bookmarkEnd w:id="171"/>
      <w:bookmarkEnd w:id="172"/>
    </w:p>
    <w:p w14:paraId="68EC7CCF" w14:textId="77777777" w:rsidR="0080578C" w:rsidRPr="00310249" w:rsidRDefault="0080578C" w:rsidP="00CC3C8E">
      <w:pPr>
        <w:spacing w:after="120" w:line="276" w:lineRule="auto"/>
      </w:pPr>
      <w:bookmarkStart w:id="173" w:name="_Toc421777635"/>
      <w:bookmarkStart w:id="174" w:name="_Toc467773994"/>
      <w:r w:rsidRPr="00310249">
        <w:t xml:space="preserve">We handle your personal information in accordance with law, including the Australian Privacy Principles under the </w:t>
      </w:r>
      <w:r w:rsidRPr="00310249">
        <w:rPr>
          <w:i/>
        </w:rPr>
        <w:t xml:space="preserve">Privacy Act 1988 </w:t>
      </w:r>
      <w:r w:rsidRPr="00310249">
        <w:t xml:space="preserve">and the </w:t>
      </w:r>
      <w:r w:rsidRPr="00310249">
        <w:rPr>
          <w:i/>
        </w:rPr>
        <w:t>National Disability Insurance Scheme Act 2013</w:t>
      </w:r>
      <w:r w:rsidRPr="00310249">
        <w:t xml:space="preserve">. This includes letting you know: </w:t>
      </w:r>
    </w:p>
    <w:p w14:paraId="537D0543" w14:textId="77777777" w:rsidR="0080578C" w:rsidRPr="00310249" w:rsidRDefault="00145941" w:rsidP="00CC3C8E">
      <w:pPr>
        <w:pStyle w:val="Bullet1"/>
        <w:spacing w:before="0" w:after="120" w:line="276" w:lineRule="auto"/>
      </w:pPr>
      <w:r>
        <w:t>W</w:t>
      </w:r>
      <w:r w:rsidRPr="00310249">
        <w:t xml:space="preserve">hat </w:t>
      </w:r>
      <w:r w:rsidR="0080578C" w:rsidRPr="00310249">
        <w:t>personal information we collect;</w:t>
      </w:r>
    </w:p>
    <w:p w14:paraId="7E3FC30A" w14:textId="77777777" w:rsidR="0080578C" w:rsidRPr="00310249" w:rsidRDefault="00145941" w:rsidP="00CC3C8E">
      <w:pPr>
        <w:pStyle w:val="Bullet1"/>
        <w:spacing w:after="120" w:line="276" w:lineRule="auto"/>
      </w:pPr>
      <w:r>
        <w:lastRenderedPageBreak/>
        <w:t>W</w:t>
      </w:r>
      <w:r w:rsidRPr="00310249">
        <w:t xml:space="preserve">hy </w:t>
      </w:r>
      <w:r w:rsidR="0080578C" w:rsidRPr="00310249">
        <w:t>we collect your personal information; and</w:t>
      </w:r>
    </w:p>
    <w:p w14:paraId="6F2A3F74" w14:textId="77777777" w:rsidR="0080578C" w:rsidRPr="00310249" w:rsidRDefault="00145941" w:rsidP="00CC3C8E">
      <w:pPr>
        <w:pStyle w:val="Bullet1"/>
        <w:spacing w:after="120" w:line="276" w:lineRule="auto"/>
      </w:pPr>
      <w:r>
        <w:t>W</w:t>
      </w:r>
      <w:r w:rsidRPr="00310249">
        <w:t xml:space="preserve">ho </w:t>
      </w:r>
      <w:r w:rsidR="0080578C" w:rsidRPr="00310249">
        <w:t>we give your personal information to.</w:t>
      </w:r>
    </w:p>
    <w:p w14:paraId="42D149D7" w14:textId="4E5192A7" w:rsidR="0080578C" w:rsidRPr="00310249" w:rsidRDefault="0080578C" w:rsidP="00CC3C8E">
      <w:pPr>
        <w:spacing w:after="120" w:line="276" w:lineRule="auto"/>
      </w:pPr>
      <w:r w:rsidRPr="00310249">
        <w:t xml:space="preserve">Further information about how we handle your personal information is found in our </w:t>
      </w:r>
      <w:hyperlink r:id="rId40" w:history="1">
        <w:r w:rsidRPr="00F310C5">
          <w:rPr>
            <w:rStyle w:val="Hyperlink"/>
            <w:rFonts w:cstheme="minorBidi"/>
          </w:rPr>
          <w:t>Privacy Policy</w:t>
        </w:r>
      </w:hyperlink>
      <w:r w:rsidRPr="00310249">
        <w:t xml:space="preserve">. </w:t>
      </w:r>
    </w:p>
    <w:p w14:paraId="720A8AF4" w14:textId="6AF8C1CE" w:rsidR="0080578C" w:rsidRPr="00310249" w:rsidRDefault="00B51177" w:rsidP="00CC3C8E">
      <w:pPr>
        <w:spacing w:after="120" w:line="276" w:lineRule="auto"/>
      </w:pPr>
      <w:r>
        <w:t>Applicants</w:t>
      </w:r>
      <w:r w:rsidR="0080578C" w:rsidRPr="00310249">
        <w:t xml:space="preserve"> are required to declare </w:t>
      </w:r>
      <w:r>
        <w:t>their</w:t>
      </w:r>
      <w:r w:rsidR="0080578C" w:rsidRPr="00310249">
        <w:t xml:space="preserve"> ability to comply with the </w:t>
      </w:r>
      <w:hyperlink r:id="rId41" w:history="1">
        <w:r w:rsidR="0080578C" w:rsidRPr="00310249">
          <w:rPr>
            <w:i/>
          </w:rPr>
          <w:t>Privacy Act 1988</w:t>
        </w:r>
      </w:hyperlink>
      <w:r w:rsidR="0080578C" w:rsidRPr="00310249">
        <w:t xml:space="preserve"> and the </w:t>
      </w:r>
      <w:r w:rsidR="0080578C" w:rsidRPr="00310249">
        <w:rPr>
          <w:i/>
        </w:rPr>
        <w:t>National Disability Insurance Scheme Act 2013</w:t>
      </w:r>
      <w:r w:rsidR="0080578C" w:rsidRPr="00310249">
        <w:t xml:space="preserve"> and impose the same privacy obligations on any subcontractors </w:t>
      </w:r>
      <w:r>
        <w:t>they</w:t>
      </w:r>
      <w:r w:rsidR="0080578C" w:rsidRPr="00310249">
        <w:t xml:space="preserve"> eng</w:t>
      </w:r>
      <w:r w:rsidR="008B7BD8">
        <w:t>age to assist with the activity, and this will be part of their Agreement obligations.</w:t>
      </w:r>
      <w:r w:rsidR="0080578C" w:rsidRPr="00310249">
        <w:t xml:space="preserve"> </w:t>
      </w:r>
      <w:r>
        <w:t>The applicant</w:t>
      </w:r>
      <w:r w:rsidR="0080578C" w:rsidRPr="00310249">
        <w:t xml:space="preserve"> must ask for the NDIA’s consent in writing before disclosing confidential information.</w:t>
      </w:r>
    </w:p>
    <w:p w14:paraId="1981A848" w14:textId="77777777" w:rsidR="0080578C" w:rsidRPr="00310249" w:rsidRDefault="00B51177" w:rsidP="00CC3C8E">
      <w:pPr>
        <w:spacing w:after="120" w:line="276" w:lineRule="auto"/>
      </w:pPr>
      <w:r>
        <w:t>P</w:t>
      </w:r>
      <w:r w:rsidR="0080578C" w:rsidRPr="00310249">
        <w:t xml:space="preserve">ersonal information can only be disclosed to someone else if you are given reasonable notice of the disclosure; where disclosure is authorised or required by law; if it will prevent or lessen a serious and imminent threat to a person’s life or health; or if you have consented to the disclosure. </w:t>
      </w:r>
    </w:p>
    <w:p w14:paraId="1E218C87" w14:textId="77777777" w:rsidR="0080578C" w:rsidRPr="00310249" w:rsidRDefault="0080578C" w:rsidP="00CC3C8E">
      <w:pPr>
        <w:spacing w:after="120" w:line="276" w:lineRule="auto"/>
      </w:pPr>
      <w:r w:rsidRPr="00310249">
        <w:t>The NDIA may also use and disclose information about grant applicants and grant recipients under the Program in any other Australian Government business or function. This includes giving information to the Australian Taxation Office for compliance purposes.</w:t>
      </w:r>
    </w:p>
    <w:p w14:paraId="0818DDA1" w14:textId="77777777" w:rsidR="0080578C" w:rsidRPr="00310249" w:rsidRDefault="0080578C" w:rsidP="00CC3C8E">
      <w:pPr>
        <w:spacing w:after="120" w:line="276" w:lineRule="auto"/>
        <w:rPr>
          <w:lang w:eastAsia="en-AU"/>
        </w:rPr>
      </w:pPr>
      <w:r w:rsidRPr="00310249">
        <w:rPr>
          <w:lang w:eastAsia="en-AU"/>
        </w:rPr>
        <w:t>We may disclose information to:</w:t>
      </w:r>
    </w:p>
    <w:p w14:paraId="3CFB2103" w14:textId="77777777" w:rsidR="0080578C" w:rsidRPr="00310249" w:rsidRDefault="00145941" w:rsidP="00CC3C8E">
      <w:pPr>
        <w:pStyle w:val="Bullet1"/>
        <w:spacing w:before="0" w:after="120" w:line="276" w:lineRule="auto"/>
      </w:pPr>
      <w:r>
        <w:t>T</w:t>
      </w:r>
      <w:r w:rsidRPr="00310249">
        <w:t xml:space="preserve">he </w:t>
      </w:r>
      <w:r w:rsidR="00771C5D">
        <w:t>Selection Advisory Panel</w:t>
      </w:r>
      <w:r w:rsidR="0080578C" w:rsidRPr="00310249">
        <w:t xml:space="preserve"> and other NDIA employees and contractors to help us manage the program effectively</w:t>
      </w:r>
      <w:r>
        <w:t>;</w:t>
      </w:r>
      <w:r w:rsidR="0080578C" w:rsidRPr="00310249">
        <w:t xml:space="preserve"> </w:t>
      </w:r>
    </w:p>
    <w:p w14:paraId="092E3A6C" w14:textId="77777777" w:rsidR="0080578C" w:rsidRPr="00310249" w:rsidRDefault="00145941" w:rsidP="00CC3C8E">
      <w:pPr>
        <w:pStyle w:val="Bullet1"/>
        <w:spacing w:after="120" w:line="276" w:lineRule="auto"/>
      </w:pPr>
      <w:r>
        <w:t>E</w:t>
      </w:r>
      <w:r w:rsidRPr="00310249">
        <w:t xml:space="preserve">mployees </w:t>
      </w:r>
      <w:r w:rsidR="0080578C" w:rsidRPr="00310249">
        <w:t xml:space="preserve">and contractors of </w:t>
      </w:r>
      <w:r w:rsidR="0080578C">
        <w:t>the NDIA</w:t>
      </w:r>
      <w:r w:rsidR="0080578C" w:rsidRPr="00310249">
        <w:t xml:space="preserve"> so </w:t>
      </w:r>
      <w:r w:rsidR="00B5407B">
        <w:t>they</w:t>
      </w:r>
      <w:r w:rsidR="0080578C" w:rsidRPr="00310249">
        <w:t xml:space="preserve"> can research, assess, monitor and analyse our programs and activities</w:t>
      </w:r>
      <w:r>
        <w:t>;</w:t>
      </w:r>
    </w:p>
    <w:p w14:paraId="4D83FBE7" w14:textId="77777777" w:rsidR="0080578C" w:rsidRPr="00310249" w:rsidRDefault="00145941" w:rsidP="00CC3C8E">
      <w:pPr>
        <w:pStyle w:val="Bullet1"/>
        <w:spacing w:after="120" w:line="276" w:lineRule="auto"/>
      </w:pPr>
      <w:r>
        <w:t>E</w:t>
      </w:r>
      <w:r w:rsidRPr="00310249">
        <w:t xml:space="preserve">mployees </w:t>
      </w:r>
      <w:r w:rsidR="0080578C" w:rsidRPr="00310249">
        <w:t>and contractors of other Commonwealth agencies for any purposes, including government administration, research or service delivery</w:t>
      </w:r>
      <w:r>
        <w:t>;</w:t>
      </w:r>
    </w:p>
    <w:p w14:paraId="5B63AF5F" w14:textId="77777777" w:rsidR="0080578C" w:rsidRPr="00310249" w:rsidRDefault="00145941" w:rsidP="00CC3C8E">
      <w:pPr>
        <w:pStyle w:val="Bullet1"/>
        <w:spacing w:after="120" w:line="276" w:lineRule="auto"/>
      </w:pPr>
      <w:r>
        <w:t>O</w:t>
      </w:r>
      <w:r w:rsidRPr="00310249">
        <w:t xml:space="preserve">ther </w:t>
      </w:r>
      <w:r w:rsidR="0080578C" w:rsidRPr="00310249">
        <w:t>Commonwealth, State, Territory or local government agencies in program reports and consultations</w:t>
      </w:r>
      <w:r>
        <w:t>;</w:t>
      </w:r>
    </w:p>
    <w:p w14:paraId="1A4BC347" w14:textId="77777777" w:rsidR="0080578C" w:rsidRPr="00310249" w:rsidRDefault="00145941" w:rsidP="00CC3C8E">
      <w:pPr>
        <w:pStyle w:val="Bullet1"/>
        <w:spacing w:after="120" w:line="276" w:lineRule="auto"/>
      </w:pPr>
      <w:r>
        <w:t>T</w:t>
      </w:r>
      <w:r w:rsidRPr="00310249">
        <w:t xml:space="preserve">he </w:t>
      </w:r>
      <w:r w:rsidR="0080578C" w:rsidRPr="00310249">
        <w:t>Auditor-General, Ombudsman or Privacy Commissioner</w:t>
      </w:r>
      <w:r>
        <w:t>;</w:t>
      </w:r>
    </w:p>
    <w:p w14:paraId="678F469E" w14:textId="77777777" w:rsidR="0080578C" w:rsidRPr="00310249" w:rsidRDefault="00145941" w:rsidP="00CC3C8E">
      <w:pPr>
        <w:pStyle w:val="Bullet1"/>
        <w:spacing w:after="120" w:line="276" w:lineRule="auto"/>
      </w:pPr>
      <w:r>
        <w:t>T</w:t>
      </w:r>
      <w:r w:rsidRPr="00310249">
        <w:t xml:space="preserve">he </w:t>
      </w:r>
      <w:r w:rsidR="0080578C" w:rsidRPr="00310249">
        <w:t>responsible Minister or Parliamentary Secretary</w:t>
      </w:r>
      <w:r>
        <w:t>:</w:t>
      </w:r>
    </w:p>
    <w:p w14:paraId="7E9514B4" w14:textId="77777777" w:rsidR="0080578C" w:rsidRPr="00310249" w:rsidRDefault="00145941" w:rsidP="00CC3C8E">
      <w:pPr>
        <w:pStyle w:val="Bullet1"/>
        <w:spacing w:after="120" w:line="276" w:lineRule="auto"/>
      </w:pPr>
      <w:r>
        <w:t>A</w:t>
      </w:r>
      <w:r w:rsidRPr="00310249">
        <w:t xml:space="preserve"> </w:t>
      </w:r>
      <w:r w:rsidR="0080578C" w:rsidRPr="00310249">
        <w:t>House or a Committee of the Australian Parliament.</w:t>
      </w:r>
    </w:p>
    <w:p w14:paraId="38484084" w14:textId="77777777" w:rsidR="0080578C" w:rsidRPr="00310249" w:rsidRDefault="0080578C" w:rsidP="00CC3C8E">
      <w:pPr>
        <w:spacing w:after="120" w:line="276" w:lineRule="auto"/>
      </w:pPr>
      <w:r w:rsidRPr="00310249">
        <w:t>We may share the info</w:t>
      </w:r>
      <w:r w:rsidR="00B51177">
        <w:t>rmation applicants</w:t>
      </w:r>
      <w:r w:rsidRPr="00310249">
        <w:t xml:space="preserve"> </w:t>
      </w:r>
      <w:r w:rsidR="00B51177">
        <w:t>provide</w:t>
      </w:r>
      <w:r w:rsidRPr="00310249">
        <w:t xml:space="preserve"> us with other Commonwealth agencies for any purposes including government administration, research or service delivery and according to Australian laws, including the:</w:t>
      </w:r>
    </w:p>
    <w:p w14:paraId="46DFDCFF" w14:textId="77777777" w:rsidR="0080578C" w:rsidRPr="00310249" w:rsidRDefault="0080578C" w:rsidP="00CC3C8E">
      <w:pPr>
        <w:pStyle w:val="Bullet1"/>
        <w:spacing w:before="0" w:after="120" w:line="276" w:lineRule="auto"/>
        <w:rPr>
          <w:i/>
        </w:rPr>
      </w:pPr>
      <w:r w:rsidRPr="00310249">
        <w:rPr>
          <w:i/>
        </w:rPr>
        <w:t>National Disability Insurance Scheme Act 2013</w:t>
      </w:r>
    </w:p>
    <w:p w14:paraId="152E02B3" w14:textId="77777777" w:rsidR="0080578C" w:rsidRPr="00310249" w:rsidRDefault="0080578C" w:rsidP="00CC3C8E">
      <w:pPr>
        <w:pStyle w:val="Bullet1"/>
        <w:spacing w:after="120" w:line="276" w:lineRule="auto"/>
        <w:rPr>
          <w:i/>
        </w:rPr>
      </w:pPr>
      <w:r w:rsidRPr="00310249">
        <w:rPr>
          <w:i/>
        </w:rPr>
        <w:t>Public Service Act 1999</w:t>
      </w:r>
    </w:p>
    <w:p w14:paraId="212A3B43" w14:textId="77777777" w:rsidR="0080578C" w:rsidRPr="00310249" w:rsidRDefault="0080578C" w:rsidP="00CC3C8E">
      <w:pPr>
        <w:pStyle w:val="Bullet1"/>
        <w:spacing w:after="120" w:line="276" w:lineRule="auto"/>
        <w:rPr>
          <w:i/>
        </w:rPr>
      </w:pPr>
      <w:r w:rsidRPr="00310249">
        <w:rPr>
          <w:i/>
        </w:rPr>
        <w:t>Public Service Regulations 1999</w:t>
      </w:r>
    </w:p>
    <w:p w14:paraId="6C302F96" w14:textId="77777777" w:rsidR="0080578C" w:rsidRPr="00310249" w:rsidRDefault="0080578C" w:rsidP="00CC3C8E">
      <w:pPr>
        <w:pStyle w:val="Bullet1"/>
        <w:spacing w:after="120" w:line="276" w:lineRule="auto"/>
        <w:rPr>
          <w:i/>
        </w:rPr>
      </w:pPr>
      <w:r w:rsidRPr="00310249">
        <w:rPr>
          <w:i/>
        </w:rPr>
        <w:t>Public Governance, Performance and Accountability Act</w:t>
      </w:r>
      <w:r>
        <w:rPr>
          <w:i/>
        </w:rPr>
        <w:t xml:space="preserve"> 2013</w:t>
      </w:r>
    </w:p>
    <w:p w14:paraId="0F9E7AD1" w14:textId="77777777" w:rsidR="0080578C" w:rsidRPr="00310249" w:rsidRDefault="0080578C" w:rsidP="00CC3C8E">
      <w:pPr>
        <w:pStyle w:val="Bullet1"/>
        <w:spacing w:after="120" w:line="276" w:lineRule="auto"/>
        <w:rPr>
          <w:i/>
        </w:rPr>
      </w:pPr>
      <w:r w:rsidRPr="00310249">
        <w:rPr>
          <w:i/>
        </w:rPr>
        <w:lastRenderedPageBreak/>
        <w:t xml:space="preserve">Privacy Act 1988 </w:t>
      </w:r>
    </w:p>
    <w:p w14:paraId="4DDA5800" w14:textId="77777777" w:rsidR="0080578C" w:rsidRPr="00310249" w:rsidRDefault="0080578C" w:rsidP="00CC3C8E">
      <w:pPr>
        <w:pStyle w:val="Bullet1"/>
        <w:spacing w:after="120" w:line="276" w:lineRule="auto"/>
        <w:rPr>
          <w:i/>
        </w:rPr>
      </w:pPr>
      <w:r w:rsidRPr="00310249">
        <w:rPr>
          <w:i/>
        </w:rPr>
        <w:t>Crimes Act 1914</w:t>
      </w:r>
    </w:p>
    <w:p w14:paraId="4C6EDB0E" w14:textId="77777777" w:rsidR="0080578C" w:rsidRPr="00310249" w:rsidRDefault="0080578C" w:rsidP="00CC3C8E">
      <w:pPr>
        <w:pStyle w:val="Bullet1"/>
        <w:spacing w:after="120" w:line="276" w:lineRule="auto"/>
        <w:rPr>
          <w:i/>
        </w:rPr>
      </w:pPr>
      <w:r w:rsidRPr="00310249">
        <w:rPr>
          <w:i/>
        </w:rPr>
        <w:t>Criminal Code Act 1995</w:t>
      </w:r>
    </w:p>
    <w:p w14:paraId="53D686DF" w14:textId="77777777" w:rsidR="0080578C" w:rsidRPr="00310249" w:rsidRDefault="0080578C" w:rsidP="00CC3C8E">
      <w:pPr>
        <w:keepNext/>
        <w:spacing w:after="120" w:line="276" w:lineRule="auto"/>
      </w:pPr>
      <w:r w:rsidRPr="00310249">
        <w:t xml:space="preserve">We will treat the information </w:t>
      </w:r>
      <w:r w:rsidR="00B51177">
        <w:t xml:space="preserve">given to </w:t>
      </w:r>
      <w:r w:rsidRPr="00310249">
        <w:t>us as confidential if it meets all of the four conditions below:</w:t>
      </w:r>
    </w:p>
    <w:p w14:paraId="6800EA3B" w14:textId="77777777" w:rsidR="0080578C" w:rsidRPr="00310249" w:rsidRDefault="00145941" w:rsidP="00CC3C8E">
      <w:pPr>
        <w:pStyle w:val="NumberedList1"/>
        <w:numPr>
          <w:ilvl w:val="0"/>
          <w:numId w:val="13"/>
        </w:numPr>
        <w:spacing w:before="0" w:after="120" w:line="276" w:lineRule="auto"/>
        <w:ind w:left="568"/>
      </w:pPr>
      <w:r>
        <w:t xml:space="preserve">The </w:t>
      </w:r>
      <w:r w:rsidR="00B51177">
        <w:t>applicant</w:t>
      </w:r>
      <w:r w:rsidR="0080578C" w:rsidRPr="00310249">
        <w:t xml:space="preserve"> clearly identify the information as confidential and explain why we should treat it as confidential;</w:t>
      </w:r>
    </w:p>
    <w:p w14:paraId="0626D5BE" w14:textId="77777777" w:rsidR="0080578C" w:rsidRPr="00310249" w:rsidRDefault="00145941" w:rsidP="00CC3C8E">
      <w:pPr>
        <w:pStyle w:val="NumberedList1"/>
        <w:spacing w:before="0" w:after="120" w:line="276" w:lineRule="auto"/>
        <w:ind w:left="568"/>
      </w:pPr>
      <w:r>
        <w:t>T</w:t>
      </w:r>
      <w:r w:rsidRPr="00310249">
        <w:t xml:space="preserve">he </w:t>
      </w:r>
      <w:r w:rsidR="0080578C" w:rsidRPr="00310249">
        <w:t>information is commercially sensitive;</w:t>
      </w:r>
    </w:p>
    <w:p w14:paraId="1AE29A9D" w14:textId="77777777" w:rsidR="0080578C" w:rsidRPr="00310249" w:rsidRDefault="00145941" w:rsidP="00CC3C8E">
      <w:pPr>
        <w:pStyle w:val="NumberedList1"/>
        <w:spacing w:before="0" w:after="120" w:line="276" w:lineRule="auto"/>
        <w:ind w:left="568"/>
      </w:pPr>
      <w:r>
        <w:t>D</w:t>
      </w:r>
      <w:r w:rsidRPr="00310249">
        <w:t xml:space="preserve">isclosing </w:t>
      </w:r>
      <w:r w:rsidR="0080578C" w:rsidRPr="00310249">
        <w:t>the information would cause unreasonable harm to you or someone else; and</w:t>
      </w:r>
    </w:p>
    <w:p w14:paraId="0252428B" w14:textId="77777777" w:rsidR="0080578C" w:rsidRPr="00310249" w:rsidRDefault="00145941" w:rsidP="00CC3C8E">
      <w:pPr>
        <w:pStyle w:val="NumberedList1"/>
        <w:spacing w:before="0" w:after="120" w:line="276" w:lineRule="auto"/>
        <w:ind w:left="568"/>
      </w:pPr>
      <w:r>
        <w:t xml:space="preserve">The </w:t>
      </w:r>
      <w:r w:rsidR="00B51177">
        <w:t>applicant</w:t>
      </w:r>
      <w:r w:rsidR="0080578C" w:rsidRPr="00310249">
        <w:t xml:space="preserve"> provide</w:t>
      </w:r>
      <w:r w:rsidR="00B51177">
        <w:t>s</w:t>
      </w:r>
      <w:r w:rsidR="0080578C" w:rsidRPr="00310249">
        <w:t xml:space="preserve"> the information with an understanding that it will stay confidential.</w:t>
      </w:r>
    </w:p>
    <w:p w14:paraId="28CF893E" w14:textId="77777777" w:rsidR="0080578C" w:rsidRPr="00310249" w:rsidRDefault="0080578C" w:rsidP="00CC3C8E">
      <w:pPr>
        <w:spacing w:after="120" w:line="276" w:lineRule="auto"/>
      </w:pPr>
      <w:r>
        <w:t>The Grant A</w:t>
      </w:r>
      <w:r w:rsidRPr="00310249">
        <w:t xml:space="preserve">greement will include any specific requirements about special categories of information collected, created or held under the </w:t>
      </w:r>
      <w:r>
        <w:t>Grant A</w:t>
      </w:r>
      <w:r w:rsidRPr="00310249">
        <w:t xml:space="preserve">greement. </w:t>
      </w:r>
    </w:p>
    <w:p w14:paraId="3CD0D296" w14:textId="77777777" w:rsidR="00340616" w:rsidRPr="00B72EE8" w:rsidRDefault="00375F50" w:rsidP="00CC3C8E">
      <w:pPr>
        <w:pStyle w:val="Heading2Numbered"/>
        <w:spacing w:line="276" w:lineRule="auto"/>
        <w:ind w:left="709" w:hanging="709"/>
        <w:contextualSpacing w:val="0"/>
      </w:pPr>
      <w:bookmarkStart w:id="175" w:name="_Toc531005225"/>
      <w:r>
        <w:t>14</w:t>
      </w:r>
      <w:r w:rsidR="00F64AC7">
        <w:t xml:space="preserve">.4 </w:t>
      </w:r>
      <w:r w:rsidR="00340616" w:rsidRPr="00B72EE8">
        <w:t>Freedom of information</w:t>
      </w:r>
      <w:bookmarkEnd w:id="173"/>
      <w:bookmarkEnd w:id="174"/>
      <w:bookmarkEnd w:id="175"/>
    </w:p>
    <w:p w14:paraId="322BA4C7" w14:textId="77777777" w:rsidR="00340616" w:rsidRPr="00B72EE8" w:rsidRDefault="00340616" w:rsidP="00CC3C8E">
      <w:pPr>
        <w:spacing w:before="0" w:after="120" w:line="276" w:lineRule="auto"/>
      </w:pPr>
      <w:r w:rsidRPr="00B72EE8">
        <w:t xml:space="preserve">All documents in the possession of the </w:t>
      </w:r>
      <w:r w:rsidR="00905422">
        <w:t>NDIA</w:t>
      </w:r>
      <w:r w:rsidRPr="00781E9D">
        <w:t xml:space="preserve">,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4F5D296E" w14:textId="77777777" w:rsidR="00905422" w:rsidRPr="00310249" w:rsidRDefault="00905422" w:rsidP="00CC3C8E">
      <w:pPr>
        <w:spacing w:after="120" w:line="276" w:lineRule="auto"/>
      </w:pPr>
      <w:r w:rsidRPr="00310249">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certain exemptions set out in the FOI Act.</w:t>
      </w:r>
    </w:p>
    <w:p w14:paraId="440B3136" w14:textId="77777777" w:rsidR="00905422" w:rsidRPr="00310249" w:rsidRDefault="00905422" w:rsidP="00CC3C8E">
      <w:pPr>
        <w:spacing w:after="120" w:line="276" w:lineRule="auto"/>
      </w:pPr>
      <w:bookmarkStart w:id="176" w:name="_Toc421777637"/>
      <w:bookmarkStart w:id="177" w:name="_Toc467773995"/>
      <w:r w:rsidRPr="00310249">
        <w:t xml:space="preserve">Documents held by </w:t>
      </w:r>
      <w:r w:rsidR="00B51177">
        <w:t>the applicant</w:t>
      </w:r>
      <w:r w:rsidRPr="00310249">
        <w:t xml:space="preserve"> may be accessible through Freedom of Information requests made to the NDIA if the NDIA has a right to access those documents. </w:t>
      </w:r>
      <w:r w:rsidR="00B51177">
        <w:t>Applicants</w:t>
      </w:r>
      <w:r w:rsidRPr="00310249">
        <w:t xml:space="preserve"> must agree to cooperate with the NDIA upon request in processing any freedom of information request relating to the Program.</w:t>
      </w:r>
    </w:p>
    <w:p w14:paraId="7C6BACB2" w14:textId="77777777" w:rsidR="00905422" w:rsidRPr="00310249" w:rsidRDefault="00905422" w:rsidP="00CC3C8E">
      <w:pPr>
        <w:spacing w:after="120" w:line="276" w:lineRule="auto"/>
      </w:pPr>
      <w:r w:rsidRPr="00310249">
        <w:t>All freedom of information requests must be referred to the Freedom o</w:t>
      </w:r>
      <w:r>
        <w:t xml:space="preserve">f Information team by email to: </w:t>
      </w:r>
      <w:hyperlink r:id="rId42" w:history="1">
        <w:r w:rsidRPr="00310249">
          <w:rPr>
            <w:rStyle w:val="Hyperlink"/>
            <w:rFonts w:cstheme="minorBidi"/>
          </w:rPr>
          <w:t>foi@ndis.gov.au</w:t>
        </w:r>
      </w:hyperlink>
    </w:p>
    <w:p w14:paraId="49CD1ED3" w14:textId="585F3E0F" w:rsidR="00340616" w:rsidRDefault="00DA53BD" w:rsidP="00CC3C8E">
      <w:pPr>
        <w:pStyle w:val="Heading1Numbered"/>
        <w:spacing w:line="276" w:lineRule="auto"/>
        <w:contextualSpacing w:val="0"/>
      </w:pPr>
      <w:bookmarkStart w:id="178" w:name="_Toc467773996"/>
      <w:bookmarkEnd w:id="176"/>
      <w:bookmarkEnd w:id="177"/>
      <w:r>
        <w:br w:type="column"/>
      </w:r>
      <w:bookmarkStart w:id="179" w:name="_Toc531005226"/>
      <w:r w:rsidR="00F64AC7">
        <w:lastRenderedPageBreak/>
        <w:t>1</w:t>
      </w:r>
      <w:r w:rsidR="00375F50">
        <w:t>5</w:t>
      </w:r>
      <w:r w:rsidR="00F64AC7">
        <w:t xml:space="preserve">. </w:t>
      </w:r>
      <w:r w:rsidR="00340616" w:rsidRPr="00B72EE8">
        <w:t>Glossary</w:t>
      </w:r>
      <w:bookmarkEnd w:id="178"/>
      <w:bookmarkEnd w:id="179"/>
    </w:p>
    <w:tbl>
      <w:tblPr>
        <w:tblStyle w:val="TableGrid"/>
        <w:tblW w:w="0" w:type="auto"/>
        <w:tblInd w:w="108" w:type="dxa"/>
        <w:tblLayout w:type="fixed"/>
        <w:tblLook w:val="04A0" w:firstRow="1" w:lastRow="0" w:firstColumn="1" w:lastColumn="0" w:noHBand="0" w:noVBand="1"/>
        <w:tblCaption w:val="Terms and Definitions"/>
        <w:tblDescription w:val="Terms and Definitions"/>
      </w:tblPr>
      <w:tblGrid>
        <w:gridCol w:w="2155"/>
        <w:gridCol w:w="6797"/>
      </w:tblGrid>
      <w:tr w:rsidR="00306F1F" w:rsidRPr="001B21A4" w14:paraId="5A6AE6A8" w14:textId="77777777" w:rsidTr="00BE2361">
        <w:trPr>
          <w:tblHeader/>
        </w:trPr>
        <w:tc>
          <w:tcPr>
            <w:tcW w:w="2155" w:type="dxa"/>
          </w:tcPr>
          <w:p w14:paraId="5D246FB9" w14:textId="77777777" w:rsidR="00306F1F" w:rsidRPr="00FF507B" w:rsidRDefault="00A275FD" w:rsidP="00CC3C8E">
            <w:pPr>
              <w:tabs>
                <w:tab w:val="left" w:pos="2835"/>
              </w:tabs>
              <w:spacing w:after="120" w:line="276" w:lineRule="auto"/>
            </w:pPr>
            <w:r w:rsidRPr="00FF507B">
              <w:rPr>
                <w:b/>
              </w:rPr>
              <w:t>Term</w:t>
            </w:r>
          </w:p>
        </w:tc>
        <w:tc>
          <w:tcPr>
            <w:tcW w:w="6797" w:type="dxa"/>
          </w:tcPr>
          <w:p w14:paraId="59DEFBB3" w14:textId="77777777" w:rsidR="00306F1F" w:rsidRPr="00710FAB" w:rsidRDefault="00A275FD" w:rsidP="00CC3C8E">
            <w:pPr>
              <w:tabs>
                <w:tab w:val="left" w:pos="2835"/>
              </w:tabs>
              <w:spacing w:after="120" w:line="276" w:lineRule="auto"/>
              <w:rPr>
                <w:rFonts w:cs="Arial"/>
                <w:lang w:eastAsia="en-AU"/>
              </w:rPr>
            </w:pPr>
            <w:r w:rsidRPr="00FF507B">
              <w:rPr>
                <w:b/>
              </w:rPr>
              <w:t>Definition</w:t>
            </w:r>
          </w:p>
        </w:tc>
      </w:tr>
      <w:tr w:rsidR="00A275FD" w:rsidRPr="00463AB3" w14:paraId="10F01423" w14:textId="77777777" w:rsidTr="00BE2361">
        <w:tc>
          <w:tcPr>
            <w:tcW w:w="2155" w:type="dxa"/>
          </w:tcPr>
          <w:p w14:paraId="521F92B2" w14:textId="77777777" w:rsidR="00A275FD" w:rsidRDefault="001C4088" w:rsidP="00CC3C8E">
            <w:pPr>
              <w:tabs>
                <w:tab w:val="left" w:pos="2835"/>
              </w:tabs>
              <w:spacing w:after="120" w:line="276" w:lineRule="auto"/>
            </w:pPr>
            <w:r>
              <w:t>A</w:t>
            </w:r>
            <w:r w:rsidR="00A275FD" w:rsidRPr="001B21A4">
              <w:t>ssessment criteria</w:t>
            </w:r>
          </w:p>
        </w:tc>
        <w:tc>
          <w:tcPr>
            <w:tcW w:w="6797" w:type="dxa"/>
          </w:tcPr>
          <w:p w14:paraId="204BA470" w14:textId="77777777" w:rsidR="00A275FD" w:rsidRPr="00463AB3" w:rsidRDefault="00A275FD" w:rsidP="001C4088">
            <w:pPr>
              <w:tabs>
                <w:tab w:val="left" w:pos="2835"/>
              </w:tabs>
              <w:spacing w:after="120" w:line="276" w:lineRule="auto"/>
            </w:pPr>
            <w:r w:rsidRPr="00710FAB">
              <w:rPr>
                <w:rFonts w:cs="Arial"/>
                <w:lang w:eastAsia="en-AU"/>
              </w:rPr>
              <w:t xml:space="preserve">The specified principles or standards against which applications will be judged. These criteria are also used to assess the merits of proposals. </w:t>
            </w:r>
          </w:p>
        </w:tc>
      </w:tr>
      <w:tr w:rsidR="00E26329" w:rsidRPr="00463AB3" w14:paraId="30E8F72B" w14:textId="77777777" w:rsidTr="00BE2361">
        <w:tc>
          <w:tcPr>
            <w:tcW w:w="2155" w:type="dxa"/>
          </w:tcPr>
          <w:p w14:paraId="65414613" w14:textId="77777777" w:rsidR="00E26329" w:rsidRDefault="00DB4883" w:rsidP="00CC3C8E">
            <w:pPr>
              <w:tabs>
                <w:tab w:val="left" w:pos="2835"/>
              </w:tabs>
              <w:spacing w:after="120" w:line="276" w:lineRule="auto"/>
            </w:pPr>
            <w:proofErr w:type="spellStart"/>
            <w:r>
              <w:t>Auspicor</w:t>
            </w:r>
            <w:proofErr w:type="spellEnd"/>
          </w:p>
        </w:tc>
        <w:tc>
          <w:tcPr>
            <w:tcW w:w="6797" w:type="dxa"/>
          </w:tcPr>
          <w:p w14:paraId="142A2C0F" w14:textId="77777777" w:rsidR="00E26329" w:rsidRPr="00710FAB" w:rsidRDefault="00DB4883" w:rsidP="001C4088">
            <w:pPr>
              <w:tabs>
                <w:tab w:val="left" w:pos="2835"/>
              </w:tabs>
              <w:spacing w:after="120" w:line="276" w:lineRule="auto"/>
              <w:rPr>
                <w:rFonts w:cs="Arial"/>
                <w:lang w:eastAsia="en-AU"/>
              </w:rPr>
            </w:pPr>
            <w:r>
              <w:rPr>
                <w:rFonts w:cs="Arial"/>
                <w:lang w:eastAsia="en-AU"/>
              </w:rPr>
              <w:t xml:space="preserve">An </w:t>
            </w:r>
            <w:proofErr w:type="spellStart"/>
            <w:r>
              <w:rPr>
                <w:rFonts w:cs="Arial"/>
                <w:lang w:eastAsia="en-AU"/>
              </w:rPr>
              <w:t>auspicor</w:t>
            </w:r>
            <w:proofErr w:type="spellEnd"/>
            <w:r w:rsidR="00E26329">
              <w:rPr>
                <w:rFonts w:cs="Arial"/>
                <w:lang w:eastAsia="en-AU"/>
              </w:rPr>
              <w:t xml:space="preserve"> is a legal entity that applies on behalf of a</w:t>
            </w:r>
            <w:r>
              <w:rPr>
                <w:rFonts w:cs="Arial"/>
                <w:lang w:eastAsia="en-AU"/>
              </w:rPr>
              <w:t xml:space="preserve">nother organisation. The </w:t>
            </w:r>
            <w:proofErr w:type="spellStart"/>
            <w:r>
              <w:rPr>
                <w:rFonts w:cs="Arial"/>
                <w:lang w:eastAsia="en-AU"/>
              </w:rPr>
              <w:t>Auspicor</w:t>
            </w:r>
            <w:proofErr w:type="spellEnd"/>
            <w:r w:rsidR="00E26329">
              <w:rPr>
                <w:rFonts w:cs="Arial"/>
                <w:lang w:eastAsia="en-AU"/>
              </w:rPr>
              <w:t xml:space="preserve"> becomes the applicant and is legally responsible for the project, its delivery, evaluation and acquittal of funding.</w:t>
            </w:r>
          </w:p>
        </w:tc>
      </w:tr>
      <w:tr w:rsidR="00DB4883" w:rsidRPr="00463AB3" w14:paraId="3984849C" w14:textId="77777777" w:rsidTr="00BE2361">
        <w:tc>
          <w:tcPr>
            <w:tcW w:w="2155" w:type="dxa"/>
          </w:tcPr>
          <w:p w14:paraId="745EFD8A" w14:textId="77777777" w:rsidR="00DB4883" w:rsidRDefault="00DB4883" w:rsidP="00CC3C8E">
            <w:pPr>
              <w:tabs>
                <w:tab w:val="left" w:pos="2835"/>
              </w:tabs>
              <w:spacing w:after="120" w:line="276" w:lineRule="auto"/>
            </w:pPr>
            <w:proofErr w:type="spellStart"/>
            <w:r>
              <w:t>Auspicee</w:t>
            </w:r>
            <w:proofErr w:type="spellEnd"/>
          </w:p>
        </w:tc>
        <w:tc>
          <w:tcPr>
            <w:tcW w:w="6797" w:type="dxa"/>
          </w:tcPr>
          <w:p w14:paraId="7B319DED" w14:textId="77777777" w:rsidR="00DB4883" w:rsidRDefault="00DB4883" w:rsidP="001C4088">
            <w:pPr>
              <w:tabs>
                <w:tab w:val="left" w:pos="2835"/>
              </w:tabs>
              <w:spacing w:after="120" w:line="276" w:lineRule="auto"/>
              <w:rPr>
                <w:rFonts w:cs="Arial"/>
                <w:lang w:eastAsia="en-AU"/>
              </w:rPr>
            </w:pPr>
            <w:r>
              <w:rPr>
                <w:rFonts w:cs="Arial"/>
                <w:lang w:eastAsia="en-AU"/>
              </w:rPr>
              <w:t xml:space="preserve">An organisation or unincorporated group that authorises another organisation to apply and manage the grant funding and contractual arrangements on behalf of the </w:t>
            </w:r>
            <w:proofErr w:type="spellStart"/>
            <w:r>
              <w:rPr>
                <w:rFonts w:cs="Arial"/>
                <w:lang w:eastAsia="en-AU"/>
              </w:rPr>
              <w:t>Auspicee</w:t>
            </w:r>
            <w:proofErr w:type="spellEnd"/>
            <w:r>
              <w:rPr>
                <w:rFonts w:cs="Arial"/>
                <w:lang w:eastAsia="en-AU"/>
              </w:rPr>
              <w:t xml:space="preserve">. The </w:t>
            </w:r>
            <w:proofErr w:type="spellStart"/>
            <w:r>
              <w:rPr>
                <w:rFonts w:cs="Arial"/>
                <w:lang w:eastAsia="en-AU"/>
              </w:rPr>
              <w:t>Auspicee</w:t>
            </w:r>
            <w:proofErr w:type="spellEnd"/>
            <w:r>
              <w:rPr>
                <w:rFonts w:cs="Arial"/>
                <w:lang w:eastAsia="en-AU"/>
              </w:rPr>
              <w:t xml:space="preserve"> will still deliver the project, but the </w:t>
            </w:r>
            <w:proofErr w:type="spellStart"/>
            <w:r>
              <w:rPr>
                <w:rFonts w:cs="Arial"/>
                <w:lang w:eastAsia="en-AU"/>
              </w:rPr>
              <w:t>Auspicor</w:t>
            </w:r>
            <w:proofErr w:type="spellEnd"/>
            <w:r>
              <w:rPr>
                <w:rFonts w:cs="Arial"/>
                <w:lang w:eastAsia="en-AU"/>
              </w:rPr>
              <w:t xml:space="preserve"> will manage the funding and all relationships and requirements with the funding body.</w:t>
            </w:r>
          </w:p>
        </w:tc>
      </w:tr>
      <w:tr w:rsidR="00E26329" w:rsidRPr="00463AB3" w14:paraId="0651387A" w14:textId="77777777" w:rsidTr="00BE2361">
        <w:tc>
          <w:tcPr>
            <w:tcW w:w="2155" w:type="dxa"/>
          </w:tcPr>
          <w:p w14:paraId="2BE023B9" w14:textId="77777777" w:rsidR="00E26329" w:rsidRDefault="00E26329" w:rsidP="00CC3C8E">
            <w:pPr>
              <w:tabs>
                <w:tab w:val="left" w:pos="2835"/>
              </w:tabs>
              <w:spacing w:after="120" w:line="276" w:lineRule="auto"/>
            </w:pPr>
            <w:r>
              <w:t>Applicant</w:t>
            </w:r>
          </w:p>
        </w:tc>
        <w:tc>
          <w:tcPr>
            <w:tcW w:w="6797" w:type="dxa"/>
          </w:tcPr>
          <w:p w14:paraId="50C73BE2" w14:textId="77777777" w:rsidR="00E26329" w:rsidRDefault="00E26329" w:rsidP="001C4088">
            <w:pPr>
              <w:tabs>
                <w:tab w:val="left" w:pos="2835"/>
              </w:tabs>
              <w:spacing w:after="120" w:line="276" w:lineRule="auto"/>
              <w:rPr>
                <w:rFonts w:cs="Arial"/>
                <w:lang w:eastAsia="en-AU"/>
              </w:rPr>
            </w:pPr>
            <w:r>
              <w:rPr>
                <w:rFonts w:cs="Arial"/>
                <w:lang w:eastAsia="en-AU"/>
              </w:rPr>
              <w:t>The legal entity that completes the application form.</w:t>
            </w:r>
          </w:p>
        </w:tc>
      </w:tr>
      <w:tr w:rsidR="00E26329" w:rsidRPr="001B21A4" w14:paraId="04DC9A35" w14:textId="77777777" w:rsidTr="00BE2361">
        <w:tc>
          <w:tcPr>
            <w:tcW w:w="2155" w:type="dxa"/>
          </w:tcPr>
          <w:p w14:paraId="6CE7CCAA" w14:textId="77777777" w:rsidR="00E26329" w:rsidRDefault="00E26329" w:rsidP="00CC3C8E">
            <w:pPr>
              <w:tabs>
                <w:tab w:val="left" w:pos="2835"/>
              </w:tabs>
              <w:spacing w:after="120" w:line="276" w:lineRule="auto"/>
            </w:pPr>
            <w:r>
              <w:t>Consortium</w:t>
            </w:r>
          </w:p>
        </w:tc>
        <w:tc>
          <w:tcPr>
            <w:tcW w:w="6797" w:type="dxa"/>
          </w:tcPr>
          <w:p w14:paraId="13A3901E" w14:textId="77777777" w:rsidR="00E26329" w:rsidRPr="00710FAB" w:rsidRDefault="00571065" w:rsidP="00872BFB">
            <w:pPr>
              <w:tabs>
                <w:tab w:val="left" w:pos="2835"/>
              </w:tabs>
              <w:spacing w:after="120" w:line="276" w:lineRule="auto"/>
              <w:rPr>
                <w:rFonts w:cs="Arial"/>
                <w:lang w:eastAsia="en-AU"/>
              </w:rPr>
            </w:pPr>
            <w:r w:rsidRPr="00571065">
              <w:rPr>
                <w:lang w:val="en"/>
              </w:rPr>
              <w:t xml:space="preserve">A </w:t>
            </w:r>
            <w:r w:rsidRPr="00571065">
              <w:rPr>
                <w:bCs/>
                <w:lang w:val="en"/>
              </w:rPr>
              <w:t>consortium</w:t>
            </w:r>
            <w:r w:rsidRPr="00571065">
              <w:rPr>
                <w:lang w:val="en"/>
              </w:rPr>
              <w:t xml:space="preserve"> is a</w:t>
            </w:r>
            <w:r w:rsidRPr="009223B6">
              <w:rPr>
                <w:lang w:val="en"/>
              </w:rPr>
              <w:t xml:space="preserve">n </w:t>
            </w:r>
            <w:hyperlink r:id="rId43" w:tooltip="Voluntary association" w:history="1">
              <w:r w:rsidRPr="009223B6">
                <w:rPr>
                  <w:color w:val="000000" w:themeColor="text1"/>
                  <w:lang w:val="en"/>
                </w:rPr>
                <w:t>association</w:t>
              </w:r>
            </w:hyperlink>
            <w:r w:rsidRPr="009223B6">
              <w:rPr>
                <w:color w:val="000000" w:themeColor="text1"/>
                <w:lang w:val="en"/>
              </w:rPr>
              <w:t xml:space="preserve"> of two or more </w:t>
            </w:r>
            <w:hyperlink r:id="rId44" w:tooltip="Organizations" w:history="1">
              <w:proofErr w:type="spellStart"/>
              <w:r w:rsidRPr="009223B6">
                <w:rPr>
                  <w:color w:val="000000" w:themeColor="text1"/>
                  <w:lang w:val="en"/>
                </w:rPr>
                <w:t>organisations</w:t>
              </w:r>
              <w:proofErr w:type="spellEnd"/>
            </w:hyperlink>
            <w:r w:rsidR="004F61C3">
              <w:rPr>
                <w:lang w:val="en"/>
              </w:rPr>
              <w:t xml:space="preserve"> or groups</w:t>
            </w:r>
            <w:r w:rsidR="009223B6">
              <w:rPr>
                <w:lang w:val="en"/>
              </w:rPr>
              <w:t xml:space="preserve"> </w:t>
            </w:r>
            <w:r w:rsidRPr="00571065">
              <w:rPr>
                <w:lang w:val="en"/>
              </w:rPr>
              <w:t>with the objective of participating in a common activity or pooling their resources for achieving a common goal.</w:t>
            </w:r>
            <w:r w:rsidR="009223B6">
              <w:rPr>
                <w:lang w:val="en"/>
              </w:rPr>
              <w:t xml:space="preserve"> </w:t>
            </w:r>
            <w:r w:rsidR="009223B6">
              <w:t>One organisation in a consortium must be nominated as the ‘</w:t>
            </w:r>
            <w:r w:rsidR="009223B6" w:rsidRPr="00B72EE8">
              <w:t xml:space="preserve">lead </w:t>
            </w:r>
            <w:r w:rsidR="009223B6">
              <w:t>organisation’</w:t>
            </w:r>
            <w:r w:rsidR="00872BFB">
              <w:t xml:space="preserve"> and the others are referred to as</w:t>
            </w:r>
            <w:r w:rsidR="009223B6">
              <w:t xml:space="preserve"> </w:t>
            </w:r>
            <w:r w:rsidR="00872BFB">
              <w:t>Non-lead organisations.</w:t>
            </w:r>
          </w:p>
        </w:tc>
      </w:tr>
      <w:tr w:rsidR="00CB7DAF" w:rsidRPr="001B21A4" w14:paraId="424267F4" w14:textId="77777777" w:rsidTr="00BE2361">
        <w:tc>
          <w:tcPr>
            <w:tcW w:w="2155" w:type="dxa"/>
          </w:tcPr>
          <w:p w14:paraId="1E14856C" w14:textId="77777777" w:rsidR="00CB7DAF" w:rsidRDefault="00CB7DAF" w:rsidP="00CC3C8E">
            <w:pPr>
              <w:tabs>
                <w:tab w:val="left" w:pos="2835"/>
              </w:tabs>
              <w:spacing w:after="120" w:line="276" w:lineRule="auto"/>
            </w:pPr>
            <w:r>
              <w:t>Disabled Peoples and Families Organisations (DPFOs)</w:t>
            </w:r>
          </w:p>
        </w:tc>
        <w:tc>
          <w:tcPr>
            <w:tcW w:w="6797" w:type="dxa"/>
          </w:tcPr>
          <w:p w14:paraId="144F537C" w14:textId="77777777" w:rsidR="00CB7DAF" w:rsidRPr="00571065" w:rsidRDefault="009223B6" w:rsidP="004F61C3">
            <w:pPr>
              <w:tabs>
                <w:tab w:val="left" w:pos="2835"/>
              </w:tabs>
              <w:spacing w:after="120" w:line="276" w:lineRule="auto"/>
              <w:rPr>
                <w:lang w:val="en"/>
              </w:rPr>
            </w:pPr>
            <w:r>
              <w:rPr>
                <w:rFonts w:cs="Arial"/>
                <w:lang w:eastAsia="en-AU"/>
              </w:rPr>
              <w:t>Disabled Peoples and Families Organisations are defined as organisations that are run by and for people with disability and/or families. These organisations are led and controlled by people with disability and/or families and have a minimum membership of 50% of people with disability and/or families on their board, staff, volunteers or members.</w:t>
            </w:r>
          </w:p>
        </w:tc>
      </w:tr>
      <w:tr w:rsidR="00340616" w:rsidRPr="001B21A4" w14:paraId="6EF074BC" w14:textId="77777777" w:rsidTr="00BE2361">
        <w:tc>
          <w:tcPr>
            <w:tcW w:w="2155" w:type="dxa"/>
          </w:tcPr>
          <w:p w14:paraId="089AE66B" w14:textId="77777777" w:rsidR="00340616" w:rsidRPr="001B21A4" w:rsidRDefault="001C4088" w:rsidP="00CC3C8E">
            <w:pPr>
              <w:tabs>
                <w:tab w:val="left" w:pos="2835"/>
              </w:tabs>
              <w:spacing w:after="120" w:line="276" w:lineRule="auto"/>
            </w:pPr>
            <w:r>
              <w:t>E</w:t>
            </w:r>
            <w:r w:rsidR="00340616" w:rsidRPr="001B21A4">
              <w:t>ligibility criteria</w:t>
            </w:r>
          </w:p>
        </w:tc>
        <w:tc>
          <w:tcPr>
            <w:tcW w:w="6797" w:type="dxa"/>
          </w:tcPr>
          <w:p w14:paraId="39864421" w14:textId="77777777" w:rsidR="00340616" w:rsidRPr="00710FAB" w:rsidRDefault="00340616" w:rsidP="00CC3C8E">
            <w:pPr>
              <w:tabs>
                <w:tab w:val="left" w:pos="2835"/>
              </w:tabs>
              <w:spacing w:after="120" w:line="276" w:lineRule="auto"/>
            </w:pPr>
            <w:r w:rsidRPr="00710FAB">
              <w:rPr>
                <w:rFonts w:cs="Arial"/>
                <w:lang w:eastAsia="en-AU"/>
              </w:rPr>
              <w:t xml:space="preserve">The principles, standards or rules that a grant applicant must meet to qualify for consideration of a grant. Eligibility criteria may apply in addition to </w:t>
            </w:r>
            <w:r w:rsidR="00F63AC4">
              <w:rPr>
                <w:rFonts w:cs="Arial"/>
                <w:lang w:eastAsia="en-AU"/>
              </w:rPr>
              <w:t>selection</w:t>
            </w:r>
            <w:r w:rsidRPr="00710FAB">
              <w:rPr>
                <w:rFonts w:cs="Arial"/>
                <w:lang w:eastAsia="en-AU"/>
              </w:rPr>
              <w:t xml:space="preserve"> criteria. </w:t>
            </w:r>
          </w:p>
        </w:tc>
      </w:tr>
      <w:tr w:rsidR="00340616" w:rsidRPr="00463AB3" w14:paraId="1173EE87" w14:textId="77777777" w:rsidTr="00BE2361">
        <w:tc>
          <w:tcPr>
            <w:tcW w:w="2155" w:type="dxa"/>
          </w:tcPr>
          <w:p w14:paraId="19BB4CD5" w14:textId="77777777" w:rsidR="00340616" w:rsidRPr="00463AB3" w:rsidRDefault="001C4088" w:rsidP="00CC3C8E">
            <w:pPr>
              <w:tabs>
                <w:tab w:val="left" w:pos="2835"/>
              </w:tabs>
              <w:spacing w:after="120" w:line="276" w:lineRule="auto"/>
            </w:pPr>
            <w:r>
              <w:rPr>
                <w:rFonts w:cs="Arial"/>
                <w:lang w:eastAsia="en-AU"/>
              </w:rPr>
              <w:t>G</w:t>
            </w:r>
            <w:r w:rsidR="00340616" w:rsidRPr="00463AB3">
              <w:rPr>
                <w:rFonts w:cs="Arial"/>
                <w:lang w:eastAsia="en-AU"/>
              </w:rPr>
              <w:t xml:space="preserve">rant </w:t>
            </w:r>
          </w:p>
        </w:tc>
        <w:tc>
          <w:tcPr>
            <w:tcW w:w="6797" w:type="dxa"/>
          </w:tcPr>
          <w:p w14:paraId="417F36A9" w14:textId="77777777" w:rsidR="00190651" w:rsidRDefault="00190651" w:rsidP="00CC3C8E">
            <w:pPr>
              <w:spacing w:after="120" w:line="276" w:lineRule="auto"/>
              <w:rPr>
                <w:lang w:eastAsia="en-AU"/>
              </w:rPr>
            </w:pPr>
            <w:r>
              <w:rPr>
                <w:lang w:eastAsia="en-AU"/>
              </w:rPr>
              <w:t>A grant is an arrangement for the provision of financial assistance by the Commonwealth or on behalf of the Commonwealth:</w:t>
            </w:r>
          </w:p>
          <w:p w14:paraId="4860BC79" w14:textId="77777777" w:rsidR="00190651" w:rsidRDefault="00190651" w:rsidP="00CC3C8E">
            <w:pPr>
              <w:numPr>
                <w:ilvl w:val="0"/>
                <w:numId w:val="17"/>
              </w:numPr>
              <w:suppressAutoHyphens w:val="0"/>
              <w:spacing w:before="0" w:after="120" w:line="276" w:lineRule="auto"/>
              <w:ind w:left="459" w:hanging="425"/>
              <w:rPr>
                <w:lang w:eastAsia="en-AU"/>
              </w:rPr>
            </w:pPr>
            <w:r>
              <w:rPr>
                <w:lang w:eastAsia="en-AU"/>
              </w:rPr>
              <w:lastRenderedPageBreak/>
              <w:t xml:space="preserve">under which relevant money or other </w:t>
            </w:r>
            <w:r w:rsidR="00016E2E">
              <w:rPr>
                <w:lang w:eastAsia="en-AU"/>
              </w:rPr>
              <w:t xml:space="preserve">Consolidated Revenue Fund </w:t>
            </w:r>
            <w:r>
              <w:rPr>
                <w:lang w:eastAsia="en-AU"/>
              </w:rPr>
              <w:t>money, is to be paid to a grantee other than the Commonwealth</w:t>
            </w:r>
          </w:p>
          <w:p w14:paraId="422B47F2" w14:textId="77777777" w:rsidR="00340616" w:rsidRPr="00190651" w:rsidRDefault="00190651" w:rsidP="001C4088">
            <w:pPr>
              <w:numPr>
                <w:ilvl w:val="0"/>
                <w:numId w:val="17"/>
              </w:numPr>
              <w:suppressAutoHyphens w:val="0"/>
              <w:spacing w:before="0" w:after="120" w:line="276"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w:t>
            </w:r>
            <w:r w:rsidR="001C4088">
              <w:rPr>
                <w:lang w:eastAsia="en-AU"/>
              </w:rPr>
              <w:t>grant recipient to</w:t>
            </w:r>
            <w:r>
              <w:rPr>
                <w:lang w:eastAsia="en-AU"/>
              </w:rPr>
              <w:t xml:space="preserve"> achieve its objectives.</w:t>
            </w:r>
          </w:p>
        </w:tc>
      </w:tr>
      <w:tr w:rsidR="00340616" w:rsidRPr="001B21A4" w14:paraId="1C4EAEFC" w14:textId="77777777" w:rsidTr="00BE2361">
        <w:tc>
          <w:tcPr>
            <w:tcW w:w="2155" w:type="dxa"/>
          </w:tcPr>
          <w:p w14:paraId="27925BD4" w14:textId="77777777" w:rsidR="00340616" w:rsidRPr="0007627E" w:rsidRDefault="001C4088" w:rsidP="00CC3C8E">
            <w:pPr>
              <w:tabs>
                <w:tab w:val="left" w:pos="2835"/>
              </w:tabs>
              <w:spacing w:after="120" w:line="276" w:lineRule="auto"/>
            </w:pPr>
            <w:r>
              <w:lastRenderedPageBreak/>
              <w:t>G</w:t>
            </w:r>
            <w:r w:rsidR="00340616">
              <w:t xml:space="preserve">rant </w:t>
            </w:r>
            <w:r w:rsidR="00340616" w:rsidRPr="001B21A4">
              <w:t>activity</w:t>
            </w:r>
          </w:p>
        </w:tc>
        <w:tc>
          <w:tcPr>
            <w:tcW w:w="6797" w:type="dxa"/>
          </w:tcPr>
          <w:p w14:paraId="34D9A2FE" w14:textId="77777777" w:rsidR="00340616" w:rsidRPr="00710FAB" w:rsidRDefault="00340616" w:rsidP="001C4088">
            <w:pPr>
              <w:tabs>
                <w:tab w:val="left" w:pos="2835"/>
              </w:tabs>
              <w:spacing w:after="120" w:line="276" w:lineRule="auto"/>
            </w:pPr>
            <w:r w:rsidRPr="00710FAB">
              <w:t xml:space="preserve">Is the project /tasks /services that the </w:t>
            </w:r>
            <w:r w:rsidR="001C4088">
              <w:t>grant recipient</w:t>
            </w:r>
            <w:r w:rsidRPr="00710FAB">
              <w:t xml:space="preserve"> is required to undertake with the grant money. It is described in the Grant Agreement. </w:t>
            </w:r>
          </w:p>
        </w:tc>
      </w:tr>
      <w:tr w:rsidR="00340616" w:rsidRPr="001B21A4" w14:paraId="4AC45EFC" w14:textId="77777777" w:rsidTr="00BE2361">
        <w:tc>
          <w:tcPr>
            <w:tcW w:w="2155" w:type="dxa"/>
          </w:tcPr>
          <w:p w14:paraId="119BC2AE" w14:textId="2C71541B" w:rsidR="00340616" w:rsidRPr="001B21A4" w:rsidRDefault="001C4088" w:rsidP="00414C25">
            <w:pPr>
              <w:tabs>
                <w:tab w:val="left" w:pos="2835"/>
              </w:tabs>
              <w:spacing w:after="120" w:line="276" w:lineRule="auto"/>
            </w:pPr>
            <w:r>
              <w:t>G</w:t>
            </w:r>
            <w:r w:rsidR="00340616" w:rsidRPr="001B21A4">
              <w:t xml:space="preserve">rant </w:t>
            </w:r>
            <w:r w:rsidR="00414C25">
              <w:t>A</w:t>
            </w:r>
            <w:r w:rsidR="00340616" w:rsidRPr="001B21A4">
              <w:t>greement</w:t>
            </w:r>
          </w:p>
        </w:tc>
        <w:tc>
          <w:tcPr>
            <w:tcW w:w="6797" w:type="dxa"/>
          </w:tcPr>
          <w:p w14:paraId="1F884B7B" w14:textId="77777777" w:rsidR="00340616" w:rsidRPr="00710FAB" w:rsidRDefault="00860AC6" w:rsidP="00CC3C8E">
            <w:pPr>
              <w:tabs>
                <w:tab w:val="left" w:pos="2835"/>
              </w:tabs>
              <w:spacing w:after="120" w:line="276" w:lineRule="auto"/>
            </w:pPr>
            <w:r>
              <w:t>T</w:t>
            </w:r>
            <w:r w:rsidR="00340616" w:rsidRPr="00710FAB">
              <w:t xml:space="preserve">he contract template used by Australian Government entities to </w:t>
            </w:r>
            <w:r w:rsidR="00340616">
              <w:t xml:space="preserve">set out the mutual obligations relating to the provision of the grant. </w:t>
            </w:r>
          </w:p>
        </w:tc>
      </w:tr>
      <w:tr w:rsidR="00340616" w:rsidRPr="001B21A4" w14:paraId="59111385" w14:textId="77777777" w:rsidTr="00BE2361">
        <w:tc>
          <w:tcPr>
            <w:tcW w:w="2155" w:type="dxa"/>
          </w:tcPr>
          <w:p w14:paraId="6A7CD751" w14:textId="77777777" w:rsidR="00340616" w:rsidRPr="001B21A4" w:rsidRDefault="001C4088" w:rsidP="00CC3C8E">
            <w:pPr>
              <w:tabs>
                <w:tab w:val="left" w:pos="2835"/>
              </w:tabs>
              <w:spacing w:after="120" w:line="276" w:lineRule="auto"/>
            </w:pPr>
            <w:r>
              <w:t>G</w:t>
            </w:r>
            <w:r w:rsidR="00340616">
              <w:t>rant opportunity</w:t>
            </w:r>
          </w:p>
        </w:tc>
        <w:tc>
          <w:tcPr>
            <w:tcW w:w="6797" w:type="dxa"/>
          </w:tcPr>
          <w:p w14:paraId="525D1C3C" w14:textId="77777777" w:rsidR="00340616" w:rsidRPr="00710FAB" w:rsidRDefault="00340616" w:rsidP="00CC3C8E">
            <w:pPr>
              <w:tabs>
                <w:tab w:val="left" w:pos="2835"/>
              </w:tabs>
              <w:spacing w:after="120" w:line="276" w:lineRule="auto"/>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340616" w:rsidRPr="001B21A4" w14:paraId="3CE510D8" w14:textId="77777777" w:rsidTr="00BE2361">
        <w:tc>
          <w:tcPr>
            <w:tcW w:w="2155" w:type="dxa"/>
          </w:tcPr>
          <w:p w14:paraId="7F26BA77" w14:textId="77777777" w:rsidR="00340616" w:rsidRPr="001B21A4" w:rsidRDefault="001C4088" w:rsidP="00CC3C8E">
            <w:pPr>
              <w:tabs>
                <w:tab w:val="left" w:pos="2835"/>
              </w:tabs>
              <w:spacing w:after="120" w:line="276" w:lineRule="auto"/>
            </w:pPr>
            <w:r>
              <w:t>G</w:t>
            </w:r>
            <w:r w:rsidR="00016E2E">
              <w:t>rant recipient</w:t>
            </w:r>
          </w:p>
        </w:tc>
        <w:tc>
          <w:tcPr>
            <w:tcW w:w="6797" w:type="dxa"/>
          </w:tcPr>
          <w:p w14:paraId="0BCC6FAE" w14:textId="77777777" w:rsidR="00340616" w:rsidRPr="00710FAB" w:rsidRDefault="00340616" w:rsidP="00CC3C8E">
            <w:pPr>
              <w:tabs>
                <w:tab w:val="left" w:pos="2835"/>
              </w:tabs>
              <w:spacing w:after="120" w:line="276" w:lineRule="auto"/>
            </w:pPr>
            <w:r w:rsidRPr="00710FAB">
              <w:t xml:space="preserve">An individual/organisation that has been awarded a grant. </w:t>
            </w:r>
          </w:p>
        </w:tc>
      </w:tr>
      <w:tr w:rsidR="00571065" w:rsidRPr="00463AB3" w14:paraId="699B441C" w14:textId="77777777" w:rsidTr="00BE2361">
        <w:tc>
          <w:tcPr>
            <w:tcW w:w="2155" w:type="dxa"/>
          </w:tcPr>
          <w:p w14:paraId="3AC415DF" w14:textId="77777777" w:rsidR="00571065" w:rsidRDefault="00571065" w:rsidP="00CC3C8E">
            <w:pPr>
              <w:tabs>
                <w:tab w:val="left" w:pos="2835"/>
              </w:tabs>
              <w:spacing w:after="120" w:line="276" w:lineRule="auto"/>
            </w:pPr>
            <w:r>
              <w:t>Individual capacity building</w:t>
            </w:r>
          </w:p>
        </w:tc>
        <w:tc>
          <w:tcPr>
            <w:tcW w:w="6797" w:type="dxa"/>
          </w:tcPr>
          <w:p w14:paraId="0F87D8F7" w14:textId="77777777" w:rsidR="00571065" w:rsidRPr="00571065" w:rsidRDefault="00571065" w:rsidP="00BE2361">
            <w:pPr>
              <w:tabs>
                <w:tab w:val="left" w:pos="2835"/>
              </w:tabs>
              <w:spacing w:after="120" w:line="276" w:lineRule="auto"/>
              <w:rPr>
                <w:rFonts w:ascii="Arial" w:hAnsi="Arial" w:cs="Arial"/>
              </w:rPr>
            </w:pPr>
            <w:r w:rsidRPr="005E0440">
              <w:rPr>
                <w:rFonts w:ascii="Arial" w:hAnsi="Arial" w:cs="Arial"/>
              </w:rPr>
              <w:t xml:space="preserve">These activities </w:t>
            </w:r>
            <w:r>
              <w:rPr>
                <w:rFonts w:ascii="Arial" w:hAnsi="Arial" w:cs="Arial"/>
              </w:rPr>
              <w:t>enable</w:t>
            </w:r>
            <w:r w:rsidRPr="00F22D76">
              <w:rPr>
                <w:rFonts w:ascii="Arial" w:hAnsi="Arial" w:cs="Arial"/>
              </w:rPr>
              <w:t xml:space="preserve"> people with disability </w:t>
            </w:r>
            <w:r>
              <w:rPr>
                <w:rFonts w:ascii="Arial" w:hAnsi="Arial" w:cs="Arial"/>
              </w:rPr>
              <w:t>with the</w:t>
            </w:r>
            <w:r w:rsidRPr="00F22D76">
              <w:rPr>
                <w:rFonts w:ascii="Arial" w:hAnsi="Arial" w:cs="Arial"/>
              </w:rPr>
              <w:t xml:space="preserve"> knowledge, skills and confidence they need to set and achieve their goals</w:t>
            </w:r>
            <w:r>
              <w:rPr>
                <w:rFonts w:ascii="Arial" w:hAnsi="Arial" w:cs="Arial"/>
              </w:rPr>
              <w:t>.</w:t>
            </w:r>
            <w:r w:rsidRPr="00571065">
              <w:rPr>
                <w:rFonts w:ascii="Arial" w:hAnsi="Arial" w:cs="Arial"/>
              </w:rPr>
              <w:t xml:space="preserve"> This could include activities that empower a person to be independent and to engage in social, economic and </w:t>
            </w:r>
            <w:r w:rsidR="00BE2361">
              <w:rPr>
                <w:rFonts w:ascii="Arial" w:hAnsi="Arial" w:cs="Arial"/>
              </w:rPr>
              <w:t>civic</w:t>
            </w:r>
            <w:r w:rsidRPr="00571065">
              <w:rPr>
                <w:rFonts w:ascii="Arial" w:hAnsi="Arial" w:cs="Arial"/>
              </w:rPr>
              <w:t xml:space="preserve"> life.</w:t>
            </w:r>
            <w:r>
              <w:rPr>
                <w:rFonts w:ascii="Arial" w:hAnsi="Arial" w:cs="Arial"/>
                <w:sz w:val="20"/>
                <w:szCs w:val="20"/>
              </w:rPr>
              <w:t xml:space="preserve"> </w:t>
            </w:r>
          </w:p>
        </w:tc>
      </w:tr>
      <w:tr w:rsidR="00953324" w:rsidRPr="00463AB3" w14:paraId="1FF0F836" w14:textId="77777777" w:rsidTr="00BE2361">
        <w:tc>
          <w:tcPr>
            <w:tcW w:w="2155" w:type="dxa"/>
          </w:tcPr>
          <w:p w14:paraId="0490D1D9" w14:textId="77777777" w:rsidR="00953324" w:rsidRDefault="00953324" w:rsidP="00CC3C8E">
            <w:pPr>
              <w:tabs>
                <w:tab w:val="left" w:pos="2835"/>
              </w:tabs>
              <w:spacing w:after="120" w:line="276" w:lineRule="auto"/>
            </w:pPr>
            <w:r>
              <w:t>Mainstream Services</w:t>
            </w:r>
          </w:p>
        </w:tc>
        <w:tc>
          <w:tcPr>
            <w:tcW w:w="6797" w:type="dxa"/>
          </w:tcPr>
          <w:p w14:paraId="42CF25FB" w14:textId="77777777" w:rsidR="00953324" w:rsidRPr="005E0440" w:rsidRDefault="009223B6" w:rsidP="00BE2361">
            <w:pPr>
              <w:tabs>
                <w:tab w:val="left" w:pos="2835"/>
              </w:tabs>
              <w:spacing w:after="120" w:line="276" w:lineRule="auto"/>
              <w:rPr>
                <w:rFonts w:ascii="Arial" w:hAnsi="Arial" w:cs="Arial"/>
              </w:rPr>
            </w:pPr>
            <w:r>
              <w:rPr>
                <w:rFonts w:cs="Arial"/>
                <w:lang w:eastAsia="en-AU"/>
              </w:rPr>
              <w:t>Services and programs that are the responsibility of Commonwealth, State or Local governments that everyone in the community can use such as health, education or transport. They are sometimes called universal services.</w:t>
            </w:r>
          </w:p>
        </w:tc>
      </w:tr>
      <w:tr w:rsidR="007A5027" w:rsidRPr="00463AB3" w14:paraId="787C1F96" w14:textId="77777777" w:rsidTr="00BE2361">
        <w:tc>
          <w:tcPr>
            <w:tcW w:w="2155" w:type="dxa"/>
          </w:tcPr>
          <w:p w14:paraId="7A6EE3EA" w14:textId="77777777" w:rsidR="007A5027" w:rsidRPr="00463AB3" w:rsidRDefault="007A5027" w:rsidP="00CC3C8E">
            <w:pPr>
              <w:tabs>
                <w:tab w:val="left" w:pos="2835"/>
              </w:tabs>
              <w:spacing w:after="120" w:line="276" w:lineRule="auto"/>
            </w:pPr>
            <w:r>
              <w:t>NDIA Delegate</w:t>
            </w:r>
          </w:p>
        </w:tc>
        <w:tc>
          <w:tcPr>
            <w:tcW w:w="6797" w:type="dxa"/>
          </w:tcPr>
          <w:p w14:paraId="0B2A7FF9" w14:textId="78F268B6" w:rsidR="007A5027" w:rsidRPr="00E84C48" w:rsidRDefault="00C30E3F" w:rsidP="00571065">
            <w:pPr>
              <w:tabs>
                <w:tab w:val="left" w:pos="2835"/>
              </w:tabs>
              <w:spacing w:after="120" w:line="276" w:lineRule="auto"/>
              <w:rPr>
                <w:rFonts w:cs="Arial"/>
              </w:rPr>
            </w:pPr>
            <w:r>
              <w:t xml:space="preserve">The </w:t>
            </w:r>
            <w:r w:rsidR="00F63AC4">
              <w:t xml:space="preserve">decision maker for the funding round </w:t>
            </w:r>
            <w:r>
              <w:t xml:space="preserve">as per the </w:t>
            </w:r>
            <w:r w:rsidR="007A5027" w:rsidRPr="004915C2">
              <w:rPr>
                <w:i/>
                <w:iCs/>
                <w:color w:val="000000" w:themeColor="text1"/>
              </w:rPr>
              <w:t>NDIA’s Financial Authorisations – Version 2018-01</w:t>
            </w:r>
            <w:r w:rsidR="00E84C48">
              <w:rPr>
                <w:i/>
                <w:iCs/>
                <w:color w:val="000000" w:themeColor="text1"/>
              </w:rPr>
              <w:t xml:space="preserve">. </w:t>
            </w:r>
            <w:r w:rsidR="00E84C48">
              <w:rPr>
                <w:iCs/>
                <w:color w:val="000000" w:themeColor="text1"/>
              </w:rPr>
              <w:t xml:space="preserve">In this grant round the NDIA Delegate will </w:t>
            </w:r>
            <w:r w:rsidR="005B632B">
              <w:rPr>
                <w:iCs/>
                <w:color w:val="000000" w:themeColor="text1"/>
              </w:rPr>
              <w:t xml:space="preserve">likely </w:t>
            </w:r>
            <w:r w:rsidR="00E84C48">
              <w:rPr>
                <w:iCs/>
                <w:color w:val="000000" w:themeColor="text1"/>
              </w:rPr>
              <w:t>be the NDIA CEO.</w:t>
            </w:r>
          </w:p>
        </w:tc>
      </w:tr>
      <w:tr w:rsidR="00571065" w:rsidRPr="001B21A4" w14:paraId="36CB0266" w14:textId="77777777" w:rsidTr="00BE2361">
        <w:tc>
          <w:tcPr>
            <w:tcW w:w="2155" w:type="dxa"/>
          </w:tcPr>
          <w:p w14:paraId="4CD4BD2B" w14:textId="77777777" w:rsidR="00571065" w:rsidRDefault="00571065" w:rsidP="00CC3C8E">
            <w:pPr>
              <w:tabs>
                <w:tab w:val="left" w:pos="2835"/>
              </w:tabs>
              <w:spacing w:after="120" w:line="276" w:lineRule="auto"/>
            </w:pPr>
            <w:r>
              <w:t>Organisational capacity building</w:t>
            </w:r>
          </w:p>
        </w:tc>
        <w:tc>
          <w:tcPr>
            <w:tcW w:w="6797" w:type="dxa"/>
          </w:tcPr>
          <w:p w14:paraId="186A083E" w14:textId="77777777" w:rsidR="00571065" w:rsidRPr="00571065" w:rsidRDefault="00571065" w:rsidP="00571065">
            <w:pPr>
              <w:spacing w:line="288" w:lineRule="auto"/>
              <w:rPr>
                <w:rFonts w:ascii="Arial" w:hAnsi="Arial" w:cs="Arial"/>
              </w:rPr>
            </w:pPr>
            <w:r w:rsidRPr="00571065">
              <w:rPr>
                <w:rFonts w:ascii="Arial" w:hAnsi="Arial" w:cs="Arial"/>
              </w:rPr>
              <w:t xml:space="preserve">Organisational capacity building are activities to improve the ability of the organisation to effectively deliver its purpose. Activities focus on one, or a number of aspects of how an organisation functions such as strategy, </w:t>
            </w:r>
            <w:r w:rsidR="00785055">
              <w:rPr>
                <w:rFonts w:ascii="Arial" w:hAnsi="Arial" w:cs="Arial"/>
              </w:rPr>
              <w:t xml:space="preserve">effectiveness of </w:t>
            </w:r>
            <w:r w:rsidRPr="00571065">
              <w:rPr>
                <w:rFonts w:ascii="Arial" w:hAnsi="Arial" w:cs="Arial"/>
              </w:rPr>
              <w:t xml:space="preserve">governance, culture, processes/systems, people management or the skills and capability of its people. </w:t>
            </w:r>
          </w:p>
        </w:tc>
      </w:tr>
      <w:tr w:rsidR="00CB7DAF" w:rsidRPr="001B21A4" w14:paraId="5FCE7672" w14:textId="77777777" w:rsidTr="00BE2361">
        <w:tc>
          <w:tcPr>
            <w:tcW w:w="2155" w:type="dxa"/>
          </w:tcPr>
          <w:p w14:paraId="2527CEA9" w14:textId="77777777" w:rsidR="00CB7DAF" w:rsidRDefault="00CB7DAF" w:rsidP="00CC3C8E">
            <w:pPr>
              <w:tabs>
                <w:tab w:val="left" w:pos="2835"/>
              </w:tabs>
              <w:spacing w:after="120" w:line="276" w:lineRule="auto"/>
            </w:pPr>
            <w:r>
              <w:lastRenderedPageBreak/>
              <w:t>Peer Support</w:t>
            </w:r>
          </w:p>
        </w:tc>
        <w:tc>
          <w:tcPr>
            <w:tcW w:w="6797" w:type="dxa"/>
          </w:tcPr>
          <w:p w14:paraId="032FE770" w14:textId="2FEED163" w:rsidR="00CB7DAF" w:rsidRPr="00571065" w:rsidRDefault="00CB7DAF" w:rsidP="005B632B">
            <w:pPr>
              <w:spacing w:line="288" w:lineRule="auto"/>
              <w:rPr>
                <w:rFonts w:ascii="Arial" w:hAnsi="Arial" w:cs="Arial"/>
              </w:rPr>
            </w:pPr>
            <w:r>
              <w:rPr>
                <w:rFonts w:ascii="Arial" w:hAnsi="Arial" w:cs="Arial"/>
              </w:rPr>
              <w:t>People drawing on shared personal experience to provide knowledge, social interaction, emotional assistance o</w:t>
            </w:r>
            <w:r w:rsidR="005B632B">
              <w:rPr>
                <w:rFonts w:ascii="Arial" w:hAnsi="Arial" w:cs="Arial"/>
              </w:rPr>
              <w:t>r</w:t>
            </w:r>
            <w:r>
              <w:rPr>
                <w:rFonts w:ascii="Arial" w:hAnsi="Arial" w:cs="Arial"/>
              </w:rPr>
              <w:t xml:space="preserve"> practical help to each other, often in a way that is mutually beneficial.</w:t>
            </w:r>
          </w:p>
        </w:tc>
      </w:tr>
      <w:tr w:rsidR="00571065" w:rsidRPr="001B21A4" w14:paraId="19AE7116" w14:textId="77777777" w:rsidTr="00BE2361">
        <w:tc>
          <w:tcPr>
            <w:tcW w:w="2155" w:type="dxa"/>
          </w:tcPr>
          <w:p w14:paraId="0EA2ED8E" w14:textId="77777777" w:rsidR="00571065" w:rsidRDefault="00571065" w:rsidP="00BE2361">
            <w:pPr>
              <w:tabs>
                <w:tab w:val="left" w:pos="2835"/>
              </w:tabs>
              <w:spacing w:before="120" w:after="120" w:line="276" w:lineRule="auto"/>
            </w:pPr>
            <w:r>
              <w:t>Peer-to-peer learning</w:t>
            </w:r>
          </w:p>
        </w:tc>
        <w:tc>
          <w:tcPr>
            <w:tcW w:w="6797" w:type="dxa"/>
          </w:tcPr>
          <w:p w14:paraId="1B80078D" w14:textId="77777777" w:rsidR="00571065" w:rsidRPr="00BE2361" w:rsidRDefault="00BE2361" w:rsidP="00BF2C8F">
            <w:pPr>
              <w:pStyle w:val="Bullet"/>
              <w:spacing w:before="120"/>
              <w:ind w:left="0" w:firstLine="0"/>
            </w:pPr>
            <w:r>
              <w:rPr>
                <w:rStyle w:val="Emphasis"/>
                <w:i w:val="0"/>
              </w:rPr>
              <w:t>L</w:t>
            </w:r>
            <w:r w:rsidRPr="00BE2361">
              <w:rPr>
                <w:rStyle w:val="Emphasis"/>
                <w:i w:val="0"/>
              </w:rPr>
              <w:t>earning with and from each other</w:t>
            </w:r>
            <w:r w:rsidRPr="00BE2361">
              <w:t xml:space="preserve"> as fellow learners</w:t>
            </w:r>
            <w:r w:rsidR="00BF2C8F">
              <w:t>, including the sharing of knowledge, ideas and experience</w:t>
            </w:r>
            <w:r w:rsidR="00CB7DAF">
              <w:t>.</w:t>
            </w:r>
            <w:r w:rsidRPr="00BE2361">
              <w:t xml:space="preserve"> </w:t>
            </w:r>
          </w:p>
        </w:tc>
      </w:tr>
      <w:tr w:rsidR="00340616" w:rsidRPr="001B21A4" w14:paraId="530AA123" w14:textId="77777777" w:rsidTr="00BE2361">
        <w:tc>
          <w:tcPr>
            <w:tcW w:w="2155" w:type="dxa"/>
          </w:tcPr>
          <w:p w14:paraId="543509B2" w14:textId="77777777" w:rsidR="00340616" w:rsidRPr="001B21A4" w:rsidRDefault="001C4088" w:rsidP="00CC3C8E">
            <w:pPr>
              <w:tabs>
                <w:tab w:val="left" w:pos="2835"/>
              </w:tabs>
              <w:spacing w:after="120" w:line="276" w:lineRule="auto"/>
            </w:pPr>
            <w:r>
              <w:t>S</w:t>
            </w:r>
            <w:r w:rsidR="00340616" w:rsidRPr="001B21A4">
              <w:t>election process</w:t>
            </w:r>
          </w:p>
        </w:tc>
        <w:tc>
          <w:tcPr>
            <w:tcW w:w="6797" w:type="dxa"/>
          </w:tcPr>
          <w:p w14:paraId="11C1CE0E" w14:textId="77E3A305" w:rsidR="00340616" w:rsidRPr="00710FAB" w:rsidRDefault="00340616" w:rsidP="00CC3C8E">
            <w:pPr>
              <w:tabs>
                <w:tab w:val="left" w:pos="2835"/>
              </w:tabs>
              <w:spacing w:after="120" w:line="276" w:lineRule="auto"/>
            </w:pPr>
            <w:r w:rsidRPr="00710FAB">
              <w:t>The method used to select potential gra</w:t>
            </w:r>
            <w:r w:rsidR="00F63AC4">
              <w:t>nt</w:t>
            </w:r>
            <w:r w:rsidR="005B632B">
              <w:t xml:space="preserve"> recipients</w:t>
            </w:r>
            <w:r w:rsidR="00F63AC4">
              <w:t xml:space="preserve">. This process involves </w:t>
            </w:r>
            <w:r w:rsidRPr="00710FAB">
              <w:t xml:space="preserve">the assessment of applications against </w:t>
            </w:r>
            <w:r w:rsidR="001029C7">
              <w:t>the</w:t>
            </w:r>
            <w:r w:rsidRPr="00710FAB">
              <w:t xml:space="preserve"> assessment criteria</w:t>
            </w:r>
            <w:r w:rsidR="009C5872">
              <w:t xml:space="preserve"> (including </w:t>
            </w:r>
            <w:r w:rsidR="001029C7">
              <w:t xml:space="preserve">their eligibility, compliance, </w:t>
            </w:r>
            <w:r w:rsidR="009C5872">
              <w:t>and the overall value for money of their proposal).</w:t>
            </w:r>
          </w:p>
        </w:tc>
      </w:tr>
      <w:tr w:rsidR="00953324" w:rsidRPr="001B21A4" w14:paraId="4268F48F" w14:textId="77777777" w:rsidTr="00BE2361">
        <w:tc>
          <w:tcPr>
            <w:tcW w:w="2155" w:type="dxa"/>
          </w:tcPr>
          <w:p w14:paraId="59D4A271" w14:textId="77777777" w:rsidR="00953324" w:rsidRDefault="00953324" w:rsidP="00CC3C8E">
            <w:pPr>
              <w:tabs>
                <w:tab w:val="left" w:pos="2835"/>
              </w:tabs>
              <w:spacing w:after="120" w:line="276" w:lineRule="auto"/>
            </w:pPr>
            <w:r>
              <w:t>Self-management</w:t>
            </w:r>
          </w:p>
        </w:tc>
        <w:tc>
          <w:tcPr>
            <w:tcW w:w="6797" w:type="dxa"/>
          </w:tcPr>
          <w:p w14:paraId="4D68A403" w14:textId="7EB990B4" w:rsidR="00587F4E" w:rsidRPr="00710FAB" w:rsidRDefault="00587F4E" w:rsidP="003866F5">
            <w:pPr>
              <w:tabs>
                <w:tab w:val="left" w:pos="2835"/>
              </w:tabs>
              <w:spacing w:after="120" w:line="276" w:lineRule="auto"/>
            </w:pPr>
            <w:r w:rsidRPr="00587F4E">
              <w:t xml:space="preserve">Self-management </w:t>
            </w:r>
            <w:r w:rsidR="003866F5">
              <w:t xml:space="preserve">is when a person with disability has </w:t>
            </w:r>
            <w:r w:rsidRPr="00587F4E">
              <w:t xml:space="preserve">control, independence and flexibility to arrange and pay for supports. </w:t>
            </w:r>
            <w:r w:rsidR="003866F5">
              <w:t>In the NDIS setting, s</w:t>
            </w:r>
            <w:r w:rsidRPr="00587F4E">
              <w:t xml:space="preserve">elf-management gives participants and/or their nominees the option to manage all or some of their </w:t>
            </w:r>
            <w:r>
              <w:t xml:space="preserve">NDIS </w:t>
            </w:r>
            <w:r w:rsidR="00875345">
              <w:t>funding.</w:t>
            </w:r>
          </w:p>
        </w:tc>
      </w:tr>
    </w:tbl>
    <w:p w14:paraId="4F7AFA40" w14:textId="77777777" w:rsidR="00782589" w:rsidRDefault="00782589" w:rsidP="00CC3C8E">
      <w:pPr>
        <w:tabs>
          <w:tab w:val="left" w:pos="2835"/>
        </w:tabs>
        <w:spacing w:after="120" w:line="276" w:lineRule="auto"/>
      </w:pPr>
    </w:p>
    <w:sectPr w:rsidR="00782589" w:rsidSect="004802B3">
      <w:headerReference w:type="even" r:id="rId45"/>
      <w:headerReference w:type="default" r:id="rId46"/>
      <w:footerReference w:type="even" r:id="rId47"/>
      <w:footerReference w:type="default" r:id="rId48"/>
      <w:headerReference w:type="first" r:id="rId49"/>
      <w:pgSz w:w="11906" w:h="16838" w:code="9"/>
      <w:pgMar w:top="2268" w:right="1418" w:bottom="1418" w:left="1418" w:header="567"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C58377" w16cid:durableId="1F954021"/>
  <w16cid:commentId w16cid:paraId="41D674A8" w16cid:durableId="1F9540A6"/>
  <w16cid:commentId w16cid:paraId="3CCE6E4D" w16cid:durableId="1F9540DD"/>
  <w16cid:commentId w16cid:paraId="7B0B984A" w16cid:durableId="1F954115"/>
  <w16cid:commentId w16cid:paraId="701A1351" w16cid:durableId="1F954022"/>
  <w16cid:commentId w16cid:paraId="5C4E8D82" w16cid:durableId="1F954023"/>
  <w16cid:commentId w16cid:paraId="712E65EF" w16cid:durableId="1F954024"/>
  <w16cid:commentId w16cid:paraId="43A95656" w16cid:durableId="1F954C0A"/>
  <w16cid:commentId w16cid:paraId="0130678B" w16cid:durableId="1F954025"/>
  <w16cid:commentId w16cid:paraId="56240B2A" w16cid:durableId="1F955249"/>
  <w16cid:commentId w16cid:paraId="2793D244" w16cid:durableId="1F954026"/>
  <w16cid:commentId w16cid:paraId="551D9826" w16cid:durableId="1F954027"/>
  <w16cid:commentId w16cid:paraId="6B62C092" w16cid:durableId="1F954028"/>
  <w16cid:commentId w16cid:paraId="468287EA" w16cid:durableId="1F954029"/>
  <w16cid:commentId w16cid:paraId="18A504FC" w16cid:durableId="1F95402A"/>
  <w16cid:commentId w16cid:paraId="3BB6B0F0" w16cid:durableId="1F95402B"/>
  <w16cid:commentId w16cid:paraId="0DBCFD62" w16cid:durableId="1F95402C"/>
  <w16cid:commentId w16cid:paraId="512459B9" w16cid:durableId="1F9540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C6D9C" w14:textId="77777777" w:rsidR="0021073D" w:rsidRDefault="0021073D" w:rsidP="00EF4574">
      <w:pPr>
        <w:spacing w:before="0" w:after="0" w:line="240" w:lineRule="auto"/>
      </w:pPr>
      <w:r>
        <w:separator/>
      </w:r>
    </w:p>
    <w:p w14:paraId="4D95CFEA" w14:textId="77777777" w:rsidR="0021073D" w:rsidRDefault="0021073D"/>
  </w:endnote>
  <w:endnote w:type="continuationSeparator" w:id="0">
    <w:p w14:paraId="0E287AFB" w14:textId="77777777" w:rsidR="0021073D" w:rsidRDefault="0021073D" w:rsidP="00EF4574">
      <w:pPr>
        <w:spacing w:before="0" w:after="0" w:line="240" w:lineRule="auto"/>
      </w:pPr>
      <w:r>
        <w:continuationSeparator/>
      </w:r>
    </w:p>
    <w:p w14:paraId="4202AB6D" w14:textId="77777777" w:rsidR="0021073D" w:rsidRDefault="00210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Swiss721BT-Light">
    <w:altName w:val="Arial Unicode MS"/>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F0F1" w14:textId="77777777" w:rsidR="0010393C" w:rsidRDefault="0010393C">
    <w:pPr>
      <w:pStyle w:val="Footer"/>
    </w:pPr>
  </w:p>
  <w:p w14:paraId="25770DFE" w14:textId="77777777" w:rsidR="0010393C" w:rsidRPr="00345382" w:rsidRDefault="0010393C">
    <w:pPr>
      <w:pStyle w:val="Footer"/>
      <w:rPr>
        <w:rFonts w:ascii="Arial" w:hAnsi="Arial" w:cs="Arial"/>
      </w:rPr>
    </w:pPr>
    <w:r w:rsidRPr="00345382">
      <w:rPr>
        <w:rFonts w:ascii="Arial" w:hAnsi="Arial" w:cs="Arial"/>
      </w:rPr>
      <w:t>[7652024: 22517169_1]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1575" w14:textId="018C7515" w:rsidR="0010393C" w:rsidRDefault="0010393C" w:rsidP="005970EA">
    <w:pPr>
      <w:pStyle w:val="Footer"/>
      <w:rPr>
        <w:noProof/>
      </w:rPr>
    </w:pPr>
    <w:r>
      <w:rPr>
        <w:noProof/>
      </w:rPr>
      <w:tab/>
    </w:r>
    <w:r>
      <w:tab/>
    </w:r>
    <w:r>
      <w:fldChar w:fldCharType="begin"/>
    </w:r>
    <w:r>
      <w:instrText xml:space="preserve"> PAGE   \* MERGEFORMAT </w:instrText>
    </w:r>
    <w:r>
      <w:fldChar w:fldCharType="separate"/>
    </w:r>
    <w:r w:rsidR="00C83DCF">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F4F67" w14:textId="77777777" w:rsidR="0021073D" w:rsidRDefault="0021073D" w:rsidP="0020122A">
      <w:pPr>
        <w:pStyle w:val="FootnoteSeparator"/>
      </w:pPr>
    </w:p>
  </w:footnote>
  <w:footnote w:type="continuationSeparator" w:id="0">
    <w:p w14:paraId="5C808F69" w14:textId="77777777" w:rsidR="0021073D" w:rsidRDefault="0021073D" w:rsidP="00EF4574">
      <w:pPr>
        <w:spacing w:before="0" w:after="0" w:line="240" w:lineRule="auto"/>
      </w:pPr>
      <w:r>
        <w:continuationSeparator/>
      </w:r>
    </w:p>
    <w:p w14:paraId="4B0AA947" w14:textId="77777777" w:rsidR="0021073D" w:rsidRDefault="002107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FE1A" w14:textId="5A535398" w:rsidR="0010393C" w:rsidRDefault="0021073D">
    <w:pPr>
      <w:pStyle w:val="Header"/>
    </w:pPr>
    <w:r>
      <w:rPr>
        <w:noProof/>
      </w:rPr>
      <w:pict w14:anchorId="3CEC2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383.6pt;height:255.75pt;rotation:315;z-index:-251658752;mso-position-horizontal:center;mso-position-horizontal-relative:margin;mso-position-vertical:center;mso-position-vertical-relative:margin" o:allowincell="f" fillcolor="silver" stroked="f">
          <v:fill opacity=".5"/>
          <v:textpath style="font-family:&quot;Arial&quot;;font-size:1pt" string="V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5A1D" w14:textId="49BAC2BD" w:rsidR="0010393C" w:rsidRPr="000A6A8B" w:rsidRDefault="0010393C" w:rsidP="000A6A8B">
    <w:pPr>
      <w:pStyle w:val="Header"/>
      <w:jc w:val="center"/>
      <w:rPr>
        <w:rStyle w:val="Classificatio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813F" w14:textId="3368E62E" w:rsidR="0010393C" w:rsidRDefault="0010393C"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AEE"/>
    <w:multiLevelType w:val="hybridMultilevel"/>
    <w:tmpl w:val="CAC0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733B0"/>
    <w:multiLevelType w:val="hybridMultilevel"/>
    <w:tmpl w:val="9D427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D20BCF"/>
    <w:multiLevelType w:val="hybridMultilevel"/>
    <w:tmpl w:val="717C15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AA590B"/>
    <w:multiLevelType w:val="hybridMultilevel"/>
    <w:tmpl w:val="8D3234A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56F31BC"/>
    <w:multiLevelType w:val="hybridMultilevel"/>
    <w:tmpl w:val="6F3CB7F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407EB5"/>
    <w:multiLevelType w:val="hybridMultilevel"/>
    <w:tmpl w:val="9C9E05E4"/>
    <w:lvl w:ilvl="0" w:tplc="E930732A">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6DC4296"/>
    <w:multiLevelType w:val="hybridMultilevel"/>
    <w:tmpl w:val="75AA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5E63C8"/>
    <w:multiLevelType w:val="hybridMultilevel"/>
    <w:tmpl w:val="85F8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7"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4567BA"/>
    <w:multiLevelType w:val="hybridMultilevel"/>
    <w:tmpl w:val="332EB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BC1006"/>
    <w:multiLevelType w:val="multilevel"/>
    <w:tmpl w:val="FC9CB034"/>
    <w:lvl w:ilvl="0">
      <w:start w:val="1"/>
      <w:numFmt w:val="decimal"/>
      <w:pStyle w:val="CEOBrief-Heading1"/>
      <w:lvlText w:val="%1."/>
      <w:lvlJc w:val="left"/>
      <w:pPr>
        <w:ind w:left="360" w:hanging="360"/>
      </w:pPr>
      <w:rPr>
        <w:rFonts w:hint="default"/>
      </w:rPr>
    </w:lvl>
    <w:lvl w:ilvl="1">
      <w:start w:val="1"/>
      <w:numFmt w:val="decimal"/>
      <w:pStyle w:val="CEOBrief-Paragraph1"/>
      <w:lvlText w:val="%1.%2."/>
      <w:lvlJc w:val="left"/>
      <w:pPr>
        <w:ind w:left="8938" w:hanging="432"/>
      </w:pPr>
      <w:rPr>
        <w:rFonts w:hint="default"/>
        <w:b w:val="0"/>
      </w:rPr>
    </w:lvl>
    <w:lvl w:ilvl="2">
      <w:start w:val="1"/>
      <w:numFmt w:val="decimal"/>
      <w:pStyle w:val="CEOBrief-Paragaph2"/>
      <w:lvlText w:val="%1.%2.%3."/>
      <w:lvlJc w:val="left"/>
      <w:pPr>
        <w:ind w:left="1224" w:hanging="504"/>
      </w:pPr>
      <w:rPr>
        <w:rFonts w:ascii="Arial" w:hAnsi="Arial" w:cs="Arial" w:hint="default"/>
        <w:b w:val="0"/>
        <w:i w:val="0"/>
        <w:sz w:val="22"/>
        <w:szCs w:val="22"/>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927D4C"/>
    <w:multiLevelType w:val="hybridMultilevel"/>
    <w:tmpl w:val="5A1E9D00"/>
    <w:lvl w:ilvl="0" w:tplc="0C090001">
      <w:start w:val="1"/>
      <w:numFmt w:val="bullet"/>
      <w:lvlText w:val=""/>
      <w:lvlJc w:val="left"/>
      <w:pPr>
        <w:tabs>
          <w:tab w:val="num" w:pos="720"/>
        </w:tabs>
        <w:ind w:left="720" w:hanging="360"/>
      </w:pPr>
      <w:rPr>
        <w:rFonts w:ascii="Symbol" w:hAnsi="Symbol" w:hint="default"/>
      </w:rPr>
    </w:lvl>
    <w:lvl w:ilvl="1" w:tplc="D99A8EE2">
      <w:start w:val="1"/>
      <w:numFmt w:val="bullet"/>
      <w:lvlText w:val="-"/>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74032"/>
    <w:multiLevelType w:val="multilevel"/>
    <w:tmpl w:val="04467536"/>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Courier New" w:hAnsi="Courier New"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2933F3"/>
    <w:multiLevelType w:val="hybridMultilevel"/>
    <w:tmpl w:val="6FE88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95E11E2"/>
    <w:multiLevelType w:val="hybridMultilevel"/>
    <w:tmpl w:val="953E12AA"/>
    <w:lvl w:ilvl="0" w:tplc="3062AE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7" w15:restartNumberingAfterBreak="0">
    <w:nsid w:val="6E5F08F2"/>
    <w:multiLevelType w:val="hybridMultilevel"/>
    <w:tmpl w:val="CD40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F1246A2"/>
    <w:multiLevelType w:val="hybridMultilevel"/>
    <w:tmpl w:val="DAC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A718B1"/>
    <w:multiLevelType w:val="multilevel"/>
    <w:tmpl w:val="FCD2CA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05114F4"/>
    <w:multiLevelType w:val="hybridMultilevel"/>
    <w:tmpl w:val="098A31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2" w15:restartNumberingAfterBreak="0">
    <w:nsid w:val="7BA11C7C"/>
    <w:multiLevelType w:val="multilevel"/>
    <w:tmpl w:val="CA92CF5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cs="Times New Roman"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num w:numId="1">
    <w:abstractNumId w:val="31"/>
  </w:num>
  <w:num w:numId="2">
    <w:abstractNumId w:val="3"/>
  </w:num>
  <w:num w:numId="3">
    <w:abstractNumId w:val="22"/>
  </w:num>
  <w:num w:numId="4">
    <w:abstractNumId w:val="24"/>
  </w:num>
  <w:num w:numId="5">
    <w:abstractNumId w:val="5"/>
  </w:num>
  <w:num w:numId="6">
    <w:abstractNumId w:val="6"/>
  </w:num>
  <w:num w:numId="7">
    <w:abstractNumId w:val="8"/>
  </w:num>
  <w:num w:numId="8">
    <w:abstractNumId w:val="17"/>
  </w:num>
  <w:num w:numId="9">
    <w:abstractNumId w:val="26"/>
  </w:num>
  <w:num w:numId="10">
    <w:abstractNumId w:val="16"/>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1">
    <w:abstractNumId w:val="9"/>
  </w:num>
  <w:num w:numId="12">
    <w:abstractNumId w:val="1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3"/>
    </w:lvlOverride>
  </w:num>
  <w:num w:numId="15">
    <w:abstractNumId w:val="14"/>
  </w:num>
  <w:num w:numId="16">
    <w:abstractNumId w:val="1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7"/>
  </w:num>
  <w:num w:numId="20">
    <w:abstractNumId w:val="1"/>
  </w:num>
  <w:num w:numId="21">
    <w:abstractNumId w:val="20"/>
  </w:num>
  <w:num w:numId="22">
    <w:abstractNumId w:val="25"/>
  </w:num>
  <w:num w:numId="23">
    <w:abstractNumId w:val="23"/>
  </w:num>
  <w:num w:numId="24">
    <w:abstractNumId w:val="4"/>
  </w:num>
  <w:num w:numId="25">
    <w:abstractNumId w:val="31"/>
  </w:num>
  <w:num w:numId="2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28"/>
  </w:num>
  <w:num w:numId="30">
    <w:abstractNumId w:val="2"/>
  </w:num>
  <w:num w:numId="31">
    <w:abstractNumId w:val="0"/>
  </w:num>
  <w:num w:numId="32">
    <w:abstractNumId w:val="21"/>
  </w:num>
  <w:num w:numId="33">
    <w:abstractNumId w:val="30"/>
  </w:num>
  <w:num w:numId="34">
    <w:abstractNumId w:val="12"/>
  </w:num>
  <w:num w:numId="35">
    <w:abstractNumId w:val="1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83C"/>
    <w:rsid w:val="000048E2"/>
    <w:rsid w:val="00004DB2"/>
    <w:rsid w:val="00005611"/>
    <w:rsid w:val="00005E51"/>
    <w:rsid w:val="00006537"/>
    <w:rsid w:val="000102C3"/>
    <w:rsid w:val="00010DD1"/>
    <w:rsid w:val="00010FC3"/>
    <w:rsid w:val="0001310D"/>
    <w:rsid w:val="00013B60"/>
    <w:rsid w:val="0001454E"/>
    <w:rsid w:val="00016E2E"/>
    <w:rsid w:val="000178D9"/>
    <w:rsid w:val="00023327"/>
    <w:rsid w:val="00026D48"/>
    <w:rsid w:val="0002782F"/>
    <w:rsid w:val="00031305"/>
    <w:rsid w:val="0003279F"/>
    <w:rsid w:val="000328DE"/>
    <w:rsid w:val="00032A9A"/>
    <w:rsid w:val="00032AF6"/>
    <w:rsid w:val="000342BD"/>
    <w:rsid w:val="0003659C"/>
    <w:rsid w:val="00036BFE"/>
    <w:rsid w:val="0003700C"/>
    <w:rsid w:val="00041913"/>
    <w:rsid w:val="0004209F"/>
    <w:rsid w:val="00043B4D"/>
    <w:rsid w:val="00043EBE"/>
    <w:rsid w:val="00045933"/>
    <w:rsid w:val="0004691D"/>
    <w:rsid w:val="00050D65"/>
    <w:rsid w:val="000510F7"/>
    <w:rsid w:val="00052221"/>
    <w:rsid w:val="00054E4D"/>
    <w:rsid w:val="000562A2"/>
    <w:rsid w:val="00056305"/>
    <w:rsid w:val="000565BD"/>
    <w:rsid w:val="00057D81"/>
    <w:rsid w:val="00060073"/>
    <w:rsid w:val="000603C7"/>
    <w:rsid w:val="00060AF5"/>
    <w:rsid w:val="00061A22"/>
    <w:rsid w:val="000623A2"/>
    <w:rsid w:val="0006243E"/>
    <w:rsid w:val="00064124"/>
    <w:rsid w:val="00066946"/>
    <w:rsid w:val="00070C19"/>
    <w:rsid w:val="00074446"/>
    <w:rsid w:val="00074B2F"/>
    <w:rsid w:val="00074D4A"/>
    <w:rsid w:val="0007599F"/>
    <w:rsid w:val="0007602A"/>
    <w:rsid w:val="00077DAC"/>
    <w:rsid w:val="000829F4"/>
    <w:rsid w:val="00087CBA"/>
    <w:rsid w:val="00096839"/>
    <w:rsid w:val="000969FA"/>
    <w:rsid w:val="000A209E"/>
    <w:rsid w:val="000A271A"/>
    <w:rsid w:val="000A4B30"/>
    <w:rsid w:val="000A6A8B"/>
    <w:rsid w:val="000B0F49"/>
    <w:rsid w:val="000B2A9D"/>
    <w:rsid w:val="000B3859"/>
    <w:rsid w:val="000B521A"/>
    <w:rsid w:val="000B5FC2"/>
    <w:rsid w:val="000B6BA1"/>
    <w:rsid w:val="000B7724"/>
    <w:rsid w:val="000C1399"/>
    <w:rsid w:val="000C2A48"/>
    <w:rsid w:val="000C2A8F"/>
    <w:rsid w:val="000C5ED7"/>
    <w:rsid w:val="000C5F75"/>
    <w:rsid w:val="000C74F1"/>
    <w:rsid w:val="000D26B2"/>
    <w:rsid w:val="000D4328"/>
    <w:rsid w:val="000D53EA"/>
    <w:rsid w:val="000D5589"/>
    <w:rsid w:val="000D5686"/>
    <w:rsid w:val="000D60B1"/>
    <w:rsid w:val="000E1AD1"/>
    <w:rsid w:val="000E3182"/>
    <w:rsid w:val="000E3772"/>
    <w:rsid w:val="000E6214"/>
    <w:rsid w:val="000E6ABA"/>
    <w:rsid w:val="000F00DD"/>
    <w:rsid w:val="000F1419"/>
    <w:rsid w:val="000F3482"/>
    <w:rsid w:val="000F60F9"/>
    <w:rsid w:val="000F79F0"/>
    <w:rsid w:val="00100176"/>
    <w:rsid w:val="00100BAD"/>
    <w:rsid w:val="00101205"/>
    <w:rsid w:val="001029C7"/>
    <w:rsid w:val="0010393C"/>
    <w:rsid w:val="00103A95"/>
    <w:rsid w:val="00104AF2"/>
    <w:rsid w:val="0010674F"/>
    <w:rsid w:val="00106F32"/>
    <w:rsid w:val="001101CB"/>
    <w:rsid w:val="0011101F"/>
    <w:rsid w:val="00113574"/>
    <w:rsid w:val="00115880"/>
    <w:rsid w:val="0011633A"/>
    <w:rsid w:val="00116E7E"/>
    <w:rsid w:val="001200E3"/>
    <w:rsid w:val="00120A25"/>
    <w:rsid w:val="00121E0D"/>
    <w:rsid w:val="001234B6"/>
    <w:rsid w:val="001274AF"/>
    <w:rsid w:val="00131145"/>
    <w:rsid w:val="00131C22"/>
    <w:rsid w:val="00133B67"/>
    <w:rsid w:val="00135427"/>
    <w:rsid w:val="00136530"/>
    <w:rsid w:val="001403F1"/>
    <w:rsid w:val="001408EF"/>
    <w:rsid w:val="00145941"/>
    <w:rsid w:val="001459AB"/>
    <w:rsid w:val="001462CE"/>
    <w:rsid w:val="00150549"/>
    <w:rsid w:val="00153B8F"/>
    <w:rsid w:val="00153E13"/>
    <w:rsid w:val="001541EA"/>
    <w:rsid w:val="001554FB"/>
    <w:rsid w:val="00155903"/>
    <w:rsid w:val="00155C8D"/>
    <w:rsid w:val="00157662"/>
    <w:rsid w:val="00157BE7"/>
    <w:rsid w:val="001612A4"/>
    <w:rsid w:val="001619F7"/>
    <w:rsid w:val="00164EE7"/>
    <w:rsid w:val="00167E4E"/>
    <w:rsid w:val="0017002F"/>
    <w:rsid w:val="00171F5A"/>
    <w:rsid w:val="0017309C"/>
    <w:rsid w:val="00173BFD"/>
    <w:rsid w:val="00173FA3"/>
    <w:rsid w:val="001777FE"/>
    <w:rsid w:val="00181073"/>
    <w:rsid w:val="00181172"/>
    <w:rsid w:val="00182594"/>
    <w:rsid w:val="00185526"/>
    <w:rsid w:val="00186E42"/>
    <w:rsid w:val="00186F07"/>
    <w:rsid w:val="00186F45"/>
    <w:rsid w:val="00190651"/>
    <w:rsid w:val="00190BDC"/>
    <w:rsid w:val="001918FC"/>
    <w:rsid w:val="001928C1"/>
    <w:rsid w:val="00192CC4"/>
    <w:rsid w:val="00192E36"/>
    <w:rsid w:val="0019394C"/>
    <w:rsid w:val="0019642D"/>
    <w:rsid w:val="00196F53"/>
    <w:rsid w:val="001A0777"/>
    <w:rsid w:val="001A1861"/>
    <w:rsid w:val="001A576C"/>
    <w:rsid w:val="001A6585"/>
    <w:rsid w:val="001A65DF"/>
    <w:rsid w:val="001B13D0"/>
    <w:rsid w:val="001B1C7A"/>
    <w:rsid w:val="001B1EE8"/>
    <w:rsid w:val="001B2AA5"/>
    <w:rsid w:val="001B4A86"/>
    <w:rsid w:val="001C022C"/>
    <w:rsid w:val="001C1B82"/>
    <w:rsid w:val="001C1D4B"/>
    <w:rsid w:val="001C3A7F"/>
    <w:rsid w:val="001C4088"/>
    <w:rsid w:val="001C5431"/>
    <w:rsid w:val="001C5BF9"/>
    <w:rsid w:val="001C6804"/>
    <w:rsid w:val="001C6E9E"/>
    <w:rsid w:val="001C71EB"/>
    <w:rsid w:val="001D0BB1"/>
    <w:rsid w:val="001D22E7"/>
    <w:rsid w:val="001D26F3"/>
    <w:rsid w:val="001D33EB"/>
    <w:rsid w:val="001D412E"/>
    <w:rsid w:val="001D5020"/>
    <w:rsid w:val="001D685D"/>
    <w:rsid w:val="001D6E37"/>
    <w:rsid w:val="001D7EB4"/>
    <w:rsid w:val="001E049F"/>
    <w:rsid w:val="001E0F1D"/>
    <w:rsid w:val="001E1DC0"/>
    <w:rsid w:val="001E272B"/>
    <w:rsid w:val="001E50D1"/>
    <w:rsid w:val="001E5459"/>
    <w:rsid w:val="001E69F9"/>
    <w:rsid w:val="001E77B7"/>
    <w:rsid w:val="001F00BC"/>
    <w:rsid w:val="001F04B7"/>
    <w:rsid w:val="001F36DB"/>
    <w:rsid w:val="001F6504"/>
    <w:rsid w:val="001F6517"/>
    <w:rsid w:val="00200637"/>
    <w:rsid w:val="0020122A"/>
    <w:rsid w:val="00202BE5"/>
    <w:rsid w:val="00205977"/>
    <w:rsid w:val="0021073D"/>
    <w:rsid w:val="002113B6"/>
    <w:rsid w:val="00211471"/>
    <w:rsid w:val="0021211D"/>
    <w:rsid w:val="00216EC4"/>
    <w:rsid w:val="00217806"/>
    <w:rsid w:val="00217DC4"/>
    <w:rsid w:val="002205CF"/>
    <w:rsid w:val="00223B5B"/>
    <w:rsid w:val="00224901"/>
    <w:rsid w:val="002270C3"/>
    <w:rsid w:val="00227548"/>
    <w:rsid w:val="002334DF"/>
    <w:rsid w:val="002342E2"/>
    <w:rsid w:val="00235012"/>
    <w:rsid w:val="00235AF7"/>
    <w:rsid w:val="00235C6C"/>
    <w:rsid w:val="00236CAD"/>
    <w:rsid w:val="00241945"/>
    <w:rsid w:val="00242D32"/>
    <w:rsid w:val="0024300B"/>
    <w:rsid w:val="00243D70"/>
    <w:rsid w:val="00244E37"/>
    <w:rsid w:val="002458E1"/>
    <w:rsid w:val="00247F52"/>
    <w:rsid w:val="00250AEF"/>
    <w:rsid w:val="0025763F"/>
    <w:rsid w:val="00257697"/>
    <w:rsid w:val="002608A6"/>
    <w:rsid w:val="002619D1"/>
    <w:rsid w:val="00261BD5"/>
    <w:rsid w:val="00261EC5"/>
    <w:rsid w:val="00262B5B"/>
    <w:rsid w:val="00263AD9"/>
    <w:rsid w:val="002653E6"/>
    <w:rsid w:val="0026564C"/>
    <w:rsid w:val="002665EA"/>
    <w:rsid w:val="00271ADE"/>
    <w:rsid w:val="00272313"/>
    <w:rsid w:val="002758D6"/>
    <w:rsid w:val="00277F9C"/>
    <w:rsid w:val="00282960"/>
    <w:rsid w:val="00284151"/>
    <w:rsid w:val="0028602A"/>
    <w:rsid w:val="00290F96"/>
    <w:rsid w:val="00291A4A"/>
    <w:rsid w:val="002920E1"/>
    <w:rsid w:val="00292F8D"/>
    <w:rsid w:val="00297626"/>
    <w:rsid w:val="002A0C7B"/>
    <w:rsid w:val="002A1FC0"/>
    <w:rsid w:val="002A230C"/>
    <w:rsid w:val="002A4438"/>
    <w:rsid w:val="002B0C2A"/>
    <w:rsid w:val="002B2F5E"/>
    <w:rsid w:val="002B2FDB"/>
    <w:rsid w:val="002B38F1"/>
    <w:rsid w:val="002B602E"/>
    <w:rsid w:val="002B785E"/>
    <w:rsid w:val="002B7B3C"/>
    <w:rsid w:val="002B7ED9"/>
    <w:rsid w:val="002C085A"/>
    <w:rsid w:val="002C2526"/>
    <w:rsid w:val="002C76A9"/>
    <w:rsid w:val="002C7BB1"/>
    <w:rsid w:val="002D00FD"/>
    <w:rsid w:val="002D5D80"/>
    <w:rsid w:val="002E01B3"/>
    <w:rsid w:val="002E03C9"/>
    <w:rsid w:val="002E10BE"/>
    <w:rsid w:val="002E2271"/>
    <w:rsid w:val="002E34E4"/>
    <w:rsid w:val="002F04C1"/>
    <w:rsid w:val="002F4423"/>
    <w:rsid w:val="002F4D2F"/>
    <w:rsid w:val="002F5738"/>
    <w:rsid w:val="00300D06"/>
    <w:rsid w:val="00301144"/>
    <w:rsid w:val="003024B5"/>
    <w:rsid w:val="00302DEE"/>
    <w:rsid w:val="00302FBB"/>
    <w:rsid w:val="00305665"/>
    <w:rsid w:val="00306F1F"/>
    <w:rsid w:val="00312412"/>
    <w:rsid w:val="003129ED"/>
    <w:rsid w:val="00312B9C"/>
    <w:rsid w:val="00314292"/>
    <w:rsid w:val="003142DD"/>
    <w:rsid w:val="003148B7"/>
    <w:rsid w:val="00315464"/>
    <w:rsid w:val="003158C3"/>
    <w:rsid w:val="003165AC"/>
    <w:rsid w:val="00316682"/>
    <w:rsid w:val="00316B27"/>
    <w:rsid w:val="00316E96"/>
    <w:rsid w:val="00317293"/>
    <w:rsid w:val="003216A1"/>
    <w:rsid w:val="0032624E"/>
    <w:rsid w:val="003274CD"/>
    <w:rsid w:val="0033079D"/>
    <w:rsid w:val="003357B0"/>
    <w:rsid w:val="00335D2B"/>
    <w:rsid w:val="00340616"/>
    <w:rsid w:val="00341A4F"/>
    <w:rsid w:val="00342D4B"/>
    <w:rsid w:val="00344FAC"/>
    <w:rsid w:val="00345382"/>
    <w:rsid w:val="003507EA"/>
    <w:rsid w:val="0035119D"/>
    <w:rsid w:val="00353B54"/>
    <w:rsid w:val="003546EC"/>
    <w:rsid w:val="003564F7"/>
    <w:rsid w:val="0036362B"/>
    <w:rsid w:val="00365797"/>
    <w:rsid w:val="00366011"/>
    <w:rsid w:val="0036655A"/>
    <w:rsid w:val="0036664E"/>
    <w:rsid w:val="00367A67"/>
    <w:rsid w:val="003703E8"/>
    <w:rsid w:val="003717CD"/>
    <w:rsid w:val="0037265E"/>
    <w:rsid w:val="00372AA6"/>
    <w:rsid w:val="00372D2A"/>
    <w:rsid w:val="00374F74"/>
    <w:rsid w:val="0037513B"/>
    <w:rsid w:val="00375F50"/>
    <w:rsid w:val="00376B7C"/>
    <w:rsid w:val="00376BA4"/>
    <w:rsid w:val="00382456"/>
    <w:rsid w:val="003826E5"/>
    <w:rsid w:val="00386168"/>
    <w:rsid w:val="003866F5"/>
    <w:rsid w:val="00395D4F"/>
    <w:rsid w:val="0039625D"/>
    <w:rsid w:val="00396FF1"/>
    <w:rsid w:val="00397B61"/>
    <w:rsid w:val="003A0849"/>
    <w:rsid w:val="003A1B46"/>
    <w:rsid w:val="003A1F50"/>
    <w:rsid w:val="003A2A56"/>
    <w:rsid w:val="003A4403"/>
    <w:rsid w:val="003A53D3"/>
    <w:rsid w:val="003A6BAB"/>
    <w:rsid w:val="003A7138"/>
    <w:rsid w:val="003A71C5"/>
    <w:rsid w:val="003B1EA8"/>
    <w:rsid w:val="003B437A"/>
    <w:rsid w:val="003B4911"/>
    <w:rsid w:val="003B4C5C"/>
    <w:rsid w:val="003B4F12"/>
    <w:rsid w:val="003B5437"/>
    <w:rsid w:val="003B5540"/>
    <w:rsid w:val="003C0D18"/>
    <w:rsid w:val="003C1687"/>
    <w:rsid w:val="003C371F"/>
    <w:rsid w:val="003C74C7"/>
    <w:rsid w:val="003D016A"/>
    <w:rsid w:val="003D0DB2"/>
    <w:rsid w:val="003D1805"/>
    <w:rsid w:val="003D5744"/>
    <w:rsid w:val="003D620F"/>
    <w:rsid w:val="003E202F"/>
    <w:rsid w:val="003E3111"/>
    <w:rsid w:val="003E4358"/>
    <w:rsid w:val="003E5947"/>
    <w:rsid w:val="003E5DB0"/>
    <w:rsid w:val="003E60A5"/>
    <w:rsid w:val="003F3468"/>
    <w:rsid w:val="003F4716"/>
    <w:rsid w:val="003F5594"/>
    <w:rsid w:val="003F6452"/>
    <w:rsid w:val="003F6C38"/>
    <w:rsid w:val="003F7833"/>
    <w:rsid w:val="003F7E60"/>
    <w:rsid w:val="004003E2"/>
    <w:rsid w:val="00400F21"/>
    <w:rsid w:val="0040225D"/>
    <w:rsid w:val="004040B3"/>
    <w:rsid w:val="004047BD"/>
    <w:rsid w:val="004049B0"/>
    <w:rsid w:val="00410CE6"/>
    <w:rsid w:val="00414C25"/>
    <w:rsid w:val="004156A6"/>
    <w:rsid w:val="00417072"/>
    <w:rsid w:val="004218A6"/>
    <w:rsid w:val="0042281F"/>
    <w:rsid w:val="00423350"/>
    <w:rsid w:val="0042398C"/>
    <w:rsid w:val="00423A32"/>
    <w:rsid w:val="00423C8F"/>
    <w:rsid w:val="00423F31"/>
    <w:rsid w:val="004245EB"/>
    <w:rsid w:val="00426E36"/>
    <w:rsid w:val="00427131"/>
    <w:rsid w:val="00431899"/>
    <w:rsid w:val="00434787"/>
    <w:rsid w:val="00434E60"/>
    <w:rsid w:val="004421B2"/>
    <w:rsid w:val="00442B5D"/>
    <w:rsid w:val="00443602"/>
    <w:rsid w:val="0044378A"/>
    <w:rsid w:val="004437F4"/>
    <w:rsid w:val="004444B7"/>
    <w:rsid w:val="00445206"/>
    <w:rsid w:val="00445418"/>
    <w:rsid w:val="004475DB"/>
    <w:rsid w:val="00451EF3"/>
    <w:rsid w:val="004542B4"/>
    <w:rsid w:val="0045446B"/>
    <w:rsid w:val="0045577C"/>
    <w:rsid w:val="00455A86"/>
    <w:rsid w:val="004563ED"/>
    <w:rsid w:val="00456515"/>
    <w:rsid w:val="004570DB"/>
    <w:rsid w:val="004579D6"/>
    <w:rsid w:val="004601FF"/>
    <w:rsid w:val="004602F5"/>
    <w:rsid w:val="0046143A"/>
    <w:rsid w:val="004632E3"/>
    <w:rsid w:val="00464949"/>
    <w:rsid w:val="00465BCE"/>
    <w:rsid w:val="0046717E"/>
    <w:rsid w:val="004671AE"/>
    <w:rsid w:val="0046724F"/>
    <w:rsid w:val="0046745D"/>
    <w:rsid w:val="00467BFD"/>
    <w:rsid w:val="0047010D"/>
    <w:rsid w:val="00470ACD"/>
    <w:rsid w:val="00473FBD"/>
    <w:rsid w:val="00477450"/>
    <w:rsid w:val="004802B3"/>
    <w:rsid w:val="004811C3"/>
    <w:rsid w:val="00483DD3"/>
    <w:rsid w:val="00484A81"/>
    <w:rsid w:val="004858E7"/>
    <w:rsid w:val="00485E0D"/>
    <w:rsid w:val="004867C9"/>
    <w:rsid w:val="00486804"/>
    <w:rsid w:val="00487FDE"/>
    <w:rsid w:val="00491225"/>
    <w:rsid w:val="004915C2"/>
    <w:rsid w:val="0049210D"/>
    <w:rsid w:val="00494F99"/>
    <w:rsid w:val="004957A3"/>
    <w:rsid w:val="004A5EDD"/>
    <w:rsid w:val="004A6700"/>
    <w:rsid w:val="004B0CA2"/>
    <w:rsid w:val="004B1949"/>
    <w:rsid w:val="004B2F7F"/>
    <w:rsid w:val="004B3775"/>
    <w:rsid w:val="004B4AFC"/>
    <w:rsid w:val="004B4DA6"/>
    <w:rsid w:val="004B53C4"/>
    <w:rsid w:val="004B6280"/>
    <w:rsid w:val="004C27DB"/>
    <w:rsid w:val="004C2A06"/>
    <w:rsid w:val="004C3B58"/>
    <w:rsid w:val="004C5106"/>
    <w:rsid w:val="004C51B7"/>
    <w:rsid w:val="004C5FB0"/>
    <w:rsid w:val="004C5FC0"/>
    <w:rsid w:val="004C68FC"/>
    <w:rsid w:val="004D0B78"/>
    <w:rsid w:val="004D156E"/>
    <w:rsid w:val="004D1728"/>
    <w:rsid w:val="004D71F3"/>
    <w:rsid w:val="004E058F"/>
    <w:rsid w:val="004E0AEB"/>
    <w:rsid w:val="004E0D14"/>
    <w:rsid w:val="004E149B"/>
    <w:rsid w:val="004E38A1"/>
    <w:rsid w:val="004E3B87"/>
    <w:rsid w:val="004E408F"/>
    <w:rsid w:val="004E6060"/>
    <w:rsid w:val="004E7A6C"/>
    <w:rsid w:val="004F2E3A"/>
    <w:rsid w:val="004F3C11"/>
    <w:rsid w:val="004F6159"/>
    <w:rsid w:val="004F61C3"/>
    <w:rsid w:val="004F6682"/>
    <w:rsid w:val="004F7227"/>
    <w:rsid w:val="004F7B54"/>
    <w:rsid w:val="00500F38"/>
    <w:rsid w:val="005016BB"/>
    <w:rsid w:val="00501C77"/>
    <w:rsid w:val="00502B97"/>
    <w:rsid w:val="005064A0"/>
    <w:rsid w:val="005100A9"/>
    <w:rsid w:val="00510921"/>
    <w:rsid w:val="005109D5"/>
    <w:rsid w:val="00510AD3"/>
    <w:rsid w:val="00511337"/>
    <w:rsid w:val="00511DD6"/>
    <w:rsid w:val="00513348"/>
    <w:rsid w:val="00514857"/>
    <w:rsid w:val="00516F84"/>
    <w:rsid w:val="00517B9D"/>
    <w:rsid w:val="005208CB"/>
    <w:rsid w:val="00521A5F"/>
    <w:rsid w:val="00522106"/>
    <w:rsid w:val="00522CE3"/>
    <w:rsid w:val="00533B5D"/>
    <w:rsid w:val="00533BCE"/>
    <w:rsid w:val="0054078D"/>
    <w:rsid w:val="00540B72"/>
    <w:rsid w:val="00541075"/>
    <w:rsid w:val="00542CD5"/>
    <w:rsid w:val="00542F86"/>
    <w:rsid w:val="00550156"/>
    <w:rsid w:val="00550340"/>
    <w:rsid w:val="00552798"/>
    <w:rsid w:val="005570E8"/>
    <w:rsid w:val="00560903"/>
    <w:rsid w:val="00561ED6"/>
    <w:rsid w:val="00563281"/>
    <w:rsid w:val="00564EE9"/>
    <w:rsid w:val="00566242"/>
    <w:rsid w:val="00571065"/>
    <w:rsid w:val="00571135"/>
    <w:rsid w:val="005734AE"/>
    <w:rsid w:val="0057469B"/>
    <w:rsid w:val="005764C9"/>
    <w:rsid w:val="00576845"/>
    <w:rsid w:val="00576C34"/>
    <w:rsid w:val="00582EFD"/>
    <w:rsid w:val="005851F3"/>
    <w:rsid w:val="0058694B"/>
    <w:rsid w:val="00587F4E"/>
    <w:rsid w:val="005911E0"/>
    <w:rsid w:val="00591906"/>
    <w:rsid w:val="00595C16"/>
    <w:rsid w:val="005970EA"/>
    <w:rsid w:val="005A0062"/>
    <w:rsid w:val="005A06F1"/>
    <w:rsid w:val="005A0D97"/>
    <w:rsid w:val="005A2003"/>
    <w:rsid w:val="005A35F8"/>
    <w:rsid w:val="005A41E0"/>
    <w:rsid w:val="005A556B"/>
    <w:rsid w:val="005A6BEE"/>
    <w:rsid w:val="005A6DFF"/>
    <w:rsid w:val="005A6F6C"/>
    <w:rsid w:val="005B0DCD"/>
    <w:rsid w:val="005B632B"/>
    <w:rsid w:val="005C0929"/>
    <w:rsid w:val="005C37F0"/>
    <w:rsid w:val="005C7E8D"/>
    <w:rsid w:val="005C7ED5"/>
    <w:rsid w:val="005D00E1"/>
    <w:rsid w:val="005D2D36"/>
    <w:rsid w:val="005D7B34"/>
    <w:rsid w:val="005E0682"/>
    <w:rsid w:val="005E7F40"/>
    <w:rsid w:val="005F0481"/>
    <w:rsid w:val="005F3DD0"/>
    <w:rsid w:val="00601E84"/>
    <w:rsid w:val="00602965"/>
    <w:rsid w:val="00606FF5"/>
    <w:rsid w:val="006074EA"/>
    <w:rsid w:val="00607D92"/>
    <w:rsid w:val="006102EF"/>
    <w:rsid w:val="00610AC6"/>
    <w:rsid w:val="0061170F"/>
    <w:rsid w:val="00615F38"/>
    <w:rsid w:val="00623B6F"/>
    <w:rsid w:val="00623BA1"/>
    <w:rsid w:val="006248AF"/>
    <w:rsid w:val="00625819"/>
    <w:rsid w:val="006262E8"/>
    <w:rsid w:val="00627375"/>
    <w:rsid w:val="006313D1"/>
    <w:rsid w:val="00631BC1"/>
    <w:rsid w:val="006330A1"/>
    <w:rsid w:val="006338CC"/>
    <w:rsid w:val="006346BC"/>
    <w:rsid w:val="00635D1C"/>
    <w:rsid w:val="00636F59"/>
    <w:rsid w:val="00637E21"/>
    <w:rsid w:val="00640BEC"/>
    <w:rsid w:val="006417DE"/>
    <w:rsid w:val="00647384"/>
    <w:rsid w:val="00647D91"/>
    <w:rsid w:val="00647F41"/>
    <w:rsid w:val="0065364D"/>
    <w:rsid w:val="006539C9"/>
    <w:rsid w:val="00661C44"/>
    <w:rsid w:val="00661C4A"/>
    <w:rsid w:val="00664CEA"/>
    <w:rsid w:val="00666291"/>
    <w:rsid w:val="0066652A"/>
    <w:rsid w:val="00667B2A"/>
    <w:rsid w:val="00670A8E"/>
    <w:rsid w:val="00674971"/>
    <w:rsid w:val="00675ABD"/>
    <w:rsid w:val="00676560"/>
    <w:rsid w:val="006771EE"/>
    <w:rsid w:val="006777B5"/>
    <w:rsid w:val="00681C88"/>
    <w:rsid w:val="00682167"/>
    <w:rsid w:val="00682B86"/>
    <w:rsid w:val="00682DCF"/>
    <w:rsid w:val="00683D4D"/>
    <w:rsid w:val="00685380"/>
    <w:rsid w:val="0068573F"/>
    <w:rsid w:val="00685ACF"/>
    <w:rsid w:val="00687BAA"/>
    <w:rsid w:val="00690BE3"/>
    <w:rsid w:val="00691A3A"/>
    <w:rsid w:val="00694704"/>
    <w:rsid w:val="00694DF9"/>
    <w:rsid w:val="00695D7C"/>
    <w:rsid w:val="006962DE"/>
    <w:rsid w:val="006A3125"/>
    <w:rsid w:val="006A31BC"/>
    <w:rsid w:val="006A3FFD"/>
    <w:rsid w:val="006A5355"/>
    <w:rsid w:val="006A54A2"/>
    <w:rsid w:val="006B070B"/>
    <w:rsid w:val="006B0E1F"/>
    <w:rsid w:val="006B11FB"/>
    <w:rsid w:val="006B2761"/>
    <w:rsid w:val="006B2E5A"/>
    <w:rsid w:val="006B5D03"/>
    <w:rsid w:val="006C0184"/>
    <w:rsid w:val="006C07BB"/>
    <w:rsid w:val="006C3F13"/>
    <w:rsid w:val="006C4222"/>
    <w:rsid w:val="006C42AF"/>
    <w:rsid w:val="006C4C23"/>
    <w:rsid w:val="006C4DD1"/>
    <w:rsid w:val="006C5650"/>
    <w:rsid w:val="006C5997"/>
    <w:rsid w:val="006C6E91"/>
    <w:rsid w:val="006C7938"/>
    <w:rsid w:val="006C7B46"/>
    <w:rsid w:val="006C7CCF"/>
    <w:rsid w:val="006D079F"/>
    <w:rsid w:val="006D09F8"/>
    <w:rsid w:val="006D1CAD"/>
    <w:rsid w:val="006D7444"/>
    <w:rsid w:val="006E34A7"/>
    <w:rsid w:val="006E56CD"/>
    <w:rsid w:val="006E6DA9"/>
    <w:rsid w:val="006F1109"/>
    <w:rsid w:val="006F1CA2"/>
    <w:rsid w:val="006F1E28"/>
    <w:rsid w:val="006F39F3"/>
    <w:rsid w:val="006F6CA2"/>
    <w:rsid w:val="006F7B66"/>
    <w:rsid w:val="0070162F"/>
    <w:rsid w:val="00704535"/>
    <w:rsid w:val="00704BE2"/>
    <w:rsid w:val="00704DFE"/>
    <w:rsid w:val="00705AE5"/>
    <w:rsid w:val="0070737F"/>
    <w:rsid w:val="007119DE"/>
    <w:rsid w:val="00711D6F"/>
    <w:rsid w:val="00711D8E"/>
    <w:rsid w:val="00712672"/>
    <w:rsid w:val="007130AA"/>
    <w:rsid w:val="00713260"/>
    <w:rsid w:val="0071502A"/>
    <w:rsid w:val="007176CA"/>
    <w:rsid w:val="0072057C"/>
    <w:rsid w:val="0072248D"/>
    <w:rsid w:val="00723F52"/>
    <w:rsid w:val="00726710"/>
    <w:rsid w:val="00726D7C"/>
    <w:rsid w:val="00726FEC"/>
    <w:rsid w:val="007310EF"/>
    <w:rsid w:val="00731989"/>
    <w:rsid w:val="00734E3F"/>
    <w:rsid w:val="00735966"/>
    <w:rsid w:val="00736985"/>
    <w:rsid w:val="00737A13"/>
    <w:rsid w:val="00746E9B"/>
    <w:rsid w:val="00752104"/>
    <w:rsid w:val="0076186A"/>
    <w:rsid w:val="007622A0"/>
    <w:rsid w:val="00763C30"/>
    <w:rsid w:val="007641EF"/>
    <w:rsid w:val="00771C5D"/>
    <w:rsid w:val="00774449"/>
    <w:rsid w:val="0078035A"/>
    <w:rsid w:val="0078111F"/>
    <w:rsid w:val="007812A0"/>
    <w:rsid w:val="00781DEB"/>
    <w:rsid w:val="00782057"/>
    <w:rsid w:val="00782589"/>
    <w:rsid w:val="00785055"/>
    <w:rsid w:val="00794773"/>
    <w:rsid w:val="007954E3"/>
    <w:rsid w:val="007955D8"/>
    <w:rsid w:val="00795751"/>
    <w:rsid w:val="00796274"/>
    <w:rsid w:val="007A0CD6"/>
    <w:rsid w:val="007A25F0"/>
    <w:rsid w:val="007A5027"/>
    <w:rsid w:val="007A6532"/>
    <w:rsid w:val="007B1A1A"/>
    <w:rsid w:val="007B2085"/>
    <w:rsid w:val="007B4C91"/>
    <w:rsid w:val="007B6200"/>
    <w:rsid w:val="007B7590"/>
    <w:rsid w:val="007C0464"/>
    <w:rsid w:val="007C24EA"/>
    <w:rsid w:val="007C34E6"/>
    <w:rsid w:val="007C6E0F"/>
    <w:rsid w:val="007D0EA2"/>
    <w:rsid w:val="007D1C9C"/>
    <w:rsid w:val="007D275C"/>
    <w:rsid w:val="007D3F1F"/>
    <w:rsid w:val="007D585C"/>
    <w:rsid w:val="007D6319"/>
    <w:rsid w:val="007D6CA5"/>
    <w:rsid w:val="007E0724"/>
    <w:rsid w:val="007E1C17"/>
    <w:rsid w:val="007E58A6"/>
    <w:rsid w:val="007F016C"/>
    <w:rsid w:val="007F4654"/>
    <w:rsid w:val="007F4E97"/>
    <w:rsid w:val="007F4EE0"/>
    <w:rsid w:val="007F5F85"/>
    <w:rsid w:val="00801B9F"/>
    <w:rsid w:val="00802C77"/>
    <w:rsid w:val="00805462"/>
    <w:rsid w:val="0080578C"/>
    <w:rsid w:val="0081036D"/>
    <w:rsid w:val="00811B69"/>
    <w:rsid w:val="008125A9"/>
    <w:rsid w:val="00814C38"/>
    <w:rsid w:val="00821F0D"/>
    <w:rsid w:val="00821F10"/>
    <w:rsid w:val="0082288B"/>
    <w:rsid w:val="00822DD4"/>
    <w:rsid w:val="0082468B"/>
    <w:rsid w:val="0082514F"/>
    <w:rsid w:val="008257A9"/>
    <w:rsid w:val="0082687C"/>
    <w:rsid w:val="00826A32"/>
    <w:rsid w:val="00831521"/>
    <w:rsid w:val="00833B56"/>
    <w:rsid w:val="00835B4E"/>
    <w:rsid w:val="0083759C"/>
    <w:rsid w:val="0084196F"/>
    <w:rsid w:val="00844B2F"/>
    <w:rsid w:val="00846435"/>
    <w:rsid w:val="00846AE6"/>
    <w:rsid w:val="00855437"/>
    <w:rsid w:val="0085694B"/>
    <w:rsid w:val="008570B7"/>
    <w:rsid w:val="00857604"/>
    <w:rsid w:val="008606D3"/>
    <w:rsid w:val="00860AC6"/>
    <w:rsid w:val="00864275"/>
    <w:rsid w:val="00866E8F"/>
    <w:rsid w:val="00867A81"/>
    <w:rsid w:val="008709D3"/>
    <w:rsid w:val="00872BFB"/>
    <w:rsid w:val="00873504"/>
    <w:rsid w:val="00873511"/>
    <w:rsid w:val="00873C4C"/>
    <w:rsid w:val="008746D1"/>
    <w:rsid w:val="00874BBC"/>
    <w:rsid w:val="00875345"/>
    <w:rsid w:val="00875A16"/>
    <w:rsid w:val="00875C6E"/>
    <w:rsid w:val="00875C70"/>
    <w:rsid w:val="00876CDB"/>
    <w:rsid w:val="00880B3F"/>
    <w:rsid w:val="00881BCE"/>
    <w:rsid w:val="00882ED3"/>
    <w:rsid w:val="008841EB"/>
    <w:rsid w:val="00884D3E"/>
    <w:rsid w:val="00885C1E"/>
    <w:rsid w:val="00886CDB"/>
    <w:rsid w:val="00886E97"/>
    <w:rsid w:val="008873D4"/>
    <w:rsid w:val="0088785B"/>
    <w:rsid w:val="00892C8B"/>
    <w:rsid w:val="0089311E"/>
    <w:rsid w:val="00896961"/>
    <w:rsid w:val="008969C6"/>
    <w:rsid w:val="0089786A"/>
    <w:rsid w:val="00897CF6"/>
    <w:rsid w:val="008A2BAE"/>
    <w:rsid w:val="008B1CE6"/>
    <w:rsid w:val="008B212B"/>
    <w:rsid w:val="008B2D42"/>
    <w:rsid w:val="008B3B22"/>
    <w:rsid w:val="008B62C7"/>
    <w:rsid w:val="008B7BD8"/>
    <w:rsid w:val="008C1654"/>
    <w:rsid w:val="008C3D3C"/>
    <w:rsid w:val="008C3E92"/>
    <w:rsid w:val="008C5516"/>
    <w:rsid w:val="008C5636"/>
    <w:rsid w:val="008C5910"/>
    <w:rsid w:val="008C6C60"/>
    <w:rsid w:val="008C756F"/>
    <w:rsid w:val="008D0FA8"/>
    <w:rsid w:val="008D1648"/>
    <w:rsid w:val="008D1B9B"/>
    <w:rsid w:val="008D3C9A"/>
    <w:rsid w:val="008D3D60"/>
    <w:rsid w:val="008D429B"/>
    <w:rsid w:val="008D4A99"/>
    <w:rsid w:val="008D57A4"/>
    <w:rsid w:val="008D6853"/>
    <w:rsid w:val="008D6E02"/>
    <w:rsid w:val="008E0826"/>
    <w:rsid w:val="008E1D2C"/>
    <w:rsid w:val="008E1F11"/>
    <w:rsid w:val="008E2331"/>
    <w:rsid w:val="008E3993"/>
    <w:rsid w:val="008E3FE0"/>
    <w:rsid w:val="008E4EE5"/>
    <w:rsid w:val="008E5306"/>
    <w:rsid w:val="008E7D41"/>
    <w:rsid w:val="008F2667"/>
    <w:rsid w:val="008F32B0"/>
    <w:rsid w:val="008F4C2E"/>
    <w:rsid w:val="008F6CAF"/>
    <w:rsid w:val="008F7DE1"/>
    <w:rsid w:val="009045D9"/>
    <w:rsid w:val="00905422"/>
    <w:rsid w:val="0090794D"/>
    <w:rsid w:val="00910FD2"/>
    <w:rsid w:val="00911585"/>
    <w:rsid w:val="0091182B"/>
    <w:rsid w:val="00911AC6"/>
    <w:rsid w:val="00913358"/>
    <w:rsid w:val="009140F6"/>
    <w:rsid w:val="0091452D"/>
    <w:rsid w:val="00914792"/>
    <w:rsid w:val="00914E9D"/>
    <w:rsid w:val="00916165"/>
    <w:rsid w:val="009178EF"/>
    <w:rsid w:val="009223B6"/>
    <w:rsid w:val="00924D64"/>
    <w:rsid w:val="0092531F"/>
    <w:rsid w:val="00925ECE"/>
    <w:rsid w:val="009277D3"/>
    <w:rsid w:val="0093172F"/>
    <w:rsid w:val="009322CA"/>
    <w:rsid w:val="00934587"/>
    <w:rsid w:val="0093505F"/>
    <w:rsid w:val="00935E45"/>
    <w:rsid w:val="00936520"/>
    <w:rsid w:val="00937BDA"/>
    <w:rsid w:val="00940F40"/>
    <w:rsid w:val="009420F6"/>
    <w:rsid w:val="0094272B"/>
    <w:rsid w:val="009427E6"/>
    <w:rsid w:val="00943028"/>
    <w:rsid w:val="00944AC6"/>
    <w:rsid w:val="0094684C"/>
    <w:rsid w:val="00946FCC"/>
    <w:rsid w:val="00947C2E"/>
    <w:rsid w:val="00950336"/>
    <w:rsid w:val="009525F4"/>
    <w:rsid w:val="00952FF5"/>
    <w:rsid w:val="00953123"/>
    <w:rsid w:val="00953324"/>
    <w:rsid w:val="00954ABA"/>
    <w:rsid w:val="00957622"/>
    <w:rsid w:val="00957D11"/>
    <w:rsid w:val="009601ED"/>
    <w:rsid w:val="009625B7"/>
    <w:rsid w:val="009637BC"/>
    <w:rsid w:val="00965D80"/>
    <w:rsid w:val="00966462"/>
    <w:rsid w:val="0097147D"/>
    <w:rsid w:val="00971FF6"/>
    <w:rsid w:val="00972BBF"/>
    <w:rsid w:val="009735C2"/>
    <w:rsid w:val="0097577D"/>
    <w:rsid w:val="0097700A"/>
    <w:rsid w:val="00981D41"/>
    <w:rsid w:val="009821FA"/>
    <w:rsid w:val="00983B6E"/>
    <w:rsid w:val="00983EA6"/>
    <w:rsid w:val="009842BD"/>
    <w:rsid w:val="00984B3C"/>
    <w:rsid w:val="00985A26"/>
    <w:rsid w:val="00986962"/>
    <w:rsid w:val="009917A6"/>
    <w:rsid w:val="00992ECF"/>
    <w:rsid w:val="0099310C"/>
    <w:rsid w:val="00994D5C"/>
    <w:rsid w:val="0099503F"/>
    <w:rsid w:val="00996188"/>
    <w:rsid w:val="009964B4"/>
    <w:rsid w:val="0099681C"/>
    <w:rsid w:val="009A05FF"/>
    <w:rsid w:val="009A29AF"/>
    <w:rsid w:val="009A2DA7"/>
    <w:rsid w:val="009B0D8D"/>
    <w:rsid w:val="009B0FA4"/>
    <w:rsid w:val="009B4D3B"/>
    <w:rsid w:val="009B5C5A"/>
    <w:rsid w:val="009B6FEA"/>
    <w:rsid w:val="009B78EB"/>
    <w:rsid w:val="009C18C5"/>
    <w:rsid w:val="009C1DC5"/>
    <w:rsid w:val="009C4265"/>
    <w:rsid w:val="009C5872"/>
    <w:rsid w:val="009C5AEC"/>
    <w:rsid w:val="009C6943"/>
    <w:rsid w:val="009C6F5C"/>
    <w:rsid w:val="009D03AC"/>
    <w:rsid w:val="009D7407"/>
    <w:rsid w:val="009E0866"/>
    <w:rsid w:val="009E2A50"/>
    <w:rsid w:val="009E54FA"/>
    <w:rsid w:val="009E5AF9"/>
    <w:rsid w:val="009E676B"/>
    <w:rsid w:val="009E683B"/>
    <w:rsid w:val="009F2369"/>
    <w:rsid w:val="009F42FC"/>
    <w:rsid w:val="009F598A"/>
    <w:rsid w:val="009F5A46"/>
    <w:rsid w:val="009F5D11"/>
    <w:rsid w:val="00A0005C"/>
    <w:rsid w:val="00A013F1"/>
    <w:rsid w:val="00A03228"/>
    <w:rsid w:val="00A04A84"/>
    <w:rsid w:val="00A04EDE"/>
    <w:rsid w:val="00A054E6"/>
    <w:rsid w:val="00A0651C"/>
    <w:rsid w:val="00A12DCA"/>
    <w:rsid w:val="00A15B8A"/>
    <w:rsid w:val="00A209C2"/>
    <w:rsid w:val="00A20E8E"/>
    <w:rsid w:val="00A22DDB"/>
    <w:rsid w:val="00A23BD4"/>
    <w:rsid w:val="00A23F8D"/>
    <w:rsid w:val="00A24647"/>
    <w:rsid w:val="00A24A62"/>
    <w:rsid w:val="00A256BF"/>
    <w:rsid w:val="00A25C32"/>
    <w:rsid w:val="00A26612"/>
    <w:rsid w:val="00A26BDC"/>
    <w:rsid w:val="00A275FD"/>
    <w:rsid w:val="00A27756"/>
    <w:rsid w:val="00A31242"/>
    <w:rsid w:val="00A31308"/>
    <w:rsid w:val="00A31C9F"/>
    <w:rsid w:val="00A31CA5"/>
    <w:rsid w:val="00A31E73"/>
    <w:rsid w:val="00A34264"/>
    <w:rsid w:val="00A353FF"/>
    <w:rsid w:val="00A35BEB"/>
    <w:rsid w:val="00A35DDC"/>
    <w:rsid w:val="00A45D97"/>
    <w:rsid w:val="00A4747E"/>
    <w:rsid w:val="00A54B66"/>
    <w:rsid w:val="00A577E9"/>
    <w:rsid w:val="00A631D7"/>
    <w:rsid w:val="00A632E3"/>
    <w:rsid w:val="00A6373E"/>
    <w:rsid w:val="00A63C7B"/>
    <w:rsid w:val="00A668C8"/>
    <w:rsid w:val="00A668F2"/>
    <w:rsid w:val="00A67314"/>
    <w:rsid w:val="00A70770"/>
    <w:rsid w:val="00A70BEC"/>
    <w:rsid w:val="00A72B50"/>
    <w:rsid w:val="00A75639"/>
    <w:rsid w:val="00A75BF8"/>
    <w:rsid w:val="00A76EC7"/>
    <w:rsid w:val="00A83D21"/>
    <w:rsid w:val="00A84B76"/>
    <w:rsid w:val="00A879A8"/>
    <w:rsid w:val="00A90610"/>
    <w:rsid w:val="00A90EFA"/>
    <w:rsid w:val="00A916BA"/>
    <w:rsid w:val="00A91D66"/>
    <w:rsid w:val="00A92A2E"/>
    <w:rsid w:val="00A93517"/>
    <w:rsid w:val="00A938C0"/>
    <w:rsid w:val="00A93A48"/>
    <w:rsid w:val="00A94970"/>
    <w:rsid w:val="00A94D04"/>
    <w:rsid w:val="00A9798A"/>
    <w:rsid w:val="00A97B04"/>
    <w:rsid w:val="00A97C9C"/>
    <w:rsid w:val="00A97E00"/>
    <w:rsid w:val="00AA0B00"/>
    <w:rsid w:val="00AA2EF4"/>
    <w:rsid w:val="00AA3B51"/>
    <w:rsid w:val="00AB0DFE"/>
    <w:rsid w:val="00AB13D2"/>
    <w:rsid w:val="00AB1749"/>
    <w:rsid w:val="00AB19CF"/>
    <w:rsid w:val="00AB2F67"/>
    <w:rsid w:val="00AC164A"/>
    <w:rsid w:val="00AC240E"/>
    <w:rsid w:val="00AC3F0C"/>
    <w:rsid w:val="00AC7275"/>
    <w:rsid w:val="00AD16EC"/>
    <w:rsid w:val="00AD1DC7"/>
    <w:rsid w:val="00AD31FC"/>
    <w:rsid w:val="00AD3E03"/>
    <w:rsid w:val="00AD6D8C"/>
    <w:rsid w:val="00AD7008"/>
    <w:rsid w:val="00AD7633"/>
    <w:rsid w:val="00AE2FB4"/>
    <w:rsid w:val="00AE3F30"/>
    <w:rsid w:val="00AE4821"/>
    <w:rsid w:val="00AE5A5C"/>
    <w:rsid w:val="00AF0773"/>
    <w:rsid w:val="00AF16AC"/>
    <w:rsid w:val="00AF2050"/>
    <w:rsid w:val="00AF23B9"/>
    <w:rsid w:val="00AF4A7A"/>
    <w:rsid w:val="00AF6BE9"/>
    <w:rsid w:val="00B02504"/>
    <w:rsid w:val="00B05A0C"/>
    <w:rsid w:val="00B06B39"/>
    <w:rsid w:val="00B07F07"/>
    <w:rsid w:val="00B13259"/>
    <w:rsid w:val="00B136A1"/>
    <w:rsid w:val="00B1387A"/>
    <w:rsid w:val="00B17478"/>
    <w:rsid w:val="00B20674"/>
    <w:rsid w:val="00B22860"/>
    <w:rsid w:val="00B2373E"/>
    <w:rsid w:val="00B2495B"/>
    <w:rsid w:val="00B24A51"/>
    <w:rsid w:val="00B24D41"/>
    <w:rsid w:val="00B25400"/>
    <w:rsid w:val="00B26851"/>
    <w:rsid w:val="00B27A14"/>
    <w:rsid w:val="00B328B0"/>
    <w:rsid w:val="00B34B33"/>
    <w:rsid w:val="00B36582"/>
    <w:rsid w:val="00B416C3"/>
    <w:rsid w:val="00B424E7"/>
    <w:rsid w:val="00B44A24"/>
    <w:rsid w:val="00B45A00"/>
    <w:rsid w:val="00B51177"/>
    <w:rsid w:val="00B522E9"/>
    <w:rsid w:val="00B523A9"/>
    <w:rsid w:val="00B52B12"/>
    <w:rsid w:val="00B53957"/>
    <w:rsid w:val="00B5407B"/>
    <w:rsid w:val="00B5524D"/>
    <w:rsid w:val="00B5689E"/>
    <w:rsid w:val="00B60396"/>
    <w:rsid w:val="00B6629B"/>
    <w:rsid w:val="00B6687E"/>
    <w:rsid w:val="00B71790"/>
    <w:rsid w:val="00B73656"/>
    <w:rsid w:val="00B74055"/>
    <w:rsid w:val="00B74EDA"/>
    <w:rsid w:val="00B755C5"/>
    <w:rsid w:val="00B76558"/>
    <w:rsid w:val="00B76C75"/>
    <w:rsid w:val="00B76DA4"/>
    <w:rsid w:val="00B813A0"/>
    <w:rsid w:val="00B82540"/>
    <w:rsid w:val="00B82CE5"/>
    <w:rsid w:val="00B842B0"/>
    <w:rsid w:val="00B85F02"/>
    <w:rsid w:val="00B872BD"/>
    <w:rsid w:val="00B87658"/>
    <w:rsid w:val="00B90A32"/>
    <w:rsid w:val="00B91358"/>
    <w:rsid w:val="00B9151F"/>
    <w:rsid w:val="00B91CCA"/>
    <w:rsid w:val="00B93837"/>
    <w:rsid w:val="00BA1EF5"/>
    <w:rsid w:val="00BA2AAA"/>
    <w:rsid w:val="00BA38AB"/>
    <w:rsid w:val="00BA67DA"/>
    <w:rsid w:val="00BA6FD8"/>
    <w:rsid w:val="00BB269E"/>
    <w:rsid w:val="00BB26C5"/>
    <w:rsid w:val="00BB2A4F"/>
    <w:rsid w:val="00BB34EF"/>
    <w:rsid w:val="00BB5938"/>
    <w:rsid w:val="00BB5B57"/>
    <w:rsid w:val="00BB7BA0"/>
    <w:rsid w:val="00BC0C62"/>
    <w:rsid w:val="00BC79B3"/>
    <w:rsid w:val="00BC7CCC"/>
    <w:rsid w:val="00BD1389"/>
    <w:rsid w:val="00BD1DD2"/>
    <w:rsid w:val="00BD4F9E"/>
    <w:rsid w:val="00BD66E8"/>
    <w:rsid w:val="00BE0AE7"/>
    <w:rsid w:val="00BE0F17"/>
    <w:rsid w:val="00BE2361"/>
    <w:rsid w:val="00BE263C"/>
    <w:rsid w:val="00BE31DF"/>
    <w:rsid w:val="00BE5BBD"/>
    <w:rsid w:val="00BE6A1D"/>
    <w:rsid w:val="00BE78B1"/>
    <w:rsid w:val="00BF18F9"/>
    <w:rsid w:val="00BF2C8F"/>
    <w:rsid w:val="00BF3941"/>
    <w:rsid w:val="00BF4DE6"/>
    <w:rsid w:val="00BF581B"/>
    <w:rsid w:val="00BF6B7F"/>
    <w:rsid w:val="00C0117F"/>
    <w:rsid w:val="00C058F8"/>
    <w:rsid w:val="00C0603F"/>
    <w:rsid w:val="00C10A41"/>
    <w:rsid w:val="00C117FC"/>
    <w:rsid w:val="00C118EE"/>
    <w:rsid w:val="00C12A05"/>
    <w:rsid w:val="00C13514"/>
    <w:rsid w:val="00C13E66"/>
    <w:rsid w:val="00C20006"/>
    <w:rsid w:val="00C20139"/>
    <w:rsid w:val="00C2123E"/>
    <w:rsid w:val="00C2239B"/>
    <w:rsid w:val="00C22686"/>
    <w:rsid w:val="00C22B25"/>
    <w:rsid w:val="00C22C69"/>
    <w:rsid w:val="00C245B0"/>
    <w:rsid w:val="00C25A62"/>
    <w:rsid w:val="00C26150"/>
    <w:rsid w:val="00C265F8"/>
    <w:rsid w:val="00C26C7E"/>
    <w:rsid w:val="00C300C3"/>
    <w:rsid w:val="00C30E3F"/>
    <w:rsid w:val="00C31FEE"/>
    <w:rsid w:val="00C32C86"/>
    <w:rsid w:val="00C358DE"/>
    <w:rsid w:val="00C37D4B"/>
    <w:rsid w:val="00C40842"/>
    <w:rsid w:val="00C41D2A"/>
    <w:rsid w:val="00C42CDE"/>
    <w:rsid w:val="00C43F2D"/>
    <w:rsid w:val="00C46191"/>
    <w:rsid w:val="00C47598"/>
    <w:rsid w:val="00C50ADB"/>
    <w:rsid w:val="00C51A5A"/>
    <w:rsid w:val="00C55EBF"/>
    <w:rsid w:val="00C57FB5"/>
    <w:rsid w:val="00C617DB"/>
    <w:rsid w:val="00C62D4C"/>
    <w:rsid w:val="00C64AC2"/>
    <w:rsid w:val="00C64F76"/>
    <w:rsid w:val="00C66084"/>
    <w:rsid w:val="00C675D3"/>
    <w:rsid w:val="00C71811"/>
    <w:rsid w:val="00C72271"/>
    <w:rsid w:val="00C72A90"/>
    <w:rsid w:val="00C74CF6"/>
    <w:rsid w:val="00C76D22"/>
    <w:rsid w:val="00C7765E"/>
    <w:rsid w:val="00C77BE4"/>
    <w:rsid w:val="00C8071E"/>
    <w:rsid w:val="00C82871"/>
    <w:rsid w:val="00C82998"/>
    <w:rsid w:val="00C836BC"/>
    <w:rsid w:val="00C83DCF"/>
    <w:rsid w:val="00C83ECD"/>
    <w:rsid w:val="00C85AA5"/>
    <w:rsid w:val="00C86119"/>
    <w:rsid w:val="00C92C75"/>
    <w:rsid w:val="00C9382B"/>
    <w:rsid w:val="00C93D87"/>
    <w:rsid w:val="00C966CD"/>
    <w:rsid w:val="00C97323"/>
    <w:rsid w:val="00CA21FB"/>
    <w:rsid w:val="00CA37B1"/>
    <w:rsid w:val="00CA5F3B"/>
    <w:rsid w:val="00CA602F"/>
    <w:rsid w:val="00CA7C2C"/>
    <w:rsid w:val="00CB1959"/>
    <w:rsid w:val="00CB2233"/>
    <w:rsid w:val="00CB452E"/>
    <w:rsid w:val="00CB7D7B"/>
    <w:rsid w:val="00CB7DAF"/>
    <w:rsid w:val="00CC133D"/>
    <w:rsid w:val="00CC2AA4"/>
    <w:rsid w:val="00CC3C8E"/>
    <w:rsid w:val="00CC5F4E"/>
    <w:rsid w:val="00CC7E8D"/>
    <w:rsid w:val="00CD19E3"/>
    <w:rsid w:val="00CD46E8"/>
    <w:rsid w:val="00CD4F23"/>
    <w:rsid w:val="00CE0F11"/>
    <w:rsid w:val="00CE251D"/>
    <w:rsid w:val="00CE2BEE"/>
    <w:rsid w:val="00CE57D5"/>
    <w:rsid w:val="00CE7251"/>
    <w:rsid w:val="00CF0B01"/>
    <w:rsid w:val="00CF0CF0"/>
    <w:rsid w:val="00CF159E"/>
    <w:rsid w:val="00CF7568"/>
    <w:rsid w:val="00D020A7"/>
    <w:rsid w:val="00D02102"/>
    <w:rsid w:val="00D0296C"/>
    <w:rsid w:val="00D04C49"/>
    <w:rsid w:val="00D05EB4"/>
    <w:rsid w:val="00D13A82"/>
    <w:rsid w:val="00D14978"/>
    <w:rsid w:val="00D14E4C"/>
    <w:rsid w:val="00D16324"/>
    <w:rsid w:val="00D16416"/>
    <w:rsid w:val="00D16D19"/>
    <w:rsid w:val="00D174D6"/>
    <w:rsid w:val="00D200CE"/>
    <w:rsid w:val="00D22869"/>
    <w:rsid w:val="00D256C4"/>
    <w:rsid w:val="00D25C4D"/>
    <w:rsid w:val="00D268E6"/>
    <w:rsid w:val="00D3524B"/>
    <w:rsid w:val="00D35527"/>
    <w:rsid w:val="00D3569B"/>
    <w:rsid w:val="00D356B0"/>
    <w:rsid w:val="00D37BAB"/>
    <w:rsid w:val="00D403B0"/>
    <w:rsid w:val="00D41D9C"/>
    <w:rsid w:val="00D43003"/>
    <w:rsid w:val="00D445BF"/>
    <w:rsid w:val="00D452A8"/>
    <w:rsid w:val="00D46D82"/>
    <w:rsid w:val="00D5014A"/>
    <w:rsid w:val="00D51628"/>
    <w:rsid w:val="00D553C0"/>
    <w:rsid w:val="00D55622"/>
    <w:rsid w:val="00D5602F"/>
    <w:rsid w:val="00D56674"/>
    <w:rsid w:val="00D57101"/>
    <w:rsid w:val="00D57345"/>
    <w:rsid w:val="00D579B3"/>
    <w:rsid w:val="00D601F8"/>
    <w:rsid w:val="00D60A29"/>
    <w:rsid w:val="00D6158E"/>
    <w:rsid w:val="00D61A03"/>
    <w:rsid w:val="00D643F3"/>
    <w:rsid w:val="00D6692F"/>
    <w:rsid w:val="00D66938"/>
    <w:rsid w:val="00D6788C"/>
    <w:rsid w:val="00D70CE7"/>
    <w:rsid w:val="00D70FFB"/>
    <w:rsid w:val="00D71DEE"/>
    <w:rsid w:val="00D72278"/>
    <w:rsid w:val="00D72910"/>
    <w:rsid w:val="00D7390C"/>
    <w:rsid w:val="00D75BBF"/>
    <w:rsid w:val="00D878BB"/>
    <w:rsid w:val="00D93208"/>
    <w:rsid w:val="00D95E30"/>
    <w:rsid w:val="00D96E26"/>
    <w:rsid w:val="00DA130D"/>
    <w:rsid w:val="00DA53BD"/>
    <w:rsid w:val="00DA60CF"/>
    <w:rsid w:val="00DA6F7D"/>
    <w:rsid w:val="00DA7563"/>
    <w:rsid w:val="00DB0937"/>
    <w:rsid w:val="00DB0D27"/>
    <w:rsid w:val="00DB2761"/>
    <w:rsid w:val="00DB3432"/>
    <w:rsid w:val="00DB356D"/>
    <w:rsid w:val="00DB3A54"/>
    <w:rsid w:val="00DB4883"/>
    <w:rsid w:val="00DB5244"/>
    <w:rsid w:val="00DB5CC9"/>
    <w:rsid w:val="00DB5D11"/>
    <w:rsid w:val="00DB5D1B"/>
    <w:rsid w:val="00DB6D69"/>
    <w:rsid w:val="00DB6EDA"/>
    <w:rsid w:val="00DC04D0"/>
    <w:rsid w:val="00DC0F0C"/>
    <w:rsid w:val="00DC1682"/>
    <w:rsid w:val="00DC2ECB"/>
    <w:rsid w:val="00DC322C"/>
    <w:rsid w:val="00DC36A5"/>
    <w:rsid w:val="00DC3840"/>
    <w:rsid w:val="00DC408F"/>
    <w:rsid w:val="00DC430B"/>
    <w:rsid w:val="00DC54A0"/>
    <w:rsid w:val="00DC6728"/>
    <w:rsid w:val="00DD1B6C"/>
    <w:rsid w:val="00DD2AFA"/>
    <w:rsid w:val="00DD52C8"/>
    <w:rsid w:val="00DD7636"/>
    <w:rsid w:val="00DE1EB4"/>
    <w:rsid w:val="00DE2C6D"/>
    <w:rsid w:val="00DE3074"/>
    <w:rsid w:val="00DE3434"/>
    <w:rsid w:val="00DE3536"/>
    <w:rsid w:val="00DE3BFB"/>
    <w:rsid w:val="00DE3E90"/>
    <w:rsid w:val="00DE6EF8"/>
    <w:rsid w:val="00DE7725"/>
    <w:rsid w:val="00DF1951"/>
    <w:rsid w:val="00DF2364"/>
    <w:rsid w:val="00DF25F7"/>
    <w:rsid w:val="00DF536E"/>
    <w:rsid w:val="00DF5691"/>
    <w:rsid w:val="00E026D8"/>
    <w:rsid w:val="00E0447A"/>
    <w:rsid w:val="00E10256"/>
    <w:rsid w:val="00E12954"/>
    <w:rsid w:val="00E13A8B"/>
    <w:rsid w:val="00E14A90"/>
    <w:rsid w:val="00E14F0A"/>
    <w:rsid w:val="00E14F21"/>
    <w:rsid w:val="00E166AD"/>
    <w:rsid w:val="00E16BD5"/>
    <w:rsid w:val="00E17504"/>
    <w:rsid w:val="00E21A30"/>
    <w:rsid w:val="00E21B2A"/>
    <w:rsid w:val="00E255D2"/>
    <w:rsid w:val="00E262D1"/>
    <w:rsid w:val="00E26329"/>
    <w:rsid w:val="00E31303"/>
    <w:rsid w:val="00E357B7"/>
    <w:rsid w:val="00E3720E"/>
    <w:rsid w:val="00E37B5B"/>
    <w:rsid w:val="00E42162"/>
    <w:rsid w:val="00E44659"/>
    <w:rsid w:val="00E44E21"/>
    <w:rsid w:val="00E460B1"/>
    <w:rsid w:val="00E472B4"/>
    <w:rsid w:val="00E4742A"/>
    <w:rsid w:val="00E50A2D"/>
    <w:rsid w:val="00E52C74"/>
    <w:rsid w:val="00E53800"/>
    <w:rsid w:val="00E54637"/>
    <w:rsid w:val="00E560FE"/>
    <w:rsid w:val="00E6081F"/>
    <w:rsid w:val="00E60953"/>
    <w:rsid w:val="00E610A7"/>
    <w:rsid w:val="00E62579"/>
    <w:rsid w:val="00E64493"/>
    <w:rsid w:val="00E65F4A"/>
    <w:rsid w:val="00E67963"/>
    <w:rsid w:val="00E70568"/>
    <w:rsid w:val="00E70FBA"/>
    <w:rsid w:val="00E711DD"/>
    <w:rsid w:val="00E71B07"/>
    <w:rsid w:val="00E7283E"/>
    <w:rsid w:val="00E747C7"/>
    <w:rsid w:val="00E75674"/>
    <w:rsid w:val="00E76E58"/>
    <w:rsid w:val="00E81B06"/>
    <w:rsid w:val="00E81BE8"/>
    <w:rsid w:val="00E820E2"/>
    <w:rsid w:val="00E826C8"/>
    <w:rsid w:val="00E84C48"/>
    <w:rsid w:val="00E93F8A"/>
    <w:rsid w:val="00E944AB"/>
    <w:rsid w:val="00E949E4"/>
    <w:rsid w:val="00E95846"/>
    <w:rsid w:val="00E959F4"/>
    <w:rsid w:val="00E960EF"/>
    <w:rsid w:val="00E963D2"/>
    <w:rsid w:val="00E96706"/>
    <w:rsid w:val="00EA04B2"/>
    <w:rsid w:val="00EA1863"/>
    <w:rsid w:val="00EA20F3"/>
    <w:rsid w:val="00EA3B0E"/>
    <w:rsid w:val="00EA4635"/>
    <w:rsid w:val="00EA4A01"/>
    <w:rsid w:val="00EA66BB"/>
    <w:rsid w:val="00EA75C1"/>
    <w:rsid w:val="00EB2CBB"/>
    <w:rsid w:val="00EB35B8"/>
    <w:rsid w:val="00EB401F"/>
    <w:rsid w:val="00EB4889"/>
    <w:rsid w:val="00EB4EBC"/>
    <w:rsid w:val="00EB571B"/>
    <w:rsid w:val="00EC169C"/>
    <w:rsid w:val="00EC3661"/>
    <w:rsid w:val="00ED43D1"/>
    <w:rsid w:val="00ED4A65"/>
    <w:rsid w:val="00ED58F1"/>
    <w:rsid w:val="00ED748E"/>
    <w:rsid w:val="00ED78BB"/>
    <w:rsid w:val="00EE1195"/>
    <w:rsid w:val="00EE1DF9"/>
    <w:rsid w:val="00EE271D"/>
    <w:rsid w:val="00EE2B1C"/>
    <w:rsid w:val="00EE36B3"/>
    <w:rsid w:val="00EE4267"/>
    <w:rsid w:val="00EE496F"/>
    <w:rsid w:val="00EE4EE1"/>
    <w:rsid w:val="00EE5FBF"/>
    <w:rsid w:val="00EE7B58"/>
    <w:rsid w:val="00EF3483"/>
    <w:rsid w:val="00EF4574"/>
    <w:rsid w:val="00EF5AF2"/>
    <w:rsid w:val="00EF7300"/>
    <w:rsid w:val="00EF7B34"/>
    <w:rsid w:val="00F00CFE"/>
    <w:rsid w:val="00F029DA"/>
    <w:rsid w:val="00F0340B"/>
    <w:rsid w:val="00F0557F"/>
    <w:rsid w:val="00F05652"/>
    <w:rsid w:val="00F07425"/>
    <w:rsid w:val="00F123E4"/>
    <w:rsid w:val="00F13559"/>
    <w:rsid w:val="00F14348"/>
    <w:rsid w:val="00F17094"/>
    <w:rsid w:val="00F203DC"/>
    <w:rsid w:val="00F21756"/>
    <w:rsid w:val="00F217FA"/>
    <w:rsid w:val="00F21E83"/>
    <w:rsid w:val="00F2506D"/>
    <w:rsid w:val="00F2684E"/>
    <w:rsid w:val="00F272A4"/>
    <w:rsid w:val="00F273E0"/>
    <w:rsid w:val="00F310C5"/>
    <w:rsid w:val="00F33D6C"/>
    <w:rsid w:val="00F4062C"/>
    <w:rsid w:val="00F41037"/>
    <w:rsid w:val="00F41E54"/>
    <w:rsid w:val="00F43EFC"/>
    <w:rsid w:val="00F46C1C"/>
    <w:rsid w:val="00F544F2"/>
    <w:rsid w:val="00F6046F"/>
    <w:rsid w:val="00F61589"/>
    <w:rsid w:val="00F61FEC"/>
    <w:rsid w:val="00F62015"/>
    <w:rsid w:val="00F62FD6"/>
    <w:rsid w:val="00F63AC4"/>
    <w:rsid w:val="00F646D6"/>
    <w:rsid w:val="00F64AC7"/>
    <w:rsid w:val="00F64B37"/>
    <w:rsid w:val="00F65762"/>
    <w:rsid w:val="00F65EB9"/>
    <w:rsid w:val="00F70B2C"/>
    <w:rsid w:val="00F70C3D"/>
    <w:rsid w:val="00F71C95"/>
    <w:rsid w:val="00F729EF"/>
    <w:rsid w:val="00F75616"/>
    <w:rsid w:val="00F7774C"/>
    <w:rsid w:val="00F77CAE"/>
    <w:rsid w:val="00F80DDB"/>
    <w:rsid w:val="00F8296D"/>
    <w:rsid w:val="00F83241"/>
    <w:rsid w:val="00F8430E"/>
    <w:rsid w:val="00F85AB7"/>
    <w:rsid w:val="00F87728"/>
    <w:rsid w:val="00F9058D"/>
    <w:rsid w:val="00F9163E"/>
    <w:rsid w:val="00F925EB"/>
    <w:rsid w:val="00F94A67"/>
    <w:rsid w:val="00F96643"/>
    <w:rsid w:val="00F96BB9"/>
    <w:rsid w:val="00F96E58"/>
    <w:rsid w:val="00FA15EB"/>
    <w:rsid w:val="00FA255A"/>
    <w:rsid w:val="00FA3BB2"/>
    <w:rsid w:val="00FB17C7"/>
    <w:rsid w:val="00FB44AA"/>
    <w:rsid w:val="00FB697E"/>
    <w:rsid w:val="00FB77EF"/>
    <w:rsid w:val="00FC1156"/>
    <w:rsid w:val="00FC1730"/>
    <w:rsid w:val="00FC2AB2"/>
    <w:rsid w:val="00FC4351"/>
    <w:rsid w:val="00FC5DB9"/>
    <w:rsid w:val="00FC6F69"/>
    <w:rsid w:val="00FD0550"/>
    <w:rsid w:val="00FD0F3A"/>
    <w:rsid w:val="00FD63DE"/>
    <w:rsid w:val="00FD6E9E"/>
    <w:rsid w:val="00FE3CE4"/>
    <w:rsid w:val="00FE4808"/>
    <w:rsid w:val="00FE5F27"/>
    <w:rsid w:val="00FE6D51"/>
    <w:rsid w:val="00FE6DAE"/>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473440"/>
  <w15:docId w15:val="{1462590E-EB09-48E8-B2D3-F9282B63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25"/>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style>
  <w:style w:type="paragraph" w:customStyle="1" w:styleId="Heading2Numbered">
    <w:name w:val="Heading 2 Numbered"/>
    <w:basedOn w:val="Heading2"/>
    <w:next w:val="Normal"/>
    <w:qFormat/>
    <w:rsid w:val="00D46D82"/>
    <w:rPr>
      <w:bCs/>
    </w:rPr>
  </w:style>
  <w:style w:type="paragraph" w:customStyle="1" w:styleId="Heading3Numbered">
    <w:name w:val="Heading 3 Numbered"/>
    <w:basedOn w:val="Heading3"/>
    <w:next w:val="Normal"/>
    <w:qFormat/>
    <w:rsid w:val="001D7EB4"/>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DB2761"/>
    <w:pPr>
      <w:tabs>
        <w:tab w:val="left" w:pos="454"/>
        <w:tab w:val="right" w:pos="9072"/>
      </w:tabs>
      <w:spacing w:after="180" w:line="230" w:lineRule="atLeast"/>
    </w:pPr>
    <w:rPr>
      <w:b/>
      <w:noProof/>
      <w:sz w:val="23"/>
    </w:rPr>
  </w:style>
  <w:style w:type="paragraph" w:styleId="TOC2">
    <w:name w:val="toc 2"/>
    <w:basedOn w:val="Normal"/>
    <w:next w:val="Normal"/>
    <w:autoRedefine/>
    <w:uiPriority w:val="39"/>
    <w:unhideWhenUsed/>
    <w:rsid w:val="00DB2761"/>
    <w:pPr>
      <w:tabs>
        <w:tab w:val="left" w:pos="454"/>
        <w:tab w:val="right" w:pos="9072"/>
      </w:tabs>
      <w:spacing w:after="180" w:line="230" w:lineRule="atLeast"/>
      <w:ind w:left="454" w:hanging="454"/>
    </w:pPr>
    <w:rPr>
      <w:noProof/>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ist Paragraph*,Dot Point,L,Bullet Points,NFP GP Bulleted List,First level bullet point,List Paragraph Number"/>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5"/>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7"/>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8"/>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9"/>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1"/>
      </w:numPr>
    </w:pPr>
  </w:style>
  <w:style w:type="paragraph" w:customStyle="1" w:styleId="Bullets2ndindent">
    <w:name w:val="Bullets (2nd indent)"/>
    <w:basedOn w:val="BodyText1"/>
    <w:rsid w:val="00340616"/>
    <w:pPr>
      <w:numPr>
        <w:ilvl w:val="1"/>
        <w:numId w:val="11"/>
      </w:numPr>
    </w:pPr>
  </w:style>
  <w:style w:type="numbering" w:customStyle="1" w:styleId="Bullets">
    <w:name w:val="Bullets"/>
    <w:basedOn w:val="NoList"/>
    <w:uiPriority w:val="99"/>
    <w:rsid w:val="00340616"/>
    <w:pPr>
      <w:numPr>
        <w:numId w:val="11"/>
      </w:numPr>
    </w:pPr>
  </w:style>
  <w:style w:type="paragraph" w:customStyle="1" w:styleId="Figuretitle">
    <w:name w:val="Figure title"/>
    <w:basedOn w:val="Heading2"/>
    <w:next w:val="BodyText1"/>
    <w:rsid w:val="00340616"/>
    <w:pPr>
      <w:keepNext w:val="0"/>
      <w:keepLines w:val="0"/>
      <w:numPr>
        <w:ilvl w:val="6"/>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1"/>
      </w:numPr>
    </w:pPr>
  </w:style>
  <w:style w:type="numbering" w:customStyle="1" w:styleId="Numbers">
    <w:name w:val="Numbers"/>
    <w:basedOn w:val="NoList"/>
    <w:rsid w:val="00340616"/>
    <w:pPr>
      <w:numPr>
        <w:numId w:val="12"/>
      </w:numPr>
    </w:pPr>
  </w:style>
  <w:style w:type="paragraph" w:customStyle="1" w:styleId="Bulletslast2ndindent">
    <w:name w:val="Bullets last (2nd indent)"/>
    <w:basedOn w:val="BodyText1"/>
    <w:rsid w:val="00340616"/>
    <w:pPr>
      <w:numPr>
        <w:ilvl w:val="3"/>
        <w:numId w:val="11"/>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1"/>
      </w:numPr>
    </w:pPr>
  </w:style>
  <w:style w:type="paragraph" w:customStyle="1" w:styleId="Tablebullets1stindent">
    <w:name w:val="Table bullets (1st indent)"/>
    <w:basedOn w:val="Tablebodytext"/>
    <w:qFormat/>
    <w:rsid w:val="00340616"/>
    <w:pPr>
      <w:numPr>
        <w:ilvl w:val="5"/>
        <w:numId w:val="11"/>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0"/>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0"/>
      </w:numPr>
    </w:pPr>
  </w:style>
  <w:style w:type="paragraph" w:customStyle="1" w:styleId="Numberedpara2ndindent">
    <w:name w:val="Numbered para (2nd indent)"/>
    <w:basedOn w:val="BodyText1"/>
    <w:rsid w:val="00340616"/>
    <w:pPr>
      <w:numPr>
        <w:ilvl w:val="4"/>
        <w:numId w:val="10"/>
      </w:numPr>
    </w:pPr>
  </w:style>
  <w:style w:type="paragraph" w:customStyle="1" w:styleId="Numberedpara3rdindent">
    <w:name w:val="Numbered para (3rd indent)"/>
    <w:basedOn w:val="BodyText1"/>
    <w:rsid w:val="00340616"/>
    <w:pPr>
      <w:numPr>
        <w:ilvl w:val="5"/>
        <w:numId w:val="10"/>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BulletsList1">
    <w:name w:val="Bullets List1"/>
    <w:uiPriority w:val="99"/>
    <w:rsid w:val="00A67314"/>
  </w:style>
  <w:style w:type="paragraph" w:styleId="BodyText">
    <w:name w:val="Body Text"/>
    <w:basedOn w:val="Normal"/>
    <w:link w:val="BodyTextChar"/>
    <w:uiPriority w:val="99"/>
    <w:semiHidden/>
    <w:unhideWhenUsed/>
    <w:rsid w:val="001200E3"/>
    <w:pPr>
      <w:spacing w:after="120"/>
    </w:pPr>
  </w:style>
  <w:style w:type="character" w:customStyle="1" w:styleId="BodyTextChar">
    <w:name w:val="Body Text Char"/>
    <w:basedOn w:val="DefaultParagraphFont"/>
    <w:link w:val="BodyText"/>
    <w:uiPriority w:val="99"/>
    <w:semiHidden/>
    <w:rsid w:val="001200E3"/>
  </w:style>
  <w:style w:type="paragraph" w:customStyle="1" w:styleId="CEOBrief-Heading1">
    <w:name w:val="CEO Brief - Heading 1"/>
    <w:basedOn w:val="ListParagraph"/>
    <w:link w:val="CEOBrief-Heading1Char"/>
    <w:qFormat/>
    <w:rsid w:val="00036BFE"/>
    <w:pPr>
      <w:numPr>
        <w:numId w:val="27"/>
      </w:numPr>
      <w:spacing w:before="120" w:after="120" w:line="240" w:lineRule="auto"/>
    </w:pPr>
    <w:rPr>
      <w:rFonts w:ascii="Arial" w:hAnsi="Arial" w:cs="Arial"/>
      <w:b/>
      <w:color w:val="6B2F76"/>
    </w:rPr>
  </w:style>
  <w:style w:type="paragraph" w:customStyle="1" w:styleId="CEOBrief-Paragraph1">
    <w:name w:val="CEO Brief - Paragraph 1"/>
    <w:basedOn w:val="ListParagraph"/>
    <w:qFormat/>
    <w:rsid w:val="00036BFE"/>
    <w:pPr>
      <w:numPr>
        <w:ilvl w:val="1"/>
        <w:numId w:val="27"/>
      </w:numPr>
      <w:spacing w:before="120" w:after="120" w:line="240" w:lineRule="auto"/>
      <w:ind w:left="431" w:hanging="431"/>
    </w:pPr>
    <w:rPr>
      <w:rFonts w:ascii="Arial" w:hAnsi="Arial" w:cs="Arial"/>
    </w:rPr>
  </w:style>
  <w:style w:type="paragraph" w:customStyle="1" w:styleId="CEOBrief-Paragaph2">
    <w:name w:val="CEO Brief - Paragaph 2"/>
    <w:basedOn w:val="CEOBrief-Paragraph1"/>
    <w:qFormat/>
    <w:rsid w:val="00036BFE"/>
    <w:pPr>
      <w:numPr>
        <w:ilvl w:val="2"/>
      </w:numPr>
      <w:tabs>
        <w:tab w:val="num" w:pos="360"/>
      </w:tabs>
    </w:pPr>
  </w:style>
  <w:style w:type="character" w:customStyle="1" w:styleId="CEOBrief-Heading1Char">
    <w:name w:val="CEO Brief - Heading 1 Char"/>
    <w:basedOn w:val="DefaultParagraphFont"/>
    <w:link w:val="CEOBrief-Heading1"/>
    <w:rsid w:val="00036BFE"/>
    <w:rPr>
      <w:rFonts w:ascii="Arial" w:eastAsia="Times New Roman" w:hAnsi="Arial" w:cs="Arial"/>
      <w:b/>
      <w:color w:val="6B2F76"/>
    </w:rPr>
  </w:style>
  <w:style w:type="paragraph" w:styleId="NormalWeb">
    <w:name w:val="Normal (Web)"/>
    <w:basedOn w:val="Normal"/>
    <w:uiPriority w:val="99"/>
    <w:unhideWhenUsed/>
    <w:rsid w:val="00B523A9"/>
    <w:pPr>
      <w:suppressAutoHyphens w:val="0"/>
      <w:spacing w:before="168" w:after="168" w:line="240" w:lineRule="auto"/>
    </w:pPr>
    <w:rPr>
      <w:rFonts w:ascii="Times New Roman" w:hAnsi="Times New Roman" w:cs="Times New Roman"/>
      <w:sz w:val="24"/>
      <w:szCs w:val="24"/>
      <w:lang w:eastAsia="en-AU"/>
    </w:rPr>
  </w:style>
  <w:style w:type="character" w:customStyle="1" w:styleId="ilfuvd">
    <w:name w:val="ilfuvd"/>
    <w:basedOn w:val="DefaultParagraphFont"/>
    <w:rsid w:val="002920E1"/>
  </w:style>
  <w:style w:type="character" w:customStyle="1" w:styleId="UnresolvedMention1">
    <w:name w:val="Unresolved Mention1"/>
    <w:basedOn w:val="DefaultParagraphFont"/>
    <w:uiPriority w:val="99"/>
    <w:semiHidden/>
    <w:unhideWhenUsed/>
    <w:rsid w:val="00D71D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72675483">
      <w:bodyDiv w:val="1"/>
      <w:marLeft w:val="0"/>
      <w:marRight w:val="0"/>
      <w:marTop w:val="0"/>
      <w:marBottom w:val="0"/>
      <w:divBdr>
        <w:top w:val="none" w:sz="0" w:space="0" w:color="auto"/>
        <w:left w:val="none" w:sz="0" w:space="0" w:color="auto"/>
        <w:bottom w:val="none" w:sz="0" w:space="0" w:color="auto"/>
        <w:right w:val="none" w:sz="0" w:space="0" w:color="auto"/>
      </w:divBdr>
    </w:div>
    <w:div w:id="558059074">
      <w:bodyDiv w:val="1"/>
      <w:marLeft w:val="0"/>
      <w:marRight w:val="0"/>
      <w:marTop w:val="0"/>
      <w:marBottom w:val="0"/>
      <w:divBdr>
        <w:top w:val="none" w:sz="0" w:space="0" w:color="auto"/>
        <w:left w:val="none" w:sz="0" w:space="0" w:color="auto"/>
        <w:bottom w:val="none" w:sz="0" w:space="0" w:color="auto"/>
        <w:right w:val="none" w:sz="0" w:space="0" w:color="auto"/>
      </w:divBdr>
    </w:div>
    <w:div w:id="569773277">
      <w:bodyDiv w:val="1"/>
      <w:marLeft w:val="0"/>
      <w:marRight w:val="0"/>
      <w:marTop w:val="0"/>
      <w:marBottom w:val="0"/>
      <w:divBdr>
        <w:top w:val="none" w:sz="0" w:space="0" w:color="auto"/>
        <w:left w:val="none" w:sz="0" w:space="0" w:color="auto"/>
        <w:bottom w:val="none" w:sz="0" w:space="0" w:color="auto"/>
        <w:right w:val="none" w:sz="0" w:space="0" w:color="auto"/>
      </w:divBdr>
    </w:div>
    <w:div w:id="588345155">
      <w:bodyDiv w:val="1"/>
      <w:marLeft w:val="0"/>
      <w:marRight w:val="0"/>
      <w:marTop w:val="0"/>
      <w:marBottom w:val="0"/>
      <w:divBdr>
        <w:top w:val="none" w:sz="0" w:space="0" w:color="auto"/>
        <w:left w:val="none" w:sz="0" w:space="0" w:color="auto"/>
        <w:bottom w:val="none" w:sz="0" w:space="0" w:color="auto"/>
        <w:right w:val="none" w:sz="0" w:space="0" w:color="auto"/>
      </w:divBdr>
    </w:div>
    <w:div w:id="619454088">
      <w:bodyDiv w:val="1"/>
      <w:marLeft w:val="0"/>
      <w:marRight w:val="0"/>
      <w:marTop w:val="0"/>
      <w:marBottom w:val="0"/>
      <w:divBdr>
        <w:top w:val="none" w:sz="0" w:space="0" w:color="auto"/>
        <w:left w:val="none" w:sz="0" w:space="0" w:color="auto"/>
        <w:bottom w:val="none" w:sz="0" w:space="0" w:color="auto"/>
        <w:right w:val="none" w:sz="0" w:space="0" w:color="auto"/>
      </w:divBdr>
    </w:div>
    <w:div w:id="680934319">
      <w:bodyDiv w:val="1"/>
      <w:marLeft w:val="0"/>
      <w:marRight w:val="0"/>
      <w:marTop w:val="0"/>
      <w:marBottom w:val="0"/>
      <w:divBdr>
        <w:top w:val="none" w:sz="0" w:space="0" w:color="auto"/>
        <w:left w:val="none" w:sz="0" w:space="0" w:color="auto"/>
        <w:bottom w:val="none" w:sz="0" w:space="0" w:color="auto"/>
        <w:right w:val="none" w:sz="0" w:space="0" w:color="auto"/>
      </w:divBdr>
    </w:div>
    <w:div w:id="750198959">
      <w:bodyDiv w:val="1"/>
      <w:marLeft w:val="0"/>
      <w:marRight w:val="0"/>
      <w:marTop w:val="0"/>
      <w:marBottom w:val="0"/>
      <w:divBdr>
        <w:top w:val="none" w:sz="0" w:space="0" w:color="auto"/>
        <w:left w:val="none" w:sz="0" w:space="0" w:color="auto"/>
        <w:bottom w:val="none" w:sz="0" w:space="0" w:color="auto"/>
        <w:right w:val="none" w:sz="0" w:space="0" w:color="auto"/>
      </w:divBdr>
    </w:div>
    <w:div w:id="906039715">
      <w:bodyDiv w:val="1"/>
      <w:marLeft w:val="0"/>
      <w:marRight w:val="0"/>
      <w:marTop w:val="0"/>
      <w:marBottom w:val="0"/>
      <w:divBdr>
        <w:top w:val="none" w:sz="0" w:space="0" w:color="auto"/>
        <w:left w:val="none" w:sz="0" w:space="0" w:color="auto"/>
        <w:bottom w:val="none" w:sz="0" w:space="0" w:color="auto"/>
        <w:right w:val="none" w:sz="0" w:space="0" w:color="auto"/>
      </w:divBdr>
    </w:div>
    <w:div w:id="920874881">
      <w:bodyDiv w:val="1"/>
      <w:marLeft w:val="0"/>
      <w:marRight w:val="0"/>
      <w:marTop w:val="0"/>
      <w:marBottom w:val="0"/>
      <w:divBdr>
        <w:top w:val="none" w:sz="0" w:space="0" w:color="auto"/>
        <w:left w:val="none" w:sz="0" w:space="0" w:color="auto"/>
        <w:bottom w:val="none" w:sz="0" w:space="0" w:color="auto"/>
        <w:right w:val="none" w:sz="0" w:space="0" w:color="auto"/>
      </w:divBdr>
    </w:div>
    <w:div w:id="1032265556">
      <w:bodyDiv w:val="1"/>
      <w:marLeft w:val="0"/>
      <w:marRight w:val="0"/>
      <w:marTop w:val="0"/>
      <w:marBottom w:val="0"/>
      <w:divBdr>
        <w:top w:val="none" w:sz="0" w:space="0" w:color="auto"/>
        <w:left w:val="none" w:sz="0" w:space="0" w:color="auto"/>
        <w:bottom w:val="none" w:sz="0" w:space="0" w:color="auto"/>
        <w:right w:val="none" w:sz="0" w:space="0" w:color="auto"/>
      </w:divBdr>
    </w:div>
    <w:div w:id="1033308572">
      <w:bodyDiv w:val="1"/>
      <w:marLeft w:val="0"/>
      <w:marRight w:val="0"/>
      <w:marTop w:val="0"/>
      <w:marBottom w:val="0"/>
      <w:divBdr>
        <w:top w:val="none" w:sz="0" w:space="0" w:color="auto"/>
        <w:left w:val="none" w:sz="0" w:space="0" w:color="auto"/>
        <w:bottom w:val="none" w:sz="0" w:space="0" w:color="auto"/>
        <w:right w:val="none" w:sz="0" w:space="0" w:color="auto"/>
      </w:divBdr>
    </w:div>
    <w:div w:id="1096558757">
      <w:bodyDiv w:val="1"/>
      <w:marLeft w:val="0"/>
      <w:marRight w:val="0"/>
      <w:marTop w:val="0"/>
      <w:marBottom w:val="0"/>
      <w:divBdr>
        <w:top w:val="none" w:sz="0" w:space="0" w:color="auto"/>
        <w:left w:val="none" w:sz="0" w:space="0" w:color="auto"/>
        <w:bottom w:val="none" w:sz="0" w:space="0" w:color="auto"/>
        <w:right w:val="none" w:sz="0" w:space="0" w:color="auto"/>
      </w:divBdr>
    </w:div>
    <w:div w:id="1307931780">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083706">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24299208">
      <w:bodyDiv w:val="1"/>
      <w:marLeft w:val="0"/>
      <w:marRight w:val="0"/>
      <w:marTop w:val="0"/>
      <w:marBottom w:val="0"/>
      <w:divBdr>
        <w:top w:val="none" w:sz="0" w:space="0" w:color="auto"/>
        <w:left w:val="none" w:sz="0" w:space="0" w:color="auto"/>
        <w:bottom w:val="none" w:sz="0" w:space="0" w:color="auto"/>
        <w:right w:val="none" w:sz="0" w:space="0" w:color="auto"/>
      </w:divBdr>
    </w:div>
    <w:div w:id="1532375838">
      <w:bodyDiv w:val="1"/>
      <w:marLeft w:val="0"/>
      <w:marRight w:val="0"/>
      <w:marTop w:val="0"/>
      <w:marBottom w:val="0"/>
      <w:divBdr>
        <w:top w:val="none" w:sz="0" w:space="0" w:color="auto"/>
        <w:left w:val="none" w:sz="0" w:space="0" w:color="auto"/>
        <w:bottom w:val="none" w:sz="0" w:space="0" w:color="auto"/>
        <w:right w:val="none" w:sz="0" w:space="0" w:color="auto"/>
      </w:divBdr>
    </w:div>
    <w:div w:id="1534808338">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84412735">
      <w:bodyDiv w:val="1"/>
      <w:marLeft w:val="0"/>
      <w:marRight w:val="0"/>
      <w:marTop w:val="0"/>
      <w:marBottom w:val="0"/>
      <w:divBdr>
        <w:top w:val="none" w:sz="0" w:space="0" w:color="auto"/>
        <w:left w:val="none" w:sz="0" w:space="0" w:color="auto"/>
        <w:bottom w:val="none" w:sz="0" w:space="0" w:color="auto"/>
        <w:right w:val="none" w:sz="0" w:space="0" w:color="auto"/>
      </w:divBdr>
    </w:div>
    <w:div w:id="1589801522">
      <w:bodyDiv w:val="1"/>
      <w:marLeft w:val="0"/>
      <w:marRight w:val="0"/>
      <w:marTop w:val="0"/>
      <w:marBottom w:val="0"/>
      <w:divBdr>
        <w:top w:val="none" w:sz="0" w:space="0" w:color="auto"/>
        <w:left w:val="none" w:sz="0" w:space="0" w:color="auto"/>
        <w:bottom w:val="none" w:sz="0" w:space="0" w:color="auto"/>
        <w:right w:val="none" w:sz="0" w:space="0" w:color="auto"/>
      </w:divBdr>
      <w:divsChild>
        <w:div w:id="1416631513">
          <w:marLeft w:val="1800"/>
          <w:marRight w:val="1800"/>
          <w:marTop w:val="0"/>
          <w:marBottom w:val="0"/>
          <w:divBdr>
            <w:top w:val="none" w:sz="0" w:space="0" w:color="auto"/>
            <w:left w:val="none" w:sz="0" w:space="0" w:color="auto"/>
            <w:bottom w:val="none" w:sz="0" w:space="0" w:color="auto"/>
            <w:right w:val="none" w:sz="0" w:space="0" w:color="auto"/>
          </w:divBdr>
          <w:divsChild>
            <w:div w:id="177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10745401">
      <w:bodyDiv w:val="1"/>
      <w:marLeft w:val="0"/>
      <w:marRight w:val="0"/>
      <w:marTop w:val="0"/>
      <w:marBottom w:val="0"/>
      <w:divBdr>
        <w:top w:val="none" w:sz="0" w:space="0" w:color="auto"/>
        <w:left w:val="none" w:sz="0" w:space="0" w:color="auto"/>
        <w:bottom w:val="none" w:sz="0" w:space="0" w:color="auto"/>
        <w:right w:val="none" w:sz="0" w:space="0" w:color="auto"/>
      </w:divBdr>
    </w:div>
    <w:div w:id="1671519972">
      <w:bodyDiv w:val="1"/>
      <w:marLeft w:val="0"/>
      <w:marRight w:val="0"/>
      <w:marTop w:val="0"/>
      <w:marBottom w:val="0"/>
      <w:divBdr>
        <w:top w:val="none" w:sz="0" w:space="0" w:color="auto"/>
        <w:left w:val="none" w:sz="0" w:space="0" w:color="auto"/>
        <w:bottom w:val="none" w:sz="0" w:space="0" w:color="auto"/>
        <w:right w:val="none" w:sz="0" w:space="0" w:color="auto"/>
      </w:divBdr>
    </w:div>
    <w:div w:id="1715695392">
      <w:bodyDiv w:val="1"/>
      <w:marLeft w:val="0"/>
      <w:marRight w:val="0"/>
      <w:marTop w:val="0"/>
      <w:marBottom w:val="0"/>
      <w:divBdr>
        <w:top w:val="none" w:sz="0" w:space="0" w:color="auto"/>
        <w:left w:val="none" w:sz="0" w:space="0" w:color="auto"/>
        <w:bottom w:val="none" w:sz="0" w:space="0" w:color="auto"/>
        <w:right w:val="none" w:sz="0" w:space="0" w:color="auto"/>
      </w:divBdr>
    </w:div>
    <w:div w:id="1918395439">
      <w:bodyDiv w:val="1"/>
      <w:marLeft w:val="0"/>
      <w:marRight w:val="0"/>
      <w:marTop w:val="0"/>
      <w:marBottom w:val="0"/>
      <w:divBdr>
        <w:top w:val="none" w:sz="0" w:space="0" w:color="auto"/>
        <w:left w:val="none" w:sz="0" w:space="0" w:color="auto"/>
        <w:bottom w:val="none" w:sz="0" w:space="0" w:color="auto"/>
        <w:right w:val="none" w:sz="0" w:space="0" w:color="auto"/>
      </w:divBdr>
    </w:div>
    <w:div w:id="2002809171">
      <w:bodyDiv w:val="1"/>
      <w:marLeft w:val="0"/>
      <w:marRight w:val="0"/>
      <w:marTop w:val="0"/>
      <w:marBottom w:val="0"/>
      <w:divBdr>
        <w:top w:val="none" w:sz="0" w:space="0" w:color="auto"/>
        <w:left w:val="none" w:sz="0" w:space="0" w:color="auto"/>
        <w:bottom w:val="none" w:sz="0" w:space="0" w:color="auto"/>
        <w:right w:val="none" w:sz="0" w:space="0" w:color="auto"/>
      </w:divBdr>
    </w:div>
    <w:div w:id="2104688922">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dis.us6.list-manage.com/subscribe?u=055092cc7e42efbfc41d80045&amp;id=09639bbccd" TargetMode="External"/><Relationship Id="rId18" Type="http://schemas.openxmlformats.org/officeDocument/2006/relationships/hyperlink" Target="https://www.communitygrants.gov.au/grants" TargetMode="External"/><Relationship Id="rId26" Type="http://schemas.openxmlformats.org/officeDocument/2006/relationships/hyperlink" Target="http://www.finance.gov.au/financial-framework/financial-management-policy-guidance/grants/grant-agreement-template-project.html" TargetMode="External"/><Relationship Id="rId39"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styles" Target="styles.xml"/><Relationship Id="rId21" Type="http://schemas.openxmlformats.org/officeDocument/2006/relationships/hyperlink" Target="https://www.grants.gov.au/?event=public.home" TargetMode="External"/><Relationship Id="rId34" Type="http://schemas.openxmlformats.org/officeDocument/2006/relationships/hyperlink" Target="https://www.dss.gov.au/contact/feedback-compliments-complaints-and-enquiries/feedback-form" TargetMode="External"/><Relationship Id="rId42" Type="http://schemas.openxmlformats.org/officeDocument/2006/relationships/hyperlink" Target="mailto:foi@ndis.gov.au"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inance.gov.au/resource-management/grants/" TargetMode="External"/><Relationship Id="rId17" Type="http://schemas.openxmlformats.org/officeDocument/2006/relationships/hyperlink" Target="https://www.grants.gov.au/" TargetMode="External"/><Relationship Id="rId25" Type="http://schemas.openxmlformats.org/officeDocument/2006/relationships/hyperlink" Target="https://www.communitygrants@gov.au/" TargetMode="External"/><Relationship Id="rId33" Type="http://schemas.openxmlformats.org/officeDocument/2006/relationships/hyperlink" Target="http://www.communitygrants.gov.au" TargetMode="External"/><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lctoolkit.ndis.gov.au/" TargetMode="External"/><Relationship Id="rId20" Type="http://schemas.openxmlformats.org/officeDocument/2006/relationships/hyperlink" Target="mailto:support@communitygrants.gov.au" TargetMode="External"/><Relationship Id="rId29" Type="http://schemas.openxmlformats.org/officeDocument/2006/relationships/hyperlink" Target="file://prod.protected.ind/User/user03/LLau2/insert%20link%20here" TargetMode="External"/><Relationship Id="rId41" Type="http://schemas.openxmlformats.org/officeDocument/2006/relationships/hyperlink" Target="http://www.comlaw.gov.au/Details/C2014C007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ctoolkit.ndis.gov.au/outcomes/ilc-outcomes" TargetMode="External"/><Relationship Id="rId24" Type="http://schemas.openxmlformats.org/officeDocument/2006/relationships/hyperlink" Target="https://www.grants.gov.au/" TargetMode="External"/><Relationship Id="rId32" Type="http://schemas.openxmlformats.org/officeDocument/2006/relationships/hyperlink" Target="https://www.grants.gov.au/" TargetMode="External"/><Relationship Id="rId37" Type="http://schemas.openxmlformats.org/officeDocument/2006/relationships/hyperlink" Target="https://internet-relay.nrscall.gov.au/" TargetMode="External"/><Relationship Id="rId40" Type="http://schemas.openxmlformats.org/officeDocument/2006/relationships/hyperlink" Target="http://www.ndis.gov.au/privacy"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dis.gov.au/communities/ilc-grants.html" TargetMode="External"/><Relationship Id="rId23" Type="http://schemas.openxmlformats.org/officeDocument/2006/relationships/hyperlink" Target="mailto:support@communitygrants.gov.au" TargetMode="External"/><Relationship Id="rId28" Type="http://schemas.openxmlformats.org/officeDocument/2006/relationships/hyperlink" Target="https://www.communitygrants.gov.au/grants" TargetMode="External"/><Relationship Id="rId36" Type="http://schemas.openxmlformats.org/officeDocument/2006/relationships/hyperlink" Target="http://www.ombudsman.gov.au" TargetMode="External"/><Relationship Id="rId49" Type="http://schemas.openxmlformats.org/officeDocument/2006/relationships/header" Target="header3.xml"/><Relationship Id="rId10" Type="http://schemas.openxmlformats.org/officeDocument/2006/relationships/hyperlink" Target="https://www.communitygrants.gov.au/grants" TargetMode="External"/><Relationship Id="rId19" Type="http://schemas.openxmlformats.org/officeDocument/2006/relationships/hyperlink" Target="mailto:support@communitygrants.gov.au" TargetMode="External"/><Relationship Id="rId31" Type="http://schemas.openxmlformats.org/officeDocument/2006/relationships/hyperlink" Target="http://www.ato.gov.au/" TargetMode="External"/><Relationship Id="rId44" Type="http://schemas.openxmlformats.org/officeDocument/2006/relationships/hyperlink" Target="https://en.wikipedia.org/wiki/Organizations"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s://www.nfplaw.org.au/auspicing" TargetMode="External"/><Relationship Id="rId22" Type="http://schemas.openxmlformats.org/officeDocument/2006/relationships/hyperlink" Target="https://www.communitygrants.gov.au/grants" TargetMode="External"/><Relationship Id="rId27" Type="http://schemas.openxmlformats.org/officeDocument/2006/relationships/hyperlink" Target="https://www.grants.gov.au/" TargetMode="External"/><Relationship Id="rId30" Type="http://schemas.openxmlformats.org/officeDocument/2006/relationships/hyperlink" Target="https://www.grants.gov.au/?event=public.home" TargetMode="External"/><Relationship Id="rId35" Type="http://schemas.openxmlformats.org/officeDocument/2006/relationships/hyperlink" Target="mailto:ombudsman@ombudsman.gov.au" TargetMode="External"/><Relationship Id="rId43" Type="http://schemas.openxmlformats.org/officeDocument/2006/relationships/hyperlink" Target="https://en.wikipedia.org/wiki/Voluntary_association" TargetMode="External"/><Relationship Id="rId48" Type="http://schemas.openxmlformats.org/officeDocument/2006/relationships/footer" Target="footer2.xml"/><Relationship Id="rId56" Type="http://schemas.microsoft.com/office/2016/09/relationships/commentsIds" Target="commentsIds.xml"/><Relationship Id="rId8" Type="http://schemas.openxmlformats.org/officeDocument/2006/relationships/hyperlink" Target="mailto:support@communitygrants.gov.au" TargetMode="External"/><Relationship Id="rId51" Type="http://schemas.openxmlformats.org/officeDocument/2006/relationships/theme" Target="theme/theme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4CCD-E79D-4723-9AA4-86A26E84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14524</Words>
  <Characters>82788</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MWANGI, Mathenge</cp:lastModifiedBy>
  <cp:revision>4</cp:revision>
  <cp:lastPrinted>2018-11-12T06:53:00Z</cp:lastPrinted>
  <dcterms:created xsi:type="dcterms:W3CDTF">2018-11-23T04:47:00Z</dcterms:created>
  <dcterms:modified xsi:type="dcterms:W3CDTF">2018-11-26T03:17:00Z</dcterms:modified>
  <cp:contentStatus/>
</cp:coreProperties>
</file>