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207477" w14:textId="39B9159B" w:rsidR="00794773" w:rsidRPr="00173FA3" w:rsidRDefault="00794773" w:rsidP="006F68F9">
      <w:pPr>
        <w:pStyle w:val="Title"/>
        <w:spacing w:before="2040"/>
        <w:rPr>
          <w:color w:val="AD8800" w:themeColor="accent3" w:themeShade="BF"/>
        </w:rPr>
      </w:pPr>
    </w:p>
    <w:p w14:paraId="4EF50F38" w14:textId="205C18B3" w:rsidR="00794773" w:rsidRPr="00C836BC" w:rsidRDefault="001E796B" w:rsidP="00C836BC">
      <w:pPr>
        <w:pStyle w:val="Title"/>
      </w:pPr>
      <w:r w:rsidRPr="00C97869">
        <w:rPr>
          <w:color w:val="auto"/>
        </w:rPr>
        <w:t xml:space="preserve">Family Violence and Cross-examination of </w:t>
      </w:r>
      <w:r w:rsidR="00873BD3">
        <w:rPr>
          <w:color w:val="auto"/>
        </w:rPr>
        <w:br/>
        <w:t xml:space="preserve">Parties </w:t>
      </w:r>
      <w:r w:rsidRPr="00C97869">
        <w:rPr>
          <w:color w:val="auto"/>
        </w:rPr>
        <w:t>Scheme</w:t>
      </w:r>
      <w:r w:rsidR="00873BD3">
        <w:rPr>
          <w:color w:val="auto"/>
        </w:rPr>
        <w:t xml:space="preserve"> </w:t>
      </w:r>
      <w:r w:rsidR="00794773" w:rsidRPr="00C836BC">
        <w:t>Guidelines</w:t>
      </w:r>
    </w:p>
    <w:p w14:paraId="2A55BD66" w14:textId="77777777" w:rsidR="00794773" w:rsidRPr="007040EB" w:rsidRDefault="00794773" w:rsidP="00794773">
      <w:pPr>
        <w:spacing w:line="240" w:lineRule="auto"/>
      </w:pPr>
    </w:p>
    <w:tbl>
      <w:tblPr>
        <w:tblStyle w:val="TableGrid"/>
        <w:tblW w:w="9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ant Details"/>
        <w:tblDescription w:val="Grant Details"/>
      </w:tblPr>
      <w:tblGrid>
        <w:gridCol w:w="2977"/>
        <w:gridCol w:w="6404"/>
      </w:tblGrid>
      <w:tr w:rsidR="00794773" w:rsidRPr="007040EB" w14:paraId="739A7A91" w14:textId="77777777" w:rsidTr="00096839">
        <w:trPr>
          <w:tblHeader/>
        </w:trPr>
        <w:tc>
          <w:tcPr>
            <w:tcW w:w="2977" w:type="dxa"/>
          </w:tcPr>
          <w:p w14:paraId="364FB4AB" w14:textId="77777777" w:rsidR="00794773" w:rsidRPr="00891432" w:rsidRDefault="00794773" w:rsidP="00694DF9">
            <w:pPr>
              <w:spacing w:line="240" w:lineRule="auto"/>
              <w:jc w:val="both"/>
            </w:pPr>
            <w:r w:rsidRPr="00891432">
              <w:t>Opening date:</w:t>
            </w:r>
          </w:p>
        </w:tc>
        <w:tc>
          <w:tcPr>
            <w:tcW w:w="6404" w:type="dxa"/>
            <w:shd w:val="clear" w:color="auto" w:fill="auto"/>
          </w:tcPr>
          <w:p w14:paraId="2AD2C9F5" w14:textId="6B0DCB65" w:rsidR="00794773" w:rsidRPr="00FB3370" w:rsidRDefault="003B3C72" w:rsidP="002C7BB1">
            <w:pPr>
              <w:pStyle w:val="inputcomment"/>
              <w:rPr>
                <w:b w:val="0"/>
                <w:color w:val="auto"/>
              </w:rPr>
            </w:pPr>
            <w:r w:rsidRPr="00FB3370">
              <w:rPr>
                <w:b w:val="0"/>
                <w:color w:val="auto"/>
              </w:rPr>
              <w:t>30</w:t>
            </w:r>
            <w:r w:rsidR="00AC2E4C" w:rsidRPr="00FB3370">
              <w:rPr>
                <w:b w:val="0"/>
                <w:color w:val="auto"/>
              </w:rPr>
              <w:t xml:space="preserve"> January 2019</w:t>
            </w:r>
          </w:p>
        </w:tc>
      </w:tr>
      <w:tr w:rsidR="00794773" w:rsidRPr="007040EB" w14:paraId="4DCE9EC1" w14:textId="77777777" w:rsidTr="002C7BB1">
        <w:tc>
          <w:tcPr>
            <w:tcW w:w="2977" w:type="dxa"/>
          </w:tcPr>
          <w:p w14:paraId="085D0038" w14:textId="77777777" w:rsidR="00794773" w:rsidRPr="00891432" w:rsidRDefault="00794773" w:rsidP="00694DF9">
            <w:pPr>
              <w:spacing w:line="240" w:lineRule="auto"/>
              <w:jc w:val="both"/>
            </w:pPr>
            <w:r w:rsidRPr="00891432">
              <w:t>Closing date and time:</w:t>
            </w:r>
          </w:p>
        </w:tc>
        <w:tc>
          <w:tcPr>
            <w:tcW w:w="6404" w:type="dxa"/>
            <w:shd w:val="clear" w:color="auto" w:fill="auto"/>
          </w:tcPr>
          <w:p w14:paraId="72DE1B6A" w14:textId="113EA0A9" w:rsidR="00794773" w:rsidRPr="00FB3370" w:rsidRDefault="00A12923" w:rsidP="001E796B">
            <w:pPr>
              <w:pStyle w:val="inputcomment"/>
              <w:rPr>
                <w:b w:val="0"/>
                <w:color w:val="auto"/>
              </w:rPr>
            </w:pPr>
            <w:r w:rsidRPr="00FB3370">
              <w:rPr>
                <w:b w:val="0"/>
                <w:color w:val="auto"/>
              </w:rPr>
              <w:t xml:space="preserve">2pm </w:t>
            </w:r>
            <w:r w:rsidR="00794773" w:rsidRPr="00FB3370">
              <w:rPr>
                <w:b w:val="0"/>
                <w:color w:val="auto"/>
              </w:rPr>
              <w:t>AE</w:t>
            </w:r>
            <w:r w:rsidRPr="00FB3370">
              <w:rPr>
                <w:b w:val="0"/>
                <w:color w:val="auto"/>
              </w:rPr>
              <w:t>D</w:t>
            </w:r>
            <w:r w:rsidR="00794773" w:rsidRPr="00FB3370">
              <w:rPr>
                <w:b w:val="0"/>
                <w:color w:val="auto"/>
              </w:rPr>
              <w:t xml:space="preserve">T on </w:t>
            </w:r>
            <w:r w:rsidR="003B3C72" w:rsidRPr="00FB3370">
              <w:rPr>
                <w:b w:val="0"/>
                <w:color w:val="auto"/>
              </w:rPr>
              <w:t>12 February</w:t>
            </w:r>
            <w:r w:rsidR="00F525B2" w:rsidRPr="00FB3370">
              <w:rPr>
                <w:b w:val="0"/>
                <w:color w:val="auto"/>
              </w:rPr>
              <w:t xml:space="preserve"> 2019</w:t>
            </w:r>
          </w:p>
        </w:tc>
      </w:tr>
      <w:tr w:rsidR="00794773" w:rsidRPr="007040EB" w14:paraId="713074A2" w14:textId="77777777" w:rsidTr="002C7BB1">
        <w:tc>
          <w:tcPr>
            <w:tcW w:w="2977" w:type="dxa"/>
          </w:tcPr>
          <w:p w14:paraId="0AAD25A9" w14:textId="77777777" w:rsidR="00794773" w:rsidRPr="00891432" w:rsidRDefault="00794773" w:rsidP="00694DF9">
            <w:pPr>
              <w:spacing w:line="240" w:lineRule="auto"/>
            </w:pPr>
            <w:r w:rsidRPr="00891432">
              <w:t>Commonwealth policy entity:</w:t>
            </w:r>
          </w:p>
        </w:tc>
        <w:tc>
          <w:tcPr>
            <w:tcW w:w="6404" w:type="dxa"/>
            <w:shd w:val="clear" w:color="auto" w:fill="auto"/>
          </w:tcPr>
          <w:p w14:paraId="2F8A8C2D" w14:textId="7734E059" w:rsidR="00794773" w:rsidRPr="00FB3370" w:rsidRDefault="001E796B" w:rsidP="00694DF9">
            <w:pPr>
              <w:spacing w:line="240" w:lineRule="auto"/>
            </w:pPr>
            <w:r w:rsidRPr="00FB3370">
              <w:t>Attorney-General’s Department</w:t>
            </w:r>
          </w:p>
        </w:tc>
      </w:tr>
      <w:tr w:rsidR="00794773" w:rsidRPr="007040EB" w14:paraId="7E3EE1D3" w14:textId="77777777" w:rsidTr="002C7BB1">
        <w:tc>
          <w:tcPr>
            <w:tcW w:w="2977" w:type="dxa"/>
          </w:tcPr>
          <w:p w14:paraId="6AF76655" w14:textId="661B1107" w:rsidR="00794773" w:rsidRPr="00891432" w:rsidRDefault="00A12923" w:rsidP="00694DF9">
            <w:pPr>
              <w:spacing w:line="240" w:lineRule="auto"/>
              <w:jc w:val="both"/>
            </w:pPr>
            <w:r>
              <w:t>Administering entity:</w:t>
            </w:r>
          </w:p>
        </w:tc>
        <w:tc>
          <w:tcPr>
            <w:tcW w:w="6404" w:type="dxa"/>
            <w:shd w:val="clear" w:color="auto" w:fill="auto"/>
          </w:tcPr>
          <w:p w14:paraId="301DB1E8" w14:textId="234ADE49" w:rsidR="00794773" w:rsidRPr="00FB3370" w:rsidRDefault="00A12923" w:rsidP="00A97C9C">
            <w:pPr>
              <w:spacing w:line="240" w:lineRule="auto"/>
            </w:pPr>
            <w:r w:rsidRPr="00FB3370">
              <w:t xml:space="preserve">Community Grants Hub </w:t>
            </w:r>
          </w:p>
        </w:tc>
      </w:tr>
      <w:tr w:rsidR="00794773" w:rsidRPr="007040EB" w14:paraId="1AB3F1CE" w14:textId="77777777" w:rsidTr="002C7BB1">
        <w:tc>
          <w:tcPr>
            <w:tcW w:w="2977" w:type="dxa"/>
          </w:tcPr>
          <w:p w14:paraId="4D6A65F8" w14:textId="77777777" w:rsidR="00794773" w:rsidRPr="00891432" w:rsidRDefault="00794773" w:rsidP="000B5D32">
            <w:pPr>
              <w:spacing w:before="200" w:line="240" w:lineRule="auto"/>
              <w:jc w:val="both"/>
            </w:pPr>
            <w:r w:rsidRPr="00891432">
              <w:t>Enquiries:</w:t>
            </w:r>
          </w:p>
        </w:tc>
        <w:tc>
          <w:tcPr>
            <w:tcW w:w="6404" w:type="dxa"/>
            <w:shd w:val="clear" w:color="auto" w:fill="auto"/>
          </w:tcPr>
          <w:p w14:paraId="3D6C9301" w14:textId="2E2AB417" w:rsidR="000E3595" w:rsidRPr="00FB3370" w:rsidRDefault="00794773" w:rsidP="000B5D32">
            <w:pPr>
              <w:spacing w:before="200" w:line="240" w:lineRule="auto"/>
            </w:pPr>
            <w:r w:rsidRPr="00FB3370">
              <w:t xml:space="preserve">If you have any questions, please contact </w:t>
            </w:r>
          </w:p>
          <w:p w14:paraId="1A7CB621" w14:textId="77777777" w:rsidR="000E3595" w:rsidRPr="00FB3370" w:rsidRDefault="000E3595" w:rsidP="000B5D32">
            <w:pPr>
              <w:spacing w:before="60" w:after="0" w:line="240" w:lineRule="auto"/>
            </w:pPr>
            <w:r w:rsidRPr="00FB3370">
              <w:t xml:space="preserve">Community Grants Hub </w:t>
            </w:r>
          </w:p>
          <w:p w14:paraId="7ADFE799" w14:textId="77777777" w:rsidR="000E3595" w:rsidRPr="00FB3370" w:rsidRDefault="000E3595" w:rsidP="000B5D32">
            <w:pPr>
              <w:spacing w:before="60" w:after="0" w:line="240" w:lineRule="auto"/>
            </w:pPr>
            <w:r w:rsidRPr="00FB3370">
              <w:t>Phone: 1800 020 283</w:t>
            </w:r>
          </w:p>
          <w:p w14:paraId="30416B2A" w14:textId="27E2C692" w:rsidR="001B4DE7" w:rsidRPr="00FB3370" w:rsidRDefault="000E3595" w:rsidP="000B5D32">
            <w:pPr>
              <w:spacing w:before="60" w:after="0" w:line="240" w:lineRule="auto"/>
            </w:pPr>
            <w:r w:rsidRPr="00FB3370">
              <w:t xml:space="preserve">Email: </w:t>
            </w:r>
            <w:hyperlink r:id="rId8" w:history="1">
              <w:r w:rsidRPr="00FB3370">
                <w:rPr>
                  <w:rStyle w:val="Hyperlink"/>
                  <w:rFonts w:cstheme="minorBidi"/>
                </w:rPr>
                <w:t>support@communitygrants.gov.au</w:t>
              </w:r>
            </w:hyperlink>
            <w:r w:rsidRPr="00FB3370">
              <w:t xml:space="preserve"> </w:t>
            </w:r>
          </w:p>
          <w:p w14:paraId="4C6D3D21" w14:textId="61E66072" w:rsidR="001B4DE7" w:rsidRPr="00FB3370" w:rsidRDefault="001B4DE7" w:rsidP="001B4DE7">
            <w:r w:rsidRPr="00FB3370">
              <w:t xml:space="preserve">Questions must be sent no later than </w:t>
            </w:r>
            <w:r w:rsidR="003B3C72" w:rsidRPr="00FB3370">
              <w:t>5 February</w:t>
            </w:r>
            <w:r w:rsidR="00F525B2" w:rsidRPr="00FB3370">
              <w:t xml:space="preserve"> 2019</w:t>
            </w:r>
          </w:p>
          <w:p w14:paraId="05D6C0ED" w14:textId="2CBB809A" w:rsidR="00794773" w:rsidRPr="00FB3370" w:rsidRDefault="00794773" w:rsidP="000B5D32">
            <w:pPr>
              <w:spacing w:before="60" w:after="0" w:line="240" w:lineRule="auto"/>
            </w:pPr>
            <w:r w:rsidRPr="00FB3370">
              <w:br/>
            </w:r>
          </w:p>
        </w:tc>
      </w:tr>
      <w:tr w:rsidR="00794773" w:rsidRPr="007040EB" w14:paraId="6950C9DB" w14:textId="77777777" w:rsidTr="002C7BB1">
        <w:tc>
          <w:tcPr>
            <w:tcW w:w="2977" w:type="dxa"/>
          </w:tcPr>
          <w:p w14:paraId="04503E09" w14:textId="77777777" w:rsidR="00794773" w:rsidRPr="00891432" w:rsidRDefault="00794773" w:rsidP="00694DF9">
            <w:pPr>
              <w:spacing w:line="240" w:lineRule="auto"/>
              <w:jc w:val="both"/>
            </w:pPr>
            <w:r w:rsidRPr="00891432">
              <w:t>Date guidelines released:</w:t>
            </w:r>
          </w:p>
        </w:tc>
        <w:tc>
          <w:tcPr>
            <w:tcW w:w="6404" w:type="dxa"/>
            <w:shd w:val="clear" w:color="auto" w:fill="auto"/>
          </w:tcPr>
          <w:p w14:paraId="15689CB7" w14:textId="40224141" w:rsidR="00794773" w:rsidRPr="00FB3370" w:rsidRDefault="003B3C72" w:rsidP="00694DF9">
            <w:pPr>
              <w:spacing w:line="240" w:lineRule="auto"/>
            </w:pPr>
            <w:r w:rsidRPr="00FB3370">
              <w:t>30</w:t>
            </w:r>
            <w:r w:rsidR="00F525B2" w:rsidRPr="00FB3370">
              <w:t xml:space="preserve"> January 2019</w:t>
            </w:r>
          </w:p>
        </w:tc>
      </w:tr>
      <w:tr w:rsidR="00794773" w14:paraId="3EAED9B5" w14:textId="77777777" w:rsidTr="002C7BB1">
        <w:tc>
          <w:tcPr>
            <w:tcW w:w="2977" w:type="dxa"/>
          </w:tcPr>
          <w:p w14:paraId="5B5CCB4C" w14:textId="77777777" w:rsidR="00794773" w:rsidRPr="00891432" w:rsidRDefault="00794773" w:rsidP="00694DF9">
            <w:pPr>
              <w:spacing w:line="240" w:lineRule="auto"/>
              <w:jc w:val="both"/>
            </w:pPr>
            <w:r w:rsidRPr="00891432">
              <w:t>Type of grant opportunity:</w:t>
            </w:r>
          </w:p>
        </w:tc>
        <w:tc>
          <w:tcPr>
            <w:tcW w:w="6404" w:type="dxa"/>
            <w:shd w:val="clear" w:color="auto" w:fill="auto"/>
          </w:tcPr>
          <w:p w14:paraId="11EFFC4D" w14:textId="0E416DD6" w:rsidR="00B6687E" w:rsidRPr="00891432" w:rsidRDefault="00AA372A" w:rsidP="006539C9">
            <w:pPr>
              <w:spacing w:line="240" w:lineRule="auto"/>
            </w:pPr>
            <w:r w:rsidRPr="00891432">
              <w:t xml:space="preserve">Closed </w:t>
            </w:r>
            <w:r w:rsidR="00794773" w:rsidRPr="00891432">
              <w:t>non-competitive</w:t>
            </w:r>
          </w:p>
        </w:tc>
      </w:tr>
    </w:tbl>
    <w:p w14:paraId="2352D920" w14:textId="64A71C17" w:rsidR="007C5899" w:rsidRDefault="007C5899"/>
    <w:p w14:paraId="5F161C03" w14:textId="77777777" w:rsidR="007C5899" w:rsidRDefault="007C5899" w:rsidP="0020122A">
      <w:pPr>
        <w:pStyle w:val="TOCHeading"/>
      </w:pPr>
    </w:p>
    <w:p w14:paraId="4A4ED1DC" w14:textId="77777777" w:rsidR="007C5899" w:rsidRDefault="007C5899">
      <w:pPr>
        <w:suppressAutoHyphens w:val="0"/>
        <w:spacing w:before="0" w:after="120" w:line="440" w:lineRule="atLeast"/>
        <w:rPr>
          <w:rFonts w:asciiTheme="majorHAnsi" w:eastAsiaTheme="majorEastAsia" w:hAnsiTheme="majorHAnsi" w:cstheme="majorBidi"/>
          <w:color w:val="1C1C1C" w:themeColor="text2"/>
          <w:sz w:val="40"/>
          <w:szCs w:val="32"/>
          <w:lang w:val="en-US"/>
        </w:rPr>
      </w:pPr>
      <w:r>
        <w:br w:type="page"/>
      </w:r>
    </w:p>
    <w:p w14:paraId="6A88317C" w14:textId="6E3D8CC8" w:rsidR="0020122A" w:rsidRDefault="0020122A" w:rsidP="0020122A">
      <w:pPr>
        <w:pStyle w:val="TOCHeading"/>
      </w:pPr>
      <w:r>
        <w:lastRenderedPageBreak/>
        <w:t>Contents</w:t>
      </w:r>
    </w:p>
    <w:p w14:paraId="173B21D3" w14:textId="38C9465B" w:rsidR="006C3FD6" w:rsidRDefault="0020122A">
      <w:pPr>
        <w:pStyle w:val="TOC1"/>
        <w:rPr>
          <w:rFonts w:eastAsiaTheme="minorEastAsia"/>
          <w:b w:val="0"/>
          <w:noProof/>
          <w:sz w:val="22"/>
          <w:lang w:eastAsia="en-AU"/>
        </w:rPr>
      </w:pPr>
      <w:r>
        <w:rPr>
          <w:sz w:val="19"/>
        </w:rPr>
        <w:fldChar w:fldCharType="begin"/>
      </w:r>
      <w:r>
        <w:instrText xml:space="preserve"> TOC \o "2-3" \h \z \t "Heading 1,1,Heading 1 Numbered,1" </w:instrText>
      </w:r>
      <w:r>
        <w:rPr>
          <w:sz w:val="19"/>
        </w:rPr>
        <w:fldChar w:fldCharType="separate"/>
      </w:r>
      <w:hyperlink w:anchor="_Toc536094873" w:history="1">
        <w:r w:rsidR="006C3FD6" w:rsidRPr="00C701F5">
          <w:rPr>
            <w:rStyle w:val="Hyperlink"/>
            <w:noProof/>
          </w:rPr>
          <w:t>1.</w:t>
        </w:r>
        <w:r w:rsidR="006C3FD6">
          <w:rPr>
            <w:rFonts w:eastAsiaTheme="minorEastAsia"/>
            <w:b w:val="0"/>
            <w:noProof/>
            <w:sz w:val="22"/>
            <w:lang w:eastAsia="en-AU"/>
          </w:rPr>
          <w:tab/>
        </w:r>
        <w:r w:rsidR="006C3FD6" w:rsidRPr="00C701F5">
          <w:rPr>
            <w:rStyle w:val="Hyperlink"/>
            <w:noProof/>
          </w:rPr>
          <w:t>Family Violence and Cross-examination of Parties Scheme Grant Opportunity Processes</w:t>
        </w:r>
        <w:r w:rsidR="006C3FD6">
          <w:rPr>
            <w:noProof/>
            <w:webHidden/>
          </w:rPr>
          <w:tab/>
        </w:r>
        <w:r w:rsidR="006C3FD6">
          <w:rPr>
            <w:noProof/>
            <w:webHidden/>
          </w:rPr>
          <w:fldChar w:fldCharType="begin"/>
        </w:r>
        <w:r w:rsidR="006C3FD6">
          <w:rPr>
            <w:noProof/>
            <w:webHidden/>
          </w:rPr>
          <w:instrText xml:space="preserve"> PAGEREF _Toc536094873 \h </w:instrText>
        </w:r>
        <w:r w:rsidR="006C3FD6">
          <w:rPr>
            <w:noProof/>
            <w:webHidden/>
          </w:rPr>
        </w:r>
        <w:r w:rsidR="006C3FD6">
          <w:rPr>
            <w:noProof/>
            <w:webHidden/>
          </w:rPr>
          <w:fldChar w:fldCharType="separate"/>
        </w:r>
        <w:r w:rsidR="006C3FD6">
          <w:rPr>
            <w:noProof/>
            <w:webHidden/>
          </w:rPr>
          <w:t>4</w:t>
        </w:r>
        <w:r w:rsidR="006C3FD6">
          <w:rPr>
            <w:noProof/>
            <w:webHidden/>
          </w:rPr>
          <w:fldChar w:fldCharType="end"/>
        </w:r>
      </w:hyperlink>
    </w:p>
    <w:p w14:paraId="528D4F94" w14:textId="0681E308" w:rsidR="006C3FD6" w:rsidRDefault="002C4D8E">
      <w:pPr>
        <w:pStyle w:val="TOC2"/>
        <w:rPr>
          <w:rFonts w:eastAsiaTheme="minorEastAsia"/>
          <w:noProof/>
          <w:lang w:eastAsia="en-AU"/>
        </w:rPr>
      </w:pPr>
      <w:hyperlink w:anchor="_Toc536094874" w:history="1">
        <w:r w:rsidR="006C3FD6" w:rsidRPr="00C701F5">
          <w:rPr>
            <w:rStyle w:val="Hyperlink"/>
            <w:noProof/>
          </w:rPr>
          <w:t>1.1</w:t>
        </w:r>
        <w:r w:rsidR="006C3FD6">
          <w:rPr>
            <w:rFonts w:eastAsiaTheme="minorEastAsia"/>
            <w:noProof/>
            <w:lang w:eastAsia="en-AU"/>
          </w:rPr>
          <w:tab/>
        </w:r>
        <w:r w:rsidR="006C3FD6" w:rsidRPr="00C701F5">
          <w:rPr>
            <w:rStyle w:val="Hyperlink"/>
            <w:noProof/>
          </w:rPr>
          <w:t>Role of the Community Grants Hub</w:t>
        </w:r>
        <w:r w:rsidR="006C3FD6">
          <w:rPr>
            <w:noProof/>
            <w:webHidden/>
          </w:rPr>
          <w:tab/>
        </w:r>
        <w:r w:rsidR="006C3FD6">
          <w:rPr>
            <w:noProof/>
            <w:webHidden/>
          </w:rPr>
          <w:fldChar w:fldCharType="begin"/>
        </w:r>
        <w:r w:rsidR="006C3FD6">
          <w:rPr>
            <w:noProof/>
            <w:webHidden/>
          </w:rPr>
          <w:instrText xml:space="preserve"> PAGEREF _Toc536094874 \h </w:instrText>
        </w:r>
        <w:r w:rsidR="006C3FD6">
          <w:rPr>
            <w:noProof/>
            <w:webHidden/>
          </w:rPr>
        </w:r>
        <w:r w:rsidR="006C3FD6">
          <w:rPr>
            <w:noProof/>
            <w:webHidden/>
          </w:rPr>
          <w:fldChar w:fldCharType="separate"/>
        </w:r>
        <w:r w:rsidR="006C3FD6">
          <w:rPr>
            <w:noProof/>
            <w:webHidden/>
          </w:rPr>
          <w:t>5</w:t>
        </w:r>
        <w:r w:rsidR="006C3FD6">
          <w:rPr>
            <w:noProof/>
            <w:webHidden/>
          </w:rPr>
          <w:fldChar w:fldCharType="end"/>
        </w:r>
      </w:hyperlink>
    </w:p>
    <w:p w14:paraId="1232B5E3" w14:textId="078A8F47" w:rsidR="006C3FD6" w:rsidRDefault="002C4D8E">
      <w:pPr>
        <w:pStyle w:val="TOC2"/>
        <w:rPr>
          <w:rFonts w:eastAsiaTheme="minorEastAsia"/>
          <w:noProof/>
          <w:lang w:eastAsia="en-AU"/>
        </w:rPr>
      </w:pPr>
      <w:hyperlink w:anchor="_Toc536094875" w:history="1">
        <w:r w:rsidR="006C3FD6" w:rsidRPr="00C701F5">
          <w:rPr>
            <w:rStyle w:val="Hyperlink"/>
            <w:noProof/>
          </w:rPr>
          <w:t>1.2</w:t>
        </w:r>
        <w:r w:rsidR="006C3FD6">
          <w:rPr>
            <w:rFonts w:eastAsiaTheme="minorEastAsia"/>
            <w:noProof/>
            <w:lang w:eastAsia="en-AU"/>
          </w:rPr>
          <w:tab/>
        </w:r>
        <w:r w:rsidR="006C3FD6" w:rsidRPr="00C701F5">
          <w:rPr>
            <w:rStyle w:val="Hyperlink"/>
            <w:noProof/>
          </w:rPr>
          <w:t>About the grant program</w:t>
        </w:r>
        <w:r w:rsidR="006C3FD6">
          <w:rPr>
            <w:noProof/>
            <w:webHidden/>
          </w:rPr>
          <w:tab/>
        </w:r>
        <w:r w:rsidR="006C3FD6">
          <w:rPr>
            <w:noProof/>
            <w:webHidden/>
          </w:rPr>
          <w:fldChar w:fldCharType="begin"/>
        </w:r>
        <w:r w:rsidR="006C3FD6">
          <w:rPr>
            <w:noProof/>
            <w:webHidden/>
          </w:rPr>
          <w:instrText xml:space="preserve"> PAGEREF _Toc536094875 \h </w:instrText>
        </w:r>
        <w:r w:rsidR="006C3FD6">
          <w:rPr>
            <w:noProof/>
            <w:webHidden/>
          </w:rPr>
        </w:r>
        <w:r w:rsidR="006C3FD6">
          <w:rPr>
            <w:noProof/>
            <w:webHidden/>
          </w:rPr>
          <w:fldChar w:fldCharType="separate"/>
        </w:r>
        <w:r w:rsidR="006C3FD6">
          <w:rPr>
            <w:noProof/>
            <w:webHidden/>
          </w:rPr>
          <w:t>5</w:t>
        </w:r>
        <w:r w:rsidR="006C3FD6">
          <w:rPr>
            <w:noProof/>
            <w:webHidden/>
          </w:rPr>
          <w:fldChar w:fldCharType="end"/>
        </w:r>
      </w:hyperlink>
    </w:p>
    <w:p w14:paraId="3E788621" w14:textId="044B2AED" w:rsidR="006C3FD6" w:rsidRDefault="002C4D8E">
      <w:pPr>
        <w:pStyle w:val="TOC2"/>
        <w:rPr>
          <w:rFonts w:eastAsiaTheme="minorEastAsia"/>
          <w:noProof/>
          <w:lang w:eastAsia="en-AU"/>
        </w:rPr>
      </w:pPr>
      <w:hyperlink w:anchor="_Toc536094876" w:history="1">
        <w:r w:rsidR="006C3FD6" w:rsidRPr="00C701F5">
          <w:rPr>
            <w:rStyle w:val="Hyperlink"/>
            <w:noProof/>
          </w:rPr>
          <w:t>1.3</w:t>
        </w:r>
        <w:r w:rsidR="006C3FD6">
          <w:rPr>
            <w:rFonts w:eastAsiaTheme="minorEastAsia"/>
            <w:noProof/>
            <w:lang w:eastAsia="en-AU"/>
          </w:rPr>
          <w:tab/>
        </w:r>
        <w:r w:rsidR="006C3FD6" w:rsidRPr="00C701F5">
          <w:rPr>
            <w:rStyle w:val="Hyperlink"/>
            <w:noProof/>
          </w:rPr>
          <w:t>Legislative authority</w:t>
        </w:r>
        <w:r w:rsidR="006C3FD6">
          <w:rPr>
            <w:noProof/>
            <w:webHidden/>
          </w:rPr>
          <w:tab/>
        </w:r>
        <w:r w:rsidR="006C3FD6">
          <w:rPr>
            <w:noProof/>
            <w:webHidden/>
          </w:rPr>
          <w:fldChar w:fldCharType="begin"/>
        </w:r>
        <w:r w:rsidR="006C3FD6">
          <w:rPr>
            <w:noProof/>
            <w:webHidden/>
          </w:rPr>
          <w:instrText xml:space="preserve"> PAGEREF _Toc536094876 \h </w:instrText>
        </w:r>
        <w:r w:rsidR="006C3FD6">
          <w:rPr>
            <w:noProof/>
            <w:webHidden/>
          </w:rPr>
        </w:r>
        <w:r w:rsidR="006C3FD6">
          <w:rPr>
            <w:noProof/>
            <w:webHidden/>
          </w:rPr>
          <w:fldChar w:fldCharType="separate"/>
        </w:r>
        <w:r w:rsidR="006C3FD6">
          <w:rPr>
            <w:noProof/>
            <w:webHidden/>
          </w:rPr>
          <w:t>6</w:t>
        </w:r>
        <w:r w:rsidR="006C3FD6">
          <w:rPr>
            <w:noProof/>
            <w:webHidden/>
          </w:rPr>
          <w:fldChar w:fldCharType="end"/>
        </w:r>
      </w:hyperlink>
    </w:p>
    <w:p w14:paraId="30BE7076" w14:textId="63F9FDFE" w:rsidR="006C3FD6" w:rsidRDefault="002C4D8E">
      <w:pPr>
        <w:pStyle w:val="TOC2"/>
        <w:rPr>
          <w:rFonts w:eastAsiaTheme="minorEastAsia"/>
          <w:noProof/>
          <w:lang w:eastAsia="en-AU"/>
        </w:rPr>
      </w:pPr>
      <w:hyperlink w:anchor="_Toc536094877" w:history="1">
        <w:r w:rsidR="006C3FD6" w:rsidRPr="00C701F5">
          <w:rPr>
            <w:rStyle w:val="Hyperlink"/>
            <w:noProof/>
          </w:rPr>
          <w:t>1.4</w:t>
        </w:r>
        <w:r w:rsidR="006C3FD6">
          <w:rPr>
            <w:rFonts w:eastAsiaTheme="minorEastAsia"/>
            <w:noProof/>
            <w:lang w:eastAsia="en-AU"/>
          </w:rPr>
          <w:tab/>
        </w:r>
        <w:r w:rsidR="006C3FD6" w:rsidRPr="00C701F5">
          <w:rPr>
            <w:rStyle w:val="Hyperlink"/>
            <w:noProof/>
          </w:rPr>
          <w:t>About the Grant Opportunity</w:t>
        </w:r>
        <w:r w:rsidR="006C3FD6">
          <w:rPr>
            <w:noProof/>
            <w:webHidden/>
          </w:rPr>
          <w:tab/>
        </w:r>
        <w:r w:rsidR="006C3FD6">
          <w:rPr>
            <w:noProof/>
            <w:webHidden/>
          </w:rPr>
          <w:fldChar w:fldCharType="begin"/>
        </w:r>
        <w:r w:rsidR="006C3FD6">
          <w:rPr>
            <w:noProof/>
            <w:webHidden/>
          </w:rPr>
          <w:instrText xml:space="preserve"> PAGEREF _Toc536094877 \h </w:instrText>
        </w:r>
        <w:r w:rsidR="006C3FD6">
          <w:rPr>
            <w:noProof/>
            <w:webHidden/>
          </w:rPr>
        </w:r>
        <w:r w:rsidR="006C3FD6">
          <w:rPr>
            <w:noProof/>
            <w:webHidden/>
          </w:rPr>
          <w:fldChar w:fldCharType="separate"/>
        </w:r>
        <w:r w:rsidR="006C3FD6">
          <w:rPr>
            <w:noProof/>
            <w:webHidden/>
          </w:rPr>
          <w:t>6</w:t>
        </w:r>
        <w:r w:rsidR="006C3FD6">
          <w:rPr>
            <w:noProof/>
            <w:webHidden/>
          </w:rPr>
          <w:fldChar w:fldCharType="end"/>
        </w:r>
      </w:hyperlink>
    </w:p>
    <w:p w14:paraId="14ED3BDB" w14:textId="78D4BA91" w:rsidR="006C3FD6" w:rsidRDefault="002C4D8E">
      <w:pPr>
        <w:pStyle w:val="TOC1"/>
        <w:rPr>
          <w:rFonts w:eastAsiaTheme="minorEastAsia"/>
          <w:b w:val="0"/>
          <w:noProof/>
          <w:sz w:val="22"/>
          <w:lang w:eastAsia="en-AU"/>
        </w:rPr>
      </w:pPr>
      <w:hyperlink w:anchor="_Toc536094878" w:history="1">
        <w:r w:rsidR="006C3FD6" w:rsidRPr="00C701F5">
          <w:rPr>
            <w:rStyle w:val="Hyperlink"/>
            <w:noProof/>
          </w:rPr>
          <w:t>2.</w:t>
        </w:r>
        <w:r w:rsidR="006C3FD6">
          <w:rPr>
            <w:rFonts w:eastAsiaTheme="minorEastAsia"/>
            <w:b w:val="0"/>
            <w:noProof/>
            <w:sz w:val="22"/>
            <w:lang w:eastAsia="en-AU"/>
          </w:rPr>
          <w:tab/>
        </w:r>
        <w:r w:rsidR="006C3FD6" w:rsidRPr="00C701F5">
          <w:rPr>
            <w:rStyle w:val="Hyperlink"/>
            <w:noProof/>
          </w:rPr>
          <w:t>Grant amount</w:t>
        </w:r>
        <w:r w:rsidR="006C3FD6">
          <w:rPr>
            <w:noProof/>
            <w:webHidden/>
          </w:rPr>
          <w:tab/>
        </w:r>
        <w:r w:rsidR="006C3FD6">
          <w:rPr>
            <w:noProof/>
            <w:webHidden/>
          </w:rPr>
          <w:fldChar w:fldCharType="begin"/>
        </w:r>
        <w:r w:rsidR="006C3FD6">
          <w:rPr>
            <w:noProof/>
            <w:webHidden/>
          </w:rPr>
          <w:instrText xml:space="preserve"> PAGEREF _Toc536094878 \h </w:instrText>
        </w:r>
        <w:r w:rsidR="006C3FD6">
          <w:rPr>
            <w:noProof/>
            <w:webHidden/>
          </w:rPr>
        </w:r>
        <w:r w:rsidR="006C3FD6">
          <w:rPr>
            <w:noProof/>
            <w:webHidden/>
          </w:rPr>
          <w:fldChar w:fldCharType="separate"/>
        </w:r>
        <w:r w:rsidR="006C3FD6">
          <w:rPr>
            <w:noProof/>
            <w:webHidden/>
          </w:rPr>
          <w:t>7</w:t>
        </w:r>
        <w:r w:rsidR="006C3FD6">
          <w:rPr>
            <w:noProof/>
            <w:webHidden/>
          </w:rPr>
          <w:fldChar w:fldCharType="end"/>
        </w:r>
      </w:hyperlink>
    </w:p>
    <w:p w14:paraId="6C1E03FE" w14:textId="090BBFBB" w:rsidR="006C3FD6" w:rsidRDefault="002C4D8E">
      <w:pPr>
        <w:pStyle w:val="TOC1"/>
        <w:rPr>
          <w:rFonts w:eastAsiaTheme="minorEastAsia"/>
          <w:b w:val="0"/>
          <w:noProof/>
          <w:sz w:val="22"/>
          <w:lang w:eastAsia="en-AU"/>
        </w:rPr>
      </w:pPr>
      <w:hyperlink w:anchor="_Toc536094879" w:history="1">
        <w:r w:rsidR="006C3FD6" w:rsidRPr="00C701F5">
          <w:rPr>
            <w:rStyle w:val="Hyperlink"/>
            <w:noProof/>
          </w:rPr>
          <w:t>3.</w:t>
        </w:r>
        <w:r w:rsidR="006C3FD6">
          <w:rPr>
            <w:rFonts w:eastAsiaTheme="minorEastAsia"/>
            <w:b w:val="0"/>
            <w:noProof/>
            <w:sz w:val="22"/>
            <w:lang w:eastAsia="en-AU"/>
          </w:rPr>
          <w:tab/>
        </w:r>
        <w:r w:rsidR="006C3FD6" w:rsidRPr="00C701F5">
          <w:rPr>
            <w:rStyle w:val="Hyperlink"/>
            <w:noProof/>
          </w:rPr>
          <w:t>Grant eligibility criteria</w:t>
        </w:r>
        <w:r w:rsidR="006C3FD6">
          <w:rPr>
            <w:noProof/>
            <w:webHidden/>
          </w:rPr>
          <w:tab/>
        </w:r>
        <w:r w:rsidR="006C3FD6">
          <w:rPr>
            <w:noProof/>
            <w:webHidden/>
          </w:rPr>
          <w:fldChar w:fldCharType="begin"/>
        </w:r>
        <w:r w:rsidR="006C3FD6">
          <w:rPr>
            <w:noProof/>
            <w:webHidden/>
          </w:rPr>
          <w:instrText xml:space="preserve"> PAGEREF _Toc536094879 \h </w:instrText>
        </w:r>
        <w:r w:rsidR="006C3FD6">
          <w:rPr>
            <w:noProof/>
            <w:webHidden/>
          </w:rPr>
        </w:r>
        <w:r w:rsidR="006C3FD6">
          <w:rPr>
            <w:noProof/>
            <w:webHidden/>
          </w:rPr>
          <w:fldChar w:fldCharType="separate"/>
        </w:r>
        <w:r w:rsidR="006C3FD6">
          <w:rPr>
            <w:noProof/>
            <w:webHidden/>
          </w:rPr>
          <w:t>7</w:t>
        </w:r>
        <w:r w:rsidR="006C3FD6">
          <w:rPr>
            <w:noProof/>
            <w:webHidden/>
          </w:rPr>
          <w:fldChar w:fldCharType="end"/>
        </w:r>
      </w:hyperlink>
    </w:p>
    <w:p w14:paraId="568C1365" w14:textId="6C483DCB" w:rsidR="006C3FD6" w:rsidRDefault="002C4D8E">
      <w:pPr>
        <w:pStyle w:val="TOC2"/>
        <w:rPr>
          <w:rFonts w:eastAsiaTheme="minorEastAsia"/>
          <w:noProof/>
          <w:lang w:eastAsia="en-AU"/>
        </w:rPr>
      </w:pPr>
      <w:hyperlink w:anchor="_Toc536094880" w:history="1">
        <w:r w:rsidR="006C3FD6" w:rsidRPr="00C701F5">
          <w:rPr>
            <w:rStyle w:val="Hyperlink"/>
            <w:noProof/>
          </w:rPr>
          <w:t>3.1</w:t>
        </w:r>
        <w:r w:rsidR="006C3FD6">
          <w:rPr>
            <w:rFonts w:eastAsiaTheme="minorEastAsia"/>
            <w:noProof/>
            <w:lang w:eastAsia="en-AU"/>
          </w:rPr>
          <w:tab/>
        </w:r>
        <w:r w:rsidR="006C3FD6" w:rsidRPr="00C701F5">
          <w:rPr>
            <w:rStyle w:val="Hyperlink"/>
            <w:noProof/>
          </w:rPr>
          <w:t>Who is eligible to apply for a grant?</w:t>
        </w:r>
        <w:r w:rsidR="006C3FD6">
          <w:rPr>
            <w:noProof/>
            <w:webHidden/>
          </w:rPr>
          <w:tab/>
        </w:r>
        <w:r w:rsidR="006C3FD6">
          <w:rPr>
            <w:noProof/>
            <w:webHidden/>
          </w:rPr>
          <w:fldChar w:fldCharType="begin"/>
        </w:r>
        <w:r w:rsidR="006C3FD6">
          <w:rPr>
            <w:noProof/>
            <w:webHidden/>
          </w:rPr>
          <w:instrText xml:space="preserve"> PAGEREF _Toc536094880 \h </w:instrText>
        </w:r>
        <w:r w:rsidR="006C3FD6">
          <w:rPr>
            <w:noProof/>
            <w:webHidden/>
          </w:rPr>
        </w:r>
        <w:r w:rsidR="006C3FD6">
          <w:rPr>
            <w:noProof/>
            <w:webHidden/>
          </w:rPr>
          <w:fldChar w:fldCharType="separate"/>
        </w:r>
        <w:r w:rsidR="006C3FD6">
          <w:rPr>
            <w:noProof/>
            <w:webHidden/>
          </w:rPr>
          <w:t>8</w:t>
        </w:r>
        <w:r w:rsidR="006C3FD6">
          <w:rPr>
            <w:noProof/>
            <w:webHidden/>
          </w:rPr>
          <w:fldChar w:fldCharType="end"/>
        </w:r>
      </w:hyperlink>
    </w:p>
    <w:p w14:paraId="56D0E7BA" w14:textId="625C3DCB" w:rsidR="006C3FD6" w:rsidRDefault="002C4D8E">
      <w:pPr>
        <w:pStyle w:val="TOC2"/>
        <w:rPr>
          <w:rFonts w:eastAsiaTheme="minorEastAsia"/>
          <w:noProof/>
          <w:lang w:eastAsia="en-AU"/>
        </w:rPr>
      </w:pPr>
      <w:hyperlink w:anchor="_Toc536094881" w:history="1">
        <w:r w:rsidR="006C3FD6" w:rsidRPr="00C701F5">
          <w:rPr>
            <w:rStyle w:val="Hyperlink"/>
            <w:noProof/>
          </w:rPr>
          <w:t>3.2</w:t>
        </w:r>
        <w:r w:rsidR="006C3FD6">
          <w:rPr>
            <w:rFonts w:eastAsiaTheme="minorEastAsia"/>
            <w:noProof/>
            <w:lang w:eastAsia="en-AU"/>
          </w:rPr>
          <w:tab/>
        </w:r>
        <w:r w:rsidR="006C3FD6" w:rsidRPr="00C701F5">
          <w:rPr>
            <w:rStyle w:val="Hyperlink"/>
            <w:noProof/>
          </w:rPr>
          <w:t>Who is not eligible to apply for a grant?</w:t>
        </w:r>
        <w:r w:rsidR="006C3FD6">
          <w:rPr>
            <w:noProof/>
            <w:webHidden/>
          </w:rPr>
          <w:tab/>
        </w:r>
        <w:r w:rsidR="006C3FD6">
          <w:rPr>
            <w:noProof/>
            <w:webHidden/>
          </w:rPr>
          <w:fldChar w:fldCharType="begin"/>
        </w:r>
        <w:r w:rsidR="006C3FD6">
          <w:rPr>
            <w:noProof/>
            <w:webHidden/>
          </w:rPr>
          <w:instrText xml:space="preserve"> PAGEREF _Toc536094881 \h </w:instrText>
        </w:r>
        <w:r w:rsidR="006C3FD6">
          <w:rPr>
            <w:noProof/>
            <w:webHidden/>
          </w:rPr>
        </w:r>
        <w:r w:rsidR="006C3FD6">
          <w:rPr>
            <w:noProof/>
            <w:webHidden/>
          </w:rPr>
          <w:fldChar w:fldCharType="separate"/>
        </w:r>
        <w:r w:rsidR="006C3FD6">
          <w:rPr>
            <w:noProof/>
            <w:webHidden/>
          </w:rPr>
          <w:t>8</w:t>
        </w:r>
        <w:r w:rsidR="006C3FD6">
          <w:rPr>
            <w:noProof/>
            <w:webHidden/>
          </w:rPr>
          <w:fldChar w:fldCharType="end"/>
        </w:r>
      </w:hyperlink>
    </w:p>
    <w:p w14:paraId="2756A2D6" w14:textId="7F57E133" w:rsidR="006C3FD6" w:rsidRDefault="002C4D8E">
      <w:pPr>
        <w:pStyle w:val="TOC1"/>
        <w:rPr>
          <w:rFonts w:eastAsiaTheme="minorEastAsia"/>
          <w:b w:val="0"/>
          <w:noProof/>
          <w:sz w:val="22"/>
          <w:lang w:eastAsia="en-AU"/>
        </w:rPr>
      </w:pPr>
      <w:hyperlink w:anchor="_Toc536094882" w:history="1">
        <w:r w:rsidR="006C3FD6" w:rsidRPr="00C701F5">
          <w:rPr>
            <w:rStyle w:val="Hyperlink"/>
            <w:noProof/>
          </w:rPr>
          <w:t>4.</w:t>
        </w:r>
        <w:r w:rsidR="006C3FD6">
          <w:rPr>
            <w:rFonts w:eastAsiaTheme="minorEastAsia"/>
            <w:b w:val="0"/>
            <w:noProof/>
            <w:sz w:val="22"/>
            <w:lang w:eastAsia="en-AU"/>
          </w:rPr>
          <w:tab/>
        </w:r>
        <w:r w:rsidR="006C3FD6" w:rsidRPr="00C701F5">
          <w:rPr>
            <w:rStyle w:val="Hyperlink"/>
            <w:noProof/>
          </w:rPr>
          <w:t>Eligible grant activities</w:t>
        </w:r>
        <w:r w:rsidR="006C3FD6">
          <w:rPr>
            <w:noProof/>
            <w:webHidden/>
          </w:rPr>
          <w:tab/>
        </w:r>
        <w:r w:rsidR="006C3FD6">
          <w:rPr>
            <w:noProof/>
            <w:webHidden/>
          </w:rPr>
          <w:fldChar w:fldCharType="begin"/>
        </w:r>
        <w:r w:rsidR="006C3FD6">
          <w:rPr>
            <w:noProof/>
            <w:webHidden/>
          </w:rPr>
          <w:instrText xml:space="preserve"> PAGEREF _Toc536094882 \h </w:instrText>
        </w:r>
        <w:r w:rsidR="006C3FD6">
          <w:rPr>
            <w:noProof/>
            <w:webHidden/>
          </w:rPr>
        </w:r>
        <w:r w:rsidR="006C3FD6">
          <w:rPr>
            <w:noProof/>
            <w:webHidden/>
          </w:rPr>
          <w:fldChar w:fldCharType="separate"/>
        </w:r>
        <w:r w:rsidR="006C3FD6">
          <w:rPr>
            <w:noProof/>
            <w:webHidden/>
          </w:rPr>
          <w:t>8</w:t>
        </w:r>
        <w:r w:rsidR="006C3FD6">
          <w:rPr>
            <w:noProof/>
            <w:webHidden/>
          </w:rPr>
          <w:fldChar w:fldCharType="end"/>
        </w:r>
      </w:hyperlink>
    </w:p>
    <w:p w14:paraId="41B1C488" w14:textId="0117B889" w:rsidR="006C3FD6" w:rsidRDefault="002C4D8E">
      <w:pPr>
        <w:pStyle w:val="TOC2"/>
        <w:rPr>
          <w:rFonts w:eastAsiaTheme="minorEastAsia"/>
          <w:noProof/>
          <w:lang w:eastAsia="en-AU"/>
        </w:rPr>
      </w:pPr>
      <w:hyperlink w:anchor="_Toc536094883" w:history="1">
        <w:r w:rsidR="006C3FD6" w:rsidRPr="00C701F5">
          <w:rPr>
            <w:rStyle w:val="Hyperlink"/>
            <w:noProof/>
          </w:rPr>
          <w:t>4.1</w:t>
        </w:r>
        <w:r w:rsidR="006C3FD6">
          <w:rPr>
            <w:rFonts w:eastAsiaTheme="minorEastAsia"/>
            <w:noProof/>
            <w:lang w:eastAsia="en-AU"/>
          </w:rPr>
          <w:tab/>
        </w:r>
        <w:r w:rsidR="006C3FD6" w:rsidRPr="00C701F5">
          <w:rPr>
            <w:rStyle w:val="Hyperlink"/>
            <w:noProof/>
          </w:rPr>
          <w:t>What can the money be used for?</w:t>
        </w:r>
        <w:r w:rsidR="006C3FD6">
          <w:rPr>
            <w:noProof/>
            <w:webHidden/>
          </w:rPr>
          <w:tab/>
        </w:r>
        <w:r w:rsidR="006C3FD6">
          <w:rPr>
            <w:noProof/>
            <w:webHidden/>
          </w:rPr>
          <w:fldChar w:fldCharType="begin"/>
        </w:r>
        <w:r w:rsidR="006C3FD6">
          <w:rPr>
            <w:noProof/>
            <w:webHidden/>
          </w:rPr>
          <w:instrText xml:space="preserve"> PAGEREF _Toc536094883 \h </w:instrText>
        </w:r>
        <w:r w:rsidR="006C3FD6">
          <w:rPr>
            <w:noProof/>
            <w:webHidden/>
          </w:rPr>
        </w:r>
        <w:r w:rsidR="006C3FD6">
          <w:rPr>
            <w:noProof/>
            <w:webHidden/>
          </w:rPr>
          <w:fldChar w:fldCharType="separate"/>
        </w:r>
        <w:r w:rsidR="006C3FD6">
          <w:rPr>
            <w:noProof/>
            <w:webHidden/>
          </w:rPr>
          <w:t>8</w:t>
        </w:r>
        <w:r w:rsidR="006C3FD6">
          <w:rPr>
            <w:noProof/>
            <w:webHidden/>
          </w:rPr>
          <w:fldChar w:fldCharType="end"/>
        </w:r>
      </w:hyperlink>
    </w:p>
    <w:p w14:paraId="5BCD789C" w14:textId="348420E2" w:rsidR="006C3FD6" w:rsidRDefault="002C4D8E">
      <w:pPr>
        <w:pStyle w:val="TOC1"/>
        <w:rPr>
          <w:rFonts w:eastAsiaTheme="minorEastAsia"/>
          <w:b w:val="0"/>
          <w:noProof/>
          <w:sz w:val="22"/>
          <w:lang w:eastAsia="en-AU"/>
        </w:rPr>
      </w:pPr>
      <w:hyperlink w:anchor="_Toc536094884" w:history="1">
        <w:r w:rsidR="006C3FD6" w:rsidRPr="00C701F5">
          <w:rPr>
            <w:rStyle w:val="Hyperlink"/>
            <w:noProof/>
          </w:rPr>
          <w:t>5.</w:t>
        </w:r>
        <w:r w:rsidR="006C3FD6">
          <w:rPr>
            <w:rFonts w:eastAsiaTheme="minorEastAsia"/>
            <w:b w:val="0"/>
            <w:noProof/>
            <w:sz w:val="22"/>
            <w:lang w:eastAsia="en-AU"/>
          </w:rPr>
          <w:tab/>
        </w:r>
        <w:r w:rsidR="006C3FD6" w:rsidRPr="00C701F5">
          <w:rPr>
            <w:rStyle w:val="Hyperlink"/>
            <w:noProof/>
          </w:rPr>
          <w:t>The grant selection process</w:t>
        </w:r>
        <w:r w:rsidR="006C3FD6">
          <w:rPr>
            <w:noProof/>
            <w:webHidden/>
          </w:rPr>
          <w:tab/>
        </w:r>
        <w:r w:rsidR="006C3FD6">
          <w:rPr>
            <w:noProof/>
            <w:webHidden/>
          </w:rPr>
          <w:fldChar w:fldCharType="begin"/>
        </w:r>
        <w:r w:rsidR="006C3FD6">
          <w:rPr>
            <w:noProof/>
            <w:webHidden/>
          </w:rPr>
          <w:instrText xml:space="preserve"> PAGEREF _Toc536094884 \h </w:instrText>
        </w:r>
        <w:r w:rsidR="006C3FD6">
          <w:rPr>
            <w:noProof/>
            <w:webHidden/>
          </w:rPr>
        </w:r>
        <w:r w:rsidR="006C3FD6">
          <w:rPr>
            <w:noProof/>
            <w:webHidden/>
          </w:rPr>
          <w:fldChar w:fldCharType="separate"/>
        </w:r>
        <w:r w:rsidR="006C3FD6">
          <w:rPr>
            <w:noProof/>
            <w:webHidden/>
          </w:rPr>
          <w:t>9</w:t>
        </w:r>
        <w:r w:rsidR="006C3FD6">
          <w:rPr>
            <w:noProof/>
            <w:webHidden/>
          </w:rPr>
          <w:fldChar w:fldCharType="end"/>
        </w:r>
      </w:hyperlink>
    </w:p>
    <w:p w14:paraId="7498E564" w14:textId="51B3ABC0" w:rsidR="006C3FD6" w:rsidRDefault="002C4D8E">
      <w:pPr>
        <w:pStyle w:val="TOC1"/>
        <w:rPr>
          <w:rFonts w:eastAsiaTheme="minorEastAsia"/>
          <w:b w:val="0"/>
          <w:noProof/>
          <w:sz w:val="22"/>
          <w:lang w:eastAsia="en-AU"/>
        </w:rPr>
      </w:pPr>
      <w:hyperlink w:anchor="_Toc536094885" w:history="1">
        <w:r w:rsidR="006C3FD6" w:rsidRPr="00C701F5">
          <w:rPr>
            <w:rStyle w:val="Hyperlink"/>
            <w:noProof/>
          </w:rPr>
          <w:t>6.</w:t>
        </w:r>
        <w:r w:rsidR="006C3FD6">
          <w:rPr>
            <w:rFonts w:eastAsiaTheme="minorEastAsia"/>
            <w:b w:val="0"/>
            <w:noProof/>
            <w:sz w:val="22"/>
            <w:lang w:eastAsia="en-AU"/>
          </w:rPr>
          <w:tab/>
        </w:r>
        <w:r w:rsidR="006C3FD6" w:rsidRPr="00C701F5">
          <w:rPr>
            <w:rStyle w:val="Hyperlink"/>
            <w:noProof/>
          </w:rPr>
          <w:t>The assessment criteria</w:t>
        </w:r>
        <w:r w:rsidR="006C3FD6">
          <w:rPr>
            <w:noProof/>
            <w:webHidden/>
          </w:rPr>
          <w:tab/>
        </w:r>
        <w:r w:rsidR="006C3FD6">
          <w:rPr>
            <w:noProof/>
            <w:webHidden/>
          </w:rPr>
          <w:fldChar w:fldCharType="begin"/>
        </w:r>
        <w:r w:rsidR="006C3FD6">
          <w:rPr>
            <w:noProof/>
            <w:webHidden/>
          </w:rPr>
          <w:instrText xml:space="preserve"> PAGEREF _Toc536094885 \h </w:instrText>
        </w:r>
        <w:r w:rsidR="006C3FD6">
          <w:rPr>
            <w:noProof/>
            <w:webHidden/>
          </w:rPr>
        </w:r>
        <w:r w:rsidR="006C3FD6">
          <w:rPr>
            <w:noProof/>
            <w:webHidden/>
          </w:rPr>
          <w:fldChar w:fldCharType="separate"/>
        </w:r>
        <w:r w:rsidR="006C3FD6">
          <w:rPr>
            <w:noProof/>
            <w:webHidden/>
          </w:rPr>
          <w:t>9</w:t>
        </w:r>
        <w:r w:rsidR="006C3FD6">
          <w:rPr>
            <w:noProof/>
            <w:webHidden/>
          </w:rPr>
          <w:fldChar w:fldCharType="end"/>
        </w:r>
      </w:hyperlink>
    </w:p>
    <w:p w14:paraId="28A51CAC" w14:textId="04B9B617" w:rsidR="006C3FD6" w:rsidRDefault="002C4D8E">
      <w:pPr>
        <w:pStyle w:val="TOC1"/>
        <w:rPr>
          <w:rFonts w:eastAsiaTheme="minorEastAsia"/>
          <w:b w:val="0"/>
          <w:noProof/>
          <w:sz w:val="22"/>
          <w:lang w:eastAsia="en-AU"/>
        </w:rPr>
      </w:pPr>
      <w:hyperlink w:anchor="_Toc536094886" w:history="1">
        <w:r w:rsidR="006C3FD6" w:rsidRPr="00C701F5">
          <w:rPr>
            <w:rStyle w:val="Hyperlink"/>
            <w:noProof/>
          </w:rPr>
          <w:t>7.</w:t>
        </w:r>
        <w:r w:rsidR="006C3FD6">
          <w:rPr>
            <w:rFonts w:eastAsiaTheme="minorEastAsia"/>
            <w:b w:val="0"/>
            <w:noProof/>
            <w:sz w:val="22"/>
            <w:lang w:eastAsia="en-AU"/>
          </w:rPr>
          <w:tab/>
        </w:r>
        <w:r w:rsidR="006C3FD6" w:rsidRPr="00C701F5">
          <w:rPr>
            <w:rStyle w:val="Hyperlink"/>
            <w:noProof/>
          </w:rPr>
          <w:t>The grant application process</w:t>
        </w:r>
        <w:r w:rsidR="006C3FD6">
          <w:rPr>
            <w:noProof/>
            <w:webHidden/>
          </w:rPr>
          <w:tab/>
        </w:r>
        <w:r w:rsidR="006C3FD6">
          <w:rPr>
            <w:noProof/>
            <w:webHidden/>
          </w:rPr>
          <w:fldChar w:fldCharType="begin"/>
        </w:r>
        <w:r w:rsidR="006C3FD6">
          <w:rPr>
            <w:noProof/>
            <w:webHidden/>
          </w:rPr>
          <w:instrText xml:space="preserve"> PAGEREF _Toc536094886 \h </w:instrText>
        </w:r>
        <w:r w:rsidR="006C3FD6">
          <w:rPr>
            <w:noProof/>
            <w:webHidden/>
          </w:rPr>
        </w:r>
        <w:r w:rsidR="006C3FD6">
          <w:rPr>
            <w:noProof/>
            <w:webHidden/>
          </w:rPr>
          <w:fldChar w:fldCharType="separate"/>
        </w:r>
        <w:r w:rsidR="006C3FD6">
          <w:rPr>
            <w:noProof/>
            <w:webHidden/>
          </w:rPr>
          <w:t>9</w:t>
        </w:r>
        <w:r w:rsidR="006C3FD6">
          <w:rPr>
            <w:noProof/>
            <w:webHidden/>
          </w:rPr>
          <w:fldChar w:fldCharType="end"/>
        </w:r>
      </w:hyperlink>
    </w:p>
    <w:p w14:paraId="6149C953" w14:textId="30409B3E" w:rsidR="006C3FD6" w:rsidRDefault="002C4D8E">
      <w:pPr>
        <w:pStyle w:val="TOC2"/>
        <w:rPr>
          <w:rFonts w:eastAsiaTheme="minorEastAsia"/>
          <w:noProof/>
          <w:lang w:eastAsia="en-AU"/>
        </w:rPr>
      </w:pPr>
      <w:hyperlink w:anchor="_Toc536094887" w:history="1">
        <w:r w:rsidR="006C3FD6" w:rsidRPr="00C701F5">
          <w:rPr>
            <w:rStyle w:val="Hyperlink"/>
            <w:noProof/>
          </w:rPr>
          <w:t>7.1</w:t>
        </w:r>
        <w:r w:rsidR="006C3FD6">
          <w:rPr>
            <w:rFonts w:eastAsiaTheme="minorEastAsia"/>
            <w:noProof/>
            <w:lang w:eastAsia="en-AU"/>
          </w:rPr>
          <w:tab/>
        </w:r>
        <w:r w:rsidR="006C3FD6" w:rsidRPr="00C701F5">
          <w:rPr>
            <w:rStyle w:val="Hyperlink"/>
            <w:noProof/>
          </w:rPr>
          <w:t>Overview of application process</w:t>
        </w:r>
        <w:r w:rsidR="006C3FD6">
          <w:rPr>
            <w:noProof/>
            <w:webHidden/>
          </w:rPr>
          <w:tab/>
        </w:r>
        <w:r w:rsidR="006C3FD6">
          <w:rPr>
            <w:noProof/>
            <w:webHidden/>
          </w:rPr>
          <w:fldChar w:fldCharType="begin"/>
        </w:r>
        <w:r w:rsidR="006C3FD6">
          <w:rPr>
            <w:noProof/>
            <w:webHidden/>
          </w:rPr>
          <w:instrText xml:space="preserve"> PAGEREF _Toc536094887 \h </w:instrText>
        </w:r>
        <w:r w:rsidR="006C3FD6">
          <w:rPr>
            <w:noProof/>
            <w:webHidden/>
          </w:rPr>
        </w:r>
        <w:r w:rsidR="006C3FD6">
          <w:rPr>
            <w:noProof/>
            <w:webHidden/>
          </w:rPr>
          <w:fldChar w:fldCharType="separate"/>
        </w:r>
        <w:r w:rsidR="006C3FD6">
          <w:rPr>
            <w:noProof/>
            <w:webHidden/>
          </w:rPr>
          <w:t>9</w:t>
        </w:r>
        <w:r w:rsidR="006C3FD6">
          <w:rPr>
            <w:noProof/>
            <w:webHidden/>
          </w:rPr>
          <w:fldChar w:fldCharType="end"/>
        </w:r>
      </w:hyperlink>
    </w:p>
    <w:p w14:paraId="66BD62FF" w14:textId="6E879EA1" w:rsidR="006C3FD6" w:rsidRDefault="002C4D8E">
      <w:pPr>
        <w:pStyle w:val="TOC2"/>
        <w:rPr>
          <w:rFonts w:eastAsiaTheme="minorEastAsia"/>
          <w:noProof/>
          <w:lang w:eastAsia="en-AU"/>
        </w:rPr>
      </w:pPr>
      <w:hyperlink w:anchor="_Toc536094888" w:history="1">
        <w:r w:rsidR="006C3FD6" w:rsidRPr="00C701F5">
          <w:rPr>
            <w:rStyle w:val="Hyperlink"/>
            <w:noProof/>
          </w:rPr>
          <w:t>7.2</w:t>
        </w:r>
        <w:r w:rsidR="006C3FD6">
          <w:rPr>
            <w:rFonts w:eastAsiaTheme="minorEastAsia"/>
            <w:noProof/>
            <w:lang w:eastAsia="en-AU"/>
          </w:rPr>
          <w:tab/>
        </w:r>
        <w:r w:rsidR="006C3FD6" w:rsidRPr="00C701F5">
          <w:rPr>
            <w:rStyle w:val="Hyperlink"/>
            <w:noProof/>
          </w:rPr>
          <w:t>Application process timing</w:t>
        </w:r>
        <w:r w:rsidR="006C3FD6">
          <w:rPr>
            <w:noProof/>
            <w:webHidden/>
          </w:rPr>
          <w:tab/>
        </w:r>
        <w:r w:rsidR="006C3FD6">
          <w:rPr>
            <w:noProof/>
            <w:webHidden/>
          </w:rPr>
          <w:fldChar w:fldCharType="begin"/>
        </w:r>
        <w:r w:rsidR="006C3FD6">
          <w:rPr>
            <w:noProof/>
            <w:webHidden/>
          </w:rPr>
          <w:instrText xml:space="preserve"> PAGEREF _Toc536094888 \h </w:instrText>
        </w:r>
        <w:r w:rsidR="006C3FD6">
          <w:rPr>
            <w:noProof/>
            <w:webHidden/>
          </w:rPr>
        </w:r>
        <w:r w:rsidR="006C3FD6">
          <w:rPr>
            <w:noProof/>
            <w:webHidden/>
          </w:rPr>
          <w:fldChar w:fldCharType="separate"/>
        </w:r>
        <w:r w:rsidR="006C3FD6">
          <w:rPr>
            <w:noProof/>
            <w:webHidden/>
          </w:rPr>
          <w:t>10</w:t>
        </w:r>
        <w:r w:rsidR="006C3FD6">
          <w:rPr>
            <w:noProof/>
            <w:webHidden/>
          </w:rPr>
          <w:fldChar w:fldCharType="end"/>
        </w:r>
      </w:hyperlink>
    </w:p>
    <w:p w14:paraId="0A8BB56B" w14:textId="40AD242A" w:rsidR="006C3FD6" w:rsidRDefault="002C4D8E">
      <w:pPr>
        <w:pStyle w:val="TOC2"/>
        <w:rPr>
          <w:rFonts w:eastAsiaTheme="minorEastAsia"/>
          <w:noProof/>
          <w:lang w:eastAsia="en-AU"/>
        </w:rPr>
      </w:pPr>
      <w:hyperlink w:anchor="_Toc536094889" w:history="1">
        <w:r w:rsidR="006C3FD6" w:rsidRPr="00C701F5">
          <w:rPr>
            <w:rStyle w:val="Hyperlink"/>
            <w:noProof/>
          </w:rPr>
          <w:t>7.3</w:t>
        </w:r>
        <w:r w:rsidR="006C3FD6">
          <w:rPr>
            <w:rFonts w:eastAsiaTheme="minorEastAsia"/>
            <w:noProof/>
            <w:lang w:eastAsia="en-AU"/>
          </w:rPr>
          <w:tab/>
        </w:r>
        <w:r w:rsidR="006C3FD6" w:rsidRPr="00C701F5">
          <w:rPr>
            <w:rStyle w:val="Hyperlink"/>
            <w:noProof/>
          </w:rPr>
          <w:t>Completing the Service Delivery Plan</w:t>
        </w:r>
        <w:r w:rsidR="006C3FD6">
          <w:rPr>
            <w:noProof/>
            <w:webHidden/>
          </w:rPr>
          <w:tab/>
        </w:r>
        <w:r w:rsidR="006C3FD6">
          <w:rPr>
            <w:noProof/>
            <w:webHidden/>
          </w:rPr>
          <w:fldChar w:fldCharType="begin"/>
        </w:r>
        <w:r w:rsidR="006C3FD6">
          <w:rPr>
            <w:noProof/>
            <w:webHidden/>
          </w:rPr>
          <w:instrText xml:space="preserve"> PAGEREF _Toc536094889 \h </w:instrText>
        </w:r>
        <w:r w:rsidR="006C3FD6">
          <w:rPr>
            <w:noProof/>
            <w:webHidden/>
          </w:rPr>
        </w:r>
        <w:r w:rsidR="006C3FD6">
          <w:rPr>
            <w:noProof/>
            <w:webHidden/>
          </w:rPr>
          <w:fldChar w:fldCharType="separate"/>
        </w:r>
        <w:r w:rsidR="006C3FD6">
          <w:rPr>
            <w:noProof/>
            <w:webHidden/>
          </w:rPr>
          <w:t>11</w:t>
        </w:r>
        <w:r w:rsidR="006C3FD6">
          <w:rPr>
            <w:noProof/>
            <w:webHidden/>
          </w:rPr>
          <w:fldChar w:fldCharType="end"/>
        </w:r>
      </w:hyperlink>
    </w:p>
    <w:p w14:paraId="2CBB891D" w14:textId="3C16382E" w:rsidR="006C3FD6" w:rsidRDefault="002C4D8E">
      <w:pPr>
        <w:pStyle w:val="TOC2"/>
        <w:rPr>
          <w:rFonts w:eastAsiaTheme="minorEastAsia"/>
          <w:noProof/>
          <w:lang w:eastAsia="en-AU"/>
        </w:rPr>
      </w:pPr>
      <w:hyperlink w:anchor="_Toc536094890" w:history="1">
        <w:r w:rsidR="006C3FD6" w:rsidRPr="00C701F5">
          <w:rPr>
            <w:rStyle w:val="Hyperlink"/>
            <w:noProof/>
          </w:rPr>
          <w:t>7.4</w:t>
        </w:r>
        <w:r w:rsidR="006C3FD6">
          <w:rPr>
            <w:rFonts w:eastAsiaTheme="minorEastAsia"/>
            <w:noProof/>
            <w:lang w:eastAsia="en-AU"/>
          </w:rPr>
          <w:tab/>
        </w:r>
        <w:r w:rsidR="006C3FD6" w:rsidRPr="00C701F5">
          <w:rPr>
            <w:rStyle w:val="Hyperlink"/>
            <w:noProof/>
          </w:rPr>
          <w:t>Attachments to the application</w:t>
        </w:r>
        <w:r w:rsidR="006C3FD6">
          <w:rPr>
            <w:noProof/>
            <w:webHidden/>
          </w:rPr>
          <w:tab/>
        </w:r>
        <w:r w:rsidR="006C3FD6">
          <w:rPr>
            <w:noProof/>
            <w:webHidden/>
          </w:rPr>
          <w:fldChar w:fldCharType="begin"/>
        </w:r>
        <w:r w:rsidR="006C3FD6">
          <w:rPr>
            <w:noProof/>
            <w:webHidden/>
          </w:rPr>
          <w:instrText xml:space="preserve"> PAGEREF _Toc536094890 \h </w:instrText>
        </w:r>
        <w:r w:rsidR="006C3FD6">
          <w:rPr>
            <w:noProof/>
            <w:webHidden/>
          </w:rPr>
        </w:r>
        <w:r w:rsidR="006C3FD6">
          <w:rPr>
            <w:noProof/>
            <w:webHidden/>
          </w:rPr>
          <w:fldChar w:fldCharType="separate"/>
        </w:r>
        <w:r w:rsidR="006C3FD6">
          <w:rPr>
            <w:noProof/>
            <w:webHidden/>
          </w:rPr>
          <w:t>11</w:t>
        </w:r>
        <w:r w:rsidR="006C3FD6">
          <w:rPr>
            <w:noProof/>
            <w:webHidden/>
          </w:rPr>
          <w:fldChar w:fldCharType="end"/>
        </w:r>
      </w:hyperlink>
    </w:p>
    <w:p w14:paraId="3187DCB3" w14:textId="3AE3DB84" w:rsidR="006C3FD6" w:rsidRDefault="002C4D8E">
      <w:pPr>
        <w:pStyle w:val="TOC2"/>
        <w:rPr>
          <w:rFonts w:eastAsiaTheme="minorEastAsia"/>
          <w:noProof/>
          <w:lang w:eastAsia="en-AU"/>
        </w:rPr>
      </w:pPr>
      <w:hyperlink w:anchor="_Toc536094891" w:history="1">
        <w:r w:rsidR="006C3FD6" w:rsidRPr="00C701F5">
          <w:rPr>
            <w:rStyle w:val="Hyperlink"/>
            <w:noProof/>
          </w:rPr>
          <w:t>7.5</w:t>
        </w:r>
        <w:r w:rsidR="006C3FD6">
          <w:rPr>
            <w:rFonts w:eastAsiaTheme="minorEastAsia"/>
            <w:noProof/>
            <w:lang w:eastAsia="en-AU"/>
          </w:rPr>
          <w:tab/>
        </w:r>
        <w:r w:rsidR="006C3FD6" w:rsidRPr="00C701F5">
          <w:rPr>
            <w:rStyle w:val="Hyperlink"/>
            <w:noProof/>
          </w:rPr>
          <w:t>Questions during the application process</w:t>
        </w:r>
        <w:r w:rsidR="006C3FD6">
          <w:rPr>
            <w:noProof/>
            <w:webHidden/>
          </w:rPr>
          <w:tab/>
        </w:r>
        <w:r w:rsidR="006C3FD6">
          <w:rPr>
            <w:noProof/>
            <w:webHidden/>
          </w:rPr>
          <w:fldChar w:fldCharType="begin"/>
        </w:r>
        <w:r w:rsidR="006C3FD6">
          <w:rPr>
            <w:noProof/>
            <w:webHidden/>
          </w:rPr>
          <w:instrText xml:space="preserve"> PAGEREF _Toc536094891 \h </w:instrText>
        </w:r>
        <w:r w:rsidR="006C3FD6">
          <w:rPr>
            <w:noProof/>
            <w:webHidden/>
          </w:rPr>
        </w:r>
        <w:r w:rsidR="006C3FD6">
          <w:rPr>
            <w:noProof/>
            <w:webHidden/>
          </w:rPr>
          <w:fldChar w:fldCharType="separate"/>
        </w:r>
        <w:r w:rsidR="006C3FD6">
          <w:rPr>
            <w:noProof/>
            <w:webHidden/>
          </w:rPr>
          <w:t>12</w:t>
        </w:r>
        <w:r w:rsidR="006C3FD6">
          <w:rPr>
            <w:noProof/>
            <w:webHidden/>
          </w:rPr>
          <w:fldChar w:fldCharType="end"/>
        </w:r>
      </w:hyperlink>
    </w:p>
    <w:p w14:paraId="442A9D96" w14:textId="3532C47A" w:rsidR="006C3FD6" w:rsidRDefault="002C4D8E">
      <w:pPr>
        <w:pStyle w:val="TOC1"/>
        <w:rPr>
          <w:rFonts w:eastAsiaTheme="minorEastAsia"/>
          <w:b w:val="0"/>
          <w:noProof/>
          <w:sz w:val="22"/>
          <w:lang w:eastAsia="en-AU"/>
        </w:rPr>
      </w:pPr>
      <w:hyperlink w:anchor="_Toc536094892" w:history="1">
        <w:r w:rsidR="006C3FD6" w:rsidRPr="00C701F5">
          <w:rPr>
            <w:rStyle w:val="Hyperlink"/>
            <w:noProof/>
          </w:rPr>
          <w:t>8.</w:t>
        </w:r>
        <w:r w:rsidR="006C3FD6">
          <w:rPr>
            <w:rFonts w:eastAsiaTheme="minorEastAsia"/>
            <w:b w:val="0"/>
            <w:noProof/>
            <w:sz w:val="22"/>
            <w:lang w:eastAsia="en-AU"/>
          </w:rPr>
          <w:tab/>
        </w:r>
        <w:r w:rsidR="006C3FD6" w:rsidRPr="00C701F5">
          <w:rPr>
            <w:rStyle w:val="Hyperlink"/>
            <w:noProof/>
          </w:rPr>
          <w:t>Assessment of applications</w:t>
        </w:r>
        <w:r w:rsidR="006C3FD6">
          <w:rPr>
            <w:noProof/>
            <w:webHidden/>
          </w:rPr>
          <w:tab/>
        </w:r>
        <w:r w:rsidR="006C3FD6">
          <w:rPr>
            <w:noProof/>
            <w:webHidden/>
          </w:rPr>
          <w:fldChar w:fldCharType="begin"/>
        </w:r>
        <w:r w:rsidR="006C3FD6">
          <w:rPr>
            <w:noProof/>
            <w:webHidden/>
          </w:rPr>
          <w:instrText xml:space="preserve"> PAGEREF _Toc536094892 \h </w:instrText>
        </w:r>
        <w:r w:rsidR="006C3FD6">
          <w:rPr>
            <w:noProof/>
            <w:webHidden/>
          </w:rPr>
        </w:r>
        <w:r w:rsidR="006C3FD6">
          <w:rPr>
            <w:noProof/>
            <w:webHidden/>
          </w:rPr>
          <w:fldChar w:fldCharType="separate"/>
        </w:r>
        <w:r w:rsidR="006C3FD6">
          <w:rPr>
            <w:noProof/>
            <w:webHidden/>
          </w:rPr>
          <w:t>12</w:t>
        </w:r>
        <w:r w:rsidR="006C3FD6">
          <w:rPr>
            <w:noProof/>
            <w:webHidden/>
          </w:rPr>
          <w:fldChar w:fldCharType="end"/>
        </w:r>
      </w:hyperlink>
    </w:p>
    <w:p w14:paraId="31EC662D" w14:textId="508CC2DF" w:rsidR="006C3FD6" w:rsidRDefault="002C4D8E">
      <w:pPr>
        <w:pStyle w:val="TOC2"/>
        <w:rPr>
          <w:rFonts w:eastAsiaTheme="minorEastAsia"/>
          <w:noProof/>
          <w:lang w:eastAsia="en-AU"/>
        </w:rPr>
      </w:pPr>
      <w:hyperlink w:anchor="_Toc536094893" w:history="1">
        <w:r w:rsidR="006C3FD6" w:rsidRPr="00C701F5">
          <w:rPr>
            <w:rStyle w:val="Hyperlink"/>
            <w:noProof/>
          </w:rPr>
          <w:t>8.1</w:t>
        </w:r>
        <w:r w:rsidR="006C3FD6">
          <w:rPr>
            <w:rFonts w:eastAsiaTheme="minorEastAsia"/>
            <w:noProof/>
            <w:lang w:eastAsia="en-AU"/>
          </w:rPr>
          <w:tab/>
        </w:r>
        <w:r w:rsidR="006C3FD6" w:rsidRPr="00C701F5">
          <w:rPr>
            <w:rStyle w:val="Hyperlink"/>
            <w:noProof/>
          </w:rPr>
          <w:t>Who will approve grants?</w:t>
        </w:r>
        <w:r w:rsidR="006C3FD6">
          <w:rPr>
            <w:noProof/>
            <w:webHidden/>
          </w:rPr>
          <w:tab/>
        </w:r>
        <w:r w:rsidR="006C3FD6">
          <w:rPr>
            <w:noProof/>
            <w:webHidden/>
          </w:rPr>
          <w:fldChar w:fldCharType="begin"/>
        </w:r>
        <w:r w:rsidR="006C3FD6">
          <w:rPr>
            <w:noProof/>
            <w:webHidden/>
          </w:rPr>
          <w:instrText xml:space="preserve"> PAGEREF _Toc536094893 \h </w:instrText>
        </w:r>
        <w:r w:rsidR="006C3FD6">
          <w:rPr>
            <w:noProof/>
            <w:webHidden/>
          </w:rPr>
        </w:r>
        <w:r w:rsidR="006C3FD6">
          <w:rPr>
            <w:noProof/>
            <w:webHidden/>
          </w:rPr>
          <w:fldChar w:fldCharType="separate"/>
        </w:r>
        <w:r w:rsidR="006C3FD6">
          <w:rPr>
            <w:noProof/>
            <w:webHidden/>
          </w:rPr>
          <w:t>12</w:t>
        </w:r>
        <w:r w:rsidR="006C3FD6">
          <w:rPr>
            <w:noProof/>
            <w:webHidden/>
          </w:rPr>
          <w:fldChar w:fldCharType="end"/>
        </w:r>
      </w:hyperlink>
    </w:p>
    <w:p w14:paraId="5518884A" w14:textId="3E97A758" w:rsidR="006C3FD6" w:rsidRDefault="002C4D8E">
      <w:pPr>
        <w:pStyle w:val="TOC1"/>
        <w:rPr>
          <w:rFonts w:eastAsiaTheme="minorEastAsia"/>
          <w:b w:val="0"/>
          <w:noProof/>
          <w:sz w:val="22"/>
          <w:lang w:eastAsia="en-AU"/>
        </w:rPr>
      </w:pPr>
      <w:hyperlink w:anchor="_Toc536094894" w:history="1">
        <w:r w:rsidR="006C3FD6" w:rsidRPr="00C701F5">
          <w:rPr>
            <w:rStyle w:val="Hyperlink"/>
            <w:noProof/>
          </w:rPr>
          <w:t>9.</w:t>
        </w:r>
        <w:r w:rsidR="006C3FD6">
          <w:rPr>
            <w:rFonts w:eastAsiaTheme="minorEastAsia"/>
            <w:b w:val="0"/>
            <w:noProof/>
            <w:sz w:val="22"/>
            <w:lang w:eastAsia="en-AU"/>
          </w:rPr>
          <w:tab/>
        </w:r>
        <w:r w:rsidR="006C3FD6" w:rsidRPr="00C701F5">
          <w:rPr>
            <w:rStyle w:val="Hyperlink"/>
            <w:noProof/>
          </w:rPr>
          <w:t>Notification of application outcomes</w:t>
        </w:r>
        <w:r w:rsidR="006C3FD6">
          <w:rPr>
            <w:noProof/>
            <w:webHidden/>
          </w:rPr>
          <w:tab/>
        </w:r>
        <w:r w:rsidR="006C3FD6">
          <w:rPr>
            <w:noProof/>
            <w:webHidden/>
          </w:rPr>
          <w:fldChar w:fldCharType="begin"/>
        </w:r>
        <w:r w:rsidR="006C3FD6">
          <w:rPr>
            <w:noProof/>
            <w:webHidden/>
          </w:rPr>
          <w:instrText xml:space="preserve"> PAGEREF _Toc536094894 \h </w:instrText>
        </w:r>
        <w:r w:rsidR="006C3FD6">
          <w:rPr>
            <w:noProof/>
            <w:webHidden/>
          </w:rPr>
        </w:r>
        <w:r w:rsidR="006C3FD6">
          <w:rPr>
            <w:noProof/>
            <w:webHidden/>
          </w:rPr>
          <w:fldChar w:fldCharType="separate"/>
        </w:r>
        <w:r w:rsidR="006C3FD6">
          <w:rPr>
            <w:noProof/>
            <w:webHidden/>
          </w:rPr>
          <w:t>12</w:t>
        </w:r>
        <w:r w:rsidR="006C3FD6">
          <w:rPr>
            <w:noProof/>
            <w:webHidden/>
          </w:rPr>
          <w:fldChar w:fldCharType="end"/>
        </w:r>
      </w:hyperlink>
    </w:p>
    <w:p w14:paraId="293164B6" w14:textId="5B4AA25F" w:rsidR="006C3FD6" w:rsidRDefault="002C4D8E">
      <w:pPr>
        <w:pStyle w:val="TOC2"/>
        <w:rPr>
          <w:rFonts w:eastAsiaTheme="minorEastAsia"/>
          <w:noProof/>
          <w:lang w:eastAsia="en-AU"/>
        </w:rPr>
      </w:pPr>
      <w:hyperlink w:anchor="_Toc536094895" w:history="1">
        <w:r w:rsidR="006C3FD6" w:rsidRPr="00C701F5">
          <w:rPr>
            <w:rStyle w:val="Hyperlink"/>
            <w:noProof/>
          </w:rPr>
          <w:t>9.1</w:t>
        </w:r>
        <w:r w:rsidR="006C3FD6">
          <w:rPr>
            <w:rFonts w:eastAsiaTheme="minorEastAsia"/>
            <w:noProof/>
            <w:lang w:eastAsia="en-AU"/>
          </w:rPr>
          <w:tab/>
        </w:r>
        <w:r w:rsidR="006C3FD6" w:rsidRPr="00C701F5">
          <w:rPr>
            <w:rStyle w:val="Hyperlink"/>
            <w:noProof/>
          </w:rPr>
          <w:t>Feedback on your application</w:t>
        </w:r>
        <w:r w:rsidR="006C3FD6">
          <w:rPr>
            <w:noProof/>
            <w:webHidden/>
          </w:rPr>
          <w:tab/>
        </w:r>
        <w:r w:rsidR="006C3FD6">
          <w:rPr>
            <w:noProof/>
            <w:webHidden/>
          </w:rPr>
          <w:fldChar w:fldCharType="begin"/>
        </w:r>
        <w:r w:rsidR="006C3FD6">
          <w:rPr>
            <w:noProof/>
            <w:webHidden/>
          </w:rPr>
          <w:instrText xml:space="preserve"> PAGEREF _Toc536094895 \h </w:instrText>
        </w:r>
        <w:r w:rsidR="006C3FD6">
          <w:rPr>
            <w:noProof/>
            <w:webHidden/>
          </w:rPr>
        </w:r>
        <w:r w:rsidR="006C3FD6">
          <w:rPr>
            <w:noProof/>
            <w:webHidden/>
          </w:rPr>
          <w:fldChar w:fldCharType="separate"/>
        </w:r>
        <w:r w:rsidR="006C3FD6">
          <w:rPr>
            <w:noProof/>
            <w:webHidden/>
          </w:rPr>
          <w:t>13</w:t>
        </w:r>
        <w:r w:rsidR="006C3FD6">
          <w:rPr>
            <w:noProof/>
            <w:webHidden/>
          </w:rPr>
          <w:fldChar w:fldCharType="end"/>
        </w:r>
      </w:hyperlink>
    </w:p>
    <w:p w14:paraId="66F16E2F" w14:textId="42CB5579" w:rsidR="006C3FD6" w:rsidRDefault="002C4D8E">
      <w:pPr>
        <w:pStyle w:val="TOC1"/>
        <w:rPr>
          <w:rFonts w:eastAsiaTheme="minorEastAsia"/>
          <w:b w:val="0"/>
          <w:noProof/>
          <w:sz w:val="22"/>
          <w:lang w:eastAsia="en-AU"/>
        </w:rPr>
      </w:pPr>
      <w:hyperlink w:anchor="_Toc536094896" w:history="1">
        <w:r w:rsidR="006C3FD6" w:rsidRPr="00C701F5">
          <w:rPr>
            <w:rStyle w:val="Hyperlink"/>
            <w:noProof/>
          </w:rPr>
          <w:t>10.</w:t>
        </w:r>
        <w:r w:rsidR="006C3FD6">
          <w:rPr>
            <w:rFonts w:eastAsiaTheme="minorEastAsia"/>
            <w:b w:val="0"/>
            <w:noProof/>
            <w:sz w:val="22"/>
            <w:lang w:eastAsia="en-AU"/>
          </w:rPr>
          <w:tab/>
        </w:r>
        <w:r w:rsidR="006C3FD6" w:rsidRPr="00C701F5">
          <w:rPr>
            <w:rStyle w:val="Hyperlink"/>
            <w:noProof/>
          </w:rPr>
          <w:t>Successful grant applications</w:t>
        </w:r>
        <w:r w:rsidR="006C3FD6">
          <w:rPr>
            <w:noProof/>
            <w:webHidden/>
          </w:rPr>
          <w:tab/>
        </w:r>
        <w:r w:rsidR="006C3FD6">
          <w:rPr>
            <w:noProof/>
            <w:webHidden/>
          </w:rPr>
          <w:fldChar w:fldCharType="begin"/>
        </w:r>
        <w:r w:rsidR="006C3FD6">
          <w:rPr>
            <w:noProof/>
            <w:webHidden/>
          </w:rPr>
          <w:instrText xml:space="preserve"> PAGEREF _Toc536094896 \h </w:instrText>
        </w:r>
        <w:r w:rsidR="006C3FD6">
          <w:rPr>
            <w:noProof/>
            <w:webHidden/>
          </w:rPr>
        </w:r>
        <w:r w:rsidR="006C3FD6">
          <w:rPr>
            <w:noProof/>
            <w:webHidden/>
          </w:rPr>
          <w:fldChar w:fldCharType="separate"/>
        </w:r>
        <w:r w:rsidR="006C3FD6">
          <w:rPr>
            <w:noProof/>
            <w:webHidden/>
          </w:rPr>
          <w:t>13</w:t>
        </w:r>
        <w:r w:rsidR="006C3FD6">
          <w:rPr>
            <w:noProof/>
            <w:webHidden/>
          </w:rPr>
          <w:fldChar w:fldCharType="end"/>
        </w:r>
      </w:hyperlink>
    </w:p>
    <w:p w14:paraId="571CF9A2" w14:textId="22256BAC" w:rsidR="006C3FD6" w:rsidRDefault="002C4D8E">
      <w:pPr>
        <w:pStyle w:val="TOC2"/>
        <w:rPr>
          <w:rFonts w:eastAsiaTheme="minorEastAsia"/>
          <w:noProof/>
          <w:lang w:eastAsia="en-AU"/>
        </w:rPr>
      </w:pPr>
      <w:hyperlink w:anchor="_Toc536094897" w:history="1">
        <w:r w:rsidR="006C3FD6" w:rsidRPr="00C701F5">
          <w:rPr>
            <w:rStyle w:val="Hyperlink"/>
            <w:noProof/>
          </w:rPr>
          <w:t>10.1</w:t>
        </w:r>
        <w:r w:rsidR="006C3FD6">
          <w:rPr>
            <w:rFonts w:eastAsiaTheme="minorEastAsia"/>
            <w:noProof/>
            <w:lang w:eastAsia="en-AU"/>
          </w:rPr>
          <w:tab/>
        </w:r>
        <w:r w:rsidR="006C3FD6" w:rsidRPr="00C701F5">
          <w:rPr>
            <w:rStyle w:val="Hyperlink"/>
            <w:noProof/>
          </w:rPr>
          <w:t>The grant agreement</w:t>
        </w:r>
        <w:r w:rsidR="006C3FD6">
          <w:rPr>
            <w:noProof/>
            <w:webHidden/>
          </w:rPr>
          <w:tab/>
        </w:r>
        <w:r w:rsidR="006C3FD6">
          <w:rPr>
            <w:noProof/>
            <w:webHidden/>
          </w:rPr>
          <w:fldChar w:fldCharType="begin"/>
        </w:r>
        <w:r w:rsidR="006C3FD6">
          <w:rPr>
            <w:noProof/>
            <w:webHidden/>
          </w:rPr>
          <w:instrText xml:space="preserve"> PAGEREF _Toc536094897 \h </w:instrText>
        </w:r>
        <w:r w:rsidR="006C3FD6">
          <w:rPr>
            <w:noProof/>
            <w:webHidden/>
          </w:rPr>
        </w:r>
        <w:r w:rsidR="006C3FD6">
          <w:rPr>
            <w:noProof/>
            <w:webHidden/>
          </w:rPr>
          <w:fldChar w:fldCharType="separate"/>
        </w:r>
        <w:r w:rsidR="006C3FD6">
          <w:rPr>
            <w:noProof/>
            <w:webHidden/>
          </w:rPr>
          <w:t>13</w:t>
        </w:r>
        <w:r w:rsidR="006C3FD6">
          <w:rPr>
            <w:noProof/>
            <w:webHidden/>
          </w:rPr>
          <w:fldChar w:fldCharType="end"/>
        </w:r>
      </w:hyperlink>
    </w:p>
    <w:p w14:paraId="0DA19FA9" w14:textId="445B5CF6" w:rsidR="006C3FD6" w:rsidRDefault="002C4D8E">
      <w:pPr>
        <w:pStyle w:val="TOC2"/>
        <w:rPr>
          <w:rFonts w:eastAsiaTheme="minorEastAsia"/>
          <w:noProof/>
          <w:lang w:eastAsia="en-AU"/>
        </w:rPr>
      </w:pPr>
      <w:hyperlink w:anchor="_Toc536094898" w:history="1">
        <w:r w:rsidR="006C3FD6" w:rsidRPr="00C701F5">
          <w:rPr>
            <w:rStyle w:val="Hyperlink"/>
            <w:noProof/>
          </w:rPr>
          <w:t>10.2</w:t>
        </w:r>
        <w:r w:rsidR="006C3FD6">
          <w:rPr>
            <w:rFonts w:eastAsiaTheme="minorEastAsia"/>
            <w:noProof/>
            <w:lang w:eastAsia="en-AU"/>
          </w:rPr>
          <w:tab/>
        </w:r>
        <w:r w:rsidR="006C3FD6" w:rsidRPr="00C701F5">
          <w:rPr>
            <w:rStyle w:val="Hyperlink"/>
            <w:noProof/>
          </w:rPr>
          <w:t>How the grant will be paid</w:t>
        </w:r>
        <w:r w:rsidR="006C3FD6">
          <w:rPr>
            <w:noProof/>
            <w:webHidden/>
          </w:rPr>
          <w:tab/>
        </w:r>
        <w:r w:rsidR="006C3FD6">
          <w:rPr>
            <w:noProof/>
            <w:webHidden/>
          </w:rPr>
          <w:fldChar w:fldCharType="begin"/>
        </w:r>
        <w:r w:rsidR="006C3FD6">
          <w:rPr>
            <w:noProof/>
            <w:webHidden/>
          </w:rPr>
          <w:instrText xml:space="preserve"> PAGEREF _Toc536094898 \h </w:instrText>
        </w:r>
        <w:r w:rsidR="006C3FD6">
          <w:rPr>
            <w:noProof/>
            <w:webHidden/>
          </w:rPr>
        </w:r>
        <w:r w:rsidR="006C3FD6">
          <w:rPr>
            <w:noProof/>
            <w:webHidden/>
          </w:rPr>
          <w:fldChar w:fldCharType="separate"/>
        </w:r>
        <w:r w:rsidR="006C3FD6">
          <w:rPr>
            <w:noProof/>
            <w:webHidden/>
          </w:rPr>
          <w:t>13</w:t>
        </w:r>
        <w:r w:rsidR="006C3FD6">
          <w:rPr>
            <w:noProof/>
            <w:webHidden/>
          </w:rPr>
          <w:fldChar w:fldCharType="end"/>
        </w:r>
      </w:hyperlink>
    </w:p>
    <w:p w14:paraId="0C76C7C7" w14:textId="319C8772" w:rsidR="006C3FD6" w:rsidRDefault="002C4D8E">
      <w:pPr>
        <w:pStyle w:val="TOC2"/>
        <w:rPr>
          <w:rFonts w:eastAsiaTheme="minorEastAsia"/>
          <w:noProof/>
          <w:lang w:eastAsia="en-AU"/>
        </w:rPr>
      </w:pPr>
      <w:hyperlink w:anchor="_Toc536094899" w:history="1">
        <w:r w:rsidR="006C3FD6" w:rsidRPr="00C701F5">
          <w:rPr>
            <w:rStyle w:val="Hyperlink"/>
            <w:noProof/>
            <w:lang w:eastAsia="en-AU"/>
          </w:rPr>
          <w:t>10.3</w:t>
        </w:r>
        <w:r w:rsidR="006C3FD6">
          <w:rPr>
            <w:rFonts w:eastAsiaTheme="minorEastAsia"/>
            <w:noProof/>
            <w:lang w:eastAsia="en-AU"/>
          </w:rPr>
          <w:tab/>
        </w:r>
        <w:r w:rsidR="006C3FD6" w:rsidRPr="00C701F5">
          <w:rPr>
            <w:rStyle w:val="Hyperlink"/>
            <w:noProof/>
            <w:lang w:eastAsia="en-AU"/>
          </w:rPr>
          <w:t>Grant agreement variations</w:t>
        </w:r>
        <w:r w:rsidR="006C3FD6">
          <w:rPr>
            <w:noProof/>
            <w:webHidden/>
          </w:rPr>
          <w:tab/>
        </w:r>
        <w:r w:rsidR="006C3FD6">
          <w:rPr>
            <w:noProof/>
            <w:webHidden/>
          </w:rPr>
          <w:fldChar w:fldCharType="begin"/>
        </w:r>
        <w:r w:rsidR="006C3FD6">
          <w:rPr>
            <w:noProof/>
            <w:webHidden/>
          </w:rPr>
          <w:instrText xml:space="preserve"> PAGEREF _Toc536094899 \h </w:instrText>
        </w:r>
        <w:r w:rsidR="006C3FD6">
          <w:rPr>
            <w:noProof/>
            <w:webHidden/>
          </w:rPr>
        </w:r>
        <w:r w:rsidR="006C3FD6">
          <w:rPr>
            <w:noProof/>
            <w:webHidden/>
          </w:rPr>
          <w:fldChar w:fldCharType="separate"/>
        </w:r>
        <w:r w:rsidR="006C3FD6">
          <w:rPr>
            <w:noProof/>
            <w:webHidden/>
          </w:rPr>
          <w:t>13</w:t>
        </w:r>
        <w:r w:rsidR="006C3FD6">
          <w:rPr>
            <w:noProof/>
            <w:webHidden/>
          </w:rPr>
          <w:fldChar w:fldCharType="end"/>
        </w:r>
      </w:hyperlink>
    </w:p>
    <w:p w14:paraId="43DAC54E" w14:textId="246351DD" w:rsidR="006C3FD6" w:rsidRDefault="002C4D8E">
      <w:pPr>
        <w:pStyle w:val="TOC1"/>
        <w:rPr>
          <w:rFonts w:eastAsiaTheme="minorEastAsia"/>
          <w:b w:val="0"/>
          <w:noProof/>
          <w:sz w:val="22"/>
          <w:lang w:eastAsia="en-AU"/>
        </w:rPr>
      </w:pPr>
      <w:hyperlink w:anchor="_Toc536094900" w:history="1">
        <w:r w:rsidR="006C3FD6" w:rsidRPr="00C701F5">
          <w:rPr>
            <w:rStyle w:val="Hyperlink"/>
            <w:noProof/>
          </w:rPr>
          <w:t>11.</w:t>
        </w:r>
        <w:r w:rsidR="006C3FD6">
          <w:rPr>
            <w:rFonts w:eastAsiaTheme="minorEastAsia"/>
            <w:b w:val="0"/>
            <w:noProof/>
            <w:sz w:val="22"/>
            <w:lang w:eastAsia="en-AU"/>
          </w:rPr>
          <w:tab/>
        </w:r>
        <w:r w:rsidR="006C3FD6" w:rsidRPr="00C701F5">
          <w:rPr>
            <w:rStyle w:val="Hyperlink"/>
            <w:noProof/>
          </w:rPr>
          <w:t>Announcement of grants</w:t>
        </w:r>
        <w:r w:rsidR="006C3FD6">
          <w:rPr>
            <w:noProof/>
            <w:webHidden/>
          </w:rPr>
          <w:tab/>
        </w:r>
        <w:r w:rsidR="006C3FD6">
          <w:rPr>
            <w:noProof/>
            <w:webHidden/>
          </w:rPr>
          <w:fldChar w:fldCharType="begin"/>
        </w:r>
        <w:r w:rsidR="006C3FD6">
          <w:rPr>
            <w:noProof/>
            <w:webHidden/>
          </w:rPr>
          <w:instrText xml:space="preserve"> PAGEREF _Toc536094900 \h </w:instrText>
        </w:r>
        <w:r w:rsidR="006C3FD6">
          <w:rPr>
            <w:noProof/>
            <w:webHidden/>
          </w:rPr>
        </w:r>
        <w:r w:rsidR="006C3FD6">
          <w:rPr>
            <w:noProof/>
            <w:webHidden/>
          </w:rPr>
          <w:fldChar w:fldCharType="separate"/>
        </w:r>
        <w:r w:rsidR="006C3FD6">
          <w:rPr>
            <w:noProof/>
            <w:webHidden/>
          </w:rPr>
          <w:t>14</w:t>
        </w:r>
        <w:r w:rsidR="006C3FD6">
          <w:rPr>
            <w:noProof/>
            <w:webHidden/>
          </w:rPr>
          <w:fldChar w:fldCharType="end"/>
        </w:r>
      </w:hyperlink>
    </w:p>
    <w:p w14:paraId="3AD01B07" w14:textId="4543E1F9" w:rsidR="006C3FD6" w:rsidRDefault="002C4D8E">
      <w:pPr>
        <w:pStyle w:val="TOC1"/>
        <w:rPr>
          <w:rFonts w:eastAsiaTheme="minorEastAsia"/>
          <w:b w:val="0"/>
          <w:noProof/>
          <w:sz w:val="22"/>
          <w:lang w:eastAsia="en-AU"/>
        </w:rPr>
      </w:pPr>
      <w:hyperlink w:anchor="_Toc536094901" w:history="1">
        <w:r w:rsidR="006C3FD6" w:rsidRPr="00C701F5">
          <w:rPr>
            <w:rStyle w:val="Hyperlink"/>
            <w:noProof/>
          </w:rPr>
          <w:t>12.</w:t>
        </w:r>
        <w:r w:rsidR="006C3FD6">
          <w:rPr>
            <w:rFonts w:eastAsiaTheme="minorEastAsia"/>
            <w:b w:val="0"/>
            <w:noProof/>
            <w:sz w:val="22"/>
            <w:lang w:eastAsia="en-AU"/>
          </w:rPr>
          <w:tab/>
        </w:r>
        <w:r w:rsidR="006C3FD6" w:rsidRPr="00C701F5">
          <w:rPr>
            <w:rStyle w:val="Hyperlink"/>
            <w:noProof/>
          </w:rPr>
          <w:t>Delivery of grant activities</w:t>
        </w:r>
        <w:r w:rsidR="006C3FD6">
          <w:rPr>
            <w:noProof/>
            <w:webHidden/>
          </w:rPr>
          <w:tab/>
        </w:r>
        <w:r w:rsidR="006C3FD6">
          <w:rPr>
            <w:noProof/>
            <w:webHidden/>
          </w:rPr>
          <w:fldChar w:fldCharType="begin"/>
        </w:r>
        <w:r w:rsidR="006C3FD6">
          <w:rPr>
            <w:noProof/>
            <w:webHidden/>
          </w:rPr>
          <w:instrText xml:space="preserve"> PAGEREF _Toc536094901 \h </w:instrText>
        </w:r>
        <w:r w:rsidR="006C3FD6">
          <w:rPr>
            <w:noProof/>
            <w:webHidden/>
          </w:rPr>
        </w:r>
        <w:r w:rsidR="006C3FD6">
          <w:rPr>
            <w:noProof/>
            <w:webHidden/>
          </w:rPr>
          <w:fldChar w:fldCharType="separate"/>
        </w:r>
        <w:r w:rsidR="006C3FD6">
          <w:rPr>
            <w:noProof/>
            <w:webHidden/>
          </w:rPr>
          <w:t>14</w:t>
        </w:r>
        <w:r w:rsidR="006C3FD6">
          <w:rPr>
            <w:noProof/>
            <w:webHidden/>
          </w:rPr>
          <w:fldChar w:fldCharType="end"/>
        </w:r>
      </w:hyperlink>
    </w:p>
    <w:p w14:paraId="5CA99F47" w14:textId="4A2871F5" w:rsidR="006C3FD6" w:rsidRDefault="002C4D8E">
      <w:pPr>
        <w:pStyle w:val="TOC2"/>
        <w:rPr>
          <w:rFonts w:eastAsiaTheme="minorEastAsia"/>
          <w:noProof/>
          <w:lang w:eastAsia="en-AU"/>
        </w:rPr>
      </w:pPr>
      <w:hyperlink w:anchor="_Toc536094902" w:history="1">
        <w:r w:rsidR="006C3FD6" w:rsidRPr="00C701F5">
          <w:rPr>
            <w:rStyle w:val="Hyperlink"/>
            <w:noProof/>
          </w:rPr>
          <w:t>12.1</w:t>
        </w:r>
        <w:r w:rsidR="006C3FD6">
          <w:rPr>
            <w:rFonts w:eastAsiaTheme="minorEastAsia"/>
            <w:noProof/>
            <w:lang w:eastAsia="en-AU"/>
          </w:rPr>
          <w:tab/>
        </w:r>
        <w:r w:rsidR="006C3FD6" w:rsidRPr="00C701F5">
          <w:rPr>
            <w:rStyle w:val="Hyperlink"/>
            <w:noProof/>
          </w:rPr>
          <w:t>Your responsibilities</w:t>
        </w:r>
        <w:r w:rsidR="006C3FD6">
          <w:rPr>
            <w:noProof/>
            <w:webHidden/>
          </w:rPr>
          <w:tab/>
        </w:r>
        <w:r w:rsidR="006C3FD6">
          <w:rPr>
            <w:noProof/>
            <w:webHidden/>
          </w:rPr>
          <w:fldChar w:fldCharType="begin"/>
        </w:r>
        <w:r w:rsidR="006C3FD6">
          <w:rPr>
            <w:noProof/>
            <w:webHidden/>
          </w:rPr>
          <w:instrText xml:space="preserve"> PAGEREF _Toc536094902 \h </w:instrText>
        </w:r>
        <w:r w:rsidR="006C3FD6">
          <w:rPr>
            <w:noProof/>
            <w:webHidden/>
          </w:rPr>
        </w:r>
        <w:r w:rsidR="006C3FD6">
          <w:rPr>
            <w:noProof/>
            <w:webHidden/>
          </w:rPr>
          <w:fldChar w:fldCharType="separate"/>
        </w:r>
        <w:r w:rsidR="006C3FD6">
          <w:rPr>
            <w:noProof/>
            <w:webHidden/>
          </w:rPr>
          <w:t>14</w:t>
        </w:r>
        <w:r w:rsidR="006C3FD6">
          <w:rPr>
            <w:noProof/>
            <w:webHidden/>
          </w:rPr>
          <w:fldChar w:fldCharType="end"/>
        </w:r>
      </w:hyperlink>
    </w:p>
    <w:p w14:paraId="7250486C" w14:textId="4A00D2BC" w:rsidR="006C3FD6" w:rsidRDefault="002C4D8E">
      <w:pPr>
        <w:pStyle w:val="TOC2"/>
        <w:rPr>
          <w:rFonts w:eastAsiaTheme="minorEastAsia"/>
          <w:noProof/>
          <w:lang w:eastAsia="en-AU"/>
        </w:rPr>
      </w:pPr>
      <w:hyperlink w:anchor="_Toc536094903" w:history="1">
        <w:r w:rsidR="006C3FD6" w:rsidRPr="00C701F5">
          <w:rPr>
            <w:rStyle w:val="Hyperlink"/>
            <w:noProof/>
          </w:rPr>
          <w:t>12.2</w:t>
        </w:r>
        <w:r w:rsidR="006C3FD6">
          <w:rPr>
            <w:rFonts w:eastAsiaTheme="minorEastAsia"/>
            <w:noProof/>
            <w:lang w:eastAsia="en-AU"/>
          </w:rPr>
          <w:tab/>
        </w:r>
        <w:r w:rsidR="006C3FD6" w:rsidRPr="00C701F5">
          <w:rPr>
            <w:rStyle w:val="Hyperlink"/>
            <w:noProof/>
          </w:rPr>
          <w:t>The Community Grants Hub’s responsibilities</w:t>
        </w:r>
        <w:r w:rsidR="006C3FD6">
          <w:rPr>
            <w:noProof/>
            <w:webHidden/>
          </w:rPr>
          <w:tab/>
        </w:r>
        <w:r w:rsidR="006C3FD6">
          <w:rPr>
            <w:noProof/>
            <w:webHidden/>
          </w:rPr>
          <w:fldChar w:fldCharType="begin"/>
        </w:r>
        <w:r w:rsidR="006C3FD6">
          <w:rPr>
            <w:noProof/>
            <w:webHidden/>
          </w:rPr>
          <w:instrText xml:space="preserve"> PAGEREF _Toc536094903 \h </w:instrText>
        </w:r>
        <w:r w:rsidR="006C3FD6">
          <w:rPr>
            <w:noProof/>
            <w:webHidden/>
          </w:rPr>
        </w:r>
        <w:r w:rsidR="006C3FD6">
          <w:rPr>
            <w:noProof/>
            <w:webHidden/>
          </w:rPr>
          <w:fldChar w:fldCharType="separate"/>
        </w:r>
        <w:r w:rsidR="006C3FD6">
          <w:rPr>
            <w:noProof/>
            <w:webHidden/>
          </w:rPr>
          <w:t>14</w:t>
        </w:r>
        <w:r w:rsidR="006C3FD6">
          <w:rPr>
            <w:noProof/>
            <w:webHidden/>
          </w:rPr>
          <w:fldChar w:fldCharType="end"/>
        </w:r>
      </w:hyperlink>
    </w:p>
    <w:p w14:paraId="0CF74B14" w14:textId="5EF04BB4" w:rsidR="006C3FD6" w:rsidRDefault="002C4D8E">
      <w:pPr>
        <w:pStyle w:val="TOC2"/>
        <w:rPr>
          <w:rFonts w:eastAsiaTheme="minorEastAsia"/>
          <w:noProof/>
          <w:lang w:eastAsia="en-AU"/>
        </w:rPr>
      </w:pPr>
      <w:hyperlink w:anchor="_Toc536094904" w:history="1">
        <w:r w:rsidR="006C3FD6" w:rsidRPr="00C701F5">
          <w:rPr>
            <w:rStyle w:val="Hyperlink"/>
            <w:noProof/>
          </w:rPr>
          <w:t>12.3</w:t>
        </w:r>
        <w:r w:rsidR="006C3FD6">
          <w:rPr>
            <w:rFonts w:eastAsiaTheme="minorEastAsia"/>
            <w:noProof/>
            <w:lang w:eastAsia="en-AU"/>
          </w:rPr>
          <w:tab/>
        </w:r>
        <w:r w:rsidR="006C3FD6" w:rsidRPr="00C701F5">
          <w:rPr>
            <w:rStyle w:val="Hyperlink"/>
            <w:noProof/>
          </w:rPr>
          <w:t>Grant payments and GST</w:t>
        </w:r>
        <w:r w:rsidR="006C3FD6">
          <w:rPr>
            <w:noProof/>
            <w:webHidden/>
          </w:rPr>
          <w:tab/>
        </w:r>
        <w:r w:rsidR="006C3FD6">
          <w:rPr>
            <w:noProof/>
            <w:webHidden/>
          </w:rPr>
          <w:fldChar w:fldCharType="begin"/>
        </w:r>
        <w:r w:rsidR="006C3FD6">
          <w:rPr>
            <w:noProof/>
            <w:webHidden/>
          </w:rPr>
          <w:instrText xml:space="preserve"> PAGEREF _Toc536094904 \h </w:instrText>
        </w:r>
        <w:r w:rsidR="006C3FD6">
          <w:rPr>
            <w:noProof/>
            <w:webHidden/>
          </w:rPr>
        </w:r>
        <w:r w:rsidR="006C3FD6">
          <w:rPr>
            <w:noProof/>
            <w:webHidden/>
          </w:rPr>
          <w:fldChar w:fldCharType="separate"/>
        </w:r>
        <w:r w:rsidR="006C3FD6">
          <w:rPr>
            <w:noProof/>
            <w:webHidden/>
          </w:rPr>
          <w:t>14</w:t>
        </w:r>
        <w:r w:rsidR="006C3FD6">
          <w:rPr>
            <w:noProof/>
            <w:webHidden/>
          </w:rPr>
          <w:fldChar w:fldCharType="end"/>
        </w:r>
      </w:hyperlink>
    </w:p>
    <w:p w14:paraId="0607EADA" w14:textId="558617E1" w:rsidR="006C3FD6" w:rsidRDefault="002C4D8E">
      <w:pPr>
        <w:pStyle w:val="TOC2"/>
        <w:rPr>
          <w:rFonts w:eastAsiaTheme="minorEastAsia"/>
          <w:noProof/>
          <w:lang w:eastAsia="en-AU"/>
        </w:rPr>
      </w:pPr>
      <w:hyperlink w:anchor="_Toc536094905" w:history="1">
        <w:r w:rsidR="006C3FD6" w:rsidRPr="00C701F5">
          <w:rPr>
            <w:rStyle w:val="Hyperlink"/>
            <w:noProof/>
          </w:rPr>
          <w:t>12.4</w:t>
        </w:r>
        <w:r w:rsidR="006C3FD6">
          <w:rPr>
            <w:rFonts w:eastAsiaTheme="minorEastAsia"/>
            <w:noProof/>
            <w:lang w:eastAsia="en-AU"/>
          </w:rPr>
          <w:tab/>
        </w:r>
        <w:r w:rsidR="006C3FD6" w:rsidRPr="00C701F5">
          <w:rPr>
            <w:rStyle w:val="Hyperlink"/>
            <w:noProof/>
          </w:rPr>
          <w:t>Evaluation</w:t>
        </w:r>
        <w:r w:rsidR="006C3FD6">
          <w:rPr>
            <w:noProof/>
            <w:webHidden/>
          </w:rPr>
          <w:tab/>
        </w:r>
        <w:r w:rsidR="006C3FD6">
          <w:rPr>
            <w:noProof/>
            <w:webHidden/>
          </w:rPr>
          <w:fldChar w:fldCharType="begin"/>
        </w:r>
        <w:r w:rsidR="006C3FD6">
          <w:rPr>
            <w:noProof/>
            <w:webHidden/>
          </w:rPr>
          <w:instrText xml:space="preserve"> PAGEREF _Toc536094905 \h </w:instrText>
        </w:r>
        <w:r w:rsidR="006C3FD6">
          <w:rPr>
            <w:noProof/>
            <w:webHidden/>
          </w:rPr>
        </w:r>
        <w:r w:rsidR="006C3FD6">
          <w:rPr>
            <w:noProof/>
            <w:webHidden/>
          </w:rPr>
          <w:fldChar w:fldCharType="separate"/>
        </w:r>
        <w:r w:rsidR="006C3FD6">
          <w:rPr>
            <w:noProof/>
            <w:webHidden/>
          </w:rPr>
          <w:t>15</w:t>
        </w:r>
        <w:r w:rsidR="006C3FD6">
          <w:rPr>
            <w:noProof/>
            <w:webHidden/>
          </w:rPr>
          <w:fldChar w:fldCharType="end"/>
        </w:r>
      </w:hyperlink>
    </w:p>
    <w:p w14:paraId="78C96397" w14:textId="5B8A6DF2" w:rsidR="006C3FD6" w:rsidRDefault="002C4D8E">
      <w:pPr>
        <w:pStyle w:val="TOC1"/>
        <w:rPr>
          <w:rFonts w:eastAsiaTheme="minorEastAsia"/>
          <w:b w:val="0"/>
          <w:noProof/>
          <w:sz w:val="22"/>
          <w:lang w:eastAsia="en-AU"/>
        </w:rPr>
      </w:pPr>
      <w:hyperlink w:anchor="_Toc536094906" w:history="1">
        <w:r w:rsidR="006C3FD6" w:rsidRPr="00C701F5">
          <w:rPr>
            <w:rStyle w:val="Hyperlink"/>
            <w:noProof/>
          </w:rPr>
          <w:t>13.</w:t>
        </w:r>
        <w:r w:rsidR="006C3FD6">
          <w:rPr>
            <w:rFonts w:eastAsiaTheme="minorEastAsia"/>
            <w:b w:val="0"/>
            <w:noProof/>
            <w:sz w:val="22"/>
            <w:lang w:eastAsia="en-AU"/>
          </w:rPr>
          <w:tab/>
        </w:r>
        <w:r w:rsidR="006C3FD6" w:rsidRPr="00C701F5">
          <w:rPr>
            <w:rStyle w:val="Hyperlink"/>
            <w:noProof/>
          </w:rPr>
          <w:t>Probity</w:t>
        </w:r>
        <w:r w:rsidR="006C3FD6">
          <w:rPr>
            <w:noProof/>
            <w:webHidden/>
          </w:rPr>
          <w:tab/>
        </w:r>
        <w:r w:rsidR="006C3FD6">
          <w:rPr>
            <w:noProof/>
            <w:webHidden/>
          </w:rPr>
          <w:fldChar w:fldCharType="begin"/>
        </w:r>
        <w:r w:rsidR="006C3FD6">
          <w:rPr>
            <w:noProof/>
            <w:webHidden/>
          </w:rPr>
          <w:instrText xml:space="preserve"> PAGEREF _Toc536094906 \h </w:instrText>
        </w:r>
        <w:r w:rsidR="006C3FD6">
          <w:rPr>
            <w:noProof/>
            <w:webHidden/>
          </w:rPr>
        </w:r>
        <w:r w:rsidR="006C3FD6">
          <w:rPr>
            <w:noProof/>
            <w:webHidden/>
          </w:rPr>
          <w:fldChar w:fldCharType="separate"/>
        </w:r>
        <w:r w:rsidR="006C3FD6">
          <w:rPr>
            <w:noProof/>
            <w:webHidden/>
          </w:rPr>
          <w:t>15</w:t>
        </w:r>
        <w:r w:rsidR="006C3FD6">
          <w:rPr>
            <w:noProof/>
            <w:webHidden/>
          </w:rPr>
          <w:fldChar w:fldCharType="end"/>
        </w:r>
      </w:hyperlink>
    </w:p>
    <w:p w14:paraId="60FE931C" w14:textId="39077E84" w:rsidR="006C3FD6" w:rsidRDefault="002C4D8E">
      <w:pPr>
        <w:pStyle w:val="TOC2"/>
        <w:rPr>
          <w:rFonts w:eastAsiaTheme="minorEastAsia"/>
          <w:noProof/>
          <w:lang w:eastAsia="en-AU"/>
        </w:rPr>
      </w:pPr>
      <w:hyperlink w:anchor="_Toc536094907" w:history="1">
        <w:r w:rsidR="006C3FD6" w:rsidRPr="00C701F5">
          <w:rPr>
            <w:rStyle w:val="Hyperlink"/>
            <w:noProof/>
          </w:rPr>
          <w:t>13.1</w:t>
        </w:r>
        <w:r w:rsidR="006C3FD6">
          <w:rPr>
            <w:rFonts w:eastAsiaTheme="minorEastAsia"/>
            <w:noProof/>
            <w:lang w:eastAsia="en-AU"/>
          </w:rPr>
          <w:tab/>
        </w:r>
        <w:r w:rsidR="006C3FD6" w:rsidRPr="00C701F5">
          <w:rPr>
            <w:rStyle w:val="Hyperlink"/>
            <w:noProof/>
          </w:rPr>
          <w:t>Complaints process</w:t>
        </w:r>
        <w:r w:rsidR="006C3FD6">
          <w:rPr>
            <w:noProof/>
            <w:webHidden/>
          </w:rPr>
          <w:tab/>
        </w:r>
        <w:r w:rsidR="006C3FD6">
          <w:rPr>
            <w:noProof/>
            <w:webHidden/>
          </w:rPr>
          <w:fldChar w:fldCharType="begin"/>
        </w:r>
        <w:r w:rsidR="006C3FD6">
          <w:rPr>
            <w:noProof/>
            <w:webHidden/>
          </w:rPr>
          <w:instrText xml:space="preserve"> PAGEREF _Toc536094907 \h </w:instrText>
        </w:r>
        <w:r w:rsidR="006C3FD6">
          <w:rPr>
            <w:noProof/>
            <w:webHidden/>
          </w:rPr>
        </w:r>
        <w:r w:rsidR="006C3FD6">
          <w:rPr>
            <w:noProof/>
            <w:webHidden/>
          </w:rPr>
          <w:fldChar w:fldCharType="separate"/>
        </w:r>
        <w:r w:rsidR="006C3FD6">
          <w:rPr>
            <w:noProof/>
            <w:webHidden/>
          </w:rPr>
          <w:t>15</w:t>
        </w:r>
        <w:r w:rsidR="006C3FD6">
          <w:rPr>
            <w:noProof/>
            <w:webHidden/>
          </w:rPr>
          <w:fldChar w:fldCharType="end"/>
        </w:r>
      </w:hyperlink>
    </w:p>
    <w:p w14:paraId="215E91BC" w14:textId="680562EE" w:rsidR="006C3FD6" w:rsidRDefault="002C4D8E">
      <w:pPr>
        <w:pStyle w:val="TOC2"/>
        <w:rPr>
          <w:rFonts w:eastAsiaTheme="minorEastAsia"/>
          <w:noProof/>
          <w:lang w:eastAsia="en-AU"/>
        </w:rPr>
      </w:pPr>
      <w:hyperlink w:anchor="_Toc536094908" w:history="1">
        <w:r w:rsidR="006C3FD6" w:rsidRPr="00C701F5">
          <w:rPr>
            <w:rStyle w:val="Hyperlink"/>
            <w:noProof/>
          </w:rPr>
          <w:t>13.2</w:t>
        </w:r>
        <w:r w:rsidR="006C3FD6">
          <w:rPr>
            <w:rFonts w:eastAsiaTheme="minorEastAsia"/>
            <w:noProof/>
            <w:lang w:eastAsia="en-AU"/>
          </w:rPr>
          <w:tab/>
        </w:r>
        <w:r w:rsidR="006C3FD6" w:rsidRPr="00C701F5">
          <w:rPr>
            <w:rStyle w:val="Hyperlink"/>
            <w:noProof/>
          </w:rPr>
          <w:t>Conflict of interest</w:t>
        </w:r>
        <w:r w:rsidR="006C3FD6">
          <w:rPr>
            <w:noProof/>
            <w:webHidden/>
          </w:rPr>
          <w:tab/>
        </w:r>
        <w:r w:rsidR="006C3FD6">
          <w:rPr>
            <w:noProof/>
            <w:webHidden/>
          </w:rPr>
          <w:fldChar w:fldCharType="begin"/>
        </w:r>
        <w:r w:rsidR="006C3FD6">
          <w:rPr>
            <w:noProof/>
            <w:webHidden/>
          </w:rPr>
          <w:instrText xml:space="preserve"> PAGEREF _Toc536094908 \h </w:instrText>
        </w:r>
        <w:r w:rsidR="006C3FD6">
          <w:rPr>
            <w:noProof/>
            <w:webHidden/>
          </w:rPr>
        </w:r>
        <w:r w:rsidR="006C3FD6">
          <w:rPr>
            <w:noProof/>
            <w:webHidden/>
          </w:rPr>
          <w:fldChar w:fldCharType="separate"/>
        </w:r>
        <w:r w:rsidR="006C3FD6">
          <w:rPr>
            <w:noProof/>
            <w:webHidden/>
          </w:rPr>
          <w:t>16</w:t>
        </w:r>
        <w:r w:rsidR="006C3FD6">
          <w:rPr>
            <w:noProof/>
            <w:webHidden/>
          </w:rPr>
          <w:fldChar w:fldCharType="end"/>
        </w:r>
      </w:hyperlink>
    </w:p>
    <w:p w14:paraId="440996BD" w14:textId="2F3B0CF3" w:rsidR="006C3FD6" w:rsidRDefault="002C4D8E">
      <w:pPr>
        <w:pStyle w:val="TOC2"/>
        <w:rPr>
          <w:rFonts w:eastAsiaTheme="minorEastAsia"/>
          <w:noProof/>
          <w:lang w:eastAsia="en-AU"/>
        </w:rPr>
      </w:pPr>
      <w:hyperlink w:anchor="_Toc536094909" w:history="1">
        <w:r w:rsidR="006C3FD6" w:rsidRPr="00C701F5">
          <w:rPr>
            <w:rStyle w:val="Hyperlink"/>
            <w:noProof/>
          </w:rPr>
          <w:t>13.3</w:t>
        </w:r>
        <w:r w:rsidR="006C3FD6">
          <w:rPr>
            <w:rFonts w:eastAsiaTheme="minorEastAsia"/>
            <w:noProof/>
            <w:lang w:eastAsia="en-AU"/>
          </w:rPr>
          <w:tab/>
        </w:r>
        <w:r w:rsidR="006C3FD6" w:rsidRPr="00C701F5">
          <w:rPr>
            <w:rStyle w:val="Hyperlink"/>
            <w:noProof/>
          </w:rPr>
          <w:t>Privacy: confidentiality and protection of personal information</w:t>
        </w:r>
        <w:r w:rsidR="006C3FD6">
          <w:rPr>
            <w:noProof/>
            <w:webHidden/>
          </w:rPr>
          <w:tab/>
        </w:r>
        <w:r w:rsidR="006C3FD6">
          <w:rPr>
            <w:noProof/>
            <w:webHidden/>
          </w:rPr>
          <w:fldChar w:fldCharType="begin"/>
        </w:r>
        <w:r w:rsidR="006C3FD6">
          <w:rPr>
            <w:noProof/>
            <w:webHidden/>
          </w:rPr>
          <w:instrText xml:space="preserve"> PAGEREF _Toc536094909 \h </w:instrText>
        </w:r>
        <w:r w:rsidR="006C3FD6">
          <w:rPr>
            <w:noProof/>
            <w:webHidden/>
          </w:rPr>
        </w:r>
        <w:r w:rsidR="006C3FD6">
          <w:rPr>
            <w:noProof/>
            <w:webHidden/>
          </w:rPr>
          <w:fldChar w:fldCharType="separate"/>
        </w:r>
        <w:r w:rsidR="006C3FD6">
          <w:rPr>
            <w:noProof/>
            <w:webHidden/>
          </w:rPr>
          <w:t>16</w:t>
        </w:r>
        <w:r w:rsidR="006C3FD6">
          <w:rPr>
            <w:noProof/>
            <w:webHidden/>
          </w:rPr>
          <w:fldChar w:fldCharType="end"/>
        </w:r>
      </w:hyperlink>
    </w:p>
    <w:p w14:paraId="3EE8A867" w14:textId="1FDDB840" w:rsidR="006C3FD6" w:rsidRDefault="002C4D8E">
      <w:pPr>
        <w:pStyle w:val="TOC2"/>
        <w:rPr>
          <w:rFonts w:eastAsiaTheme="minorEastAsia"/>
          <w:noProof/>
          <w:lang w:eastAsia="en-AU"/>
        </w:rPr>
      </w:pPr>
      <w:hyperlink w:anchor="_Toc536094910" w:history="1">
        <w:r w:rsidR="006C3FD6" w:rsidRPr="00C701F5">
          <w:rPr>
            <w:rStyle w:val="Hyperlink"/>
            <w:noProof/>
          </w:rPr>
          <w:t>13.4</w:t>
        </w:r>
        <w:r w:rsidR="006C3FD6">
          <w:rPr>
            <w:rFonts w:eastAsiaTheme="minorEastAsia"/>
            <w:noProof/>
            <w:lang w:eastAsia="en-AU"/>
          </w:rPr>
          <w:tab/>
        </w:r>
        <w:r w:rsidR="006C3FD6" w:rsidRPr="00C701F5">
          <w:rPr>
            <w:rStyle w:val="Hyperlink"/>
            <w:noProof/>
          </w:rPr>
          <w:t>Freedom of information</w:t>
        </w:r>
        <w:r w:rsidR="006C3FD6">
          <w:rPr>
            <w:noProof/>
            <w:webHidden/>
          </w:rPr>
          <w:tab/>
        </w:r>
        <w:r w:rsidR="006C3FD6">
          <w:rPr>
            <w:noProof/>
            <w:webHidden/>
          </w:rPr>
          <w:fldChar w:fldCharType="begin"/>
        </w:r>
        <w:r w:rsidR="006C3FD6">
          <w:rPr>
            <w:noProof/>
            <w:webHidden/>
          </w:rPr>
          <w:instrText xml:space="preserve"> PAGEREF _Toc536094910 \h </w:instrText>
        </w:r>
        <w:r w:rsidR="006C3FD6">
          <w:rPr>
            <w:noProof/>
            <w:webHidden/>
          </w:rPr>
        </w:r>
        <w:r w:rsidR="006C3FD6">
          <w:rPr>
            <w:noProof/>
            <w:webHidden/>
          </w:rPr>
          <w:fldChar w:fldCharType="separate"/>
        </w:r>
        <w:r w:rsidR="006C3FD6">
          <w:rPr>
            <w:noProof/>
            <w:webHidden/>
          </w:rPr>
          <w:t>18</w:t>
        </w:r>
        <w:r w:rsidR="006C3FD6">
          <w:rPr>
            <w:noProof/>
            <w:webHidden/>
          </w:rPr>
          <w:fldChar w:fldCharType="end"/>
        </w:r>
      </w:hyperlink>
    </w:p>
    <w:p w14:paraId="7E9145CA" w14:textId="36BE9C33" w:rsidR="006C3FD6" w:rsidRDefault="002C4D8E">
      <w:pPr>
        <w:pStyle w:val="TOC1"/>
        <w:rPr>
          <w:rFonts w:eastAsiaTheme="minorEastAsia"/>
          <w:b w:val="0"/>
          <w:noProof/>
          <w:sz w:val="22"/>
          <w:lang w:eastAsia="en-AU"/>
        </w:rPr>
      </w:pPr>
      <w:hyperlink w:anchor="_Toc536094911" w:history="1">
        <w:r w:rsidR="006C3FD6" w:rsidRPr="00C701F5">
          <w:rPr>
            <w:rStyle w:val="Hyperlink"/>
            <w:noProof/>
          </w:rPr>
          <w:t>14.</w:t>
        </w:r>
        <w:r w:rsidR="006C3FD6">
          <w:rPr>
            <w:rFonts w:eastAsiaTheme="minorEastAsia"/>
            <w:b w:val="0"/>
            <w:noProof/>
            <w:sz w:val="22"/>
            <w:lang w:eastAsia="en-AU"/>
          </w:rPr>
          <w:tab/>
        </w:r>
        <w:r w:rsidR="006C3FD6" w:rsidRPr="00C701F5">
          <w:rPr>
            <w:rStyle w:val="Hyperlink"/>
            <w:noProof/>
          </w:rPr>
          <w:t>Consultation</w:t>
        </w:r>
        <w:r w:rsidR="006C3FD6">
          <w:rPr>
            <w:noProof/>
            <w:webHidden/>
          </w:rPr>
          <w:tab/>
        </w:r>
        <w:r w:rsidR="006C3FD6">
          <w:rPr>
            <w:noProof/>
            <w:webHidden/>
          </w:rPr>
          <w:fldChar w:fldCharType="begin"/>
        </w:r>
        <w:r w:rsidR="006C3FD6">
          <w:rPr>
            <w:noProof/>
            <w:webHidden/>
          </w:rPr>
          <w:instrText xml:space="preserve"> PAGEREF _Toc536094911 \h </w:instrText>
        </w:r>
        <w:r w:rsidR="006C3FD6">
          <w:rPr>
            <w:noProof/>
            <w:webHidden/>
          </w:rPr>
        </w:r>
        <w:r w:rsidR="006C3FD6">
          <w:rPr>
            <w:noProof/>
            <w:webHidden/>
          </w:rPr>
          <w:fldChar w:fldCharType="separate"/>
        </w:r>
        <w:r w:rsidR="006C3FD6">
          <w:rPr>
            <w:noProof/>
            <w:webHidden/>
          </w:rPr>
          <w:t>18</w:t>
        </w:r>
        <w:r w:rsidR="006C3FD6">
          <w:rPr>
            <w:noProof/>
            <w:webHidden/>
          </w:rPr>
          <w:fldChar w:fldCharType="end"/>
        </w:r>
      </w:hyperlink>
    </w:p>
    <w:p w14:paraId="262F5670" w14:textId="3BE7BBFF" w:rsidR="006C3FD6" w:rsidRDefault="002C4D8E">
      <w:pPr>
        <w:pStyle w:val="TOC1"/>
        <w:rPr>
          <w:rFonts w:eastAsiaTheme="minorEastAsia"/>
          <w:b w:val="0"/>
          <w:noProof/>
          <w:sz w:val="22"/>
          <w:lang w:eastAsia="en-AU"/>
        </w:rPr>
      </w:pPr>
      <w:hyperlink w:anchor="_Toc536094912" w:history="1">
        <w:r w:rsidR="006C3FD6" w:rsidRPr="00C701F5">
          <w:rPr>
            <w:rStyle w:val="Hyperlink"/>
            <w:noProof/>
          </w:rPr>
          <w:t>15.</w:t>
        </w:r>
        <w:r w:rsidR="006C3FD6">
          <w:rPr>
            <w:rFonts w:eastAsiaTheme="minorEastAsia"/>
            <w:b w:val="0"/>
            <w:noProof/>
            <w:sz w:val="22"/>
            <w:lang w:eastAsia="en-AU"/>
          </w:rPr>
          <w:tab/>
        </w:r>
        <w:r w:rsidR="006C3FD6" w:rsidRPr="00C701F5">
          <w:rPr>
            <w:rStyle w:val="Hyperlink"/>
            <w:noProof/>
          </w:rPr>
          <w:t>Glossary</w:t>
        </w:r>
        <w:r w:rsidR="006C3FD6">
          <w:rPr>
            <w:noProof/>
            <w:webHidden/>
          </w:rPr>
          <w:tab/>
        </w:r>
        <w:r w:rsidR="006C3FD6">
          <w:rPr>
            <w:noProof/>
            <w:webHidden/>
          </w:rPr>
          <w:fldChar w:fldCharType="begin"/>
        </w:r>
        <w:r w:rsidR="006C3FD6">
          <w:rPr>
            <w:noProof/>
            <w:webHidden/>
          </w:rPr>
          <w:instrText xml:space="preserve"> PAGEREF _Toc536094912 \h </w:instrText>
        </w:r>
        <w:r w:rsidR="006C3FD6">
          <w:rPr>
            <w:noProof/>
            <w:webHidden/>
          </w:rPr>
        </w:r>
        <w:r w:rsidR="006C3FD6">
          <w:rPr>
            <w:noProof/>
            <w:webHidden/>
          </w:rPr>
          <w:fldChar w:fldCharType="separate"/>
        </w:r>
        <w:r w:rsidR="006C3FD6">
          <w:rPr>
            <w:noProof/>
            <w:webHidden/>
          </w:rPr>
          <w:t>19</w:t>
        </w:r>
        <w:r w:rsidR="006C3FD6">
          <w:rPr>
            <w:noProof/>
            <w:webHidden/>
          </w:rPr>
          <w:fldChar w:fldCharType="end"/>
        </w:r>
      </w:hyperlink>
    </w:p>
    <w:p w14:paraId="36EBFF9F" w14:textId="567E3A9B" w:rsidR="008B6262" w:rsidRDefault="0020122A" w:rsidP="00CC2AA4">
      <w:r>
        <w:fldChar w:fldCharType="end"/>
      </w:r>
    </w:p>
    <w:p w14:paraId="24D72DA8" w14:textId="77777777" w:rsidR="00065ACE" w:rsidRDefault="00065ACE">
      <w:pPr>
        <w:suppressAutoHyphens w:val="0"/>
        <w:spacing w:before="0" w:after="120" w:line="440" w:lineRule="atLeast"/>
        <w:rPr>
          <w:rFonts w:asciiTheme="majorHAnsi" w:eastAsiaTheme="majorEastAsia" w:hAnsiTheme="majorHAnsi" w:cstheme="majorBidi"/>
          <w:bCs/>
          <w:sz w:val="40"/>
          <w:szCs w:val="28"/>
        </w:rPr>
      </w:pPr>
      <w:bookmarkStart w:id="0" w:name="_Toc458420391"/>
      <w:bookmarkStart w:id="1" w:name="_Toc467773950"/>
      <w:r>
        <w:br w:type="page"/>
      </w:r>
    </w:p>
    <w:p w14:paraId="2E901625" w14:textId="602C76D2" w:rsidR="00EE2B1C" w:rsidRPr="00C97869" w:rsidRDefault="001E796B" w:rsidP="008B6262">
      <w:pPr>
        <w:pStyle w:val="Heading1Numbered"/>
        <w:ind w:left="709" w:hanging="709"/>
        <w:rPr>
          <w:color w:val="auto"/>
        </w:rPr>
      </w:pPr>
      <w:bookmarkStart w:id="2" w:name="_Toc536094873"/>
      <w:r w:rsidRPr="00C97869">
        <w:rPr>
          <w:color w:val="auto"/>
        </w:rPr>
        <w:lastRenderedPageBreak/>
        <w:t>Family Violence and Cross-examination of Parties Scheme</w:t>
      </w:r>
      <w:r w:rsidR="00EE2B1C" w:rsidRPr="00C97869">
        <w:rPr>
          <w:color w:val="auto"/>
        </w:rPr>
        <w:t xml:space="preserve"> Grant Opportunity Processes</w:t>
      </w:r>
      <w:bookmarkEnd w:id="0"/>
      <w:bookmarkEnd w:id="1"/>
      <w:bookmarkEnd w:id="2"/>
    </w:p>
    <w:p w14:paraId="017D5CDD" w14:textId="77777777" w:rsidR="00EE2B1C" w:rsidRDefault="00EE2B1C" w:rsidP="00EE2B1C">
      <w:pPr>
        <w:pBdr>
          <w:top w:val="single" w:sz="4" w:space="1" w:color="auto"/>
          <w:left w:val="single" w:sz="4" w:space="4" w:color="auto"/>
          <w:bottom w:val="single" w:sz="4" w:space="1" w:color="auto"/>
          <w:right w:val="single" w:sz="4" w:space="4" w:color="auto"/>
        </w:pBdr>
        <w:spacing w:after="0"/>
        <w:jc w:val="center"/>
        <w:rPr>
          <w:b/>
        </w:rPr>
      </w:pPr>
      <w:r w:rsidRPr="00EE2B1C">
        <w:rPr>
          <w:b/>
        </w:rPr>
        <w:t>The Program is designed to achieve Australian</w:t>
      </w:r>
      <w:r w:rsidRPr="00F40BDA">
        <w:rPr>
          <w:b/>
        </w:rPr>
        <w:t xml:space="preserve"> Government </w:t>
      </w:r>
      <w:r>
        <w:rPr>
          <w:b/>
        </w:rPr>
        <w:t>objectives</w:t>
      </w:r>
      <w:r w:rsidRPr="00F40BDA">
        <w:rPr>
          <w:b/>
        </w:rPr>
        <w:t xml:space="preserve"> </w:t>
      </w:r>
    </w:p>
    <w:p w14:paraId="416039F1" w14:textId="4915D512" w:rsidR="00EE2B1C" w:rsidRPr="00C97869" w:rsidRDefault="00EE2B1C" w:rsidP="00EE2B1C">
      <w:pPr>
        <w:pBdr>
          <w:top w:val="single" w:sz="4" w:space="1" w:color="auto"/>
          <w:left w:val="single" w:sz="4" w:space="4" w:color="auto"/>
          <w:bottom w:val="single" w:sz="4" w:space="1" w:color="auto"/>
          <w:right w:val="single" w:sz="4" w:space="4" w:color="auto"/>
        </w:pBdr>
        <w:spacing w:after="0"/>
        <w:jc w:val="center"/>
      </w:pPr>
      <w:r w:rsidRPr="00C97869">
        <w:t>This grant op</w:t>
      </w:r>
      <w:r w:rsidR="00A8715E">
        <w:t>portunity is part of the above grant p</w:t>
      </w:r>
      <w:r w:rsidRPr="00C97869">
        <w:t xml:space="preserve">rogram which contributes to </w:t>
      </w:r>
      <w:r w:rsidR="001E796B" w:rsidRPr="00C97869">
        <w:t xml:space="preserve">the Attorney-General’s Department </w:t>
      </w:r>
      <w:r w:rsidR="00221EEA">
        <w:t xml:space="preserve">(AGD) </w:t>
      </w:r>
      <w:r w:rsidR="001E796B" w:rsidRPr="00C97869">
        <w:t>Outcome 1</w:t>
      </w:r>
      <w:r w:rsidR="00221EEA">
        <w:t>. AGD</w:t>
      </w:r>
      <w:r w:rsidR="009F64B8" w:rsidRPr="00C97869">
        <w:t xml:space="preserve"> </w:t>
      </w:r>
      <w:r w:rsidRPr="00C97869">
        <w:t>work</w:t>
      </w:r>
      <w:r w:rsidR="00356BBB">
        <w:t>ed</w:t>
      </w:r>
      <w:r w:rsidRPr="00C97869">
        <w:t xml:space="preserve"> with stakeholders to plan and design the </w:t>
      </w:r>
      <w:r w:rsidR="00A8715E">
        <w:t>g</w:t>
      </w:r>
      <w:r w:rsidRPr="00C97869">
        <w:t xml:space="preserve">rant </w:t>
      </w:r>
      <w:r w:rsidR="00A8715E">
        <w:t>p</w:t>
      </w:r>
      <w:r w:rsidRPr="00C97869">
        <w:t xml:space="preserve">rogram according to the </w:t>
      </w:r>
      <w:r w:rsidRPr="00C97869">
        <w:rPr>
          <w:i/>
        </w:rPr>
        <w:t>Commonwealth Grants Rules and Guidelines</w:t>
      </w:r>
      <w:r w:rsidR="009F64B8" w:rsidRPr="00C97869">
        <w:rPr>
          <w:i/>
        </w:rPr>
        <w:t xml:space="preserve"> 2017</w:t>
      </w:r>
      <w:r w:rsidRPr="00C97869">
        <w:t>.</w:t>
      </w:r>
    </w:p>
    <w:p w14:paraId="239B9A1C"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2373F506"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F40BDA">
        <w:rPr>
          <w:b/>
        </w:rPr>
        <w:t>The grant opportunity opens</w:t>
      </w:r>
    </w:p>
    <w:p w14:paraId="328B9A48" w14:textId="1187D7E8" w:rsidR="00EE2B1C" w:rsidRDefault="009F64B8" w:rsidP="00EE2B1C">
      <w:pPr>
        <w:pBdr>
          <w:top w:val="single" w:sz="2" w:space="1" w:color="auto"/>
          <w:left w:val="single" w:sz="2" w:space="4" w:color="auto"/>
          <w:bottom w:val="single" w:sz="2" w:space="1" w:color="auto"/>
          <w:right w:val="single" w:sz="2" w:space="4" w:color="auto"/>
        </w:pBdr>
        <w:spacing w:after="0"/>
        <w:jc w:val="center"/>
      </w:pPr>
      <w:r>
        <w:t>The Community Grants Hub (the Hub)</w:t>
      </w:r>
      <w:r w:rsidR="00EE2B1C">
        <w:t xml:space="preserve"> publish t</w:t>
      </w:r>
      <w:r w:rsidR="00EE2B1C" w:rsidRPr="00F40BDA">
        <w:t xml:space="preserve">he grant guidelines </w:t>
      </w:r>
      <w:r w:rsidR="00EE2B1C">
        <w:t xml:space="preserve">and advertise on </w:t>
      </w:r>
      <w:r w:rsidR="00801DB6">
        <w:t xml:space="preserve">the </w:t>
      </w:r>
      <w:hyperlink r:id="rId9" w:history="1">
        <w:r w:rsidR="00EE2B1C" w:rsidRPr="00566242">
          <w:rPr>
            <w:rStyle w:val="Hyperlink"/>
            <w:rFonts w:cstheme="minorBidi"/>
          </w:rPr>
          <w:t>GrantConnect</w:t>
        </w:r>
      </w:hyperlink>
      <w:r w:rsidR="00BD1DD2">
        <w:t xml:space="preserve"> and </w:t>
      </w:r>
      <w:hyperlink r:id="rId10" w:history="1">
        <w:r w:rsidR="00BD1DD2" w:rsidRPr="00566242">
          <w:rPr>
            <w:rStyle w:val="Hyperlink"/>
            <w:rFonts w:cstheme="minorBidi"/>
          </w:rPr>
          <w:t>Community Grants Hub</w:t>
        </w:r>
      </w:hyperlink>
      <w:r w:rsidR="00BD1DD2">
        <w:t xml:space="preserve"> websites</w:t>
      </w:r>
      <w:r w:rsidR="00EE2B1C">
        <w:t xml:space="preserve">. </w:t>
      </w:r>
    </w:p>
    <w:p w14:paraId="30AA915A"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1A96F154" w14:textId="450B5B76"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947729">
        <w:rPr>
          <w:b/>
        </w:rPr>
        <w:t xml:space="preserve">You complete and submit a </w:t>
      </w:r>
      <w:r w:rsidR="000661A2">
        <w:rPr>
          <w:b/>
        </w:rPr>
        <w:t xml:space="preserve">Service Delivery Plan Application Form </w:t>
      </w:r>
    </w:p>
    <w:p w14:paraId="2BB4EFDE" w14:textId="57F400F3" w:rsidR="007D1C9C" w:rsidRPr="004B61BC" w:rsidRDefault="007D1C9C" w:rsidP="007D1C9C">
      <w:pPr>
        <w:pBdr>
          <w:top w:val="single" w:sz="2" w:space="1" w:color="auto"/>
          <w:left w:val="single" w:sz="2" w:space="4" w:color="auto"/>
          <w:bottom w:val="single" w:sz="2" w:space="1" w:color="auto"/>
          <w:right w:val="single" w:sz="2" w:space="4" w:color="auto"/>
        </w:pBdr>
        <w:spacing w:after="0"/>
        <w:jc w:val="center"/>
      </w:pPr>
      <w:r w:rsidRPr="004B61BC">
        <w:t xml:space="preserve">You must read these grant </w:t>
      </w:r>
      <w:r w:rsidR="009F64B8">
        <w:t xml:space="preserve">opportunity </w:t>
      </w:r>
      <w:r w:rsidRPr="004B61BC">
        <w:t xml:space="preserve">guidelines before you submit your </w:t>
      </w:r>
      <w:r w:rsidR="000661A2">
        <w:t>Service Delivery Plan Application Form</w:t>
      </w:r>
      <w:r w:rsidR="000661A2" w:rsidRPr="004B61BC">
        <w:t xml:space="preserve">. </w:t>
      </w:r>
      <w:r w:rsidR="000661A2">
        <w:t xml:space="preserve">These guidelines can be found on </w:t>
      </w:r>
      <w:hyperlink r:id="rId11" w:history="1">
        <w:r w:rsidR="000661A2" w:rsidRPr="0097683A">
          <w:rPr>
            <w:rStyle w:val="Hyperlink"/>
            <w:rFonts w:cstheme="minorBidi"/>
          </w:rPr>
          <w:t>GrantConnect</w:t>
        </w:r>
      </w:hyperlink>
      <w:r w:rsidR="000661A2">
        <w:t xml:space="preserve">, the Australian Government’s whole-of-government grants information system. </w:t>
      </w:r>
      <w:r w:rsidRPr="004B61BC">
        <w:t>Note: Any addenda for this grant opportunity will be published on GrantConnect, and by registering on this website you will be automatic</w:t>
      </w:r>
      <w:r w:rsidR="00157662">
        <w:t>ally notified o</w:t>
      </w:r>
      <w:r w:rsidR="009A05FF">
        <w:t>f</w:t>
      </w:r>
      <w:r w:rsidR="00157662">
        <w:t xml:space="preserve"> any changes.</w:t>
      </w:r>
    </w:p>
    <w:p w14:paraId="5762F502"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0A5E3402" w14:textId="58BF3661" w:rsidR="00EE2B1C" w:rsidRDefault="000140F0" w:rsidP="00EE2B1C">
      <w:pPr>
        <w:pBdr>
          <w:top w:val="single" w:sz="2" w:space="1" w:color="auto"/>
          <w:left w:val="single" w:sz="2" w:space="4" w:color="auto"/>
          <w:bottom w:val="single" w:sz="2" w:space="1" w:color="auto"/>
          <w:right w:val="single" w:sz="2" w:space="4" w:color="auto"/>
        </w:pBdr>
        <w:spacing w:after="0"/>
        <w:jc w:val="center"/>
        <w:rPr>
          <w:bCs/>
        </w:rPr>
      </w:pPr>
      <w:r>
        <w:rPr>
          <w:b/>
        </w:rPr>
        <w:t>The Hub</w:t>
      </w:r>
      <w:r w:rsidR="00776D4B">
        <w:rPr>
          <w:b/>
        </w:rPr>
        <w:t xml:space="preserve"> reviews all grants</w:t>
      </w:r>
      <w:r w:rsidR="00EE2B1C" w:rsidRPr="00F40BDA">
        <w:rPr>
          <w:b/>
        </w:rPr>
        <w:t xml:space="preserve"> application</w:t>
      </w:r>
      <w:r w:rsidR="00EE2B1C">
        <w:rPr>
          <w:b/>
        </w:rPr>
        <w:t>s</w:t>
      </w:r>
    </w:p>
    <w:p w14:paraId="5AFDE1E1" w14:textId="5D039407" w:rsidR="00EE2B1C" w:rsidRDefault="009F64B8" w:rsidP="000661A2">
      <w:pPr>
        <w:pBdr>
          <w:top w:val="single" w:sz="2" w:space="1" w:color="auto"/>
          <w:left w:val="single" w:sz="2" w:space="4" w:color="auto"/>
          <w:bottom w:val="single" w:sz="2" w:space="1" w:color="auto"/>
          <w:right w:val="single" w:sz="2" w:space="4" w:color="auto"/>
        </w:pBdr>
        <w:spacing w:after="0"/>
        <w:jc w:val="center"/>
      </w:pPr>
      <w:r>
        <w:t xml:space="preserve">The Hub </w:t>
      </w:r>
      <w:r w:rsidR="000661A2">
        <w:t xml:space="preserve">checks the application against the eligibility criteria and </w:t>
      </w:r>
      <w:r w:rsidR="00EE2B1C">
        <w:t>notif</w:t>
      </w:r>
      <w:r w:rsidR="00B32F8D">
        <w:t>y you if you are not eligible.</w:t>
      </w:r>
      <w:r w:rsidR="00776D4B">
        <w:t xml:space="preserve"> </w:t>
      </w:r>
      <w:r w:rsidR="00DC4A28">
        <w:t>The Hub</w:t>
      </w:r>
      <w:r w:rsidR="000661A2" w:rsidRPr="000661A2">
        <w:t xml:space="preserve"> then assess</w:t>
      </w:r>
      <w:r w:rsidR="00DC4A28">
        <w:t>es</w:t>
      </w:r>
      <w:r w:rsidR="000661A2" w:rsidRPr="000661A2">
        <w:t xml:space="preserve"> your Service Delivery Plan Application Form including an overall consideration of the value with relevant money.</w:t>
      </w:r>
    </w:p>
    <w:p w14:paraId="58CF5492"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24EC4B18" w14:textId="44B0CE68" w:rsidR="00EE2B1C" w:rsidRDefault="007C5899" w:rsidP="00EE2B1C">
      <w:pPr>
        <w:pBdr>
          <w:top w:val="single" w:sz="2" w:space="1" w:color="auto"/>
          <w:left w:val="single" w:sz="2" w:space="4" w:color="auto"/>
          <w:bottom w:val="single" w:sz="2" w:space="1" w:color="auto"/>
          <w:right w:val="single" w:sz="2" w:space="4" w:color="auto"/>
        </w:pBdr>
        <w:spacing w:after="0"/>
        <w:jc w:val="center"/>
        <w:rPr>
          <w:b/>
        </w:rPr>
      </w:pPr>
      <w:r>
        <w:rPr>
          <w:b/>
        </w:rPr>
        <w:t>The Hub will</w:t>
      </w:r>
      <w:r w:rsidR="00EE2B1C">
        <w:rPr>
          <w:b/>
        </w:rPr>
        <w:t xml:space="preserve"> make grant recommendations</w:t>
      </w:r>
      <w:r w:rsidR="000140F0">
        <w:rPr>
          <w:b/>
        </w:rPr>
        <w:t xml:space="preserve"> to </w:t>
      </w:r>
      <w:r w:rsidR="009C71A5">
        <w:rPr>
          <w:b/>
        </w:rPr>
        <w:t xml:space="preserve">the decision maker </w:t>
      </w:r>
    </w:p>
    <w:p w14:paraId="18099A55" w14:textId="2BBBFD9E" w:rsidR="00EE2B1C" w:rsidRPr="00A03DF3" w:rsidRDefault="007C5899" w:rsidP="00EE2B1C">
      <w:pPr>
        <w:pBdr>
          <w:top w:val="single" w:sz="2" w:space="1" w:color="auto"/>
          <w:left w:val="single" w:sz="2" w:space="4" w:color="auto"/>
          <w:bottom w:val="single" w:sz="2" w:space="1" w:color="auto"/>
          <w:right w:val="single" w:sz="2" w:space="4" w:color="auto"/>
        </w:pBdr>
        <w:spacing w:after="0"/>
        <w:jc w:val="center"/>
      </w:pPr>
      <w:r>
        <w:t>The Hub</w:t>
      </w:r>
      <w:r w:rsidR="009F64B8">
        <w:t xml:space="preserve"> will</w:t>
      </w:r>
      <w:r w:rsidR="00EE2B1C" w:rsidRPr="00123D11">
        <w:t xml:space="preserve"> </w:t>
      </w:r>
      <w:r w:rsidR="000661A2">
        <w:t>make recommendations to</w:t>
      </w:r>
      <w:r>
        <w:t xml:space="preserve"> th</w:t>
      </w:r>
      <w:r w:rsidRPr="00390B8A">
        <w:t xml:space="preserve">e </w:t>
      </w:r>
      <w:r w:rsidR="00DF2E34" w:rsidRPr="00390B8A">
        <w:t>Deputy</w:t>
      </w:r>
      <w:r w:rsidR="002B398F" w:rsidRPr="00390B8A">
        <w:t xml:space="preserve"> Secretary</w:t>
      </w:r>
      <w:r w:rsidR="00DF2E34" w:rsidRPr="00390B8A">
        <w:t>, Legal Services and Families Group,</w:t>
      </w:r>
      <w:r w:rsidR="002B398F" w:rsidRPr="00390B8A">
        <w:t xml:space="preserve"> AGD</w:t>
      </w:r>
      <w:r w:rsidR="00A8715E">
        <w:t xml:space="preserve"> and</w:t>
      </w:r>
      <w:r w:rsidR="000661A2" w:rsidRPr="00390B8A">
        <w:t xml:space="preserve"> the decision maker </w:t>
      </w:r>
      <w:r w:rsidR="00EE2B1C" w:rsidRPr="00390B8A">
        <w:t>on</w:t>
      </w:r>
      <w:r w:rsidR="00EE2B1C" w:rsidRPr="00123D11">
        <w:t xml:space="preserve"> the merits of each application.</w:t>
      </w:r>
      <w:r w:rsidR="00EE2B1C" w:rsidRPr="00A03DF3">
        <w:t xml:space="preserve"> </w:t>
      </w:r>
    </w:p>
    <w:p w14:paraId="437274B6"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18F44F0C" w14:textId="2B58F1EF" w:rsidR="00EE2B1C" w:rsidRDefault="00A8715E" w:rsidP="00EE2B1C">
      <w:pPr>
        <w:pBdr>
          <w:top w:val="single" w:sz="2" w:space="1" w:color="auto"/>
          <w:left w:val="single" w:sz="2" w:space="4" w:color="auto"/>
          <w:bottom w:val="single" w:sz="2" w:space="1" w:color="auto"/>
          <w:right w:val="single" w:sz="2" w:space="4" w:color="auto"/>
        </w:pBdr>
        <w:spacing w:after="0"/>
        <w:jc w:val="center"/>
        <w:rPr>
          <w:b/>
        </w:rPr>
      </w:pPr>
      <w:r>
        <w:rPr>
          <w:b/>
        </w:rPr>
        <w:t>Grant d</w:t>
      </w:r>
      <w:r w:rsidR="00EE2B1C" w:rsidRPr="00DB0315">
        <w:rPr>
          <w:b/>
        </w:rPr>
        <w:t>ecision</w:t>
      </w:r>
      <w:r w:rsidR="00EE2B1C">
        <w:rPr>
          <w:b/>
        </w:rPr>
        <w:t>s are made</w:t>
      </w:r>
    </w:p>
    <w:p w14:paraId="6F894C88" w14:textId="6F9BA3F5" w:rsidR="00EE2B1C" w:rsidRPr="00123D11" w:rsidRDefault="00EE2B1C" w:rsidP="00EE2B1C">
      <w:pPr>
        <w:pBdr>
          <w:top w:val="single" w:sz="2" w:space="1" w:color="auto"/>
          <w:left w:val="single" w:sz="2" w:space="4" w:color="auto"/>
          <w:bottom w:val="single" w:sz="2" w:space="1" w:color="auto"/>
          <w:right w:val="single" w:sz="2" w:space="4" w:color="auto"/>
        </w:pBdr>
        <w:spacing w:after="0"/>
        <w:jc w:val="center"/>
      </w:pPr>
      <w:r>
        <w:t>The</w:t>
      </w:r>
      <w:r w:rsidRPr="00123D11">
        <w:t xml:space="preserve"> </w:t>
      </w:r>
      <w:r>
        <w:t xml:space="preserve">decision </w:t>
      </w:r>
      <w:r w:rsidRPr="00123D11">
        <w:t>maker</w:t>
      </w:r>
      <w:r w:rsidR="000140F0">
        <w:t xml:space="preserve">, </w:t>
      </w:r>
      <w:r w:rsidR="00DF2E34" w:rsidRPr="00390B8A">
        <w:t>Deputy Secretary, Le</w:t>
      </w:r>
      <w:r w:rsidR="00A8715E">
        <w:t>gal Services and Families Group</w:t>
      </w:r>
      <w:r w:rsidR="00DF2E34" w:rsidRPr="00390B8A">
        <w:t xml:space="preserve"> </w:t>
      </w:r>
      <w:r w:rsidR="00A8715E">
        <w:t xml:space="preserve">and </w:t>
      </w:r>
      <w:r w:rsidR="00DF2E34" w:rsidRPr="00390B8A">
        <w:t>AGD</w:t>
      </w:r>
      <w:r w:rsidR="00221EEA" w:rsidRPr="00390B8A">
        <w:t>,</w:t>
      </w:r>
      <w:r w:rsidRPr="00390B8A">
        <w:t xml:space="preserve"> decides</w:t>
      </w:r>
      <w:r>
        <w:t xml:space="preserve"> </w:t>
      </w:r>
      <w:r w:rsidRPr="00123D11">
        <w:t>which grant applications are successful.</w:t>
      </w:r>
    </w:p>
    <w:p w14:paraId="014A010F"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0F175579" w14:textId="3A21AF6E" w:rsidR="00EE2B1C" w:rsidRDefault="000140F0" w:rsidP="00EE2B1C">
      <w:pPr>
        <w:pBdr>
          <w:top w:val="single" w:sz="2" w:space="1" w:color="auto"/>
          <w:left w:val="single" w:sz="2" w:space="4" w:color="auto"/>
          <w:bottom w:val="single" w:sz="2" w:space="1" w:color="auto"/>
          <w:right w:val="single" w:sz="2" w:space="4" w:color="auto"/>
        </w:pBdr>
        <w:spacing w:after="0"/>
        <w:jc w:val="center"/>
        <w:rPr>
          <w:b/>
        </w:rPr>
      </w:pPr>
      <w:r>
        <w:rPr>
          <w:b/>
        </w:rPr>
        <w:lastRenderedPageBreak/>
        <w:t>The Hub</w:t>
      </w:r>
      <w:r w:rsidR="00EE2B1C">
        <w:rPr>
          <w:b/>
        </w:rPr>
        <w:t xml:space="preserve"> notify you of the </w:t>
      </w:r>
      <w:r w:rsidR="00EE2B1C" w:rsidRPr="00F40BDA">
        <w:rPr>
          <w:b/>
        </w:rPr>
        <w:t>outcome</w:t>
      </w:r>
    </w:p>
    <w:p w14:paraId="0D36BF34" w14:textId="63B10066" w:rsidR="00EE2B1C" w:rsidRDefault="009F64B8" w:rsidP="00EE2B1C">
      <w:pPr>
        <w:pBdr>
          <w:top w:val="single" w:sz="2" w:space="1" w:color="auto"/>
          <w:left w:val="single" w:sz="2" w:space="4" w:color="auto"/>
          <w:bottom w:val="single" w:sz="2" w:space="1" w:color="auto"/>
          <w:right w:val="single" w:sz="2" w:space="4" w:color="auto"/>
        </w:pBdr>
        <w:spacing w:after="0"/>
        <w:jc w:val="center"/>
      </w:pPr>
      <w:r>
        <w:t>The Hub</w:t>
      </w:r>
      <w:r w:rsidR="00EE2B1C">
        <w:t xml:space="preserve"> advise</w:t>
      </w:r>
      <w:r>
        <w:t>s</w:t>
      </w:r>
      <w:r w:rsidR="00EE2B1C">
        <w:t xml:space="preserve"> you of the outcome of your ap</w:t>
      </w:r>
      <w:r w:rsidR="000140F0">
        <w:t>plication</w:t>
      </w:r>
      <w:r w:rsidR="00221EEA">
        <w:t xml:space="preserve"> in writing</w:t>
      </w:r>
      <w:r w:rsidR="000140F0">
        <w:t>.</w:t>
      </w:r>
    </w:p>
    <w:p w14:paraId="0851EE5F"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4A325E62" w14:textId="4C0365F0" w:rsidR="00EE2B1C" w:rsidRPr="000140F0" w:rsidRDefault="000140F0" w:rsidP="00EE2B1C">
      <w:pPr>
        <w:pBdr>
          <w:top w:val="single" w:sz="2" w:space="1" w:color="auto"/>
          <w:left w:val="single" w:sz="2" w:space="4" w:color="auto"/>
          <w:bottom w:val="single" w:sz="2" w:space="1" w:color="auto"/>
          <w:right w:val="single" w:sz="2" w:space="4" w:color="auto"/>
        </w:pBdr>
        <w:spacing w:after="0"/>
        <w:jc w:val="center"/>
        <w:rPr>
          <w:b/>
        </w:rPr>
      </w:pPr>
      <w:r w:rsidRPr="000140F0">
        <w:rPr>
          <w:rStyle w:val="highlightedtextChar"/>
          <w:color w:val="auto"/>
        </w:rPr>
        <w:t xml:space="preserve">The Hub </w:t>
      </w:r>
      <w:r w:rsidR="00EE2B1C" w:rsidRPr="000140F0">
        <w:rPr>
          <w:rStyle w:val="highlightedtextChar"/>
          <w:color w:val="auto"/>
        </w:rPr>
        <w:t>enter</w:t>
      </w:r>
      <w:r w:rsidRPr="000140F0">
        <w:rPr>
          <w:rStyle w:val="highlightedtextChar"/>
          <w:color w:val="auto"/>
        </w:rPr>
        <w:t>s</w:t>
      </w:r>
      <w:r w:rsidR="00EE2B1C" w:rsidRPr="000140F0">
        <w:rPr>
          <w:rStyle w:val="highlightedtextChar"/>
          <w:color w:val="auto"/>
        </w:rPr>
        <w:t xml:space="preserve"> into a grant ag</w:t>
      </w:r>
      <w:r w:rsidR="001E796B" w:rsidRPr="000140F0">
        <w:rPr>
          <w:rStyle w:val="highlightedtextChar"/>
          <w:color w:val="auto"/>
        </w:rPr>
        <w:t>reement</w:t>
      </w:r>
    </w:p>
    <w:p w14:paraId="095BA9B6" w14:textId="1B0380AC" w:rsidR="00EE2B1C" w:rsidRDefault="009F64B8" w:rsidP="00EE2B1C">
      <w:pPr>
        <w:pBdr>
          <w:top w:val="single" w:sz="2" w:space="1" w:color="auto"/>
          <w:left w:val="single" w:sz="2" w:space="4" w:color="auto"/>
          <w:bottom w:val="single" w:sz="2" w:space="1" w:color="auto"/>
          <w:right w:val="single" w:sz="2" w:space="4" w:color="auto"/>
        </w:pBdr>
        <w:spacing w:after="0"/>
        <w:jc w:val="center"/>
        <w:rPr>
          <w:b/>
          <w:bCs/>
        </w:rPr>
      </w:pPr>
      <w:r w:rsidRPr="000140F0">
        <w:t>AGD</w:t>
      </w:r>
      <w:r w:rsidR="00EE2B1C">
        <w:t xml:space="preserve"> will enter into </w:t>
      </w:r>
      <w:r w:rsidR="00BD2C99">
        <w:t xml:space="preserve">agreements with successful applicants. The type of grant agreement is based on the nature of the grant and is proportional to the risks involved. </w:t>
      </w:r>
    </w:p>
    <w:p w14:paraId="1C8A6DA8"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059D84E6"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bCs/>
        </w:rPr>
      </w:pPr>
      <w:r w:rsidRPr="00F40BDA">
        <w:rPr>
          <w:b/>
        </w:rPr>
        <w:t>Delivery of grant</w:t>
      </w:r>
      <w:r w:rsidRPr="00F40BDA">
        <w:rPr>
          <w:b/>
          <w:bCs/>
        </w:rPr>
        <w:t xml:space="preserve"> </w:t>
      </w:r>
    </w:p>
    <w:p w14:paraId="07002E3F" w14:textId="3318858A" w:rsidR="00EE2B1C" w:rsidRDefault="00BD2C99" w:rsidP="006B2BCF">
      <w:pPr>
        <w:pBdr>
          <w:top w:val="single" w:sz="2" w:space="1" w:color="auto"/>
          <w:left w:val="single" w:sz="2" w:space="4" w:color="auto"/>
          <w:bottom w:val="single" w:sz="2" w:space="1" w:color="auto"/>
          <w:right w:val="single" w:sz="2" w:space="4" w:color="auto"/>
        </w:pBdr>
        <w:spacing w:after="0"/>
        <w:jc w:val="center"/>
        <w:rPr>
          <w:bCs/>
        </w:rPr>
      </w:pPr>
      <w:r>
        <w:rPr>
          <w:bCs/>
        </w:rPr>
        <w:t xml:space="preserve">You undertake the grant activity as set out in your grant agreement. </w:t>
      </w:r>
      <w:r w:rsidR="001E796B">
        <w:rPr>
          <w:bCs/>
        </w:rPr>
        <w:t>Th</w:t>
      </w:r>
      <w:r w:rsidR="009F64B8">
        <w:rPr>
          <w:bCs/>
        </w:rPr>
        <w:t>e</w:t>
      </w:r>
      <w:r w:rsidR="001E796B">
        <w:rPr>
          <w:bCs/>
        </w:rPr>
        <w:t xml:space="preserve"> Hub</w:t>
      </w:r>
      <w:r w:rsidR="006B2BCF">
        <w:rPr>
          <w:bCs/>
        </w:rPr>
        <w:t xml:space="preserve">, on behalf of AGD, </w:t>
      </w:r>
      <w:r w:rsidR="00EE2B1C" w:rsidRPr="00F40BDA">
        <w:rPr>
          <w:bCs/>
        </w:rPr>
        <w:t>manage</w:t>
      </w:r>
      <w:r w:rsidR="006B2BCF">
        <w:rPr>
          <w:bCs/>
        </w:rPr>
        <w:t>s</w:t>
      </w:r>
      <w:r w:rsidR="00EE2B1C" w:rsidRPr="00F40BDA">
        <w:rPr>
          <w:bCs/>
        </w:rPr>
        <w:t xml:space="preserve"> the grant</w:t>
      </w:r>
      <w:r w:rsidR="00EE2B1C">
        <w:rPr>
          <w:bCs/>
        </w:rPr>
        <w:t xml:space="preserve"> by working with you, monitoring your progress and </w:t>
      </w:r>
      <w:r w:rsidR="00EE2B1C" w:rsidRPr="00F40BDA">
        <w:rPr>
          <w:bCs/>
        </w:rPr>
        <w:t>making payments.</w:t>
      </w:r>
    </w:p>
    <w:p w14:paraId="2CFACD54"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2CA3C9F6" w14:textId="193E7277" w:rsidR="00EE2B1C" w:rsidRPr="00AC2E4C"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AC2E4C">
        <w:rPr>
          <w:b/>
        </w:rPr>
        <w:t xml:space="preserve">Evaluation of the </w:t>
      </w:r>
      <w:r w:rsidR="001E796B" w:rsidRPr="00AC2E4C">
        <w:rPr>
          <w:b/>
        </w:rPr>
        <w:t>Family Violence and Cross-examination of Parties Scheme</w:t>
      </w:r>
    </w:p>
    <w:p w14:paraId="2287AFEC" w14:textId="74BE5DD4" w:rsidR="00EE2B1C" w:rsidRDefault="009F64B8" w:rsidP="00EE2B1C">
      <w:pPr>
        <w:pBdr>
          <w:top w:val="single" w:sz="2" w:space="1" w:color="auto"/>
          <w:left w:val="single" w:sz="2" w:space="4" w:color="auto"/>
          <w:bottom w:val="single" w:sz="2" w:space="1" w:color="auto"/>
          <w:right w:val="single" w:sz="2" w:space="4" w:color="auto"/>
        </w:pBdr>
        <w:spacing w:after="0"/>
        <w:jc w:val="center"/>
      </w:pPr>
      <w:r w:rsidRPr="00AC2E4C">
        <w:t>AGD will</w:t>
      </w:r>
      <w:r w:rsidR="00EE2B1C" w:rsidRPr="00AC2E4C">
        <w:t xml:space="preserve"> evaluate the specific grant </w:t>
      </w:r>
      <w:r w:rsidRPr="00AC2E4C">
        <w:t xml:space="preserve">activity and </w:t>
      </w:r>
      <w:r w:rsidR="00EE2B1C" w:rsidRPr="00AC2E4C">
        <w:t xml:space="preserve">grant </w:t>
      </w:r>
      <w:r w:rsidRPr="00AC2E4C">
        <w:t xml:space="preserve">opportunity </w:t>
      </w:r>
      <w:r w:rsidR="00EE2B1C" w:rsidRPr="00AC2E4C">
        <w:t xml:space="preserve">as a whole. </w:t>
      </w:r>
      <w:r w:rsidR="00DC4A28">
        <w:t xml:space="preserve">AGD </w:t>
      </w:r>
      <w:r w:rsidR="00EE2B1C" w:rsidRPr="00AC2E4C">
        <w:t xml:space="preserve">base this on information you provide to </w:t>
      </w:r>
      <w:r w:rsidR="00DC4A28">
        <w:t>the Hub</w:t>
      </w:r>
      <w:r w:rsidR="00EE2B1C" w:rsidRPr="00AC2E4C">
        <w:t>.</w:t>
      </w:r>
      <w:r w:rsidR="00EE2B1C" w:rsidRPr="00F40BDA">
        <w:t xml:space="preserve"> </w:t>
      </w:r>
    </w:p>
    <w:p w14:paraId="4A74A423" w14:textId="77777777" w:rsidR="001A0777" w:rsidRPr="00367A67" w:rsidRDefault="001A0777" w:rsidP="006B09D1">
      <w:pPr>
        <w:pStyle w:val="Heading2Numbered"/>
        <w:ind w:left="567"/>
      </w:pPr>
      <w:bookmarkStart w:id="3" w:name="_Toc484677032"/>
      <w:bookmarkStart w:id="4" w:name="_Toc536094874"/>
      <w:bookmarkStart w:id="5" w:name="_Toc467773951"/>
      <w:r w:rsidRPr="00367A67">
        <w:t>Role of the Community Grants Hub</w:t>
      </w:r>
      <w:bookmarkEnd w:id="3"/>
      <w:bookmarkEnd w:id="4"/>
    </w:p>
    <w:p w14:paraId="0CA8EF63" w14:textId="32436ABD" w:rsidR="001A0777" w:rsidRPr="00367A67" w:rsidRDefault="00D268E6" w:rsidP="001A0777">
      <w:r w:rsidRPr="00367A67">
        <w:t>This grant opportunity will be admin</w:t>
      </w:r>
      <w:r w:rsidR="009F64B8">
        <w:t xml:space="preserve">istered by The Community </w:t>
      </w:r>
      <w:r w:rsidR="005C59F9">
        <w:t xml:space="preserve">Grants </w:t>
      </w:r>
      <w:r w:rsidR="009F64B8">
        <w:t xml:space="preserve">Hub on behalf of </w:t>
      </w:r>
      <w:r w:rsidR="00B76B6F">
        <w:t>AGD</w:t>
      </w:r>
      <w:r w:rsidR="00186E42" w:rsidRPr="00367A67">
        <w:rPr>
          <w:rStyle w:val="highlightedtextChar"/>
        </w:rPr>
        <w:t xml:space="preserve"> </w:t>
      </w:r>
      <w:r w:rsidR="00186E42" w:rsidRPr="00367A67">
        <w:t>under</w:t>
      </w:r>
      <w:r w:rsidR="00186E42" w:rsidRPr="00367A67">
        <w:rPr>
          <w:rStyle w:val="highlightedtextChar"/>
        </w:rPr>
        <w:t xml:space="preserve"> </w:t>
      </w:r>
      <w:r w:rsidR="00186E42" w:rsidRPr="00367A67">
        <w:rPr>
          <w:rStyle w:val="highlightedtextChar"/>
          <w:b w:val="0"/>
          <w:color w:val="auto"/>
        </w:rPr>
        <w:t xml:space="preserve">a </w:t>
      </w:r>
      <w:r w:rsidR="00A8715E">
        <w:rPr>
          <w:rStyle w:val="highlightedtextChar"/>
          <w:b w:val="0"/>
          <w:color w:val="auto"/>
        </w:rPr>
        <w:t>w</w:t>
      </w:r>
      <w:r w:rsidR="00566242">
        <w:rPr>
          <w:rStyle w:val="highlightedtextChar"/>
          <w:b w:val="0"/>
          <w:color w:val="auto"/>
        </w:rPr>
        <w:t>hole-of-</w:t>
      </w:r>
      <w:r w:rsidR="00186E42" w:rsidRPr="00367A67">
        <w:rPr>
          <w:rStyle w:val="highlightedtextChar"/>
          <w:b w:val="0"/>
          <w:color w:val="auto"/>
        </w:rPr>
        <w:t>Australian Government initiative to streamline grant processes across agencies.</w:t>
      </w:r>
    </w:p>
    <w:p w14:paraId="47F45074" w14:textId="77777777" w:rsidR="00045933" w:rsidRPr="00B72EE8" w:rsidRDefault="001A0777" w:rsidP="001A0777">
      <w:pPr>
        <w:pStyle w:val="Heading2Numbered"/>
        <w:numPr>
          <w:ilvl w:val="0"/>
          <w:numId w:val="0"/>
        </w:numPr>
        <w:ind w:left="567" w:hanging="567"/>
      </w:pPr>
      <w:bookmarkStart w:id="6" w:name="_Toc536094875"/>
      <w:r w:rsidRPr="00367A67">
        <w:t>1.2</w:t>
      </w:r>
      <w:r w:rsidRPr="00367A67">
        <w:tab/>
      </w:r>
      <w:r w:rsidR="00045933" w:rsidRPr="00367A67">
        <w:t>About the grant program</w:t>
      </w:r>
      <w:bookmarkEnd w:id="5"/>
      <w:bookmarkEnd w:id="6"/>
    </w:p>
    <w:p w14:paraId="712E80B7" w14:textId="7BFBEB29" w:rsidR="00661EB6" w:rsidRPr="00503EC6" w:rsidRDefault="00661EB6" w:rsidP="00661EB6">
      <w:pPr>
        <w:rPr>
          <w:rFonts w:cstheme="minorHAnsi"/>
          <w:i/>
        </w:rPr>
      </w:pPr>
      <w:r>
        <w:t>The Family Violence and Cross-examinati</w:t>
      </w:r>
      <w:r w:rsidR="00AC2E4C">
        <w:t>on of Parties Scheme (the Program</w:t>
      </w:r>
      <w:r>
        <w:t xml:space="preserve">) </w:t>
      </w:r>
      <w:r w:rsidR="00387593">
        <w:t xml:space="preserve">will fund </w:t>
      </w:r>
      <w:r>
        <w:t>legal aid commissions (LACs) to provide legal representation to parties subject to the ban on direct cross-examination under the measures in</w:t>
      </w:r>
      <w:r w:rsidR="00023B4A">
        <w:t xml:space="preserve"> Division 4 of Part XI of the </w:t>
      </w:r>
      <w:r w:rsidR="00023B4A" w:rsidRPr="00D70AD6">
        <w:rPr>
          <w:i/>
        </w:rPr>
        <w:t>Family Law Act 1975</w:t>
      </w:r>
      <w:r w:rsidR="00023B4A">
        <w:rPr>
          <w:i/>
        </w:rPr>
        <w:t xml:space="preserve"> </w:t>
      </w:r>
      <w:r w:rsidR="00023B4A" w:rsidRPr="00D70AD6">
        <w:t>(the Act)</w:t>
      </w:r>
      <w:r w:rsidR="00023B4A">
        <w:t xml:space="preserve"> (as amended by </w:t>
      </w:r>
      <w:r>
        <w:t xml:space="preserve">the </w:t>
      </w:r>
      <w:r w:rsidRPr="00661EB6">
        <w:rPr>
          <w:i/>
        </w:rPr>
        <w:t xml:space="preserve">Family Law </w:t>
      </w:r>
      <w:r w:rsidRPr="00503EC6">
        <w:rPr>
          <w:i/>
        </w:rPr>
        <w:t xml:space="preserve">Amendment (Family Violence and Cross-examination of Parties) </w:t>
      </w:r>
      <w:r w:rsidR="00FE73E0" w:rsidRPr="00503EC6">
        <w:rPr>
          <w:i/>
        </w:rPr>
        <w:t>Act</w:t>
      </w:r>
      <w:r w:rsidRPr="00503EC6">
        <w:rPr>
          <w:i/>
        </w:rPr>
        <w:t xml:space="preserve"> 2018</w:t>
      </w:r>
      <w:r w:rsidR="00023B4A" w:rsidRPr="00503EC6">
        <w:t>)</w:t>
      </w:r>
      <w:r w:rsidR="00DC4A28" w:rsidRPr="00503EC6">
        <w:t xml:space="preserve"> and under </w:t>
      </w:r>
      <w:r w:rsidR="00327F95" w:rsidRPr="00503EC6">
        <w:t xml:space="preserve">any </w:t>
      </w:r>
      <w:r w:rsidR="00DC4A28" w:rsidRPr="00503EC6">
        <w:t xml:space="preserve">equivalent </w:t>
      </w:r>
      <w:r w:rsidR="00327F95" w:rsidRPr="00503EC6">
        <w:t>measures</w:t>
      </w:r>
      <w:r w:rsidR="00DC4A28" w:rsidRPr="00503EC6">
        <w:t xml:space="preserve"> in the </w:t>
      </w:r>
      <w:r w:rsidR="00DC4A28" w:rsidRPr="00503EC6">
        <w:rPr>
          <w:rFonts w:eastAsia="Times New Roman" w:cstheme="minorHAnsi"/>
          <w:i/>
          <w:iCs/>
        </w:rPr>
        <w:t xml:space="preserve">Family Court Act 1997 </w:t>
      </w:r>
      <w:r w:rsidR="00DC4A28" w:rsidRPr="00503EC6">
        <w:rPr>
          <w:rFonts w:eastAsia="Times New Roman" w:cstheme="minorHAnsi"/>
        </w:rPr>
        <w:t>(WA)</w:t>
      </w:r>
      <w:r w:rsidR="003D5B29" w:rsidRPr="00503EC6">
        <w:rPr>
          <w:rFonts w:cstheme="minorHAnsi"/>
          <w:i/>
        </w:rPr>
        <w:t>.</w:t>
      </w:r>
    </w:p>
    <w:p w14:paraId="200CD695" w14:textId="754B61BB" w:rsidR="00661EB6" w:rsidRDefault="00661EB6" w:rsidP="00661EB6">
      <w:r w:rsidRPr="00B0779B">
        <w:t xml:space="preserve">The </w:t>
      </w:r>
      <w:r w:rsidR="00FE73E0" w:rsidRPr="00B0779B">
        <w:t>Act</w:t>
      </w:r>
      <w:r w:rsidRPr="00B0779B">
        <w:t xml:space="preserve"> prohibit</w:t>
      </w:r>
      <w:r w:rsidR="00FE73E0" w:rsidRPr="005F2245">
        <w:t>s</w:t>
      </w:r>
      <w:r w:rsidRPr="00B76B6F">
        <w:t xml:space="preserve"> direct cross-examination in family law matters</w:t>
      </w:r>
      <w:r>
        <w:t xml:space="preserve"> where there is an allegation of family violence between parties and there is a charge or conviction, a final family violence order or a family law injunction for personal protection. The court also ha</w:t>
      </w:r>
      <w:r w:rsidR="00FE73E0">
        <w:t>s</w:t>
      </w:r>
      <w:r>
        <w:t xml:space="preserve"> discretion to make an order that direct cross-examination is prohibited if there is an allegation of family violence but those circumstances do not apply. When the ban applies, cross-examination must be conducted by a legal representative. </w:t>
      </w:r>
    </w:p>
    <w:p w14:paraId="2790CD66" w14:textId="2A340F4C" w:rsidR="00661EB6" w:rsidRDefault="00FE73E0" w:rsidP="00661EB6">
      <w:r>
        <w:lastRenderedPageBreak/>
        <w:t>These measures are</w:t>
      </w:r>
      <w:r w:rsidR="00661EB6">
        <w:t xml:space="preserve"> intended </w:t>
      </w:r>
      <w:r>
        <w:t>to</w:t>
      </w:r>
      <w:r w:rsidR="00661EB6">
        <w:t xml:space="preserve"> prevent the re-traumatisation of victims of family violence, maintain procedural fairness for all parties and ensure that victims do not settle their matter and enter into unsafe arrangements because of a fear of direct cross-examination.</w:t>
      </w:r>
    </w:p>
    <w:p w14:paraId="79248F87" w14:textId="518D19FF" w:rsidR="00661EB6" w:rsidRDefault="00AC2E4C" w:rsidP="00661EB6">
      <w:r>
        <w:t>Under the Program</w:t>
      </w:r>
      <w:r w:rsidR="00661EB6">
        <w:t>,</w:t>
      </w:r>
      <w:r w:rsidR="00C97869">
        <w:t xml:space="preserve"> </w:t>
      </w:r>
      <w:r w:rsidR="00661EB6">
        <w:t>LACs will provide legal representation for the hearing</w:t>
      </w:r>
      <w:r w:rsidR="00FE73E0">
        <w:t xml:space="preserve"> in which cross-examination is to occur</w:t>
      </w:r>
      <w:r w:rsidR="00661EB6">
        <w:t>, including the necessary preparatory work for that hearing</w:t>
      </w:r>
      <w:r w:rsidR="00FE73E0">
        <w:t>.</w:t>
      </w:r>
      <w:r w:rsidR="00661EB6">
        <w:t xml:space="preserve"> </w:t>
      </w:r>
      <w:r w:rsidR="00FE73E0">
        <w:t>O</w:t>
      </w:r>
      <w:r w:rsidR="00661EB6">
        <w:t>pportunities for settlement through late-stage legally-assisted family dispute resolution</w:t>
      </w:r>
      <w:r w:rsidR="00FE73E0">
        <w:t xml:space="preserve"> may also be explored</w:t>
      </w:r>
      <w:r w:rsidR="00661EB6">
        <w:t xml:space="preserve"> where appropriate. </w:t>
      </w:r>
    </w:p>
    <w:p w14:paraId="0AA32735" w14:textId="4A1BB5B2" w:rsidR="00661EB6" w:rsidRDefault="00661EB6" w:rsidP="00661EB6">
      <w:r>
        <w:t xml:space="preserve">The objectives of the </w:t>
      </w:r>
      <w:r w:rsidR="00AC2E4C">
        <w:t>Program</w:t>
      </w:r>
      <w:r>
        <w:t xml:space="preserve"> are to ensure that: </w:t>
      </w:r>
    </w:p>
    <w:p w14:paraId="3023C4CB" w14:textId="641237AB" w:rsidR="00661EB6" w:rsidRPr="006C0E48" w:rsidRDefault="00661EB6" w:rsidP="005B0B9F">
      <w:pPr>
        <w:pStyle w:val="ListParagraph"/>
        <w:numPr>
          <w:ilvl w:val="0"/>
          <w:numId w:val="39"/>
        </w:numPr>
        <w:spacing w:line="240" w:lineRule="auto"/>
        <w:rPr>
          <w:rFonts w:cstheme="minorHAnsi"/>
        </w:rPr>
      </w:pPr>
      <w:r w:rsidRPr="005B0B9F">
        <w:rPr>
          <w:rFonts w:asciiTheme="minorHAnsi" w:hAnsiTheme="minorHAnsi" w:cstheme="minorHAnsi"/>
        </w:rPr>
        <w:t>LACs have sufficient resources to provide legal representation for parties subject to the ban on direct cross-examination.</w:t>
      </w:r>
    </w:p>
    <w:p w14:paraId="67415D7C" w14:textId="29EE994D" w:rsidR="00661EB6" w:rsidRPr="006C0E48" w:rsidRDefault="00661EB6" w:rsidP="005B0B9F">
      <w:pPr>
        <w:pStyle w:val="ListParagraph"/>
        <w:numPr>
          <w:ilvl w:val="0"/>
          <w:numId w:val="39"/>
        </w:numPr>
        <w:spacing w:line="240" w:lineRule="auto"/>
        <w:rPr>
          <w:rFonts w:cstheme="minorHAnsi"/>
        </w:rPr>
      </w:pPr>
      <w:r w:rsidRPr="005B0B9F">
        <w:rPr>
          <w:rFonts w:asciiTheme="minorHAnsi" w:hAnsiTheme="minorHAnsi" w:cstheme="minorHAnsi"/>
        </w:rPr>
        <w:t xml:space="preserve">LACs do not need to reallocate funding away from other Commonwealth service priorities, such as </w:t>
      </w:r>
      <w:r w:rsidR="00FE73E0" w:rsidRPr="005B0B9F">
        <w:rPr>
          <w:rFonts w:asciiTheme="minorHAnsi" w:hAnsiTheme="minorHAnsi" w:cstheme="minorHAnsi"/>
        </w:rPr>
        <w:t xml:space="preserve">other </w:t>
      </w:r>
      <w:r w:rsidRPr="005B0B9F">
        <w:rPr>
          <w:rFonts w:asciiTheme="minorHAnsi" w:hAnsiTheme="minorHAnsi" w:cstheme="minorHAnsi"/>
        </w:rPr>
        <w:t>family law matters, to meet the cost of matters affected by the ban on direct cross-examination.</w:t>
      </w:r>
    </w:p>
    <w:p w14:paraId="2BE44F0B" w14:textId="417BF451" w:rsidR="00661EB6" w:rsidRPr="006C0E48" w:rsidRDefault="00661EB6" w:rsidP="005B0B9F">
      <w:pPr>
        <w:pStyle w:val="ListParagraph"/>
        <w:numPr>
          <w:ilvl w:val="0"/>
          <w:numId w:val="39"/>
        </w:numPr>
        <w:spacing w:line="240" w:lineRule="auto"/>
        <w:rPr>
          <w:rFonts w:cstheme="minorHAnsi"/>
        </w:rPr>
      </w:pPr>
      <w:r w:rsidRPr="005B0B9F">
        <w:rPr>
          <w:rFonts w:asciiTheme="minorHAnsi" w:hAnsiTheme="minorHAnsi" w:cstheme="minorHAnsi"/>
        </w:rPr>
        <w:t xml:space="preserve">Cross-examination can occur in matters </w:t>
      </w:r>
      <w:r w:rsidR="00FE73E0" w:rsidRPr="005B0B9F">
        <w:rPr>
          <w:rFonts w:asciiTheme="minorHAnsi" w:hAnsiTheme="minorHAnsi" w:cstheme="minorHAnsi"/>
        </w:rPr>
        <w:t>in which</w:t>
      </w:r>
      <w:r w:rsidRPr="005B0B9F">
        <w:rPr>
          <w:rFonts w:asciiTheme="minorHAnsi" w:hAnsiTheme="minorHAnsi" w:cstheme="minorHAnsi"/>
        </w:rPr>
        <w:t xml:space="preserve"> direct cross-examination</w:t>
      </w:r>
      <w:r w:rsidR="00FE73E0" w:rsidRPr="005B0B9F">
        <w:rPr>
          <w:rFonts w:asciiTheme="minorHAnsi" w:hAnsiTheme="minorHAnsi" w:cstheme="minorHAnsi"/>
        </w:rPr>
        <w:t xml:space="preserve"> is banned</w:t>
      </w:r>
      <w:r w:rsidRPr="005B0B9F">
        <w:rPr>
          <w:rFonts w:asciiTheme="minorHAnsi" w:hAnsiTheme="minorHAnsi" w:cstheme="minorHAnsi"/>
        </w:rPr>
        <w:t>.</w:t>
      </w:r>
    </w:p>
    <w:p w14:paraId="5E629ABC" w14:textId="249AA352" w:rsidR="00D410E3" w:rsidRPr="00390B8A" w:rsidRDefault="00AC2E4C" w:rsidP="00390B8A">
      <w:pPr>
        <w:rPr>
          <w:i/>
        </w:rPr>
      </w:pPr>
      <w:r>
        <w:t>Funding under the Program</w:t>
      </w:r>
      <w:r w:rsidR="004B6F70" w:rsidRPr="004B6F70">
        <w:t xml:space="preserve"> will be available for all </w:t>
      </w:r>
      <w:r w:rsidR="00A5272E">
        <w:t>family law</w:t>
      </w:r>
      <w:r w:rsidR="004B6F70" w:rsidRPr="004B6F70">
        <w:t xml:space="preserve"> matters where direct cross-examination is prohibited under </w:t>
      </w:r>
      <w:r w:rsidR="00327F95">
        <w:t xml:space="preserve">the </w:t>
      </w:r>
      <w:r w:rsidR="004B6F70" w:rsidRPr="004B6F70">
        <w:t>measures in</w:t>
      </w:r>
      <w:r w:rsidR="00327F95">
        <w:t xml:space="preserve"> </w:t>
      </w:r>
      <w:r w:rsidR="004B6F70" w:rsidRPr="004B6F70">
        <w:t xml:space="preserve">the </w:t>
      </w:r>
      <w:r w:rsidR="00FE73E0">
        <w:t>Act</w:t>
      </w:r>
      <w:r w:rsidR="00327F95">
        <w:t>. Funding will also be available for family law matters in Western Australia where direct cross-examination is prohibited under equivalent measures in</w:t>
      </w:r>
      <w:r w:rsidR="00B0779B">
        <w:t xml:space="preserve"> the</w:t>
      </w:r>
      <w:r w:rsidR="00B0779B" w:rsidRPr="00FB5F09">
        <w:t xml:space="preserve"> </w:t>
      </w:r>
      <w:r w:rsidR="00B0779B" w:rsidRPr="00246152">
        <w:rPr>
          <w:rFonts w:eastAsia="Times New Roman" w:cstheme="minorHAnsi"/>
          <w:i/>
          <w:iCs/>
        </w:rPr>
        <w:t xml:space="preserve">Family Court Act 1997 </w:t>
      </w:r>
      <w:r w:rsidR="00B0779B" w:rsidRPr="00246152">
        <w:rPr>
          <w:rFonts w:eastAsia="Times New Roman" w:cstheme="minorHAnsi"/>
        </w:rPr>
        <w:t>(WA)</w:t>
      </w:r>
      <w:r w:rsidR="004B6F70" w:rsidRPr="00246152">
        <w:rPr>
          <w:rFonts w:cstheme="minorHAnsi"/>
        </w:rPr>
        <w:t>.</w:t>
      </w:r>
    </w:p>
    <w:p w14:paraId="3BDBF017" w14:textId="2EEAE0EB" w:rsidR="00FC6C8C" w:rsidRPr="00E861EF" w:rsidRDefault="00AC2E4C" w:rsidP="00FC6C8C">
      <w:pPr>
        <w:spacing w:after="120"/>
      </w:pPr>
      <w:r>
        <w:t xml:space="preserve">The </w:t>
      </w:r>
      <w:r w:rsidR="00BD2C99">
        <w:t xml:space="preserve">Hub administers the program </w:t>
      </w:r>
      <w:r w:rsidR="00045933" w:rsidRPr="00045933">
        <w:t xml:space="preserve">according to the </w:t>
      </w:r>
      <w:hyperlink r:id="rId12" w:history="1">
        <w:r w:rsidR="00FC6C8C" w:rsidRPr="00A8715E">
          <w:rPr>
            <w:rStyle w:val="Hyperlink"/>
            <w:rFonts w:cstheme="minorBidi"/>
            <w:i/>
          </w:rPr>
          <w:t>Commonwealth Grants Rules and Guidelines 2017</w:t>
        </w:r>
      </w:hyperlink>
      <w:r w:rsidR="00FC6C8C" w:rsidRPr="00E861EF">
        <w:rPr>
          <w:rStyle w:val="Hyperlink"/>
          <w:rFonts w:cstheme="minorBidi"/>
          <w:u w:val="none"/>
        </w:rPr>
        <w:t>.</w:t>
      </w:r>
    </w:p>
    <w:p w14:paraId="0C5AE54C" w14:textId="63D34F7F" w:rsidR="003B5926" w:rsidRDefault="003B5926" w:rsidP="000A5778">
      <w:pPr>
        <w:pStyle w:val="Heading2Numbered"/>
        <w:numPr>
          <w:ilvl w:val="1"/>
          <w:numId w:val="16"/>
        </w:numPr>
        <w:ind w:left="567"/>
      </w:pPr>
      <w:bookmarkStart w:id="7" w:name="_Toc536094876"/>
      <w:bookmarkStart w:id="8" w:name="_Toc467773952"/>
      <w:r>
        <w:t>Legislative authority</w:t>
      </w:r>
      <w:bookmarkEnd w:id="7"/>
    </w:p>
    <w:p w14:paraId="2169D878" w14:textId="27161F3D" w:rsidR="003B5926" w:rsidRPr="003B5926" w:rsidRDefault="003B5926" w:rsidP="003B5926">
      <w:pPr>
        <w:rPr>
          <w:i/>
        </w:rPr>
      </w:pPr>
      <w:r w:rsidRPr="003B5926">
        <w:t xml:space="preserve">The legislative authority for the </w:t>
      </w:r>
      <w:r w:rsidR="00B0743A">
        <w:t xml:space="preserve">Program </w:t>
      </w:r>
      <w:r w:rsidRPr="003B5926">
        <w:t>is conta</w:t>
      </w:r>
      <w:r>
        <w:t xml:space="preserve">ined in </w:t>
      </w:r>
      <w:r w:rsidR="00414580">
        <w:t>I</w:t>
      </w:r>
      <w:r>
        <w:t xml:space="preserve">tem 402.006 in </w:t>
      </w:r>
      <w:r w:rsidRPr="003B5926">
        <w:rPr>
          <w:i/>
        </w:rPr>
        <w:t xml:space="preserve">Schedule 1AA </w:t>
      </w:r>
      <w:r w:rsidR="00414580">
        <w:t>and I</w:t>
      </w:r>
      <w:r w:rsidR="00327F95">
        <w:t xml:space="preserve">tem 185 in </w:t>
      </w:r>
      <w:r w:rsidR="00327F95">
        <w:rPr>
          <w:i/>
        </w:rPr>
        <w:t xml:space="preserve">Schedule 1AB </w:t>
      </w:r>
      <w:r w:rsidRPr="006F0C21">
        <w:t>to the</w:t>
      </w:r>
      <w:r w:rsidRPr="003B5926">
        <w:rPr>
          <w:i/>
        </w:rPr>
        <w:t xml:space="preserve"> Financial Framework (Supplementary Powers) Regulations</w:t>
      </w:r>
      <w:r w:rsidR="00617368">
        <w:rPr>
          <w:i/>
        </w:rPr>
        <w:t xml:space="preserve"> </w:t>
      </w:r>
      <w:r w:rsidRPr="003B5926">
        <w:rPr>
          <w:i/>
        </w:rPr>
        <w:t>1997.</w:t>
      </w:r>
    </w:p>
    <w:p w14:paraId="2004B758" w14:textId="6A1A5A16" w:rsidR="00045933" w:rsidRPr="00DF4FFA" w:rsidRDefault="00045933" w:rsidP="000A5778">
      <w:pPr>
        <w:pStyle w:val="Heading2Numbered"/>
        <w:numPr>
          <w:ilvl w:val="1"/>
          <w:numId w:val="16"/>
        </w:numPr>
        <w:ind w:left="567"/>
      </w:pPr>
      <w:bookmarkStart w:id="9" w:name="_Toc536094877"/>
      <w:r w:rsidRPr="00141248">
        <w:t xml:space="preserve">About the </w:t>
      </w:r>
      <w:r w:rsidR="00425AF3">
        <w:t>grant o</w:t>
      </w:r>
      <w:r w:rsidRPr="00045933">
        <w:t>pportunity</w:t>
      </w:r>
      <w:bookmarkEnd w:id="8"/>
      <w:bookmarkEnd w:id="9"/>
    </w:p>
    <w:p w14:paraId="06659773" w14:textId="625E33C9" w:rsidR="00045933" w:rsidRPr="00045933" w:rsidRDefault="00045933" w:rsidP="00045933">
      <w:bookmarkStart w:id="10" w:name="_Ref421783365"/>
      <w:r w:rsidRPr="00045933">
        <w:t>These guidelines contain information for the</w:t>
      </w:r>
      <w:r w:rsidR="00AC2E4C">
        <w:t xml:space="preserve"> Program</w:t>
      </w:r>
      <w:r w:rsidR="00B34A0E">
        <w:t>.</w:t>
      </w:r>
    </w:p>
    <w:p w14:paraId="026FD44C" w14:textId="77777777" w:rsidR="00045933" w:rsidRPr="00045933" w:rsidRDefault="00045933" w:rsidP="00045933">
      <w:pPr>
        <w:spacing w:after="80"/>
        <w:rPr>
          <w:rFonts w:asciiTheme="majorHAnsi" w:hAnsiTheme="majorHAnsi" w:cstheme="majorHAnsi"/>
        </w:rPr>
      </w:pPr>
      <w:r w:rsidRPr="00045933">
        <w:rPr>
          <w:rFonts w:asciiTheme="majorHAnsi" w:hAnsiTheme="majorHAnsi" w:cstheme="majorHAnsi"/>
        </w:rPr>
        <w:t>This document sets out:</w:t>
      </w:r>
    </w:p>
    <w:p w14:paraId="17301FF5" w14:textId="77777777" w:rsidR="00045933" w:rsidRPr="000A271A" w:rsidRDefault="00045933" w:rsidP="005B0B9F">
      <w:pPr>
        <w:pStyle w:val="Bullet1"/>
        <w:spacing w:before="60" w:line="240" w:lineRule="auto"/>
      </w:pPr>
      <w:r w:rsidRPr="000A271A">
        <w:t>the purpose of the grant opportunity</w:t>
      </w:r>
    </w:p>
    <w:p w14:paraId="2C46C443" w14:textId="77777777" w:rsidR="0097683A" w:rsidRDefault="00045933" w:rsidP="005B0B9F">
      <w:pPr>
        <w:pStyle w:val="Bullet1"/>
        <w:spacing w:before="60" w:line="240" w:lineRule="auto"/>
      </w:pPr>
      <w:r w:rsidRPr="000A271A">
        <w:t>the eligibility and assessment criteria</w:t>
      </w:r>
    </w:p>
    <w:p w14:paraId="31E4090B" w14:textId="77777777" w:rsidR="0097683A" w:rsidRPr="000A271A" w:rsidRDefault="0097683A" w:rsidP="005B0B9F">
      <w:pPr>
        <w:pStyle w:val="Bullet1"/>
        <w:spacing w:before="60" w:line="240" w:lineRule="auto"/>
      </w:pPr>
      <w:r>
        <w:t>how to apply for the grant opportunity</w:t>
      </w:r>
    </w:p>
    <w:p w14:paraId="143BC882" w14:textId="77777777" w:rsidR="00045933" w:rsidRPr="000A271A" w:rsidRDefault="00045933" w:rsidP="005B0B9F">
      <w:pPr>
        <w:pStyle w:val="Bullet1"/>
        <w:spacing w:before="60" w:line="240" w:lineRule="auto"/>
      </w:pPr>
      <w:r w:rsidRPr="000A271A">
        <w:t xml:space="preserve">how grant applications are </w:t>
      </w:r>
      <w:r w:rsidR="00566242">
        <w:t>checked</w:t>
      </w:r>
      <w:r w:rsidRPr="000A271A">
        <w:t xml:space="preserve"> and </w:t>
      </w:r>
      <w:r w:rsidR="00566242">
        <w:t>assessed</w:t>
      </w:r>
    </w:p>
    <w:p w14:paraId="32405A76" w14:textId="77777777" w:rsidR="00BD36F8" w:rsidRDefault="00045933" w:rsidP="005B0B9F">
      <w:pPr>
        <w:pStyle w:val="Bullet1"/>
        <w:spacing w:before="60" w:line="240" w:lineRule="auto"/>
      </w:pPr>
      <w:r w:rsidRPr="000A271A">
        <w:t>responsibilities and expectations in relation to the opportunity</w:t>
      </w:r>
    </w:p>
    <w:p w14:paraId="5487F113" w14:textId="055FDD11" w:rsidR="00045933" w:rsidRPr="000A271A" w:rsidRDefault="00BD36F8" w:rsidP="005B0B9F">
      <w:pPr>
        <w:pStyle w:val="Bullet1"/>
        <w:spacing w:before="60" w:line="240" w:lineRule="auto"/>
      </w:pPr>
      <w:r>
        <w:t>how grantees will be monitored and evaluated</w:t>
      </w:r>
      <w:r w:rsidR="00425AF3">
        <w:t>.</w:t>
      </w:r>
    </w:p>
    <w:p w14:paraId="7E385B89" w14:textId="77777777" w:rsidR="000A271A" w:rsidRDefault="000A271A" w:rsidP="00045933">
      <w:pPr>
        <w:pStyle w:val="NoSpacing"/>
        <w:rPr>
          <w:rFonts w:asciiTheme="majorHAnsi" w:hAnsiTheme="majorHAnsi" w:cstheme="majorHAnsi"/>
        </w:rPr>
      </w:pPr>
    </w:p>
    <w:p w14:paraId="531C9DB7" w14:textId="77777777" w:rsidR="00045933" w:rsidRPr="00045933" w:rsidRDefault="00045933" w:rsidP="00045933">
      <w:pPr>
        <w:pStyle w:val="NoSpacing"/>
        <w:rPr>
          <w:rFonts w:asciiTheme="majorHAnsi" w:hAnsiTheme="majorHAnsi" w:cstheme="majorHAnsi"/>
        </w:rPr>
      </w:pPr>
      <w:r w:rsidRPr="00045933">
        <w:rPr>
          <w:rFonts w:asciiTheme="majorHAnsi" w:hAnsiTheme="majorHAnsi" w:cstheme="majorHAnsi"/>
        </w:rPr>
        <w:t xml:space="preserve">You must read this document before filling out an application. </w:t>
      </w:r>
    </w:p>
    <w:p w14:paraId="67D4C71E" w14:textId="77777777" w:rsidR="00045933" w:rsidRPr="00B72EE8" w:rsidRDefault="00045933" w:rsidP="008B6262">
      <w:pPr>
        <w:pStyle w:val="Heading1Numbered"/>
        <w:ind w:left="567"/>
      </w:pPr>
      <w:bookmarkStart w:id="11" w:name="_Toc461105052"/>
      <w:bookmarkStart w:id="12" w:name="_Toc467773954"/>
      <w:bookmarkStart w:id="13" w:name="_Toc536094878"/>
      <w:bookmarkEnd w:id="10"/>
      <w:bookmarkEnd w:id="11"/>
      <w:r>
        <w:lastRenderedPageBreak/>
        <w:t>Grant amount</w:t>
      </w:r>
      <w:bookmarkEnd w:id="12"/>
      <w:bookmarkEnd w:id="13"/>
    </w:p>
    <w:p w14:paraId="63A962A6" w14:textId="44DB85A3" w:rsidR="001A6968" w:rsidRDefault="00045933" w:rsidP="001A6968">
      <w:pPr>
        <w:rPr>
          <w:rFonts w:eastAsia="Times New Roman" w:cs="Times New Roman"/>
        </w:rPr>
      </w:pPr>
      <w:r w:rsidRPr="00A80F37">
        <w:t xml:space="preserve">The Australian Government </w:t>
      </w:r>
      <w:r w:rsidR="001903F2">
        <w:t>will provide</w:t>
      </w:r>
      <w:r w:rsidR="00290A07">
        <w:t xml:space="preserve"> up to</w:t>
      </w:r>
      <w:r w:rsidRPr="00A80F37">
        <w:t xml:space="preserve"> $</w:t>
      </w:r>
      <w:r w:rsidR="004B6F70" w:rsidRPr="00A80F37">
        <w:rPr>
          <w:rStyle w:val="highlightedtextChar"/>
          <w:b w:val="0"/>
          <w:color w:val="auto"/>
        </w:rPr>
        <w:t xml:space="preserve">8.278 million </w:t>
      </w:r>
      <w:r w:rsidR="00A80F37" w:rsidRPr="00A80F37">
        <w:rPr>
          <w:rStyle w:val="highlightedtextChar"/>
          <w:b w:val="0"/>
          <w:color w:val="auto"/>
        </w:rPr>
        <w:t>(GST exclusive)</w:t>
      </w:r>
      <w:r w:rsidR="00A80F37" w:rsidRPr="00A80F37">
        <w:rPr>
          <w:rStyle w:val="highlightedtextChar"/>
          <w:color w:val="auto"/>
        </w:rPr>
        <w:t xml:space="preserve"> </w:t>
      </w:r>
      <w:r w:rsidRPr="00A80F37">
        <w:t xml:space="preserve">over </w:t>
      </w:r>
      <w:r w:rsidR="004B6F70" w:rsidRPr="00A80F37">
        <w:rPr>
          <w:rStyle w:val="highlightedtextChar"/>
          <w:b w:val="0"/>
          <w:color w:val="auto"/>
        </w:rPr>
        <w:t>five</w:t>
      </w:r>
      <w:r w:rsidR="004B6F70" w:rsidRPr="00A80F37">
        <w:rPr>
          <w:rStyle w:val="highlightedtextChar"/>
          <w:color w:val="auto"/>
        </w:rPr>
        <w:t xml:space="preserve"> </w:t>
      </w:r>
      <w:r w:rsidRPr="00A80F37">
        <w:t xml:space="preserve">years for the </w:t>
      </w:r>
      <w:r w:rsidR="00AC2E4C">
        <w:rPr>
          <w:rStyle w:val="highlightedtextChar"/>
          <w:b w:val="0"/>
          <w:color w:val="auto"/>
        </w:rPr>
        <w:t>Program</w:t>
      </w:r>
      <w:r w:rsidR="004B6F70" w:rsidRPr="00A80F37">
        <w:rPr>
          <w:b/>
        </w:rPr>
        <w:t>,</w:t>
      </w:r>
      <w:r w:rsidR="004B6F70" w:rsidRPr="00A80F37">
        <w:t xml:space="preserve"> starting in 2018-19</w:t>
      </w:r>
      <w:r w:rsidRPr="00A80F37">
        <w:t xml:space="preserve">. </w:t>
      </w:r>
    </w:p>
    <w:tbl>
      <w:tblPr>
        <w:tblStyle w:val="CGHTableBanded"/>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Grant amount "/>
        <w:tblDescription w:val="The Australian Government will provide up to $8.278 million (GST exclusive) over five years for the Program, starting in 2018-19. "/>
      </w:tblPr>
      <w:tblGrid>
        <w:gridCol w:w="2410"/>
        <w:gridCol w:w="1134"/>
        <w:gridCol w:w="1134"/>
        <w:gridCol w:w="1134"/>
        <w:gridCol w:w="1134"/>
        <w:gridCol w:w="1134"/>
        <w:gridCol w:w="1134"/>
      </w:tblGrid>
      <w:tr w:rsidR="00D70AD6" w:rsidRPr="005D7096" w14:paraId="70DE22E4" w14:textId="77777777" w:rsidTr="00D70AD6">
        <w:trPr>
          <w:cnfStyle w:val="100000000000" w:firstRow="1" w:lastRow="0" w:firstColumn="0" w:lastColumn="0" w:oddVBand="0" w:evenVBand="0" w:oddHBand="0" w:evenHBand="0" w:firstRowFirstColumn="0" w:firstRowLastColumn="0" w:lastRowFirstColumn="0" w:lastRowLastColumn="0"/>
          <w:trHeight w:val="305"/>
          <w:tblHeader/>
        </w:trPr>
        <w:tc>
          <w:tcPr>
            <w:tcW w:w="2410" w:type="dxa"/>
            <w:tcBorders>
              <w:bottom w:val="single" w:sz="4" w:space="0" w:color="auto"/>
              <w:right w:val="single" w:sz="4" w:space="0" w:color="auto"/>
            </w:tcBorders>
            <w:shd w:val="clear" w:color="auto" w:fill="auto"/>
          </w:tcPr>
          <w:p w14:paraId="6103428A" w14:textId="77777777" w:rsidR="00D70AD6" w:rsidRPr="00C97869" w:rsidRDefault="00D70AD6" w:rsidP="00D70AD6">
            <w:pPr>
              <w:suppressAutoHyphens w:val="0"/>
              <w:spacing w:before="120" w:after="120" w:line="240" w:lineRule="auto"/>
              <w:ind w:left="146"/>
              <w:jc w:val="center"/>
              <w:rPr>
                <w:rFonts w:cstheme="minorHAnsi"/>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51C8E42" w14:textId="77777777" w:rsidR="00D70AD6" w:rsidRPr="00C97869" w:rsidRDefault="00D70AD6" w:rsidP="00D70AD6">
            <w:pPr>
              <w:suppressAutoHyphens w:val="0"/>
              <w:spacing w:before="120" w:after="120" w:line="240" w:lineRule="auto"/>
              <w:ind w:left="115"/>
              <w:jc w:val="center"/>
              <w:rPr>
                <w:rFonts w:cstheme="minorHAnsi"/>
                <w:sz w:val="22"/>
                <w:szCs w:val="22"/>
              </w:rPr>
            </w:pPr>
            <w:r w:rsidRPr="00C97869">
              <w:rPr>
                <w:rFonts w:cstheme="minorHAnsi"/>
                <w:bCs/>
                <w:sz w:val="22"/>
                <w:szCs w:val="22"/>
              </w:rPr>
              <w:t>2018-19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8A69EB" w14:textId="77777777" w:rsidR="00D70AD6" w:rsidRPr="00C97869" w:rsidRDefault="00D70AD6" w:rsidP="00D70AD6">
            <w:pPr>
              <w:suppressAutoHyphens w:val="0"/>
              <w:spacing w:before="120" w:after="120" w:line="240" w:lineRule="auto"/>
              <w:ind w:left="96"/>
              <w:jc w:val="center"/>
              <w:rPr>
                <w:rFonts w:cstheme="minorHAnsi"/>
                <w:sz w:val="22"/>
                <w:szCs w:val="22"/>
              </w:rPr>
            </w:pPr>
            <w:r w:rsidRPr="00C97869">
              <w:rPr>
                <w:rFonts w:cstheme="minorHAnsi"/>
                <w:bCs/>
                <w:sz w:val="22"/>
                <w:szCs w:val="22"/>
              </w:rPr>
              <w:t>2019-20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0E4473" w14:textId="77777777" w:rsidR="00D70AD6" w:rsidRPr="00C97869" w:rsidRDefault="00D70AD6" w:rsidP="00D70AD6">
            <w:pPr>
              <w:suppressAutoHyphens w:val="0"/>
              <w:spacing w:before="120" w:after="120" w:line="240" w:lineRule="auto"/>
              <w:ind w:left="67"/>
              <w:jc w:val="center"/>
              <w:rPr>
                <w:rFonts w:cstheme="minorHAnsi"/>
                <w:sz w:val="22"/>
                <w:szCs w:val="22"/>
              </w:rPr>
            </w:pPr>
            <w:r w:rsidRPr="00C97869">
              <w:rPr>
                <w:rFonts w:cstheme="minorHAnsi"/>
                <w:bCs/>
                <w:sz w:val="22"/>
                <w:szCs w:val="22"/>
              </w:rPr>
              <w:t>2020-21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64AEB8" w14:textId="77777777" w:rsidR="00D70AD6" w:rsidRPr="00C97869" w:rsidRDefault="00D70AD6" w:rsidP="00D70AD6">
            <w:pPr>
              <w:suppressAutoHyphens w:val="0"/>
              <w:spacing w:before="120" w:after="120" w:line="240" w:lineRule="auto"/>
              <w:ind w:left="47"/>
              <w:jc w:val="center"/>
              <w:rPr>
                <w:rFonts w:cstheme="minorHAnsi"/>
                <w:sz w:val="22"/>
                <w:szCs w:val="22"/>
              </w:rPr>
            </w:pPr>
            <w:r w:rsidRPr="00C97869">
              <w:rPr>
                <w:rFonts w:cstheme="minorHAnsi"/>
                <w:bCs/>
                <w:sz w:val="22"/>
                <w:szCs w:val="22"/>
              </w:rPr>
              <w:t>2021-22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8F927F" w14:textId="77777777" w:rsidR="00D70AD6" w:rsidRPr="00C97869" w:rsidRDefault="00D70AD6" w:rsidP="00D70AD6">
            <w:pPr>
              <w:suppressAutoHyphens w:val="0"/>
              <w:spacing w:before="120" w:after="120" w:line="240" w:lineRule="auto"/>
              <w:ind w:left="29"/>
              <w:jc w:val="center"/>
              <w:rPr>
                <w:rFonts w:cstheme="minorHAnsi"/>
                <w:sz w:val="22"/>
                <w:szCs w:val="22"/>
              </w:rPr>
            </w:pPr>
            <w:r w:rsidRPr="00C97869">
              <w:rPr>
                <w:rFonts w:cstheme="minorHAnsi"/>
                <w:bCs/>
                <w:sz w:val="22"/>
                <w:szCs w:val="22"/>
              </w:rPr>
              <w:t>2022-23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F4012F" w14:textId="77777777" w:rsidR="00D70AD6" w:rsidRPr="001A6968" w:rsidRDefault="00D70AD6" w:rsidP="00D70AD6">
            <w:pPr>
              <w:suppressAutoHyphens w:val="0"/>
              <w:spacing w:before="120" w:after="120" w:line="240" w:lineRule="auto"/>
              <w:ind w:left="29"/>
              <w:jc w:val="center"/>
              <w:rPr>
                <w:rFonts w:cstheme="minorHAnsi"/>
                <w:b/>
                <w:sz w:val="22"/>
                <w:szCs w:val="22"/>
              </w:rPr>
            </w:pPr>
            <w:r w:rsidRPr="001A6968">
              <w:rPr>
                <w:rFonts w:cstheme="minorHAnsi"/>
                <w:b/>
                <w:bCs/>
                <w:sz w:val="22"/>
                <w:szCs w:val="22"/>
              </w:rPr>
              <w:t>Total</w:t>
            </w:r>
          </w:p>
        </w:tc>
      </w:tr>
      <w:tr w:rsidR="00D70AD6" w:rsidRPr="005D7096" w14:paraId="58CFB706" w14:textId="77777777" w:rsidTr="00D70AD6">
        <w:trPr>
          <w:cnfStyle w:val="000000100000" w:firstRow="0" w:lastRow="0" w:firstColumn="0" w:lastColumn="0" w:oddVBand="0" w:evenVBand="0" w:oddHBand="1" w:evenHBand="0" w:firstRowFirstColumn="0" w:firstRowLastColumn="0" w:lastRowFirstColumn="0" w:lastRowLastColumn="0"/>
        </w:trPr>
        <w:tc>
          <w:tcPr>
            <w:tcW w:w="2410" w:type="dxa"/>
            <w:shd w:val="clear" w:color="auto" w:fill="auto"/>
          </w:tcPr>
          <w:p w14:paraId="14ED7539" w14:textId="77777777" w:rsidR="00D70AD6" w:rsidRPr="00C97869" w:rsidRDefault="00D70AD6" w:rsidP="00D70AD6">
            <w:pPr>
              <w:suppressAutoHyphens w:val="0"/>
              <w:spacing w:before="0" w:after="0"/>
              <w:ind w:left="146"/>
              <w:rPr>
                <w:rFonts w:cstheme="minorHAnsi"/>
                <w:color w:val="000000"/>
                <w:sz w:val="22"/>
                <w:szCs w:val="22"/>
              </w:rPr>
            </w:pPr>
            <w:r w:rsidRPr="00C97869">
              <w:rPr>
                <w:rFonts w:cstheme="minorHAnsi"/>
                <w:sz w:val="22"/>
                <w:szCs w:val="22"/>
              </w:rPr>
              <w:t>Family Violence Cross-examination of Parties Scheme</w:t>
            </w:r>
          </w:p>
        </w:tc>
        <w:tc>
          <w:tcPr>
            <w:tcW w:w="1134" w:type="dxa"/>
            <w:shd w:val="clear" w:color="auto" w:fill="auto"/>
            <w:vAlign w:val="center"/>
          </w:tcPr>
          <w:p w14:paraId="74B6D0DD" w14:textId="183CE04C" w:rsidR="0069132B" w:rsidRPr="00C97869" w:rsidRDefault="00D70AD6" w:rsidP="001342FE">
            <w:pPr>
              <w:suppressAutoHyphens w:val="0"/>
              <w:spacing w:before="0" w:after="0"/>
              <w:ind w:left="146"/>
              <w:jc w:val="center"/>
              <w:rPr>
                <w:rFonts w:cstheme="minorHAnsi"/>
                <w:color w:val="000000"/>
                <w:sz w:val="22"/>
                <w:szCs w:val="22"/>
              </w:rPr>
            </w:pPr>
            <w:r w:rsidRPr="00C97869">
              <w:rPr>
                <w:rFonts w:cstheme="minorHAnsi"/>
                <w:color w:val="000000"/>
                <w:sz w:val="22"/>
                <w:szCs w:val="22"/>
              </w:rPr>
              <w:t>$0.400m</w:t>
            </w:r>
            <w:r w:rsidR="00B437B6">
              <w:rPr>
                <w:rStyle w:val="FootnoteReference"/>
                <w:rFonts w:cstheme="minorHAnsi"/>
                <w:color w:val="000000"/>
                <w:sz w:val="22"/>
                <w:szCs w:val="22"/>
              </w:rPr>
              <w:footnoteReference w:id="2"/>
            </w:r>
            <w:r w:rsidR="00B437B6">
              <w:rPr>
                <w:rFonts w:cstheme="minorHAnsi"/>
                <w:color w:val="000000"/>
                <w:sz w:val="22"/>
                <w:szCs w:val="22"/>
              </w:rPr>
              <w:t xml:space="preserve"> </w:t>
            </w:r>
          </w:p>
        </w:tc>
        <w:tc>
          <w:tcPr>
            <w:tcW w:w="1134" w:type="dxa"/>
            <w:shd w:val="clear" w:color="auto" w:fill="auto"/>
            <w:vAlign w:val="center"/>
          </w:tcPr>
          <w:p w14:paraId="2477A13A" w14:textId="77777777" w:rsidR="00D70AD6" w:rsidRPr="00C97869" w:rsidRDefault="00D70AD6" w:rsidP="00D70AD6">
            <w:pPr>
              <w:suppressAutoHyphens w:val="0"/>
              <w:spacing w:before="0" w:after="0"/>
              <w:ind w:left="146"/>
              <w:jc w:val="center"/>
              <w:rPr>
                <w:rFonts w:cstheme="minorHAnsi"/>
                <w:color w:val="000000"/>
                <w:sz w:val="22"/>
                <w:szCs w:val="22"/>
              </w:rPr>
            </w:pPr>
            <w:r w:rsidRPr="00C97869">
              <w:rPr>
                <w:rFonts w:cstheme="minorHAnsi"/>
                <w:color w:val="000000"/>
                <w:sz w:val="22"/>
                <w:szCs w:val="22"/>
              </w:rPr>
              <w:t>$1.926m</w:t>
            </w:r>
          </w:p>
        </w:tc>
        <w:tc>
          <w:tcPr>
            <w:tcW w:w="1134" w:type="dxa"/>
            <w:shd w:val="clear" w:color="auto" w:fill="auto"/>
            <w:vAlign w:val="center"/>
          </w:tcPr>
          <w:p w14:paraId="1C70FA20" w14:textId="77777777" w:rsidR="00D70AD6" w:rsidRPr="00C97869" w:rsidRDefault="00D70AD6" w:rsidP="00D70AD6">
            <w:pPr>
              <w:suppressAutoHyphens w:val="0"/>
              <w:spacing w:before="0" w:after="0"/>
              <w:ind w:left="146"/>
              <w:jc w:val="center"/>
              <w:rPr>
                <w:rFonts w:cstheme="minorHAnsi"/>
                <w:color w:val="000000"/>
                <w:sz w:val="22"/>
                <w:szCs w:val="22"/>
              </w:rPr>
            </w:pPr>
            <w:r w:rsidRPr="00C97869">
              <w:rPr>
                <w:rFonts w:cstheme="minorHAnsi"/>
                <w:color w:val="000000"/>
                <w:sz w:val="22"/>
                <w:szCs w:val="22"/>
              </w:rPr>
              <w:t>$1.954m</w:t>
            </w:r>
          </w:p>
        </w:tc>
        <w:tc>
          <w:tcPr>
            <w:tcW w:w="1134" w:type="dxa"/>
            <w:shd w:val="clear" w:color="auto" w:fill="auto"/>
            <w:vAlign w:val="center"/>
          </w:tcPr>
          <w:p w14:paraId="35385F1D" w14:textId="77777777" w:rsidR="00D70AD6" w:rsidRPr="00C97869" w:rsidRDefault="00D70AD6" w:rsidP="00D70AD6">
            <w:pPr>
              <w:suppressAutoHyphens w:val="0"/>
              <w:spacing w:before="0" w:after="0"/>
              <w:ind w:left="146"/>
              <w:jc w:val="center"/>
              <w:rPr>
                <w:rFonts w:cstheme="minorHAnsi"/>
                <w:color w:val="000000"/>
                <w:sz w:val="22"/>
                <w:szCs w:val="22"/>
              </w:rPr>
            </w:pPr>
            <w:r w:rsidRPr="00C97869">
              <w:rPr>
                <w:rFonts w:cstheme="minorHAnsi"/>
                <w:color w:val="000000"/>
                <w:sz w:val="22"/>
                <w:szCs w:val="22"/>
              </w:rPr>
              <w:t>$1.984m</w:t>
            </w:r>
          </w:p>
        </w:tc>
        <w:tc>
          <w:tcPr>
            <w:tcW w:w="1134" w:type="dxa"/>
            <w:shd w:val="clear" w:color="auto" w:fill="auto"/>
            <w:vAlign w:val="center"/>
          </w:tcPr>
          <w:p w14:paraId="4EA5ABEF" w14:textId="77777777" w:rsidR="00D70AD6" w:rsidRPr="00C97869" w:rsidRDefault="00D70AD6" w:rsidP="00D70AD6">
            <w:pPr>
              <w:suppressAutoHyphens w:val="0"/>
              <w:spacing w:before="0" w:after="0"/>
              <w:ind w:left="146"/>
              <w:jc w:val="center"/>
              <w:rPr>
                <w:rFonts w:cstheme="minorHAnsi"/>
                <w:color w:val="000000"/>
                <w:sz w:val="22"/>
                <w:szCs w:val="22"/>
              </w:rPr>
            </w:pPr>
            <w:r w:rsidRPr="00C97869">
              <w:rPr>
                <w:rFonts w:cstheme="minorHAnsi"/>
                <w:color w:val="000000"/>
                <w:sz w:val="22"/>
                <w:szCs w:val="22"/>
              </w:rPr>
              <w:t>$2.014m</w:t>
            </w:r>
          </w:p>
        </w:tc>
        <w:tc>
          <w:tcPr>
            <w:tcW w:w="1134" w:type="dxa"/>
            <w:shd w:val="clear" w:color="auto" w:fill="auto"/>
            <w:vAlign w:val="center"/>
          </w:tcPr>
          <w:p w14:paraId="44C1C5D8" w14:textId="77777777" w:rsidR="00D70AD6" w:rsidRPr="001A6968" w:rsidRDefault="00D70AD6" w:rsidP="00D70AD6">
            <w:pPr>
              <w:suppressAutoHyphens w:val="0"/>
              <w:spacing w:before="0" w:after="0"/>
              <w:ind w:left="146"/>
              <w:jc w:val="center"/>
              <w:rPr>
                <w:rFonts w:cstheme="minorHAnsi"/>
                <w:b/>
                <w:color w:val="000000"/>
                <w:sz w:val="22"/>
                <w:szCs w:val="22"/>
              </w:rPr>
            </w:pPr>
            <w:r w:rsidRPr="001A6968">
              <w:rPr>
                <w:rFonts w:cstheme="minorHAnsi"/>
                <w:b/>
                <w:color w:val="000000"/>
                <w:sz w:val="22"/>
                <w:szCs w:val="22"/>
              </w:rPr>
              <w:t>$8.278m</w:t>
            </w:r>
          </w:p>
        </w:tc>
      </w:tr>
    </w:tbl>
    <w:p w14:paraId="2D317E61" w14:textId="5ECA0DBA" w:rsidR="006E11B3" w:rsidRDefault="006E11B3" w:rsidP="001A6968">
      <w:pPr>
        <w:rPr>
          <w:rFonts w:eastAsia="Times New Roman" w:cs="Times New Roman"/>
        </w:rPr>
      </w:pPr>
      <w:r>
        <w:rPr>
          <w:rFonts w:eastAsia="Times New Roman" w:cs="Times New Roman"/>
        </w:rPr>
        <w:t>The grant period will span five</w:t>
      </w:r>
      <w:r w:rsidRPr="001A6968">
        <w:rPr>
          <w:rFonts w:eastAsia="Times New Roman" w:cs="Times New Roman"/>
        </w:rPr>
        <w:t xml:space="preserve"> financial years. The funding period will be from establishment until </w:t>
      </w:r>
      <w:r>
        <w:rPr>
          <w:rFonts w:eastAsia="Times New Roman" w:cs="Times New Roman"/>
        </w:rPr>
        <w:t>30 June 2023</w:t>
      </w:r>
      <w:r w:rsidRPr="001A6968">
        <w:rPr>
          <w:rFonts w:eastAsia="Times New Roman" w:cs="Times New Roman"/>
        </w:rPr>
        <w:t>, unless terminated earlier as determined by the parties and the conditions of the grant agreement.</w:t>
      </w:r>
    </w:p>
    <w:p w14:paraId="616FB144" w14:textId="0E0ED4F6" w:rsidR="00204B4C" w:rsidRPr="00204B4C" w:rsidRDefault="006E11B3" w:rsidP="005B0B9F">
      <w:pPr>
        <w:spacing w:after="240"/>
        <w:rPr>
          <w:rFonts w:eastAsia="Times New Roman" w:cstheme="minorHAnsi"/>
        </w:rPr>
      </w:pPr>
      <w:r>
        <w:rPr>
          <w:rFonts w:eastAsia="Times New Roman" w:cs="Times New Roman"/>
        </w:rPr>
        <w:t>An estimate of the funding allocation</w:t>
      </w:r>
      <w:r w:rsidR="0069132B">
        <w:rPr>
          <w:rFonts w:eastAsia="Times New Roman" w:cs="Times New Roman"/>
        </w:rPr>
        <w:t xml:space="preserve"> </w:t>
      </w:r>
      <w:r>
        <w:rPr>
          <w:rFonts w:eastAsia="Times New Roman" w:cs="Times New Roman"/>
        </w:rPr>
        <w:t>for each jurisdiction is set out in the table below, g</w:t>
      </w:r>
      <w:r w:rsidR="00204B4C">
        <w:rPr>
          <w:rFonts w:eastAsia="Times New Roman" w:cs="Times New Roman"/>
        </w:rPr>
        <w:t>rant applications</w:t>
      </w:r>
      <w:r>
        <w:rPr>
          <w:rFonts w:eastAsia="Times New Roman" w:cs="Times New Roman"/>
        </w:rPr>
        <w:t xml:space="preserve"> based on these</w:t>
      </w:r>
      <w:r w:rsidR="00204B4C">
        <w:rPr>
          <w:rFonts w:eastAsia="Times New Roman" w:cs="Times New Roman"/>
        </w:rPr>
        <w:t xml:space="preserve"> amounts will be considered. </w:t>
      </w:r>
      <w:r>
        <w:rPr>
          <w:rFonts w:eastAsia="Times New Roman" w:cs="Times New Roman"/>
        </w:rPr>
        <w:t xml:space="preserve">The allocations have been calculated using data from the Australian Institute of Family Studies 2018 report </w:t>
      </w:r>
      <w:r>
        <w:rPr>
          <w:rFonts w:eastAsia="Times New Roman" w:cs="Times New Roman"/>
          <w:i/>
        </w:rPr>
        <w:t>Direct cross</w:t>
      </w:r>
      <w:r>
        <w:rPr>
          <w:rFonts w:eastAsia="Times New Roman" w:cs="Times New Roman"/>
          <w:i/>
        </w:rPr>
        <w:noBreakHyphen/>
        <w:t xml:space="preserve">examination in family law matters </w:t>
      </w:r>
      <w:r>
        <w:rPr>
          <w:rFonts w:eastAsia="Times New Roman" w:cs="Times New Roman"/>
        </w:rPr>
        <w:t xml:space="preserve">and National Legal Aid’s estimated cost of providing legal assistance </w:t>
      </w:r>
      <w:r w:rsidR="0069132B">
        <w:rPr>
          <w:rFonts w:eastAsia="Times New Roman" w:cs="Times New Roman"/>
        </w:rPr>
        <w:t>under the Program</w:t>
      </w:r>
      <w:r>
        <w:rPr>
          <w:rFonts w:eastAsia="Times New Roman" w:cs="Times New Roman"/>
        </w:rPr>
        <w:t>.</w:t>
      </w:r>
      <w:r w:rsidR="00ED32CC">
        <w:rPr>
          <w:rFonts w:eastAsia="Times New Roman" w:cs="Times New Roman"/>
        </w:rPr>
        <w:t xml:space="preserve"> </w:t>
      </w:r>
      <w:r w:rsidR="002B398F">
        <w:rPr>
          <w:rFonts w:eastAsia="Times New Roman" w:cs="Times New Roman"/>
        </w:rPr>
        <w:t>E</w:t>
      </w:r>
      <w:r w:rsidR="00ED32CC">
        <w:rPr>
          <w:rFonts w:eastAsia="Times New Roman" w:cs="Times New Roman"/>
        </w:rPr>
        <w:t xml:space="preserve">stablishment costs </w:t>
      </w:r>
      <w:r w:rsidR="002B398F">
        <w:rPr>
          <w:rFonts w:eastAsia="Times New Roman" w:cs="Times New Roman"/>
        </w:rPr>
        <w:t>of $100,000 will also be provided to</w:t>
      </w:r>
      <w:r w:rsidR="00327F95">
        <w:rPr>
          <w:rFonts w:eastAsia="Times New Roman" w:cs="Times New Roman"/>
        </w:rPr>
        <w:t xml:space="preserve"> the</w:t>
      </w:r>
      <w:r w:rsidR="002B398F">
        <w:rPr>
          <w:rFonts w:eastAsia="Times New Roman" w:cs="Times New Roman"/>
        </w:rPr>
        <w:t xml:space="preserve"> </w:t>
      </w:r>
      <w:r w:rsidR="002B398F" w:rsidRPr="002B398F">
        <w:rPr>
          <w:rFonts w:eastAsia="Times New Roman" w:cs="Times New Roman"/>
        </w:rPr>
        <w:t>Legal Services Commission of SA</w:t>
      </w:r>
      <w:r w:rsidR="002B398F">
        <w:rPr>
          <w:rFonts w:eastAsia="Times New Roman" w:cs="Times New Roman"/>
        </w:rPr>
        <w:t>.</w:t>
      </w:r>
    </w:p>
    <w:tbl>
      <w:tblPr>
        <w:tblW w:w="53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410"/>
      </w:tblGrid>
      <w:tr w:rsidR="003947B5" w:rsidRPr="00204B4C" w14:paraId="001170D0" w14:textId="6748EFDC" w:rsidTr="00390B8A">
        <w:trPr>
          <w:trHeight w:val="402"/>
        </w:trPr>
        <w:tc>
          <w:tcPr>
            <w:tcW w:w="2977" w:type="dxa"/>
            <w:shd w:val="clear" w:color="000000" w:fill="FFFFFF"/>
            <w:vAlign w:val="center"/>
          </w:tcPr>
          <w:p w14:paraId="5ECA0752" w14:textId="2EE4C6B5" w:rsidR="003947B5" w:rsidRPr="001342FE" w:rsidRDefault="003947B5" w:rsidP="00CC55DF">
            <w:pPr>
              <w:suppressAutoHyphens w:val="0"/>
              <w:spacing w:before="0" w:after="0" w:line="240" w:lineRule="auto"/>
              <w:rPr>
                <w:rFonts w:eastAsia="Times New Roman" w:cstheme="minorHAnsi"/>
                <w:b/>
                <w:bCs/>
                <w:lang w:eastAsia="en-AU"/>
              </w:rPr>
            </w:pPr>
            <w:r w:rsidRPr="001342FE">
              <w:rPr>
                <w:rFonts w:eastAsia="Times New Roman" w:cstheme="minorHAnsi"/>
                <w:b/>
                <w:bCs/>
                <w:lang w:eastAsia="en-AU"/>
              </w:rPr>
              <w:t xml:space="preserve">Legal Aid Commission </w:t>
            </w:r>
          </w:p>
        </w:tc>
        <w:tc>
          <w:tcPr>
            <w:tcW w:w="2410" w:type="dxa"/>
            <w:shd w:val="clear" w:color="auto" w:fill="auto"/>
            <w:vAlign w:val="center"/>
          </w:tcPr>
          <w:p w14:paraId="0787CEB3" w14:textId="41CBE670" w:rsidR="003947B5" w:rsidRPr="001342FE" w:rsidRDefault="003947B5" w:rsidP="00CC55DF">
            <w:pPr>
              <w:suppressAutoHyphens w:val="0"/>
              <w:spacing w:before="0" w:after="0" w:line="240" w:lineRule="auto"/>
              <w:jc w:val="center"/>
              <w:rPr>
                <w:rFonts w:eastAsia="Times New Roman" w:cstheme="minorHAnsi"/>
                <w:b/>
                <w:bCs/>
                <w:lang w:eastAsia="en-AU"/>
              </w:rPr>
            </w:pPr>
            <w:r>
              <w:rPr>
                <w:rFonts w:eastAsia="Times New Roman" w:cstheme="minorHAnsi"/>
                <w:b/>
                <w:bCs/>
                <w:lang w:eastAsia="en-AU"/>
              </w:rPr>
              <w:t>Estimated allocation</w:t>
            </w:r>
          </w:p>
        </w:tc>
      </w:tr>
      <w:tr w:rsidR="003947B5" w:rsidRPr="00204B4C" w14:paraId="747A11C4" w14:textId="0EAD436A" w:rsidTr="00390B8A">
        <w:trPr>
          <w:trHeight w:val="402"/>
        </w:trPr>
        <w:tc>
          <w:tcPr>
            <w:tcW w:w="2977" w:type="dxa"/>
            <w:shd w:val="clear" w:color="000000" w:fill="FFFFFF"/>
            <w:vAlign w:val="center"/>
            <w:hideMark/>
          </w:tcPr>
          <w:p w14:paraId="37273C6A" w14:textId="4505BF78" w:rsidR="003947B5" w:rsidRPr="00204B4C" w:rsidRDefault="003947B5" w:rsidP="00FE2150">
            <w:pPr>
              <w:suppressAutoHyphens w:val="0"/>
              <w:spacing w:before="0" w:after="0" w:line="240" w:lineRule="auto"/>
              <w:rPr>
                <w:rFonts w:eastAsia="Times New Roman" w:cstheme="minorHAnsi"/>
                <w:bCs/>
                <w:lang w:eastAsia="en-AU"/>
              </w:rPr>
            </w:pPr>
            <w:r w:rsidRPr="00204B4C">
              <w:rPr>
                <w:rFonts w:eastAsia="Times New Roman" w:cstheme="minorHAnsi"/>
                <w:bCs/>
                <w:lang w:eastAsia="en-AU"/>
              </w:rPr>
              <w:t>Australian Capital Territory</w:t>
            </w:r>
          </w:p>
        </w:tc>
        <w:tc>
          <w:tcPr>
            <w:tcW w:w="2410" w:type="dxa"/>
            <w:shd w:val="clear" w:color="auto" w:fill="auto"/>
          </w:tcPr>
          <w:p w14:paraId="326F576F" w14:textId="359D9B00" w:rsidR="003947B5" w:rsidRPr="00935BF4" w:rsidRDefault="003947B5" w:rsidP="00CC55DF">
            <w:pPr>
              <w:suppressAutoHyphens w:val="0"/>
              <w:spacing w:before="0" w:after="0" w:line="240" w:lineRule="auto"/>
              <w:jc w:val="right"/>
              <w:rPr>
                <w:rFonts w:eastAsia="Times New Roman" w:cstheme="minorHAnsi"/>
                <w:bCs/>
                <w:lang w:eastAsia="en-AU"/>
              </w:rPr>
            </w:pPr>
            <w:r>
              <w:rPr>
                <w:rFonts w:eastAsia="Times New Roman" w:cstheme="minorHAnsi"/>
                <w:bCs/>
                <w:lang w:eastAsia="en-AU"/>
              </w:rPr>
              <w:t>$</w:t>
            </w:r>
            <w:r w:rsidRPr="00935BF4">
              <w:rPr>
                <w:rFonts w:eastAsia="Times New Roman" w:cstheme="minorHAnsi"/>
                <w:bCs/>
                <w:lang w:eastAsia="en-AU"/>
              </w:rPr>
              <w:t>240,662</w:t>
            </w:r>
          </w:p>
        </w:tc>
      </w:tr>
      <w:tr w:rsidR="003947B5" w:rsidRPr="00204B4C" w14:paraId="512748E6" w14:textId="1F9DD7F2" w:rsidTr="00390B8A">
        <w:trPr>
          <w:trHeight w:val="402"/>
        </w:trPr>
        <w:tc>
          <w:tcPr>
            <w:tcW w:w="2977" w:type="dxa"/>
            <w:shd w:val="clear" w:color="000000" w:fill="FFFFFF"/>
            <w:vAlign w:val="center"/>
            <w:hideMark/>
          </w:tcPr>
          <w:p w14:paraId="20D5B091" w14:textId="3ED84508" w:rsidR="003947B5" w:rsidRPr="00204B4C" w:rsidRDefault="003947B5" w:rsidP="00876CAC">
            <w:pPr>
              <w:suppressAutoHyphens w:val="0"/>
              <w:spacing w:before="0" w:after="0" w:line="240" w:lineRule="auto"/>
              <w:rPr>
                <w:rFonts w:eastAsia="Times New Roman" w:cstheme="minorHAnsi"/>
                <w:bCs/>
                <w:lang w:eastAsia="en-AU"/>
              </w:rPr>
            </w:pPr>
            <w:r w:rsidRPr="00204B4C">
              <w:rPr>
                <w:rFonts w:eastAsia="Times New Roman" w:cstheme="minorHAnsi"/>
                <w:bCs/>
                <w:lang w:eastAsia="en-AU"/>
              </w:rPr>
              <w:t>New South Wales</w:t>
            </w:r>
          </w:p>
        </w:tc>
        <w:tc>
          <w:tcPr>
            <w:tcW w:w="2410" w:type="dxa"/>
            <w:shd w:val="clear" w:color="auto" w:fill="auto"/>
            <w:noWrap/>
            <w:hideMark/>
          </w:tcPr>
          <w:p w14:paraId="138785DE" w14:textId="69BE5D5C" w:rsidR="003947B5" w:rsidRPr="00935BF4" w:rsidRDefault="003947B5" w:rsidP="00CC55DF">
            <w:pPr>
              <w:suppressAutoHyphens w:val="0"/>
              <w:spacing w:before="0" w:after="0" w:line="240" w:lineRule="auto"/>
              <w:jc w:val="right"/>
              <w:rPr>
                <w:rFonts w:eastAsia="Times New Roman" w:cstheme="minorHAnsi"/>
                <w:bCs/>
                <w:lang w:eastAsia="en-AU"/>
              </w:rPr>
            </w:pPr>
            <w:r>
              <w:rPr>
                <w:rFonts w:eastAsia="Times New Roman" w:cstheme="minorHAnsi"/>
                <w:bCs/>
                <w:lang w:eastAsia="en-AU"/>
              </w:rPr>
              <w:t>$</w:t>
            </w:r>
            <w:r w:rsidRPr="00935BF4">
              <w:rPr>
                <w:rFonts w:eastAsia="Times New Roman" w:cstheme="minorHAnsi"/>
                <w:bCs/>
                <w:lang w:eastAsia="en-AU"/>
              </w:rPr>
              <w:t>1,740,791</w:t>
            </w:r>
          </w:p>
        </w:tc>
      </w:tr>
      <w:tr w:rsidR="003947B5" w:rsidRPr="00204B4C" w14:paraId="56C3C368" w14:textId="078571FB" w:rsidTr="00390B8A">
        <w:trPr>
          <w:trHeight w:val="402"/>
        </w:trPr>
        <w:tc>
          <w:tcPr>
            <w:tcW w:w="2977" w:type="dxa"/>
            <w:shd w:val="clear" w:color="000000" w:fill="FFFFFF"/>
            <w:vAlign w:val="center"/>
            <w:hideMark/>
          </w:tcPr>
          <w:p w14:paraId="588DB8C4" w14:textId="049125A1" w:rsidR="003947B5" w:rsidRPr="00204B4C" w:rsidRDefault="003947B5" w:rsidP="00876CAC">
            <w:pPr>
              <w:suppressAutoHyphens w:val="0"/>
              <w:spacing w:before="0" w:after="0" w:line="240" w:lineRule="auto"/>
              <w:rPr>
                <w:rFonts w:eastAsia="Times New Roman" w:cstheme="minorHAnsi"/>
                <w:bCs/>
                <w:lang w:eastAsia="en-AU"/>
              </w:rPr>
            </w:pPr>
            <w:r w:rsidRPr="00204B4C">
              <w:rPr>
                <w:rFonts w:eastAsia="Times New Roman" w:cstheme="minorHAnsi"/>
                <w:bCs/>
                <w:lang w:eastAsia="en-AU"/>
              </w:rPr>
              <w:t>Northern Territory</w:t>
            </w:r>
          </w:p>
        </w:tc>
        <w:tc>
          <w:tcPr>
            <w:tcW w:w="2410" w:type="dxa"/>
            <w:shd w:val="clear" w:color="auto" w:fill="auto"/>
            <w:noWrap/>
            <w:hideMark/>
          </w:tcPr>
          <w:p w14:paraId="11146718" w14:textId="47108DAE" w:rsidR="003947B5" w:rsidRPr="00935BF4" w:rsidRDefault="003947B5" w:rsidP="00CC55DF">
            <w:pPr>
              <w:suppressAutoHyphens w:val="0"/>
              <w:spacing w:before="0" w:after="0" w:line="240" w:lineRule="auto"/>
              <w:jc w:val="right"/>
              <w:rPr>
                <w:rFonts w:eastAsia="Times New Roman" w:cstheme="minorHAnsi"/>
                <w:bCs/>
                <w:lang w:eastAsia="en-AU"/>
              </w:rPr>
            </w:pPr>
            <w:r>
              <w:rPr>
                <w:rFonts w:eastAsia="Times New Roman" w:cstheme="minorHAnsi"/>
                <w:bCs/>
                <w:lang w:eastAsia="en-AU"/>
              </w:rPr>
              <w:t>$</w:t>
            </w:r>
            <w:r w:rsidRPr="00935BF4">
              <w:rPr>
                <w:rFonts w:eastAsia="Times New Roman" w:cstheme="minorHAnsi"/>
                <w:bCs/>
                <w:lang w:eastAsia="en-AU"/>
              </w:rPr>
              <w:t>155,920</w:t>
            </w:r>
          </w:p>
        </w:tc>
      </w:tr>
      <w:tr w:rsidR="003947B5" w:rsidRPr="00204B4C" w14:paraId="332F9059" w14:textId="31D5D32B" w:rsidTr="00390B8A">
        <w:trPr>
          <w:trHeight w:val="402"/>
        </w:trPr>
        <w:tc>
          <w:tcPr>
            <w:tcW w:w="2977" w:type="dxa"/>
            <w:shd w:val="clear" w:color="000000" w:fill="FFFFFF"/>
            <w:vAlign w:val="center"/>
            <w:hideMark/>
          </w:tcPr>
          <w:p w14:paraId="5EEBF0A0" w14:textId="4F5D4590" w:rsidR="003947B5" w:rsidRPr="00204B4C" w:rsidRDefault="003947B5" w:rsidP="00876CAC">
            <w:pPr>
              <w:suppressAutoHyphens w:val="0"/>
              <w:spacing w:before="0" w:after="0" w:line="240" w:lineRule="auto"/>
              <w:rPr>
                <w:rFonts w:eastAsia="Times New Roman" w:cstheme="minorHAnsi"/>
                <w:bCs/>
                <w:lang w:eastAsia="en-AU"/>
              </w:rPr>
            </w:pPr>
            <w:r w:rsidRPr="00204B4C">
              <w:rPr>
                <w:rFonts w:eastAsia="Times New Roman" w:cstheme="minorHAnsi"/>
                <w:bCs/>
                <w:lang w:eastAsia="en-AU"/>
              </w:rPr>
              <w:t>Queensland</w:t>
            </w:r>
          </w:p>
        </w:tc>
        <w:tc>
          <w:tcPr>
            <w:tcW w:w="2410" w:type="dxa"/>
            <w:shd w:val="clear" w:color="auto" w:fill="auto"/>
            <w:noWrap/>
            <w:hideMark/>
          </w:tcPr>
          <w:p w14:paraId="7C0DA994" w14:textId="611829CB" w:rsidR="003947B5" w:rsidRPr="00935BF4" w:rsidRDefault="003947B5" w:rsidP="00CC55DF">
            <w:pPr>
              <w:suppressAutoHyphens w:val="0"/>
              <w:spacing w:before="0" w:after="0" w:line="240" w:lineRule="auto"/>
              <w:jc w:val="right"/>
              <w:rPr>
                <w:rFonts w:eastAsia="Times New Roman" w:cstheme="minorHAnsi"/>
                <w:bCs/>
                <w:lang w:eastAsia="en-AU"/>
              </w:rPr>
            </w:pPr>
            <w:r>
              <w:rPr>
                <w:rFonts w:eastAsia="Times New Roman" w:cstheme="minorHAnsi"/>
                <w:bCs/>
                <w:lang w:eastAsia="en-AU"/>
              </w:rPr>
              <w:t>$</w:t>
            </w:r>
            <w:r w:rsidRPr="00935BF4">
              <w:rPr>
                <w:rFonts w:eastAsia="Times New Roman" w:cstheme="minorHAnsi"/>
                <w:bCs/>
                <w:lang w:eastAsia="en-AU"/>
              </w:rPr>
              <w:t>1,796,945</w:t>
            </w:r>
          </w:p>
        </w:tc>
      </w:tr>
      <w:tr w:rsidR="003947B5" w:rsidRPr="00204B4C" w14:paraId="2129393C" w14:textId="36E14214" w:rsidTr="00390B8A">
        <w:trPr>
          <w:trHeight w:val="402"/>
        </w:trPr>
        <w:tc>
          <w:tcPr>
            <w:tcW w:w="2977" w:type="dxa"/>
            <w:shd w:val="clear" w:color="000000" w:fill="FFFFFF"/>
            <w:vAlign w:val="center"/>
            <w:hideMark/>
          </w:tcPr>
          <w:p w14:paraId="4FE5E359" w14:textId="3B765CEF" w:rsidR="003947B5" w:rsidRPr="00204B4C" w:rsidRDefault="003947B5" w:rsidP="00876CAC">
            <w:pPr>
              <w:suppressAutoHyphens w:val="0"/>
              <w:spacing w:before="0" w:after="0" w:line="240" w:lineRule="auto"/>
              <w:rPr>
                <w:rFonts w:eastAsia="Times New Roman" w:cstheme="minorHAnsi"/>
                <w:bCs/>
                <w:lang w:eastAsia="en-AU"/>
              </w:rPr>
            </w:pPr>
            <w:r w:rsidRPr="00204B4C">
              <w:rPr>
                <w:rFonts w:eastAsia="Times New Roman" w:cstheme="minorHAnsi"/>
                <w:bCs/>
                <w:lang w:eastAsia="en-AU"/>
              </w:rPr>
              <w:t>South Australia</w:t>
            </w:r>
          </w:p>
        </w:tc>
        <w:tc>
          <w:tcPr>
            <w:tcW w:w="2410" w:type="dxa"/>
            <w:shd w:val="clear" w:color="auto" w:fill="auto"/>
            <w:noWrap/>
            <w:hideMark/>
          </w:tcPr>
          <w:p w14:paraId="473A4300" w14:textId="58B71C58" w:rsidR="003947B5" w:rsidRPr="00935BF4" w:rsidRDefault="003947B5" w:rsidP="00CC55DF">
            <w:pPr>
              <w:suppressAutoHyphens w:val="0"/>
              <w:spacing w:before="0" w:after="0" w:line="240" w:lineRule="auto"/>
              <w:jc w:val="right"/>
              <w:rPr>
                <w:rFonts w:eastAsia="Times New Roman" w:cstheme="minorHAnsi"/>
                <w:bCs/>
                <w:lang w:eastAsia="en-AU"/>
              </w:rPr>
            </w:pPr>
            <w:r>
              <w:rPr>
                <w:rFonts w:eastAsia="Times New Roman" w:cstheme="minorHAnsi"/>
                <w:bCs/>
                <w:lang w:eastAsia="en-AU"/>
              </w:rPr>
              <w:t>$8</w:t>
            </w:r>
            <w:r w:rsidRPr="00935BF4">
              <w:rPr>
                <w:rFonts w:eastAsia="Times New Roman" w:cstheme="minorHAnsi"/>
                <w:bCs/>
                <w:lang w:eastAsia="en-AU"/>
              </w:rPr>
              <w:t>78,142</w:t>
            </w:r>
          </w:p>
        </w:tc>
      </w:tr>
      <w:tr w:rsidR="003947B5" w:rsidRPr="00204B4C" w14:paraId="1DB00582" w14:textId="69F92300" w:rsidTr="00390B8A">
        <w:trPr>
          <w:trHeight w:val="402"/>
        </w:trPr>
        <w:tc>
          <w:tcPr>
            <w:tcW w:w="2977" w:type="dxa"/>
            <w:shd w:val="clear" w:color="000000" w:fill="FFFFFF"/>
            <w:vAlign w:val="center"/>
            <w:hideMark/>
          </w:tcPr>
          <w:p w14:paraId="70BB3E82" w14:textId="699FB84D" w:rsidR="003947B5" w:rsidRPr="00204B4C" w:rsidRDefault="003947B5" w:rsidP="00876CAC">
            <w:pPr>
              <w:suppressAutoHyphens w:val="0"/>
              <w:spacing w:before="0" w:after="0" w:line="240" w:lineRule="auto"/>
              <w:rPr>
                <w:rFonts w:eastAsia="Times New Roman" w:cstheme="minorHAnsi"/>
                <w:bCs/>
                <w:lang w:eastAsia="en-AU"/>
              </w:rPr>
            </w:pPr>
            <w:r w:rsidRPr="00204B4C">
              <w:rPr>
                <w:rFonts w:eastAsia="Times New Roman" w:cstheme="minorHAnsi"/>
                <w:bCs/>
                <w:lang w:eastAsia="en-AU"/>
              </w:rPr>
              <w:t xml:space="preserve">Tasmania </w:t>
            </w:r>
          </w:p>
        </w:tc>
        <w:tc>
          <w:tcPr>
            <w:tcW w:w="2410" w:type="dxa"/>
            <w:shd w:val="clear" w:color="auto" w:fill="auto"/>
            <w:noWrap/>
            <w:hideMark/>
          </w:tcPr>
          <w:p w14:paraId="24850225" w14:textId="1455B49E" w:rsidR="003947B5" w:rsidRPr="00935BF4" w:rsidRDefault="003947B5" w:rsidP="00CC55DF">
            <w:pPr>
              <w:suppressAutoHyphens w:val="0"/>
              <w:spacing w:before="0" w:after="0" w:line="240" w:lineRule="auto"/>
              <w:jc w:val="right"/>
              <w:rPr>
                <w:rFonts w:eastAsia="Times New Roman" w:cstheme="minorHAnsi"/>
                <w:bCs/>
                <w:lang w:eastAsia="en-AU"/>
              </w:rPr>
            </w:pPr>
            <w:r>
              <w:rPr>
                <w:rFonts w:eastAsia="Times New Roman" w:cstheme="minorHAnsi"/>
                <w:bCs/>
                <w:lang w:eastAsia="en-AU"/>
              </w:rPr>
              <w:t>$</w:t>
            </w:r>
            <w:r w:rsidRPr="00935BF4">
              <w:rPr>
                <w:rFonts w:eastAsia="Times New Roman" w:cstheme="minorHAnsi"/>
                <w:bCs/>
                <w:lang w:eastAsia="en-AU"/>
              </w:rPr>
              <w:t>296,818</w:t>
            </w:r>
          </w:p>
        </w:tc>
      </w:tr>
      <w:tr w:rsidR="003947B5" w:rsidRPr="00204B4C" w14:paraId="189E2D76" w14:textId="197B4305" w:rsidTr="00390B8A">
        <w:trPr>
          <w:trHeight w:val="402"/>
        </w:trPr>
        <w:tc>
          <w:tcPr>
            <w:tcW w:w="2977" w:type="dxa"/>
            <w:shd w:val="clear" w:color="000000" w:fill="FFFFFF"/>
            <w:vAlign w:val="center"/>
            <w:hideMark/>
          </w:tcPr>
          <w:p w14:paraId="3CDA5241" w14:textId="34F0759A" w:rsidR="003947B5" w:rsidRPr="00204B4C" w:rsidRDefault="003947B5" w:rsidP="00876CAC">
            <w:pPr>
              <w:suppressAutoHyphens w:val="0"/>
              <w:spacing w:before="0" w:after="0" w:line="240" w:lineRule="auto"/>
              <w:rPr>
                <w:rFonts w:eastAsia="Times New Roman" w:cstheme="minorHAnsi"/>
                <w:bCs/>
                <w:lang w:eastAsia="en-AU"/>
              </w:rPr>
            </w:pPr>
            <w:r w:rsidRPr="00204B4C">
              <w:rPr>
                <w:rFonts w:eastAsia="Times New Roman" w:cstheme="minorHAnsi"/>
                <w:bCs/>
                <w:lang w:eastAsia="en-AU"/>
              </w:rPr>
              <w:t>Victoria</w:t>
            </w:r>
          </w:p>
        </w:tc>
        <w:tc>
          <w:tcPr>
            <w:tcW w:w="2410" w:type="dxa"/>
            <w:shd w:val="clear" w:color="auto" w:fill="auto"/>
            <w:noWrap/>
            <w:hideMark/>
          </w:tcPr>
          <w:p w14:paraId="54B4012E" w14:textId="36FECC11" w:rsidR="003947B5" w:rsidRPr="00935BF4" w:rsidRDefault="003947B5" w:rsidP="00CC55DF">
            <w:pPr>
              <w:suppressAutoHyphens w:val="0"/>
              <w:spacing w:before="0" w:after="0" w:line="240" w:lineRule="auto"/>
              <w:jc w:val="right"/>
              <w:rPr>
                <w:rFonts w:eastAsia="Times New Roman" w:cstheme="minorHAnsi"/>
                <w:bCs/>
                <w:lang w:eastAsia="en-AU"/>
              </w:rPr>
            </w:pPr>
            <w:r>
              <w:rPr>
                <w:rFonts w:eastAsia="Times New Roman" w:cstheme="minorHAnsi"/>
                <w:bCs/>
                <w:lang w:eastAsia="en-AU"/>
              </w:rPr>
              <w:t>$</w:t>
            </w:r>
            <w:r w:rsidRPr="00935BF4">
              <w:rPr>
                <w:rFonts w:eastAsia="Times New Roman" w:cstheme="minorHAnsi"/>
                <w:bCs/>
                <w:lang w:eastAsia="en-AU"/>
              </w:rPr>
              <w:t>1,973,432</w:t>
            </w:r>
          </w:p>
        </w:tc>
      </w:tr>
      <w:tr w:rsidR="003947B5" w:rsidRPr="00204B4C" w14:paraId="4FEC5E81" w14:textId="6DC42B7C" w:rsidTr="00390B8A">
        <w:trPr>
          <w:trHeight w:val="402"/>
        </w:trPr>
        <w:tc>
          <w:tcPr>
            <w:tcW w:w="2977" w:type="dxa"/>
            <w:shd w:val="clear" w:color="000000" w:fill="FFFFFF"/>
            <w:vAlign w:val="center"/>
            <w:hideMark/>
          </w:tcPr>
          <w:p w14:paraId="3C3FCDD1" w14:textId="2FA9BA26" w:rsidR="003947B5" w:rsidRPr="00204B4C" w:rsidRDefault="003947B5" w:rsidP="00876CAC">
            <w:pPr>
              <w:suppressAutoHyphens w:val="0"/>
              <w:spacing w:before="0" w:after="0" w:line="240" w:lineRule="auto"/>
              <w:rPr>
                <w:rFonts w:eastAsia="Times New Roman" w:cstheme="minorHAnsi"/>
                <w:bCs/>
                <w:lang w:eastAsia="en-AU"/>
              </w:rPr>
            </w:pPr>
            <w:r w:rsidRPr="00204B4C">
              <w:rPr>
                <w:rFonts w:eastAsia="Times New Roman" w:cstheme="minorHAnsi"/>
                <w:bCs/>
                <w:lang w:eastAsia="en-AU"/>
              </w:rPr>
              <w:t>Western Australia</w:t>
            </w:r>
          </w:p>
        </w:tc>
        <w:tc>
          <w:tcPr>
            <w:tcW w:w="2410" w:type="dxa"/>
            <w:shd w:val="clear" w:color="auto" w:fill="auto"/>
            <w:noWrap/>
            <w:hideMark/>
          </w:tcPr>
          <w:p w14:paraId="4EFCB659" w14:textId="67E78AA1" w:rsidR="003947B5" w:rsidRPr="00935BF4" w:rsidRDefault="003947B5" w:rsidP="00CC55DF">
            <w:pPr>
              <w:suppressAutoHyphens w:val="0"/>
              <w:spacing w:before="0" w:after="0" w:line="240" w:lineRule="auto"/>
              <w:jc w:val="right"/>
              <w:rPr>
                <w:rFonts w:eastAsia="Times New Roman" w:cstheme="minorHAnsi"/>
                <w:bCs/>
                <w:lang w:eastAsia="en-AU"/>
              </w:rPr>
            </w:pPr>
            <w:r>
              <w:rPr>
                <w:rFonts w:eastAsia="Times New Roman" w:cstheme="minorHAnsi"/>
                <w:bCs/>
                <w:lang w:eastAsia="en-AU"/>
              </w:rPr>
              <w:t>$</w:t>
            </w:r>
            <w:r w:rsidRPr="00935BF4">
              <w:rPr>
                <w:rFonts w:eastAsia="Times New Roman" w:cstheme="minorHAnsi"/>
                <w:bCs/>
                <w:lang w:eastAsia="en-AU"/>
              </w:rPr>
              <w:t>1,195,290</w:t>
            </w:r>
          </w:p>
        </w:tc>
      </w:tr>
      <w:tr w:rsidR="003947B5" w:rsidRPr="00204B4C" w14:paraId="264E829D" w14:textId="3A6FEFA8" w:rsidTr="00390B8A">
        <w:trPr>
          <w:trHeight w:val="402"/>
        </w:trPr>
        <w:tc>
          <w:tcPr>
            <w:tcW w:w="2977" w:type="dxa"/>
            <w:shd w:val="clear" w:color="000000" w:fill="FFFFFF"/>
            <w:vAlign w:val="center"/>
          </w:tcPr>
          <w:p w14:paraId="3A9A02FA" w14:textId="2CF595DB" w:rsidR="003947B5" w:rsidRPr="001342FE" w:rsidRDefault="003947B5" w:rsidP="00876CAC">
            <w:pPr>
              <w:suppressAutoHyphens w:val="0"/>
              <w:spacing w:before="0" w:after="0" w:line="240" w:lineRule="auto"/>
              <w:rPr>
                <w:rFonts w:eastAsia="Times New Roman" w:cstheme="minorHAnsi"/>
                <w:b/>
                <w:bCs/>
                <w:lang w:eastAsia="en-AU"/>
              </w:rPr>
            </w:pPr>
            <w:r w:rsidRPr="001342FE">
              <w:rPr>
                <w:rFonts w:eastAsia="Times New Roman" w:cstheme="minorHAnsi"/>
                <w:b/>
                <w:bCs/>
                <w:lang w:eastAsia="en-AU"/>
              </w:rPr>
              <w:t>Total</w:t>
            </w:r>
          </w:p>
        </w:tc>
        <w:tc>
          <w:tcPr>
            <w:tcW w:w="2410" w:type="dxa"/>
            <w:shd w:val="clear" w:color="auto" w:fill="auto"/>
            <w:noWrap/>
          </w:tcPr>
          <w:p w14:paraId="4170FAB3" w14:textId="4D09D3D5" w:rsidR="003947B5" w:rsidRPr="001342FE" w:rsidRDefault="003947B5" w:rsidP="00CC55DF">
            <w:pPr>
              <w:suppressAutoHyphens w:val="0"/>
              <w:spacing w:before="0" w:after="0" w:line="240" w:lineRule="auto"/>
              <w:jc w:val="right"/>
              <w:rPr>
                <w:rFonts w:eastAsia="Times New Roman" w:cstheme="minorHAnsi"/>
                <w:b/>
                <w:bCs/>
                <w:lang w:eastAsia="en-AU"/>
              </w:rPr>
            </w:pPr>
            <w:r>
              <w:rPr>
                <w:rFonts w:eastAsia="Times New Roman" w:cstheme="minorHAnsi"/>
                <w:b/>
                <w:bCs/>
                <w:lang w:eastAsia="en-AU"/>
              </w:rPr>
              <w:t>$</w:t>
            </w:r>
            <w:r w:rsidRPr="001342FE">
              <w:rPr>
                <w:rFonts w:eastAsia="Times New Roman" w:cstheme="minorHAnsi"/>
                <w:b/>
                <w:bCs/>
                <w:lang w:eastAsia="en-AU"/>
              </w:rPr>
              <w:t>8,</w:t>
            </w:r>
            <w:r w:rsidR="00775390">
              <w:rPr>
                <w:rFonts w:eastAsia="Times New Roman" w:cstheme="minorHAnsi"/>
                <w:b/>
                <w:bCs/>
                <w:lang w:eastAsia="en-AU"/>
              </w:rPr>
              <w:t>2</w:t>
            </w:r>
            <w:r w:rsidRPr="001342FE">
              <w:rPr>
                <w:rFonts w:eastAsia="Times New Roman" w:cstheme="minorHAnsi"/>
                <w:b/>
                <w:bCs/>
                <w:lang w:eastAsia="en-AU"/>
              </w:rPr>
              <w:t>78,000</w:t>
            </w:r>
          </w:p>
        </w:tc>
      </w:tr>
    </w:tbl>
    <w:p w14:paraId="6659F2E6" w14:textId="7321A62F" w:rsidR="00340616" w:rsidRPr="00B72EE8" w:rsidRDefault="00340616" w:rsidP="008B6262">
      <w:pPr>
        <w:pStyle w:val="Heading1Numbered"/>
        <w:ind w:left="567"/>
      </w:pPr>
      <w:bookmarkStart w:id="14" w:name="_Toc421777594"/>
      <w:bookmarkStart w:id="15" w:name="_Ref428266971"/>
      <w:bookmarkStart w:id="16" w:name="_Toc467773955"/>
      <w:bookmarkStart w:id="17" w:name="_Toc536094879"/>
      <w:r>
        <w:t>Grant e</w:t>
      </w:r>
      <w:r w:rsidRPr="00B72EE8">
        <w:t>ligibility</w:t>
      </w:r>
      <w:bookmarkEnd w:id="14"/>
      <w:bookmarkEnd w:id="15"/>
      <w:r>
        <w:t xml:space="preserve"> cr</w:t>
      </w:r>
      <w:r w:rsidRPr="00B72EE8">
        <w:t>iteria</w:t>
      </w:r>
      <w:bookmarkEnd w:id="16"/>
      <w:bookmarkEnd w:id="17"/>
      <w:r>
        <w:t xml:space="preserve"> </w:t>
      </w:r>
    </w:p>
    <w:p w14:paraId="28E8219D" w14:textId="77777777" w:rsidR="00340616" w:rsidRDefault="00340616" w:rsidP="00340616">
      <w:pPr>
        <w:spacing w:after="120"/>
      </w:pPr>
      <w:bookmarkStart w:id="18" w:name="_Ref414285977"/>
      <w:r>
        <w:t xml:space="preserve">We cannot consider your application if it does not </w:t>
      </w:r>
      <w:r w:rsidR="00BB5CF6">
        <w:t>meet</w:t>
      </w:r>
      <w:r>
        <w:t xml:space="preserve"> </w:t>
      </w:r>
      <w:r w:rsidRPr="00BB5CF6">
        <w:rPr>
          <w:b/>
        </w:rPr>
        <w:t>all</w:t>
      </w:r>
      <w:r>
        <w:t xml:space="preserve"> the eligibility criteria.</w:t>
      </w:r>
      <w:r w:rsidRPr="00B72EE8">
        <w:t xml:space="preserve"> </w:t>
      </w:r>
    </w:p>
    <w:p w14:paraId="7A8F1431" w14:textId="77777777" w:rsidR="005660B6" w:rsidRPr="005660B6" w:rsidRDefault="005660B6" w:rsidP="005660B6">
      <w:pPr>
        <w:pStyle w:val="Heading2Numbered"/>
        <w:numPr>
          <w:ilvl w:val="0"/>
          <w:numId w:val="0"/>
        </w:numPr>
      </w:pPr>
      <w:bookmarkStart w:id="19" w:name="_Toc536094880"/>
      <w:r>
        <w:lastRenderedPageBreak/>
        <w:t>3.1</w:t>
      </w:r>
      <w:r>
        <w:tab/>
      </w:r>
      <w:r w:rsidRPr="005660B6">
        <w:t>Who is eligible to apply for a grant?</w:t>
      </w:r>
      <w:bookmarkEnd w:id="19"/>
    </w:p>
    <w:p w14:paraId="059CE77B" w14:textId="4C558909" w:rsidR="00C97869" w:rsidRPr="00CD13A4" w:rsidRDefault="00C97869" w:rsidP="00C97869">
      <w:pPr>
        <w:rPr>
          <w:color w:val="000000" w:themeColor="text1"/>
        </w:rPr>
      </w:pPr>
      <w:bookmarkStart w:id="20" w:name="_Toc467773958"/>
      <w:bookmarkEnd w:id="18"/>
      <w:r>
        <w:rPr>
          <w:color w:val="000000" w:themeColor="text1"/>
        </w:rPr>
        <w:t>Only</w:t>
      </w:r>
      <w:r w:rsidR="00281046">
        <w:rPr>
          <w:color w:val="000000" w:themeColor="text1"/>
        </w:rPr>
        <w:t xml:space="preserve"> </w:t>
      </w:r>
      <w:r>
        <w:rPr>
          <w:color w:val="000000" w:themeColor="text1"/>
        </w:rPr>
        <w:t xml:space="preserve">LACs </w:t>
      </w:r>
      <w:r w:rsidRPr="00CD13A4">
        <w:rPr>
          <w:color w:val="000000" w:themeColor="text1"/>
        </w:rPr>
        <w:t>can apply for</w:t>
      </w:r>
      <w:r>
        <w:rPr>
          <w:color w:val="000000" w:themeColor="text1"/>
        </w:rPr>
        <w:t xml:space="preserve"> </w:t>
      </w:r>
      <w:r w:rsidR="00221EEA">
        <w:rPr>
          <w:color w:val="000000" w:themeColor="text1"/>
        </w:rPr>
        <w:t>grant funding</w:t>
      </w:r>
      <w:r w:rsidR="00AC2E4C">
        <w:rPr>
          <w:color w:val="000000" w:themeColor="text1"/>
        </w:rPr>
        <w:t xml:space="preserve"> under the Program</w:t>
      </w:r>
      <w:r>
        <w:rPr>
          <w:color w:val="000000" w:themeColor="text1"/>
        </w:rPr>
        <w:t>.</w:t>
      </w:r>
    </w:p>
    <w:p w14:paraId="6F68FFF8" w14:textId="191960E8" w:rsidR="00C97869" w:rsidRPr="00CD13A4" w:rsidRDefault="00C97869" w:rsidP="00C97869">
      <w:pPr>
        <w:rPr>
          <w:color w:val="000000" w:themeColor="text1"/>
        </w:rPr>
      </w:pPr>
      <w:r>
        <w:rPr>
          <w:color w:val="000000" w:themeColor="text1"/>
        </w:rPr>
        <w:t>A LAC</w:t>
      </w:r>
      <w:r w:rsidRPr="00CD13A4">
        <w:rPr>
          <w:color w:val="000000" w:themeColor="text1"/>
        </w:rPr>
        <w:t xml:space="preserve"> is a statutory body established pursuant to legislation in the relevant state or territory to provide legal aid services.</w:t>
      </w:r>
    </w:p>
    <w:p w14:paraId="2A30C654" w14:textId="557479BF" w:rsidR="00C97869" w:rsidRPr="00CD13A4" w:rsidRDefault="00C97869" w:rsidP="00C97869">
      <w:pPr>
        <w:rPr>
          <w:color w:val="000000" w:themeColor="text1"/>
        </w:rPr>
      </w:pPr>
      <w:r w:rsidRPr="00CD13A4">
        <w:rPr>
          <w:color w:val="000000" w:themeColor="text1"/>
        </w:rPr>
        <w:t xml:space="preserve">To be eligible to apply, you must be one of the listed invited </w:t>
      </w:r>
      <w:r w:rsidR="005B0B9F">
        <w:rPr>
          <w:color w:val="000000" w:themeColor="text1"/>
        </w:rPr>
        <w:t>LACs</w:t>
      </w:r>
      <w:r w:rsidRPr="00CD13A4">
        <w:rPr>
          <w:color w:val="000000" w:themeColor="text1"/>
        </w:rPr>
        <w:t xml:space="preserve"> and have received an invitation to apply through GrantConnect.</w:t>
      </w:r>
    </w:p>
    <w:p w14:paraId="2C355A76" w14:textId="77777777" w:rsidR="00C97869" w:rsidRPr="00CD13A4" w:rsidRDefault="00C97869" w:rsidP="00C97869">
      <w:pPr>
        <w:pStyle w:val="NoSpacing"/>
        <w:rPr>
          <w:rFonts w:asciiTheme="minorHAnsi" w:hAnsiTheme="minorHAnsi" w:cstheme="minorHAnsi"/>
        </w:rPr>
      </w:pPr>
    </w:p>
    <w:tbl>
      <w:tblPr>
        <w:tblStyle w:val="TableGrid"/>
        <w:tblW w:w="0" w:type="auto"/>
        <w:tblLook w:val="04A0" w:firstRow="1" w:lastRow="0" w:firstColumn="1" w:lastColumn="0" w:noHBand="0" w:noVBand="1"/>
        <w:tblCaption w:val="List of invited organisations and rationale for invitation"/>
        <w:tblDescription w:val="List of invited organisations and rationale for invitation"/>
      </w:tblPr>
      <w:tblGrid>
        <w:gridCol w:w="4928"/>
      </w:tblGrid>
      <w:tr w:rsidR="00C97869" w:rsidRPr="00CD13A4" w14:paraId="38FC4F02" w14:textId="77777777" w:rsidTr="00C97869">
        <w:trPr>
          <w:trHeight w:val="297"/>
          <w:tblHeader/>
        </w:trPr>
        <w:tc>
          <w:tcPr>
            <w:tcW w:w="4928" w:type="dxa"/>
            <w:shd w:val="clear" w:color="auto" w:fill="F2F2F2" w:themeFill="background1" w:themeFillShade="F2"/>
          </w:tcPr>
          <w:p w14:paraId="15DC2175" w14:textId="32EF2BDF" w:rsidR="00C97869" w:rsidRPr="00CD13A4" w:rsidRDefault="00C97869" w:rsidP="00C97869">
            <w:pPr>
              <w:pStyle w:val="NoSpacing"/>
              <w:rPr>
                <w:rFonts w:ascii="Arial" w:hAnsi="Arial" w:cs="Arial"/>
                <w:b/>
              </w:rPr>
            </w:pPr>
            <w:r w:rsidRPr="00CD13A4">
              <w:rPr>
                <w:rFonts w:ascii="Arial" w:hAnsi="Arial" w:cs="Arial"/>
                <w:b/>
              </w:rPr>
              <w:t>I</w:t>
            </w:r>
            <w:r w:rsidR="004779CE">
              <w:rPr>
                <w:rFonts w:ascii="Arial" w:hAnsi="Arial" w:cs="Arial"/>
                <w:b/>
              </w:rPr>
              <w:t>nvited o</w:t>
            </w:r>
            <w:r w:rsidRPr="00CD13A4">
              <w:rPr>
                <w:rFonts w:ascii="Arial" w:hAnsi="Arial" w:cs="Arial"/>
                <w:b/>
              </w:rPr>
              <w:t>rganisation</w:t>
            </w:r>
          </w:p>
        </w:tc>
      </w:tr>
      <w:tr w:rsidR="00C97869" w:rsidRPr="00CD13A4" w14:paraId="591134CD" w14:textId="77777777" w:rsidTr="00C97869">
        <w:trPr>
          <w:trHeight w:val="306"/>
        </w:trPr>
        <w:tc>
          <w:tcPr>
            <w:tcW w:w="4928" w:type="dxa"/>
          </w:tcPr>
          <w:p w14:paraId="426FE0D5" w14:textId="77777777" w:rsidR="00C97869" w:rsidRPr="00CD13A4" w:rsidRDefault="00C97869" w:rsidP="00C97869">
            <w:pPr>
              <w:pStyle w:val="NoSpacing"/>
              <w:rPr>
                <w:rFonts w:ascii="Arial" w:hAnsi="Arial" w:cs="Arial"/>
              </w:rPr>
            </w:pPr>
            <w:r w:rsidRPr="00CD13A4">
              <w:rPr>
                <w:rFonts w:ascii="Arial" w:hAnsi="Arial" w:cs="Arial"/>
              </w:rPr>
              <w:t>Legal Aid Commission ACT</w:t>
            </w:r>
          </w:p>
        </w:tc>
      </w:tr>
      <w:tr w:rsidR="00C97869" w:rsidRPr="00CD13A4" w14:paraId="62C32719" w14:textId="77777777" w:rsidTr="00C97869">
        <w:trPr>
          <w:trHeight w:val="306"/>
        </w:trPr>
        <w:tc>
          <w:tcPr>
            <w:tcW w:w="4928" w:type="dxa"/>
          </w:tcPr>
          <w:p w14:paraId="04238C1F" w14:textId="77777777" w:rsidR="00C97869" w:rsidRPr="00CD13A4" w:rsidRDefault="00C97869" w:rsidP="00C97869">
            <w:pPr>
              <w:pStyle w:val="NoSpacing"/>
              <w:rPr>
                <w:rFonts w:ascii="Arial" w:hAnsi="Arial" w:cs="Arial"/>
              </w:rPr>
            </w:pPr>
            <w:r w:rsidRPr="00CD13A4">
              <w:rPr>
                <w:rFonts w:ascii="Arial" w:hAnsi="Arial" w:cs="Arial"/>
              </w:rPr>
              <w:t>Legal Aid Commission of NSW</w:t>
            </w:r>
          </w:p>
        </w:tc>
      </w:tr>
      <w:tr w:rsidR="00C97869" w:rsidRPr="00CD13A4" w14:paraId="22FC362B" w14:textId="77777777" w:rsidTr="00C97869">
        <w:trPr>
          <w:trHeight w:val="306"/>
        </w:trPr>
        <w:tc>
          <w:tcPr>
            <w:tcW w:w="4928" w:type="dxa"/>
          </w:tcPr>
          <w:p w14:paraId="73BFDFDE" w14:textId="77777777" w:rsidR="00C97869" w:rsidRPr="00CD13A4" w:rsidRDefault="00C97869" w:rsidP="00C97869">
            <w:pPr>
              <w:pStyle w:val="NoSpacing"/>
              <w:rPr>
                <w:rFonts w:ascii="Arial" w:hAnsi="Arial" w:cs="Arial"/>
              </w:rPr>
            </w:pPr>
            <w:r w:rsidRPr="00CD13A4">
              <w:rPr>
                <w:rFonts w:ascii="Arial" w:hAnsi="Arial" w:cs="Arial"/>
              </w:rPr>
              <w:t>Northern Territory Legal Aid Commission</w:t>
            </w:r>
          </w:p>
        </w:tc>
      </w:tr>
      <w:tr w:rsidR="00C97869" w:rsidRPr="00CD13A4" w14:paraId="43B42AB6" w14:textId="77777777" w:rsidTr="00C97869">
        <w:trPr>
          <w:trHeight w:val="290"/>
        </w:trPr>
        <w:tc>
          <w:tcPr>
            <w:tcW w:w="4928" w:type="dxa"/>
          </w:tcPr>
          <w:p w14:paraId="40B6E677" w14:textId="77777777" w:rsidR="00C97869" w:rsidRPr="00CD13A4" w:rsidRDefault="00C97869" w:rsidP="00C97869">
            <w:pPr>
              <w:pStyle w:val="NoSpacing"/>
              <w:rPr>
                <w:rFonts w:ascii="Arial" w:hAnsi="Arial" w:cs="Arial"/>
              </w:rPr>
            </w:pPr>
            <w:r w:rsidRPr="00CD13A4">
              <w:rPr>
                <w:rFonts w:ascii="Arial" w:hAnsi="Arial" w:cs="Arial"/>
              </w:rPr>
              <w:t>Legal Aid Queensland</w:t>
            </w:r>
          </w:p>
        </w:tc>
      </w:tr>
      <w:tr w:rsidR="00C97869" w:rsidRPr="00CD13A4" w14:paraId="707972CB" w14:textId="77777777" w:rsidTr="00C97869">
        <w:trPr>
          <w:trHeight w:val="290"/>
        </w:trPr>
        <w:tc>
          <w:tcPr>
            <w:tcW w:w="4928" w:type="dxa"/>
          </w:tcPr>
          <w:p w14:paraId="71D76CE5" w14:textId="77777777" w:rsidR="00C97869" w:rsidRPr="00CD13A4" w:rsidRDefault="00C97869" w:rsidP="00C97869">
            <w:pPr>
              <w:pStyle w:val="NoSpacing"/>
              <w:rPr>
                <w:rFonts w:ascii="Arial" w:hAnsi="Arial" w:cs="Arial"/>
              </w:rPr>
            </w:pPr>
            <w:r w:rsidRPr="00CD13A4">
              <w:rPr>
                <w:rFonts w:ascii="Arial" w:hAnsi="Arial" w:cs="Arial"/>
              </w:rPr>
              <w:t>Legal Services Commission of SA</w:t>
            </w:r>
          </w:p>
        </w:tc>
      </w:tr>
      <w:tr w:rsidR="00C97869" w:rsidRPr="00CD13A4" w14:paraId="6E5E4B10" w14:textId="77777777" w:rsidTr="00C97869">
        <w:trPr>
          <w:trHeight w:val="290"/>
        </w:trPr>
        <w:tc>
          <w:tcPr>
            <w:tcW w:w="4928" w:type="dxa"/>
          </w:tcPr>
          <w:p w14:paraId="7E35BB45" w14:textId="77777777" w:rsidR="00C97869" w:rsidRPr="00CD13A4" w:rsidRDefault="00C97869" w:rsidP="00C97869">
            <w:pPr>
              <w:pStyle w:val="NoSpacing"/>
              <w:rPr>
                <w:rFonts w:ascii="Arial" w:hAnsi="Arial" w:cs="Arial"/>
              </w:rPr>
            </w:pPr>
            <w:r w:rsidRPr="00CD13A4">
              <w:rPr>
                <w:rFonts w:ascii="Arial" w:hAnsi="Arial" w:cs="Arial"/>
              </w:rPr>
              <w:t>Legal Aid Commission of Tasmania</w:t>
            </w:r>
          </w:p>
        </w:tc>
      </w:tr>
      <w:tr w:rsidR="00C97869" w:rsidRPr="00CD13A4" w14:paraId="6FD302FF" w14:textId="77777777" w:rsidTr="00C97869">
        <w:trPr>
          <w:trHeight w:val="290"/>
        </w:trPr>
        <w:tc>
          <w:tcPr>
            <w:tcW w:w="4928" w:type="dxa"/>
          </w:tcPr>
          <w:p w14:paraId="32728E8A" w14:textId="77777777" w:rsidR="00C97869" w:rsidRPr="00CD13A4" w:rsidRDefault="00C97869" w:rsidP="00C97869">
            <w:pPr>
              <w:pStyle w:val="NoSpacing"/>
              <w:rPr>
                <w:rFonts w:ascii="Arial" w:hAnsi="Arial" w:cs="Arial"/>
              </w:rPr>
            </w:pPr>
            <w:r w:rsidRPr="00CD13A4">
              <w:rPr>
                <w:rFonts w:ascii="Arial" w:hAnsi="Arial" w:cs="Arial"/>
              </w:rPr>
              <w:t>Victoria Legal Aid</w:t>
            </w:r>
          </w:p>
        </w:tc>
      </w:tr>
      <w:tr w:rsidR="00C97869" w:rsidRPr="00CD13A4" w14:paraId="267A01E4" w14:textId="77777777" w:rsidTr="00C97869">
        <w:trPr>
          <w:trHeight w:val="290"/>
        </w:trPr>
        <w:tc>
          <w:tcPr>
            <w:tcW w:w="4928" w:type="dxa"/>
          </w:tcPr>
          <w:p w14:paraId="0D26D9B1" w14:textId="77777777" w:rsidR="00C97869" w:rsidRPr="00CD13A4" w:rsidRDefault="00C97869" w:rsidP="00C97869">
            <w:pPr>
              <w:pStyle w:val="NoSpacing"/>
              <w:rPr>
                <w:rFonts w:ascii="Arial" w:hAnsi="Arial" w:cs="Arial"/>
              </w:rPr>
            </w:pPr>
            <w:r w:rsidRPr="00CD13A4">
              <w:rPr>
                <w:rFonts w:ascii="Arial" w:hAnsi="Arial" w:cs="Arial"/>
              </w:rPr>
              <w:t>Legal Aid Commission of WA</w:t>
            </w:r>
          </w:p>
        </w:tc>
      </w:tr>
    </w:tbl>
    <w:p w14:paraId="31A75036" w14:textId="56877C0A" w:rsidR="00C97869" w:rsidRPr="00CD13A4" w:rsidRDefault="00C97869" w:rsidP="00C97869">
      <w:pPr>
        <w:rPr>
          <w:color w:val="000000" w:themeColor="text1"/>
        </w:rPr>
      </w:pPr>
      <w:r w:rsidRPr="00CD13A4">
        <w:rPr>
          <w:color w:val="000000" w:themeColor="text1"/>
        </w:rPr>
        <w:t>The list of eligible applicants was determined in line with the pu</w:t>
      </w:r>
      <w:r>
        <w:rPr>
          <w:color w:val="000000" w:themeColor="text1"/>
        </w:rPr>
        <w:t>r</w:t>
      </w:r>
      <w:r w:rsidR="00AC2E4C">
        <w:rPr>
          <w:color w:val="000000" w:themeColor="text1"/>
        </w:rPr>
        <w:t>pose and objective of the Program</w:t>
      </w:r>
      <w:r w:rsidRPr="00CD13A4">
        <w:rPr>
          <w:color w:val="000000" w:themeColor="text1"/>
        </w:rPr>
        <w:t xml:space="preserve"> to</w:t>
      </w:r>
      <w:r>
        <w:rPr>
          <w:color w:val="000000" w:themeColor="text1"/>
        </w:rPr>
        <w:t xml:space="preserve"> reimburse LACs</w:t>
      </w:r>
      <w:r w:rsidRPr="00CD13A4">
        <w:rPr>
          <w:color w:val="000000" w:themeColor="text1"/>
        </w:rPr>
        <w:t xml:space="preserve"> </w:t>
      </w:r>
      <w:r w:rsidRPr="00CD13A4">
        <w:t xml:space="preserve">for costs incurred </w:t>
      </w:r>
      <w:r w:rsidR="006E5596">
        <w:t xml:space="preserve">providing legal representation to parties subject to the ban on direct cross-examination under the measures in Division 4 of Part XI of the </w:t>
      </w:r>
      <w:r w:rsidR="006E5596" w:rsidRPr="00700213">
        <w:rPr>
          <w:i/>
        </w:rPr>
        <w:t>Family Law Act 1975</w:t>
      </w:r>
      <w:r w:rsidR="006E5596">
        <w:rPr>
          <w:i/>
        </w:rPr>
        <w:t xml:space="preserve"> </w:t>
      </w:r>
      <w:r w:rsidR="006E5596" w:rsidRPr="00700213">
        <w:t>(the Act)</w:t>
      </w:r>
      <w:r w:rsidR="005F2245">
        <w:t xml:space="preserve"> and</w:t>
      </w:r>
      <w:r w:rsidR="00327F95">
        <w:t xml:space="preserve"> equivalent measures in</w:t>
      </w:r>
      <w:r w:rsidR="005F2245">
        <w:t xml:space="preserve"> the </w:t>
      </w:r>
      <w:r w:rsidR="005F2245">
        <w:rPr>
          <w:i/>
        </w:rPr>
        <w:t xml:space="preserve">Family Court Act 1997 </w:t>
      </w:r>
      <w:r w:rsidR="005F2245">
        <w:t>(WA)</w:t>
      </w:r>
      <w:r w:rsidR="00FE2150">
        <w:t>.</w:t>
      </w:r>
    </w:p>
    <w:p w14:paraId="7ABCECEC" w14:textId="77777777" w:rsidR="00C97869" w:rsidRPr="00CD13A4" w:rsidRDefault="00C97869" w:rsidP="00C97869">
      <w:pPr>
        <w:pStyle w:val="NoSpacing"/>
        <w:rPr>
          <w:rFonts w:ascii="Arial" w:hAnsi="Arial" w:cs="Arial"/>
        </w:rPr>
      </w:pPr>
    </w:p>
    <w:p w14:paraId="3CDA1A9D" w14:textId="77777777" w:rsidR="00C97869" w:rsidRPr="00CD13A4" w:rsidRDefault="00C97869" w:rsidP="00C97869">
      <w:pPr>
        <w:pStyle w:val="NoSpacing"/>
        <w:rPr>
          <w:rFonts w:ascii="Arial" w:hAnsi="Arial" w:cs="Arial"/>
        </w:rPr>
      </w:pPr>
      <w:r w:rsidRPr="00CD13A4">
        <w:rPr>
          <w:rFonts w:ascii="Arial" w:hAnsi="Arial" w:cs="Arial"/>
        </w:rPr>
        <w:t>No further organisations will be invited to apply.</w:t>
      </w:r>
    </w:p>
    <w:p w14:paraId="1274FC2F" w14:textId="195B1DE0" w:rsidR="00890646" w:rsidRPr="00700851" w:rsidRDefault="00890646" w:rsidP="00BB5CF6">
      <w:pPr>
        <w:pStyle w:val="NoSpacing"/>
        <w:rPr>
          <w:rFonts w:ascii="Arial" w:hAnsi="Arial" w:cs="Arial"/>
        </w:rPr>
      </w:pPr>
    </w:p>
    <w:p w14:paraId="2CFB62FA" w14:textId="109D00B4" w:rsidR="00890646" w:rsidRPr="00472A15" w:rsidRDefault="00BB5CF6" w:rsidP="00890646">
      <w:pPr>
        <w:pStyle w:val="Heading2Numbered"/>
        <w:numPr>
          <w:ilvl w:val="0"/>
          <w:numId w:val="0"/>
        </w:numPr>
        <w:spacing w:before="0" w:after="0" w:line="240" w:lineRule="auto"/>
        <w:ind w:left="567" w:hanging="567"/>
        <w:rPr>
          <w:color w:val="000000" w:themeColor="text1"/>
        </w:rPr>
      </w:pPr>
      <w:bookmarkStart w:id="21" w:name="_Toc536094881"/>
      <w:r w:rsidRPr="00DB614C">
        <w:t>3.</w:t>
      </w:r>
      <w:r w:rsidR="00C97869">
        <w:t>2</w:t>
      </w:r>
      <w:r>
        <w:tab/>
      </w:r>
      <w:r w:rsidRPr="00DB614C">
        <w:t>Who is not eligible to apply for a grant?</w:t>
      </w:r>
      <w:bookmarkEnd w:id="21"/>
      <w:r>
        <w:t xml:space="preserve"> </w:t>
      </w:r>
    </w:p>
    <w:p w14:paraId="09B4A177" w14:textId="52A00F72" w:rsidR="00C97869" w:rsidRPr="00CD13A4" w:rsidRDefault="00C97869" w:rsidP="00C97869">
      <w:pPr>
        <w:spacing w:before="60"/>
        <w:contextualSpacing/>
        <w:rPr>
          <w:rStyle w:val="highlightedtextChar"/>
          <w:rFonts w:cstheme="minorHAnsi"/>
          <w:b w:val="0"/>
          <w:color w:val="auto"/>
        </w:rPr>
      </w:pPr>
      <w:bookmarkStart w:id="22" w:name="_Toc528678260"/>
      <w:r w:rsidRPr="00CD13A4">
        <w:rPr>
          <w:rStyle w:val="highlightedtextChar"/>
          <w:rFonts w:cstheme="minorHAnsi"/>
          <w:b w:val="0"/>
          <w:color w:val="auto"/>
        </w:rPr>
        <w:t xml:space="preserve">You are not eligible to apply for this grant opportunity if you are not </w:t>
      </w:r>
      <w:r w:rsidR="00495C57">
        <w:rPr>
          <w:rStyle w:val="highlightedtextChar"/>
          <w:rFonts w:cstheme="minorHAnsi"/>
          <w:b w:val="0"/>
          <w:color w:val="auto"/>
        </w:rPr>
        <w:t>one of the LACs</w:t>
      </w:r>
      <w:r w:rsidRPr="00CD13A4">
        <w:rPr>
          <w:rStyle w:val="highlightedtextChar"/>
          <w:rFonts w:cstheme="minorHAnsi"/>
          <w:b w:val="0"/>
          <w:color w:val="auto"/>
        </w:rPr>
        <w:t xml:space="preserve"> invited. </w:t>
      </w:r>
    </w:p>
    <w:p w14:paraId="26179A1C" w14:textId="7250F820" w:rsidR="000373D5" w:rsidRDefault="000373D5" w:rsidP="000373D5">
      <w:pPr>
        <w:pStyle w:val="Heading1Numbered"/>
        <w:tabs>
          <w:tab w:val="left" w:pos="720"/>
        </w:tabs>
        <w:ind w:left="567"/>
      </w:pPr>
      <w:bookmarkStart w:id="23" w:name="_Toc414983554"/>
      <w:bookmarkStart w:id="24" w:name="_Toc414983971"/>
      <w:bookmarkStart w:id="25" w:name="_Toc414984731"/>
      <w:bookmarkStart w:id="26" w:name="_Toc414984825"/>
      <w:bookmarkStart w:id="27" w:name="_Toc414984929"/>
      <w:bookmarkStart w:id="28" w:name="_Toc414985033"/>
      <w:bookmarkStart w:id="29" w:name="_Toc414985136"/>
      <w:bookmarkStart w:id="30" w:name="_Toc414985238"/>
      <w:bookmarkStart w:id="31" w:name="_Toc533086181"/>
      <w:bookmarkStart w:id="32" w:name="_Toc467773959"/>
      <w:bookmarkStart w:id="33" w:name="_Toc536094882"/>
      <w:bookmarkStart w:id="34" w:name="_Toc467773963"/>
      <w:bookmarkStart w:id="35" w:name="_Ref416444108"/>
      <w:bookmarkStart w:id="36" w:name="_Toc421777599"/>
      <w:bookmarkEnd w:id="20"/>
      <w:bookmarkEnd w:id="22"/>
      <w:bookmarkEnd w:id="23"/>
      <w:bookmarkEnd w:id="24"/>
      <w:bookmarkEnd w:id="25"/>
      <w:bookmarkEnd w:id="26"/>
      <w:bookmarkEnd w:id="27"/>
      <w:bookmarkEnd w:id="28"/>
      <w:bookmarkEnd w:id="29"/>
      <w:bookmarkEnd w:id="30"/>
      <w:r>
        <w:t>Eligible grant activities</w:t>
      </w:r>
      <w:bookmarkEnd w:id="31"/>
      <w:bookmarkEnd w:id="32"/>
      <w:bookmarkEnd w:id="33"/>
    </w:p>
    <w:p w14:paraId="274BD538" w14:textId="1145FFE8" w:rsidR="000373D5" w:rsidRPr="000373D5" w:rsidRDefault="000373D5" w:rsidP="000373D5">
      <w:pPr>
        <w:pStyle w:val="Heading2Numbered"/>
        <w:ind w:left="567"/>
      </w:pPr>
      <w:bookmarkStart w:id="37" w:name="_Toc536094883"/>
      <w:r>
        <w:t>What can the money be used for?</w:t>
      </w:r>
      <w:bookmarkEnd w:id="37"/>
      <w:r>
        <w:t xml:space="preserve"> </w:t>
      </w:r>
    </w:p>
    <w:p w14:paraId="410D0AD0" w14:textId="76FA907E" w:rsidR="005F2245" w:rsidRDefault="005F2245" w:rsidP="00390B8A">
      <w:r>
        <w:t xml:space="preserve">Funding will be available for the cost of providing legal representation for the hearing in which cross-examination is to occur, including the necessary preparatory work for that hearing and, where appropriate, late-stage legally-assisted family dispute resolution. </w:t>
      </w:r>
    </w:p>
    <w:p w14:paraId="58F5DC85" w14:textId="579C1F60" w:rsidR="000373D5" w:rsidRDefault="000373D5" w:rsidP="000373D5">
      <w:pPr>
        <w:spacing w:after="120"/>
      </w:pPr>
      <w:r>
        <w:t xml:space="preserve">Funding will </w:t>
      </w:r>
      <w:r w:rsidR="005F2245">
        <w:t xml:space="preserve">also </w:t>
      </w:r>
      <w:r>
        <w:t xml:space="preserve">be available </w:t>
      </w:r>
      <w:r w:rsidR="005F2245">
        <w:t xml:space="preserve">to the Legal Services Commission of South Australia </w:t>
      </w:r>
      <w:r>
        <w:t xml:space="preserve">for </w:t>
      </w:r>
      <w:r w:rsidR="00327F95">
        <w:t xml:space="preserve">work to </w:t>
      </w:r>
      <w:r>
        <w:t xml:space="preserve">establish the </w:t>
      </w:r>
      <w:r w:rsidR="00AE4EB9">
        <w:t>Program</w:t>
      </w:r>
      <w:r>
        <w:t xml:space="preserve"> in each LAC. This may include the following activities: </w:t>
      </w:r>
    </w:p>
    <w:p w14:paraId="6B19D220" w14:textId="77777777" w:rsidR="000373D5" w:rsidRPr="004E297A" w:rsidRDefault="000373D5" w:rsidP="000373D5">
      <w:pPr>
        <w:pStyle w:val="ListParagraph"/>
        <w:numPr>
          <w:ilvl w:val="0"/>
          <w:numId w:val="35"/>
        </w:numPr>
        <w:spacing w:after="120" w:line="240" w:lineRule="auto"/>
        <w:rPr>
          <w:rFonts w:asciiTheme="minorHAnsi" w:hAnsiTheme="minorHAnsi" w:cstheme="minorHAnsi"/>
        </w:rPr>
      </w:pPr>
      <w:r w:rsidRPr="004E297A">
        <w:rPr>
          <w:rFonts w:asciiTheme="minorHAnsi" w:hAnsiTheme="minorHAnsi" w:cstheme="minorHAnsi"/>
        </w:rPr>
        <w:t>setting up IT systems</w:t>
      </w:r>
    </w:p>
    <w:p w14:paraId="589F0079" w14:textId="77777777" w:rsidR="000373D5" w:rsidRPr="004E297A" w:rsidRDefault="000373D5" w:rsidP="000373D5">
      <w:pPr>
        <w:pStyle w:val="ListParagraph"/>
        <w:numPr>
          <w:ilvl w:val="0"/>
          <w:numId w:val="35"/>
        </w:numPr>
        <w:spacing w:after="120" w:line="240" w:lineRule="auto"/>
        <w:rPr>
          <w:rFonts w:asciiTheme="minorHAnsi" w:hAnsiTheme="minorHAnsi" w:cstheme="minorHAnsi"/>
        </w:rPr>
      </w:pPr>
      <w:r w:rsidRPr="004E297A">
        <w:rPr>
          <w:rFonts w:asciiTheme="minorHAnsi" w:hAnsiTheme="minorHAnsi" w:cstheme="minorHAnsi"/>
        </w:rPr>
        <w:lastRenderedPageBreak/>
        <w:t>establishing panels, including developing standards, case management forms, best practice guidelines,</w:t>
      </w:r>
      <w:r>
        <w:rPr>
          <w:rFonts w:asciiTheme="minorHAnsi" w:hAnsiTheme="minorHAnsi" w:cstheme="minorHAnsi"/>
        </w:rPr>
        <w:t xml:space="preserve"> and</w:t>
      </w:r>
      <w:r w:rsidRPr="00D410E3">
        <w:rPr>
          <w:rFonts w:asciiTheme="minorHAnsi" w:hAnsiTheme="minorHAnsi" w:cstheme="minorHAnsi"/>
        </w:rPr>
        <w:t xml:space="preserve"> training</w:t>
      </w:r>
    </w:p>
    <w:p w14:paraId="66E1FCB1" w14:textId="77777777" w:rsidR="000373D5" w:rsidRPr="004E297A" w:rsidRDefault="000373D5" w:rsidP="000373D5">
      <w:pPr>
        <w:pStyle w:val="ListParagraph"/>
        <w:numPr>
          <w:ilvl w:val="0"/>
          <w:numId w:val="35"/>
        </w:numPr>
        <w:spacing w:after="120" w:line="240" w:lineRule="auto"/>
        <w:rPr>
          <w:rFonts w:asciiTheme="minorHAnsi" w:hAnsiTheme="minorHAnsi" w:cstheme="minorHAnsi"/>
        </w:rPr>
      </w:pPr>
      <w:r w:rsidRPr="004E297A">
        <w:rPr>
          <w:rFonts w:asciiTheme="minorHAnsi" w:hAnsiTheme="minorHAnsi" w:cstheme="minorHAnsi"/>
        </w:rPr>
        <w:t>developing application forms and processes</w:t>
      </w:r>
    </w:p>
    <w:p w14:paraId="06A8113C" w14:textId="4DF2A1E8" w:rsidR="000373D5" w:rsidRDefault="000373D5" w:rsidP="000373D5">
      <w:pPr>
        <w:pStyle w:val="ListParagraph"/>
        <w:numPr>
          <w:ilvl w:val="0"/>
          <w:numId w:val="35"/>
        </w:numPr>
        <w:spacing w:after="120" w:line="240" w:lineRule="auto"/>
        <w:rPr>
          <w:rFonts w:asciiTheme="minorHAnsi" w:hAnsiTheme="minorHAnsi" w:cstheme="minorHAnsi"/>
        </w:rPr>
      </w:pPr>
      <w:r w:rsidRPr="004E297A">
        <w:rPr>
          <w:rFonts w:asciiTheme="minorHAnsi" w:hAnsiTheme="minorHAnsi" w:cstheme="minorHAnsi"/>
        </w:rPr>
        <w:t>developing and implementing administrative processes with the court</w:t>
      </w:r>
      <w:r>
        <w:rPr>
          <w:rFonts w:asciiTheme="minorHAnsi" w:hAnsiTheme="minorHAnsi" w:cstheme="minorHAnsi"/>
        </w:rPr>
        <w:t>.</w:t>
      </w:r>
      <w:r w:rsidRPr="004E297A">
        <w:rPr>
          <w:rFonts w:asciiTheme="minorHAnsi" w:hAnsiTheme="minorHAnsi" w:cstheme="minorHAnsi"/>
        </w:rPr>
        <w:t xml:space="preserve"> </w:t>
      </w:r>
    </w:p>
    <w:p w14:paraId="703A1A5E" w14:textId="0E6D5A9B" w:rsidR="000373D5" w:rsidRPr="000373D5" w:rsidRDefault="000373D5" w:rsidP="000373D5">
      <w:pPr>
        <w:spacing w:after="0" w:line="240" w:lineRule="auto"/>
        <w:contextualSpacing/>
        <w:rPr>
          <w:rFonts w:cstheme="minorHAnsi"/>
          <w:highlight w:val="cyan"/>
        </w:rPr>
      </w:pPr>
      <w:r w:rsidRPr="000373D5">
        <w:rPr>
          <w:rFonts w:cstheme="minorHAnsi"/>
        </w:rPr>
        <w:t xml:space="preserve">You can only spend grant funds on eligible grant activities as defined in the grant details in your grant agreement. </w:t>
      </w:r>
    </w:p>
    <w:p w14:paraId="7B0BABA3" w14:textId="77777777" w:rsidR="000373D5" w:rsidRPr="000373D5" w:rsidRDefault="000373D5" w:rsidP="00873BD3">
      <w:pPr>
        <w:pStyle w:val="BodyText1"/>
      </w:pPr>
    </w:p>
    <w:p w14:paraId="691FC79F" w14:textId="5953B320" w:rsidR="00340616" w:rsidRPr="00B72EE8" w:rsidRDefault="00340616" w:rsidP="003056B9">
      <w:pPr>
        <w:pStyle w:val="Heading1Numbered"/>
        <w:ind w:left="567"/>
      </w:pPr>
      <w:bookmarkStart w:id="38" w:name="_Toc536094884"/>
      <w:r>
        <w:t>The grant s</w:t>
      </w:r>
      <w:r w:rsidRPr="00B72EE8">
        <w:t xml:space="preserve">election </w:t>
      </w:r>
      <w:r>
        <w:t>p</w:t>
      </w:r>
      <w:r w:rsidRPr="00B72EE8">
        <w:t>rocess</w:t>
      </w:r>
      <w:bookmarkEnd w:id="34"/>
      <w:bookmarkEnd w:id="38"/>
    </w:p>
    <w:p w14:paraId="5B8CF364" w14:textId="0FC2F740" w:rsidR="00B240EB" w:rsidRDefault="00935CF8" w:rsidP="005834AD">
      <w:pPr>
        <w:rPr>
          <w:rFonts w:asciiTheme="majorHAnsi" w:hAnsiTheme="majorHAnsi" w:cstheme="majorHAnsi"/>
        </w:rPr>
      </w:pPr>
      <w:r w:rsidRPr="00935CF8">
        <w:rPr>
          <w:rFonts w:asciiTheme="majorHAnsi" w:hAnsiTheme="majorHAnsi" w:cstheme="majorHAnsi"/>
        </w:rPr>
        <w:t xml:space="preserve">This grant opportunity is a </w:t>
      </w:r>
      <w:r>
        <w:rPr>
          <w:rFonts w:asciiTheme="majorHAnsi" w:hAnsiTheme="majorHAnsi" w:cstheme="majorHAnsi"/>
        </w:rPr>
        <w:t>closed</w:t>
      </w:r>
      <w:r w:rsidRPr="00935CF8">
        <w:rPr>
          <w:rFonts w:asciiTheme="majorHAnsi" w:hAnsiTheme="majorHAnsi" w:cstheme="majorHAnsi"/>
        </w:rPr>
        <w:t xml:space="preserve"> non-competitive selection process. This means the </w:t>
      </w:r>
      <w:r w:rsidR="00390B8A">
        <w:rPr>
          <w:rFonts w:asciiTheme="majorHAnsi" w:hAnsiTheme="majorHAnsi" w:cstheme="majorHAnsi"/>
        </w:rPr>
        <w:t>Attorney-General’s Department</w:t>
      </w:r>
      <w:r w:rsidRPr="00935CF8">
        <w:rPr>
          <w:rFonts w:asciiTheme="majorHAnsi" w:hAnsiTheme="majorHAnsi" w:cstheme="majorHAnsi"/>
        </w:rPr>
        <w:t xml:space="preserve"> has identified suitable </w:t>
      </w:r>
      <w:r>
        <w:rPr>
          <w:rFonts w:asciiTheme="majorHAnsi" w:hAnsiTheme="majorHAnsi" w:cstheme="majorHAnsi"/>
        </w:rPr>
        <w:t>LACs</w:t>
      </w:r>
      <w:r w:rsidRPr="00935CF8">
        <w:rPr>
          <w:rFonts w:asciiTheme="majorHAnsi" w:hAnsiTheme="majorHAnsi" w:cstheme="majorHAnsi"/>
        </w:rPr>
        <w:t xml:space="preserve"> and invited them to apply.</w:t>
      </w:r>
    </w:p>
    <w:p w14:paraId="1561B643" w14:textId="02FD5CEB" w:rsidR="00340616" w:rsidRDefault="00340616" w:rsidP="003056B9">
      <w:pPr>
        <w:pStyle w:val="Heading1Numbered"/>
        <w:ind w:left="567"/>
      </w:pPr>
      <w:bookmarkStart w:id="39" w:name="_Ref421697890"/>
      <w:bookmarkStart w:id="40" w:name="_Ref421697892"/>
      <w:bookmarkStart w:id="41" w:name="_Toc421777600"/>
      <w:bookmarkStart w:id="42" w:name="_Toc467773964"/>
      <w:bookmarkStart w:id="43" w:name="_Toc536094885"/>
      <w:bookmarkEnd w:id="35"/>
      <w:bookmarkEnd w:id="36"/>
      <w:r>
        <w:t>The a</w:t>
      </w:r>
      <w:r w:rsidRPr="00B72EE8">
        <w:t xml:space="preserve">ssessment </w:t>
      </w:r>
      <w:r>
        <w:t>c</w:t>
      </w:r>
      <w:r w:rsidRPr="00B72EE8">
        <w:t>riteria</w:t>
      </w:r>
      <w:bookmarkEnd w:id="39"/>
      <w:bookmarkEnd w:id="40"/>
      <w:bookmarkEnd w:id="41"/>
      <w:bookmarkEnd w:id="42"/>
      <w:bookmarkEnd w:id="43"/>
    </w:p>
    <w:p w14:paraId="3345C6EF" w14:textId="75903D18" w:rsidR="00935CF8" w:rsidRDefault="00935CF8" w:rsidP="00935CF8">
      <w:pPr>
        <w:autoSpaceDE w:val="0"/>
        <w:autoSpaceDN w:val="0"/>
        <w:rPr>
          <w:rFonts w:ascii="Arial" w:eastAsia="Times New Roman" w:hAnsi="Arial" w:cs="Arial"/>
          <w:b/>
          <w:bCs/>
        </w:rPr>
      </w:pPr>
      <w:r w:rsidRPr="008F6289">
        <w:t xml:space="preserve">You will need to address the following assessment criteria in your </w:t>
      </w:r>
      <w:r>
        <w:t>Service Delivery Plan Application Form</w:t>
      </w:r>
      <w:r w:rsidRPr="008F6289">
        <w:t>.</w:t>
      </w:r>
    </w:p>
    <w:p w14:paraId="159B4E27" w14:textId="6DB426EA" w:rsidR="00C33C81" w:rsidRPr="00E46281" w:rsidRDefault="00C33C81" w:rsidP="00C33C81">
      <w:pPr>
        <w:autoSpaceDE w:val="0"/>
        <w:autoSpaceDN w:val="0"/>
        <w:rPr>
          <w:rFonts w:ascii="Arial" w:eastAsia="Times New Roman" w:hAnsi="Arial" w:cs="Arial"/>
          <w:b/>
          <w:bCs/>
        </w:rPr>
      </w:pPr>
      <w:r w:rsidRPr="00C33C81">
        <w:rPr>
          <w:rFonts w:ascii="Arial" w:eastAsia="Times New Roman" w:hAnsi="Arial" w:cs="Arial"/>
          <w:b/>
          <w:bCs/>
        </w:rPr>
        <w:t>Provide a description of how your organisation will deliver the services in accordance with</w:t>
      </w:r>
      <w:r w:rsidR="001A6968">
        <w:rPr>
          <w:rFonts w:ascii="Arial" w:eastAsia="Times New Roman" w:hAnsi="Arial" w:cs="Arial"/>
          <w:b/>
          <w:bCs/>
        </w:rPr>
        <w:t xml:space="preserve"> the requirements of the grant.</w:t>
      </w:r>
    </w:p>
    <w:p w14:paraId="03F03E45" w14:textId="5387B052" w:rsidR="00C33C81" w:rsidRPr="00390B8A" w:rsidRDefault="00CC4230" w:rsidP="00390B8A">
      <w:pPr>
        <w:pStyle w:val="NormalWeb"/>
        <w:spacing w:before="0" w:after="0"/>
        <w:rPr>
          <w:rFonts w:asciiTheme="minorHAnsi" w:hAnsiTheme="minorHAnsi" w:cstheme="minorHAnsi"/>
        </w:rPr>
      </w:pPr>
      <w:r>
        <w:rPr>
          <w:rFonts w:asciiTheme="minorHAnsi" w:hAnsiTheme="minorHAnsi" w:cstheme="minorHAnsi"/>
          <w:sz w:val="22"/>
          <w:szCs w:val="22"/>
        </w:rPr>
        <w:t>In responding to this criteria you should:</w:t>
      </w:r>
    </w:p>
    <w:p w14:paraId="17A7B30A" w14:textId="455C3F09" w:rsidR="00C33C81" w:rsidRPr="00C33C81" w:rsidRDefault="00C33C81" w:rsidP="00C33C81">
      <w:pPr>
        <w:pStyle w:val="ListParagraph"/>
        <w:numPr>
          <w:ilvl w:val="0"/>
          <w:numId w:val="31"/>
        </w:numPr>
        <w:autoSpaceDE w:val="0"/>
        <w:autoSpaceDN w:val="0"/>
        <w:spacing w:after="120" w:line="240" w:lineRule="auto"/>
        <w:rPr>
          <w:rFonts w:asciiTheme="minorHAnsi" w:hAnsiTheme="minorHAnsi" w:cstheme="minorHAnsi"/>
          <w:color w:val="000000"/>
        </w:rPr>
      </w:pPr>
      <w:r w:rsidRPr="00C33C81">
        <w:rPr>
          <w:rFonts w:asciiTheme="minorHAnsi" w:hAnsiTheme="minorHAnsi" w:cstheme="minorHAnsi"/>
          <w:color w:val="000000"/>
        </w:rPr>
        <w:t>Provide a description of the services you will provide, including an outline of the service delivery models that your organisation will use to deliver the activity.</w:t>
      </w:r>
    </w:p>
    <w:p w14:paraId="7D627A74" w14:textId="5E15BB5B" w:rsidR="00C33C81" w:rsidRPr="00C33C81" w:rsidRDefault="00C33C81" w:rsidP="00C33C81">
      <w:pPr>
        <w:pStyle w:val="ListParagraph"/>
        <w:numPr>
          <w:ilvl w:val="0"/>
          <w:numId w:val="31"/>
        </w:numPr>
        <w:autoSpaceDE w:val="0"/>
        <w:autoSpaceDN w:val="0"/>
        <w:spacing w:after="120" w:line="240" w:lineRule="auto"/>
        <w:rPr>
          <w:rFonts w:asciiTheme="minorHAnsi" w:hAnsiTheme="minorHAnsi" w:cstheme="minorHAnsi"/>
          <w:color w:val="000000"/>
        </w:rPr>
      </w:pPr>
      <w:r w:rsidRPr="00C33C81">
        <w:rPr>
          <w:rFonts w:asciiTheme="minorHAnsi" w:hAnsiTheme="minorHAnsi" w:cstheme="minorHAnsi"/>
          <w:color w:val="000000"/>
        </w:rPr>
        <w:t>Outline how your organisation will use grant funding to develop and implement the activity.</w:t>
      </w:r>
    </w:p>
    <w:p w14:paraId="0D2245B5" w14:textId="18693309" w:rsidR="00C33C81" w:rsidRPr="00C33C81" w:rsidRDefault="00C33C81" w:rsidP="00C33C81">
      <w:pPr>
        <w:pStyle w:val="ListParagraph"/>
        <w:numPr>
          <w:ilvl w:val="0"/>
          <w:numId w:val="31"/>
        </w:numPr>
        <w:autoSpaceDE w:val="0"/>
        <w:autoSpaceDN w:val="0"/>
        <w:spacing w:after="120" w:line="240" w:lineRule="auto"/>
        <w:rPr>
          <w:rFonts w:asciiTheme="minorHAnsi" w:hAnsiTheme="minorHAnsi" w:cstheme="minorHAnsi"/>
          <w:color w:val="000000"/>
        </w:rPr>
      </w:pPr>
      <w:r w:rsidRPr="00C33C81">
        <w:rPr>
          <w:rFonts w:asciiTheme="minorHAnsi" w:hAnsiTheme="minorHAnsi" w:cstheme="minorHAnsi"/>
          <w:color w:val="000000"/>
        </w:rPr>
        <w:t xml:space="preserve">Describe how your organisation </w:t>
      </w:r>
      <w:r w:rsidRPr="00C33C81">
        <w:rPr>
          <w:rStyle w:val="CommentReference"/>
          <w:rFonts w:asciiTheme="minorHAnsi" w:hAnsiTheme="minorHAnsi" w:cstheme="minorHAnsi"/>
          <w:sz w:val="22"/>
          <w:szCs w:val="22"/>
        </w:rPr>
        <w:t>will have</w:t>
      </w:r>
      <w:r w:rsidRPr="00C33C81">
        <w:rPr>
          <w:rFonts w:asciiTheme="minorHAnsi" w:hAnsiTheme="minorHAnsi" w:cstheme="minorHAnsi"/>
        </w:rPr>
        <w:t xml:space="preserve"> sufficient resources to provide legal representation</w:t>
      </w:r>
      <w:r w:rsidR="00281046">
        <w:rPr>
          <w:rFonts w:asciiTheme="minorHAnsi" w:hAnsiTheme="minorHAnsi" w:cstheme="minorHAnsi"/>
        </w:rPr>
        <w:t>.</w:t>
      </w:r>
    </w:p>
    <w:p w14:paraId="5AD308AC" w14:textId="57C81E32" w:rsidR="00C33C81" w:rsidRPr="00B2570D" w:rsidRDefault="00C33C81" w:rsidP="003056B9">
      <w:pPr>
        <w:pStyle w:val="ListParagraph"/>
        <w:numPr>
          <w:ilvl w:val="0"/>
          <w:numId w:val="31"/>
        </w:numPr>
        <w:autoSpaceDE w:val="0"/>
        <w:autoSpaceDN w:val="0"/>
        <w:spacing w:after="120" w:line="240" w:lineRule="auto"/>
        <w:rPr>
          <w:rFonts w:asciiTheme="minorHAnsi" w:hAnsiTheme="minorHAnsi" w:cstheme="minorHAnsi"/>
          <w:color w:val="000000"/>
        </w:rPr>
      </w:pPr>
      <w:r w:rsidRPr="00C33C81">
        <w:rPr>
          <w:rFonts w:asciiTheme="minorHAnsi" w:hAnsiTheme="minorHAnsi" w:cstheme="minorHAnsi"/>
        </w:rPr>
        <w:t>Identify how your organisation will measure outcomes and meet reporting requirements</w:t>
      </w:r>
      <w:r w:rsidR="00281046">
        <w:rPr>
          <w:rFonts w:asciiTheme="minorHAnsi" w:hAnsiTheme="minorHAnsi" w:cstheme="minorHAnsi"/>
        </w:rPr>
        <w:t>.</w:t>
      </w:r>
    </w:p>
    <w:p w14:paraId="333B3F0E" w14:textId="571F92D7" w:rsidR="00B2570D" w:rsidRPr="00B2570D" w:rsidRDefault="00B2570D" w:rsidP="00B2570D">
      <w:pPr>
        <w:autoSpaceDE w:val="0"/>
        <w:autoSpaceDN w:val="0"/>
        <w:spacing w:after="120" w:line="240" w:lineRule="auto"/>
        <w:rPr>
          <w:rFonts w:cstheme="minorHAnsi"/>
          <w:color w:val="000000"/>
        </w:rPr>
      </w:pPr>
      <w:r w:rsidRPr="00B2570D">
        <w:rPr>
          <w:rFonts w:cstheme="minorHAnsi"/>
          <w:color w:val="000000"/>
        </w:rPr>
        <w:t xml:space="preserve">The application form includes word limits – up to </w:t>
      </w:r>
      <w:r w:rsidR="006732E4">
        <w:rPr>
          <w:rFonts w:cstheme="minorHAnsi"/>
          <w:color w:val="000000"/>
        </w:rPr>
        <w:t>9</w:t>
      </w:r>
      <w:r w:rsidRPr="00B2570D">
        <w:rPr>
          <w:rFonts w:cstheme="minorHAnsi"/>
          <w:color w:val="000000"/>
        </w:rPr>
        <w:t>00 words per criteria. The application form will not accept words beyond this limit.</w:t>
      </w:r>
    </w:p>
    <w:p w14:paraId="1D268FFE" w14:textId="581D897A" w:rsidR="00340616" w:rsidRDefault="00340616" w:rsidP="003056B9">
      <w:pPr>
        <w:pStyle w:val="Heading1Numbered"/>
        <w:ind w:left="567"/>
      </w:pPr>
      <w:bookmarkStart w:id="44" w:name="_Toc421777611"/>
      <w:bookmarkStart w:id="45" w:name="_Toc467773965"/>
      <w:bookmarkStart w:id="46" w:name="_Toc536094886"/>
      <w:bookmarkStart w:id="47" w:name="_Toc421777601"/>
      <w:r>
        <w:t>The grant application p</w:t>
      </w:r>
      <w:r w:rsidRPr="00B72EE8">
        <w:t>rocess</w:t>
      </w:r>
      <w:bookmarkEnd w:id="44"/>
      <w:bookmarkEnd w:id="45"/>
      <w:bookmarkEnd w:id="46"/>
    </w:p>
    <w:p w14:paraId="6B6EC595" w14:textId="77777777" w:rsidR="00340616" w:rsidRPr="009D325B" w:rsidRDefault="00340616" w:rsidP="006B09D1">
      <w:pPr>
        <w:pStyle w:val="Heading2Numbered"/>
        <w:ind w:left="567"/>
      </w:pPr>
      <w:bookmarkStart w:id="48" w:name="_Toc421777612"/>
      <w:bookmarkStart w:id="49" w:name="_Toc467773966"/>
      <w:bookmarkStart w:id="50" w:name="_Toc536094887"/>
      <w:r w:rsidRPr="009D325B">
        <w:t>Overview of application process</w:t>
      </w:r>
      <w:bookmarkEnd w:id="48"/>
      <w:bookmarkEnd w:id="49"/>
      <w:bookmarkEnd w:id="50"/>
    </w:p>
    <w:p w14:paraId="17409A17" w14:textId="59620D52" w:rsidR="00025E0E" w:rsidRDefault="00025E0E" w:rsidP="00025E0E">
      <w:r>
        <w:t>You must read these grant guidelines, the Service Delivery Plan</w:t>
      </w:r>
      <w:r w:rsidR="00935CF8">
        <w:t xml:space="preserve"> Application Form</w:t>
      </w:r>
      <w:r w:rsidRPr="00025E0E">
        <w:t>,</w:t>
      </w:r>
      <w:r>
        <w:t xml:space="preserve"> the grant agreement terms and conditions</w:t>
      </w:r>
      <w:r w:rsidR="00935CF8">
        <w:t xml:space="preserve">, </w:t>
      </w:r>
      <w:r>
        <w:t xml:space="preserve">questions and answers </w:t>
      </w:r>
      <w:r w:rsidR="00935CF8">
        <w:t xml:space="preserve">and draft grant agreement </w:t>
      </w:r>
      <w:r>
        <w:t xml:space="preserve">prior to submitting an application. </w:t>
      </w:r>
    </w:p>
    <w:p w14:paraId="24643248" w14:textId="77777777" w:rsidR="00025E0E" w:rsidRDefault="00025E0E" w:rsidP="00025E0E">
      <w:r>
        <w:lastRenderedPageBreak/>
        <w:t xml:space="preserve">You are responsible for ensuring that your application is complete and accurate. Giving false or misleading information will exclude your application from further consideration. </w:t>
      </w:r>
    </w:p>
    <w:p w14:paraId="74B1AD68" w14:textId="2FADD144" w:rsidR="00025E0E" w:rsidRDefault="00025E0E" w:rsidP="00E53DBE">
      <w:pPr>
        <w:rPr>
          <w:highlight w:val="yellow"/>
        </w:rPr>
      </w:pPr>
      <w:r>
        <w:t>Please keep a copy of your application and any supporting papers.</w:t>
      </w:r>
    </w:p>
    <w:p w14:paraId="45EFB68F" w14:textId="77777777" w:rsidR="00340616" w:rsidRPr="00B72EE8" w:rsidRDefault="00340616" w:rsidP="006B09D1">
      <w:pPr>
        <w:pStyle w:val="Heading2Numbered"/>
        <w:ind w:left="426"/>
      </w:pPr>
      <w:bookmarkStart w:id="51" w:name="_Toc467773967"/>
      <w:bookmarkStart w:id="52" w:name="_Toc536094888"/>
      <w:bookmarkStart w:id="53" w:name="_Toc421777613"/>
      <w:bookmarkStart w:id="54" w:name="_Ref421787098"/>
      <w:bookmarkStart w:id="55" w:name="_Ref422127559"/>
      <w:bookmarkStart w:id="56" w:name="_Ref422128505"/>
      <w:r>
        <w:t>Application p</w:t>
      </w:r>
      <w:r w:rsidRPr="00B72EE8">
        <w:t xml:space="preserve">rocess </w:t>
      </w:r>
      <w:r>
        <w:t>t</w:t>
      </w:r>
      <w:r w:rsidRPr="00B72EE8">
        <w:t>iming</w:t>
      </w:r>
      <w:bookmarkEnd w:id="51"/>
      <w:bookmarkEnd w:id="52"/>
      <w:r w:rsidRPr="00B72EE8">
        <w:t xml:space="preserve"> </w:t>
      </w:r>
      <w:bookmarkEnd w:id="53"/>
      <w:bookmarkEnd w:id="54"/>
      <w:bookmarkEnd w:id="55"/>
      <w:bookmarkEnd w:id="56"/>
    </w:p>
    <w:p w14:paraId="7152DBE0" w14:textId="77777777" w:rsidR="00732F28" w:rsidRDefault="00732F28" w:rsidP="00732F28">
      <w:r>
        <w:t xml:space="preserve">You must submit an application between the published opening and closing dates and times. </w:t>
      </w:r>
    </w:p>
    <w:p w14:paraId="6BCA081E" w14:textId="0D0ABBD0" w:rsidR="00732F28" w:rsidRDefault="00732F28" w:rsidP="00732F28">
      <w:r>
        <w:t>The Community Grants Hub will not accept late applications unless an applicant has experienced exceptional circumstances that prevent the submission of the application. Broadly, exceptional circumstances are events characterised by one or more of the following:</w:t>
      </w:r>
    </w:p>
    <w:p w14:paraId="40A66348" w14:textId="7CA82973" w:rsidR="00732F28" w:rsidRDefault="004779CE" w:rsidP="000A5778">
      <w:pPr>
        <w:numPr>
          <w:ilvl w:val="0"/>
          <w:numId w:val="20"/>
        </w:numPr>
        <w:suppressAutoHyphens w:val="0"/>
        <w:spacing w:before="40" w:after="120"/>
        <w:contextualSpacing/>
        <w:rPr>
          <w:rFonts w:eastAsia="Times New Roman"/>
        </w:rPr>
      </w:pPr>
      <w:r>
        <w:rPr>
          <w:rFonts w:eastAsia="Times New Roman"/>
        </w:rPr>
        <w:t>reasonably unforeseeable</w:t>
      </w:r>
    </w:p>
    <w:p w14:paraId="4A3B88B6" w14:textId="040D09C1" w:rsidR="00732F28" w:rsidRDefault="004779CE" w:rsidP="000A5778">
      <w:pPr>
        <w:numPr>
          <w:ilvl w:val="0"/>
          <w:numId w:val="20"/>
        </w:numPr>
        <w:suppressAutoHyphens w:val="0"/>
        <w:spacing w:before="40" w:after="120"/>
        <w:contextualSpacing/>
        <w:rPr>
          <w:rFonts w:eastAsia="Times New Roman"/>
        </w:rPr>
      </w:pPr>
      <w:r>
        <w:rPr>
          <w:rFonts w:eastAsia="Times New Roman"/>
        </w:rPr>
        <w:t>beyond the applicant’s control</w:t>
      </w:r>
    </w:p>
    <w:p w14:paraId="68F899DD" w14:textId="77777777" w:rsidR="00732F28" w:rsidRDefault="00732F28" w:rsidP="000A5778">
      <w:pPr>
        <w:numPr>
          <w:ilvl w:val="0"/>
          <w:numId w:val="20"/>
        </w:numPr>
        <w:suppressAutoHyphens w:val="0"/>
        <w:spacing w:before="40" w:after="120"/>
        <w:contextualSpacing/>
        <w:rPr>
          <w:rFonts w:eastAsia="Times New Roman"/>
        </w:rPr>
      </w:pPr>
      <w:r>
        <w:rPr>
          <w:rFonts w:eastAsia="Times New Roman"/>
        </w:rPr>
        <w:t xml:space="preserve">unable to be managed or resolved within the application period. </w:t>
      </w:r>
    </w:p>
    <w:p w14:paraId="243394C5" w14:textId="77777777" w:rsidR="00732F28" w:rsidRDefault="00732F28" w:rsidP="00732F28">
      <w:r>
        <w:t>Exceptional circumstances will be considered on their merits and in accordance with probity principles.</w:t>
      </w:r>
    </w:p>
    <w:p w14:paraId="2C6D2BD9" w14:textId="77777777" w:rsidR="00732F28" w:rsidRDefault="00732F28" w:rsidP="00732F28">
      <w:pPr>
        <w:rPr>
          <w:b/>
          <w:bCs/>
        </w:rPr>
      </w:pPr>
      <w:r>
        <w:rPr>
          <w:b/>
          <w:bCs/>
        </w:rPr>
        <w:t>How to lodge a late application</w:t>
      </w:r>
    </w:p>
    <w:p w14:paraId="63985C0E" w14:textId="11D4A3C0" w:rsidR="00B63DF5" w:rsidRPr="00B63DF5" w:rsidRDefault="00B63DF5" w:rsidP="00B63DF5">
      <w:r w:rsidRPr="00B63DF5">
        <w:t xml:space="preserve">Applicants asking to submit a late application are required to submit a late application request to the Community Grants Hub Hotline via </w:t>
      </w:r>
      <w:hyperlink r:id="rId13" w:history="1">
        <w:r w:rsidRPr="00B63DF5">
          <w:rPr>
            <w:rFonts w:cs="MuseoSans-500"/>
            <w:u w:val="single" w:color="0070C0"/>
          </w:rPr>
          <w:t>support@communitygrants.gov.au</w:t>
        </w:r>
      </w:hyperlink>
      <w:r w:rsidRPr="00B63DF5">
        <w:t>.</w:t>
      </w:r>
    </w:p>
    <w:p w14:paraId="67105F86" w14:textId="4AC1A785" w:rsidR="00B63DF5" w:rsidRPr="00B63DF5" w:rsidRDefault="00B63DF5" w:rsidP="00B63DF5">
      <w:pPr>
        <w:spacing w:before="120" w:after="140"/>
        <w:rPr>
          <w:color w:val="000000"/>
        </w:rPr>
      </w:pPr>
      <w:r w:rsidRPr="00B63DF5">
        <w:rPr>
          <w:color w:val="000000"/>
        </w:rPr>
        <w:t xml:space="preserve">The request should include a detailed explanation of the circumstances that prevented the application being submitted before the closing time. Where appropriate, supporting evidence can be provided to confirm the claim. </w:t>
      </w:r>
    </w:p>
    <w:p w14:paraId="7A2D7ABB" w14:textId="77777777" w:rsidR="00B63DF5" w:rsidRPr="00B63DF5" w:rsidRDefault="00B63DF5" w:rsidP="00B63DF5">
      <w:r w:rsidRPr="00B63DF5">
        <w:t xml:space="preserve">Written requests to submit a late application will only be accepted within three days after the grant opportunity has closed. </w:t>
      </w:r>
    </w:p>
    <w:p w14:paraId="3DCA5D15" w14:textId="77777777" w:rsidR="00B63DF5" w:rsidRPr="00B63DF5" w:rsidRDefault="00B63DF5" w:rsidP="00B63DF5">
      <w:r w:rsidRPr="00B63DF5">
        <w:t>The delegate or their appointed representative</w:t>
      </w:r>
      <w:r w:rsidRPr="00B63DF5">
        <w:rPr>
          <w:vertAlign w:val="superscript"/>
        </w:rPr>
        <w:footnoteReference w:customMarkFollows="1" w:id="3"/>
        <w:t>[1]</w:t>
      </w:r>
      <w:r w:rsidRPr="00B63DF5">
        <w:t xml:space="preserve"> will determine if a late application will be accepted. The delegate’s decision is final and no review or appeals process will be allowed.</w:t>
      </w:r>
    </w:p>
    <w:p w14:paraId="1761BFEE" w14:textId="77777777" w:rsidR="00B63DF5" w:rsidRPr="00B63DF5" w:rsidRDefault="00B63DF5" w:rsidP="00B63DF5">
      <w:r w:rsidRPr="00B63DF5">
        <w:t>Once the outcome is made, the Community Grants Hub will let the applicant know if their request is accepted or declined.</w:t>
      </w:r>
    </w:p>
    <w:p w14:paraId="12C58B15" w14:textId="314B3183" w:rsidR="00340616" w:rsidRPr="003D5B29" w:rsidRDefault="00340616" w:rsidP="00340616">
      <w:pPr>
        <w:spacing w:before="200"/>
      </w:pPr>
      <w:r w:rsidRPr="003D5B29">
        <w:t xml:space="preserve">The expected commencement date for the granting activities is </w:t>
      </w:r>
      <w:r w:rsidR="000C6035" w:rsidRPr="003D5B29">
        <w:t>March 2019</w:t>
      </w:r>
      <w:r w:rsidRPr="003D5B29">
        <w:t xml:space="preserve"> and the expected completion date is</w:t>
      </w:r>
      <w:r w:rsidR="000C6035" w:rsidRPr="003D5B29">
        <w:t xml:space="preserve"> by</w:t>
      </w:r>
      <w:r w:rsidRPr="003D5B29">
        <w:t xml:space="preserve"> </w:t>
      </w:r>
      <w:r w:rsidR="002C2983" w:rsidRPr="003D5B29">
        <w:t xml:space="preserve">30 </w:t>
      </w:r>
      <w:r w:rsidR="000C6035" w:rsidRPr="003D5B29">
        <w:t>June 2023.</w:t>
      </w:r>
    </w:p>
    <w:p w14:paraId="3F756584" w14:textId="77777777" w:rsidR="0054078D" w:rsidRPr="003D5B29" w:rsidRDefault="0054078D" w:rsidP="0054078D">
      <w:pPr>
        <w:pStyle w:val="Caption"/>
        <w:keepNext/>
      </w:pPr>
      <w:bookmarkStart w:id="57" w:name="_Toc467773968"/>
      <w:r w:rsidRPr="003D5B29">
        <w:rPr>
          <w:bCs/>
          <w:iCs w:val="0"/>
        </w:rPr>
        <w:t>Table 1: Expected timing for this grant opportunity</w:t>
      </w:r>
      <w:bookmarkEnd w:id="57"/>
      <w:r w:rsidRPr="003D5B29">
        <w:t xml:space="preserve"> </w:t>
      </w:r>
    </w:p>
    <w:tbl>
      <w:tblPr>
        <w:tblStyle w:val="Finance1"/>
        <w:tblW w:w="8789" w:type="dxa"/>
        <w:tblLook w:val="0660" w:firstRow="1" w:lastRow="1" w:firstColumn="0" w:lastColumn="0" w:noHBand="1" w:noVBand="1"/>
        <w:tblCaption w:val="Expected Timing"/>
        <w:tblDescription w:val="Expected Timing"/>
      </w:tblPr>
      <w:tblGrid>
        <w:gridCol w:w="5387"/>
        <w:gridCol w:w="3402"/>
      </w:tblGrid>
      <w:tr w:rsidR="0054078D" w:rsidRPr="003D5B29" w14:paraId="70EA206C" w14:textId="77777777" w:rsidTr="003E60A5">
        <w:trPr>
          <w:cnfStyle w:val="100000000000" w:firstRow="1" w:lastRow="0" w:firstColumn="0" w:lastColumn="0" w:oddVBand="0" w:evenVBand="0" w:oddHBand="0" w:evenHBand="0" w:firstRowFirstColumn="0" w:firstRowLastColumn="0" w:lastRowFirstColumn="0" w:lastRowLastColumn="0"/>
        </w:trPr>
        <w:tc>
          <w:tcPr>
            <w:tcW w:w="5387" w:type="dxa"/>
          </w:tcPr>
          <w:p w14:paraId="15C45E56" w14:textId="77777777" w:rsidR="0054078D" w:rsidRPr="003D5B29" w:rsidRDefault="0054078D" w:rsidP="00E44E21">
            <w:pPr>
              <w:pStyle w:val="TableText"/>
            </w:pPr>
            <w:r w:rsidRPr="003D5B29">
              <w:t>Activity</w:t>
            </w:r>
          </w:p>
        </w:tc>
        <w:tc>
          <w:tcPr>
            <w:tcW w:w="3402" w:type="dxa"/>
          </w:tcPr>
          <w:p w14:paraId="2963B381" w14:textId="77777777" w:rsidR="0054078D" w:rsidRPr="003D5B29" w:rsidRDefault="0054078D" w:rsidP="0054078D">
            <w:pPr>
              <w:pStyle w:val="TableText"/>
              <w:jc w:val="center"/>
            </w:pPr>
            <w:r w:rsidRPr="003D5B29">
              <w:t>Timeframe</w:t>
            </w:r>
          </w:p>
        </w:tc>
      </w:tr>
      <w:tr w:rsidR="0054078D" w:rsidRPr="003D5B29" w14:paraId="0F6DAE46" w14:textId="77777777" w:rsidTr="0054078D">
        <w:tc>
          <w:tcPr>
            <w:tcW w:w="5387" w:type="dxa"/>
          </w:tcPr>
          <w:p w14:paraId="60EAB0CA" w14:textId="77777777" w:rsidR="0054078D" w:rsidRPr="003D5B29" w:rsidRDefault="0054078D" w:rsidP="0054078D">
            <w:pPr>
              <w:pStyle w:val="TableText"/>
            </w:pPr>
            <w:r w:rsidRPr="003D5B29">
              <w:t xml:space="preserve">Application period </w:t>
            </w:r>
          </w:p>
        </w:tc>
        <w:tc>
          <w:tcPr>
            <w:tcW w:w="3402" w:type="dxa"/>
          </w:tcPr>
          <w:p w14:paraId="268D2268" w14:textId="78F95974" w:rsidR="0054078D" w:rsidRPr="00FB3370" w:rsidRDefault="000C6035" w:rsidP="0054078D">
            <w:pPr>
              <w:pStyle w:val="TableText"/>
            </w:pPr>
            <w:r w:rsidRPr="00FB3370">
              <w:t xml:space="preserve">Open: </w:t>
            </w:r>
            <w:r w:rsidR="003B3C72" w:rsidRPr="00FB3370">
              <w:t>30</w:t>
            </w:r>
            <w:r w:rsidR="00AC2E4C" w:rsidRPr="00FB3370">
              <w:t xml:space="preserve"> January 2019</w:t>
            </w:r>
            <w:r w:rsidR="008168D1" w:rsidRPr="00FB3370">
              <w:br/>
              <w:t>Close: 2pm AE</w:t>
            </w:r>
            <w:r w:rsidR="00B63DF5" w:rsidRPr="00FB3370">
              <w:t>D</w:t>
            </w:r>
            <w:r w:rsidRPr="00FB3370">
              <w:t xml:space="preserve">T on </w:t>
            </w:r>
            <w:r w:rsidR="003B3C72" w:rsidRPr="00FB3370">
              <w:t>12 February</w:t>
            </w:r>
            <w:r w:rsidR="00F525B2" w:rsidRPr="00FB3370">
              <w:t xml:space="preserve"> 2019</w:t>
            </w:r>
          </w:p>
        </w:tc>
      </w:tr>
      <w:tr w:rsidR="0054078D" w:rsidRPr="003D5B29" w14:paraId="571509B2" w14:textId="77777777" w:rsidTr="0054078D">
        <w:tc>
          <w:tcPr>
            <w:tcW w:w="5387" w:type="dxa"/>
          </w:tcPr>
          <w:p w14:paraId="7DC379A2" w14:textId="4946BD94" w:rsidR="0054078D" w:rsidRPr="003D5B29" w:rsidRDefault="00F525B2" w:rsidP="0054078D">
            <w:pPr>
              <w:pStyle w:val="TableText"/>
            </w:pPr>
            <w:r w:rsidRPr="003D5B29">
              <w:t>Review</w:t>
            </w:r>
            <w:r w:rsidR="0054078D" w:rsidRPr="003D5B29">
              <w:t xml:space="preserve"> of applications</w:t>
            </w:r>
          </w:p>
        </w:tc>
        <w:tc>
          <w:tcPr>
            <w:tcW w:w="3402" w:type="dxa"/>
          </w:tcPr>
          <w:p w14:paraId="4F1E439F" w14:textId="09784436" w:rsidR="0054078D" w:rsidRPr="00FB3370" w:rsidRDefault="00626ED3" w:rsidP="0054078D">
            <w:pPr>
              <w:pStyle w:val="TableText"/>
            </w:pPr>
            <w:r w:rsidRPr="00FB3370">
              <w:t>Up to 1</w:t>
            </w:r>
            <w:r w:rsidR="00F525B2" w:rsidRPr="00FB3370">
              <w:t xml:space="preserve"> week</w:t>
            </w:r>
          </w:p>
        </w:tc>
      </w:tr>
      <w:tr w:rsidR="0054078D" w:rsidRPr="003D5B29" w14:paraId="5861F065" w14:textId="77777777" w:rsidTr="0054078D">
        <w:tc>
          <w:tcPr>
            <w:tcW w:w="5387" w:type="dxa"/>
          </w:tcPr>
          <w:p w14:paraId="5D21D0D2" w14:textId="77777777" w:rsidR="0054078D" w:rsidRPr="003D5B29" w:rsidRDefault="0054078D" w:rsidP="0054078D">
            <w:pPr>
              <w:pStyle w:val="TableText"/>
            </w:pPr>
            <w:r w:rsidRPr="003D5B29">
              <w:lastRenderedPageBreak/>
              <w:t>Approval of outcomes of selection process</w:t>
            </w:r>
          </w:p>
        </w:tc>
        <w:tc>
          <w:tcPr>
            <w:tcW w:w="3402" w:type="dxa"/>
          </w:tcPr>
          <w:p w14:paraId="7554FC5A" w14:textId="71F2F98F" w:rsidR="0054078D" w:rsidRPr="003D5B29" w:rsidRDefault="00F525B2" w:rsidP="0054078D">
            <w:pPr>
              <w:pStyle w:val="TableText"/>
            </w:pPr>
            <w:r w:rsidRPr="003D5B29">
              <w:t>Up to 2 weeks</w:t>
            </w:r>
          </w:p>
        </w:tc>
      </w:tr>
      <w:tr w:rsidR="0054078D" w:rsidRPr="003D5B29" w14:paraId="0E22A5CB" w14:textId="77777777" w:rsidTr="0054078D">
        <w:tc>
          <w:tcPr>
            <w:tcW w:w="5387" w:type="dxa"/>
          </w:tcPr>
          <w:p w14:paraId="40503B84" w14:textId="77777777" w:rsidR="0054078D" w:rsidRPr="003D5B29" w:rsidRDefault="0054078D" w:rsidP="0054078D">
            <w:pPr>
              <w:pStyle w:val="TableText"/>
            </w:pPr>
            <w:r w:rsidRPr="003D5B29">
              <w:t>Negotiations and award of grant agreements</w:t>
            </w:r>
          </w:p>
        </w:tc>
        <w:tc>
          <w:tcPr>
            <w:tcW w:w="3402" w:type="dxa"/>
          </w:tcPr>
          <w:p w14:paraId="61081536" w14:textId="73BF1C5D" w:rsidR="0054078D" w:rsidRPr="003D5B29" w:rsidRDefault="00626ED3" w:rsidP="0054078D">
            <w:pPr>
              <w:pStyle w:val="TableText"/>
            </w:pPr>
            <w:r w:rsidRPr="003D5B29">
              <w:t>Up to 2</w:t>
            </w:r>
            <w:r w:rsidR="00BB002F" w:rsidRPr="003D5B29">
              <w:t xml:space="preserve"> week</w:t>
            </w:r>
            <w:r w:rsidRPr="003D5B29">
              <w:t>s</w:t>
            </w:r>
          </w:p>
        </w:tc>
      </w:tr>
      <w:tr w:rsidR="0054078D" w:rsidRPr="003D5B29" w14:paraId="249D5433" w14:textId="77777777" w:rsidTr="0054078D">
        <w:tc>
          <w:tcPr>
            <w:tcW w:w="5387" w:type="dxa"/>
          </w:tcPr>
          <w:p w14:paraId="623F02CF" w14:textId="5CF9F993" w:rsidR="0054078D" w:rsidRPr="003D5B29" w:rsidRDefault="0054078D" w:rsidP="0054078D">
            <w:pPr>
              <w:pStyle w:val="TableText"/>
            </w:pPr>
            <w:r w:rsidRPr="003D5B29">
              <w:t xml:space="preserve">Notification to </w:t>
            </w:r>
            <w:r w:rsidR="008168D1" w:rsidRPr="003D5B29">
              <w:t>unsuccessful</w:t>
            </w:r>
            <w:r w:rsidR="000C6035" w:rsidRPr="003D5B29">
              <w:t xml:space="preserve"> </w:t>
            </w:r>
            <w:r w:rsidRPr="003D5B29">
              <w:t>applicants</w:t>
            </w:r>
          </w:p>
        </w:tc>
        <w:tc>
          <w:tcPr>
            <w:tcW w:w="3402" w:type="dxa"/>
          </w:tcPr>
          <w:p w14:paraId="265BA388" w14:textId="2FA2936C" w:rsidR="0054078D" w:rsidRPr="003D5B29" w:rsidRDefault="00BB002F" w:rsidP="0054078D">
            <w:pPr>
              <w:pStyle w:val="TableText"/>
            </w:pPr>
            <w:r w:rsidRPr="003D5B29">
              <w:t xml:space="preserve">Up to </w:t>
            </w:r>
            <w:r w:rsidR="000C6035" w:rsidRPr="003D5B29">
              <w:t>1</w:t>
            </w:r>
            <w:r w:rsidR="0054078D" w:rsidRPr="003D5B29">
              <w:t xml:space="preserve"> </w:t>
            </w:r>
            <w:r w:rsidR="000C6035" w:rsidRPr="003D5B29">
              <w:t>week</w:t>
            </w:r>
          </w:p>
        </w:tc>
      </w:tr>
      <w:tr w:rsidR="0054078D" w14:paraId="01E50D86" w14:textId="77777777" w:rsidTr="0054078D">
        <w:tc>
          <w:tcPr>
            <w:tcW w:w="5387" w:type="dxa"/>
          </w:tcPr>
          <w:p w14:paraId="42B4006B" w14:textId="77777777" w:rsidR="0054078D" w:rsidRPr="003D5B29" w:rsidRDefault="0054078D" w:rsidP="0054078D">
            <w:pPr>
              <w:pStyle w:val="TableText"/>
            </w:pPr>
            <w:r w:rsidRPr="003D5B29">
              <w:t>Activity commences</w:t>
            </w:r>
          </w:p>
        </w:tc>
        <w:tc>
          <w:tcPr>
            <w:tcW w:w="3402" w:type="dxa"/>
          </w:tcPr>
          <w:p w14:paraId="0E80E530" w14:textId="3ABB514F" w:rsidR="0054078D" w:rsidRPr="003D5B29" w:rsidRDefault="000C6035" w:rsidP="0054078D">
            <w:pPr>
              <w:pStyle w:val="TableText"/>
            </w:pPr>
            <w:r w:rsidRPr="003D5B29">
              <w:t>March 2019</w:t>
            </w:r>
          </w:p>
        </w:tc>
      </w:tr>
      <w:tr w:rsidR="0054078D" w14:paraId="6F407976" w14:textId="77777777" w:rsidTr="0054078D">
        <w:trPr>
          <w:cnfStyle w:val="010000000000" w:firstRow="0" w:lastRow="1" w:firstColumn="0" w:lastColumn="0" w:oddVBand="0" w:evenVBand="0" w:oddHBand="0" w:evenHBand="0" w:firstRowFirstColumn="0" w:firstRowLastColumn="0" w:lastRowFirstColumn="0" w:lastRowLastColumn="0"/>
        </w:trPr>
        <w:tc>
          <w:tcPr>
            <w:tcW w:w="5387" w:type="dxa"/>
          </w:tcPr>
          <w:p w14:paraId="4B44922A" w14:textId="77777777" w:rsidR="0054078D" w:rsidRPr="00B72EE8" w:rsidRDefault="0054078D" w:rsidP="0054078D">
            <w:pPr>
              <w:pStyle w:val="TableText"/>
            </w:pPr>
            <w:r>
              <w:t>E</w:t>
            </w:r>
            <w:r w:rsidRPr="00B72EE8">
              <w:t>nd date</w:t>
            </w:r>
          </w:p>
        </w:tc>
        <w:tc>
          <w:tcPr>
            <w:tcW w:w="3402" w:type="dxa"/>
          </w:tcPr>
          <w:p w14:paraId="20A82FDA" w14:textId="2685938B" w:rsidR="0054078D" w:rsidRPr="0054078D" w:rsidRDefault="000C6035" w:rsidP="0054078D">
            <w:pPr>
              <w:pStyle w:val="TableText"/>
            </w:pPr>
            <w:r>
              <w:t>June 2023</w:t>
            </w:r>
          </w:p>
        </w:tc>
      </w:tr>
    </w:tbl>
    <w:p w14:paraId="178097B6" w14:textId="6FE8778C" w:rsidR="00E95846" w:rsidRDefault="00E95846" w:rsidP="005B0B9F">
      <w:pPr>
        <w:spacing w:before="0" w:after="0" w:line="240" w:lineRule="auto"/>
        <w:rPr>
          <w:rStyle w:val="BookTitle"/>
          <w:i w:val="0"/>
          <w:iCs w:val="0"/>
          <w:smallCaps w:val="0"/>
        </w:rPr>
      </w:pPr>
      <w:bookmarkStart w:id="58" w:name="_Toc421777614"/>
      <w:bookmarkStart w:id="59" w:name="_Toc433641169"/>
      <w:bookmarkStart w:id="60" w:name="_Toc467773969"/>
    </w:p>
    <w:p w14:paraId="713C1B67" w14:textId="3EF040C6" w:rsidR="00340616" w:rsidRPr="00B72EE8" w:rsidRDefault="00340616" w:rsidP="006B09D1">
      <w:pPr>
        <w:pStyle w:val="Heading2Numbered"/>
        <w:ind w:left="567"/>
      </w:pPr>
      <w:bookmarkStart w:id="61" w:name="_Toc536094889"/>
      <w:r>
        <w:t xml:space="preserve">Completing the </w:t>
      </w:r>
      <w:bookmarkEnd w:id="58"/>
      <w:bookmarkEnd w:id="59"/>
      <w:bookmarkEnd w:id="60"/>
      <w:r w:rsidR="00AA372A">
        <w:t>Service Delivery Plan</w:t>
      </w:r>
      <w:bookmarkEnd w:id="61"/>
    </w:p>
    <w:p w14:paraId="2639D7F2" w14:textId="5860572A" w:rsidR="00025E0E" w:rsidRDefault="00025E0E" w:rsidP="00025E0E">
      <w:r>
        <w:t xml:space="preserve">You must complete a Service Delivery Plan, using the online application form provided as part of the </w:t>
      </w:r>
      <w:r w:rsidR="001907DC">
        <w:t>g</w:t>
      </w:r>
      <w:r>
        <w:t xml:space="preserve">rant </w:t>
      </w:r>
      <w:r w:rsidR="001907DC">
        <w:t>o</w:t>
      </w:r>
      <w:r>
        <w:t xml:space="preserve">pportunity </w:t>
      </w:r>
      <w:r w:rsidR="001907DC">
        <w:t>d</w:t>
      </w:r>
      <w:r>
        <w:t xml:space="preserve">ocuments on the GrantConnect website. </w:t>
      </w:r>
    </w:p>
    <w:p w14:paraId="141E1684" w14:textId="1ED78166" w:rsidR="00025E0E" w:rsidRDefault="00025E0E" w:rsidP="00025E0E">
      <w:r>
        <w:t>The application form can only be accessed by invitees for this grant opportunity. The application form includes help information.</w:t>
      </w:r>
    </w:p>
    <w:p w14:paraId="615270E3" w14:textId="07BCB9F9" w:rsidR="00025E0E" w:rsidRDefault="00025E0E" w:rsidP="00025E0E">
      <w:r>
        <w:t xml:space="preserve">This is an online application form that you must submit electronically. If you have any technical difficulties please contact 1800 020 283 or email </w:t>
      </w:r>
      <w:hyperlink r:id="rId14" w:history="1">
        <w:r w:rsidR="001907DC">
          <w:rPr>
            <w:rStyle w:val="Hyperlink"/>
            <w:rFonts w:cstheme="minorBidi"/>
          </w:rPr>
          <w:t>support@communitygrants.gov.au</w:t>
        </w:r>
      </w:hyperlink>
      <w:r>
        <w:t>.</w:t>
      </w:r>
    </w:p>
    <w:p w14:paraId="1E759241" w14:textId="64B7949C" w:rsidR="00025E0E" w:rsidRDefault="00025E0E" w:rsidP="00025E0E">
      <w:r>
        <w:t>The Community Grants Hub may not acce</w:t>
      </w:r>
      <w:r w:rsidR="001907DC">
        <w:t xml:space="preserve">pt any additional information, </w:t>
      </w:r>
      <w:r>
        <w:t xml:space="preserve">or requests from the invited applicant to correct your Service Delivery Plan after the closing time. </w:t>
      </w:r>
    </w:p>
    <w:p w14:paraId="0BAF3C14" w14:textId="4924AA7C" w:rsidR="00025E0E" w:rsidRDefault="00025E0E" w:rsidP="00925ECE">
      <w:r>
        <w:t>The Community Grants Hub may ask you for more information about your application or your Service Delivery Plan if clarification is required.</w:t>
      </w:r>
    </w:p>
    <w:p w14:paraId="1EAD2C18" w14:textId="3089A3D6" w:rsidR="00AE6D3F" w:rsidRDefault="00AE6D3F" w:rsidP="00390B8A">
      <w:pPr>
        <w:pStyle w:val="Heading2Numbered"/>
        <w:ind w:left="567"/>
      </w:pPr>
      <w:bookmarkStart w:id="62" w:name="_Toc536094890"/>
      <w:r>
        <w:t>Attachments to the application</w:t>
      </w:r>
      <w:bookmarkEnd w:id="62"/>
      <w:r>
        <w:t xml:space="preserve"> </w:t>
      </w:r>
    </w:p>
    <w:p w14:paraId="30ACF533" w14:textId="7743F7DD" w:rsidR="00AE6D3F" w:rsidRDefault="00AE6D3F" w:rsidP="00AE6D3F">
      <w:r>
        <w:t>The following document</w:t>
      </w:r>
      <w:r w:rsidRPr="00AE6D3F">
        <w:t xml:space="preserve"> must be attached to your application for it to be considered compliant and for it to proceed to assessment. </w:t>
      </w:r>
      <w:r>
        <w:t>A template is</w:t>
      </w:r>
      <w:r w:rsidRPr="00AE6D3F">
        <w:t xml:space="preserve"> provided for your use with the grant opportunity documents as specified:</w:t>
      </w:r>
    </w:p>
    <w:p w14:paraId="0588C7BC" w14:textId="60A9CBDB" w:rsidR="00AE6D3F" w:rsidRPr="00390B8A" w:rsidRDefault="001907DC" w:rsidP="000E1CE9">
      <w:pPr>
        <w:pStyle w:val="ListParagraph"/>
        <w:numPr>
          <w:ilvl w:val="0"/>
          <w:numId w:val="45"/>
        </w:numPr>
        <w:ind w:left="426"/>
        <w:rPr>
          <w:rFonts w:cstheme="minorHAnsi"/>
        </w:rPr>
      </w:pPr>
      <w:r>
        <w:rPr>
          <w:rFonts w:asciiTheme="minorHAnsi" w:hAnsiTheme="minorHAnsi" w:cstheme="minorHAnsi"/>
        </w:rPr>
        <w:t>a</w:t>
      </w:r>
      <w:r w:rsidR="00AE6D3F" w:rsidRPr="00390B8A">
        <w:rPr>
          <w:rFonts w:asciiTheme="minorHAnsi" w:hAnsiTheme="minorHAnsi" w:cstheme="minorHAnsi"/>
        </w:rPr>
        <w:t xml:space="preserve">ctivity </w:t>
      </w:r>
      <w:r>
        <w:rPr>
          <w:rFonts w:asciiTheme="minorHAnsi" w:hAnsiTheme="minorHAnsi" w:cstheme="minorHAnsi"/>
        </w:rPr>
        <w:t>work p</w:t>
      </w:r>
      <w:r w:rsidR="00AE6D3F" w:rsidRPr="00390B8A">
        <w:rPr>
          <w:rFonts w:asciiTheme="minorHAnsi" w:hAnsiTheme="minorHAnsi" w:cstheme="minorHAnsi"/>
        </w:rPr>
        <w:t xml:space="preserve">lan </w:t>
      </w:r>
      <w:r w:rsidR="00AE6D3F">
        <w:rPr>
          <w:rFonts w:asciiTheme="minorHAnsi" w:hAnsiTheme="minorHAnsi" w:cstheme="minorHAnsi"/>
        </w:rPr>
        <w:t>– mandatory template attached</w:t>
      </w:r>
      <w:r>
        <w:rPr>
          <w:rFonts w:asciiTheme="minorHAnsi" w:hAnsiTheme="minorHAnsi" w:cstheme="minorHAnsi"/>
        </w:rPr>
        <w:t>.</w:t>
      </w:r>
    </w:p>
    <w:p w14:paraId="6C51881D" w14:textId="25A2EBFA" w:rsidR="001969D6" w:rsidRDefault="00FF20D6" w:rsidP="001969D6">
      <w:pPr>
        <w:autoSpaceDE w:val="0"/>
        <w:autoSpaceDN w:val="0"/>
        <w:spacing w:after="0" w:line="240" w:lineRule="auto"/>
        <w:rPr>
          <w:rFonts w:ascii="Segoe UI" w:hAnsi="Segoe UI" w:cs="Segoe UI"/>
          <w:color w:val="000000"/>
          <w:sz w:val="20"/>
          <w:szCs w:val="20"/>
        </w:rPr>
      </w:pPr>
      <w:r>
        <w:rPr>
          <w:rFonts w:cstheme="minorHAnsi"/>
        </w:rPr>
        <w:t xml:space="preserve">The purpose of this attachment is for organisations to provide their draft plan on how they expect to meet the objectives of the program. </w:t>
      </w:r>
    </w:p>
    <w:p w14:paraId="41980CEB" w14:textId="14972430" w:rsidR="00AE6D3F" w:rsidRDefault="003756EB" w:rsidP="00AE6D3F">
      <w:r>
        <w:rPr>
          <w:rFonts w:cstheme="minorHAnsi"/>
        </w:rPr>
        <w:t>The</w:t>
      </w:r>
      <w:r w:rsidR="001969D6">
        <w:rPr>
          <w:rFonts w:cstheme="minorHAnsi"/>
        </w:rPr>
        <w:t xml:space="preserve"> </w:t>
      </w:r>
      <w:r>
        <w:rPr>
          <w:rFonts w:cstheme="minorHAnsi"/>
        </w:rPr>
        <w:t>d</w:t>
      </w:r>
      <w:r w:rsidR="001969D6">
        <w:rPr>
          <w:rFonts w:cstheme="minorHAnsi"/>
        </w:rPr>
        <w:t xml:space="preserve">raft </w:t>
      </w:r>
      <w:r w:rsidR="001907DC">
        <w:rPr>
          <w:rFonts w:cstheme="minorHAnsi"/>
        </w:rPr>
        <w:t>a</w:t>
      </w:r>
      <w:r w:rsidR="001969D6">
        <w:rPr>
          <w:rFonts w:cstheme="minorHAnsi"/>
        </w:rPr>
        <w:t xml:space="preserve">ctivity </w:t>
      </w:r>
      <w:r w:rsidR="001907DC">
        <w:rPr>
          <w:rFonts w:cstheme="minorHAnsi"/>
        </w:rPr>
        <w:t>w</w:t>
      </w:r>
      <w:r w:rsidR="001969D6">
        <w:rPr>
          <w:rFonts w:cstheme="minorHAnsi"/>
        </w:rPr>
        <w:t xml:space="preserve">ork </w:t>
      </w:r>
      <w:r w:rsidR="001907DC">
        <w:rPr>
          <w:rFonts w:cstheme="minorHAnsi"/>
        </w:rPr>
        <w:t>p</w:t>
      </w:r>
      <w:r w:rsidR="001969D6">
        <w:rPr>
          <w:rFonts w:cstheme="minorHAnsi"/>
        </w:rPr>
        <w:t>lan</w:t>
      </w:r>
      <w:r w:rsidR="001969D6" w:rsidRPr="001969D6">
        <w:rPr>
          <w:rFonts w:cstheme="minorHAnsi"/>
        </w:rPr>
        <w:t xml:space="preserve"> will be reviewed as part of the assessment process but can be further negotiated and finalised after </w:t>
      </w:r>
      <w:r w:rsidR="001969D6">
        <w:rPr>
          <w:rFonts w:cstheme="minorHAnsi"/>
        </w:rPr>
        <w:t>the grant agreement is</w:t>
      </w:r>
      <w:r w:rsidR="001969D6" w:rsidRPr="001969D6">
        <w:rPr>
          <w:rFonts w:cstheme="minorHAnsi"/>
        </w:rPr>
        <w:t xml:space="preserve"> executed</w:t>
      </w:r>
      <w:r w:rsidR="001969D6">
        <w:rPr>
          <w:rFonts w:cstheme="minorHAnsi"/>
        </w:rPr>
        <w:t>.</w:t>
      </w:r>
      <w:r w:rsidR="001969D6" w:rsidRPr="001969D6">
        <w:rPr>
          <w:rFonts w:cstheme="minorHAnsi"/>
        </w:rPr>
        <w:t xml:space="preserve"> </w:t>
      </w:r>
      <w:r w:rsidR="00AE6D3F">
        <w:t>You must attach s</w:t>
      </w:r>
      <w:r w:rsidR="00AE6D3F" w:rsidRPr="00B72EE8">
        <w:t xml:space="preserve">upporting documentation </w:t>
      </w:r>
      <w:r w:rsidR="00AE6D3F">
        <w:t xml:space="preserve">according to the instructions provided within the application form. You should only attach requested documents. We will not consider information in attachments we have not asked for. </w:t>
      </w:r>
    </w:p>
    <w:p w14:paraId="708E5E25" w14:textId="00F7E851" w:rsidR="00AE6D3F" w:rsidRPr="00AE6D3F" w:rsidRDefault="00AE6D3F" w:rsidP="00AE6D3F">
      <w:pPr>
        <w:rPr>
          <w:highlight w:val="yellow"/>
        </w:rPr>
      </w:pPr>
      <w:r w:rsidRPr="00AE6D3F">
        <w:t>Please note: There is a 2mb limit for each attachment.</w:t>
      </w:r>
    </w:p>
    <w:p w14:paraId="0A20968B" w14:textId="77777777" w:rsidR="00340616" w:rsidRPr="00B72EE8" w:rsidRDefault="00340616" w:rsidP="006B09D1">
      <w:pPr>
        <w:pStyle w:val="Heading2Numbered"/>
        <w:ind w:left="567"/>
      </w:pPr>
      <w:bookmarkStart w:id="63" w:name="_Toc384307739"/>
      <w:bookmarkStart w:id="64" w:name="_Toc384307810"/>
      <w:bookmarkStart w:id="65" w:name="_Toc389141038"/>
      <w:bookmarkStart w:id="66" w:name="_Toc433641171"/>
      <w:bookmarkStart w:id="67" w:name="_Toc467773972"/>
      <w:bookmarkStart w:id="68" w:name="_Toc536094891"/>
      <w:bookmarkStart w:id="69" w:name="_Toc421777609"/>
      <w:bookmarkEnd w:id="47"/>
      <w:r w:rsidRPr="00B72EE8">
        <w:lastRenderedPageBreak/>
        <w:t xml:space="preserve">Questions during the application </w:t>
      </w:r>
      <w:bookmarkEnd w:id="63"/>
      <w:bookmarkEnd w:id="64"/>
      <w:bookmarkEnd w:id="65"/>
      <w:bookmarkEnd w:id="66"/>
      <w:r>
        <w:t>process</w:t>
      </w:r>
      <w:bookmarkEnd w:id="67"/>
      <w:bookmarkEnd w:id="68"/>
    </w:p>
    <w:p w14:paraId="3A0B3B3C" w14:textId="26EB4079" w:rsidR="005C59F9" w:rsidRDefault="003357B0" w:rsidP="00340616">
      <w:r>
        <w:t>Only</w:t>
      </w:r>
      <w:r w:rsidR="00C2798F">
        <w:t xml:space="preserve"> the</w:t>
      </w:r>
      <w:r>
        <w:t xml:space="preserve"> invited applicants’ questions will be responded to during the application period, please call the Community Grants Hub on 1800 020 283 or email to </w:t>
      </w:r>
      <w:hyperlink r:id="rId15" w:history="1">
        <w:r w:rsidRPr="004E1173">
          <w:rPr>
            <w:rStyle w:val="Hyperlink"/>
            <w:rFonts w:cstheme="minorBidi"/>
          </w:rPr>
          <w:t>support@communitygrants.gov.au</w:t>
        </w:r>
      </w:hyperlink>
      <w:r w:rsidR="00FE2150">
        <w:t>.</w:t>
      </w:r>
      <w:r w:rsidRPr="00103A95">
        <w:t xml:space="preserve"> </w:t>
      </w:r>
    </w:p>
    <w:p w14:paraId="072308FB" w14:textId="2CA7F866" w:rsidR="00E96706" w:rsidRDefault="003357B0" w:rsidP="00340616">
      <w:r w:rsidRPr="00103A95">
        <w:t xml:space="preserve">The </w:t>
      </w:r>
      <w:r>
        <w:rPr>
          <w:rStyle w:val="highlightedtextChar"/>
          <w:b w:val="0"/>
          <w:color w:val="auto"/>
        </w:rPr>
        <w:t>Community Grants Hub</w:t>
      </w:r>
      <w:r w:rsidRPr="00103A95">
        <w:rPr>
          <w:rStyle w:val="highlightedtextChar"/>
        </w:rPr>
        <w:t xml:space="preserve"> </w:t>
      </w:r>
      <w:r w:rsidRPr="00103A95">
        <w:t xml:space="preserve">will respond to emailed questions within </w:t>
      </w:r>
      <w:r w:rsidRPr="008873D4">
        <w:rPr>
          <w:rStyle w:val="highlightedtextChar"/>
          <w:b w:val="0"/>
          <w:color w:val="auto"/>
        </w:rPr>
        <w:t>five</w:t>
      </w:r>
      <w:r w:rsidRPr="00103A95">
        <w:t xml:space="preserve"> working days.</w:t>
      </w:r>
      <w:r w:rsidR="00EB4889">
        <w:t xml:space="preserve"> Answers to questions</w:t>
      </w:r>
      <w:r w:rsidR="00EB4889" w:rsidRPr="00EA3E47">
        <w:t xml:space="preserve"> </w:t>
      </w:r>
      <w:r w:rsidR="00EB4889">
        <w:t xml:space="preserve">will </w:t>
      </w:r>
      <w:r w:rsidR="00EB4889" w:rsidRPr="00EA3E47">
        <w:t xml:space="preserve">be posted on </w:t>
      </w:r>
      <w:hyperlink r:id="rId16" w:history="1">
        <w:r w:rsidR="00EB4889" w:rsidRPr="00BC0C62">
          <w:rPr>
            <w:rStyle w:val="Hyperlink"/>
            <w:rFonts w:cstheme="minorBidi"/>
          </w:rPr>
          <w:t>GrantConnect</w:t>
        </w:r>
      </w:hyperlink>
      <w:r w:rsidR="00EB4889">
        <w:rPr>
          <w:rStyle w:val="Hyperlink"/>
          <w:rFonts w:cstheme="minorBidi"/>
        </w:rPr>
        <w:t xml:space="preserve"> and only accessible by invited applicants</w:t>
      </w:r>
      <w:r w:rsidR="00EB4889" w:rsidRPr="00EA3E47">
        <w:t>.</w:t>
      </w:r>
    </w:p>
    <w:p w14:paraId="661C4CAA" w14:textId="111AF522" w:rsidR="00023327" w:rsidRDefault="00023327" w:rsidP="00023327">
      <w:r w:rsidRPr="003D5B29">
        <w:t xml:space="preserve">The question period will close at </w:t>
      </w:r>
      <w:r w:rsidR="008612F0" w:rsidRPr="00FB3370">
        <w:t>5.00pm</w:t>
      </w:r>
      <w:r w:rsidRPr="00FB3370">
        <w:t xml:space="preserve"> </w:t>
      </w:r>
      <w:r w:rsidR="00F03195" w:rsidRPr="00FB3370">
        <w:t>AE</w:t>
      </w:r>
      <w:r w:rsidR="00B63DF5" w:rsidRPr="00FB3370">
        <w:t>D</w:t>
      </w:r>
      <w:r w:rsidRPr="00FB3370">
        <w:t xml:space="preserve">T on </w:t>
      </w:r>
      <w:r w:rsidR="003B3C72" w:rsidRPr="00FB3370">
        <w:t>5</w:t>
      </w:r>
      <w:r w:rsidR="00001AD5" w:rsidRPr="00FB3370">
        <w:t xml:space="preserve"> </w:t>
      </w:r>
      <w:r w:rsidR="003B3C72" w:rsidRPr="00FB3370">
        <w:t>February</w:t>
      </w:r>
      <w:r w:rsidR="00001AD5" w:rsidRPr="00FB3370">
        <w:t xml:space="preserve"> 2019</w:t>
      </w:r>
      <w:r w:rsidRPr="00FB3370">
        <w:rPr>
          <w:b/>
          <w:color w:val="745B00" w:themeColor="accent3" w:themeShade="80"/>
        </w:rPr>
        <w:t>.</w:t>
      </w:r>
      <w:r w:rsidRPr="00FB3370">
        <w:t xml:space="preserve"> Following this</w:t>
      </w:r>
      <w:r w:rsidRPr="003D5B29">
        <w:t xml:space="preserve"> time,</w:t>
      </w:r>
      <w:r>
        <w:t xml:space="preserve"> only questions relating to using and/or submitting the application form will be answered.</w:t>
      </w:r>
    </w:p>
    <w:p w14:paraId="0DA12D6E" w14:textId="009E24ED" w:rsidR="00340616" w:rsidRPr="00B72EE8" w:rsidRDefault="0038114C" w:rsidP="002E1575">
      <w:pPr>
        <w:pStyle w:val="Heading1Numbered"/>
        <w:ind w:left="567"/>
      </w:pPr>
      <w:bookmarkStart w:id="70" w:name="_Toc467773974"/>
      <w:bookmarkStart w:id="71" w:name="_Toc536094892"/>
      <w:bookmarkEnd w:id="69"/>
      <w:r>
        <w:t>A</w:t>
      </w:r>
      <w:r w:rsidR="00B81C8A">
        <w:t>ssess</w:t>
      </w:r>
      <w:r>
        <w:t>ment of</w:t>
      </w:r>
      <w:r w:rsidR="00340616">
        <w:t xml:space="preserve"> ap</w:t>
      </w:r>
      <w:r w:rsidR="00340616" w:rsidRPr="00B72EE8">
        <w:t>plications</w:t>
      </w:r>
      <w:bookmarkEnd w:id="70"/>
      <w:bookmarkEnd w:id="71"/>
    </w:p>
    <w:p w14:paraId="1F181E4D" w14:textId="35528CAE" w:rsidR="007E7C27" w:rsidRPr="00B63DF5" w:rsidRDefault="00B81C8A" w:rsidP="007E7C27">
      <w:bookmarkStart w:id="72" w:name="_Toc467773975"/>
      <w:bookmarkStart w:id="73" w:name="_Toc421777603"/>
      <w:r>
        <w:t xml:space="preserve">The assessment centre </w:t>
      </w:r>
      <w:r w:rsidR="00B63DF5">
        <w:t>will</w:t>
      </w:r>
      <w:r>
        <w:t xml:space="preserve"> assess each eligible and compliant </w:t>
      </w:r>
      <w:r w:rsidR="00370601">
        <w:t>application</w:t>
      </w:r>
      <w:bookmarkEnd w:id="72"/>
      <w:bookmarkEnd w:id="73"/>
      <w:r>
        <w:t xml:space="preserve"> on its individual merit. </w:t>
      </w:r>
      <w:r w:rsidR="007E7C27">
        <w:t xml:space="preserve">The assessment centre uses fully trained Community Grants Hub staff for consistent assessment of all applications. </w:t>
      </w:r>
    </w:p>
    <w:p w14:paraId="77E81730" w14:textId="77777777" w:rsidR="00022A02" w:rsidRDefault="00B76B6F" w:rsidP="00B63DF5">
      <w:pPr>
        <w:pStyle w:val="CABNETParagraphAtt"/>
        <w:spacing w:after="240"/>
      </w:pPr>
      <w:r>
        <w:t>AGD</w:t>
      </w:r>
      <w:r w:rsidR="00B81C8A">
        <w:t xml:space="preserve"> uses this information to help them develop recommendations on applications and </w:t>
      </w:r>
      <w:r w:rsidR="00B63DF5" w:rsidRPr="00B63DF5">
        <w:t xml:space="preserve">whether your project </w:t>
      </w:r>
      <w:r w:rsidR="00B81C8A">
        <w:t xml:space="preserve">represents value for money and </w:t>
      </w:r>
      <w:r w:rsidR="00B63DF5" w:rsidRPr="00B63DF5">
        <w:t>achieve</w:t>
      </w:r>
      <w:r w:rsidR="00B81C8A">
        <w:t>s</w:t>
      </w:r>
      <w:r w:rsidR="00B63DF5" w:rsidRPr="00B63DF5">
        <w:t xml:space="preserve"> program obj</w:t>
      </w:r>
      <w:r w:rsidR="00B63DF5">
        <w:t>ectives as outlined at section 1.2</w:t>
      </w:r>
      <w:r w:rsidR="00B81C8A">
        <w:t xml:space="preserve">. </w:t>
      </w:r>
    </w:p>
    <w:p w14:paraId="78980D62" w14:textId="1FC58766" w:rsidR="00025E0E" w:rsidRPr="00025E0E" w:rsidRDefault="00025E0E" w:rsidP="00B63DF5">
      <w:pPr>
        <w:pStyle w:val="CABNETParagraphAtt"/>
        <w:spacing w:after="240"/>
        <w:rPr>
          <w:rFonts w:cs="Times New Roman"/>
        </w:rPr>
      </w:pPr>
      <w:r w:rsidRPr="00025E0E">
        <w:rPr>
          <w:rFonts w:cs="Times New Roman"/>
        </w:rPr>
        <w:t>If the selection process identifies that additional information or clarification is required, you may be contacted to provide further information.</w:t>
      </w:r>
    </w:p>
    <w:p w14:paraId="6CCD2402" w14:textId="77777777" w:rsidR="00340616" w:rsidRPr="00647D91" w:rsidRDefault="00340616" w:rsidP="006B09D1">
      <w:pPr>
        <w:pStyle w:val="Heading2Numbered"/>
        <w:ind w:left="567"/>
      </w:pPr>
      <w:bookmarkStart w:id="74" w:name="_Toc467773976"/>
      <w:bookmarkStart w:id="75" w:name="_Toc536094893"/>
      <w:r w:rsidRPr="00647D91">
        <w:t>Who will approve grants?</w:t>
      </w:r>
      <w:bookmarkEnd w:id="74"/>
      <w:bookmarkEnd w:id="75"/>
    </w:p>
    <w:p w14:paraId="248DC0A9" w14:textId="337E157E" w:rsidR="00340616" w:rsidRDefault="009657F4" w:rsidP="00340616">
      <w:r>
        <w:t xml:space="preserve">The </w:t>
      </w:r>
      <w:r w:rsidR="00DF2E34" w:rsidRPr="00390B8A">
        <w:t>Deputy Secretary, Legal Services and Families Group</w:t>
      </w:r>
      <w:r w:rsidR="001907DC">
        <w:t xml:space="preserve"> and</w:t>
      </w:r>
      <w:r w:rsidR="00DF2E34" w:rsidRPr="00390B8A">
        <w:t xml:space="preserve"> AGD</w:t>
      </w:r>
      <w:r w:rsidRPr="00390B8A">
        <w:rPr>
          <w:iCs/>
          <w:color w:val="0070C0"/>
        </w:rPr>
        <w:t xml:space="preserve"> </w:t>
      </w:r>
      <w:r w:rsidR="0090608D" w:rsidRPr="00390B8A">
        <w:t>(</w:t>
      </w:r>
      <w:r w:rsidR="0090608D">
        <w:t>the decision maker) will make the fin</w:t>
      </w:r>
      <w:r w:rsidR="00FE2150">
        <w:t>al decision to approve a grant.</w:t>
      </w:r>
      <w:r w:rsidR="00527B61">
        <w:t xml:space="preserve"> </w:t>
      </w:r>
    </w:p>
    <w:p w14:paraId="0AEFEC56" w14:textId="63D25639" w:rsidR="002E1575" w:rsidRPr="00CD13A4" w:rsidRDefault="003C0A77" w:rsidP="002E1575">
      <w:r>
        <w:t>The d</w:t>
      </w:r>
      <w:r w:rsidR="002E1575" w:rsidRPr="00CD13A4">
        <w:t xml:space="preserve">ecision </w:t>
      </w:r>
      <w:r w:rsidR="005C59F9">
        <w:t>maker</w:t>
      </w:r>
      <w:r w:rsidR="0090608D">
        <w:t>’s decision is</w:t>
      </w:r>
      <w:r w:rsidR="002E1575" w:rsidRPr="00CD13A4">
        <w:t xml:space="preserve"> fi</w:t>
      </w:r>
      <w:r>
        <w:t xml:space="preserve">nal </w:t>
      </w:r>
      <w:r w:rsidR="0090608D">
        <w:t>in all matters, including</w:t>
      </w:r>
      <w:r w:rsidR="00873BD3">
        <w:t xml:space="preserve"> the</w:t>
      </w:r>
      <w:r w:rsidR="0090608D">
        <w:t xml:space="preserve">: </w:t>
      </w:r>
    </w:p>
    <w:p w14:paraId="314A55A4" w14:textId="152FA335" w:rsidR="002E1575" w:rsidRPr="00CB55DF" w:rsidRDefault="002E1575" w:rsidP="00CB55DF">
      <w:pPr>
        <w:pStyle w:val="Bullet1"/>
      </w:pPr>
      <w:r w:rsidRPr="00CB55DF">
        <w:t xml:space="preserve">approval of the </w:t>
      </w:r>
      <w:r w:rsidR="008749D8">
        <w:t>payment</w:t>
      </w:r>
    </w:p>
    <w:p w14:paraId="0BC4497A" w14:textId="42EFCE8F" w:rsidR="002E1575" w:rsidRPr="00CB55DF" w:rsidRDefault="002E1575" w:rsidP="00CB55DF">
      <w:pPr>
        <w:pStyle w:val="Bullet1"/>
      </w:pPr>
      <w:r w:rsidRPr="00CB55DF">
        <w:t xml:space="preserve">funding amount to be </w:t>
      </w:r>
      <w:r w:rsidR="008749D8">
        <w:t>pa</w:t>
      </w:r>
      <w:r w:rsidR="003D5B29">
        <w:t>i</w:t>
      </w:r>
      <w:r w:rsidR="008749D8">
        <w:t>d</w:t>
      </w:r>
      <w:r w:rsidR="009F165F">
        <w:t>, in full or part</w:t>
      </w:r>
      <w:r w:rsidRPr="00CB55DF">
        <w:t xml:space="preserve">. </w:t>
      </w:r>
    </w:p>
    <w:p w14:paraId="142E54B4" w14:textId="168A3DE0" w:rsidR="002E1575" w:rsidRPr="00103A95" w:rsidRDefault="002E1575" w:rsidP="00340616">
      <w:r w:rsidRPr="00CD13A4">
        <w:t>There is no appeal mechanism for decisions to approve or not approve a grant.</w:t>
      </w:r>
    </w:p>
    <w:p w14:paraId="668704EA" w14:textId="77777777" w:rsidR="00340616" w:rsidRPr="00B72EE8" w:rsidRDefault="00340616" w:rsidP="002E1575">
      <w:pPr>
        <w:pStyle w:val="Heading1Numbered"/>
        <w:ind w:left="567"/>
      </w:pPr>
      <w:bookmarkStart w:id="76" w:name="_Toc467773977"/>
      <w:bookmarkStart w:id="77" w:name="_Toc536094894"/>
      <w:r w:rsidRPr="00B72EE8">
        <w:t>Notification of application outcomes</w:t>
      </w:r>
      <w:bookmarkEnd w:id="76"/>
      <w:bookmarkEnd w:id="77"/>
    </w:p>
    <w:p w14:paraId="64D4765B" w14:textId="2A9BA063" w:rsidR="00340616" w:rsidRDefault="00340616" w:rsidP="00340616">
      <w:r>
        <w:t>You</w:t>
      </w:r>
      <w:r w:rsidRPr="00B72EE8">
        <w:t xml:space="preserve"> </w:t>
      </w:r>
      <w:r>
        <w:t xml:space="preserve">will be advised </w:t>
      </w:r>
      <w:r w:rsidRPr="00B72EE8">
        <w:t xml:space="preserve">of the outcomes of </w:t>
      </w:r>
      <w:r>
        <w:t xml:space="preserve">your </w:t>
      </w:r>
      <w:r w:rsidRPr="002E0C03">
        <w:t>application in writing,</w:t>
      </w:r>
      <w:r w:rsidRPr="00B72EE8">
        <w:t xml:space="preserve"> following a decision by the </w:t>
      </w:r>
      <w:r w:rsidR="005C59F9">
        <w:t>decision maker</w:t>
      </w:r>
      <w:r w:rsidRPr="002E1575">
        <w:t>.</w:t>
      </w:r>
      <w:r w:rsidRPr="002E1575">
        <w:rPr>
          <w:b/>
        </w:rPr>
        <w:t xml:space="preserve"> </w:t>
      </w:r>
      <w:r w:rsidRPr="00C25555">
        <w:t>If you are successful, you will also be advised</w:t>
      </w:r>
      <w:r w:rsidRPr="00C25555">
        <w:rPr>
          <w:b/>
        </w:rPr>
        <w:t xml:space="preserve"> </w:t>
      </w:r>
      <w:r w:rsidRPr="00C25555">
        <w:t xml:space="preserve">about any </w:t>
      </w:r>
      <w:r w:rsidRPr="00B72EE8">
        <w:t xml:space="preserve">specific conditions attached to the </w:t>
      </w:r>
      <w:r>
        <w:t>grant</w:t>
      </w:r>
      <w:r w:rsidRPr="00B72EE8">
        <w:t xml:space="preserve">. </w:t>
      </w:r>
    </w:p>
    <w:p w14:paraId="4FCBF621" w14:textId="17951C03" w:rsidR="00821C5A" w:rsidRPr="00821C5A" w:rsidRDefault="00821C5A" w:rsidP="00340616">
      <w:pPr>
        <w:rPr>
          <w:rFonts w:eastAsia="Times New Roman" w:cs="Times New Roman"/>
        </w:rPr>
      </w:pPr>
      <w:r w:rsidRPr="00821C5A">
        <w:rPr>
          <w:rFonts w:eastAsia="Times New Roman" w:cs="Times New Roman"/>
        </w:rPr>
        <w:t>If your application is found unsuccessful yo</w:t>
      </w:r>
      <w:r w:rsidR="002A3FFD">
        <w:rPr>
          <w:rFonts w:eastAsia="Times New Roman" w:cs="Times New Roman"/>
        </w:rPr>
        <w:t xml:space="preserve">u will be notified by the Hub. </w:t>
      </w:r>
      <w:r w:rsidRPr="00821C5A">
        <w:rPr>
          <w:rFonts w:eastAsia="Times New Roman" w:cs="Times New Roman"/>
        </w:rPr>
        <w:t xml:space="preserve">You may submit a new application on the matter, which addresses the anomalies and meets the eligibility and assessment criteria, during a future selection process. </w:t>
      </w:r>
    </w:p>
    <w:p w14:paraId="45CD5BF2" w14:textId="77777777" w:rsidR="00340616" w:rsidRPr="00B72EE8" w:rsidRDefault="00340616" w:rsidP="006B09D1">
      <w:pPr>
        <w:pStyle w:val="Heading2Numbered"/>
        <w:ind w:left="567"/>
      </w:pPr>
      <w:bookmarkStart w:id="78" w:name="_Toc467773978"/>
      <w:bookmarkStart w:id="79" w:name="_Toc536094895"/>
      <w:r w:rsidRPr="00B72EE8">
        <w:lastRenderedPageBreak/>
        <w:t xml:space="preserve">Feedback on </w:t>
      </w:r>
      <w:r>
        <w:t xml:space="preserve">your </w:t>
      </w:r>
      <w:r w:rsidRPr="00B72EE8">
        <w:t>application</w:t>
      </w:r>
      <w:bookmarkEnd w:id="78"/>
      <w:bookmarkEnd w:id="79"/>
    </w:p>
    <w:p w14:paraId="4B8A8038" w14:textId="09BF2FD1" w:rsidR="00C83B9B" w:rsidRDefault="00C83B9B" w:rsidP="00821C5A">
      <w:r w:rsidRPr="00C83B9B">
        <w:t xml:space="preserve">A feedback summary will be published on the Community Grants Hub website to provide all organisations with easy to access information about the </w:t>
      </w:r>
      <w:r w:rsidR="0038114C">
        <w:t>grant selection</w:t>
      </w:r>
      <w:r w:rsidR="0038114C" w:rsidRPr="00C83B9B">
        <w:t xml:space="preserve"> </w:t>
      </w:r>
      <w:r w:rsidRPr="00C83B9B">
        <w:t>process and the main strengths and areas for improving their applications.</w:t>
      </w:r>
    </w:p>
    <w:p w14:paraId="03F21503" w14:textId="677340D1" w:rsidR="00831521" w:rsidRDefault="00831521" w:rsidP="00821C5A">
      <w:r>
        <w:t xml:space="preserve">Individual feedback will not be provided for this grant opportunity. </w:t>
      </w:r>
    </w:p>
    <w:p w14:paraId="16A89B26" w14:textId="3879117D" w:rsidR="00340616" w:rsidRDefault="00340616" w:rsidP="002E1575">
      <w:pPr>
        <w:pStyle w:val="Heading1Numbered"/>
        <w:ind w:left="567"/>
      </w:pPr>
      <w:bookmarkStart w:id="80" w:name="_Toc467773979"/>
      <w:bookmarkStart w:id="81" w:name="_Toc536094896"/>
      <w:bookmarkStart w:id="82" w:name="_Toc421777622"/>
      <w:bookmarkStart w:id="83" w:name="_Toc433641183"/>
      <w:r>
        <w:t>Successful grant applications</w:t>
      </w:r>
      <w:bookmarkEnd w:id="80"/>
      <w:bookmarkEnd w:id="81"/>
    </w:p>
    <w:p w14:paraId="5D54C86F" w14:textId="77777777" w:rsidR="00340616" w:rsidRDefault="00340616" w:rsidP="00892C8B">
      <w:pPr>
        <w:pStyle w:val="Heading2Numbered"/>
        <w:ind w:left="709" w:hanging="709"/>
      </w:pPr>
      <w:bookmarkStart w:id="84" w:name="_Toc467773980"/>
      <w:bookmarkStart w:id="85" w:name="_Toc536094897"/>
      <w:r>
        <w:t xml:space="preserve">The </w:t>
      </w:r>
      <w:r w:rsidRPr="0054078D">
        <w:t>grant agreement</w:t>
      </w:r>
      <w:bookmarkEnd w:id="84"/>
      <w:bookmarkEnd w:id="85"/>
    </w:p>
    <w:bookmarkEnd w:id="82"/>
    <w:bookmarkEnd w:id="83"/>
    <w:p w14:paraId="17E09400" w14:textId="6735828B" w:rsidR="00C54AF4" w:rsidRDefault="00704535" w:rsidP="00340616">
      <w:r>
        <w:t xml:space="preserve">If you are successful and you choose to accept a grant offer, </w:t>
      </w:r>
      <w:r w:rsidR="00340616" w:rsidRPr="00103A95">
        <w:t>you must ent</w:t>
      </w:r>
      <w:r w:rsidR="00001AD5">
        <w:t xml:space="preserve">er into a legally binding </w:t>
      </w:r>
      <w:r w:rsidR="00340616" w:rsidRPr="00103A95">
        <w:t>agreement</w:t>
      </w:r>
      <w:r w:rsidR="00001AD5">
        <w:t xml:space="preserve">, the </w:t>
      </w:r>
      <w:hyperlink r:id="rId17" w:history="1">
        <w:r w:rsidR="00001AD5" w:rsidRPr="00001AD5">
          <w:rPr>
            <w:rFonts w:cs="MuseoSans-500"/>
            <w:i/>
            <w:u w:val="single" w:color="0070C0"/>
          </w:rPr>
          <w:t>Commonwealth Simple</w:t>
        </w:r>
        <w:r w:rsidR="00001AD5" w:rsidRPr="00001AD5">
          <w:rPr>
            <w:rFonts w:cs="MuseoSans-500"/>
            <w:b/>
            <w:i/>
            <w:u w:val="single" w:color="0070C0"/>
          </w:rPr>
          <w:t xml:space="preserve"> </w:t>
        </w:r>
        <w:r w:rsidR="00001AD5" w:rsidRPr="00001AD5">
          <w:rPr>
            <w:rFonts w:cs="MuseoSans-500"/>
            <w:i/>
            <w:u w:val="single" w:color="0070C0"/>
          </w:rPr>
          <w:t>Grant Agreement</w:t>
        </w:r>
      </w:hyperlink>
      <w:r w:rsidR="00001AD5">
        <w:rPr>
          <w:b/>
          <w:color w:val="745B00" w:themeColor="accent3" w:themeShade="80"/>
        </w:rPr>
        <w:t>,</w:t>
      </w:r>
      <w:r w:rsidR="00340616" w:rsidRPr="00103A95">
        <w:t xml:space="preserve"> represented by</w:t>
      </w:r>
      <w:r w:rsidR="002E1575">
        <w:rPr>
          <w:rStyle w:val="highlightedtextChar"/>
        </w:rPr>
        <w:t xml:space="preserve"> </w:t>
      </w:r>
      <w:r w:rsidR="002E1575" w:rsidRPr="002E1575">
        <w:rPr>
          <w:rStyle w:val="highlightedtextChar"/>
          <w:b w:val="0"/>
          <w:color w:val="auto"/>
        </w:rPr>
        <w:t>the Hub</w:t>
      </w:r>
      <w:r w:rsidR="00001AD5">
        <w:rPr>
          <w:rStyle w:val="highlightedtextChar"/>
          <w:b w:val="0"/>
          <w:color w:val="auto"/>
        </w:rPr>
        <w:t xml:space="preserve"> and AGD</w:t>
      </w:r>
      <w:r w:rsidR="00DB0937" w:rsidRPr="002E1575">
        <w:rPr>
          <w:rStyle w:val="highlightedtextChar"/>
          <w:b w:val="0"/>
          <w:color w:val="auto"/>
        </w:rPr>
        <w:t>.</w:t>
      </w:r>
      <w:r w:rsidR="00340616" w:rsidRPr="002E1575">
        <w:rPr>
          <w:rStyle w:val="highlightedtextChar"/>
          <w:color w:val="auto"/>
        </w:rPr>
        <w:t xml:space="preserve"> </w:t>
      </w:r>
      <w:r w:rsidR="002E1575">
        <w:t>Simple</w:t>
      </w:r>
      <w:r w:rsidR="00340616" w:rsidRPr="00103A95">
        <w:t xml:space="preserve"> terms and conditions for the grant agreement will apply and cannot be changed. </w:t>
      </w:r>
      <w:r w:rsidR="002D42B3" w:rsidRPr="002D42B3">
        <w:t>An activity work plan will be used to outline the specific grant requirements.</w:t>
      </w:r>
    </w:p>
    <w:p w14:paraId="15B3AE2F" w14:textId="3BD21DA5" w:rsidR="00821C5A" w:rsidRPr="00821C5A" w:rsidRDefault="00821C5A" w:rsidP="00340616">
      <w:pPr>
        <w:rPr>
          <w:rFonts w:eastAsia="Times New Roman" w:cs="Times New Roman"/>
        </w:rPr>
      </w:pPr>
      <w:r w:rsidRPr="001E086B">
        <w:rPr>
          <w:rFonts w:eastAsia="Times New Roman" w:cs="Times New Roman"/>
        </w:rPr>
        <w:t>Any additional conditions attached to the grant will be identified in the grant offer or during the grant agreement negotiations.</w:t>
      </w:r>
    </w:p>
    <w:p w14:paraId="3BDB36CD" w14:textId="40ADBE4B" w:rsidR="00340616" w:rsidRDefault="00340616" w:rsidP="006B09D1">
      <w:pPr>
        <w:pStyle w:val="Heading2Numbered"/>
        <w:ind w:left="567"/>
      </w:pPr>
      <w:bookmarkStart w:id="86" w:name="_Toc467773981"/>
      <w:bookmarkStart w:id="87" w:name="_Toc536094898"/>
      <w:r>
        <w:t>How the grant will be paid</w:t>
      </w:r>
      <w:bookmarkEnd w:id="86"/>
      <w:bookmarkEnd w:id="87"/>
    </w:p>
    <w:p w14:paraId="1EB66EAF" w14:textId="7E6B6EF2" w:rsidR="00340616" w:rsidRDefault="00C54AF4" w:rsidP="00340616">
      <w:pPr>
        <w:tabs>
          <w:tab w:val="left" w:pos="0"/>
        </w:tabs>
        <w:rPr>
          <w:bCs/>
          <w:lang w:eastAsia="en-AU"/>
        </w:rPr>
      </w:pPr>
      <w:r>
        <w:rPr>
          <w:bCs/>
          <w:lang w:eastAsia="en-AU"/>
        </w:rPr>
        <w:t>The Hub</w:t>
      </w:r>
      <w:r w:rsidR="00340616" w:rsidRPr="00DB0315">
        <w:rPr>
          <w:bCs/>
          <w:lang w:eastAsia="en-AU"/>
        </w:rPr>
        <w:t xml:space="preserve"> will make an initial </w:t>
      </w:r>
      <w:r>
        <w:rPr>
          <w:bCs/>
          <w:lang w:eastAsia="en-AU"/>
        </w:rPr>
        <w:t xml:space="preserve">upfront </w:t>
      </w:r>
      <w:r w:rsidR="00340616" w:rsidRPr="00DB0315">
        <w:rPr>
          <w:bCs/>
          <w:lang w:eastAsia="en-AU"/>
        </w:rPr>
        <w:t>payment on execu</w:t>
      </w:r>
      <w:r>
        <w:rPr>
          <w:bCs/>
          <w:lang w:eastAsia="en-AU"/>
        </w:rPr>
        <w:t xml:space="preserve">tion of the grant agreement. </w:t>
      </w:r>
      <w:r w:rsidR="00CC4230">
        <w:rPr>
          <w:bCs/>
          <w:lang w:eastAsia="en-AU"/>
        </w:rPr>
        <w:t xml:space="preserve">We </w:t>
      </w:r>
      <w:r w:rsidR="00340616" w:rsidRPr="00DB0315">
        <w:rPr>
          <w:bCs/>
          <w:lang w:eastAsia="en-AU"/>
        </w:rPr>
        <w:t>will</w:t>
      </w:r>
      <w:r w:rsidR="00CC4230">
        <w:rPr>
          <w:bCs/>
          <w:lang w:eastAsia="en-AU"/>
        </w:rPr>
        <w:t xml:space="preserve"> then</w:t>
      </w:r>
      <w:r w:rsidR="00340616" w:rsidRPr="00DB0315">
        <w:rPr>
          <w:bCs/>
          <w:lang w:eastAsia="en-AU"/>
        </w:rPr>
        <w:t xml:space="preserve"> make subsequent</w:t>
      </w:r>
      <w:r w:rsidR="00CC4230">
        <w:rPr>
          <w:bCs/>
          <w:lang w:eastAsia="en-AU"/>
        </w:rPr>
        <w:t xml:space="preserve"> payments according to the agreed schedule set out in th</w:t>
      </w:r>
      <w:r w:rsidR="003947B5">
        <w:rPr>
          <w:bCs/>
          <w:lang w:eastAsia="en-AU"/>
        </w:rPr>
        <w:t>e</w:t>
      </w:r>
      <w:r w:rsidR="00CC4230">
        <w:rPr>
          <w:bCs/>
          <w:lang w:eastAsia="en-AU"/>
        </w:rPr>
        <w:t xml:space="preserve"> grant agreement. </w:t>
      </w:r>
    </w:p>
    <w:p w14:paraId="5C5C6259" w14:textId="5AFAD238" w:rsidR="00E20C9A" w:rsidRPr="00CC55DF" w:rsidRDefault="00E20C9A" w:rsidP="006B09D1">
      <w:pPr>
        <w:pStyle w:val="Heading2Numbered"/>
        <w:ind w:left="426" w:hanging="426"/>
        <w:rPr>
          <w:lang w:eastAsia="en-AU"/>
        </w:rPr>
      </w:pPr>
      <w:bookmarkStart w:id="88" w:name="_Toc536094899"/>
      <w:r w:rsidRPr="00CC55DF">
        <w:rPr>
          <w:lang w:eastAsia="en-AU"/>
        </w:rPr>
        <w:t>Grant agreement variations</w:t>
      </w:r>
      <w:bookmarkEnd w:id="88"/>
    </w:p>
    <w:p w14:paraId="1C6BDB32" w14:textId="231D5CC8" w:rsidR="0065646F" w:rsidRPr="00CC55DF" w:rsidRDefault="0065646F" w:rsidP="0065646F">
      <w:pPr>
        <w:rPr>
          <w:lang w:eastAsia="en-AU"/>
        </w:rPr>
      </w:pPr>
      <w:r w:rsidRPr="00CC55DF">
        <w:rPr>
          <w:lang w:eastAsia="en-AU"/>
        </w:rPr>
        <w:t xml:space="preserve">We recognise that </w:t>
      </w:r>
      <w:r w:rsidR="00BF6951" w:rsidRPr="00CC55DF">
        <w:rPr>
          <w:lang w:eastAsia="en-AU"/>
        </w:rPr>
        <w:t>demand f</w:t>
      </w:r>
      <w:r w:rsidR="003E5BAC" w:rsidRPr="00CC55DF">
        <w:rPr>
          <w:lang w:eastAsia="en-AU"/>
        </w:rPr>
        <w:t xml:space="preserve">or the </w:t>
      </w:r>
      <w:r w:rsidR="00896998">
        <w:rPr>
          <w:lang w:eastAsia="en-AU"/>
        </w:rPr>
        <w:t>Program</w:t>
      </w:r>
      <w:r w:rsidR="003E5BAC" w:rsidRPr="00CC55DF">
        <w:rPr>
          <w:lang w:eastAsia="en-AU"/>
        </w:rPr>
        <w:t xml:space="preserve"> may vary from what has been predicted</w:t>
      </w:r>
      <w:r w:rsidRPr="00CC55DF">
        <w:rPr>
          <w:lang w:eastAsia="en-AU"/>
        </w:rPr>
        <w:t>. In these circumstances, you can request a</w:t>
      </w:r>
      <w:r w:rsidR="003E5BAC" w:rsidRPr="00CC55DF">
        <w:rPr>
          <w:lang w:eastAsia="en-AU"/>
        </w:rPr>
        <w:t xml:space="preserve"> grant agreement</w:t>
      </w:r>
      <w:r w:rsidR="009574D4" w:rsidRPr="00CC55DF">
        <w:rPr>
          <w:lang w:eastAsia="en-AU"/>
        </w:rPr>
        <w:t xml:space="preserve"> </w:t>
      </w:r>
      <w:r w:rsidRPr="00CC55DF">
        <w:rPr>
          <w:lang w:eastAsia="en-AU"/>
        </w:rPr>
        <w:t>variation, including:</w:t>
      </w:r>
    </w:p>
    <w:p w14:paraId="2AF7BD1C" w14:textId="2F3F4BF2" w:rsidR="0065646F" w:rsidRPr="00CC55DF" w:rsidRDefault="0065646F" w:rsidP="0065646F">
      <w:pPr>
        <w:pStyle w:val="Bullet1"/>
        <w:numPr>
          <w:ilvl w:val="0"/>
          <w:numId w:val="38"/>
        </w:numPr>
        <w:suppressAutoHyphens w:val="0"/>
      </w:pPr>
      <w:r w:rsidRPr="00CC55DF">
        <w:t xml:space="preserve">an increase to the </w:t>
      </w:r>
      <w:r w:rsidR="00DC50E1">
        <w:t>agreed amount of grant funds</w:t>
      </w:r>
    </w:p>
    <w:p w14:paraId="7D1EA1FA" w14:textId="2A189AC2" w:rsidR="0065646F" w:rsidRPr="00CC55DF" w:rsidRDefault="003E5BAC" w:rsidP="0065646F">
      <w:pPr>
        <w:pStyle w:val="Bullet1"/>
        <w:numPr>
          <w:ilvl w:val="0"/>
          <w:numId w:val="38"/>
        </w:numPr>
        <w:suppressAutoHyphens w:val="0"/>
        <w:rPr>
          <w:lang w:eastAsia="en-AU"/>
        </w:rPr>
      </w:pPr>
      <w:r w:rsidRPr="00CC55DF">
        <w:rPr>
          <w:lang w:eastAsia="en-AU"/>
        </w:rPr>
        <w:t xml:space="preserve">a decrease to the agreed amount of grant funds. </w:t>
      </w:r>
    </w:p>
    <w:p w14:paraId="1B38E69D" w14:textId="77777777" w:rsidR="0065646F" w:rsidRPr="00CC55DF" w:rsidRDefault="0065646F" w:rsidP="0065646F">
      <w:pPr>
        <w:rPr>
          <w:lang w:eastAsia="en-AU"/>
        </w:rPr>
      </w:pPr>
      <w:r w:rsidRPr="00CC55DF">
        <w:rPr>
          <w:lang w:eastAsia="en-AU"/>
        </w:rPr>
        <w:t>If you want to propose changes to the grant agreement, you must put them in writing before the grant agreement end date. Contact your Funding Arrangement Manager</w:t>
      </w:r>
      <w:r w:rsidRPr="00CC55DF">
        <w:rPr>
          <w:b/>
          <w:bCs/>
          <w:lang w:eastAsia="en-AU"/>
        </w:rPr>
        <w:t xml:space="preserve"> </w:t>
      </w:r>
      <w:r w:rsidRPr="00CC55DF">
        <w:rPr>
          <w:lang w:eastAsia="en-AU"/>
        </w:rPr>
        <w:t>for further information. AGD will not consider changes after the grant agreement end date.</w:t>
      </w:r>
    </w:p>
    <w:p w14:paraId="70F3D300" w14:textId="77777777" w:rsidR="0065646F" w:rsidRPr="00CC55DF" w:rsidRDefault="0065646F" w:rsidP="0065646F">
      <w:pPr>
        <w:rPr>
          <w:lang w:eastAsia="en-AU"/>
        </w:rPr>
      </w:pPr>
      <w:r w:rsidRPr="00CC55DF">
        <w:rPr>
          <w:lang w:eastAsia="en-AU"/>
        </w:rPr>
        <w:t>You should not assume that a variation request will be successful. AGD will consider your request based on factors such as:</w:t>
      </w:r>
    </w:p>
    <w:p w14:paraId="54F28928" w14:textId="77777777" w:rsidR="0065646F" w:rsidRPr="00CC55DF" w:rsidRDefault="0065646F" w:rsidP="0065646F">
      <w:pPr>
        <w:pStyle w:val="Bullet1"/>
        <w:numPr>
          <w:ilvl w:val="0"/>
          <w:numId w:val="38"/>
        </w:numPr>
        <w:suppressAutoHyphens w:val="0"/>
      </w:pPr>
      <w:r w:rsidRPr="00CC55DF">
        <w:t>how it affects the activity outcome</w:t>
      </w:r>
    </w:p>
    <w:p w14:paraId="77849B92" w14:textId="77777777" w:rsidR="0065646F" w:rsidRPr="00CC55DF" w:rsidRDefault="0065646F" w:rsidP="0065646F">
      <w:pPr>
        <w:pStyle w:val="Bullet1"/>
        <w:numPr>
          <w:ilvl w:val="0"/>
          <w:numId w:val="38"/>
        </w:numPr>
        <w:suppressAutoHyphens w:val="0"/>
      </w:pPr>
      <w:r w:rsidRPr="00CC55DF">
        <w:t>consistency with the program policy objective and any relevant policies of the department</w:t>
      </w:r>
    </w:p>
    <w:p w14:paraId="35511A4A" w14:textId="77777777" w:rsidR="0065646F" w:rsidRPr="00CC55DF" w:rsidRDefault="0065646F" w:rsidP="0065646F">
      <w:pPr>
        <w:pStyle w:val="Bullet1"/>
        <w:numPr>
          <w:ilvl w:val="0"/>
          <w:numId w:val="38"/>
        </w:numPr>
        <w:suppressAutoHyphens w:val="0"/>
      </w:pPr>
      <w:r w:rsidRPr="00CC55DF">
        <w:t>changes to the timing of grant payments</w:t>
      </w:r>
    </w:p>
    <w:p w14:paraId="036A523E" w14:textId="77777777" w:rsidR="0065646F" w:rsidRPr="00CC55DF" w:rsidRDefault="0065646F" w:rsidP="0065646F">
      <w:pPr>
        <w:pStyle w:val="Bullet1"/>
        <w:numPr>
          <w:ilvl w:val="0"/>
          <w:numId w:val="38"/>
        </w:numPr>
        <w:suppressAutoHyphens w:val="0"/>
      </w:pPr>
      <w:r w:rsidRPr="00CC55DF">
        <w:lastRenderedPageBreak/>
        <w:t>availability of program funds.</w:t>
      </w:r>
    </w:p>
    <w:p w14:paraId="20E1C155" w14:textId="77777777" w:rsidR="0065646F" w:rsidRDefault="0065646F" w:rsidP="0065646F">
      <w:pPr>
        <w:pStyle w:val="Bullet1"/>
        <w:numPr>
          <w:ilvl w:val="0"/>
          <w:numId w:val="0"/>
        </w:numPr>
        <w:ind w:left="284" w:hanging="284"/>
      </w:pPr>
      <w:r w:rsidRPr="00CC55DF">
        <w:t>You will be notified of the outcome of your request for variation.</w:t>
      </w:r>
      <w:r>
        <w:t xml:space="preserve"> </w:t>
      </w:r>
    </w:p>
    <w:p w14:paraId="1849EABC" w14:textId="77777777" w:rsidR="00340616" w:rsidRDefault="00340616" w:rsidP="00C54AF4">
      <w:pPr>
        <w:pStyle w:val="Heading1Numbered"/>
        <w:ind w:left="567"/>
      </w:pPr>
      <w:bookmarkStart w:id="89" w:name="_Toc467773983"/>
      <w:bookmarkStart w:id="90" w:name="_Toc536094900"/>
      <w:r w:rsidRPr="001607E9">
        <w:t>Announcement</w:t>
      </w:r>
      <w:r>
        <w:t xml:space="preserve"> of grants</w:t>
      </w:r>
      <w:bookmarkEnd w:id="89"/>
      <w:bookmarkEnd w:id="90"/>
    </w:p>
    <w:p w14:paraId="1391CE70" w14:textId="314B517D" w:rsidR="00966462" w:rsidRPr="00966462" w:rsidRDefault="00966462" w:rsidP="00966462">
      <w:pPr>
        <w:rPr>
          <w:iCs/>
        </w:rPr>
      </w:pPr>
      <w:r>
        <w:t xml:space="preserve">If successful, your grant will be listed on </w:t>
      </w:r>
      <w:hyperlink r:id="rId18" w:history="1">
        <w:r w:rsidRPr="000510F7">
          <w:rPr>
            <w:rStyle w:val="Hyperlink"/>
            <w:rFonts w:cstheme="minorBidi"/>
          </w:rPr>
          <w:t>GrantConnect</w:t>
        </w:r>
      </w:hyperlink>
      <w:r>
        <w:t xml:space="preserve"> </w:t>
      </w:r>
      <w:r w:rsidR="006459B6">
        <w:t xml:space="preserve">no later than </w:t>
      </w:r>
      <w:r w:rsidR="000510F7">
        <w:t>21 calendar days</w:t>
      </w:r>
      <w:r>
        <w:t xml:space="preserve"> after the date of effect as required by Section 5.3 of the </w:t>
      </w:r>
      <w:r w:rsidRPr="00946B9D">
        <w:rPr>
          <w:i/>
          <w:iCs/>
        </w:rPr>
        <w:t>C</w:t>
      </w:r>
      <w:r w:rsidR="00DC50E1" w:rsidRPr="00946B9D">
        <w:rPr>
          <w:i/>
          <w:iCs/>
        </w:rPr>
        <w:t>ommonwealth Grant Rules and Guidelines</w:t>
      </w:r>
      <w:r w:rsidR="00946B9D" w:rsidRPr="00946B9D">
        <w:rPr>
          <w:i/>
          <w:iCs/>
        </w:rPr>
        <w:t xml:space="preserve"> 2017</w:t>
      </w:r>
      <w:r w:rsidRPr="00821C5A">
        <w:rPr>
          <w:iCs/>
        </w:rPr>
        <w:t>.</w:t>
      </w:r>
      <w:r>
        <w:rPr>
          <w:i/>
          <w:iCs/>
        </w:rPr>
        <w:t xml:space="preserve"> </w:t>
      </w:r>
    </w:p>
    <w:p w14:paraId="08E490E4" w14:textId="77777777" w:rsidR="00340616" w:rsidRPr="00B72EE8" w:rsidRDefault="00340616" w:rsidP="002F0E77">
      <w:pPr>
        <w:pStyle w:val="Heading1Numbered"/>
        <w:ind w:left="426" w:hanging="426"/>
      </w:pPr>
      <w:bookmarkStart w:id="91" w:name="_Toc421777623"/>
      <w:bookmarkStart w:id="92" w:name="_Toc467773984"/>
      <w:bookmarkStart w:id="93" w:name="_Toc536094901"/>
      <w:r w:rsidRPr="00B72EE8">
        <w:t xml:space="preserve">Delivery of </w:t>
      </w:r>
      <w:r>
        <w:t>g</w:t>
      </w:r>
      <w:r w:rsidRPr="00B72EE8">
        <w:t>rant</w:t>
      </w:r>
      <w:r>
        <w:t xml:space="preserve"> activities</w:t>
      </w:r>
      <w:bookmarkEnd w:id="91"/>
      <w:bookmarkEnd w:id="92"/>
      <w:bookmarkEnd w:id="93"/>
    </w:p>
    <w:p w14:paraId="43973845" w14:textId="77777777" w:rsidR="00340616" w:rsidRPr="00B72EE8" w:rsidDel="00D505A5" w:rsidRDefault="00340616" w:rsidP="00892C8B">
      <w:pPr>
        <w:pStyle w:val="Heading2Numbered"/>
        <w:ind w:left="709" w:hanging="709"/>
      </w:pPr>
      <w:bookmarkStart w:id="94" w:name="_Toc421777624"/>
      <w:bookmarkStart w:id="95" w:name="_Toc433641185"/>
      <w:bookmarkStart w:id="96" w:name="_Toc467773985"/>
      <w:bookmarkStart w:id="97" w:name="_Toc536094902"/>
      <w:r>
        <w:t>Your</w:t>
      </w:r>
      <w:r w:rsidRPr="00B72EE8" w:rsidDel="00D505A5">
        <w:t xml:space="preserve"> responsibilities</w:t>
      </w:r>
      <w:bookmarkEnd w:id="94"/>
      <w:bookmarkEnd w:id="95"/>
      <w:bookmarkEnd w:id="96"/>
      <w:bookmarkEnd w:id="97"/>
    </w:p>
    <w:p w14:paraId="32921697" w14:textId="156A1B69" w:rsidR="00340616" w:rsidRDefault="00340616" w:rsidP="00635422">
      <w:pPr>
        <w:rPr>
          <w:rFonts w:cstheme="minorHAnsi"/>
        </w:rPr>
      </w:pPr>
      <w:r w:rsidRPr="00726710">
        <w:rPr>
          <w:rFonts w:cstheme="minorHAnsi"/>
        </w:rPr>
        <w:t>You must submit reports</w:t>
      </w:r>
      <w:r w:rsidRPr="00726710">
        <w:rPr>
          <w:rFonts w:cstheme="minorHAnsi"/>
          <w:b/>
        </w:rPr>
        <w:t xml:space="preserve"> </w:t>
      </w:r>
      <w:r w:rsidRPr="00726710">
        <w:rPr>
          <w:rFonts w:cstheme="minorHAnsi"/>
        </w:rPr>
        <w:t>in line with the</w:t>
      </w:r>
      <w:r w:rsidRPr="00726710" w:rsidDel="00D505A5">
        <w:rPr>
          <w:rFonts w:cstheme="minorHAnsi"/>
        </w:rPr>
        <w:t xml:space="preserve"> timeframes </w:t>
      </w:r>
      <w:r w:rsidRPr="00726710">
        <w:rPr>
          <w:rFonts w:cstheme="minorHAnsi"/>
        </w:rPr>
        <w:t xml:space="preserve">in the </w:t>
      </w:r>
      <w:hyperlink r:id="rId19" w:history="1">
        <w:r w:rsidRPr="00726710">
          <w:rPr>
            <w:rFonts w:cstheme="minorHAnsi"/>
          </w:rPr>
          <w:t>grant agreement</w:t>
        </w:r>
      </w:hyperlink>
      <w:r w:rsidRPr="00726710">
        <w:rPr>
          <w:rFonts w:cstheme="minorHAnsi"/>
        </w:rPr>
        <w:t xml:space="preserve">. </w:t>
      </w:r>
    </w:p>
    <w:p w14:paraId="29581A04" w14:textId="0A927A70" w:rsidR="006C0E48" w:rsidRDefault="006C0E48" w:rsidP="00635422">
      <w:pPr>
        <w:rPr>
          <w:rFonts w:cstheme="minorHAnsi"/>
        </w:rPr>
      </w:pPr>
      <w:r>
        <w:rPr>
          <w:rFonts w:cstheme="minorHAnsi"/>
        </w:rPr>
        <w:t>Reports may include:</w:t>
      </w:r>
    </w:p>
    <w:p w14:paraId="306FE115" w14:textId="6077AD0D" w:rsidR="006C0E48" w:rsidRPr="00873BD3" w:rsidRDefault="00CC73AF" w:rsidP="00873BD3">
      <w:pPr>
        <w:pStyle w:val="Bullet1"/>
      </w:pPr>
      <w:r w:rsidRPr="00873BD3">
        <w:t>activity work plan</w:t>
      </w:r>
      <w:r w:rsidR="006C0E48" w:rsidRPr="00873BD3">
        <w:t xml:space="preserve"> reports</w:t>
      </w:r>
      <w:r w:rsidR="00FF20D6" w:rsidRPr="00873BD3">
        <w:t xml:space="preserve"> – these are reports against deliverables listed in the agreed </w:t>
      </w:r>
      <w:r w:rsidRPr="00873BD3">
        <w:t>activity work plan</w:t>
      </w:r>
    </w:p>
    <w:p w14:paraId="7486B968" w14:textId="0527CB46" w:rsidR="006C0E48" w:rsidRPr="00873BD3" w:rsidRDefault="00CC73AF" w:rsidP="00873BD3">
      <w:pPr>
        <w:pStyle w:val="Bullet1"/>
      </w:pPr>
      <w:r w:rsidRPr="00873BD3">
        <w:t>p</w:t>
      </w:r>
      <w:r w:rsidR="006C0E48" w:rsidRPr="00873BD3">
        <w:t>rogress reports</w:t>
      </w:r>
      <w:r w:rsidRPr="00873BD3">
        <w:t>.</w:t>
      </w:r>
    </w:p>
    <w:p w14:paraId="2402E9C1" w14:textId="42C1A90A" w:rsidR="00340616" w:rsidRPr="00B72EE8" w:rsidRDefault="005A3C34" w:rsidP="00953463">
      <w:pPr>
        <w:pStyle w:val="Heading2Numbered"/>
        <w:ind w:left="709" w:hanging="709"/>
      </w:pPr>
      <w:bookmarkStart w:id="98" w:name="_Toc420671454"/>
      <w:bookmarkStart w:id="99" w:name="_Toc433641186"/>
      <w:bookmarkStart w:id="100" w:name="_Toc467773986"/>
      <w:bookmarkStart w:id="101" w:name="_Toc536094903"/>
      <w:r w:rsidRPr="005A3C34">
        <w:rPr>
          <w:color w:val="auto"/>
        </w:rPr>
        <w:t>The Community Grants Hub’s</w:t>
      </w:r>
      <w:r w:rsidR="00340616" w:rsidRPr="005A3C34">
        <w:rPr>
          <w:color w:val="auto"/>
        </w:rPr>
        <w:t xml:space="preserve"> </w:t>
      </w:r>
      <w:r w:rsidR="00340616" w:rsidRPr="00B72EE8">
        <w:t>responsibilities</w:t>
      </w:r>
      <w:bookmarkEnd w:id="98"/>
      <w:bookmarkEnd w:id="99"/>
      <w:bookmarkEnd w:id="100"/>
      <w:bookmarkEnd w:id="101"/>
    </w:p>
    <w:p w14:paraId="1ECE584C" w14:textId="1E873025" w:rsidR="00340616" w:rsidRPr="00726710" w:rsidRDefault="00340616" w:rsidP="00340616">
      <w:pPr>
        <w:rPr>
          <w:rFonts w:cstheme="minorHAnsi"/>
        </w:rPr>
      </w:pPr>
      <w:r w:rsidRPr="00726710">
        <w:rPr>
          <w:rFonts w:cstheme="minorHAnsi"/>
        </w:rPr>
        <w:t>The</w:t>
      </w:r>
      <w:r w:rsidRPr="00726710">
        <w:rPr>
          <w:rFonts w:cstheme="minorHAnsi"/>
          <w:b/>
        </w:rPr>
        <w:t xml:space="preserve"> </w:t>
      </w:r>
      <w:r w:rsidR="005A3C34" w:rsidRPr="005A3C34">
        <w:rPr>
          <w:rFonts w:cstheme="minorHAnsi"/>
        </w:rPr>
        <w:t>Hub</w:t>
      </w:r>
      <w:r w:rsidR="002F0E77">
        <w:rPr>
          <w:rFonts w:cstheme="minorHAnsi"/>
        </w:rPr>
        <w:t xml:space="preserve"> </w:t>
      </w:r>
      <w:r w:rsidRPr="005A3C34">
        <w:rPr>
          <w:rFonts w:cstheme="minorHAnsi"/>
        </w:rPr>
        <w:t>will</w:t>
      </w:r>
      <w:r w:rsidRPr="00726710">
        <w:rPr>
          <w:rFonts w:cstheme="minorHAnsi"/>
        </w:rPr>
        <w:t xml:space="preserve">: </w:t>
      </w:r>
    </w:p>
    <w:p w14:paraId="6D1E2483" w14:textId="77777777" w:rsidR="00340616" w:rsidRPr="00726710" w:rsidRDefault="00340616" w:rsidP="00726710">
      <w:pPr>
        <w:pStyle w:val="Bullet1"/>
      </w:pPr>
      <w:r w:rsidRPr="00726710">
        <w:t>meet the terms and conditions</w:t>
      </w:r>
      <w:r w:rsidR="001D7A14">
        <w:t xml:space="preserve"> set out in the grant agreement</w:t>
      </w:r>
    </w:p>
    <w:p w14:paraId="386BABAD" w14:textId="77777777" w:rsidR="00340616" w:rsidRPr="00726710" w:rsidRDefault="00340616" w:rsidP="00726710">
      <w:pPr>
        <w:pStyle w:val="Bullet1"/>
      </w:pPr>
      <w:r w:rsidRPr="00726710">
        <w:t>provide time</w:t>
      </w:r>
      <w:r w:rsidR="001D7A14">
        <w:t>ly administration of the grant</w:t>
      </w:r>
    </w:p>
    <w:p w14:paraId="15A5EFE1" w14:textId="77777777" w:rsidR="00340616" w:rsidRPr="00726710" w:rsidRDefault="00340616" w:rsidP="00726710">
      <w:pPr>
        <w:pStyle w:val="Bullet1"/>
      </w:pPr>
      <w:r w:rsidRPr="00726710">
        <w:t>evaluate the grantee’s performance.</w:t>
      </w:r>
    </w:p>
    <w:p w14:paraId="19F05106" w14:textId="1716B346" w:rsidR="00340616" w:rsidRDefault="002F0E77" w:rsidP="00340616">
      <w:pPr>
        <w:rPr>
          <w:rFonts w:cstheme="minorHAnsi"/>
        </w:rPr>
      </w:pPr>
      <w:r>
        <w:rPr>
          <w:rFonts w:cstheme="minorHAnsi"/>
        </w:rPr>
        <w:t xml:space="preserve">The Hub </w:t>
      </w:r>
      <w:r w:rsidR="00340616" w:rsidRPr="00726710">
        <w:rPr>
          <w:rFonts w:cstheme="minorHAnsi"/>
        </w:rPr>
        <w:t xml:space="preserve">will monitor the progress of your project </w:t>
      </w:r>
      <w:r>
        <w:rPr>
          <w:rFonts w:cstheme="minorHAnsi"/>
        </w:rPr>
        <w:t xml:space="preserve">by assessing reports you submit. </w:t>
      </w:r>
      <w:r w:rsidRPr="00726710">
        <w:rPr>
          <w:rFonts w:cstheme="minorHAnsi"/>
        </w:rPr>
        <w:t xml:space="preserve">Occasionally we may need to re-examine claims, seek further information or request an </w:t>
      </w:r>
      <w:r w:rsidR="002C767C" w:rsidRPr="00726710">
        <w:rPr>
          <w:rFonts w:cstheme="minorHAnsi"/>
        </w:rPr>
        <w:t xml:space="preserve">independent audit of claims and payments </w:t>
      </w:r>
      <w:r w:rsidR="00340616" w:rsidRPr="00726710">
        <w:rPr>
          <w:rFonts w:cstheme="minorHAnsi"/>
        </w:rPr>
        <w:t xml:space="preserve">to confirm details of your reports if necessary. </w:t>
      </w:r>
    </w:p>
    <w:p w14:paraId="5CE8543A" w14:textId="3A602F14" w:rsidR="0034376F" w:rsidRPr="00FB3370" w:rsidRDefault="0034376F" w:rsidP="00340616">
      <w:r>
        <w:t>Your performance against the grant agreement will be monitored on an on-going basis by the Funding Arrangement Manager assigned by the Hub. The</w:t>
      </w:r>
      <w:r w:rsidR="00816357">
        <w:t xml:space="preserve">y </w:t>
      </w:r>
      <w:r>
        <w:t xml:space="preserve">will </w:t>
      </w:r>
      <w:r w:rsidR="007E7C27">
        <w:t xml:space="preserve">work with you to </w:t>
      </w:r>
      <w:r>
        <w:t>ensure all milestones recorded in your grant agreement are met.</w:t>
      </w:r>
    </w:p>
    <w:p w14:paraId="33611531" w14:textId="77777777" w:rsidR="00340616" w:rsidRPr="00B72EE8" w:rsidRDefault="00340616" w:rsidP="00892C8B">
      <w:pPr>
        <w:pStyle w:val="Heading2Numbered"/>
        <w:ind w:left="709" w:hanging="709"/>
      </w:pPr>
      <w:bookmarkStart w:id="102" w:name="_Toc421777626"/>
      <w:bookmarkStart w:id="103" w:name="_Toc467773987"/>
      <w:bookmarkStart w:id="104" w:name="_Toc536094904"/>
      <w:bookmarkStart w:id="105" w:name="_Toc433641188"/>
      <w:r>
        <w:t>Grant p</w:t>
      </w:r>
      <w:r w:rsidRPr="00B72EE8">
        <w:t>ayments</w:t>
      </w:r>
      <w:bookmarkEnd w:id="102"/>
      <w:r>
        <w:t xml:space="preserve"> and GST</w:t>
      </w:r>
      <w:bookmarkEnd w:id="103"/>
      <w:bookmarkEnd w:id="104"/>
      <w:r>
        <w:t xml:space="preserve"> </w:t>
      </w:r>
      <w:bookmarkEnd w:id="105"/>
    </w:p>
    <w:p w14:paraId="2DBE8583" w14:textId="422DD4BC" w:rsidR="00093037" w:rsidRPr="00093037" w:rsidRDefault="00093037" w:rsidP="00093037">
      <w:r w:rsidRPr="00093037">
        <w:t>If applicable, GST will be payable on this grant funding. Payment details will be set out in the grant agreement.</w:t>
      </w:r>
    </w:p>
    <w:p w14:paraId="3D1F2DEE" w14:textId="69A2E343" w:rsidR="00B240EB" w:rsidRPr="00DE3325" w:rsidRDefault="00340616" w:rsidP="00340616">
      <w:r w:rsidRPr="000715D5">
        <w:lastRenderedPageBreak/>
        <w:t>If you receive a grant,</w:t>
      </w:r>
      <w:r w:rsidRPr="00C44FAA">
        <w:t xml:space="preserve"> you should consider speaking to a tax advisor </w:t>
      </w:r>
      <w:r w:rsidRPr="00433E7D">
        <w:t xml:space="preserve">about the effect of receiving a grant before you enter into a grant agreement. </w:t>
      </w:r>
      <w:r w:rsidRPr="00430E14">
        <w:t>You can also visit the</w:t>
      </w:r>
      <w:r w:rsidRPr="00C033CD">
        <w:t xml:space="preserve"> </w:t>
      </w:r>
      <w:hyperlink r:id="rId20" w:history="1">
        <w:r w:rsidRPr="00AE5A5C">
          <w:rPr>
            <w:rStyle w:val="Hyperlink"/>
            <w:rFonts w:cstheme="minorBidi"/>
          </w:rPr>
          <w:t>Australian Taxation Office website</w:t>
        </w:r>
      </w:hyperlink>
      <w:r w:rsidRPr="00E620C7">
        <w:t xml:space="preserve"> for more information.</w:t>
      </w:r>
    </w:p>
    <w:p w14:paraId="27A17BE2" w14:textId="77777777" w:rsidR="00340616" w:rsidRPr="00B72EE8" w:rsidRDefault="00340616" w:rsidP="006B09D1">
      <w:pPr>
        <w:pStyle w:val="Heading2Numbered"/>
        <w:ind w:left="567"/>
      </w:pPr>
      <w:bookmarkStart w:id="106" w:name="_Toc531852517"/>
      <w:bookmarkStart w:id="107" w:name="_Toc531852519"/>
      <w:bookmarkStart w:id="108" w:name="_Toc531852522"/>
      <w:bookmarkStart w:id="109" w:name="_Toc531852524"/>
      <w:bookmarkStart w:id="110" w:name="_Toc421777629"/>
      <w:bookmarkStart w:id="111" w:name="_Toc467773988"/>
      <w:bookmarkStart w:id="112" w:name="_Toc536094905"/>
      <w:bookmarkEnd w:id="106"/>
      <w:bookmarkEnd w:id="107"/>
      <w:bookmarkEnd w:id="108"/>
      <w:bookmarkEnd w:id="109"/>
      <w:r>
        <w:t>E</w:t>
      </w:r>
      <w:r w:rsidRPr="00B72EE8">
        <w:t>valuation</w:t>
      </w:r>
      <w:bookmarkEnd w:id="110"/>
      <w:bookmarkEnd w:id="111"/>
      <w:bookmarkEnd w:id="112"/>
    </w:p>
    <w:p w14:paraId="2FD434CE" w14:textId="6292F21E" w:rsidR="001566F9" w:rsidRDefault="002F0E77" w:rsidP="001566F9">
      <w:r>
        <w:t>AGD</w:t>
      </w:r>
      <w:r w:rsidR="001566F9">
        <w:t xml:space="preserve"> will evaluate a range of issues, including but not limited to the p</w:t>
      </w:r>
      <w:r w:rsidR="001566F9" w:rsidRPr="001566F9">
        <w:t>erformance of the program, including the efficiency of implementation and effectiveness of the program meeting the outcomes</w:t>
      </w:r>
      <w:r w:rsidR="001566F9">
        <w:t>.</w:t>
      </w:r>
    </w:p>
    <w:p w14:paraId="7CEAF8F1" w14:textId="35CDD2A2" w:rsidR="00B240EB" w:rsidRDefault="00340616" w:rsidP="00340616">
      <w:r>
        <w:t xml:space="preserve">Your grant agreement </w:t>
      </w:r>
      <w:r w:rsidRPr="00B72EE8">
        <w:t>require</w:t>
      </w:r>
      <w:r>
        <w:t>s</w:t>
      </w:r>
      <w:r w:rsidRPr="00B72EE8">
        <w:t xml:space="preserve"> </w:t>
      </w:r>
      <w:r>
        <w:t>you</w:t>
      </w:r>
      <w:r w:rsidRPr="00B72EE8">
        <w:t xml:space="preserve"> to provide information to </w:t>
      </w:r>
      <w:r>
        <w:t>help with</w:t>
      </w:r>
      <w:r w:rsidRPr="00B72EE8">
        <w:t xml:space="preserve"> this evaluation.</w:t>
      </w:r>
    </w:p>
    <w:p w14:paraId="6C347DE7" w14:textId="6BDCA5AF" w:rsidR="00340616" w:rsidRPr="00B72EE8" w:rsidRDefault="00340616" w:rsidP="00635422">
      <w:pPr>
        <w:pStyle w:val="Heading1Numbered"/>
        <w:ind w:left="567"/>
      </w:pPr>
      <w:bookmarkStart w:id="113" w:name="_Toc467773990"/>
      <w:bookmarkStart w:id="114" w:name="_Toc536094906"/>
      <w:bookmarkStart w:id="115" w:name="_Toc421777631"/>
      <w:r w:rsidRPr="00B72EE8">
        <w:t>Probity</w:t>
      </w:r>
      <w:bookmarkEnd w:id="113"/>
      <w:bookmarkEnd w:id="114"/>
      <w:r w:rsidRPr="00B72EE8">
        <w:t xml:space="preserve"> </w:t>
      </w:r>
      <w:bookmarkEnd w:id="115"/>
    </w:p>
    <w:p w14:paraId="34CEEA80" w14:textId="5F4D259B" w:rsidR="00340616" w:rsidRPr="00726710" w:rsidRDefault="00340616" w:rsidP="00340616">
      <w:r w:rsidRPr="00B72EE8">
        <w:t xml:space="preserve">The Australian Government </w:t>
      </w:r>
      <w:r>
        <w:t xml:space="preserve">will make sure that </w:t>
      </w:r>
      <w:r w:rsidRPr="00B72EE8">
        <w:t>the</w:t>
      </w:r>
      <w:r>
        <w:t xml:space="preserve"> program</w:t>
      </w:r>
      <w:r>
        <w:rPr>
          <w:b/>
        </w:rPr>
        <w:t xml:space="preserve"> </w:t>
      </w:r>
      <w:r w:rsidRPr="00B72EE8">
        <w:t>process is fai</w:t>
      </w:r>
      <w:r>
        <w:t xml:space="preserve">r, </w:t>
      </w:r>
      <w:r w:rsidRPr="00B72EE8">
        <w:t>accord</w:t>
      </w:r>
      <w:r>
        <w:t>ing to</w:t>
      </w:r>
      <w:r w:rsidRPr="00B72EE8">
        <w:t xml:space="preserve"> the </w:t>
      </w:r>
      <w:r w:rsidRPr="00726710">
        <w:t xml:space="preserve">published guidelines, incorporates appropriate safeguards against fraud, unlawful activities and other inappropriate conduct and is consistent with the </w:t>
      </w:r>
      <w:r w:rsidR="00DC50E1" w:rsidRPr="00DC50E1">
        <w:rPr>
          <w:i/>
        </w:rPr>
        <w:t>Commonwealth Grants Rules and Guidelines 2017</w:t>
      </w:r>
      <w:r w:rsidRPr="00726710">
        <w:t>.</w:t>
      </w:r>
    </w:p>
    <w:p w14:paraId="0106F36A" w14:textId="1E73A238" w:rsidR="00340616" w:rsidRPr="00B72EE8" w:rsidRDefault="00340616" w:rsidP="00340616">
      <w:r w:rsidRPr="00726710">
        <w:rPr>
          <w:b/>
        </w:rPr>
        <w:t>Note:</w:t>
      </w:r>
      <w:r w:rsidRPr="00726710">
        <w:t xml:space="preserve"> These guidelines may be changed from time-to-time by</w:t>
      </w:r>
      <w:r w:rsidRPr="00726710">
        <w:rPr>
          <w:b/>
        </w:rPr>
        <w:t xml:space="preserve"> </w:t>
      </w:r>
      <w:r w:rsidR="00635422" w:rsidRPr="00635422">
        <w:t>AGD</w:t>
      </w:r>
      <w:r w:rsidRPr="00635422">
        <w:t xml:space="preserve">. </w:t>
      </w:r>
      <w:r w:rsidRPr="00726710">
        <w:t xml:space="preserve">When this happens the revised guidelines will be published on </w:t>
      </w:r>
      <w:hyperlink r:id="rId21" w:history="1">
        <w:r w:rsidR="00DD52C8" w:rsidRPr="00DD52C8">
          <w:rPr>
            <w:rStyle w:val="Hyperlink"/>
            <w:rFonts w:cstheme="minorBidi"/>
          </w:rPr>
          <w:t>GrantConnect</w:t>
        </w:r>
      </w:hyperlink>
      <w:r w:rsidR="00181073">
        <w:rPr>
          <w:rStyle w:val="Hyperlink"/>
          <w:rFonts w:cstheme="minorBidi"/>
          <w:u w:val="none"/>
        </w:rPr>
        <w:t xml:space="preserve"> and the </w:t>
      </w:r>
      <w:hyperlink r:id="rId22" w:history="1">
        <w:r w:rsidR="00181073" w:rsidRPr="00181073">
          <w:rPr>
            <w:rStyle w:val="Hyperlink"/>
            <w:rFonts w:cstheme="minorBidi"/>
          </w:rPr>
          <w:t>Community Grants Hub</w:t>
        </w:r>
      </w:hyperlink>
      <w:r w:rsidR="00181073">
        <w:rPr>
          <w:rStyle w:val="Hyperlink"/>
          <w:rFonts w:cstheme="minorBidi"/>
          <w:u w:val="none"/>
        </w:rPr>
        <w:t xml:space="preserve"> websites</w:t>
      </w:r>
      <w:r w:rsidR="00DD52C8">
        <w:t>.</w:t>
      </w:r>
    </w:p>
    <w:p w14:paraId="02B4E4DB" w14:textId="77777777" w:rsidR="00340616" w:rsidRPr="0054078D" w:rsidRDefault="00340616" w:rsidP="00892C8B">
      <w:pPr>
        <w:pStyle w:val="Heading2Numbered"/>
        <w:ind w:left="709" w:hanging="709"/>
      </w:pPr>
      <w:bookmarkStart w:id="116" w:name="_Toc414983585"/>
      <w:bookmarkStart w:id="117" w:name="_Toc414984002"/>
      <w:bookmarkStart w:id="118" w:name="_Toc414984762"/>
      <w:bookmarkStart w:id="119" w:name="_Toc414984856"/>
      <w:bookmarkStart w:id="120" w:name="_Toc414984960"/>
      <w:bookmarkStart w:id="121" w:name="_Toc414985063"/>
      <w:bookmarkStart w:id="122" w:name="_Toc414985166"/>
      <w:bookmarkStart w:id="123" w:name="_Toc414985268"/>
      <w:bookmarkStart w:id="124" w:name="_Toc421777632"/>
      <w:bookmarkStart w:id="125" w:name="_Toc467773991"/>
      <w:bookmarkStart w:id="126" w:name="_Toc536094907"/>
      <w:bookmarkEnd w:id="116"/>
      <w:bookmarkEnd w:id="117"/>
      <w:bookmarkEnd w:id="118"/>
      <w:bookmarkEnd w:id="119"/>
      <w:bookmarkEnd w:id="120"/>
      <w:bookmarkEnd w:id="121"/>
      <w:bookmarkEnd w:id="122"/>
      <w:bookmarkEnd w:id="123"/>
      <w:r w:rsidRPr="0054078D">
        <w:t>Complaints process</w:t>
      </w:r>
      <w:bookmarkEnd w:id="124"/>
      <w:bookmarkEnd w:id="125"/>
      <w:bookmarkEnd w:id="126"/>
    </w:p>
    <w:p w14:paraId="03E194C2" w14:textId="77777777" w:rsidR="008F4C2E" w:rsidRPr="00C2163B" w:rsidRDefault="008F4C2E" w:rsidP="008F4C2E">
      <w:pPr>
        <w:rPr>
          <w:b/>
        </w:rPr>
      </w:pPr>
      <w:bookmarkStart w:id="127" w:name="_Toc421777633"/>
      <w:bookmarkStart w:id="128" w:name="_Toc467773992"/>
      <w:r>
        <w:rPr>
          <w:b/>
        </w:rPr>
        <w:t>Complaints about the Program</w:t>
      </w:r>
    </w:p>
    <w:p w14:paraId="00147713" w14:textId="13295CD0" w:rsidR="008F4C2E" w:rsidRDefault="0046424D" w:rsidP="008F4C2E">
      <w:r>
        <w:t>AGD</w:t>
      </w:r>
      <w:r w:rsidR="008F4C2E" w:rsidRPr="00726710">
        <w:rPr>
          <w:color w:val="745B00" w:themeColor="accent3" w:themeShade="80"/>
        </w:rPr>
        <w:t xml:space="preserve"> </w:t>
      </w:r>
      <w:r w:rsidR="006E5596">
        <w:t>will reply</w:t>
      </w:r>
      <w:r w:rsidR="006E5596" w:rsidRPr="00B72EE8">
        <w:t xml:space="preserve"> </w:t>
      </w:r>
      <w:r w:rsidR="008F4C2E" w:rsidRPr="00B72EE8">
        <w:t xml:space="preserve">to complaints </w:t>
      </w:r>
      <w:r w:rsidR="00AC2E4C">
        <w:t>about the Program</w:t>
      </w:r>
      <w:r w:rsidR="008F4C2E">
        <w:t>.</w:t>
      </w:r>
      <w:r w:rsidR="008F4C2E" w:rsidRPr="009E25CE">
        <w:rPr>
          <w:b/>
        </w:rPr>
        <w:t xml:space="preserve"> </w:t>
      </w:r>
      <w:r w:rsidR="008F4C2E">
        <w:t>A</w:t>
      </w:r>
      <w:r w:rsidR="008F4C2E" w:rsidRPr="00B72EE8">
        <w:t xml:space="preserve">ll complaints </w:t>
      </w:r>
      <w:r w:rsidR="008F4C2E">
        <w:t xml:space="preserve">about the </w:t>
      </w:r>
      <w:r w:rsidR="006E5596">
        <w:t>P</w:t>
      </w:r>
      <w:r w:rsidR="008F4C2E">
        <w:t>rogram, including</w:t>
      </w:r>
      <w:r w:rsidR="008F4C2E" w:rsidRPr="00B72EE8">
        <w:t xml:space="preserve"> grant </w:t>
      </w:r>
      <w:r w:rsidR="008F4C2E">
        <w:t>decisions,</w:t>
      </w:r>
      <w:r w:rsidR="008F4C2E" w:rsidRPr="00B72EE8">
        <w:t xml:space="preserve"> </w:t>
      </w:r>
      <w:r w:rsidR="008F4C2E">
        <w:t xml:space="preserve">must </w:t>
      </w:r>
      <w:r w:rsidR="008F4C2E" w:rsidRPr="00B72EE8">
        <w:t>be lodged in writing.</w:t>
      </w:r>
    </w:p>
    <w:p w14:paraId="2C28C7E7" w14:textId="348D0CCD" w:rsidR="008F4C2E" w:rsidRPr="00B72EE8" w:rsidRDefault="008F4C2E" w:rsidP="008F4C2E">
      <w:r>
        <w:t xml:space="preserve">Any questions you have about </w:t>
      </w:r>
      <w:r w:rsidR="00AC2E4C">
        <w:t>grant decisions for the Program</w:t>
      </w:r>
      <w:r>
        <w:t xml:space="preserve"> should be sent to </w:t>
      </w:r>
      <w:hyperlink r:id="rId23" w:history="1">
        <w:r w:rsidR="00181A12" w:rsidRPr="00FB4FC0">
          <w:rPr>
            <w:rStyle w:val="Hyperlink"/>
            <w:rFonts w:cstheme="minorBidi"/>
          </w:rPr>
          <w:t>FSBCoord</w:t>
        </w:r>
        <w:r w:rsidR="0046424D" w:rsidRPr="00FB4FC0">
          <w:rPr>
            <w:rStyle w:val="Hyperlink"/>
            <w:rFonts w:cstheme="minorBidi"/>
          </w:rPr>
          <w:t>@ag.gov.au</w:t>
        </w:r>
      </w:hyperlink>
      <w:r w:rsidR="0046424D" w:rsidRPr="003E556D">
        <w:t>.</w:t>
      </w:r>
    </w:p>
    <w:p w14:paraId="3389C502" w14:textId="58A37FD3" w:rsidR="001C022C" w:rsidRDefault="001C022C" w:rsidP="001C022C">
      <w:pPr>
        <w:rPr>
          <w:b/>
        </w:rPr>
      </w:pPr>
      <w:r w:rsidRPr="00A916BA">
        <w:rPr>
          <w:b/>
        </w:rPr>
        <w:t xml:space="preserve">Complaints about the </w:t>
      </w:r>
      <w:r w:rsidR="00D3773A">
        <w:rPr>
          <w:b/>
        </w:rPr>
        <w:t>p</w:t>
      </w:r>
      <w:r w:rsidRPr="00A916BA">
        <w:rPr>
          <w:b/>
        </w:rPr>
        <w:t>rocess</w:t>
      </w:r>
    </w:p>
    <w:p w14:paraId="4757A7E8" w14:textId="77777777" w:rsidR="001C022C" w:rsidRPr="00A916BA" w:rsidRDefault="001C022C" w:rsidP="001C022C">
      <w:r w:rsidRPr="00A916BA">
        <w:t xml:space="preserve">Applicants can contact the complaints service with complaints about Community Grants Hub’s service(s) or the application process. </w:t>
      </w:r>
    </w:p>
    <w:p w14:paraId="08D14261" w14:textId="57426BF2" w:rsidR="001C022C" w:rsidRDefault="001C022C" w:rsidP="001C022C">
      <w:r w:rsidRPr="00A916BA">
        <w:t xml:space="preserve">Details of what constitutes an eligible complaint can be provided upon request by the Community Grants Hub. Applicants can lodge complaints using the </w:t>
      </w:r>
      <w:hyperlink r:id="rId24" w:history="1">
        <w:r w:rsidRPr="0011101F">
          <w:rPr>
            <w:rStyle w:val="Hyperlink"/>
            <w:rFonts w:cstheme="minorBidi"/>
          </w:rPr>
          <w:t>complaints form</w:t>
        </w:r>
      </w:hyperlink>
      <w:r w:rsidRPr="00A916BA">
        <w:t xml:space="preserve"> on the Department</w:t>
      </w:r>
      <w:r>
        <w:t>’</w:t>
      </w:r>
      <w:r w:rsidRPr="00A916BA">
        <w:t>s webs</w:t>
      </w:r>
      <w:r>
        <w:t>ite or by phone or mail.</w:t>
      </w:r>
    </w:p>
    <w:p w14:paraId="5EEC4792" w14:textId="77777777" w:rsidR="00592EB3" w:rsidRDefault="00592EB3" w:rsidP="00592EB3">
      <w:pPr>
        <w:spacing w:before="0" w:after="0" w:line="240" w:lineRule="auto"/>
      </w:pPr>
    </w:p>
    <w:p w14:paraId="29829F0E" w14:textId="77777777" w:rsidR="0090794D" w:rsidRPr="00A916BA" w:rsidRDefault="0090794D" w:rsidP="00592EB3">
      <w:pPr>
        <w:spacing w:before="0" w:after="0" w:line="240" w:lineRule="auto"/>
      </w:pPr>
      <w:r>
        <w:t>Phone</w:t>
      </w:r>
      <w:r w:rsidRPr="00A916BA">
        <w:t>:</w:t>
      </w:r>
      <w:r w:rsidR="008C6A77">
        <w:tab/>
      </w:r>
      <w:r w:rsidR="008C6A77">
        <w:tab/>
      </w:r>
      <w:r w:rsidRPr="00A916BA">
        <w:t xml:space="preserve">1800 634 035 </w:t>
      </w:r>
    </w:p>
    <w:p w14:paraId="131CAEF6" w14:textId="77777777" w:rsidR="0090794D" w:rsidRPr="00A916BA" w:rsidRDefault="0090794D" w:rsidP="00592EB3">
      <w:pPr>
        <w:spacing w:before="0" w:after="0" w:line="240" w:lineRule="auto"/>
      </w:pPr>
      <w:r w:rsidRPr="00A916BA">
        <w:t>Mail:</w:t>
      </w:r>
      <w:r w:rsidR="008C6A77">
        <w:tab/>
      </w:r>
      <w:r w:rsidR="008C6A77">
        <w:tab/>
      </w:r>
      <w:r w:rsidRPr="00A916BA">
        <w:t>Complaints</w:t>
      </w:r>
    </w:p>
    <w:p w14:paraId="4E70C2CC" w14:textId="77777777" w:rsidR="0090794D" w:rsidRPr="00A916BA" w:rsidRDefault="0090794D" w:rsidP="008C6A77">
      <w:pPr>
        <w:spacing w:before="0" w:after="0" w:line="240" w:lineRule="auto"/>
        <w:ind w:left="720" w:firstLine="720"/>
      </w:pPr>
      <w:r w:rsidRPr="00A916BA">
        <w:t>GPO Box 9820</w:t>
      </w:r>
    </w:p>
    <w:p w14:paraId="56A7F53D" w14:textId="0A268A2F" w:rsidR="00D3773A" w:rsidRDefault="0090794D" w:rsidP="00873BD3">
      <w:pPr>
        <w:spacing w:before="0" w:after="0" w:line="240" w:lineRule="auto"/>
        <w:ind w:left="720" w:firstLine="720"/>
        <w:rPr>
          <w:b/>
        </w:rPr>
      </w:pPr>
      <w:r w:rsidRPr="00A916BA">
        <w:t>Canberra ACT 2601</w:t>
      </w:r>
    </w:p>
    <w:p w14:paraId="7F7BCE5E" w14:textId="49D39FD8" w:rsidR="001C022C" w:rsidRPr="00A916BA" w:rsidRDefault="001C022C" w:rsidP="001C022C">
      <w:pPr>
        <w:rPr>
          <w:b/>
        </w:rPr>
      </w:pPr>
      <w:r>
        <w:rPr>
          <w:b/>
        </w:rPr>
        <w:lastRenderedPageBreak/>
        <w:t>Complaints to the Ombudsman</w:t>
      </w:r>
    </w:p>
    <w:p w14:paraId="4BA8F2DE" w14:textId="461B1E6F" w:rsidR="001C022C" w:rsidRDefault="001C022C" w:rsidP="001C022C">
      <w:r>
        <w:t xml:space="preserve">If you do not agree with the way </w:t>
      </w:r>
      <w:r w:rsidR="0046424D">
        <w:t>AGD</w:t>
      </w:r>
      <w:r w:rsidR="008F4C2E">
        <w:rPr>
          <w:b/>
          <w:color w:val="745B00" w:themeColor="accent3" w:themeShade="80"/>
        </w:rPr>
        <w:t xml:space="preserve"> </w:t>
      </w:r>
      <w:r>
        <w:t xml:space="preserve">has handled your complaint, you may complain to the Commonwealth Ombudsman. The Ombudsman will not usually look into a complaint unless the matter has first been raised directly with </w:t>
      </w:r>
      <w:r w:rsidR="0046424D">
        <w:t xml:space="preserve">the Community Grants Hub or </w:t>
      </w:r>
      <w:r w:rsidR="00B76B6F">
        <w:t>AGD</w:t>
      </w:r>
      <w:r w:rsidR="0046424D">
        <w:t>.</w:t>
      </w:r>
    </w:p>
    <w:p w14:paraId="2B7A1F44" w14:textId="77777777" w:rsidR="001C022C" w:rsidRDefault="001C022C" w:rsidP="001C022C">
      <w:pPr>
        <w:ind w:left="5040" w:hanging="5040"/>
      </w:pPr>
      <w:r>
        <w:t xml:space="preserve">The Commonwealth Ombudsman can be contacted on: </w:t>
      </w:r>
    </w:p>
    <w:p w14:paraId="070E4DC5" w14:textId="0600D020" w:rsidR="00302DEE" w:rsidRDefault="001C022C" w:rsidP="001C022C">
      <w:pPr>
        <w:ind w:left="1440"/>
      </w:pPr>
      <w:r>
        <w:t>Phone (Toll free): 1300 362 072</w:t>
      </w:r>
      <w:r>
        <w:br/>
        <w:t xml:space="preserve">Email: </w:t>
      </w:r>
      <w:hyperlink r:id="rId25" w:history="1">
        <w:r>
          <w:rPr>
            <w:rStyle w:val="Hyperlink"/>
          </w:rPr>
          <w:t>ombudsman@ombudsman.gov.au</w:t>
        </w:r>
      </w:hyperlink>
      <w:r>
        <w:t xml:space="preserve"> </w:t>
      </w:r>
      <w:r>
        <w:br/>
        <w:t xml:space="preserve">Website: </w:t>
      </w:r>
      <w:hyperlink r:id="rId26" w:history="1">
        <w:r>
          <w:rPr>
            <w:rStyle w:val="Hyperlink"/>
          </w:rPr>
          <w:t>www.ombudsman.gov.au</w:t>
        </w:r>
      </w:hyperlink>
    </w:p>
    <w:p w14:paraId="4ACA3EC8" w14:textId="77777777" w:rsidR="00340616" w:rsidRPr="00B72EE8" w:rsidRDefault="00340616" w:rsidP="00892C8B">
      <w:pPr>
        <w:pStyle w:val="Heading2Numbered"/>
        <w:ind w:left="709" w:hanging="709"/>
      </w:pPr>
      <w:bookmarkStart w:id="129" w:name="_Toc536094908"/>
      <w:r w:rsidRPr="00B72EE8">
        <w:t>Conflict of interest</w:t>
      </w:r>
      <w:bookmarkEnd w:id="127"/>
      <w:bookmarkEnd w:id="128"/>
      <w:bookmarkEnd w:id="129"/>
    </w:p>
    <w:p w14:paraId="4BD74BAF" w14:textId="052ED08F" w:rsidR="00340616" w:rsidRPr="00B72EE8" w:rsidRDefault="00340616" w:rsidP="00340616">
      <w:r w:rsidRPr="00677A3E">
        <w:t xml:space="preserve">Any conflicts of interest could affect the performance of the grant. There may be a </w:t>
      </w:r>
      <w:hyperlink r:id="rId27" w:history="1">
        <w:r w:rsidRPr="00677A3E">
          <w:t>conflict of interest</w:t>
        </w:r>
      </w:hyperlink>
      <w:r w:rsidRPr="00677A3E">
        <w:t xml:space="preserve">, or perceived conflict of interest, if </w:t>
      </w:r>
      <w:r w:rsidR="00677A3E">
        <w:t xml:space="preserve">relevant AGD, the </w:t>
      </w:r>
      <w:r w:rsidR="00533BCE" w:rsidRPr="00677A3E">
        <w:t>Hub</w:t>
      </w:r>
      <w:r w:rsidR="00677A3E">
        <w:t>’s</w:t>
      </w:r>
      <w:r w:rsidR="00533BCE" w:rsidRPr="00677A3E">
        <w:rPr>
          <w:b/>
        </w:rPr>
        <w:t xml:space="preserve"> </w:t>
      </w:r>
      <w:r w:rsidR="00DB0937">
        <w:t>st</w:t>
      </w:r>
      <w:r w:rsidRPr="00B72EE8">
        <w:t>aff, any member of a</w:t>
      </w:r>
      <w:r>
        <w:t xml:space="preserve"> committee or advisor</w:t>
      </w:r>
      <w:r w:rsidRPr="00B72EE8">
        <w:t xml:space="preserve"> and/or </w:t>
      </w:r>
      <w:r>
        <w:t>you</w:t>
      </w:r>
      <w:r w:rsidRPr="00B72EE8">
        <w:t xml:space="preserve"> or any of </w:t>
      </w:r>
      <w:r>
        <w:t xml:space="preserve">your </w:t>
      </w:r>
      <w:r w:rsidRPr="00B72EE8">
        <w:t>personnel</w:t>
      </w:r>
      <w:r w:rsidR="00873BD3">
        <w:t xml:space="preserve"> has a</w:t>
      </w:r>
      <w:r w:rsidRPr="00B72EE8">
        <w:t>:</w:t>
      </w:r>
    </w:p>
    <w:p w14:paraId="1D7F47ED" w14:textId="7AC8754C" w:rsidR="00340616" w:rsidRPr="00B72EE8" w:rsidRDefault="00340616" w:rsidP="00726710">
      <w:pPr>
        <w:pStyle w:val="Bullet1"/>
      </w:pPr>
      <w:r w:rsidRPr="00B72EE8">
        <w:t xml:space="preserve">professional, commercial or personal relationship with a party who is able to influence the application </w:t>
      </w:r>
      <w:r>
        <w:t>selection</w:t>
      </w:r>
      <w:r w:rsidRPr="00B72EE8">
        <w:t xml:space="preserve"> process, such as a</w:t>
      </w:r>
      <w:r>
        <w:t>n</w:t>
      </w:r>
      <w:r w:rsidRPr="00B72EE8">
        <w:t xml:space="preserve"> </w:t>
      </w:r>
      <w:r>
        <w:t>Australian Government officer</w:t>
      </w:r>
    </w:p>
    <w:p w14:paraId="36F71049" w14:textId="27F965D0" w:rsidR="00340616" w:rsidRPr="00B72EE8" w:rsidRDefault="00340616" w:rsidP="00726710">
      <w:pPr>
        <w:pStyle w:val="Bullet1"/>
      </w:pPr>
      <w:r>
        <w:t>relationship with an organisation</w:t>
      </w:r>
      <w:r w:rsidR="007A0CD6">
        <w:t>, or in</w:t>
      </w:r>
      <w:r w:rsidRPr="00B72EE8">
        <w:t xml:space="preserve"> an organisation, which is likely to interfere with or restrict the applicants from carrying out the proposed acti</w:t>
      </w:r>
      <w:r>
        <w:t>vities fairly and independently</w:t>
      </w:r>
    </w:p>
    <w:p w14:paraId="3F389B68" w14:textId="1D628F68" w:rsidR="00340616" w:rsidRPr="00B72EE8" w:rsidRDefault="00340616" w:rsidP="00726710">
      <w:pPr>
        <w:pStyle w:val="Bullet1"/>
      </w:pPr>
      <w:bookmarkStart w:id="130" w:name="_GoBack"/>
      <w:bookmarkEnd w:id="130"/>
      <w:r w:rsidRPr="00B72EE8">
        <w:t xml:space="preserve">relationship with, or interest in, an organisation from which they will receive personal gain </w:t>
      </w:r>
      <w:r>
        <w:t xml:space="preserve">because </w:t>
      </w:r>
      <w:r w:rsidRPr="00B72EE8">
        <w:t>the organisation receiv</w:t>
      </w:r>
      <w:r>
        <w:t>es</w:t>
      </w:r>
      <w:r w:rsidRPr="00B72EE8">
        <w:t xml:space="preserve"> funding under</w:t>
      </w:r>
      <w:r>
        <w:t xml:space="preserve"> the Program.</w:t>
      </w:r>
    </w:p>
    <w:p w14:paraId="79AECB48" w14:textId="77777777" w:rsidR="00340616" w:rsidRPr="00B72EE8" w:rsidRDefault="00340616" w:rsidP="00340616">
      <w:r>
        <w:t xml:space="preserve">You will be asked to declare, </w:t>
      </w:r>
      <w:r w:rsidRPr="00B72EE8">
        <w:t xml:space="preserve">as part of </w:t>
      </w:r>
      <w:r>
        <w:t>your</w:t>
      </w:r>
      <w:r w:rsidRPr="00B72EE8">
        <w:t xml:space="preserve"> application, </w:t>
      </w:r>
      <w:r>
        <w:t xml:space="preserve">any perceived or </w:t>
      </w:r>
      <w:r w:rsidRPr="00B72EE8">
        <w:t>existing conflicts of interest</w:t>
      </w:r>
      <w:r>
        <w:t>s</w:t>
      </w:r>
      <w:r w:rsidRPr="00B72EE8">
        <w:t xml:space="preserve"> or that</w:t>
      </w:r>
      <w:r>
        <w:t>,</w:t>
      </w:r>
      <w:r w:rsidRPr="00B72EE8">
        <w:t xml:space="preserve"> to the best of </w:t>
      </w:r>
      <w:r>
        <w:t>your</w:t>
      </w:r>
      <w:r w:rsidRPr="00B72EE8">
        <w:t xml:space="preserve"> knowledge</w:t>
      </w:r>
      <w:r>
        <w:t>,</w:t>
      </w:r>
      <w:r w:rsidRPr="00B72EE8">
        <w:t xml:space="preserve"> there is no</w:t>
      </w:r>
      <w:r>
        <w:t xml:space="preserve"> conflict of interest</w:t>
      </w:r>
      <w:r w:rsidRPr="00B72EE8">
        <w:t>.</w:t>
      </w:r>
    </w:p>
    <w:p w14:paraId="41B97594" w14:textId="3A68ABE8" w:rsidR="00340616" w:rsidRDefault="00340616" w:rsidP="00340616">
      <w:r>
        <w:t xml:space="preserve">If you later </w:t>
      </w:r>
      <w:r w:rsidRPr="00B72EE8">
        <w:t>identif</w:t>
      </w:r>
      <w:r>
        <w:t>y</w:t>
      </w:r>
      <w:r w:rsidRPr="00B72EE8">
        <w:t xml:space="preserve"> that</w:t>
      </w:r>
      <w:r>
        <w:t xml:space="preserve"> there is</w:t>
      </w:r>
      <w:r w:rsidRPr="00B72EE8">
        <w:t xml:space="preserve"> an actual, apparent, or potential conflict of interest </w:t>
      </w:r>
      <w:r>
        <w:t>or that one might arise in relation to a</w:t>
      </w:r>
      <w:r w:rsidRPr="00B72EE8">
        <w:t xml:space="preserve"> </w:t>
      </w:r>
      <w:r>
        <w:t xml:space="preserve">grant </w:t>
      </w:r>
      <w:r w:rsidRPr="00B72EE8">
        <w:t>application</w:t>
      </w:r>
      <w:r>
        <w:t>, you</w:t>
      </w:r>
      <w:r w:rsidRPr="00B72EE8">
        <w:t xml:space="preserve"> must inform the</w:t>
      </w:r>
      <w:r w:rsidR="0046424D">
        <w:rPr>
          <w:b/>
          <w:color w:val="745B00" w:themeColor="accent3" w:themeShade="80"/>
        </w:rPr>
        <w:t xml:space="preserve"> </w:t>
      </w:r>
      <w:r w:rsidR="00677A3E">
        <w:t>AGD and the</w:t>
      </w:r>
      <w:r w:rsidR="00533BCE" w:rsidRPr="00677A3E">
        <w:t xml:space="preserve"> Hub</w:t>
      </w:r>
      <w:r w:rsidRPr="00677A3E">
        <w:t xml:space="preserve"> </w:t>
      </w:r>
      <w:r w:rsidRPr="00B72EE8">
        <w:t xml:space="preserve">in writing immediately. </w:t>
      </w:r>
      <w:r>
        <w:t>Committee members and other officials including the decision maker must also declare any conflicts of interest.</w:t>
      </w:r>
    </w:p>
    <w:p w14:paraId="02E08251" w14:textId="60A562B9" w:rsidR="00340616" w:rsidRPr="00B72EE8" w:rsidRDefault="00340616" w:rsidP="00340616">
      <w:r w:rsidRPr="00B72EE8">
        <w:t xml:space="preserve">The chair of the </w:t>
      </w:r>
      <w:r w:rsidR="004C761F">
        <w:t xml:space="preserve">Selection Advisory </w:t>
      </w:r>
      <w:r w:rsidR="00647D91">
        <w:t>Panel</w:t>
      </w:r>
      <w:r w:rsidRPr="00B72EE8">
        <w:t xml:space="preserve"> </w:t>
      </w:r>
      <w:r>
        <w:t>will be made aware of any confli</w:t>
      </w:r>
      <w:r w:rsidRPr="00B72EE8">
        <w:t xml:space="preserve">cts of interest and will handle them </w:t>
      </w:r>
      <w:r>
        <w:t xml:space="preserve">as set out in Australian Government </w:t>
      </w:r>
      <w:r w:rsidRPr="00B72EE8">
        <w:t>policies and procedures.</w:t>
      </w:r>
      <w:r>
        <w:t xml:space="preserve"> </w:t>
      </w:r>
      <w:r w:rsidRPr="00B72EE8">
        <w:t xml:space="preserve">Conflicts of interest for </w:t>
      </w:r>
      <w:r>
        <w:t xml:space="preserve">Australian Government </w:t>
      </w:r>
      <w:r w:rsidRPr="00B72EE8">
        <w:t xml:space="preserve">staff will be handled </w:t>
      </w:r>
      <w:r>
        <w:t xml:space="preserve">as set out in </w:t>
      </w:r>
      <w:r w:rsidRPr="00B72EE8">
        <w:t xml:space="preserve">the </w:t>
      </w:r>
      <w:r>
        <w:t xml:space="preserve">Australian Public Service Code of Conduct (Section 13(7)) of the </w:t>
      </w:r>
      <w:r w:rsidRPr="009D325B">
        <w:rPr>
          <w:i/>
        </w:rPr>
        <w:t>Public Service Act 1999</w:t>
      </w:r>
      <w:r>
        <w:t xml:space="preserve">. </w:t>
      </w:r>
    </w:p>
    <w:p w14:paraId="79F3FED7" w14:textId="1D3F9A34" w:rsidR="00340616" w:rsidRPr="00440282" w:rsidRDefault="00340616" w:rsidP="00892C8B">
      <w:pPr>
        <w:pStyle w:val="Heading2Numbered"/>
        <w:ind w:left="709" w:hanging="709"/>
      </w:pPr>
      <w:bookmarkStart w:id="131" w:name="_Toc421777634"/>
      <w:bookmarkStart w:id="132" w:name="_Toc467773993"/>
      <w:bookmarkStart w:id="133" w:name="_Toc536094909"/>
      <w:r w:rsidRPr="00B72EE8">
        <w:t>Privacy: confidentiality and protection of personal information</w:t>
      </w:r>
      <w:bookmarkEnd w:id="131"/>
      <w:bookmarkEnd w:id="132"/>
      <w:bookmarkEnd w:id="133"/>
    </w:p>
    <w:p w14:paraId="20847EC3" w14:textId="77777777" w:rsidR="00340616" w:rsidRPr="000D1F02" w:rsidRDefault="00340616" w:rsidP="00340616">
      <w:r w:rsidRPr="00532087">
        <w:t xml:space="preserve">We treat </w:t>
      </w:r>
      <w:r w:rsidRPr="003A4C3C">
        <w:t>yo</w:t>
      </w:r>
      <w:r w:rsidRPr="000D1F02">
        <w:t>ur personal information according to the</w:t>
      </w:r>
      <w:r>
        <w:t xml:space="preserve"> 13</w:t>
      </w:r>
      <w:r w:rsidRPr="00532087">
        <w:t xml:space="preserve"> Australian </w:t>
      </w:r>
      <w:r w:rsidRPr="003A4C3C">
        <w:t xml:space="preserve">Privacy Principles and the </w:t>
      </w:r>
      <w:r w:rsidRPr="000D1F02">
        <w:rPr>
          <w:i/>
        </w:rPr>
        <w:t>Privacy Act 1988</w:t>
      </w:r>
      <w:r w:rsidRPr="000D1F02">
        <w:t xml:space="preserve">. This includes letting you know: </w:t>
      </w:r>
    </w:p>
    <w:p w14:paraId="15FFC49A" w14:textId="77777777" w:rsidR="00340616" w:rsidRPr="00E86A67" w:rsidRDefault="00340616" w:rsidP="00726710">
      <w:pPr>
        <w:pStyle w:val="Bullet1"/>
      </w:pPr>
      <w:r w:rsidRPr="00E86A67">
        <w:t>what personal information we collect</w:t>
      </w:r>
    </w:p>
    <w:p w14:paraId="1025FF8C" w14:textId="77777777" w:rsidR="00340616" w:rsidRPr="00E86A67" w:rsidRDefault="00340616" w:rsidP="00726710">
      <w:pPr>
        <w:pStyle w:val="Bullet1"/>
      </w:pPr>
      <w:r w:rsidRPr="00E86A67">
        <w:t>why we co</w:t>
      </w:r>
      <w:r>
        <w:t>llect your personal information</w:t>
      </w:r>
    </w:p>
    <w:p w14:paraId="1CC948CC" w14:textId="22584586" w:rsidR="00340616" w:rsidRDefault="00340616" w:rsidP="00726710">
      <w:pPr>
        <w:pStyle w:val="Bullet1"/>
      </w:pPr>
      <w:r w:rsidRPr="00E86A67">
        <w:lastRenderedPageBreak/>
        <w:t>who we gi</w:t>
      </w:r>
      <w:r>
        <w:t>ve your personal information to</w:t>
      </w:r>
      <w:r w:rsidR="002B6A9B">
        <w:t>.</w:t>
      </w:r>
    </w:p>
    <w:p w14:paraId="70FA70A8" w14:textId="77777777" w:rsidR="00340616" w:rsidRPr="00E86A67" w:rsidRDefault="00340616" w:rsidP="00340616">
      <w:r w:rsidRPr="00E86A67">
        <w:t xml:space="preserve">You are required, as part of your application, to declare your ability to comply with the </w:t>
      </w:r>
      <w:hyperlink r:id="rId28" w:history="1">
        <w:r w:rsidRPr="00333BAC">
          <w:rPr>
            <w:i/>
          </w:rPr>
          <w:t>Privacy Act 1988</w:t>
        </w:r>
      </w:hyperlink>
      <w:r w:rsidRPr="00333BAC">
        <w:rPr>
          <w:i/>
        </w:rPr>
        <w:t>,</w:t>
      </w:r>
      <w:r w:rsidRPr="00E86A67">
        <w:t xml:space="preserve"> including the Australian Privacy Principles and impose the same privacy obligations on any subcontractors you engage to assist with the activity. You must ask for the Australian Government’s consent in writing before disclosing confidential information.</w:t>
      </w:r>
    </w:p>
    <w:p w14:paraId="52C0BFDC" w14:textId="77777777" w:rsidR="00340616" w:rsidRDefault="00340616" w:rsidP="00340616">
      <w:r>
        <w:t xml:space="preserve">Your personal information </w:t>
      </w:r>
      <w:r w:rsidRPr="00B72EE8">
        <w:t xml:space="preserve">can only be disclosed to someone else if you </w:t>
      </w:r>
      <w:r>
        <w:t>are</w:t>
      </w:r>
      <w:r w:rsidRPr="00B72EE8">
        <w:t xml:space="preserve"> given reasonable notice of the disclosure; where disclosure is authorised or required by law or is reasonably necessary for the enforcement of the criminal law; if it will prevent or lessen a serious and imminent threat to a person’s life or health; or if you have consented to the disclosure. </w:t>
      </w:r>
    </w:p>
    <w:p w14:paraId="478D4B3D" w14:textId="77777777" w:rsidR="00340616" w:rsidRPr="00763129" w:rsidRDefault="00340616" w:rsidP="00340616">
      <w:r w:rsidRPr="00763129">
        <w:t xml:space="preserve">The </w:t>
      </w:r>
      <w:r w:rsidRPr="00B12804">
        <w:t xml:space="preserve">Australian Government </w:t>
      </w:r>
      <w:r w:rsidRPr="00763129">
        <w:t xml:space="preserve">may also use and disclose information </w:t>
      </w:r>
      <w:r>
        <w:t>about grant</w:t>
      </w:r>
      <w:r w:rsidRPr="00763129">
        <w:t xml:space="preserve"> applicants and </w:t>
      </w:r>
      <w:r>
        <w:t xml:space="preserve">grant </w:t>
      </w:r>
      <w:r w:rsidRPr="00763129">
        <w:t>recipients under the Program in any other Australian Government business or function</w:t>
      </w:r>
      <w:r>
        <w:t xml:space="preserve">. This includes giving </w:t>
      </w:r>
      <w:r w:rsidRPr="00763129">
        <w:t>information to the Australian Taxation Office for compliance purposes.</w:t>
      </w:r>
    </w:p>
    <w:p w14:paraId="128C47B8" w14:textId="77777777" w:rsidR="00340616" w:rsidRPr="0033741C" w:rsidRDefault="00340616" w:rsidP="00340616">
      <w:pPr>
        <w:rPr>
          <w:lang w:eastAsia="en-AU"/>
        </w:rPr>
      </w:pPr>
      <w:r>
        <w:rPr>
          <w:lang w:eastAsia="en-AU"/>
        </w:rPr>
        <w:t>We may reveal confidential information to</w:t>
      </w:r>
      <w:r w:rsidRPr="0033741C">
        <w:rPr>
          <w:lang w:eastAsia="en-AU"/>
        </w:rPr>
        <w:t>:</w:t>
      </w:r>
    </w:p>
    <w:p w14:paraId="2AA8082E" w14:textId="77777777" w:rsidR="00340616" w:rsidRDefault="00340616" w:rsidP="00726710">
      <w:pPr>
        <w:pStyle w:val="Bullet1"/>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14:paraId="0B4E983E" w14:textId="77777777" w:rsidR="00340616" w:rsidRDefault="00340616" w:rsidP="00726710">
      <w:pPr>
        <w:pStyle w:val="Bullet1"/>
      </w:pPr>
      <w:r>
        <w:t>employees and contractors of other Commonwealth agencies for any purposes, including government administration, research or service delivery</w:t>
      </w:r>
    </w:p>
    <w:p w14:paraId="61333998" w14:textId="77777777" w:rsidR="00340616" w:rsidRPr="0033741C" w:rsidRDefault="00340616" w:rsidP="00726710">
      <w:pPr>
        <w:pStyle w:val="Bullet1"/>
      </w:pPr>
      <w:r>
        <w:t>other Commonwealth, State, Territory or local government agencies in program reports and consultations</w:t>
      </w:r>
    </w:p>
    <w:p w14:paraId="05356978" w14:textId="77777777" w:rsidR="00340616" w:rsidRPr="0033741C" w:rsidRDefault="00340616" w:rsidP="00726710">
      <w:pPr>
        <w:pStyle w:val="Bullet1"/>
      </w:pPr>
      <w:r w:rsidRPr="0033741C">
        <w:t>the Auditor-General, Ombudsman or Privacy Commissioner</w:t>
      </w:r>
    </w:p>
    <w:p w14:paraId="6D1BCDA0" w14:textId="77777777" w:rsidR="00340616" w:rsidRPr="00BA6D16" w:rsidRDefault="00340616" w:rsidP="00726710">
      <w:pPr>
        <w:pStyle w:val="Bullet1"/>
      </w:pPr>
      <w:r w:rsidRPr="00BA6D16">
        <w:t>the responsible Minister or Parliamentary Secretary</w:t>
      </w:r>
    </w:p>
    <w:p w14:paraId="5EAC5355" w14:textId="77777777" w:rsidR="00340616" w:rsidRPr="0033741C" w:rsidRDefault="00340616" w:rsidP="00726710">
      <w:pPr>
        <w:pStyle w:val="Bullet1"/>
      </w:pPr>
      <w:r w:rsidRPr="0033741C">
        <w:t xml:space="preserve">a House or a Committee of the </w:t>
      </w:r>
      <w:r>
        <w:t xml:space="preserve">Australian </w:t>
      </w:r>
      <w:r w:rsidRPr="0033741C">
        <w:t>Parliament</w:t>
      </w:r>
      <w:r>
        <w:t>.</w:t>
      </w:r>
    </w:p>
    <w:p w14:paraId="1405C66A" w14:textId="77777777" w:rsidR="00340616" w:rsidRPr="00AB0818" w:rsidRDefault="00340616" w:rsidP="00340616">
      <w:r w:rsidRPr="00AB0818">
        <w:t>We may share the information you give us with other Commonwealth agencies for any purposes including government administration, research or service delivery and according to Australian laws, including the:</w:t>
      </w:r>
    </w:p>
    <w:p w14:paraId="3C997E84" w14:textId="77777777" w:rsidR="00340616" w:rsidRPr="00726710" w:rsidRDefault="00340616" w:rsidP="00726710">
      <w:pPr>
        <w:pStyle w:val="Bullet1"/>
        <w:rPr>
          <w:i/>
        </w:rPr>
      </w:pPr>
      <w:r w:rsidRPr="00726710">
        <w:rPr>
          <w:i/>
        </w:rPr>
        <w:t>Public Service Act 1999</w:t>
      </w:r>
    </w:p>
    <w:p w14:paraId="679755A8" w14:textId="77777777" w:rsidR="00340616" w:rsidRPr="00726710" w:rsidRDefault="00340616" w:rsidP="00726710">
      <w:pPr>
        <w:pStyle w:val="Bullet1"/>
        <w:rPr>
          <w:i/>
        </w:rPr>
      </w:pPr>
      <w:r w:rsidRPr="00726710">
        <w:rPr>
          <w:i/>
        </w:rPr>
        <w:t>Public Service Regulations 1999</w:t>
      </w:r>
    </w:p>
    <w:p w14:paraId="33BE07B7" w14:textId="77777777" w:rsidR="00340616" w:rsidRPr="00726710" w:rsidRDefault="00340616" w:rsidP="00726710">
      <w:pPr>
        <w:pStyle w:val="Bullet1"/>
        <w:rPr>
          <w:i/>
        </w:rPr>
      </w:pPr>
      <w:r w:rsidRPr="00726710">
        <w:rPr>
          <w:i/>
        </w:rPr>
        <w:t>Public Governance, Performance and Accountability Act</w:t>
      </w:r>
    </w:p>
    <w:p w14:paraId="1C3AD0B9" w14:textId="77777777" w:rsidR="00340616" w:rsidRPr="00726710" w:rsidRDefault="00340616" w:rsidP="00726710">
      <w:pPr>
        <w:pStyle w:val="Bullet1"/>
        <w:rPr>
          <w:i/>
        </w:rPr>
      </w:pPr>
      <w:r w:rsidRPr="00726710">
        <w:rPr>
          <w:i/>
        </w:rPr>
        <w:t xml:space="preserve">Privacy Act 1988 </w:t>
      </w:r>
    </w:p>
    <w:p w14:paraId="17660980" w14:textId="77777777" w:rsidR="00340616" w:rsidRPr="00726710" w:rsidRDefault="00340616" w:rsidP="00726710">
      <w:pPr>
        <w:pStyle w:val="Bullet1"/>
        <w:rPr>
          <w:i/>
        </w:rPr>
      </w:pPr>
      <w:r w:rsidRPr="00726710">
        <w:rPr>
          <w:i/>
        </w:rPr>
        <w:t>Crimes Act 1914</w:t>
      </w:r>
    </w:p>
    <w:p w14:paraId="40872122" w14:textId="77777777" w:rsidR="00340616" w:rsidRPr="00726710" w:rsidRDefault="00340616" w:rsidP="00726710">
      <w:pPr>
        <w:pStyle w:val="Bullet1"/>
        <w:rPr>
          <w:i/>
        </w:rPr>
      </w:pPr>
      <w:r w:rsidRPr="00726710">
        <w:rPr>
          <w:i/>
        </w:rPr>
        <w:t>Criminal Code Act 1995</w:t>
      </w:r>
    </w:p>
    <w:p w14:paraId="1B0EE095" w14:textId="77777777" w:rsidR="00340616" w:rsidRPr="00AB0818" w:rsidRDefault="00340616" w:rsidP="00340616">
      <w:pPr>
        <w:keepNext/>
      </w:pPr>
      <w:r w:rsidRPr="00AB0818">
        <w:t>We’ll treat the information you give us as sensitive and therefore confidential if it meets all of the four conditions below:</w:t>
      </w:r>
    </w:p>
    <w:p w14:paraId="24CA75B1" w14:textId="77777777" w:rsidR="00340616" w:rsidRPr="00AB0818" w:rsidRDefault="00340616" w:rsidP="000A5778">
      <w:pPr>
        <w:pStyle w:val="NumberedList1"/>
        <w:numPr>
          <w:ilvl w:val="0"/>
          <w:numId w:val="15"/>
        </w:numPr>
      </w:pPr>
      <w:r>
        <w:t>y</w:t>
      </w:r>
      <w:r w:rsidRPr="00AB0818">
        <w:t>ou clearly identify the information as confidential and explain why we should treat it as conf</w:t>
      </w:r>
      <w:r>
        <w:t>idential</w:t>
      </w:r>
    </w:p>
    <w:p w14:paraId="0611DEAC" w14:textId="77777777" w:rsidR="00340616" w:rsidRPr="00AB0818" w:rsidRDefault="00340616" w:rsidP="0054078D">
      <w:pPr>
        <w:pStyle w:val="NumberedList1"/>
      </w:pPr>
      <w:r>
        <w:lastRenderedPageBreak/>
        <w:t>t</w:t>
      </w:r>
      <w:r w:rsidRPr="00AB0818">
        <w:t>he inform</w:t>
      </w:r>
      <w:r>
        <w:t>ation is commercially sensitive</w:t>
      </w:r>
    </w:p>
    <w:p w14:paraId="76981804" w14:textId="77777777" w:rsidR="00340616" w:rsidRPr="00AB0818" w:rsidRDefault="00340616" w:rsidP="0054078D">
      <w:pPr>
        <w:pStyle w:val="NumberedList1"/>
      </w:pPr>
      <w:r>
        <w:t>r</w:t>
      </w:r>
      <w:r w:rsidRPr="00AB0818">
        <w:t>evealing the information would cause unreasona</w:t>
      </w:r>
      <w:r>
        <w:t>ble harm to you or someone else</w:t>
      </w:r>
    </w:p>
    <w:p w14:paraId="43DE3FBF" w14:textId="77777777" w:rsidR="00340616" w:rsidRDefault="00340616" w:rsidP="0054078D">
      <w:pPr>
        <w:pStyle w:val="NumberedList1"/>
      </w:pPr>
      <w:r>
        <w:t>y</w:t>
      </w:r>
      <w:r w:rsidRPr="00AB0818">
        <w:t>ou provide the information with an understanding that it will stay confidential.</w:t>
      </w:r>
    </w:p>
    <w:p w14:paraId="40406A9D" w14:textId="77777777" w:rsidR="00340616" w:rsidRPr="00E86A67" w:rsidRDefault="00340616" w:rsidP="00340616">
      <w:r w:rsidRPr="00E86A67">
        <w:t xml:space="preserve">The </w:t>
      </w:r>
      <w:r>
        <w:t xml:space="preserve">grant </w:t>
      </w:r>
      <w:r w:rsidRPr="00E86A67">
        <w:t xml:space="preserve">agreement will include any specific requirements about special categories of information collected, created or held under the </w:t>
      </w:r>
      <w:r>
        <w:t xml:space="preserve">grant </w:t>
      </w:r>
      <w:r w:rsidRPr="00E86A67">
        <w:t xml:space="preserve">agreement. </w:t>
      </w:r>
    </w:p>
    <w:p w14:paraId="0246D5EA" w14:textId="77777777" w:rsidR="00340616" w:rsidRPr="00B72EE8" w:rsidRDefault="00340616" w:rsidP="00892C8B">
      <w:pPr>
        <w:pStyle w:val="Heading2Numbered"/>
        <w:ind w:left="709" w:hanging="709"/>
      </w:pPr>
      <w:bookmarkStart w:id="134" w:name="_Toc421777635"/>
      <w:bookmarkStart w:id="135" w:name="_Toc467773994"/>
      <w:bookmarkStart w:id="136" w:name="_Toc536094910"/>
      <w:r w:rsidRPr="00B72EE8">
        <w:t>Freedom of information</w:t>
      </w:r>
      <w:bookmarkEnd w:id="134"/>
      <w:bookmarkEnd w:id="135"/>
      <w:bookmarkEnd w:id="136"/>
    </w:p>
    <w:p w14:paraId="14867FAB" w14:textId="77777777" w:rsidR="00340616" w:rsidRPr="00B72EE8" w:rsidRDefault="00340616" w:rsidP="00340616">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B72EE8">
        <w:t xml:space="preserve"> </w:t>
      </w:r>
      <w:r w:rsidRPr="00333BAC">
        <w:rPr>
          <w:i/>
        </w:rPr>
        <w:t>(FOI Act).</w:t>
      </w:r>
    </w:p>
    <w:p w14:paraId="06DC8DFA" w14:textId="77777777" w:rsidR="00340616" w:rsidRPr="00B72EE8" w:rsidRDefault="00340616" w:rsidP="00340616">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563F74E7" w14:textId="77777777" w:rsidR="00340616" w:rsidRPr="00B72EE8" w:rsidRDefault="00340616" w:rsidP="0017002F">
      <w:pPr>
        <w:suppressAutoHyphens w:val="0"/>
        <w:spacing w:before="0" w:after="120" w:line="440" w:lineRule="atLeast"/>
      </w:pPr>
      <w:r w:rsidRPr="00B72EE8">
        <w:t>All F</w:t>
      </w:r>
      <w:r>
        <w:t xml:space="preserve">reedom of Information </w:t>
      </w:r>
      <w:r w:rsidRPr="00B72EE8">
        <w:t>requests must be referred to the Freedom of Information Coordinator in writing.</w:t>
      </w:r>
    </w:p>
    <w:p w14:paraId="5B74ADE3" w14:textId="77777777" w:rsidR="00340616" w:rsidRPr="00B72EE8" w:rsidRDefault="00340616" w:rsidP="00340616">
      <w:pPr>
        <w:tabs>
          <w:tab w:val="left" w:pos="1418"/>
        </w:tabs>
        <w:ind w:left="1418" w:hanging="1418"/>
        <w:contextualSpacing/>
      </w:pPr>
      <w:r w:rsidRPr="00B72EE8">
        <w:t>By mail:</w:t>
      </w:r>
      <w:r w:rsidRPr="00B72EE8">
        <w:tab/>
        <w:t>Freedom of Information Coordinator</w:t>
      </w:r>
    </w:p>
    <w:p w14:paraId="263FD3DA" w14:textId="40EFFCD8" w:rsidR="00340616" w:rsidRPr="00A9798A" w:rsidRDefault="00533BCE" w:rsidP="00A9798A">
      <w:pPr>
        <w:tabs>
          <w:tab w:val="left" w:pos="1418"/>
        </w:tabs>
        <w:spacing w:before="0" w:after="0" w:line="240" w:lineRule="auto"/>
        <w:ind w:left="2836" w:hanging="1418"/>
      </w:pPr>
      <w:r w:rsidRPr="00A9798A">
        <w:t>Department of Social Services</w:t>
      </w:r>
    </w:p>
    <w:p w14:paraId="79AF2BBB" w14:textId="77777777" w:rsidR="00533BCE" w:rsidRPr="00A9798A" w:rsidRDefault="00192E36" w:rsidP="00A9798A">
      <w:pPr>
        <w:tabs>
          <w:tab w:val="left" w:pos="1418"/>
        </w:tabs>
        <w:spacing w:before="0" w:after="0" w:line="240" w:lineRule="auto"/>
        <w:ind w:left="2836" w:hanging="1418"/>
      </w:pPr>
      <w:r>
        <w:t>Government and Executive Services Branch</w:t>
      </w:r>
    </w:p>
    <w:p w14:paraId="502DA775" w14:textId="77777777" w:rsidR="00533BCE" w:rsidRPr="00A9798A" w:rsidRDefault="00533BCE" w:rsidP="00A9798A">
      <w:pPr>
        <w:tabs>
          <w:tab w:val="left" w:pos="1418"/>
        </w:tabs>
        <w:spacing w:before="0" w:after="0" w:line="240" w:lineRule="auto"/>
        <w:ind w:left="2836" w:hanging="1418"/>
      </w:pPr>
      <w:r w:rsidRPr="00A9798A">
        <w:t>GPO Box 9820</w:t>
      </w:r>
    </w:p>
    <w:p w14:paraId="027E1D88" w14:textId="7F27ED50" w:rsidR="00533BCE" w:rsidRPr="00A9798A" w:rsidRDefault="00533BCE" w:rsidP="00A9798A">
      <w:pPr>
        <w:tabs>
          <w:tab w:val="left" w:pos="1418"/>
        </w:tabs>
        <w:spacing w:before="0" w:after="0" w:line="240" w:lineRule="auto"/>
        <w:ind w:left="2836" w:hanging="1418"/>
      </w:pPr>
      <w:r w:rsidRPr="00A9798A">
        <w:t>Canberra ACT 2601</w:t>
      </w:r>
    </w:p>
    <w:p w14:paraId="3B3F9EB5" w14:textId="01C7E269" w:rsidR="00340616" w:rsidRDefault="00340616" w:rsidP="00340616">
      <w:pPr>
        <w:rPr>
          <w:color w:val="745B00" w:themeColor="accent3" w:themeShade="80"/>
        </w:rPr>
      </w:pPr>
      <w:r w:rsidRPr="00B72EE8">
        <w:t>By email:</w:t>
      </w:r>
      <w:r w:rsidRPr="00B72EE8">
        <w:tab/>
      </w:r>
      <w:hyperlink r:id="rId29" w:history="1">
        <w:r w:rsidR="00533BCE" w:rsidRPr="00367A67">
          <w:rPr>
            <w:rStyle w:val="Hyperlink"/>
            <w:rFonts w:cstheme="minorBidi"/>
          </w:rPr>
          <w:t>foi@dss.gov.au</w:t>
        </w:r>
      </w:hyperlink>
      <w:r w:rsidR="00533BCE" w:rsidRPr="00367A67">
        <w:rPr>
          <w:color w:val="745B00" w:themeColor="accent3" w:themeShade="80"/>
        </w:rPr>
        <w:t xml:space="preserve"> </w:t>
      </w:r>
    </w:p>
    <w:p w14:paraId="7204C7EE" w14:textId="17ADE95B" w:rsidR="00284A49" w:rsidRDefault="00284A49" w:rsidP="00284A49">
      <w:pPr>
        <w:pStyle w:val="Heading1Numbered"/>
        <w:ind w:left="567"/>
      </w:pPr>
      <w:bookmarkStart w:id="137" w:name="_Toc536094911"/>
      <w:r>
        <w:t>Consultation</w:t>
      </w:r>
      <w:bookmarkEnd w:id="137"/>
      <w:r>
        <w:t xml:space="preserve"> </w:t>
      </w:r>
    </w:p>
    <w:p w14:paraId="20EB7441" w14:textId="2440446E" w:rsidR="00290A07" w:rsidRDefault="00290A07" w:rsidP="00290A07">
      <w:r>
        <w:t xml:space="preserve">The </w:t>
      </w:r>
      <w:r w:rsidR="002B6A9B">
        <w:t xml:space="preserve">Australian </w:t>
      </w:r>
      <w:r>
        <w:t xml:space="preserve">Government consulted extensively on the </w:t>
      </w:r>
      <w:r w:rsidRPr="002B6A9B">
        <w:rPr>
          <w:i/>
        </w:rPr>
        <w:t xml:space="preserve">Family Law Amendment (Family Violence and Cross-examination of Parties) Act 2018 </w:t>
      </w:r>
      <w:r>
        <w:t xml:space="preserve">to strike the right balance between protecting vulnerable parties while ensuring procedural fairness. Through this process, there was broad consensus that when direct cross-examination is banned, legal representation should be available through LACs. LACs are best placed to provide representation under the measures in the Act because, unlike other legal assistance providers, LACs have national coverage and currently provide representation services in all family court registries. </w:t>
      </w:r>
    </w:p>
    <w:p w14:paraId="7B029028" w14:textId="407B5B64" w:rsidR="006C3FD6" w:rsidRDefault="00290A07" w:rsidP="00FB3370">
      <w:r>
        <w:t xml:space="preserve">The </w:t>
      </w:r>
      <w:r w:rsidR="00331387">
        <w:t xml:space="preserve">Australian </w:t>
      </w:r>
      <w:r>
        <w:t xml:space="preserve">Government has worked closely with National Legal Aid (NLA) to determine the level of funding required for the Program. An average estimated cost per party for providing legal assistance under the measures in the Act was determined in consultation with NLA. The number of cases and parties likely to utilise the </w:t>
      </w:r>
      <w:r w:rsidR="00AE4EB9">
        <w:t>Program</w:t>
      </w:r>
      <w:r>
        <w:t xml:space="preserve"> was informed by recent research on the prevalence of direct cross-examination of victims of family violence by alleged perpetrators in family law proceedings, conducted the Australian Institute of Family </w:t>
      </w:r>
      <w:r>
        <w:lastRenderedPageBreak/>
        <w:t>Studies. The Government has also factored in a 20</w:t>
      </w:r>
      <w:r w:rsidR="00896998">
        <w:t xml:space="preserve"> per cent</w:t>
      </w:r>
      <w:r>
        <w:t xml:space="preserve"> increase in matters to which the ban will apply, to take into account a possible increase in the number of victims of family violence willing to proceed to trial once the measures are in place.</w:t>
      </w:r>
    </w:p>
    <w:p w14:paraId="31B82574" w14:textId="65970882" w:rsidR="00340616" w:rsidRDefault="00340616" w:rsidP="0046424D">
      <w:pPr>
        <w:pStyle w:val="Heading1Numbered"/>
        <w:ind w:left="567"/>
      </w:pPr>
      <w:bookmarkStart w:id="138" w:name="_Toc467773996"/>
      <w:bookmarkStart w:id="139" w:name="_Toc536094912"/>
      <w:r w:rsidRPr="00B72EE8">
        <w:t>Glossary</w:t>
      </w:r>
      <w:bookmarkEnd w:id="138"/>
      <w:bookmarkEnd w:id="139"/>
    </w:p>
    <w:tbl>
      <w:tblPr>
        <w:tblStyle w:val="TableGrid"/>
        <w:tblW w:w="0" w:type="auto"/>
        <w:tblInd w:w="108" w:type="dxa"/>
        <w:tblLook w:val="04A0" w:firstRow="1" w:lastRow="0" w:firstColumn="1" w:lastColumn="0" w:noHBand="0" w:noVBand="1"/>
        <w:tblCaption w:val="Terms and Definitions"/>
        <w:tblDescription w:val="Terms and Definitions"/>
      </w:tblPr>
      <w:tblGrid>
        <w:gridCol w:w="2513"/>
        <w:gridCol w:w="6395"/>
      </w:tblGrid>
      <w:tr w:rsidR="0003793B" w:rsidRPr="001B21A4" w14:paraId="45B60EC1" w14:textId="77777777" w:rsidTr="00CB211B">
        <w:trPr>
          <w:tblHeader/>
        </w:trPr>
        <w:tc>
          <w:tcPr>
            <w:tcW w:w="2513" w:type="dxa"/>
          </w:tcPr>
          <w:p w14:paraId="00819B4D" w14:textId="77777777" w:rsidR="0003793B" w:rsidRPr="00FF507B" w:rsidRDefault="0003793B" w:rsidP="002A2026">
            <w:pPr>
              <w:tabs>
                <w:tab w:val="left" w:pos="2835"/>
              </w:tabs>
              <w:spacing w:after="120"/>
            </w:pPr>
            <w:r w:rsidRPr="00FF507B">
              <w:rPr>
                <w:b/>
              </w:rPr>
              <w:t>Term</w:t>
            </w:r>
          </w:p>
        </w:tc>
        <w:tc>
          <w:tcPr>
            <w:tcW w:w="6395" w:type="dxa"/>
          </w:tcPr>
          <w:p w14:paraId="072F8961" w14:textId="77777777" w:rsidR="0003793B" w:rsidRPr="00710FAB" w:rsidRDefault="0003793B" w:rsidP="002A2026">
            <w:pPr>
              <w:tabs>
                <w:tab w:val="left" w:pos="2835"/>
              </w:tabs>
              <w:spacing w:after="120"/>
              <w:rPr>
                <w:rFonts w:cs="Arial"/>
                <w:lang w:eastAsia="en-AU"/>
              </w:rPr>
            </w:pPr>
            <w:r w:rsidRPr="00FF507B">
              <w:rPr>
                <w:b/>
              </w:rPr>
              <w:t>Definition</w:t>
            </w:r>
          </w:p>
        </w:tc>
      </w:tr>
      <w:tr w:rsidR="0003793B" w:rsidRPr="00463AB3" w14:paraId="3EFCCDE3" w14:textId="77777777" w:rsidTr="00CB211B">
        <w:tc>
          <w:tcPr>
            <w:tcW w:w="2513" w:type="dxa"/>
          </w:tcPr>
          <w:p w14:paraId="7460D026" w14:textId="77777777" w:rsidR="0003793B" w:rsidRDefault="0003793B" w:rsidP="002A2026">
            <w:pPr>
              <w:tabs>
                <w:tab w:val="left" w:pos="2835"/>
              </w:tabs>
              <w:spacing w:after="120"/>
            </w:pPr>
            <w:r w:rsidRPr="001B21A4">
              <w:t>assessment criteria</w:t>
            </w:r>
          </w:p>
        </w:tc>
        <w:tc>
          <w:tcPr>
            <w:tcW w:w="6395" w:type="dxa"/>
          </w:tcPr>
          <w:p w14:paraId="411E35A5" w14:textId="77777777" w:rsidR="0003793B" w:rsidRPr="00463AB3" w:rsidRDefault="0003793B" w:rsidP="002A2026">
            <w:pPr>
              <w:tabs>
                <w:tab w:val="left" w:pos="2835"/>
              </w:tabs>
              <w:spacing w:after="120"/>
            </w:pPr>
            <w:r w:rsidRPr="00710FAB">
              <w:rPr>
                <w:rFonts w:cs="Arial"/>
                <w:lang w:eastAsia="en-AU"/>
              </w:rPr>
              <w:t xml:space="preserve">The specified principles or standards against which applications will be judged. These criteria are also used to assess the merits of proposals and, in the case of a competitive granting activity, to determine applicant rankings. </w:t>
            </w:r>
          </w:p>
        </w:tc>
      </w:tr>
      <w:tr w:rsidR="0003793B" w:rsidRPr="00463AB3" w14:paraId="28C4D0DB" w14:textId="77777777" w:rsidTr="00CB211B">
        <w:tc>
          <w:tcPr>
            <w:tcW w:w="2513" w:type="dxa"/>
          </w:tcPr>
          <w:p w14:paraId="03735A3B" w14:textId="77777777" w:rsidR="0003793B" w:rsidRPr="00463AB3" w:rsidRDefault="0003793B" w:rsidP="002A2026">
            <w:pPr>
              <w:tabs>
                <w:tab w:val="left" w:pos="2835"/>
              </w:tabs>
              <w:spacing w:after="120"/>
            </w:pPr>
            <w:r>
              <w:t>c</w:t>
            </w:r>
            <w:r w:rsidRPr="00463AB3">
              <w:t>ommencement date</w:t>
            </w:r>
          </w:p>
        </w:tc>
        <w:tc>
          <w:tcPr>
            <w:tcW w:w="6395" w:type="dxa"/>
          </w:tcPr>
          <w:p w14:paraId="7B5937F6" w14:textId="77777777" w:rsidR="0003793B" w:rsidRPr="00463AB3" w:rsidRDefault="0003793B" w:rsidP="002A2026">
            <w:pPr>
              <w:tabs>
                <w:tab w:val="left" w:pos="2835"/>
              </w:tabs>
              <w:spacing w:after="120"/>
            </w:pPr>
            <w:r w:rsidRPr="00463AB3">
              <w:t xml:space="preserve">The expected start date for the grant activity. </w:t>
            </w:r>
          </w:p>
        </w:tc>
      </w:tr>
      <w:tr w:rsidR="0003793B" w:rsidRPr="001B21A4" w14:paraId="6FD94190" w14:textId="77777777" w:rsidTr="00CB211B">
        <w:tc>
          <w:tcPr>
            <w:tcW w:w="2513" w:type="dxa"/>
          </w:tcPr>
          <w:p w14:paraId="218D1809" w14:textId="77777777" w:rsidR="0003793B" w:rsidRPr="00463AB3" w:rsidRDefault="0003793B" w:rsidP="002A2026">
            <w:pPr>
              <w:tabs>
                <w:tab w:val="left" w:pos="2835"/>
              </w:tabs>
              <w:spacing w:after="120"/>
            </w:pPr>
            <w:r>
              <w:t>c</w:t>
            </w:r>
            <w:r w:rsidRPr="00463AB3">
              <w:t>ompletion date</w:t>
            </w:r>
          </w:p>
        </w:tc>
        <w:tc>
          <w:tcPr>
            <w:tcW w:w="6395" w:type="dxa"/>
          </w:tcPr>
          <w:p w14:paraId="3CDFC6C5" w14:textId="77777777" w:rsidR="0003793B" w:rsidRPr="00463AB3" w:rsidRDefault="0003793B" w:rsidP="002A2026">
            <w:pPr>
              <w:tabs>
                <w:tab w:val="left" w:pos="2835"/>
              </w:tabs>
              <w:spacing w:after="120"/>
            </w:pPr>
            <w:r w:rsidRPr="00463AB3">
              <w:t xml:space="preserve">The expected date that the grant activity must be completed and the grant spent by. </w:t>
            </w:r>
          </w:p>
        </w:tc>
      </w:tr>
      <w:tr w:rsidR="0003793B" w:rsidRPr="001B21A4" w14:paraId="6D837EAB" w14:textId="77777777" w:rsidTr="00CB211B">
        <w:tc>
          <w:tcPr>
            <w:tcW w:w="2513" w:type="dxa"/>
          </w:tcPr>
          <w:p w14:paraId="7CB534E2" w14:textId="77777777" w:rsidR="0003793B" w:rsidRPr="001B21A4" w:rsidRDefault="0003793B" w:rsidP="002A2026">
            <w:pPr>
              <w:tabs>
                <w:tab w:val="left" w:pos="2835"/>
              </w:tabs>
              <w:spacing w:after="120"/>
            </w:pPr>
            <w:r>
              <w:t xml:space="preserve">Commonwealth </w:t>
            </w:r>
            <w:r w:rsidRPr="001B21A4">
              <w:t>entity</w:t>
            </w:r>
          </w:p>
        </w:tc>
        <w:tc>
          <w:tcPr>
            <w:tcW w:w="6395" w:type="dxa"/>
          </w:tcPr>
          <w:p w14:paraId="4EBAC0CE" w14:textId="49065705" w:rsidR="0003793B" w:rsidRPr="00710FAB" w:rsidRDefault="0003793B" w:rsidP="00C702A1">
            <w:pPr>
              <w:tabs>
                <w:tab w:val="left" w:pos="2835"/>
              </w:tabs>
              <w:spacing w:after="120"/>
            </w:pPr>
            <w:r w:rsidRPr="00710FAB">
              <w:rPr>
                <w:rFonts w:cs="Arial"/>
                <w:lang w:eastAsia="en-AU"/>
              </w:rPr>
              <w:t xml:space="preserve">A Department of State, or a Parliamentary Department, or a listed entity or a body corporate established by a law of the Commonwealth. See subsections 10(1) and (2) of the </w:t>
            </w:r>
            <w:r w:rsidR="00E142F0" w:rsidRPr="00C702A1">
              <w:rPr>
                <w:rFonts w:cs="Arial"/>
                <w:i/>
                <w:lang w:eastAsia="en-AU"/>
              </w:rPr>
              <w:t xml:space="preserve">Public Governance, Performance and Accountability </w:t>
            </w:r>
            <w:r w:rsidRPr="00C702A1">
              <w:rPr>
                <w:rFonts w:cs="Arial"/>
                <w:i/>
                <w:lang w:eastAsia="en-AU"/>
              </w:rPr>
              <w:t>Act</w:t>
            </w:r>
            <w:r w:rsidR="00C702A1" w:rsidRPr="00C702A1">
              <w:rPr>
                <w:rFonts w:cs="Arial"/>
                <w:i/>
                <w:lang w:eastAsia="en-AU"/>
              </w:rPr>
              <w:t xml:space="preserve"> 2013</w:t>
            </w:r>
            <w:r w:rsidRPr="00C702A1">
              <w:rPr>
                <w:rFonts w:cs="Arial"/>
                <w:i/>
                <w:lang w:eastAsia="en-AU"/>
              </w:rPr>
              <w:t>.</w:t>
            </w:r>
          </w:p>
        </w:tc>
      </w:tr>
      <w:tr w:rsidR="00B240EB" w14:paraId="0A4D318C" w14:textId="77777777" w:rsidTr="00CB211B">
        <w:tc>
          <w:tcPr>
            <w:tcW w:w="2513" w:type="dxa"/>
            <w:hideMark/>
          </w:tcPr>
          <w:p w14:paraId="5894023E" w14:textId="77777777" w:rsidR="00B240EB" w:rsidRDefault="002C4D8E">
            <w:pPr>
              <w:tabs>
                <w:tab w:val="left" w:pos="2835"/>
              </w:tabs>
              <w:spacing w:after="120"/>
            </w:pPr>
            <w:hyperlink r:id="rId30" w:history="1">
              <w:r w:rsidR="00B240EB">
                <w:rPr>
                  <w:rStyle w:val="Hyperlink"/>
                  <w:i/>
                </w:rPr>
                <w:t>Commonwealth Grants Rules and Guidelines (CGRGs)</w:t>
              </w:r>
            </w:hyperlink>
            <w:r w:rsidR="00B240EB">
              <w:rPr>
                <w:rStyle w:val="Hyperlink"/>
                <w:i/>
              </w:rPr>
              <w:t xml:space="preserve"> </w:t>
            </w:r>
          </w:p>
        </w:tc>
        <w:tc>
          <w:tcPr>
            <w:tcW w:w="6395" w:type="dxa"/>
            <w:hideMark/>
          </w:tcPr>
          <w:p w14:paraId="4126D885" w14:textId="65C87D8D" w:rsidR="00B240EB" w:rsidRDefault="00C702A1">
            <w:pPr>
              <w:tabs>
                <w:tab w:val="left" w:pos="2835"/>
              </w:tabs>
              <w:spacing w:after="120"/>
              <w:rPr>
                <w:rFonts w:cs="Arial"/>
                <w:lang w:eastAsia="en-AU"/>
              </w:rPr>
            </w:pPr>
            <w:r>
              <w:rPr>
                <w:rFonts w:cs="Arial"/>
                <w:lang w:eastAsia="en-AU"/>
              </w:rPr>
              <w:t>E</w:t>
            </w:r>
            <w:r w:rsidR="00B240EB">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03793B" w:rsidRPr="001B21A4" w14:paraId="41551C3C" w14:textId="77777777" w:rsidTr="00CB211B">
        <w:tc>
          <w:tcPr>
            <w:tcW w:w="2513" w:type="dxa"/>
          </w:tcPr>
          <w:p w14:paraId="0127903E" w14:textId="77777777" w:rsidR="0003793B" w:rsidRDefault="0003793B" w:rsidP="002A2026">
            <w:r>
              <w:t>date of effect</w:t>
            </w:r>
          </w:p>
        </w:tc>
        <w:tc>
          <w:tcPr>
            <w:tcW w:w="6395" w:type="dxa"/>
          </w:tcPr>
          <w:p w14:paraId="65D54215" w14:textId="77777777" w:rsidR="0003793B" w:rsidRPr="00710FAB" w:rsidRDefault="0003793B" w:rsidP="002A2026">
            <w:pPr>
              <w:rPr>
                <w:rFonts w:cs="Arial"/>
                <w:lang w:eastAsia="en-AU"/>
              </w:rPr>
            </w:pPr>
            <w:r w:rsidRPr="00710FAB">
              <w:rPr>
                <w:rFonts w:cs="Arial"/>
                <w:lang w:eastAsia="en-AU"/>
              </w:rPr>
              <w:t>This will depend on the particular grant. It can be the date in which a grant agreement is signed or a specified starting date. Where there is no grant agreement, entities must publish information on individual grants as soon as practicable.</w:t>
            </w:r>
            <w:r>
              <w:rPr>
                <w:rFonts w:cs="Arial"/>
                <w:lang w:eastAsia="en-AU"/>
              </w:rPr>
              <w:t xml:space="preserve"> </w:t>
            </w:r>
          </w:p>
        </w:tc>
      </w:tr>
      <w:tr w:rsidR="0003793B" w:rsidRPr="001B21A4" w14:paraId="200A8273" w14:textId="77777777" w:rsidTr="00CB211B">
        <w:tc>
          <w:tcPr>
            <w:tcW w:w="2513" w:type="dxa"/>
          </w:tcPr>
          <w:p w14:paraId="792911B8" w14:textId="77777777" w:rsidR="0003793B" w:rsidRPr="001B21A4" w:rsidRDefault="0003793B" w:rsidP="002A2026">
            <w:r w:rsidRPr="001B21A4">
              <w:t>decision maker</w:t>
            </w:r>
          </w:p>
        </w:tc>
        <w:tc>
          <w:tcPr>
            <w:tcW w:w="6395" w:type="dxa"/>
          </w:tcPr>
          <w:p w14:paraId="3799BD93" w14:textId="77777777" w:rsidR="0003793B" w:rsidRPr="00710FAB" w:rsidRDefault="0003793B" w:rsidP="002A2026">
            <w:r w:rsidRPr="00710FAB">
              <w:rPr>
                <w:rFonts w:cs="Arial"/>
                <w:lang w:eastAsia="en-AU"/>
              </w:rPr>
              <w:t>The person who makes a decision to award a grant.</w:t>
            </w:r>
          </w:p>
        </w:tc>
      </w:tr>
      <w:tr w:rsidR="0003793B" w:rsidRPr="001B21A4" w14:paraId="16F4D83D" w14:textId="77777777" w:rsidTr="00CB211B">
        <w:tc>
          <w:tcPr>
            <w:tcW w:w="2513" w:type="dxa"/>
          </w:tcPr>
          <w:p w14:paraId="0BF69EF1" w14:textId="77777777" w:rsidR="0003793B" w:rsidRPr="001B21A4" w:rsidRDefault="0003793B" w:rsidP="002A2026">
            <w:pPr>
              <w:tabs>
                <w:tab w:val="left" w:pos="2835"/>
              </w:tabs>
              <w:spacing w:after="120"/>
            </w:pPr>
            <w:r w:rsidRPr="001B21A4">
              <w:t>eligibility criteria</w:t>
            </w:r>
          </w:p>
        </w:tc>
        <w:tc>
          <w:tcPr>
            <w:tcW w:w="6395" w:type="dxa"/>
          </w:tcPr>
          <w:p w14:paraId="0F3C4A23" w14:textId="77777777" w:rsidR="0003793B" w:rsidRPr="00710FAB" w:rsidRDefault="0003793B" w:rsidP="002A2026">
            <w:pPr>
              <w:tabs>
                <w:tab w:val="left" w:pos="2835"/>
              </w:tabs>
              <w:spacing w:after="120"/>
            </w:pPr>
            <w:r w:rsidRPr="00710FAB">
              <w:rPr>
                <w:rFonts w:cs="Arial"/>
                <w:lang w:eastAsia="en-AU"/>
              </w:rPr>
              <w:t xml:space="preserve">The principles, standards or rules that a grant applicant must meet to qualify for consideration of a grant. Eligibility criteria may apply in addition to assessment criteria. </w:t>
            </w:r>
          </w:p>
        </w:tc>
      </w:tr>
      <w:tr w:rsidR="009D1322" w14:paraId="62CCF1ED" w14:textId="77777777" w:rsidTr="00CB211B">
        <w:tc>
          <w:tcPr>
            <w:tcW w:w="2513" w:type="dxa"/>
            <w:hideMark/>
          </w:tcPr>
          <w:p w14:paraId="56A731C9" w14:textId="40293DA5" w:rsidR="009D1322" w:rsidRDefault="00CC690B">
            <w:pPr>
              <w:tabs>
                <w:tab w:val="left" w:pos="2835"/>
              </w:tabs>
              <w:spacing w:after="120"/>
            </w:pPr>
            <w:r>
              <w:rPr>
                <w:rFonts w:cs="Arial"/>
                <w:lang w:eastAsia="en-AU"/>
              </w:rPr>
              <w:lastRenderedPageBreak/>
              <w:t>funding arrangement m</w:t>
            </w:r>
            <w:r w:rsidR="009D1322">
              <w:rPr>
                <w:rFonts w:cs="Arial"/>
                <w:lang w:eastAsia="en-AU"/>
              </w:rPr>
              <w:t xml:space="preserve">anager </w:t>
            </w:r>
          </w:p>
        </w:tc>
        <w:tc>
          <w:tcPr>
            <w:tcW w:w="6395" w:type="dxa"/>
            <w:hideMark/>
          </w:tcPr>
          <w:p w14:paraId="672DCAE0" w14:textId="786F13CE" w:rsidR="009D1322" w:rsidRDefault="001C3B9F">
            <w:pPr>
              <w:tabs>
                <w:tab w:val="left" w:pos="2835"/>
              </w:tabs>
              <w:spacing w:after="120"/>
              <w:rPr>
                <w:rFonts w:cs="Arial"/>
                <w:lang w:eastAsia="en-AU"/>
              </w:rPr>
            </w:pPr>
            <w:r>
              <w:t>T</w:t>
            </w:r>
            <w:r w:rsidR="009D1322">
              <w:t>he officer responsible for the ongoing management of the grantee and their compliance with the grant agreement.</w:t>
            </w:r>
          </w:p>
        </w:tc>
      </w:tr>
      <w:tr w:rsidR="0003793B" w:rsidRPr="00463AB3" w14:paraId="59B87F64" w14:textId="77777777" w:rsidTr="00CB211B">
        <w:tc>
          <w:tcPr>
            <w:tcW w:w="2513" w:type="dxa"/>
          </w:tcPr>
          <w:p w14:paraId="4A18667D" w14:textId="77777777" w:rsidR="0003793B" w:rsidRPr="00463AB3" w:rsidRDefault="0003793B" w:rsidP="002A2026">
            <w:pPr>
              <w:tabs>
                <w:tab w:val="left" w:pos="2835"/>
              </w:tabs>
              <w:spacing w:after="120"/>
            </w:pPr>
            <w:r w:rsidRPr="00463AB3">
              <w:rPr>
                <w:rFonts w:cs="Arial"/>
                <w:lang w:eastAsia="en-AU"/>
              </w:rPr>
              <w:t xml:space="preserve">grant </w:t>
            </w:r>
          </w:p>
        </w:tc>
        <w:tc>
          <w:tcPr>
            <w:tcW w:w="6395" w:type="dxa"/>
          </w:tcPr>
          <w:p w14:paraId="2520AA72" w14:textId="77777777" w:rsidR="0003793B" w:rsidRDefault="0003793B" w:rsidP="002A2026">
            <w:pPr>
              <w:rPr>
                <w:lang w:eastAsia="en-AU"/>
              </w:rPr>
            </w:pPr>
            <w:r>
              <w:rPr>
                <w:lang w:eastAsia="en-AU"/>
              </w:rPr>
              <w:t>A grant is an arrangement for the provision of financial assistance by the Commonwealth or on behalf of the Commonwealth:</w:t>
            </w:r>
          </w:p>
          <w:p w14:paraId="71379381" w14:textId="6FA90DEB" w:rsidR="0003793B" w:rsidRDefault="0003793B" w:rsidP="000A5778">
            <w:pPr>
              <w:numPr>
                <w:ilvl w:val="0"/>
                <w:numId w:val="19"/>
              </w:numPr>
              <w:suppressAutoHyphens w:val="0"/>
              <w:spacing w:before="0" w:after="40" w:line="240" w:lineRule="auto"/>
              <w:ind w:left="459" w:hanging="425"/>
              <w:rPr>
                <w:lang w:eastAsia="en-AU"/>
              </w:rPr>
            </w:pPr>
            <w:r>
              <w:rPr>
                <w:lang w:eastAsia="en-AU"/>
              </w:rPr>
              <w:t>under which relevant money or other C</w:t>
            </w:r>
            <w:r w:rsidR="00A33023">
              <w:rPr>
                <w:lang w:eastAsia="en-AU"/>
              </w:rPr>
              <w:t xml:space="preserve">onsolidated </w:t>
            </w:r>
            <w:r>
              <w:rPr>
                <w:lang w:eastAsia="en-AU"/>
              </w:rPr>
              <w:t>R</w:t>
            </w:r>
            <w:r w:rsidR="00A33023">
              <w:rPr>
                <w:lang w:eastAsia="en-AU"/>
              </w:rPr>
              <w:t xml:space="preserve">evenue </w:t>
            </w:r>
            <w:r>
              <w:rPr>
                <w:lang w:eastAsia="en-AU"/>
              </w:rPr>
              <w:t>F</w:t>
            </w:r>
            <w:r w:rsidR="00A33023">
              <w:rPr>
                <w:lang w:eastAsia="en-AU"/>
              </w:rPr>
              <w:t>und (CRF)</w:t>
            </w:r>
            <w:r>
              <w:rPr>
                <w:lang w:eastAsia="en-AU"/>
              </w:rPr>
              <w:t xml:space="preserve"> money, is to be paid to a grantee other than the Commonwealth</w:t>
            </w:r>
          </w:p>
          <w:p w14:paraId="7C22AFA0" w14:textId="77777777" w:rsidR="0003793B" w:rsidRPr="00190651" w:rsidRDefault="0003793B" w:rsidP="000A5778">
            <w:pPr>
              <w:numPr>
                <w:ilvl w:val="0"/>
                <w:numId w:val="19"/>
              </w:numPr>
              <w:suppressAutoHyphens w:val="0"/>
              <w:spacing w:before="0" w:after="40" w:line="240" w:lineRule="auto"/>
              <w:ind w:left="459" w:hanging="425"/>
              <w:rPr>
                <w:lang w:eastAsia="en-AU"/>
              </w:rPr>
            </w:pPr>
            <w:r>
              <w:rPr>
                <w:lang w:eastAsia="en-AU"/>
              </w:rPr>
              <w:t>which is intended to help address one or more of the Australian Government’s policy outcomes while assisting the grantee achieve its objectives.</w:t>
            </w:r>
          </w:p>
        </w:tc>
      </w:tr>
      <w:tr w:rsidR="0003793B" w:rsidRPr="001B21A4" w14:paraId="3A41C26B" w14:textId="77777777" w:rsidTr="00CB211B">
        <w:tc>
          <w:tcPr>
            <w:tcW w:w="2513" w:type="dxa"/>
          </w:tcPr>
          <w:p w14:paraId="15FBF952" w14:textId="77777777" w:rsidR="0003793B" w:rsidRPr="0007627E" w:rsidRDefault="0003793B" w:rsidP="002A2026">
            <w:pPr>
              <w:tabs>
                <w:tab w:val="left" w:pos="2835"/>
              </w:tabs>
              <w:spacing w:after="120"/>
            </w:pPr>
            <w:r>
              <w:t xml:space="preserve">grant </w:t>
            </w:r>
            <w:r w:rsidRPr="001B21A4">
              <w:t>activity</w:t>
            </w:r>
          </w:p>
        </w:tc>
        <w:tc>
          <w:tcPr>
            <w:tcW w:w="6395" w:type="dxa"/>
          </w:tcPr>
          <w:p w14:paraId="7E987808" w14:textId="315CB355" w:rsidR="0003793B" w:rsidRPr="00710FAB" w:rsidRDefault="0003793B" w:rsidP="001C3B9F">
            <w:pPr>
              <w:tabs>
                <w:tab w:val="left" w:pos="2835"/>
              </w:tabs>
              <w:spacing w:after="120"/>
            </w:pPr>
            <w:r w:rsidRPr="00710FAB">
              <w:t>Is the pro</w:t>
            </w:r>
            <w:r w:rsidR="001C3B9F">
              <w:t>ject /tasks /services that the g</w:t>
            </w:r>
            <w:r w:rsidRPr="00710FAB">
              <w:t xml:space="preserve">rantee is required to undertake with the grant money. It is described in the </w:t>
            </w:r>
            <w:r w:rsidR="001C3B9F">
              <w:t>g</w:t>
            </w:r>
            <w:r w:rsidRPr="00710FAB">
              <w:t xml:space="preserve">rant </w:t>
            </w:r>
            <w:r w:rsidR="001C3B9F">
              <w:t>a</w:t>
            </w:r>
            <w:r w:rsidRPr="00710FAB">
              <w:t xml:space="preserve">greement. </w:t>
            </w:r>
          </w:p>
        </w:tc>
      </w:tr>
      <w:tr w:rsidR="0003793B" w:rsidRPr="001B21A4" w14:paraId="07EA2585" w14:textId="77777777" w:rsidTr="00CB211B">
        <w:tc>
          <w:tcPr>
            <w:tcW w:w="2513" w:type="dxa"/>
          </w:tcPr>
          <w:p w14:paraId="07CC51ED" w14:textId="77777777" w:rsidR="0003793B" w:rsidRPr="001B21A4" w:rsidRDefault="0003793B" w:rsidP="002A2026">
            <w:pPr>
              <w:tabs>
                <w:tab w:val="left" w:pos="2835"/>
              </w:tabs>
              <w:spacing w:after="120"/>
            </w:pPr>
            <w:r w:rsidRPr="001B21A4">
              <w:t>grant agreement</w:t>
            </w:r>
          </w:p>
        </w:tc>
        <w:tc>
          <w:tcPr>
            <w:tcW w:w="6395" w:type="dxa"/>
          </w:tcPr>
          <w:p w14:paraId="446F9669" w14:textId="0B1A01A4" w:rsidR="0003793B" w:rsidRPr="00710FAB" w:rsidRDefault="00E7468E" w:rsidP="002A2026">
            <w:pPr>
              <w:tabs>
                <w:tab w:val="left" w:pos="2835"/>
              </w:tabs>
              <w:spacing w:after="120"/>
            </w:pPr>
            <w:r>
              <w:t>Sets out the relationship between the parties to the agreement, and specifies the details of the grant</w:t>
            </w:r>
            <w:r w:rsidR="00771DFE">
              <w:t>.</w:t>
            </w:r>
          </w:p>
        </w:tc>
      </w:tr>
      <w:tr w:rsidR="00CB211B" w:rsidRPr="001B21A4" w14:paraId="29D1CEF9" w14:textId="77777777" w:rsidTr="005B0B9F">
        <w:tc>
          <w:tcPr>
            <w:tcW w:w="2513" w:type="dxa"/>
          </w:tcPr>
          <w:p w14:paraId="3CAE1DF5" w14:textId="77777777" w:rsidR="00CB211B" w:rsidRPr="001B21A4" w:rsidRDefault="00CB211B" w:rsidP="00CB211B">
            <w:pPr>
              <w:tabs>
                <w:tab w:val="left" w:pos="2835"/>
              </w:tabs>
              <w:spacing w:after="120"/>
            </w:pPr>
            <w:r>
              <w:t>grant opportunity</w:t>
            </w:r>
          </w:p>
        </w:tc>
        <w:tc>
          <w:tcPr>
            <w:tcW w:w="6395" w:type="dxa"/>
            <w:tcBorders>
              <w:top w:val="single" w:sz="4" w:space="0" w:color="auto"/>
              <w:left w:val="single" w:sz="4" w:space="0" w:color="auto"/>
              <w:bottom w:val="single" w:sz="4" w:space="0" w:color="auto"/>
              <w:right w:val="single" w:sz="4" w:space="0" w:color="auto"/>
            </w:tcBorders>
          </w:tcPr>
          <w:p w14:paraId="7EC01425" w14:textId="338D6765" w:rsidR="00CB211B" w:rsidRPr="00710FAB" w:rsidRDefault="0086370C" w:rsidP="00CB211B">
            <w:pPr>
              <w:tabs>
                <w:tab w:val="left" w:pos="2835"/>
              </w:tabs>
              <w:spacing w:after="120"/>
            </w:pPr>
            <w:r>
              <w:t>R</w:t>
            </w:r>
            <w:r w:rsidR="00CB211B">
              <w:t>efers to the specific grant round or process where a Commonwealth grant is made available to potential grantees. Grant opportunities may be open or targeted, and will reflect the relevant grant selection process.</w:t>
            </w:r>
          </w:p>
        </w:tc>
      </w:tr>
      <w:tr w:rsidR="00CB211B" w:rsidRPr="001B21A4" w14:paraId="315C33EE" w14:textId="77777777" w:rsidTr="005B0B9F">
        <w:tc>
          <w:tcPr>
            <w:tcW w:w="2513" w:type="dxa"/>
          </w:tcPr>
          <w:p w14:paraId="70FDDFED" w14:textId="77777777" w:rsidR="00CB211B" w:rsidRPr="001B21A4" w:rsidRDefault="00CB211B" w:rsidP="00CB211B">
            <w:pPr>
              <w:tabs>
                <w:tab w:val="left" w:pos="2835"/>
              </w:tabs>
              <w:spacing w:after="120"/>
            </w:pPr>
            <w:r w:rsidRPr="001B21A4">
              <w:t xml:space="preserve">grant </w:t>
            </w:r>
            <w:r>
              <w:t>program</w:t>
            </w:r>
          </w:p>
        </w:tc>
        <w:tc>
          <w:tcPr>
            <w:tcW w:w="6395" w:type="dxa"/>
            <w:tcBorders>
              <w:top w:val="single" w:sz="4" w:space="0" w:color="auto"/>
              <w:left w:val="single" w:sz="4" w:space="0" w:color="auto"/>
              <w:bottom w:val="single" w:sz="4" w:space="0" w:color="auto"/>
              <w:right w:val="single" w:sz="4" w:space="0" w:color="auto"/>
            </w:tcBorders>
          </w:tcPr>
          <w:p w14:paraId="56846D26" w14:textId="2C66768E" w:rsidR="00CB211B" w:rsidRPr="00710FAB" w:rsidRDefault="0086370C" w:rsidP="00CB211B">
            <w:pPr>
              <w:tabs>
                <w:tab w:val="left" w:pos="2835"/>
              </w:tabs>
              <w:spacing w:after="120"/>
            </w:pPr>
            <w:r>
              <w:rPr>
                <w:rFonts w:cs="Arial"/>
              </w:rPr>
              <w:t>A</w:t>
            </w:r>
            <w:r w:rsidR="00CB211B">
              <w:rPr>
                <w:rFonts w:cs="Arial"/>
              </w:rPr>
              <w:t xml:space="preserve"> ‘program’ carries its natural meaning and is intended to cover a potentially wide range of related activities aimed at achieving government policy outcomes. A grant program is a group of one or more grant opportunities under a single [entity] Portfolio Budget Statement Program.</w:t>
            </w:r>
          </w:p>
        </w:tc>
      </w:tr>
      <w:tr w:rsidR="0003793B" w:rsidRPr="001B21A4" w14:paraId="5A69C430" w14:textId="77777777" w:rsidTr="00CB211B">
        <w:tc>
          <w:tcPr>
            <w:tcW w:w="2513" w:type="dxa"/>
          </w:tcPr>
          <w:p w14:paraId="3941053B" w14:textId="77777777" w:rsidR="0003793B" w:rsidRPr="001B21A4" w:rsidRDefault="0003793B" w:rsidP="002A2026">
            <w:pPr>
              <w:tabs>
                <w:tab w:val="left" w:pos="2835"/>
              </w:tabs>
              <w:spacing w:after="120"/>
            </w:pPr>
            <w:r>
              <w:t>grantee</w:t>
            </w:r>
          </w:p>
        </w:tc>
        <w:tc>
          <w:tcPr>
            <w:tcW w:w="6395" w:type="dxa"/>
          </w:tcPr>
          <w:p w14:paraId="0E728520" w14:textId="77777777" w:rsidR="0003793B" w:rsidRPr="00710FAB" w:rsidRDefault="0003793B" w:rsidP="002A2026">
            <w:pPr>
              <w:tabs>
                <w:tab w:val="left" w:pos="2835"/>
              </w:tabs>
              <w:spacing w:after="120"/>
            </w:pPr>
            <w:r w:rsidRPr="00710FAB">
              <w:t xml:space="preserve">An individual/organisation that has been awarded a grant. </w:t>
            </w:r>
          </w:p>
        </w:tc>
      </w:tr>
      <w:tr w:rsidR="0003793B" w:rsidRPr="00463AB3" w14:paraId="75DACBDD" w14:textId="77777777" w:rsidTr="00CB211B">
        <w:tc>
          <w:tcPr>
            <w:tcW w:w="2513" w:type="dxa"/>
          </w:tcPr>
          <w:p w14:paraId="26983BAF" w14:textId="1ECCA948" w:rsidR="0003793B" w:rsidRPr="00463AB3" w:rsidRDefault="00CB211B" w:rsidP="002A2026">
            <w:pPr>
              <w:tabs>
                <w:tab w:val="left" w:pos="2835"/>
              </w:tabs>
              <w:spacing w:after="120"/>
            </w:pPr>
            <w:r>
              <w:t xml:space="preserve">Portfolio Budget Statement </w:t>
            </w:r>
            <w:r w:rsidR="0003793B" w:rsidRPr="00463AB3">
              <w:t>Program</w:t>
            </w:r>
          </w:p>
        </w:tc>
        <w:tc>
          <w:tcPr>
            <w:tcW w:w="6395" w:type="dxa"/>
          </w:tcPr>
          <w:p w14:paraId="39365EAC" w14:textId="24000894" w:rsidR="0003793B" w:rsidRPr="00463AB3" w:rsidRDefault="0003793B" w:rsidP="00CC690B">
            <w:pPr>
              <w:tabs>
                <w:tab w:val="left" w:pos="2835"/>
              </w:tabs>
              <w:spacing w:after="120"/>
            </w:pPr>
            <w:r w:rsidRPr="00463AB3">
              <w:rPr>
                <w:rFonts w:cs="Arial"/>
              </w:rPr>
              <w:t>Described within the entity’s Portfolio Budget Statement</w:t>
            </w:r>
            <w:r w:rsidR="00CC690B">
              <w:rPr>
                <w:rFonts w:cs="Arial"/>
              </w:rPr>
              <w:t xml:space="preserve"> (PBS)</w:t>
            </w:r>
            <w:r w:rsidRPr="00463AB3">
              <w:rPr>
                <w:rFonts w:cs="Arial"/>
              </w:rPr>
              <w:t xml:space="preserve">, </w:t>
            </w:r>
            <w:r w:rsidRPr="00463AB3">
              <w:t>PBS programs each link to a single outcome and provide transparency for funding decisions. These high level PBS programs often comprise a number of lower level, more publicly recognised p</w:t>
            </w:r>
            <w:r w:rsidR="00CC690B">
              <w:t>rograms, some of which will be g</w:t>
            </w:r>
            <w:r w:rsidRPr="00463AB3">
              <w:t xml:space="preserve">rant </w:t>
            </w:r>
            <w:r w:rsidR="00CC690B">
              <w:t>programs. A PBS program may have more than one g</w:t>
            </w:r>
            <w:r w:rsidRPr="00463AB3">
              <w:t xml:space="preserve">rant </w:t>
            </w:r>
            <w:r w:rsidR="00CC690B">
              <w:t>p</w:t>
            </w:r>
            <w:r w:rsidRPr="00463AB3">
              <w:t xml:space="preserve">rogram associated with it, and each of these may have </w:t>
            </w:r>
            <w:r w:rsidRPr="00463AB3">
              <w:rPr>
                <w:rFonts w:cs="Arial"/>
              </w:rPr>
              <w:t>one or more grant opportunities</w:t>
            </w:r>
          </w:p>
        </w:tc>
      </w:tr>
      <w:tr w:rsidR="0003793B" w:rsidRPr="001B21A4" w14:paraId="5CDC2239" w14:textId="77777777" w:rsidTr="00CB211B">
        <w:tc>
          <w:tcPr>
            <w:tcW w:w="2513" w:type="dxa"/>
          </w:tcPr>
          <w:p w14:paraId="65CBE641" w14:textId="77777777" w:rsidR="0003793B" w:rsidRPr="001B21A4" w:rsidRDefault="0003793B" w:rsidP="002A2026">
            <w:pPr>
              <w:tabs>
                <w:tab w:val="left" w:pos="2835"/>
              </w:tabs>
              <w:spacing w:after="120"/>
            </w:pPr>
            <w:r w:rsidRPr="001B21A4">
              <w:lastRenderedPageBreak/>
              <w:t>selection criteria</w:t>
            </w:r>
          </w:p>
        </w:tc>
        <w:tc>
          <w:tcPr>
            <w:tcW w:w="6395" w:type="dxa"/>
          </w:tcPr>
          <w:p w14:paraId="5A4D26F3" w14:textId="77777777" w:rsidR="0003793B" w:rsidRPr="00710FAB" w:rsidRDefault="0003793B" w:rsidP="002A2026">
            <w:pPr>
              <w:tabs>
                <w:tab w:val="left" w:pos="2835"/>
              </w:tabs>
              <w:spacing w:after="120"/>
            </w:pPr>
            <w:r w:rsidRPr="00710FAB">
              <w:t xml:space="preserve">Comprise eligibility criteria and assessment criteria. </w:t>
            </w:r>
          </w:p>
        </w:tc>
      </w:tr>
      <w:tr w:rsidR="0003793B" w:rsidRPr="001B21A4" w14:paraId="307261C8" w14:textId="77777777" w:rsidTr="00CB211B">
        <w:tc>
          <w:tcPr>
            <w:tcW w:w="2513" w:type="dxa"/>
          </w:tcPr>
          <w:p w14:paraId="0419DEC5" w14:textId="77777777" w:rsidR="0003793B" w:rsidRPr="001B21A4" w:rsidRDefault="0003793B" w:rsidP="002A2026">
            <w:pPr>
              <w:tabs>
                <w:tab w:val="left" w:pos="2835"/>
              </w:tabs>
              <w:spacing w:after="120"/>
            </w:pPr>
            <w:r w:rsidRPr="001B21A4">
              <w:t>selection process</w:t>
            </w:r>
          </w:p>
        </w:tc>
        <w:tc>
          <w:tcPr>
            <w:tcW w:w="6395" w:type="dxa"/>
          </w:tcPr>
          <w:p w14:paraId="6F83DAEB" w14:textId="77777777" w:rsidR="0003793B" w:rsidRPr="00710FAB" w:rsidRDefault="0003793B" w:rsidP="002A2026">
            <w:pPr>
              <w:tabs>
                <w:tab w:val="left" w:pos="2835"/>
              </w:tabs>
              <w:spacing w:after="120"/>
            </w:pPr>
            <w:r w:rsidRPr="00710FAB">
              <w:t>The method used to select potential grantees. This process may involve comparative assessment of applications or the assessment of applications against the eligibility criteria and/or the assessment criteria.</w:t>
            </w:r>
          </w:p>
        </w:tc>
      </w:tr>
      <w:tr w:rsidR="00CB211B" w14:paraId="4C77B65D" w14:textId="77777777" w:rsidTr="00CB211B">
        <w:tc>
          <w:tcPr>
            <w:tcW w:w="2513" w:type="dxa"/>
            <w:hideMark/>
          </w:tcPr>
          <w:p w14:paraId="4DD248E3" w14:textId="77777777" w:rsidR="00CB211B" w:rsidRDefault="00CB211B">
            <w:pPr>
              <w:tabs>
                <w:tab w:val="left" w:pos="2835"/>
              </w:tabs>
              <w:spacing w:after="120"/>
            </w:pPr>
            <w:r>
              <w:t>value with money</w:t>
            </w:r>
          </w:p>
        </w:tc>
        <w:tc>
          <w:tcPr>
            <w:tcW w:w="6395" w:type="dxa"/>
            <w:hideMark/>
          </w:tcPr>
          <w:p w14:paraId="17431DD6" w14:textId="6C88DEDE" w:rsidR="00CB211B" w:rsidRDefault="00CC690B">
            <w:r>
              <w:t>R</w:t>
            </w:r>
            <w:r w:rsidR="00CB211B">
              <w:t>efers to ‘value with relevant money’ which is a judgement based on the grant proposal representing an efficient, effective, economical and ethical use of public resources and determined from a variety of considerations.</w:t>
            </w:r>
          </w:p>
          <w:p w14:paraId="04DC4767" w14:textId="77777777" w:rsidR="00CB211B" w:rsidRDefault="00CB211B">
            <w:pPr>
              <w:spacing w:before="0" w:after="40" w:line="240" w:lineRule="auto"/>
            </w:pPr>
            <w:r>
              <w:t>When administering a grant opportunity, an official should consider the relevant financial and non-financial costs and benefits of each proposal including, but not limited to:</w:t>
            </w:r>
          </w:p>
          <w:p w14:paraId="11ABF7CA" w14:textId="232A84EA" w:rsidR="00CB211B" w:rsidRDefault="00CB211B" w:rsidP="00CB211B">
            <w:pPr>
              <w:numPr>
                <w:ilvl w:val="0"/>
                <w:numId w:val="41"/>
              </w:numPr>
              <w:suppressAutoHyphens w:val="0"/>
              <w:spacing w:before="0" w:after="40" w:line="240" w:lineRule="auto"/>
              <w:ind w:left="342" w:hanging="342"/>
              <w:rPr>
                <w:rFonts w:cs="Arial"/>
                <w:lang w:eastAsia="en-AU"/>
              </w:rPr>
            </w:pPr>
            <w:r>
              <w:rPr>
                <w:rFonts w:cs="Arial"/>
                <w:lang w:eastAsia="en-AU"/>
              </w:rPr>
              <w:t>the quality of the project proposal and act</w:t>
            </w:r>
            <w:r w:rsidR="00CC690B">
              <w:rPr>
                <w:rFonts w:cs="Arial"/>
                <w:lang w:eastAsia="en-AU"/>
              </w:rPr>
              <w:t>ivities</w:t>
            </w:r>
          </w:p>
          <w:p w14:paraId="0D4DAACC" w14:textId="5D141089" w:rsidR="00CB211B" w:rsidRDefault="00CB211B" w:rsidP="00CB211B">
            <w:pPr>
              <w:numPr>
                <w:ilvl w:val="0"/>
                <w:numId w:val="41"/>
              </w:numPr>
              <w:suppressAutoHyphens w:val="0"/>
              <w:spacing w:before="0" w:after="40" w:line="240" w:lineRule="auto"/>
              <w:ind w:left="342" w:hanging="342"/>
              <w:rPr>
                <w:rFonts w:cs="Arial"/>
                <w:lang w:eastAsia="en-AU"/>
              </w:rPr>
            </w:pPr>
            <w:r>
              <w:rPr>
                <w:rFonts w:cs="Arial"/>
                <w:lang w:eastAsia="en-AU"/>
              </w:rPr>
              <w:t>fitness for purpose of the proposal in contri</w:t>
            </w:r>
            <w:r w:rsidR="00CC690B">
              <w:rPr>
                <w:rFonts w:cs="Arial"/>
                <w:lang w:eastAsia="en-AU"/>
              </w:rPr>
              <w:t>buting to government objectives</w:t>
            </w:r>
          </w:p>
          <w:p w14:paraId="2CD2B0F7" w14:textId="77777777" w:rsidR="00CC690B" w:rsidRPr="00CC690B" w:rsidRDefault="00CB211B" w:rsidP="00CC690B">
            <w:pPr>
              <w:numPr>
                <w:ilvl w:val="0"/>
                <w:numId w:val="41"/>
              </w:numPr>
              <w:suppressAutoHyphens w:val="0"/>
              <w:spacing w:before="0" w:after="40" w:line="240" w:lineRule="auto"/>
              <w:ind w:left="342" w:hanging="342"/>
            </w:pPr>
            <w:r>
              <w:rPr>
                <w:rFonts w:cs="Arial"/>
                <w:lang w:eastAsia="en-AU"/>
              </w:rPr>
              <w:t>that the absence of a grant is likely to prevent the grantee and governmen</w:t>
            </w:r>
            <w:r w:rsidR="00CC690B">
              <w:rPr>
                <w:rFonts w:cs="Arial"/>
                <w:lang w:eastAsia="en-AU"/>
              </w:rPr>
              <w:t>t’s outcomes being achieved</w:t>
            </w:r>
          </w:p>
          <w:p w14:paraId="037C23D8" w14:textId="2E5FD09C" w:rsidR="00CB211B" w:rsidRDefault="00CB211B" w:rsidP="00CC690B">
            <w:pPr>
              <w:numPr>
                <w:ilvl w:val="0"/>
                <w:numId w:val="41"/>
              </w:numPr>
              <w:suppressAutoHyphens w:val="0"/>
              <w:spacing w:before="0" w:after="40" w:line="240" w:lineRule="auto"/>
              <w:ind w:left="342" w:hanging="342"/>
            </w:pPr>
            <w:r>
              <w:rPr>
                <w:rFonts w:cs="Arial"/>
                <w:lang w:eastAsia="en-AU"/>
              </w:rPr>
              <w:t>the potential grantee’s relevant experience and performance history</w:t>
            </w:r>
            <w:r>
              <w:rPr>
                <w:rFonts w:ascii="Times New Roman" w:hAnsi="Times New Roman"/>
                <w:sz w:val="24"/>
                <w:szCs w:val="24"/>
                <w:lang w:val="en" w:eastAsia="en-AU"/>
              </w:rPr>
              <w:t>.</w:t>
            </w:r>
          </w:p>
        </w:tc>
      </w:tr>
    </w:tbl>
    <w:p w14:paraId="2F1E0B9A" w14:textId="112DD269" w:rsidR="00340616" w:rsidRDefault="00340616" w:rsidP="00340616">
      <w:pPr>
        <w:spacing w:after="0" w:line="240" w:lineRule="auto"/>
      </w:pPr>
    </w:p>
    <w:sectPr w:rsidR="00340616" w:rsidSect="00B240EB">
      <w:headerReference w:type="default" r:id="rId31"/>
      <w:footerReference w:type="default" r:id="rId32"/>
      <w:headerReference w:type="first" r:id="rId33"/>
      <w:pgSz w:w="11906" w:h="16838" w:code="9"/>
      <w:pgMar w:top="2552"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B31D45" w14:textId="77777777" w:rsidR="002C4D8E" w:rsidRDefault="002C4D8E" w:rsidP="00EF4574">
      <w:pPr>
        <w:spacing w:before="0" w:after="0" w:line="240" w:lineRule="auto"/>
      </w:pPr>
      <w:r>
        <w:separator/>
      </w:r>
    </w:p>
    <w:p w14:paraId="5E76C9F0" w14:textId="77777777" w:rsidR="002C4D8E" w:rsidRDefault="002C4D8E"/>
  </w:endnote>
  <w:endnote w:type="continuationSeparator" w:id="0">
    <w:p w14:paraId="134150A3" w14:textId="77777777" w:rsidR="002C4D8E" w:rsidRDefault="002C4D8E" w:rsidP="00EF4574">
      <w:pPr>
        <w:spacing w:before="0" w:after="0" w:line="240" w:lineRule="auto"/>
      </w:pPr>
      <w:r>
        <w:continuationSeparator/>
      </w:r>
    </w:p>
    <w:p w14:paraId="4BBF2886" w14:textId="77777777" w:rsidR="002C4D8E" w:rsidRDefault="002C4D8E"/>
  </w:endnote>
  <w:endnote w:type="continuationNotice" w:id="1">
    <w:p w14:paraId="4AF85EC4" w14:textId="77777777" w:rsidR="002C4D8E" w:rsidRDefault="002C4D8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9E05B" w14:textId="6848328D" w:rsidR="0086370C" w:rsidRDefault="0086370C" w:rsidP="005970EA">
    <w:pPr>
      <w:pStyle w:val="Footer"/>
      <w:rPr>
        <w:noProof/>
      </w:rPr>
    </w:pPr>
    <w:r w:rsidRPr="002D42B3">
      <w:t>Family Violence and Cross-examination of Parties Scheme</w:t>
    </w:r>
    <w:r>
      <w:t xml:space="preserve"> – Grant Opportunity Guidelines</w:t>
    </w:r>
    <w:r w:rsidRPr="002D42B3">
      <w:tab/>
    </w:r>
    <w:r>
      <w:fldChar w:fldCharType="begin"/>
    </w:r>
    <w:r>
      <w:instrText xml:space="preserve"> PAGE   \* MERGEFORMAT </w:instrText>
    </w:r>
    <w:r>
      <w:fldChar w:fldCharType="separate"/>
    </w:r>
    <w:r w:rsidR="00873BD3">
      <w:rPr>
        <w:noProof/>
      </w:rPr>
      <w:t>19</w:t>
    </w:r>
    <w:r>
      <w:rPr>
        <w:noProof/>
      </w:rPr>
      <w:fldChar w:fldCharType="end"/>
    </w:r>
  </w:p>
  <w:p w14:paraId="2160BB1B" w14:textId="77777777" w:rsidR="0086370C" w:rsidRDefault="0086370C" w:rsidP="005970EA">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2A580" w14:textId="77777777" w:rsidR="002C4D8E" w:rsidRDefault="002C4D8E" w:rsidP="0020122A">
      <w:pPr>
        <w:pStyle w:val="FootnoteSeparator"/>
      </w:pPr>
    </w:p>
  </w:footnote>
  <w:footnote w:type="continuationSeparator" w:id="0">
    <w:p w14:paraId="184EF10A" w14:textId="77777777" w:rsidR="002C4D8E" w:rsidRDefault="002C4D8E" w:rsidP="00EF4574">
      <w:pPr>
        <w:spacing w:before="0" w:after="0" w:line="240" w:lineRule="auto"/>
      </w:pPr>
      <w:r>
        <w:continuationSeparator/>
      </w:r>
    </w:p>
    <w:p w14:paraId="2781D1B8" w14:textId="77777777" w:rsidR="002C4D8E" w:rsidRDefault="002C4D8E"/>
  </w:footnote>
  <w:footnote w:type="continuationNotice" w:id="1">
    <w:p w14:paraId="4110432A" w14:textId="77777777" w:rsidR="002C4D8E" w:rsidRDefault="002C4D8E">
      <w:pPr>
        <w:spacing w:before="0" w:after="0" w:line="240" w:lineRule="auto"/>
      </w:pPr>
    </w:p>
  </w:footnote>
  <w:footnote w:id="2">
    <w:p w14:paraId="72757775" w14:textId="5FBA3B48" w:rsidR="0086370C" w:rsidRPr="001342FE" w:rsidRDefault="0086370C">
      <w:pPr>
        <w:pStyle w:val="FootnoteText"/>
        <w:rPr>
          <w:lang w:val="en-US"/>
        </w:rPr>
      </w:pPr>
      <w:r>
        <w:rPr>
          <w:rStyle w:val="FootnoteReference"/>
        </w:rPr>
        <w:footnoteRef/>
      </w:r>
      <w:r>
        <w:t xml:space="preserve"> </w:t>
      </w:r>
      <w:r w:rsidRPr="001342FE">
        <w:rPr>
          <w:rFonts w:cstheme="minorHAnsi"/>
          <w:color w:val="000000"/>
          <w:sz w:val="20"/>
        </w:rPr>
        <w:t>Includes $0.100m establishment costs.</w:t>
      </w:r>
    </w:p>
  </w:footnote>
  <w:footnote w:id="3">
    <w:p w14:paraId="1C0CC403" w14:textId="0FB48936" w:rsidR="0086370C" w:rsidRDefault="0086370C" w:rsidP="00B63DF5">
      <w:pPr>
        <w:pStyle w:val="FootnoteText"/>
        <w:rPr>
          <w:sz w:val="18"/>
          <w:szCs w:val="18"/>
        </w:rPr>
      </w:pPr>
      <w:r>
        <w:rPr>
          <w:rStyle w:val="FootnoteReference"/>
        </w:rPr>
        <w:t>[1]</w:t>
      </w:r>
      <w:r>
        <w:t xml:space="preserve"> </w:t>
      </w:r>
      <w:r>
        <w:rPr>
          <w:szCs w:val="16"/>
        </w:rPr>
        <w:t>This may be the Hub delegate or nominated staff member of the client agency at the Executive Level 2 level or above.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C486C" w14:textId="77777777" w:rsidR="0086370C" w:rsidRPr="000A6A8B" w:rsidRDefault="0086370C" w:rsidP="000A6A8B">
    <w:pPr>
      <w:pStyle w:val="Header"/>
      <w:jc w:val="center"/>
      <w:rPr>
        <w:rStyle w:val="Classificatio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53EC6" w14:textId="77777777" w:rsidR="0086370C" w:rsidRDefault="0086370C" w:rsidP="000A6A8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026FC"/>
    <w:multiLevelType w:val="hybridMultilevel"/>
    <w:tmpl w:val="9F700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4A419DB"/>
    <w:multiLevelType w:val="hybridMultilevel"/>
    <w:tmpl w:val="341A34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8B214EE"/>
    <w:multiLevelType w:val="multilevel"/>
    <w:tmpl w:val="C6FAFD14"/>
    <w:styleLink w:val="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4" w15:restartNumberingAfterBreak="0">
    <w:nsid w:val="19BD12E7"/>
    <w:multiLevelType w:val="multilevel"/>
    <w:tmpl w:val="95D2349A"/>
    <w:lvl w:ilvl="0">
      <w:start w:val="1"/>
      <w:numFmt w:val="bullet"/>
      <w:pStyle w:val="List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C290B8E"/>
    <w:multiLevelType w:val="hybridMultilevel"/>
    <w:tmpl w:val="D67AB3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C692177"/>
    <w:multiLevelType w:val="hybridMultilevel"/>
    <w:tmpl w:val="07547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DC56C7"/>
    <w:multiLevelType w:val="multilevel"/>
    <w:tmpl w:val="D24EA2DA"/>
    <w:lvl w:ilvl="0">
      <w:start w:val="1"/>
      <w:numFmt w:val="bullet"/>
      <w:lvlText w:val=""/>
      <w:lvlJc w:val="left"/>
      <w:pPr>
        <w:ind w:left="714" w:hanging="357"/>
      </w:pPr>
      <w:rPr>
        <w:rFonts w:ascii="Symbol" w:hAnsi="Symbol" w:hint="default"/>
        <w:color w:val="auto"/>
      </w:rPr>
    </w:lvl>
    <w:lvl w:ilvl="1">
      <w:start w:val="1"/>
      <w:numFmt w:val="lowerLetter"/>
      <w:lvlText w:val="%2"/>
      <w:lvlJc w:val="left"/>
      <w:pPr>
        <w:ind w:left="1077" w:hanging="363"/>
      </w:pPr>
    </w:lvl>
    <w:lvl w:ilvl="2">
      <w:start w:val="1"/>
      <w:numFmt w:val="lowerRoman"/>
      <w:lvlText w:val="%3"/>
      <w:lvlJc w:val="left"/>
      <w:pPr>
        <w:ind w:left="1437" w:hanging="360"/>
      </w:pPr>
    </w:lvl>
    <w:lvl w:ilvl="3">
      <w:start w:val="1"/>
      <w:numFmt w:val="decimal"/>
      <w:lvlText w:val="%1.%2.%3.%4"/>
      <w:lvlJc w:val="left"/>
      <w:pPr>
        <w:ind w:left="1797" w:hanging="306"/>
      </w:pPr>
      <w:rPr>
        <w:b w:val="0"/>
        <w:i w:val="0"/>
        <w:color w:val="auto"/>
        <w:sz w:val="20"/>
      </w:rPr>
    </w:lvl>
    <w:lvl w:ilvl="4">
      <w:start w:val="1"/>
      <w:numFmt w:val="lowerLetter"/>
      <w:lvlText w:val="%5."/>
      <w:lvlJc w:val="left"/>
      <w:pPr>
        <w:ind w:left="2157" w:hanging="360"/>
      </w:pPr>
    </w:lvl>
    <w:lvl w:ilvl="5">
      <w:start w:val="1"/>
      <w:numFmt w:val="lowerRoman"/>
      <w:lvlText w:val="(%6)"/>
      <w:lvlJc w:val="left"/>
      <w:pPr>
        <w:ind w:left="2517" w:hanging="360"/>
      </w:pPr>
    </w:lvl>
    <w:lvl w:ilvl="6">
      <w:start w:val="1"/>
      <w:numFmt w:val="decimal"/>
      <w:lvlText w:val="%7."/>
      <w:lvlJc w:val="left"/>
      <w:pPr>
        <w:ind w:left="2877" w:hanging="360"/>
      </w:pPr>
    </w:lvl>
    <w:lvl w:ilvl="7">
      <w:start w:val="1"/>
      <w:numFmt w:val="lowerLetter"/>
      <w:lvlText w:val="%8."/>
      <w:lvlJc w:val="left"/>
      <w:pPr>
        <w:ind w:left="3237" w:hanging="360"/>
      </w:pPr>
    </w:lvl>
    <w:lvl w:ilvl="8">
      <w:start w:val="1"/>
      <w:numFmt w:val="lowerRoman"/>
      <w:lvlText w:val="%9."/>
      <w:lvlJc w:val="left"/>
      <w:pPr>
        <w:ind w:left="3597" w:hanging="360"/>
      </w:pPr>
    </w:lvl>
  </w:abstractNum>
  <w:abstractNum w:abstractNumId="8" w15:restartNumberingAfterBreak="0">
    <w:nsid w:val="1E263FDC"/>
    <w:multiLevelType w:val="hybridMultilevel"/>
    <w:tmpl w:val="43E2A8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85F6D62"/>
    <w:multiLevelType w:val="hybridMultilevel"/>
    <w:tmpl w:val="0FC201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14708E"/>
      </w:rPr>
    </w:lvl>
    <w:lvl w:ilvl="1">
      <w:start w:val="1"/>
      <w:numFmt w:val="bullet"/>
      <w:pStyle w:val="Bullets2ndindent"/>
      <w:lvlText w:val=""/>
      <w:lvlJc w:val="left"/>
      <w:pPr>
        <w:tabs>
          <w:tab w:val="num" w:pos="567"/>
        </w:tabs>
        <w:ind w:left="567" w:hanging="283"/>
      </w:pPr>
      <w:rPr>
        <w:rFonts w:ascii="Symbol" w:hAnsi="Symbol" w:hint="default"/>
        <w:color w:val="14708E"/>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15:restartNumberingAfterBreak="0">
    <w:nsid w:val="29E4434E"/>
    <w:multiLevelType w:val="hybridMultilevel"/>
    <w:tmpl w:val="99AAB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9B159F"/>
    <w:multiLevelType w:val="multilevel"/>
    <w:tmpl w:val="1F38FDB4"/>
    <w:styleLink w:val="HeadingsList"/>
    <w:lvl w:ilvl="0">
      <w:start w:val="1"/>
      <w:numFmt w:val="decimal"/>
      <w:pStyle w:val="Heading1Numbered"/>
      <w:lvlText w:val="%1."/>
      <w:lvlJc w:val="left"/>
      <w:pPr>
        <w:ind w:left="7514" w:hanging="567"/>
      </w:pPr>
      <w:rPr>
        <w:rFonts w:hint="default"/>
      </w:rPr>
    </w:lvl>
    <w:lvl w:ilvl="1">
      <w:start w:val="1"/>
      <w:numFmt w:val="decimal"/>
      <w:pStyle w:val="Heading2Numbered"/>
      <w:lvlText w:val="%1.%2"/>
      <w:lvlJc w:val="left"/>
      <w:pPr>
        <w:ind w:left="1702"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15:restartNumberingAfterBreak="0">
    <w:nsid w:val="352C25EE"/>
    <w:multiLevelType w:val="hybridMultilevel"/>
    <w:tmpl w:val="ADECE108"/>
    <w:lvl w:ilvl="0" w:tplc="0C090003">
      <w:start w:val="1"/>
      <w:numFmt w:val="bullet"/>
      <w:lvlText w:val="o"/>
      <w:lvlJc w:val="left"/>
      <w:pPr>
        <w:ind w:left="2422" w:hanging="360"/>
      </w:pPr>
      <w:rPr>
        <w:rFonts w:ascii="Courier New" w:hAnsi="Courier New" w:cs="Courier New" w:hint="default"/>
      </w:rPr>
    </w:lvl>
    <w:lvl w:ilvl="1" w:tplc="0C090003" w:tentative="1">
      <w:start w:val="1"/>
      <w:numFmt w:val="bullet"/>
      <w:lvlText w:val="o"/>
      <w:lvlJc w:val="left"/>
      <w:pPr>
        <w:ind w:left="3142" w:hanging="360"/>
      </w:pPr>
      <w:rPr>
        <w:rFonts w:ascii="Courier New" w:hAnsi="Courier New" w:cs="Courier New" w:hint="default"/>
      </w:rPr>
    </w:lvl>
    <w:lvl w:ilvl="2" w:tplc="0C090005" w:tentative="1">
      <w:start w:val="1"/>
      <w:numFmt w:val="bullet"/>
      <w:lvlText w:val=""/>
      <w:lvlJc w:val="left"/>
      <w:pPr>
        <w:ind w:left="3862" w:hanging="360"/>
      </w:pPr>
      <w:rPr>
        <w:rFonts w:ascii="Wingdings" w:hAnsi="Wingdings" w:hint="default"/>
      </w:rPr>
    </w:lvl>
    <w:lvl w:ilvl="3" w:tplc="0C090001" w:tentative="1">
      <w:start w:val="1"/>
      <w:numFmt w:val="bullet"/>
      <w:lvlText w:val=""/>
      <w:lvlJc w:val="left"/>
      <w:pPr>
        <w:ind w:left="4582" w:hanging="360"/>
      </w:pPr>
      <w:rPr>
        <w:rFonts w:ascii="Symbol" w:hAnsi="Symbol" w:hint="default"/>
      </w:rPr>
    </w:lvl>
    <w:lvl w:ilvl="4" w:tplc="0C090003" w:tentative="1">
      <w:start w:val="1"/>
      <w:numFmt w:val="bullet"/>
      <w:lvlText w:val="o"/>
      <w:lvlJc w:val="left"/>
      <w:pPr>
        <w:ind w:left="5302" w:hanging="360"/>
      </w:pPr>
      <w:rPr>
        <w:rFonts w:ascii="Courier New" w:hAnsi="Courier New" w:cs="Courier New" w:hint="default"/>
      </w:rPr>
    </w:lvl>
    <w:lvl w:ilvl="5" w:tplc="0C090005" w:tentative="1">
      <w:start w:val="1"/>
      <w:numFmt w:val="bullet"/>
      <w:lvlText w:val=""/>
      <w:lvlJc w:val="left"/>
      <w:pPr>
        <w:ind w:left="6022" w:hanging="360"/>
      </w:pPr>
      <w:rPr>
        <w:rFonts w:ascii="Wingdings" w:hAnsi="Wingdings" w:hint="default"/>
      </w:rPr>
    </w:lvl>
    <w:lvl w:ilvl="6" w:tplc="0C090001" w:tentative="1">
      <w:start w:val="1"/>
      <w:numFmt w:val="bullet"/>
      <w:lvlText w:val=""/>
      <w:lvlJc w:val="left"/>
      <w:pPr>
        <w:ind w:left="6742" w:hanging="360"/>
      </w:pPr>
      <w:rPr>
        <w:rFonts w:ascii="Symbol" w:hAnsi="Symbol" w:hint="default"/>
      </w:rPr>
    </w:lvl>
    <w:lvl w:ilvl="7" w:tplc="0C090003" w:tentative="1">
      <w:start w:val="1"/>
      <w:numFmt w:val="bullet"/>
      <w:lvlText w:val="o"/>
      <w:lvlJc w:val="left"/>
      <w:pPr>
        <w:ind w:left="7462" w:hanging="360"/>
      </w:pPr>
      <w:rPr>
        <w:rFonts w:ascii="Courier New" w:hAnsi="Courier New" w:cs="Courier New" w:hint="default"/>
      </w:rPr>
    </w:lvl>
    <w:lvl w:ilvl="8" w:tplc="0C090005" w:tentative="1">
      <w:start w:val="1"/>
      <w:numFmt w:val="bullet"/>
      <w:lvlText w:val=""/>
      <w:lvlJc w:val="left"/>
      <w:pPr>
        <w:ind w:left="8182" w:hanging="360"/>
      </w:pPr>
      <w:rPr>
        <w:rFonts w:ascii="Wingdings" w:hAnsi="Wingdings" w:hint="default"/>
      </w:rPr>
    </w:lvl>
  </w:abstractNum>
  <w:abstractNum w:abstractNumId="15" w15:restartNumberingAfterBreak="0">
    <w:nsid w:val="3D871F60"/>
    <w:multiLevelType w:val="hybridMultilevel"/>
    <w:tmpl w:val="D5E2E622"/>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6" w15:restartNumberingAfterBreak="0">
    <w:nsid w:val="405955AE"/>
    <w:multiLevelType w:val="hybridMultilevel"/>
    <w:tmpl w:val="C8666E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42EC098E"/>
    <w:multiLevelType w:val="hybridMultilevel"/>
    <w:tmpl w:val="3C026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581B85"/>
    <w:multiLevelType w:val="multilevel"/>
    <w:tmpl w:val="06A2DF94"/>
    <w:lvl w:ilvl="0">
      <w:start w:val="1"/>
      <w:numFmt w:val="decimal"/>
      <w:lvlText w:val="%1)"/>
      <w:lvlJc w:val="left"/>
      <w:pPr>
        <w:ind w:left="360" w:hanging="360"/>
      </w:pPr>
      <w:rPr>
        <w:rFont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B222ECC"/>
    <w:multiLevelType w:val="hybridMultilevel"/>
    <w:tmpl w:val="29587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1523F7"/>
    <w:multiLevelType w:val="multilevel"/>
    <w:tmpl w:val="6BC6F2D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pStyle w:val="Numberedpara1stindent"/>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21" w15:restartNumberingAfterBreak="0">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0F21CA2"/>
    <w:multiLevelType w:val="hybridMultilevel"/>
    <w:tmpl w:val="4F9C6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1777979"/>
    <w:multiLevelType w:val="hybridMultilevel"/>
    <w:tmpl w:val="F44A6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6"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7" w15:restartNumberingAfterBreak="0">
    <w:nsid w:val="6B057438"/>
    <w:multiLevelType w:val="multilevel"/>
    <w:tmpl w:val="01740CA0"/>
    <w:lvl w:ilvl="0">
      <w:start w:val="1"/>
      <w:numFmt w:val="decimal"/>
      <w:pStyle w:val="ListNumber"/>
      <w:lvlText w:val="%1."/>
      <w:lvlJc w:val="left"/>
      <w:pPr>
        <w:ind w:left="714" w:hanging="357"/>
      </w:pPr>
      <w:rPr>
        <w:rFonts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28" w15:restartNumberingAfterBreak="0">
    <w:nsid w:val="6DAF1630"/>
    <w:multiLevelType w:val="multilevel"/>
    <w:tmpl w:val="BAFAB3C0"/>
    <w:lvl w:ilvl="0">
      <w:start w:val="1"/>
      <w:numFmt w:val="decimal"/>
      <w:lvlText w:val="%1)"/>
      <w:lvlJc w:val="left"/>
      <w:pPr>
        <w:ind w:left="360" w:hanging="360"/>
      </w:pPr>
      <w:rPr>
        <w:rFont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0" w15:restartNumberingAfterBreak="0">
    <w:nsid w:val="76C072A1"/>
    <w:multiLevelType w:val="hybridMultilevel"/>
    <w:tmpl w:val="BB900C06"/>
    <w:lvl w:ilvl="0" w:tplc="31A4E03C">
      <w:start w:val="1"/>
      <w:numFmt w:val="bullet"/>
      <w:lvlText w:val=""/>
      <w:lvlJc w:val="left"/>
      <w:pPr>
        <w:ind w:left="720" w:hanging="360"/>
      </w:pPr>
      <w:rPr>
        <w:rFonts w:ascii="Symbol" w:hAnsi="Symbo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D544EB9"/>
    <w:multiLevelType w:val="hybridMultilevel"/>
    <w:tmpl w:val="87C05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9"/>
  </w:num>
  <w:num w:numId="2">
    <w:abstractNumId w:val="1"/>
  </w:num>
  <w:num w:numId="3">
    <w:abstractNumId w:val="13"/>
    <w:lvlOverride w:ilvl="0">
      <w:lvl w:ilvl="0">
        <w:start w:val="1"/>
        <w:numFmt w:val="decimal"/>
        <w:pStyle w:val="Heading1Numbered"/>
        <w:lvlText w:val="%1."/>
        <w:lvlJc w:val="left"/>
        <w:pPr>
          <w:ind w:left="7514" w:hanging="567"/>
        </w:pPr>
        <w:rPr>
          <w:rFonts w:hint="default"/>
        </w:rPr>
      </w:lvl>
    </w:lvlOverride>
    <w:lvlOverride w:ilvl="1">
      <w:lvl w:ilvl="1">
        <w:start w:val="1"/>
        <w:numFmt w:val="decimal"/>
        <w:pStyle w:val="Heading2Numbered"/>
        <w:lvlText w:val="%1.%2"/>
        <w:lvlJc w:val="left"/>
        <w:pPr>
          <w:ind w:left="5387" w:hanging="567"/>
        </w:pPr>
        <w:rPr>
          <w:rFonts w:hint="default"/>
        </w:rPr>
      </w:lvl>
    </w:lvlOverride>
  </w:num>
  <w:num w:numId="4">
    <w:abstractNumId w:val="25"/>
  </w:num>
  <w:num w:numId="5">
    <w:abstractNumId w:val="26"/>
  </w:num>
  <w:num w:numId="6">
    <w:abstractNumId w:val="3"/>
  </w:num>
  <w:num w:numId="7">
    <w:abstractNumId w:val="4"/>
  </w:num>
  <w:num w:numId="8">
    <w:abstractNumId w:val="10"/>
  </w:num>
  <w:num w:numId="9">
    <w:abstractNumId w:val="21"/>
  </w:num>
  <w:num w:numId="10">
    <w:abstractNumId w:val="27"/>
  </w:num>
  <w:num w:numId="11">
    <w:abstractNumId w:val="20"/>
    <w:lvlOverride w:ilvl="0">
      <w:lvl w:ilvl="0">
        <w:numFmt w:val="decimal"/>
        <w:lvlText w:val=""/>
        <w:lvlJc w:val="left"/>
      </w:lvl>
    </w:lvlOverride>
    <w:lvlOverride w:ilvl="1">
      <w:lvl w:ilvl="1">
        <w:start w:val="1"/>
        <w:numFmt w:val="decimal"/>
        <w:lvlText w:val="%1.%2"/>
        <w:lvlJc w:val="left"/>
        <w:pPr>
          <w:tabs>
            <w:tab w:val="num" w:pos="1134"/>
          </w:tabs>
          <w:ind w:left="1134" w:hanging="1134"/>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12">
    <w:abstractNumId w:val="11"/>
  </w:num>
  <w:num w:numId="13">
    <w:abstractNumId w:val="8"/>
  </w:num>
  <w:num w:numId="14">
    <w:abstractNumId w:val="20"/>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3"/>
    </w:lvlOverride>
  </w:num>
  <w:num w:numId="17">
    <w:abstractNumId w:val="13"/>
  </w:num>
  <w:num w:numId="18">
    <w:abstractNumId w:val="17"/>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3"/>
    <w:lvlOverride w:ilvl="0">
      <w:lvl w:ilvl="0">
        <w:start w:val="1"/>
        <w:numFmt w:val="decimal"/>
        <w:pStyle w:val="Heading1Numbered"/>
        <w:lvlText w:val="%1."/>
        <w:lvlJc w:val="left"/>
        <w:pPr>
          <w:ind w:left="567" w:hanging="567"/>
        </w:pPr>
      </w:lvl>
    </w:lvlOverride>
    <w:lvlOverride w:ilvl="1">
      <w:lvl w:ilvl="1">
        <w:start w:val="1"/>
        <w:numFmt w:val="decimal"/>
        <w:pStyle w:val="Heading2Numbered"/>
        <w:lvlText w:val="%1.%2"/>
        <w:lvlJc w:val="left"/>
        <w:pPr>
          <w:ind w:left="567" w:hanging="567"/>
        </w:pPr>
      </w:lvl>
    </w:lvlOverride>
    <w:lvlOverride w:ilvl="2">
      <w:lvl w:ilvl="2">
        <w:start w:val="1"/>
        <w:numFmt w:val="decimal"/>
        <w:pStyle w:val="Heading3Numbered"/>
        <w:lvlText w:val="%1.%2.%3"/>
        <w:lvlJc w:val="left"/>
        <w:pPr>
          <w:ind w:left="851" w:hanging="851"/>
        </w:pPr>
      </w:lvl>
    </w:lvlOverride>
    <w:lvlOverride w:ilvl="3">
      <w:lvl w:ilvl="3">
        <w:start w:val="1"/>
        <w:numFmt w:val="decimal"/>
        <w:lvlText w:val="(%4)"/>
        <w:lvlJc w:val="left"/>
        <w:pPr>
          <w:ind w:left="2160" w:hanging="360"/>
        </w:pPr>
      </w:lvl>
    </w:lvlOverride>
    <w:lvlOverride w:ilvl="4">
      <w:lvl w:ilvl="4">
        <w:start w:val="1"/>
        <w:numFmt w:val="lowerLetter"/>
        <w:lvlText w:val="(%5)"/>
        <w:lvlJc w:val="left"/>
        <w:pPr>
          <w:ind w:left="2520" w:hanging="360"/>
        </w:pPr>
      </w:lvl>
    </w:lvlOverride>
    <w:lvlOverride w:ilvl="5">
      <w:lvl w:ilvl="5">
        <w:start w:val="1"/>
        <w:numFmt w:val="lowerRoman"/>
        <w:lvlText w:val="(%6)"/>
        <w:lvlJc w:val="left"/>
        <w:pPr>
          <w:ind w:left="2880" w:hanging="360"/>
        </w:pPr>
      </w:lvl>
    </w:lvlOverride>
    <w:lvlOverride w:ilvl="6">
      <w:lvl w:ilvl="6">
        <w:start w:val="1"/>
        <w:numFmt w:val="decimal"/>
        <w:lvlText w:val="%7."/>
        <w:lvlJc w:val="left"/>
        <w:pPr>
          <w:ind w:left="3240" w:hanging="360"/>
        </w:pPr>
      </w:lvl>
    </w:lvlOverride>
    <w:lvlOverride w:ilvl="7">
      <w:lvl w:ilvl="7">
        <w:start w:val="1"/>
        <w:numFmt w:val="lowerLetter"/>
        <w:lvlText w:val="%8."/>
        <w:lvlJc w:val="left"/>
        <w:pPr>
          <w:ind w:left="3600" w:hanging="360"/>
        </w:pPr>
      </w:lvl>
    </w:lvlOverride>
    <w:lvlOverride w:ilvl="8">
      <w:lvl w:ilvl="8">
        <w:start w:val="1"/>
        <w:numFmt w:val="lowerRoman"/>
        <w:lvlText w:val="%9."/>
        <w:lvlJc w:val="left"/>
        <w:pPr>
          <w:ind w:left="3960" w:hanging="360"/>
        </w:pPr>
      </w:lvl>
    </w:lvlOverride>
  </w:num>
  <w:num w:numId="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18"/>
  </w:num>
  <w:num w:numId="25">
    <w:abstractNumId w:val="5"/>
  </w:num>
  <w:num w:numId="26">
    <w:abstractNumId w:val="19"/>
  </w:num>
  <w:num w:numId="27">
    <w:abstractNumId w:val="30"/>
  </w:num>
  <w:num w:numId="28">
    <w:abstractNumId w:val="12"/>
  </w:num>
  <w:num w:numId="29">
    <w:abstractNumId w:val="29"/>
  </w:num>
  <w:num w:numId="30">
    <w:abstractNumId w:val="16"/>
  </w:num>
  <w:num w:numId="31">
    <w:abstractNumId w:val="6"/>
  </w:num>
  <w:num w:numId="32">
    <w:abstractNumId w:val="29"/>
  </w:num>
  <w:num w:numId="33">
    <w:abstractNumId w:val="14"/>
  </w:num>
  <w:num w:numId="34">
    <w:abstractNumId w:val="31"/>
  </w:num>
  <w:num w:numId="35">
    <w:abstractNumId w:val="0"/>
  </w:num>
  <w:num w:numId="36">
    <w:abstractNumId w:val="22"/>
  </w:num>
  <w:num w:numId="37">
    <w:abstractNumId w:val="29"/>
  </w:num>
  <w:num w:numId="38">
    <w:abstractNumId w:val="2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 w:numId="40">
    <w:abstractNumId w:val="2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lvl w:ilvl="0">
        <w:start w:val="1"/>
        <w:numFmt w:val="decimal"/>
        <w:pStyle w:val="Heading1Numbered"/>
        <w:lvlText w:val="%1."/>
        <w:lvlJc w:val="left"/>
        <w:pPr>
          <w:ind w:left="7514" w:hanging="567"/>
        </w:pPr>
        <w:rPr>
          <w:rFonts w:hint="default"/>
        </w:rPr>
      </w:lvl>
    </w:lvlOverride>
    <w:lvlOverride w:ilvl="1">
      <w:lvl w:ilvl="1">
        <w:start w:val="1"/>
        <w:numFmt w:val="decimal"/>
        <w:pStyle w:val="Heading2Numbered"/>
        <w:lvlText w:val="%1.%2"/>
        <w:lvlJc w:val="left"/>
        <w:pPr>
          <w:ind w:left="5387" w:hanging="567"/>
        </w:pPr>
        <w:rPr>
          <w:rFonts w:hint="default"/>
        </w:rPr>
      </w:lvl>
    </w:lvlOverride>
  </w:num>
  <w:num w:numId="45">
    <w:abstractNumId w:val="23"/>
  </w:num>
  <w:num w:numId="46">
    <w:abstractNumId w:val="29"/>
  </w:num>
  <w:num w:numId="47">
    <w:abstractNumId w:val="2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145A"/>
    <w:rsid w:val="00001AD5"/>
    <w:rsid w:val="000048E2"/>
    <w:rsid w:val="000104CF"/>
    <w:rsid w:val="0001222B"/>
    <w:rsid w:val="00012AB4"/>
    <w:rsid w:val="00013708"/>
    <w:rsid w:val="000140F0"/>
    <w:rsid w:val="00021DB9"/>
    <w:rsid w:val="00022A02"/>
    <w:rsid w:val="00023327"/>
    <w:rsid w:val="00023B4A"/>
    <w:rsid w:val="00025E0E"/>
    <w:rsid w:val="000263B9"/>
    <w:rsid w:val="0002782F"/>
    <w:rsid w:val="00031305"/>
    <w:rsid w:val="000373D5"/>
    <w:rsid w:val="0003793B"/>
    <w:rsid w:val="00043B4D"/>
    <w:rsid w:val="00045933"/>
    <w:rsid w:val="00050D65"/>
    <w:rsid w:val="000510F7"/>
    <w:rsid w:val="00054DFA"/>
    <w:rsid w:val="00054E4D"/>
    <w:rsid w:val="00056305"/>
    <w:rsid w:val="00057883"/>
    <w:rsid w:val="00060073"/>
    <w:rsid w:val="000603C7"/>
    <w:rsid w:val="00061A22"/>
    <w:rsid w:val="000623A2"/>
    <w:rsid w:val="0006243E"/>
    <w:rsid w:val="0006355E"/>
    <w:rsid w:val="00064FF1"/>
    <w:rsid w:val="00065224"/>
    <w:rsid w:val="00065ACE"/>
    <w:rsid w:val="000661A2"/>
    <w:rsid w:val="00074B2F"/>
    <w:rsid w:val="000776EF"/>
    <w:rsid w:val="000829F4"/>
    <w:rsid w:val="00093037"/>
    <w:rsid w:val="00094ED3"/>
    <w:rsid w:val="00096839"/>
    <w:rsid w:val="000969FA"/>
    <w:rsid w:val="000A12F9"/>
    <w:rsid w:val="000A271A"/>
    <w:rsid w:val="000A4B30"/>
    <w:rsid w:val="000A5778"/>
    <w:rsid w:val="000A6A8B"/>
    <w:rsid w:val="000B0F49"/>
    <w:rsid w:val="000B2A9D"/>
    <w:rsid w:val="000B5D32"/>
    <w:rsid w:val="000B7A79"/>
    <w:rsid w:val="000C2A48"/>
    <w:rsid w:val="000C2A8F"/>
    <w:rsid w:val="000C56DC"/>
    <w:rsid w:val="000C5F75"/>
    <w:rsid w:val="000C6035"/>
    <w:rsid w:val="000C74F1"/>
    <w:rsid w:val="000C7E8B"/>
    <w:rsid w:val="000D06C3"/>
    <w:rsid w:val="000D60B1"/>
    <w:rsid w:val="000E1AD1"/>
    <w:rsid w:val="000E1CE9"/>
    <w:rsid w:val="000E1D06"/>
    <w:rsid w:val="000E3595"/>
    <w:rsid w:val="000E39D8"/>
    <w:rsid w:val="000E4AD7"/>
    <w:rsid w:val="000E50FB"/>
    <w:rsid w:val="000E6ABA"/>
    <w:rsid w:val="000F3482"/>
    <w:rsid w:val="00100BAD"/>
    <w:rsid w:val="00103A95"/>
    <w:rsid w:val="00104AF2"/>
    <w:rsid w:val="001066ED"/>
    <w:rsid w:val="0011101F"/>
    <w:rsid w:val="00114344"/>
    <w:rsid w:val="00114E6C"/>
    <w:rsid w:val="00115BC5"/>
    <w:rsid w:val="00120A25"/>
    <w:rsid w:val="00131C22"/>
    <w:rsid w:val="001342FE"/>
    <w:rsid w:val="00135427"/>
    <w:rsid w:val="00136530"/>
    <w:rsid w:val="001459AB"/>
    <w:rsid w:val="00146B31"/>
    <w:rsid w:val="001541EA"/>
    <w:rsid w:val="00155903"/>
    <w:rsid w:val="001566F9"/>
    <w:rsid w:val="00157662"/>
    <w:rsid w:val="001612A4"/>
    <w:rsid w:val="0016738D"/>
    <w:rsid w:val="0017002F"/>
    <w:rsid w:val="001736AF"/>
    <w:rsid w:val="00173BDE"/>
    <w:rsid w:val="00173FA3"/>
    <w:rsid w:val="00175CF2"/>
    <w:rsid w:val="001777FE"/>
    <w:rsid w:val="001807F0"/>
    <w:rsid w:val="00181073"/>
    <w:rsid w:val="00181A12"/>
    <w:rsid w:val="00186E42"/>
    <w:rsid w:val="001903F2"/>
    <w:rsid w:val="00190579"/>
    <w:rsid w:val="00190651"/>
    <w:rsid w:val="001907DC"/>
    <w:rsid w:val="00192CC4"/>
    <w:rsid w:val="00192E36"/>
    <w:rsid w:val="001969D6"/>
    <w:rsid w:val="00197CC3"/>
    <w:rsid w:val="001A0777"/>
    <w:rsid w:val="001A6968"/>
    <w:rsid w:val="001B0E3E"/>
    <w:rsid w:val="001B4DE7"/>
    <w:rsid w:val="001C022C"/>
    <w:rsid w:val="001C3B9F"/>
    <w:rsid w:val="001C5431"/>
    <w:rsid w:val="001C5903"/>
    <w:rsid w:val="001C71EB"/>
    <w:rsid w:val="001D0970"/>
    <w:rsid w:val="001D22E7"/>
    <w:rsid w:val="001D260D"/>
    <w:rsid w:val="001D33EB"/>
    <w:rsid w:val="001D7A14"/>
    <w:rsid w:val="001D7EB4"/>
    <w:rsid w:val="001E086B"/>
    <w:rsid w:val="001E18C1"/>
    <w:rsid w:val="001E1DC0"/>
    <w:rsid w:val="001E7349"/>
    <w:rsid w:val="001E78BE"/>
    <w:rsid w:val="001E796B"/>
    <w:rsid w:val="001F6504"/>
    <w:rsid w:val="001F6517"/>
    <w:rsid w:val="00200637"/>
    <w:rsid w:val="0020122A"/>
    <w:rsid w:val="00204B4C"/>
    <w:rsid w:val="00220FC8"/>
    <w:rsid w:val="00221EEA"/>
    <w:rsid w:val="002238EE"/>
    <w:rsid w:val="0022479D"/>
    <w:rsid w:val="002263E0"/>
    <w:rsid w:val="00235C6C"/>
    <w:rsid w:val="00236D9D"/>
    <w:rsid w:val="00241945"/>
    <w:rsid w:val="00243D70"/>
    <w:rsid w:val="00244E37"/>
    <w:rsid w:val="00246152"/>
    <w:rsid w:val="00250AEF"/>
    <w:rsid w:val="0025763F"/>
    <w:rsid w:val="00262B5B"/>
    <w:rsid w:val="00263AD9"/>
    <w:rsid w:val="0026564C"/>
    <w:rsid w:val="00267310"/>
    <w:rsid w:val="00272313"/>
    <w:rsid w:val="00281046"/>
    <w:rsid w:val="00284320"/>
    <w:rsid w:val="00284A49"/>
    <w:rsid w:val="00285A4F"/>
    <w:rsid w:val="0028602A"/>
    <w:rsid w:val="00290A07"/>
    <w:rsid w:val="00292BC4"/>
    <w:rsid w:val="002A2026"/>
    <w:rsid w:val="002A3FFD"/>
    <w:rsid w:val="002B0C2A"/>
    <w:rsid w:val="002B398F"/>
    <w:rsid w:val="002B6A9B"/>
    <w:rsid w:val="002C2526"/>
    <w:rsid w:val="002C2983"/>
    <w:rsid w:val="002C3D2B"/>
    <w:rsid w:val="002C4D8E"/>
    <w:rsid w:val="002C767C"/>
    <w:rsid w:val="002C7BB1"/>
    <w:rsid w:val="002D0F47"/>
    <w:rsid w:val="002D2E49"/>
    <w:rsid w:val="002D42B3"/>
    <w:rsid w:val="002D667B"/>
    <w:rsid w:val="002D797B"/>
    <w:rsid w:val="002E10BE"/>
    <w:rsid w:val="002E1575"/>
    <w:rsid w:val="002E2271"/>
    <w:rsid w:val="002E6011"/>
    <w:rsid w:val="002F0E77"/>
    <w:rsid w:val="002F13B2"/>
    <w:rsid w:val="002F145D"/>
    <w:rsid w:val="002F29D6"/>
    <w:rsid w:val="002F68B5"/>
    <w:rsid w:val="00301144"/>
    <w:rsid w:val="00302BDB"/>
    <w:rsid w:val="00302DEE"/>
    <w:rsid w:val="00305665"/>
    <w:rsid w:val="003056B9"/>
    <w:rsid w:val="00306F1F"/>
    <w:rsid w:val="003142DD"/>
    <w:rsid w:val="003148B7"/>
    <w:rsid w:val="003158C3"/>
    <w:rsid w:val="003165AC"/>
    <w:rsid w:val="003274CD"/>
    <w:rsid w:val="003277B0"/>
    <w:rsid w:val="0032789D"/>
    <w:rsid w:val="00327F95"/>
    <w:rsid w:val="00331387"/>
    <w:rsid w:val="003357B0"/>
    <w:rsid w:val="00336A6E"/>
    <w:rsid w:val="00340616"/>
    <w:rsid w:val="00340B33"/>
    <w:rsid w:val="0034376F"/>
    <w:rsid w:val="00346479"/>
    <w:rsid w:val="0035119D"/>
    <w:rsid w:val="00351A62"/>
    <w:rsid w:val="00356BBB"/>
    <w:rsid w:val="0036664E"/>
    <w:rsid w:val="00367A67"/>
    <w:rsid w:val="00370601"/>
    <w:rsid w:val="003717CD"/>
    <w:rsid w:val="0037517C"/>
    <w:rsid w:val="003756EB"/>
    <w:rsid w:val="00376B7C"/>
    <w:rsid w:val="00380AF7"/>
    <w:rsid w:val="0038114C"/>
    <w:rsid w:val="00387593"/>
    <w:rsid w:val="00390B8A"/>
    <w:rsid w:val="003947B5"/>
    <w:rsid w:val="00396FF1"/>
    <w:rsid w:val="003A08FC"/>
    <w:rsid w:val="003A0C18"/>
    <w:rsid w:val="003A4403"/>
    <w:rsid w:val="003A71C5"/>
    <w:rsid w:val="003B0BC6"/>
    <w:rsid w:val="003B3C72"/>
    <w:rsid w:val="003B4C5C"/>
    <w:rsid w:val="003B4F12"/>
    <w:rsid w:val="003B5926"/>
    <w:rsid w:val="003C0A77"/>
    <w:rsid w:val="003C6419"/>
    <w:rsid w:val="003C6EA8"/>
    <w:rsid w:val="003D016A"/>
    <w:rsid w:val="003D0DB2"/>
    <w:rsid w:val="003D1805"/>
    <w:rsid w:val="003D20DC"/>
    <w:rsid w:val="003D440F"/>
    <w:rsid w:val="003D5B29"/>
    <w:rsid w:val="003E556D"/>
    <w:rsid w:val="003E5BAC"/>
    <w:rsid w:val="003E60A5"/>
    <w:rsid w:val="003F2970"/>
    <w:rsid w:val="003F3468"/>
    <w:rsid w:val="003F6C38"/>
    <w:rsid w:val="004003E2"/>
    <w:rsid w:val="004064C9"/>
    <w:rsid w:val="0041108C"/>
    <w:rsid w:val="00414580"/>
    <w:rsid w:val="00422406"/>
    <w:rsid w:val="00423350"/>
    <w:rsid w:val="00423F31"/>
    <w:rsid w:val="00425AF3"/>
    <w:rsid w:val="00431899"/>
    <w:rsid w:val="00432584"/>
    <w:rsid w:val="00433C93"/>
    <w:rsid w:val="004470BB"/>
    <w:rsid w:val="004475DB"/>
    <w:rsid w:val="004615E6"/>
    <w:rsid w:val="00461FAA"/>
    <w:rsid w:val="0046424D"/>
    <w:rsid w:val="0046745D"/>
    <w:rsid w:val="00471E7A"/>
    <w:rsid w:val="00472A15"/>
    <w:rsid w:val="004779CE"/>
    <w:rsid w:val="00482F1B"/>
    <w:rsid w:val="00486804"/>
    <w:rsid w:val="00492916"/>
    <w:rsid w:val="00495C57"/>
    <w:rsid w:val="004A0F4F"/>
    <w:rsid w:val="004B3775"/>
    <w:rsid w:val="004B53C4"/>
    <w:rsid w:val="004B6F70"/>
    <w:rsid w:val="004C0F10"/>
    <w:rsid w:val="004C27DB"/>
    <w:rsid w:val="004C2A06"/>
    <w:rsid w:val="004C2ADD"/>
    <w:rsid w:val="004C68FC"/>
    <w:rsid w:val="004C761F"/>
    <w:rsid w:val="004D7AEC"/>
    <w:rsid w:val="004E058F"/>
    <w:rsid w:val="004E2D2A"/>
    <w:rsid w:val="004E3B87"/>
    <w:rsid w:val="004E408F"/>
    <w:rsid w:val="004F09A4"/>
    <w:rsid w:val="004F1C5D"/>
    <w:rsid w:val="004F4127"/>
    <w:rsid w:val="004F6159"/>
    <w:rsid w:val="00503EC6"/>
    <w:rsid w:val="00510921"/>
    <w:rsid w:val="005109D5"/>
    <w:rsid w:val="00510AD3"/>
    <w:rsid w:val="00511DD6"/>
    <w:rsid w:val="00513348"/>
    <w:rsid w:val="00514857"/>
    <w:rsid w:val="005168B9"/>
    <w:rsid w:val="00521A5F"/>
    <w:rsid w:val="00527B61"/>
    <w:rsid w:val="00533B5D"/>
    <w:rsid w:val="00533BCE"/>
    <w:rsid w:val="005344DB"/>
    <w:rsid w:val="0054078D"/>
    <w:rsid w:val="00544D3A"/>
    <w:rsid w:val="005570E8"/>
    <w:rsid w:val="00560903"/>
    <w:rsid w:val="00560B1C"/>
    <w:rsid w:val="00561435"/>
    <w:rsid w:val="00561A03"/>
    <w:rsid w:val="005660B6"/>
    <w:rsid w:val="00566242"/>
    <w:rsid w:val="00572415"/>
    <w:rsid w:val="00576C34"/>
    <w:rsid w:val="00582E66"/>
    <w:rsid w:val="005834AD"/>
    <w:rsid w:val="00592EB3"/>
    <w:rsid w:val="00596635"/>
    <w:rsid w:val="00596FBA"/>
    <w:rsid w:val="005970EA"/>
    <w:rsid w:val="005A26E3"/>
    <w:rsid w:val="005A35F8"/>
    <w:rsid w:val="005A3C34"/>
    <w:rsid w:val="005A41E0"/>
    <w:rsid w:val="005A6BEE"/>
    <w:rsid w:val="005B0B9F"/>
    <w:rsid w:val="005B1D56"/>
    <w:rsid w:val="005B6F05"/>
    <w:rsid w:val="005C37F0"/>
    <w:rsid w:val="005C59F9"/>
    <w:rsid w:val="005D00E1"/>
    <w:rsid w:val="005D2D36"/>
    <w:rsid w:val="005D3531"/>
    <w:rsid w:val="005D3F8F"/>
    <w:rsid w:val="005D670A"/>
    <w:rsid w:val="005D7096"/>
    <w:rsid w:val="005E0682"/>
    <w:rsid w:val="005E078F"/>
    <w:rsid w:val="005E54E5"/>
    <w:rsid w:val="005E68FB"/>
    <w:rsid w:val="005F0384"/>
    <w:rsid w:val="005F2245"/>
    <w:rsid w:val="005F3DD0"/>
    <w:rsid w:val="005F4245"/>
    <w:rsid w:val="00600B0B"/>
    <w:rsid w:val="00601E84"/>
    <w:rsid w:val="00605CE8"/>
    <w:rsid w:val="006145AD"/>
    <w:rsid w:val="00617368"/>
    <w:rsid w:val="00623BA1"/>
    <w:rsid w:val="006241FD"/>
    <w:rsid w:val="00626ED3"/>
    <w:rsid w:val="00631E08"/>
    <w:rsid w:val="006330A1"/>
    <w:rsid w:val="006338CC"/>
    <w:rsid w:val="006346BC"/>
    <w:rsid w:val="00635422"/>
    <w:rsid w:val="006417DE"/>
    <w:rsid w:val="006459B6"/>
    <w:rsid w:val="00646200"/>
    <w:rsid w:val="00647D91"/>
    <w:rsid w:val="00650146"/>
    <w:rsid w:val="006539C9"/>
    <w:rsid w:val="00653E49"/>
    <w:rsid w:val="0065646F"/>
    <w:rsid w:val="00661C4A"/>
    <w:rsid w:val="00661EB6"/>
    <w:rsid w:val="00664CEA"/>
    <w:rsid w:val="00666291"/>
    <w:rsid w:val="0066652A"/>
    <w:rsid w:val="00673063"/>
    <w:rsid w:val="006732E4"/>
    <w:rsid w:val="0067746C"/>
    <w:rsid w:val="00677A3E"/>
    <w:rsid w:val="00681353"/>
    <w:rsid w:val="00681C88"/>
    <w:rsid w:val="00682167"/>
    <w:rsid w:val="00685ACF"/>
    <w:rsid w:val="00687BAA"/>
    <w:rsid w:val="0069132B"/>
    <w:rsid w:val="0069368E"/>
    <w:rsid w:val="00694DF9"/>
    <w:rsid w:val="006A31BC"/>
    <w:rsid w:val="006B09D1"/>
    <w:rsid w:val="006B11FB"/>
    <w:rsid w:val="006B2BCF"/>
    <w:rsid w:val="006B5D03"/>
    <w:rsid w:val="006B7548"/>
    <w:rsid w:val="006C0E48"/>
    <w:rsid w:val="006C2B8C"/>
    <w:rsid w:val="006C3FD6"/>
    <w:rsid w:val="006C42AF"/>
    <w:rsid w:val="006C4DD1"/>
    <w:rsid w:val="006C6E91"/>
    <w:rsid w:val="006D09F8"/>
    <w:rsid w:val="006D4AC7"/>
    <w:rsid w:val="006E11B3"/>
    <w:rsid w:val="006E5596"/>
    <w:rsid w:val="006E59B3"/>
    <w:rsid w:val="006F0C21"/>
    <w:rsid w:val="006F17C1"/>
    <w:rsid w:val="006F66C1"/>
    <w:rsid w:val="006F68F9"/>
    <w:rsid w:val="0070162F"/>
    <w:rsid w:val="00704535"/>
    <w:rsid w:val="007065A0"/>
    <w:rsid w:val="007119DE"/>
    <w:rsid w:val="00711D6F"/>
    <w:rsid w:val="00711D8E"/>
    <w:rsid w:val="00712672"/>
    <w:rsid w:val="00722DFD"/>
    <w:rsid w:val="00726710"/>
    <w:rsid w:val="007310EF"/>
    <w:rsid w:val="00732F28"/>
    <w:rsid w:val="00734E3F"/>
    <w:rsid w:val="00736985"/>
    <w:rsid w:val="00737A13"/>
    <w:rsid w:val="0074255A"/>
    <w:rsid w:val="00751CB9"/>
    <w:rsid w:val="00756133"/>
    <w:rsid w:val="00760918"/>
    <w:rsid w:val="00767611"/>
    <w:rsid w:val="00771DFE"/>
    <w:rsid w:val="00775390"/>
    <w:rsid w:val="00776D4B"/>
    <w:rsid w:val="00794773"/>
    <w:rsid w:val="007A0CD6"/>
    <w:rsid w:val="007A25F0"/>
    <w:rsid w:val="007A3F74"/>
    <w:rsid w:val="007B1202"/>
    <w:rsid w:val="007B1A1A"/>
    <w:rsid w:val="007B6200"/>
    <w:rsid w:val="007C1604"/>
    <w:rsid w:val="007C24EA"/>
    <w:rsid w:val="007C5899"/>
    <w:rsid w:val="007C6E0F"/>
    <w:rsid w:val="007D02DD"/>
    <w:rsid w:val="007D1C9C"/>
    <w:rsid w:val="007D6319"/>
    <w:rsid w:val="007E58A6"/>
    <w:rsid w:val="007E7409"/>
    <w:rsid w:val="007E7C27"/>
    <w:rsid w:val="007F449B"/>
    <w:rsid w:val="007F547A"/>
    <w:rsid w:val="007F5F85"/>
    <w:rsid w:val="00801B9F"/>
    <w:rsid w:val="00801DB6"/>
    <w:rsid w:val="0080721F"/>
    <w:rsid w:val="008117FE"/>
    <w:rsid w:val="00816357"/>
    <w:rsid w:val="008168D1"/>
    <w:rsid w:val="00821C5A"/>
    <w:rsid w:val="00821F0D"/>
    <w:rsid w:val="00824689"/>
    <w:rsid w:val="0082468B"/>
    <w:rsid w:val="00831521"/>
    <w:rsid w:val="00845180"/>
    <w:rsid w:val="00846AE6"/>
    <w:rsid w:val="008612F0"/>
    <w:rsid w:val="0086370C"/>
    <w:rsid w:val="00864EFA"/>
    <w:rsid w:val="00873BD3"/>
    <w:rsid w:val="008749D8"/>
    <w:rsid w:val="00875A16"/>
    <w:rsid w:val="00876CAC"/>
    <w:rsid w:val="00876CDB"/>
    <w:rsid w:val="00880B3F"/>
    <w:rsid w:val="008873D4"/>
    <w:rsid w:val="00890646"/>
    <w:rsid w:val="00891432"/>
    <w:rsid w:val="00892C8B"/>
    <w:rsid w:val="00894F94"/>
    <w:rsid w:val="00896998"/>
    <w:rsid w:val="0089786A"/>
    <w:rsid w:val="008B473A"/>
    <w:rsid w:val="008B6012"/>
    <w:rsid w:val="008B6239"/>
    <w:rsid w:val="008B6262"/>
    <w:rsid w:val="008B62C7"/>
    <w:rsid w:val="008C6A77"/>
    <w:rsid w:val="008D4A99"/>
    <w:rsid w:val="008E0EB8"/>
    <w:rsid w:val="008E2331"/>
    <w:rsid w:val="008F3417"/>
    <w:rsid w:val="008F4C2E"/>
    <w:rsid w:val="008F6C3A"/>
    <w:rsid w:val="0090106C"/>
    <w:rsid w:val="0090608D"/>
    <w:rsid w:val="0090794D"/>
    <w:rsid w:val="00911AC6"/>
    <w:rsid w:val="0091452D"/>
    <w:rsid w:val="0092329A"/>
    <w:rsid w:val="00925ECE"/>
    <w:rsid w:val="0092699E"/>
    <w:rsid w:val="00930966"/>
    <w:rsid w:val="00931FD6"/>
    <w:rsid w:val="00934587"/>
    <w:rsid w:val="0093505F"/>
    <w:rsid w:val="00935BF4"/>
    <w:rsid w:val="00935CF8"/>
    <w:rsid w:val="009363BA"/>
    <w:rsid w:val="00940F40"/>
    <w:rsid w:val="00943028"/>
    <w:rsid w:val="00946AF9"/>
    <w:rsid w:val="00946B9D"/>
    <w:rsid w:val="00950336"/>
    <w:rsid w:val="009525F4"/>
    <w:rsid w:val="00953463"/>
    <w:rsid w:val="00954ABA"/>
    <w:rsid w:val="0095540F"/>
    <w:rsid w:val="009574D4"/>
    <w:rsid w:val="00957D11"/>
    <w:rsid w:val="009625B7"/>
    <w:rsid w:val="009657F4"/>
    <w:rsid w:val="00965D80"/>
    <w:rsid w:val="00966462"/>
    <w:rsid w:val="00971FF6"/>
    <w:rsid w:val="0097217A"/>
    <w:rsid w:val="0097683A"/>
    <w:rsid w:val="00984815"/>
    <w:rsid w:val="00984B3C"/>
    <w:rsid w:val="00987A5F"/>
    <w:rsid w:val="00987C98"/>
    <w:rsid w:val="00997D4C"/>
    <w:rsid w:val="009A05FF"/>
    <w:rsid w:val="009A2DA7"/>
    <w:rsid w:val="009A4708"/>
    <w:rsid w:val="009B4D3B"/>
    <w:rsid w:val="009B56C4"/>
    <w:rsid w:val="009C4265"/>
    <w:rsid w:val="009C71A5"/>
    <w:rsid w:val="009D1322"/>
    <w:rsid w:val="009D7407"/>
    <w:rsid w:val="009E0866"/>
    <w:rsid w:val="009E676B"/>
    <w:rsid w:val="009F165F"/>
    <w:rsid w:val="009F35C5"/>
    <w:rsid w:val="009F64B8"/>
    <w:rsid w:val="00A12923"/>
    <w:rsid w:val="00A14D28"/>
    <w:rsid w:val="00A20E8E"/>
    <w:rsid w:val="00A22DDB"/>
    <w:rsid w:val="00A24A62"/>
    <w:rsid w:val="00A256BF"/>
    <w:rsid w:val="00A275FD"/>
    <w:rsid w:val="00A31C9F"/>
    <w:rsid w:val="00A33023"/>
    <w:rsid w:val="00A331A8"/>
    <w:rsid w:val="00A3504F"/>
    <w:rsid w:val="00A35BEB"/>
    <w:rsid w:val="00A35DDC"/>
    <w:rsid w:val="00A40701"/>
    <w:rsid w:val="00A41108"/>
    <w:rsid w:val="00A42EF7"/>
    <w:rsid w:val="00A45D97"/>
    <w:rsid w:val="00A5272E"/>
    <w:rsid w:val="00A61778"/>
    <w:rsid w:val="00A632E3"/>
    <w:rsid w:val="00A63C20"/>
    <w:rsid w:val="00A668C8"/>
    <w:rsid w:val="00A703CF"/>
    <w:rsid w:val="00A75639"/>
    <w:rsid w:val="00A75830"/>
    <w:rsid w:val="00A75BF8"/>
    <w:rsid w:val="00A76EC7"/>
    <w:rsid w:val="00A80F37"/>
    <w:rsid w:val="00A8715E"/>
    <w:rsid w:val="00A90EFA"/>
    <w:rsid w:val="00A916BA"/>
    <w:rsid w:val="00A92A2E"/>
    <w:rsid w:val="00A92DC3"/>
    <w:rsid w:val="00A96AE7"/>
    <w:rsid w:val="00A9798A"/>
    <w:rsid w:val="00A97C9C"/>
    <w:rsid w:val="00A97E00"/>
    <w:rsid w:val="00AA2525"/>
    <w:rsid w:val="00AA372A"/>
    <w:rsid w:val="00AB0D7F"/>
    <w:rsid w:val="00AB19CF"/>
    <w:rsid w:val="00AB2F67"/>
    <w:rsid w:val="00AB3522"/>
    <w:rsid w:val="00AB3CD5"/>
    <w:rsid w:val="00AB6531"/>
    <w:rsid w:val="00AC164A"/>
    <w:rsid w:val="00AC2E4C"/>
    <w:rsid w:val="00AC5359"/>
    <w:rsid w:val="00AD0C78"/>
    <w:rsid w:val="00AD0D40"/>
    <w:rsid w:val="00AD16EC"/>
    <w:rsid w:val="00AE4EB9"/>
    <w:rsid w:val="00AE5A5C"/>
    <w:rsid w:val="00AE6D3F"/>
    <w:rsid w:val="00AF2050"/>
    <w:rsid w:val="00AF23B9"/>
    <w:rsid w:val="00AF2DA0"/>
    <w:rsid w:val="00AF6702"/>
    <w:rsid w:val="00B015EF"/>
    <w:rsid w:val="00B045E3"/>
    <w:rsid w:val="00B058A6"/>
    <w:rsid w:val="00B0743A"/>
    <w:rsid w:val="00B0779B"/>
    <w:rsid w:val="00B136A1"/>
    <w:rsid w:val="00B233A5"/>
    <w:rsid w:val="00B240EB"/>
    <w:rsid w:val="00B2570D"/>
    <w:rsid w:val="00B27A14"/>
    <w:rsid w:val="00B27CE5"/>
    <w:rsid w:val="00B328B0"/>
    <w:rsid w:val="00B32F8D"/>
    <w:rsid w:val="00B33FF5"/>
    <w:rsid w:val="00B34A0E"/>
    <w:rsid w:val="00B35A3A"/>
    <w:rsid w:val="00B377F2"/>
    <w:rsid w:val="00B4188C"/>
    <w:rsid w:val="00B424E7"/>
    <w:rsid w:val="00B42720"/>
    <w:rsid w:val="00B437B6"/>
    <w:rsid w:val="00B5546E"/>
    <w:rsid w:val="00B61355"/>
    <w:rsid w:val="00B63DF5"/>
    <w:rsid w:val="00B655D0"/>
    <w:rsid w:val="00B6687E"/>
    <w:rsid w:val="00B7612D"/>
    <w:rsid w:val="00B76B6F"/>
    <w:rsid w:val="00B813A0"/>
    <w:rsid w:val="00B81C8A"/>
    <w:rsid w:val="00B82540"/>
    <w:rsid w:val="00B82CE5"/>
    <w:rsid w:val="00B8361F"/>
    <w:rsid w:val="00B90A32"/>
    <w:rsid w:val="00BB002F"/>
    <w:rsid w:val="00BB0418"/>
    <w:rsid w:val="00BB212F"/>
    <w:rsid w:val="00BB26C5"/>
    <w:rsid w:val="00BB55ED"/>
    <w:rsid w:val="00BB5CF6"/>
    <w:rsid w:val="00BB6532"/>
    <w:rsid w:val="00BB7BA0"/>
    <w:rsid w:val="00BC0C62"/>
    <w:rsid w:val="00BC1314"/>
    <w:rsid w:val="00BC17CA"/>
    <w:rsid w:val="00BC29E7"/>
    <w:rsid w:val="00BC4F34"/>
    <w:rsid w:val="00BD1DD2"/>
    <w:rsid w:val="00BD2C99"/>
    <w:rsid w:val="00BD36F8"/>
    <w:rsid w:val="00BE0F17"/>
    <w:rsid w:val="00BE263C"/>
    <w:rsid w:val="00BE78B1"/>
    <w:rsid w:val="00BF18F9"/>
    <w:rsid w:val="00BF4DE6"/>
    <w:rsid w:val="00BF5621"/>
    <w:rsid w:val="00BF6951"/>
    <w:rsid w:val="00BF77D0"/>
    <w:rsid w:val="00C07BA4"/>
    <w:rsid w:val="00C10A41"/>
    <w:rsid w:val="00C13514"/>
    <w:rsid w:val="00C20050"/>
    <w:rsid w:val="00C25A62"/>
    <w:rsid w:val="00C26150"/>
    <w:rsid w:val="00C2798F"/>
    <w:rsid w:val="00C33B53"/>
    <w:rsid w:val="00C33C81"/>
    <w:rsid w:val="00C362A5"/>
    <w:rsid w:val="00C41D2A"/>
    <w:rsid w:val="00C42CDE"/>
    <w:rsid w:val="00C50ADB"/>
    <w:rsid w:val="00C54AF4"/>
    <w:rsid w:val="00C702A1"/>
    <w:rsid w:val="00C828C0"/>
    <w:rsid w:val="00C836BC"/>
    <w:rsid w:val="00C83B9B"/>
    <w:rsid w:val="00C966CD"/>
    <w:rsid w:val="00C97869"/>
    <w:rsid w:val="00CA37B1"/>
    <w:rsid w:val="00CB1959"/>
    <w:rsid w:val="00CB211B"/>
    <w:rsid w:val="00CB304D"/>
    <w:rsid w:val="00CB55DF"/>
    <w:rsid w:val="00CB669B"/>
    <w:rsid w:val="00CC2AA4"/>
    <w:rsid w:val="00CC4230"/>
    <w:rsid w:val="00CC55DF"/>
    <w:rsid w:val="00CC690B"/>
    <w:rsid w:val="00CC6C8E"/>
    <w:rsid w:val="00CC73AF"/>
    <w:rsid w:val="00CD3310"/>
    <w:rsid w:val="00CD7699"/>
    <w:rsid w:val="00CE1360"/>
    <w:rsid w:val="00CE251D"/>
    <w:rsid w:val="00CF0CF0"/>
    <w:rsid w:val="00CF3DF7"/>
    <w:rsid w:val="00CF6A72"/>
    <w:rsid w:val="00D0296C"/>
    <w:rsid w:val="00D07C75"/>
    <w:rsid w:val="00D14978"/>
    <w:rsid w:val="00D1501B"/>
    <w:rsid w:val="00D2096E"/>
    <w:rsid w:val="00D22869"/>
    <w:rsid w:val="00D268E6"/>
    <w:rsid w:val="00D3569B"/>
    <w:rsid w:val="00D3773A"/>
    <w:rsid w:val="00D41064"/>
    <w:rsid w:val="00D410E3"/>
    <w:rsid w:val="00D46D82"/>
    <w:rsid w:val="00D47F31"/>
    <w:rsid w:val="00D550E3"/>
    <w:rsid w:val="00D55622"/>
    <w:rsid w:val="00D573DC"/>
    <w:rsid w:val="00D666C9"/>
    <w:rsid w:val="00D67FA3"/>
    <w:rsid w:val="00D70AD6"/>
    <w:rsid w:val="00D728EC"/>
    <w:rsid w:val="00D747C1"/>
    <w:rsid w:val="00D87D48"/>
    <w:rsid w:val="00D91480"/>
    <w:rsid w:val="00DA42EA"/>
    <w:rsid w:val="00DA4673"/>
    <w:rsid w:val="00DA6F82"/>
    <w:rsid w:val="00DB0937"/>
    <w:rsid w:val="00DB3432"/>
    <w:rsid w:val="00DB5D1B"/>
    <w:rsid w:val="00DB6D69"/>
    <w:rsid w:val="00DC1682"/>
    <w:rsid w:val="00DC322C"/>
    <w:rsid w:val="00DC430B"/>
    <w:rsid w:val="00DC4A28"/>
    <w:rsid w:val="00DC50E1"/>
    <w:rsid w:val="00DD0392"/>
    <w:rsid w:val="00DD1CAD"/>
    <w:rsid w:val="00DD40A4"/>
    <w:rsid w:val="00DD52C8"/>
    <w:rsid w:val="00DD55C0"/>
    <w:rsid w:val="00DD5695"/>
    <w:rsid w:val="00DD622B"/>
    <w:rsid w:val="00DE3434"/>
    <w:rsid w:val="00DE3E90"/>
    <w:rsid w:val="00DE7B28"/>
    <w:rsid w:val="00DF0952"/>
    <w:rsid w:val="00DF25F7"/>
    <w:rsid w:val="00DF2E34"/>
    <w:rsid w:val="00DF67B7"/>
    <w:rsid w:val="00DF684E"/>
    <w:rsid w:val="00E003C7"/>
    <w:rsid w:val="00E12B2D"/>
    <w:rsid w:val="00E142F0"/>
    <w:rsid w:val="00E1574C"/>
    <w:rsid w:val="00E16D66"/>
    <w:rsid w:val="00E17504"/>
    <w:rsid w:val="00E20C9A"/>
    <w:rsid w:val="00E255D2"/>
    <w:rsid w:val="00E311BB"/>
    <w:rsid w:val="00E357B7"/>
    <w:rsid w:val="00E3624C"/>
    <w:rsid w:val="00E36E21"/>
    <w:rsid w:val="00E44E21"/>
    <w:rsid w:val="00E46281"/>
    <w:rsid w:val="00E472B4"/>
    <w:rsid w:val="00E53800"/>
    <w:rsid w:val="00E53A2A"/>
    <w:rsid w:val="00E53DBE"/>
    <w:rsid w:val="00E54D54"/>
    <w:rsid w:val="00E6081F"/>
    <w:rsid w:val="00E60953"/>
    <w:rsid w:val="00E639A8"/>
    <w:rsid w:val="00E673E5"/>
    <w:rsid w:val="00E67509"/>
    <w:rsid w:val="00E67963"/>
    <w:rsid w:val="00E71B07"/>
    <w:rsid w:val="00E7468E"/>
    <w:rsid w:val="00E95440"/>
    <w:rsid w:val="00E95846"/>
    <w:rsid w:val="00E963D2"/>
    <w:rsid w:val="00E96706"/>
    <w:rsid w:val="00E96BF1"/>
    <w:rsid w:val="00EA04B2"/>
    <w:rsid w:val="00EA20F3"/>
    <w:rsid w:val="00EA24DE"/>
    <w:rsid w:val="00EA3B0E"/>
    <w:rsid w:val="00EA4635"/>
    <w:rsid w:val="00EA4805"/>
    <w:rsid w:val="00EA75C1"/>
    <w:rsid w:val="00EB0FD7"/>
    <w:rsid w:val="00EB4889"/>
    <w:rsid w:val="00EC4F8B"/>
    <w:rsid w:val="00ED32CC"/>
    <w:rsid w:val="00ED43D1"/>
    <w:rsid w:val="00ED44FE"/>
    <w:rsid w:val="00ED5ED1"/>
    <w:rsid w:val="00EE05E1"/>
    <w:rsid w:val="00EE2B1C"/>
    <w:rsid w:val="00EE4EE1"/>
    <w:rsid w:val="00EF4574"/>
    <w:rsid w:val="00EF7B34"/>
    <w:rsid w:val="00F00CFE"/>
    <w:rsid w:val="00F016F9"/>
    <w:rsid w:val="00F03195"/>
    <w:rsid w:val="00F07425"/>
    <w:rsid w:val="00F2684E"/>
    <w:rsid w:val="00F43EFC"/>
    <w:rsid w:val="00F46AD7"/>
    <w:rsid w:val="00F500DB"/>
    <w:rsid w:val="00F5019A"/>
    <w:rsid w:val="00F525B2"/>
    <w:rsid w:val="00F566F8"/>
    <w:rsid w:val="00F60747"/>
    <w:rsid w:val="00F61589"/>
    <w:rsid w:val="00F729EF"/>
    <w:rsid w:val="00F77CAE"/>
    <w:rsid w:val="00F967EA"/>
    <w:rsid w:val="00F96BB9"/>
    <w:rsid w:val="00F96E58"/>
    <w:rsid w:val="00FA299B"/>
    <w:rsid w:val="00FA2D3B"/>
    <w:rsid w:val="00FA649B"/>
    <w:rsid w:val="00FB3370"/>
    <w:rsid w:val="00FB44AA"/>
    <w:rsid w:val="00FB4FC0"/>
    <w:rsid w:val="00FC030A"/>
    <w:rsid w:val="00FC6C8C"/>
    <w:rsid w:val="00FD04C9"/>
    <w:rsid w:val="00FD1269"/>
    <w:rsid w:val="00FD2CD8"/>
    <w:rsid w:val="00FD416B"/>
    <w:rsid w:val="00FE2150"/>
    <w:rsid w:val="00FE6D51"/>
    <w:rsid w:val="00FE73E0"/>
    <w:rsid w:val="00FF11A8"/>
    <w:rsid w:val="00FF20D6"/>
    <w:rsid w:val="00FF507B"/>
    <w:rsid w:val="00FF50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266968"/>
  <w15:docId w15:val="{45F64DE7-4C05-4C54-8F35-EEF6B8F71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aliases w:val="h2"/>
    <w:basedOn w:val="Heading1"/>
    <w:next w:val="Normal"/>
    <w:link w:val="Heading2Char"/>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FFE827"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C3AE00"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9"/>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aliases w:val="h2 Char"/>
    <w:basedOn w:val="DefaultParagraphFont"/>
    <w:link w:val="Heading2"/>
    <w:uiPriority w:val="9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B44AA"/>
    <w:pPr>
      <w:numPr>
        <w:numId w:val="2"/>
      </w:numPr>
    </w:pPr>
  </w:style>
  <w:style w:type="paragraph" w:customStyle="1" w:styleId="NumberedList2">
    <w:name w:val="Numbered List 2"/>
    <w:basedOn w:val="NumberedList1"/>
    <w:qFormat/>
    <w:rsid w:val="00FB44AA"/>
    <w:pPr>
      <w:numPr>
        <w:ilvl w:val="1"/>
      </w:numPr>
      <w:spacing w:before="120"/>
    </w:pPr>
  </w:style>
  <w:style w:type="paragraph" w:customStyle="1" w:styleId="NumberedList3">
    <w:name w:val="Numbered List 3"/>
    <w:basedOn w:val="NumberedList2"/>
    <w:qFormat/>
    <w:rsid w:val="00FB44AA"/>
    <w:pPr>
      <w:numPr>
        <w:ilvl w:val="2"/>
      </w:numPr>
      <w:ind w:left="851"/>
    </w:pPr>
  </w:style>
  <w:style w:type="paragraph" w:customStyle="1" w:styleId="Heading1Numbered">
    <w:name w:val="Heading 1 Numbered"/>
    <w:basedOn w:val="Heading1"/>
    <w:next w:val="Normal"/>
    <w:uiPriority w:val="99"/>
    <w:qFormat/>
    <w:rsid w:val="001E1DC0"/>
    <w:pPr>
      <w:numPr>
        <w:numId w:val="3"/>
      </w:numPr>
    </w:pPr>
  </w:style>
  <w:style w:type="paragraph" w:customStyle="1" w:styleId="Heading2Numbered">
    <w:name w:val="Heading 2 Numbered"/>
    <w:basedOn w:val="Heading2"/>
    <w:next w:val="Normal"/>
    <w:uiPriority w:val="99"/>
    <w:qFormat/>
    <w:rsid w:val="00D46D82"/>
    <w:pPr>
      <w:numPr>
        <w:ilvl w:val="1"/>
        <w:numId w:val="3"/>
      </w:numPr>
    </w:pPr>
    <w:rPr>
      <w:bCs/>
    </w:rPr>
  </w:style>
  <w:style w:type="paragraph" w:customStyle="1" w:styleId="Heading3Numbered">
    <w:name w:val="Heading 3 Numbered"/>
    <w:basedOn w:val="Heading3"/>
    <w:next w:val="Normal"/>
    <w:uiPriority w:val="99"/>
    <w:qFormat/>
    <w:rsid w:val="001D7EB4"/>
    <w:pPr>
      <w:numPr>
        <w:ilvl w:val="2"/>
        <w:numId w:val="3"/>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17"/>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9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FB44AA"/>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0661A2"/>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FFF38A" w:themeColor="accent1"/>
      </w:pBdr>
    </w:pPr>
    <w:rPr>
      <w:sz w:val="24"/>
    </w:rPr>
  </w:style>
  <w:style w:type="table" w:styleId="TableGrid">
    <w:name w:val="Table Grid"/>
    <w:basedOn w:val="TableNormal"/>
    <w:uiPriority w:val="9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FFE827"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C3AE00"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C3AE00" w:themeColor="accent1" w:themeShade="7F"/>
      <w:szCs w:val="26"/>
    </w:rPr>
  </w:style>
  <w:style w:type="character" w:customStyle="1" w:styleId="Heading8Char">
    <w:name w:val="Heading 8 Char"/>
    <w:basedOn w:val="DefaultParagraphFont"/>
    <w:link w:val="Heading8"/>
    <w:uiPriority w:val="99"/>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FFCE7" w:themeColor="accent1" w:themeTint="33"/>
        <w:left w:val="single" w:sz="4" w:space="14" w:color="FFFCE7" w:themeColor="accent1" w:themeTint="33"/>
        <w:bottom w:val="single" w:sz="4" w:space="14" w:color="FFFCE7" w:themeColor="accent1" w:themeTint="33"/>
        <w:right w:val="single" w:sz="4" w:space="14" w:color="FFFCE7" w:themeColor="accent1" w:themeTint="33"/>
      </w:pBdr>
      <w:shd w:val="clear" w:color="auto" w:fill="FFFCE7"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FFF38A" w:themeColor="accent1"/>
        <w:left w:val="single" w:sz="4" w:space="14" w:color="FFF38A" w:themeColor="accent1"/>
        <w:bottom w:val="single" w:sz="4" w:space="14" w:color="FFF38A" w:themeColor="accent1"/>
        <w:right w:val="single" w:sz="4" w:space="14" w:color="FFF38A" w:themeColor="accent1"/>
      </w:pBdr>
      <w:shd w:val="clear" w:color="auto" w:fill="FFF38A"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customStyle="1" w:styleId="TableGridLight1">
    <w:name w:val="Table Grid Light1"/>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aliases w:val="Ref,de nota al pie,JFR-Fußnotenzeichen,*Footnote Reference,Ref. de nota al pie."/>
    <w:basedOn w:val="DefaultParagraphFont"/>
    <w:uiPriority w:val="99"/>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inputcomment">
    <w:name w:val="input comment"/>
    <w:basedOn w:val="Normal"/>
    <w:qFormat/>
    <w:rsid w:val="002C7BB1"/>
    <w:pPr>
      <w:spacing w:line="240" w:lineRule="auto"/>
    </w:pPr>
    <w:rPr>
      <w:b/>
      <w:color w:val="AD8800" w:themeColor="accent3" w:themeShade="BF"/>
    </w:rPr>
  </w:style>
  <w:style w:type="paragraph" w:styleId="ListParagraph">
    <w:name w:val="List Paragraph"/>
    <w:aliases w:val="Recommendation,List Paragraph1,List Paragraph11"/>
    <w:basedOn w:val="Normal"/>
    <w:link w:val="ListParagraphChar"/>
    <w:uiPriority w:val="34"/>
    <w:qFormat/>
    <w:rsid w:val="007A25F0"/>
    <w:pPr>
      <w:suppressAutoHyphens w:val="0"/>
      <w:spacing w:before="0" w:after="200" w:line="276" w:lineRule="auto"/>
      <w:ind w:left="720"/>
    </w:pPr>
    <w:rPr>
      <w:rFonts w:ascii="Calibri" w:eastAsia="Times New Roman" w:hAnsi="Calibri" w:cs="Times New Roman"/>
    </w:rPr>
  </w:style>
  <w:style w:type="character" w:customStyle="1" w:styleId="ListParagraphChar">
    <w:name w:val="List Paragraph Char"/>
    <w:aliases w:val="Recommendation Char,List Paragraph1 Char,List Paragraph11 Char"/>
    <w:basedOn w:val="DefaultParagraphFont"/>
    <w:link w:val="ListParagraph"/>
    <w:uiPriority w:val="34"/>
    <w:locked/>
    <w:rsid w:val="007A25F0"/>
    <w:rPr>
      <w:rFonts w:ascii="Calibri" w:eastAsia="Times New Roman" w:hAnsi="Calibri" w:cs="Times New Roman"/>
    </w:rPr>
  </w:style>
  <w:style w:type="paragraph" w:customStyle="1" w:styleId="BodyText1">
    <w:name w:val="Body Text1"/>
    <w:basedOn w:val="Normal"/>
    <w:qFormat/>
    <w:rsid w:val="007A25F0"/>
    <w:pPr>
      <w:suppressAutoHyphens w:val="0"/>
      <w:spacing w:before="0" w:after="120" w:line="240" w:lineRule="auto"/>
    </w:pPr>
    <w:rPr>
      <w:rFonts w:ascii="Cambria" w:eastAsia="Times New Roman" w:hAnsi="Cambria" w:cs="Times New Roman"/>
      <w:szCs w:val="24"/>
    </w:rPr>
  </w:style>
  <w:style w:type="paragraph" w:customStyle="1" w:styleId="highlightedtext">
    <w:name w:val="highlighted text"/>
    <w:basedOn w:val="Normal"/>
    <w:link w:val="highlightedtextChar"/>
    <w:qFormat/>
    <w:rsid w:val="00EE2B1C"/>
    <w:pPr>
      <w:pBdr>
        <w:top w:val="single" w:sz="4" w:space="1" w:color="auto"/>
        <w:left w:val="single" w:sz="4" w:space="4" w:color="auto"/>
        <w:bottom w:val="single" w:sz="4" w:space="1" w:color="auto"/>
        <w:right w:val="single" w:sz="4" w:space="4" w:color="auto"/>
      </w:pBdr>
      <w:spacing w:after="0"/>
      <w:jc w:val="center"/>
    </w:pPr>
    <w:rPr>
      <w:b/>
      <w:color w:val="745B00" w:themeColor="accent3" w:themeShade="80"/>
    </w:rPr>
  </w:style>
  <w:style w:type="paragraph" w:styleId="NoSpacing">
    <w:name w:val="No Spacing"/>
    <w:link w:val="NoSpacingChar"/>
    <w:uiPriority w:val="1"/>
    <w:qFormat/>
    <w:rsid w:val="00045933"/>
    <w:pPr>
      <w:spacing w:after="0" w:line="240" w:lineRule="auto"/>
    </w:pPr>
    <w:rPr>
      <w:rFonts w:ascii="Calibri" w:eastAsia="Times New Roman" w:hAnsi="Calibri" w:cs="Times New Roman"/>
    </w:rPr>
  </w:style>
  <w:style w:type="character" w:customStyle="1" w:styleId="highlightedtextChar">
    <w:name w:val="highlighted text Char"/>
    <w:basedOn w:val="DefaultParagraphFont"/>
    <w:link w:val="highlightedtext"/>
    <w:rsid w:val="00EE2B1C"/>
    <w:rPr>
      <w:b/>
      <w:color w:val="745B00" w:themeColor="accent3" w:themeShade="80"/>
    </w:rPr>
  </w:style>
  <w:style w:type="character" w:customStyle="1" w:styleId="NoSpacingChar">
    <w:name w:val="No Spacing Char"/>
    <w:basedOn w:val="DefaultParagraphFont"/>
    <w:link w:val="NoSpacing"/>
    <w:uiPriority w:val="1"/>
    <w:rsid w:val="00045933"/>
    <w:rPr>
      <w:rFonts w:ascii="Calibri" w:eastAsia="Times New Roman" w:hAnsi="Calibri" w:cs="Times New Roman"/>
    </w:rPr>
  </w:style>
  <w:style w:type="paragraph" w:styleId="BalloonText">
    <w:name w:val="Balloon Text"/>
    <w:basedOn w:val="Normal"/>
    <w:link w:val="BalloonTextChar"/>
    <w:uiPriority w:val="99"/>
    <w:semiHidden/>
    <w:rsid w:val="00340616"/>
    <w:pPr>
      <w:suppressAutoHyphens w:val="0"/>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40616"/>
    <w:rPr>
      <w:rFonts w:ascii="Tahoma" w:eastAsia="Times New Roman" w:hAnsi="Tahoma" w:cs="Tahoma"/>
      <w:sz w:val="16"/>
      <w:szCs w:val="16"/>
    </w:rPr>
  </w:style>
  <w:style w:type="paragraph" w:customStyle="1" w:styleId="FCHeader">
    <w:name w:val="FC_Header"/>
    <w:basedOn w:val="Heading8"/>
    <w:uiPriority w:val="99"/>
    <w:rsid w:val="00340616"/>
    <w:pPr>
      <w:keepLines w:val="0"/>
      <w:numPr>
        <w:ilvl w:val="7"/>
      </w:numPr>
      <w:tabs>
        <w:tab w:val="num" w:pos="1440"/>
      </w:tabs>
      <w:suppressAutoHyphens w:val="0"/>
      <w:spacing w:before="240" w:after="360" w:line="240" w:lineRule="auto"/>
      <w:ind w:left="1440" w:hanging="432"/>
      <w:contextualSpacing w:val="0"/>
    </w:pPr>
    <w:rPr>
      <w:rFonts w:ascii="Arial" w:eastAsia="Times New Roman" w:hAnsi="Arial" w:cs="Times New Roman"/>
      <w:b/>
      <w:color w:val="auto"/>
      <w:spacing w:val="-5"/>
      <w:sz w:val="36"/>
      <w:szCs w:val="20"/>
      <w:lang w:val="en-US"/>
    </w:rPr>
  </w:style>
  <w:style w:type="paragraph" w:styleId="CommentText">
    <w:name w:val="annotation text"/>
    <w:basedOn w:val="Normal"/>
    <w:link w:val="CommentTextChar"/>
    <w:uiPriority w:val="99"/>
    <w:rsid w:val="00340616"/>
    <w:pPr>
      <w:suppressAutoHyphens w:val="0"/>
      <w:spacing w:before="0"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40616"/>
    <w:rPr>
      <w:rFonts w:ascii="Calibri" w:eastAsia="Times New Roman" w:hAnsi="Calibri" w:cs="Times New Roman"/>
      <w:sz w:val="20"/>
      <w:szCs w:val="20"/>
    </w:rPr>
  </w:style>
  <w:style w:type="paragraph" w:customStyle="1" w:styleId="notetext">
    <w:name w:val="notetext"/>
    <w:basedOn w:val="Normal"/>
    <w:uiPriority w:val="99"/>
    <w:rsid w:val="00340616"/>
    <w:pPr>
      <w:suppressAutoHyphens w:val="0"/>
      <w:spacing w:before="122" w:after="0" w:line="198" w:lineRule="atLeast"/>
      <w:ind w:left="1985" w:hanging="851"/>
    </w:pPr>
    <w:rPr>
      <w:rFonts w:ascii="Times New Roman" w:eastAsia="Times New Roman" w:hAnsi="Times New Roman" w:cs="Times New Roman"/>
      <w:sz w:val="18"/>
      <w:szCs w:val="18"/>
      <w:lang w:eastAsia="en-AU"/>
    </w:rPr>
  </w:style>
  <w:style w:type="paragraph" w:customStyle="1" w:styleId="subsection">
    <w:name w:val="subsection"/>
    <w:aliases w:val="ss"/>
    <w:basedOn w:val="Normal"/>
    <w:uiPriority w:val="99"/>
    <w:rsid w:val="00340616"/>
    <w:pPr>
      <w:suppressAutoHyphens w:val="0"/>
      <w:spacing w:after="0" w:line="240" w:lineRule="auto"/>
      <w:ind w:left="1134" w:hanging="1134"/>
    </w:pPr>
    <w:rPr>
      <w:rFonts w:ascii="Times New Roman" w:eastAsia="Times New Roman" w:hAnsi="Times New Roman" w:cs="Times New Roman"/>
      <w:lang w:eastAsia="en-AU"/>
    </w:rPr>
  </w:style>
  <w:style w:type="paragraph" w:customStyle="1" w:styleId="definition">
    <w:name w:val="definition"/>
    <w:basedOn w:val="Normal"/>
    <w:uiPriority w:val="99"/>
    <w:rsid w:val="00340616"/>
    <w:pPr>
      <w:suppressAutoHyphens w:val="0"/>
      <w:spacing w:after="0" w:line="240" w:lineRule="auto"/>
      <w:ind w:left="1134"/>
    </w:pPr>
    <w:rPr>
      <w:rFonts w:ascii="Times New Roman" w:eastAsia="Times New Roman" w:hAnsi="Times New Roman" w:cs="Times New Roman"/>
      <w:lang w:eastAsia="en-AU"/>
    </w:rPr>
  </w:style>
  <w:style w:type="paragraph" w:customStyle="1" w:styleId="FCList">
    <w:name w:val="FC_List"/>
    <w:basedOn w:val="Header"/>
    <w:uiPriority w:val="99"/>
    <w:rsid w:val="00340616"/>
    <w:p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FCTitle">
    <w:name w:val="FC_Title"/>
    <w:basedOn w:val="Normal"/>
    <w:uiPriority w:val="99"/>
    <w:rsid w:val="00340616"/>
    <w:pPr>
      <w:suppressAutoHyphens w:val="0"/>
      <w:spacing w:before="240" w:after="360" w:line="240" w:lineRule="auto"/>
    </w:pPr>
    <w:rPr>
      <w:rFonts w:ascii="Arial" w:eastAsia="Times New Roman" w:hAnsi="Arial" w:cs="Arial"/>
      <w:b/>
      <w:bCs/>
      <w:sz w:val="32"/>
      <w:szCs w:val="24"/>
    </w:rPr>
  </w:style>
  <w:style w:type="paragraph" w:styleId="BodyTextIndent2">
    <w:name w:val="Body Text Indent 2"/>
    <w:basedOn w:val="Normal"/>
    <w:link w:val="BodyTextIndent2Char"/>
    <w:uiPriority w:val="99"/>
    <w:rsid w:val="00340616"/>
    <w:pPr>
      <w:suppressAutoHyphens w:val="0"/>
      <w:spacing w:before="0"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uiPriority w:val="99"/>
    <w:rsid w:val="00340616"/>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rsid w:val="00340616"/>
    <w:rPr>
      <w:rFonts w:cs="Times New Roman"/>
      <w:color w:val="800080"/>
      <w:u w:val="single"/>
    </w:rPr>
  </w:style>
  <w:style w:type="character" w:styleId="CommentReference">
    <w:name w:val="annotation reference"/>
    <w:basedOn w:val="DefaultParagraphFont"/>
    <w:uiPriority w:val="99"/>
    <w:rsid w:val="00340616"/>
    <w:rPr>
      <w:rFonts w:cs="Times New Roman"/>
      <w:sz w:val="16"/>
      <w:szCs w:val="16"/>
    </w:rPr>
  </w:style>
  <w:style w:type="paragraph" w:styleId="CommentSubject">
    <w:name w:val="annotation subject"/>
    <w:basedOn w:val="CommentText"/>
    <w:next w:val="CommentText"/>
    <w:link w:val="CommentSubjectChar"/>
    <w:uiPriority w:val="99"/>
    <w:semiHidden/>
    <w:rsid w:val="00340616"/>
    <w:rPr>
      <w:b/>
      <w:bCs/>
    </w:rPr>
  </w:style>
  <w:style w:type="character" w:customStyle="1" w:styleId="CommentSubjectChar">
    <w:name w:val="Comment Subject Char"/>
    <w:basedOn w:val="CommentTextChar"/>
    <w:link w:val="CommentSubject"/>
    <w:uiPriority w:val="99"/>
    <w:semiHidden/>
    <w:rsid w:val="00340616"/>
    <w:rPr>
      <w:rFonts w:ascii="Calibri" w:eastAsia="Times New Roman" w:hAnsi="Calibri" w:cs="Times New Roman"/>
      <w:b/>
      <w:bCs/>
      <w:sz w:val="20"/>
      <w:szCs w:val="20"/>
    </w:rPr>
  </w:style>
  <w:style w:type="paragraph" w:styleId="Revision">
    <w:name w:val="Revision"/>
    <w:hidden/>
    <w:uiPriority w:val="99"/>
    <w:semiHidden/>
    <w:rsid w:val="00340616"/>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340616"/>
    <w:pPr>
      <w:widowControl w:val="0"/>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340616"/>
    <w:rPr>
      <w:rFonts w:ascii="Symbol" w:hAnsi="Symbol"/>
      <w:w w:val="100"/>
    </w:rPr>
  </w:style>
  <w:style w:type="paragraph" w:customStyle="1" w:styleId="Guidelinesbodytext">
    <w:name w:val="Guidelines body text"/>
    <w:basedOn w:val="NoSpacing"/>
    <w:qFormat/>
    <w:rsid w:val="00340616"/>
    <w:rPr>
      <w:color w:val="000000"/>
      <w:szCs w:val="20"/>
      <w:lang w:val="en-US" w:bidi="en-US"/>
    </w:rPr>
  </w:style>
  <w:style w:type="paragraph" w:styleId="ListBullet">
    <w:name w:val="List Bullet"/>
    <w:basedOn w:val="Normal"/>
    <w:uiPriority w:val="99"/>
    <w:rsid w:val="00340616"/>
    <w:pPr>
      <w:numPr>
        <w:numId w:val="7"/>
      </w:numPr>
      <w:suppressAutoHyphens w:val="0"/>
      <w:spacing w:before="200" w:after="200" w:line="276" w:lineRule="auto"/>
      <w:contextualSpacing/>
    </w:pPr>
    <w:rPr>
      <w:rFonts w:ascii="Calibri" w:eastAsia="Times New Roman" w:hAnsi="Calibri" w:cs="Times New Roman"/>
      <w:sz w:val="20"/>
      <w:szCs w:val="20"/>
      <w:lang w:val="en-US" w:bidi="en-US"/>
    </w:rPr>
  </w:style>
  <w:style w:type="paragraph" w:customStyle="1" w:styleId="GuidelinesInstructions">
    <w:name w:val="Guidelines Instructions"/>
    <w:basedOn w:val="NoSpacing"/>
    <w:autoRedefine/>
    <w:qFormat/>
    <w:rsid w:val="00340616"/>
    <w:rPr>
      <w:i/>
      <w:color w:val="FF0000"/>
      <w:sz w:val="20"/>
      <w:szCs w:val="20"/>
      <w:lang w:val="en-US" w:bidi="en-US"/>
    </w:rPr>
  </w:style>
  <w:style w:type="paragraph" w:customStyle="1" w:styleId="Default">
    <w:name w:val="Default"/>
    <w:rsid w:val="00340616"/>
    <w:pPr>
      <w:autoSpaceDE w:val="0"/>
      <w:autoSpaceDN w:val="0"/>
      <w:adjustRightInd w:val="0"/>
      <w:spacing w:after="0" w:line="240" w:lineRule="auto"/>
    </w:pPr>
    <w:rPr>
      <w:rFonts w:ascii="Arial" w:eastAsia="Calibri" w:hAnsi="Arial" w:cs="Arial"/>
      <w:color w:val="000000"/>
      <w:sz w:val="24"/>
      <w:szCs w:val="24"/>
    </w:rPr>
  </w:style>
  <w:style w:type="numbering" w:customStyle="1" w:styleId="Bulletlist">
    <w:name w:val="Bullet list"/>
    <w:uiPriority w:val="99"/>
    <w:rsid w:val="00340616"/>
    <w:pPr>
      <w:numPr>
        <w:numId w:val="6"/>
      </w:numPr>
    </w:pPr>
  </w:style>
  <w:style w:type="paragraph" w:customStyle="1" w:styleId="Bullet">
    <w:name w:val="Bullet"/>
    <w:aliases w:val="b"/>
    <w:basedOn w:val="Normal"/>
    <w:qFormat/>
    <w:rsid w:val="00340616"/>
    <w:pPr>
      <w:tabs>
        <w:tab w:val="num" w:pos="284"/>
      </w:tabs>
      <w:suppressAutoHyphens w:val="0"/>
      <w:spacing w:before="240" w:after="120" w:line="240" w:lineRule="auto"/>
      <w:ind w:left="284" w:hanging="284"/>
      <w:jc w:val="both"/>
    </w:pPr>
    <w:rPr>
      <w:rFonts w:ascii="Arial" w:eastAsia="Calibri" w:hAnsi="Arial" w:cs="Arial"/>
    </w:rPr>
  </w:style>
  <w:style w:type="paragraph" w:customStyle="1" w:styleId="GuidelinesSubheading">
    <w:name w:val="Guidelines Subheading"/>
    <w:basedOn w:val="NoSpacing"/>
    <w:autoRedefine/>
    <w:qFormat/>
    <w:rsid w:val="00340616"/>
    <w:pPr>
      <w:pBdr>
        <w:bottom w:val="single" w:sz="8" w:space="1" w:color="000000"/>
      </w:pBdr>
      <w:spacing w:before="107"/>
      <w:ind w:right="-74"/>
      <w:textboxTightWrap w:val="allLines"/>
      <w:outlineLvl w:val="1"/>
    </w:pPr>
    <w:rPr>
      <w:rFonts w:ascii="Arial" w:hAnsi="Arial" w:cs="Arial"/>
      <w:b/>
      <w:color w:val="000000"/>
      <w:szCs w:val="24"/>
      <w:u w:color="000000"/>
      <w:lang w:val="en-US" w:bidi="en-US"/>
    </w:rPr>
  </w:style>
  <w:style w:type="paragraph" w:customStyle="1" w:styleId="footnote">
    <w:name w:val="footnote"/>
    <w:basedOn w:val="Normal"/>
    <w:uiPriority w:val="99"/>
    <w:rsid w:val="00340616"/>
    <w:pPr>
      <w:widowControl w:val="0"/>
      <w:tabs>
        <w:tab w:val="left" w:pos="283"/>
      </w:tab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character" w:customStyle="1" w:styleId="apple-converted-space">
    <w:name w:val="apple-converted-space"/>
    <w:basedOn w:val="DefaultParagraphFont"/>
    <w:rsid w:val="00340616"/>
  </w:style>
  <w:style w:type="paragraph" w:customStyle="1" w:styleId="Heading2flowchart">
    <w:name w:val="Heading 2 flowchart"/>
    <w:basedOn w:val="Normal"/>
    <w:qFormat/>
    <w:rsid w:val="00340616"/>
    <w:pPr>
      <w:keepNext/>
      <w:pBdr>
        <w:top w:val="single" w:sz="2" w:space="1" w:color="auto"/>
        <w:left w:val="single" w:sz="2" w:space="4" w:color="auto"/>
        <w:bottom w:val="single" w:sz="2" w:space="1" w:color="auto"/>
        <w:right w:val="single" w:sz="2" w:space="4" w:color="auto"/>
      </w:pBdr>
      <w:suppressAutoHyphens w:val="0"/>
      <w:spacing w:before="60" w:line="240" w:lineRule="auto"/>
      <w:jc w:val="center"/>
      <w:outlineLvl w:val="1"/>
    </w:pPr>
    <w:rPr>
      <w:rFonts w:ascii="Arial" w:eastAsia="Times New Roman" w:hAnsi="Arial" w:cstheme="minorHAnsi"/>
      <w:b/>
      <w:bCs/>
      <w:sz w:val="20"/>
      <w:szCs w:val="32"/>
    </w:rPr>
  </w:style>
  <w:style w:type="numbering" w:customStyle="1" w:styleId="Headings">
    <w:name w:val="Headings"/>
    <w:uiPriority w:val="99"/>
    <w:rsid w:val="00340616"/>
    <w:pPr>
      <w:numPr>
        <w:numId w:val="8"/>
      </w:numPr>
    </w:pPr>
  </w:style>
  <w:style w:type="paragraph" w:customStyle="1" w:styleId="Tabletext0">
    <w:name w:val="Tabletext"/>
    <w:aliases w:val="tt"/>
    <w:basedOn w:val="Normal"/>
    <w:uiPriority w:val="99"/>
    <w:rsid w:val="00340616"/>
    <w:pPr>
      <w:suppressAutoHyphens w:val="0"/>
      <w:spacing w:before="60" w:after="0" w:line="240" w:lineRule="atLeast"/>
    </w:pPr>
    <w:rPr>
      <w:rFonts w:ascii="Times New Roman" w:hAnsi="Times New Roman" w:cs="Times New Roman"/>
      <w:sz w:val="20"/>
      <w:szCs w:val="20"/>
      <w:lang w:eastAsia="en-AU"/>
    </w:rPr>
  </w:style>
  <w:style w:type="paragraph" w:customStyle="1" w:styleId="Chrissie1">
    <w:name w:val="Chrissie1"/>
    <w:basedOn w:val="ListParagraph"/>
    <w:link w:val="Chrissie1Char"/>
    <w:qFormat/>
    <w:rsid w:val="00340616"/>
    <w:pPr>
      <w:numPr>
        <w:numId w:val="9"/>
      </w:numPr>
      <w:spacing w:after="0" w:line="240" w:lineRule="auto"/>
      <w:ind w:left="567" w:hanging="357"/>
      <w:contextualSpacing/>
    </w:pPr>
    <w:rPr>
      <w:rFonts w:ascii="Arial" w:eastAsia="Calibri" w:hAnsi="Arial" w:cs="Arial"/>
      <w:sz w:val="20"/>
    </w:rPr>
  </w:style>
  <w:style w:type="character" w:customStyle="1" w:styleId="Chrissie1Char">
    <w:name w:val="Chrissie1 Char"/>
    <w:basedOn w:val="ListParagraphChar"/>
    <w:link w:val="Chrissie1"/>
    <w:rsid w:val="00340616"/>
    <w:rPr>
      <w:rFonts w:ascii="Arial" w:eastAsia="Calibri" w:hAnsi="Arial" w:cs="Arial"/>
      <w:sz w:val="20"/>
    </w:rPr>
  </w:style>
  <w:style w:type="paragraph" w:styleId="ListNumber">
    <w:name w:val="List Number"/>
    <w:basedOn w:val="Normal"/>
    <w:rsid w:val="00340616"/>
    <w:pPr>
      <w:numPr>
        <w:numId w:val="10"/>
      </w:numPr>
      <w:suppressAutoHyphens w:val="0"/>
      <w:spacing w:before="40" w:after="120"/>
    </w:pPr>
    <w:rPr>
      <w:rFonts w:ascii="Arial" w:eastAsia="Times New Roman" w:hAnsi="Arial" w:cs="Times New Roman"/>
      <w:iCs/>
      <w:sz w:val="20"/>
      <w:szCs w:val="24"/>
    </w:rPr>
  </w:style>
  <w:style w:type="paragraph" w:customStyle="1" w:styleId="Bullets1stindent">
    <w:name w:val="Bullets (1st indent)"/>
    <w:basedOn w:val="BodyText1"/>
    <w:rsid w:val="00340616"/>
    <w:pPr>
      <w:numPr>
        <w:numId w:val="12"/>
      </w:numPr>
    </w:pPr>
  </w:style>
  <w:style w:type="paragraph" w:customStyle="1" w:styleId="Bullets2ndindent">
    <w:name w:val="Bullets (2nd indent)"/>
    <w:basedOn w:val="BodyText1"/>
    <w:rsid w:val="00340616"/>
    <w:pPr>
      <w:numPr>
        <w:ilvl w:val="1"/>
        <w:numId w:val="12"/>
      </w:numPr>
    </w:pPr>
  </w:style>
  <w:style w:type="numbering" w:customStyle="1" w:styleId="Bullets">
    <w:name w:val="Bullets"/>
    <w:basedOn w:val="NoList"/>
    <w:uiPriority w:val="99"/>
    <w:rsid w:val="00340616"/>
    <w:pPr>
      <w:numPr>
        <w:numId w:val="12"/>
      </w:numPr>
    </w:pPr>
  </w:style>
  <w:style w:type="paragraph" w:customStyle="1" w:styleId="Figuretitle">
    <w:name w:val="Figure title"/>
    <w:basedOn w:val="Heading2"/>
    <w:next w:val="BodyText1"/>
    <w:rsid w:val="00340616"/>
    <w:pPr>
      <w:keepNext w:val="0"/>
      <w:keepLines w:val="0"/>
      <w:numPr>
        <w:ilvl w:val="6"/>
        <w:numId w:val="11"/>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Bulletslast1stindent">
    <w:name w:val="Bullets last (1st indent)"/>
    <w:basedOn w:val="BodyText1"/>
    <w:rsid w:val="00340616"/>
    <w:pPr>
      <w:numPr>
        <w:ilvl w:val="2"/>
        <w:numId w:val="12"/>
      </w:numPr>
    </w:pPr>
  </w:style>
  <w:style w:type="numbering" w:customStyle="1" w:styleId="Numbers">
    <w:name w:val="Numbers"/>
    <w:basedOn w:val="NoList"/>
    <w:rsid w:val="00340616"/>
    <w:pPr>
      <w:numPr>
        <w:numId w:val="14"/>
      </w:numPr>
    </w:pPr>
  </w:style>
  <w:style w:type="paragraph" w:customStyle="1" w:styleId="Bulletslast2ndindent">
    <w:name w:val="Bullets last (2nd indent)"/>
    <w:basedOn w:val="BodyText1"/>
    <w:rsid w:val="00340616"/>
    <w:pPr>
      <w:numPr>
        <w:ilvl w:val="3"/>
        <w:numId w:val="12"/>
      </w:numPr>
      <w:spacing w:after="57"/>
    </w:pPr>
  </w:style>
  <w:style w:type="paragraph" w:customStyle="1" w:styleId="Tablebodytext">
    <w:name w:val="Table body text"/>
    <w:qFormat/>
    <w:rsid w:val="00340616"/>
    <w:pPr>
      <w:spacing w:before="57" w:after="57" w:line="220" w:lineRule="atLeast"/>
      <w:ind w:left="96" w:right="96"/>
    </w:pPr>
    <w:rPr>
      <w:rFonts w:ascii="Arial" w:eastAsia="Times New Roman" w:hAnsi="Arial" w:cs="Times New Roman"/>
      <w:sz w:val="17"/>
      <w:szCs w:val="24"/>
    </w:rPr>
  </w:style>
  <w:style w:type="paragraph" w:customStyle="1" w:styleId="Tablebullets2ndindent">
    <w:name w:val="Table bullets (2nd indent)"/>
    <w:basedOn w:val="Tablebodytext"/>
    <w:qFormat/>
    <w:rsid w:val="00340616"/>
    <w:pPr>
      <w:numPr>
        <w:ilvl w:val="6"/>
        <w:numId w:val="12"/>
      </w:numPr>
    </w:pPr>
  </w:style>
  <w:style w:type="paragraph" w:customStyle="1" w:styleId="Tablebullets1stindent">
    <w:name w:val="Table bullets (1st indent)"/>
    <w:basedOn w:val="Tablebodytext"/>
    <w:qFormat/>
    <w:rsid w:val="00340616"/>
    <w:pPr>
      <w:numPr>
        <w:ilvl w:val="5"/>
        <w:numId w:val="12"/>
      </w:numPr>
    </w:pPr>
  </w:style>
  <w:style w:type="paragraph" w:customStyle="1" w:styleId="Tablecolumnheading">
    <w:name w:val="Table column heading"/>
    <w:basedOn w:val="Tablebodytext"/>
    <w:qFormat/>
    <w:rsid w:val="00340616"/>
    <w:pPr>
      <w:keepNext/>
    </w:pPr>
    <w:rPr>
      <w:b/>
    </w:rPr>
  </w:style>
  <w:style w:type="paragraph" w:customStyle="1" w:styleId="Tabletitle">
    <w:name w:val="Table title"/>
    <w:basedOn w:val="Heading2"/>
    <w:next w:val="BodyText1"/>
    <w:rsid w:val="00340616"/>
    <w:pPr>
      <w:keepNext w:val="0"/>
      <w:keepLines w:val="0"/>
      <w:numPr>
        <w:ilvl w:val="8"/>
        <w:numId w:val="11"/>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Notetitle">
    <w:name w:val="Note title"/>
    <w:basedOn w:val="Heading2"/>
    <w:rsid w:val="00340616"/>
    <w:pPr>
      <w:keepNext w:val="0"/>
      <w:keepLines w:val="0"/>
      <w:numPr>
        <w:ilvl w:val="7"/>
        <w:numId w:val="11"/>
      </w:numPr>
      <w:suppressAutoHyphens w:val="0"/>
      <w:spacing w:before="0" w:line="240" w:lineRule="auto"/>
      <w:contextualSpacing w:val="0"/>
    </w:pPr>
    <w:rPr>
      <w:rFonts w:ascii="Arial" w:eastAsia="Times New Roman" w:hAnsi="Arial" w:cs="Times New Roman"/>
      <w:b/>
      <w:color w:val="auto"/>
      <w:spacing w:val="-6"/>
      <w:sz w:val="26"/>
    </w:rPr>
  </w:style>
  <w:style w:type="paragraph" w:customStyle="1" w:styleId="Numberedpara1stindent">
    <w:name w:val="Numbered para (1st indent)"/>
    <w:basedOn w:val="BodyText1"/>
    <w:rsid w:val="00340616"/>
    <w:pPr>
      <w:numPr>
        <w:ilvl w:val="3"/>
        <w:numId w:val="11"/>
      </w:numPr>
    </w:pPr>
  </w:style>
  <w:style w:type="paragraph" w:customStyle="1" w:styleId="Numberedpara2ndindent">
    <w:name w:val="Numbered para (2nd indent)"/>
    <w:basedOn w:val="BodyText1"/>
    <w:rsid w:val="00340616"/>
    <w:pPr>
      <w:numPr>
        <w:ilvl w:val="4"/>
        <w:numId w:val="11"/>
      </w:numPr>
    </w:pPr>
  </w:style>
  <w:style w:type="paragraph" w:customStyle="1" w:styleId="Numberedpara3rdindent">
    <w:name w:val="Numbered para (3rd indent)"/>
    <w:basedOn w:val="BodyText1"/>
    <w:rsid w:val="00340616"/>
    <w:pPr>
      <w:numPr>
        <w:ilvl w:val="5"/>
        <w:numId w:val="11"/>
      </w:numPr>
    </w:pPr>
  </w:style>
  <w:style w:type="paragraph" w:customStyle="1" w:styleId="Sourcenotetext">
    <w:name w:val="Source/note text"/>
    <w:qFormat/>
    <w:rsid w:val="00340616"/>
    <w:pPr>
      <w:spacing w:before="85" w:after="85" w:line="240" w:lineRule="auto"/>
    </w:pPr>
    <w:rPr>
      <w:rFonts w:ascii="Arial" w:eastAsia="Times New Roman" w:hAnsi="Arial" w:cs="Arial"/>
      <w:i/>
      <w:sz w:val="12"/>
      <w:szCs w:val="12"/>
    </w:rPr>
  </w:style>
  <w:style w:type="character" w:customStyle="1" w:styleId="CABNETParagraphAttChar">
    <w:name w:val="CABNET Paragraph Att Char"/>
    <w:basedOn w:val="DefaultParagraphFont"/>
    <w:link w:val="CABNETParagraphAtt"/>
    <w:locked/>
    <w:rsid w:val="00DC1682"/>
  </w:style>
  <w:style w:type="paragraph" w:customStyle="1" w:styleId="CABNETParagraphAtt">
    <w:name w:val="CABNET Paragraph Att"/>
    <w:basedOn w:val="Normal"/>
    <w:link w:val="CABNETParagraphAttChar"/>
    <w:qFormat/>
    <w:rsid w:val="00DC1682"/>
    <w:pPr>
      <w:suppressAutoHyphens w:val="0"/>
      <w:spacing w:before="120" w:after="120" w:line="240" w:lineRule="auto"/>
    </w:pPr>
  </w:style>
  <w:style w:type="character" w:styleId="BookTitle">
    <w:name w:val="Book Title"/>
    <w:uiPriority w:val="33"/>
    <w:qFormat/>
    <w:rsid w:val="00E95846"/>
    <w:rPr>
      <w:i/>
      <w:iCs/>
      <w:smallCaps/>
      <w:spacing w:val="5"/>
    </w:rPr>
  </w:style>
  <w:style w:type="table" w:styleId="LightList">
    <w:name w:val="Light List"/>
    <w:basedOn w:val="TableNormal"/>
    <w:uiPriority w:val="61"/>
    <w:rsid w:val="00E9584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EndnoteText">
    <w:name w:val="endnote text"/>
    <w:basedOn w:val="Normal"/>
    <w:link w:val="EndnoteTextChar"/>
    <w:uiPriority w:val="99"/>
    <w:unhideWhenUsed/>
    <w:rsid w:val="00BB5CF6"/>
    <w:pPr>
      <w:suppressAutoHyphens w:val="0"/>
      <w:spacing w:before="0" w:after="0" w:line="240" w:lineRule="auto"/>
    </w:pPr>
    <w:rPr>
      <w:rFonts w:ascii="Calibri" w:hAnsi="Calibri" w:cs="Times New Roman"/>
      <w:sz w:val="20"/>
      <w:szCs w:val="20"/>
    </w:rPr>
  </w:style>
  <w:style w:type="character" w:customStyle="1" w:styleId="EndnoteTextChar">
    <w:name w:val="Endnote Text Char"/>
    <w:basedOn w:val="DefaultParagraphFont"/>
    <w:link w:val="EndnoteText"/>
    <w:uiPriority w:val="99"/>
    <w:rsid w:val="00BB5CF6"/>
    <w:rPr>
      <w:rFonts w:ascii="Calibri" w:hAnsi="Calibri" w:cs="Times New Roman"/>
      <w:sz w:val="20"/>
      <w:szCs w:val="20"/>
    </w:rPr>
  </w:style>
  <w:style w:type="paragraph" w:customStyle="1" w:styleId="Dash">
    <w:name w:val="Dash"/>
    <w:basedOn w:val="Normal"/>
    <w:qFormat/>
    <w:rsid w:val="000104CF"/>
    <w:pPr>
      <w:tabs>
        <w:tab w:val="num" w:pos="567"/>
      </w:tabs>
      <w:suppressAutoHyphens w:val="0"/>
      <w:spacing w:before="0" w:after="240" w:line="260" w:lineRule="exact"/>
      <w:ind w:left="567" w:hanging="284"/>
    </w:pPr>
    <w:rPr>
      <w:rFonts w:ascii="Garamond" w:eastAsia="Times New Roman" w:hAnsi="Garamond" w:cs="Times New Roman"/>
      <w:szCs w:val="20"/>
      <w:lang w:eastAsia="en-AU"/>
    </w:rPr>
  </w:style>
  <w:style w:type="paragraph" w:styleId="BodyText">
    <w:name w:val="Body Text"/>
    <w:basedOn w:val="Normal"/>
    <w:link w:val="BodyTextChar"/>
    <w:uiPriority w:val="99"/>
    <w:semiHidden/>
    <w:unhideWhenUsed/>
    <w:rsid w:val="00661EB6"/>
    <w:pPr>
      <w:spacing w:after="120"/>
    </w:pPr>
  </w:style>
  <w:style w:type="character" w:customStyle="1" w:styleId="BodyTextChar">
    <w:name w:val="Body Text Char"/>
    <w:basedOn w:val="DefaultParagraphFont"/>
    <w:link w:val="BodyText"/>
    <w:uiPriority w:val="99"/>
    <w:semiHidden/>
    <w:rsid w:val="00661EB6"/>
  </w:style>
  <w:style w:type="table" w:customStyle="1" w:styleId="CGHTableBanded">
    <w:name w:val="CGH Table Banded"/>
    <w:basedOn w:val="TableNormal"/>
    <w:uiPriority w:val="99"/>
    <w:rsid w:val="004B6F70"/>
    <w:pPr>
      <w:spacing w:after="0" w:line="240" w:lineRule="auto"/>
    </w:pPr>
    <w:rPr>
      <w:rFonts w:eastAsia="Times New Roman" w:cs="Times New Roman"/>
      <w:sz w:val="20"/>
      <w:szCs w:val="20"/>
    </w:rPr>
    <w:tblPr>
      <w:tblStyleRowBandSize w:val="1"/>
      <w:tblBorders>
        <w:insideH w:val="single" w:sz="4" w:space="0" w:color="FFFFFF"/>
        <w:insideV w:val="single" w:sz="4" w:space="0" w:color="FFFFFF"/>
      </w:tblBorders>
      <w:tblCellMar>
        <w:left w:w="0" w:type="dxa"/>
        <w:right w:w="0" w:type="dxa"/>
      </w:tblCellMar>
    </w:tblPr>
    <w:tcPr>
      <w:shd w:val="clear" w:color="auto" w:fill="EFF0EF"/>
    </w:tcPr>
    <w:tblStylePr w:type="firstRow">
      <w:rPr>
        <w:rFonts w:cs="Times New Roman"/>
      </w:rPr>
      <w:tblPr/>
      <w:tcPr>
        <w:tcBorders>
          <w:top w:val="nil"/>
          <w:left w:val="nil"/>
          <w:bottom w:val="single" w:sz="6" w:space="0" w:color="FFFFFF"/>
          <w:right w:val="nil"/>
          <w:insideH w:val="nil"/>
          <w:insideV w:val="single" w:sz="4" w:space="0" w:color="FFFFFF"/>
          <w:tl2br w:val="nil"/>
          <w:tr2bl w:val="nil"/>
        </w:tcBorders>
        <w:shd w:val="clear" w:color="auto" w:fill="B1E3E3"/>
      </w:tcPr>
    </w:tblStylePr>
    <w:tblStylePr w:type="band1Horz">
      <w:rPr>
        <w:rFonts w:cs="Times New Roman"/>
      </w:rPr>
      <w:tblPr/>
      <w:tcPr>
        <w:shd w:val="clear" w:color="auto" w:fill="DFE1DF"/>
      </w:tcPr>
    </w:tblStylePr>
  </w:style>
  <w:style w:type="paragraph" w:styleId="NormalWeb">
    <w:name w:val="Normal (Web)"/>
    <w:basedOn w:val="Normal"/>
    <w:uiPriority w:val="99"/>
    <w:unhideWhenUsed/>
    <w:rsid w:val="00CC4230"/>
    <w:pPr>
      <w:suppressAutoHyphens w:val="0"/>
      <w:spacing w:before="240" w:after="240" w:line="384" w:lineRule="atLeast"/>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0421">
      <w:bodyDiv w:val="1"/>
      <w:marLeft w:val="0"/>
      <w:marRight w:val="0"/>
      <w:marTop w:val="0"/>
      <w:marBottom w:val="0"/>
      <w:divBdr>
        <w:top w:val="none" w:sz="0" w:space="0" w:color="auto"/>
        <w:left w:val="none" w:sz="0" w:space="0" w:color="auto"/>
        <w:bottom w:val="none" w:sz="0" w:space="0" w:color="auto"/>
        <w:right w:val="none" w:sz="0" w:space="0" w:color="auto"/>
      </w:divBdr>
    </w:div>
    <w:div w:id="57166357">
      <w:bodyDiv w:val="1"/>
      <w:marLeft w:val="0"/>
      <w:marRight w:val="0"/>
      <w:marTop w:val="0"/>
      <w:marBottom w:val="0"/>
      <w:divBdr>
        <w:top w:val="none" w:sz="0" w:space="0" w:color="auto"/>
        <w:left w:val="none" w:sz="0" w:space="0" w:color="auto"/>
        <w:bottom w:val="none" w:sz="0" w:space="0" w:color="auto"/>
        <w:right w:val="none" w:sz="0" w:space="0" w:color="auto"/>
      </w:divBdr>
    </w:div>
    <w:div w:id="111558369">
      <w:bodyDiv w:val="1"/>
      <w:marLeft w:val="0"/>
      <w:marRight w:val="0"/>
      <w:marTop w:val="0"/>
      <w:marBottom w:val="0"/>
      <w:divBdr>
        <w:top w:val="none" w:sz="0" w:space="0" w:color="auto"/>
        <w:left w:val="none" w:sz="0" w:space="0" w:color="auto"/>
        <w:bottom w:val="none" w:sz="0" w:space="0" w:color="auto"/>
        <w:right w:val="none" w:sz="0" w:space="0" w:color="auto"/>
      </w:divBdr>
    </w:div>
    <w:div w:id="191694142">
      <w:bodyDiv w:val="1"/>
      <w:marLeft w:val="0"/>
      <w:marRight w:val="0"/>
      <w:marTop w:val="0"/>
      <w:marBottom w:val="0"/>
      <w:divBdr>
        <w:top w:val="none" w:sz="0" w:space="0" w:color="auto"/>
        <w:left w:val="none" w:sz="0" w:space="0" w:color="auto"/>
        <w:bottom w:val="none" w:sz="0" w:space="0" w:color="auto"/>
        <w:right w:val="none" w:sz="0" w:space="0" w:color="auto"/>
      </w:divBdr>
    </w:div>
    <w:div w:id="226309380">
      <w:bodyDiv w:val="1"/>
      <w:marLeft w:val="0"/>
      <w:marRight w:val="0"/>
      <w:marTop w:val="0"/>
      <w:marBottom w:val="0"/>
      <w:divBdr>
        <w:top w:val="none" w:sz="0" w:space="0" w:color="auto"/>
        <w:left w:val="none" w:sz="0" w:space="0" w:color="auto"/>
        <w:bottom w:val="none" w:sz="0" w:space="0" w:color="auto"/>
        <w:right w:val="none" w:sz="0" w:space="0" w:color="auto"/>
      </w:divBdr>
    </w:div>
    <w:div w:id="337392499">
      <w:bodyDiv w:val="1"/>
      <w:marLeft w:val="0"/>
      <w:marRight w:val="0"/>
      <w:marTop w:val="0"/>
      <w:marBottom w:val="0"/>
      <w:divBdr>
        <w:top w:val="none" w:sz="0" w:space="0" w:color="auto"/>
        <w:left w:val="none" w:sz="0" w:space="0" w:color="auto"/>
        <w:bottom w:val="none" w:sz="0" w:space="0" w:color="auto"/>
        <w:right w:val="none" w:sz="0" w:space="0" w:color="auto"/>
      </w:divBdr>
    </w:div>
    <w:div w:id="343476612">
      <w:bodyDiv w:val="1"/>
      <w:marLeft w:val="0"/>
      <w:marRight w:val="0"/>
      <w:marTop w:val="0"/>
      <w:marBottom w:val="0"/>
      <w:divBdr>
        <w:top w:val="none" w:sz="0" w:space="0" w:color="auto"/>
        <w:left w:val="none" w:sz="0" w:space="0" w:color="auto"/>
        <w:bottom w:val="none" w:sz="0" w:space="0" w:color="auto"/>
        <w:right w:val="none" w:sz="0" w:space="0" w:color="auto"/>
      </w:divBdr>
    </w:div>
    <w:div w:id="403382365">
      <w:bodyDiv w:val="1"/>
      <w:marLeft w:val="0"/>
      <w:marRight w:val="0"/>
      <w:marTop w:val="0"/>
      <w:marBottom w:val="0"/>
      <w:divBdr>
        <w:top w:val="none" w:sz="0" w:space="0" w:color="auto"/>
        <w:left w:val="none" w:sz="0" w:space="0" w:color="auto"/>
        <w:bottom w:val="none" w:sz="0" w:space="0" w:color="auto"/>
        <w:right w:val="none" w:sz="0" w:space="0" w:color="auto"/>
      </w:divBdr>
    </w:div>
    <w:div w:id="421952089">
      <w:bodyDiv w:val="1"/>
      <w:marLeft w:val="0"/>
      <w:marRight w:val="0"/>
      <w:marTop w:val="0"/>
      <w:marBottom w:val="0"/>
      <w:divBdr>
        <w:top w:val="none" w:sz="0" w:space="0" w:color="auto"/>
        <w:left w:val="none" w:sz="0" w:space="0" w:color="auto"/>
        <w:bottom w:val="none" w:sz="0" w:space="0" w:color="auto"/>
        <w:right w:val="none" w:sz="0" w:space="0" w:color="auto"/>
      </w:divBdr>
    </w:div>
    <w:div w:id="453599569">
      <w:bodyDiv w:val="1"/>
      <w:marLeft w:val="0"/>
      <w:marRight w:val="0"/>
      <w:marTop w:val="0"/>
      <w:marBottom w:val="0"/>
      <w:divBdr>
        <w:top w:val="none" w:sz="0" w:space="0" w:color="auto"/>
        <w:left w:val="none" w:sz="0" w:space="0" w:color="auto"/>
        <w:bottom w:val="none" w:sz="0" w:space="0" w:color="auto"/>
        <w:right w:val="none" w:sz="0" w:space="0" w:color="auto"/>
      </w:divBdr>
    </w:div>
    <w:div w:id="792208724">
      <w:bodyDiv w:val="1"/>
      <w:marLeft w:val="0"/>
      <w:marRight w:val="0"/>
      <w:marTop w:val="0"/>
      <w:marBottom w:val="0"/>
      <w:divBdr>
        <w:top w:val="none" w:sz="0" w:space="0" w:color="auto"/>
        <w:left w:val="none" w:sz="0" w:space="0" w:color="auto"/>
        <w:bottom w:val="none" w:sz="0" w:space="0" w:color="auto"/>
        <w:right w:val="none" w:sz="0" w:space="0" w:color="auto"/>
      </w:divBdr>
    </w:div>
    <w:div w:id="836577645">
      <w:bodyDiv w:val="1"/>
      <w:marLeft w:val="0"/>
      <w:marRight w:val="0"/>
      <w:marTop w:val="0"/>
      <w:marBottom w:val="0"/>
      <w:divBdr>
        <w:top w:val="none" w:sz="0" w:space="0" w:color="auto"/>
        <w:left w:val="none" w:sz="0" w:space="0" w:color="auto"/>
        <w:bottom w:val="none" w:sz="0" w:space="0" w:color="auto"/>
        <w:right w:val="none" w:sz="0" w:space="0" w:color="auto"/>
      </w:divBdr>
    </w:div>
    <w:div w:id="963464971">
      <w:bodyDiv w:val="1"/>
      <w:marLeft w:val="0"/>
      <w:marRight w:val="0"/>
      <w:marTop w:val="0"/>
      <w:marBottom w:val="0"/>
      <w:divBdr>
        <w:top w:val="none" w:sz="0" w:space="0" w:color="auto"/>
        <w:left w:val="none" w:sz="0" w:space="0" w:color="auto"/>
        <w:bottom w:val="none" w:sz="0" w:space="0" w:color="auto"/>
        <w:right w:val="none" w:sz="0" w:space="0" w:color="auto"/>
      </w:divBdr>
    </w:div>
    <w:div w:id="1002320705">
      <w:bodyDiv w:val="1"/>
      <w:marLeft w:val="0"/>
      <w:marRight w:val="0"/>
      <w:marTop w:val="0"/>
      <w:marBottom w:val="0"/>
      <w:divBdr>
        <w:top w:val="none" w:sz="0" w:space="0" w:color="auto"/>
        <w:left w:val="none" w:sz="0" w:space="0" w:color="auto"/>
        <w:bottom w:val="none" w:sz="0" w:space="0" w:color="auto"/>
        <w:right w:val="none" w:sz="0" w:space="0" w:color="auto"/>
      </w:divBdr>
    </w:div>
    <w:div w:id="1016274894">
      <w:bodyDiv w:val="1"/>
      <w:marLeft w:val="0"/>
      <w:marRight w:val="0"/>
      <w:marTop w:val="0"/>
      <w:marBottom w:val="0"/>
      <w:divBdr>
        <w:top w:val="none" w:sz="0" w:space="0" w:color="auto"/>
        <w:left w:val="none" w:sz="0" w:space="0" w:color="auto"/>
        <w:bottom w:val="none" w:sz="0" w:space="0" w:color="auto"/>
        <w:right w:val="none" w:sz="0" w:space="0" w:color="auto"/>
      </w:divBdr>
    </w:div>
    <w:div w:id="1075124562">
      <w:bodyDiv w:val="1"/>
      <w:marLeft w:val="0"/>
      <w:marRight w:val="0"/>
      <w:marTop w:val="0"/>
      <w:marBottom w:val="0"/>
      <w:divBdr>
        <w:top w:val="none" w:sz="0" w:space="0" w:color="auto"/>
        <w:left w:val="none" w:sz="0" w:space="0" w:color="auto"/>
        <w:bottom w:val="none" w:sz="0" w:space="0" w:color="auto"/>
        <w:right w:val="none" w:sz="0" w:space="0" w:color="auto"/>
      </w:divBdr>
    </w:div>
    <w:div w:id="1130129725">
      <w:bodyDiv w:val="1"/>
      <w:marLeft w:val="0"/>
      <w:marRight w:val="0"/>
      <w:marTop w:val="0"/>
      <w:marBottom w:val="0"/>
      <w:divBdr>
        <w:top w:val="none" w:sz="0" w:space="0" w:color="auto"/>
        <w:left w:val="none" w:sz="0" w:space="0" w:color="auto"/>
        <w:bottom w:val="none" w:sz="0" w:space="0" w:color="auto"/>
        <w:right w:val="none" w:sz="0" w:space="0" w:color="auto"/>
      </w:divBdr>
    </w:div>
    <w:div w:id="1151946527">
      <w:bodyDiv w:val="1"/>
      <w:marLeft w:val="0"/>
      <w:marRight w:val="0"/>
      <w:marTop w:val="0"/>
      <w:marBottom w:val="0"/>
      <w:divBdr>
        <w:top w:val="none" w:sz="0" w:space="0" w:color="auto"/>
        <w:left w:val="none" w:sz="0" w:space="0" w:color="auto"/>
        <w:bottom w:val="none" w:sz="0" w:space="0" w:color="auto"/>
        <w:right w:val="none" w:sz="0" w:space="0" w:color="auto"/>
      </w:divBdr>
    </w:div>
    <w:div w:id="1163667950">
      <w:bodyDiv w:val="1"/>
      <w:marLeft w:val="0"/>
      <w:marRight w:val="0"/>
      <w:marTop w:val="0"/>
      <w:marBottom w:val="0"/>
      <w:divBdr>
        <w:top w:val="none" w:sz="0" w:space="0" w:color="auto"/>
        <w:left w:val="none" w:sz="0" w:space="0" w:color="auto"/>
        <w:bottom w:val="none" w:sz="0" w:space="0" w:color="auto"/>
        <w:right w:val="none" w:sz="0" w:space="0" w:color="auto"/>
      </w:divBdr>
    </w:div>
    <w:div w:id="1268854667">
      <w:bodyDiv w:val="1"/>
      <w:marLeft w:val="0"/>
      <w:marRight w:val="0"/>
      <w:marTop w:val="0"/>
      <w:marBottom w:val="0"/>
      <w:divBdr>
        <w:top w:val="none" w:sz="0" w:space="0" w:color="auto"/>
        <w:left w:val="none" w:sz="0" w:space="0" w:color="auto"/>
        <w:bottom w:val="none" w:sz="0" w:space="0" w:color="auto"/>
        <w:right w:val="none" w:sz="0" w:space="0" w:color="auto"/>
      </w:divBdr>
    </w:div>
    <w:div w:id="1334799919">
      <w:bodyDiv w:val="1"/>
      <w:marLeft w:val="0"/>
      <w:marRight w:val="0"/>
      <w:marTop w:val="0"/>
      <w:marBottom w:val="0"/>
      <w:divBdr>
        <w:top w:val="none" w:sz="0" w:space="0" w:color="auto"/>
        <w:left w:val="none" w:sz="0" w:space="0" w:color="auto"/>
        <w:bottom w:val="none" w:sz="0" w:space="0" w:color="auto"/>
        <w:right w:val="none" w:sz="0" w:space="0" w:color="auto"/>
      </w:divBdr>
    </w:div>
    <w:div w:id="1414277060">
      <w:bodyDiv w:val="1"/>
      <w:marLeft w:val="0"/>
      <w:marRight w:val="0"/>
      <w:marTop w:val="0"/>
      <w:marBottom w:val="0"/>
      <w:divBdr>
        <w:top w:val="none" w:sz="0" w:space="0" w:color="auto"/>
        <w:left w:val="none" w:sz="0" w:space="0" w:color="auto"/>
        <w:bottom w:val="none" w:sz="0" w:space="0" w:color="auto"/>
        <w:right w:val="none" w:sz="0" w:space="0" w:color="auto"/>
      </w:divBdr>
    </w:div>
    <w:div w:id="1431050867">
      <w:bodyDiv w:val="1"/>
      <w:marLeft w:val="0"/>
      <w:marRight w:val="0"/>
      <w:marTop w:val="0"/>
      <w:marBottom w:val="0"/>
      <w:divBdr>
        <w:top w:val="none" w:sz="0" w:space="0" w:color="auto"/>
        <w:left w:val="none" w:sz="0" w:space="0" w:color="auto"/>
        <w:bottom w:val="none" w:sz="0" w:space="0" w:color="auto"/>
        <w:right w:val="none" w:sz="0" w:space="0" w:color="auto"/>
      </w:divBdr>
    </w:div>
    <w:div w:id="1539775924">
      <w:bodyDiv w:val="1"/>
      <w:marLeft w:val="0"/>
      <w:marRight w:val="0"/>
      <w:marTop w:val="0"/>
      <w:marBottom w:val="0"/>
      <w:divBdr>
        <w:top w:val="none" w:sz="0" w:space="0" w:color="auto"/>
        <w:left w:val="none" w:sz="0" w:space="0" w:color="auto"/>
        <w:bottom w:val="none" w:sz="0" w:space="0" w:color="auto"/>
        <w:right w:val="none" w:sz="0" w:space="0" w:color="auto"/>
      </w:divBdr>
    </w:div>
    <w:div w:id="1567759638">
      <w:bodyDiv w:val="1"/>
      <w:marLeft w:val="0"/>
      <w:marRight w:val="0"/>
      <w:marTop w:val="0"/>
      <w:marBottom w:val="0"/>
      <w:divBdr>
        <w:top w:val="none" w:sz="0" w:space="0" w:color="auto"/>
        <w:left w:val="none" w:sz="0" w:space="0" w:color="auto"/>
        <w:bottom w:val="none" w:sz="0" w:space="0" w:color="auto"/>
        <w:right w:val="none" w:sz="0" w:space="0" w:color="auto"/>
      </w:divBdr>
    </w:div>
    <w:div w:id="1600478863">
      <w:bodyDiv w:val="1"/>
      <w:marLeft w:val="0"/>
      <w:marRight w:val="0"/>
      <w:marTop w:val="0"/>
      <w:marBottom w:val="0"/>
      <w:divBdr>
        <w:top w:val="none" w:sz="0" w:space="0" w:color="auto"/>
        <w:left w:val="none" w:sz="0" w:space="0" w:color="auto"/>
        <w:bottom w:val="none" w:sz="0" w:space="0" w:color="auto"/>
        <w:right w:val="none" w:sz="0" w:space="0" w:color="auto"/>
      </w:divBdr>
    </w:div>
    <w:div w:id="1608192880">
      <w:bodyDiv w:val="1"/>
      <w:marLeft w:val="0"/>
      <w:marRight w:val="0"/>
      <w:marTop w:val="0"/>
      <w:marBottom w:val="0"/>
      <w:divBdr>
        <w:top w:val="none" w:sz="0" w:space="0" w:color="auto"/>
        <w:left w:val="none" w:sz="0" w:space="0" w:color="auto"/>
        <w:bottom w:val="none" w:sz="0" w:space="0" w:color="auto"/>
        <w:right w:val="none" w:sz="0" w:space="0" w:color="auto"/>
      </w:divBdr>
    </w:div>
    <w:div w:id="1620139001">
      <w:bodyDiv w:val="1"/>
      <w:marLeft w:val="0"/>
      <w:marRight w:val="0"/>
      <w:marTop w:val="0"/>
      <w:marBottom w:val="0"/>
      <w:divBdr>
        <w:top w:val="none" w:sz="0" w:space="0" w:color="auto"/>
        <w:left w:val="none" w:sz="0" w:space="0" w:color="auto"/>
        <w:bottom w:val="none" w:sz="0" w:space="0" w:color="auto"/>
        <w:right w:val="none" w:sz="0" w:space="0" w:color="auto"/>
      </w:divBdr>
    </w:div>
    <w:div w:id="1632395849">
      <w:bodyDiv w:val="1"/>
      <w:marLeft w:val="0"/>
      <w:marRight w:val="0"/>
      <w:marTop w:val="0"/>
      <w:marBottom w:val="0"/>
      <w:divBdr>
        <w:top w:val="none" w:sz="0" w:space="0" w:color="auto"/>
        <w:left w:val="none" w:sz="0" w:space="0" w:color="auto"/>
        <w:bottom w:val="none" w:sz="0" w:space="0" w:color="auto"/>
        <w:right w:val="none" w:sz="0" w:space="0" w:color="auto"/>
      </w:divBdr>
    </w:div>
    <w:div w:id="1738625780">
      <w:bodyDiv w:val="1"/>
      <w:marLeft w:val="0"/>
      <w:marRight w:val="0"/>
      <w:marTop w:val="0"/>
      <w:marBottom w:val="0"/>
      <w:divBdr>
        <w:top w:val="none" w:sz="0" w:space="0" w:color="auto"/>
        <w:left w:val="none" w:sz="0" w:space="0" w:color="auto"/>
        <w:bottom w:val="none" w:sz="0" w:space="0" w:color="auto"/>
        <w:right w:val="none" w:sz="0" w:space="0" w:color="auto"/>
      </w:divBdr>
    </w:div>
    <w:div w:id="1781879059">
      <w:bodyDiv w:val="1"/>
      <w:marLeft w:val="0"/>
      <w:marRight w:val="0"/>
      <w:marTop w:val="0"/>
      <w:marBottom w:val="0"/>
      <w:divBdr>
        <w:top w:val="none" w:sz="0" w:space="0" w:color="auto"/>
        <w:left w:val="none" w:sz="0" w:space="0" w:color="auto"/>
        <w:bottom w:val="none" w:sz="0" w:space="0" w:color="auto"/>
        <w:right w:val="none" w:sz="0" w:space="0" w:color="auto"/>
      </w:divBdr>
    </w:div>
    <w:div w:id="1793359074">
      <w:bodyDiv w:val="1"/>
      <w:marLeft w:val="0"/>
      <w:marRight w:val="0"/>
      <w:marTop w:val="0"/>
      <w:marBottom w:val="0"/>
      <w:divBdr>
        <w:top w:val="none" w:sz="0" w:space="0" w:color="auto"/>
        <w:left w:val="none" w:sz="0" w:space="0" w:color="auto"/>
        <w:bottom w:val="none" w:sz="0" w:space="0" w:color="auto"/>
        <w:right w:val="none" w:sz="0" w:space="0" w:color="auto"/>
      </w:divBdr>
    </w:div>
    <w:div w:id="1948928858">
      <w:bodyDiv w:val="1"/>
      <w:marLeft w:val="0"/>
      <w:marRight w:val="0"/>
      <w:marTop w:val="0"/>
      <w:marBottom w:val="0"/>
      <w:divBdr>
        <w:top w:val="none" w:sz="0" w:space="0" w:color="auto"/>
        <w:left w:val="none" w:sz="0" w:space="0" w:color="auto"/>
        <w:bottom w:val="none" w:sz="0" w:space="0" w:color="auto"/>
        <w:right w:val="none" w:sz="0" w:space="0" w:color="auto"/>
      </w:divBdr>
    </w:div>
    <w:div w:id="2088919030">
      <w:bodyDiv w:val="1"/>
      <w:marLeft w:val="0"/>
      <w:marRight w:val="0"/>
      <w:marTop w:val="0"/>
      <w:marBottom w:val="0"/>
      <w:divBdr>
        <w:top w:val="none" w:sz="0" w:space="0" w:color="auto"/>
        <w:left w:val="none" w:sz="0" w:space="0" w:color="auto"/>
        <w:bottom w:val="none" w:sz="0" w:space="0" w:color="auto"/>
        <w:right w:val="none" w:sz="0" w:space="0" w:color="auto"/>
      </w:divBdr>
    </w:div>
    <w:div w:id="2119986395">
      <w:bodyDiv w:val="1"/>
      <w:marLeft w:val="0"/>
      <w:marRight w:val="0"/>
      <w:marTop w:val="0"/>
      <w:marBottom w:val="0"/>
      <w:divBdr>
        <w:top w:val="none" w:sz="0" w:space="0" w:color="auto"/>
        <w:left w:val="none" w:sz="0" w:space="0" w:color="auto"/>
        <w:bottom w:val="none" w:sz="0" w:space="0" w:color="auto"/>
        <w:right w:val="none" w:sz="0" w:space="0" w:color="auto"/>
      </w:divBdr>
    </w:div>
    <w:div w:id="213863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communitygrants.gov.au" TargetMode="External"/><Relationship Id="rId13" Type="http://schemas.openxmlformats.org/officeDocument/2006/relationships/hyperlink" Target="mailto:support@communitygrants.gov.au" TargetMode="External"/><Relationship Id="rId18" Type="http://schemas.openxmlformats.org/officeDocument/2006/relationships/hyperlink" Target="https://www.grants.gov.au/?event=public.home" TargetMode="External"/><Relationship Id="rId26" Type="http://schemas.openxmlformats.org/officeDocument/2006/relationships/hyperlink" Target="http://www.ombudsman.gov.au/" TargetMode="External"/><Relationship Id="rId3" Type="http://schemas.openxmlformats.org/officeDocument/2006/relationships/styles" Target="styles.xml"/><Relationship Id="rId21" Type="http://schemas.openxmlformats.org/officeDocument/2006/relationships/hyperlink" Target="https://www.grants.gov.a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edit.finance.gov.au/sites/default/files/commonwealth-grants-rules-and-guidelines.pdf" TargetMode="External"/><Relationship Id="rId17" Type="http://schemas.openxmlformats.org/officeDocument/2006/relationships/hyperlink" Target="http://www.finance.gov.au/financial-framework/financial-management-policy-guidance/grants/grant-agreement-template-project.html" TargetMode="External"/><Relationship Id="rId25" Type="http://schemas.openxmlformats.org/officeDocument/2006/relationships/hyperlink" Target="mailto:ombudsman@ombudsman.gov.au"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grants.gov.au/" TargetMode="External"/><Relationship Id="rId20" Type="http://schemas.openxmlformats.org/officeDocument/2006/relationships/hyperlink" Target="http://www.ato.gov.au/" TargetMode="External"/><Relationship Id="rId29" Type="http://schemas.openxmlformats.org/officeDocument/2006/relationships/hyperlink" Target="mailto:foi@dss.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rants.gov.au/?event=public.home" TargetMode="External"/><Relationship Id="rId24" Type="http://schemas.openxmlformats.org/officeDocument/2006/relationships/hyperlink" Target="https://www.dss.gov.au/contact/feedback-compliments-complaints-and-enquiries/feedback-form"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support@communitygrants.gov.au" TargetMode="External"/><Relationship Id="rId23" Type="http://schemas.openxmlformats.org/officeDocument/2006/relationships/hyperlink" Target="mailto:FSBCoord@ag.gov.au" TargetMode="External"/><Relationship Id="rId28" Type="http://schemas.openxmlformats.org/officeDocument/2006/relationships/hyperlink" Target="http://www.comlaw.gov.au/Details/C2014C00757" TargetMode="External"/><Relationship Id="rId10" Type="http://schemas.openxmlformats.org/officeDocument/2006/relationships/hyperlink" Target="https://www.communitygrants.gov.au/grants" TargetMode="External"/><Relationship Id="rId19" Type="http://schemas.openxmlformats.org/officeDocument/2006/relationships/hyperlink" Target="file://prod.protected.ind/User/user03/LLau2/insert%20link%20here"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rants.gov.au/?event=public.home" TargetMode="External"/><Relationship Id="rId14" Type="http://schemas.openxmlformats.org/officeDocument/2006/relationships/hyperlink" Target="mailto:support@communitygrants.gov.au" TargetMode="External"/><Relationship Id="rId22" Type="http://schemas.openxmlformats.org/officeDocument/2006/relationships/hyperlink" Target="http://www.communitygrants.gov.au/" TargetMode="External"/><Relationship Id="rId27" Type="http://schemas.openxmlformats.org/officeDocument/2006/relationships/hyperlink" Target="http://www.apsc.gov.au/publications-and-media/current-publications/aps-values-and-code-of-conduct-in-practice/conflict-of-interest" TargetMode="External"/><Relationship Id="rId30" Type="http://schemas.openxmlformats.org/officeDocument/2006/relationships/hyperlink" Target="https://www.finance.gov.au/sites/default/files/commonwealth-grants-rules-and-guidelines.pdf" TargetMode="External"/><Relationship Id="rId35" Type="http://schemas.openxmlformats.org/officeDocument/2006/relationships/theme" Target="theme/theme1.xml"/></Relationships>
</file>

<file path=word/theme/theme1.xml><?xml version="1.0" encoding="utf-8"?>
<a:theme xmlns:a="http://schemas.openxmlformats.org/drawingml/2006/main" name="Finance 3 Yellow">
  <a:themeElements>
    <a:clrScheme name="Finance - Yellow">
      <a:dk1>
        <a:sysClr val="windowText" lastClr="000000"/>
      </a:dk1>
      <a:lt1>
        <a:sysClr val="window" lastClr="FFFFFF"/>
      </a:lt1>
      <a:dk2>
        <a:srgbClr val="1C1C1C"/>
      </a:dk2>
      <a:lt2>
        <a:srgbClr val="E2E3E2"/>
      </a:lt2>
      <a:accent1>
        <a:srgbClr val="FFF38A"/>
      </a:accent1>
      <a:accent2>
        <a:srgbClr val="F8DD00"/>
      </a:accent2>
      <a:accent3>
        <a:srgbClr val="E8B600"/>
      </a:accent3>
      <a:accent4>
        <a:srgbClr val="19806D"/>
      </a:accent4>
      <a:accent5>
        <a:srgbClr val="C94A2C"/>
      </a:accent5>
      <a:accent6>
        <a:srgbClr val="645493"/>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3 Yellow" id="{B9EA25B3-17DD-4FD3-A0D3-E4911F1B5539}" vid="{0B6E4290-9791-402B-A8FB-3646B0021F6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B02F5-ABC0-4482-82F5-627DE1268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5893</Words>
  <Characters>33595</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WORKMAN, Reid</cp:lastModifiedBy>
  <cp:revision>2</cp:revision>
  <cp:lastPrinted>2017-07-07T04:46:00Z</cp:lastPrinted>
  <dcterms:created xsi:type="dcterms:W3CDTF">2019-01-29T02:55:00Z</dcterms:created>
  <dcterms:modified xsi:type="dcterms:W3CDTF">2019-01-29T02:55:00Z</dcterms:modified>
  <cp:contentStatus/>
</cp:coreProperties>
</file>