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DB" w:rsidRPr="008F0B87" w:rsidRDefault="00182330" w:rsidP="008F0B87">
      <w:pPr>
        <w:pStyle w:val="Heading1"/>
      </w:pPr>
      <w:r w:rsidRPr="008F0B87">
        <w:t>Murray-Darling Ba</w:t>
      </w:r>
      <w:r w:rsidR="005D231C" w:rsidRPr="008F0B87">
        <w:t>sin Economic Development Program</w:t>
      </w:r>
      <w:r w:rsidR="00601E06" w:rsidRPr="008F0B87">
        <w:t xml:space="preserve"> Guidelines</w:t>
      </w:r>
    </w:p>
    <w:p w:rsidR="00FB1AF6" w:rsidRPr="00FB1AF6" w:rsidRDefault="00FB1AF6" w:rsidP="00FB1AF6"/>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60"/>
        <w:gridCol w:w="5929"/>
      </w:tblGrid>
      <w:tr w:rsidR="004E0D50" w:rsidRPr="004E0D50" w:rsidTr="00A951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B1460B" w:rsidRPr="004E0D50" w:rsidRDefault="00B1460B" w:rsidP="00624853">
            <w:r w:rsidRPr="004E0D50">
              <w:t>Opening date:</w:t>
            </w:r>
          </w:p>
        </w:tc>
        <w:tc>
          <w:tcPr>
            <w:tcW w:w="5929" w:type="dxa"/>
          </w:tcPr>
          <w:p w:rsidR="00B1460B" w:rsidRPr="00A95135" w:rsidRDefault="00A529F5" w:rsidP="00A529F5">
            <w:pPr>
              <w:cnfStyle w:val="100000000000" w:firstRow="1" w:lastRow="0" w:firstColumn="0" w:lastColumn="0" w:oddVBand="0" w:evenVBand="0" w:oddHBand="0" w:evenHBand="0" w:firstRowFirstColumn="0" w:firstRowLastColumn="0" w:lastRowFirstColumn="0" w:lastRowLastColumn="0"/>
              <w:rPr>
                <w:b w:val="0"/>
              </w:rPr>
            </w:pPr>
            <w:r>
              <w:rPr>
                <w:b w:val="0"/>
              </w:rPr>
              <w:t>31 January 2019</w:t>
            </w:r>
          </w:p>
        </w:tc>
      </w:tr>
      <w:tr w:rsidR="004E0D50" w:rsidRPr="004E0D50" w:rsidTr="00A951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rsidR="00B1460B" w:rsidRPr="004E0D50" w:rsidRDefault="00B1460B" w:rsidP="00624853">
            <w:r w:rsidRPr="004E0D50">
              <w:t>Closing date and time:</w:t>
            </w:r>
          </w:p>
        </w:tc>
        <w:tc>
          <w:tcPr>
            <w:tcW w:w="5929" w:type="dxa"/>
            <w:shd w:val="clear" w:color="auto" w:fill="auto"/>
          </w:tcPr>
          <w:p w:rsidR="00B1460B" w:rsidRPr="00A95135" w:rsidRDefault="004E49D2" w:rsidP="00A81FF6">
            <w:pPr>
              <w:spacing w:before="240"/>
              <w:cnfStyle w:val="100000000000" w:firstRow="1" w:lastRow="0" w:firstColumn="0" w:lastColumn="0" w:oddVBand="0" w:evenVBand="0" w:oddHBand="0" w:evenHBand="0" w:firstRowFirstColumn="0" w:firstRowLastColumn="0" w:lastRowFirstColumn="0" w:lastRowLastColumn="0"/>
              <w:rPr>
                <w:b w:val="0"/>
              </w:rPr>
            </w:pPr>
            <w:r w:rsidRPr="00A95135">
              <w:rPr>
                <w:b w:val="0"/>
              </w:rPr>
              <w:t xml:space="preserve">11.00pm AEDT on </w:t>
            </w:r>
            <w:r w:rsidR="00A529F5" w:rsidRPr="00A529F5">
              <w:rPr>
                <w:b w:val="0"/>
              </w:rPr>
              <w:t>10 March 2019</w:t>
            </w:r>
          </w:p>
        </w:tc>
      </w:tr>
      <w:tr w:rsidR="004E0D50" w:rsidRPr="004E0D50" w:rsidTr="00A951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rsidR="00B1460B" w:rsidRPr="004E0D50" w:rsidRDefault="00B1460B" w:rsidP="00624853">
            <w:r w:rsidRPr="004E0D50">
              <w:t>Commonwealth policy entity:</w:t>
            </w:r>
          </w:p>
        </w:tc>
        <w:tc>
          <w:tcPr>
            <w:tcW w:w="5929" w:type="dxa"/>
            <w:shd w:val="clear" w:color="auto" w:fill="auto"/>
          </w:tcPr>
          <w:p w:rsidR="00B1460B" w:rsidRPr="00A95135" w:rsidRDefault="00182330" w:rsidP="00624853">
            <w:pPr>
              <w:cnfStyle w:val="100000000000" w:firstRow="1" w:lastRow="0" w:firstColumn="0" w:lastColumn="0" w:oddVBand="0" w:evenVBand="0" w:oddHBand="0" w:evenHBand="0" w:firstRowFirstColumn="0" w:firstRowLastColumn="0" w:lastRowFirstColumn="0" w:lastRowLastColumn="0"/>
              <w:rPr>
                <w:b w:val="0"/>
              </w:rPr>
            </w:pPr>
            <w:r w:rsidRPr="00A95135">
              <w:rPr>
                <w:b w:val="0"/>
              </w:rPr>
              <w:t>Department of Agriculture and Water Resources</w:t>
            </w:r>
          </w:p>
        </w:tc>
      </w:tr>
      <w:tr w:rsidR="004E0D50" w:rsidRPr="004E0D50" w:rsidTr="00A951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rsidR="0077121A" w:rsidRPr="004E0D50" w:rsidRDefault="0077121A" w:rsidP="0077121A">
            <w:r w:rsidRPr="004E0D50">
              <w:t>Administering entity</w:t>
            </w:r>
          </w:p>
        </w:tc>
        <w:tc>
          <w:tcPr>
            <w:tcW w:w="5929" w:type="dxa"/>
            <w:shd w:val="clear" w:color="auto" w:fill="auto"/>
          </w:tcPr>
          <w:p w:rsidR="0077121A" w:rsidRPr="00A95135" w:rsidRDefault="00D71E33" w:rsidP="005B433D">
            <w:pPr>
              <w:cnfStyle w:val="100000000000" w:firstRow="1" w:lastRow="0" w:firstColumn="0" w:lastColumn="0" w:oddVBand="0" w:evenVBand="0" w:oddHBand="0" w:evenHBand="0" w:firstRowFirstColumn="0" w:firstRowLastColumn="0" w:lastRowFirstColumn="0" w:lastRowLastColumn="0"/>
              <w:rPr>
                <w:b w:val="0"/>
              </w:rPr>
            </w:pPr>
            <w:r w:rsidRPr="00A95135">
              <w:rPr>
                <w:b w:val="0"/>
              </w:rPr>
              <w:t xml:space="preserve">Community Grants Hub </w:t>
            </w:r>
          </w:p>
        </w:tc>
      </w:tr>
      <w:tr w:rsidR="004E0D50" w:rsidRPr="004E0D50" w:rsidTr="00A951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rsidR="00D71E33" w:rsidRPr="004E0D50" w:rsidRDefault="00D71E33" w:rsidP="00D71E33">
            <w:r w:rsidRPr="004E0D50">
              <w:t>Enquiries:</w:t>
            </w:r>
          </w:p>
        </w:tc>
        <w:tc>
          <w:tcPr>
            <w:tcW w:w="5929" w:type="dxa"/>
            <w:shd w:val="clear" w:color="auto" w:fill="auto"/>
          </w:tcPr>
          <w:p w:rsidR="00D71E33" w:rsidRPr="00A95135" w:rsidRDefault="00D71E33" w:rsidP="00D71E33">
            <w:pPr>
              <w:cnfStyle w:val="100000000000" w:firstRow="1" w:lastRow="0" w:firstColumn="0" w:lastColumn="0" w:oddVBand="0" w:evenVBand="0" w:oddHBand="0" w:evenHBand="0" w:firstRowFirstColumn="0" w:firstRowLastColumn="0" w:lastRowFirstColumn="0" w:lastRowLastColumn="0"/>
              <w:rPr>
                <w:b w:val="0"/>
              </w:rPr>
            </w:pPr>
            <w:r w:rsidRPr="00A95135">
              <w:rPr>
                <w:b w:val="0"/>
              </w:rPr>
              <w:t xml:space="preserve">If you have any questions, contact </w:t>
            </w:r>
          </w:p>
          <w:p w:rsidR="00D71E33" w:rsidRPr="00A95135" w:rsidRDefault="00D71E33" w:rsidP="00D71E33">
            <w:pPr>
              <w:cnfStyle w:val="100000000000" w:firstRow="1" w:lastRow="0" w:firstColumn="0" w:lastColumn="0" w:oddVBand="0" w:evenVBand="0" w:oddHBand="0" w:evenHBand="0" w:firstRowFirstColumn="0" w:firstRowLastColumn="0" w:lastRowFirstColumn="0" w:lastRowLastColumn="0"/>
              <w:rPr>
                <w:b w:val="0"/>
              </w:rPr>
            </w:pPr>
            <w:r w:rsidRPr="00A95135">
              <w:rPr>
                <w:b w:val="0"/>
              </w:rPr>
              <w:t>Community Grants Hub</w:t>
            </w:r>
          </w:p>
          <w:p w:rsidR="00D71E33" w:rsidRPr="00A95135" w:rsidRDefault="00D71E33" w:rsidP="00D71E33">
            <w:pPr>
              <w:cnfStyle w:val="100000000000" w:firstRow="1" w:lastRow="0" w:firstColumn="0" w:lastColumn="0" w:oddVBand="0" w:evenVBand="0" w:oddHBand="0" w:evenHBand="0" w:firstRowFirstColumn="0" w:firstRowLastColumn="0" w:lastRowFirstColumn="0" w:lastRowLastColumn="0"/>
              <w:rPr>
                <w:b w:val="0"/>
              </w:rPr>
            </w:pPr>
            <w:r w:rsidRPr="00A95135">
              <w:rPr>
                <w:b w:val="0"/>
              </w:rPr>
              <w:t>Phone: 1800 020 283</w:t>
            </w:r>
          </w:p>
          <w:p w:rsidR="00D71E33" w:rsidRPr="00A95135" w:rsidRDefault="00D71E33" w:rsidP="00D71E33">
            <w:pPr>
              <w:cnfStyle w:val="100000000000" w:firstRow="1" w:lastRow="0" w:firstColumn="0" w:lastColumn="0" w:oddVBand="0" w:evenVBand="0" w:oddHBand="0" w:evenHBand="0" w:firstRowFirstColumn="0" w:firstRowLastColumn="0" w:lastRowFirstColumn="0" w:lastRowLastColumn="0"/>
              <w:rPr>
                <w:b w:val="0"/>
              </w:rPr>
            </w:pPr>
            <w:r w:rsidRPr="00A95135">
              <w:rPr>
                <w:b w:val="0"/>
              </w:rPr>
              <w:t xml:space="preserve">Email: </w:t>
            </w:r>
            <w:hyperlink r:id="rId13" w:history="1">
              <w:r w:rsidRPr="00A95135">
                <w:rPr>
                  <w:rStyle w:val="Hyperlink"/>
                  <w:b w:val="0"/>
                  <w:color w:val="auto"/>
                </w:rPr>
                <w:t>support@communitygrants.gov.au</w:t>
              </w:r>
            </w:hyperlink>
          </w:p>
          <w:p w:rsidR="00D71E33" w:rsidRPr="00A95135" w:rsidRDefault="00D71E33" w:rsidP="00A529F5">
            <w:pPr>
              <w:cnfStyle w:val="100000000000" w:firstRow="1" w:lastRow="0" w:firstColumn="0" w:lastColumn="0" w:oddVBand="0" w:evenVBand="0" w:oddHBand="0" w:evenHBand="0" w:firstRowFirstColumn="0" w:firstRowLastColumn="0" w:lastRowFirstColumn="0" w:lastRowLastColumn="0"/>
              <w:rPr>
                <w:b w:val="0"/>
              </w:rPr>
            </w:pPr>
            <w:r w:rsidRPr="00A95135">
              <w:rPr>
                <w:b w:val="0"/>
              </w:rPr>
              <w:t xml:space="preserve">Questions should be sent no later than </w:t>
            </w:r>
            <w:r w:rsidR="00A529F5">
              <w:rPr>
                <w:b w:val="0"/>
              </w:rPr>
              <w:t>3 March 2019</w:t>
            </w:r>
          </w:p>
        </w:tc>
      </w:tr>
      <w:tr w:rsidR="004E0D50" w:rsidRPr="004E0D50" w:rsidTr="00A951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rsidR="00D71E33" w:rsidRPr="004E0D50" w:rsidRDefault="00D71E33" w:rsidP="00D71E33">
            <w:r w:rsidRPr="004E0D50">
              <w:t>Date guidelines released:</w:t>
            </w:r>
          </w:p>
        </w:tc>
        <w:tc>
          <w:tcPr>
            <w:tcW w:w="5929" w:type="dxa"/>
            <w:shd w:val="clear" w:color="auto" w:fill="auto"/>
          </w:tcPr>
          <w:p w:rsidR="00D71E33" w:rsidRPr="00A529F5" w:rsidRDefault="00A529F5" w:rsidP="00D71E33">
            <w:pPr>
              <w:cnfStyle w:val="100000000000" w:firstRow="1" w:lastRow="0" w:firstColumn="0" w:lastColumn="0" w:oddVBand="0" w:evenVBand="0" w:oddHBand="0" w:evenHBand="0" w:firstRowFirstColumn="0" w:firstRowLastColumn="0" w:lastRowFirstColumn="0" w:lastRowLastColumn="0"/>
              <w:rPr>
                <w:b w:val="0"/>
              </w:rPr>
            </w:pPr>
            <w:r w:rsidRPr="00A529F5">
              <w:rPr>
                <w:b w:val="0"/>
              </w:rPr>
              <w:t>31 January 2019</w:t>
            </w:r>
          </w:p>
        </w:tc>
      </w:tr>
      <w:tr w:rsidR="004E0D50" w:rsidRPr="004E0D50" w:rsidTr="00A951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rsidR="00D71E33" w:rsidRPr="004E0D50" w:rsidRDefault="00D71E33" w:rsidP="00D71E33">
            <w:r w:rsidRPr="004E0D50">
              <w:t>Type of grant opportunity:</w:t>
            </w:r>
          </w:p>
        </w:tc>
        <w:tc>
          <w:tcPr>
            <w:tcW w:w="5929" w:type="dxa"/>
            <w:shd w:val="clear" w:color="auto" w:fill="auto"/>
          </w:tcPr>
          <w:p w:rsidR="00D71E33" w:rsidRPr="00A95135" w:rsidRDefault="005F6DB1" w:rsidP="005F6DB1">
            <w:pPr>
              <w:cnfStyle w:val="100000000000" w:firstRow="1" w:lastRow="0" w:firstColumn="0" w:lastColumn="0" w:oddVBand="0" w:evenVBand="0" w:oddHBand="0" w:evenHBand="0" w:firstRowFirstColumn="0" w:firstRowLastColumn="0" w:lastRowFirstColumn="0" w:lastRowLastColumn="0"/>
              <w:rPr>
                <w:b w:val="0"/>
              </w:rPr>
            </w:pPr>
            <w:r w:rsidRPr="00A95135">
              <w:rPr>
                <w:b w:val="0"/>
              </w:rPr>
              <w:t xml:space="preserve">Open </w:t>
            </w:r>
            <w:r w:rsidR="00D71E33" w:rsidRPr="00A95135">
              <w:rPr>
                <w:b w:val="0"/>
              </w:rPr>
              <w:t>competitive</w:t>
            </w:r>
          </w:p>
        </w:tc>
      </w:tr>
    </w:tbl>
    <w:p w:rsidR="00C108BC" w:rsidRPr="004E0D50" w:rsidRDefault="00C108BC" w:rsidP="00077C3D"/>
    <w:p w:rsidR="003871B6" w:rsidRPr="004E0D50" w:rsidRDefault="003871B6" w:rsidP="00077C3D">
      <w:pPr>
        <w:sectPr w:rsidR="003871B6" w:rsidRPr="004E0D50" w:rsidSect="00077C3D">
          <w:headerReference w:type="first" r:id="rId14"/>
          <w:type w:val="continuous"/>
          <w:pgSz w:w="11907" w:h="16840" w:code="9"/>
          <w:pgMar w:top="1418" w:right="1418" w:bottom="1418" w:left="1701" w:header="709" w:footer="709" w:gutter="0"/>
          <w:cols w:space="708"/>
          <w:vAlign w:val="center"/>
          <w:titlePg/>
          <w:docGrid w:linePitch="360"/>
        </w:sectPr>
      </w:pPr>
    </w:p>
    <w:p w:rsidR="00227D98" w:rsidRPr="004E0D50" w:rsidRDefault="00E31F9B" w:rsidP="008F0B87">
      <w:pPr>
        <w:pStyle w:val="Heading1"/>
      </w:pPr>
      <w:bookmarkStart w:id="0" w:name="_Toc164844258"/>
      <w:bookmarkStart w:id="1" w:name="_Toc383003250"/>
      <w:bookmarkStart w:id="2" w:name="_Toc164844257"/>
      <w:r w:rsidRPr="004E0D50">
        <w:lastRenderedPageBreak/>
        <w:t>Contents</w:t>
      </w:r>
      <w:bookmarkEnd w:id="0"/>
      <w:bookmarkEnd w:id="1"/>
    </w:p>
    <w:p w:rsidR="00567A76" w:rsidRPr="004E0D50" w:rsidRDefault="004A238A">
      <w:pPr>
        <w:pStyle w:val="TOC2"/>
        <w:rPr>
          <w:rFonts w:asciiTheme="minorHAnsi" w:eastAsiaTheme="minorEastAsia" w:hAnsiTheme="minorHAnsi" w:cstheme="minorBidi"/>
          <w:b w:val="0"/>
          <w:noProof/>
          <w:sz w:val="22"/>
          <w:lang w:val="en-AU" w:eastAsia="en-AU"/>
        </w:rPr>
      </w:pPr>
      <w:r w:rsidRPr="004E0D50">
        <w:rPr>
          <w:szCs w:val="28"/>
        </w:rPr>
        <w:fldChar w:fldCharType="begin"/>
      </w:r>
      <w:r w:rsidRPr="004E0D50">
        <w:rPr>
          <w:szCs w:val="28"/>
        </w:rPr>
        <w:instrText xml:space="preserve"> TOC \o "2-9" </w:instrText>
      </w:r>
      <w:r w:rsidRPr="004E0D50">
        <w:rPr>
          <w:szCs w:val="28"/>
        </w:rPr>
        <w:fldChar w:fldCharType="separate"/>
      </w:r>
      <w:r w:rsidR="00567A76" w:rsidRPr="004E0D50">
        <w:rPr>
          <w:noProof/>
        </w:rPr>
        <w:t>1</w:t>
      </w:r>
      <w:r w:rsidR="00567A76" w:rsidRPr="004E0D50">
        <w:rPr>
          <w:rFonts w:asciiTheme="minorHAnsi" w:eastAsiaTheme="minorEastAsia" w:hAnsiTheme="minorHAnsi" w:cstheme="minorBidi"/>
          <w:b w:val="0"/>
          <w:noProof/>
          <w:sz w:val="22"/>
          <w:lang w:val="en-AU" w:eastAsia="en-AU"/>
        </w:rPr>
        <w:tab/>
      </w:r>
      <w:r w:rsidR="00567A76" w:rsidRPr="004E0D50">
        <w:rPr>
          <w:noProof/>
        </w:rPr>
        <w:t>Murray-Darling Basin Economic Development Program: Grant process</w:t>
      </w:r>
      <w:r w:rsidR="00567A76" w:rsidRPr="004E0D50">
        <w:rPr>
          <w:noProof/>
        </w:rPr>
        <w:tab/>
      </w:r>
      <w:r w:rsidR="00567A76" w:rsidRPr="004E0D50">
        <w:rPr>
          <w:noProof/>
        </w:rPr>
        <w:fldChar w:fldCharType="begin"/>
      </w:r>
      <w:r w:rsidR="00567A76" w:rsidRPr="004E0D50">
        <w:rPr>
          <w:noProof/>
        </w:rPr>
        <w:instrText xml:space="preserve"> PAGEREF _Toc536623329 \h </w:instrText>
      </w:r>
      <w:r w:rsidR="00567A76" w:rsidRPr="004E0D50">
        <w:rPr>
          <w:noProof/>
        </w:rPr>
      </w:r>
      <w:r w:rsidR="00567A76" w:rsidRPr="004E0D50">
        <w:rPr>
          <w:noProof/>
        </w:rPr>
        <w:fldChar w:fldCharType="separate"/>
      </w:r>
      <w:r w:rsidR="00CD0514">
        <w:rPr>
          <w:noProof/>
        </w:rPr>
        <w:t>4</w:t>
      </w:r>
      <w:r w:rsidR="00567A76"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1.1</w:t>
      </w:r>
      <w:r w:rsidRPr="004E0D50">
        <w:rPr>
          <w:rFonts w:asciiTheme="minorHAnsi" w:eastAsiaTheme="minorEastAsia" w:hAnsiTheme="minorHAnsi" w:cstheme="minorBidi"/>
          <w:noProof/>
          <w:sz w:val="22"/>
          <w:lang w:val="en-AU" w:eastAsia="en-AU"/>
        </w:rPr>
        <w:tab/>
      </w:r>
      <w:r w:rsidRPr="004E0D50">
        <w:rPr>
          <w:noProof/>
        </w:rPr>
        <w:t>Introduction</w:t>
      </w:r>
      <w:r w:rsidRPr="004E0D50">
        <w:rPr>
          <w:noProof/>
        </w:rPr>
        <w:tab/>
      </w:r>
      <w:r w:rsidRPr="004E0D50">
        <w:rPr>
          <w:noProof/>
        </w:rPr>
        <w:fldChar w:fldCharType="begin"/>
      </w:r>
      <w:r w:rsidRPr="004E0D50">
        <w:rPr>
          <w:noProof/>
        </w:rPr>
        <w:instrText xml:space="preserve"> PAGEREF _Toc536623330 \h </w:instrText>
      </w:r>
      <w:r w:rsidRPr="004E0D50">
        <w:rPr>
          <w:noProof/>
        </w:rPr>
      </w:r>
      <w:r w:rsidRPr="004E0D50">
        <w:rPr>
          <w:noProof/>
        </w:rPr>
        <w:fldChar w:fldCharType="separate"/>
      </w:r>
      <w:r w:rsidR="00CD0514">
        <w:rPr>
          <w:noProof/>
        </w:rPr>
        <w:t>5</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2</w:t>
      </w:r>
      <w:r w:rsidRPr="004E0D50">
        <w:rPr>
          <w:rFonts w:asciiTheme="minorHAnsi" w:eastAsiaTheme="minorEastAsia" w:hAnsiTheme="minorHAnsi" w:cstheme="minorBidi"/>
          <w:b w:val="0"/>
          <w:noProof/>
          <w:sz w:val="22"/>
          <w:lang w:val="en-AU" w:eastAsia="en-AU"/>
        </w:rPr>
        <w:tab/>
      </w:r>
      <w:r w:rsidRPr="004E0D50">
        <w:rPr>
          <w:noProof/>
        </w:rPr>
        <w:t>About the grant program</w:t>
      </w:r>
      <w:r w:rsidRPr="004E0D50">
        <w:rPr>
          <w:noProof/>
        </w:rPr>
        <w:tab/>
      </w:r>
      <w:r w:rsidRPr="004E0D50">
        <w:rPr>
          <w:noProof/>
        </w:rPr>
        <w:fldChar w:fldCharType="begin"/>
      </w:r>
      <w:r w:rsidRPr="004E0D50">
        <w:rPr>
          <w:noProof/>
        </w:rPr>
        <w:instrText xml:space="preserve"> PAGEREF _Toc536623331 \h </w:instrText>
      </w:r>
      <w:r w:rsidRPr="004E0D50">
        <w:rPr>
          <w:noProof/>
        </w:rPr>
      </w:r>
      <w:r w:rsidRPr="004E0D50">
        <w:rPr>
          <w:noProof/>
        </w:rPr>
        <w:fldChar w:fldCharType="separate"/>
      </w:r>
      <w:r w:rsidR="00CD0514">
        <w:rPr>
          <w:noProof/>
        </w:rPr>
        <w:t>5</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3</w:t>
      </w:r>
      <w:r w:rsidRPr="004E0D50">
        <w:rPr>
          <w:rFonts w:asciiTheme="minorHAnsi" w:eastAsiaTheme="minorEastAsia" w:hAnsiTheme="minorHAnsi" w:cstheme="minorBidi"/>
          <w:b w:val="0"/>
          <w:noProof/>
          <w:sz w:val="22"/>
          <w:lang w:val="en-AU" w:eastAsia="en-AU"/>
        </w:rPr>
        <w:tab/>
      </w:r>
      <w:r w:rsidRPr="004E0D50">
        <w:rPr>
          <w:noProof/>
        </w:rPr>
        <w:t>Grant amount and grant period</w:t>
      </w:r>
      <w:r w:rsidRPr="004E0D50">
        <w:rPr>
          <w:noProof/>
        </w:rPr>
        <w:tab/>
      </w:r>
      <w:r w:rsidRPr="004E0D50">
        <w:rPr>
          <w:noProof/>
        </w:rPr>
        <w:fldChar w:fldCharType="begin"/>
      </w:r>
      <w:r w:rsidRPr="004E0D50">
        <w:rPr>
          <w:noProof/>
        </w:rPr>
        <w:instrText xml:space="preserve"> PAGEREF _Toc536623332 \h </w:instrText>
      </w:r>
      <w:r w:rsidRPr="004E0D50">
        <w:rPr>
          <w:noProof/>
        </w:rPr>
      </w:r>
      <w:r w:rsidRPr="004E0D50">
        <w:rPr>
          <w:noProof/>
        </w:rPr>
        <w:fldChar w:fldCharType="separate"/>
      </w:r>
      <w:r w:rsidR="00CD0514">
        <w:rPr>
          <w:noProof/>
        </w:rPr>
        <w:t>6</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3.1</w:t>
      </w:r>
      <w:r w:rsidRPr="004E0D50">
        <w:rPr>
          <w:rFonts w:asciiTheme="minorHAnsi" w:eastAsiaTheme="minorEastAsia" w:hAnsiTheme="minorHAnsi" w:cstheme="minorBidi"/>
          <w:noProof/>
          <w:sz w:val="22"/>
          <w:lang w:val="en-AU" w:eastAsia="en-AU"/>
        </w:rPr>
        <w:tab/>
      </w:r>
      <w:r w:rsidRPr="004E0D50">
        <w:rPr>
          <w:noProof/>
        </w:rPr>
        <w:t>Grants available</w:t>
      </w:r>
      <w:r w:rsidRPr="004E0D50">
        <w:rPr>
          <w:noProof/>
        </w:rPr>
        <w:tab/>
      </w:r>
      <w:r w:rsidRPr="004E0D50">
        <w:rPr>
          <w:noProof/>
        </w:rPr>
        <w:fldChar w:fldCharType="begin"/>
      </w:r>
      <w:r w:rsidRPr="004E0D50">
        <w:rPr>
          <w:noProof/>
        </w:rPr>
        <w:instrText xml:space="preserve"> PAGEREF _Toc536623333 \h </w:instrText>
      </w:r>
      <w:r w:rsidRPr="004E0D50">
        <w:rPr>
          <w:noProof/>
        </w:rPr>
      </w:r>
      <w:r w:rsidRPr="004E0D50">
        <w:rPr>
          <w:noProof/>
        </w:rPr>
        <w:fldChar w:fldCharType="separate"/>
      </w:r>
      <w:r w:rsidR="00CD0514">
        <w:rPr>
          <w:noProof/>
        </w:rPr>
        <w:t>6</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3.2</w:t>
      </w:r>
      <w:r w:rsidRPr="004E0D50">
        <w:rPr>
          <w:rFonts w:asciiTheme="minorHAnsi" w:eastAsiaTheme="minorEastAsia" w:hAnsiTheme="minorHAnsi" w:cstheme="minorBidi"/>
          <w:noProof/>
          <w:sz w:val="22"/>
          <w:lang w:val="en-AU" w:eastAsia="en-AU"/>
        </w:rPr>
        <w:tab/>
      </w:r>
      <w:r w:rsidRPr="004E0D50">
        <w:rPr>
          <w:noProof/>
        </w:rPr>
        <w:t>Grant period</w:t>
      </w:r>
      <w:r w:rsidRPr="004E0D50">
        <w:rPr>
          <w:noProof/>
        </w:rPr>
        <w:tab/>
      </w:r>
      <w:r w:rsidRPr="004E0D50">
        <w:rPr>
          <w:noProof/>
        </w:rPr>
        <w:fldChar w:fldCharType="begin"/>
      </w:r>
      <w:r w:rsidRPr="004E0D50">
        <w:rPr>
          <w:noProof/>
        </w:rPr>
        <w:instrText xml:space="preserve"> PAGEREF _Toc536623334 \h </w:instrText>
      </w:r>
      <w:r w:rsidRPr="004E0D50">
        <w:rPr>
          <w:noProof/>
        </w:rPr>
      </w:r>
      <w:r w:rsidRPr="004E0D50">
        <w:rPr>
          <w:noProof/>
        </w:rPr>
        <w:fldChar w:fldCharType="separate"/>
      </w:r>
      <w:r w:rsidR="00CD0514">
        <w:rPr>
          <w:noProof/>
        </w:rPr>
        <w:t>7</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4</w:t>
      </w:r>
      <w:r w:rsidRPr="004E0D50">
        <w:rPr>
          <w:rFonts w:asciiTheme="minorHAnsi" w:eastAsiaTheme="minorEastAsia" w:hAnsiTheme="minorHAnsi" w:cstheme="minorBidi"/>
          <w:b w:val="0"/>
          <w:noProof/>
          <w:sz w:val="22"/>
          <w:lang w:val="en-AU" w:eastAsia="en-AU"/>
        </w:rPr>
        <w:tab/>
      </w:r>
      <w:r w:rsidRPr="004E0D50">
        <w:rPr>
          <w:noProof/>
        </w:rPr>
        <w:t>Eligibility criteria</w:t>
      </w:r>
      <w:r w:rsidRPr="004E0D50">
        <w:rPr>
          <w:noProof/>
        </w:rPr>
        <w:tab/>
      </w:r>
      <w:r w:rsidRPr="004E0D50">
        <w:rPr>
          <w:noProof/>
        </w:rPr>
        <w:fldChar w:fldCharType="begin"/>
      </w:r>
      <w:r w:rsidRPr="004E0D50">
        <w:rPr>
          <w:noProof/>
        </w:rPr>
        <w:instrText xml:space="preserve"> PAGEREF _Toc536623335 \h </w:instrText>
      </w:r>
      <w:r w:rsidRPr="004E0D50">
        <w:rPr>
          <w:noProof/>
        </w:rPr>
      </w:r>
      <w:r w:rsidRPr="004E0D50">
        <w:rPr>
          <w:noProof/>
        </w:rPr>
        <w:fldChar w:fldCharType="separate"/>
      </w:r>
      <w:r w:rsidR="00CD0514">
        <w:rPr>
          <w:noProof/>
        </w:rPr>
        <w:t>7</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4.1</w:t>
      </w:r>
      <w:r w:rsidRPr="004E0D50">
        <w:rPr>
          <w:rFonts w:asciiTheme="minorHAnsi" w:eastAsiaTheme="minorEastAsia" w:hAnsiTheme="minorHAnsi" w:cstheme="minorBidi"/>
          <w:noProof/>
          <w:sz w:val="22"/>
          <w:lang w:val="en-AU" w:eastAsia="en-AU"/>
        </w:rPr>
        <w:tab/>
      </w:r>
      <w:r w:rsidRPr="004E0D50">
        <w:rPr>
          <w:noProof/>
        </w:rPr>
        <w:t>Who is eligible to apply for a grant?</w:t>
      </w:r>
      <w:r w:rsidRPr="004E0D50">
        <w:rPr>
          <w:noProof/>
        </w:rPr>
        <w:tab/>
      </w:r>
      <w:r w:rsidRPr="004E0D50">
        <w:rPr>
          <w:noProof/>
        </w:rPr>
        <w:fldChar w:fldCharType="begin"/>
      </w:r>
      <w:r w:rsidRPr="004E0D50">
        <w:rPr>
          <w:noProof/>
        </w:rPr>
        <w:instrText xml:space="preserve"> PAGEREF _Toc536623336 \h </w:instrText>
      </w:r>
      <w:r w:rsidRPr="004E0D50">
        <w:rPr>
          <w:noProof/>
        </w:rPr>
      </w:r>
      <w:r w:rsidRPr="004E0D50">
        <w:rPr>
          <w:noProof/>
        </w:rPr>
        <w:fldChar w:fldCharType="separate"/>
      </w:r>
      <w:r w:rsidR="00CD0514">
        <w:rPr>
          <w:noProof/>
        </w:rPr>
        <w:t>7</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4.2</w:t>
      </w:r>
      <w:r w:rsidRPr="004E0D50">
        <w:rPr>
          <w:rFonts w:asciiTheme="minorHAnsi" w:eastAsiaTheme="minorEastAsia" w:hAnsiTheme="minorHAnsi" w:cstheme="minorBidi"/>
          <w:noProof/>
          <w:sz w:val="22"/>
          <w:lang w:val="en-AU" w:eastAsia="en-AU"/>
        </w:rPr>
        <w:tab/>
      </w:r>
      <w:r w:rsidRPr="004E0D50">
        <w:rPr>
          <w:noProof/>
        </w:rPr>
        <w:t>Additional eligibility requirements</w:t>
      </w:r>
      <w:r w:rsidRPr="004E0D50">
        <w:rPr>
          <w:noProof/>
        </w:rPr>
        <w:tab/>
      </w:r>
      <w:r w:rsidRPr="004E0D50">
        <w:rPr>
          <w:noProof/>
        </w:rPr>
        <w:fldChar w:fldCharType="begin"/>
      </w:r>
      <w:r w:rsidRPr="004E0D50">
        <w:rPr>
          <w:noProof/>
        </w:rPr>
        <w:instrText xml:space="preserve"> PAGEREF _Toc536623337 \h </w:instrText>
      </w:r>
      <w:r w:rsidRPr="004E0D50">
        <w:rPr>
          <w:noProof/>
        </w:rPr>
      </w:r>
      <w:r w:rsidRPr="004E0D50">
        <w:rPr>
          <w:noProof/>
        </w:rPr>
        <w:fldChar w:fldCharType="separate"/>
      </w:r>
      <w:r w:rsidR="00CD0514">
        <w:rPr>
          <w:noProof/>
        </w:rPr>
        <w:t>7</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4.3</w:t>
      </w:r>
      <w:r w:rsidRPr="004E0D50">
        <w:rPr>
          <w:rFonts w:asciiTheme="minorHAnsi" w:eastAsiaTheme="minorEastAsia" w:hAnsiTheme="minorHAnsi" w:cstheme="minorBidi"/>
          <w:noProof/>
          <w:sz w:val="22"/>
          <w:lang w:val="en-AU" w:eastAsia="en-AU"/>
        </w:rPr>
        <w:tab/>
      </w:r>
      <w:r w:rsidRPr="004E0D50">
        <w:rPr>
          <w:noProof/>
        </w:rPr>
        <w:t>Who is not eligible to apply for a grant?</w:t>
      </w:r>
      <w:r w:rsidRPr="004E0D50">
        <w:rPr>
          <w:noProof/>
        </w:rPr>
        <w:tab/>
      </w:r>
      <w:r w:rsidRPr="004E0D50">
        <w:rPr>
          <w:noProof/>
        </w:rPr>
        <w:fldChar w:fldCharType="begin"/>
      </w:r>
      <w:r w:rsidRPr="004E0D50">
        <w:rPr>
          <w:noProof/>
        </w:rPr>
        <w:instrText xml:space="preserve"> PAGEREF _Toc536623338 \h </w:instrText>
      </w:r>
      <w:r w:rsidRPr="004E0D50">
        <w:rPr>
          <w:noProof/>
        </w:rPr>
      </w:r>
      <w:r w:rsidRPr="004E0D50">
        <w:rPr>
          <w:noProof/>
        </w:rPr>
        <w:fldChar w:fldCharType="separate"/>
      </w:r>
      <w:r w:rsidR="00CD0514">
        <w:rPr>
          <w:noProof/>
        </w:rPr>
        <w:t>8</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5</w:t>
      </w:r>
      <w:r w:rsidRPr="004E0D50">
        <w:rPr>
          <w:rFonts w:asciiTheme="minorHAnsi" w:eastAsiaTheme="minorEastAsia" w:hAnsiTheme="minorHAnsi" w:cstheme="minorBidi"/>
          <w:b w:val="0"/>
          <w:noProof/>
          <w:sz w:val="22"/>
          <w:lang w:val="en-AU" w:eastAsia="en-AU"/>
        </w:rPr>
        <w:tab/>
      </w:r>
      <w:r w:rsidRPr="004E0D50">
        <w:rPr>
          <w:noProof/>
        </w:rPr>
        <w:t>What the grant money can be used for</w:t>
      </w:r>
      <w:r w:rsidRPr="004E0D50">
        <w:rPr>
          <w:noProof/>
        </w:rPr>
        <w:tab/>
      </w:r>
      <w:r w:rsidRPr="004E0D50">
        <w:rPr>
          <w:noProof/>
        </w:rPr>
        <w:fldChar w:fldCharType="begin"/>
      </w:r>
      <w:r w:rsidRPr="004E0D50">
        <w:rPr>
          <w:noProof/>
        </w:rPr>
        <w:instrText xml:space="preserve"> PAGEREF _Toc536623339 \h </w:instrText>
      </w:r>
      <w:r w:rsidRPr="004E0D50">
        <w:rPr>
          <w:noProof/>
        </w:rPr>
      </w:r>
      <w:r w:rsidRPr="004E0D50">
        <w:rPr>
          <w:noProof/>
        </w:rPr>
        <w:fldChar w:fldCharType="separate"/>
      </w:r>
      <w:r w:rsidR="00CD0514">
        <w:rPr>
          <w:noProof/>
        </w:rPr>
        <w:t>9</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5.1</w:t>
      </w:r>
      <w:r w:rsidRPr="004E0D50">
        <w:rPr>
          <w:rFonts w:asciiTheme="minorHAnsi" w:eastAsiaTheme="minorEastAsia" w:hAnsiTheme="minorHAnsi" w:cstheme="minorBidi"/>
          <w:noProof/>
          <w:sz w:val="22"/>
          <w:lang w:val="en-AU" w:eastAsia="en-AU"/>
        </w:rPr>
        <w:tab/>
      </w:r>
      <w:r w:rsidRPr="004E0D50">
        <w:rPr>
          <w:noProof/>
        </w:rPr>
        <w:t>Eligible grant activities</w:t>
      </w:r>
      <w:r w:rsidRPr="004E0D50">
        <w:rPr>
          <w:noProof/>
        </w:rPr>
        <w:tab/>
      </w:r>
      <w:r w:rsidRPr="004E0D50">
        <w:rPr>
          <w:noProof/>
        </w:rPr>
        <w:fldChar w:fldCharType="begin"/>
      </w:r>
      <w:r w:rsidRPr="004E0D50">
        <w:rPr>
          <w:noProof/>
        </w:rPr>
        <w:instrText xml:space="preserve"> PAGEREF _Toc536623340 \h </w:instrText>
      </w:r>
      <w:r w:rsidRPr="004E0D50">
        <w:rPr>
          <w:noProof/>
        </w:rPr>
      </w:r>
      <w:r w:rsidRPr="004E0D50">
        <w:rPr>
          <w:noProof/>
        </w:rPr>
        <w:fldChar w:fldCharType="separate"/>
      </w:r>
      <w:r w:rsidR="00CD0514">
        <w:rPr>
          <w:noProof/>
        </w:rPr>
        <w:t>9</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5.2</w:t>
      </w:r>
      <w:r w:rsidRPr="004E0D50">
        <w:rPr>
          <w:rFonts w:asciiTheme="minorHAnsi" w:eastAsiaTheme="minorEastAsia" w:hAnsiTheme="minorHAnsi" w:cstheme="minorBidi"/>
          <w:noProof/>
          <w:sz w:val="22"/>
          <w:lang w:val="en-AU" w:eastAsia="en-AU"/>
        </w:rPr>
        <w:tab/>
      </w:r>
      <w:r w:rsidRPr="004E0D50">
        <w:rPr>
          <w:noProof/>
        </w:rPr>
        <w:t>Eligible locations</w:t>
      </w:r>
      <w:r w:rsidRPr="004E0D50">
        <w:rPr>
          <w:noProof/>
        </w:rPr>
        <w:tab/>
      </w:r>
      <w:r w:rsidRPr="004E0D50">
        <w:rPr>
          <w:noProof/>
        </w:rPr>
        <w:fldChar w:fldCharType="begin"/>
      </w:r>
      <w:r w:rsidRPr="004E0D50">
        <w:rPr>
          <w:noProof/>
        </w:rPr>
        <w:instrText xml:space="preserve"> PAGEREF _Toc536623341 \h </w:instrText>
      </w:r>
      <w:r w:rsidRPr="004E0D50">
        <w:rPr>
          <w:noProof/>
        </w:rPr>
      </w:r>
      <w:r w:rsidRPr="004E0D50">
        <w:rPr>
          <w:noProof/>
        </w:rPr>
        <w:fldChar w:fldCharType="separate"/>
      </w:r>
      <w:r w:rsidR="00CD0514">
        <w:rPr>
          <w:noProof/>
        </w:rPr>
        <w:t>10</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5.3</w:t>
      </w:r>
      <w:r w:rsidRPr="004E0D50">
        <w:rPr>
          <w:rFonts w:asciiTheme="minorHAnsi" w:eastAsiaTheme="minorEastAsia" w:hAnsiTheme="minorHAnsi" w:cstheme="minorBidi"/>
          <w:noProof/>
          <w:sz w:val="22"/>
          <w:lang w:val="en-AU" w:eastAsia="en-AU"/>
        </w:rPr>
        <w:tab/>
      </w:r>
      <w:r w:rsidRPr="004E0D50">
        <w:rPr>
          <w:noProof/>
        </w:rPr>
        <w:t>Eligible expenditure</w:t>
      </w:r>
      <w:r w:rsidRPr="004E0D50">
        <w:rPr>
          <w:noProof/>
        </w:rPr>
        <w:tab/>
      </w:r>
      <w:r w:rsidRPr="004E0D50">
        <w:rPr>
          <w:noProof/>
        </w:rPr>
        <w:fldChar w:fldCharType="begin"/>
      </w:r>
      <w:r w:rsidRPr="004E0D50">
        <w:rPr>
          <w:noProof/>
        </w:rPr>
        <w:instrText xml:space="preserve"> PAGEREF _Toc536623342 \h </w:instrText>
      </w:r>
      <w:r w:rsidRPr="004E0D50">
        <w:rPr>
          <w:noProof/>
        </w:rPr>
      </w:r>
      <w:r w:rsidRPr="004E0D50">
        <w:rPr>
          <w:noProof/>
        </w:rPr>
        <w:fldChar w:fldCharType="separate"/>
      </w:r>
      <w:r w:rsidR="00CD0514">
        <w:rPr>
          <w:noProof/>
        </w:rPr>
        <w:t>10</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5.4</w:t>
      </w:r>
      <w:r w:rsidRPr="004E0D50">
        <w:rPr>
          <w:rFonts w:asciiTheme="minorHAnsi" w:eastAsiaTheme="minorEastAsia" w:hAnsiTheme="minorHAnsi" w:cstheme="minorBidi"/>
          <w:noProof/>
          <w:sz w:val="22"/>
          <w:lang w:val="en-AU" w:eastAsia="en-AU"/>
        </w:rPr>
        <w:tab/>
      </w:r>
      <w:r w:rsidRPr="004E0D50">
        <w:rPr>
          <w:noProof/>
        </w:rPr>
        <w:t>What the grant money cannot be used for</w:t>
      </w:r>
      <w:r w:rsidRPr="004E0D50">
        <w:rPr>
          <w:noProof/>
        </w:rPr>
        <w:tab/>
      </w:r>
      <w:r w:rsidRPr="004E0D50">
        <w:rPr>
          <w:noProof/>
        </w:rPr>
        <w:fldChar w:fldCharType="begin"/>
      </w:r>
      <w:r w:rsidRPr="004E0D50">
        <w:rPr>
          <w:noProof/>
        </w:rPr>
        <w:instrText xml:space="preserve"> PAGEREF _Toc536623343 \h </w:instrText>
      </w:r>
      <w:r w:rsidRPr="004E0D50">
        <w:rPr>
          <w:noProof/>
        </w:rPr>
      </w:r>
      <w:r w:rsidRPr="004E0D50">
        <w:rPr>
          <w:noProof/>
        </w:rPr>
        <w:fldChar w:fldCharType="separate"/>
      </w:r>
      <w:r w:rsidR="00CD0514">
        <w:rPr>
          <w:noProof/>
        </w:rPr>
        <w:t>10</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6</w:t>
      </w:r>
      <w:r w:rsidRPr="004E0D50">
        <w:rPr>
          <w:rFonts w:asciiTheme="minorHAnsi" w:eastAsiaTheme="minorEastAsia" w:hAnsiTheme="minorHAnsi" w:cstheme="minorBidi"/>
          <w:b w:val="0"/>
          <w:noProof/>
          <w:sz w:val="22"/>
          <w:lang w:val="en-AU" w:eastAsia="en-AU"/>
        </w:rPr>
        <w:tab/>
      </w:r>
      <w:r w:rsidRPr="004E0D50">
        <w:rPr>
          <w:noProof/>
        </w:rPr>
        <w:t>The assessment criteria</w:t>
      </w:r>
      <w:r w:rsidRPr="004E0D50">
        <w:rPr>
          <w:noProof/>
        </w:rPr>
        <w:tab/>
      </w:r>
      <w:r w:rsidRPr="004E0D50">
        <w:rPr>
          <w:noProof/>
        </w:rPr>
        <w:fldChar w:fldCharType="begin"/>
      </w:r>
      <w:r w:rsidRPr="004E0D50">
        <w:rPr>
          <w:noProof/>
        </w:rPr>
        <w:instrText xml:space="preserve"> PAGEREF _Toc536623344 \h </w:instrText>
      </w:r>
      <w:r w:rsidRPr="004E0D50">
        <w:rPr>
          <w:noProof/>
        </w:rPr>
      </w:r>
      <w:r w:rsidRPr="004E0D50">
        <w:rPr>
          <w:noProof/>
        </w:rPr>
        <w:fldChar w:fldCharType="separate"/>
      </w:r>
      <w:r w:rsidR="00CD0514">
        <w:rPr>
          <w:noProof/>
        </w:rPr>
        <w:t>11</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7</w:t>
      </w:r>
      <w:r w:rsidRPr="004E0D50">
        <w:rPr>
          <w:rFonts w:asciiTheme="minorHAnsi" w:eastAsiaTheme="minorEastAsia" w:hAnsiTheme="minorHAnsi" w:cstheme="minorBidi"/>
          <w:b w:val="0"/>
          <w:noProof/>
          <w:sz w:val="22"/>
          <w:lang w:val="en-AU" w:eastAsia="en-AU"/>
        </w:rPr>
        <w:tab/>
      </w:r>
      <w:r w:rsidRPr="004E0D50">
        <w:rPr>
          <w:noProof/>
        </w:rPr>
        <w:t>How to apply</w:t>
      </w:r>
      <w:r w:rsidRPr="004E0D50">
        <w:rPr>
          <w:noProof/>
        </w:rPr>
        <w:tab/>
      </w:r>
      <w:r w:rsidRPr="004E0D50">
        <w:rPr>
          <w:noProof/>
        </w:rPr>
        <w:fldChar w:fldCharType="begin"/>
      </w:r>
      <w:r w:rsidRPr="004E0D50">
        <w:rPr>
          <w:noProof/>
        </w:rPr>
        <w:instrText xml:space="preserve"> PAGEREF _Toc536623345 \h </w:instrText>
      </w:r>
      <w:r w:rsidRPr="004E0D50">
        <w:rPr>
          <w:noProof/>
        </w:rPr>
      </w:r>
      <w:r w:rsidRPr="004E0D50">
        <w:rPr>
          <w:noProof/>
        </w:rPr>
        <w:fldChar w:fldCharType="separate"/>
      </w:r>
      <w:r w:rsidR="00CD0514">
        <w:rPr>
          <w:noProof/>
        </w:rPr>
        <w:t>12</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7.1</w:t>
      </w:r>
      <w:r w:rsidRPr="004E0D50">
        <w:rPr>
          <w:rFonts w:asciiTheme="minorHAnsi" w:eastAsiaTheme="minorEastAsia" w:hAnsiTheme="minorHAnsi" w:cstheme="minorBidi"/>
          <w:noProof/>
          <w:sz w:val="22"/>
          <w:lang w:val="en-AU" w:eastAsia="en-AU"/>
        </w:rPr>
        <w:tab/>
      </w:r>
      <w:r w:rsidRPr="004E0D50">
        <w:rPr>
          <w:noProof/>
        </w:rPr>
        <w:t>Attachments to the application</w:t>
      </w:r>
      <w:r w:rsidRPr="004E0D50">
        <w:rPr>
          <w:noProof/>
        </w:rPr>
        <w:tab/>
      </w:r>
      <w:r w:rsidRPr="004E0D50">
        <w:rPr>
          <w:noProof/>
        </w:rPr>
        <w:fldChar w:fldCharType="begin"/>
      </w:r>
      <w:r w:rsidRPr="004E0D50">
        <w:rPr>
          <w:noProof/>
        </w:rPr>
        <w:instrText xml:space="preserve"> PAGEREF _Toc536623346 \h </w:instrText>
      </w:r>
      <w:r w:rsidRPr="004E0D50">
        <w:rPr>
          <w:noProof/>
        </w:rPr>
      </w:r>
      <w:r w:rsidRPr="004E0D50">
        <w:rPr>
          <w:noProof/>
        </w:rPr>
        <w:fldChar w:fldCharType="separate"/>
      </w:r>
      <w:r w:rsidR="00CD0514">
        <w:rPr>
          <w:noProof/>
        </w:rPr>
        <w:t>13</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7.2</w:t>
      </w:r>
      <w:r w:rsidRPr="004E0D50">
        <w:rPr>
          <w:rFonts w:asciiTheme="minorHAnsi" w:eastAsiaTheme="minorEastAsia" w:hAnsiTheme="minorHAnsi" w:cstheme="minorBidi"/>
          <w:noProof/>
          <w:sz w:val="22"/>
          <w:lang w:val="en-AU" w:eastAsia="en-AU"/>
        </w:rPr>
        <w:tab/>
      </w:r>
      <w:r w:rsidRPr="004E0D50">
        <w:rPr>
          <w:noProof/>
        </w:rPr>
        <w:t>Joint consortia applications</w:t>
      </w:r>
      <w:r w:rsidRPr="004E0D50">
        <w:rPr>
          <w:noProof/>
        </w:rPr>
        <w:tab/>
      </w:r>
      <w:r w:rsidRPr="004E0D50">
        <w:rPr>
          <w:noProof/>
        </w:rPr>
        <w:fldChar w:fldCharType="begin"/>
      </w:r>
      <w:r w:rsidRPr="004E0D50">
        <w:rPr>
          <w:noProof/>
        </w:rPr>
        <w:instrText xml:space="preserve"> PAGEREF _Toc536623347 \h </w:instrText>
      </w:r>
      <w:r w:rsidRPr="004E0D50">
        <w:rPr>
          <w:noProof/>
        </w:rPr>
      </w:r>
      <w:r w:rsidRPr="004E0D50">
        <w:rPr>
          <w:noProof/>
        </w:rPr>
        <w:fldChar w:fldCharType="separate"/>
      </w:r>
      <w:r w:rsidR="00CD0514">
        <w:rPr>
          <w:noProof/>
        </w:rPr>
        <w:t>13</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7.3</w:t>
      </w:r>
      <w:r w:rsidRPr="004E0D50">
        <w:rPr>
          <w:rFonts w:asciiTheme="minorHAnsi" w:eastAsiaTheme="minorEastAsia" w:hAnsiTheme="minorHAnsi" w:cstheme="minorBidi"/>
          <w:noProof/>
          <w:sz w:val="22"/>
          <w:lang w:val="en-AU" w:eastAsia="en-AU"/>
        </w:rPr>
        <w:tab/>
      </w:r>
      <w:r w:rsidRPr="004E0D50">
        <w:rPr>
          <w:noProof/>
        </w:rPr>
        <w:t>Timing of grant opportunity processes</w:t>
      </w:r>
      <w:r w:rsidRPr="004E0D50">
        <w:rPr>
          <w:noProof/>
        </w:rPr>
        <w:tab/>
      </w:r>
      <w:r w:rsidRPr="004E0D50">
        <w:rPr>
          <w:noProof/>
        </w:rPr>
        <w:fldChar w:fldCharType="begin"/>
      </w:r>
      <w:r w:rsidRPr="004E0D50">
        <w:rPr>
          <w:noProof/>
        </w:rPr>
        <w:instrText xml:space="preserve"> PAGEREF _Toc536623348 \h </w:instrText>
      </w:r>
      <w:r w:rsidRPr="004E0D50">
        <w:rPr>
          <w:noProof/>
        </w:rPr>
      </w:r>
      <w:r w:rsidRPr="004E0D50">
        <w:rPr>
          <w:noProof/>
        </w:rPr>
        <w:fldChar w:fldCharType="separate"/>
      </w:r>
      <w:r w:rsidR="00CD0514">
        <w:rPr>
          <w:noProof/>
        </w:rPr>
        <w:t>13</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7.4</w:t>
      </w:r>
      <w:r w:rsidRPr="004E0D50">
        <w:rPr>
          <w:rFonts w:asciiTheme="minorHAnsi" w:eastAsiaTheme="minorEastAsia" w:hAnsiTheme="minorHAnsi" w:cstheme="minorBidi"/>
          <w:noProof/>
          <w:sz w:val="22"/>
          <w:lang w:val="en-AU" w:eastAsia="en-AU"/>
        </w:rPr>
        <w:tab/>
      </w:r>
      <w:r w:rsidRPr="004E0D50">
        <w:rPr>
          <w:noProof/>
        </w:rPr>
        <w:t>Questions during the application process</w:t>
      </w:r>
      <w:r w:rsidRPr="004E0D50">
        <w:rPr>
          <w:noProof/>
        </w:rPr>
        <w:tab/>
      </w:r>
      <w:r w:rsidRPr="004E0D50">
        <w:rPr>
          <w:noProof/>
        </w:rPr>
        <w:fldChar w:fldCharType="begin"/>
      </w:r>
      <w:r w:rsidRPr="004E0D50">
        <w:rPr>
          <w:noProof/>
        </w:rPr>
        <w:instrText xml:space="preserve"> PAGEREF _Toc536623349 \h </w:instrText>
      </w:r>
      <w:r w:rsidRPr="004E0D50">
        <w:rPr>
          <w:noProof/>
        </w:rPr>
      </w:r>
      <w:r w:rsidRPr="004E0D50">
        <w:rPr>
          <w:noProof/>
        </w:rPr>
        <w:fldChar w:fldCharType="separate"/>
      </w:r>
      <w:r w:rsidR="00CD0514">
        <w:rPr>
          <w:noProof/>
        </w:rPr>
        <w:t>14</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8</w:t>
      </w:r>
      <w:r w:rsidRPr="004E0D50">
        <w:rPr>
          <w:rFonts w:asciiTheme="minorHAnsi" w:eastAsiaTheme="minorEastAsia" w:hAnsiTheme="minorHAnsi" w:cstheme="minorBidi"/>
          <w:b w:val="0"/>
          <w:noProof/>
          <w:sz w:val="22"/>
          <w:lang w:val="en-AU" w:eastAsia="en-AU"/>
        </w:rPr>
        <w:tab/>
      </w:r>
      <w:r w:rsidRPr="004E0D50">
        <w:rPr>
          <w:noProof/>
        </w:rPr>
        <w:t>The grant selection process</w:t>
      </w:r>
      <w:r w:rsidRPr="004E0D50">
        <w:rPr>
          <w:noProof/>
        </w:rPr>
        <w:tab/>
      </w:r>
      <w:r w:rsidRPr="004E0D50">
        <w:rPr>
          <w:noProof/>
        </w:rPr>
        <w:fldChar w:fldCharType="begin"/>
      </w:r>
      <w:r w:rsidRPr="004E0D50">
        <w:rPr>
          <w:noProof/>
        </w:rPr>
        <w:instrText xml:space="preserve"> PAGEREF _Toc536623350 \h </w:instrText>
      </w:r>
      <w:r w:rsidRPr="004E0D50">
        <w:rPr>
          <w:noProof/>
        </w:rPr>
      </w:r>
      <w:r w:rsidRPr="004E0D50">
        <w:rPr>
          <w:noProof/>
        </w:rPr>
        <w:fldChar w:fldCharType="separate"/>
      </w:r>
      <w:r w:rsidR="00CD0514">
        <w:rPr>
          <w:noProof/>
        </w:rPr>
        <w:t>15</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8.1</w:t>
      </w:r>
      <w:r w:rsidRPr="004E0D50">
        <w:rPr>
          <w:rFonts w:asciiTheme="minorHAnsi" w:eastAsiaTheme="minorEastAsia" w:hAnsiTheme="minorHAnsi" w:cstheme="minorBidi"/>
          <w:noProof/>
          <w:sz w:val="22"/>
          <w:lang w:val="en-AU" w:eastAsia="en-AU"/>
        </w:rPr>
        <w:tab/>
      </w:r>
      <w:r w:rsidRPr="004E0D50">
        <w:rPr>
          <w:noProof/>
        </w:rPr>
        <w:t>Financial Viability</w:t>
      </w:r>
      <w:r w:rsidRPr="004E0D50">
        <w:rPr>
          <w:noProof/>
        </w:rPr>
        <w:tab/>
      </w:r>
      <w:r w:rsidRPr="004E0D50">
        <w:rPr>
          <w:noProof/>
        </w:rPr>
        <w:fldChar w:fldCharType="begin"/>
      </w:r>
      <w:r w:rsidRPr="004E0D50">
        <w:rPr>
          <w:noProof/>
        </w:rPr>
        <w:instrText xml:space="preserve"> PAGEREF _Toc536623351 \h </w:instrText>
      </w:r>
      <w:r w:rsidRPr="004E0D50">
        <w:rPr>
          <w:noProof/>
        </w:rPr>
      </w:r>
      <w:r w:rsidRPr="004E0D50">
        <w:rPr>
          <w:noProof/>
        </w:rPr>
        <w:fldChar w:fldCharType="separate"/>
      </w:r>
      <w:r w:rsidR="00CD0514">
        <w:rPr>
          <w:noProof/>
        </w:rPr>
        <w:t>15</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8.2</w:t>
      </w:r>
      <w:r w:rsidRPr="004E0D50">
        <w:rPr>
          <w:rFonts w:asciiTheme="minorHAnsi" w:eastAsiaTheme="minorEastAsia" w:hAnsiTheme="minorHAnsi" w:cstheme="minorBidi"/>
          <w:noProof/>
          <w:sz w:val="22"/>
          <w:lang w:val="en-AU" w:eastAsia="en-AU"/>
        </w:rPr>
        <w:tab/>
      </w:r>
      <w:r w:rsidRPr="004E0D50">
        <w:rPr>
          <w:noProof/>
        </w:rPr>
        <w:t>Who will assess and select applications?</w:t>
      </w:r>
      <w:r w:rsidRPr="004E0D50">
        <w:rPr>
          <w:noProof/>
        </w:rPr>
        <w:tab/>
      </w:r>
      <w:r w:rsidRPr="004E0D50">
        <w:rPr>
          <w:noProof/>
        </w:rPr>
        <w:fldChar w:fldCharType="begin"/>
      </w:r>
      <w:r w:rsidRPr="004E0D50">
        <w:rPr>
          <w:noProof/>
        </w:rPr>
        <w:instrText xml:space="preserve"> PAGEREF _Toc536623352 \h </w:instrText>
      </w:r>
      <w:r w:rsidRPr="004E0D50">
        <w:rPr>
          <w:noProof/>
        </w:rPr>
      </w:r>
      <w:r w:rsidRPr="004E0D50">
        <w:rPr>
          <w:noProof/>
        </w:rPr>
        <w:fldChar w:fldCharType="separate"/>
      </w:r>
      <w:r w:rsidR="00CD0514">
        <w:rPr>
          <w:noProof/>
        </w:rPr>
        <w:t>15</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8.3</w:t>
      </w:r>
      <w:r w:rsidRPr="004E0D50">
        <w:rPr>
          <w:rFonts w:asciiTheme="minorHAnsi" w:eastAsiaTheme="minorEastAsia" w:hAnsiTheme="minorHAnsi" w:cstheme="minorBidi"/>
          <w:noProof/>
          <w:sz w:val="22"/>
          <w:lang w:val="en-AU" w:eastAsia="en-AU"/>
        </w:rPr>
        <w:tab/>
      </w:r>
      <w:r w:rsidRPr="004E0D50">
        <w:rPr>
          <w:noProof/>
        </w:rPr>
        <w:t>Who will approve grants?</w:t>
      </w:r>
      <w:r w:rsidRPr="004E0D50">
        <w:rPr>
          <w:noProof/>
        </w:rPr>
        <w:tab/>
      </w:r>
      <w:r w:rsidRPr="004E0D50">
        <w:rPr>
          <w:noProof/>
        </w:rPr>
        <w:fldChar w:fldCharType="begin"/>
      </w:r>
      <w:r w:rsidRPr="004E0D50">
        <w:rPr>
          <w:noProof/>
        </w:rPr>
        <w:instrText xml:space="preserve"> PAGEREF _Toc536623353 \h </w:instrText>
      </w:r>
      <w:r w:rsidRPr="004E0D50">
        <w:rPr>
          <w:noProof/>
        </w:rPr>
      </w:r>
      <w:r w:rsidRPr="004E0D50">
        <w:rPr>
          <w:noProof/>
        </w:rPr>
        <w:fldChar w:fldCharType="separate"/>
      </w:r>
      <w:r w:rsidR="00CD0514">
        <w:rPr>
          <w:noProof/>
        </w:rPr>
        <w:t>16</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9</w:t>
      </w:r>
      <w:r w:rsidRPr="004E0D50">
        <w:rPr>
          <w:rFonts w:asciiTheme="minorHAnsi" w:eastAsiaTheme="minorEastAsia" w:hAnsiTheme="minorHAnsi" w:cstheme="minorBidi"/>
          <w:b w:val="0"/>
          <w:noProof/>
          <w:sz w:val="22"/>
          <w:lang w:val="en-AU" w:eastAsia="en-AU"/>
        </w:rPr>
        <w:tab/>
      </w:r>
      <w:r w:rsidRPr="004E0D50">
        <w:rPr>
          <w:noProof/>
        </w:rPr>
        <w:t>Notification of application outcomes</w:t>
      </w:r>
      <w:r w:rsidRPr="004E0D50">
        <w:rPr>
          <w:noProof/>
        </w:rPr>
        <w:tab/>
      </w:r>
      <w:r w:rsidRPr="004E0D50">
        <w:rPr>
          <w:noProof/>
        </w:rPr>
        <w:fldChar w:fldCharType="begin"/>
      </w:r>
      <w:r w:rsidRPr="004E0D50">
        <w:rPr>
          <w:noProof/>
        </w:rPr>
        <w:instrText xml:space="preserve"> PAGEREF _Toc536623354 \h </w:instrText>
      </w:r>
      <w:r w:rsidRPr="004E0D50">
        <w:rPr>
          <w:noProof/>
        </w:rPr>
      </w:r>
      <w:r w:rsidRPr="004E0D50">
        <w:rPr>
          <w:noProof/>
        </w:rPr>
        <w:fldChar w:fldCharType="separate"/>
      </w:r>
      <w:r w:rsidR="00CD0514">
        <w:rPr>
          <w:noProof/>
        </w:rPr>
        <w:t>16</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9.1</w:t>
      </w:r>
      <w:r w:rsidRPr="004E0D50">
        <w:rPr>
          <w:rFonts w:asciiTheme="minorHAnsi" w:eastAsiaTheme="minorEastAsia" w:hAnsiTheme="minorHAnsi" w:cstheme="minorBidi"/>
          <w:noProof/>
          <w:sz w:val="22"/>
          <w:lang w:val="en-AU" w:eastAsia="en-AU"/>
        </w:rPr>
        <w:tab/>
      </w:r>
      <w:r w:rsidRPr="004E0D50">
        <w:rPr>
          <w:noProof/>
        </w:rPr>
        <w:t>Feedback on your application</w:t>
      </w:r>
      <w:r w:rsidRPr="004E0D50">
        <w:rPr>
          <w:noProof/>
        </w:rPr>
        <w:tab/>
      </w:r>
      <w:r w:rsidRPr="004E0D50">
        <w:rPr>
          <w:noProof/>
        </w:rPr>
        <w:fldChar w:fldCharType="begin"/>
      </w:r>
      <w:r w:rsidRPr="004E0D50">
        <w:rPr>
          <w:noProof/>
        </w:rPr>
        <w:instrText xml:space="preserve"> PAGEREF _Toc536623355 \h </w:instrText>
      </w:r>
      <w:r w:rsidRPr="004E0D50">
        <w:rPr>
          <w:noProof/>
        </w:rPr>
      </w:r>
      <w:r w:rsidRPr="004E0D50">
        <w:rPr>
          <w:noProof/>
        </w:rPr>
        <w:fldChar w:fldCharType="separate"/>
      </w:r>
      <w:r w:rsidR="00CD0514">
        <w:rPr>
          <w:noProof/>
        </w:rPr>
        <w:t>16</w:t>
      </w:r>
      <w:r w:rsidRPr="004E0D50">
        <w:rPr>
          <w:noProof/>
        </w:rPr>
        <w:fldChar w:fldCharType="end"/>
      </w:r>
    </w:p>
    <w:p w:rsidR="00567A76" w:rsidRPr="004E0D50" w:rsidRDefault="00567A76">
      <w:pPr>
        <w:pStyle w:val="TOC3"/>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9.2</w:t>
      </w:r>
      <w:r w:rsidRPr="004E0D50">
        <w:rPr>
          <w:rFonts w:asciiTheme="minorHAnsi" w:eastAsiaTheme="minorEastAsia" w:hAnsiTheme="minorHAnsi" w:cstheme="minorBidi"/>
          <w:noProof/>
          <w:sz w:val="22"/>
          <w:lang w:val="en-AU" w:eastAsia="en-AU"/>
        </w:rPr>
        <w:tab/>
      </w:r>
      <w:r w:rsidRPr="004E0D50">
        <w:rPr>
          <w:noProof/>
        </w:rPr>
        <w:t>Further grant opportunities</w:t>
      </w:r>
      <w:r w:rsidRPr="004E0D50">
        <w:rPr>
          <w:noProof/>
        </w:rPr>
        <w:tab/>
      </w:r>
      <w:r w:rsidRPr="004E0D50">
        <w:rPr>
          <w:noProof/>
        </w:rPr>
        <w:fldChar w:fldCharType="begin"/>
      </w:r>
      <w:r w:rsidRPr="004E0D50">
        <w:rPr>
          <w:noProof/>
        </w:rPr>
        <w:instrText xml:space="preserve"> PAGEREF _Toc536623356 \h </w:instrText>
      </w:r>
      <w:r w:rsidRPr="004E0D50">
        <w:rPr>
          <w:noProof/>
        </w:rPr>
      </w:r>
      <w:r w:rsidRPr="004E0D50">
        <w:rPr>
          <w:noProof/>
        </w:rPr>
        <w:fldChar w:fldCharType="separate"/>
      </w:r>
      <w:r w:rsidR="00CD0514">
        <w:rPr>
          <w:noProof/>
        </w:rPr>
        <w:t>17</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10</w:t>
      </w:r>
      <w:r w:rsidRPr="004E0D50">
        <w:rPr>
          <w:rFonts w:asciiTheme="minorHAnsi" w:eastAsiaTheme="minorEastAsia" w:hAnsiTheme="minorHAnsi" w:cstheme="minorBidi"/>
          <w:b w:val="0"/>
          <w:noProof/>
          <w:sz w:val="22"/>
          <w:lang w:val="en-AU" w:eastAsia="en-AU"/>
        </w:rPr>
        <w:tab/>
      </w:r>
      <w:r w:rsidRPr="004E0D50">
        <w:rPr>
          <w:noProof/>
        </w:rPr>
        <w:t>Successful grant applications</w:t>
      </w:r>
      <w:r w:rsidRPr="004E0D50">
        <w:rPr>
          <w:noProof/>
        </w:rPr>
        <w:tab/>
      </w:r>
      <w:r w:rsidRPr="004E0D50">
        <w:rPr>
          <w:noProof/>
        </w:rPr>
        <w:fldChar w:fldCharType="begin"/>
      </w:r>
      <w:r w:rsidRPr="004E0D50">
        <w:rPr>
          <w:noProof/>
        </w:rPr>
        <w:instrText xml:space="preserve"> PAGEREF _Toc536623357 \h </w:instrText>
      </w:r>
      <w:r w:rsidRPr="004E0D50">
        <w:rPr>
          <w:noProof/>
        </w:rPr>
      </w:r>
      <w:r w:rsidRPr="004E0D50">
        <w:rPr>
          <w:noProof/>
        </w:rPr>
        <w:fldChar w:fldCharType="separate"/>
      </w:r>
      <w:r w:rsidR="00CD0514">
        <w:rPr>
          <w:noProof/>
        </w:rPr>
        <w:t>17</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10.1</w:t>
      </w:r>
      <w:r w:rsidRPr="004E0D50">
        <w:rPr>
          <w:rFonts w:asciiTheme="minorHAnsi" w:eastAsiaTheme="minorEastAsia" w:hAnsiTheme="minorHAnsi" w:cstheme="minorBidi"/>
          <w:noProof/>
          <w:sz w:val="22"/>
          <w:lang w:val="en-AU" w:eastAsia="en-AU"/>
        </w:rPr>
        <w:tab/>
      </w:r>
      <w:r w:rsidRPr="004E0D50">
        <w:rPr>
          <w:noProof/>
        </w:rPr>
        <w:t>The grant agreement</w:t>
      </w:r>
      <w:r w:rsidRPr="004E0D50">
        <w:rPr>
          <w:noProof/>
        </w:rPr>
        <w:tab/>
      </w:r>
      <w:r w:rsidRPr="004E0D50">
        <w:rPr>
          <w:noProof/>
        </w:rPr>
        <w:fldChar w:fldCharType="begin"/>
      </w:r>
      <w:r w:rsidRPr="004E0D50">
        <w:rPr>
          <w:noProof/>
        </w:rPr>
        <w:instrText xml:space="preserve"> PAGEREF _Toc536623358 \h </w:instrText>
      </w:r>
      <w:r w:rsidRPr="004E0D50">
        <w:rPr>
          <w:noProof/>
        </w:rPr>
      </w:r>
      <w:r w:rsidRPr="004E0D50">
        <w:rPr>
          <w:noProof/>
        </w:rPr>
        <w:fldChar w:fldCharType="separate"/>
      </w:r>
      <w:r w:rsidR="00CD0514">
        <w:rPr>
          <w:noProof/>
        </w:rPr>
        <w:t>17</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10.2</w:t>
      </w:r>
      <w:r w:rsidRPr="004E0D50">
        <w:rPr>
          <w:rFonts w:asciiTheme="minorHAnsi" w:eastAsiaTheme="minorEastAsia" w:hAnsiTheme="minorHAnsi" w:cstheme="minorBidi"/>
          <w:noProof/>
          <w:sz w:val="22"/>
          <w:lang w:val="en-AU" w:eastAsia="en-AU"/>
        </w:rPr>
        <w:tab/>
      </w:r>
      <w:r w:rsidRPr="004E0D50">
        <w:rPr>
          <w:noProof/>
        </w:rPr>
        <w:t>How we pay the grant</w:t>
      </w:r>
      <w:r w:rsidRPr="004E0D50">
        <w:rPr>
          <w:noProof/>
        </w:rPr>
        <w:tab/>
      </w:r>
      <w:r w:rsidRPr="004E0D50">
        <w:rPr>
          <w:noProof/>
        </w:rPr>
        <w:fldChar w:fldCharType="begin"/>
      </w:r>
      <w:r w:rsidRPr="004E0D50">
        <w:rPr>
          <w:noProof/>
        </w:rPr>
        <w:instrText xml:space="preserve"> PAGEREF _Toc536623359 \h </w:instrText>
      </w:r>
      <w:r w:rsidRPr="004E0D50">
        <w:rPr>
          <w:noProof/>
        </w:rPr>
      </w:r>
      <w:r w:rsidRPr="004E0D50">
        <w:rPr>
          <w:noProof/>
        </w:rPr>
        <w:fldChar w:fldCharType="separate"/>
      </w:r>
      <w:r w:rsidR="00CD0514">
        <w:rPr>
          <w:noProof/>
        </w:rPr>
        <w:t>17</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10.3</w:t>
      </w:r>
      <w:r w:rsidRPr="004E0D50">
        <w:rPr>
          <w:rFonts w:asciiTheme="minorHAnsi" w:eastAsiaTheme="minorEastAsia" w:hAnsiTheme="minorHAnsi" w:cstheme="minorBidi"/>
          <w:noProof/>
          <w:sz w:val="22"/>
          <w:lang w:val="en-AU" w:eastAsia="en-AU"/>
        </w:rPr>
        <w:tab/>
      </w:r>
      <w:r w:rsidRPr="004E0D50">
        <w:rPr>
          <w:noProof/>
        </w:rPr>
        <w:t>Grants Payments and GST</w:t>
      </w:r>
      <w:r w:rsidRPr="004E0D50">
        <w:rPr>
          <w:noProof/>
        </w:rPr>
        <w:tab/>
      </w:r>
      <w:r w:rsidRPr="004E0D50">
        <w:rPr>
          <w:noProof/>
        </w:rPr>
        <w:fldChar w:fldCharType="begin"/>
      </w:r>
      <w:r w:rsidRPr="004E0D50">
        <w:rPr>
          <w:noProof/>
        </w:rPr>
        <w:instrText xml:space="preserve"> PAGEREF _Toc536623360 \h </w:instrText>
      </w:r>
      <w:r w:rsidRPr="004E0D50">
        <w:rPr>
          <w:noProof/>
        </w:rPr>
      </w:r>
      <w:r w:rsidRPr="004E0D50">
        <w:rPr>
          <w:noProof/>
        </w:rPr>
        <w:fldChar w:fldCharType="separate"/>
      </w:r>
      <w:r w:rsidR="00CD0514">
        <w:rPr>
          <w:noProof/>
        </w:rPr>
        <w:t>18</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11</w:t>
      </w:r>
      <w:r w:rsidRPr="004E0D50">
        <w:rPr>
          <w:rFonts w:asciiTheme="minorHAnsi" w:eastAsiaTheme="minorEastAsia" w:hAnsiTheme="minorHAnsi" w:cstheme="minorBidi"/>
          <w:b w:val="0"/>
          <w:noProof/>
          <w:sz w:val="22"/>
          <w:lang w:val="en-AU" w:eastAsia="en-AU"/>
        </w:rPr>
        <w:tab/>
      </w:r>
      <w:r w:rsidRPr="004E0D50">
        <w:rPr>
          <w:noProof/>
        </w:rPr>
        <w:t>Announcement of grants</w:t>
      </w:r>
      <w:r w:rsidRPr="004E0D50">
        <w:rPr>
          <w:noProof/>
        </w:rPr>
        <w:tab/>
      </w:r>
      <w:r w:rsidRPr="004E0D50">
        <w:rPr>
          <w:noProof/>
        </w:rPr>
        <w:fldChar w:fldCharType="begin"/>
      </w:r>
      <w:r w:rsidRPr="004E0D50">
        <w:rPr>
          <w:noProof/>
        </w:rPr>
        <w:instrText xml:space="preserve"> PAGEREF _Toc536623361 \h </w:instrText>
      </w:r>
      <w:r w:rsidRPr="004E0D50">
        <w:rPr>
          <w:noProof/>
        </w:rPr>
      </w:r>
      <w:r w:rsidRPr="004E0D50">
        <w:rPr>
          <w:noProof/>
        </w:rPr>
        <w:fldChar w:fldCharType="separate"/>
      </w:r>
      <w:r w:rsidR="00CD0514">
        <w:rPr>
          <w:noProof/>
        </w:rPr>
        <w:t>18</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12</w:t>
      </w:r>
      <w:r w:rsidRPr="004E0D50">
        <w:rPr>
          <w:rFonts w:asciiTheme="minorHAnsi" w:eastAsiaTheme="minorEastAsia" w:hAnsiTheme="minorHAnsi" w:cstheme="minorBidi"/>
          <w:b w:val="0"/>
          <w:noProof/>
          <w:sz w:val="22"/>
          <w:lang w:val="en-AU" w:eastAsia="en-AU"/>
        </w:rPr>
        <w:tab/>
      </w:r>
      <w:r w:rsidRPr="004E0D50">
        <w:rPr>
          <w:noProof/>
        </w:rPr>
        <w:t>How we monitor your grant activity</w:t>
      </w:r>
      <w:r w:rsidRPr="004E0D50">
        <w:rPr>
          <w:noProof/>
        </w:rPr>
        <w:tab/>
      </w:r>
      <w:r w:rsidRPr="004E0D50">
        <w:rPr>
          <w:noProof/>
        </w:rPr>
        <w:fldChar w:fldCharType="begin"/>
      </w:r>
      <w:r w:rsidRPr="004E0D50">
        <w:rPr>
          <w:noProof/>
        </w:rPr>
        <w:instrText xml:space="preserve"> PAGEREF _Toc536623362 \h </w:instrText>
      </w:r>
      <w:r w:rsidRPr="004E0D50">
        <w:rPr>
          <w:noProof/>
        </w:rPr>
      </w:r>
      <w:r w:rsidRPr="004E0D50">
        <w:rPr>
          <w:noProof/>
        </w:rPr>
        <w:fldChar w:fldCharType="separate"/>
      </w:r>
      <w:r w:rsidR="00CD0514">
        <w:rPr>
          <w:noProof/>
        </w:rPr>
        <w:t>18</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12.1</w:t>
      </w:r>
      <w:r w:rsidRPr="004E0D50">
        <w:rPr>
          <w:rFonts w:asciiTheme="minorHAnsi" w:eastAsiaTheme="minorEastAsia" w:hAnsiTheme="minorHAnsi" w:cstheme="minorBidi"/>
          <w:noProof/>
          <w:sz w:val="22"/>
          <w:lang w:val="en-AU" w:eastAsia="en-AU"/>
        </w:rPr>
        <w:tab/>
      </w:r>
      <w:r w:rsidRPr="004E0D50">
        <w:rPr>
          <w:noProof/>
        </w:rPr>
        <w:t>Keeping us informed</w:t>
      </w:r>
      <w:r w:rsidRPr="004E0D50">
        <w:rPr>
          <w:noProof/>
        </w:rPr>
        <w:tab/>
      </w:r>
      <w:r w:rsidRPr="004E0D50">
        <w:rPr>
          <w:noProof/>
        </w:rPr>
        <w:fldChar w:fldCharType="begin"/>
      </w:r>
      <w:r w:rsidRPr="004E0D50">
        <w:rPr>
          <w:noProof/>
        </w:rPr>
        <w:instrText xml:space="preserve"> PAGEREF _Toc536623363 \h </w:instrText>
      </w:r>
      <w:r w:rsidRPr="004E0D50">
        <w:rPr>
          <w:noProof/>
        </w:rPr>
      </w:r>
      <w:r w:rsidRPr="004E0D50">
        <w:rPr>
          <w:noProof/>
        </w:rPr>
        <w:fldChar w:fldCharType="separate"/>
      </w:r>
      <w:r w:rsidR="00CD0514">
        <w:rPr>
          <w:noProof/>
        </w:rPr>
        <w:t>18</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12.2</w:t>
      </w:r>
      <w:r w:rsidRPr="004E0D50">
        <w:rPr>
          <w:rFonts w:asciiTheme="minorHAnsi" w:eastAsiaTheme="minorEastAsia" w:hAnsiTheme="minorHAnsi" w:cstheme="minorBidi"/>
          <w:noProof/>
          <w:sz w:val="22"/>
          <w:lang w:val="en-AU" w:eastAsia="en-AU"/>
        </w:rPr>
        <w:tab/>
      </w:r>
      <w:r w:rsidRPr="004E0D50">
        <w:rPr>
          <w:noProof/>
        </w:rPr>
        <w:t>Reporting</w:t>
      </w:r>
      <w:r w:rsidRPr="004E0D50">
        <w:rPr>
          <w:noProof/>
        </w:rPr>
        <w:tab/>
      </w:r>
      <w:r w:rsidRPr="004E0D50">
        <w:rPr>
          <w:noProof/>
        </w:rPr>
        <w:fldChar w:fldCharType="begin"/>
      </w:r>
      <w:r w:rsidRPr="004E0D50">
        <w:rPr>
          <w:noProof/>
        </w:rPr>
        <w:instrText xml:space="preserve"> PAGEREF _Toc536623364 \h </w:instrText>
      </w:r>
      <w:r w:rsidRPr="004E0D50">
        <w:rPr>
          <w:noProof/>
        </w:rPr>
      </w:r>
      <w:r w:rsidRPr="004E0D50">
        <w:rPr>
          <w:noProof/>
        </w:rPr>
        <w:fldChar w:fldCharType="separate"/>
      </w:r>
      <w:r w:rsidR="00CD0514">
        <w:rPr>
          <w:noProof/>
        </w:rPr>
        <w:t>18</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12.3</w:t>
      </w:r>
      <w:r w:rsidRPr="004E0D50">
        <w:rPr>
          <w:rFonts w:asciiTheme="minorHAnsi" w:eastAsiaTheme="minorEastAsia" w:hAnsiTheme="minorHAnsi" w:cstheme="minorBidi"/>
          <w:noProof/>
          <w:sz w:val="22"/>
          <w:lang w:val="en-AU" w:eastAsia="en-AU"/>
        </w:rPr>
        <w:tab/>
      </w:r>
      <w:r w:rsidRPr="004E0D50">
        <w:rPr>
          <w:noProof/>
        </w:rPr>
        <w:t>Financial declaration</w:t>
      </w:r>
      <w:r w:rsidRPr="004E0D50">
        <w:rPr>
          <w:noProof/>
        </w:rPr>
        <w:tab/>
      </w:r>
      <w:r w:rsidRPr="004E0D50">
        <w:rPr>
          <w:noProof/>
        </w:rPr>
        <w:fldChar w:fldCharType="begin"/>
      </w:r>
      <w:r w:rsidRPr="004E0D50">
        <w:rPr>
          <w:noProof/>
        </w:rPr>
        <w:instrText xml:space="preserve"> PAGEREF _Toc536623365 \h </w:instrText>
      </w:r>
      <w:r w:rsidRPr="004E0D50">
        <w:rPr>
          <w:noProof/>
        </w:rPr>
      </w:r>
      <w:r w:rsidRPr="004E0D50">
        <w:rPr>
          <w:noProof/>
        </w:rPr>
        <w:fldChar w:fldCharType="separate"/>
      </w:r>
      <w:r w:rsidR="00CD0514">
        <w:rPr>
          <w:noProof/>
        </w:rPr>
        <w:t>19</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12.4</w:t>
      </w:r>
      <w:r w:rsidRPr="004E0D50">
        <w:rPr>
          <w:rFonts w:asciiTheme="minorHAnsi" w:eastAsiaTheme="minorEastAsia" w:hAnsiTheme="minorHAnsi" w:cstheme="minorBidi"/>
          <w:noProof/>
          <w:sz w:val="22"/>
          <w:lang w:val="en-AU" w:eastAsia="en-AU"/>
        </w:rPr>
        <w:tab/>
      </w:r>
      <w:r w:rsidRPr="004E0D50">
        <w:rPr>
          <w:noProof/>
        </w:rPr>
        <w:t>Grant agreement variations</w:t>
      </w:r>
      <w:r w:rsidRPr="004E0D50">
        <w:rPr>
          <w:noProof/>
        </w:rPr>
        <w:tab/>
      </w:r>
      <w:r w:rsidRPr="004E0D50">
        <w:rPr>
          <w:noProof/>
        </w:rPr>
        <w:fldChar w:fldCharType="begin"/>
      </w:r>
      <w:r w:rsidRPr="004E0D50">
        <w:rPr>
          <w:noProof/>
        </w:rPr>
        <w:instrText xml:space="preserve"> PAGEREF _Toc536623366 \h </w:instrText>
      </w:r>
      <w:r w:rsidRPr="004E0D50">
        <w:rPr>
          <w:noProof/>
        </w:rPr>
      </w:r>
      <w:r w:rsidRPr="004E0D50">
        <w:rPr>
          <w:noProof/>
        </w:rPr>
        <w:fldChar w:fldCharType="separate"/>
      </w:r>
      <w:r w:rsidR="00CD0514">
        <w:rPr>
          <w:noProof/>
        </w:rPr>
        <w:t>19</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lastRenderedPageBreak/>
        <w:t>12.5</w:t>
      </w:r>
      <w:r w:rsidRPr="004E0D50">
        <w:rPr>
          <w:rFonts w:asciiTheme="minorHAnsi" w:eastAsiaTheme="minorEastAsia" w:hAnsiTheme="minorHAnsi" w:cstheme="minorBidi"/>
          <w:noProof/>
          <w:sz w:val="22"/>
          <w:lang w:val="en-AU" w:eastAsia="en-AU"/>
        </w:rPr>
        <w:tab/>
      </w:r>
      <w:r w:rsidRPr="004E0D50">
        <w:rPr>
          <w:noProof/>
        </w:rPr>
        <w:t>Compliance visits</w:t>
      </w:r>
      <w:r w:rsidRPr="004E0D50">
        <w:rPr>
          <w:noProof/>
        </w:rPr>
        <w:tab/>
      </w:r>
      <w:r w:rsidRPr="004E0D50">
        <w:rPr>
          <w:noProof/>
        </w:rPr>
        <w:fldChar w:fldCharType="begin"/>
      </w:r>
      <w:r w:rsidRPr="004E0D50">
        <w:rPr>
          <w:noProof/>
        </w:rPr>
        <w:instrText xml:space="preserve"> PAGEREF _Toc536623367 \h </w:instrText>
      </w:r>
      <w:r w:rsidRPr="004E0D50">
        <w:rPr>
          <w:noProof/>
        </w:rPr>
      </w:r>
      <w:r w:rsidRPr="004E0D50">
        <w:rPr>
          <w:noProof/>
        </w:rPr>
        <w:fldChar w:fldCharType="separate"/>
      </w:r>
      <w:r w:rsidR="00CD0514">
        <w:rPr>
          <w:noProof/>
        </w:rPr>
        <w:t>19</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12.6</w:t>
      </w:r>
      <w:r w:rsidRPr="004E0D50">
        <w:rPr>
          <w:rFonts w:asciiTheme="minorHAnsi" w:eastAsiaTheme="minorEastAsia" w:hAnsiTheme="minorHAnsi" w:cstheme="minorBidi"/>
          <w:noProof/>
          <w:sz w:val="22"/>
          <w:lang w:val="en-AU" w:eastAsia="en-AU"/>
        </w:rPr>
        <w:tab/>
      </w:r>
      <w:r w:rsidRPr="004E0D50">
        <w:rPr>
          <w:noProof/>
        </w:rPr>
        <w:t>Record keeping</w:t>
      </w:r>
      <w:r w:rsidRPr="004E0D50">
        <w:rPr>
          <w:noProof/>
        </w:rPr>
        <w:tab/>
      </w:r>
      <w:r w:rsidRPr="004E0D50">
        <w:rPr>
          <w:noProof/>
        </w:rPr>
        <w:fldChar w:fldCharType="begin"/>
      </w:r>
      <w:r w:rsidRPr="004E0D50">
        <w:rPr>
          <w:noProof/>
        </w:rPr>
        <w:instrText xml:space="preserve"> PAGEREF _Toc536623368 \h </w:instrText>
      </w:r>
      <w:r w:rsidRPr="004E0D50">
        <w:rPr>
          <w:noProof/>
        </w:rPr>
      </w:r>
      <w:r w:rsidRPr="004E0D50">
        <w:rPr>
          <w:noProof/>
        </w:rPr>
        <w:fldChar w:fldCharType="separate"/>
      </w:r>
      <w:r w:rsidR="00CD0514">
        <w:rPr>
          <w:noProof/>
        </w:rPr>
        <w:t>20</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12.7</w:t>
      </w:r>
      <w:r w:rsidRPr="004E0D50">
        <w:rPr>
          <w:rFonts w:asciiTheme="minorHAnsi" w:eastAsiaTheme="minorEastAsia" w:hAnsiTheme="minorHAnsi" w:cstheme="minorBidi"/>
          <w:noProof/>
          <w:sz w:val="22"/>
          <w:lang w:val="en-AU" w:eastAsia="en-AU"/>
        </w:rPr>
        <w:tab/>
      </w:r>
      <w:r w:rsidRPr="004E0D50">
        <w:rPr>
          <w:noProof/>
        </w:rPr>
        <w:t>Evaluation</w:t>
      </w:r>
      <w:r w:rsidRPr="004E0D50">
        <w:rPr>
          <w:noProof/>
        </w:rPr>
        <w:tab/>
      </w:r>
      <w:r w:rsidRPr="004E0D50">
        <w:rPr>
          <w:noProof/>
        </w:rPr>
        <w:fldChar w:fldCharType="begin"/>
      </w:r>
      <w:r w:rsidRPr="004E0D50">
        <w:rPr>
          <w:noProof/>
        </w:rPr>
        <w:instrText xml:space="preserve"> PAGEREF _Toc536623369 \h </w:instrText>
      </w:r>
      <w:r w:rsidRPr="004E0D50">
        <w:rPr>
          <w:noProof/>
        </w:rPr>
      </w:r>
      <w:r w:rsidRPr="004E0D50">
        <w:rPr>
          <w:noProof/>
        </w:rPr>
        <w:fldChar w:fldCharType="separate"/>
      </w:r>
      <w:r w:rsidR="00CD0514">
        <w:rPr>
          <w:noProof/>
        </w:rPr>
        <w:t>20</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12.8</w:t>
      </w:r>
      <w:r w:rsidRPr="004E0D50">
        <w:rPr>
          <w:rFonts w:asciiTheme="minorHAnsi" w:eastAsiaTheme="minorEastAsia" w:hAnsiTheme="minorHAnsi" w:cstheme="minorBidi"/>
          <w:noProof/>
          <w:sz w:val="22"/>
          <w:lang w:val="en-AU" w:eastAsia="en-AU"/>
        </w:rPr>
        <w:tab/>
      </w:r>
      <w:r w:rsidRPr="004E0D50">
        <w:rPr>
          <w:noProof/>
        </w:rPr>
        <w:t>Acknowledgement</w:t>
      </w:r>
      <w:r w:rsidRPr="004E0D50">
        <w:rPr>
          <w:noProof/>
        </w:rPr>
        <w:tab/>
      </w:r>
      <w:r w:rsidRPr="004E0D50">
        <w:rPr>
          <w:noProof/>
        </w:rPr>
        <w:fldChar w:fldCharType="begin"/>
      </w:r>
      <w:r w:rsidRPr="004E0D50">
        <w:rPr>
          <w:noProof/>
        </w:rPr>
        <w:instrText xml:space="preserve"> PAGEREF _Toc536623370 \h </w:instrText>
      </w:r>
      <w:r w:rsidRPr="004E0D50">
        <w:rPr>
          <w:noProof/>
        </w:rPr>
      </w:r>
      <w:r w:rsidRPr="004E0D50">
        <w:rPr>
          <w:noProof/>
        </w:rPr>
        <w:fldChar w:fldCharType="separate"/>
      </w:r>
      <w:r w:rsidR="00CD0514">
        <w:rPr>
          <w:noProof/>
        </w:rPr>
        <w:t>20</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13</w:t>
      </w:r>
      <w:r w:rsidRPr="004E0D50">
        <w:rPr>
          <w:rFonts w:asciiTheme="minorHAnsi" w:eastAsiaTheme="minorEastAsia" w:hAnsiTheme="minorHAnsi" w:cstheme="minorBidi"/>
          <w:b w:val="0"/>
          <w:noProof/>
          <w:sz w:val="22"/>
          <w:lang w:val="en-AU" w:eastAsia="en-AU"/>
        </w:rPr>
        <w:tab/>
      </w:r>
      <w:r w:rsidRPr="004E0D50">
        <w:rPr>
          <w:noProof/>
        </w:rPr>
        <w:t>Probity</w:t>
      </w:r>
      <w:r w:rsidRPr="004E0D50">
        <w:rPr>
          <w:noProof/>
        </w:rPr>
        <w:tab/>
      </w:r>
      <w:r w:rsidRPr="004E0D50">
        <w:rPr>
          <w:noProof/>
        </w:rPr>
        <w:fldChar w:fldCharType="begin"/>
      </w:r>
      <w:r w:rsidRPr="004E0D50">
        <w:rPr>
          <w:noProof/>
        </w:rPr>
        <w:instrText xml:space="preserve"> PAGEREF _Toc536623371 \h </w:instrText>
      </w:r>
      <w:r w:rsidRPr="004E0D50">
        <w:rPr>
          <w:noProof/>
        </w:rPr>
      </w:r>
      <w:r w:rsidRPr="004E0D50">
        <w:rPr>
          <w:noProof/>
        </w:rPr>
        <w:fldChar w:fldCharType="separate"/>
      </w:r>
      <w:r w:rsidR="00CD0514">
        <w:rPr>
          <w:noProof/>
        </w:rPr>
        <w:t>20</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13.1</w:t>
      </w:r>
      <w:r w:rsidRPr="004E0D50">
        <w:rPr>
          <w:rFonts w:asciiTheme="minorHAnsi" w:eastAsiaTheme="minorEastAsia" w:hAnsiTheme="minorHAnsi" w:cstheme="minorBidi"/>
          <w:noProof/>
          <w:sz w:val="22"/>
          <w:lang w:val="en-AU" w:eastAsia="en-AU"/>
        </w:rPr>
        <w:tab/>
      </w:r>
      <w:r w:rsidRPr="004E0D50">
        <w:rPr>
          <w:noProof/>
        </w:rPr>
        <w:t>Enquiries and feedback</w:t>
      </w:r>
      <w:r w:rsidRPr="004E0D50">
        <w:rPr>
          <w:noProof/>
        </w:rPr>
        <w:tab/>
      </w:r>
      <w:r w:rsidRPr="004E0D50">
        <w:rPr>
          <w:noProof/>
        </w:rPr>
        <w:fldChar w:fldCharType="begin"/>
      </w:r>
      <w:r w:rsidRPr="004E0D50">
        <w:rPr>
          <w:noProof/>
        </w:rPr>
        <w:instrText xml:space="preserve"> PAGEREF _Toc536623372 \h </w:instrText>
      </w:r>
      <w:r w:rsidRPr="004E0D50">
        <w:rPr>
          <w:noProof/>
        </w:rPr>
      </w:r>
      <w:r w:rsidRPr="004E0D50">
        <w:rPr>
          <w:noProof/>
        </w:rPr>
        <w:fldChar w:fldCharType="separate"/>
      </w:r>
      <w:r w:rsidR="00CD0514">
        <w:rPr>
          <w:noProof/>
        </w:rPr>
        <w:t>20</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13.2</w:t>
      </w:r>
      <w:r w:rsidRPr="004E0D50">
        <w:rPr>
          <w:rFonts w:asciiTheme="minorHAnsi" w:eastAsiaTheme="minorEastAsia" w:hAnsiTheme="minorHAnsi" w:cstheme="minorBidi"/>
          <w:noProof/>
          <w:sz w:val="22"/>
          <w:lang w:val="en-AU" w:eastAsia="en-AU"/>
        </w:rPr>
        <w:tab/>
      </w:r>
      <w:r w:rsidRPr="004E0D50">
        <w:rPr>
          <w:noProof/>
        </w:rPr>
        <w:t>Conflicts of interest</w:t>
      </w:r>
      <w:r w:rsidRPr="004E0D50">
        <w:rPr>
          <w:noProof/>
        </w:rPr>
        <w:tab/>
      </w:r>
      <w:r w:rsidRPr="004E0D50">
        <w:rPr>
          <w:noProof/>
        </w:rPr>
        <w:fldChar w:fldCharType="begin"/>
      </w:r>
      <w:r w:rsidRPr="004E0D50">
        <w:rPr>
          <w:noProof/>
        </w:rPr>
        <w:instrText xml:space="preserve"> PAGEREF _Toc536623373 \h </w:instrText>
      </w:r>
      <w:r w:rsidRPr="004E0D50">
        <w:rPr>
          <w:noProof/>
        </w:rPr>
      </w:r>
      <w:r w:rsidRPr="004E0D50">
        <w:rPr>
          <w:noProof/>
        </w:rPr>
        <w:fldChar w:fldCharType="separate"/>
      </w:r>
      <w:r w:rsidR="00CD0514">
        <w:rPr>
          <w:noProof/>
        </w:rPr>
        <w:t>21</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13.3</w:t>
      </w:r>
      <w:r w:rsidRPr="004E0D50">
        <w:rPr>
          <w:rFonts w:asciiTheme="minorHAnsi" w:eastAsiaTheme="minorEastAsia" w:hAnsiTheme="minorHAnsi" w:cstheme="minorBidi"/>
          <w:noProof/>
          <w:sz w:val="22"/>
          <w:lang w:val="en-AU" w:eastAsia="en-AU"/>
        </w:rPr>
        <w:tab/>
      </w:r>
      <w:r w:rsidRPr="004E0D50">
        <w:rPr>
          <w:noProof/>
        </w:rPr>
        <w:t>Privacy</w:t>
      </w:r>
      <w:r w:rsidRPr="004E0D50">
        <w:rPr>
          <w:noProof/>
        </w:rPr>
        <w:tab/>
      </w:r>
      <w:r w:rsidRPr="004E0D50">
        <w:rPr>
          <w:noProof/>
        </w:rPr>
        <w:fldChar w:fldCharType="begin"/>
      </w:r>
      <w:r w:rsidRPr="004E0D50">
        <w:rPr>
          <w:noProof/>
        </w:rPr>
        <w:instrText xml:space="preserve"> PAGEREF _Toc536623374 \h </w:instrText>
      </w:r>
      <w:r w:rsidRPr="004E0D50">
        <w:rPr>
          <w:noProof/>
        </w:rPr>
      </w:r>
      <w:r w:rsidRPr="004E0D50">
        <w:rPr>
          <w:noProof/>
        </w:rPr>
        <w:fldChar w:fldCharType="separate"/>
      </w:r>
      <w:r w:rsidR="00CD0514">
        <w:rPr>
          <w:noProof/>
        </w:rPr>
        <w:t>21</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13.4</w:t>
      </w:r>
      <w:r w:rsidRPr="004E0D50">
        <w:rPr>
          <w:rFonts w:asciiTheme="minorHAnsi" w:eastAsiaTheme="minorEastAsia" w:hAnsiTheme="minorHAnsi" w:cstheme="minorBidi"/>
          <w:noProof/>
          <w:sz w:val="22"/>
          <w:lang w:val="en-AU" w:eastAsia="en-AU"/>
        </w:rPr>
        <w:tab/>
      </w:r>
      <w:r w:rsidRPr="004E0D50">
        <w:rPr>
          <w:noProof/>
        </w:rPr>
        <w:t>Confidential Information</w:t>
      </w:r>
      <w:r w:rsidRPr="004E0D50">
        <w:rPr>
          <w:noProof/>
        </w:rPr>
        <w:tab/>
      </w:r>
      <w:r w:rsidRPr="004E0D50">
        <w:rPr>
          <w:noProof/>
        </w:rPr>
        <w:fldChar w:fldCharType="begin"/>
      </w:r>
      <w:r w:rsidRPr="004E0D50">
        <w:rPr>
          <w:noProof/>
        </w:rPr>
        <w:instrText xml:space="preserve"> PAGEREF _Toc536623375 \h </w:instrText>
      </w:r>
      <w:r w:rsidRPr="004E0D50">
        <w:rPr>
          <w:noProof/>
        </w:rPr>
      </w:r>
      <w:r w:rsidRPr="004E0D50">
        <w:rPr>
          <w:noProof/>
        </w:rPr>
        <w:fldChar w:fldCharType="separate"/>
      </w:r>
      <w:r w:rsidR="00CD0514">
        <w:rPr>
          <w:noProof/>
        </w:rPr>
        <w:t>22</w:t>
      </w:r>
      <w:r w:rsidRPr="004E0D50">
        <w:rPr>
          <w:noProof/>
        </w:rPr>
        <w:fldChar w:fldCharType="end"/>
      </w:r>
    </w:p>
    <w:p w:rsidR="00567A76" w:rsidRPr="004E0D50" w:rsidRDefault="00567A76">
      <w:pPr>
        <w:pStyle w:val="TOC3"/>
        <w:tabs>
          <w:tab w:val="left" w:pos="1077"/>
        </w:tabs>
        <w:rPr>
          <w:rFonts w:asciiTheme="minorHAnsi" w:eastAsiaTheme="minorEastAsia" w:hAnsiTheme="minorHAnsi" w:cstheme="minorBidi"/>
          <w:noProof/>
          <w:sz w:val="22"/>
          <w:lang w:val="en-AU" w:eastAsia="en-AU"/>
        </w:rPr>
      </w:pPr>
      <w:r w:rsidRPr="004E0D50">
        <w:rPr>
          <w:noProof/>
          <w14:scene3d>
            <w14:camera w14:prst="orthographicFront"/>
            <w14:lightRig w14:rig="threePt" w14:dir="t">
              <w14:rot w14:lat="0" w14:lon="0" w14:rev="0"/>
            </w14:lightRig>
          </w14:scene3d>
        </w:rPr>
        <w:t>13.5</w:t>
      </w:r>
      <w:r w:rsidRPr="004E0D50">
        <w:rPr>
          <w:rFonts w:asciiTheme="minorHAnsi" w:eastAsiaTheme="minorEastAsia" w:hAnsiTheme="minorHAnsi" w:cstheme="minorBidi"/>
          <w:noProof/>
          <w:sz w:val="22"/>
          <w:lang w:val="en-AU" w:eastAsia="en-AU"/>
        </w:rPr>
        <w:tab/>
      </w:r>
      <w:r w:rsidRPr="004E0D50">
        <w:rPr>
          <w:noProof/>
        </w:rPr>
        <w:t>Freedom of information</w:t>
      </w:r>
      <w:r w:rsidRPr="004E0D50">
        <w:rPr>
          <w:noProof/>
        </w:rPr>
        <w:tab/>
      </w:r>
      <w:r w:rsidRPr="004E0D50">
        <w:rPr>
          <w:noProof/>
        </w:rPr>
        <w:fldChar w:fldCharType="begin"/>
      </w:r>
      <w:r w:rsidRPr="004E0D50">
        <w:rPr>
          <w:noProof/>
        </w:rPr>
        <w:instrText xml:space="preserve"> PAGEREF _Toc536623376 \h </w:instrText>
      </w:r>
      <w:r w:rsidRPr="004E0D50">
        <w:rPr>
          <w:noProof/>
        </w:rPr>
      </w:r>
      <w:r w:rsidRPr="004E0D50">
        <w:rPr>
          <w:noProof/>
        </w:rPr>
        <w:fldChar w:fldCharType="separate"/>
      </w:r>
      <w:r w:rsidR="00CD0514">
        <w:rPr>
          <w:noProof/>
        </w:rPr>
        <w:t>23</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14</w:t>
      </w:r>
      <w:r w:rsidRPr="004E0D50">
        <w:rPr>
          <w:rFonts w:asciiTheme="minorHAnsi" w:eastAsiaTheme="minorEastAsia" w:hAnsiTheme="minorHAnsi" w:cstheme="minorBidi"/>
          <w:b w:val="0"/>
          <w:noProof/>
          <w:sz w:val="22"/>
          <w:lang w:val="en-AU" w:eastAsia="en-AU"/>
        </w:rPr>
        <w:tab/>
      </w:r>
      <w:r w:rsidRPr="004E0D50">
        <w:rPr>
          <w:noProof/>
        </w:rPr>
        <w:t>Consultation</w:t>
      </w:r>
      <w:r w:rsidRPr="004E0D50">
        <w:rPr>
          <w:noProof/>
        </w:rPr>
        <w:tab/>
      </w:r>
      <w:r w:rsidRPr="004E0D50">
        <w:rPr>
          <w:noProof/>
        </w:rPr>
        <w:fldChar w:fldCharType="begin"/>
      </w:r>
      <w:r w:rsidRPr="004E0D50">
        <w:rPr>
          <w:noProof/>
        </w:rPr>
        <w:instrText xml:space="preserve"> PAGEREF _Toc536623377 \h </w:instrText>
      </w:r>
      <w:r w:rsidRPr="004E0D50">
        <w:rPr>
          <w:noProof/>
        </w:rPr>
      </w:r>
      <w:r w:rsidRPr="004E0D50">
        <w:rPr>
          <w:noProof/>
        </w:rPr>
        <w:fldChar w:fldCharType="separate"/>
      </w:r>
      <w:r w:rsidR="00CD0514">
        <w:rPr>
          <w:noProof/>
        </w:rPr>
        <w:t>23</w:t>
      </w:r>
      <w:r w:rsidRPr="004E0D50">
        <w:rPr>
          <w:noProof/>
        </w:rPr>
        <w:fldChar w:fldCharType="end"/>
      </w:r>
    </w:p>
    <w:p w:rsidR="00567A76" w:rsidRPr="004E0D50" w:rsidRDefault="00567A76">
      <w:pPr>
        <w:pStyle w:val="TOC2"/>
        <w:rPr>
          <w:rFonts w:asciiTheme="minorHAnsi" w:eastAsiaTheme="minorEastAsia" w:hAnsiTheme="minorHAnsi" w:cstheme="minorBidi"/>
          <w:b w:val="0"/>
          <w:noProof/>
          <w:sz w:val="22"/>
          <w:lang w:val="en-AU" w:eastAsia="en-AU"/>
        </w:rPr>
      </w:pPr>
      <w:r w:rsidRPr="004E0D50">
        <w:rPr>
          <w:noProof/>
        </w:rPr>
        <w:t>15</w:t>
      </w:r>
      <w:r w:rsidRPr="004E0D50">
        <w:rPr>
          <w:rFonts w:asciiTheme="minorHAnsi" w:eastAsiaTheme="minorEastAsia" w:hAnsiTheme="minorHAnsi" w:cstheme="minorBidi"/>
          <w:b w:val="0"/>
          <w:noProof/>
          <w:sz w:val="22"/>
          <w:lang w:val="en-AU" w:eastAsia="en-AU"/>
        </w:rPr>
        <w:tab/>
      </w:r>
      <w:r w:rsidRPr="004E0D50">
        <w:rPr>
          <w:noProof/>
        </w:rPr>
        <w:t>Glossary</w:t>
      </w:r>
      <w:r w:rsidRPr="004E0D50">
        <w:rPr>
          <w:noProof/>
        </w:rPr>
        <w:tab/>
      </w:r>
      <w:r w:rsidRPr="004E0D50">
        <w:rPr>
          <w:noProof/>
        </w:rPr>
        <w:fldChar w:fldCharType="begin"/>
      </w:r>
      <w:r w:rsidRPr="004E0D50">
        <w:rPr>
          <w:noProof/>
        </w:rPr>
        <w:instrText xml:space="preserve"> PAGEREF _Toc536623378 \h </w:instrText>
      </w:r>
      <w:r w:rsidRPr="004E0D50">
        <w:rPr>
          <w:noProof/>
        </w:rPr>
      </w:r>
      <w:r w:rsidRPr="004E0D50">
        <w:rPr>
          <w:noProof/>
        </w:rPr>
        <w:fldChar w:fldCharType="separate"/>
      </w:r>
      <w:r w:rsidR="00CD0514">
        <w:rPr>
          <w:noProof/>
        </w:rPr>
        <w:t>24</w:t>
      </w:r>
      <w:r w:rsidRPr="004E0D50">
        <w:rPr>
          <w:noProof/>
        </w:rPr>
        <w:fldChar w:fldCharType="end"/>
      </w:r>
    </w:p>
    <w:p w:rsidR="00DD3C0D" w:rsidRPr="004E0D50" w:rsidRDefault="004A238A" w:rsidP="00DD3C0D">
      <w:pPr>
        <w:sectPr w:rsidR="00DD3C0D" w:rsidRPr="004E0D50"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r w:rsidRPr="004E0D50">
        <w:rPr>
          <w:rFonts w:eastAsia="Calibri"/>
          <w:szCs w:val="28"/>
          <w:lang w:val="en-US"/>
        </w:rPr>
        <w:fldChar w:fldCharType="end"/>
      </w:r>
    </w:p>
    <w:p w:rsidR="00CB6615" w:rsidRPr="004E0D50" w:rsidRDefault="0079597E" w:rsidP="00384E16">
      <w:pPr>
        <w:pStyle w:val="Heading2"/>
        <w:rPr>
          <w:color w:val="auto"/>
        </w:rPr>
      </w:pPr>
      <w:bookmarkStart w:id="3" w:name="_Toc536623329"/>
      <w:bookmarkStart w:id="4" w:name="_Toc458420391"/>
      <w:bookmarkStart w:id="5" w:name="_Toc462824846"/>
      <w:r w:rsidRPr="004E0D50">
        <w:rPr>
          <w:color w:val="auto"/>
        </w:rPr>
        <w:lastRenderedPageBreak/>
        <w:t>Murray-Darling Basin Economic Development Program</w:t>
      </w:r>
      <w:r w:rsidR="000D1463" w:rsidRPr="004E0D50">
        <w:rPr>
          <w:color w:val="auto"/>
        </w:rPr>
        <w:t>: Grant</w:t>
      </w:r>
      <w:r w:rsidR="000172C1" w:rsidRPr="004E0D50">
        <w:rPr>
          <w:color w:val="auto"/>
        </w:rPr>
        <w:t xml:space="preserve"> </w:t>
      </w:r>
      <w:r w:rsidR="00FF3B40" w:rsidRPr="004E0D50">
        <w:rPr>
          <w:color w:val="auto"/>
        </w:rPr>
        <w:t>p</w:t>
      </w:r>
      <w:r w:rsidR="00D00456" w:rsidRPr="004E0D50">
        <w:rPr>
          <w:color w:val="auto"/>
        </w:rPr>
        <w:t>rocess</w:t>
      </w:r>
      <w:bookmarkEnd w:id="3"/>
    </w:p>
    <w:bookmarkEnd w:id="4"/>
    <w:bookmarkEnd w:id="5"/>
    <w:p w:rsidR="00CE6D9D" w:rsidRPr="004E0D50" w:rsidRDefault="00CE6D9D" w:rsidP="00CE6D9D">
      <w:pPr>
        <w:pBdr>
          <w:top w:val="single" w:sz="4" w:space="1" w:color="auto"/>
          <w:left w:val="single" w:sz="4" w:space="4" w:color="auto"/>
          <w:bottom w:val="single" w:sz="4" w:space="1" w:color="auto"/>
          <w:right w:val="single" w:sz="4" w:space="4" w:color="auto"/>
        </w:pBdr>
        <w:spacing w:after="0"/>
        <w:jc w:val="center"/>
        <w:rPr>
          <w:rFonts w:cs="Arial"/>
          <w:b/>
          <w:sz w:val="18"/>
          <w:szCs w:val="18"/>
        </w:rPr>
      </w:pPr>
      <w:r w:rsidRPr="004E0D50">
        <w:rPr>
          <w:rFonts w:cs="Arial"/>
          <w:b/>
          <w:sz w:val="18"/>
          <w:szCs w:val="18"/>
        </w:rPr>
        <w:t xml:space="preserve">The </w:t>
      </w:r>
      <w:r w:rsidR="004D6FB3" w:rsidRPr="004E0D50">
        <w:rPr>
          <w:rFonts w:cs="Arial"/>
          <w:b/>
          <w:sz w:val="18"/>
          <w:szCs w:val="18"/>
        </w:rPr>
        <w:t>Murray-Darling Basin Economic Development Program</w:t>
      </w:r>
      <w:r w:rsidRPr="004E0D50">
        <w:rPr>
          <w:rFonts w:cs="Arial"/>
          <w:b/>
          <w:sz w:val="18"/>
          <w:szCs w:val="18"/>
        </w:rPr>
        <w:t xml:space="preserve"> is</w:t>
      </w:r>
      <w:r w:rsidR="00181A24" w:rsidRPr="004E0D50">
        <w:rPr>
          <w:rFonts w:cs="Arial"/>
          <w:b/>
          <w:sz w:val="18"/>
          <w:szCs w:val="18"/>
        </w:rPr>
        <w:t xml:space="preserve"> </w:t>
      </w:r>
      <w:r w:rsidRPr="004E0D50">
        <w:rPr>
          <w:rFonts w:cs="Arial"/>
          <w:b/>
          <w:sz w:val="18"/>
          <w:szCs w:val="18"/>
        </w:rPr>
        <w:t xml:space="preserve">designed to achieve Australian Government objectives </w:t>
      </w:r>
    </w:p>
    <w:p w:rsidR="00E52373" w:rsidRPr="004E0D50" w:rsidRDefault="00E52373" w:rsidP="005447D1">
      <w:pPr>
        <w:pBdr>
          <w:top w:val="single" w:sz="4" w:space="1" w:color="auto"/>
          <w:left w:val="single" w:sz="4" w:space="4" w:color="auto"/>
          <w:bottom w:val="single" w:sz="4" w:space="1" w:color="auto"/>
          <w:right w:val="single" w:sz="4" w:space="4" w:color="auto"/>
        </w:pBdr>
        <w:spacing w:after="0"/>
        <w:jc w:val="center"/>
        <w:rPr>
          <w:rFonts w:cs="Arial"/>
          <w:sz w:val="18"/>
          <w:szCs w:val="18"/>
        </w:rPr>
      </w:pPr>
      <w:r w:rsidRPr="004E0D50">
        <w:rPr>
          <w:rFonts w:cs="Arial"/>
          <w:sz w:val="18"/>
          <w:szCs w:val="18"/>
        </w:rPr>
        <w:t xml:space="preserve">This grant opportunity is part of the above </w:t>
      </w:r>
      <w:r w:rsidR="00D164B1" w:rsidRPr="004E0D50">
        <w:rPr>
          <w:rFonts w:cs="Arial"/>
          <w:sz w:val="18"/>
          <w:szCs w:val="18"/>
        </w:rPr>
        <w:t>g</w:t>
      </w:r>
      <w:r w:rsidRPr="004E0D50">
        <w:rPr>
          <w:rFonts w:cs="Arial"/>
          <w:sz w:val="18"/>
          <w:szCs w:val="18"/>
        </w:rPr>
        <w:t xml:space="preserve">rant </w:t>
      </w:r>
      <w:r w:rsidR="00D164B1" w:rsidRPr="004E0D50">
        <w:rPr>
          <w:rFonts w:cs="Arial"/>
          <w:sz w:val="18"/>
          <w:szCs w:val="18"/>
        </w:rPr>
        <w:t>p</w:t>
      </w:r>
      <w:r w:rsidRPr="004E0D50">
        <w:rPr>
          <w:rFonts w:cs="Arial"/>
          <w:sz w:val="18"/>
          <w:szCs w:val="18"/>
        </w:rPr>
        <w:t>rogram</w:t>
      </w:r>
      <w:r w:rsidR="000172C1" w:rsidRPr="004E0D50">
        <w:rPr>
          <w:rFonts w:cs="Arial"/>
          <w:sz w:val="18"/>
          <w:szCs w:val="18"/>
        </w:rPr>
        <w:t>,</w:t>
      </w:r>
      <w:r w:rsidRPr="004E0D50">
        <w:rPr>
          <w:rFonts w:cs="Arial"/>
          <w:sz w:val="18"/>
          <w:szCs w:val="18"/>
        </w:rPr>
        <w:t xml:space="preserve"> which contributes to </w:t>
      </w:r>
      <w:r w:rsidR="004D6FB3" w:rsidRPr="004E0D50">
        <w:rPr>
          <w:rFonts w:cs="Arial"/>
          <w:sz w:val="18"/>
          <w:szCs w:val="18"/>
        </w:rPr>
        <w:t>the Department</w:t>
      </w:r>
      <w:r w:rsidR="00543166" w:rsidRPr="004E0D50">
        <w:rPr>
          <w:rFonts w:cs="Arial"/>
          <w:sz w:val="18"/>
          <w:szCs w:val="18"/>
        </w:rPr>
        <w:t xml:space="preserve"> of Agriculture and Water Resource</w:t>
      </w:r>
      <w:r w:rsidRPr="004E0D50">
        <w:rPr>
          <w:rFonts w:cs="Arial"/>
          <w:sz w:val="18"/>
          <w:szCs w:val="18"/>
        </w:rPr>
        <w:t>’</w:t>
      </w:r>
      <w:r w:rsidR="007D3230" w:rsidRPr="004E0D50">
        <w:rPr>
          <w:rFonts w:cs="Arial"/>
          <w:sz w:val="18"/>
          <w:szCs w:val="18"/>
        </w:rPr>
        <w:t>s</w:t>
      </w:r>
      <w:r w:rsidRPr="004E0D50">
        <w:rPr>
          <w:rFonts w:cs="Arial"/>
          <w:sz w:val="18"/>
          <w:szCs w:val="18"/>
        </w:rPr>
        <w:t xml:space="preserve"> </w:t>
      </w:r>
      <w:r w:rsidR="00543166" w:rsidRPr="004E0D50">
        <w:rPr>
          <w:rFonts w:cs="Arial"/>
          <w:sz w:val="18"/>
          <w:szCs w:val="18"/>
        </w:rPr>
        <w:t xml:space="preserve">(the Department) </w:t>
      </w:r>
      <w:r w:rsidRPr="004E0D50">
        <w:rPr>
          <w:rFonts w:cs="Arial"/>
          <w:sz w:val="18"/>
          <w:szCs w:val="18"/>
        </w:rPr>
        <w:t xml:space="preserve">Outcome </w:t>
      </w:r>
      <w:r w:rsidR="008C191F" w:rsidRPr="004E0D50">
        <w:rPr>
          <w:rFonts w:cs="Arial"/>
          <w:sz w:val="18"/>
          <w:szCs w:val="18"/>
        </w:rPr>
        <w:t>3</w:t>
      </w:r>
      <w:r w:rsidRPr="004E0D50">
        <w:rPr>
          <w:rFonts w:cs="Arial"/>
          <w:sz w:val="18"/>
          <w:szCs w:val="18"/>
        </w:rPr>
        <w:t xml:space="preserve">. The </w:t>
      </w:r>
      <w:r w:rsidR="008C191F" w:rsidRPr="004E0D50">
        <w:rPr>
          <w:rFonts w:cs="Arial"/>
          <w:sz w:val="18"/>
          <w:szCs w:val="18"/>
        </w:rPr>
        <w:t xml:space="preserve">Department </w:t>
      </w:r>
      <w:r w:rsidR="000D1463" w:rsidRPr="004E0D50">
        <w:rPr>
          <w:rFonts w:cs="Arial"/>
          <w:sz w:val="18"/>
          <w:szCs w:val="18"/>
        </w:rPr>
        <w:t>works</w:t>
      </w:r>
      <w:r w:rsidRPr="004E0D50">
        <w:rPr>
          <w:rFonts w:cs="Arial"/>
          <w:sz w:val="18"/>
          <w:szCs w:val="18"/>
        </w:rPr>
        <w:t xml:space="preserve"> with stakeholders to plan and design the grant program according to the </w:t>
      </w:r>
      <w:r w:rsidR="000D1463" w:rsidRPr="004E0D50">
        <w:rPr>
          <w:rFonts w:cs="Arial"/>
          <w:i/>
          <w:sz w:val="18"/>
          <w:szCs w:val="18"/>
        </w:rPr>
        <w:t>Commonwealth Grants Rules and Guidelines 2017 (CGRGs)</w:t>
      </w:r>
      <w:r w:rsidRPr="004E0D50">
        <w:rPr>
          <w:rFonts w:cs="Arial"/>
          <w:sz w:val="18"/>
          <w:szCs w:val="18"/>
        </w:rPr>
        <w:t>.</w:t>
      </w:r>
    </w:p>
    <w:p w:rsidR="00CE6D9D" w:rsidRPr="004E0D50" w:rsidRDefault="00BE6570" w:rsidP="00E33433">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0" w:color="auto"/>
          <w:right w:val="single" w:sz="2" w:space="4" w:color="auto"/>
        </w:pBdr>
        <w:spacing w:after="0"/>
        <w:jc w:val="center"/>
        <w:rPr>
          <w:rFonts w:cs="Arial"/>
          <w:b/>
          <w:sz w:val="18"/>
          <w:szCs w:val="18"/>
        </w:rPr>
      </w:pPr>
      <w:r w:rsidRPr="004E0D50">
        <w:rPr>
          <w:rFonts w:cs="Arial"/>
          <w:b/>
          <w:sz w:val="18"/>
          <w:szCs w:val="18"/>
        </w:rPr>
        <w:t>The grant opportunity opens</w:t>
      </w:r>
    </w:p>
    <w:p w:rsidR="00CB6615" w:rsidRPr="004E0D50" w:rsidRDefault="00CB6615" w:rsidP="00CB6615">
      <w:pPr>
        <w:pBdr>
          <w:top w:val="single" w:sz="2" w:space="1" w:color="auto"/>
          <w:left w:val="single" w:sz="2" w:space="4" w:color="auto"/>
          <w:bottom w:val="single" w:sz="2" w:space="0" w:color="auto"/>
          <w:right w:val="single" w:sz="2" w:space="4" w:color="auto"/>
        </w:pBdr>
        <w:spacing w:after="0"/>
        <w:jc w:val="center"/>
        <w:rPr>
          <w:rFonts w:cs="Arial"/>
          <w:b/>
          <w:sz w:val="18"/>
          <w:szCs w:val="18"/>
        </w:rPr>
      </w:pPr>
      <w:r w:rsidRPr="004E0D50">
        <w:rPr>
          <w:rFonts w:cs="Arial"/>
          <w:sz w:val="18"/>
          <w:szCs w:val="18"/>
        </w:rPr>
        <w:t xml:space="preserve">We publish the grant guidelines on </w:t>
      </w:r>
      <w:hyperlink r:id="rId20" w:history="1">
        <w:r w:rsidRPr="004E0D50">
          <w:rPr>
            <w:rStyle w:val="Hyperlink"/>
            <w:rFonts w:cs="Arial"/>
            <w:color w:val="auto"/>
            <w:sz w:val="18"/>
            <w:szCs w:val="18"/>
          </w:rPr>
          <w:t>GrantConnect</w:t>
        </w:r>
      </w:hyperlink>
      <w:r w:rsidRPr="004E0D50">
        <w:rPr>
          <w:rFonts w:cs="Arial"/>
          <w:sz w:val="18"/>
          <w:szCs w:val="18"/>
        </w:rPr>
        <w:t xml:space="preserve"> and </w:t>
      </w:r>
      <w:hyperlink r:id="rId21" w:history="1">
        <w:r w:rsidRPr="004E0D50">
          <w:rPr>
            <w:rStyle w:val="Hyperlink"/>
            <w:rFonts w:cs="Arial"/>
            <w:color w:val="auto"/>
            <w:sz w:val="18"/>
            <w:szCs w:val="18"/>
          </w:rPr>
          <w:t>Community Grants Hub</w:t>
        </w:r>
      </w:hyperlink>
      <w:r w:rsidRPr="004E0D50">
        <w:rPr>
          <w:rFonts w:cs="Arial"/>
          <w:sz w:val="18"/>
          <w:szCs w:val="18"/>
        </w:rPr>
        <w:t xml:space="preserve"> websites.</w:t>
      </w:r>
    </w:p>
    <w:p w:rsidR="00CB6615" w:rsidRPr="004E0D50" w:rsidRDefault="00BE6570" w:rsidP="00E33433">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
          <w:sz w:val="18"/>
          <w:szCs w:val="18"/>
        </w:rPr>
      </w:pPr>
      <w:r w:rsidRPr="004E0D50">
        <w:rPr>
          <w:rFonts w:cs="Arial"/>
          <w:b/>
          <w:sz w:val="18"/>
          <w:szCs w:val="18"/>
        </w:rPr>
        <w:t>You complete and submit a grant application</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sz w:val="18"/>
          <w:szCs w:val="18"/>
        </w:rPr>
      </w:pPr>
      <w:r w:rsidRPr="004E0D50">
        <w:rPr>
          <w:rFonts w:cs="Arial"/>
          <w:sz w:val="18"/>
          <w:szCs w:val="18"/>
        </w:rPr>
        <w:t>You complete the application form and address all of the eligibility and assessment criteria to be considered for a grant.</w:t>
      </w:r>
    </w:p>
    <w:p w:rsidR="00CB6615" w:rsidRPr="004E0D50" w:rsidRDefault="00BE6570" w:rsidP="00E33433">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Cs/>
          <w:sz w:val="18"/>
          <w:szCs w:val="18"/>
        </w:rPr>
      </w:pPr>
      <w:r w:rsidRPr="004E0D50">
        <w:rPr>
          <w:rFonts w:cs="Arial"/>
          <w:b/>
          <w:sz w:val="18"/>
          <w:szCs w:val="18"/>
        </w:rPr>
        <w:t>We assess all grant applications</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sz w:val="18"/>
          <w:szCs w:val="18"/>
        </w:rPr>
      </w:pPr>
      <w:r w:rsidRPr="004E0D50">
        <w:rPr>
          <w:rFonts w:cs="Arial"/>
          <w:sz w:val="18"/>
          <w:szCs w:val="18"/>
        </w:rPr>
        <w:t xml:space="preserve">We assess the applications against eligibility criteria and notify you if you are not eligible. If you are eligible, we then assess your eligible application against the assessment criteria including an overall consideration of value with </w:t>
      </w:r>
      <w:r w:rsidR="008B6341" w:rsidRPr="004E0D50">
        <w:rPr>
          <w:rFonts w:cs="Arial"/>
          <w:sz w:val="18"/>
          <w:szCs w:val="18"/>
        </w:rPr>
        <w:t xml:space="preserve">for </w:t>
      </w:r>
      <w:r w:rsidRPr="004E0D50">
        <w:rPr>
          <w:rFonts w:cs="Arial"/>
          <w:sz w:val="18"/>
          <w:szCs w:val="18"/>
        </w:rPr>
        <w:t>money and compare it to other applications.</w:t>
      </w:r>
    </w:p>
    <w:p w:rsidR="00CB6615" w:rsidRPr="004E0D50" w:rsidRDefault="00BE6570" w:rsidP="00E33433">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
          <w:sz w:val="18"/>
          <w:szCs w:val="18"/>
        </w:rPr>
      </w:pPr>
      <w:r w:rsidRPr="004E0D50">
        <w:rPr>
          <w:rFonts w:cs="Arial"/>
          <w:b/>
          <w:sz w:val="18"/>
          <w:szCs w:val="18"/>
        </w:rPr>
        <w:t>We make grant recommendations</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sz w:val="18"/>
          <w:szCs w:val="18"/>
        </w:rPr>
      </w:pPr>
      <w:r w:rsidRPr="004E0D50">
        <w:rPr>
          <w:rFonts w:cs="Arial"/>
          <w:sz w:val="18"/>
          <w:szCs w:val="18"/>
        </w:rPr>
        <w:t>We provide advice, through the selection advisory panel to the decision maker on the merits of each application.</w:t>
      </w:r>
    </w:p>
    <w:p w:rsidR="00BE6570" w:rsidRPr="004E0D50" w:rsidRDefault="00BE6570" w:rsidP="00BE6570">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
          <w:sz w:val="18"/>
          <w:szCs w:val="18"/>
        </w:rPr>
      </w:pPr>
      <w:r w:rsidRPr="004E0D50">
        <w:rPr>
          <w:rFonts w:cs="Arial"/>
          <w:b/>
          <w:sz w:val="18"/>
          <w:szCs w:val="18"/>
        </w:rPr>
        <w:t>Grant decisions are made</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sz w:val="18"/>
          <w:szCs w:val="18"/>
        </w:rPr>
      </w:pPr>
      <w:r w:rsidRPr="004E0D50">
        <w:rPr>
          <w:rFonts w:cs="Arial"/>
          <w:sz w:val="18"/>
          <w:szCs w:val="18"/>
        </w:rPr>
        <w:t>The decision maker decides which applications are successful.</w:t>
      </w:r>
    </w:p>
    <w:p w:rsidR="00BE6570" w:rsidRPr="004E0D50" w:rsidRDefault="00BE6570" w:rsidP="00BE6570">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
          <w:sz w:val="18"/>
          <w:szCs w:val="18"/>
        </w:rPr>
      </w:pPr>
      <w:r w:rsidRPr="004E0D50">
        <w:rPr>
          <w:rFonts w:cs="Arial"/>
          <w:b/>
          <w:sz w:val="18"/>
          <w:szCs w:val="18"/>
        </w:rPr>
        <w:t>We notify you of the outcome</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sz w:val="18"/>
          <w:szCs w:val="18"/>
        </w:rPr>
      </w:pPr>
      <w:r w:rsidRPr="004E0D50">
        <w:rPr>
          <w:rFonts w:cs="Arial"/>
          <w:sz w:val="18"/>
          <w:szCs w:val="18"/>
        </w:rPr>
        <w:t>We advise you of the outcome of your application. We may not notify unsuccessful applicants until grant agreements have been executed with successful applicants.</w:t>
      </w:r>
    </w:p>
    <w:p w:rsidR="00BE6570" w:rsidRPr="004E0D50" w:rsidRDefault="00BE6570" w:rsidP="00BE6570">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
          <w:sz w:val="18"/>
          <w:szCs w:val="18"/>
        </w:rPr>
      </w:pPr>
      <w:r w:rsidRPr="004E0D50">
        <w:rPr>
          <w:rFonts w:cs="Arial"/>
          <w:b/>
          <w:sz w:val="18"/>
          <w:szCs w:val="18"/>
        </w:rPr>
        <w:t>We enter into a grant agreement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
          <w:bCs/>
          <w:sz w:val="18"/>
          <w:szCs w:val="18"/>
        </w:rPr>
      </w:pPr>
      <w:r w:rsidRPr="004E0D50">
        <w:rPr>
          <w:rFonts w:cs="Arial"/>
          <w:sz w:val="18"/>
          <w:szCs w:val="18"/>
        </w:rPr>
        <w:t>We enter into a grant agreement with you if successful. The type of grant agreement is based on the nature or complexity of the grant and is proportional to the risks involved.</w:t>
      </w:r>
    </w:p>
    <w:p w:rsidR="00BE6570" w:rsidRPr="004E0D50" w:rsidRDefault="00BE6570" w:rsidP="00BE6570">
      <w:pPr>
        <w:spacing w:after="0"/>
        <w:jc w:val="center"/>
        <w:rPr>
          <w:rFonts w:ascii="Wingdings" w:hAnsi="Wingdings"/>
        </w:rPr>
      </w:pPr>
      <w:r w:rsidRPr="004E0D50">
        <w:rPr>
          <w:rFonts w:ascii="Wingdings" w:hAnsi="Wingdings"/>
        </w:rPr>
        <w:t></w:t>
      </w:r>
    </w:p>
    <w:p w:rsidR="00CB6615" w:rsidRPr="004E0D50" w:rsidRDefault="00CB6615" w:rsidP="00CB6615">
      <w:pPr>
        <w:pBdr>
          <w:top w:val="single" w:sz="2" w:space="1" w:color="auto"/>
          <w:left w:val="single" w:sz="2" w:space="4" w:color="auto"/>
          <w:bottom w:val="single" w:sz="2" w:space="1" w:color="auto"/>
          <w:right w:val="single" w:sz="2" w:space="4" w:color="auto"/>
        </w:pBdr>
        <w:spacing w:after="0"/>
        <w:jc w:val="center"/>
        <w:rPr>
          <w:rFonts w:cs="Arial"/>
          <w:b/>
          <w:bCs/>
          <w:sz w:val="18"/>
          <w:szCs w:val="18"/>
        </w:rPr>
      </w:pPr>
      <w:r w:rsidRPr="004E0D50">
        <w:rPr>
          <w:rFonts w:cs="Arial"/>
          <w:b/>
          <w:sz w:val="18"/>
          <w:szCs w:val="18"/>
        </w:rPr>
        <w:t>Delivery of grant</w:t>
      </w:r>
    </w:p>
    <w:p w:rsidR="00CB6615" w:rsidRPr="004E0D50" w:rsidRDefault="00CB6615" w:rsidP="000F5EB5">
      <w:pPr>
        <w:pBdr>
          <w:top w:val="single" w:sz="2" w:space="1" w:color="auto"/>
          <w:left w:val="single" w:sz="2" w:space="4" w:color="auto"/>
          <w:bottom w:val="single" w:sz="2" w:space="1" w:color="auto"/>
          <w:right w:val="single" w:sz="2" w:space="4" w:color="auto"/>
        </w:pBdr>
        <w:spacing w:after="0"/>
        <w:jc w:val="center"/>
        <w:rPr>
          <w:rFonts w:cs="Arial"/>
          <w:sz w:val="18"/>
          <w:szCs w:val="18"/>
        </w:rPr>
      </w:pPr>
      <w:r w:rsidRPr="004E0D50">
        <w:rPr>
          <w:rFonts w:cs="Arial"/>
          <w:bCs/>
          <w:sz w:val="18"/>
          <w:szCs w:val="18"/>
        </w:rPr>
        <w:t>You undertake the grant activity as set out in your grant agreement. We manage the grant by working with you, monitoring your progress and making payments.</w:t>
      </w:r>
    </w:p>
    <w:p w:rsidR="00BE6570" w:rsidRPr="004E0D50" w:rsidRDefault="00BE6570" w:rsidP="00BE6570">
      <w:pPr>
        <w:spacing w:after="0"/>
        <w:jc w:val="center"/>
        <w:rPr>
          <w:rFonts w:ascii="Wingdings" w:hAnsi="Wingdings"/>
        </w:rPr>
      </w:pPr>
      <w:r w:rsidRPr="004E0D50">
        <w:rPr>
          <w:rFonts w:ascii="Wingdings" w:hAnsi="Wingdings"/>
        </w:rPr>
        <w:t></w:t>
      </w:r>
    </w:p>
    <w:p w:rsidR="00CE6D9D" w:rsidRPr="004E0D50" w:rsidRDefault="0079597E" w:rsidP="00CB6615">
      <w:pPr>
        <w:keepNext/>
        <w:pBdr>
          <w:top w:val="single" w:sz="2" w:space="1" w:color="auto"/>
          <w:left w:val="single" w:sz="2" w:space="4" w:color="auto"/>
          <w:bottom w:val="single" w:sz="2" w:space="1" w:color="auto"/>
          <w:right w:val="single" w:sz="2" w:space="4" w:color="auto"/>
        </w:pBdr>
        <w:spacing w:after="0"/>
        <w:jc w:val="center"/>
        <w:rPr>
          <w:rFonts w:cs="Arial"/>
          <w:b/>
          <w:sz w:val="18"/>
          <w:szCs w:val="18"/>
        </w:rPr>
      </w:pPr>
      <w:r w:rsidRPr="004E0D50">
        <w:rPr>
          <w:rFonts w:cs="Arial"/>
          <w:b/>
          <w:sz w:val="18"/>
          <w:szCs w:val="18"/>
        </w:rPr>
        <w:t>Evaluation of the Murray-Darling Basin Economic Development Program</w:t>
      </w:r>
    </w:p>
    <w:p w:rsidR="00CE6D9D" w:rsidRPr="004E0D50" w:rsidRDefault="00CE6D9D" w:rsidP="00CE6D9D">
      <w:pPr>
        <w:pBdr>
          <w:top w:val="single" w:sz="2" w:space="1" w:color="auto"/>
          <w:left w:val="single" w:sz="2" w:space="4" w:color="auto"/>
          <w:bottom w:val="single" w:sz="2" w:space="1" w:color="auto"/>
          <w:right w:val="single" w:sz="2" w:space="4" w:color="auto"/>
        </w:pBdr>
        <w:spacing w:after="0"/>
        <w:jc w:val="center"/>
        <w:rPr>
          <w:rFonts w:cs="Arial"/>
          <w:sz w:val="18"/>
          <w:szCs w:val="18"/>
        </w:rPr>
      </w:pPr>
      <w:r w:rsidRPr="004E0D50">
        <w:rPr>
          <w:rFonts w:cs="Arial"/>
          <w:sz w:val="18"/>
          <w:szCs w:val="18"/>
        </w:rPr>
        <w:t xml:space="preserve">We evaluate </w:t>
      </w:r>
      <w:r w:rsidR="001B4EAA" w:rsidRPr="004E0D50">
        <w:rPr>
          <w:rFonts w:cs="Arial"/>
          <w:sz w:val="18"/>
          <w:szCs w:val="18"/>
        </w:rPr>
        <w:t xml:space="preserve">your </w:t>
      </w:r>
      <w:r w:rsidRPr="004E0D50">
        <w:rPr>
          <w:rFonts w:cs="Arial"/>
          <w:sz w:val="18"/>
          <w:szCs w:val="18"/>
        </w:rPr>
        <w:t xml:space="preserve">specific </w:t>
      </w:r>
      <w:r w:rsidR="00770D0C" w:rsidRPr="004E0D50">
        <w:rPr>
          <w:rFonts w:cs="Arial"/>
          <w:sz w:val="18"/>
          <w:szCs w:val="18"/>
        </w:rPr>
        <w:t xml:space="preserve">project </w:t>
      </w:r>
      <w:r w:rsidRPr="004E0D50">
        <w:rPr>
          <w:rFonts w:cs="Arial"/>
          <w:sz w:val="18"/>
          <w:szCs w:val="18"/>
        </w:rPr>
        <w:t>activit</w:t>
      </w:r>
      <w:r w:rsidR="00770D0C" w:rsidRPr="004E0D50">
        <w:rPr>
          <w:rFonts w:cs="Arial"/>
          <w:sz w:val="18"/>
          <w:szCs w:val="18"/>
        </w:rPr>
        <w:t>ies</w:t>
      </w:r>
      <w:r w:rsidRPr="004E0D50">
        <w:rPr>
          <w:rFonts w:cs="Arial"/>
          <w:sz w:val="18"/>
          <w:szCs w:val="18"/>
        </w:rPr>
        <w:t xml:space="preserve"> and </w:t>
      </w:r>
      <w:r w:rsidR="001B4EAA" w:rsidRPr="004E0D50">
        <w:rPr>
          <w:rFonts w:cs="Arial"/>
          <w:sz w:val="18"/>
          <w:szCs w:val="18"/>
        </w:rPr>
        <w:t xml:space="preserve">the </w:t>
      </w:r>
      <w:r w:rsidR="0079597E" w:rsidRPr="004E0D50">
        <w:rPr>
          <w:rFonts w:cs="Arial"/>
          <w:sz w:val="18"/>
          <w:szCs w:val="18"/>
        </w:rPr>
        <w:t xml:space="preserve">Murray-Darling Basin Economic Development Program </w:t>
      </w:r>
      <w:r w:rsidRPr="004E0D50">
        <w:rPr>
          <w:rFonts w:cs="Arial"/>
          <w:sz w:val="18"/>
          <w:szCs w:val="18"/>
        </w:rPr>
        <w:t xml:space="preserve">as a whole. We base this on information you provide us and that we collect from various sources. </w:t>
      </w:r>
    </w:p>
    <w:p w:rsidR="00CB6615" w:rsidRPr="004E0D50" w:rsidRDefault="00CB6615">
      <w:pPr>
        <w:spacing w:before="0" w:after="0" w:line="240" w:lineRule="auto"/>
      </w:pPr>
    </w:p>
    <w:p w:rsidR="00E00BAF" w:rsidRPr="004E0D50" w:rsidRDefault="00E00BAF" w:rsidP="008F0B87">
      <w:pPr>
        <w:pStyle w:val="Heading3"/>
      </w:pPr>
      <w:bookmarkStart w:id="6" w:name="_Toc536623330"/>
      <w:r w:rsidRPr="004E0D50">
        <w:lastRenderedPageBreak/>
        <w:t>Introduction</w:t>
      </w:r>
      <w:bookmarkEnd w:id="6"/>
    </w:p>
    <w:p w:rsidR="001F7876" w:rsidRPr="004E0D50" w:rsidRDefault="00D3694B" w:rsidP="001F7876">
      <w:pPr>
        <w:rPr>
          <w:lang w:eastAsia="ja-JP"/>
        </w:rPr>
      </w:pPr>
      <w:r w:rsidRPr="004E0D50">
        <w:t xml:space="preserve">These guidelines contain information for the </w:t>
      </w:r>
      <w:r w:rsidR="008C191F" w:rsidRPr="004E0D50">
        <w:t>Murray-Darling Basin Economic Development Program</w:t>
      </w:r>
      <w:r w:rsidR="00714A2E" w:rsidRPr="004E0D50">
        <w:t xml:space="preserve"> (the program)</w:t>
      </w:r>
      <w:r w:rsidRPr="004E0D50">
        <w:t xml:space="preserve">. </w:t>
      </w:r>
    </w:p>
    <w:p w:rsidR="00D3694B" w:rsidRPr="004E0D50" w:rsidRDefault="00D3694B" w:rsidP="001F7876">
      <w:pPr>
        <w:spacing w:before="120" w:after="0" w:line="240" w:lineRule="auto"/>
        <w:rPr>
          <w:lang w:eastAsia="ja-JP"/>
        </w:rPr>
      </w:pPr>
      <w:r w:rsidRPr="004E0D50">
        <w:t xml:space="preserve">You must read these guidelines before filling out an application. </w:t>
      </w:r>
    </w:p>
    <w:p w:rsidR="00E00BAF" w:rsidRPr="004E0D50" w:rsidRDefault="00E00BAF" w:rsidP="00D3694B">
      <w:r w:rsidRPr="004E0D50">
        <w:t>This document sets out:</w:t>
      </w:r>
    </w:p>
    <w:p w:rsidR="00E00BAF" w:rsidRPr="004E0D50" w:rsidRDefault="00E00BAF" w:rsidP="009E283B">
      <w:pPr>
        <w:pStyle w:val="ListBullet"/>
        <w:rPr>
          <w:rStyle w:val="highlightedtextChar"/>
          <w:rFonts w:ascii="Arial" w:hAnsi="Arial" w:cs="Arial"/>
          <w:b w:val="0"/>
          <w:color w:val="auto"/>
          <w:sz w:val="20"/>
          <w:szCs w:val="20"/>
        </w:rPr>
      </w:pPr>
      <w:r w:rsidRPr="004E0D50">
        <w:rPr>
          <w:rStyle w:val="highlightedtextChar"/>
          <w:rFonts w:ascii="Arial" w:hAnsi="Arial" w:cs="Arial"/>
          <w:b w:val="0"/>
          <w:color w:val="auto"/>
          <w:sz w:val="20"/>
          <w:szCs w:val="20"/>
        </w:rPr>
        <w:t>the purpose of the program</w:t>
      </w:r>
    </w:p>
    <w:p w:rsidR="00E00BAF" w:rsidRPr="004E0D50" w:rsidRDefault="00E00BAF" w:rsidP="009E283B">
      <w:pPr>
        <w:pStyle w:val="ListBullet"/>
        <w:rPr>
          <w:rStyle w:val="highlightedtextChar"/>
          <w:rFonts w:ascii="Arial" w:hAnsi="Arial" w:cs="Arial"/>
          <w:b w:val="0"/>
          <w:color w:val="auto"/>
          <w:sz w:val="20"/>
          <w:szCs w:val="20"/>
        </w:rPr>
      </w:pPr>
      <w:r w:rsidRPr="004E0D50">
        <w:rPr>
          <w:rStyle w:val="highlightedtextChar"/>
          <w:rFonts w:ascii="Arial" w:hAnsi="Arial" w:cs="Arial"/>
          <w:b w:val="0"/>
          <w:color w:val="auto"/>
          <w:sz w:val="20"/>
          <w:szCs w:val="20"/>
        </w:rPr>
        <w:t>the eligibility and assessment criteria</w:t>
      </w:r>
    </w:p>
    <w:p w:rsidR="00E00BAF" w:rsidRPr="004E0D50" w:rsidRDefault="00E00BAF" w:rsidP="009E283B">
      <w:pPr>
        <w:pStyle w:val="ListBullet"/>
        <w:rPr>
          <w:rStyle w:val="highlightedtextChar"/>
          <w:rFonts w:ascii="Arial" w:hAnsi="Arial" w:cs="Arial"/>
          <w:b w:val="0"/>
          <w:color w:val="auto"/>
          <w:sz w:val="20"/>
          <w:szCs w:val="20"/>
        </w:rPr>
      </w:pPr>
      <w:r w:rsidRPr="004E0D50">
        <w:rPr>
          <w:rStyle w:val="highlightedtextChar"/>
          <w:rFonts w:ascii="Arial" w:hAnsi="Arial" w:cs="Arial"/>
          <w:b w:val="0"/>
          <w:color w:val="auto"/>
          <w:sz w:val="20"/>
          <w:szCs w:val="20"/>
        </w:rPr>
        <w:t xml:space="preserve">how </w:t>
      </w:r>
      <w:r w:rsidR="00931CCA" w:rsidRPr="004E0D50">
        <w:rPr>
          <w:rStyle w:val="highlightedtextChar"/>
          <w:rFonts w:ascii="Arial" w:hAnsi="Arial" w:cs="Arial"/>
          <w:b w:val="0"/>
          <w:color w:val="auto"/>
          <w:sz w:val="20"/>
          <w:szCs w:val="20"/>
        </w:rPr>
        <w:t>project proposals</w:t>
      </w:r>
      <w:r w:rsidRPr="004E0D50">
        <w:rPr>
          <w:rStyle w:val="highlightedtextChar"/>
          <w:rFonts w:ascii="Arial" w:hAnsi="Arial" w:cs="Arial"/>
          <w:b w:val="0"/>
          <w:color w:val="auto"/>
          <w:sz w:val="20"/>
          <w:szCs w:val="20"/>
        </w:rPr>
        <w:t xml:space="preserve"> are considered and selected</w:t>
      </w:r>
    </w:p>
    <w:p w:rsidR="00E00BAF" w:rsidRPr="004E0D50" w:rsidRDefault="00E00BAF" w:rsidP="009E283B">
      <w:pPr>
        <w:pStyle w:val="ListBullet"/>
        <w:rPr>
          <w:rStyle w:val="highlightedtextChar"/>
          <w:rFonts w:ascii="Arial" w:hAnsi="Arial" w:cs="Arial"/>
          <w:b w:val="0"/>
          <w:color w:val="auto"/>
          <w:sz w:val="20"/>
          <w:szCs w:val="20"/>
        </w:rPr>
      </w:pPr>
      <w:r w:rsidRPr="004E0D50">
        <w:rPr>
          <w:rStyle w:val="highlightedtextChar"/>
          <w:rFonts w:ascii="Arial" w:hAnsi="Arial" w:cs="Arial"/>
          <w:b w:val="0"/>
          <w:color w:val="auto"/>
          <w:sz w:val="20"/>
          <w:szCs w:val="20"/>
        </w:rPr>
        <w:t xml:space="preserve">how </w:t>
      </w:r>
      <w:r w:rsidR="00931CCA" w:rsidRPr="004E0D50">
        <w:rPr>
          <w:rStyle w:val="highlightedtextChar"/>
          <w:rFonts w:ascii="Arial" w:hAnsi="Arial" w:cs="Arial"/>
          <w:b w:val="0"/>
          <w:color w:val="auto"/>
          <w:sz w:val="20"/>
          <w:szCs w:val="20"/>
        </w:rPr>
        <w:t xml:space="preserve">you </w:t>
      </w:r>
      <w:r w:rsidRPr="004E0D50">
        <w:rPr>
          <w:rStyle w:val="highlightedtextChar"/>
          <w:rFonts w:ascii="Arial" w:hAnsi="Arial" w:cs="Arial"/>
          <w:b w:val="0"/>
          <w:color w:val="auto"/>
          <w:sz w:val="20"/>
          <w:szCs w:val="20"/>
        </w:rPr>
        <w:t xml:space="preserve">are notified </w:t>
      </w:r>
      <w:r w:rsidR="00931CCA" w:rsidRPr="004E0D50">
        <w:rPr>
          <w:rStyle w:val="highlightedtextChar"/>
          <w:rFonts w:ascii="Arial" w:hAnsi="Arial" w:cs="Arial"/>
          <w:b w:val="0"/>
          <w:color w:val="auto"/>
          <w:sz w:val="20"/>
          <w:szCs w:val="20"/>
        </w:rPr>
        <w:t xml:space="preserve">of approved projects </w:t>
      </w:r>
      <w:r w:rsidRPr="004E0D50">
        <w:rPr>
          <w:rStyle w:val="highlightedtextChar"/>
          <w:rFonts w:ascii="Arial" w:hAnsi="Arial" w:cs="Arial"/>
          <w:b w:val="0"/>
          <w:color w:val="auto"/>
          <w:sz w:val="20"/>
          <w:szCs w:val="20"/>
        </w:rPr>
        <w:t>and receive grant payments</w:t>
      </w:r>
    </w:p>
    <w:p w:rsidR="00E00BAF" w:rsidRPr="004E0D50" w:rsidRDefault="00E00BAF" w:rsidP="009E283B">
      <w:pPr>
        <w:pStyle w:val="ListBullet"/>
        <w:rPr>
          <w:rStyle w:val="highlightedtextChar"/>
          <w:rFonts w:ascii="Arial" w:hAnsi="Arial" w:cs="Arial"/>
          <w:b w:val="0"/>
          <w:color w:val="auto"/>
          <w:sz w:val="20"/>
          <w:szCs w:val="20"/>
        </w:rPr>
      </w:pPr>
      <w:r w:rsidRPr="004E0D50">
        <w:rPr>
          <w:rStyle w:val="highlightedtextChar"/>
          <w:rFonts w:ascii="Arial" w:hAnsi="Arial" w:cs="Arial"/>
          <w:b w:val="0"/>
          <w:color w:val="auto"/>
          <w:sz w:val="20"/>
          <w:szCs w:val="20"/>
        </w:rPr>
        <w:t xml:space="preserve">how </w:t>
      </w:r>
      <w:r w:rsidR="00931CCA" w:rsidRPr="004E0D50">
        <w:rPr>
          <w:rStyle w:val="highlightedtextChar"/>
          <w:rFonts w:ascii="Arial" w:hAnsi="Arial" w:cs="Arial"/>
          <w:b w:val="0"/>
          <w:color w:val="auto"/>
          <w:sz w:val="20"/>
          <w:szCs w:val="20"/>
        </w:rPr>
        <w:t xml:space="preserve">your project activities </w:t>
      </w:r>
      <w:r w:rsidRPr="004E0D50">
        <w:rPr>
          <w:rStyle w:val="highlightedtextChar"/>
          <w:rFonts w:ascii="Arial" w:hAnsi="Arial" w:cs="Arial"/>
          <w:b w:val="0"/>
          <w:color w:val="auto"/>
          <w:sz w:val="20"/>
          <w:szCs w:val="20"/>
        </w:rPr>
        <w:t>will be monitored and evaluated</w:t>
      </w:r>
    </w:p>
    <w:p w:rsidR="00E00BAF" w:rsidRPr="004E0D50" w:rsidRDefault="00E00BAF" w:rsidP="009E283B">
      <w:pPr>
        <w:pStyle w:val="ListBullet"/>
        <w:rPr>
          <w:rStyle w:val="highlightedtextChar"/>
          <w:rFonts w:ascii="Arial" w:hAnsi="Arial" w:cs="Arial"/>
          <w:b w:val="0"/>
          <w:color w:val="auto"/>
          <w:sz w:val="20"/>
          <w:szCs w:val="20"/>
        </w:rPr>
      </w:pPr>
      <w:r w:rsidRPr="004E0D50">
        <w:rPr>
          <w:rStyle w:val="highlightedtextChar"/>
          <w:rFonts w:ascii="Arial" w:hAnsi="Arial" w:cs="Arial"/>
          <w:b w:val="0"/>
          <w:color w:val="auto"/>
          <w:sz w:val="20"/>
          <w:szCs w:val="20"/>
        </w:rPr>
        <w:t xml:space="preserve">responsibilities and expectations in relation to the opportunity. </w:t>
      </w:r>
    </w:p>
    <w:p w:rsidR="00D71E33" w:rsidRPr="004E0D50" w:rsidRDefault="004E0D50" w:rsidP="00D71E33">
      <w:pPr>
        <w:pStyle w:val="ListBullet"/>
        <w:numPr>
          <w:ilvl w:val="0"/>
          <w:numId w:val="0"/>
        </w:numPr>
        <w:rPr>
          <w:rStyle w:val="highlightedtextChar"/>
          <w:rFonts w:ascii="Arial" w:hAnsi="Arial" w:cs="Arial"/>
          <w:b w:val="0"/>
          <w:iCs w:val="0"/>
          <w:color w:val="auto"/>
          <w:sz w:val="20"/>
          <w:szCs w:val="20"/>
        </w:rPr>
      </w:pPr>
      <w:r w:rsidRPr="004E0D50">
        <w:rPr>
          <w:rStyle w:val="highlightedtextChar"/>
          <w:rFonts w:ascii="Arial" w:hAnsi="Arial" w:cs="Arial"/>
          <w:b w:val="0"/>
          <w:color w:val="auto"/>
          <w:sz w:val="20"/>
          <w:szCs w:val="20"/>
        </w:rPr>
        <w:t>The Community Grants Hub and the Department of Agriculture and Water Resources (the Department) will administer this grant opportunity and process</w:t>
      </w:r>
      <w:r w:rsidR="00307CE3" w:rsidRPr="004E0D50">
        <w:rPr>
          <w:rStyle w:val="highlightedtextChar"/>
          <w:rFonts w:ascii="Arial" w:hAnsi="Arial" w:cs="Arial"/>
          <w:b w:val="0"/>
          <w:color w:val="auto"/>
          <w:sz w:val="20"/>
          <w:szCs w:val="20"/>
        </w:rPr>
        <w:t xml:space="preserve">. </w:t>
      </w:r>
    </w:p>
    <w:p w:rsidR="00907078" w:rsidRPr="004E0D50" w:rsidRDefault="005C7B4A" w:rsidP="00384E16">
      <w:pPr>
        <w:pStyle w:val="Heading2"/>
        <w:rPr>
          <w:color w:val="auto"/>
        </w:rPr>
      </w:pPr>
      <w:bookmarkStart w:id="7" w:name="_Toc535248896"/>
      <w:bookmarkStart w:id="8" w:name="_Toc536623331"/>
      <w:bookmarkEnd w:id="7"/>
      <w:r w:rsidRPr="004E0D50">
        <w:rPr>
          <w:color w:val="auto"/>
        </w:rPr>
        <w:t xml:space="preserve">About the </w:t>
      </w:r>
      <w:r w:rsidR="00FE6C6F" w:rsidRPr="004E0D50">
        <w:rPr>
          <w:color w:val="auto"/>
        </w:rPr>
        <w:t>g</w:t>
      </w:r>
      <w:r w:rsidRPr="004E0D50">
        <w:rPr>
          <w:color w:val="auto"/>
        </w:rPr>
        <w:t xml:space="preserve">rant </w:t>
      </w:r>
      <w:r w:rsidR="00FE6C6F" w:rsidRPr="004E0D50">
        <w:rPr>
          <w:color w:val="auto"/>
        </w:rPr>
        <w:t>p</w:t>
      </w:r>
      <w:r w:rsidR="00EB5DA7" w:rsidRPr="004E0D50">
        <w:rPr>
          <w:color w:val="auto"/>
        </w:rPr>
        <w:t>rogram</w:t>
      </w:r>
      <w:bookmarkEnd w:id="8"/>
    </w:p>
    <w:p w:rsidR="001F7876" w:rsidRPr="004E0D50" w:rsidRDefault="001F7876" w:rsidP="001F7876">
      <w:pPr>
        <w:rPr>
          <w:lang w:eastAsia="ja-JP"/>
        </w:rPr>
      </w:pPr>
      <w:r w:rsidRPr="004E0D50">
        <w:rPr>
          <w:lang w:eastAsia="ja-JP"/>
        </w:rPr>
        <w:t xml:space="preserve">The Murray-Darling Basin (the Basin) is a complex, diverse and dynamic system. The water resources of the Basin </w:t>
      </w:r>
      <w:r w:rsidR="00714A2E" w:rsidRPr="004E0D50">
        <w:rPr>
          <w:lang w:eastAsia="ja-JP"/>
        </w:rPr>
        <w:t xml:space="preserve">are </w:t>
      </w:r>
      <w:r w:rsidRPr="004E0D50">
        <w:rPr>
          <w:lang w:eastAsia="ja-JP"/>
        </w:rPr>
        <w:t>need</w:t>
      </w:r>
      <w:r w:rsidR="00714A2E" w:rsidRPr="004E0D50">
        <w:rPr>
          <w:lang w:eastAsia="ja-JP"/>
        </w:rPr>
        <w:t>ed</w:t>
      </w:r>
      <w:r w:rsidRPr="004E0D50">
        <w:rPr>
          <w:lang w:eastAsia="ja-JP"/>
        </w:rPr>
        <w:t xml:space="preserve"> to support an irrigated agricultural sector, communities and the environment.</w:t>
      </w:r>
    </w:p>
    <w:p w:rsidR="008965BA" w:rsidRPr="004E0D50" w:rsidRDefault="001F7876" w:rsidP="001F7876">
      <w:pPr>
        <w:rPr>
          <w:lang w:eastAsia="ja-JP"/>
        </w:rPr>
      </w:pPr>
      <w:r w:rsidRPr="004E0D50">
        <w:rPr>
          <w:lang w:eastAsia="ja-JP"/>
        </w:rPr>
        <w:t xml:space="preserve">The Murray-Darling Basin Plan (the Basin Plan) provides an integrated and strategic framework for water reform consistent with the requirements of the </w:t>
      </w:r>
      <w:r w:rsidRPr="004E0D50">
        <w:rPr>
          <w:i/>
          <w:lang w:eastAsia="ja-JP"/>
        </w:rPr>
        <w:t xml:space="preserve">Water Act 2007 (Cth) </w:t>
      </w:r>
      <w:r w:rsidRPr="004E0D50">
        <w:rPr>
          <w:lang w:eastAsia="ja-JP"/>
        </w:rPr>
        <w:t>(the Water Act)</w:t>
      </w:r>
      <w:r w:rsidR="00714A2E" w:rsidRPr="004E0D50">
        <w:rPr>
          <w:lang w:eastAsia="ja-JP"/>
        </w:rPr>
        <w:t>. The Basin Plan</w:t>
      </w:r>
      <w:r w:rsidR="00BE6496" w:rsidRPr="004E0D50">
        <w:rPr>
          <w:lang w:eastAsia="ja-JP"/>
        </w:rPr>
        <w:t xml:space="preserve"> </w:t>
      </w:r>
      <w:r w:rsidRPr="004E0D50">
        <w:rPr>
          <w:lang w:eastAsia="ja-JP"/>
        </w:rPr>
        <w:t xml:space="preserve">aims to find a balance between the water needs of all Basin users, to ensure communities, industries, and the environment share a sustainable future. </w:t>
      </w:r>
      <w:r w:rsidR="004E0D50">
        <w:rPr>
          <w:lang w:eastAsia="ja-JP"/>
        </w:rPr>
        <w:t>A</w:t>
      </w:r>
      <w:r w:rsidR="004E0D50" w:rsidRPr="004E0D50">
        <w:rPr>
          <w:lang w:eastAsia="ja-JP"/>
        </w:rPr>
        <w:t>fter several years of research and analysis to help achieve the best balance between water users and the environment</w:t>
      </w:r>
      <w:r w:rsidR="004E0D50">
        <w:rPr>
          <w:lang w:eastAsia="ja-JP"/>
        </w:rPr>
        <w:t>, t</w:t>
      </w:r>
      <w:r w:rsidR="008965BA" w:rsidRPr="004E0D50">
        <w:rPr>
          <w:lang w:eastAsia="ja-JP"/>
        </w:rPr>
        <w:t>he Basin Plan was</w:t>
      </w:r>
      <w:r w:rsidR="009B128F" w:rsidRPr="004E0D50">
        <w:rPr>
          <w:lang w:eastAsia="ja-JP"/>
        </w:rPr>
        <w:t xml:space="preserve"> made under the Water Act and passed by the Federal Parliament</w:t>
      </w:r>
      <w:r w:rsidR="008965BA" w:rsidRPr="004E0D50">
        <w:rPr>
          <w:lang w:eastAsia="ja-JP"/>
        </w:rPr>
        <w:t>, with bipartisan support, in November 2012</w:t>
      </w:r>
      <w:r w:rsidR="009B128F" w:rsidRPr="004E0D50">
        <w:rPr>
          <w:lang w:eastAsia="ja-JP"/>
        </w:rPr>
        <w:t>,</w:t>
      </w:r>
      <w:r w:rsidR="008965BA" w:rsidRPr="004E0D50">
        <w:rPr>
          <w:lang w:eastAsia="ja-JP"/>
        </w:rPr>
        <w:t xml:space="preserve">. </w:t>
      </w:r>
    </w:p>
    <w:p w:rsidR="001F7876" w:rsidRPr="004E0D50" w:rsidRDefault="001F7876" w:rsidP="001F7876">
      <w:pPr>
        <w:rPr>
          <w:lang w:eastAsia="ja-JP"/>
        </w:rPr>
      </w:pPr>
      <w:r w:rsidRPr="004E0D50">
        <w:rPr>
          <w:lang w:eastAsia="ja-JP"/>
        </w:rPr>
        <w:t>A central feature of the Basin Plan is re-balancing how water is shared between consumptive uses and the environment.</w:t>
      </w:r>
      <w:r w:rsidR="004E1A94" w:rsidRPr="004E0D50">
        <w:rPr>
          <w:lang w:eastAsia="ja-JP"/>
        </w:rPr>
        <w:t xml:space="preserve"> </w:t>
      </w:r>
      <w:r w:rsidR="008965BA" w:rsidRPr="004E0D50">
        <w:rPr>
          <w:lang w:eastAsia="ja-JP"/>
        </w:rPr>
        <w:t xml:space="preserve">The transition to the new water sharing arrangements under the Basin Plan is happening over a 12-year period to 2024. </w:t>
      </w:r>
      <w:r w:rsidR="00BE6496" w:rsidRPr="004E0D50">
        <w:rPr>
          <w:lang w:eastAsia="ja-JP"/>
        </w:rPr>
        <w:t xml:space="preserve">Implementing the Basin Plan has resulted in some social and economic impacts arising from the transition to the new water sharing arrangements. </w:t>
      </w:r>
      <w:r w:rsidR="004E1A94" w:rsidRPr="004E0D50">
        <w:rPr>
          <w:lang w:eastAsia="ja-JP"/>
        </w:rPr>
        <w:t xml:space="preserve">The </w:t>
      </w:r>
      <w:r w:rsidR="008965BA" w:rsidRPr="004E0D50">
        <w:rPr>
          <w:lang w:eastAsia="ja-JP"/>
        </w:rPr>
        <w:t xml:space="preserve">Department </w:t>
      </w:r>
      <w:r w:rsidR="004E1A94" w:rsidRPr="004E0D50">
        <w:rPr>
          <w:lang w:eastAsia="ja-JP"/>
        </w:rPr>
        <w:t xml:space="preserve">is responsible for </w:t>
      </w:r>
      <w:r w:rsidR="008965BA" w:rsidRPr="004E0D50">
        <w:rPr>
          <w:lang w:eastAsia="ja-JP"/>
        </w:rPr>
        <w:t xml:space="preserve">delivering </w:t>
      </w:r>
      <w:r w:rsidR="004E1A94" w:rsidRPr="004E0D50">
        <w:rPr>
          <w:lang w:eastAsia="ja-JP"/>
        </w:rPr>
        <w:t xml:space="preserve">water </w:t>
      </w:r>
      <w:r w:rsidR="008965BA" w:rsidRPr="004E0D50">
        <w:rPr>
          <w:lang w:eastAsia="ja-JP"/>
        </w:rPr>
        <w:t xml:space="preserve">recovery </w:t>
      </w:r>
      <w:r w:rsidR="004E1A94" w:rsidRPr="004E0D50">
        <w:rPr>
          <w:lang w:eastAsia="ja-JP"/>
        </w:rPr>
        <w:t xml:space="preserve">programs and projects </w:t>
      </w:r>
      <w:r w:rsidR="008965BA" w:rsidRPr="004E0D50">
        <w:rPr>
          <w:lang w:eastAsia="ja-JP"/>
        </w:rPr>
        <w:t>under</w:t>
      </w:r>
      <w:r w:rsidR="004E1A94" w:rsidRPr="004E0D50">
        <w:rPr>
          <w:lang w:eastAsia="ja-JP"/>
        </w:rPr>
        <w:t xml:space="preserve"> the Basin Plan. </w:t>
      </w:r>
    </w:p>
    <w:p w:rsidR="00687F07" w:rsidRPr="004E0D50" w:rsidRDefault="00AE68BB" w:rsidP="00687F07">
      <w:pPr>
        <w:pStyle w:val="ListBullet"/>
        <w:numPr>
          <w:ilvl w:val="0"/>
          <w:numId w:val="0"/>
        </w:numPr>
      </w:pPr>
      <w:r>
        <w:rPr>
          <w:lang w:eastAsia="ja-JP"/>
        </w:rPr>
        <w:t>T</w:t>
      </w:r>
      <w:r w:rsidRPr="004E0D50">
        <w:rPr>
          <w:lang w:eastAsia="ja-JP"/>
        </w:rPr>
        <w:t>he Minister for Agriculture and Water Resources</w:t>
      </w:r>
      <w:r>
        <w:rPr>
          <w:lang w:eastAsia="ja-JP"/>
        </w:rPr>
        <w:t xml:space="preserve"> announced t</w:t>
      </w:r>
      <w:r w:rsidR="00687F07" w:rsidRPr="004E0D50">
        <w:rPr>
          <w:lang w:eastAsia="ja-JP"/>
        </w:rPr>
        <w:t xml:space="preserve">he program on 7 May 2018, as part of the Basin Plan Commitments Package, to support those communities identified as most impacted by water recovery under the Basin Plan. </w:t>
      </w:r>
      <w:r w:rsidR="00687F07" w:rsidRPr="004E0D50">
        <w:t xml:space="preserve">The Department has identified five communities in the northern Basin and </w:t>
      </w:r>
      <w:r w:rsidR="00F06D3F">
        <w:t>10</w:t>
      </w:r>
      <w:r w:rsidR="00687F07" w:rsidRPr="004E0D50">
        <w:t xml:space="preserve"> communities in the southern Basin eligible for funding as those most impacted by water recovery activities under the Basin Plan. </w:t>
      </w:r>
    </w:p>
    <w:p w:rsidR="00FA1DCD" w:rsidRPr="004E0D50" w:rsidRDefault="00FA1DCD" w:rsidP="00FA1DCD">
      <w:pPr>
        <w:rPr>
          <w:lang w:eastAsia="ja-JP"/>
        </w:rPr>
      </w:pPr>
      <w:r w:rsidRPr="004E0D50">
        <w:rPr>
          <w:lang w:eastAsia="ja-JP"/>
        </w:rPr>
        <w:t xml:space="preserve">The Department considered a range of information, including research by the Murray-Darling Basin Authority (the MDBA). </w:t>
      </w:r>
    </w:p>
    <w:p w:rsidR="00FA1DCD" w:rsidRPr="004E0D50" w:rsidRDefault="00FA1DCD" w:rsidP="009B128F">
      <w:pPr>
        <w:rPr>
          <w:lang w:eastAsia="ja-JP"/>
        </w:rPr>
      </w:pPr>
      <w:r w:rsidRPr="004E0D50">
        <w:rPr>
          <w:lang w:eastAsia="ja-JP"/>
        </w:rPr>
        <w:t xml:space="preserve">The MDBA’s research found water recovery under the Basin Plan led to varying economic impacts in communities. </w:t>
      </w:r>
      <w:r w:rsidR="008965BA" w:rsidRPr="004E0D50">
        <w:rPr>
          <w:lang w:eastAsia="ja-JP"/>
        </w:rPr>
        <w:t>T</w:t>
      </w:r>
      <w:r w:rsidR="001F7876" w:rsidRPr="004E0D50">
        <w:rPr>
          <w:lang w:eastAsia="ja-JP"/>
        </w:rPr>
        <w:t xml:space="preserve">he </w:t>
      </w:r>
      <w:r w:rsidR="002219AF" w:rsidRPr="004E0D50">
        <w:rPr>
          <w:lang w:eastAsia="ja-JP"/>
        </w:rPr>
        <w:t>MDBA</w:t>
      </w:r>
      <w:r w:rsidRPr="004E0D50">
        <w:rPr>
          <w:lang w:eastAsia="ja-JP"/>
        </w:rPr>
        <w:t>’s</w:t>
      </w:r>
      <w:r w:rsidR="002219AF" w:rsidRPr="004E0D50">
        <w:rPr>
          <w:lang w:eastAsia="ja-JP"/>
        </w:rPr>
        <w:t xml:space="preserve"> </w:t>
      </w:r>
      <w:r w:rsidR="004E1A94" w:rsidRPr="004E0D50">
        <w:rPr>
          <w:lang w:eastAsia="ja-JP"/>
        </w:rPr>
        <w:t xml:space="preserve">2016 Northern Basin Review and </w:t>
      </w:r>
      <w:r w:rsidR="001F7876" w:rsidRPr="004E0D50">
        <w:rPr>
          <w:lang w:eastAsia="ja-JP"/>
        </w:rPr>
        <w:t xml:space="preserve">2017 Basin Plan Evaluation identified varying degrees of social and economic impacts on Basin communities. </w:t>
      </w:r>
      <w:r w:rsidR="007E4C29" w:rsidRPr="004E0D50">
        <w:t>These community boundaries are not the same as local government boundaries.</w:t>
      </w:r>
    </w:p>
    <w:p w:rsidR="009B128F" w:rsidRPr="004E0D50" w:rsidRDefault="008965BA" w:rsidP="009B128F">
      <w:pPr>
        <w:rPr>
          <w:lang w:eastAsia="ja-JP"/>
        </w:rPr>
      </w:pPr>
      <w:r w:rsidRPr="004E0D50">
        <w:rPr>
          <w:lang w:eastAsia="ja-JP"/>
        </w:rPr>
        <w:t xml:space="preserve">The </w:t>
      </w:r>
      <w:r w:rsidR="009B128F" w:rsidRPr="004E0D50">
        <w:rPr>
          <w:lang w:eastAsia="ja-JP"/>
        </w:rPr>
        <w:t xml:space="preserve">MDBA research considered change to employment </w:t>
      </w:r>
      <w:r w:rsidR="00BC577E">
        <w:rPr>
          <w:lang w:eastAsia="ja-JP"/>
        </w:rPr>
        <w:t xml:space="preserve">in line </w:t>
      </w:r>
      <w:r w:rsidR="009B128F" w:rsidRPr="004E0D50">
        <w:rPr>
          <w:lang w:eastAsia="ja-JP"/>
        </w:rPr>
        <w:t xml:space="preserve">with a number of factors related to Basin Plan water recovery. These include the scale, pace and method of water recovery, the </w:t>
      </w:r>
      <w:r w:rsidR="009B128F" w:rsidRPr="004E0D50">
        <w:rPr>
          <w:lang w:eastAsia="ja-JP"/>
        </w:rPr>
        <w:lastRenderedPageBreak/>
        <w:t xml:space="preserve">influences of temporary and permanent water trade, the change in employment </w:t>
      </w:r>
      <w:r w:rsidR="00BC577E" w:rsidRPr="004E0D50">
        <w:rPr>
          <w:lang w:eastAsia="ja-JP"/>
        </w:rPr>
        <w:t>because</w:t>
      </w:r>
      <w:r w:rsidR="009B128F" w:rsidRPr="004E0D50">
        <w:rPr>
          <w:lang w:eastAsia="ja-JP"/>
        </w:rPr>
        <w:t xml:space="preserve"> of factors outside the Basin Plan, the size and economic diversity of each community, and whether employment is increas</w:t>
      </w:r>
      <w:r w:rsidR="00BC577E">
        <w:rPr>
          <w:lang w:eastAsia="ja-JP"/>
        </w:rPr>
        <w:t xml:space="preserve">ing or decreasing over the </w:t>
      </w:r>
      <w:r w:rsidR="009B128F" w:rsidRPr="004E0D50">
        <w:rPr>
          <w:lang w:eastAsia="ja-JP"/>
        </w:rPr>
        <w:t xml:space="preserve">period examined. For example, purchasing water entitlements reduces the volume of water available for crop production and when a large proportion of water entitlements is sold in communities with irrigation-dependent economies there can be a substantive direct and indirect impact on jobs. A rapid change in available water entitlements in an irrigation-dependent community results in a lower ability for local economies to adapt. </w:t>
      </w:r>
    </w:p>
    <w:p w:rsidR="002219AF" w:rsidRPr="004E0D50" w:rsidRDefault="002219AF" w:rsidP="002219AF">
      <w:pPr>
        <w:pStyle w:val="ListBullet"/>
        <w:numPr>
          <w:ilvl w:val="0"/>
          <w:numId w:val="0"/>
        </w:numPr>
      </w:pPr>
      <w:r w:rsidRPr="004E0D50">
        <w:t>More information on MDBA research can be found at</w:t>
      </w:r>
      <w:r w:rsidRPr="004E0D50">
        <w:rPr>
          <w:lang w:eastAsia="ja-JP"/>
        </w:rPr>
        <w:t xml:space="preserve"> the following links, together with separate reports on each relevant community</w:t>
      </w:r>
      <w:r w:rsidRPr="004E0D50">
        <w:t xml:space="preserve">: </w:t>
      </w:r>
    </w:p>
    <w:p w:rsidR="002219AF" w:rsidRPr="004E0D50" w:rsidRDefault="007826BF" w:rsidP="002219AF">
      <w:pPr>
        <w:pStyle w:val="ListBullet"/>
        <w:numPr>
          <w:ilvl w:val="0"/>
          <w:numId w:val="26"/>
        </w:numPr>
        <w:rPr>
          <w:rStyle w:val="Hyperlink"/>
          <w:color w:val="auto"/>
          <w:lang w:eastAsia="ja-JP"/>
        </w:rPr>
      </w:pPr>
      <w:hyperlink r:id="rId22" w:history="1">
        <w:r w:rsidR="002219AF" w:rsidRPr="004E0D50">
          <w:rPr>
            <w:rStyle w:val="Hyperlink"/>
            <w:color w:val="auto"/>
          </w:rPr>
          <w:t>Northern Basin Review</w:t>
        </w:r>
      </w:hyperlink>
      <w:r w:rsidR="002219AF" w:rsidRPr="004E0D50" w:rsidDel="00966ED7">
        <w:t xml:space="preserve"> </w:t>
      </w:r>
    </w:p>
    <w:p w:rsidR="002219AF" w:rsidRPr="004E0D50" w:rsidRDefault="007826BF" w:rsidP="002219AF">
      <w:pPr>
        <w:pStyle w:val="ListBullet"/>
        <w:numPr>
          <w:ilvl w:val="0"/>
          <w:numId w:val="26"/>
        </w:numPr>
      </w:pPr>
      <w:hyperlink r:id="rId23" w:history="1">
        <w:r w:rsidR="002219AF" w:rsidRPr="004E0D50">
          <w:rPr>
            <w:rStyle w:val="Hyperlink"/>
            <w:color w:val="auto"/>
          </w:rPr>
          <w:t>Southern Basin Review</w:t>
        </w:r>
      </w:hyperlink>
      <w:r w:rsidR="00BC577E">
        <w:rPr>
          <w:rStyle w:val="Hyperlink"/>
          <w:color w:val="auto"/>
        </w:rPr>
        <w:t>.</w:t>
      </w:r>
      <w:r w:rsidR="002219AF" w:rsidRPr="004E0D50">
        <w:tab/>
      </w:r>
    </w:p>
    <w:p w:rsidR="002219AF" w:rsidRPr="004E0D50" w:rsidRDefault="002219AF" w:rsidP="002219AF">
      <w:pPr>
        <w:pStyle w:val="ListBullet"/>
        <w:numPr>
          <w:ilvl w:val="0"/>
          <w:numId w:val="0"/>
        </w:numPr>
      </w:pPr>
      <w:r w:rsidRPr="004E0D50">
        <w:t xml:space="preserve">A number of strategic water purchases occurred after the Basin Plan review. The </w:t>
      </w:r>
      <w:r w:rsidR="00BC577E">
        <w:t>D</w:t>
      </w:r>
      <w:r w:rsidRPr="004E0D50">
        <w:t xml:space="preserve">epartment </w:t>
      </w:r>
      <w:r w:rsidR="009B128F" w:rsidRPr="004E0D50">
        <w:t xml:space="preserve">also </w:t>
      </w:r>
      <w:r w:rsidRPr="004E0D50">
        <w:t xml:space="preserve">identified the community of Cunnamulla as eligible for support </w:t>
      </w:r>
      <w:r w:rsidR="00BC577E">
        <w:t>because of</w:t>
      </w:r>
      <w:r w:rsidRPr="004E0D50">
        <w:t xml:space="preserve"> water recovery </w:t>
      </w:r>
      <w:r w:rsidR="00BC577E">
        <w:t>and</w:t>
      </w:r>
      <w:r w:rsidRPr="004E0D50">
        <w:t xml:space="preserve"> its remote and rural nature as specified in the Basin commitments package. </w:t>
      </w:r>
    </w:p>
    <w:p w:rsidR="00DC5A02" w:rsidRPr="004E0D50" w:rsidRDefault="00E82D4F" w:rsidP="00EF47AA">
      <w:r w:rsidRPr="004E0D50">
        <w:t xml:space="preserve">The objective of the program is to </w:t>
      </w:r>
      <w:r w:rsidR="00BC577E">
        <w:t>help</w:t>
      </w:r>
      <w:r w:rsidRPr="004E0D50">
        <w:t xml:space="preserve"> eligible communities to undertake economic development projects to respond to the impact of water recovery activities under the Basin Plan. The outputs of the program are </w:t>
      </w:r>
      <w:r w:rsidR="0079390B" w:rsidRPr="004E0D50">
        <w:t>the</w:t>
      </w:r>
      <w:r w:rsidRPr="004E0D50">
        <w:t xml:space="preserve"> </w:t>
      </w:r>
      <w:r w:rsidR="00DC5A02" w:rsidRPr="004E0D50">
        <w:t xml:space="preserve">number of jobs created </w:t>
      </w:r>
      <w:r w:rsidR="00803DFF" w:rsidRPr="004E0D50">
        <w:t>because</w:t>
      </w:r>
      <w:r w:rsidR="00DC5A02" w:rsidRPr="004E0D50">
        <w:t xml:space="preserve"> of the </w:t>
      </w:r>
      <w:r w:rsidRPr="004E0D50">
        <w:t xml:space="preserve">economic development projects </w:t>
      </w:r>
      <w:r w:rsidR="00DC5A02" w:rsidRPr="004E0D50">
        <w:t>and the number of projects supporting activities that continue after the end of the projects.</w:t>
      </w:r>
      <w:r w:rsidRPr="004E0D50">
        <w:t xml:space="preserve"> </w:t>
      </w:r>
    </w:p>
    <w:p w:rsidR="00EF47AA" w:rsidRPr="004E0D50" w:rsidRDefault="00E82D4F" w:rsidP="00EF47AA">
      <w:pPr>
        <w:rPr>
          <w:lang w:eastAsia="ja-JP"/>
        </w:rPr>
      </w:pPr>
      <w:r w:rsidRPr="004E0D50">
        <w:t xml:space="preserve">The </w:t>
      </w:r>
      <w:r w:rsidR="00DC5A02" w:rsidRPr="004E0D50">
        <w:t xml:space="preserve">economic development </w:t>
      </w:r>
      <w:r w:rsidRPr="004E0D50">
        <w:t xml:space="preserve">projects would </w:t>
      </w:r>
      <w:r w:rsidR="00BC577E">
        <w:t>help</w:t>
      </w:r>
      <w:r w:rsidRPr="004E0D50">
        <w:t xml:space="preserve"> with: </w:t>
      </w:r>
    </w:p>
    <w:p w:rsidR="00BF79E6" w:rsidRPr="004E0D50" w:rsidRDefault="0063787A" w:rsidP="00BF79E6">
      <w:pPr>
        <w:pStyle w:val="ListBullet"/>
        <w:rPr>
          <w:lang w:eastAsia="ja-JP"/>
        </w:rPr>
      </w:pPr>
      <w:r>
        <w:rPr>
          <w:lang w:eastAsia="ja-JP"/>
        </w:rPr>
        <w:t>i</w:t>
      </w:r>
      <w:r w:rsidR="00111613" w:rsidRPr="004E0D50">
        <w:rPr>
          <w:lang w:eastAsia="ja-JP"/>
        </w:rPr>
        <w:t>ncreas</w:t>
      </w:r>
      <w:r w:rsidR="00E82D4F" w:rsidRPr="004E0D50">
        <w:rPr>
          <w:lang w:eastAsia="ja-JP"/>
        </w:rPr>
        <w:t>ing th</w:t>
      </w:r>
      <w:r w:rsidR="005267FF" w:rsidRPr="004E0D50">
        <w:rPr>
          <w:lang w:eastAsia="ja-JP"/>
        </w:rPr>
        <w:t>e</w:t>
      </w:r>
      <w:r w:rsidR="00111613" w:rsidRPr="004E0D50">
        <w:rPr>
          <w:lang w:eastAsia="ja-JP"/>
        </w:rPr>
        <w:t xml:space="preserve"> </w:t>
      </w:r>
      <w:r w:rsidR="00BF79E6" w:rsidRPr="004E0D50">
        <w:rPr>
          <w:lang w:eastAsia="ja-JP"/>
        </w:rPr>
        <w:t xml:space="preserve">capacity of communities to diversify and </w:t>
      </w:r>
      <w:r w:rsidR="00111613" w:rsidRPr="004E0D50">
        <w:rPr>
          <w:lang w:eastAsia="ja-JP"/>
        </w:rPr>
        <w:t>strengthen</w:t>
      </w:r>
      <w:r w:rsidR="00B72814" w:rsidRPr="004E0D50">
        <w:rPr>
          <w:lang w:eastAsia="ja-JP"/>
        </w:rPr>
        <w:t xml:space="preserve"> </w:t>
      </w:r>
      <w:r w:rsidR="00BF79E6" w:rsidRPr="004E0D50">
        <w:rPr>
          <w:lang w:eastAsia="ja-JP"/>
        </w:rPr>
        <w:t>local economies</w:t>
      </w:r>
    </w:p>
    <w:p w:rsidR="00BF79E6" w:rsidRPr="004E0D50" w:rsidRDefault="0063787A" w:rsidP="00BF79E6">
      <w:pPr>
        <w:pStyle w:val="ListBullet"/>
        <w:rPr>
          <w:lang w:eastAsia="ja-JP"/>
        </w:rPr>
      </w:pPr>
      <w:r>
        <w:rPr>
          <w:lang w:eastAsia="ja-JP"/>
        </w:rPr>
        <w:t>e</w:t>
      </w:r>
      <w:r w:rsidR="00111613" w:rsidRPr="004E0D50">
        <w:rPr>
          <w:lang w:eastAsia="ja-JP"/>
        </w:rPr>
        <w:t>nhanc</w:t>
      </w:r>
      <w:r w:rsidR="00E82D4F" w:rsidRPr="004E0D50">
        <w:rPr>
          <w:lang w:eastAsia="ja-JP"/>
        </w:rPr>
        <w:t>ing th</w:t>
      </w:r>
      <w:r w:rsidR="005267FF" w:rsidRPr="004E0D50">
        <w:rPr>
          <w:lang w:eastAsia="ja-JP"/>
        </w:rPr>
        <w:t>e</w:t>
      </w:r>
      <w:r w:rsidR="00111613" w:rsidRPr="004E0D50">
        <w:rPr>
          <w:lang w:eastAsia="ja-JP"/>
        </w:rPr>
        <w:t xml:space="preserve"> </w:t>
      </w:r>
      <w:r w:rsidR="00BF79E6" w:rsidRPr="004E0D50">
        <w:rPr>
          <w:lang w:eastAsia="ja-JP"/>
        </w:rPr>
        <w:t xml:space="preserve">resilience of communities to </w:t>
      </w:r>
      <w:r w:rsidR="00392F6D" w:rsidRPr="004E0D50">
        <w:rPr>
          <w:lang w:eastAsia="ja-JP"/>
        </w:rPr>
        <w:t xml:space="preserve">manage current and future </w:t>
      </w:r>
      <w:r w:rsidR="001F7876" w:rsidRPr="004E0D50">
        <w:rPr>
          <w:lang w:eastAsia="ja-JP"/>
        </w:rPr>
        <w:t xml:space="preserve">economic </w:t>
      </w:r>
      <w:r w:rsidR="00BF79E6" w:rsidRPr="004E0D50">
        <w:rPr>
          <w:lang w:eastAsia="ja-JP"/>
        </w:rPr>
        <w:t>challenges and changes</w:t>
      </w:r>
    </w:p>
    <w:p w:rsidR="00BF79E6" w:rsidRPr="004E0D50" w:rsidRDefault="00111613" w:rsidP="00BF79E6">
      <w:pPr>
        <w:pStyle w:val="ListBullet"/>
        <w:rPr>
          <w:lang w:eastAsia="ja-JP"/>
        </w:rPr>
      </w:pPr>
      <w:r w:rsidRPr="004E0D50">
        <w:rPr>
          <w:lang w:eastAsia="ja-JP"/>
        </w:rPr>
        <w:t>increas</w:t>
      </w:r>
      <w:r w:rsidR="00E82D4F" w:rsidRPr="004E0D50">
        <w:rPr>
          <w:lang w:eastAsia="ja-JP"/>
        </w:rPr>
        <w:t>ing</w:t>
      </w:r>
      <w:r w:rsidRPr="004E0D50">
        <w:rPr>
          <w:lang w:eastAsia="ja-JP"/>
        </w:rPr>
        <w:t xml:space="preserve"> </w:t>
      </w:r>
      <w:r w:rsidR="00BF79E6" w:rsidRPr="004E0D50">
        <w:rPr>
          <w:lang w:eastAsia="ja-JP"/>
        </w:rPr>
        <w:t>opportunities for employment within communities</w:t>
      </w:r>
      <w:r w:rsidR="001F7876" w:rsidRPr="004E0D50">
        <w:rPr>
          <w:lang w:eastAsia="ja-JP"/>
        </w:rPr>
        <w:t>.</w:t>
      </w:r>
    </w:p>
    <w:p w:rsidR="000E08D0" w:rsidRPr="004E0D50" w:rsidRDefault="000E08D0" w:rsidP="00384E16">
      <w:pPr>
        <w:pStyle w:val="Heading2"/>
        <w:rPr>
          <w:color w:val="auto"/>
        </w:rPr>
      </w:pPr>
      <w:bookmarkStart w:id="9" w:name="_Toc494290488"/>
      <w:bookmarkStart w:id="10" w:name="_Toc536623332"/>
      <w:bookmarkEnd w:id="2"/>
      <w:bookmarkEnd w:id="9"/>
      <w:r w:rsidRPr="004E0D50">
        <w:rPr>
          <w:color w:val="auto"/>
        </w:rPr>
        <w:t>Grant</w:t>
      </w:r>
      <w:r w:rsidR="00B62A3A" w:rsidRPr="004E0D50">
        <w:rPr>
          <w:color w:val="auto"/>
        </w:rPr>
        <w:t xml:space="preserve"> amount</w:t>
      </w:r>
      <w:r w:rsidR="00492E57" w:rsidRPr="004E0D50">
        <w:rPr>
          <w:color w:val="auto"/>
        </w:rPr>
        <w:t xml:space="preserve"> </w:t>
      </w:r>
      <w:r w:rsidR="00D450B6" w:rsidRPr="004E0D50">
        <w:rPr>
          <w:color w:val="auto"/>
        </w:rPr>
        <w:t>and grant period</w:t>
      </w:r>
      <w:bookmarkEnd w:id="10"/>
    </w:p>
    <w:p w:rsidR="001E60B8" w:rsidRPr="004E0D50" w:rsidRDefault="00B31728" w:rsidP="008F0B87">
      <w:pPr>
        <w:pStyle w:val="Heading3"/>
      </w:pPr>
      <w:bookmarkStart w:id="11" w:name="_Toc536623333"/>
      <w:r w:rsidRPr="004E0D50">
        <w:t>G</w:t>
      </w:r>
      <w:r w:rsidR="001E60B8" w:rsidRPr="004E0D50">
        <w:t>rants available</w:t>
      </w:r>
      <w:bookmarkEnd w:id="11"/>
    </w:p>
    <w:p w:rsidR="00DD193B" w:rsidRPr="004E0D50" w:rsidRDefault="005D5D1D" w:rsidP="00685918">
      <w:r w:rsidRPr="004E0D50">
        <w:t xml:space="preserve">The Australian Government has announced </w:t>
      </w:r>
      <w:r w:rsidR="00180AD0" w:rsidRPr="004E0D50">
        <w:t xml:space="preserve">funding of up to </w:t>
      </w:r>
      <w:r w:rsidR="00EF47AA" w:rsidRPr="004E0D50">
        <w:t xml:space="preserve">$20 million </w:t>
      </w:r>
      <w:r w:rsidR="00084EEE" w:rsidRPr="004E0D50">
        <w:t>(</w:t>
      </w:r>
      <w:r w:rsidR="00B91459" w:rsidRPr="004E0D50">
        <w:t>GST</w:t>
      </w:r>
      <w:r w:rsidR="0056391E" w:rsidRPr="004E0D50">
        <w:t xml:space="preserve"> exclusive</w:t>
      </w:r>
      <w:r w:rsidR="00084EEE" w:rsidRPr="004E0D50">
        <w:t>)</w:t>
      </w:r>
      <w:r w:rsidR="000D1463" w:rsidRPr="004E0D50">
        <w:t xml:space="preserve"> </w:t>
      </w:r>
      <w:r w:rsidRPr="004E0D50">
        <w:t xml:space="preserve">for </w:t>
      </w:r>
      <w:r w:rsidR="00803DFF">
        <w:t>15</w:t>
      </w:r>
      <w:r w:rsidR="008B5BB2" w:rsidRPr="004E0D50">
        <w:t xml:space="preserve"> eligible communities listed at </w:t>
      </w:r>
      <w:r w:rsidR="008B5BB2" w:rsidRPr="004E0D50">
        <w:rPr>
          <w:lang w:eastAsia="ja-JP"/>
        </w:rPr>
        <w:t>Section 5.2 of these guidelines</w:t>
      </w:r>
      <w:r w:rsidR="008B5BB2" w:rsidRPr="004E0D50">
        <w:t xml:space="preserve"> and shown in the maps at </w:t>
      </w:r>
      <w:r w:rsidR="008B5BB2" w:rsidRPr="004E0D50">
        <w:rPr>
          <w:b/>
        </w:rPr>
        <w:t>Appendi</w:t>
      </w:r>
      <w:r w:rsidR="00ED3649" w:rsidRPr="004E0D50">
        <w:rPr>
          <w:b/>
        </w:rPr>
        <w:t>x </w:t>
      </w:r>
      <w:r w:rsidR="008B5BB2" w:rsidRPr="004E0D50">
        <w:rPr>
          <w:b/>
        </w:rPr>
        <w:t>A.</w:t>
      </w:r>
      <w:r w:rsidR="00DF0615" w:rsidRPr="004E0D50">
        <w:t xml:space="preserve"> </w:t>
      </w:r>
    </w:p>
    <w:p w:rsidR="00DF0615" w:rsidRPr="004E0D50" w:rsidRDefault="008B5BB2" w:rsidP="00DD193B">
      <w:r w:rsidRPr="004E0D50">
        <w:t xml:space="preserve">A notional allocation of </w:t>
      </w:r>
      <w:r w:rsidR="00543166" w:rsidRPr="004E0D50">
        <w:t xml:space="preserve">around </w:t>
      </w:r>
      <w:r w:rsidR="005D5D1D" w:rsidRPr="004E0D50">
        <w:t>$</w:t>
      </w:r>
      <w:r w:rsidR="00615126" w:rsidRPr="004E0D50">
        <w:t>1</w:t>
      </w:r>
      <w:r w:rsidR="00AB2BC5" w:rsidRPr="004E0D50">
        <w:t> </w:t>
      </w:r>
      <w:r w:rsidR="00615126" w:rsidRPr="004E0D50">
        <w:t>million</w:t>
      </w:r>
      <w:r w:rsidR="00BE6570" w:rsidRPr="004E0D50">
        <w:t xml:space="preserve"> (</w:t>
      </w:r>
      <w:r w:rsidR="0056391E" w:rsidRPr="004E0D50">
        <w:t>GST exclusive</w:t>
      </w:r>
      <w:r w:rsidR="00BE6570" w:rsidRPr="004E0D50">
        <w:t xml:space="preserve">) </w:t>
      </w:r>
      <w:r w:rsidR="00615126" w:rsidRPr="004E0D50">
        <w:t xml:space="preserve">is </w:t>
      </w:r>
      <w:r w:rsidR="00DD193B" w:rsidRPr="004E0D50">
        <w:t xml:space="preserve">available for </w:t>
      </w:r>
      <w:r w:rsidRPr="004E0D50">
        <w:t xml:space="preserve">economic development </w:t>
      </w:r>
      <w:r w:rsidR="00DD193B" w:rsidRPr="004E0D50">
        <w:t>projects in</w:t>
      </w:r>
      <w:r w:rsidR="00AB2BC5" w:rsidRPr="004E0D50">
        <w:t xml:space="preserve"> each eligible community </w:t>
      </w:r>
      <w:r w:rsidRPr="004E0D50">
        <w:rPr>
          <w:lang w:eastAsia="ja-JP"/>
        </w:rPr>
        <w:t xml:space="preserve">to address the </w:t>
      </w:r>
      <w:r w:rsidR="00DD193B" w:rsidRPr="004E0D50">
        <w:t xml:space="preserve">economic impacts faced by the communities </w:t>
      </w:r>
      <w:r w:rsidR="00803DFF" w:rsidRPr="004E0D50">
        <w:t>because</w:t>
      </w:r>
      <w:r w:rsidR="00DD193B" w:rsidRPr="004E0D50">
        <w:t xml:space="preserve"> of water recovery activities through the Basin Plan</w:t>
      </w:r>
      <w:r w:rsidR="00AB2BC5" w:rsidRPr="004E0D50">
        <w:t>.</w:t>
      </w:r>
      <w:r w:rsidR="003911FD" w:rsidRPr="004E0D50">
        <w:t xml:space="preserve"> Communities with a number of highly ranked economic development </w:t>
      </w:r>
      <w:r w:rsidR="0079390B" w:rsidRPr="004E0D50">
        <w:t xml:space="preserve">applications </w:t>
      </w:r>
      <w:r w:rsidR="003911FD" w:rsidRPr="004E0D50">
        <w:t xml:space="preserve">are likely to receive more funding than </w:t>
      </w:r>
      <w:r w:rsidR="00DC5A02" w:rsidRPr="004E0D50">
        <w:t>their notional funding</w:t>
      </w:r>
      <w:r w:rsidR="003911FD" w:rsidRPr="004E0D50">
        <w:t>.</w:t>
      </w:r>
      <w:r w:rsidR="000B75E4" w:rsidRPr="004E0D50">
        <w:t xml:space="preserve"> The amount of funding approved for any particular community is at the discretion of the decision maker.</w:t>
      </w:r>
    </w:p>
    <w:p w:rsidR="00134DA2" w:rsidRPr="004E0D50" w:rsidRDefault="00134DA2" w:rsidP="00134DA2">
      <w:pPr>
        <w:pStyle w:val="ListBullet"/>
        <w:numPr>
          <w:ilvl w:val="0"/>
          <w:numId w:val="0"/>
        </w:numPr>
      </w:pPr>
      <w:r w:rsidRPr="004E0D50">
        <w:t>The set minimum grant amount for each eligible project is $10,000 (</w:t>
      </w:r>
      <w:r w:rsidR="0056391E" w:rsidRPr="004E0D50">
        <w:t>GST exclusive</w:t>
      </w:r>
      <w:r w:rsidRPr="004E0D50">
        <w:t>) and the maximum grant amount for each eligible project will be $500,000 (</w:t>
      </w:r>
      <w:r w:rsidR="0056391E" w:rsidRPr="004E0D50">
        <w:t>GST exclusive</w:t>
      </w:r>
      <w:r w:rsidRPr="004E0D50">
        <w:t>). The total for all grants cannot exceed the amount of available funds.</w:t>
      </w:r>
    </w:p>
    <w:p w:rsidR="00134DA2" w:rsidRPr="004E0D50" w:rsidRDefault="00134DA2" w:rsidP="00134DA2">
      <w:pPr>
        <w:rPr>
          <w:lang w:eastAsia="ja-JP"/>
        </w:rPr>
      </w:pPr>
      <w:r w:rsidRPr="004E0D50">
        <w:rPr>
          <w:lang w:eastAsia="ja-JP"/>
        </w:rPr>
        <w:t>An application for grant funding below the set minimum amount will be deemed ineligible and the application will not be assessed.</w:t>
      </w:r>
      <w:r w:rsidR="00543166" w:rsidRPr="004E0D50">
        <w:rPr>
          <w:lang w:eastAsia="ja-JP"/>
        </w:rPr>
        <w:t xml:space="preserve"> Applications above the maximum amount may be considered if there are funds available for an eligible community.</w:t>
      </w:r>
    </w:p>
    <w:p w:rsidR="00714A2E" w:rsidRPr="004E0D50" w:rsidRDefault="00714A2E" w:rsidP="00714A2E">
      <w:pPr>
        <w:rPr>
          <w:lang w:eastAsia="ja-JP"/>
        </w:rPr>
      </w:pPr>
      <w:r w:rsidRPr="004E0D50">
        <w:rPr>
          <w:lang w:eastAsia="ja-JP"/>
        </w:rPr>
        <w:t>This program will run over four financial years from 2018-19 to 2021-22.</w:t>
      </w:r>
    </w:p>
    <w:p w:rsidR="00714A2E" w:rsidRPr="004E0D50" w:rsidRDefault="00714A2E" w:rsidP="00714A2E">
      <w:r w:rsidRPr="004E0D50">
        <w:lastRenderedPageBreak/>
        <w:t xml:space="preserve">The </w:t>
      </w:r>
      <w:r w:rsidR="0056391E" w:rsidRPr="004E0D50">
        <w:t>p</w:t>
      </w:r>
      <w:r w:rsidRPr="004E0D50">
        <w:t xml:space="preserve">rogram will initially comprise one open competitive round published on </w:t>
      </w:r>
      <w:hyperlink r:id="rId24" w:history="1">
        <w:r w:rsidRPr="004E0D50">
          <w:rPr>
            <w:rStyle w:val="Hyperlink"/>
            <w:rFonts w:cs="Arial"/>
            <w:color w:val="auto"/>
            <w:u w:val="none"/>
          </w:rPr>
          <w:t>GrantConnect</w:t>
        </w:r>
      </w:hyperlink>
      <w:r w:rsidR="00803DFF">
        <w:rPr>
          <w:rStyle w:val="Hyperlink"/>
          <w:rFonts w:cs="Arial"/>
          <w:color w:val="auto"/>
          <w:u w:val="none"/>
        </w:rPr>
        <w:t xml:space="preserve"> and the Community Grants Hub website</w:t>
      </w:r>
      <w:r w:rsidR="00B31728" w:rsidRPr="004E0D50">
        <w:rPr>
          <w:rStyle w:val="Hyperlink"/>
          <w:rFonts w:cs="Arial"/>
          <w:color w:val="auto"/>
          <w:u w:val="none"/>
        </w:rPr>
        <w:t xml:space="preserve">. </w:t>
      </w:r>
      <w:r w:rsidRPr="004E0D50">
        <w:t>Further grant rounds will be considered after the results of the initial round are finalised.</w:t>
      </w:r>
    </w:p>
    <w:p w:rsidR="00AB2BC5" w:rsidRPr="004E0D50" w:rsidRDefault="00E974D9" w:rsidP="001E60B8">
      <w:r w:rsidRPr="004E0D50">
        <w:rPr>
          <w:b/>
          <w:lang w:eastAsia="ja-JP"/>
        </w:rPr>
        <w:t>Financial co</w:t>
      </w:r>
      <w:r w:rsidR="00AB2BC5" w:rsidRPr="004E0D50">
        <w:rPr>
          <w:b/>
          <w:lang w:eastAsia="ja-JP"/>
        </w:rPr>
        <w:t>-contributions</w:t>
      </w:r>
      <w:r w:rsidR="00AB2BC5" w:rsidRPr="004E0D50">
        <w:rPr>
          <w:lang w:eastAsia="ja-JP"/>
        </w:rPr>
        <w:t xml:space="preserve"> are encouraged and welcome</w:t>
      </w:r>
      <w:r w:rsidR="004411E4" w:rsidRPr="004E0D50">
        <w:rPr>
          <w:lang w:eastAsia="ja-JP"/>
        </w:rPr>
        <w:t xml:space="preserve"> but </w:t>
      </w:r>
      <w:r w:rsidR="00AB2BC5" w:rsidRPr="004E0D50">
        <w:rPr>
          <w:lang w:eastAsia="ja-JP"/>
        </w:rPr>
        <w:t xml:space="preserve">it is not a requirement </w:t>
      </w:r>
      <w:r w:rsidR="008B5BB2" w:rsidRPr="004E0D50">
        <w:rPr>
          <w:lang w:eastAsia="ja-JP"/>
        </w:rPr>
        <w:t xml:space="preserve">to provide </w:t>
      </w:r>
      <w:r w:rsidR="00AB2BC5" w:rsidRPr="004E0D50">
        <w:rPr>
          <w:lang w:eastAsia="ja-JP"/>
        </w:rPr>
        <w:t xml:space="preserve">funding from sources other than </w:t>
      </w:r>
      <w:r w:rsidR="00C66603" w:rsidRPr="004E0D50">
        <w:rPr>
          <w:lang w:eastAsia="ja-JP"/>
        </w:rPr>
        <w:t xml:space="preserve">the </w:t>
      </w:r>
      <w:r w:rsidR="00AB2BC5" w:rsidRPr="004E0D50">
        <w:rPr>
          <w:lang w:eastAsia="ja-JP"/>
        </w:rPr>
        <w:t>Australian Government. Applicants should</w:t>
      </w:r>
      <w:r w:rsidR="008B5BB2" w:rsidRPr="004E0D50">
        <w:rPr>
          <w:lang w:eastAsia="ja-JP"/>
        </w:rPr>
        <w:t xml:space="preserve"> </w:t>
      </w:r>
      <w:r w:rsidR="00AB2BC5" w:rsidRPr="004E0D50">
        <w:rPr>
          <w:lang w:eastAsia="ja-JP"/>
        </w:rPr>
        <w:t>note that providing cash contributions to the project budget may improve the value</w:t>
      </w:r>
      <w:r w:rsidR="00CA2E19" w:rsidRPr="004E0D50">
        <w:rPr>
          <w:lang w:eastAsia="ja-JP"/>
        </w:rPr>
        <w:t xml:space="preserve"> </w:t>
      </w:r>
      <w:r w:rsidR="009E273D" w:rsidRPr="004E0D50">
        <w:rPr>
          <w:lang w:eastAsia="ja-JP"/>
        </w:rPr>
        <w:t>with</w:t>
      </w:r>
      <w:r w:rsidR="00CA2E19" w:rsidRPr="004E0D50">
        <w:rPr>
          <w:lang w:eastAsia="ja-JP"/>
        </w:rPr>
        <w:t xml:space="preserve"> </w:t>
      </w:r>
      <w:r w:rsidR="00AB2BC5" w:rsidRPr="004E0D50">
        <w:rPr>
          <w:lang w:eastAsia="ja-JP"/>
        </w:rPr>
        <w:t>money consideration of proposals.</w:t>
      </w:r>
      <w:r w:rsidR="00AB2BC5" w:rsidRPr="004E0D50">
        <w:t xml:space="preserve"> </w:t>
      </w:r>
    </w:p>
    <w:p w:rsidR="00AB2BC5" w:rsidRPr="004E0D50" w:rsidRDefault="004411E4" w:rsidP="001E60B8">
      <w:r w:rsidRPr="004E0D50">
        <w:t>Application</w:t>
      </w:r>
      <w:r w:rsidR="00294B8B" w:rsidRPr="004E0D50">
        <w:t>s</w:t>
      </w:r>
      <w:r w:rsidRPr="004E0D50">
        <w:t xml:space="preserve"> can include </w:t>
      </w:r>
      <w:r w:rsidRPr="004E0D50">
        <w:rPr>
          <w:b/>
        </w:rPr>
        <w:t>i</w:t>
      </w:r>
      <w:r w:rsidR="00AB2BC5" w:rsidRPr="004E0D50">
        <w:rPr>
          <w:b/>
        </w:rPr>
        <w:t>n-kind contributions</w:t>
      </w:r>
      <w:r w:rsidR="00475FD6" w:rsidRPr="004E0D50">
        <w:rPr>
          <w:b/>
        </w:rPr>
        <w:t xml:space="preserve"> </w:t>
      </w:r>
      <w:r w:rsidRPr="004E0D50">
        <w:rPr>
          <w:lang w:eastAsia="ja-JP"/>
        </w:rPr>
        <w:t xml:space="preserve">but </w:t>
      </w:r>
      <w:r w:rsidR="00475FD6" w:rsidRPr="004E0D50">
        <w:rPr>
          <w:lang w:eastAsia="ja-JP"/>
        </w:rPr>
        <w:t xml:space="preserve">this </w:t>
      </w:r>
      <w:r w:rsidR="00890020" w:rsidRPr="004E0D50">
        <w:rPr>
          <w:lang w:eastAsia="ja-JP"/>
        </w:rPr>
        <w:t xml:space="preserve">does </w:t>
      </w:r>
      <w:r w:rsidRPr="004E0D50">
        <w:rPr>
          <w:lang w:eastAsia="ja-JP"/>
        </w:rPr>
        <w:t xml:space="preserve">not constitute a </w:t>
      </w:r>
      <w:r w:rsidR="00DD193B" w:rsidRPr="004E0D50">
        <w:rPr>
          <w:lang w:eastAsia="ja-JP"/>
        </w:rPr>
        <w:t xml:space="preserve">financial </w:t>
      </w:r>
      <w:r w:rsidR="00F65927">
        <w:rPr>
          <w:lang w:eastAsia="ja-JP"/>
        </w:rPr>
        <w:br/>
      </w:r>
      <w:r w:rsidRPr="004E0D50">
        <w:rPr>
          <w:lang w:eastAsia="ja-JP"/>
        </w:rPr>
        <w:t>co-contribution</w:t>
      </w:r>
      <w:r w:rsidR="00AB2BC5" w:rsidRPr="004E0D50">
        <w:t xml:space="preserve">. </w:t>
      </w:r>
    </w:p>
    <w:p w:rsidR="0062282E" w:rsidRPr="004E0D50" w:rsidRDefault="00890020" w:rsidP="00C471D1">
      <w:r w:rsidRPr="004E0D50">
        <w:t xml:space="preserve">To </w:t>
      </w:r>
      <w:r w:rsidR="00F65927">
        <w:t>help</w:t>
      </w:r>
      <w:r w:rsidRPr="004E0D50">
        <w:t xml:space="preserve"> applicants </w:t>
      </w:r>
      <w:r w:rsidR="00F65927">
        <w:t>access</w:t>
      </w:r>
      <w:r w:rsidRPr="004E0D50">
        <w:t xml:space="preserve"> other government program funding, w</w:t>
      </w:r>
      <w:r w:rsidR="00EF60F8" w:rsidRPr="004E0D50">
        <w:t>here mutually acceptable</w:t>
      </w:r>
      <w:r w:rsidR="0062282E" w:rsidRPr="004E0D50">
        <w:t xml:space="preserve">, </w:t>
      </w:r>
      <w:r w:rsidR="0062282E" w:rsidRPr="004E0D50">
        <w:rPr>
          <w:b/>
          <w:lang w:val="en"/>
        </w:rPr>
        <w:t xml:space="preserve">joint investment </w:t>
      </w:r>
      <w:r w:rsidR="0062282E" w:rsidRPr="004E0D50">
        <w:t xml:space="preserve">sourced </w:t>
      </w:r>
      <w:r w:rsidR="0062282E" w:rsidRPr="004E0D50">
        <w:rPr>
          <w:lang w:val="en"/>
        </w:rPr>
        <w:t xml:space="preserve">through other </w:t>
      </w:r>
      <w:r w:rsidR="00EF60F8" w:rsidRPr="004E0D50">
        <w:t>Commonwealth, state, territory or local government programs</w:t>
      </w:r>
      <w:r w:rsidR="0062282E" w:rsidRPr="004E0D50">
        <w:t xml:space="preserve"> may be accepted. Applicants </w:t>
      </w:r>
      <w:r w:rsidR="0062282E" w:rsidRPr="004E0D50">
        <w:rPr>
          <w:lang w:eastAsia="ja-JP"/>
        </w:rPr>
        <w:t xml:space="preserve">should note </w:t>
      </w:r>
      <w:r w:rsidR="0062282E" w:rsidRPr="004E0D50">
        <w:t xml:space="preserve">that such investment must be for </w:t>
      </w:r>
      <w:r w:rsidRPr="004E0D50">
        <w:t xml:space="preserve">additional activities and for </w:t>
      </w:r>
      <w:r w:rsidR="0062282E" w:rsidRPr="004E0D50">
        <w:t xml:space="preserve">complementary purposes to the objectives of this </w:t>
      </w:r>
      <w:r w:rsidR="00FF3B40" w:rsidRPr="004E0D50">
        <w:t>program</w:t>
      </w:r>
      <w:r w:rsidR="0062282E" w:rsidRPr="004E0D50">
        <w:t xml:space="preserve"> and we cannot provide a grant if you receive funding from another source for the same purpose.</w:t>
      </w:r>
    </w:p>
    <w:p w:rsidR="00802D14" w:rsidRPr="004E0D50" w:rsidRDefault="00802D14" w:rsidP="00C471D1">
      <w:r w:rsidRPr="004E0D50">
        <w:rPr>
          <w:lang w:eastAsia="ja-JP"/>
        </w:rPr>
        <w:t>Program funding to contribute to costs associated with preparing project proposals is not available.</w:t>
      </w:r>
      <w:r w:rsidR="00714A2E" w:rsidRPr="004E0D50">
        <w:t xml:space="preserve"> </w:t>
      </w:r>
    </w:p>
    <w:p w:rsidR="005D5D1D" w:rsidRPr="004E0D50" w:rsidRDefault="00387218" w:rsidP="008F0B87">
      <w:pPr>
        <w:pStyle w:val="Heading3"/>
      </w:pPr>
      <w:bookmarkStart w:id="12" w:name="_Toc536623334"/>
      <w:r w:rsidRPr="004E0D50">
        <w:t>Grant</w:t>
      </w:r>
      <w:r w:rsidR="005D5D1D" w:rsidRPr="004E0D50">
        <w:t xml:space="preserve"> </w:t>
      </w:r>
      <w:r w:rsidR="009F1E2B" w:rsidRPr="004E0D50">
        <w:t>period</w:t>
      </w:r>
      <w:bookmarkEnd w:id="12"/>
    </w:p>
    <w:p w:rsidR="00E85AB3" w:rsidRPr="004E0D50" w:rsidRDefault="005D5D1D" w:rsidP="005D5D1D">
      <w:r w:rsidRPr="004E0D50">
        <w:t xml:space="preserve">The maximum grant period is </w:t>
      </w:r>
      <w:r w:rsidR="00C32063" w:rsidRPr="004E0D50">
        <w:t xml:space="preserve">up to </w:t>
      </w:r>
      <w:r w:rsidR="00F65927">
        <w:t>three</w:t>
      </w:r>
      <w:r w:rsidR="00EA6B47" w:rsidRPr="004E0D50">
        <w:t xml:space="preserve"> years, </w:t>
      </w:r>
      <w:r w:rsidR="00C66603" w:rsidRPr="004E0D50">
        <w:t>and all project</w:t>
      </w:r>
      <w:r w:rsidR="00AA098C" w:rsidRPr="004E0D50">
        <w:t xml:space="preserve"> activitie</w:t>
      </w:r>
      <w:r w:rsidR="00C66603" w:rsidRPr="004E0D50">
        <w:t xml:space="preserve">s must </w:t>
      </w:r>
      <w:r w:rsidR="00EA6B47" w:rsidRPr="004E0D50">
        <w:t>conclud</w:t>
      </w:r>
      <w:r w:rsidR="00C66603" w:rsidRPr="004E0D50">
        <w:t>e</w:t>
      </w:r>
      <w:r w:rsidR="00EA6B47" w:rsidRPr="004E0D50">
        <w:t xml:space="preserve"> no later than</w:t>
      </w:r>
      <w:r w:rsidR="00C471D1" w:rsidRPr="004E0D50">
        <w:t xml:space="preserve"> 30</w:t>
      </w:r>
      <w:r w:rsidR="00D902C3" w:rsidRPr="004E0D50">
        <w:t> April </w:t>
      </w:r>
      <w:r w:rsidR="00C471D1" w:rsidRPr="004E0D50">
        <w:t>2022.</w:t>
      </w:r>
      <w:r w:rsidR="00E85AB3" w:rsidRPr="004E0D50">
        <w:t xml:space="preserve"> E</w:t>
      </w:r>
      <w:r w:rsidR="00551A8E" w:rsidRPr="004E0D50">
        <w:t xml:space="preserve">conomic development projects and </w:t>
      </w:r>
      <w:r w:rsidR="00E85AB3" w:rsidRPr="004E0D50">
        <w:t xml:space="preserve">final reporting </w:t>
      </w:r>
      <w:r w:rsidR="00AA098C" w:rsidRPr="004E0D50">
        <w:t xml:space="preserve">(excluding </w:t>
      </w:r>
      <w:r w:rsidR="00CA2E19" w:rsidRPr="004E0D50">
        <w:t xml:space="preserve">any </w:t>
      </w:r>
      <w:r w:rsidR="00475FD6" w:rsidRPr="004E0D50">
        <w:t xml:space="preserve">required </w:t>
      </w:r>
      <w:r w:rsidR="00AA098C" w:rsidRPr="004E0D50">
        <w:t xml:space="preserve">acquittal reports) </w:t>
      </w:r>
      <w:r w:rsidR="00E85AB3" w:rsidRPr="004E0D50">
        <w:t xml:space="preserve">must be completed </w:t>
      </w:r>
      <w:r w:rsidRPr="004E0D50">
        <w:t>by</w:t>
      </w:r>
      <w:r w:rsidR="00551A8E" w:rsidRPr="004E0D50">
        <w:t xml:space="preserve"> </w:t>
      </w:r>
      <w:r w:rsidR="00E85AB3" w:rsidRPr="004E0D50">
        <w:t>this date</w:t>
      </w:r>
      <w:r w:rsidR="00134DA2" w:rsidRPr="004E0D50">
        <w:t>, unless otherwise agreed in writing</w:t>
      </w:r>
      <w:r w:rsidR="00E85AB3" w:rsidRPr="004E0D50">
        <w:t>.</w:t>
      </w:r>
    </w:p>
    <w:p w:rsidR="005D5D1D" w:rsidRPr="004E0D50" w:rsidRDefault="000363BF" w:rsidP="005D5D1D">
      <w:r w:rsidRPr="004E0D50">
        <w:t>Following the</w:t>
      </w:r>
      <w:r w:rsidR="00EA6B47" w:rsidRPr="004E0D50">
        <w:t xml:space="preserve"> grant</w:t>
      </w:r>
      <w:r w:rsidR="00387218" w:rsidRPr="004E0D50">
        <w:t xml:space="preserve"> </w:t>
      </w:r>
      <w:r w:rsidR="00AF03B8" w:rsidRPr="004E0D50">
        <w:t>period</w:t>
      </w:r>
      <w:r w:rsidR="00387218" w:rsidRPr="004E0D50">
        <w:t>,</w:t>
      </w:r>
      <w:r w:rsidRPr="004E0D50">
        <w:t xml:space="preserve"> an evaluation</w:t>
      </w:r>
      <w:r w:rsidR="00907078" w:rsidRPr="004E0D50">
        <w:t xml:space="preserve"> </w:t>
      </w:r>
      <w:r w:rsidRPr="004E0D50">
        <w:t xml:space="preserve">period of </w:t>
      </w:r>
      <w:r w:rsidR="00551A8E" w:rsidRPr="004E0D50">
        <w:t xml:space="preserve">the </w:t>
      </w:r>
      <w:r w:rsidR="00FF3B40" w:rsidRPr="004E0D50">
        <w:t>program</w:t>
      </w:r>
      <w:r w:rsidR="00551A8E" w:rsidRPr="004E0D50">
        <w:t xml:space="preserve"> may</w:t>
      </w:r>
      <w:r w:rsidRPr="004E0D50">
        <w:t xml:space="preserve"> commence.</w:t>
      </w:r>
      <w:r w:rsidR="00BA2ED3" w:rsidRPr="004E0D50">
        <w:t xml:space="preserve"> We may contact you up to two years after you finish your </w:t>
      </w:r>
      <w:r w:rsidR="003F6DC3" w:rsidRPr="004E0D50">
        <w:t>project</w:t>
      </w:r>
      <w:r w:rsidR="00BA2ED3" w:rsidRPr="004E0D50">
        <w:t xml:space="preserve"> for more information to </w:t>
      </w:r>
      <w:r w:rsidR="00BC577E">
        <w:t>help</w:t>
      </w:r>
      <w:r w:rsidR="00BA2ED3" w:rsidRPr="004E0D50">
        <w:t xml:space="preserve"> with this evaluation.</w:t>
      </w:r>
    </w:p>
    <w:p w:rsidR="00285F58" w:rsidRPr="004E0D50" w:rsidRDefault="000E2D44" w:rsidP="00384E16">
      <w:pPr>
        <w:pStyle w:val="Heading2"/>
        <w:rPr>
          <w:color w:val="auto"/>
        </w:rPr>
      </w:pPr>
      <w:bookmarkStart w:id="13" w:name="_Toc536623335"/>
      <w:r w:rsidRPr="004E0D50">
        <w:rPr>
          <w:color w:val="auto"/>
        </w:rPr>
        <w:t>E</w:t>
      </w:r>
      <w:r w:rsidR="00285F58" w:rsidRPr="004E0D50">
        <w:rPr>
          <w:color w:val="auto"/>
        </w:rPr>
        <w:t>ligibility criteria</w:t>
      </w:r>
      <w:bookmarkEnd w:id="13"/>
    </w:p>
    <w:p w:rsidR="006E0B42" w:rsidRPr="004E0D50" w:rsidRDefault="009D33F3" w:rsidP="00C84E84">
      <w:bookmarkStart w:id="14" w:name="_Ref437348317"/>
      <w:bookmarkStart w:id="15" w:name="_Ref437348323"/>
      <w:bookmarkStart w:id="16" w:name="_Ref437349175"/>
      <w:r w:rsidRPr="004E0D50">
        <w:t xml:space="preserve">We cannot consider your application if you do not satisfy all </w:t>
      </w:r>
      <w:r w:rsidR="00375C2F" w:rsidRPr="004E0D50">
        <w:t xml:space="preserve">the </w:t>
      </w:r>
      <w:r w:rsidRPr="004E0D50">
        <w:t>eligibility criteria.</w:t>
      </w:r>
    </w:p>
    <w:p w:rsidR="00A35F51" w:rsidRPr="004E0D50" w:rsidRDefault="001A6862" w:rsidP="008F0B87">
      <w:pPr>
        <w:pStyle w:val="Heading3"/>
      </w:pPr>
      <w:bookmarkStart w:id="17" w:name="_Toc535248573"/>
      <w:bookmarkStart w:id="18" w:name="_Toc535248902"/>
      <w:bookmarkStart w:id="19" w:name="_Ref485202969"/>
      <w:bookmarkStart w:id="20" w:name="_Toc536623336"/>
      <w:bookmarkEnd w:id="17"/>
      <w:bookmarkEnd w:id="18"/>
      <w:r w:rsidRPr="004E0D50">
        <w:t xml:space="preserve">Who </w:t>
      </w:r>
      <w:r w:rsidR="009F7B46" w:rsidRPr="004E0D50">
        <w:t>is eligible</w:t>
      </w:r>
      <w:r w:rsidR="00A60CA0" w:rsidRPr="004E0D50">
        <w:t xml:space="preserve"> to apply for a grant</w:t>
      </w:r>
      <w:r w:rsidR="009F7B46" w:rsidRPr="004E0D50">
        <w:t>?</w:t>
      </w:r>
      <w:bookmarkEnd w:id="14"/>
      <w:bookmarkEnd w:id="15"/>
      <w:bookmarkEnd w:id="16"/>
      <w:bookmarkEnd w:id="19"/>
      <w:bookmarkEnd w:id="20"/>
    </w:p>
    <w:p w:rsidR="00AA55EA" w:rsidRPr="004E0D50" w:rsidRDefault="00AA55EA" w:rsidP="00066C0F">
      <w:pPr>
        <w:pStyle w:val="ListBullet"/>
        <w:numPr>
          <w:ilvl w:val="0"/>
          <w:numId w:val="0"/>
        </w:numPr>
      </w:pPr>
      <w:r w:rsidRPr="004E0D50">
        <w:t xml:space="preserve">Organisations must be proposing a project in, or for the benefit of, an eligible community (see section 5.2 </w:t>
      </w:r>
      <w:r w:rsidR="00E27740" w:rsidRPr="004E0D50">
        <w:t>and the maps in</w:t>
      </w:r>
      <w:r w:rsidR="00ED3649" w:rsidRPr="004E0D50">
        <w:t xml:space="preserve"> </w:t>
      </w:r>
      <w:r w:rsidR="00E27740" w:rsidRPr="004E0D50">
        <w:rPr>
          <w:b/>
        </w:rPr>
        <w:t>Appendi</w:t>
      </w:r>
      <w:r w:rsidR="00ED3649" w:rsidRPr="004E0D50">
        <w:rPr>
          <w:b/>
        </w:rPr>
        <w:t>x A</w:t>
      </w:r>
      <w:r w:rsidR="00E27740" w:rsidRPr="004E0D50">
        <w:rPr>
          <w:b/>
        </w:rPr>
        <w:t xml:space="preserve"> </w:t>
      </w:r>
      <w:r w:rsidRPr="004E0D50">
        <w:t xml:space="preserve">for a list </w:t>
      </w:r>
      <w:r w:rsidR="00ED3649" w:rsidRPr="004E0D50">
        <w:t>and illustration</w:t>
      </w:r>
      <w:r w:rsidRPr="004E0D50">
        <w:t xml:space="preserve"> </w:t>
      </w:r>
      <w:r w:rsidR="00ED3649" w:rsidRPr="004E0D50">
        <w:t xml:space="preserve">of the </w:t>
      </w:r>
      <w:r w:rsidRPr="004E0D50">
        <w:t>eligible communities</w:t>
      </w:r>
      <w:r w:rsidR="00ED3649" w:rsidRPr="004E0D50">
        <w:t>).</w:t>
      </w:r>
    </w:p>
    <w:p w:rsidR="00AA098C" w:rsidRPr="004E0D50" w:rsidRDefault="00AA098C" w:rsidP="00066C0F">
      <w:pPr>
        <w:pStyle w:val="ListBullet"/>
        <w:numPr>
          <w:ilvl w:val="0"/>
          <w:numId w:val="0"/>
        </w:numPr>
      </w:pPr>
      <w:r w:rsidRPr="004E0D50">
        <w:t>To be eligible, you must be one of the following entity types:</w:t>
      </w:r>
    </w:p>
    <w:p w:rsidR="00AA098C" w:rsidRPr="004E0D50" w:rsidRDefault="00AA098C" w:rsidP="00AA098C">
      <w:pPr>
        <w:pStyle w:val="ListBullet"/>
        <w:numPr>
          <w:ilvl w:val="0"/>
          <w:numId w:val="7"/>
        </w:numPr>
      </w:pPr>
      <w:r w:rsidRPr="004E0D50">
        <w:t>Local Government</w:t>
      </w:r>
      <w:r w:rsidRPr="004E0D50">
        <w:rPr>
          <w:rStyle w:val="FootnoteReference"/>
        </w:rPr>
        <w:footnoteReference w:id="2"/>
      </w:r>
    </w:p>
    <w:p w:rsidR="00475FD6" w:rsidRPr="004E0D50" w:rsidRDefault="00475FD6" w:rsidP="00CA6C79">
      <w:pPr>
        <w:pStyle w:val="ListBullet"/>
      </w:pPr>
      <w:r w:rsidRPr="004E0D50">
        <w:rPr>
          <w:iCs w:val="0"/>
        </w:rPr>
        <w:t>Indigenous Corporation</w:t>
      </w:r>
    </w:p>
    <w:p w:rsidR="00CA6C79" w:rsidRPr="004E0D50" w:rsidRDefault="00CA6C79" w:rsidP="00CA6C79">
      <w:pPr>
        <w:pStyle w:val="ListBullet"/>
      </w:pPr>
      <w:r w:rsidRPr="004E0D50">
        <w:t xml:space="preserve">Cooperative </w:t>
      </w:r>
    </w:p>
    <w:p w:rsidR="00CA6C79" w:rsidRPr="004E0D50" w:rsidRDefault="00AA098C" w:rsidP="00A15EB0">
      <w:pPr>
        <w:pStyle w:val="ListBullet"/>
        <w:numPr>
          <w:ilvl w:val="0"/>
          <w:numId w:val="7"/>
        </w:numPr>
      </w:pPr>
      <w:r w:rsidRPr="004E0D50">
        <w:t>Incorporated Association</w:t>
      </w:r>
      <w:r w:rsidR="00EE1EEF">
        <w:t>.</w:t>
      </w:r>
      <w:r w:rsidR="00CA6C79" w:rsidRPr="004E0D50">
        <w:t xml:space="preserve"> </w:t>
      </w:r>
    </w:p>
    <w:p w:rsidR="00966ED7" w:rsidRPr="004E0D50" w:rsidRDefault="00DC48ED" w:rsidP="001F5401">
      <w:pPr>
        <w:pStyle w:val="ListBullet"/>
        <w:numPr>
          <w:ilvl w:val="0"/>
          <w:numId w:val="0"/>
        </w:numPr>
      </w:pPr>
      <w:r w:rsidRPr="004E0D50">
        <w:t xml:space="preserve">Applications from consortia are acceptable, as long as you have a lead applicant who is solely accountable to </w:t>
      </w:r>
      <w:r w:rsidR="00C32063" w:rsidRPr="004E0D50">
        <w:t>us</w:t>
      </w:r>
      <w:r w:rsidRPr="004E0D50">
        <w:t xml:space="preserve"> for the delivery of grant activities and is an eligible entity as per the list above</w:t>
      </w:r>
      <w:r w:rsidRPr="004E0D50">
        <w:rPr>
          <w:rStyle w:val="FootnoteReference"/>
        </w:rPr>
        <w:footnoteReference w:id="3"/>
      </w:r>
      <w:r w:rsidR="00966ED7" w:rsidRPr="004E0D50">
        <w:t>.</w:t>
      </w:r>
    </w:p>
    <w:p w:rsidR="00966ED7" w:rsidRPr="004E0D50" w:rsidRDefault="00966ED7" w:rsidP="008F0B87">
      <w:pPr>
        <w:pStyle w:val="Heading3"/>
      </w:pPr>
      <w:bookmarkStart w:id="21" w:name="_Toc536623337"/>
      <w:r w:rsidRPr="004E0D50">
        <w:t>Additional eligibility requirements</w:t>
      </w:r>
      <w:bookmarkEnd w:id="21"/>
    </w:p>
    <w:p w:rsidR="00966ED7" w:rsidRPr="004E0D50" w:rsidRDefault="00FD30A5" w:rsidP="00966ED7">
      <w:pPr>
        <w:rPr>
          <w:rStyle w:val="highlightedtextChar"/>
          <w:rFonts w:ascii="Arial" w:hAnsi="Arial" w:cs="Arial"/>
          <w:b w:val="0"/>
          <w:color w:val="auto"/>
          <w:sz w:val="20"/>
          <w:szCs w:val="20"/>
        </w:rPr>
      </w:pPr>
      <w:r w:rsidRPr="004E0D50">
        <w:lastRenderedPageBreak/>
        <w:t>Applicants must also meet the additional eligibility requirements</w:t>
      </w:r>
      <w:r w:rsidR="00714A2E" w:rsidRPr="004E0D50">
        <w:t xml:space="preserve"> listed below</w:t>
      </w:r>
      <w:r w:rsidRPr="004E0D50">
        <w:t>:</w:t>
      </w:r>
    </w:p>
    <w:p w:rsidR="00FD30A5" w:rsidRPr="004E0D50" w:rsidRDefault="00EE1EEF" w:rsidP="00FD30A5">
      <w:pPr>
        <w:pStyle w:val="ListBullet"/>
      </w:pPr>
      <w:bookmarkStart w:id="22" w:name="_Toc529276514"/>
      <w:bookmarkStart w:id="23" w:name="_Toc529276513"/>
      <w:bookmarkStart w:id="24" w:name="_Toc529276515"/>
      <w:bookmarkEnd w:id="22"/>
      <w:bookmarkEnd w:id="23"/>
      <w:bookmarkEnd w:id="24"/>
      <w:r>
        <w:t>b</w:t>
      </w:r>
      <w:r w:rsidR="00FD30A5" w:rsidRPr="004E0D50">
        <w:t>e a not-for-profit organisation</w:t>
      </w:r>
    </w:p>
    <w:p w:rsidR="00FD30A5" w:rsidRPr="004E0D50" w:rsidRDefault="00EE1EEF" w:rsidP="00FD30A5">
      <w:pPr>
        <w:pStyle w:val="ListBullet"/>
      </w:pPr>
      <w:r>
        <w:t>h</w:t>
      </w:r>
      <w:r w:rsidR="00FD30A5" w:rsidRPr="004E0D50">
        <w:t>ave an Australian Business Number (ABN) or be willing to obtain one prior to the execution of the Grant Agreement</w:t>
      </w:r>
    </w:p>
    <w:p w:rsidR="00FD30A5" w:rsidRPr="004E0D50" w:rsidRDefault="00EE1EEF" w:rsidP="00FD30A5">
      <w:pPr>
        <w:pStyle w:val="ListBullet"/>
      </w:pPr>
      <w:r>
        <w:t>h</w:t>
      </w:r>
      <w:r w:rsidR="00FD30A5" w:rsidRPr="004E0D50">
        <w:t>ave an account with an Australian financial institution</w:t>
      </w:r>
      <w:r w:rsidR="00890020" w:rsidRPr="004E0D50">
        <w:t>.</w:t>
      </w:r>
    </w:p>
    <w:p w:rsidR="007D2C50" w:rsidRPr="004E0D50" w:rsidRDefault="007D2C50" w:rsidP="008F0B87">
      <w:pPr>
        <w:pStyle w:val="Heading3"/>
      </w:pPr>
      <w:bookmarkStart w:id="25" w:name="_Toc535941825"/>
      <w:bookmarkStart w:id="26" w:name="_Toc535941826"/>
      <w:bookmarkStart w:id="27" w:name="_Toc535941827"/>
      <w:bookmarkStart w:id="28" w:name="_Toc535941828"/>
      <w:bookmarkStart w:id="29" w:name="_Toc535941829"/>
      <w:bookmarkStart w:id="30" w:name="_Toc534960716"/>
      <w:bookmarkStart w:id="31" w:name="_Toc494290495"/>
      <w:bookmarkStart w:id="32" w:name="_Toc534624773"/>
      <w:bookmarkStart w:id="33" w:name="_Toc536623338"/>
      <w:bookmarkEnd w:id="25"/>
      <w:bookmarkEnd w:id="26"/>
      <w:bookmarkEnd w:id="27"/>
      <w:bookmarkEnd w:id="28"/>
      <w:bookmarkEnd w:id="29"/>
      <w:bookmarkEnd w:id="30"/>
      <w:bookmarkEnd w:id="31"/>
      <w:r w:rsidRPr="004E0D50">
        <w:t>Who is not eligible to apply for a grant?</w:t>
      </w:r>
      <w:bookmarkEnd w:id="32"/>
      <w:bookmarkEnd w:id="33"/>
    </w:p>
    <w:p w:rsidR="00514C34" w:rsidRPr="004E0D50" w:rsidRDefault="007D2C50" w:rsidP="00966ED7">
      <w:pPr>
        <w:rPr>
          <w:rStyle w:val="highlightedtextChar"/>
          <w:rFonts w:ascii="Arial" w:hAnsi="Arial" w:cs="Arial"/>
          <w:b w:val="0"/>
          <w:color w:val="auto"/>
          <w:sz w:val="20"/>
          <w:szCs w:val="20"/>
        </w:rPr>
      </w:pPr>
      <w:r w:rsidRPr="004E0D50">
        <w:rPr>
          <w:rStyle w:val="highlightedtextChar"/>
          <w:rFonts w:ascii="Arial" w:hAnsi="Arial" w:cs="Arial"/>
          <w:b w:val="0"/>
          <w:color w:val="auto"/>
          <w:sz w:val="20"/>
          <w:szCs w:val="20"/>
        </w:rPr>
        <w:t>You are not eligible to apply if you are</w:t>
      </w:r>
      <w:r w:rsidR="00222B1D" w:rsidRPr="004E0D50">
        <w:rPr>
          <w:rStyle w:val="highlightedtextChar"/>
          <w:rFonts w:ascii="Arial" w:hAnsi="Arial" w:cs="Arial"/>
          <w:b w:val="0"/>
          <w:color w:val="auto"/>
          <w:sz w:val="20"/>
          <w:szCs w:val="20"/>
        </w:rPr>
        <w:t xml:space="preserve"> a</w:t>
      </w:r>
      <w:r w:rsidRPr="004E0D50">
        <w:rPr>
          <w:rStyle w:val="highlightedtextChar"/>
          <w:rFonts w:ascii="Arial" w:hAnsi="Arial" w:cs="Arial"/>
          <w:b w:val="0"/>
          <w:color w:val="auto"/>
          <w:sz w:val="20"/>
          <w:szCs w:val="20"/>
        </w:rPr>
        <w:t>:</w:t>
      </w:r>
    </w:p>
    <w:p w:rsidR="004D50CC" w:rsidRPr="004E0D50" w:rsidRDefault="004D50CC" w:rsidP="00066C0F">
      <w:pPr>
        <w:pStyle w:val="ListParagraph"/>
        <w:numPr>
          <w:ilvl w:val="0"/>
          <w:numId w:val="25"/>
        </w:numPr>
        <w:spacing w:after="80"/>
        <w:rPr>
          <w:iCs/>
        </w:rPr>
      </w:pPr>
      <w:r w:rsidRPr="004E0D50">
        <w:rPr>
          <w:iCs/>
        </w:rPr>
        <w:t>Company</w:t>
      </w:r>
      <w:r w:rsidRPr="004E0D50">
        <w:rPr>
          <w:vertAlign w:val="superscript"/>
        </w:rPr>
        <w:footnoteReference w:id="4"/>
      </w:r>
      <w:r w:rsidRPr="004E0D50">
        <w:rPr>
          <w:iCs/>
        </w:rPr>
        <w:t xml:space="preserve"> </w:t>
      </w:r>
    </w:p>
    <w:p w:rsidR="00FD30A5" w:rsidRPr="004E0D50" w:rsidRDefault="004D50CC" w:rsidP="00CC0253">
      <w:pPr>
        <w:pStyle w:val="ListParagraph"/>
        <w:numPr>
          <w:ilvl w:val="0"/>
          <w:numId w:val="25"/>
        </w:numPr>
        <w:spacing w:after="80"/>
        <w:rPr>
          <w:iCs/>
        </w:rPr>
      </w:pPr>
      <w:r w:rsidRPr="004E0D50">
        <w:rPr>
          <w:iCs/>
        </w:rPr>
        <w:t>Corporate Commonwealth Entity</w:t>
      </w:r>
    </w:p>
    <w:p w:rsidR="004D50CC" w:rsidRPr="004E0D50" w:rsidRDefault="004D50CC" w:rsidP="00CC0253">
      <w:pPr>
        <w:pStyle w:val="ListParagraph"/>
        <w:numPr>
          <w:ilvl w:val="0"/>
          <w:numId w:val="25"/>
        </w:numPr>
        <w:spacing w:after="80"/>
        <w:rPr>
          <w:iCs/>
        </w:rPr>
      </w:pPr>
      <w:r w:rsidRPr="004E0D50">
        <w:rPr>
          <w:iCs/>
        </w:rPr>
        <w:t>Non-Corporate Commonwealth Entity</w:t>
      </w:r>
    </w:p>
    <w:p w:rsidR="004D50CC" w:rsidRPr="004E0D50" w:rsidRDefault="004D50CC" w:rsidP="00CC0253">
      <w:pPr>
        <w:pStyle w:val="ListParagraph"/>
        <w:numPr>
          <w:ilvl w:val="0"/>
          <w:numId w:val="25"/>
        </w:numPr>
        <w:spacing w:after="80"/>
        <w:rPr>
          <w:iCs/>
        </w:rPr>
      </w:pPr>
      <w:r w:rsidRPr="004E0D50">
        <w:rPr>
          <w:iCs/>
        </w:rPr>
        <w:t xml:space="preserve">Non-Corporate Commonwealth Statutory Authority </w:t>
      </w:r>
    </w:p>
    <w:p w:rsidR="004D50CC" w:rsidRPr="004E0D50" w:rsidRDefault="004D50CC" w:rsidP="00CC0253">
      <w:pPr>
        <w:pStyle w:val="ListParagraph"/>
        <w:numPr>
          <w:ilvl w:val="0"/>
          <w:numId w:val="25"/>
        </w:numPr>
        <w:spacing w:after="80"/>
        <w:rPr>
          <w:iCs/>
        </w:rPr>
      </w:pPr>
      <w:r w:rsidRPr="004E0D50">
        <w:rPr>
          <w:iCs/>
        </w:rPr>
        <w:t xml:space="preserve">Commonwealth Company </w:t>
      </w:r>
    </w:p>
    <w:p w:rsidR="004D50CC" w:rsidRPr="004E0D50" w:rsidRDefault="004D50CC" w:rsidP="00CC0253">
      <w:pPr>
        <w:pStyle w:val="ListParagraph"/>
        <w:numPr>
          <w:ilvl w:val="0"/>
          <w:numId w:val="25"/>
        </w:numPr>
        <w:spacing w:after="80"/>
        <w:rPr>
          <w:iCs/>
        </w:rPr>
      </w:pPr>
      <w:r w:rsidRPr="004E0D50">
        <w:rPr>
          <w:iCs/>
        </w:rPr>
        <w:t xml:space="preserve">Corporate State or Territory Entity </w:t>
      </w:r>
    </w:p>
    <w:p w:rsidR="004D50CC" w:rsidRPr="004E0D50" w:rsidRDefault="004D50CC" w:rsidP="00CC0253">
      <w:pPr>
        <w:pStyle w:val="ListParagraph"/>
        <w:numPr>
          <w:ilvl w:val="0"/>
          <w:numId w:val="25"/>
        </w:numPr>
        <w:spacing w:after="80"/>
        <w:rPr>
          <w:iCs/>
        </w:rPr>
      </w:pPr>
      <w:r w:rsidRPr="004E0D50">
        <w:rPr>
          <w:iCs/>
        </w:rPr>
        <w:t xml:space="preserve">Non-corporate State or Territory Entity </w:t>
      </w:r>
    </w:p>
    <w:p w:rsidR="004D50CC" w:rsidRPr="004E0D50" w:rsidRDefault="004D50CC" w:rsidP="00CC0253">
      <w:pPr>
        <w:pStyle w:val="ListParagraph"/>
        <w:numPr>
          <w:ilvl w:val="0"/>
          <w:numId w:val="25"/>
        </w:numPr>
        <w:spacing w:after="80"/>
        <w:rPr>
          <w:iCs/>
        </w:rPr>
      </w:pPr>
      <w:r w:rsidRPr="004E0D50">
        <w:rPr>
          <w:iCs/>
        </w:rPr>
        <w:t>Non-corporate State or Territory Statutory Authority</w:t>
      </w:r>
    </w:p>
    <w:p w:rsidR="004D50CC" w:rsidRPr="004E0D50" w:rsidRDefault="004D50CC" w:rsidP="00CC0253">
      <w:pPr>
        <w:pStyle w:val="ListParagraph"/>
        <w:numPr>
          <w:ilvl w:val="0"/>
          <w:numId w:val="25"/>
        </w:numPr>
        <w:spacing w:after="80"/>
        <w:rPr>
          <w:iCs/>
        </w:rPr>
      </w:pPr>
      <w:r w:rsidRPr="004E0D50">
        <w:rPr>
          <w:iCs/>
        </w:rPr>
        <w:t>International Entity</w:t>
      </w:r>
    </w:p>
    <w:p w:rsidR="004D50CC" w:rsidRPr="004E0D50" w:rsidRDefault="004D50CC" w:rsidP="00CC0253">
      <w:pPr>
        <w:pStyle w:val="ListParagraph"/>
        <w:numPr>
          <w:ilvl w:val="0"/>
          <w:numId w:val="25"/>
        </w:numPr>
        <w:spacing w:after="80"/>
        <w:rPr>
          <w:iCs/>
        </w:rPr>
      </w:pPr>
      <w:r w:rsidRPr="004E0D50">
        <w:rPr>
          <w:iCs/>
        </w:rPr>
        <w:t xml:space="preserve">Sole Trader </w:t>
      </w:r>
    </w:p>
    <w:p w:rsidR="004D50CC" w:rsidRPr="004E0D50" w:rsidRDefault="004D50CC" w:rsidP="00CC0253">
      <w:pPr>
        <w:pStyle w:val="ListParagraph"/>
        <w:numPr>
          <w:ilvl w:val="0"/>
          <w:numId w:val="25"/>
        </w:numPr>
        <w:spacing w:after="80"/>
        <w:rPr>
          <w:iCs/>
        </w:rPr>
      </w:pPr>
      <w:r w:rsidRPr="004E0D50">
        <w:rPr>
          <w:iCs/>
        </w:rPr>
        <w:t xml:space="preserve">Statutory Entity </w:t>
      </w:r>
    </w:p>
    <w:p w:rsidR="004D50CC" w:rsidRPr="004E0D50" w:rsidRDefault="004D50CC" w:rsidP="00CC0253">
      <w:pPr>
        <w:pStyle w:val="ListParagraph"/>
        <w:numPr>
          <w:ilvl w:val="0"/>
          <w:numId w:val="25"/>
        </w:numPr>
        <w:spacing w:after="80"/>
        <w:rPr>
          <w:iCs/>
        </w:rPr>
      </w:pPr>
      <w:r w:rsidRPr="004E0D50">
        <w:rPr>
          <w:iCs/>
        </w:rPr>
        <w:t>Partnership</w:t>
      </w:r>
      <w:r w:rsidRPr="004E0D50">
        <w:rPr>
          <w:vertAlign w:val="superscript"/>
        </w:rPr>
        <w:footnoteReference w:id="5"/>
      </w:r>
    </w:p>
    <w:p w:rsidR="004D50CC" w:rsidRPr="004E0D50" w:rsidRDefault="004D50CC" w:rsidP="00CC0253">
      <w:pPr>
        <w:pStyle w:val="ListParagraph"/>
        <w:numPr>
          <w:ilvl w:val="0"/>
          <w:numId w:val="25"/>
        </w:numPr>
        <w:spacing w:after="80"/>
        <w:rPr>
          <w:iCs/>
        </w:rPr>
      </w:pPr>
      <w:r w:rsidRPr="004E0D50">
        <w:rPr>
          <w:iCs/>
        </w:rPr>
        <w:t>Person</w:t>
      </w:r>
      <w:r w:rsidRPr="004E0D50">
        <w:rPr>
          <w:vertAlign w:val="superscript"/>
        </w:rPr>
        <w:footnoteReference w:id="6"/>
      </w:r>
    </w:p>
    <w:p w:rsidR="004D50CC" w:rsidRPr="004E0D50" w:rsidRDefault="004D50CC" w:rsidP="00CC0253">
      <w:pPr>
        <w:pStyle w:val="ListParagraph"/>
        <w:numPr>
          <w:ilvl w:val="0"/>
          <w:numId w:val="25"/>
        </w:numPr>
        <w:spacing w:after="80"/>
        <w:rPr>
          <w:iCs/>
        </w:rPr>
      </w:pPr>
      <w:r w:rsidRPr="004E0D50">
        <w:rPr>
          <w:iCs/>
        </w:rPr>
        <w:t>Trustee on behalf of a Trust</w:t>
      </w:r>
      <w:r w:rsidRPr="004E0D50">
        <w:rPr>
          <w:vertAlign w:val="superscript"/>
        </w:rPr>
        <w:footnoteReference w:id="7"/>
      </w:r>
      <w:r w:rsidRPr="004E0D50">
        <w:rPr>
          <w:iCs/>
        </w:rPr>
        <w:t xml:space="preserve"> </w:t>
      </w:r>
    </w:p>
    <w:p w:rsidR="004D50CC" w:rsidRPr="004E0D50" w:rsidRDefault="004D50CC" w:rsidP="00CC0253">
      <w:pPr>
        <w:pStyle w:val="ListParagraph"/>
        <w:numPr>
          <w:ilvl w:val="0"/>
          <w:numId w:val="25"/>
        </w:numPr>
        <w:spacing w:after="80"/>
        <w:rPr>
          <w:iCs/>
        </w:rPr>
      </w:pPr>
      <w:r w:rsidRPr="004E0D50">
        <w:rPr>
          <w:iCs/>
        </w:rPr>
        <w:t>Unincorporated Association</w:t>
      </w:r>
      <w:r w:rsidR="00890020" w:rsidRPr="004E0D50">
        <w:rPr>
          <w:iCs/>
        </w:rPr>
        <w:t>.</w:t>
      </w:r>
    </w:p>
    <w:p w:rsidR="009E2359" w:rsidRPr="004E0D50" w:rsidRDefault="009E2359" w:rsidP="009E2359">
      <w:pPr>
        <w:pStyle w:val="ListParagraph"/>
        <w:spacing w:before="240" w:after="60"/>
        <w:ind w:left="0"/>
        <w:rPr>
          <w:rFonts w:eastAsiaTheme="minorHAnsi" w:cs="Arial"/>
        </w:rPr>
      </w:pPr>
    </w:p>
    <w:p w:rsidR="00E33433" w:rsidRPr="004E0D50" w:rsidRDefault="00ED59BE" w:rsidP="009E2359">
      <w:pPr>
        <w:pStyle w:val="ListParagraph"/>
        <w:spacing w:before="240" w:after="60"/>
        <w:ind w:left="0"/>
        <w:rPr>
          <w:rFonts w:eastAsiaTheme="minorHAnsi" w:cs="Arial"/>
        </w:rPr>
      </w:pPr>
      <w:r>
        <w:rPr>
          <w:rFonts w:eastAsiaTheme="minorHAnsi" w:cs="Arial"/>
        </w:rPr>
        <w:t>Please n</w:t>
      </w:r>
      <w:r w:rsidR="009E2359" w:rsidRPr="004E0D50">
        <w:rPr>
          <w:rFonts w:eastAsiaTheme="minorHAnsi" w:cs="Arial"/>
        </w:rPr>
        <w:t xml:space="preserve">ote: </w:t>
      </w:r>
    </w:p>
    <w:p w:rsidR="00E33433" w:rsidRPr="004E0D50" w:rsidRDefault="009E2359" w:rsidP="00E33433">
      <w:pPr>
        <w:pStyle w:val="ListBullet"/>
      </w:pPr>
      <w:r w:rsidRPr="004E0D50">
        <w:t xml:space="preserve">The above list is not definitive. If your entity type is not listed in </w:t>
      </w:r>
      <w:r w:rsidR="00E27740" w:rsidRPr="004E0D50">
        <w:t>4</w:t>
      </w:r>
      <w:r w:rsidRPr="004E0D50">
        <w:t>.1 above you are not eligible to apply</w:t>
      </w:r>
      <w:r w:rsidR="00E33433" w:rsidRPr="004E0D50">
        <w:t xml:space="preserve"> under this program</w:t>
      </w:r>
      <w:r w:rsidRPr="004E0D50">
        <w:t>.</w:t>
      </w:r>
    </w:p>
    <w:p w:rsidR="00687F07" w:rsidRPr="004E0D50" w:rsidRDefault="00E33433" w:rsidP="00B31728">
      <w:pPr>
        <w:pStyle w:val="ListBullet"/>
        <w:spacing w:before="0" w:after="0" w:line="240" w:lineRule="auto"/>
        <w:rPr>
          <w:rFonts w:cstheme="minorHAnsi"/>
          <w:bCs/>
          <w:sz w:val="32"/>
          <w:szCs w:val="32"/>
        </w:rPr>
      </w:pPr>
      <w:r w:rsidRPr="004E0D50">
        <w:t>If you are not eligible to apply for a grant</w:t>
      </w:r>
      <w:r w:rsidR="00ED3649" w:rsidRPr="004E0D50">
        <w:t xml:space="preserve"> or</w:t>
      </w:r>
      <w:r w:rsidRPr="004E0D50">
        <w:t xml:space="preserve"> your </w:t>
      </w:r>
      <w:r w:rsidR="00ED3649" w:rsidRPr="004E0D50">
        <w:t>activity</w:t>
      </w:r>
      <w:r w:rsidRPr="004E0D50">
        <w:t xml:space="preserve"> </w:t>
      </w:r>
      <w:r w:rsidR="00ED3649" w:rsidRPr="004E0D50">
        <w:t xml:space="preserve">is </w:t>
      </w:r>
      <w:r w:rsidRPr="004E0D50">
        <w:t>outside</w:t>
      </w:r>
      <w:r w:rsidR="00ED3649" w:rsidRPr="004E0D50">
        <w:t xml:space="preserve"> the eligible</w:t>
      </w:r>
      <w:r w:rsidRPr="004E0D50">
        <w:t xml:space="preserve"> community areas, you may be </w:t>
      </w:r>
      <w:r w:rsidR="00ED3649" w:rsidRPr="004E0D50">
        <w:t xml:space="preserve">able to apply for funding under other Commonwealth and State grant programs. Please refer to the Australian Government website </w:t>
      </w:r>
      <w:hyperlink r:id="rId25" w:history="1">
        <w:r w:rsidR="00ED3649" w:rsidRPr="004E0D50">
          <w:rPr>
            <w:rStyle w:val="Hyperlink"/>
            <w:color w:val="auto"/>
          </w:rPr>
          <w:t>GrantConnect</w:t>
        </w:r>
      </w:hyperlink>
      <w:r w:rsidR="007E4C29" w:rsidRPr="004E0D50">
        <w:t xml:space="preserve"> for further opportunities</w:t>
      </w:r>
      <w:r w:rsidR="00ED3649" w:rsidRPr="004E0D50">
        <w:t>.</w:t>
      </w:r>
      <w:r w:rsidR="00687F07" w:rsidRPr="004E0D50">
        <w:br w:type="page"/>
      </w:r>
    </w:p>
    <w:p w:rsidR="00A35F51" w:rsidRPr="004E0D50" w:rsidRDefault="00907078" w:rsidP="00384E16">
      <w:pPr>
        <w:pStyle w:val="Heading2"/>
        <w:rPr>
          <w:color w:val="auto"/>
        </w:rPr>
      </w:pPr>
      <w:bookmarkStart w:id="34" w:name="_Toc536623339"/>
      <w:r w:rsidRPr="004E0D50">
        <w:rPr>
          <w:color w:val="auto"/>
        </w:rPr>
        <w:lastRenderedPageBreak/>
        <w:t>What the grant money can be used for</w:t>
      </w:r>
      <w:bookmarkEnd w:id="34"/>
    </w:p>
    <w:p w:rsidR="00387218" w:rsidRPr="004E0D50" w:rsidRDefault="007101E7" w:rsidP="008F0B87">
      <w:pPr>
        <w:pStyle w:val="Heading3"/>
      </w:pPr>
      <w:bookmarkStart w:id="35" w:name="_Toc536623340"/>
      <w:r w:rsidRPr="004E0D50">
        <w:t>Eligible</w:t>
      </w:r>
      <w:r w:rsidR="00805843" w:rsidRPr="004E0D50">
        <w:t xml:space="preserve"> </w:t>
      </w:r>
      <w:r w:rsidR="0043194E" w:rsidRPr="004E0D50">
        <w:t>g</w:t>
      </w:r>
      <w:r w:rsidR="00805843" w:rsidRPr="004E0D50">
        <w:t xml:space="preserve">rant </w:t>
      </w:r>
      <w:r w:rsidR="0043194E" w:rsidRPr="004E0D50">
        <w:t>a</w:t>
      </w:r>
      <w:r w:rsidR="00805843" w:rsidRPr="004E0D50">
        <w:t>ctivities</w:t>
      </w:r>
      <w:bookmarkEnd w:id="35"/>
    </w:p>
    <w:p w:rsidR="00E56D77" w:rsidRPr="004E0D50" w:rsidRDefault="00D56F5A" w:rsidP="00F371CD">
      <w:pPr>
        <w:rPr>
          <w:rFonts w:eastAsiaTheme="minorHAnsi" w:cs="Arial"/>
        </w:rPr>
      </w:pPr>
      <w:bookmarkStart w:id="36" w:name="_Ref468355814"/>
      <w:bookmarkStart w:id="37" w:name="_Toc383003258"/>
      <w:bookmarkStart w:id="38" w:name="_Toc164844265"/>
      <w:r w:rsidRPr="004E0D50">
        <w:rPr>
          <w:rFonts w:cs="Arial"/>
        </w:rPr>
        <w:t xml:space="preserve">To be eligible your project must </w:t>
      </w:r>
      <w:r w:rsidRPr="004E0D50">
        <w:rPr>
          <w:rFonts w:eastAsiaTheme="minorHAnsi" w:cs="Arial"/>
        </w:rPr>
        <w:t xml:space="preserve">be in accordance with these guidelines. </w:t>
      </w:r>
      <w:r w:rsidR="00D23EA3" w:rsidRPr="004E0D50">
        <w:rPr>
          <w:rFonts w:eastAsiaTheme="minorHAnsi" w:cs="Arial"/>
        </w:rPr>
        <w:t>Eligible organisations</w:t>
      </w:r>
      <w:r w:rsidR="00D62C74" w:rsidRPr="004E0D50">
        <w:rPr>
          <w:rFonts w:eastAsiaTheme="minorHAnsi" w:cs="Arial"/>
        </w:rPr>
        <w:t xml:space="preserve"> </w:t>
      </w:r>
      <w:r w:rsidR="000A742E" w:rsidRPr="004E0D50">
        <w:rPr>
          <w:rFonts w:eastAsiaTheme="minorHAnsi" w:cs="Arial"/>
        </w:rPr>
        <w:t>are encouraged to</w:t>
      </w:r>
      <w:r w:rsidR="00D23EA3" w:rsidRPr="004E0D50">
        <w:rPr>
          <w:rFonts w:eastAsiaTheme="minorHAnsi" w:cs="Arial"/>
        </w:rPr>
        <w:t xml:space="preserve"> collaborate with the broader community and, as appropriate,</w:t>
      </w:r>
      <w:r w:rsidR="000A742E" w:rsidRPr="004E0D50">
        <w:rPr>
          <w:rFonts w:eastAsiaTheme="minorHAnsi" w:cs="Arial"/>
        </w:rPr>
        <w:t xml:space="preserve"> act in partnership with other organisations to</w:t>
      </w:r>
      <w:r w:rsidR="00F371CD" w:rsidRPr="004E0D50">
        <w:rPr>
          <w:rFonts w:eastAsiaTheme="minorHAnsi" w:cs="Arial"/>
        </w:rPr>
        <w:t xml:space="preserve"> </w:t>
      </w:r>
      <w:r w:rsidR="000A742E" w:rsidRPr="004E0D50">
        <w:rPr>
          <w:rFonts w:eastAsiaTheme="minorHAnsi" w:cs="Arial"/>
        </w:rPr>
        <w:t xml:space="preserve">propose projects that </w:t>
      </w:r>
      <w:r w:rsidR="00264EA9" w:rsidRPr="004E0D50">
        <w:rPr>
          <w:rFonts w:eastAsiaTheme="minorHAnsi" w:cs="Arial"/>
        </w:rPr>
        <w:t>stimulate economic activity and growth to mitigate the effects of Basin Plan water recovery activities</w:t>
      </w:r>
      <w:r w:rsidR="00241224" w:rsidRPr="004E0D50">
        <w:rPr>
          <w:rFonts w:eastAsiaTheme="minorHAnsi" w:cs="Arial"/>
        </w:rPr>
        <w:t xml:space="preserve"> </w:t>
      </w:r>
      <w:r w:rsidR="00714A2E" w:rsidRPr="004E0D50">
        <w:rPr>
          <w:rFonts w:eastAsiaTheme="minorHAnsi" w:cs="Arial"/>
        </w:rPr>
        <w:t>i</w:t>
      </w:r>
      <w:r w:rsidR="00241224" w:rsidRPr="004E0D50">
        <w:rPr>
          <w:rFonts w:eastAsiaTheme="minorHAnsi" w:cs="Arial"/>
        </w:rPr>
        <w:t>n the communit</w:t>
      </w:r>
      <w:r w:rsidR="00621189" w:rsidRPr="004E0D50">
        <w:rPr>
          <w:rFonts w:eastAsiaTheme="minorHAnsi" w:cs="Arial"/>
        </w:rPr>
        <w:t>ies identified in the list in section 5.2</w:t>
      </w:r>
      <w:r w:rsidR="004538DB" w:rsidRPr="004E0D50">
        <w:rPr>
          <w:rFonts w:eastAsiaTheme="minorHAnsi" w:cs="Arial"/>
        </w:rPr>
        <w:t xml:space="preserve"> and </w:t>
      </w:r>
      <w:r w:rsidR="008B5BB2" w:rsidRPr="004E0D50">
        <w:rPr>
          <w:rFonts w:eastAsiaTheme="minorHAnsi" w:cs="Arial"/>
        </w:rPr>
        <w:t xml:space="preserve">shown in </w:t>
      </w:r>
      <w:r w:rsidR="004538DB" w:rsidRPr="004E0D50">
        <w:rPr>
          <w:rFonts w:eastAsiaTheme="minorHAnsi" w:cs="Arial"/>
        </w:rPr>
        <w:t xml:space="preserve">the maps in </w:t>
      </w:r>
      <w:r w:rsidR="004538DB" w:rsidRPr="004E0D50">
        <w:rPr>
          <w:rFonts w:eastAsiaTheme="minorHAnsi" w:cs="Arial"/>
          <w:b/>
        </w:rPr>
        <w:t>Appendi</w:t>
      </w:r>
      <w:r w:rsidR="00ED3649" w:rsidRPr="004E0D50">
        <w:rPr>
          <w:rFonts w:eastAsiaTheme="minorHAnsi" w:cs="Arial"/>
          <w:b/>
        </w:rPr>
        <w:t>x A</w:t>
      </w:r>
      <w:r w:rsidR="003F6DC3" w:rsidRPr="004E0D50">
        <w:rPr>
          <w:rFonts w:eastAsiaTheme="minorHAnsi" w:cs="Arial"/>
        </w:rPr>
        <w:t>.</w:t>
      </w:r>
    </w:p>
    <w:p w:rsidR="00D73A0A" w:rsidRPr="004E0D50" w:rsidRDefault="00D73A0A" w:rsidP="00D73A0A">
      <w:pPr>
        <w:pStyle w:val="ListBullet"/>
        <w:numPr>
          <w:ilvl w:val="0"/>
          <w:numId w:val="0"/>
        </w:numPr>
        <w:rPr>
          <w:rFonts w:cs="Arial"/>
        </w:rPr>
      </w:pPr>
      <w:r w:rsidRPr="004E0D50">
        <w:rPr>
          <w:rFonts w:cs="Arial"/>
        </w:rPr>
        <w:t xml:space="preserve">Broadly, the </w:t>
      </w:r>
      <w:r w:rsidR="00FF3B40" w:rsidRPr="004E0D50">
        <w:rPr>
          <w:rFonts w:cs="Arial"/>
        </w:rPr>
        <w:t>program</w:t>
      </w:r>
      <w:r w:rsidRPr="004E0D50">
        <w:rPr>
          <w:rFonts w:cs="Arial"/>
        </w:rPr>
        <w:t xml:space="preserve"> supports projects</w:t>
      </w:r>
      <w:r w:rsidR="00D82978" w:rsidRPr="004E0D50">
        <w:rPr>
          <w:rFonts w:cs="Arial"/>
        </w:rPr>
        <w:t xml:space="preserve"> </w:t>
      </w:r>
      <w:r w:rsidRPr="004E0D50">
        <w:rPr>
          <w:rFonts w:cs="Arial"/>
        </w:rPr>
        <w:t xml:space="preserve">that </w:t>
      </w:r>
      <w:r w:rsidR="00EF4E75" w:rsidRPr="004E0D50">
        <w:rPr>
          <w:rFonts w:cs="Arial"/>
          <w:lang w:eastAsia="en-AU"/>
        </w:rPr>
        <w:t xml:space="preserve">create economic development and employment opportunities. </w:t>
      </w:r>
      <w:r w:rsidR="008B5BB2" w:rsidRPr="004E0D50">
        <w:rPr>
          <w:rFonts w:cs="Arial"/>
          <w:lang w:eastAsia="en-AU"/>
        </w:rPr>
        <w:t>This would include innovative projects or p</w:t>
      </w:r>
      <w:r w:rsidR="00D82978" w:rsidRPr="004E0D50">
        <w:rPr>
          <w:rFonts w:cs="Arial"/>
          <w:lang w:eastAsia="en-AU"/>
        </w:rPr>
        <w:t xml:space="preserve">roposals </w:t>
      </w:r>
      <w:r w:rsidR="008B5BB2" w:rsidRPr="004E0D50">
        <w:rPr>
          <w:rFonts w:cs="Arial"/>
          <w:lang w:eastAsia="en-AU"/>
        </w:rPr>
        <w:t xml:space="preserve">to </w:t>
      </w:r>
      <w:r w:rsidR="00EF4E75" w:rsidRPr="004E0D50">
        <w:rPr>
          <w:rFonts w:cs="Arial"/>
          <w:lang w:eastAsia="en-AU"/>
        </w:rPr>
        <w:t>build community capacity to make the most of the resources available</w:t>
      </w:r>
      <w:r w:rsidRPr="004E0D50">
        <w:rPr>
          <w:rFonts w:cs="Arial"/>
        </w:rPr>
        <w:t xml:space="preserve">. </w:t>
      </w:r>
      <w:r w:rsidR="00D82978" w:rsidRPr="004E0D50">
        <w:rPr>
          <w:rFonts w:cs="Arial"/>
        </w:rPr>
        <w:t xml:space="preserve">Projects </w:t>
      </w:r>
      <w:r w:rsidRPr="004E0D50">
        <w:rPr>
          <w:rFonts w:cs="Arial"/>
        </w:rPr>
        <w:t>do not necessarily need to relate to irrigation or agriculture</w:t>
      </w:r>
      <w:r w:rsidR="008B5BB2" w:rsidRPr="004E0D50">
        <w:rPr>
          <w:rFonts w:cs="Arial"/>
        </w:rPr>
        <w:t>. Ideally, a</w:t>
      </w:r>
      <w:r w:rsidR="004B3A03" w:rsidRPr="004E0D50">
        <w:rPr>
          <w:rFonts w:cs="Arial"/>
        </w:rPr>
        <w:t xml:space="preserve">pplications </w:t>
      </w:r>
      <w:r w:rsidR="008B5BB2" w:rsidRPr="004E0D50">
        <w:rPr>
          <w:rFonts w:cs="Arial"/>
        </w:rPr>
        <w:t xml:space="preserve">should </w:t>
      </w:r>
      <w:r w:rsidR="003F6DC3" w:rsidRPr="004E0D50">
        <w:rPr>
          <w:rFonts w:cs="Arial"/>
        </w:rPr>
        <w:t xml:space="preserve">bring enduring benefits to the whole </w:t>
      </w:r>
      <w:r w:rsidR="004538DB" w:rsidRPr="004E0D50">
        <w:rPr>
          <w:rFonts w:cs="Arial"/>
        </w:rPr>
        <w:t xml:space="preserve">eligible </w:t>
      </w:r>
      <w:r w:rsidR="003F6DC3" w:rsidRPr="004E0D50">
        <w:rPr>
          <w:rFonts w:cs="Arial"/>
        </w:rPr>
        <w:t>community</w:t>
      </w:r>
      <w:r w:rsidRPr="004E0D50">
        <w:rPr>
          <w:rFonts w:cs="Arial"/>
        </w:rPr>
        <w:t>.</w:t>
      </w:r>
      <w:r w:rsidR="004538DB" w:rsidRPr="004E0D50">
        <w:rPr>
          <w:rFonts w:cs="Arial"/>
        </w:rPr>
        <w:t xml:space="preserve"> </w:t>
      </w:r>
    </w:p>
    <w:p w:rsidR="003848A4" w:rsidRPr="004E0D50" w:rsidRDefault="003848A4" w:rsidP="00D56F5A">
      <w:pPr>
        <w:pStyle w:val="ListBullet"/>
        <w:numPr>
          <w:ilvl w:val="0"/>
          <w:numId w:val="0"/>
        </w:numPr>
        <w:rPr>
          <w:rFonts w:cs="Arial"/>
        </w:rPr>
      </w:pPr>
    </w:p>
    <w:p w:rsidR="00D73A0A" w:rsidRPr="004E0D50" w:rsidRDefault="00D73A0A" w:rsidP="00D73A0A">
      <w:pPr>
        <w:pStyle w:val="ListBullet"/>
        <w:numPr>
          <w:ilvl w:val="0"/>
          <w:numId w:val="0"/>
        </w:numPr>
      </w:pPr>
      <w:r w:rsidRPr="004E0D50">
        <w:t xml:space="preserve">Projects would </w:t>
      </w:r>
      <w:r w:rsidR="002219AF" w:rsidRPr="004E0D50">
        <w:t xml:space="preserve">involve activities to </w:t>
      </w:r>
      <w:r w:rsidRPr="004E0D50">
        <w:t>support the unique situations faced by eligible communities and may:</w:t>
      </w:r>
    </w:p>
    <w:p w:rsidR="00E56D77" w:rsidRPr="004E0D50" w:rsidRDefault="00FF087B" w:rsidP="00E56D77">
      <w:pPr>
        <w:pStyle w:val="ListBullet"/>
      </w:pPr>
      <w:r w:rsidRPr="004E0D50">
        <w:t xml:space="preserve">focus on future </w:t>
      </w:r>
      <w:r w:rsidR="00714A2E" w:rsidRPr="004E0D50">
        <w:t xml:space="preserve">economic development </w:t>
      </w:r>
      <w:r w:rsidRPr="004E0D50">
        <w:t xml:space="preserve">needs </w:t>
      </w:r>
      <w:r w:rsidR="00714A2E" w:rsidRPr="004E0D50">
        <w:t xml:space="preserve">through </w:t>
      </w:r>
      <w:r w:rsidRPr="004E0D50">
        <w:t xml:space="preserve">the </w:t>
      </w:r>
      <w:r w:rsidR="00E56D77" w:rsidRPr="004E0D50">
        <w:t>development of non-technical skills such as business management, risk management, strategic planning and leadership in order to support resilience and adaptive management capability</w:t>
      </w:r>
    </w:p>
    <w:p w:rsidR="00E56D77" w:rsidRPr="004E0D50" w:rsidRDefault="00E56D77" w:rsidP="00E56D77">
      <w:pPr>
        <w:pStyle w:val="ListBullet"/>
      </w:pPr>
      <w:r w:rsidRPr="004E0D50">
        <w:t xml:space="preserve">strengthen workforce capabilities through skills and capabilities development, entrepreneurialism, resilience and adaptive capacities in ways that </w:t>
      </w:r>
      <w:r w:rsidR="00FF087B" w:rsidRPr="004E0D50">
        <w:t>are enduring</w:t>
      </w:r>
      <w:r w:rsidRPr="004E0D50">
        <w:t xml:space="preserve"> </w:t>
      </w:r>
    </w:p>
    <w:p w:rsidR="00E56D77" w:rsidRPr="004E0D50" w:rsidRDefault="00E56D77" w:rsidP="00E56D77">
      <w:pPr>
        <w:pStyle w:val="ListBullet"/>
      </w:pPr>
      <w:r w:rsidRPr="004E0D50">
        <w:t>deliver Indigenous-focussed outcomes</w:t>
      </w:r>
    </w:p>
    <w:p w:rsidR="00FF087B" w:rsidRPr="004E0D50" w:rsidRDefault="00FF087B" w:rsidP="00FF087B">
      <w:pPr>
        <w:pStyle w:val="ListBullet"/>
      </w:pPr>
      <w:r w:rsidRPr="004E0D50">
        <w:t xml:space="preserve">develop industry clusters or networks that bring together representatives of regional businesses, research centres and other partners </w:t>
      </w:r>
    </w:p>
    <w:p w:rsidR="00E56D77" w:rsidRPr="004E0D50" w:rsidRDefault="00E56D77" w:rsidP="00E56D77">
      <w:pPr>
        <w:pStyle w:val="ListBullet"/>
      </w:pPr>
      <w:r w:rsidRPr="004E0D50">
        <w:t>integrate new technology or processes for improved capability, productivity and competitiveness</w:t>
      </w:r>
    </w:p>
    <w:p w:rsidR="00FF087B" w:rsidRPr="004E0D50" w:rsidRDefault="00BC577E" w:rsidP="00FF087B">
      <w:pPr>
        <w:pStyle w:val="ListBullet"/>
      </w:pPr>
      <w:r>
        <w:t>help</w:t>
      </w:r>
      <w:r w:rsidR="00FF087B" w:rsidRPr="004E0D50">
        <w:t xml:space="preserve"> local businesses and industries (including tourism) </w:t>
      </w:r>
      <w:r w:rsidR="00A01F5D" w:rsidRPr="004E0D50">
        <w:t xml:space="preserve">to </w:t>
      </w:r>
      <w:r w:rsidR="00FF087B" w:rsidRPr="004E0D50">
        <w:t xml:space="preserve">grow and/or diversify, attracting new investment and new job creation </w:t>
      </w:r>
    </w:p>
    <w:p w:rsidR="00E56D77" w:rsidRPr="004E0D50" w:rsidRDefault="00E56D77" w:rsidP="00E56D77">
      <w:pPr>
        <w:pStyle w:val="ListBullet"/>
      </w:pPr>
      <w:r w:rsidRPr="004E0D50">
        <w:t xml:space="preserve">address barriers to commerce such as </w:t>
      </w:r>
      <w:r w:rsidR="00A01F5D" w:rsidRPr="004E0D50">
        <w:t xml:space="preserve">inadequate </w:t>
      </w:r>
      <w:r w:rsidRPr="004E0D50">
        <w:t>mobile or internet services, or local banking opportunities</w:t>
      </w:r>
    </w:p>
    <w:p w:rsidR="00E56D77" w:rsidRPr="004E0D50" w:rsidRDefault="00E56D77" w:rsidP="00E56D77">
      <w:pPr>
        <w:pStyle w:val="ListBullet"/>
      </w:pPr>
      <w:r w:rsidRPr="004E0D50">
        <w:t>address environmental needs, including management, education and tourism</w:t>
      </w:r>
    </w:p>
    <w:p w:rsidR="005D2DD0" w:rsidRPr="004E0D50" w:rsidRDefault="005D2DD0" w:rsidP="005D2DD0">
      <w:pPr>
        <w:pStyle w:val="ListBullet"/>
      </w:pPr>
      <w:r w:rsidRPr="004E0D50">
        <w:t>address infrastructure challenges impacting on industry sustainability or expansion</w:t>
      </w:r>
    </w:p>
    <w:p w:rsidR="005D2DD0" w:rsidRPr="004E0D50" w:rsidRDefault="005D2DD0" w:rsidP="005D2DD0">
      <w:pPr>
        <w:pStyle w:val="ListBullet"/>
      </w:pPr>
      <w:r w:rsidRPr="004E0D50">
        <w:t xml:space="preserve">improve infrastructure, plant or equipment for enhanced efficiency and competitiveness of local industry </w:t>
      </w:r>
    </w:p>
    <w:p w:rsidR="005D2DD0" w:rsidRPr="004E0D50" w:rsidRDefault="005D2DD0" w:rsidP="005D2DD0">
      <w:pPr>
        <w:pStyle w:val="ListBullet"/>
      </w:pPr>
      <w:r w:rsidRPr="004E0D50">
        <w:t xml:space="preserve">strengthen supply chain efficiencies and linkages </w:t>
      </w:r>
    </w:p>
    <w:p w:rsidR="00FF087B" w:rsidRPr="004E0D50" w:rsidRDefault="00FF087B" w:rsidP="00AB2B69">
      <w:pPr>
        <w:pStyle w:val="ListBullet"/>
        <w:rPr>
          <w:rFonts w:cs="Arial"/>
          <w:lang w:eastAsia="en-AU"/>
        </w:rPr>
      </w:pPr>
      <w:r w:rsidRPr="004E0D50">
        <w:t>deliver strategic planning that addresses and responds to the economic challenges a community faces as a result of water recovery activities under the Basin Plan</w:t>
      </w:r>
    </w:p>
    <w:p w:rsidR="00AB2B69" w:rsidRPr="004E0D50" w:rsidRDefault="00D23EA3" w:rsidP="00FF087B">
      <w:pPr>
        <w:pStyle w:val="ListBullet"/>
        <w:rPr>
          <w:rFonts w:cs="Arial"/>
          <w:lang w:eastAsia="en-AU"/>
        </w:rPr>
      </w:pPr>
      <w:r w:rsidRPr="004E0D50">
        <w:t>leverage other Commonwealth or State grant programs to increase the value of the grant</w:t>
      </w:r>
      <w:r w:rsidR="00AB2B69" w:rsidRPr="004E0D50">
        <w:t xml:space="preserve">. </w:t>
      </w:r>
    </w:p>
    <w:p w:rsidR="005D2DD0" w:rsidRPr="004E0D50" w:rsidRDefault="005D2DD0" w:rsidP="005D2DD0">
      <w:pPr>
        <w:pStyle w:val="ListBullet"/>
        <w:numPr>
          <w:ilvl w:val="0"/>
          <w:numId w:val="0"/>
        </w:numPr>
        <w:ind w:left="360" w:hanging="360"/>
      </w:pPr>
      <w:r w:rsidRPr="004E0D50">
        <w:t xml:space="preserve">The above list is not comprehensive and </w:t>
      </w:r>
      <w:r w:rsidR="00C3139B" w:rsidRPr="004E0D50">
        <w:t xml:space="preserve">other project activities </w:t>
      </w:r>
      <w:r w:rsidRPr="004E0D50">
        <w:t xml:space="preserve">will </w:t>
      </w:r>
      <w:r w:rsidR="00C3139B" w:rsidRPr="004E0D50">
        <w:t xml:space="preserve">be </w:t>
      </w:r>
      <w:r w:rsidRPr="004E0D50">
        <w:t>consider</w:t>
      </w:r>
      <w:r w:rsidR="00C3139B" w:rsidRPr="004E0D50">
        <w:t>ed</w:t>
      </w:r>
      <w:r w:rsidRPr="004E0D50">
        <w:t>.</w:t>
      </w:r>
    </w:p>
    <w:p w:rsidR="00815C5B" w:rsidRPr="004E0D50" w:rsidRDefault="00815C5B" w:rsidP="00815C5B">
      <w:r w:rsidRPr="004E0D50">
        <w:t xml:space="preserve">With the exception of the activities listed below (in Section 5.4) that </w:t>
      </w:r>
      <w:r w:rsidR="00695B6F" w:rsidRPr="004E0D50">
        <w:t>we</w:t>
      </w:r>
      <w:r w:rsidRPr="004E0D50">
        <w:t xml:space="preserve"> will not fund, </w:t>
      </w:r>
      <w:r w:rsidR="00695B6F" w:rsidRPr="004E0D50">
        <w:t>we are</w:t>
      </w:r>
      <w:r w:rsidRPr="004E0D50">
        <w:t xml:space="preserve"> providing flexibility in the type of project eligible for funding to enable local communities to identify the projects that best address their particular circumstances.</w:t>
      </w:r>
    </w:p>
    <w:p w:rsidR="00ED59BE" w:rsidRDefault="00ED59BE">
      <w:pPr>
        <w:spacing w:before="0" w:after="0" w:line="240" w:lineRule="auto"/>
        <w:rPr>
          <w:rFonts w:cs="Arial"/>
          <w:b/>
          <w:sz w:val="24"/>
          <w:szCs w:val="40"/>
        </w:rPr>
      </w:pPr>
      <w:bookmarkStart w:id="39" w:name="_Toc506537727"/>
      <w:bookmarkStart w:id="40" w:name="_Toc506537728"/>
      <w:bookmarkStart w:id="41" w:name="_Toc506537729"/>
      <w:bookmarkStart w:id="42" w:name="_Toc506537730"/>
      <w:bookmarkStart w:id="43" w:name="_Toc506537731"/>
      <w:bookmarkStart w:id="44" w:name="_Toc506537732"/>
      <w:bookmarkStart w:id="45" w:name="_Toc506537733"/>
      <w:bookmarkStart w:id="46" w:name="_Toc506537734"/>
      <w:bookmarkStart w:id="47" w:name="_Toc506537735"/>
      <w:bookmarkStart w:id="48" w:name="_Toc506537736"/>
      <w:bookmarkStart w:id="49" w:name="_Toc506537737"/>
      <w:bookmarkStart w:id="50" w:name="_Toc506537738"/>
      <w:bookmarkStart w:id="51" w:name="_Toc506537739"/>
      <w:bookmarkStart w:id="52" w:name="_Toc506537740"/>
      <w:bookmarkStart w:id="53" w:name="_Toc506537741"/>
      <w:bookmarkStart w:id="54" w:name="_Toc506537742"/>
      <w:bookmarkStart w:id="55" w:name="_Toc5366233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br w:type="page"/>
      </w:r>
    </w:p>
    <w:p w:rsidR="00E832A7" w:rsidRPr="004E0D50" w:rsidRDefault="00E832A7" w:rsidP="008F0B87">
      <w:pPr>
        <w:pStyle w:val="Heading3"/>
      </w:pPr>
      <w:r w:rsidRPr="004E0D50">
        <w:lastRenderedPageBreak/>
        <w:t>Eligible locations</w:t>
      </w:r>
      <w:bookmarkEnd w:id="55"/>
    </w:p>
    <w:p w:rsidR="00ED3649" w:rsidRPr="004E0D50" w:rsidRDefault="00E7088B" w:rsidP="00966ED7">
      <w:r w:rsidRPr="004E0D50">
        <w:t>E</w:t>
      </w:r>
      <w:r w:rsidR="00966ED7" w:rsidRPr="004E0D50">
        <w:t>conomic development project</w:t>
      </w:r>
      <w:r w:rsidRPr="004E0D50">
        <w:t xml:space="preserve">s must be </w:t>
      </w:r>
      <w:r w:rsidR="00966ED7" w:rsidRPr="004E0D50">
        <w:t xml:space="preserve">delivered in </w:t>
      </w:r>
      <w:r w:rsidR="00D0594B" w:rsidRPr="004E0D50">
        <w:t>or</w:t>
      </w:r>
      <w:r w:rsidR="00966ED7" w:rsidRPr="004E0D50">
        <w:t xml:space="preserve"> for the benefit of an eligible community. Table 1 below list</w:t>
      </w:r>
      <w:r w:rsidR="00D17196" w:rsidRPr="004E0D50">
        <w:t>s</w:t>
      </w:r>
      <w:r w:rsidR="00966ED7" w:rsidRPr="004E0D50">
        <w:t xml:space="preserve"> </w:t>
      </w:r>
      <w:r w:rsidR="00D17196" w:rsidRPr="004E0D50">
        <w:t xml:space="preserve">the </w:t>
      </w:r>
      <w:r w:rsidR="00966ED7" w:rsidRPr="004E0D50">
        <w:t xml:space="preserve">eligible </w:t>
      </w:r>
      <w:r w:rsidR="00ED59BE" w:rsidRPr="004E0D50">
        <w:t>communities that</w:t>
      </w:r>
      <w:r w:rsidR="00ED3649" w:rsidRPr="004E0D50">
        <w:t xml:space="preserve"> are clearly defined in the maps at </w:t>
      </w:r>
      <w:r w:rsidR="00ED3649" w:rsidRPr="004E0D50">
        <w:rPr>
          <w:b/>
        </w:rPr>
        <w:t>Appendix A.</w:t>
      </w:r>
    </w:p>
    <w:p w:rsidR="00966ED7" w:rsidRPr="004E0D50" w:rsidRDefault="00966ED7" w:rsidP="00966ED7">
      <w:pPr>
        <w:pStyle w:val="Caption"/>
        <w:keepNext/>
        <w:rPr>
          <w:bCs/>
          <w:color w:val="auto"/>
        </w:rPr>
      </w:pPr>
      <w:r w:rsidRPr="004E0D50">
        <w:rPr>
          <w:b/>
          <w:bCs/>
          <w:color w:val="auto"/>
        </w:rPr>
        <w:t>Table 1:</w:t>
      </w:r>
      <w:r w:rsidRPr="004E0D50">
        <w:rPr>
          <w:bCs/>
          <w:color w:val="auto"/>
        </w:rPr>
        <w:t xml:space="preserve"> </w:t>
      </w:r>
      <w:r w:rsidR="002219AF" w:rsidRPr="004E0D50">
        <w:rPr>
          <w:bCs/>
          <w:color w:val="auto"/>
        </w:rPr>
        <w:t>Eligible c</w:t>
      </w:r>
      <w:r w:rsidRPr="004E0D50">
        <w:rPr>
          <w:bCs/>
          <w:color w:val="auto"/>
        </w:rPr>
        <w:t>ommunit</w:t>
      </w:r>
      <w:r w:rsidR="002219AF" w:rsidRPr="004E0D50">
        <w:rPr>
          <w:bCs/>
          <w:color w:val="auto"/>
        </w:rPr>
        <w:t>y areas</w:t>
      </w:r>
      <w:r w:rsidR="0069317A" w:rsidRPr="004E0D50">
        <w:rPr>
          <w:bCs/>
          <w:color w:val="auto"/>
        </w:rPr>
        <w:t xml:space="preserve"> </w:t>
      </w:r>
    </w:p>
    <w:tbl>
      <w:tblPr>
        <w:tblStyle w:val="TableGrid"/>
        <w:tblW w:w="5245" w:type="dxa"/>
        <w:tblInd w:w="704" w:type="dxa"/>
        <w:tblLayout w:type="fixed"/>
        <w:tblLook w:val="04A0" w:firstRow="1" w:lastRow="0" w:firstColumn="1" w:lastColumn="0" w:noHBand="0" w:noVBand="1"/>
        <w:tblCaption w:val="eligible community areas by state"/>
      </w:tblPr>
      <w:tblGrid>
        <w:gridCol w:w="2835"/>
        <w:gridCol w:w="2410"/>
      </w:tblGrid>
      <w:tr w:rsidR="004E0D50" w:rsidRPr="004E0D50" w:rsidTr="004E0D50">
        <w:trPr>
          <w:cantSplit/>
          <w:trHeight w:val="274"/>
          <w:tblHeader/>
        </w:trPr>
        <w:tc>
          <w:tcPr>
            <w:tcW w:w="2835" w:type="dxa"/>
            <w:shd w:val="clear" w:color="auto" w:fill="000000" w:themeFill="text1"/>
          </w:tcPr>
          <w:p w:rsidR="00ED3649" w:rsidRPr="004E0D50" w:rsidRDefault="00ED59BE" w:rsidP="00B07D09">
            <w:pPr>
              <w:rPr>
                <w:rFonts w:cs="Arial"/>
                <w:b/>
              </w:rPr>
            </w:pPr>
            <w:r>
              <w:rPr>
                <w:rFonts w:cs="Arial"/>
                <w:b/>
              </w:rPr>
              <w:t>Eligible c</w:t>
            </w:r>
            <w:r w:rsidR="00ED3649" w:rsidRPr="004E0D50">
              <w:rPr>
                <w:rFonts w:cs="Arial"/>
                <w:b/>
              </w:rPr>
              <w:t>ommunity</w:t>
            </w:r>
            <w:r w:rsidR="00087610" w:rsidRPr="004E0D50">
              <w:rPr>
                <w:rFonts w:cs="Arial"/>
                <w:b/>
              </w:rPr>
              <w:t xml:space="preserve"> areas</w:t>
            </w:r>
          </w:p>
        </w:tc>
        <w:tc>
          <w:tcPr>
            <w:tcW w:w="2410" w:type="dxa"/>
            <w:shd w:val="clear" w:color="auto" w:fill="000000" w:themeFill="text1"/>
          </w:tcPr>
          <w:p w:rsidR="00ED3649" w:rsidRPr="004E0D50" w:rsidRDefault="00ED3649" w:rsidP="00B07D09">
            <w:pPr>
              <w:rPr>
                <w:rFonts w:cs="Arial"/>
                <w:b/>
              </w:rPr>
            </w:pPr>
            <w:r w:rsidRPr="004E0D50">
              <w:rPr>
                <w:rFonts w:cs="Arial"/>
                <w:b/>
              </w:rPr>
              <w:t>State</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Dirranbandi</w:t>
            </w:r>
          </w:p>
        </w:tc>
        <w:tc>
          <w:tcPr>
            <w:tcW w:w="2410" w:type="dxa"/>
            <w:shd w:val="clear" w:color="auto" w:fill="auto"/>
          </w:tcPr>
          <w:p w:rsidR="00ED3649" w:rsidRPr="004E0D50" w:rsidRDefault="00ED3649" w:rsidP="00B07D09">
            <w:pPr>
              <w:rPr>
                <w:rFonts w:cs="Arial"/>
              </w:rPr>
            </w:pPr>
            <w:r w:rsidRPr="004E0D50">
              <w:rPr>
                <w:rFonts w:cs="Arial"/>
              </w:rPr>
              <w:t>QLD</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St George</w:t>
            </w:r>
          </w:p>
        </w:tc>
        <w:tc>
          <w:tcPr>
            <w:tcW w:w="2410" w:type="dxa"/>
            <w:shd w:val="clear" w:color="auto" w:fill="auto"/>
          </w:tcPr>
          <w:p w:rsidR="00ED3649" w:rsidRPr="004E0D50" w:rsidRDefault="00ED3649" w:rsidP="00B07D09">
            <w:pPr>
              <w:rPr>
                <w:rFonts w:cs="Arial"/>
              </w:rPr>
            </w:pPr>
            <w:r w:rsidRPr="004E0D50">
              <w:rPr>
                <w:rFonts w:cs="Arial"/>
              </w:rPr>
              <w:t>QLD</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Cunnamulla</w:t>
            </w:r>
          </w:p>
        </w:tc>
        <w:tc>
          <w:tcPr>
            <w:tcW w:w="2410" w:type="dxa"/>
            <w:shd w:val="clear" w:color="auto" w:fill="auto"/>
          </w:tcPr>
          <w:p w:rsidR="00ED3649" w:rsidRPr="004E0D50" w:rsidRDefault="00ED3649" w:rsidP="00B07D09">
            <w:pPr>
              <w:rPr>
                <w:rFonts w:cs="Arial"/>
              </w:rPr>
            </w:pPr>
            <w:r w:rsidRPr="004E0D50">
              <w:rPr>
                <w:rFonts w:cs="Arial"/>
              </w:rPr>
              <w:t>QLD</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Collarenebri</w:t>
            </w:r>
          </w:p>
        </w:tc>
        <w:tc>
          <w:tcPr>
            <w:tcW w:w="2410" w:type="dxa"/>
            <w:shd w:val="clear" w:color="auto" w:fill="auto"/>
          </w:tcPr>
          <w:p w:rsidR="00ED3649" w:rsidRPr="004E0D50" w:rsidRDefault="00ED3649" w:rsidP="00B07D09">
            <w:pPr>
              <w:rPr>
                <w:rFonts w:cs="Arial"/>
              </w:rPr>
            </w:pPr>
            <w:r w:rsidRPr="004E0D50">
              <w:rPr>
                <w:rFonts w:cs="Arial"/>
              </w:rPr>
              <w:t>NSW</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Warren</w:t>
            </w:r>
          </w:p>
        </w:tc>
        <w:tc>
          <w:tcPr>
            <w:tcW w:w="2410" w:type="dxa"/>
            <w:shd w:val="clear" w:color="auto" w:fill="auto"/>
          </w:tcPr>
          <w:p w:rsidR="00ED3649" w:rsidRPr="004E0D50" w:rsidRDefault="00ED3649" w:rsidP="00B07D09">
            <w:pPr>
              <w:rPr>
                <w:rFonts w:cs="Arial"/>
              </w:rPr>
            </w:pPr>
            <w:r w:rsidRPr="004E0D50">
              <w:rPr>
                <w:rFonts w:cs="Arial"/>
              </w:rPr>
              <w:t>NSW</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Wakool</w:t>
            </w:r>
          </w:p>
        </w:tc>
        <w:tc>
          <w:tcPr>
            <w:tcW w:w="2410" w:type="dxa"/>
            <w:shd w:val="clear" w:color="auto" w:fill="auto"/>
          </w:tcPr>
          <w:p w:rsidR="00ED3649" w:rsidRPr="004E0D50" w:rsidRDefault="00ED3649" w:rsidP="00B07D09">
            <w:pPr>
              <w:rPr>
                <w:rFonts w:cs="Arial"/>
              </w:rPr>
            </w:pPr>
            <w:r w:rsidRPr="004E0D50">
              <w:rPr>
                <w:rFonts w:cs="Arial"/>
              </w:rPr>
              <w:t>NSW</w:t>
            </w:r>
          </w:p>
        </w:tc>
      </w:tr>
      <w:tr w:rsidR="004E0D50" w:rsidRPr="004E0D50" w:rsidTr="006E06BB">
        <w:trPr>
          <w:cantSplit/>
        </w:trPr>
        <w:tc>
          <w:tcPr>
            <w:tcW w:w="2835" w:type="dxa"/>
            <w:shd w:val="clear" w:color="auto" w:fill="auto"/>
          </w:tcPr>
          <w:p w:rsidR="00ED3649" w:rsidRPr="004E0D50" w:rsidRDefault="00ED3649" w:rsidP="002219AF">
            <w:pPr>
              <w:rPr>
                <w:rFonts w:cs="Arial"/>
                <w:b/>
              </w:rPr>
            </w:pPr>
            <w:r w:rsidRPr="004E0D50">
              <w:rPr>
                <w:rFonts w:cs="Arial"/>
                <w:b/>
              </w:rPr>
              <w:t>Colignan</w:t>
            </w:r>
          </w:p>
        </w:tc>
        <w:tc>
          <w:tcPr>
            <w:tcW w:w="2410" w:type="dxa"/>
            <w:shd w:val="clear" w:color="auto" w:fill="auto"/>
          </w:tcPr>
          <w:p w:rsidR="00ED3649" w:rsidRPr="004E0D50" w:rsidRDefault="00ED3649" w:rsidP="00714A2E">
            <w:pPr>
              <w:rPr>
                <w:rFonts w:cs="Arial"/>
              </w:rPr>
            </w:pPr>
            <w:r w:rsidRPr="004E0D50">
              <w:rPr>
                <w:rFonts w:cs="Arial"/>
              </w:rPr>
              <w:t>NSW/VIC</w:t>
            </w:r>
          </w:p>
        </w:tc>
      </w:tr>
      <w:tr w:rsidR="004E0D50" w:rsidRPr="004E0D50" w:rsidTr="006E06BB">
        <w:trPr>
          <w:cantSplit/>
        </w:trPr>
        <w:tc>
          <w:tcPr>
            <w:tcW w:w="2835" w:type="dxa"/>
            <w:shd w:val="clear" w:color="auto" w:fill="auto"/>
          </w:tcPr>
          <w:p w:rsidR="00ED3649" w:rsidRPr="004E0D50" w:rsidRDefault="00ED3649" w:rsidP="000B08CD">
            <w:pPr>
              <w:rPr>
                <w:rFonts w:cs="Arial"/>
                <w:b/>
              </w:rPr>
            </w:pPr>
            <w:r w:rsidRPr="004E0D50">
              <w:rPr>
                <w:rFonts w:cs="Arial"/>
                <w:b/>
              </w:rPr>
              <w:t>Red Cliffs</w:t>
            </w:r>
          </w:p>
        </w:tc>
        <w:tc>
          <w:tcPr>
            <w:tcW w:w="2410" w:type="dxa"/>
            <w:shd w:val="clear" w:color="auto" w:fill="auto"/>
          </w:tcPr>
          <w:p w:rsidR="00ED3649" w:rsidRPr="004E0D50" w:rsidRDefault="00ED3649" w:rsidP="000B08CD">
            <w:pPr>
              <w:rPr>
                <w:rFonts w:cs="Arial"/>
              </w:rPr>
            </w:pPr>
            <w:r w:rsidRPr="004E0D50">
              <w:rPr>
                <w:rFonts w:cs="Arial"/>
              </w:rPr>
              <w:t>VIC</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Merbein</w:t>
            </w:r>
          </w:p>
        </w:tc>
        <w:tc>
          <w:tcPr>
            <w:tcW w:w="2410" w:type="dxa"/>
            <w:shd w:val="clear" w:color="auto" w:fill="auto"/>
          </w:tcPr>
          <w:p w:rsidR="00ED3649" w:rsidRPr="004E0D50" w:rsidRDefault="00ED3649" w:rsidP="00B07D09">
            <w:pPr>
              <w:rPr>
                <w:rFonts w:cs="Arial"/>
              </w:rPr>
            </w:pPr>
            <w:r w:rsidRPr="004E0D50">
              <w:rPr>
                <w:rFonts w:cs="Arial"/>
              </w:rPr>
              <w:t>VIC</w:t>
            </w:r>
          </w:p>
        </w:tc>
      </w:tr>
      <w:tr w:rsidR="004E0D50" w:rsidRPr="004E0D50" w:rsidTr="006E06BB">
        <w:trPr>
          <w:cantSplit/>
        </w:trPr>
        <w:tc>
          <w:tcPr>
            <w:tcW w:w="2835" w:type="dxa"/>
            <w:shd w:val="clear" w:color="auto" w:fill="auto"/>
          </w:tcPr>
          <w:p w:rsidR="00ED3649" w:rsidRPr="004E0D50" w:rsidRDefault="00ED3649" w:rsidP="000B08CD">
            <w:pPr>
              <w:rPr>
                <w:rFonts w:cs="Arial"/>
                <w:b/>
              </w:rPr>
            </w:pPr>
            <w:r w:rsidRPr="004E0D50">
              <w:rPr>
                <w:rFonts w:cs="Arial"/>
                <w:b/>
              </w:rPr>
              <w:t>Rochester</w:t>
            </w:r>
          </w:p>
        </w:tc>
        <w:tc>
          <w:tcPr>
            <w:tcW w:w="2410" w:type="dxa"/>
            <w:shd w:val="clear" w:color="auto" w:fill="auto"/>
          </w:tcPr>
          <w:p w:rsidR="00ED3649" w:rsidRPr="004E0D50" w:rsidRDefault="00ED3649" w:rsidP="000B08CD">
            <w:pPr>
              <w:rPr>
                <w:rFonts w:cs="Arial"/>
              </w:rPr>
            </w:pPr>
            <w:r w:rsidRPr="004E0D50">
              <w:rPr>
                <w:rFonts w:cs="Arial"/>
              </w:rPr>
              <w:t>VIC</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Berri</w:t>
            </w:r>
          </w:p>
        </w:tc>
        <w:tc>
          <w:tcPr>
            <w:tcW w:w="2410" w:type="dxa"/>
            <w:shd w:val="clear" w:color="auto" w:fill="auto"/>
          </w:tcPr>
          <w:p w:rsidR="00ED3649" w:rsidRPr="004E0D50" w:rsidRDefault="00ED3649" w:rsidP="00B07D09">
            <w:pPr>
              <w:rPr>
                <w:rFonts w:cs="Arial"/>
              </w:rPr>
            </w:pPr>
            <w:r w:rsidRPr="004E0D50">
              <w:rPr>
                <w:rFonts w:cs="Arial"/>
              </w:rPr>
              <w:t>SA</w:t>
            </w:r>
          </w:p>
        </w:tc>
      </w:tr>
      <w:tr w:rsidR="004E0D50" w:rsidRPr="004E0D50" w:rsidTr="006E06BB">
        <w:trPr>
          <w:cantSplit/>
        </w:trPr>
        <w:tc>
          <w:tcPr>
            <w:tcW w:w="2835" w:type="dxa"/>
            <w:shd w:val="clear" w:color="auto" w:fill="auto"/>
          </w:tcPr>
          <w:p w:rsidR="00ED3649" w:rsidRPr="004E0D50" w:rsidRDefault="00ED3649" w:rsidP="000B08CD">
            <w:pPr>
              <w:rPr>
                <w:rFonts w:cs="Arial"/>
                <w:b/>
              </w:rPr>
            </w:pPr>
            <w:r w:rsidRPr="004E0D50">
              <w:rPr>
                <w:rFonts w:cs="Arial"/>
                <w:b/>
              </w:rPr>
              <w:t>Loxton</w:t>
            </w:r>
          </w:p>
        </w:tc>
        <w:tc>
          <w:tcPr>
            <w:tcW w:w="2410" w:type="dxa"/>
            <w:shd w:val="clear" w:color="auto" w:fill="auto"/>
          </w:tcPr>
          <w:p w:rsidR="00ED3649" w:rsidRPr="004E0D50" w:rsidRDefault="00ED3649" w:rsidP="000B08CD">
            <w:pPr>
              <w:rPr>
                <w:rFonts w:cs="Arial"/>
              </w:rPr>
            </w:pPr>
            <w:r w:rsidRPr="004E0D50">
              <w:rPr>
                <w:rFonts w:cs="Arial"/>
              </w:rPr>
              <w:t>SA</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Cobdogla-Barmera</w:t>
            </w:r>
          </w:p>
        </w:tc>
        <w:tc>
          <w:tcPr>
            <w:tcW w:w="2410" w:type="dxa"/>
            <w:shd w:val="clear" w:color="auto" w:fill="auto"/>
          </w:tcPr>
          <w:p w:rsidR="00ED3649" w:rsidRPr="004E0D50" w:rsidRDefault="00ED3649" w:rsidP="00B07D09">
            <w:pPr>
              <w:rPr>
                <w:rFonts w:cs="Arial"/>
              </w:rPr>
            </w:pPr>
            <w:r w:rsidRPr="004E0D50">
              <w:rPr>
                <w:rFonts w:cs="Arial"/>
              </w:rPr>
              <w:t>SA</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Swan Reach</w:t>
            </w:r>
          </w:p>
        </w:tc>
        <w:tc>
          <w:tcPr>
            <w:tcW w:w="2410" w:type="dxa"/>
            <w:shd w:val="clear" w:color="auto" w:fill="auto"/>
          </w:tcPr>
          <w:p w:rsidR="00ED3649" w:rsidRPr="004E0D50" w:rsidRDefault="00ED3649" w:rsidP="00B07D09">
            <w:pPr>
              <w:rPr>
                <w:rFonts w:cs="Arial"/>
              </w:rPr>
            </w:pPr>
            <w:r w:rsidRPr="004E0D50">
              <w:rPr>
                <w:rFonts w:cs="Arial"/>
              </w:rPr>
              <w:t>SA</w:t>
            </w:r>
          </w:p>
        </w:tc>
      </w:tr>
      <w:tr w:rsidR="004E0D50" w:rsidRPr="004E0D50" w:rsidTr="006E06BB">
        <w:trPr>
          <w:cantSplit/>
        </w:trPr>
        <w:tc>
          <w:tcPr>
            <w:tcW w:w="2835" w:type="dxa"/>
            <w:shd w:val="clear" w:color="auto" w:fill="auto"/>
          </w:tcPr>
          <w:p w:rsidR="00ED3649" w:rsidRPr="004E0D50" w:rsidRDefault="00ED3649" w:rsidP="00B07D09">
            <w:pPr>
              <w:rPr>
                <w:rFonts w:cs="Arial"/>
                <w:b/>
              </w:rPr>
            </w:pPr>
            <w:r w:rsidRPr="004E0D50">
              <w:rPr>
                <w:rFonts w:cs="Arial"/>
                <w:b/>
              </w:rPr>
              <w:t>Lower Lakes</w:t>
            </w:r>
          </w:p>
        </w:tc>
        <w:tc>
          <w:tcPr>
            <w:tcW w:w="2410" w:type="dxa"/>
            <w:shd w:val="clear" w:color="auto" w:fill="auto"/>
          </w:tcPr>
          <w:p w:rsidR="00ED3649" w:rsidRPr="004E0D50" w:rsidRDefault="00ED3649" w:rsidP="00B07D09">
            <w:pPr>
              <w:rPr>
                <w:rFonts w:cs="Arial"/>
              </w:rPr>
            </w:pPr>
            <w:r w:rsidRPr="004E0D50">
              <w:rPr>
                <w:rFonts w:cs="Arial"/>
              </w:rPr>
              <w:t>SA</w:t>
            </w:r>
          </w:p>
        </w:tc>
      </w:tr>
    </w:tbl>
    <w:p w:rsidR="000E055E" w:rsidRPr="004E0D50" w:rsidRDefault="000E055E" w:rsidP="008F0B87">
      <w:pPr>
        <w:pStyle w:val="Heading3"/>
      </w:pPr>
      <w:bookmarkStart w:id="56" w:name="_Toc536623342"/>
      <w:r w:rsidRPr="004E0D50">
        <w:t>Eligible expenditure</w:t>
      </w:r>
      <w:bookmarkEnd w:id="56"/>
      <w:r w:rsidRPr="004E0D50">
        <w:t xml:space="preserve"> </w:t>
      </w:r>
    </w:p>
    <w:p w:rsidR="000E055E" w:rsidRPr="004E0D50" w:rsidRDefault="000E055E" w:rsidP="000E055E">
      <w:r w:rsidRPr="004E0D50">
        <w:t xml:space="preserve">The program provides flexibility for </w:t>
      </w:r>
      <w:r w:rsidR="002219AF" w:rsidRPr="004E0D50">
        <w:t xml:space="preserve">eligible organisations </w:t>
      </w:r>
      <w:r w:rsidRPr="004E0D50">
        <w:t xml:space="preserve">to identify projects that best address </w:t>
      </w:r>
      <w:r w:rsidR="00E7088B" w:rsidRPr="004E0D50">
        <w:t xml:space="preserve">an eligible </w:t>
      </w:r>
      <w:r w:rsidR="002219AF" w:rsidRPr="004E0D50">
        <w:t xml:space="preserve">community’s </w:t>
      </w:r>
      <w:r w:rsidRPr="004E0D50">
        <w:t xml:space="preserve">particular circumstances. Therefore, we are not being prescriptive in the type of project </w:t>
      </w:r>
      <w:r w:rsidR="00695B6F" w:rsidRPr="004E0D50">
        <w:t xml:space="preserve">expenditure </w:t>
      </w:r>
      <w:r w:rsidRPr="004E0D50">
        <w:t xml:space="preserve">eligible for funding under the program (with the exception of ineligible </w:t>
      </w:r>
      <w:r w:rsidR="00695B6F" w:rsidRPr="004E0D50">
        <w:t xml:space="preserve">expenditure </w:t>
      </w:r>
      <w:r w:rsidRPr="004E0D50">
        <w:t>for grant funding listed in Section 5.4).</w:t>
      </w:r>
    </w:p>
    <w:p w:rsidR="000E055E" w:rsidRPr="004E0D50" w:rsidRDefault="000E055E" w:rsidP="000E055E">
      <w:r w:rsidRPr="004E0D50">
        <w:t>You can only spend the grant on eligible expenditure you incur on agreed project activities specified in your grant agreement (i.e. we will not pay for any expenses you incur before the grant agreement is signed). You must incur the expenditure on your project activities between the start date and completion date specified in your grant agreement for it to be eligible.</w:t>
      </w:r>
    </w:p>
    <w:p w:rsidR="000E055E" w:rsidRPr="004E0D50" w:rsidRDefault="000E055E" w:rsidP="008F0B87">
      <w:pPr>
        <w:pStyle w:val="Heading3"/>
      </w:pPr>
      <w:bookmarkStart w:id="57" w:name="_Toc536623343"/>
      <w:r w:rsidRPr="004E0D50">
        <w:t>What the grant money cannot be used for</w:t>
      </w:r>
      <w:bookmarkEnd w:id="57"/>
    </w:p>
    <w:p w:rsidR="000E055E" w:rsidRPr="004E0D50" w:rsidRDefault="000E055E" w:rsidP="000E055E">
      <w:pPr>
        <w:rPr>
          <w:iCs/>
        </w:rPr>
      </w:pPr>
      <w:r w:rsidRPr="004E0D50">
        <w:t xml:space="preserve">The following list indicates the types of </w:t>
      </w:r>
      <w:r w:rsidR="00695B6F" w:rsidRPr="004E0D50">
        <w:t>expenditure</w:t>
      </w:r>
      <w:r w:rsidRPr="004E0D50">
        <w:t xml:space="preserve"> that we will not consider funding:</w:t>
      </w:r>
    </w:p>
    <w:p w:rsidR="000E055E" w:rsidRPr="004E0D50" w:rsidRDefault="000E055E" w:rsidP="000E055E">
      <w:pPr>
        <w:pStyle w:val="ListBullet"/>
        <w:numPr>
          <w:ilvl w:val="0"/>
          <w:numId w:val="7"/>
        </w:numPr>
      </w:pPr>
      <w:r w:rsidRPr="004E0D50">
        <w:t>retrospective activities (project activities that have been completed or have commenced prior to signing the grant agreement)</w:t>
      </w:r>
    </w:p>
    <w:p w:rsidR="000E055E" w:rsidRPr="004E0D50" w:rsidRDefault="000E055E" w:rsidP="000E055E">
      <w:pPr>
        <w:pStyle w:val="ListBullet"/>
        <w:numPr>
          <w:ilvl w:val="0"/>
          <w:numId w:val="7"/>
        </w:numPr>
      </w:pPr>
      <w:r w:rsidRPr="004E0D50">
        <w:t xml:space="preserve">activities to be funded through other Australian Government or </w:t>
      </w:r>
      <w:r w:rsidR="00583710">
        <w:t>s</w:t>
      </w:r>
      <w:r w:rsidRPr="004E0D50">
        <w:t xml:space="preserve">tate </w:t>
      </w:r>
      <w:r w:rsidR="00583710">
        <w:t>g</w:t>
      </w:r>
      <w:r w:rsidRPr="004E0D50">
        <w:t xml:space="preserve">overnment investment </w:t>
      </w:r>
    </w:p>
    <w:p w:rsidR="000E055E" w:rsidRPr="004E0D50" w:rsidRDefault="000E055E" w:rsidP="000E055E">
      <w:pPr>
        <w:pStyle w:val="ListBullet"/>
        <w:numPr>
          <w:ilvl w:val="0"/>
          <w:numId w:val="7"/>
        </w:numPr>
      </w:pPr>
      <w:r w:rsidRPr="004E0D50">
        <w:lastRenderedPageBreak/>
        <w:t xml:space="preserve">“business as usual” activities for which other Commonwealth, state or local government bodies have primary responsibility </w:t>
      </w:r>
    </w:p>
    <w:p w:rsidR="000E055E" w:rsidRPr="004E0D50" w:rsidRDefault="000E055E" w:rsidP="000E055E">
      <w:pPr>
        <w:pStyle w:val="ListBullet"/>
        <w:numPr>
          <w:ilvl w:val="0"/>
          <w:numId w:val="7"/>
        </w:numPr>
      </w:pPr>
      <w:r w:rsidRPr="004E0D50">
        <w:t xml:space="preserve">“business as usual” operation and administration costs of the local government authority or the organisation delivering the project, including maintenance, repairs, utilities and staffing (this does not extend to </w:t>
      </w:r>
      <w:r w:rsidR="00087C04" w:rsidRPr="004E0D50">
        <w:t xml:space="preserve">staff, </w:t>
      </w:r>
      <w:r w:rsidRPr="004E0D50">
        <w:t>consultants or contractors engaged specifically and solely for the purposes of the project)</w:t>
      </w:r>
    </w:p>
    <w:p w:rsidR="000E055E" w:rsidRPr="004E0D50" w:rsidRDefault="000E055E" w:rsidP="000E055E">
      <w:pPr>
        <w:pStyle w:val="ListBullet"/>
        <w:numPr>
          <w:ilvl w:val="0"/>
          <w:numId w:val="7"/>
        </w:numPr>
      </w:pPr>
      <w:r w:rsidRPr="004E0D50">
        <w:t>labour, operational and maintenance costs associated with the project once completed</w:t>
      </w:r>
    </w:p>
    <w:p w:rsidR="000E055E" w:rsidRPr="004E0D50" w:rsidRDefault="000E055E" w:rsidP="000E055E">
      <w:pPr>
        <w:pStyle w:val="ListBullet"/>
        <w:numPr>
          <w:ilvl w:val="0"/>
          <w:numId w:val="7"/>
        </w:numPr>
      </w:pPr>
      <w:r w:rsidRPr="004E0D50">
        <w:t>projects requiring recurrent funding from a State government or the Australian Government once completed</w:t>
      </w:r>
    </w:p>
    <w:p w:rsidR="000E055E" w:rsidRPr="004E0D50" w:rsidRDefault="000E055E" w:rsidP="000E055E">
      <w:pPr>
        <w:pStyle w:val="ListBullet"/>
        <w:numPr>
          <w:ilvl w:val="0"/>
          <w:numId w:val="7"/>
        </w:numPr>
      </w:pPr>
      <w:r w:rsidRPr="004E0D50">
        <w:t>projects that only benefit private individuals or enterprises within the community</w:t>
      </w:r>
      <w:r w:rsidRPr="004E0D50">
        <w:rPr>
          <w:lang w:val="en-GB"/>
        </w:rPr>
        <w:t xml:space="preserve"> (as opposed to projects that </w:t>
      </w:r>
      <w:r w:rsidRPr="004E0D50">
        <w:t>benefit the community)</w:t>
      </w:r>
    </w:p>
    <w:p w:rsidR="000E055E" w:rsidRPr="004E0D50" w:rsidRDefault="000E055E" w:rsidP="000E055E">
      <w:pPr>
        <w:pStyle w:val="ListBullet"/>
        <w:numPr>
          <w:ilvl w:val="0"/>
          <w:numId w:val="7"/>
        </w:numPr>
      </w:pPr>
      <w:r w:rsidRPr="004E0D50">
        <w:t>projects involving financial or debt restructuring</w:t>
      </w:r>
    </w:p>
    <w:p w:rsidR="000E055E" w:rsidRPr="004E0D50" w:rsidRDefault="000E055E" w:rsidP="000E055E">
      <w:pPr>
        <w:pStyle w:val="ListBullet"/>
        <w:numPr>
          <w:ilvl w:val="0"/>
          <w:numId w:val="7"/>
        </w:numPr>
      </w:pPr>
      <w:r w:rsidRPr="004E0D50">
        <w:t>research and development projects</w:t>
      </w:r>
    </w:p>
    <w:p w:rsidR="000E055E" w:rsidRPr="004E0D50" w:rsidRDefault="000E055E" w:rsidP="000E055E">
      <w:pPr>
        <w:pStyle w:val="ListBullet"/>
        <w:numPr>
          <w:ilvl w:val="0"/>
          <w:numId w:val="7"/>
        </w:numPr>
      </w:pPr>
      <w:r w:rsidRPr="004E0D50">
        <w:t xml:space="preserve">purchase of land, unless as an integral part of an eligible project </w:t>
      </w:r>
    </w:p>
    <w:p w:rsidR="000E055E" w:rsidRPr="004E0D50" w:rsidRDefault="000E055E" w:rsidP="000E055E">
      <w:pPr>
        <w:pStyle w:val="ListBullet"/>
        <w:numPr>
          <w:ilvl w:val="0"/>
          <w:numId w:val="7"/>
        </w:numPr>
      </w:pPr>
      <w:r w:rsidRPr="004E0D50">
        <w:t>costs incurred in the preparation of a project proposal or related documentation</w:t>
      </w:r>
    </w:p>
    <w:p w:rsidR="000E055E" w:rsidRPr="004E0D50" w:rsidRDefault="000E055E" w:rsidP="000E055E">
      <w:pPr>
        <w:pStyle w:val="ListBullet"/>
        <w:numPr>
          <w:ilvl w:val="0"/>
          <w:numId w:val="7"/>
        </w:numPr>
      </w:pPr>
      <w:r w:rsidRPr="004E0D50">
        <w:t>any activity which is contrary to the objectives and intent of the program.</w:t>
      </w:r>
    </w:p>
    <w:p w:rsidR="000E055E" w:rsidRPr="004E0D50" w:rsidRDefault="000E055E" w:rsidP="00384E16">
      <w:pPr>
        <w:pStyle w:val="Heading2"/>
        <w:rPr>
          <w:color w:val="auto"/>
        </w:rPr>
      </w:pPr>
      <w:bookmarkStart w:id="58" w:name="_Toc536623344"/>
      <w:r w:rsidRPr="004E0D50">
        <w:rPr>
          <w:color w:val="auto"/>
        </w:rPr>
        <w:t>The assessment criteria</w:t>
      </w:r>
      <w:bookmarkEnd w:id="58"/>
    </w:p>
    <w:p w:rsidR="0034453A" w:rsidRPr="004E0D50" w:rsidRDefault="000E055E" w:rsidP="000E055E">
      <w:pPr>
        <w:rPr>
          <w:lang w:eastAsia="ja-JP"/>
        </w:rPr>
      </w:pPr>
      <w:r w:rsidRPr="004E0D50">
        <w:rPr>
          <w:lang w:eastAsia="ja-JP"/>
        </w:rPr>
        <w:t xml:space="preserve">You must address all of the assessment criteria in the application. </w:t>
      </w:r>
      <w:r w:rsidR="007D2436" w:rsidRPr="004E0D50">
        <w:rPr>
          <w:lang w:eastAsia="ja-JP"/>
        </w:rPr>
        <w:t>Applications that score highly against all criteria</w:t>
      </w:r>
      <w:r w:rsidR="0034453A" w:rsidRPr="004E0D50">
        <w:rPr>
          <w:lang w:eastAsia="ja-JP"/>
        </w:rPr>
        <w:t xml:space="preserve"> are more likely to be recommended. </w:t>
      </w:r>
    </w:p>
    <w:p w:rsidR="000E055E" w:rsidRPr="004E0D50" w:rsidRDefault="000E055E" w:rsidP="000E055E">
      <w:r w:rsidRPr="004E0D50">
        <w:rPr>
          <w:lang w:eastAsia="ja-JP"/>
        </w:rPr>
        <w:t xml:space="preserve">All projects must deliver value </w:t>
      </w:r>
      <w:r w:rsidR="009E273D" w:rsidRPr="004E0D50">
        <w:rPr>
          <w:lang w:eastAsia="ja-JP"/>
        </w:rPr>
        <w:t xml:space="preserve">with </w:t>
      </w:r>
      <w:r w:rsidRPr="004E0D50">
        <w:rPr>
          <w:lang w:eastAsia="ja-JP"/>
        </w:rPr>
        <w:t xml:space="preserve">money in the context of the criteria outlined below. We will assess each application on its merits and based on the weighting given to each criterion detailed below. </w:t>
      </w:r>
      <w:r w:rsidRPr="004E0D50">
        <w:t>We will recommend funding for projects based on a competitive evaluation against all assessment criteria.</w:t>
      </w:r>
    </w:p>
    <w:p w:rsidR="00E55676" w:rsidRPr="004E0D50" w:rsidRDefault="00E55676" w:rsidP="000E055E">
      <w:pPr>
        <w:rPr>
          <w:lang w:eastAsia="ja-JP"/>
        </w:rPr>
      </w:pPr>
      <w:r w:rsidRPr="004E0D50">
        <w:rPr>
          <w:lang w:eastAsia="ja-JP"/>
        </w:rPr>
        <w:t>The application form includes character limits</w:t>
      </w:r>
      <w:r w:rsidR="00E27740" w:rsidRPr="004E0D50">
        <w:rPr>
          <w:lang w:eastAsia="ja-JP"/>
        </w:rPr>
        <w:t xml:space="preserve"> for each criterion</w:t>
      </w:r>
      <w:r w:rsidRPr="004E0D50">
        <w:rPr>
          <w:lang w:eastAsia="ja-JP"/>
        </w:rPr>
        <w:t>. The application form will not accept characters beyond th</w:t>
      </w:r>
      <w:r w:rsidR="00E27740" w:rsidRPr="004E0D50">
        <w:rPr>
          <w:lang w:eastAsia="ja-JP"/>
        </w:rPr>
        <w:t>ese</w:t>
      </w:r>
      <w:r w:rsidRPr="004E0D50">
        <w:rPr>
          <w:lang w:eastAsia="ja-JP"/>
        </w:rPr>
        <w:t xml:space="preserve"> limit</w:t>
      </w:r>
      <w:r w:rsidR="00E27740" w:rsidRPr="004E0D50">
        <w:rPr>
          <w:lang w:eastAsia="ja-JP"/>
        </w:rPr>
        <w:t>s</w:t>
      </w:r>
      <w:r w:rsidRPr="004E0D50">
        <w:rPr>
          <w:lang w:eastAsia="ja-JP"/>
        </w:rPr>
        <w:t>.</w:t>
      </w:r>
      <w:r w:rsidR="00D17196" w:rsidRPr="004E0D50">
        <w:rPr>
          <w:lang w:eastAsia="ja-JP"/>
        </w:rPr>
        <w:t xml:space="preserve"> </w:t>
      </w:r>
    </w:p>
    <w:p w:rsidR="000E055E" w:rsidRPr="004E0D50" w:rsidRDefault="000E055E" w:rsidP="000E055E">
      <w:pPr>
        <w:rPr>
          <w:b/>
          <w:iCs/>
        </w:rPr>
      </w:pPr>
      <w:r w:rsidRPr="004E0D50">
        <w:rPr>
          <w:b/>
          <w:iCs/>
          <w:sz w:val="22"/>
          <w:szCs w:val="22"/>
        </w:rPr>
        <w:t>Criterion 1: Economic benefits</w:t>
      </w:r>
      <w:r w:rsidRPr="004E0D50">
        <w:rPr>
          <w:b/>
          <w:iCs/>
        </w:rPr>
        <w:t xml:space="preserve"> </w:t>
      </w:r>
      <w:r w:rsidRPr="004E0D50">
        <w:t>[weight</w:t>
      </w:r>
      <w:r w:rsidR="00E55676" w:rsidRPr="004E0D50">
        <w:t xml:space="preserve">ing of </w:t>
      </w:r>
      <w:r w:rsidR="00626AD6" w:rsidRPr="004E0D50">
        <w:t>4</w:t>
      </w:r>
      <w:r w:rsidR="00E55676" w:rsidRPr="004E0D50">
        <w:t>0</w:t>
      </w:r>
      <w:r w:rsidR="0014572E">
        <w:t xml:space="preserve"> per cent</w:t>
      </w:r>
      <w:r w:rsidRPr="004E0D50">
        <w:t>]</w:t>
      </w:r>
    </w:p>
    <w:p w:rsidR="000E055E" w:rsidRPr="004E0D50" w:rsidRDefault="00E55676" w:rsidP="000E055E">
      <w:pPr>
        <w:pStyle w:val="ListBullet"/>
        <w:numPr>
          <w:ilvl w:val="0"/>
          <w:numId w:val="0"/>
        </w:numPr>
        <w:rPr>
          <w:lang w:val="en-GB"/>
        </w:rPr>
      </w:pPr>
      <w:r w:rsidRPr="004E0D50">
        <w:rPr>
          <w:lang w:val="en-GB"/>
        </w:rPr>
        <w:t xml:space="preserve">In providing a response to this criterion, you must </w:t>
      </w:r>
      <w:r w:rsidR="001811B0" w:rsidRPr="004E0D50">
        <w:rPr>
          <w:lang w:val="en-GB"/>
        </w:rPr>
        <w:t xml:space="preserve">describe your project in detail, </w:t>
      </w:r>
      <w:r w:rsidR="00BE6496" w:rsidRPr="004E0D50">
        <w:rPr>
          <w:lang w:val="en-GB"/>
        </w:rPr>
        <w:t xml:space="preserve">identify which community your project relates to, specify the location of the activities, </w:t>
      </w:r>
      <w:r w:rsidR="001811B0" w:rsidRPr="004E0D50">
        <w:rPr>
          <w:lang w:val="en-GB"/>
        </w:rPr>
        <w:t xml:space="preserve">and </w:t>
      </w:r>
      <w:r w:rsidR="005C7FE8" w:rsidRPr="004E0D50">
        <w:rPr>
          <w:lang w:val="en-GB"/>
        </w:rPr>
        <w:t xml:space="preserve">describe </w:t>
      </w:r>
      <w:r w:rsidRPr="004E0D50">
        <w:rPr>
          <w:lang w:val="en-GB"/>
        </w:rPr>
        <w:t xml:space="preserve">how </w:t>
      </w:r>
      <w:r w:rsidR="001811B0" w:rsidRPr="004E0D50">
        <w:rPr>
          <w:lang w:val="en-GB"/>
        </w:rPr>
        <w:t>it</w:t>
      </w:r>
      <w:r w:rsidR="000E055E" w:rsidRPr="004E0D50">
        <w:rPr>
          <w:lang w:val="en-GB"/>
        </w:rPr>
        <w:t xml:space="preserve"> </w:t>
      </w:r>
      <w:r w:rsidRPr="004E0D50">
        <w:rPr>
          <w:lang w:val="en-GB"/>
        </w:rPr>
        <w:t xml:space="preserve">will </w:t>
      </w:r>
      <w:r w:rsidR="000E055E" w:rsidRPr="004E0D50">
        <w:rPr>
          <w:lang w:val="en-GB"/>
        </w:rPr>
        <w:t xml:space="preserve">deliver economic benefits that </w:t>
      </w:r>
      <w:r w:rsidR="007D2436" w:rsidRPr="004E0D50">
        <w:rPr>
          <w:lang w:val="en-GB"/>
        </w:rPr>
        <w:t>address</w:t>
      </w:r>
      <w:r w:rsidR="000E055E" w:rsidRPr="004E0D50">
        <w:rPr>
          <w:lang w:val="en-GB"/>
        </w:rPr>
        <w:t xml:space="preserve"> the impacts of water recovery </w:t>
      </w:r>
      <w:r w:rsidR="007D2436" w:rsidRPr="004E0D50">
        <w:rPr>
          <w:lang w:val="en-GB"/>
        </w:rPr>
        <w:t>o</w:t>
      </w:r>
      <w:r w:rsidR="000E055E" w:rsidRPr="004E0D50">
        <w:rPr>
          <w:lang w:val="en-GB"/>
        </w:rPr>
        <w:t>n the community</w:t>
      </w:r>
      <w:r w:rsidR="00714A2E" w:rsidRPr="004E0D50">
        <w:rPr>
          <w:lang w:val="en-GB"/>
        </w:rPr>
        <w:t>. Economic benefits may include how the project will</w:t>
      </w:r>
      <w:r w:rsidR="000E055E" w:rsidRPr="004E0D50">
        <w:rPr>
          <w:lang w:val="en-GB"/>
        </w:rPr>
        <w:t>:</w:t>
      </w:r>
    </w:p>
    <w:p w:rsidR="000E055E" w:rsidRPr="004E0D50" w:rsidRDefault="000E055E" w:rsidP="000E055E">
      <w:pPr>
        <w:pStyle w:val="ListBullet"/>
        <w:numPr>
          <w:ilvl w:val="0"/>
          <w:numId w:val="7"/>
        </w:numPr>
        <w:ind w:left="709" w:hanging="283"/>
      </w:pPr>
      <w:r w:rsidRPr="004E0D50">
        <w:t>diversify and strengthen an identified community’s economy</w:t>
      </w:r>
    </w:p>
    <w:p w:rsidR="000E055E" w:rsidRPr="004E0D50" w:rsidRDefault="000E055E" w:rsidP="000E055E">
      <w:pPr>
        <w:pStyle w:val="ListBullet"/>
        <w:numPr>
          <w:ilvl w:val="0"/>
          <w:numId w:val="7"/>
        </w:numPr>
        <w:ind w:left="709" w:hanging="283"/>
      </w:pPr>
      <w:r w:rsidRPr="004E0D50">
        <w:t>enhance resilience of the community to manage current and future economic challenges and changes and</w:t>
      </w:r>
    </w:p>
    <w:p w:rsidR="000E055E" w:rsidRPr="004E0D50" w:rsidRDefault="000E055E" w:rsidP="000E055E">
      <w:pPr>
        <w:pStyle w:val="ListBullet"/>
        <w:numPr>
          <w:ilvl w:val="0"/>
          <w:numId w:val="7"/>
        </w:numPr>
        <w:ind w:left="426" w:firstLine="0"/>
      </w:pPr>
      <w:r w:rsidRPr="004E0D50">
        <w:t>increase opportunities within the community for employment</w:t>
      </w:r>
      <w:r w:rsidR="00212182" w:rsidRPr="004E0D50">
        <w:t>.</w:t>
      </w:r>
    </w:p>
    <w:p w:rsidR="000E055E" w:rsidRPr="004E0D50" w:rsidRDefault="000E055E" w:rsidP="000E055E">
      <w:pPr>
        <w:rPr>
          <w:iCs/>
        </w:rPr>
      </w:pPr>
      <w:r w:rsidRPr="004E0D50">
        <w:rPr>
          <w:b/>
          <w:iCs/>
          <w:sz w:val="22"/>
          <w:szCs w:val="22"/>
        </w:rPr>
        <w:t>Criterion 2: Community support and benefit</w:t>
      </w:r>
      <w:r w:rsidRPr="004E0D50">
        <w:rPr>
          <w:b/>
          <w:iCs/>
        </w:rPr>
        <w:t xml:space="preserve"> </w:t>
      </w:r>
      <w:r w:rsidRPr="004E0D50">
        <w:t>[weight</w:t>
      </w:r>
      <w:r w:rsidR="00E55676" w:rsidRPr="004E0D50">
        <w:t xml:space="preserve">ing of </w:t>
      </w:r>
      <w:r w:rsidR="00626AD6" w:rsidRPr="004E0D50">
        <w:t>30</w:t>
      </w:r>
      <w:r w:rsidR="002C0EEA">
        <w:t xml:space="preserve"> per cent</w:t>
      </w:r>
      <w:r w:rsidR="00E55676" w:rsidRPr="004E0D50">
        <w:t>]</w:t>
      </w:r>
    </w:p>
    <w:p w:rsidR="000E055E" w:rsidRPr="004E0D50" w:rsidRDefault="00E55676" w:rsidP="000E055E">
      <w:pPr>
        <w:pStyle w:val="ListBullet"/>
        <w:numPr>
          <w:ilvl w:val="0"/>
          <w:numId w:val="0"/>
        </w:numPr>
        <w:rPr>
          <w:lang w:val="en-GB"/>
        </w:rPr>
      </w:pPr>
      <w:r w:rsidRPr="004E0D50">
        <w:rPr>
          <w:lang w:val="en-GB"/>
        </w:rPr>
        <w:t>In providing a response to this criterion you</w:t>
      </w:r>
      <w:r w:rsidRPr="004E0D50" w:rsidDel="00E55676">
        <w:rPr>
          <w:lang w:val="en-GB"/>
        </w:rPr>
        <w:t xml:space="preserve"> </w:t>
      </w:r>
      <w:r w:rsidRPr="004E0D50">
        <w:rPr>
          <w:lang w:val="en-GB"/>
        </w:rPr>
        <w:t xml:space="preserve">must </w:t>
      </w:r>
      <w:r w:rsidR="00EA09BB" w:rsidRPr="004E0D50">
        <w:rPr>
          <w:lang w:val="en-GB"/>
        </w:rPr>
        <w:t xml:space="preserve">describe </w:t>
      </w:r>
      <w:r w:rsidRPr="004E0D50">
        <w:rPr>
          <w:lang w:val="en-GB"/>
        </w:rPr>
        <w:t>how your p</w:t>
      </w:r>
      <w:r w:rsidR="000E055E" w:rsidRPr="004E0D50">
        <w:rPr>
          <w:lang w:val="en-GB"/>
        </w:rPr>
        <w:t>roject</w:t>
      </w:r>
      <w:r w:rsidRPr="004E0D50">
        <w:rPr>
          <w:lang w:val="en-GB"/>
        </w:rPr>
        <w:t xml:space="preserve"> will </w:t>
      </w:r>
      <w:r w:rsidR="001E132F" w:rsidRPr="004E0D50">
        <w:rPr>
          <w:lang w:val="en-GB"/>
        </w:rPr>
        <w:t xml:space="preserve">provide </w:t>
      </w:r>
      <w:r w:rsidR="000E055E" w:rsidRPr="004E0D50">
        <w:t xml:space="preserve">support </w:t>
      </w:r>
      <w:r w:rsidR="001E132F" w:rsidRPr="004E0D50">
        <w:t xml:space="preserve">for </w:t>
      </w:r>
      <w:r w:rsidR="000E055E" w:rsidRPr="004E0D50">
        <w:t xml:space="preserve">and benefit </w:t>
      </w:r>
      <w:r w:rsidR="009C6D00" w:rsidRPr="004E0D50">
        <w:t xml:space="preserve">to </w:t>
      </w:r>
      <w:r w:rsidR="000E055E" w:rsidRPr="004E0D50">
        <w:t xml:space="preserve">the community, as opposed to only individuals or enterprises within the community. </w:t>
      </w:r>
      <w:r w:rsidR="00762657" w:rsidRPr="004E0D50">
        <w:t>The community must also support projects</w:t>
      </w:r>
      <w:r w:rsidR="000E055E" w:rsidRPr="004E0D50">
        <w:t xml:space="preserve">. These two elements may be </w:t>
      </w:r>
      <w:r w:rsidR="000E055E" w:rsidRPr="004E0D50">
        <w:rPr>
          <w:lang w:val="en-GB"/>
        </w:rPr>
        <w:t>evidenced by:</w:t>
      </w:r>
    </w:p>
    <w:p w:rsidR="000E055E" w:rsidRPr="004E0D50" w:rsidRDefault="005C7FE8" w:rsidP="001811B0">
      <w:pPr>
        <w:pStyle w:val="ListBullet"/>
        <w:numPr>
          <w:ilvl w:val="0"/>
          <w:numId w:val="7"/>
        </w:numPr>
        <w:ind w:left="709" w:hanging="283"/>
      </w:pPr>
      <w:r w:rsidRPr="004E0D50">
        <w:t xml:space="preserve">a description of the </w:t>
      </w:r>
      <w:r w:rsidR="000E055E" w:rsidRPr="004E0D50">
        <w:t>linkages to relevant local economic development strategies</w:t>
      </w:r>
      <w:r w:rsidR="001811B0" w:rsidRPr="004E0D50">
        <w:t>, including the plans, priorities or challenges outlined in any relevant local, State or Australian Government policies</w:t>
      </w:r>
      <w:r w:rsidR="001811B0" w:rsidRPr="004E0D50" w:rsidDel="009C6D00">
        <w:t xml:space="preserve"> </w:t>
      </w:r>
      <w:r w:rsidR="001811B0" w:rsidRPr="004E0D50">
        <w:t>or other documentation that demonstrates that the project is a strategic priority</w:t>
      </w:r>
    </w:p>
    <w:p w:rsidR="000E055E" w:rsidRPr="004E0D50" w:rsidRDefault="000E055E" w:rsidP="000E055E">
      <w:pPr>
        <w:pStyle w:val="ListBullet"/>
        <w:numPr>
          <w:ilvl w:val="0"/>
          <w:numId w:val="7"/>
        </w:numPr>
        <w:ind w:left="709" w:hanging="283"/>
      </w:pPr>
      <w:r w:rsidRPr="004E0D50">
        <w:lastRenderedPageBreak/>
        <w:t>an analysis of the public benefit</w:t>
      </w:r>
    </w:p>
    <w:p w:rsidR="000E055E" w:rsidRPr="004E0D50" w:rsidRDefault="000E055E" w:rsidP="00D17196">
      <w:pPr>
        <w:pStyle w:val="ListBullet"/>
        <w:numPr>
          <w:ilvl w:val="0"/>
          <w:numId w:val="7"/>
        </w:numPr>
        <w:ind w:left="709" w:hanging="283"/>
      </w:pPr>
      <w:r w:rsidRPr="004E0D50">
        <w:t xml:space="preserve">written support from </w:t>
      </w:r>
      <w:r w:rsidR="009C6D00" w:rsidRPr="004E0D50">
        <w:t>key stakeholders,</w:t>
      </w:r>
      <w:r w:rsidRPr="004E0D50">
        <w:t xml:space="preserve"> including</w:t>
      </w:r>
      <w:r w:rsidR="009C6D00" w:rsidRPr="004E0D50">
        <w:t xml:space="preserve"> but not limited to</w:t>
      </w:r>
      <w:r w:rsidRPr="004E0D50">
        <w:t xml:space="preserve"> relevant local governments</w:t>
      </w:r>
      <w:r w:rsidR="009C6D00" w:rsidRPr="004E0D50">
        <w:t xml:space="preserve">, community stakeholders and </w:t>
      </w:r>
      <w:r w:rsidR="00A81FF6" w:rsidRPr="004E0D50">
        <w:t>I</w:t>
      </w:r>
      <w:r w:rsidR="009C6D00" w:rsidRPr="004E0D50">
        <w:t>ndigenous communities (</w:t>
      </w:r>
      <w:r w:rsidR="005C7FE8" w:rsidRPr="004E0D50">
        <w:t xml:space="preserve">you may include </w:t>
      </w:r>
      <w:r w:rsidR="009C6D00" w:rsidRPr="004E0D50">
        <w:t xml:space="preserve">up to five </w:t>
      </w:r>
      <w:r w:rsidR="00D17196" w:rsidRPr="004E0D50">
        <w:t>written letters of support</w:t>
      </w:r>
      <w:r w:rsidR="009C6D00" w:rsidRPr="004E0D50">
        <w:t>).</w:t>
      </w:r>
    </w:p>
    <w:p w:rsidR="000E055E" w:rsidRPr="004E0D50" w:rsidRDefault="000E055E" w:rsidP="000E055E">
      <w:pPr>
        <w:rPr>
          <w:iCs/>
        </w:rPr>
      </w:pPr>
      <w:r w:rsidRPr="004E0D50">
        <w:rPr>
          <w:b/>
          <w:iCs/>
          <w:sz w:val="22"/>
          <w:szCs w:val="22"/>
        </w:rPr>
        <w:t xml:space="preserve">Criterion </w:t>
      </w:r>
      <w:r w:rsidR="00066C0F" w:rsidRPr="004E0D50">
        <w:rPr>
          <w:b/>
          <w:iCs/>
          <w:sz w:val="22"/>
          <w:szCs w:val="22"/>
        </w:rPr>
        <w:t>3</w:t>
      </w:r>
      <w:r w:rsidRPr="004E0D50">
        <w:rPr>
          <w:b/>
          <w:iCs/>
          <w:sz w:val="22"/>
          <w:szCs w:val="22"/>
        </w:rPr>
        <w:t xml:space="preserve">: </w:t>
      </w:r>
      <w:r w:rsidR="00F54151" w:rsidRPr="004E0D50">
        <w:rPr>
          <w:b/>
          <w:iCs/>
          <w:sz w:val="22"/>
          <w:szCs w:val="22"/>
        </w:rPr>
        <w:t>Organisation</w:t>
      </w:r>
      <w:r w:rsidR="00F57201" w:rsidRPr="004E0D50">
        <w:rPr>
          <w:b/>
          <w:iCs/>
          <w:sz w:val="22"/>
          <w:szCs w:val="22"/>
        </w:rPr>
        <w:t>al</w:t>
      </w:r>
      <w:r w:rsidR="00F54151" w:rsidRPr="004E0D50">
        <w:rPr>
          <w:b/>
          <w:iCs/>
          <w:sz w:val="22"/>
          <w:szCs w:val="22"/>
        </w:rPr>
        <w:t xml:space="preserve"> Capability</w:t>
      </w:r>
      <w:r w:rsidRPr="004E0D50">
        <w:rPr>
          <w:b/>
          <w:iCs/>
          <w:sz w:val="22"/>
          <w:szCs w:val="22"/>
        </w:rPr>
        <w:t xml:space="preserve"> </w:t>
      </w:r>
      <w:r w:rsidRPr="004E0D50">
        <w:t>[weight</w:t>
      </w:r>
      <w:r w:rsidR="00E55676" w:rsidRPr="004E0D50">
        <w:t>ing</w:t>
      </w:r>
      <w:r w:rsidRPr="004E0D50">
        <w:t xml:space="preserve"> of </w:t>
      </w:r>
      <w:r w:rsidR="00626AD6" w:rsidRPr="004E0D50">
        <w:t>3</w:t>
      </w:r>
      <w:r w:rsidR="00E55676" w:rsidRPr="004E0D50">
        <w:t>0</w:t>
      </w:r>
      <w:r w:rsidR="00762657">
        <w:t xml:space="preserve"> per cent</w:t>
      </w:r>
      <w:r w:rsidRPr="004E0D50">
        <w:t>]</w:t>
      </w:r>
    </w:p>
    <w:p w:rsidR="000E055E" w:rsidRPr="004E0D50" w:rsidRDefault="00E55676" w:rsidP="000E055E">
      <w:pPr>
        <w:pStyle w:val="ListBullet"/>
        <w:numPr>
          <w:ilvl w:val="0"/>
          <w:numId w:val="0"/>
        </w:numPr>
        <w:rPr>
          <w:lang w:val="en-GB"/>
        </w:rPr>
      </w:pPr>
      <w:r w:rsidRPr="004E0D50">
        <w:rPr>
          <w:lang w:val="en-GB"/>
        </w:rPr>
        <w:t>In providing a response to this criterion you must include</w:t>
      </w:r>
      <w:r w:rsidR="000E055E" w:rsidRPr="004E0D50">
        <w:rPr>
          <w:lang w:val="en-GB"/>
        </w:rPr>
        <w:t>:</w:t>
      </w:r>
    </w:p>
    <w:p w:rsidR="000E055E" w:rsidRPr="004E0D50" w:rsidRDefault="000E055E" w:rsidP="000E055E">
      <w:pPr>
        <w:pStyle w:val="ListBullet"/>
        <w:numPr>
          <w:ilvl w:val="0"/>
          <w:numId w:val="7"/>
        </w:numPr>
        <w:ind w:left="709" w:hanging="283"/>
      </w:pPr>
      <w:r w:rsidRPr="004E0D50">
        <w:t>a detailed itemised budget, including contingency allowances</w:t>
      </w:r>
      <w:r w:rsidR="00EA09BB" w:rsidRPr="004E0D50">
        <w:t>, in the template provided</w:t>
      </w:r>
    </w:p>
    <w:p w:rsidR="000E055E" w:rsidRPr="004E0D50" w:rsidRDefault="001811B0" w:rsidP="000E055E">
      <w:pPr>
        <w:pStyle w:val="ListBullet"/>
        <w:numPr>
          <w:ilvl w:val="0"/>
          <w:numId w:val="7"/>
        </w:numPr>
        <w:ind w:left="709" w:hanging="283"/>
      </w:pPr>
      <w:r w:rsidRPr="004E0D50">
        <w:t xml:space="preserve">details </w:t>
      </w:r>
      <w:r w:rsidR="00E55676" w:rsidRPr="004E0D50">
        <w:t xml:space="preserve">of </w:t>
      </w:r>
      <w:r w:rsidR="00EA09BB" w:rsidRPr="004E0D50">
        <w:t xml:space="preserve">your proposed </w:t>
      </w:r>
      <w:r w:rsidR="000E055E" w:rsidRPr="004E0D50">
        <w:t>governance arrangements</w:t>
      </w:r>
      <w:r w:rsidR="00EA09BB" w:rsidRPr="004E0D50">
        <w:t xml:space="preserve"> and how you will manage the project</w:t>
      </w:r>
    </w:p>
    <w:p w:rsidR="000E055E" w:rsidRPr="004E0D50" w:rsidRDefault="005C7FE8" w:rsidP="000E055E">
      <w:pPr>
        <w:pStyle w:val="ListBullet"/>
        <w:numPr>
          <w:ilvl w:val="0"/>
          <w:numId w:val="7"/>
        </w:numPr>
        <w:ind w:left="709" w:hanging="283"/>
      </w:pPr>
      <w:r w:rsidRPr="004E0D50">
        <w:t>a summary of you</w:t>
      </w:r>
      <w:r w:rsidR="00F54151" w:rsidRPr="004E0D50">
        <w:t>r</w:t>
      </w:r>
      <w:r w:rsidRPr="004E0D50">
        <w:t xml:space="preserve"> </w:t>
      </w:r>
      <w:r w:rsidR="000E055E" w:rsidRPr="004E0D50">
        <w:t>plan to deliver the projects, including subcontracting arrangements</w:t>
      </w:r>
    </w:p>
    <w:p w:rsidR="00714A2E" w:rsidRPr="004E0D50" w:rsidRDefault="005C7FE8" w:rsidP="000E055E">
      <w:pPr>
        <w:pStyle w:val="ListBullet"/>
        <w:numPr>
          <w:ilvl w:val="0"/>
          <w:numId w:val="7"/>
        </w:numPr>
        <w:ind w:left="709" w:hanging="283"/>
      </w:pPr>
      <w:r w:rsidRPr="004E0D50">
        <w:t>a description of the</w:t>
      </w:r>
      <w:r w:rsidR="000E055E" w:rsidRPr="004E0D50">
        <w:t xml:space="preserve"> </w:t>
      </w:r>
      <w:r w:rsidR="00DE7EA2" w:rsidRPr="004E0D50">
        <w:t xml:space="preserve">experience of the </w:t>
      </w:r>
      <w:r w:rsidR="000E055E" w:rsidRPr="004E0D50">
        <w:t xml:space="preserve">personnel </w:t>
      </w:r>
      <w:r w:rsidR="00DE7EA2" w:rsidRPr="004E0D50">
        <w:t>who will be</w:t>
      </w:r>
      <w:r w:rsidR="000E055E" w:rsidRPr="004E0D50">
        <w:t xml:space="preserve"> delivering and managing </w:t>
      </w:r>
      <w:r w:rsidR="00DE7EA2" w:rsidRPr="004E0D50">
        <w:t xml:space="preserve">the </w:t>
      </w:r>
      <w:r w:rsidR="000E055E" w:rsidRPr="004E0D50">
        <w:t>project</w:t>
      </w:r>
      <w:r w:rsidR="00DE7EA2" w:rsidRPr="004E0D50">
        <w:t>/</w:t>
      </w:r>
      <w:r w:rsidR="000E055E" w:rsidRPr="004E0D50">
        <w:t>s</w:t>
      </w:r>
      <w:r w:rsidR="00F57201" w:rsidRPr="004E0D50">
        <w:t>.</w:t>
      </w:r>
    </w:p>
    <w:p w:rsidR="000E055E" w:rsidRPr="004E0D50" w:rsidRDefault="000E055E" w:rsidP="00384E16">
      <w:pPr>
        <w:pStyle w:val="Heading2"/>
        <w:rPr>
          <w:color w:val="auto"/>
        </w:rPr>
      </w:pPr>
      <w:bookmarkStart w:id="59" w:name="_Toc536623345"/>
      <w:r w:rsidRPr="004E0D50">
        <w:rPr>
          <w:color w:val="auto"/>
        </w:rPr>
        <w:t>How to apply</w:t>
      </w:r>
      <w:bookmarkEnd w:id="59"/>
    </w:p>
    <w:p w:rsidR="000E055E" w:rsidRPr="004E0D50" w:rsidRDefault="000E055E" w:rsidP="000E055E">
      <w:pPr>
        <w:rPr>
          <w:lang w:val="en"/>
        </w:rPr>
      </w:pPr>
      <w:r w:rsidRPr="004E0D50">
        <w:rPr>
          <w:lang w:val="en"/>
        </w:rPr>
        <w:t>Before applying, you must read and understand these guidelines, the terms and conditions, sample grant agreement, and Questions and Answers.</w:t>
      </w:r>
    </w:p>
    <w:p w:rsidR="000E055E" w:rsidRPr="004E0D50" w:rsidRDefault="000E055E" w:rsidP="000E055E">
      <w:r w:rsidRPr="004E0D50">
        <w:t xml:space="preserve">These documents are </w:t>
      </w:r>
      <w:r w:rsidR="00DE7EA2" w:rsidRPr="004E0D50">
        <w:t xml:space="preserve">available </w:t>
      </w:r>
      <w:r w:rsidRPr="004E0D50">
        <w:t xml:space="preserve">at </w:t>
      </w:r>
      <w:hyperlink r:id="rId26" w:history="1">
        <w:r w:rsidRPr="004E0D50">
          <w:rPr>
            <w:rStyle w:val="Hyperlink"/>
            <w:color w:val="auto"/>
          </w:rPr>
          <w:t>GrantConnect</w:t>
        </w:r>
      </w:hyperlink>
      <w:r w:rsidRPr="004E0D50">
        <w:t xml:space="preserve"> </w:t>
      </w:r>
      <w:r w:rsidR="00DE7EA2" w:rsidRPr="004E0D50">
        <w:t xml:space="preserve">and the </w:t>
      </w:r>
      <w:hyperlink r:id="rId27" w:history="1">
        <w:r w:rsidRPr="004E0D50">
          <w:rPr>
            <w:rStyle w:val="Hyperlink"/>
            <w:color w:val="auto"/>
          </w:rPr>
          <w:t>Community Grants Hub</w:t>
        </w:r>
      </w:hyperlink>
      <w:r w:rsidRPr="004E0D50">
        <w:t xml:space="preserve"> websites. Any alterations and addenda</w:t>
      </w:r>
      <w:r w:rsidRPr="004E0D50">
        <w:rPr>
          <w:rStyle w:val="FootnoteReference"/>
        </w:rPr>
        <w:footnoteReference w:id="8"/>
      </w:r>
      <w:r w:rsidRPr="004E0D50">
        <w:t xml:space="preserve"> will be published on </w:t>
      </w:r>
      <w:hyperlink r:id="rId28" w:history="1">
        <w:r w:rsidR="00DE7EA2" w:rsidRPr="004E0D50">
          <w:rPr>
            <w:rStyle w:val="Hyperlink"/>
            <w:color w:val="auto"/>
          </w:rPr>
          <w:t>GrantConnect</w:t>
        </w:r>
      </w:hyperlink>
      <w:r w:rsidRPr="004E0D50">
        <w:t xml:space="preserve"> and by registering on this website, you will be automatically notified </w:t>
      </w:r>
      <w:r w:rsidR="00212182" w:rsidRPr="004E0D50">
        <w:t xml:space="preserve">of </w:t>
      </w:r>
      <w:r w:rsidRPr="004E0D50">
        <w:t xml:space="preserve">any changes. </w:t>
      </w:r>
      <w:hyperlink r:id="rId29" w:history="1">
        <w:r w:rsidR="00DE7EA2" w:rsidRPr="004E0D50">
          <w:rPr>
            <w:rStyle w:val="Hyperlink"/>
            <w:color w:val="auto"/>
          </w:rPr>
          <w:t>GrantConnect</w:t>
        </w:r>
      </w:hyperlink>
      <w:r w:rsidRPr="004E0D50">
        <w:t xml:space="preserve"> is the authoritative source for grants information.</w:t>
      </w:r>
    </w:p>
    <w:p w:rsidR="000E055E" w:rsidRPr="004E0D50" w:rsidRDefault="00E55676" w:rsidP="000E055E">
      <w:r w:rsidRPr="004E0D50">
        <w:t xml:space="preserve">A separate application form must be submitted for each project. </w:t>
      </w:r>
      <w:r w:rsidR="00087C04" w:rsidRPr="004E0D50">
        <w:t xml:space="preserve">You may submit more than one application form for each </w:t>
      </w:r>
      <w:r w:rsidR="00F57201" w:rsidRPr="004E0D50">
        <w:t>community</w:t>
      </w:r>
      <w:r w:rsidR="00087C04" w:rsidRPr="004E0D50">
        <w:t xml:space="preserve">. </w:t>
      </w:r>
      <w:r w:rsidRPr="004E0D50">
        <w:t xml:space="preserve">If more than one application is submitted for the same project </w:t>
      </w:r>
      <w:r w:rsidR="00AE1CAC" w:rsidRPr="004E0D50">
        <w:t xml:space="preserve">from the same applicant </w:t>
      </w:r>
      <w:r w:rsidRPr="004E0D50">
        <w:t>the latest accepted application form will progress.</w:t>
      </w:r>
      <w:r w:rsidR="000E055E" w:rsidRPr="004E0D50">
        <w:t xml:space="preserve"> </w:t>
      </w:r>
    </w:p>
    <w:p w:rsidR="000E055E" w:rsidRPr="004E0D50" w:rsidRDefault="000E055E" w:rsidP="000E055E">
      <w:pPr>
        <w:spacing w:after="80"/>
        <w:rPr>
          <w:iCs/>
        </w:rPr>
      </w:pPr>
      <w:r w:rsidRPr="004E0D50">
        <w:rPr>
          <w:iCs/>
        </w:rPr>
        <w:t>To apply you must:</w:t>
      </w:r>
    </w:p>
    <w:p w:rsidR="000E055E" w:rsidRPr="004E0D50" w:rsidRDefault="000E055E" w:rsidP="00DE7EA2">
      <w:pPr>
        <w:numPr>
          <w:ilvl w:val="0"/>
          <w:numId w:val="7"/>
        </w:numPr>
        <w:spacing w:after="80"/>
        <w:rPr>
          <w:iCs/>
        </w:rPr>
      </w:pPr>
      <w:r w:rsidRPr="004E0D50">
        <w:rPr>
          <w:iCs/>
        </w:rPr>
        <w:t>complete the online application form</w:t>
      </w:r>
    </w:p>
    <w:p w:rsidR="000E055E" w:rsidRPr="004E0D50" w:rsidRDefault="000E055E" w:rsidP="000E055E">
      <w:pPr>
        <w:numPr>
          <w:ilvl w:val="0"/>
          <w:numId w:val="7"/>
        </w:numPr>
        <w:spacing w:after="80"/>
        <w:rPr>
          <w:iCs/>
        </w:rPr>
      </w:pPr>
      <w:r w:rsidRPr="004E0D50">
        <w:rPr>
          <w:iCs/>
        </w:rPr>
        <w:t>provide all the information requested</w:t>
      </w:r>
    </w:p>
    <w:p w:rsidR="000E055E" w:rsidRPr="004E0D50" w:rsidRDefault="000E055E" w:rsidP="000E055E">
      <w:pPr>
        <w:numPr>
          <w:ilvl w:val="0"/>
          <w:numId w:val="7"/>
        </w:numPr>
        <w:spacing w:after="80"/>
        <w:rPr>
          <w:iCs/>
        </w:rPr>
      </w:pPr>
      <w:r w:rsidRPr="004E0D50">
        <w:rPr>
          <w:iCs/>
        </w:rPr>
        <w:t>address all eligibility criteria and assessment criteria</w:t>
      </w:r>
    </w:p>
    <w:p w:rsidR="000E055E" w:rsidRPr="004E0D50" w:rsidRDefault="000E055E" w:rsidP="000E055E">
      <w:pPr>
        <w:numPr>
          <w:ilvl w:val="0"/>
          <w:numId w:val="7"/>
        </w:numPr>
        <w:spacing w:after="80"/>
        <w:rPr>
          <w:iCs/>
        </w:rPr>
      </w:pPr>
      <w:r w:rsidRPr="004E0D50">
        <w:rPr>
          <w:iCs/>
        </w:rPr>
        <w:t>include all necessary attachments</w:t>
      </w:r>
    </w:p>
    <w:p w:rsidR="00A529F5" w:rsidRPr="00A529F5" w:rsidRDefault="000E055E" w:rsidP="004A28BA">
      <w:pPr>
        <w:numPr>
          <w:ilvl w:val="0"/>
          <w:numId w:val="7"/>
        </w:numPr>
        <w:spacing w:after="80"/>
      </w:pPr>
      <w:r w:rsidRPr="00A529F5">
        <w:rPr>
          <w:iCs/>
        </w:rPr>
        <w:t xml:space="preserve">submit your application/s to the Community Grants Hub by </w:t>
      </w:r>
      <w:r w:rsidR="00F54151" w:rsidRPr="00A529F5">
        <w:rPr>
          <w:iCs/>
        </w:rPr>
        <w:t>11</w:t>
      </w:r>
      <w:r w:rsidRPr="00A529F5">
        <w:rPr>
          <w:iCs/>
        </w:rPr>
        <w:t xml:space="preserve">.00PM </w:t>
      </w:r>
      <w:r w:rsidR="00A0246A" w:rsidRPr="00A529F5">
        <w:rPr>
          <w:iCs/>
        </w:rPr>
        <w:t>AEDT</w:t>
      </w:r>
      <w:r w:rsidRPr="00A529F5">
        <w:rPr>
          <w:iCs/>
        </w:rPr>
        <w:t xml:space="preserve"> on </w:t>
      </w:r>
      <w:r w:rsidR="00A529F5" w:rsidRPr="00A529F5">
        <w:rPr>
          <w:iCs/>
        </w:rPr>
        <w:t>10/03/2019</w:t>
      </w:r>
      <w:r w:rsidR="00A529F5">
        <w:rPr>
          <w:iCs/>
        </w:rPr>
        <w:t>.</w:t>
      </w:r>
    </w:p>
    <w:p w:rsidR="000E055E" w:rsidRPr="004E0D50" w:rsidRDefault="000E055E" w:rsidP="00A529F5">
      <w:pPr>
        <w:spacing w:after="80"/>
      </w:pPr>
      <w:r w:rsidRPr="004E0D50">
        <w:t>We will not provide application forms or accept applications for this grant opportunity by fax or mail.</w:t>
      </w:r>
    </w:p>
    <w:p w:rsidR="000E055E" w:rsidRPr="004E0D50" w:rsidRDefault="000E055E" w:rsidP="000E055E">
      <w:r w:rsidRPr="004E0D50">
        <w:t>The application form includes help information. You are responsible for making sure your application is complete and accurate. Giving false or misleading information is a serious offence under the Criminal Code 1995 and we will investigate any false or misleading information and may exclude your application from further consideration.</w:t>
      </w:r>
    </w:p>
    <w:p w:rsidR="000E055E" w:rsidRPr="004E0D50" w:rsidRDefault="000E055E" w:rsidP="000E055E">
      <w:r w:rsidRPr="004E0D50">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or email </w:t>
      </w:r>
      <w:hyperlink r:id="rId30" w:history="1">
        <w:r w:rsidR="00BE6570" w:rsidRPr="004E0D50">
          <w:rPr>
            <w:rStyle w:val="Hyperlink"/>
            <w:color w:val="auto"/>
          </w:rPr>
          <w:t>support@communitygrants.gov.au</w:t>
        </w:r>
      </w:hyperlink>
      <w:r w:rsidR="00BE6570" w:rsidRPr="004E0D50">
        <w:t xml:space="preserve">. </w:t>
      </w:r>
      <w:r w:rsidRPr="004E0D50">
        <w:t>The Community Grants Hub do not have to accept any additional information, or requests from you to correct your application after the closing time.</w:t>
      </w:r>
    </w:p>
    <w:p w:rsidR="000E055E" w:rsidRPr="004E0D50" w:rsidRDefault="000E055E" w:rsidP="000E055E">
      <w:r w:rsidRPr="004E0D50">
        <w:t xml:space="preserve">You cannot change your application after the closing date and time. </w:t>
      </w:r>
    </w:p>
    <w:p w:rsidR="000E055E" w:rsidRPr="004E0D50" w:rsidRDefault="000E055E" w:rsidP="000E055E">
      <w:r w:rsidRPr="004E0D50">
        <w:lastRenderedPageBreak/>
        <w:t>If we find an error or something missing, we may ask you for clarification or additional information</w:t>
      </w:r>
      <w:r w:rsidR="00D76899" w:rsidRPr="004E0D50">
        <w:t xml:space="preserve">. </w:t>
      </w:r>
      <w:r w:rsidRPr="004E0D50">
        <w:t xml:space="preserve">This will not change the nature of your application. However, we can refuse to accept any additional information from you that would change your application after the closing time. </w:t>
      </w:r>
    </w:p>
    <w:p w:rsidR="000E055E" w:rsidRPr="004E0D50" w:rsidRDefault="000E055E" w:rsidP="000E055E">
      <w:r w:rsidRPr="004E0D50">
        <w:t xml:space="preserve">You should keep a copy of your application and any supporting documents. </w:t>
      </w:r>
    </w:p>
    <w:p w:rsidR="000E055E" w:rsidRPr="004E0D50" w:rsidRDefault="000E055E" w:rsidP="000E055E">
      <w:r w:rsidRPr="004E0D50">
        <w:t>You will receive an automated notification acknowledging the receipt of your application.</w:t>
      </w:r>
    </w:p>
    <w:p w:rsidR="000E055E" w:rsidRPr="004E0D50" w:rsidRDefault="000E055E" w:rsidP="008F0B87">
      <w:pPr>
        <w:pStyle w:val="Heading3"/>
      </w:pPr>
      <w:bookmarkStart w:id="60" w:name="_Toc536623346"/>
      <w:r w:rsidRPr="004E0D50">
        <w:t>Attachments to the application</w:t>
      </w:r>
      <w:bookmarkEnd w:id="60"/>
    </w:p>
    <w:p w:rsidR="00D76899" w:rsidRPr="004E0D50" w:rsidRDefault="000E055E" w:rsidP="000E055E">
      <w:r w:rsidRPr="004E0D50">
        <w:t xml:space="preserve">All of the following document/s </w:t>
      </w:r>
      <w:r w:rsidR="00D76899" w:rsidRPr="004E0D50">
        <w:t>should</w:t>
      </w:r>
      <w:r w:rsidRPr="004E0D50">
        <w:t xml:space="preserve"> be attached to your application for it to be considered compliant and for it to proceed to assessment. Templates are provided </w:t>
      </w:r>
      <w:r w:rsidR="00A14AC9" w:rsidRPr="004E0D50">
        <w:t xml:space="preserve">where appropriate </w:t>
      </w:r>
      <w:r w:rsidR="00087C04" w:rsidRPr="004E0D50">
        <w:t xml:space="preserve">to </w:t>
      </w:r>
      <w:r w:rsidR="00BC577E">
        <w:t>help</w:t>
      </w:r>
      <w:r w:rsidR="00087C04" w:rsidRPr="004E0D50">
        <w:t xml:space="preserve"> you with developing your application</w:t>
      </w:r>
      <w:r w:rsidRPr="004E0D50">
        <w:t xml:space="preserve"> as specified</w:t>
      </w:r>
      <w:r w:rsidR="00087C04" w:rsidRPr="004E0D50">
        <w:t xml:space="preserve"> below</w:t>
      </w:r>
      <w:r w:rsidRPr="004E0D50">
        <w:t>:</w:t>
      </w:r>
    </w:p>
    <w:p w:rsidR="00EA09BB" w:rsidRPr="004E0D50" w:rsidRDefault="00EA09BB" w:rsidP="00EA09BB">
      <w:pPr>
        <w:pStyle w:val="ListParagraph"/>
        <w:numPr>
          <w:ilvl w:val="0"/>
          <w:numId w:val="29"/>
        </w:numPr>
      </w:pPr>
      <w:r w:rsidRPr="004E0D50">
        <w:t>a project proposal, including description of the proposed activity, resourcing, justification for grant amount, and outline of plan for project and risk management</w:t>
      </w:r>
    </w:p>
    <w:p w:rsidR="00EA09BB" w:rsidRPr="004E0D50" w:rsidRDefault="00EA09BB" w:rsidP="00EA09BB">
      <w:pPr>
        <w:pStyle w:val="ListParagraph"/>
        <w:numPr>
          <w:ilvl w:val="0"/>
          <w:numId w:val="29"/>
        </w:numPr>
      </w:pPr>
      <w:r w:rsidRPr="004E0D50">
        <w:t>project budget – a template is provided for your use in the grant opportunity documents</w:t>
      </w:r>
    </w:p>
    <w:p w:rsidR="00EA09BB" w:rsidRPr="004E0D50" w:rsidRDefault="00A14AC9" w:rsidP="00EA09BB">
      <w:pPr>
        <w:pStyle w:val="ListParagraph"/>
        <w:numPr>
          <w:ilvl w:val="0"/>
          <w:numId w:val="29"/>
        </w:numPr>
      </w:pPr>
      <w:r w:rsidRPr="004E0D50">
        <w:t>c</w:t>
      </w:r>
      <w:r w:rsidR="00EA09BB" w:rsidRPr="004E0D50">
        <w:t>opies of written support as requested in Section</w:t>
      </w:r>
      <w:r w:rsidR="00940135">
        <w:t xml:space="preserve"> 6 Criteria 2</w:t>
      </w:r>
      <w:r w:rsidR="00EA09BB" w:rsidRPr="004E0D50">
        <w:t xml:space="preserve"> – consolidated into a single attachment</w:t>
      </w:r>
      <w:r w:rsidR="00AE1CAC" w:rsidRPr="004E0D50">
        <w:t>.</w:t>
      </w:r>
    </w:p>
    <w:p w:rsidR="000E055E" w:rsidRPr="004E0D50" w:rsidRDefault="000E055E" w:rsidP="000E055E">
      <w:r w:rsidRPr="004E0D50">
        <w:t xml:space="preserve">If a mandatory template is not used your application will be considered non-compliant and will not proceed to assessment. </w:t>
      </w:r>
    </w:p>
    <w:p w:rsidR="000E055E" w:rsidRPr="004E0D50" w:rsidRDefault="000E055E" w:rsidP="000E055E">
      <w:r w:rsidRPr="004E0D50">
        <w:t xml:space="preserve">You must attach supporting documentation according to the instructions provided within the application form. You should only attach requested documents. We will not consider information in attachments we have not asked for. </w:t>
      </w:r>
    </w:p>
    <w:p w:rsidR="000E055E" w:rsidRPr="004E0D50" w:rsidRDefault="000E055E" w:rsidP="000E055E">
      <w:r w:rsidRPr="004E0D50">
        <w:rPr>
          <w:b/>
        </w:rPr>
        <w:t>Please note</w:t>
      </w:r>
      <w:r w:rsidRPr="004E0D50">
        <w:t xml:space="preserve">: There is a 2mb limit for each attachment. </w:t>
      </w:r>
    </w:p>
    <w:p w:rsidR="000E055E" w:rsidRPr="004E0D50" w:rsidRDefault="000E055E" w:rsidP="008F0B87">
      <w:pPr>
        <w:pStyle w:val="Heading3"/>
      </w:pPr>
      <w:bookmarkStart w:id="61" w:name="_Toc536623347"/>
      <w:r w:rsidRPr="004E0D50">
        <w:t>Joint consortia applications</w:t>
      </w:r>
      <w:bookmarkEnd w:id="61"/>
    </w:p>
    <w:p w:rsidR="000E055E" w:rsidRPr="004E0D50" w:rsidRDefault="000E055E" w:rsidP="000E055E">
      <w:r w:rsidRPr="004E0D50">
        <w:t xml:space="preserve">We recognise that some eligible organisations may want to join as a group to deliver a project or </w:t>
      </w:r>
      <w:r w:rsidR="00212182" w:rsidRPr="004E0D50">
        <w:t xml:space="preserve">eligible organisations may wish to </w:t>
      </w:r>
      <w:r w:rsidR="003F3106" w:rsidRPr="004E0D50">
        <w:t>collaborate</w:t>
      </w:r>
      <w:r w:rsidRPr="004E0D50">
        <w:t xml:space="preserve"> with other organisations</w:t>
      </w:r>
      <w:r w:rsidR="00212182" w:rsidRPr="004E0D50">
        <w:t xml:space="preserve"> that may not be eligible</w:t>
      </w:r>
      <w:r w:rsidRPr="004E0D50">
        <w:t xml:space="preserve">. </w:t>
      </w:r>
    </w:p>
    <w:p w:rsidR="000E055E" w:rsidRPr="004E0D50" w:rsidRDefault="000E055E" w:rsidP="000E055E">
      <w:r w:rsidRPr="004E0D50">
        <w:t>In these circumstances, you must appoint a ‘lead organisation’</w:t>
      </w:r>
      <w:r w:rsidR="00212182" w:rsidRPr="004E0D50">
        <w:t xml:space="preserve"> that is eligible for funding</w:t>
      </w:r>
      <w:r w:rsidRPr="004E0D50">
        <w:t xml:space="preserve">. Only the lead organisation can apply and enter into a grant agreement with </w:t>
      </w:r>
      <w:r w:rsidR="007E17A1" w:rsidRPr="004E0D50">
        <w:t>us</w:t>
      </w:r>
      <w:r w:rsidRPr="004E0D50">
        <w:t xml:space="preserve">. The application </w:t>
      </w:r>
      <w:r w:rsidR="007E17A1" w:rsidRPr="004E0D50">
        <w:t xml:space="preserve">should </w:t>
      </w:r>
      <w:r w:rsidRPr="004E0D50">
        <w:t>identify all other members of the proposed group</w:t>
      </w:r>
      <w:r w:rsidR="00212182" w:rsidRPr="004E0D50">
        <w:t xml:space="preserve"> as well as the ‘lead organisation’</w:t>
      </w:r>
      <w:r w:rsidRPr="004E0D50">
        <w:t>.</w:t>
      </w:r>
    </w:p>
    <w:p w:rsidR="000E055E" w:rsidRPr="004E0D50" w:rsidRDefault="000E055E" w:rsidP="000E055E">
      <w:r w:rsidRPr="004E0D50">
        <w:t xml:space="preserve">You must have a formal arrangement (for example, a memorandum of understanding) in place with all partner organisations prior to execution of an agreement with </w:t>
      </w:r>
      <w:r w:rsidR="007E17A1" w:rsidRPr="004E0D50">
        <w:t>us</w:t>
      </w:r>
      <w:r w:rsidRPr="004E0D50">
        <w:t xml:space="preserve">. </w:t>
      </w:r>
    </w:p>
    <w:p w:rsidR="000E055E" w:rsidRPr="004E0D50" w:rsidRDefault="000E055E" w:rsidP="008F0B87">
      <w:pPr>
        <w:pStyle w:val="Heading3"/>
      </w:pPr>
      <w:bookmarkStart w:id="62" w:name="_Toc536623348"/>
      <w:r w:rsidRPr="004E0D50">
        <w:t>Timing of grant opportunity processes</w:t>
      </w:r>
      <w:bookmarkEnd w:id="62"/>
    </w:p>
    <w:p w:rsidR="000E055E" w:rsidRPr="004E0D50" w:rsidRDefault="000E055E" w:rsidP="000E055E">
      <w:r w:rsidRPr="004E0D50">
        <w:t xml:space="preserve">You must submit an application between the published opening and closing dates. </w:t>
      </w:r>
    </w:p>
    <w:p w:rsidR="000E055E" w:rsidRPr="004E0D50" w:rsidRDefault="000E055E" w:rsidP="000E055E">
      <w:pPr>
        <w:rPr>
          <w:b/>
        </w:rPr>
      </w:pPr>
      <w:r w:rsidRPr="004E0D50">
        <w:rPr>
          <w:b/>
        </w:rPr>
        <w:t xml:space="preserve">Late applications </w:t>
      </w:r>
    </w:p>
    <w:p w:rsidR="000E055E" w:rsidRPr="004E0D50" w:rsidRDefault="000E055E" w:rsidP="000E055E">
      <w:r w:rsidRPr="004E0D50">
        <w:t>We will not accept late applications unless an applicant has experienced exceptional circumstances that prevent the submission of the application. Broadly, exceptional circumstances are events characterised by one or more of the following:</w:t>
      </w:r>
    </w:p>
    <w:p w:rsidR="000E055E" w:rsidRPr="004E0D50" w:rsidRDefault="000E055E" w:rsidP="000E055E">
      <w:pPr>
        <w:pStyle w:val="ListParagraph"/>
        <w:numPr>
          <w:ilvl w:val="0"/>
          <w:numId w:val="23"/>
        </w:numPr>
        <w:rPr>
          <w:rFonts w:cs="Arial"/>
          <w:szCs w:val="22"/>
        </w:rPr>
      </w:pPr>
      <w:r w:rsidRPr="004E0D50">
        <w:rPr>
          <w:rFonts w:cs="Arial"/>
          <w:szCs w:val="22"/>
        </w:rPr>
        <w:t>reasonably unforeseeable</w:t>
      </w:r>
    </w:p>
    <w:p w:rsidR="000E055E" w:rsidRPr="004E0D50" w:rsidRDefault="000E055E" w:rsidP="000E055E">
      <w:pPr>
        <w:pStyle w:val="ListParagraph"/>
        <w:numPr>
          <w:ilvl w:val="0"/>
          <w:numId w:val="23"/>
        </w:numPr>
        <w:rPr>
          <w:rFonts w:cs="Arial"/>
          <w:szCs w:val="22"/>
        </w:rPr>
      </w:pPr>
      <w:r w:rsidRPr="004E0D50">
        <w:rPr>
          <w:rFonts w:cs="Arial"/>
          <w:szCs w:val="22"/>
        </w:rPr>
        <w:t>beyond the applicant’s control</w:t>
      </w:r>
    </w:p>
    <w:p w:rsidR="000E055E" w:rsidRPr="004E0D50" w:rsidRDefault="000E055E" w:rsidP="000E055E">
      <w:pPr>
        <w:pStyle w:val="ListParagraph"/>
        <w:numPr>
          <w:ilvl w:val="0"/>
          <w:numId w:val="23"/>
        </w:numPr>
        <w:rPr>
          <w:rFonts w:cs="Arial"/>
          <w:szCs w:val="22"/>
        </w:rPr>
      </w:pPr>
      <w:r w:rsidRPr="004E0D50">
        <w:rPr>
          <w:rFonts w:cs="Arial"/>
          <w:szCs w:val="22"/>
        </w:rPr>
        <w:t xml:space="preserve">unable to be managed or resolved within the application period. </w:t>
      </w:r>
    </w:p>
    <w:p w:rsidR="000E055E" w:rsidRPr="004E0D50" w:rsidRDefault="000E055E" w:rsidP="000E055E">
      <w:pPr>
        <w:rPr>
          <w:rFonts w:ascii="Calibri" w:hAnsi="Calibri" w:cs="Calibri"/>
          <w:sz w:val="22"/>
          <w:szCs w:val="22"/>
        </w:rPr>
      </w:pPr>
      <w:r w:rsidRPr="004E0D50">
        <w:t>Exceptional circumstances will be considered on their merits and in accordance with probity principles.</w:t>
      </w:r>
    </w:p>
    <w:p w:rsidR="000E055E" w:rsidRPr="004E0D50" w:rsidRDefault="003F3106" w:rsidP="00940135">
      <w:pPr>
        <w:spacing w:before="0" w:after="0" w:line="240" w:lineRule="auto"/>
        <w:rPr>
          <w:b/>
          <w:bCs/>
        </w:rPr>
      </w:pPr>
      <w:r>
        <w:rPr>
          <w:b/>
          <w:bCs/>
        </w:rPr>
        <w:br w:type="page"/>
      </w:r>
      <w:r w:rsidR="000E055E" w:rsidRPr="004E0D50">
        <w:rPr>
          <w:b/>
          <w:bCs/>
        </w:rPr>
        <w:lastRenderedPageBreak/>
        <w:t>How to lodge a late application</w:t>
      </w:r>
    </w:p>
    <w:p w:rsidR="000E055E" w:rsidRPr="004E0D50" w:rsidRDefault="000E055E" w:rsidP="000E055E">
      <w:r w:rsidRPr="004E0D50">
        <w:t xml:space="preserve">Applicants seeking to submit a late application will be required to submit a late application request to the Community Grants Hub via </w:t>
      </w:r>
      <w:hyperlink r:id="rId31" w:history="1">
        <w:r w:rsidRPr="004E0D50">
          <w:rPr>
            <w:rStyle w:val="Hyperlink"/>
            <w:color w:val="auto"/>
          </w:rPr>
          <w:t>support@communitygrants.gov.au</w:t>
        </w:r>
      </w:hyperlink>
      <w:r w:rsidRPr="004E0D50">
        <w:t>.</w:t>
      </w:r>
    </w:p>
    <w:p w:rsidR="000E055E" w:rsidRPr="004E0D50" w:rsidRDefault="000E055E" w:rsidP="000E055E">
      <w:pPr>
        <w:pStyle w:val="BodyText"/>
        <w:rPr>
          <w:sz w:val="20"/>
        </w:rPr>
      </w:pPr>
      <w:r w:rsidRPr="004E0D50">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0E055E" w:rsidRPr="004E0D50" w:rsidRDefault="000E055E" w:rsidP="000E055E">
      <w:r w:rsidRPr="004E0D50">
        <w:t xml:space="preserve">Written requests to lodge a late application will only be accepted within three days after the grant opportunity has closed. </w:t>
      </w:r>
    </w:p>
    <w:p w:rsidR="000E055E" w:rsidRPr="004E0D50" w:rsidRDefault="003F3106" w:rsidP="000E055E">
      <w:pPr>
        <w:rPr>
          <w:rFonts w:ascii="Times New Roman" w:hAnsi="Times New Roman"/>
          <w:sz w:val="24"/>
          <w:szCs w:val="24"/>
          <w:lang w:eastAsia="en-AU"/>
        </w:rPr>
      </w:pPr>
      <w:r>
        <w:t>The d</w:t>
      </w:r>
      <w:r w:rsidR="000E055E" w:rsidRPr="004E0D50">
        <w:t>elegate or their appointed representative</w:t>
      </w:r>
      <w:r w:rsidR="00940135">
        <w:rPr>
          <w:rStyle w:val="FootnoteReference"/>
        </w:rPr>
        <w:footnoteReference w:id="9"/>
      </w:r>
      <w:r w:rsidR="00940135">
        <w:t xml:space="preserve"> </w:t>
      </w:r>
      <w:r w:rsidR="000E055E" w:rsidRPr="004E0D50">
        <w:t>will determine whether a late application will be accepted. The decision of the delegate will be final and not be subject to a review or appeals process.</w:t>
      </w:r>
    </w:p>
    <w:p w:rsidR="000E055E" w:rsidRPr="004E0D50" w:rsidRDefault="000E055E" w:rsidP="000E055E">
      <w:pPr>
        <w:rPr>
          <w:sz w:val="22"/>
          <w:szCs w:val="22"/>
        </w:rPr>
      </w:pPr>
      <w:r w:rsidRPr="004E0D50">
        <w:t>Once the outcome is determined, we will advise the applicant if their request is accepted or declined.</w:t>
      </w:r>
    </w:p>
    <w:p w:rsidR="000E055E" w:rsidRPr="004E0D50" w:rsidRDefault="000E055E" w:rsidP="000E055E">
      <w:pPr>
        <w:spacing w:before="200"/>
        <w:rPr>
          <w:b/>
        </w:rPr>
      </w:pPr>
      <w:r w:rsidRPr="004E0D50">
        <w:rPr>
          <w:b/>
        </w:rPr>
        <w:t xml:space="preserve">Expected timing for this grant opportunity </w:t>
      </w:r>
    </w:p>
    <w:p w:rsidR="000E055E" w:rsidRPr="004E0D50" w:rsidRDefault="000E055E" w:rsidP="000E055E">
      <w:pPr>
        <w:spacing w:before="200"/>
      </w:pPr>
      <w:r w:rsidRPr="004E0D50">
        <w:t>If you are successful, you will be expected to start your project no later than mid-2019.</w:t>
      </w:r>
    </w:p>
    <w:p w:rsidR="000E055E" w:rsidRPr="004E0D50" w:rsidRDefault="000E055E" w:rsidP="000E055E">
      <w:pPr>
        <w:pStyle w:val="Caption"/>
        <w:keepNext/>
        <w:rPr>
          <w:color w:val="auto"/>
        </w:rPr>
      </w:pPr>
      <w:r w:rsidRPr="004E0D50">
        <w:rPr>
          <w:bCs/>
          <w:color w:val="auto"/>
        </w:rPr>
        <w:t>Table 2: Expected timing for this grant opportunity</w:t>
      </w:r>
      <w:r w:rsidRPr="004E0D50">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4E0D50" w:rsidRPr="004E0D50" w:rsidTr="004E0D50">
        <w:trPr>
          <w:cantSplit/>
          <w:tblHeader/>
        </w:trPr>
        <w:tc>
          <w:tcPr>
            <w:tcW w:w="4815" w:type="dxa"/>
            <w:shd w:val="clear" w:color="auto" w:fill="000000" w:themeFill="text1"/>
          </w:tcPr>
          <w:p w:rsidR="000E055E" w:rsidRPr="004E0D50" w:rsidRDefault="000E055E" w:rsidP="000E055E">
            <w:pPr>
              <w:pStyle w:val="TableHeadingNumbered"/>
              <w:rPr>
                <w:b/>
              </w:rPr>
            </w:pPr>
            <w:r w:rsidRPr="004E0D50">
              <w:rPr>
                <w:b/>
              </w:rPr>
              <w:t>Activity</w:t>
            </w:r>
          </w:p>
        </w:tc>
        <w:tc>
          <w:tcPr>
            <w:tcW w:w="3974" w:type="dxa"/>
            <w:shd w:val="clear" w:color="auto" w:fill="000000" w:themeFill="text1"/>
          </w:tcPr>
          <w:p w:rsidR="000E055E" w:rsidRPr="004E0D50" w:rsidRDefault="000E055E" w:rsidP="000E055E">
            <w:pPr>
              <w:pStyle w:val="TableHeadingNumbered"/>
              <w:rPr>
                <w:b/>
              </w:rPr>
            </w:pPr>
            <w:r w:rsidRPr="004E0D50">
              <w:rPr>
                <w:b/>
              </w:rPr>
              <w:t>Timeframe</w:t>
            </w:r>
          </w:p>
        </w:tc>
      </w:tr>
      <w:tr w:rsidR="004E0D50" w:rsidRPr="004E0D50" w:rsidTr="000E055E">
        <w:trPr>
          <w:cantSplit/>
        </w:trPr>
        <w:tc>
          <w:tcPr>
            <w:tcW w:w="4815" w:type="dxa"/>
          </w:tcPr>
          <w:p w:rsidR="000E055E" w:rsidRPr="004E0D50" w:rsidRDefault="000E055E" w:rsidP="000E055E">
            <w:pPr>
              <w:pStyle w:val="TableText"/>
            </w:pPr>
            <w:r w:rsidRPr="004E0D50">
              <w:t>Assessment of applications</w:t>
            </w:r>
            <w:r w:rsidR="00A14AC9" w:rsidRPr="004E0D50">
              <w:t xml:space="preserve"> and notification of ineligible applicants</w:t>
            </w:r>
          </w:p>
        </w:tc>
        <w:tc>
          <w:tcPr>
            <w:tcW w:w="3974" w:type="dxa"/>
          </w:tcPr>
          <w:p w:rsidR="000E055E" w:rsidRPr="004E0D50" w:rsidRDefault="000E055E" w:rsidP="000E055E">
            <w:pPr>
              <w:pStyle w:val="TableText"/>
            </w:pPr>
            <w:r w:rsidRPr="004E0D50">
              <w:t xml:space="preserve">4 weeks </w:t>
            </w:r>
          </w:p>
        </w:tc>
      </w:tr>
      <w:tr w:rsidR="004E0D50" w:rsidRPr="004E0D50" w:rsidTr="000E055E">
        <w:trPr>
          <w:cantSplit/>
        </w:trPr>
        <w:tc>
          <w:tcPr>
            <w:tcW w:w="4815" w:type="dxa"/>
          </w:tcPr>
          <w:p w:rsidR="000E055E" w:rsidRPr="004E0D50" w:rsidRDefault="000E055E" w:rsidP="000E055E">
            <w:pPr>
              <w:pStyle w:val="TableText"/>
            </w:pPr>
            <w:r w:rsidRPr="004E0D50">
              <w:t>Approval of outcomes of selection process</w:t>
            </w:r>
          </w:p>
        </w:tc>
        <w:tc>
          <w:tcPr>
            <w:tcW w:w="3974" w:type="dxa"/>
          </w:tcPr>
          <w:p w:rsidR="000E055E" w:rsidRPr="004E0D50" w:rsidRDefault="000E055E" w:rsidP="000E055E">
            <w:pPr>
              <w:pStyle w:val="TableText"/>
            </w:pPr>
            <w:r w:rsidRPr="004E0D50">
              <w:t xml:space="preserve">4 weeks </w:t>
            </w:r>
          </w:p>
        </w:tc>
      </w:tr>
      <w:tr w:rsidR="004E0D50" w:rsidRPr="004E0D50" w:rsidTr="000E055E">
        <w:trPr>
          <w:cantSplit/>
        </w:trPr>
        <w:tc>
          <w:tcPr>
            <w:tcW w:w="4815" w:type="dxa"/>
          </w:tcPr>
          <w:p w:rsidR="000E055E" w:rsidRPr="004E0D50" w:rsidRDefault="000E055E" w:rsidP="000E055E">
            <w:pPr>
              <w:pStyle w:val="TableText"/>
            </w:pPr>
            <w:r w:rsidRPr="004E0D50">
              <w:t>Negotiations and award of grant agreements</w:t>
            </w:r>
          </w:p>
        </w:tc>
        <w:tc>
          <w:tcPr>
            <w:tcW w:w="3974" w:type="dxa"/>
          </w:tcPr>
          <w:p w:rsidR="000E055E" w:rsidRPr="004E0D50" w:rsidRDefault="000E055E" w:rsidP="000E055E">
            <w:pPr>
              <w:pStyle w:val="TableText"/>
            </w:pPr>
            <w:r w:rsidRPr="004E0D50">
              <w:t>Up to 6 weeks</w:t>
            </w:r>
          </w:p>
        </w:tc>
      </w:tr>
      <w:tr w:rsidR="004E0D50" w:rsidRPr="004E0D50" w:rsidTr="000E055E">
        <w:trPr>
          <w:cantSplit/>
        </w:trPr>
        <w:tc>
          <w:tcPr>
            <w:tcW w:w="4815" w:type="dxa"/>
          </w:tcPr>
          <w:p w:rsidR="000E055E" w:rsidRPr="004E0D50" w:rsidRDefault="000E055E" w:rsidP="00A14AC9">
            <w:pPr>
              <w:pStyle w:val="TableText"/>
            </w:pPr>
            <w:r w:rsidRPr="004E0D50">
              <w:t>Notification to unsuccessful applicants</w:t>
            </w:r>
          </w:p>
        </w:tc>
        <w:tc>
          <w:tcPr>
            <w:tcW w:w="3974" w:type="dxa"/>
          </w:tcPr>
          <w:p w:rsidR="000E055E" w:rsidRPr="004E0D50" w:rsidRDefault="000E055E" w:rsidP="000E055E">
            <w:pPr>
              <w:pStyle w:val="TableText"/>
            </w:pPr>
            <w:r w:rsidRPr="004E0D50">
              <w:t xml:space="preserve">2 weeks </w:t>
            </w:r>
          </w:p>
        </w:tc>
      </w:tr>
      <w:tr w:rsidR="004E0D50" w:rsidRPr="004E0D50" w:rsidTr="000E055E">
        <w:trPr>
          <w:cantSplit/>
        </w:trPr>
        <w:tc>
          <w:tcPr>
            <w:tcW w:w="4815" w:type="dxa"/>
          </w:tcPr>
          <w:p w:rsidR="000E055E" w:rsidRPr="004E0D50" w:rsidRDefault="000E055E" w:rsidP="000E055E">
            <w:pPr>
              <w:pStyle w:val="TableText"/>
            </w:pPr>
            <w:r w:rsidRPr="004E0D50">
              <w:t xml:space="preserve">Earliest start date of grant activity </w:t>
            </w:r>
          </w:p>
        </w:tc>
        <w:tc>
          <w:tcPr>
            <w:tcW w:w="3974" w:type="dxa"/>
          </w:tcPr>
          <w:p w:rsidR="000E055E" w:rsidRPr="004E0D50" w:rsidRDefault="000E055E" w:rsidP="000E055E">
            <w:pPr>
              <w:pStyle w:val="TableText"/>
            </w:pPr>
            <w:r w:rsidRPr="004E0D50">
              <w:t>TBC</w:t>
            </w:r>
          </w:p>
        </w:tc>
      </w:tr>
      <w:tr w:rsidR="004E0D50" w:rsidRPr="004E0D50" w:rsidTr="000E055E">
        <w:trPr>
          <w:cantSplit/>
        </w:trPr>
        <w:tc>
          <w:tcPr>
            <w:tcW w:w="4815" w:type="dxa"/>
          </w:tcPr>
          <w:p w:rsidR="000E055E" w:rsidRPr="004E0D50" w:rsidRDefault="000E055E" w:rsidP="000E055E">
            <w:pPr>
              <w:pStyle w:val="TableText"/>
            </w:pPr>
            <w:r w:rsidRPr="004E0D50">
              <w:t xml:space="preserve">End date of grant activity </w:t>
            </w:r>
          </w:p>
        </w:tc>
        <w:tc>
          <w:tcPr>
            <w:tcW w:w="3974" w:type="dxa"/>
          </w:tcPr>
          <w:p w:rsidR="000E055E" w:rsidRPr="004E0D50" w:rsidRDefault="00851313" w:rsidP="00851313">
            <w:pPr>
              <w:pStyle w:val="TableText"/>
            </w:pPr>
            <w:r w:rsidRPr="004E0D50">
              <w:t>30 April 2022</w:t>
            </w:r>
          </w:p>
        </w:tc>
      </w:tr>
    </w:tbl>
    <w:p w:rsidR="000E055E" w:rsidRPr="004E0D50" w:rsidRDefault="000E055E" w:rsidP="008F0B87">
      <w:pPr>
        <w:pStyle w:val="Heading3"/>
      </w:pPr>
      <w:bookmarkStart w:id="63" w:name="_Toc536623349"/>
      <w:r w:rsidRPr="004E0D50">
        <w:t>Questions during the application process</w:t>
      </w:r>
      <w:bookmarkEnd w:id="63"/>
    </w:p>
    <w:p w:rsidR="000E055E" w:rsidRPr="004E0D50" w:rsidRDefault="000E055E" w:rsidP="000E055E">
      <w:r w:rsidRPr="004E0D50">
        <w:t xml:space="preserve">If you have any questions during the application period, contact the Community Grants Hub on 1800 020 283 or email </w:t>
      </w:r>
      <w:hyperlink r:id="rId32" w:history="1">
        <w:r w:rsidRPr="004E0D50">
          <w:rPr>
            <w:rStyle w:val="Hyperlink"/>
            <w:color w:val="auto"/>
          </w:rPr>
          <w:t>support@communitygrants.gov.au</w:t>
        </w:r>
      </w:hyperlink>
      <w:r w:rsidRPr="004E0D50">
        <w:t>.</w:t>
      </w:r>
      <w:r w:rsidR="00F039DC" w:rsidRPr="004E0D50">
        <w:t xml:space="preserve"> </w:t>
      </w:r>
      <w:r w:rsidRPr="004E0D50">
        <w:t xml:space="preserve">Only eligible applicants’ questions will be responded to during the application submission period </w:t>
      </w:r>
    </w:p>
    <w:p w:rsidR="000E055E" w:rsidRPr="004E0D50" w:rsidRDefault="000E055E" w:rsidP="000E055E">
      <w:r w:rsidRPr="004E0D50">
        <w:t xml:space="preserve">The Community Grants Hub will respond to emailed questions within five working days. Answers to questions are posted on the </w:t>
      </w:r>
      <w:hyperlink r:id="rId33" w:history="1">
        <w:r w:rsidRPr="004E0D50">
          <w:rPr>
            <w:rStyle w:val="Hyperlink"/>
            <w:color w:val="auto"/>
          </w:rPr>
          <w:t>GrantConnect</w:t>
        </w:r>
      </w:hyperlink>
      <w:r w:rsidRPr="004E0D50">
        <w:t xml:space="preserve"> and </w:t>
      </w:r>
      <w:hyperlink r:id="rId34" w:history="1">
        <w:r w:rsidRPr="004E0D50">
          <w:rPr>
            <w:rStyle w:val="Hyperlink"/>
            <w:color w:val="auto"/>
          </w:rPr>
          <w:t>Community Grants Hub</w:t>
        </w:r>
      </w:hyperlink>
      <w:r w:rsidRPr="004E0D50">
        <w:t xml:space="preserve"> websites.</w:t>
      </w:r>
    </w:p>
    <w:p w:rsidR="000E055E" w:rsidRPr="004E0D50" w:rsidRDefault="000E055E" w:rsidP="000E055E">
      <w:pPr>
        <w:rPr>
          <w:rFonts w:eastAsiaTheme="minorHAnsi" w:cstheme="minorBidi"/>
          <w:szCs w:val="22"/>
        </w:rPr>
      </w:pPr>
      <w:r w:rsidRPr="004E0D50">
        <w:rPr>
          <w:rFonts w:eastAsiaTheme="minorHAnsi" w:cstheme="minorBidi"/>
          <w:szCs w:val="22"/>
        </w:rPr>
        <w:t xml:space="preserve">The question period will close at 5:00PM </w:t>
      </w:r>
      <w:r w:rsidR="00A0246A" w:rsidRPr="004E0D50">
        <w:rPr>
          <w:rFonts w:eastAsiaTheme="minorHAnsi" w:cstheme="minorBidi"/>
          <w:szCs w:val="22"/>
        </w:rPr>
        <w:t>AED</w:t>
      </w:r>
      <w:r w:rsidRPr="004E0D50">
        <w:rPr>
          <w:rFonts w:eastAsiaTheme="minorHAnsi" w:cstheme="minorBidi"/>
          <w:szCs w:val="22"/>
        </w:rPr>
        <w:t xml:space="preserve">T on </w:t>
      </w:r>
      <w:r w:rsidR="00A529F5">
        <w:rPr>
          <w:rFonts w:eastAsiaTheme="minorHAnsi" w:cstheme="minorBidi"/>
          <w:szCs w:val="22"/>
        </w:rPr>
        <w:t>03/0</w:t>
      </w:r>
      <w:r w:rsidR="00940135">
        <w:rPr>
          <w:rFonts w:eastAsiaTheme="minorHAnsi" w:cstheme="minorBidi"/>
          <w:szCs w:val="22"/>
        </w:rPr>
        <w:t>3</w:t>
      </w:r>
      <w:r w:rsidR="00A529F5">
        <w:rPr>
          <w:rFonts w:eastAsiaTheme="minorHAnsi" w:cstheme="minorBidi"/>
          <w:szCs w:val="22"/>
        </w:rPr>
        <w:t>/2019.</w:t>
      </w:r>
      <w:r w:rsidRPr="004E0D50">
        <w:rPr>
          <w:rFonts w:eastAsiaTheme="minorHAnsi" w:cstheme="minorBidi"/>
          <w:szCs w:val="22"/>
        </w:rPr>
        <w:t xml:space="preserve"> Following this time, only questions about using and/or submitting the application form will be answered. </w:t>
      </w:r>
      <w:bookmarkStart w:id="64" w:name="_GoBack"/>
      <w:bookmarkEnd w:id="64"/>
    </w:p>
    <w:p w:rsidR="00087610" w:rsidRPr="004E0D50" w:rsidRDefault="00087610">
      <w:pPr>
        <w:spacing w:before="0" w:after="0" w:line="240" w:lineRule="auto"/>
        <w:rPr>
          <w:rFonts w:cstheme="minorHAnsi"/>
          <w:bCs/>
          <w:iCs/>
          <w:sz w:val="32"/>
          <w:szCs w:val="32"/>
        </w:rPr>
      </w:pPr>
      <w:r w:rsidRPr="004E0D50">
        <w:br w:type="page"/>
      </w:r>
    </w:p>
    <w:p w:rsidR="000E055E" w:rsidRPr="004E0D50" w:rsidRDefault="000E055E" w:rsidP="00384E16">
      <w:pPr>
        <w:pStyle w:val="Heading2"/>
        <w:rPr>
          <w:color w:val="auto"/>
        </w:rPr>
      </w:pPr>
      <w:bookmarkStart w:id="65" w:name="_Toc536623350"/>
      <w:r w:rsidRPr="004E0D50">
        <w:rPr>
          <w:color w:val="auto"/>
        </w:rPr>
        <w:lastRenderedPageBreak/>
        <w:t>The grant selection process</w:t>
      </w:r>
      <w:bookmarkEnd w:id="65"/>
    </w:p>
    <w:p w:rsidR="00687F07" w:rsidRPr="004E0D50" w:rsidRDefault="00BE6570" w:rsidP="000E055E">
      <w:pPr>
        <w:rPr>
          <w:rFonts w:cstheme="minorHAnsi"/>
        </w:rPr>
      </w:pPr>
      <w:r w:rsidRPr="004E0D50">
        <w:t xml:space="preserve">The assessment centre </w:t>
      </w:r>
      <w:r w:rsidR="0061570B" w:rsidRPr="004E0D50">
        <w:t xml:space="preserve">in the Community Grants Hub </w:t>
      </w:r>
      <w:r w:rsidR="000E055E" w:rsidRPr="004E0D50">
        <w:t xml:space="preserve">will </w:t>
      </w:r>
      <w:r w:rsidR="000E055E" w:rsidRPr="004E0D50">
        <w:rPr>
          <w:rFonts w:cstheme="minorHAnsi"/>
        </w:rPr>
        <w:t xml:space="preserve">review your application against the eligibility criteria. Only eligible applications will move to the next stage. </w:t>
      </w:r>
    </w:p>
    <w:p w:rsidR="00052A54" w:rsidRPr="004E0D50" w:rsidRDefault="000E055E" w:rsidP="000E055E">
      <w:r w:rsidRPr="004E0D50">
        <w:rPr>
          <w:rFonts w:cstheme="minorHAnsi"/>
        </w:rPr>
        <w:t xml:space="preserve">Eligible applications will </w:t>
      </w:r>
      <w:r w:rsidR="00687F07" w:rsidRPr="004E0D50">
        <w:rPr>
          <w:rFonts w:cstheme="minorHAnsi"/>
        </w:rPr>
        <w:t xml:space="preserve">then </w:t>
      </w:r>
      <w:r w:rsidRPr="004E0D50">
        <w:rPr>
          <w:rFonts w:cstheme="minorHAnsi"/>
        </w:rPr>
        <w:t>be considered through an open, competitive grant process</w:t>
      </w:r>
      <w:r w:rsidR="0061570B" w:rsidRPr="004E0D50">
        <w:rPr>
          <w:rFonts w:cstheme="minorHAnsi"/>
        </w:rPr>
        <w:t xml:space="preserve"> administered by a Selection Advisory Panel convened by the Department</w:t>
      </w:r>
      <w:r w:rsidRPr="004E0D50">
        <w:rPr>
          <w:rFonts w:cstheme="minorHAnsi"/>
        </w:rPr>
        <w:t>.</w:t>
      </w:r>
      <w:r w:rsidR="00687F07" w:rsidRPr="004E0D50">
        <w:rPr>
          <w:rFonts w:cstheme="minorHAnsi"/>
        </w:rPr>
        <w:t xml:space="preserve"> </w:t>
      </w:r>
      <w:r w:rsidR="00687F07" w:rsidRPr="004E0D50">
        <w:t>T</w:t>
      </w:r>
      <w:r w:rsidR="0061570B" w:rsidRPr="004E0D50">
        <w:t>he Selection Advisory Panel</w:t>
      </w:r>
      <w:r w:rsidRPr="004E0D50">
        <w:t xml:space="preserve"> will then assess your application against the assessment criteria (see Section 6) and against other applications. </w:t>
      </w:r>
    </w:p>
    <w:p w:rsidR="00052A54" w:rsidRPr="004E0D50" w:rsidRDefault="00052A54" w:rsidP="000E055E">
      <w:r w:rsidRPr="004E0D50">
        <w:t>The Minister for Agriculture and Water Resources (decision maker) will make decisions on grant funding based on recommendations by the Selection Advisory Panel.</w:t>
      </w:r>
    </w:p>
    <w:p w:rsidR="000E055E" w:rsidRPr="004E0D50" w:rsidRDefault="000E055E" w:rsidP="008F0B87">
      <w:pPr>
        <w:pStyle w:val="Heading3"/>
      </w:pPr>
      <w:bookmarkStart w:id="66" w:name="_Toc536623351"/>
      <w:r w:rsidRPr="004E0D50">
        <w:t>Financial Viability</w:t>
      </w:r>
      <w:bookmarkEnd w:id="66"/>
    </w:p>
    <w:p w:rsidR="000E055E" w:rsidRPr="004E0D50" w:rsidRDefault="000E055E" w:rsidP="000E055E">
      <w:r w:rsidRPr="004E0D50">
        <w:t xml:space="preserve">Applicants may be subject to a financial viability assessment. The financial viability assessment forms part of the risk mitigation strategy and can include: </w:t>
      </w:r>
    </w:p>
    <w:p w:rsidR="000E055E" w:rsidRPr="004E0D50" w:rsidRDefault="000E055E" w:rsidP="000E055E">
      <w:pPr>
        <w:pStyle w:val="ListBullet"/>
        <w:numPr>
          <w:ilvl w:val="0"/>
          <w:numId w:val="7"/>
        </w:numPr>
      </w:pPr>
      <w:r w:rsidRPr="004E0D50">
        <w:t>establishing whether relevant persons have any adverse business history (for example current or past bankruptcy)</w:t>
      </w:r>
    </w:p>
    <w:p w:rsidR="000E055E" w:rsidRPr="004E0D50" w:rsidRDefault="000E055E" w:rsidP="000E055E">
      <w:pPr>
        <w:pStyle w:val="ListBullet"/>
        <w:numPr>
          <w:ilvl w:val="0"/>
          <w:numId w:val="7"/>
        </w:numPr>
      </w:pPr>
      <w:r w:rsidRPr="004E0D50">
        <w:t>assessment of the financial health of an entity.</w:t>
      </w:r>
    </w:p>
    <w:p w:rsidR="000E055E" w:rsidRPr="004E0D50" w:rsidRDefault="000E055E" w:rsidP="008F0B87">
      <w:pPr>
        <w:pStyle w:val="Heading3"/>
      </w:pPr>
      <w:bookmarkStart w:id="67" w:name="_Toc536623352"/>
      <w:r w:rsidRPr="004E0D50">
        <w:t>Who will assess and select applications?</w:t>
      </w:r>
      <w:bookmarkEnd w:id="67"/>
    </w:p>
    <w:p w:rsidR="00052A54" w:rsidRPr="004E0D50" w:rsidRDefault="00052A54" w:rsidP="00052A54">
      <w:pPr>
        <w:pStyle w:val="ListBullet"/>
        <w:numPr>
          <w:ilvl w:val="0"/>
          <w:numId w:val="0"/>
        </w:numPr>
      </w:pPr>
      <w:r w:rsidRPr="004E0D50">
        <w:t>The Selection Advisory Panel will compare each application to other eligible and compliant applications,</w:t>
      </w:r>
    </w:p>
    <w:p w:rsidR="00052A54" w:rsidRPr="004E0D50" w:rsidRDefault="000E055E" w:rsidP="00052A54">
      <w:pPr>
        <w:pStyle w:val="ListBullet"/>
        <w:numPr>
          <w:ilvl w:val="0"/>
          <w:numId w:val="0"/>
        </w:numPr>
      </w:pPr>
      <w:r w:rsidRPr="004E0D50">
        <w:t xml:space="preserve">The </w:t>
      </w:r>
      <w:r w:rsidR="0061570B" w:rsidRPr="004E0D50">
        <w:t>S</w:t>
      </w:r>
      <w:r w:rsidR="00714A2E" w:rsidRPr="004E0D50">
        <w:t xml:space="preserve">election </w:t>
      </w:r>
      <w:r w:rsidR="0061570B" w:rsidRPr="004E0D50">
        <w:t>A</w:t>
      </w:r>
      <w:r w:rsidR="00714A2E" w:rsidRPr="004E0D50">
        <w:t xml:space="preserve">dvisory </w:t>
      </w:r>
      <w:r w:rsidR="0061570B" w:rsidRPr="004E0D50">
        <w:t>P</w:t>
      </w:r>
      <w:r w:rsidR="00714A2E" w:rsidRPr="004E0D50">
        <w:t>anel</w:t>
      </w:r>
      <w:r w:rsidR="00357D08" w:rsidRPr="004E0D50">
        <w:t xml:space="preserve"> </w:t>
      </w:r>
      <w:r w:rsidRPr="004E0D50">
        <w:t xml:space="preserve">will assess each eligible and compliant application on its merit </w:t>
      </w:r>
    </w:p>
    <w:p w:rsidR="00052A54" w:rsidRPr="004E0D50" w:rsidRDefault="00052A54" w:rsidP="00052A54">
      <w:r w:rsidRPr="004E0D50">
        <w:t>based on:</w:t>
      </w:r>
    </w:p>
    <w:p w:rsidR="00052A54" w:rsidRPr="004E0D50" w:rsidRDefault="00052A54" w:rsidP="00052A54">
      <w:pPr>
        <w:pStyle w:val="ListBullet"/>
        <w:numPr>
          <w:ilvl w:val="0"/>
          <w:numId w:val="7"/>
        </w:numPr>
      </w:pPr>
      <w:r w:rsidRPr="004E0D50">
        <w:t xml:space="preserve">how well it meets the criteria </w:t>
      </w:r>
    </w:p>
    <w:p w:rsidR="00052A54" w:rsidRPr="004E0D50" w:rsidRDefault="00052A54" w:rsidP="00052A54">
      <w:pPr>
        <w:pStyle w:val="ListBullet"/>
        <w:numPr>
          <w:ilvl w:val="0"/>
          <w:numId w:val="7"/>
        </w:numPr>
      </w:pPr>
      <w:r w:rsidRPr="004E0D50">
        <w:t xml:space="preserve">its merits relative to other applications </w:t>
      </w:r>
    </w:p>
    <w:p w:rsidR="00052A54" w:rsidRPr="004E0D50" w:rsidRDefault="00687F07" w:rsidP="00052A54">
      <w:pPr>
        <w:pStyle w:val="ListBullet"/>
        <w:numPr>
          <w:ilvl w:val="0"/>
          <w:numId w:val="0"/>
        </w:numPr>
        <w:rPr>
          <w:rFonts w:cs="Arial"/>
        </w:rPr>
      </w:pPr>
      <w:r w:rsidRPr="004E0D50">
        <w:rPr>
          <w:rFonts w:cs="Arial"/>
        </w:rPr>
        <w:t xml:space="preserve">The Selection Advisory Panel will also </w:t>
      </w:r>
      <w:r w:rsidR="00052A54" w:rsidRPr="004E0D50">
        <w:rPr>
          <w:rFonts w:cs="Arial"/>
        </w:rPr>
        <w:t>assess the extent to which the application represents value with money</w:t>
      </w:r>
      <w:r w:rsidR="00940135">
        <w:rPr>
          <w:rStyle w:val="FootnoteReference"/>
        </w:rPr>
        <w:footnoteReference w:id="10"/>
      </w:r>
      <w:r w:rsidR="00052A54" w:rsidRPr="004E0D50">
        <w:rPr>
          <w:rFonts w:cs="Arial"/>
        </w:rPr>
        <w:t xml:space="preserve">, </w:t>
      </w:r>
      <w:r w:rsidRPr="004E0D50">
        <w:rPr>
          <w:rFonts w:cs="Arial"/>
        </w:rPr>
        <w:t>with</w:t>
      </w:r>
      <w:r w:rsidR="00052A54" w:rsidRPr="004E0D50">
        <w:rPr>
          <w:rFonts w:cs="Arial"/>
        </w:rPr>
        <w:t xml:space="preserve"> regard to</w:t>
      </w:r>
      <w:r w:rsidR="00357D08" w:rsidRPr="004E0D50">
        <w:rPr>
          <w:rFonts w:cs="Arial"/>
        </w:rPr>
        <w:t xml:space="preserve"> the</w:t>
      </w:r>
      <w:r w:rsidR="00052A54" w:rsidRPr="004E0D50">
        <w:rPr>
          <w:rFonts w:cs="Arial"/>
        </w:rPr>
        <w:t xml:space="preserve">: </w:t>
      </w:r>
    </w:p>
    <w:p w:rsidR="00052A54" w:rsidRPr="004E0D50" w:rsidRDefault="00052A54" w:rsidP="00052A54">
      <w:pPr>
        <w:pStyle w:val="ListBullet"/>
        <w:numPr>
          <w:ilvl w:val="0"/>
          <w:numId w:val="7"/>
        </w:numPr>
      </w:pPr>
      <w:r w:rsidRPr="004E0D50">
        <w:t>overall objective/s to be achieved in providing the grant</w:t>
      </w:r>
    </w:p>
    <w:p w:rsidR="00052A54" w:rsidRPr="004E0D50" w:rsidRDefault="00052A54" w:rsidP="00052A54">
      <w:pPr>
        <w:pStyle w:val="ListBullet"/>
        <w:numPr>
          <w:ilvl w:val="0"/>
          <w:numId w:val="7"/>
        </w:numPr>
      </w:pPr>
      <w:r w:rsidRPr="004E0D50">
        <w:t>relative value of the grant sought</w:t>
      </w:r>
    </w:p>
    <w:p w:rsidR="00052A54" w:rsidRPr="004E0D50" w:rsidRDefault="00052A54" w:rsidP="00052A54">
      <w:pPr>
        <w:pStyle w:val="ListBullet"/>
        <w:numPr>
          <w:ilvl w:val="0"/>
          <w:numId w:val="7"/>
        </w:numPr>
      </w:pPr>
      <w:r w:rsidRPr="004E0D50">
        <w:t>extent to which the geographic location of the application matches identified priorities</w:t>
      </w:r>
    </w:p>
    <w:p w:rsidR="00052A54" w:rsidRPr="004E0D50" w:rsidRDefault="00052A54" w:rsidP="00052A54">
      <w:pPr>
        <w:pStyle w:val="ListBullet"/>
        <w:numPr>
          <w:ilvl w:val="0"/>
          <w:numId w:val="7"/>
        </w:numPr>
      </w:pPr>
      <w:r w:rsidRPr="004E0D50">
        <w:t>extent to which the evidence in the application demonstrates that it will contribute to meeting the outcomes/objectives.</w:t>
      </w:r>
    </w:p>
    <w:p w:rsidR="0061570B" w:rsidRPr="004E0D50" w:rsidRDefault="0061570B" w:rsidP="0061570B">
      <w:r w:rsidRPr="004E0D50">
        <w:t xml:space="preserve">The Selection Advisory Panel may establish an order of merit based on assessment against the selection criteria for the purpose of recommending projects to the decision maker in the first round, and also for the purpose of recommending additional projects to the decision maker after the first round of decisions are made. </w:t>
      </w:r>
    </w:p>
    <w:p w:rsidR="000E055E" w:rsidRPr="004E0D50" w:rsidRDefault="000E055E" w:rsidP="001A5D1C">
      <w:pPr>
        <w:spacing w:before="120"/>
      </w:pPr>
      <w:r w:rsidRPr="004E0D50">
        <w:t xml:space="preserve">The </w:t>
      </w:r>
      <w:r w:rsidR="0061570B" w:rsidRPr="004E0D50">
        <w:t>S</w:t>
      </w:r>
      <w:r w:rsidRPr="004E0D50">
        <w:t xml:space="preserve">election </w:t>
      </w:r>
      <w:r w:rsidR="00052A54" w:rsidRPr="004E0D50">
        <w:t>A</w:t>
      </w:r>
      <w:r w:rsidRPr="004E0D50">
        <w:t xml:space="preserve">dvisory </w:t>
      </w:r>
      <w:r w:rsidR="00052A54" w:rsidRPr="004E0D50">
        <w:t>P</w:t>
      </w:r>
      <w:r w:rsidRPr="004E0D50">
        <w:t>anel will comprise Departmental officers</w:t>
      </w:r>
      <w:r w:rsidR="00087C04" w:rsidRPr="004E0D50">
        <w:t>,</w:t>
      </w:r>
      <w:r w:rsidRPr="004E0D50">
        <w:t xml:space="preserve"> one (or more) economic development expert(s)</w:t>
      </w:r>
      <w:r w:rsidR="00087C04" w:rsidRPr="004E0D50">
        <w:t>, and other members at the Department’s discretion</w:t>
      </w:r>
      <w:r w:rsidRPr="004E0D50">
        <w:t xml:space="preserve">. During </w:t>
      </w:r>
      <w:r w:rsidR="007E17A1" w:rsidRPr="004E0D50">
        <w:t xml:space="preserve">our </w:t>
      </w:r>
      <w:r w:rsidRPr="004E0D50">
        <w:t xml:space="preserve">consideration of proposals, </w:t>
      </w:r>
      <w:r w:rsidR="007E17A1" w:rsidRPr="004E0D50">
        <w:t>we</w:t>
      </w:r>
      <w:r w:rsidRPr="004E0D50">
        <w:t xml:space="preserve"> may seek external advice on any aspect of a proposal to inform the </w:t>
      </w:r>
      <w:r w:rsidRPr="004E0D50">
        <w:lastRenderedPageBreak/>
        <w:t xml:space="preserve">assessment process including from relevant local government agencies, state governments and/or the Australian Local Government Association. </w:t>
      </w:r>
    </w:p>
    <w:p w:rsidR="000E055E" w:rsidRPr="004E0D50" w:rsidRDefault="001A5D1C" w:rsidP="001A5D1C">
      <w:r w:rsidRPr="004E0D50">
        <w:t xml:space="preserve">The Department and the Community Grants Hub administer the program according to the </w:t>
      </w:r>
      <w:hyperlink r:id="rId35" w:history="1">
        <w:r w:rsidRPr="004E0D50">
          <w:rPr>
            <w:rStyle w:val="Hyperlink"/>
            <w:i/>
            <w:color w:val="auto"/>
          </w:rPr>
          <w:t>Commonwealth Grants Rules and Guidelines 2017 (CGRGs)</w:t>
        </w:r>
      </w:hyperlink>
      <w:r w:rsidRPr="004E0D50">
        <w:rPr>
          <w:rStyle w:val="FootnoteReference"/>
          <w:i/>
        </w:rPr>
        <w:footnoteReference w:id="11"/>
      </w:r>
      <w:r w:rsidRPr="004E0D50">
        <w:rPr>
          <w:i/>
        </w:rPr>
        <w:t>.</w:t>
      </w:r>
      <w:r w:rsidRPr="004E0D50">
        <w:t xml:space="preserve"> </w:t>
      </w:r>
      <w:r w:rsidR="000E055E" w:rsidRPr="004E0D50">
        <w:t xml:space="preserve">Any expert/advisor, who is not a Commonwealth Official, will </w:t>
      </w:r>
      <w:r w:rsidR="00714A2E" w:rsidRPr="004E0D50">
        <w:t xml:space="preserve">also </w:t>
      </w:r>
      <w:r w:rsidR="000E055E" w:rsidRPr="004E0D50">
        <w:t xml:space="preserve">be required to perform their duties in accordance with the </w:t>
      </w:r>
      <w:hyperlink r:id="rId36" w:history="1">
        <w:r w:rsidR="00212182" w:rsidRPr="004E0D50">
          <w:t>CGRGs</w:t>
        </w:r>
      </w:hyperlink>
      <w:r w:rsidR="00087C04" w:rsidRPr="004E0D50">
        <w:t xml:space="preserve"> to provide a consistent approach to fairness, probity and confidentiality</w:t>
      </w:r>
      <w:r w:rsidR="000E055E" w:rsidRPr="004E0D50">
        <w:t xml:space="preserve">. </w:t>
      </w:r>
    </w:p>
    <w:p w:rsidR="00981254" w:rsidRPr="004E0D50" w:rsidRDefault="000E055E" w:rsidP="000E055E">
      <w:r w:rsidRPr="004E0D50">
        <w:t xml:space="preserve">The </w:t>
      </w:r>
      <w:r w:rsidR="00052A54" w:rsidRPr="004E0D50">
        <w:t>S</w:t>
      </w:r>
      <w:r w:rsidRPr="004E0D50">
        <w:t xml:space="preserve">election </w:t>
      </w:r>
      <w:r w:rsidR="00052A54" w:rsidRPr="004E0D50">
        <w:t>A</w:t>
      </w:r>
      <w:r w:rsidRPr="004E0D50">
        <w:t xml:space="preserve">dvisory </w:t>
      </w:r>
      <w:r w:rsidR="00052A54" w:rsidRPr="004E0D50">
        <w:t>P</w:t>
      </w:r>
      <w:r w:rsidRPr="004E0D50">
        <w:t xml:space="preserve">anel may seek additional information about you or your application and this may delay completion of the selection process. They may do this from within the Commonwealth, even if </w:t>
      </w:r>
      <w:r w:rsidR="005A0578" w:rsidRPr="004E0D50">
        <w:t>you do not nominate the sources</w:t>
      </w:r>
      <w:r w:rsidRPr="004E0D50">
        <w:t xml:space="preserve"> as referees. The </w:t>
      </w:r>
      <w:r w:rsidR="001A5D1C" w:rsidRPr="004E0D50">
        <w:t>selection advisory panel</w:t>
      </w:r>
      <w:r w:rsidRPr="004E0D50">
        <w:t xml:space="preserve"> may also consider information about you or your application that is available through the normal course of business.</w:t>
      </w:r>
      <w:r w:rsidR="00F039DC" w:rsidRPr="004E0D50">
        <w:t xml:space="preserve"> </w:t>
      </w:r>
    </w:p>
    <w:p w:rsidR="000E055E" w:rsidRPr="004E0D50" w:rsidRDefault="000E055E" w:rsidP="000E055E">
      <w:r w:rsidRPr="004E0D50">
        <w:t>The selection advisory panel recommends to the decision maker which applications to approve for a grant.</w:t>
      </w:r>
    </w:p>
    <w:p w:rsidR="000E055E" w:rsidRPr="004E0D50" w:rsidRDefault="000E055E" w:rsidP="008F0B87">
      <w:pPr>
        <w:pStyle w:val="Heading3"/>
      </w:pPr>
      <w:bookmarkStart w:id="68" w:name="_Toc536623353"/>
      <w:r w:rsidRPr="004E0D50">
        <w:t>Who will approve grants?</w:t>
      </w:r>
      <w:bookmarkEnd w:id="68"/>
    </w:p>
    <w:p w:rsidR="000E055E" w:rsidRPr="004E0D50" w:rsidRDefault="000E055E" w:rsidP="000E055E">
      <w:r w:rsidRPr="004E0D50">
        <w:t xml:space="preserve">The Minister </w:t>
      </w:r>
      <w:r w:rsidR="00266A14" w:rsidRPr="004E0D50">
        <w:t xml:space="preserve">for Agriculture and Water Resources </w:t>
      </w:r>
      <w:r w:rsidRPr="004E0D50">
        <w:t>(the decision maker) decides which grants to approve based on the recommendations of the selection advisory panel, the amount of funding available for the relevant community and the availability of grant funds for the purposes of the grant program.</w:t>
      </w:r>
    </w:p>
    <w:p w:rsidR="000E055E" w:rsidRPr="004E0D50" w:rsidRDefault="000E055E" w:rsidP="000E055E">
      <w:r w:rsidRPr="004E0D50">
        <w:t>The decision maker’s decision is final in all matters, including:</w:t>
      </w:r>
    </w:p>
    <w:p w:rsidR="000E055E" w:rsidRPr="004E0D50" w:rsidRDefault="000E055E" w:rsidP="000E055E">
      <w:pPr>
        <w:pStyle w:val="ListBullet"/>
        <w:numPr>
          <w:ilvl w:val="0"/>
          <w:numId w:val="7"/>
        </w:numPr>
      </w:pPr>
      <w:r w:rsidRPr="004E0D50">
        <w:t>the approval of the grant</w:t>
      </w:r>
    </w:p>
    <w:p w:rsidR="000E055E" w:rsidRPr="004E0D50" w:rsidRDefault="000E055E" w:rsidP="000E055E">
      <w:pPr>
        <w:pStyle w:val="ListBullet"/>
        <w:numPr>
          <w:ilvl w:val="0"/>
          <w:numId w:val="7"/>
        </w:numPr>
      </w:pPr>
      <w:r w:rsidRPr="004E0D50">
        <w:t>the grant funding amount to be awarded</w:t>
      </w:r>
    </w:p>
    <w:p w:rsidR="000E055E" w:rsidRPr="004E0D50" w:rsidRDefault="000E055E" w:rsidP="000E055E">
      <w:pPr>
        <w:pStyle w:val="ListBullet"/>
        <w:numPr>
          <w:ilvl w:val="0"/>
          <w:numId w:val="7"/>
        </w:numPr>
      </w:pPr>
      <w:r w:rsidRPr="004E0D50">
        <w:t xml:space="preserve">any specific terms and conditions of the grant. </w:t>
      </w:r>
    </w:p>
    <w:p w:rsidR="000E055E" w:rsidRPr="004E0D50" w:rsidRDefault="000E055E" w:rsidP="000E055E">
      <w:pPr>
        <w:pStyle w:val="ListBullet"/>
        <w:numPr>
          <w:ilvl w:val="0"/>
          <w:numId w:val="0"/>
        </w:numPr>
      </w:pPr>
      <w:r w:rsidRPr="004E0D50">
        <w:t>There is no appeal mechanism for decisions to approve or not approve a grant.</w:t>
      </w:r>
    </w:p>
    <w:p w:rsidR="000E055E" w:rsidRPr="004E0D50" w:rsidRDefault="000E055E" w:rsidP="00384E16">
      <w:pPr>
        <w:pStyle w:val="Heading2"/>
        <w:rPr>
          <w:color w:val="auto"/>
        </w:rPr>
      </w:pPr>
      <w:bookmarkStart w:id="69" w:name="_Toc536623354"/>
      <w:r w:rsidRPr="004E0D50">
        <w:rPr>
          <w:color w:val="auto"/>
        </w:rPr>
        <w:t>Notification of application outcomes</w:t>
      </w:r>
      <w:bookmarkEnd w:id="69"/>
    </w:p>
    <w:p w:rsidR="000E055E" w:rsidRPr="004E0D50" w:rsidRDefault="000E055E" w:rsidP="000E055E">
      <w:pPr>
        <w:pStyle w:val="ListBullet"/>
        <w:numPr>
          <w:ilvl w:val="0"/>
          <w:numId w:val="0"/>
        </w:numPr>
      </w:pPr>
      <w:r w:rsidRPr="004E0D50">
        <w:t>We will write to you about the outcome of your application. If you are successful, we reserve the right to:</w:t>
      </w:r>
    </w:p>
    <w:p w:rsidR="000E055E" w:rsidRPr="004E0D50" w:rsidRDefault="000E055E" w:rsidP="000E055E">
      <w:pPr>
        <w:pStyle w:val="ListBullet"/>
        <w:numPr>
          <w:ilvl w:val="0"/>
          <w:numId w:val="7"/>
        </w:numPr>
      </w:pPr>
      <w:r w:rsidRPr="004E0D50">
        <w:t>negotiate the scope of a project under the fund.</w:t>
      </w:r>
    </w:p>
    <w:p w:rsidR="000E055E" w:rsidRPr="004E0D50" w:rsidRDefault="000E055E" w:rsidP="000E055E">
      <w:pPr>
        <w:pStyle w:val="ListBullet"/>
        <w:numPr>
          <w:ilvl w:val="0"/>
          <w:numId w:val="7"/>
        </w:numPr>
      </w:pPr>
      <w:r w:rsidRPr="004E0D50">
        <w:t>specify conditions attached to the grant</w:t>
      </w:r>
    </w:p>
    <w:p w:rsidR="000E055E" w:rsidRPr="004E0D50" w:rsidRDefault="000E055E" w:rsidP="000E055E">
      <w:pPr>
        <w:pStyle w:val="ListBullet"/>
        <w:numPr>
          <w:ilvl w:val="0"/>
          <w:numId w:val="7"/>
        </w:numPr>
      </w:pPr>
      <w:r w:rsidRPr="004E0D50">
        <w:t>impose conditions that must be met before funding is provided.</w:t>
      </w:r>
    </w:p>
    <w:p w:rsidR="000E055E" w:rsidRPr="004E0D50" w:rsidRDefault="000E055E" w:rsidP="000E055E">
      <w:r w:rsidRPr="004E0D50">
        <w:t>If you are unsuccessful, you may have the opportunity to submit a new proposal for the same (or similar) project should a subsequent funding round occur. If so, you should include new or more information to address any weaknesses that may have prevented your previous application from being successful.</w:t>
      </w:r>
    </w:p>
    <w:p w:rsidR="000E055E" w:rsidRPr="004E0D50" w:rsidRDefault="000E055E" w:rsidP="008F0B87">
      <w:pPr>
        <w:pStyle w:val="Heading3"/>
      </w:pPr>
      <w:bookmarkStart w:id="70" w:name="_Toc536623355"/>
      <w:r w:rsidRPr="004E0D50">
        <w:t>Feedback on your application</w:t>
      </w:r>
      <w:bookmarkEnd w:id="70"/>
    </w:p>
    <w:p w:rsidR="000E055E" w:rsidRPr="004E0D50" w:rsidRDefault="000E055E" w:rsidP="000E055E">
      <w:r w:rsidRPr="004E0D50">
        <w:t xml:space="preserve">A </w:t>
      </w:r>
      <w:r w:rsidR="00357D08" w:rsidRPr="004E0D50">
        <w:t>feedback s</w:t>
      </w:r>
      <w:r w:rsidRPr="004E0D50">
        <w:t>ummary will be published on the Community Grants Hub website to provide all organisations with easy to access information about the grant selection process and the main strengths and areas for improving applications.</w:t>
      </w:r>
    </w:p>
    <w:p w:rsidR="000E055E" w:rsidRPr="004E0D50" w:rsidRDefault="000E055E" w:rsidP="000E055E">
      <w:r w:rsidRPr="004E0D50">
        <w:lastRenderedPageBreak/>
        <w:t xml:space="preserve">Individual feedback will be available. The process for requesting individual feedback will be included in the letter advising of the outcome of your application. </w:t>
      </w:r>
    </w:p>
    <w:p w:rsidR="00BE6570" w:rsidRPr="004E0D50" w:rsidRDefault="00BE6570" w:rsidP="008F0B87">
      <w:pPr>
        <w:pStyle w:val="Heading3"/>
      </w:pPr>
      <w:bookmarkStart w:id="71" w:name="_Toc536010359"/>
      <w:bookmarkStart w:id="72" w:name="_Toc536623356"/>
      <w:r w:rsidRPr="004E0D50">
        <w:t>Further grant opportunities</w:t>
      </w:r>
      <w:bookmarkEnd w:id="71"/>
      <w:bookmarkEnd w:id="72"/>
    </w:p>
    <w:p w:rsidR="00BE6570" w:rsidRPr="004E0D50" w:rsidRDefault="00BE6570" w:rsidP="00BE6570">
      <w:r w:rsidRPr="004E0D50">
        <w:t xml:space="preserve"> Should funding remain available and/or there are insufficient suitable applications to meet program objectives following the initial round, we may approach organisations directly and invite them to apply through a closed non-competitive selection process, or we may run</w:t>
      </w:r>
      <w:r w:rsidRPr="004E0D50">
        <w:rPr>
          <w:b/>
        </w:rPr>
        <w:t xml:space="preserve"> </w:t>
      </w:r>
      <w:r w:rsidRPr="004E0D50">
        <w:t xml:space="preserve">a subsequent funding round (at the discretion of the </w:t>
      </w:r>
      <w:r w:rsidR="009B128F" w:rsidRPr="004E0D50">
        <w:t>decision maker</w:t>
      </w:r>
      <w:r w:rsidRPr="004E0D50">
        <w:t>). Should this occur, we will then assess future applications against assessment criteria and consider proposals on their merits as outlined in these program guidelines. Any subsequent rounds will be published on GrantConnect</w:t>
      </w:r>
      <w:r w:rsidR="00B86C0F" w:rsidRPr="004E0D50">
        <w:t xml:space="preserve"> and the </w:t>
      </w:r>
      <w:hyperlink r:id="rId37" w:history="1">
        <w:r w:rsidR="00B86C0F" w:rsidRPr="004E0D50">
          <w:rPr>
            <w:rStyle w:val="Hyperlink"/>
            <w:color w:val="auto"/>
          </w:rPr>
          <w:t>Community Grants Hub</w:t>
        </w:r>
      </w:hyperlink>
      <w:r w:rsidR="00B86C0F" w:rsidRPr="004E0D50">
        <w:t>. A</w:t>
      </w:r>
      <w:r w:rsidRPr="004E0D50">
        <w:t xml:space="preserve">ny </w:t>
      </w:r>
      <w:r w:rsidRPr="004E0D50">
        <w:rPr>
          <w:lang w:eastAsia="ja-JP"/>
        </w:rPr>
        <w:t>subsequent funding may give priority to proposals from eligible communities not previously funded through the program.</w:t>
      </w:r>
    </w:p>
    <w:p w:rsidR="000E055E" w:rsidRPr="004E0D50" w:rsidRDefault="000E055E" w:rsidP="00384E16">
      <w:pPr>
        <w:pStyle w:val="Heading2"/>
        <w:rPr>
          <w:color w:val="auto"/>
        </w:rPr>
      </w:pPr>
      <w:bookmarkStart w:id="73" w:name="_Toc536623357"/>
      <w:r w:rsidRPr="004E0D50">
        <w:rPr>
          <w:color w:val="auto"/>
        </w:rPr>
        <w:t>Successful grant applications</w:t>
      </w:r>
      <w:bookmarkEnd w:id="73"/>
    </w:p>
    <w:p w:rsidR="000E055E" w:rsidRPr="004E0D50" w:rsidRDefault="000E055E" w:rsidP="008F0B87">
      <w:pPr>
        <w:pStyle w:val="Heading3"/>
      </w:pPr>
      <w:bookmarkStart w:id="74" w:name="_Toc536623358"/>
      <w:r w:rsidRPr="004E0D50">
        <w:t>The grant agreement</w:t>
      </w:r>
      <w:bookmarkEnd w:id="74"/>
    </w:p>
    <w:p w:rsidR="000E055E" w:rsidRPr="004E0D50" w:rsidRDefault="000E055E" w:rsidP="000E055E">
      <w:r w:rsidRPr="004E0D50">
        <w:t xml:space="preserve">You must enter into a legally binding grant agreement with the Commonwealth. We will offer successful applicants a </w:t>
      </w:r>
      <w:r w:rsidR="00B86C0F" w:rsidRPr="004E0D50">
        <w:t xml:space="preserve">Commonwealth </w:t>
      </w:r>
      <w:r w:rsidR="00357D08" w:rsidRPr="004E0D50">
        <w:t>standard grant a</w:t>
      </w:r>
      <w:r w:rsidRPr="004E0D50">
        <w:t>greement for this grant opportunity.</w:t>
      </w:r>
    </w:p>
    <w:p w:rsidR="000E055E" w:rsidRPr="004E0D50" w:rsidRDefault="000E055E" w:rsidP="000E055E">
      <w:r w:rsidRPr="004E0D50">
        <w:t xml:space="preserve">Each agreement has general/standard grant conditions that cannot be changed. Sample </w:t>
      </w:r>
      <w:r w:rsidRPr="004E0D50">
        <w:rPr>
          <w:rStyle w:val="Hyperlink"/>
          <w:rFonts w:eastAsia="MS Mincho"/>
          <w:color w:val="auto"/>
          <w:u w:val="none"/>
        </w:rPr>
        <w:t>grant agreements are</w:t>
      </w:r>
      <w:r w:rsidRPr="004E0D50">
        <w:t xml:space="preserve"> available on GrantConnect and Community Grants Hub websites as part of the grant documentation. We will use a schedule to outline the specific grant requirements.</w:t>
      </w:r>
    </w:p>
    <w:p w:rsidR="000E055E" w:rsidRPr="004E0D50" w:rsidRDefault="000E055E" w:rsidP="000E055E">
      <w:r w:rsidRPr="004E0D50">
        <w:t>We must execute a grant agreement with you before we can make any payments. We are not responsible for any of your expenditure until a grant agreement is executed.</w:t>
      </w:r>
    </w:p>
    <w:p w:rsidR="000E055E" w:rsidRPr="004E0D50" w:rsidRDefault="000E055E" w:rsidP="000E055E">
      <w:r w:rsidRPr="004E0D50">
        <w:t xml:space="preserve">Your grant agreement may have specific conditions determined by the assessment process or other considerations made by the decision maker. These are identified in the agreement. </w:t>
      </w:r>
    </w:p>
    <w:p w:rsidR="000E055E" w:rsidRPr="004E0D50" w:rsidRDefault="000E055E" w:rsidP="000E055E">
      <w:r w:rsidRPr="004E0D50">
        <w:t>The Commonwealth may recover grant funds if there is a breach of the grant agreement.</w:t>
      </w:r>
    </w:p>
    <w:p w:rsidR="000E055E" w:rsidRPr="004E0D50" w:rsidRDefault="00357D08" w:rsidP="000E055E">
      <w:pPr>
        <w:rPr>
          <w:b/>
        </w:rPr>
      </w:pPr>
      <w:r w:rsidRPr="004E0D50">
        <w:rPr>
          <w:b/>
        </w:rPr>
        <w:t>Commonwealth standard grant a</w:t>
      </w:r>
      <w:r w:rsidR="000E055E" w:rsidRPr="004E0D50">
        <w:rPr>
          <w:b/>
        </w:rPr>
        <w:t xml:space="preserve">greement </w:t>
      </w:r>
    </w:p>
    <w:p w:rsidR="000E055E" w:rsidRPr="004E0D50" w:rsidRDefault="000E055E" w:rsidP="000E055E">
      <w:r w:rsidRPr="004E0D50">
        <w:rPr>
          <w:iCs/>
        </w:rPr>
        <w:t>We will use</w:t>
      </w:r>
      <w:r w:rsidR="00357D08" w:rsidRPr="004E0D50">
        <w:rPr>
          <w:iCs/>
        </w:rPr>
        <w:t xml:space="preserve"> a Commonwealth s</w:t>
      </w:r>
      <w:r w:rsidRPr="004E0D50">
        <w:rPr>
          <w:iCs/>
        </w:rPr>
        <w:t>tandard grant agreement.</w:t>
      </w:r>
    </w:p>
    <w:p w:rsidR="000E055E" w:rsidRPr="004E0D50" w:rsidRDefault="000E055E" w:rsidP="000E055E">
      <w:pPr>
        <w:rPr>
          <w:iCs/>
        </w:rPr>
      </w:pPr>
      <w:r w:rsidRPr="004E0D50">
        <w:rPr>
          <w:iCs/>
        </w:rPr>
        <w:t xml:space="preserve">You will have 20 days from the date of a written offer to execute this grant agreement with the Commonwealth (‘execute’ means both you and the Commonwealth have signed the agreement). During this time, we will work with you to finalise details. </w:t>
      </w:r>
    </w:p>
    <w:p w:rsidR="000E055E" w:rsidRPr="004E0D50" w:rsidRDefault="000E055E" w:rsidP="000E055E">
      <w:pPr>
        <w:rPr>
          <w:iCs/>
        </w:rPr>
      </w:pPr>
      <w:r w:rsidRPr="004E0D50">
        <w:rPr>
          <w:iCs/>
        </w:rPr>
        <w:t>The offer may lapse if both parties do not sign the grant agreement within this time. Under certain circumstances, we may extend this period. We base the approval of your grant on the information you provide in your application.</w:t>
      </w:r>
    </w:p>
    <w:p w:rsidR="000E055E" w:rsidRPr="004E0D50" w:rsidRDefault="000E055E" w:rsidP="000E055E">
      <w:pPr>
        <w:rPr>
          <w:iCs/>
        </w:rPr>
      </w:pPr>
      <w:r w:rsidRPr="004E0D50">
        <w:rPr>
          <w:iCs/>
        </w:rPr>
        <w:t xml:space="preserve">You may request changes to the grant agreement. However, we will review any changes to make sure they do not affect the </w:t>
      </w:r>
      <w:r w:rsidRPr="004E0D50">
        <w:t>grant</w:t>
      </w:r>
      <w:r w:rsidRPr="004E0D50">
        <w:rPr>
          <w:iCs/>
        </w:rPr>
        <w:t xml:space="preserve"> as approved by the decision maker.</w:t>
      </w:r>
    </w:p>
    <w:p w:rsidR="000E055E" w:rsidRPr="004E0D50" w:rsidRDefault="000E055E" w:rsidP="000E055E">
      <w:r w:rsidRPr="004E0D50">
        <w:t>The Commonwealth may recover grant funds if there is a breach of the grant agreement.</w:t>
      </w:r>
    </w:p>
    <w:p w:rsidR="000E055E" w:rsidRPr="004E0D50" w:rsidRDefault="000E055E" w:rsidP="008F0B87">
      <w:pPr>
        <w:pStyle w:val="Heading3"/>
      </w:pPr>
      <w:bookmarkStart w:id="75" w:name="_Toc536623359"/>
      <w:r w:rsidRPr="004E0D50">
        <w:t>How we pay the grant</w:t>
      </w:r>
      <w:bookmarkEnd w:id="75"/>
    </w:p>
    <w:p w:rsidR="000E055E" w:rsidRPr="004E0D50" w:rsidRDefault="000E055E" w:rsidP="000E055E">
      <w:r w:rsidRPr="004E0D50">
        <w:t xml:space="preserve">The successful applicant must sign a grant agreement with the Australian Government before funding is available. </w:t>
      </w:r>
    </w:p>
    <w:p w:rsidR="000E055E" w:rsidRPr="004E0D50" w:rsidRDefault="000E055E" w:rsidP="000E055E">
      <w:r w:rsidRPr="004E0D50">
        <w:t>Payments will be made in accordance with the agreed milestones and payment schedules.</w:t>
      </w:r>
    </w:p>
    <w:p w:rsidR="000E055E" w:rsidRPr="004E0D50" w:rsidRDefault="000E055E" w:rsidP="000E055E">
      <w:pPr>
        <w:tabs>
          <w:tab w:val="left" w:pos="0"/>
        </w:tabs>
        <w:rPr>
          <w:bCs/>
          <w:lang w:eastAsia="en-AU"/>
        </w:rPr>
      </w:pPr>
      <w:r w:rsidRPr="004E0D50">
        <w:rPr>
          <w:bCs/>
          <w:lang w:eastAsia="en-AU"/>
        </w:rPr>
        <w:lastRenderedPageBreak/>
        <w:t>The grant agreement will specify matters such as the:</w:t>
      </w:r>
    </w:p>
    <w:p w:rsidR="000E055E" w:rsidRPr="004E0D50" w:rsidRDefault="000E055E" w:rsidP="000E055E">
      <w:pPr>
        <w:pStyle w:val="ListBullet"/>
        <w:numPr>
          <w:ilvl w:val="0"/>
          <w:numId w:val="7"/>
        </w:numPr>
      </w:pPr>
      <w:r w:rsidRPr="004E0D50">
        <w:t>maximum grant amount to be paid</w:t>
      </w:r>
    </w:p>
    <w:p w:rsidR="000E055E" w:rsidRPr="004E0D50" w:rsidRDefault="000E055E" w:rsidP="000E055E">
      <w:pPr>
        <w:pStyle w:val="ListBullet"/>
        <w:numPr>
          <w:ilvl w:val="0"/>
          <w:numId w:val="7"/>
        </w:numPr>
      </w:pPr>
      <w:r w:rsidRPr="004E0D50">
        <w:t>proportion of eligible expenditure covered by the grant (grant percentage)</w:t>
      </w:r>
    </w:p>
    <w:p w:rsidR="000E055E" w:rsidRPr="004E0D50" w:rsidRDefault="000E055E" w:rsidP="000E055E">
      <w:pPr>
        <w:pStyle w:val="ListBullet"/>
        <w:numPr>
          <w:ilvl w:val="0"/>
          <w:numId w:val="7"/>
        </w:numPr>
      </w:pPr>
      <w:r w:rsidRPr="004E0D50">
        <w:t>any financial contributions you will make</w:t>
      </w:r>
    </w:p>
    <w:p w:rsidR="000E055E" w:rsidRPr="004E0D50" w:rsidRDefault="000E055E" w:rsidP="000E055E">
      <w:pPr>
        <w:pStyle w:val="ListBullet"/>
        <w:numPr>
          <w:ilvl w:val="0"/>
          <w:numId w:val="7"/>
        </w:numPr>
      </w:pPr>
      <w:r w:rsidRPr="004E0D50">
        <w:t>any in-kind contributions you will make</w:t>
      </w:r>
    </w:p>
    <w:p w:rsidR="000E055E" w:rsidRPr="004E0D50" w:rsidRDefault="000E055E" w:rsidP="000E055E">
      <w:pPr>
        <w:pStyle w:val="ListBullet"/>
        <w:numPr>
          <w:ilvl w:val="0"/>
          <w:numId w:val="7"/>
        </w:numPr>
      </w:pPr>
      <w:r w:rsidRPr="004E0D50">
        <w:t>any financial contribution provided by a third party</w:t>
      </w:r>
      <w:r w:rsidR="005A0578">
        <w:t>.</w:t>
      </w:r>
    </w:p>
    <w:p w:rsidR="000E055E" w:rsidRPr="004E0D50" w:rsidRDefault="000E055E" w:rsidP="000E055E">
      <w:pPr>
        <w:tabs>
          <w:tab w:val="left" w:pos="0"/>
        </w:tabs>
        <w:rPr>
          <w:bCs/>
          <w:lang w:eastAsia="en-AU"/>
        </w:rPr>
      </w:pPr>
      <w:r w:rsidRPr="004E0D50">
        <w:rPr>
          <w:bCs/>
          <w:lang w:eastAsia="en-AU"/>
        </w:rPr>
        <w:t>We will not exceed the maximum grant amount under any circumstances. If you incur extra costs, you must meet them yourself.</w:t>
      </w:r>
    </w:p>
    <w:p w:rsidR="000E055E" w:rsidRPr="004E0D50" w:rsidRDefault="000E055E" w:rsidP="000E055E">
      <w:r w:rsidRPr="004E0D50">
        <w:t xml:space="preserve">We will make payments according to an agreed schedule set out in the grant agreement. Payments will be subject to meeting milestones and satisfactory progress on grant project activities, with an amount set aside for the final payment. We will pay this when you submit a satisfactory final report demonstrating you have completed outstanding obligations. </w:t>
      </w:r>
    </w:p>
    <w:p w:rsidR="000E055E" w:rsidRPr="004E0D50" w:rsidRDefault="00DA7F98" w:rsidP="008F0B87">
      <w:pPr>
        <w:pStyle w:val="Heading3"/>
      </w:pPr>
      <w:bookmarkStart w:id="76" w:name="_Toc536623360"/>
      <w:r>
        <w:t>Grants p</w:t>
      </w:r>
      <w:r w:rsidR="000E055E" w:rsidRPr="004E0D50">
        <w:t>ayments and GST</w:t>
      </w:r>
      <w:bookmarkEnd w:id="76"/>
    </w:p>
    <w:p w:rsidR="000E055E" w:rsidRPr="004E0D50" w:rsidRDefault="000E055E" w:rsidP="000E055E">
      <w:r w:rsidRPr="004E0D50">
        <w:t>If you are registered for the Goods and Services Tax (GST), where applicable, we will add GST to your grant payment and issue you with a Recipient Created Tax Invoice.</w:t>
      </w:r>
    </w:p>
    <w:p w:rsidR="000E055E" w:rsidRPr="004E0D50" w:rsidRDefault="000E055E" w:rsidP="000E055E">
      <w:r w:rsidRPr="004E0D50">
        <w:t xml:space="preserve">Grants are assessable income for taxation purposes, unless exempted by a taxation law. We recommend you seek independent professional advice on your taxation obligations or seek assistance from the </w:t>
      </w:r>
      <w:hyperlink r:id="rId38" w:history="1">
        <w:r w:rsidRPr="004E0D50">
          <w:rPr>
            <w:rStyle w:val="Hyperlink"/>
            <w:color w:val="auto"/>
          </w:rPr>
          <w:t>Australian Taxation Office</w:t>
        </w:r>
      </w:hyperlink>
      <w:r w:rsidR="00357D08" w:rsidRPr="004E0D50">
        <w:t xml:space="preserve">. </w:t>
      </w:r>
      <w:r w:rsidRPr="004E0D50">
        <w:t>We do not provide advice on your particular taxation circumstances.</w:t>
      </w:r>
    </w:p>
    <w:p w:rsidR="000E055E" w:rsidRPr="004E0D50" w:rsidDel="00457E6C" w:rsidRDefault="000E055E" w:rsidP="00384E16">
      <w:pPr>
        <w:pStyle w:val="Heading2"/>
        <w:rPr>
          <w:color w:val="auto"/>
        </w:rPr>
      </w:pPr>
      <w:bookmarkStart w:id="77" w:name="_Toc536623361"/>
      <w:r w:rsidRPr="004E0D50" w:rsidDel="00457E6C">
        <w:rPr>
          <w:color w:val="auto"/>
        </w:rPr>
        <w:t>Announcement of grants</w:t>
      </w:r>
      <w:bookmarkEnd w:id="77"/>
    </w:p>
    <w:p w:rsidR="000E055E" w:rsidRPr="004E0D50" w:rsidDel="00457E6C" w:rsidRDefault="000E055E" w:rsidP="000E055E">
      <w:pPr>
        <w:rPr>
          <w:i/>
        </w:rPr>
      </w:pPr>
      <w:r w:rsidRPr="004E0D50" w:rsidDel="00457E6C">
        <w:t xml:space="preserve">If successful, your grant </w:t>
      </w:r>
      <w:r w:rsidRPr="004E0D50" w:rsidDel="0035202F">
        <w:t xml:space="preserve">will be listed </w:t>
      </w:r>
      <w:r w:rsidRPr="004E0D50" w:rsidDel="00457E6C">
        <w:t xml:space="preserve">on the GrantConnect website </w:t>
      </w:r>
      <w:r w:rsidRPr="004E0D50">
        <w:t>21</w:t>
      </w:r>
      <w:r w:rsidRPr="004E0D50" w:rsidDel="00457E6C">
        <w:t xml:space="preserve"> </w:t>
      </w:r>
      <w:r w:rsidRPr="004E0D50">
        <w:t xml:space="preserve">calendar </w:t>
      </w:r>
      <w:r w:rsidRPr="004E0D50" w:rsidDel="00457E6C">
        <w:t>days after the date of effect as required by Section 5.3 of the CGRGs.</w:t>
      </w:r>
    </w:p>
    <w:p w:rsidR="000E055E" w:rsidRPr="004E0D50" w:rsidRDefault="000E055E" w:rsidP="00384E16">
      <w:pPr>
        <w:pStyle w:val="Heading2"/>
        <w:rPr>
          <w:color w:val="auto"/>
        </w:rPr>
      </w:pPr>
      <w:bookmarkStart w:id="78" w:name="_Toc536623362"/>
      <w:r w:rsidRPr="004E0D50">
        <w:rPr>
          <w:color w:val="auto"/>
        </w:rPr>
        <w:t>How we monitor your grant activity</w:t>
      </w:r>
      <w:bookmarkEnd w:id="78"/>
    </w:p>
    <w:p w:rsidR="000E055E" w:rsidRPr="004E0D50" w:rsidRDefault="000E055E" w:rsidP="008F0B87">
      <w:pPr>
        <w:pStyle w:val="Heading3"/>
      </w:pPr>
      <w:bookmarkStart w:id="79" w:name="_Toc536623363"/>
      <w:r w:rsidRPr="004E0D50">
        <w:t>Keeping us informed</w:t>
      </w:r>
      <w:bookmarkEnd w:id="79"/>
    </w:p>
    <w:p w:rsidR="000E055E" w:rsidRPr="004E0D50" w:rsidRDefault="000E055E" w:rsidP="000E055E">
      <w:r w:rsidRPr="004E0D50">
        <w:t xml:space="preserve">You should let us know if anything is likely to affect your grant activity or organisation. </w:t>
      </w:r>
    </w:p>
    <w:p w:rsidR="000E055E" w:rsidRPr="004E0D50" w:rsidRDefault="000E055E" w:rsidP="000E055E">
      <w:r w:rsidRPr="004E0D50">
        <w:t>We need to know of any key changes to your organisation or its business activities, particularly if they affect your ability to complete your grant, carry on business and pay debts due.</w:t>
      </w:r>
    </w:p>
    <w:p w:rsidR="000E055E" w:rsidRPr="004E0D50" w:rsidRDefault="000E055E" w:rsidP="000E055E">
      <w:r w:rsidRPr="004E0D50">
        <w:t>You must also inform us of any changes to your:</w:t>
      </w:r>
    </w:p>
    <w:p w:rsidR="000E055E" w:rsidRPr="004E0D50" w:rsidRDefault="000E055E" w:rsidP="000E055E">
      <w:pPr>
        <w:pStyle w:val="ListBullet"/>
        <w:numPr>
          <w:ilvl w:val="0"/>
          <w:numId w:val="7"/>
        </w:numPr>
      </w:pPr>
      <w:r w:rsidRPr="004E0D50">
        <w:t>name</w:t>
      </w:r>
    </w:p>
    <w:p w:rsidR="000E055E" w:rsidRPr="004E0D50" w:rsidRDefault="000E055E" w:rsidP="000E055E">
      <w:pPr>
        <w:pStyle w:val="ListBullet"/>
        <w:numPr>
          <w:ilvl w:val="0"/>
          <w:numId w:val="7"/>
        </w:numPr>
      </w:pPr>
      <w:r w:rsidRPr="004E0D50">
        <w:t>addresses</w:t>
      </w:r>
    </w:p>
    <w:p w:rsidR="000E055E" w:rsidRPr="004E0D50" w:rsidRDefault="000E055E" w:rsidP="000E055E">
      <w:pPr>
        <w:pStyle w:val="ListBullet"/>
        <w:numPr>
          <w:ilvl w:val="0"/>
          <w:numId w:val="7"/>
        </w:numPr>
      </w:pPr>
      <w:r w:rsidRPr="004E0D50">
        <w:t>nominated contact details</w:t>
      </w:r>
    </w:p>
    <w:p w:rsidR="000E055E" w:rsidRPr="004E0D50" w:rsidRDefault="000E055E" w:rsidP="000E055E">
      <w:pPr>
        <w:pStyle w:val="ListBullet"/>
        <w:numPr>
          <w:ilvl w:val="0"/>
          <w:numId w:val="7"/>
        </w:numPr>
      </w:pPr>
      <w:r w:rsidRPr="004E0D50">
        <w:t>bank account details</w:t>
      </w:r>
    </w:p>
    <w:p w:rsidR="000E055E" w:rsidRPr="004E0D50" w:rsidRDefault="000E055E" w:rsidP="000E055E">
      <w:pPr>
        <w:pStyle w:val="ListBullet"/>
        <w:numPr>
          <w:ilvl w:val="0"/>
          <w:numId w:val="7"/>
        </w:numPr>
      </w:pPr>
      <w:r w:rsidRPr="004E0D50">
        <w:t xml:space="preserve">ABN. </w:t>
      </w:r>
    </w:p>
    <w:p w:rsidR="000E055E" w:rsidRPr="004E0D50" w:rsidRDefault="000E055E" w:rsidP="000E055E">
      <w:r w:rsidRPr="004E0D50">
        <w:t xml:space="preserve">If you become aware of a breach of terms and conditions under the grant agreement, you must contact us immediately. </w:t>
      </w:r>
    </w:p>
    <w:p w:rsidR="000E055E" w:rsidRPr="004E0D50" w:rsidRDefault="000E055E" w:rsidP="000E055E">
      <w:r w:rsidRPr="004E0D50">
        <w:t>You must notify us of events relating to your grant and provide an opportunity for the Minister or their representative to attend.</w:t>
      </w:r>
    </w:p>
    <w:p w:rsidR="000E055E" w:rsidRPr="004E0D50" w:rsidRDefault="000E055E" w:rsidP="008F0B87">
      <w:pPr>
        <w:pStyle w:val="Heading3"/>
      </w:pPr>
      <w:bookmarkStart w:id="80" w:name="_Toc536623364"/>
      <w:r w:rsidRPr="004E0D50">
        <w:lastRenderedPageBreak/>
        <w:t>Reporting</w:t>
      </w:r>
      <w:bookmarkEnd w:id="80"/>
      <w:r w:rsidRPr="004E0D50">
        <w:t xml:space="preserve"> </w:t>
      </w:r>
    </w:p>
    <w:p w:rsidR="000E055E" w:rsidRPr="004E0D50" w:rsidRDefault="000E055E" w:rsidP="000E055E">
      <w:pPr>
        <w:rPr>
          <w:rFonts w:cstheme="minorHAnsi"/>
        </w:rPr>
      </w:pPr>
      <w:r w:rsidRPr="004E0D50">
        <w:rPr>
          <w:rFonts w:cstheme="minorHAnsi"/>
        </w:rPr>
        <w:t>You must submit reports</w:t>
      </w:r>
      <w:r w:rsidRPr="004E0D50">
        <w:rPr>
          <w:rFonts w:cstheme="minorHAnsi"/>
          <w:b/>
        </w:rPr>
        <w:t xml:space="preserve"> </w:t>
      </w:r>
      <w:r w:rsidRPr="004E0D50">
        <w:rPr>
          <w:rFonts w:cstheme="minorHAnsi"/>
        </w:rPr>
        <w:t>in line with the</w:t>
      </w:r>
      <w:r w:rsidRPr="004E0D50" w:rsidDel="00D505A5">
        <w:rPr>
          <w:rFonts w:cstheme="minorHAnsi"/>
        </w:rPr>
        <w:t xml:space="preserve"> </w:t>
      </w:r>
      <w:hyperlink r:id="rId39" w:history="1">
        <w:r w:rsidRPr="004E0D50">
          <w:rPr>
            <w:rFonts w:cstheme="minorHAnsi"/>
          </w:rPr>
          <w:t>grant agreement</w:t>
        </w:r>
      </w:hyperlink>
      <w:r w:rsidRPr="004E0D50">
        <w:rPr>
          <w:rFonts w:cstheme="minorHAnsi"/>
        </w:rPr>
        <w:t xml:space="preserve">. We will remind you of your reporting obligations before a report is due. We will expect you to </w:t>
      </w:r>
      <w:r w:rsidR="006E029F" w:rsidRPr="004E0D50">
        <w:rPr>
          <w:rFonts w:cstheme="minorHAnsi"/>
        </w:rPr>
        <w:t xml:space="preserve">provide evidence </w:t>
      </w:r>
      <w:r w:rsidRPr="004E0D50">
        <w:rPr>
          <w:rFonts w:cstheme="minorHAnsi"/>
        </w:rPr>
        <w:t>on:</w:t>
      </w:r>
    </w:p>
    <w:p w:rsidR="000E055E" w:rsidRPr="004E0D50" w:rsidRDefault="000E055E" w:rsidP="000E055E">
      <w:pPr>
        <w:pStyle w:val="ListBullet"/>
        <w:numPr>
          <w:ilvl w:val="0"/>
          <w:numId w:val="7"/>
        </w:numPr>
      </w:pPr>
      <w:r w:rsidRPr="004E0D50">
        <w:t>progress against agreed milestones and outcomes</w:t>
      </w:r>
    </w:p>
    <w:p w:rsidR="000E055E" w:rsidRPr="004E0D50" w:rsidRDefault="000E055E" w:rsidP="000E055E">
      <w:pPr>
        <w:pStyle w:val="ListBullet"/>
        <w:numPr>
          <w:ilvl w:val="0"/>
          <w:numId w:val="7"/>
        </w:numPr>
      </w:pPr>
      <w:r w:rsidRPr="004E0D50">
        <w:t>expenditure of the grant.</w:t>
      </w:r>
    </w:p>
    <w:p w:rsidR="000E055E" w:rsidRPr="004E0D50" w:rsidRDefault="000E055E" w:rsidP="000E055E">
      <w:r w:rsidRPr="004E0D50">
        <w:t xml:space="preserve">The </w:t>
      </w:r>
      <w:r w:rsidR="006E029F" w:rsidRPr="004E0D50">
        <w:t xml:space="preserve">evidence required will be specified in the grant agreement and </w:t>
      </w:r>
      <w:r w:rsidR="0081531C" w:rsidRPr="004E0D50">
        <w:t xml:space="preserve">the </w:t>
      </w:r>
      <w:r w:rsidRPr="004E0D50">
        <w:t xml:space="preserve">amount of detail you provide in your reports should be relative to the size, complexity and grant amount. </w:t>
      </w:r>
    </w:p>
    <w:p w:rsidR="000E055E" w:rsidRPr="004E0D50" w:rsidRDefault="000E055E" w:rsidP="000E055E">
      <w:r w:rsidRPr="004E0D50">
        <w:t xml:space="preserve">We will monitor progress by assessing reports you submit and may conduct site visits or request records to confirm details of your reports if necessary. Occasionally we may need to re-examine claims, seek further information or request an independent audit of claims and payments. </w:t>
      </w:r>
    </w:p>
    <w:p w:rsidR="00AE1CAC" w:rsidRPr="004E0D50" w:rsidRDefault="00AE1CAC" w:rsidP="00AE1CAC">
      <w:r w:rsidRPr="004E0D50">
        <w:t>You must discuss any reporting delays with us as soon as you become aware of them.</w:t>
      </w:r>
    </w:p>
    <w:p w:rsidR="000E055E" w:rsidRPr="004E0D50" w:rsidRDefault="000E055E" w:rsidP="000E055E">
      <w:r w:rsidRPr="004E0D50">
        <w:rPr>
          <w:b/>
        </w:rPr>
        <w:t>Progress reports</w:t>
      </w:r>
    </w:p>
    <w:p w:rsidR="000E055E" w:rsidRPr="004E0D50" w:rsidRDefault="000E055E" w:rsidP="000E055E">
      <w:r w:rsidRPr="004E0D50">
        <w:t>Progress reports must:</w:t>
      </w:r>
    </w:p>
    <w:p w:rsidR="000E055E" w:rsidRPr="004E0D50" w:rsidRDefault="000E055E" w:rsidP="000E055E">
      <w:pPr>
        <w:pStyle w:val="ListBullet"/>
        <w:numPr>
          <w:ilvl w:val="0"/>
          <w:numId w:val="7"/>
        </w:numPr>
        <w:spacing w:before="60" w:after="60"/>
        <w:ind w:left="357" w:hanging="357"/>
      </w:pPr>
      <w:r w:rsidRPr="004E0D50">
        <w:t>include evidence of your progress towards completion of agreed activities and outcomes</w:t>
      </w:r>
    </w:p>
    <w:p w:rsidR="000E055E" w:rsidRPr="004E0D50" w:rsidRDefault="000E055E" w:rsidP="000E055E">
      <w:pPr>
        <w:pStyle w:val="ListBullet"/>
        <w:numPr>
          <w:ilvl w:val="0"/>
          <w:numId w:val="7"/>
        </w:numPr>
        <w:spacing w:before="60" w:after="60"/>
        <w:ind w:left="357" w:hanging="357"/>
      </w:pPr>
      <w:r w:rsidRPr="004E0D50">
        <w:t>show the total eligible expenditure incurred to date</w:t>
      </w:r>
    </w:p>
    <w:p w:rsidR="000E055E" w:rsidRPr="004E0D50" w:rsidRDefault="000E055E" w:rsidP="000E055E">
      <w:pPr>
        <w:pStyle w:val="ListBullet"/>
        <w:numPr>
          <w:ilvl w:val="0"/>
          <w:numId w:val="7"/>
        </w:numPr>
        <w:spacing w:before="60" w:after="60"/>
        <w:ind w:left="357" w:hanging="357"/>
      </w:pPr>
      <w:r w:rsidRPr="004E0D50">
        <w:t>be submitted by the report due date (you can submit reports ahead of time if you have completed relevant activities).</w:t>
      </w:r>
    </w:p>
    <w:p w:rsidR="000E055E" w:rsidRPr="004E0D50" w:rsidRDefault="000E055E" w:rsidP="000E055E">
      <w:r w:rsidRPr="004E0D50">
        <w:t xml:space="preserve">We will only make </w:t>
      </w:r>
      <w:r w:rsidR="006E029F" w:rsidRPr="004E0D50">
        <w:t xml:space="preserve">any associated </w:t>
      </w:r>
      <w:r w:rsidRPr="004E0D50">
        <w:t xml:space="preserve">grant payments when we accept your progress reports. </w:t>
      </w:r>
    </w:p>
    <w:p w:rsidR="000E055E" w:rsidRPr="004E0D50" w:rsidRDefault="000E055E" w:rsidP="000E055E">
      <w:r w:rsidRPr="004E0D50">
        <w:rPr>
          <w:b/>
        </w:rPr>
        <w:t xml:space="preserve">Ad-hoc reports </w:t>
      </w:r>
    </w:p>
    <w:p w:rsidR="000E055E" w:rsidRPr="004E0D50" w:rsidRDefault="000E055E" w:rsidP="000E055E">
      <w:r w:rsidRPr="004E0D50">
        <w:t>We may ask you for ad-hoc reports on your grant. This may be to provide an update on progress, or any significant delays or difficulties in completing the grant activity.</w:t>
      </w:r>
    </w:p>
    <w:p w:rsidR="000E055E" w:rsidRPr="004E0D50" w:rsidRDefault="000E055E" w:rsidP="000E055E">
      <w:r w:rsidRPr="004E0D50">
        <w:rPr>
          <w:b/>
        </w:rPr>
        <w:t xml:space="preserve">Final report </w:t>
      </w:r>
    </w:p>
    <w:p w:rsidR="000E055E" w:rsidRPr="004E0D50" w:rsidRDefault="000E055E" w:rsidP="000E055E">
      <w:r w:rsidRPr="004E0D50">
        <w:t>When you complete the grant activity, you must submit a final report.</w:t>
      </w:r>
    </w:p>
    <w:p w:rsidR="000E055E" w:rsidRPr="004E0D50" w:rsidRDefault="000E055E" w:rsidP="000E055E">
      <w:pPr>
        <w:keepNext/>
      </w:pPr>
      <w:r w:rsidRPr="004E0D50">
        <w:t>Final reports must:</w:t>
      </w:r>
    </w:p>
    <w:p w:rsidR="000E055E" w:rsidRPr="004E0D50" w:rsidRDefault="000E055E" w:rsidP="000E055E">
      <w:pPr>
        <w:pStyle w:val="ListBullet"/>
        <w:numPr>
          <w:ilvl w:val="0"/>
          <w:numId w:val="7"/>
        </w:numPr>
        <w:spacing w:before="60" w:after="60"/>
        <w:ind w:left="357" w:hanging="357"/>
      </w:pPr>
      <w:r w:rsidRPr="004E0D50">
        <w:t>identify if and how outcomes have been achieved</w:t>
      </w:r>
    </w:p>
    <w:p w:rsidR="000E055E" w:rsidRPr="004E0D50" w:rsidRDefault="000E055E" w:rsidP="000E055E">
      <w:pPr>
        <w:pStyle w:val="ListBullet"/>
        <w:numPr>
          <w:ilvl w:val="0"/>
          <w:numId w:val="7"/>
        </w:numPr>
        <w:spacing w:before="60" w:after="60"/>
        <w:ind w:left="357" w:hanging="357"/>
      </w:pPr>
      <w:r w:rsidRPr="004E0D50">
        <w:t>include the agreed evidence as specified in the grant agreement</w:t>
      </w:r>
    </w:p>
    <w:p w:rsidR="000E055E" w:rsidRPr="004E0D50" w:rsidRDefault="000E055E" w:rsidP="000E055E">
      <w:pPr>
        <w:pStyle w:val="ListBullet"/>
        <w:numPr>
          <w:ilvl w:val="0"/>
          <w:numId w:val="7"/>
        </w:numPr>
        <w:spacing w:before="60" w:after="60"/>
        <w:ind w:left="357" w:hanging="357"/>
      </w:pPr>
      <w:r w:rsidRPr="004E0D50">
        <w:t>identify the total eligible expenditure incurred</w:t>
      </w:r>
    </w:p>
    <w:p w:rsidR="000E055E" w:rsidRPr="004E0D50" w:rsidRDefault="000E055E" w:rsidP="000E055E">
      <w:pPr>
        <w:pStyle w:val="ListBullet"/>
        <w:numPr>
          <w:ilvl w:val="0"/>
          <w:numId w:val="7"/>
        </w:numPr>
        <w:spacing w:before="60" w:after="60"/>
        <w:ind w:left="357" w:hanging="357"/>
      </w:pPr>
      <w:r w:rsidRPr="004E0D50">
        <w:t>be submitted by the report due date.</w:t>
      </w:r>
    </w:p>
    <w:p w:rsidR="00AE1CAC" w:rsidRPr="004E0D50" w:rsidRDefault="00AE1CAC" w:rsidP="00AE1CAC">
      <w:pPr>
        <w:pStyle w:val="ListBullet"/>
        <w:numPr>
          <w:ilvl w:val="0"/>
          <w:numId w:val="0"/>
        </w:numPr>
        <w:ind w:left="360" w:hanging="360"/>
      </w:pPr>
      <w:r w:rsidRPr="004E0D50">
        <w:t xml:space="preserve">We will only make any associated grant payments when we accept your final report. </w:t>
      </w:r>
    </w:p>
    <w:p w:rsidR="000E055E" w:rsidRPr="004E0D50" w:rsidRDefault="000E055E" w:rsidP="008F0B87">
      <w:pPr>
        <w:pStyle w:val="Heading3"/>
      </w:pPr>
      <w:bookmarkStart w:id="81" w:name="_Toc536623365"/>
      <w:r w:rsidRPr="004E0D50">
        <w:t>Financial declaration</w:t>
      </w:r>
      <w:bookmarkEnd w:id="81"/>
    </w:p>
    <w:p w:rsidR="000E055E" w:rsidRPr="004E0D50" w:rsidRDefault="000E055E" w:rsidP="000E055E">
      <w:r w:rsidRPr="004E0D50">
        <w:t>You will be required to provide a declaration that the grant money was spent in accordance with the grant agreement and to report on any underspends of the grant money.</w:t>
      </w:r>
    </w:p>
    <w:p w:rsidR="000E055E" w:rsidRPr="004E0D50" w:rsidRDefault="000E055E" w:rsidP="008F0B87">
      <w:pPr>
        <w:pStyle w:val="Heading3"/>
      </w:pPr>
      <w:bookmarkStart w:id="82" w:name="_Toc536623366"/>
      <w:r w:rsidRPr="004E0D50">
        <w:t>Grant agreement variations</w:t>
      </w:r>
      <w:bookmarkEnd w:id="82"/>
    </w:p>
    <w:p w:rsidR="000E055E" w:rsidRPr="004E0D50" w:rsidRDefault="000E055E" w:rsidP="000E055E">
      <w:pPr>
        <w:tabs>
          <w:tab w:val="left" w:pos="0"/>
        </w:tabs>
        <w:rPr>
          <w:bCs/>
          <w:lang w:eastAsia="en-AU"/>
        </w:rPr>
      </w:pPr>
      <w:r w:rsidRPr="004E0D50">
        <w:rPr>
          <w:bCs/>
          <w:lang w:eastAsia="en-AU"/>
        </w:rPr>
        <w:t>We recognise that unexpected events may affect your progress. In these circumstances, you can request a variation to your grant agreement. You can request a variation by contacting your Funding Agreement Manager</w:t>
      </w:r>
      <w:r w:rsidR="007E17A1" w:rsidRPr="004E0D50">
        <w:rPr>
          <w:bCs/>
          <w:lang w:eastAsia="en-AU"/>
        </w:rPr>
        <w:t>.</w:t>
      </w:r>
      <w:r w:rsidRPr="004E0D50">
        <w:rPr>
          <w:bCs/>
          <w:lang w:eastAsia="en-AU"/>
        </w:rPr>
        <w:t xml:space="preserve"> </w:t>
      </w:r>
    </w:p>
    <w:p w:rsidR="000E055E" w:rsidRPr="004E0D50" w:rsidRDefault="000E055E" w:rsidP="000E055E">
      <w:r w:rsidRPr="004E0D50">
        <w:t>You should not assume that a variation request will be successful. We will consider your request based on provisions in the grant agreement and the likely impact on achieving outcomes.</w:t>
      </w:r>
    </w:p>
    <w:p w:rsidR="000E055E" w:rsidRPr="004E0D50" w:rsidRDefault="000E055E" w:rsidP="008F0B87">
      <w:pPr>
        <w:pStyle w:val="Heading3"/>
      </w:pPr>
      <w:bookmarkStart w:id="83" w:name="_Toc536623367"/>
      <w:r w:rsidRPr="004E0D50">
        <w:lastRenderedPageBreak/>
        <w:t>Compliance visits</w:t>
      </w:r>
      <w:bookmarkEnd w:id="83"/>
      <w:r w:rsidRPr="004E0D50">
        <w:t xml:space="preserve"> </w:t>
      </w:r>
    </w:p>
    <w:p w:rsidR="000E055E" w:rsidRPr="004E0D50" w:rsidRDefault="000E055E" w:rsidP="000E055E">
      <w:r w:rsidRPr="004E0D50">
        <w:t>We may visit you during or at the completion of your grant activity to review your compliance with the grant agreement. We will provide you with reasonable notice of any compliance visit.</w:t>
      </w:r>
    </w:p>
    <w:p w:rsidR="000E055E" w:rsidRPr="004E0D50" w:rsidRDefault="000E055E" w:rsidP="008F0B87">
      <w:pPr>
        <w:pStyle w:val="Heading3"/>
      </w:pPr>
      <w:bookmarkStart w:id="84" w:name="_Toc536623368"/>
      <w:r w:rsidRPr="004E0D50">
        <w:t>Record keeping</w:t>
      </w:r>
      <w:bookmarkEnd w:id="84"/>
    </w:p>
    <w:p w:rsidR="000E055E" w:rsidRPr="004E0D50" w:rsidRDefault="000E055E" w:rsidP="000E055E">
      <w:r w:rsidRPr="004E0D50">
        <w:t xml:space="preserve">We may also inspect the records you are required to keep under the grant agreement. </w:t>
      </w:r>
    </w:p>
    <w:p w:rsidR="000E055E" w:rsidRPr="004E0D50" w:rsidRDefault="000E055E" w:rsidP="008F0B87">
      <w:pPr>
        <w:pStyle w:val="Heading3"/>
      </w:pPr>
      <w:bookmarkStart w:id="85" w:name="_Toc536623369"/>
      <w:r w:rsidRPr="004E0D50">
        <w:t>Evaluation</w:t>
      </w:r>
      <w:bookmarkEnd w:id="85"/>
    </w:p>
    <w:p w:rsidR="000E055E" w:rsidRPr="004E0D50" w:rsidRDefault="000E055E" w:rsidP="000E055E">
      <w:r w:rsidRPr="004E0D50">
        <w:t>We will evaluate the program 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rsidR="000E055E" w:rsidRPr="004E0D50" w:rsidRDefault="000E055E" w:rsidP="000E055E">
      <w:r w:rsidRPr="004E0D50">
        <w:t xml:space="preserve">We may contact you up to two years after you finish your grant for more information to </w:t>
      </w:r>
      <w:r w:rsidR="00BC577E">
        <w:t>help</w:t>
      </w:r>
      <w:r w:rsidRPr="004E0D50">
        <w:t xml:space="preserve"> with this evaluation.</w:t>
      </w:r>
    </w:p>
    <w:p w:rsidR="000E055E" w:rsidRPr="004E0D50" w:rsidRDefault="000E055E" w:rsidP="008F0B87">
      <w:pPr>
        <w:pStyle w:val="Heading3"/>
      </w:pPr>
      <w:bookmarkStart w:id="86" w:name="_Toc536623370"/>
      <w:r w:rsidRPr="004E0D50">
        <w:t>Acknowledgement</w:t>
      </w:r>
      <w:bookmarkEnd w:id="86"/>
    </w:p>
    <w:p w:rsidR="00384E16" w:rsidRPr="004E0D50" w:rsidRDefault="00384E16" w:rsidP="00384E16">
      <w:r w:rsidRPr="004E0D50">
        <w:t>All publicity for activities under the program must give appropriate recognition of Australian Government support.</w:t>
      </w:r>
    </w:p>
    <w:p w:rsidR="00384E16" w:rsidRPr="004E0D50" w:rsidRDefault="00384E16" w:rsidP="00384E16">
      <w:r w:rsidRPr="004E0D50">
        <w:t>This includes invitations to participate in formal project openings or launch ceremonies and any other publicity event.</w:t>
      </w:r>
    </w:p>
    <w:p w:rsidR="00384E16" w:rsidRPr="004E0D50" w:rsidRDefault="00384E16" w:rsidP="00384E16">
      <w:r w:rsidRPr="004E0D50">
        <w:t>Projects will be required to include appropriate branding and written acknowledgement of the program and the Australian Government on publicity materials developed. We will work with grantees in relation to publicity and acknowledgement.</w:t>
      </w:r>
    </w:p>
    <w:p w:rsidR="00384E16" w:rsidRPr="004E0D50" w:rsidRDefault="00384E16" w:rsidP="00384E16">
      <w:r w:rsidRPr="004E0D50">
        <w:t>The Australian Government logo should be used on all materials related to grants under the program. Whenever the logo is used, the publication must also acknowledge the Australian Government as follows:</w:t>
      </w:r>
    </w:p>
    <w:p w:rsidR="00384E16" w:rsidRPr="004E0D50" w:rsidRDefault="00384E16" w:rsidP="00384E16">
      <w:r w:rsidRPr="004E0D50">
        <w:t>‘Murray–Darling Basin Economic Development Program – an Australian Government initiative’.</w:t>
      </w:r>
    </w:p>
    <w:p w:rsidR="00384E16" w:rsidRPr="004E0D50" w:rsidRDefault="00384E16" w:rsidP="00384E16">
      <w:r w:rsidRPr="004E0D50">
        <w:t>If you make a public statement about an activity or project funded under the program, we require you to acknowledge the grant by using the following:</w:t>
      </w:r>
    </w:p>
    <w:p w:rsidR="007E1042" w:rsidRPr="004E0D50" w:rsidRDefault="007E1042" w:rsidP="007E1042">
      <w:r w:rsidRPr="004E0D50">
        <w:t>‘This Murray–Darling Basin Economic Development Program project received grant funding from the Australian Government.’</w:t>
      </w:r>
    </w:p>
    <w:p w:rsidR="000E055E" w:rsidRPr="004E0D50" w:rsidRDefault="000E055E" w:rsidP="00384E16">
      <w:pPr>
        <w:pStyle w:val="Heading2"/>
        <w:rPr>
          <w:color w:val="auto"/>
        </w:rPr>
      </w:pPr>
      <w:bookmarkStart w:id="87" w:name="_Toc536623371"/>
      <w:r w:rsidRPr="004E0D50">
        <w:rPr>
          <w:color w:val="auto"/>
        </w:rPr>
        <w:t>Probity</w:t>
      </w:r>
      <w:bookmarkEnd w:id="87"/>
    </w:p>
    <w:p w:rsidR="000E055E" w:rsidRPr="004E0D50" w:rsidRDefault="000E055E" w:rsidP="000E055E">
      <w:r w:rsidRPr="004E0D50">
        <w:t>The Australian Government will make sure that the grant opportunity process is fair, according to the published guidelines, incorporates appropriate safeguards against fraud, unlawful activities and other inappropriate conduct and is consistent with the CGRGs.</w:t>
      </w:r>
    </w:p>
    <w:p w:rsidR="000E055E" w:rsidRPr="004E0D50" w:rsidRDefault="000E055E" w:rsidP="000E055E">
      <w:r w:rsidRPr="004E0D50">
        <w:t xml:space="preserve">These guidelines may be changed from time-to-time. When this happens, the revised guidelines will be published on </w:t>
      </w:r>
      <w:hyperlink r:id="rId40" w:history="1">
        <w:r w:rsidRPr="004E0D50">
          <w:rPr>
            <w:rStyle w:val="Hyperlink"/>
            <w:color w:val="auto"/>
          </w:rPr>
          <w:t>GrantConnect</w:t>
        </w:r>
      </w:hyperlink>
      <w:r w:rsidRPr="004E0D50">
        <w:t xml:space="preserve"> and the </w:t>
      </w:r>
      <w:hyperlink r:id="rId41" w:history="1">
        <w:r w:rsidRPr="004E0D50">
          <w:rPr>
            <w:rStyle w:val="Hyperlink"/>
            <w:color w:val="auto"/>
          </w:rPr>
          <w:t>Community Grants Hub</w:t>
        </w:r>
      </w:hyperlink>
      <w:r w:rsidRPr="004E0D50">
        <w:t xml:space="preserve"> websites.</w:t>
      </w:r>
    </w:p>
    <w:p w:rsidR="000E055E" w:rsidRPr="004E0D50" w:rsidRDefault="000E055E" w:rsidP="008F0B87">
      <w:pPr>
        <w:pStyle w:val="Heading3"/>
      </w:pPr>
      <w:bookmarkStart w:id="88" w:name="_Toc536623372"/>
      <w:r w:rsidRPr="004E0D50">
        <w:t>Enquiries and feedback</w:t>
      </w:r>
      <w:bookmarkEnd w:id="88"/>
    </w:p>
    <w:p w:rsidR="00B86C0F" w:rsidRPr="004E0D50" w:rsidRDefault="00B86C0F" w:rsidP="00B86C0F">
      <w:pPr>
        <w:rPr>
          <w:b/>
        </w:rPr>
      </w:pPr>
      <w:r w:rsidRPr="004E0D50">
        <w:rPr>
          <w:b/>
        </w:rPr>
        <w:t xml:space="preserve">Complaints about the selection process </w:t>
      </w:r>
    </w:p>
    <w:p w:rsidR="00B86C0F" w:rsidRPr="004E0D50" w:rsidRDefault="00B86C0F" w:rsidP="00B86C0F">
      <w:r w:rsidRPr="004E0D50">
        <w:lastRenderedPageBreak/>
        <w:t xml:space="preserve">Applicants can contact the complaints service with complaints about the Community Grants Hub’s service(s) or the selection process. </w:t>
      </w:r>
    </w:p>
    <w:p w:rsidR="00B86C0F" w:rsidRPr="004E0D50" w:rsidRDefault="00B86C0F" w:rsidP="00B86C0F">
      <w:r w:rsidRPr="004E0D50">
        <w:t>Details of what makes an eligible complaint can be provided by asking the Community Grants Hub. Applicants can use the complaints form on the Department of Social Services website, by phone or mail.</w:t>
      </w:r>
    </w:p>
    <w:p w:rsidR="00B86C0F" w:rsidRPr="004E0D50" w:rsidRDefault="00B86C0F" w:rsidP="00B86C0F">
      <w:r w:rsidRPr="004E0D50">
        <w:t>Phone:</w:t>
      </w:r>
      <w:r w:rsidRPr="004E0D50">
        <w:tab/>
        <w:t>1800 634 035</w:t>
      </w:r>
    </w:p>
    <w:p w:rsidR="00B86C0F" w:rsidRPr="004E0D50" w:rsidRDefault="00B86C0F" w:rsidP="00B86C0F">
      <w:pPr>
        <w:spacing w:after="40" w:line="240" w:lineRule="auto"/>
      </w:pPr>
      <w:r w:rsidRPr="004E0D50">
        <w:t>Mail:</w:t>
      </w:r>
      <w:r w:rsidRPr="004E0D50">
        <w:tab/>
        <w:t xml:space="preserve">Complaints </w:t>
      </w:r>
    </w:p>
    <w:p w:rsidR="00B86C0F" w:rsidRPr="004E0D50" w:rsidRDefault="00B86C0F" w:rsidP="00B86C0F">
      <w:pPr>
        <w:spacing w:after="40" w:line="240" w:lineRule="auto"/>
      </w:pPr>
      <w:r w:rsidRPr="004E0D50">
        <w:tab/>
        <w:t>GPO Box 9820</w:t>
      </w:r>
    </w:p>
    <w:p w:rsidR="00B86C0F" w:rsidRPr="004E0D50" w:rsidRDefault="00B86C0F" w:rsidP="00B86C0F">
      <w:pPr>
        <w:spacing w:after="40" w:line="240" w:lineRule="auto"/>
      </w:pPr>
      <w:r w:rsidRPr="004E0D50">
        <w:tab/>
        <w:t>Canberra ACT 2601</w:t>
      </w:r>
    </w:p>
    <w:p w:rsidR="00087610" w:rsidRPr="004E0D50" w:rsidRDefault="00087610">
      <w:pPr>
        <w:spacing w:before="0" w:after="0" w:line="240" w:lineRule="auto"/>
        <w:rPr>
          <w:b/>
        </w:rPr>
      </w:pPr>
    </w:p>
    <w:p w:rsidR="000E055E" w:rsidRPr="004E0D50" w:rsidRDefault="000E055E" w:rsidP="000E055E">
      <w:pPr>
        <w:rPr>
          <w:b/>
        </w:rPr>
      </w:pPr>
      <w:r w:rsidRPr="004E0D50">
        <w:rPr>
          <w:b/>
        </w:rPr>
        <w:t>Complaints to the Ombudsman</w:t>
      </w:r>
    </w:p>
    <w:p w:rsidR="000E055E" w:rsidRPr="004E0D50" w:rsidRDefault="000E055E" w:rsidP="000E055E">
      <w:r w:rsidRPr="004E0D50">
        <w:t xml:space="preserve">If you do not agree with the </w:t>
      </w:r>
      <w:r w:rsidR="004D02AC" w:rsidRPr="004E0D50">
        <w:t xml:space="preserve">way </w:t>
      </w:r>
      <w:r w:rsidR="00B86C0F" w:rsidRPr="004E0D50">
        <w:t>the Community Grants Hub or the Department</w:t>
      </w:r>
      <w:r w:rsidR="00B31728" w:rsidRPr="004E0D50">
        <w:t xml:space="preserve"> </w:t>
      </w:r>
      <w:r w:rsidRPr="004E0D50">
        <w:t>have handled your complaint, you may complain to the</w:t>
      </w:r>
      <w:r w:rsidR="00B86C0F" w:rsidRPr="004E0D50">
        <w:t xml:space="preserve"> </w:t>
      </w:r>
      <w:hyperlink r:id="rId42" w:history="1">
        <w:r w:rsidR="00B86C0F" w:rsidRPr="004E0D50">
          <w:rPr>
            <w:rStyle w:val="Hyperlink"/>
            <w:color w:val="auto"/>
          </w:rPr>
          <w:t>Commonwealth Ombudsman</w:t>
        </w:r>
      </w:hyperlink>
      <w:r w:rsidR="00B86C0F" w:rsidRPr="004E0D50">
        <w:t xml:space="preserve"> </w:t>
      </w:r>
      <w:r w:rsidRPr="004E0D50">
        <w:t xml:space="preserve">. The Ombudsman will not usually look into a complaint unless the matter has first been raised directly with </w:t>
      </w:r>
      <w:r w:rsidR="00A81FF6" w:rsidRPr="004E0D50">
        <w:t>the Community Grants Hub or the Department</w:t>
      </w:r>
      <w:r w:rsidRPr="004E0D50">
        <w:t>.</w:t>
      </w:r>
    </w:p>
    <w:p w:rsidR="000E055E" w:rsidRPr="004E0D50" w:rsidRDefault="000E055E" w:rsidP="000E055E">
      <w:pPr>
        <w:ind w:left="5040" w:hanging="5040"/>
      </w:pPr>
      <w:r w:rsidRPr="004E0D50">
        <w:t xml:space="preserve">The Commonwealth Ombudsman can be contacted on: </w:t>
      </w:r>
    </w:p>
    <w:p w:rsidR="000E055E" w:rsidRPr="004E0D50" w:rsidRDefault="000E055E" w:rsidP="000E055E">
      <w:pPr>
        <w:ind w:left="1276" w:hanging="1276"/>
      </w:pPr>
      <w:r w:rsidRPr="004E0D50">
        <w:tab/>
        <w:t>Phone (Toll free): 1300 362 072</w:t>
      </w:r>
      <w:r w:rsidRPr="004E0D50">
        <w:br/>
        <w:t xml:space="preserve">Email: </w:t>
      </w:r>
      <w:hyperlink r:id="rId43" w:history="1">
        <w:r w:rsidRPr="004E0D50">
          <w:t>ombudsman@ombudsman.gov.au</w:t>
        </w:r>
      </w:hyperlink>
      <w:r w:rsidRPr="004E0D50">
        <w:t xml:space="preserve"> </w:t>
      </w:r>
      <w:r w:rsidRPr="004E0D50">
        <w:br/>
        <w:t xml:space="preserve">Website: </w:t>
      </w:r>
      <w:hyperlink r:id="rId44" w:history="1">
        <w:r w:rsidRPr="004E0D50">
          <w:t>www.ombudsman.gov.au</w:t>
        </w:r>
      </w:hyperlink>
    </w:p>
    <w:p w:rsidR="000E055E" w:rsidRPr="004E0D50" w:rsidRDefault="000E055E" w:rsidP="008F0B87">
      <w:pPr>
        <w:pStyle w:val="Heading3"/>
      </w:pPr>
      <w:bookmarkStart w:id="89" w:name="_Toc536623373"/>
      <w:r w:rsidRPr="004E0D50">
        <w:t>Conflicts of interest</w:t>
      </w:r>
      <w:bookmarkEnd w:id="89"/>
    </w:p>
    <w:p w:rsidR="000E055E" w:rsidRPr="004E0D50" w:rsidRDefault="000E055E" w:rsidP="000E055E">
      <w:r w:rsidRPr="004E0D50">
        <w:t xml:space="preserve">Any conflicts of interest could affect the performance of the grant opportunity or program. There may be a </w:t>
      </w:r>
      <w:hyperlink r:id="rId45" w:history="1">
        <w:r w:rsidRPr="004E0D50">
          <w:t>conflict of interest</w:t>
        </w:r>
      </w:hyperlink>
      <w:r w:rsidRPr="004E0D50">
        <w:t xml:space="preserve">, or perceived conflict of interest, if </w:t>
      </w:r>
      <w:r w:rsidR="009C003C" w:rsidRPr="004E0D50">
        <w:t xml:space="preserve">our </w:t>
      </w:r>
      <w:r w:rsidRPr="004E0D50">
        <w:t>staff, any member of a committee or advisor and/or you or any of your personnel</w:t>
      </w:r>
      <w:r w:rsidR="00A81FF6" w:rsidRPr="004E0D50">
        <w:t xml:space="preserve"> has a</w:t>
      </w:r>
      <w:r w:rsidR="00357D08" w:rsidRPr="004E0D50">
        <w:t>:</w:t>
      </w:r>
    </w:p>
    <w:p w:rsidR="000E055E" w:rsidRPr="004E0D50" w:rsidRDefault="000E055E" w:rsidP="000E055E">
      <w:pPr>
        <w:pStyle w:val="ListBullet"/>
        <w:numPr>
          <w:ilvl w:val="0"/>
          <w:numId w:val="7"/>
        </w:numPr>
      </w:pPr>
      <w:r w:rsidRPr="004E0D50">
        <w:t>professional, commercial or personal relationship with a party who is able to influence the application selection process, such as an Australian Government officer [or member of an external panel]</w:t>
      </w:r>
    </w:p>
    <w:p w:rsidR="000E055E" w:rsidRPr="004E0D50" w:rsidRDefault="000E055E" w:rsidP="000E055E">
      <w:pPr>
        <w:pStyle w:val="ListBullet"/>
        <w:numPr>
          <w:ilvl w:val="0"/>
          <w:numId w:val="7"/>
        </w:numPr>
      </w:pPr>
      <w:r w:rsidRPr="004E0D50">
        <w:t>relationship with or interest in, an organisation, which is likely to interfere with or restrict the applicants from carrying out the proposed activities fairly and independently or</w:t>
      </w:r>
    </w:p>
    <w:p w:rsidR="000E055E" w:rsidRPr="004E0D50" w:rsidRDefault="000E055E" w:rsidP="000E055E">
      <w:pPr>
        <w:pStyle w:val="ListBullet"/>
        <w:numPr>
          <w:ilvl w:val="0"/>
          <w:numId w:val="7"/>
        </w:numPr>
      </w:pPr>
      <w:r w:rsidRPr="004E0D50">
        <w:t>relationship with, or interest in, an organisation from which they will receive personal gain because the organisation receives a grant under the grant program/ grant opportunity.</w:t>
      </w:r>
    </w:p>
    <w:p w:rsidR="000E055E" w:rsidRPr="004E0D50" w:rsidRDefault="000E055E" w:rsidP="000E055E">
      <w:r w:rsidRPr="004E0D50">
        <w:t>You will be asked to declare, as part of your application, any perceived or existing conflicts of interests or that, to the best of your knowledge, there is no conflict of interest.</w:t>
      </w:r>
    </w:p>
    <w:p w:rsidR="000E055E" w:rsidRPr="004E0D50" w:rsidRDefault="000E055E" w:rsidP="000E055E">
      <w:r w:rsidRPr="004E0D50">
        <w:t xml:space="preserve">If you later identify an actual, apparent, or perceived conflict of interest, you must </w:t>
      </w:r>
      <w:r w:rsidR="00A81FF6" w:rsidRPr="004E0D50">
        <w:t>inform the Department and the Community Grants Hub</w:t>
      </w:r>
      <w:r w:rsidRPr="004E0D50">
        <w:t xml:space="preserve"> in writing immediately. </w:t>
      </w:r>
    </w:p>
    <w:p w:rsidR="000E055E" w:rsidRPr="004E0D50" w:rsidRDefault="000E055E" w:rsidP="000E055E">
      <w:r w:rsidRPr="004E0D50">
        <w:t>Conflicts of interest for Australian Government staff will be handled as set out in the</w:t>
      </w:r>
      <w:r w:rsidR="00A81FF6" w:rsidRPr="004E0D50">
        <w:t xml:space="preserve"> Australian </w:t>
      </w:r>
      <w:hyperlink r:id="rId46" w:history="1">
        <w:r w:rsidR="00A81FF6" w:rsidRPr="004E0D50">
          <w:rPr>
            <w:rStyle w:val="Hyperlink"/>
            <w:color w:val="auto"/>
          </w:rPr>
          <w:t>Public Service Code of Conduct (Section 13(7))</w:t>
        </w:r>
      </w:hyperlink>
      <w:r w:rsidR="00A81FF6" w:rsidRPr="004E0D50">
        <w:t xml:space="preserve"> </w:t>
      </w:r>
      <w:r w:rsidRPr="004E0D50">
        <w:t xml:space="preserve">of the </w:t>
      </w:r>
      <w:hyperlink r:id="rId47" w:history="1">
        <w:r w:rsidR="00A81FF6" w:rsidRPr="004E0D50">
          <w:rPr>
            <w:rStyle w:val="Hyperlink"/>
            <w:i/>
            <w:color w:val="auto"/>
          </w:rPr>
          <w:t>Public Service Act 1999</w:t>
        </w:r>
      </w:hyperlink>
      <w:r w:rsidRPr="004E0D50">
        <w:t>. Committee members and other officials including the decision maker must also declare any conflicts of interest.</w:t>
      </w:r>
    </w:p>
    <w:p w:rsidR="000E055E" w:rsidRPr="004E0D50" w:rsidRDefault="000E055E" w:rsidP="000E055E">
      <w:r w:rsidRPr="004E0D50">
        <w:t>We publish our conflict of interest policy on the</w:t>
      </w:r>
      <w:r w:rsidRPr="004E0D50">
        <w:rPr>
          <w:b/>
        </w:rPr>
        <w:t xml:space="preserve"> </w:t>
      </w:r>
      <w:hyperlink r:id="rId48" w:history="1">
        <w:r w:rsidRPr="004E0D50">
          <w:rPr>
            <w:rStyle w:val="Hyperlink"/>
            <w:color w:val="auto"/>
          </w:rPr>
          <w:t>Community Grants Hub</w:t>
        </w:r>
      </w:hyperlink>
      <w:r w:rsidRPr="004E0D50">
        <w:t xml:space="preserve"> websites. </w:t>
      </w:r>
    </w:p>
    <w:p w:rsidR="000E055E" w:rsidRPr="004E0D50" w:rsidRDefault="000E055E" w:rsidP="008F0B87">
      <w:pPr>
        <w:pStyle w:val="Heading3"/>
      </w:pPr>
      <w:bookmarkStart w:id="90" w:name="_Toc536623374"/>
      <w:r w:rsidRPr="004E0D50">
        <w:t>Privacy</w:t>
      </w:r>
      <w:bookmarkEnd w:id="90"/>
    </w:p>
    <w:p w:rsidR="000E055E" w:rsidRPr="004E0D50" w:rsidRDefault="000E055E" w:rsidP="000E055E">
      <w:r w:rsidRPr="004E0D50">
        <w:lastRenderedPageBreak/>
        <w:t xml:space="preserve">We treat your personal information according to the </w:t>
      </w:r>
      <w:hyperlink r:id="rId49" w:history="1">
        <w:r w:rsidRPr="004E0D50">
          <w:rPr>
            <w:rStyle w:val="Hyperlink"/>
            <w:i/>
            <w:color w:val="auto"/>
          </w:rPr>
          <w:t>Privacy Act 1988</w:t>
        </w:r>
      </w:hyperlink>
      <w:r w:rsidRPr="004E0D50">
        <w:rPr>
          <w:i/>
        </w:rPr>
        <w:t xml:space="preserve"> </w:t>
      </w:r>
      <w:r w:rsidRPr="004E0D50">
        <w:t>and the</w:t>
      </w:r>
      <w:r w:rsidRPr="004E0D50">
        <w:rPr>
          <w:i/>
        </w:rPr>
        <w:t xml:space="preserve"> </w:t>
      </w:r>
      <w:hyperlink r:id="rId50" w:history="1">
        <w:r w:rsidRPr="004E0D50">
          <w:rPr>
            <w:rStyle w:val="Hyperlink"/>
            <w:color w:val="auto"/>
          </w:rPr>
          <w:t>Australian Privacy Principles</w:t>
        </w:r>
      </w:hyperlink>
      <w:r w:rsidRPr="004E0D50">
        <w:t xml:space="preserve">. This includes letting you know: </w:t>
      </w:r>
    </w:p>
    <w:p w:rsidR="000E055E" w:rsidRPr="004E0D50" w:rsidRDefault="000E055E" w:rsidP="000E055E">
      <w:pPr>
        <w:pStyle w:val="ListBullet"/>
        <w:numPr>
          <w:ilvl w:val="0"/>
          <w:numId w:val="7"/>
        </w:numPr>
      </w:pPr>
      <w:r w:rsidRPr="004E0D50">
        <w:t>what personal information we collect</w:t>
      </w:r>
    </w:p>
    <w:p w:rsidR="000E055E" w:rsidRPr="004E0D50" w:rsidRDefault="000E055E" w:rsidP="000E055E">
      <w:pPr>
        <w:pStyle w:val="ListBullet"/>
        <w:numPr>
          <w:ilvl w:val="0"/>
          <w:numId w:val="7"/>
        </w:numPr>
      </w:pPr>
      <w:r w:rsidRPr="004E0D50">
        <w:t>why we collect your personal information</w:t>
      </w:r>
    </w:p>
    <w:p w:rsidR="000E055E" w:rsidRPr="004E0D50" w:rsidRDefault="000E055E" w:rsidP="000E055E">
      <w:pPr>
        <w:pStyle w:val="ListBullet"/>
        <w:numPr>
          <w:ilvl w:val="0"/>
          <w:numId w:val="7"/>
        </w:numPr>
      </w:pPr>
      <w:r w:rsidRPr="004E0D50">
        <w:t>who we give your personal information to.</w:t>
      </w:r>
    </w:p>
    <w:p w:rsidR="000E055E" w:rsidRPr="004E0D50" w:rsidRDefault="000E055E" w:rsidP="000E055E">
      <w:r w:rsidRPr="004E0D50">
        <w:t>Your personal information can only be disclosed to someone else for the primary purpose for which it was collected, unless an exemption applies.</w:t>
      </w:r>
    </w:p>
    <w:p w:rsidR="000E055E" w:rsidRPr="004E0D50" w:rsidRDefault="000E055E" w:rsidP="000E055E">
      <w:r w:rsidRPr="004E0D50">
        <w:t>The Australian government may also use and give out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rsidR="000E055E" w:rsidRPr="004E0D50" w:rsidRDefault="000E055E" w:rsidP="000E055E">
      <w:r w:rsidRPr="004E0D50">
        <w:t>We may share the information you give us with other Commonwealth entities for purposes including government administration, research or service delivery, according to Australian laws.</w:t>
      </w:r>
    </w:p>
    <w:p w:rsidR="000E055E" w:rsidRPr="004E0D50" w:rsidRDefault="000E055E" w:rsidP="000E055E">
      <w:r w:rsidRPr="004E0D50">
        <w:t xml:space="preserve">As part of your application, you declare your ability to comply with the </w:t>
      </w:r>
      <w:r w:rsidRPr="004E0D50">
        <w:rPr>
          <w:i/>
        </w:rPr>
        <w:t>Privacy Act 1988</w:t>
      </w:r>
      <w:r w:rsidRPr="004E0D50">
        <w:t xml:space="preserve"> and the Australian Privacy Principles and impose the same privacy obligations on officers, employees, agents and subcontractors that you engage to </w:t>
      </w:r>
      <w:r w:rsidR="00BC577E">
        <w:t>help</w:t>
      </w:r>
      <w:r w:rsidRPr="004E0D50">
        <w:t xml:space="preserve"> with the activity, in respect of personal information you collect, use, store, or disclose in connection with the activity. Accordingly, you must not do anything, which if done by the Department of Agriculture and Water Resources would breach an Australian Privacy Principle as defined in the Act.</w:t>
      </w:r>
    </w:p>
    <w:p w:rsidR="000E055E" w:rsidRPr="004E0D50" w:rsidRDefault="000E055E" w:rsidP="008F0B87">
      <w:pPr>
        <w:pStyle w:val="Heading3"/>
      </w:pPr>
      <w:bookmarkStart w:id="91" w:name="_Toc536623375"/>
      <w:r w:rsidRPr="004E0D50">
        <w:t>Confidential Information</w:t>
      </w:r>
      <w:bookmarkEnd w:id="91"/>
    </w:p>
    <w:p w:rsidR="000E055E" w:rsidRPr="004E0D50" w:rsidRDefault="000E055E" w:rsidP="000E055E">
      <w:pPr>
        <w:rPr>
          <w:lang w:eastAsia="en-AU"/>
        </w:rPr>
      </w:pPr>
      <w:r w:rsidRPr="004E0D50">
        <w:rPr>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rsidR="000E055E" w:rsidRPr="004E0D50" w:rsidRDefault="000E055E" w:rsidP="000E055E">
      <w:pPr>
        <w:rPr>
          <w:lang w:eastAsia="en-AU"/>
        </w:rPr>
      </w:pPr>
      <w:r w:rsidRPr="004E0D50">
        <w:rPr>
          <w:lang w:eastAsia="en-AU"/>
        </w:rPr>
        <w:t xml:space="preserve">We may at any time, require you to arrange for you; or your employees, agents or subcontractors to give a written undertaking relating to nondisclosure of our confidential information in a form we consider acceptable. </w:t>
      </w:r>
    </w:p>
    <w:p w:rsidR="000E055E" w:rsidRPr="004E0D50" w:rsidRDefault="000E055E" w:rsidP="000E055E">
      <w:pPr>
        <w:rPr>
          <w:lang w:eastAsia="en-AU"/>
        </w:rPr>
      </w:pPr>
      <w:r w:rsidRPr="004E0D50">
        <w:rPr>
          <w:lang w:eastAsia="en-AU"/>
        </w:rPr>
        <w:t>We will keep any information in connection with the grant agreement confidential to the extent that it meets all of the three conditions below:</w:t>
      </w:r>
    </w:p>
    <w:p w:rsidR="000E055E" w:rsidRPr="004E0D50" w:rsidRDefault="000E055E" w:rsidP="000E055E">
      <w:pPr>
        <w:numPr>
          <w:ilvl w:val="0"/>
          <w:numId w:val="15"/>
        </w:numPr>
      </w:pPr>
      <w:r w:rsidRPr="004E0D50">
        <w:t>you clearly identify the information as confidential and explain why we should treat it as confidential</w:t>
      </w:r>
    </w:p>
    <w:p w:rsidR="000E055E" w:rsidRPr="004E0D50" w:rsidRDefault="000E055E" w:rsidP="000E055E">
      <w:pPr>
        <w:numPr>
          <w:ilvl w:val="0"/>
          <w:numId w:val="1"/>
        </w:numPr>
      </w:pPr>
      <w:r w:rsidRPr="004E0D50">
        <w:t>the information is commercially sensitive</w:t>
      </w:r>
    </w:p>
    <w:p w:rsidR="000E055E" w:rsidRPr="004E0D50" w:rsidRDefault="000E055E" w:rsidP="000E055E">
      <w:pPr>
        <w:numPr>
          <w:ilvl w:val="0"/>
          <w:numId w:val="1"/>
        </w:numPr>
      </w:pPr>
      <w:r w:rsidRPr="004E0D50">
        <w:t>revealing the information would cause unreasonable harm to you or someone else.</w:t>
      </w:r>
    </w:p>
    <w:p w:rsidR="000E055E" w:rsidRPr="004E0D50" w:rsidRDefault="000E055E" w:rsidP="000E055E">
      <w:pPr>
        <w:rPr>
          <w:lang w:eastAsia="en-AU"/>
        </w:rPr>
      </w:pPr>
      <w:r w:rsidRPr="004E0D50">
        <w:rPr>
          <w:lang w:eastAsia="en-AU"/>
        </w:rPr>
        <w:t xml:space="preserve">We will not be in breach of any confidentiality agreement if the information is disclosed to: </w:t>
      </w:r>
    </w:p>
    <w:p w:rsidR="000E055E" w:rsidRPr="004E0D50" w:rsidRDefault="000E055E" w:rsidP="000E055E">
      <w:pPr>
        <w:numPr>
          <w:ilvl w:val="0"/>
          <w:numId w:val="7"/>
        </w:numPr>
        <w:spacing w:after="80"/>
        <w:rPr>
          <w:iCs/>
        </w:rPr>
      </w:pPr>
      <w:r w:rsidRPr="004E0D50">
        <w:rPr>
          <w:iCs/>
        </w:rPr>
        <w:t>Commonwealth employees and contractors to help us manage the program effectively</w:t>
      </w:r>
    </w:p>
    <w:p w:rsidR="000E055E" w:rsidRPr="004E0D50" w:rsidRDefault="000E055E" w:rsidP="000E055E">
      <w:pPr>
        <w:numPr>
          <w:ilvl w:val="0"/>
          <w:numId w:val="7"/>
        </w:numPr>
        <w:spacing w:after="80"/>
        <w:rPr>
          <w:iCs/>
        </w:rPr>
      </w:pPr>
      <w:r w:rsidRPr="004E0D50">
        <w:rPr>
          <w:iCs/>
        </w:rPr>
        <w:t>employees and contractors of our department so we can research, assess, monitor and analyse our programs and activities</w:t>
      </w:r>
    </w:p>
    <w:p w:rsidR="000E055E" w:rsidRPr="004E0D50" w:rsidRDefault="000E055E" w:rsidP="000E055E">
      <w:pPr>
        <w:numPr>
          <w:ilvl w:val="0"/>
          <w:numId w:val="7"/>
        </w:numPr>
        <w:spacing w:after="80"/>
        <w:rPr>
          <w:iCs/>
        </w:rPr>
      </w:pPr>
      <w:r w:rsidRPr="004E0D50">
        <w:rPr>
          <w:iCs/>
        </w:rPr>
        <w:t>employees and contractors of other Commonwealth agencies for any purposes, including government administration, research or service delivery</w:t>
      </w:r>
    </w:p>
    <w:p w:rsidR="000E055E" w:rsidRPr="004E0D50" w:rsidRDefault="000E055E" w:rsidP="000E055E">
      <w:pPr>
        <w:numPr>
          <w:ilvl w:val="0"/>
          <w:numId w:val="7"/>
        </w:numPr>
        <w:spacing w:after="80"/>
        <w:rPr>
          <w:iCs/>
        </w:rPr>
      </w:pPr>
      <w:r w:rsidRPr="004E0D50">
        <w:rPr>
          <w:iCs/>
        </w:rPr>
        <w:lastRenderedPageBreak/>
        <w:t>other Commonwealth, state, territory or local government agencies in program reports and consultations</w:t>
      </w:r>
    </w:p>
    <w:p w:rsidR="000E055E" w:rsidRPr="004E0D50" w:rsidRDefault="000E055E" w:rsidP="000E055E">
      <w:pPr>
        <w:numPr>
          <w:ilvl w:val="0"/>
          <w:numId w:val="7"/>
        </w:numPr>
        <w:spacing w:after="80"/>
        <w:rPr>
          <w:iCs/>
        </w:rPr>
      </w:pPr>
      <w:r w:rsidRPr="004E0D50">
        <w:rPr>
          <w:iCs/>
        </w:rPr>
        <w:t>the Auditor-General, Ombudsman or Privacy Commissioner</w:t>
      </w:r>
    </w:p>
    <w:p w:rsidR="000E055E" w:rsidRPr="004E0D50" w:rsidRDefault="000E055E" w:rsidP="000E055E">
      <w:pPr>
        <w:numPr>
          <w:ilvl w:val="0"/>
          <w:numId w:val="7"/>
        </w:numPr>
        <w:spacing w:after="80"/>
        <w:rPr>
          <w:iCs/>
        </w:rPr>
      </w:pPr>
      <w:r w:rsidRPr="004E0D50">
        <w:rPr>
          <w:iCs/>
        </w:rPr>
        <w:t>the responsible Minister or Parliamentary Secretary</w:t>
      </w:r>
    </w:p>
    <w:p w:rsidR="000E055E" w:rsidRPr="004E0D50" w:rsidRDefault="000E055E" w:rsidP="000E055E">
      <w:pPr>
        <w:numPr>
          <w:ilvl w:val="0"/>
          <w:numId w:val="7"/>
        </w:numPr>
        <w:spacing w:after="80"/>
        <w:rPr>
          <w:iCs/>
        </w:rPr>
      </w:pPr>
      <w:r w:rsidRPr="004E0D50">
        <w:rPr>
          <w:iCs/>
        </w:rPr>
        <w:t>a House or a Committee of the Australian Parliament.</w:t>
      </w:r>
    </w:p>
    <w:p w:rsidR="000E055E" w:rsidRPr="004E0D50" w:rsidRDefault="000E055E" w:rsidP="000E055E">
      <w:r w:rsidRPr="004E0D50">
        <w:t xml:space="preserve">The grant agreement may also include any specific requirements about special categories of information collected, created or held under the grant agreement. </w:t>
      </w:r>
    </w:p>
    <w:p w:rsidR="000E055E" w:rsidRPr="004E0D50" w:rsidRDefault="000E055E" w:rsidP="008F0B87">
      <w:pPr>
        <w:pStyle w:val="Heading3"/>
      </w:pPr>
      <w:bookmarkStart w:id="92" w:name="_Toc536623376"/>
      <w:r w:rsidRPr="004E0D50">
        <w:t>Freedom of information</w:t>
      </w:r>
      <w:bookmarkEnd w:id="92"/>
    </w:p>
    <w:p w:rsidR="000E055E" w:rsidRPr="004E0D50" w:rsidRDefault="000E055E" w:rsidP="000E055E">
      <w:r w:rsidRPr="004E0D50">
        <w:t xml:space="preserve">All documents in the possession of the Australian Government, including those about this grant opportunity, are subject to the </w:t>
      </w:r>
      <w:hyperlink r:id="rId51" w:history="1">
        <w:r w:rsidRPr="004E0D50">
          <w:rPr>
            <w:rStyle w:val="Hyperlink"/>
            <w:i/>
            <w:color w:val="auto"/>
          </w:rPr>
          <w:t>Freedom of Information Act 1982</w:t>
        </w:r>
      </w:hyperlink>
      <w:r w:rsidRPr="004E0D50">
        <w:t xml:space="preserve"> (FOI Act)</w:t>
      </w:r>
      <w:r w:rsidRPr="004E0D50">
        <w:rPr>
          <w:i/>
        </w:rPr>
        <w:t>.</w:t>
      </w:r>
    </w:p>
    <w:p w:rsidR="000E055E" w:rsidRPr="004E0D50" w:rsidRDefault="000E055E" w:rsidP="000E055E">
      <w:r w:rsidRPr="004E0D50">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0E055E" w:rsidRPr="004E0D50" w:rsidRDefault="000E055E" w:rsidP="000E055E">
      <w:r w:rsidRPr="004E0D50">
        <w:t>All Freedom of Information requests must be referred to the Freedom of Information Coordinator in writing.</w:t>
      </w:r>
    </w:p>
    <w:p w:rsidR="000E055E" w:rsidRPr="004E0D50" w:rsidRDefault="000E055E" w:rsidP="000E055E">
      <w:pPr>
        <w:tabs>
          <w:tab w:val="left" w:pos="1418"/>
        </w:tabs>
        <w:spacing w:after="40"/>
        <w:ind w:left="1418" w:hanging="1418"/>
      </w:pPr>
      <w:r w:rsidRPr="004E0D50">
        <w:t>By mail:</w:t>
      </w:r>
      <w:r w:rsidRPr="004E0D50">
        <w:tab/>
        <w:t>Freedom of Information Team</w:t>
      </w:r>
    </w:p>
    <w:p w:rsidR="000E055E" w:rsidRPr="004E0D50" w:rsidRDefault="000E055E" w:rsidP="000E055E">
      <w:pPr>
        <w:tabs>
          <w:tab w:val="left" w:pos="1418"/>
        </w:tabs>
        <w:spacing w:after="40" w:line="240" w:lineRule="auto"/>
        <w:ind w:left="2836" w:hanging="1418"/>
      </w:pPr>
      <w:r w:rsidRPr="004E0D50">
        <w:t xml:space="preserve">Government and Executive Services Branch </w:t>
      </w:r>
    </w:p>
    <w:p w:rsidR="000E055E" w:rsidRPr="004E0D50" w:rsidRDefault="000E055E" w:rsidP="000E055E">
      <w:pPr>
        <w:tabs>
          <w:tab w:val="left" w:pos="1418"/>
        </w:tabs>
        <w:spacing w:after="40" w:line="240" w:lineRule="auto"/>
        <w:ind w:left="2836" w:hanging="1418"/>
      </w:pPr>
      <w:r w:rsidRPr="004E0D50">
        <w:t>Department of Social Services (DSS)</w:t>
      </w:r>
    </w:p>
    <w:p w:rsidR="000E055E" w:rsidRPr="004E0D50" w:rsidRDefault="000E055E" w:rsidP="000E055E">
      <w:pPr>
        <w:tabs>
          <w:tab w:val="left" w:pos="1418"/>
        </w:tabs>
        <w:spacing w:after="40" w:line="240" w:lineRule="auto"/>
        <w:ind w:left="2836" w:hanging="1418"/>
      </w:pPr>
      <w:r w:rsidRPr="004E0D50">
        <w:t>GPO Box 9820</w:t>
      </w:r>
    </w:p>
    <w:p w:rsidR="000E055E" w:rsidRPr="004E0D50" w:rsidRDefault="000E055E" w:rsidP="000E055E">
      <w:pPr>
        <w:tabs>
          <w:tab w:val="left" w:pos="1418"/>
        </w:tabs>
        <w:spacing w:after="40" w:line="240" w:lineRule="auto"/>
        <w:ind w:left="2836" w:hanging="1418"/>
      </w:pPr>
      <w:r w:rsidRPr="004E0D50">
        <w:t>Canberra ACT 2601</w:t>
      </w:r>
    </w:p>
    <w:p w:rsidR="000E055E" w:rsidRPr="004E0D50" w:rsidRDefault="000E055E" w:rsidP="000E055E">
      <w:pPr>
        <w:tabs>
          <w:tab w:val="left" w:pos="1418"/>
        </w:tabs>
        <w:spacing w:after="40"/>
      </w:pPr>
    </w:p>
    <w:p w:rsidR="000E055E" w:rsidRPr="004E0D50" w:rsidRDefault="000E055E" w:rsidP="000E055E">
      <w:pPr>
        <w:tabs>
          <w:tab w:val="left" w:pos="1418"/>
        </w:tabs>
        <w:ind w:left="1418" w:hanging="1418"/>
        <w:contextualSpacing/>
      </w:pPr>
      <w:r w:rsidRPr="004E0D50">
        <w:t>By email:</w:t>
      </w:r>
      <w:r w:rsidRPr="004E0D50">
        <w:tab/>
      </w:r>
      <w:hyperlink r:id="rId52" w:history="1">
        <w:r w:rsidRPr="004E0D50">
          <w:rPr>
            <w:rStyle w:val="Hyperlink"/>
            <w:color w:val="auto"/>
          </w:rPr>
          <w:t>foi@dss.gov.au</w:t>
        </w:r>
      </w:hyperlink>
      <w:r w:rsidRPr="004E0D50">
        <w:t xml:space="preserve"> </w:t>
      </w:r>
    </w:p>
    <w:p w:rsidR="000E055E" w:rsidRPr="004E0D50" w:rsidRDefault="000E055E" w:rsidP="00384E16">
      <w:pPr>
        <w:pStyle w:val="Heading2"/>
        <w:rPr>
          <w:color w:val="auto"/>
        </w:rPr>
      </w:pPr>
      <w:bookmarkStart w:id="93" w:name="_Toc536623377"/>
      <w:r w:rsidRPr="004E0D50">
        <w:rPr>
          <w:color w:val="auto"/>
        </w:rPr>
        <w:t>Consultation</w:t>
      </w:r>
      <w:bookmarkEnd w:id="93"/>
    </w:p>
    <w:p w:rsidR="000E055E" w:rsidRPr="004E0D50" w:rsidRDefault="000E055E" w:rsidP="000E055E">
      <w:pPr>
        <w:pStyle w:val="ListBullet"/>
        <w:numPr>
          <w:ilvl w:val="0"/>
          <w:numId w:val="0"/>
        </w:numPr>
        <w:ind w:left="360" w:hanging="360"/>
      </w:pPr>
      <w:r w:rsidRPr="004E0D50">
        <w:t>These guidelines have been informed by discussions and consultation with the following bodies:</w:t>
      </w:r>
    </w:p>
    <w:p w:rsidR="000E055E" w:rsidRPr="004E0D50" w:rsidRDefault="000E055E" w:rsidP="000E055E">
      <w:pPr>
        <w:pStyle w:val="ListBullet"/>
        <w:numPr>
          <w:ilvl w:val="0"/>
          <w:numId w:val="7"/>
        </w:numPr>
      </w:pPr>
      <w:r w:rsidRPr="004E0D50">
        <w:t>Basin Community Committee (BCC)</w:t>
      </w:r>
    </w:p>
    <w:p w:rsidR="000E055E" w:rsidRPr="004E0D50" w:rsidRDefault="000E055E" w:rsidP="000E055E">
      <w:pPr>
        <w:pStyle w:val="ListBullet"/>
        <w:numPr>
          <w:ilvl w:val="0"/>
          <w:numId w:val="7"/>
        </w:numPr>
      </w:pPr>
      <w:r w:rsidRPr="004E0D50">
        <w:t>The Murray-Darling Basin Authority (MDBA)</w:t>
      </w:r>
    </w:p>
    <w:p w:rsidR="000E055E" w:rsidRPr="004E0D50" w:rsidRDefault="000E055E" w:rsidP="000E055E">
      <w:pPr>
        <w:pStyle w:val="ListBullet"/>
        <w:numPr>
          <w:ilvl w:val="0"/>
          <w:numId w:val="7"/>
        </w:numPr>
      </w:pPr>
      <w:r w:rsidRPr="004E0D50">
        <w:t xml:space="preserve">Department of Infrastructure, Regional Development and Cities </w:t>
      </w:r>
    </w:p>
    <w:p w:rsidR="000E055E" w:rsidRPr="004E0D50" w:rsidRDefault="000E055E" w:rsidP="000E055E">
      <w:pPr>
        <w:pStyle w:val="ListBullet"/>
        <w:numPr>
          <w:ilvl w:val="0"/>
          <w:numId w:val="7"/>
        </w:numPr>
      </w:pPr>
      <w:r w:rsidRPr="004E0D50">
        <w:t>Community Grants Hub</w:t>
      </w:r>
      <w:r w:rsidR="00DA7F98">
        <w:t>.</w:t>
      </w:r>
    </w:p>
    <w:p w:rsidR="000E055E" w:rsidRPr="004E0D50" w:rsidRDefault="000E055E" w:rsidP="000E055E">
      <w:pPr>
        <w:pStyle w:val="ListBullet"/>
        <w:numPr>
          <w:ilvl w:val="0"/>
          <w:numId w:val="0"/>
        </w:numPr>
        <w:ind w:left="360" w:hanging="360"/>
      </w:pPr>
      <w:r w:rsidRPr="004E0D50">
        <w:br w:type="page"/>
      </w:r>
    </w:p>
    <w:p w:rsidR="000E055E" w:rsidRPr="004E0D50" w:rsidRDefault="000E055E" w:rsidP="00384E16">
      <w:pPr>
        <w:pStyle w:val="Heading2"/>
        <w:rPr>
          <w:color w:val="auto"/>
        </w:rPr>
      </w:pPr>
      <w:bookmarkStart w:id="94" w:name="_Toc536623378"/>
      <w:r w:rsidRPr="004E0D50">
        <w:rPr>
          <w:color w:val="auto"/>
        </w:rPr>
        <w:lastRenderedPageBreak/>
        <w:t>Glossary</w:t>
      </w:r>
      <w:bookmarkEnd w:id="9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4E0D50" w:rsidRPr="004E0D50" w:rsidTr="004E0D50">
        <w:trPr>
          <w:cantSplit/>
          <w:tblHeader/>
        </w:trPr>
        <w:tc>
          <w:tcPr>
            <w:tcW w:w="1843" w:type="pct"/>
            <w:shd w:val="clear" w:color="auto" w:fill="000000" w:themeFill="text1"/>
          </w:tcPr>
          <w:p w:rsidR="000E055E" w:rsidRPr="004E0D50" w:rsidRDefault="000E055E" w:rsidP="000E055E">
            <w:pPr>
              <w:pStyle w:val="TableHeadingNumbered"/>
              <w:rPr>
                <w:b/>
                <w:color w:val="auto"/>
              </w:rPr>
            </w:pPr>
            <w:r w:rsidRPr="004E0D50">
              <w:rPr>
                <w:b/>
                <w:color w:val="auto"/>
              </w:rPr>
              <w:t>Term</w:t>
            </w:r>
          </w:p>
        </w:tc>
        <w:tc>
          <w:tcPr>
            <w:tcW w:w="3157" w:type="pct"/>
            <w:shd w:val="clear" w:color="auto" w:fill="000000" w:themeFill="text1"/>
          </w:tcPr>
          <w:p w:rsidR="000E055E" w:rsidRPr="004E0D50" w:rsidRDefault="000E055E" w:rsidP="000E055E">
            <w:pPr>
              <w:pStyle w:val="TableHeadingNumbered"/>
              <w:rPr>
                <w:b/>
                <w:color w:val="auto"/>
              </w:rPr>
            </w:pPr>
            <w:r w:rsidRPr="004E0D50">
              <w:rPr>
                <w:b/>
                <w:color w:val="auto"/>
              </w:rPr>
              <w:t>Definition</w:t>
            </w:r>
          </w:p>
        </w:tc>
      </w:tr>
      <w:tr w:rsidR="004E0D50" w:rsidRPr="004E0D50" w:rsidTr="000E055E">
        <w:trPr>
          <w:cantSplit/>
        </w:trPr>
        <w:tc>
          <w:tcPr>
            <w:tcW w:w="1843" w:type="pct"/>
          </w:tcPr>
          <w:p w:rsidR="000E055E" w:rsidRPr="004E0D50" w:rsidRDefault="000E055E" w:rsidP="000E055E">
            <w:r w:rsidRPr="004E0D50">
              <w:t>accountable authority</w:t>
            </w:r>
          </w:p>
        </w:tc>
        <w:tc>
          <w:tcPr>
            <w:tcW w:w="3157" w:type="pct"/>
          </w:tcPr>
          <w:p w:rsidR="000E055E" w:rsidRPr="004E0D50" w:rsidRDefault="000E055E" w:rsidP="000E055E">
            <w:pPr>
              <w:rPr>
                <w:rFonts w:cs="Arial"/>
                <w:lang w:eastAsia="en-AU"/>
              </w:rPr>
            </w:pPr>
            <w:r w:rsidRPr="004E0D50">
              <w:rPr>
                <w:rFonts w:cs="Arial"/>
                <w:lang w:eastAsia="en-AU"/>
              </w:rPr>
              <w:t>see subsection 12(2) of the PGPA Act</w:t>
            </w:r>
          </w:p>
        </w:tc>
      </w:tr>
      <w:tr w:rsidR="004E0D50" w:rsidRPr="004E0D50" w:rsidTr="000E055E">
        <w:trPr>
          <w:cantSplit/>
        </w:trPr>
        <w:tc>
          <w:tcPr>
            <w:tcW w:w="1843" w:type="pct"/>
          </w:tcPr>
          <w:p w:rsidR="000E055E" w:rsidRPr="004E0D50" w:rsidRDefault="000E055E" w:rsidP="000E055E">
            <w:r w:rsidRPr="004E0D50">
              <w:t>administering entity</w:t>
            </w:r>
          </w:p>
        </w:tc>
        <w:tc>
          <w:tcPr>
            <w:tcW w:w="3157" w:type="pct"/>
          </w:tcPr>
          <w:p w:rsidR="000E055E" w:rsidRPr="004E0D50" w:rsidRDefault="000E055E" w:rsidP="000E055E">
            <w:pPr>
              <w:rPr>
                <w:rFonts w:cs="Arial"/>
                <w:lang w:eastAsia="en-AU"/>
              </w:rPr>
            </w:pPr>
            <w:r w:rsidRPr="004E0D50">
              <w:rPr>
                <w:rFonts w:cs="Arial"/>
                <w:lang w:eastAsia="en-AU"/>
              </w:rPr>
              <w:t>when an entity that is not responsible for the policy, is responsible for the administration of part or all of the grant administration processes</w:t>
            </w:r>
          </w:p>
        </w:tc>
      </w:tr>
      <w:tr w:rsidR="004E0D50" w:rsidRPr="004E0D50" w:rsidTr="000E055E">
        <w:trPr>
          <w:cantSplit/>
        </w:trPr>
        <w:tc>
          <w:tcPr>
            <w:tcW w:w="1843" w:type="pct"/>
          </w:tcPr>
          <w:p w:rsidR="000E055E" w:rsidRPr="004E0D50" w:rsidRDefault="000E055E" w:rsidP="000E055E">
            <w:r w:rsidRPr="004E0D50">
              <w:t>assessment criteria</w:t>
            </w:r>
          </w:p>
        </w:tc>
        <w:tc>
          <w:tcPr>
            <w:tcW w:w="3157" w:type="pct"/>
          </w:tcPr>
          <w:p w:rsidR="000E055E" w:rsidRPr="004E0D50" w:rsidRDefault="000E055E" w:rsidP="000E055E">
            <w:r w:rsidRPr="004E0D50">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4E0D50" w:rsidRPr="004E0D50" w:rsidTr="000E055E">
        <w:trPr>
          <w:cantSplit/>
        </w:trPr>
        <w:tc>
          <w:tcPr>
            <w:tcW w:w="1843" w:type="pct"/>
          </w:tcPr>
          <w:p w:rsidR="000E055E" w:rsidRPr="004E0D50" w:rsidRDefault="000E055E" w:rsidP="000E055E">
            <w:r w:rsidRPr="004E0D50">
              <w:t>commencement date</w:t>
            </w:r>
          </w:p>
        </w:tc>
        <w:tc>
          <w:tcPr>
            <w:tcW w:w="3157" w:type="pct"/>
          </w:tcPr>
          <w:p w:rsidR="000E055E" w:rsidRPr="004E0D50" w:rsidRDefault="000E055E" w:rsidP="000E055E">
            <w:r w:rsidRPr="004E0D50">
              <w:t xml:space="preserve">the expected start date for the grant activity </w:t>
            </w:r>
          </w:p>
        </w:tc>
      </w:tr>
      <w:tr w:rsidR="004E0D50" w:rsidRPr="004E0D50" w:rsidTr="000E055E">
        <w:trPr>
          <w:cantSplit/>
        </w:trPr>
        <w:tc>
          <w:tcPr>
            <w:tcW w:w="1843" w:type="pct"/>
          </w:tcPr>
          <w:p w:rsidR="000E055E" w:rsidRPr="004E0D50" w:rsidRDefault="000E055E" w:rsidP="000E055E">
            <w:r w:rsidRPr="004E0D50">
              <w:t>Commonwealth entity</w:t>
            </w:r>
          </w:p>
        </w:tc>
        <w:tc>
          <w:tcPr>
            <w:tcW w:w="3157" w:type="pct"/>
          </w:tcPr>
          <w:p w:rsidR="000E055E" w:rsidRPr="004E0D50" w:rsidRDefault="000E055E" w:rsidP="000E055E">
            <w:r w:rsidRPr="004E0D50">
              <w:rPr>
                <w:rFonts w:cs="Arial"/>
                <w:lang w:eastAsia="en-AU"/>
              </w:rPr>
              <w:t>a Department of State, or a Parliamentary Department, or a listed entity or a body corporate established by a law of the Commonwealth. See subsections 10(1) and (2) of the PGPA Act</w:t>
            </w:r>
          </w:p>
        </w:tc>
      </w:tr>
      <w:tr w:rsidR="004E0D50" w:rsidRPr="004E0D50" w:rsidTr="000E055E">
        <w:trPr>
          <w:cantSplit/>
        </w:trPr>
        <w:tc>
          <w:tcPr>
            <w:tcW w:w="1843" w:type="pct"/>
          </w:tcPr>
          <w:p w:rsidR="000E055E" w:rsidRPr="004E0D50" w:rsidRDefault="007826BF" w:rsidP="000E055E">
            <w:pPr>
              <w:rPr>
                <w:rFonts w:cs="Arial"/>
                <w:i/>
                <w:lang w:eastAsia="en-AU"/>
              </w:rPr>
            </w:pPr>
            <w:hyperlink r:id="rId53" w:history="1">
              <w:r w:rsidR="000E055E" w:rsidRPr="004E0D50">
                <w:rPr>
                  <w:rStyle w:val="Hyperlink"/>
                  <w:rFonts w:cs="Arial"/>
                  <w:i/>
                  <w:color w:val="auto"/>
                  <w:lang w:eastAsia="en-AU"/>
                </w:rPr>
                <w:t>Commonwealth Grants Rules and Guidelines (CGRGs)</w:t>
              </w:r>
            </w:hyperlink>
            <w:r w:rsidR="000E055E" w:rsidRPr="004E0D50">
              <w:rPr>
                <w:rFonts w:cs="Arial"/>
                <w:i/>
                <w:lang w:eastAsia="en-AU"/>
              </w:rPr>
              <w:t xml:space="preserve"> </w:t>
            </w:r>
          </w:p>
        </w:tc>
        <w:tc>
          <w:tcPr>
            <w:tcW w:w="3157" w:type="pct"/>
          </w:tcPr>
          <w:p w:rsidR="000E055E" w:rsidRPr="004E0D50" w:rsidRDefault="000E055E" w:rsidP="000E055E">
            <w:pPr>
              <w:rPr>
                <w:rFonts w:cs="Arial"/>
                <w:lang w:eastAsia="en-AU"/>
              </w:rPr>
            </w:pPr>
            <w:r w:rsidRPr="004E0D50">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E0D50" w:rsidRPr="004E0D50" w:rsidTr="000E055E">
        <w:trPr>
          <w:cantSplit/>
        </w:trPr>
        <w:tc>
          <w:tcPr>
            <w:tcW w:w="1843" w:type="pct"/>
          </w:tcPr>
          <w:p w:rsidR="000E055E" w:rsidRPr="004E0D50" w:rsidRDefault="000E055E" w:rsidP="000E055E">
            <w:r w:rsidRPr="004E0D50">
              <w:t>completion date</w:t>
            </w:r>
          </w:p>
        </w:tc>
        <w:tc>
          <w:tcPr>
            <w:tcW w:w="3157" w:type="pct"/>
          </w:tcPr>
          <w:p w:rsidR="000E055E" w:rsidRPr="004E0D50" w:rsidRDefault="000E055E" w:rsidP="000E055E">
            <w:r w:rsidRPr="004E0D50">
              <w:t xml:space="preserve">the expected date that the grant activity must be completed and the grant spent by </w:t>
            </w:r>
          </w:p>
        </w:tc>
      </w:tr>
      <w:tr w:rsidR="004E0D50" w:rsidRPr="004E0D50" w:rsidTr="000E055E">
        <w:trPr>
          <w:cantSplit/>
        </w:trPr>
        <w:tc>
          <w:tcPr>
            <w:tcW w:w="1843" w:type="pct"/>
          </w:tcPr>
          <w:p w:rsidR="000E055E" w:rsidRPr="004E0D50" w:rsidRDefault="000E055E" w:rsidP="000E055E">
            <w:r w:rsidRPr="004E0D50">
              <w:t>date of effect</w:t>
            </w:r>
          </w:p>
        </w:tc>
        <w:tc>
          <w:tcPr>
            <w:tcW w:w="3157" w:type="pct"/>
          </w:tcPr>
          <w:p w:rsidR="000E055E" w:rsidRPr="004E0D50" w:rsidRDefault="000E055E" w:rsidP="000E055E">
            <w:pPr>
              <w:rPr>
                <w:i/>
              </w:rPr>
            </w:pPr>
            <w:r w:rsidRPr="004E0D50">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4E0D50" w:rsidRPr="004E0D50" w:rsidTr="000E055E">
        <w:trPr>
          <w:cantSplit/>
        </w:trPr>
        <w:tc>
          <w:tcPr>
            <w:tcW w:w="1843" w:type="pct"/>
          </w:tcPr>
          <w:p w:rsidR="000E055E" w:rsidRPr="004E0D50" w:rsidRDefault="000E055E" w:rsidP="000E055E">
            <w:r w:rsidRPr="004E0D50">
              <w:t>decision maker</w:t>
            </w:r>
          </w:p>
        </w:tc>
        <w:tc>
          <w:tcPr>
            <w:tcW w:w="3157" w:type="pct"/>
          </w:tcPr>
          <w:p w:rsidR="000E055E" w:rsidRPr="004E0D50" w:rsidRDefault="000E055E" w:rsidP="000E055E">
            <w:r w:rsidRPr="004E0D50">
              <w:rPr>
                <w:rFonts w:cs="Arial"/>
                <w:lang w:eastAsia="en-AU"/>
              </w:rPr>
              <w:t>the person who makes a decision to award a grant, in this case, the relevant Australian Government Minister</w:t>
            </w:r>
          </w:p>
        </w:tc>
      </w:tr>
      <w:tr w:rsidR="004E0D50" w:rsidRPr="004E0D50" w:rsidTr="000E055E">
        <w:trPr>
          <w:cantSplit/>
        </w:trPr>
        <w:tc>
          <w:tcPr>
            <w:tcW w:w="1843" w:type="pct"/>
          </w:tcPr>
          <w:p w:rsidR="000E055E" w:rsidRPr="004E0D50" w:rsidRDefault="000E055E" w:rsidP="000E055E">
            <w:r w:rsidRPr="004E0D50">
              <w:t>Department</w:t>
            </w:r>
          </w:p>
        </w:tc>
        <w:tc>
          <w:tcPr>
            <w:tcW w:w="3157" w:type="pct"/>
          </w:tcPr>
          <w:p w:rsidR="000E055E" w:rsidRPr="004E0D50" w:rsidDel="00F47E63" w:rsidRDefault="000E055E" w:rsidP="000E055E">
            <w:pPr>
              <w:rPr>
                <w:rFonts w:cs="Arial"/>
                <w:lang w:eastAsia="en-AU"/>
              </w:rPr>
            </w:pPr>
            <w:r w:rsidRPr="004E0D50">
              <w:rPr>
                <w:rFonts w:cs="Arial"/>
                <w:lang w:eastAsia="en-AU"/>
              </w:rPr>
              <w:t>The Department of Agriculture and Water Resources</w:t>
            </w:r>
          </w:p>
        </w:tc>
      </w:tr>
      <w:tr w:rsidR="004E0D50" w:rsidRPr="004E0D50" w:rsidTr="000E055E">
        <w:trPr>
          <w:cantSplit/>
        </w:trPr>
        <w:tc>
          <w:tcPr>
            <w:tcW w:w="1843" w:type="pct"/>
          </w:tcPr>
          <w:p w:rsidR="000E055E" w:rsidRPr="004E0D50" w:rsidRDefault="000E055E" w:rsidP="000E055E">
            <w:r w:rsidRPr="004E0D50">
              <w:t>eligibility criteria</w:t>
            </w:r>
          </w:p>
        </w:tc>
        <w:tc>
          <w:tcPr>
            <w:tcW w:w="3157" w:type="pct"/>
          </w:tcPr>
          <w:p w:rsidR="000E055E" w:rsidRPr="004E0D50" w:rsidRDefault="000E055E" w:rsidP="000E055E">
            <w:pPr>
              <w:rPr>
                <w:bCs/>
              </w:rPr>
            </w:pPr>
            <w:r w:rsidRPr="004E0D50">
              <w:rPr>
                <w:rFonts w:cs="Arial"/>
                <w:lang w:eastAsia="en-AU"/>
              </w:rPr>
              <w:t>refer to the mandatory criteria which must be met to qualify for a grant. Assessment criteria may apply in addition to eligibility criteria</w:t>
            </w:r>
          </w:p>
        </w:tc>
      </w:tr>
      <w:tr w:rsidR="004E0D50" w:rsidRPr="004E0D50" w:rsidTr="000E055E">
        <w:trPr>
          <w:cantSplit/>
        </w:trPr>
        <w:tc>
          <w:tcPr>
            <w:tcW w:w="1843" w:type="pct"/>
          </w:tcPr>
          <w:p w:rsidR="000E055E" w:rsidRPr="004E0D50" w:rsidRDefault="000E055E" w:rsidP="000E055E">
            <w:r w:rsidRPr="004E0D50">
              <w:rPr>
                <w:rFonts w:cs="Arial"/>
                <w:lang w:eastAsia="en-AU"/>
              </w:rPr>
              <w:t xml:space="preserve">funding arrangement manager </w:t>
            </w:r>
          </w:p>
        </w:tc>
        <w:tc>
          <w:tcPr>
            <w:tcW w:w="3157" w:type="pct"/>
          </w:tcPr>
          <w:p w:rsidR="000E055E" w:rsidRPr="004E0D50" w:rsidRDefault="000E055E" w:rsidP="000E055E">
            <w:pPr>
              <w:rPr>
                <w:rFonts w:cs="Arial"/>
                <w:lang w:eastAsia="en-AU"/>
              </w:rPr>
            </w:pPr>
            <w:r w:rsidRPr="004E0D50">
              <w:t>is the officer responsible for the ongoing management of the grantee and their compliance with the grant agreement</w:t>
            </w:r>
          </w:p>
        </w:tc>
      </w:tr>
      <w:tr w:rsidR="004E0D50" w:rsidRPr="004E0D50" w:rsidTr="000E055E">
        <w:trPr>
          <w:cantSplit/>
        </w:trPr>
        <w:tc>
          <w:tcPr>
            <w:tcW w:w="1843" w:type="pct"/>
          </w:tcPr>
          <w:p w:rsidR="000E055E" w:rsidRPr="004E0D50" w:rsidRDefault="000E055E" w:rsidP="000E055E">
            <w:r w:rsidRPr="004E0D50">
              <w:rPr>
                <w:rFonts w:cs="Arial"/>
                <w:lang w:eastAsia="en-AU"/>
              </w:rPr>
              <w:lastRenderedPageBreak/>
              <w:t xml:space="preserve">grant </w:t>
            </w:r>
          </w:p>
        </w:tc>
        <w:tc>
          <w:tcPr>
            <w:tcW w:w="3157" w:type="pct"/>
          </w:tcPr>
          <w:p w:rsidR="000E055E" w:rsidRPr="004E0D50" w:rsidRDefault="000E055E" w:rsidP="000E055E">
            <w:pPr>
              <w:suppressAutoHyphens/>
              <w:spacing w:before="60"/>
              <w:rPr>
                <w:rFonts w:cs="Arial"/>
              </w:rPr>
            </w:pPr>
            <w:r w:rsidRPr="004E0D50">
              <w:t xml:space="preserve">for the purposes of the CGRGs, a ‘grant’ is an arrangement for the provision of financial assistance by the </w:t>
            </w:r>
            <w:r w:rsidRPr="004E0D50">
              <w:rPr>
                <w:rFonts w:cs="Arial"/>
              </w:rPr>
              <w:t>Commonwealth or on behalf of the Commonwealth:</w:t>
            </w:r>
          </w:p>
          <w:p w:rsidR="000E055E" w:rsidRPr="004E0D50" w:rsidRDefault="000E055E" w:rsidP="000E055E">
            <w:pPr>
              <w:pStyle w:val="NumberedList2"/>
              <w:numPr>
                <w:ilvl w:val="1"/>
                <w:numId w:val="18"/>
              </w:numPr>
              <w:spacing w:before="60"/>
              <w:ind w:left="1134"/>
              <w:rPr>
                <w:rFonts w:ascii="Arial" w:hAnsi="Arial" w:cs="Arial"/>
                <w:sz w:val="20"/>
                <w:szCs w:val="20"/>
              </w:rPr>
            </w:pPr>
            <w:r w:rsidRPr="004E0D50">
              <w:rPr>
                <w:rFonts w:ascii="Arial" w:hAnsi="Arial" w:cs="Arial"/>
                <w:sz w:val="20"/>
                <w:szCs w:val="20"/>
              </w:rPr>
              <w:t>under which relevant money</w:t>
            </w:r>
            <w:r w:rsidRPr="004E0D50">
              <w:rPr>
                <w:rStyle w:val="FootnoteReference"/>
                <w:rFonts w:ascii="Arial" w:hAnsi="Arial" w:cs="Arial"/>
                <w:sz w:val="20"/>
                <w:szCs w:val="20"/>
              </w:rPr>
              <w:footnoteReference w:id="12"/>
            </w:r>
            <w:r w:rsidRPr="004E0D50">
              <w:rPr>
                <w:rFonts w:ascii="Arial" w:hAnsi="Arial" w:cs="Arial"/>
                <w:sz w:val="20"/>
                <w:szCs w:val="20"/>
              </w:rPr>
              <w:t xml:space="preserve"> or other CRF money</w:t>
            </w:r>
            <w:r w:rsidRPr="004E0D50">
              <w:rPr>
                <w:rStyle w:val="FootnoteReference"/>
                <w:rFonts w:ascii="Arial" w:hAnsi="Arial" w:cs="Arial"/>
                <w:sz w:val="20"/>
                <w:szCs w:val="20"/>
              </w:rPr>
              <w:footnoteReference w:id="13"/>
            </w:r>
            <w:r w:rsidRPr="004E0D50">
              <w:rPr>
                <w:rFonts w:ascii="Arial" w:hAnsi="Arial" w:cs="Arial"/>
                <w:sz w:val="20"/>
                <w:szCs w:val="20"/>
              </w:rPr>
              <w:t xml:space="preserve"> is to be paid to a grantee other than the Commonwealth; and</w:t>
            </w:r>
          </w:p>
          <w:p w:rsidR="000E055E" w:rsidRPr="004E0D50" w:rsidRDefault="000E055E" w:rsidP="000E055E">
            <w:pPr>
              <w:pStyle w:val="NumberedList2"/>
              <w:numPr>
                <w:ilvl w:val="1"/>
                <w:numId w:val="17"/>
              </w:numPr>
              <w:spacing w:before="60"/>
              <w:ind w:left="1134"/>
            </w:pPr>
            <w:r w:rsidRPr="004E0D50">
              <w:rPr>
                <w:rFonts w:ascii="Arial" w:hAnsi="Arial" w:cs="Arial"/>
                <w:sz w:val="20"/>
                <w:szCs w:val="20"/>
              </w:rPr>
              <w:t>which is intended to help address one or more of the Australian Government’s policy outcomes while assisting the grantee achieve its objectives.</w:t>
            </w:r>
            <w:r w:rsidRPr="004E0D50">
              <w:rPr>
                <w:rFonts w:ascii="Arial" w:hAnsi="Arial" w:cs="Arial"/>
              </w:rPr>
              <w:t xml:space="preserve"> </w:t>
            </w:r>
          </w:p>
        </w:tc>
      </w:tr>
      <w:tr w:rsidR="004E0D50" w:rsidRPr="004E0D50" w:rsidTr="000E055E">
        <w:trPr>
          <w:cantSplit/>
        </w:trPr>
        <w:tc>
          <w:tcPr>
            <w:tcW w:w="1843" w:type="pct"/>
          </w:tcPr>
          <w:p w:rsidR="000E055E" w:rsidRPr="004E0D50" w:rsidRDefault="000E055E" w:rsidP="000E055E">
            <w:pPr>
              <w:rPr>
                <w:rFonts w:cs="Arial"/>
                <w:lang w:eastAsia="en-AU"/>
              </w:rPr>
            </w:pPr>
            <w:r w:rsidRPr="004E0D50">
              <w:t>grant activity/activities</w:t>
            </w:r>
          </w:p>
        </w:tc>
        <w:tc>
          <w:tcPr>
            <w:tcW w:w="3157" w:type="pct"/>
          </w:tcPr>
          <w:p w:rsidR="000E055E" w:rsidRPr="004E0D50" w:rsidRDefault="000E055E" w:rsidP="000E055E">
            <w:pPr>
              <w:rPr>
                <w:rFonts w:cs="Arial"/>
                <w:lang w:eastAsia="en-AU"/>
              </w:rPr>
            </w:pPr>
            <w:r w:rsidRPr="004E0D50">
              <w:t>refers to the project/tasks/services that the grantee is required to undertake</w:t>
            </w:r>
          </w:p>
        </w:tc>
      </w:tr>
      <w:tr w:rsidR="004E0D50" w:rsidRPr="004E0D50" w:rsidTr="000E055E">
        <w:trPr>
          <w:cantSplit/>
        </w:trPr>
        <w:tc>
          <w:tcPr>
            <w:tcW w:w="1843" w:type="pct"/>
          </w:tcPr>
          <w:p w:rsidR="000E055E" w:rsidRPr="004E0D50" w:rsidRDefault="000E055E" w:rsidP="000E055E">
            <w:r w:rsidRPr="004E0D50">
              <w:t>grant agreement</w:t>
            </w:r>
          </w:p>
        </w:tc>
        <w:tc>
          <w:tcPr>
            <w:tcW w:w="3157" w:type="pct"/>
          </w:tcPr>
          <w:p w:rsidR="000E055E" w:rsidRPr="004E0D50" w:rsidRDefault="000E055E" w:rsidP="000E055E">
            <w:r w:rsidRPr="004E0D50">
              <w:t>sets out the relationship between the parties to the agreement, and specifies the details of the grant</w:t>
            </w:r>
          </w:p>
        </w:tc>
      </w:tr>
      <w:tr w:rsidR="004E0D50" w:rsidRPr="004E0D50" w:rsidTr="000E055E">
        <w:trPr>
          <w:cantSplit/>
        </w:trPr>
        <w:tc>
          <w:tcPr>
            <w:tcW w:w="1843" w:type="pct"/>
          </w:tcPr>
          <w:p w:rsidR="000E055E" w:rsidRPr="004E0D50" w:rsidRDefault="007826BF" w:rsidP="000E055E">
            <w:hyperlink r:id="rId54" w:history="1">
              <w:r w:rsidR="000E055E" w:rsidRPr="004E0D50">
                <w:rPr>
                  <w:rStyle w:val="Hyperlink"/>
                  <w:color w:val="auto"/>
                </w:rPr>
                <w:t>GrantConnect</w:t>
              </w:r>
            </w:hyperlink>
          </w:p>
        </w:tc>
        <w:tc>
          <w:tcPr>
            <w:tcW w:w="3157" w:type="pct"/>
          </w:tcPr>
          <w:p w:rsidR="000E055E" w:rsidRPr="004E0D50" w:rsidRDefault="000E055E" w:rsidP="000E055E">
            <w:r w:rsidRPr="004E0D50">
              <w:t>is the Australian Government’s whole-of-government grants information system, which centralises the publication and reporting of Commonwealth grants in accordance with the CGRGs</w:t>
            </w:r>
          </w:p>
        </w:tc>
      </w:tr>
      <w:tr w:rsidR="004E0D50" w:rsidRPr="004E0D50" w:rsidTr="000E055E">
        <w:trPr>
          <w:cantSplit/>
        </w:trPr>
        <w:tc>
          <w:tcPr>
            <w:tcW w:w="1843" w:type="pct"/>
          </w:tcPr>
          <w:p w:rsidR="000E055E" w:rsidRPr="004E0D50" w:rsidRDefault="000E055E" w:rsidP="000E055E">
            <w:r w:rsidRPr="004E0D50">
              <w:t>grant opportunity</w:t>
            </w:r>
          </w:p>
        </w:tc>
        <w:tc>
          <w:tcPr>
            <w:tcW w:w="3157" w:type="pct"/>
          </w:tcPr>
          <w:p w:rsidR="000E055E" w:rsidRPr="004E0D50" w:rsidRDefault="000E055E" w:rsidP="000E055E">
            <w:r w:rsidRPr="004E0D50">
              <w:t>refers to the specific grant round or process where a Commonwealth grant is made available to potential grantees. Grant opportunities may be open or targeted, and will reflect the relevant grant selection process.</w:t>
            </w:r>
          </w:p>
        </w:tc>
      </w:tr>
      <w:tr w:rsidR="004E0D50" w:rsidRPr="004E0D50" w:rsidTr="000E055E">
        <w:trPr>
          <w:cantSplit/>
        </w:trPr>
        <w:tc>
          <w:tcPr>
            <w:tcW w:w="1843" w:type="pct"/>
          </w:tcPr>
          <w:p w:rsidR="000E055E" w:rsidRPr="004E0D50" w:rsidRDefault="000E055E" w:rsidP="000E055E">
            <w:r w:rsidRPr="004E0D50">
              <w:t>grant program</w:t>
            </w:r>
          </w:p>
        </w:tc>
        <w:tc>
          <w:tcPr>
            <w:tcW w:w="3157" w:type="pct"/>
          </w:tcPr>
          <w:p w:rsidR="000E055E" w:rsidRPr="004E0D50" w:rsidRDefault="000E055E" w:rsidP="000E055E">
            <w:pPr>
              <w:rPr>
                <w:rFonts w:cs="Arial"/>
              </w:rPr>
            </w:pPr>
            <w:r w:rsidRPr="004E0D50">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4E0D50" w:rsidRPr="004E0D50" w:rsidTr="000E055E">
        <w:trPr>
          <w:cantSplit/>
        </w:trPr>
        <w:tc>
          <w:tcPr>
            <w:tcW w:w="1843" w:type="pct"/>
          </w:tcPr>
          <w:p w:rsidR="000E055E" w:rsidRPr="004E0D50" w:rsidRDefault="000E055E" w:rsidP="000E055E">
            <w:r w:rsidRPr="004E0D50">
              <w:t>grantee</w:t>
            </w:r>
          </w:p>
        </w:tc>
        <w:tc>
          <w:tcPr>
            <w:tcW w:w="3157" w:type="pct"/>
          </w:tcPr>
          <w:p w:rsidR="000E055E" w:rsidRPr="004E0D50" w:rsidRDefault="000E055E" w:rsidP="000E055E">
            <w:pPr>
              <w:rPr>
                <w:rFonts w:cs="Arial"/>
              </w:rPr>
            </w:pPr>
            <w:r w:rsidRPr="004E0D50">
              <w:t>the individual/organisation which has been selected to receive a grant</w:t>
            </w:r>
          </w:p>
        </w:tc>
      </w:tr>
      <w:tr w:rsidR="004E0D50" w:rsidRPr="004E0D50" w:rsidTr="000E055E">
        <w:trPr>
          <w:cantSplit/>
        </w:trPr>
        <w:tc>
          <w:tcPr>
            <w:tcW w:w="1843" w:type="pct"/>
          </w:tcPr>
          <w:p w:rsidR="0056391E" w:rsidRPr="004E0D50" w:rsidRDefault="0056391E" w:rsidP="000E055E">
            <w:r w:rsidRPr="004E0D50">
              <w:t>Outcome 3</w:t>
            </w:r>
          </w:p>
        </w:tc>
        <w:tc>
          <w:tcPr>
            <w:tcW w:w="3157" w:type="pct"/>
          </w:tcPr>
          <w:p w:rsidR="0056391E" w:rsidRPr="004E0D50" w:rsidRDefault="0056391E" w:rsidP="000E055E">
            <w:r w:rsidRPr="004E0D50">
              <w:t>Improve the health of rivers and freshwater ecosystems and water use efficiency through implementing water reforms, and ensuring enhanced sustainability, efficiency and productivity in the management and use of water resources.</w:t>
            </w:r>
          </w:p>
        </w:tc>
      </w:tr>
      <w:tr w:rsidR="004E0D50" w:rsidRPr="004E0D50" w:rsidTr="000E055E">
        <w:trPr>
          <w:cantSplit/>
        </w:trPr>
        <w:tc>
          <w:tcPr>
            <w:tcW w:w="1843" w:type="pct"/>
          </w:tcPr>
          <w:p w:rsidR="000E055E" w:rsidRPr="004E0D50" w:rsidRDefault="000E055E" w:rsidP="000E055E">
            <w:r w:rsidRPr="004E0D50">
              <w:lastRenderedPageBreak/>
              <w:t>Portfolio Budget Statement (PBS) program</w:t>
            </w:r>
          </w:p>
        </w:tc>
        <w:tc>
          <w:tcPr>
            <w:tcW w:w="3157" w:type="pct"/>
          </w:tcPr>
          <w:p w:rsidR="000E055E" w:rsidRPr="004E0D50" w:rsidRDefault="000E055E" w:rsidP="000E055E">
            <w:r w:rsidRPr="004E0D50">
              <w:rPr>
                <w:rFonts w:cs="Arial"/>
              </w:rPr>
              <w:t xml:space="preserve">described within the entity’s </w:t>
            </w:r>
            <w:hyperlink r:id="rId55" w:history="1">
              <w:r w:rsidRPr="004E0D50">
                <w:rPr>
                  <w:rStyle w:val="Hyperlink"/>
                  <w:rFonts w:cs="Arial"/>
                  <w:color w:val="auto"/>
                </w:rPr>
                <w:t>Portfolio Budget Statement</w:t>
              </w:r>
            </w:hyperlink>
            <w:r w:rsidRPr="004E0D50">
              <w:rPr>
                <w:rFonts w:cs="Arial"/>
              </w:rPr>
              <w:t xml:space="preserve">, </w:t>
            </w:r>
            <w:r w:rsidRPr="004E0D50">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4E0D50">
              <w:rPr>
                <w:rFonts w:cs="Arial"/>
              </w:rPr>
              <w:t>one or more grant opportunities.</w:t>
            </w:r>
          </w:p>
        </w:tc>
      </w:tr>
      <w:tr w:rsidR="004E0D50" w:rsidRPr="004E0D50" w:rsidTr="000E055E">
        <w:trPr>
          <w:cantSplit/>
        </w:trPr>
        <w:tc>
          <w:tcPr>
            <w:tcW w:w="1843" w:type="pct"/>
          </w:tcPr>
          <w:p w:rsidR="000E055E" w:rsidRPr="004E0D50" w:rsidRDefault="000E055E" w:rsidP="000E055E">
            <w:r w:rsidRPr="004E0D50">
              <w:rPr>
                <w:i/>
              </w:rPr>
              <w:t>Public Governance, Performance and Accountability Act 2013</w:t>
            </w:r>
            <w:r w:rsidRPr="004E0D50">
              <w:t xml:space="preserve"> (PGPA Act)</w:t>
            </w:r>
          </w:p>
        </w:tc>
        <w:tc>
          <w:tcPr>
            <w:tcW w:w="3157" w:type="pct"/>
          </w:tcPr>
          <w:p w:rsidR="000E055E" w:rsidRPr="004E0D50" w:rsidRDefault="000E055E" w:rsidP="000E055E">
            <w:pPr>
              <w:rPr>
                <w:rFonts w:cs="Arial"/>
              </w:rPr>
            </w:pPr>
            <w:r w:rsidRPr="004E0D50">
              <w:rPr>
                <w:lang w:val="en"/>
              </w:rPr>
              <w:t>applying to all </w:t>
            </w:r>
            <w:hyperlink r:id="rId56" w:anchor="flipchart" w:history="1">
              <w:r w:rsidRPr="004E0D50">
                <w:rPr>
                  <w:rStyle w:val="Hyperlink"/>
                  <w:color w:val="auto"/>
                  <w:lang w:val="en"/>
                </w:rPr>
                <w:t>Commonwealth entities</w:t>
              </w:r>
            </w:hyperlink>
            <w:r w:rsidRPr="004E0D50">
              <w:rPr>
                <w:lang w:val="en"/>
              </w:rPr>
              <w:t> and Commonwealth companies, the PGPA Act provides a governance and accountability framework for public resources, with an emphasis on planning, performance and reporting</w:t>
            </w:r>
          </w:p>
        </w:tc>
      </w:tr>
      <w:tr w:rsidR="004E0D50" w:rsidRPr="004E0D50" w:rsidTr="000E055E">
        <w:trPr>
          <w:cantSplit/>
        </w:trPr>
        <w:tc>
          <w:tcPr>
            <w:tcW w:w="1843" w:type="pct"/>
          </w:tcPr>
          <w:p w:rsidR="000E055E" w:rsidRPr="004E0D50" w:rsidRDefault="000E055E" w:rsidP="000E055E">
            <w:r w:rsidRPr="004E0D50">
              <w:t>selection advisory panel</w:t>
            </w:r>
          </w:p>
        </w:tc>
        <w:tc>
          <w:tcPr>
            <w:tcW w:w="3157" w:type="pct"/>
          </w:tcPr>
          <w:p w:rsidR="000E055E" w:rsidRPr="004E0D50" w:rsidRDefault="000E055E" w:rsidP="000E055E">
            <w:pPr>
              <w:rPr>
                <w:rFonts w:cs="Arial"/>
                <w:lang w:eastAsia="en-AU"/>
              </w:rPr>
            </w:pPr>
            <w:r w:rsidRPr="004E0D50">
              <w:t>provides strategic oversight, advice and recommendations to the decision maker on assessed applications from the program specific, service provider composition and service location perspectives</w:t>
            </w:r>
          </w:p>
        </w:tc>
      </w:tr>
      <w:tr w:rsidR="004E0D50" w:rsidRPr="004E0D50" w:rsidTr="000E055E">
        <w:trPr>
          <w:cantSplit/>
        </w:trPr>
        <w:tc>
          <w:tcPr>
            <w:tcW w:w="1843" w:type="pct"/>
          </w:tcPr>
          <w:p w:rsidR="000E055E" w:rsidRPr="004E0D50" w:rsidRDefault="000E055E" w:rsidP="000E055E">
            <w:r w:rsidRPr="004E0D50">
              <w:t>selection criteria</w:t>
            </w:r>
          </w:p>
        </w:tc>
        <w:tc>
          <w:tcPr>
            <w:tcW w:w="3157" w:type="pct"/>
          </w:tcPr>
          <w:p w:rsidR="000E055E" w:rsidRPr="004E0D50" w:rsidRDefault="000E055E" w:rsidP="000E055E">
            <w:pPr>
              <w:rPr>
                <w:rFonts w:cs="Arial"/>
              </w:rPr>
            </w:pPr>
            <w:r w:rsidRPr="004E0D50">
              <w:t>comprise eligibility criteria and assessment criteria</w:t>
            </w:r>
          </w:p>
        </w:tc>
      </w:tr>
      <w:tr w:rsidR="004E0D50" w:rsidRPr="004E0D50" w:rsidTr="000E055E">
        <w:trPr>
          <w:cantSplit/>
        </w:trPr>
        <w:tc>
          <w:tcPr>
            <w:tcW w:w="1843" w:type="pct"/>
          </w:tcPr>
          <w:p w:rsidR="000E055E" w:rsidRPr="004E0D50" w:rsidRDefault="000E055E" w:rsidP="000E055E">
            <w:r w:rsidRPr="004E0D50">
              <w:t>selection process</w:t>
            </w:r>
          </w:p>
        </w:tc>
        <w:tc>
          <w:tcPr>
            <w:tcW w:w="3157" w:type="pct"/>
          </w:tcPr>
          <w:p w:rsidR="000E055E" w:rsidRPr="004E0D50" w:rsidRDefault="000E055E" w:rsidP="000E055E">
            <w:r w:rsidRPr="004E0D50">
              <w:t>the method used to select potential grantees. This process may involve comparative assessment of applications or the assessment of applications against the eligibility criteria and/or the assessment criteria</w:t>
            </w:r>
          </w:p>
        </w:tc>
      </w:tr>
      <w:tr w:rsidR="000E055E" w:rsidRPr="004E0D50" w:rsidTr="000E055E">
        <w:trPr>
          <w:cantSplit/>
        </w:trPr>
        <w:tc>
          <w:tcPr>
            <w:tcW w:w="1843" w:type="pct"/>
          </w:tcPr>
          <w:p w:rsidR="000E055E" w:rsidRPr="004E0D50" w:rsidRDefault="000E055E" w:rsidP="000E055E">
            <w:r w:rsidRPr="004E0D50">
              <w:t>value with money</w:t>
            </w:r>
          </w:p>
        </w:tc>
        <w:tc>
          <w:tcPr>
            <w:tcW w:w="3157" w:type="pct"/>
          </w:tcPr>
          <w:p w:rsidR="000E055E" w:rsidRPr="004E0D50" w:rsidRDefault="000E055E" w:rsidP="000E055E">
            <w:r w:rsidRPr="004E0D50">
              <w:t>value with money in this document refers to ‘value with relevant money’ which is a judgement based on the grant proposal representing an efficient, effective, economical and ethical use of public resources and determined from a variety of considerations.</w:t>
            </w:r>
          </w:p>
          <w:p w:rsidR="000E055E" w:rsidRPr="004E0D50" w:rsidRDefault="000E055E" w:rsidP="000E055E">
            <w:pPr>
              <w:spacing w:before="0" w:after="40" w:line="240" w:lineRule="auto"/>
            </w:pPr>
            <w:r w:rsidRPr="004E0D50">
              <w:t>When administering a grant opportunity, an official should consider the relevant financial and non-financial costs and benefits of each proposal including, but not limited to:</w:t>
            </w:r>
          </w:p>
          <w:p w:rsidR="000E055E" w:rsidRPr="004E0D50" w:rsidRDefault="000E055E" w:rsidP="000E055E">
            <w:pPr>
              <w:numPr>
                <w:ilvl w:val="0"/>
                <w:numId w:val="16"/>
              </w:numPr>
              <w:spacing w:before="0" w:after="40" w:line="240" w:lineRule="auto"/>
              <w:ind w:left="342" w:hanging="342"/>
              <w:rPr>
                <w:rFonts w:cs="Arial"/>
                <w:lang w:eastAsia="en-AU"/>
              </w:rPr>
            </w:pPr>
            <w:r w:rsidRPr="004E0D50">
              <w:rPr>
                <w:rFonts w:cs="Arial"/>
                <w:lang w:eastAsia="en-AU"/>
              </w:rPr>
              <w:t>the quality of the project proposal and activities;</w:t>
            </w:r>
          </w:p>
          <w:p w:rsidR="000E055E" w:rsidRPr="004E0D50" w:rsidRDefault="000E055E" w:rsidP="000E055E">
            <w:pPr>
              <w:numPr>
                <w:ilvl w:val="0"/>
                <w:numId w:val="16"/>
              </w:numPr>
              <w:spacing w:before="0" w:after="40" w:line="240" w:lineRule="auto"/>
              <w:ind w:left="342" w:hanging="342"/>
              <w:rPr>
                <w:rFonts w:cs="Arial"/>
                <w:lang w:eastAsia="en-AU"/>
              </w:rPr>
            </w:pPr>
            <w:r w:rsidRPr="004E0D50">
              <w:rPr>
                <w:rFonts w:cs="Arial"/>
                <w:lang w:eastAsia="en-AU"/>
              </w:rPr>
              <w:t>fitness for purpose of the proposal in contributing to government objectives;</w:t>
            </w:r>
          </w:p>
          <w:p w:rsidR="000E055E" w:rsidRPr="004E0D50" w:rsidRDefault="000E055E" w:rsidP="000E055E">
            <w:pPr>
              <w:numPr>
                <w:ilvl w:val="0"/>
                <w:numId w:val="16"/>
              </w:numPr>
              <w:spacing w:before="0" w:after="40" w:line="240" w:lineRule="auto"/>
              <w:ind w:left="342" w:hanging="342"/>
            </w:pPr>
            <w:r w:rsidRPr="004E0D50">
              <w:rPr>
                <w:rFonts w:cs="Arial"/>
                <w:lang w:eastAsia="en-AU"/>
              </w:rPr>
              <w:t>that the absence of a grant is likely to prevent the grantee and government’s outcomes being achieved; and</w:t>
            </w:r>
          </w:p>
          <w:p w:rsidR="000E055E" w:rsidRPr="004E0D50" w:rsidRDefault="000E055E" w:rsidP="000E055E">
            <w:pPr>
              <w:numPr>
                <w:ilvl w:val="0"/>
                <w:numId w:val="16"/>
              </w:numPr>
              <w:spacing w:before="0" w:after="40" w:line="240" w:lineRule="auto"/>
              <w:ind w:left="342" w:hanging="342"/>
            </w:pPr>
            <w:r w:rsidRPr="004E0D50">
              <w:rPr>
                <w:rFonts w:cs="Arial"/>
                <w:lang w:eastAsia="en-AU"/>
              </w:rPr>
              <w:t>the potential grantee’s relevant experience and performance history</w:t>
            </w:r>
            <w:r w:rsidRPr="004E0D50">
              <w:rPr>
                <w:rFonts w:ascii="Times New Roman" w:hAnsi="Times New Roman"/>
                <w:sz w:val="24"/>
                <w:szCs w:val="24"/>
                <w:lang w:val="en" w:eastAsia="en-AU"/>
              </w:rPr>
              <w:t>.</w:t>
            </w:r>
          </w:p>
        </w:tc>
      </w:tr>
      <w:bookmarkEnd w:id="36"/>
      <w:bookmarkEnd w:id="37"/>
      <w:bookmarkEnd w:id="38"/>
    </w:tbl>
    <w:p w:rsidR="000E055E" w:rsidRPr="004E0D50" w:rsidRDefault="000E055E" w:rsidP="000E055E"/>
    <w:sectPr w:rsidR="000E055E" w:rsidRPr="004E0D5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BF" w:rsidRDefault="007826BF" w:rsidP="00077C3D">
      <w:r>
        <w:separator/>
      </w:r>
    </w:p>
  </w:endnote>
  <w:endnote w:type="continuationSeparator" w:id="0">
    <w:p w:rsidR="007826BF" w:rsidRDefault="007826BF" w:rsidP="00077C3D">
      <w:r>
        <w:continuationSeparator/>
      </w:r>
    </w:p>
  </w:endnote>
  <w:endnote w:type="continuationNotice" w:id="1">
    <w:p w:rsidR="007826BF" w:rsidRDefault="007826B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27" w:rsidRPr="005B72F4" w:rsidRDefault="007826BF" w:rsidP="00D35A15">
    <w:pPr>
      <w:pStyle w:val="Footer"/>
      <w:tabs>
        <w:tab w:val="clear" w:pos="4153"/>
        <w:tab w:val="clear" w:pos="8306"/>
        <w:tab w:val="left" w:pos="4395"/>
        <w:tab w:val="center" w:pos="6096"/>
        <w:tab w:val="right" w:pos="8789"/>
      </w:tabs>
    </w:pPr>
    <w:sdt>
      <w:sdtPr>
        <w:alias w:val="Title"/>
        <w:tag w:val=""/>
        <w:id w:val="1418975932"/>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F65927" w:rsidRPr="0079597E">
          <w:t>Murray-Darling Basin Economic Development Program Guidelines</w:t>
        </w:r>
      </w:sdtContent>
    </w:sdt>
    <w:r w:rsidR="00F65927">
      <w:tab/>
    </w:r>
    <w:r w:rsidR="00F65927" w:rsidRPr="00A529F5">
      <w:t>January 2019</w:t>
    </w:r>
    <w:r w:rsidR="00F65927" w:rsidRPr="005B72F4">
      <w:tab/>
      <w:t xml:space="preserve">Page </w:t>
    </w:r>
    <w:r w:rsidR="00F65927" w:rsidRPr="005B72F4">
      <w:fldChar w:fldCharType="begin"/>
    </w:r>
    <w:r w:rsidR="00F65927" w:rsidRPr="005B72F4">
      <w:instrText xml:space="preserve"> PAGE </w:instrText>
    </w:r>
    <w:r w:rsidR="00F65927" w:rsidRPr="005B72F4">
      <w:fldChar w:fldCharType="separate"/>
    </w:r>
    <w:r w:rsidR="00940135">
      <w:rPr>
        <w:noProof/>
      </w:rPr>
      <w:t>14</w:t>
    </w:r>
    <w:r w:rsidR="00F65927" w:rsidRPr="005B72F4">
      <w:fldChar w:fldCharType="end"/>
    </w:r>
    <w:r w:rsidR="00F65927" w:rsidRPr="005B72F4">
      <w:t xml:space="preserve"> of </w:t>
    </w:r>
    <w:r w:rsidR="00F65927">
      <w:rPr>
        <w:noProof/>
      </w:rPr>
      <w:fldChar w:fldCharType="begin"/>
    </w:r>
    <w:r w:rsidR="00F65927">
      <w:rPr>
        <w:noProof/>
      </w:rPr>
      <w:instrText xml:space="preserve"> NUMPAGES </w:instrText>
    </w:r>
    <w:r w:rsidR="00F65927">
      <w:rPr>
        <w:noProof/>
      </w:rPr>
      <w:fldChar w:fldCharType="separate"/>
    </w:r>
    <w:r w:rsidR="00940135">
      <w:rPr>
        <w:noProof/>
      </w:rPr>
      <w:t>26</w:t>
    </w:r>
    <w:r w:rsidR="00F6592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27" w:rsidRDefault="00F65927"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BF" w:rsidRDefault="007826BF" w:rsidP="00077C3D">
      <w:r>
        <w:separator/>
      </w:r>
    </w:p>
  </w:footnote>
  <w:footnote w:type="continuationSeparator" w:id="0">
    <w:p w:rsidR="007826BF" w:rsidRDefault="007826BF" w:rsidP="00077C3D">
      <w:r>
        <w:continuationSeparator/>
      </w:r>
    </w:p>
  </w:footnote>
  <w:footnote w:type="continuationNotice" w:id="1">
    <w:p w:rsidR="007826BF" w:rsidRDefault="007826BF" w:rsidP="00077C3D"/>
  </w:footnote>
  <w:footnote w:id="2">
    <w:p w:rsidR="00F65927" w:rsidRDefault="00F65927" w:rsidP="00AA098C">
      <w:pPr>
        <w:pStyle w:val="FootnoteText"/>
      </w:pPr>
      <w:r>
        <w:rPr>
          <w:rStyle w:val="FootnoteReference"/>
        </w:rPr>
        <w:footnoteRef/>
      </w:r>
      <w:r>
        <w:t xml:space="preserve"> Includes New South Wales local governments created as </w:t>
      </w:r>
      <w:r w:rsidRPr="00E33433">
        <w:t>Body Politics</w:t>
      </w:r>
      <w:r>
        <w:t xml:space="preserve"> </w:t>
      </w:r>
    </w:p>
  </w:footnote>
  <w:footnote w:id="3">
    <w:p w:rsidR="00F65927" w:rsidRDefault="00F65927" w:rsidP="00DC48ED">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4">
    <w:p w:rsidR="00F65927" w:rsidRPr="00F34280" w:rsidRDefault="00F65927" w:rsidP="004D50CC">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5">
    <w:p w:rsidR="00F65927" w:rsidRDefault="00F65927" w:rsidP="004D50CC">
      <w:pPr>
        <w:pStyle w:val="FootnoteText"/>
      </w:pPr>
      <w:r>
        <w:rPr>
          <w:rStyle w:val="FootnoteReference"/>
        </w:rPr>
        <w:footnoteRef/>
      </w:r>
      <w:r>
        <w:t xml:space="preserve"> Partnerships are formed by a group of individuals. </w:t>
      </w:r>
    </w:p>
  </w:footnote>
  <w:footnote w:id="6">
    <w:p w:rsidR="00F65927" w:rsidRDefault="00F65927" w:rsidP="004D50CC">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7">
    <w:p w:rsidR="00F65927" w:rsidRPr="001B6272" w:rsidRDefault="00F65927" w:rsidP="004D50CC">
      <w:pPr>
        <w:pStyle w:val="FootnoteText"/>
      </w:pPr>
      <w:r>
        <w:rPr>
          <w:rStyle w:val="FootnoteReference"/>
        </w:rPr>
        <w:footnoteRef/>
      </w:r>
      <w:r>
        <w:t xml:space="preserve"> </w:t>
      </w:r>
      <w:r w:rsidRPr="007D1730">
        <w:t xml:space="preserve">Trusts are not legal entities in their own right </w:t>
      </w:r>
    </w:p>
  </w:footnote>
  <w:footnote w:id="8">
    <w:p w:rsidR="00F65927" w:rsidRDefault="00F65927" w:rsidP="000E055E">
      <w:pPr>
        <w:pStyle w:val="FootnoteText"/>
      </w:pPr>
      <w:r>
        <w:rPr>
          <w:rStyle w:val="FootnoteReference"/>
        </w:rPr>
        <w:footnoteRef/>
      </w:r>
      <w:r>
        <w:t xml:space="preserve"> Alterations and addenda include but are not limited to: corrections to currently published documents, changes to any closing times for applications, Questions and Answers (Q&amp;A) documents. </w:t>
      </w:r>
    </w:p>
  </w:footnote>
  <w:footnote w:id="9">
    <w:p w:rsidR="00940135" w:rsidRDefault="00940135">
      <w:pPr>
        <w:pStyle w:val="FootnoteText"/>
      </w:pPr>
      <w:r>
        <w:rPr>
          <w:rStyle w:val="FootnoteReference"/>
        </w:rPr>
        <w:footnoteRef/>
      </w:r>
      <w:r>
        <w:t xml:space="preserve"> </w:t>
      </w:r>
      <w:r w:rsidRPr="00940135">
        <w:t>This may be the Hub delegate or nominated staff member of the client agency at the EL2 level or above.</w:t>
      </w:r>
    </w:p>
  </w:footnote>
  <w:footnote w:id="10">
    <w:p w:rsidR="00940135" w:rsidRDefault="00940135">
      <w:pPr>
        <w:pStyle w:val="FootnoteText"/>
      </w:pPr>
      <w:r>
        <w:rPr>
          <w:rStyle w:val="FootnoteReference"/>
        </w:rPr>
        <w:footnoteRef/>
      </w:r>
      <w:r>
        <w:t xml:space="preserve"> </w:t>
      </w:r>
      <w:r w:rsidRPr="00940135">
        <w:t>See glossary for an explanation of ‘value with money’.</w:t>
      </w:r>
    </w:p>
  </w:footnote>
  <w:footnote w:id="11">
    <w:p w:rsidR="00F65927" w:rsidRDefault="00F65927" w:rsidP="001A5D1C">
      <w:pPr>
        <w:pStyle w:val="FootnoteText"/>
      </w:pPr>
      <w:r>
        <w:rPr>
          <w:rStyle w:val="FootnoteReference"/>
        </w:rPr>
        <w:footnoteRef/>
      </w:r>
      <w:r>
        <w:t xml:space="preserve"> </w:t>
      </w:r>
      <w:r w:rsidRPr="00243BE9">
        <w:t>https://www.finance.gov.au/resource-management/grants/</w:t>
      </w:r>
      <w:r>
        <w:t xml:space="preserve"> </w:t>
      </w:r>
    </w:p>
  </w:footnote>
  <w:footnote w:id="12">
    <w:p w:rsidR="00F65927" w:rsidRPr="007133C2" w:rsidRDefault="00F65927" w:rsidP="000E055E">
      <w:pPr>
        <w:pStyle w:val="FootnoteText"/>
      </w:pPr>
      <w:r w:rsidRPr="007133C2">
        <w:rPr>
          <w:rStyle w:val="FootnoteReference"/>
        </w:rPr>
        <w:footnoteRef/>
      </w:r>
      <w:r w:rsidRPr="007133C2">
        <w:t xml:space="preserve"> Relevant money is defined in the PGPA Act. See section 8, Dictionary</w:t>
      </w:r>
      <w:r>
        <w:t>.</w:t>
      </w:r>
    </w:p>
  </w:footnote>
  <w:footnote w:id="13">
    <w:p w:rsidR="00F65927" w:rsidRPr="007133C2" w:rsidRDefault="00F65927" w:rsidP="000E055E">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27" w:rsidRDefault="00A529F5" w:rsidP="00C776E3">
    <w:r>
      <w:rPr>
        <w:noProof/>
        <w:lang w:eastAsia="en-AU"/>
      </w:rPr>
      <w:drawing>
        <wp:anchor distT="0" distB="0" distL="114300" distR="114300" simplePos="0" relativeHeight="251658240" behindDoc="0" locked="0" layoutInCell="1" allowOverlap="1">
          <wp:simplePos x="0" y="0"/>
          <wp:positionH relativeFrom="column">
            <wp:posOffset>-1108710</wp:posOffset>
          </wp:positionH>
          <wp:positionV relativeFrom="paragraph">
            <wp:posOffset>-364490</wp:posOffset>
          </wp:positionV>
          <wp:extent cx="7976235" cy="149034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76235" cy="1490345"/>
                  </a:xfrm>
                  <a:prstGeom prst="rect">
                    <a:avLst/>
                  </a:prstGeom>
                </pic:spPr>
              </pic:pic>
            </a:graphicData>
          </a:graphic>
        </wp:anchor>
      </w:drawing>
    </w:r>
    <w:r w:rsidR="00F65927">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27" w:rsidRDefault="00F65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27" w:rsidRDefault="00F659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27" w:rsidRDefault="00F65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2C5474"/>
    <w:multiLevelType w:val="hybridMultilevel"/>
    <w:tmpl w:val="4CA82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531458E"/>
    <w:multiLevelType w:val="hybridMultilevel"/>
    <w:tmpl w:val="1F16D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D6B8DD74"/>
    <w:lvl w:ilvl="0">
      <w:start w:val="1"/>
      <w:numFmt w:val="decimal"/>
      <w:pStyle w:val="Heading2"/>
      <w:lvlText w:val="%1"/>
      <w:lvlJc w:val="left"/>
      <w:pPr>
        <w:ind w:left="1134" w:hanging="1134"/>
      </w:pPr>
      <w:rPr>
        <w:rFonts w:hint="default"/>
        <w:sz w:val="24"/>
        <w:szCs w:val="24"/>
      </w:rPr>
    </w:lvl>
    <w:lvl w:ilvl="1">
      <w:start w:val="1"/>
      <w:numFmt w:val="decimal"/>
      <w:pStyle w:val="Heading3"/>
      <w:lvlText w:val="%1.%2"/>
      <w:lvlJc w:val="left"/>
      <w:pPr>
        <w:ind w:left="1134"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9252FDC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571187"/>
    <w:multiLevelType w:val="hybridMultilevel"/>
    <w:tmpl w:val="1FF2ED0A"/>
    <w:lvl w:ilvl="0" w:tplc="546E6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7159DA"/>
    <w:multiLevelType w:val="hybridMultilevel"/>
    <w:tmpl w:val="7638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E084A"/>
    <w:multiLevelType w:val="multilevel"/>
    <w:tmpl w:val="856019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F7D5D"/>
    <w:multiLevelType w:val="hybridMultilevel"/>
    <w:tmpl w:val="5040F9A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81B49"/>
    <w:multiLevelType w:val="hybridMultilevel"/>
    <w:tmpl w:val="FD403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D5C12"/>
    <w:multiLevelType w:val="multilevel"/>
    <w:tmpl w:val="20F2356A"/>
    <w:numStyleLink w:val="Appendix"/>
  </w:abstractNum>
  <w:abstractNum w:abstractNumId="20"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15:restartNumberingAfterBreak="0">
    <w:nsid w:val="560B3454"/>
    <w:multiLevelType w:val="hybridMultilevel"/>
    <w:tmpl w:val="7062CD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91ADF"/>
    <w:multiLevelType w:val="hybridMultilevel"/>
    <w:tmpl w:val="39827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6"/>
  </w:num>
  <w:num w:numId="4">
    <w:abstractNumId w:val="17"/>
  </w:num>
  <w:num w:numId="5">
    <w:abstractNumId w:val="28"/>
  </w:num>
  <w:num w:numId="6">
    <w:abstractNumId w:val="26"/>
  </w:num>
  <w:num w:numId="7">
    <w:abstractNumId w:val="8"/>
  </w:num>
  <w:num w:numId="8">
    <w:abstractNumId w:val="7"/>
  </w:num>
  <w:num w:numId="9">
    <w:abstractNumId w:val="5"/>
  </w:num>
  <w:num w:numId="10">
    <w:abstractNumId w:val="8"/>
  </w:num>
  <w:num w:numId="11">
    <w:abstractNumId w:val="3"/>
  </w:num>
  <w:num w:numId="12">
    <w:abstractNumId w:val="25"/>
  </w:num>
  <w:num w:numId="13">
    <w:abstractNumId w:val="23"/>
  </w:num>
  <w:num w:numId="14">
    <w:abstractNumId w:val="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num>
  <w:num w:numId="21">
    <w:abstractNumId w:val="19"/>
  </w:num>
  <w:num w:numId="22">
    <w:abstractNumId w:val="11"/>
  </w:num>
  <w:num w:numId="23">
    <w:abstractNumId w:val="12"/>
  </w:num>
  <w:num w:numId="24">
    <w:abstractNumId w:val="27"/>
  </w:num>
  <w:num w:numId="25">
    <w:abstractNumId w:val="4"/>
  </w:num>
  <w:num w:numId="26">
    <w:abstractNumId w:val="21"/>
  </w:num>
  <w:num w:numId="27">
    <w:abstractNumId w:val="7"/>
  </w:num>
  <w:num w:numId="28">
    <w:abstractNumId w:val="10"/>
  </w:num>
  <w:num w:numId="29">
    <w:abstractNumId w:val="29"/>
  </w:num>
  <w:num w:numId="30">
    <w:abstractNumId w:val="9"/>
  </w:num>
  <w:num w:numId="31">
    <w:abstractNumId w:val="13"/>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5">
    <w:abstractNumId w:val="20"/>
  </w:num>
  <w:num w:numId="36">
    <w:abstractNumId w:val="2"/>
  </w:num>
  <w:num w:numId="3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5195"/>
    <w:rsid w:val="00005E68"/>
    <w:rsid w:val="0000612B"/>
    <w:rsid w:val="000062D1"/>
    <w:rsid w:val="0000694F"/>
    <w:rsid w:val="000071CC"/>
    <w:rsid w:val="00007C0D"/>
    <w:rsid w:val="00010CF8"/>
    <w:rsid w:val="00011AA7"/>
    <w:rsid w:val="0001641E"/>
    <w:rsid w:val="0001685F"/>
    <w:rsid w:val="00016C0F"/>
    <w:rsid w:val="00016E51"/>
    <w:rsid w:val="00017238"/>
    <w:rsid w:val="000172C1"/>
    <w:rsid w:val="00017503"/>
    <w:rsid w:val="000207D9"/>
    <w:rsid w:val="00021292"/>
    <w:rsid w:val="000216F2"/>
    <w:rsid w:val="00022A7F"/>
    <w:rsid w:val="00023115"/>
    <w:rsid w:val="0002331D"/>
    <w:rsid w:val="00024C55"/>
    <w:rsid w:val="0002521C"/>
    <w:rsid w:val="00025467"/>
    <w:rsid w:val="00026A96"/>
    <w:rsid w:val="00027072"/>
    <w:rsid w:val="00027157"/>
    <w:rsid w:val="00027FFD"/>
    <w:rsid w:val="00031075"/>
    <w:rsid w:val="000310F1"/>
    <w:rsid w:val="0003165D"/>
    <w:rsid w:val="0003249B"/>
    <w:rsid w:val="00034775"/>
    <w:rsid w:val="00036078"/>
    <w:rsid w:val="000363BF"/>
    <w:rsid w:val="00037556"/>
    <w:rsid w:val="0004098F"/>
    <w:rsid w:val="00040A03"/>
    <w:rsid w:val="0004109F"/>
    <w:rsid w:val="00042438"/>
    <w:rsid w:val="00044014"/>
    <w:rsid w:val="00044DC0"/>
    <w:rsid w:val="00044EF8"/>
    <w:rsid w:val="0004553D"/>
    <w:rsid w:val="00046DBC"/>
    <w:rsid w:val="00047914"/>
    <w:rsid w:val="00047BA8"/>
    <w:rsid w:val="000517A1"/>
    <w:rsid w:val="000525BC"/>
    <w:rsid w:val="00052A54"/>
    <w:rsid w:val="00052C0D"/>
    <w:rsid w:val="00052E3E"/>
    <w:rsid w:val="0005371D"/>
    <w:rsid w:val="00055101"/>
    <w:rsid w:val="000553F2"/>
    <w:rsid w:val="000559E9"/>
    <w:rsid w:val="00056158"/>
    <w:rsid w:val="00056CEE"/>
    <w:rsid w:val="000570B8"/>
    <w:rsid w:val="00057E29"/>
    <w:rsid w:val="00060AD3"/>
    <w:rsid w:val="00060F83"/>
    <w:rsid w:val="0006299B"/>
    <w:rsid w:val="00062B2E"/>
    <w:rsid w:val="000635B2"/>
    <w:rsid w:val="0006399E"/>
    <w:rsid w:val="000644EE"/>
    <w:rsid w:val="00065BF7"/>
    <w:rsid w:val="00065F24"/>
    <w:rsid w:val="000668C5"/>
    <w:rsid w:val="00066A84"/>
    <w:rsid w:val="00066C0F"/>
    <w:rsid w:val="00067ABF"/>
    <w:rsid w:val="0007009A"/>
    <w:rsid w:val="00071CC0"/>
    <w:rsid w:val="00072DD5"/>
    <w:rsid w:val="000741DE"/>
    <w:rsid w:val="00076300"/>
    <w:rsid w:val="00077C3D"/>
    <w:rsid w:val="000805C4"/>
    <w:rsid w:val="00080B67"/>
    <w:rsid w:val="00081379"/>
    <w:rsid w:val="000820AC"/>
    <w:rsid w:val="0008289E"/>
    <w:rsid w:val="000833DF"/>
    <w:rsid w:val="00083CC7"/>
    <w:rsid w:val="000849D6"/>
    <w:rsid w:val="00084EEE"/>
    <w:rsid w:val="0008697C"/>
    <w:rsid w:val="00087610"/>
    <w:rsid w:val="00087C04"/>
    <w:rsid w:val="00090431"/>
    <w:rsid w:val="0009133F"/>
    <w:rsid w:val="00093BA1"/>
    <w:rsid w:val="00094051"/>
    <w:rsid w:val="000951B3"/>
    <w:rsid w:val="00096575"/>
    <w:rsid w:val="0009683F"/>
    <w:rsid w:val="000A2011"/>
    <w:rsid w:val="000A2037"/>
    <w:rsid w:val="000A4261"/>
    <w:rsid w:val="000A4490"/>
    <w:rsid w:val="000A4D8A"/>
    <w:rsid w:val="000A5066"/>
    <w:rsid w:val="000A6E25"/>
    <w:rsid w:val="000A742E"/>
    <w:rsid w:val="000A7684"/>
    <w:rsid w:val="000A7F58"/>
    <w:rsid w:val="000B08CD"/>
    <w:rsid w:val="000B1184"/>
    <w:rsid w:val="000B138C"/>
    <w:rsid w:val="000B1991"/>
    <w:rsid w:val="000B1E17"/>
    <w:rsid w:val="000B1F3F"/>
    <w:rsid w:val="000B2D39"/>
    <w:rsid w:val="000B2DAA"/>
    <w:rsid w:val="000B3A19"/>
    <w:rsid w:val="000B44F5"/>
    <w:rsid w:val="000B522C"/>
    <w:rsid w:val="000B5615"/>
    <w:rsid w:val="000B586D"/>
    <w:rsid w:val="000B597B"/>
    <w:rsid w:val="000B75E4"/>
    <w:rsid w:val="000B7C0B"/>
    <w:rsid w:val="000C07C6"/>
    <w:rsid w:val="000C2B51"/>
    <w:rsid w:val="000C2FF5"/>
    <w:rsid w:val="000C31F3"/>
    <w:rsid w:val="000C34D6"/>
    <w:rsid w:val="000C3B35"/>
    <w:rsid w:val="000C4E64"/>
    <w:rsid w:val="000C5F08"/>
    <w:rsid w:val="000C69AE"/>
    <w:rsid w:val="000C6A52"/>
    <w:rsid w:val="000C6B5E"/>
    <w:rsid w:val="000C756E"/>
    <w:rsid w:val="000D0562"/>
    <w:rsid w:val="000D0903"/>
    <w:rsid w:val="000D1463"/>
    <w:rsid w:val="000D1B5E"/>
    <w:rsid w:val="000D1F5F"/>
    <w:rsid w:val="000D3F05"/>
    <w:rsid w:val="000D4087"/>
    <w:rsid w:val="000D4257"/>
    <w:rsid w:val="000D6D35"/>
    <w:rsid w:val="000E055E"/>
    <w:rsid w:val="000E08D0"/>
    <w:rsid w:val="000E0C56"/>
    <w:rsid w:val="000E11A2"/>
    <w:rsid w:val="000E14AD"/>
    <w:rsid w:val="000E167A"/>
    <w:rsid w:val="000E1E35"/>
    <w:rsid w:val="000E23A5"/>
    <w:rsid w:val="000E276D"/>
    <w:rsid w:val="000E2D44"/>
    <w:rsid w:val="000E2F40"/>
    <w:rsid w:val="000E4061"/>
    <w:rsid w:val="000E4CD5"/>
    <w:rsid w:val="000E620A"/>
    <w:rsid w:val="000E70D4"/>
    <w:rsid w:val="000F0228"/>
    <w:rsid w:val="000F027E"/>
    <w:rsid w:val="000F18DD"/>
    <w:rsid w:val="000F48FA"/>
    <w:rsid w:val="000F5EB5"/>
    <w:rsid w:val="000F7174"/>
    <w:rsid w:val="00100216"/>
    <w:rsid w:val="0010200A"/>
    <w:rsid w:val="00102271"/>
    <w:rsid w:val="0010349B"/>
    <w:rsid w:val="00103E5C"/>
    <w:rsid w:val="001045B6"/>
    <w:rsid w:val="00104854"/>
    <w:rsid w:val="0010490E"/>
    <w:rsid w:val="001066C6"/>
    <w:rsid w:val="00106980"/>
    <w:rsid w:val="00106B83"/>
    <w:rsid w:val="001074B6"/>
    <w:rsid w:val="00107612"/>
    <w:rsid w:val="00107A22"/>
    <w:rsid w:val="0011021A"/>
    <w:rsid w:val="00110B66"/>
    <w:rsid w:val="00110DF4"/>
    <w:rsid w:val="00110F7F"/>
    <w:rsid w:val="00111506"/>
    <w:rsid w:val="00111613"/>
    <w:rsid w:val="00111ABB"/>
    <w:rsid w:val="00112457"/>
    <w:rsid w:val="00113DE0"/>
    <w:rsid w:val="00114CE2"/>
    <w:rsid w:val="00115919"/>
    <w:rsid w:val="00115C6B"/>
    <w:rsid w:val="0011744A"/>
    <w:rsid w:val="00120961"/>
    <w:rsid w:val="00122DEC"/>
    <w:rsid w:val="0012305A"/>
    <w:rsid w:val="00123335"/>
    <w:rsid w:val="00123A91"/>
    <w:rsid w:val="00123A99"/>
    <w:rsid w:val="00124920"/>
    <w:rsid w:val="001252AE"/>
    <w:rsid w:val="00127536"/>
    <w:rsid w:val="001279B3"/>
    <w:rsid w:val="00130493"/>
    <w:rsid w:val="00130554"/>
    <w:rsid w:val="00130B68"/>
    <w:rsid w:val="00130F17"/>
    <w:rsid w:val="001315FB"/>
    <w:rsid w:val="00132444"/>
    <w:rsid w:val="001339E8"/>
    <w:rsid w:val="001347F8"/>
    <w:rsid w:val="00134DA2"/>
    <w:rsid w:val="0013514F"/>
    <w:rsid w:val="0013564A"/>
    <w:rsid w:val="00136795"/>
    <w:rsid w:val="00137190"/>
    <w:rsid w:val="0013734A"/>
    <w:rsid w:val="0014016C"/>
    <w:rsid w:val="00141149"/>
    <w:rsid w:val="00142580"/>
    <w:rsid w:val="00143EA2"/>
    <w:rsid w:val="0014408C"/>
    <w:rsid w:val="001441E7"/>
    <w:rsid w:val="00144380"/>
    <w:rsid w:val="001450BD"/>
    <w:rsid w:val="001452A7"/>
    <w:rsid w:val="0014572E"/>
    <w:rsid w:val="00146033"/>
    <w:rsid w:val="00146445"/>
    <w:rsid w:val="00151417"/>
    <w:rsid w:val="0015405F"/>
    <w:rsid w:val="00154230"/>
    <w:rsid w:val="00155480"/>
    <w:rsid w:val="00160DFD"/>
    <w:rsid w:val="00161E9F"/>
    <w:rsid w:val="00162208"/>
    <w:rsid w:val="001642EF"/>
    <w:rsid w:val="001642FE"/>
    <w:rsid w:val="00164671"/>
    <w:rsid w:val="00165CA8"/>
    <w:rsid w:val="00166904"/>
    <w:rsid w:val="001678AE"/>
    <w:rsid w:val="00170185"/>
    <w:rsid w:val="001712A2"/>
    <w:rsid w:val="00171D65"/>
    <w:rsid w:val="00172328"/>
    <w:rsid w:val="00172F7F"/>
    <w:rsid w:val="001737AC"/>
    <w:rsid w:val="0017423B"/>
    <w:rsid w:val="00174906"/>
    <w:rsid w:val="00176EF8"/>
    <w:rsid w:val="00180AD0"/>
    <w:rsid w:val="00180B0E"/>
    <w:rsid w:val="001811B0"/>
    <w:rsid w:val="001817F4"/>
    <w:rsid w:val="001819CD"/>
    <w:rsid w:val="00181A24"/>
    <w:rsid w:val="00182330"/>
    <w:rsid w:val="0018250A"/>
    <w:rsid w:val="00182EAC"/>
    <w:rsid w:val="00183DA2"/>
    <w:rsid w:val="00183EED"/>
    <w:rsid w:val="0018511E"/>
    <w:rsid w:val="001867EC"/>
    <w:rsid w:val="001875DA"/>
    <w:rsid w:val="001907F9"/>
    <w:rsid w:val="0019141F"/>
    <w:rsid w:val="00193926"/>
    <w:rsid w:val="00193DE8"/>
    <w:rsid w:val="0019423A"/>
    <w:rsid w:val="001948A9"/>
    <w:rsid w:val="00194969"/>
    <w:rsid w:val="00194ACD"/>
    <w:rsid w:val="001956C5"/>
    <w:rsid w:val="00195BF5"/>
    <w:rsid w:val="00195D42"/>
    <w:rsid w:val="00195E18"/>
    <w:rsid w:val="00197A10"/>
    <w:rsid w:val="001A11B0"/>
    <w:rsid w:val="001A11DB"/>
    <w:rsid w:val="001A1C64"/>
    <w:rsid w:val="001A20AF"/>
    <w:rsid w:val="001A28C0"/>
    <w:rsid w:val="001A46FB"/>
    <w:rsid w:val="001A51FA"/>
    <w:rsid w:val="001A5D1C"/>
    <w:rsid w:val="001A5D9B"/>
    <w:rsid w:val="001A6742"/>
    <w:rsid w:val="001A6862"/>
    <w:rsid w:val="001B1C0B"/>
    <w:rsid w:val="001B2A5D"/>
    <w:rsid w:val="001B36BA"/>
    <w:rsid w:val="001B3F03"/>
    <w:rsid w:val="001B43D0"/>
    <w:rsid w:val="001B4EAA"/>
    <w:rsid w:val="001B6C85"/>
    <w:rsid w:val="001B7CCF"/>
    <w:rsid w:val="001B7CE1"/>
    <w:rsid w:val="001C02DF"/>
    <w:rsid w:val="001C1B5B"/>
    <w:rsid w:val="001C2830"/>
    <w:rsid w:val="001C53D3"/>
    <w:rsid w:val="001C6603"/>
    <w:rsid w:val="001C6ACC"/>
    <w:rsid w:val="001C7328"/>
    <w:rsid w:val="001C7BBA"/>
    <w:rsid w:val="001C7EDF"/>
    <w:rsid w:val="001C7F1A"/>
    <w:rsid w:val="001D0EC9"/>
    <w:rsid w:val="001D0F50"/>
    <w:rsid w:val="001D1340"/>
    <w:rsid w:val="001D1782"/>
    <w:rsid w:val="001D201F"/>
    <w:rsid w:val="001D2797"/>
    <w:rsid w:val="001D27BB"/>
    <w:rsid w:val="001D4DA5"/>
    <w:rsid w:val="001D513B"/>
    <w:rsid w:val="001D712A"/>
    <w:rsid w:val="001D76D4"/>
    <w:rsid w:val="001E132F"/>
    <w:rsid w:val="001E282D"/>
    <w:rsid w:val="001E465D"/>
    <w:rsid w:val="001E52F4"/>
    <w:rsid w:val="001E56B9"/>
    <w:rsid w:val="001E5C44"/>
    <w:rsid w:val="001E60B8"/>
    <w:rsid w:val="001E659F"/>
    <w:rsid w:val="001F1B51"/>
    <w:rsid w:val="001F2424"/>
    <w:rsid w:val="001F24BD"/>
    <w:rsid w:val="001F2ED0"/>
    <w:rsid w:val="001F3068"/>
    <w:rsid w:val="001F32A5"/>
    <w:rsid w:val="001F5401"/>
    <w:rsid w:val="001F597F"/>
    <w:rsid w:val="001F5D08"/>
    <w:rsid w:val="001F6379"/>
    <w:rsid w:val="001F640B"/>
    <w:rsid w:val="001F7876"/>
    <w:rsid w:val="00200152"/>
    <w:rsid w:val="0020114E"/>
    <w:rsid w:val="00202DFC"/>
    <w:rsid w:val="00203F73"/>
    <w:rsid w:val="002067C9"/>
    <w:rsid w:val="00207A20"/>
    <w:rsid w:val="00207C66"/>
    <w:rsid w:val="0021021D"/>
    <w:rsid w:val="00211AB8"/>
    <w:rsid w:val="00211D98"/>
    <w:rsid w:val="00212182"/>
    <w:rsid w:val="00213A71"/>
    <w:rsid w:val="00213D13"/>
    <w:rsid w:val="00214A1F"/>
    <w:rsid w:val="00217440"/>
    <w:rsid w:val="00220403"/>
    <w:rsid w:val="00220627"/>
    <w:rsid w:val="0022081B"/>
    <w:rsid w:val="00221230"/>
    <w:rsid w:val="00221728"/>
    <w:rsid w:val="002219AF"/>
    <w:rsid w:val="00222197"/>
    <w:rsid w:val="00222B1D"/>
    <w:rsid w:val="00222B57"/>
    <w:rsid w:val="00222C72"/>
    <w:rsid w:val="002232D1"/>
    <w:rsid w:val="00224E34"/>
    <w:rsid w:val="0022555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8AD"/>
    <w:rsid w:val="00236D85"/>
    <w:rsid w:val="00240385"/>
    <w:rsid w:val="00240D16"/>
    <w:rsid w:val="00241224"/>
    <w:rsid w:val="00242EEE"/>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EA9"/>
    <w:rsid w:val="00265BC2"/>
    <w:rsid w:val="002662F6"/>
    <w:rsid w:val="00266329"/>
    <w:rsid w:val="00266A14"/>
    <w:rsid w:val="00270215"/>
    <w:rsid w:val="0027141D"/>
    <w:rsid w:val="00271FAE"/>
    <w:rsid w:val="00272178"/>
    <w:rsid w:val="00272AD7"/>
    <w:rsid w:val="00272F10"/>
    <w:rsid w:val="00274B8B"/>
    <w:rsid w:val="00276D9D"/>
    <w:rsid w:val="00277135"/>
    <w:rsid w:val="00281521"/>
    <w:rsid w:val="00282312"/>
    <w:rsid w:val="0028277B"/>
    <w:rsid w:val="0028417F"/>
    <w:rsid w:val="0028433B"/>
    <w:rsid w:val="00284361"/>
    <w:rsid w:val="00284561"/>
    <w:rsid w:val="002854E1"/>
    <w:rsid w:val="00285F58"/>
    <w:rsid w:val="002876F0"/>
    <w:rsid w:val="00287AC7"/>
    <w:rsid w:val="00287F64"/>
    <w:rsid w:val="00290F12"/>
    <w:rsid w:val="00291F3E"/>
    <w:rsid w:val="00292430"/>
    <w:rsid w:val="002926DD"/>
    <w:rsid w:val="0029287F"/>
    <w:rsid w:val="00294B8B"/>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5660"/>
    <w:rsid w:val="002B5733"/>
    <w:rsid w:val="002B5B15"/>
    <w:rsid w:val="002B5F43"/>
    <w:rsid w:val="002B667B"/>
    <w:rsid w:val="002C00A0"/>
    <w:rsid w:val="002C0A35"/>
    <w:rsid w:val="002C0E1E"/>
    <w:rsid w:val="002C0EEA"/>
    <w:rsid w:val="002C14B0"/>
    <w:rsid w:val="002C157A"/>
    <w:rsid w:val="002C2056"/>
    <w:rsid w:val="002C3EF8"/>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0FCE"/>
    <w:rsid w:val="002E18F3"/>
    <w:rsid w:val="002E2021"/>
    <w:rsid w:val="002E2BEC"/>
    <w:rsid w:val="002E367A"/>
    <w:rsid w:val="002E380B"/>
    <w:rsid w:val="002E3A5A"/>
    <w:rsid w:val="002E3CA8"/>
    <w:rsid w:val="002E4ED1"/>
    <w:rsid w:val="002E5556"/>
    <w:rsid w:val="002F0BD9"/>
    <w:rsid w:val="002F28CA"/>
    <w:rsid w:val="002F2933"/>
    <w:rsid w:val="002F557C"/>
    <w:rsid w:val="002F5D25"/>
    <w:rsid w:val="002F655E"/>
    <w:rsid w:val="002F65BC"/>
    <w:rsid w:val="002F71EC"/>
    <w:rsid w:val="002F791F"/>
    <w:rsid w:val="002F7C69"/>
    <w:rsid w:val="002F7D07"/>
    <w:rsid w:val="00300116"/>
    <w:rsid w:val="003001C7"/>
    <w:rsid w:val="00300D02"/>
    <w:rsid w:val="00302AF5"/>
    <w:rsid w:val="00302C41"/>
    <w:rsid w:val="003030F0"/>
    <w:rsid w:val="003038C5"/>
    <w:rsid w:val="00303EED"/>
    <w:rsid w:val="0030567F"/>
    <w:rsid w:val="003057E8"/>
    <w:rsid w:val="00307289"/>
    <w:rsid w:val="00307CE3"/>
    <w:rsid w:val="00311CBF"/>
    <w:rsid w:val="00312203"/>
    <w:rsid w:val="003133FB"/>
    <w:rsid w:val="00313BBC"/>
    <w:rsid w:val="00313FA2"/>
    <w:rsid w:val="00314704"/>
    <w:rsid w:val="0031563C"/>
    <w:rsid w:val="003159B5"/>
    <w:rsid w:val="003206C6"/>
    <w:rsid w:val="003211B4"/>
    <w:rsid w:val="00321B06"/>
    <w:rsid w:val="00322126"/>
    <w:rsid w:val="0032256A"/>
    <w:rsid w:val="00324D4A"/>
    <w:rsid w:val="00325582"/>
    <w:rsid w:val="003259F6"/>
    <w:rsid w:val="00326AD1"/>
    <w:rsid w:val="003271A6"/>
    <w:rsid w:val="0033013E"/>
    <w:rsid w:val="003320A4"/>
    <w:rsid w:val="003322E9"/>
    <w:rsid w:val="00332F58"/>
    <w:rsid w:val="003340F3"/>
    <w:rsid w:val="00335039"/>
    <w:rsid w:val="00335B3C"/>
    <w:rsid w:val="00335D30"/>
    <w:rsid w:val="003364E6"/>
    <w:rsid w:val="0033741C"/>
    <w:rsid w:val="003420F9"/>
    <w:rsid w:val="00342D0A"/>
    <w:rsid w:val="00343643"/>
    <w:rsid w:val="0034447B"/>
    <w:rsid w:val="0034453A"/>
    <w:rsid w:val="00351215"/>
    <w:rsid w:val="0035202F"/>
    <w:rsid w:val="00352EA5"/>
    <w:rsid w:val="00353428"/>
    <w:rsid w:val="00353A71"/>
    <w:rsid w:val="00353CBF"/>
    <w:rsid w:val="00354600"/>
    <w:rsid w:val="00354604"/>
    <w:rsid w:val="003549A0"/>
    <w:rsid w:val="003552BD"/>
    <w:rsid w:val="003560E1"/>
    <w:rsid w:val="003565D1"/>
    <w:rsid w:val="00356CC1"/>
    <w:rsid w:val="00356ED2"/>
    <w:rsid w:val="0035753C"/>
    <w:rsid w:val="003576AB"/>
    <w:rsid w:val="00357D08"/>
    <w:rsid w:val="0036055C"/>
    <w:rsid w:val="0036071F"/>
    <w:rsid w:val="00361708"/>
    <w:rsid w:val="00363657"/>
    <w:rsid w:val="00365288"/>
    <w:rsid w:val="00365CF4"/>
    <w:rsid w:val="003703B2"/>
    <w:rsid w:val="0037141F"/>
    <w:rsid w:val="00372018"/>
    <w:rsid w:val="003728F9"/>
    <w:rsid w:val="003739C1"/>
    <w:rsid w:val="00374A77"/>
    <w:rsid w:val="00375C2F"/>
    <w:rsid w:val="0037640A"/>
    <w:rsid w:val="003805BF"/>
    <w:rsid w:val="00380EA6"/>
    <w:rsid w:val="003816D7"/>
    <w:rsid w:val="003823AF"/>
    <w:rsid w:val="00383297"/>
    <w:rsid w:val="00383A3A"/>
    <w:rsid w:val="003848A4"/>
    <w:rsid w:val="00384E16"/>
    <w:rsid w:val="00386902"/>
    <w:rsid w:val="003871B6"/>
    <w:rsid w:val="00387218"/>
    <w:rsid w:val="00387369"/>
    <w:rsid w:val="00387FC0"/>
    <w:rsid w:val="003900DB"/>
    <w:rsid w:val="003903AE"/>
    <w:rsid w:val="00390825"/>
    <w:rsid w:val="003911FD"/>
    <w:rsid w:val="00391474"/>
    <w:rsid w:val="00392716"/>
    <w:rsid w:val="00392F6D"/>
    <w:rsid w:val="0039610D"/>
    <w:rsid w:val="003973AC"/>
    <w:rsid w:val="003A0BCC"/>
    <w:rsid w:val="003A1835"/>
    <w:rsid w:val="003A270D"/>
    <w:rsid w:val="003A461B"/>
    <w:rsid w:val="003A48C0"/>
    <w:rsid w:val="003A4A83"/>
    <w:rsid w:val="003A4D57"/>
    <w:rsid w:val="003A5754"/>
    <w:rsid w:val="003A5D94"/>
    <w:rsid w:val="003A79AD"/>
    <w:rsid w:val="003B032D"/>
    <w:rsid w:val="003B0568"/>
    <w:rsid w:val="003B18C7"/>
    <w:rsid w:val="003B29BA"/>
    <w:rsid w:val="003B4A52"/>
    <w:rsid w:val="003B50DD"/>
    <w:rsid w:val="003B575D"/>
    <w:rsid w:val="003B6AC4"/>
    <w:rsid w:val="003B743C"/>
    <w:rsid w:val="003C001C"/>
    <w:rsid w:val="003C05BA"/>
    <w:rsid w:val="003C19C8"/>
    <w:rsid w:val="003C280B"/>
    <w:rsid w:val="003C2AB0"/>
    <w:rsid w:val="003C2F23"/>
    <w:rsid w:val="003C30E5"/>
    <w:rsid w:val="003C3144"/>
    <w:rsid w:val="003C451C"/>
    <w:rsid w:val="003C5915"/>
    <w:rsid w:val="003C6EA3"/>
    <w:rsid w:val="003D061B"/>
    <w:rsid w:val="003D09C5"/>
    <w:rsid w:val="003D26EE"/>
    <w:rsid w:val="003D3AE8"/>
    <w:rsid w:val="003D521B"/>
    <w:rsid w:val="003D5C41"/>
    <w:rsid w:val="003D635D"/>
    <w:rsid w:val="003D7548"/>
    <w:rsid w:val="003D7F5C"/>
    <w:rsid w:val="003E0690"/>
    <w:rsid w:val="003E0C6C"/>
    <w:rsid w:val="003E2735"/>
    <w:rsid w:val="003E2A09"/>
    <w:rsid w:val="003E2EA6"/>
    <w:rsid w:val="003E316D"/>
    <w:rsid w:val="003E339B"/>
    <w:rsid w:val="003E38D5"/>
    <w:rsid w:val="003E42E1"/>
    <w:rsid w:val="003E4BF0"/>
    <w:rsid w:val="003E5B2A"/>
    <w:rsid w:val="003E639F"/>
    <w:rsid w:val="003E63B6"/>
    <w:rsid w:val="003E6E52"/>
    <w:rsid w:val="003E7ED1"/>
    <w:rsid w:val="003F044F"/>
    <w:rsid w:val="003F0BEC"/>
    <w:rsid w:val="003F1A84"/>
    <w:rsid w:val="003F3106"/>
    <w:rsid w:val="003F3392"/>
    <w:rsid w:val="003F385C"/>
    <w:rsid w:val="003F3D5C"/>
    <w:rsid w:val="003F5421"/>
    <w:rsid w:val="003F5453"/>
    <w:rsid w:val="003F6DC3"/>
    <w:rsid w:val="003F7220"/>
    <w:rsid w:val="003F745B"/>
    <w:rsid w:val="003F7476"/>
    <w:rsid w:val="003F7C5F"/>
    <w:rsid w:val="004028F2"/>
    <w:rsid w:val="00402CA9"/>
    <w:rsid w:val="00404C02"/>
    <w:rsid w:val="00405D85"/>
    <w:rsid w:val="00407403"/>
    <w:rsid w:val="004102B0"/>
    <w:rsid w:val="004108DC"/>
    <w:rsid w:val="004125D5"/>
    <w:rsid w:val="004131EC"/>
    <w:rsid w:val="004132ED"/>
    <w:rsid w:val="00414211"/>
    <w:rsid w:val="004142C1"/>
    <w:rsid w:val="004149EB"/>
    <w:rsid w:val="004167B3"/>
    <w:rsid w:val="004230D5"/>
    <w:rsid w:val="00423435"/>
    <w:rsid w:val="004234A1"/>
    <w:rsid w:val="00424DCB"/>
    <w:rsid w:val="00425052"/>
    <w:rsid w:val="00425E5E"/>
    <w:rsid w:val="00427819"/>
    <w:rsid w:val="00427AC0"/>
    <w:rsid w:val="00430ADC"/>
    <w:rsid w:val="00430D2E"/>
    <w:rsid w:val="00430F31"/>
    <w:rsid w:val="00431870"/>
    <w:rsid w:val="0043194E"/>
    <w:rsid w:val="00436853"/>
    <w:rsid w:val="00437174"/>
    <w:rsid w:val="004372E6"/>
    <w:rsid w:val="00437712"/>
    <w:rsid w:val="00437CDA"/>
    <w:rsid w:val="00441028"/>
    <w:rsid w:val="00441195"/>
    <w:rsid w:val="004411E4"/>
    <w:rsid w:val="00441373"/>
    <w:rsid w:val="00442976"/>
    <w:rsid w:val="004431AE"/>
    <w:rsid w:val="004436AA"/>
    <w:rsid w:val="00445D92"/>
    <w:rsid w:val="00452841"/>
    <w:rsid w:val="00453537"/>
    <w:rsid w:val="004538DB"/>
    <w:rsid w:val="00453E77"/>
    <w:rsid w:val="00453EFC"/>
    <w:rsid w:val="00453F62"/>
    <w:rsid w:val="004545F3"/>
    <w:rsid w:val="00455160"/>
    <w:rsid w:val="004552D7"/>
    <w:rsid w:val="00456C04"/>
    <w:rsid w:val="00457D2C"/>
    <w:rsid w:val="00457E6C"/>
    <w:rsid w:val="004600C7"/>
    <w:rsid w:val="00461AAE"/>
    <w:rsid w:val="004622C2"/>
    <w:rsid w:val="004639AD"/>
    <w:rsid w:val="00464E2C"/>
    <w:rsid w:val="0046686C"/>
    <w:rsid w:val="00466F9B"/>
    <w:rsid w:val="004671DC"/>
    <w:rsid w:val="004678C6"/>
    <w:rsid w:val="004710B7"/>
    <w:rsid w:val="004714FC"/>
    <w:rsid w:val="004749FB"/>
    <w:rsid w:val="00475FD6"/>
    <w:rsid w:val="00476546"/>
    <w:rsid w:val="00476ABA"/>
    <w:rsid w:val="00480B95"/>
    <w:rsid w:val="00480C37"/>
    <w:rsid w:val="00480CC8"/>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37C"/>
    <w:rsid w:val="00495971"/>
    <w:rsid w:val="00495B49"/>
    <w:rsid w:val="004960E4"/>
    <w:rsid w:val="00496465"/>
    <w:rsid w:val="00496FF5"/>
    <w:rsid w:val="00497929"/>
    <w:rsid w:val="00497AEC"/>
    <w:rsid w:val="004A169C"/>
    <w:rsid w:val="004A2224"/>
    <w:rsid w:val="004A238A"/>
    <w:rsid w:val="004A2472"/>
    <w:rsid w:val="004A2CCD"/>
    <w:rsid w:val="004A500A"/>
    <w:rsid w:val="004A5581"/>
    <w:rsid w:val="004A7109"/>
    <w:rsid w:val="004B0ACE"/>
    <w:rsid w:val="004B1409"/>
    <w:rsid w:val="004B2923"/>
    <w:rsid w:val="004B3A03"/>
    <w:rsid w:val="004B43E7"/>
    <w:rsid w:val="004B44EC"/>
    <w:rsid w:val="004B78AE"/>
    <w:rsid w:val="004C0140"/>
    <w:rsid w:val="004C02B1"/>
    <w:rsid w:val="004C0867"/>
    <w:rsid w:val="004C0932"/>
    <w:rsid w:val="004C1646"/>
    <w:rsid w:val="004C1795"/>
    <w:rsid w:val="004C1C42"/>
    <w:rsid w:val="004C1FCF"/>
    <w:rsid w:val="004C3151"/>
    <w:rsid w:val="004C368D"/>
    <w:rsid w:val="004C37F5"/>
    <w:rsid w:val="004C4D0B"/>
    <w:rsid w:val="004C6F6D"/>
    <w:rsid w:val="004C7374"/>
    <w:rsid w:val="004D02AC"/>
    <w:rsid w:val="004D033A"/>
    <w:rsid w:val="004D0CF5"/>
    <w:rsid w:val="004D1867"/>
    <w:rsid w:val="004D19FC"/>
    <w:rsid w:val="004D2CBD"/>
    <w:rsid w:val="004D50CC"/>
    <w:rsid w:val="004D5A91"/>
    <w:rsid w:val="004D5BB6"/>
    <w:rsid w:val="004D5BED"/>
    <w:rsid w:val="004D61B0"/>
    <w:rsid w:val="004D6A7F"/>
    <w:rsid w:val="004D6FB3"/>
    <w:rsid w:val="004E0184"/>
    <w:rsid w:val="004E069C"/>
    <w:rsid w:val="004E0B0A"/>
    <w:rsid w:val="004E0D50"/>
    <w:rsid w:val="004E169D"/>
    <w:rsid w:val="004E1A94"/>
    <w:rsid w:val="004E31D8"/>
    <w:rsid w:val="004E4327"/>
    <w:rsid w:val="004E43BF"/>
    <w:rsid w:val="004E49D2"/>
    <w:rsid w:val="004E5976"/>
    <w:rsid w:val="004E75D4"/>
    <w:rsid w:val="004F2FAF"/>
    <w:rsid w:val="004F3523"/>
    <w:rsid w:val="004F3D4A"/>
    <w:rsid w:val="004F4C5B"/>
    <w:rsid w:val="004F5841"/>
    <w:rsid w:val="004F73E5"/>
    <w:rsid w:val="004F75B8"/>
    <w:rsid w:val="004F76F0"/>
    <w:rsid w:val="00500B28"/>
    <w:rsid w:val="00501068"/>
    <w:rsid w:val="0050156B"/>
    <w:rsid w:val="00501C36"/>
    <w:rsid w:val="00502558"/>
    <w:rsid w:val="0050282F"/>
    <w:rsid w:val="00502D31"/>
    <w:rsid w:val="00505F34"/>
    <w:rsid w:val="0050723E"/>
    <w:rsid w:val="00510511"/>
    <w:rsid w:val="005108D4"/>
    <w:rsid w:val="00510C89"/>
    <w:rsid w:val="00511003"/>
    <w:rsid w:val="00512453"/>
    <w:rsid w:val="00512583"/>
    <w:rsid w:val="005126AD"/>
    <w:rsid w:val="00512E13"/>
    <w:rsid w:val="00512EB0"/>
    <w:rsid w:val="0051430B"/>
    <w:rsid w:val="00514C34"/>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7FF"/>
    <w:rsid w:val="00526928"/>
    <w:rsid w:val="00527787"/>
    <w:rsid w:val="005277BC"/>
    <w:rsid w:val="005304C8"/>
    <w:rsid w:val="0053072B"/>
    <w:rsid w:val="0053262C"/>
    <w:rsid w:val="00532882"/>
    <w:rsid w:val="0053412C"/>
    <w:rsid w:val="00534248"/>
    <w:rsid w:val="00534B4C"/>
    <w:rsid w:val="00535DC6"/>
    <w:rsid w:val="005363E6"/>
    <w:rsid w:val="005371D4"/>
    <w:rsid w:val="00537A0D"/>
    <w:rsid w:val="0054009F"/>
    <w:rsid w:val="0054264A"/>
    <w:rsid w:val="005430B0"/>
    <w:rsid w:val="00543166"/>
    <w:rsid w:val="0054403B"/>
    <w:rsid w:val="00544300"/>
    <w:rsid w:val="005447D1"/>
    <w:rsid w:val="00544899"/>
    <w:rsid w:val="00545737"/>
    <w:rsid w:val="0054574E"/>
    <w:rsid w:val="0054620D"/>
    <w:rsid w:val="005466C5"/>
    <w:rsid w:val="0054745E"/>
    <w:rsid w:val="00550C6F"/>
    <w:rsid w:val="00551817"/>
    <w:rsid w:val="00551A8E"/>
    <w:rsid w:val="00553DBD"/>
    <w:rsid w:val="00555308"/>
    <w:rsid w:val="00557246"/>
    <w:rsid w:val="00557E0C"/>
    <w:rsid w:val="00561C96"/>
    <w:rsid w:val="005632D8"/>
    <w:rsid w:val="0056391E"/>
    <w:rsid w:val="00564451"/>
    <w:rsid w:val="00565996"/>
    <w:rsid w:val="00567914"/>
    <w:rsid w:val="00567A76"/>
    <w:rsid w:val="005707BA"/>
    <w:rsid w:val="00571554"/>
    <w:rsid w:val="005716C1"/>
    <w:rsid w:val="00571845"/>
    <w:rsid w:val="00571CB8"/>
    <w:rsid w:val="00572707"/>
    <w:rsid w:val="00572E54"/>
    <w:rsid w:val="0057327E"/>
    <w:rsid w:val="00573821"/>
    <w:rsid w:val="0057495B"/>
    <w:rsid w:val="005753B8"/>
    <w:rsid w:val="00577D3F"/>
    <w:rsid w:val="0058001F"/>
    <w:rsid w:val="0058223D"/>
    <w:rsid w:val="005822A9"/>
    <w:rsid w:val="005825AB"/>
    <w:rsid w:val="00583710"/>
    <w:rsid w:val="00583750"/>
    <w:rsid w:val="00583D45"/>
    <w:rsid w:val="005842A6"/>
    <w:rsid w:val="00584325"/>
    <w:rsid w:val="00585950"/>
    <w:rsid w:val="0058635E"/>
    <w:rsid w:val="00587034"/>
    <w:rsid w:val="0059126E"/>
    <w:rsid w:val="00591C33"/>
    <w:rsid w:val="00591E81"/>
    <w:rsid w:val="005922B2"/>
    <w:rsid w:val="00592DF7"/>
    <w:rsid w:val="00592E1B"/>
    <w:rsid w:val="00594E1F"/>
    <w:rsid w:val="00595BB8"/>
    <w:rsid w:val="005960C4"/>
    <w:rsid w:val="00597881"/>
    <w:rsid w:val="005A02A4"/>
    <w:rsid w:val="005A0578"/>
    <w:rsid w:val="005A0B11"/>
    <w:rsid w:val="005A15E9"/>
    <w:rsid w:val="005A229A"/>
    <w:rsid w:val="005A38E6"/>
    <w:rsid w:val="005A4714"/>
    <w:rsid w:val="005A49DF"/>
    <w:rsid w:val="005A5E9D"/>
    <w:rsid w:val="005A670D"/>
    <w:rsid w:val="005A7550"/>
    <w:rsid w:val="005B04D9"/>
    <w:rsid w:val="005B059A"/>
    <w:rsid w:val="005B150A"/>
    <w:rsid w:val="005B1696"/>
    <w:rsid w:val="005B16A1"/>
    <w:rsid w:val="005B19EE"/>
    <w:rsid w:val="005B2AC9"/>
    <w:rsid w:val="005B433D"/>
    <w:rsid w:val="005B4ADF"/>
    <w:rsid w:val="005B5B57"/>
    <w:rsid w:val="005B5CC5"/>
    <w:rsid w:val="005B72F4"/>
    <w:rsid w:val="005B7D70"/>
    <w:rsid w:val="005C0699"/>
    <w:rsid w:val="005C0971"/>
    <w:rsid w:val="005C09CB"/>
    <w:rsid w:val="005C1BFA"/>
    <w:rsid w:val="005C20A0"/>
    <w:rsid w:val="005C2EDB"/>
    <w:rsid w:val="005C30BA"/>
    <w:rsid w:val="005C3CC7"/>
    <w:rsid w:val="005C4C9C"/>
    <w:rsid w:val="005C7B4A"/>
    <w:rsid w:val="005C7FE8"/>
    <w:rsid w:val="005D11BE"/>
    <w:rsid w:val="005D1222"/>
    <w:rsid w:val="005D186F"/>
    <w:rsid w:val="005D19E6"/>
    <w:rsid w:val="005D231C"/>
    <w:rsid w:val="005D2418"/>
    <w:rsid w:val="005D2DD0"/>
    <w:rsid w:val="005D3AD3"/>
    <w:rsid w:val="005D4023"/>
    <w:rsid w:val="005D4034"/>
    <w:rsid w:val="005D5D1D"/>
    <w:rsid w:val="005E00F1"/>
    <w:rsid w:val="005E0A54"/>
    <w:rsid w:val="005E1F31"/>
    <w:rsid w:val="005E3700"/>
    <w:rsid w:val="005E37A8"/>
    <w:rsid w:val="005E5220"/>
    <w:rsid w:val="005E5C46"/>
    <w:rsid w:val="005E5E12"/>
    <w:rsid w:val="005E7175"/>
    <w:rsid w:val="005E75D9"/>
    <w:rsid w:val="005F1CF2"/>
    <w:rsid w:val="005F1F5A"/>
    <w:rsid w:val="005F226D"/>
    <w:rsid w:val="005F2E39"/>
    <w:rsid w:val="005F48E9"/>
    <w:rsid w:val="005F5666"/>
    <w:rsid w:val="005F57FF"/>
    <w:rsid w:val="005F69D2"/>
    <w:rsid w:val="005F69E4"/>
    <w:rsid w:val="005F6DB1"/>
    <w:rsid w:val="005F7B45"/>
    <w:rsid w:val="00601E06"/>
    <w:rsid w:val="00601F72"/>
    <w:rsid w:val="00602898"/>
    <w:rsid w:val="00603548"/>
    <w:rsid w:val="0060558A"/>
    <w:rsid w:val="0060722F"/>
    <w:rsid w:val="0060785D"/>
    <w:rsid w:val="00610BF1"/>
    <w:rsid w:val="00610DAB"/>
    <w:rsid w:val="006110D2"/>
    <w:rsid w:val="0061167C"/>
    <w:rsid w:val="00611D8C"/>
    <w:rsid w:val="006126D0"/>
    <w:rsid w:val="00612D70"/>
    <w:rsid w:val="00612D8F"/>
    <w:rsid w:val="00613144"/>
    <w:rsid w:val="006132DF"/>
    <w:rsid w:val="0061338A"/>
    <w:rsid w:val="00613CBB"/>
    <w:rsid w:val="00613D08"/>
    <w:rsid w:val="00615126"/>
    <w:rsid w:val="00615572"/>
    <w:rsid w:val="0061570B"/>
    <w:rsid w:val="0061673A"/>
    <w:rsid w:val="00617236"/>
    <w:rsid w:val="00617411"/>
    <w:rsid w:val="00617AD8"/>
    <w:rsid w:val="00620033"/>
    <w:rsid w:val="00621189"/>
    <w:rsid w:val="0062275D"/>
    <w:rsid w:val="0062282E"/>
    <w:rsid w:val="00624853"/>
    <w:rsid w:val="00624C58"/>
    <w:rsid w:val="00626268"/>
    <w:rsid w:val="006268C6"/>
    <w:rsid w:val="006268DB"/>
    <w:rsid w:val="00626AD6"/>
    <w:rsid w:val="00626B4F"/>
    <w:rsid w:val="006276CC"/>
    <w:rsid w:val="006301B6"/>
    <w:rsid w:val="00630330"/>
    <w:rsid w:val="00630A70"/>
    <w:rsid w:val="006323DB"/>
    <w:rsid w:val="006324E2"/>
    <w:rsid w:val="00635ACF"/>
    <w:rsid w:val="00635E8B"/>
    <w:rsid w:val="0063787A"/>
    <w:rsid w:val="00640663"/>
    <w:rsid w:val="006416B1"/>
    <w:rsid w:val="0064210E"/>
    <w:rsid w:val="006432EF"/>
    <w:rsid w:val="00645360"/>
    <w:rsid w:val="00645B87"/>
    <w:rsid w:val="00646D7B"/>
    <w:rsid w:val="00646E26"/>
    <w:rsid w:val="00647036"/>
    <w:rsid w:val="006470EC"/>
    <w:rsid w:val="00650377"/>
    <w:rsid w:val="006505AD"/>
    <w:rsid w:val="00650D55"/>
    <w:rsid w:val="00651083"/>
    <w:rsid w:val="00651302"/>
    <w:rsid w:val="00654036"/>
    <w:rsid w:val="006544BC"/>
    <w:rsid w:val="00654610"/>
    <w:rsid w:val="00656393"/>
    <w:rsid w:val="006567FA"/>
    <w:rsid w:val="00656C7E"/>
    <w:rsid w:val="00657C71"/>
    <w:rsid w:val="00660F26"/>
    <w:rsid w:val="006622BE"/>
    <w:rsid w:val="0066445B"/>
    <w:rsid w:val="00664C5F"/>
    <w:rsid w:val="00664D75"/>
    <w:rsid w:val="00665793"/>
    <w:rsid w:val="00665FC5"/>
    <w:rsid w:val="00666A5E"/>
    <w:rsid w:val="00667E91"/>
    <w:rsid w:val="00670A05"/>
    <w:rsid w:val="00670D60"/>
    <w:rsid w:val="00671E17"/>
    <w:rsid w:val="00671F7E"/>
    <w:rsid w:val="0067309B"/>
    <w:rsid w:val="00675E31"/>
    <w:rsid w:val="00676423"/>
    <w:rsid w:val="00676604"/>
    <w:rsid w:val="0068075B"/>
    <w:rsid w:val="006816EA"/>
    <w:rsid w:val="00682BBD"/>
    <w:rsid w:val="00683C71"/>
    <w:rsid w:val="00684E39"/>
    <w:rsid w:val="00685918"/>
    <w:rsid w:val="00687F07"/>
    <w:rsid w:val="006908DF"/>
    <w:rsid w:val="006915F3"/>
    <w:rsid w:val="00691B93"/>
    <w:rsid w:val="0069317A"/>
    <w:rsid w:val="006934C3"/>
    <w:rsid w:val="00694003"/>
    <w:rsid w:val="00694E49"/>
    <w:rsid w:val="00695B6F"/>
    <w:rsid w:val="00696878"/>
    <w:rsid w:val="00696961"/>
    <w:rsid w:val="00696A50"/>
    <w:rsid w:val="00696B00"/>
    <w:rsid w:val="006A089A"/>
    <w:rsid w:val="006A12C7"/>
    <w:rsid w:val="006A1491"/>
    <w:rsid w:val="006A28E6"/>
    <w:rsid w:val="006A3ABC"/>
    <w:rsid w:val="006A3D2E"/>
    <w:rsid w:val="006A5ADB"/>
    <w:rsid w:val="006A5C09"/>
    <w:rsid w:val="006A6E10"/>
    <w:rsid w:val="006B0D0E"/>
    <w:rsid w:val="006B0F80"/>
    <w:rsid w:val="006B167D"/>
    <w:rsid w:val="006B1F62"/>
    <w:rsid w:val="006B2847"/>
    <w:rsid w:val="006B3737"/>
    <w:rsid w:val="006B3A15"/>
    <w:rsid w:val="006B3CDC"/>
    <w:rsid w:val="006B468C"/>
    <w:rsid w:val="006B64E8"/>
    <w:rsid w:val="006B6AFA"/>
    <w:rsid w:val="006C13FD"/>
    <w:rsid w:val="006C27C3"/>
    <w:rsid w:val="006C341C"/>
    <w:rsid w:val="006C3A33"/>
    <w:rsid w:val="006C4678"/>
    <w:rsid w:val="006C4CCA"/>
    <w:rsid w:val="006C4CF9"/>
    <w:rsid w:val="006C4D89"/>
    <w:rsid w:val="006C53ED"/>
    <w:rsid w:val="006C5E94"/>
    <w:rsid w:val="006C6C28"/>
    <w:rsid w:val="006C6EDB"/>
    <w:rsid w:val="006C79BB"/>
    <w:rsid w:val="006D135A"/>
    <w:rsid w:val="006D13D7"/>
    <w:rsid w:val="006D29A7"/>
    <w:rsid w:val="006D3C53"/>
    <w:rsid w:val="006D49B3"/>
    <w:rsid w:val="006D604A"/>
    <w:rsid w:val="006D68E6"/>
    <w:rsid w:val="006D6F93"/>
    <w:rsid w:val="006D77A4"/>
    <w:rsid w:val="006E029F"/>
    <w:rsid w:val="006E02FB"/>
    <w:rsid w:val="006E05A8"/>
    <w:rsid w:val="006E06BB"/>
    <w:rsid w:val="006E0800"/>
    <w:rsid w:val="006E0B42"/>
    <w:rsid w:val="006E1B88"/>
    <w:rsid w:val="006E2818"/>
    <w:rsid w:val="006E2EEE"/>
    <w:rsid w:val="006E42EC"/>
    <w:rsid w:val="006E6377"/>
    <w:rsid w:val="006E641F"/>
    <w:rsid w:val="006E764A"/>
    <w:rsid w:val="006E7694"/>
    <w:rsid w:val="006E7FF6"/>
    <w:rsid w:val="006F1108"/>
    <w:rsid w:val="006F1F74"/>
    <w:rsid w:val="006F2067"/>
    <w:rsid w:val="006F4968"/>
    <w:rsid w:val="006F4EB7"/>
    <w:rsid w:val="006F50D9"/>
    <w:rsid w:val="006F6426"/>
    <w:rsid w:val="006F745F"/>
    <w:rsid w:val="006F757C"/>
    <w:rsid w:val="0070068E"/>
    <w:rsid w:val="007028A9"/>
    <w:rsid w:val="00702F39"/>
    <w:rsid w:val="0070382E"/>
    <w:rsid w:val="00704408"/>
    <w:rsid w:val="00704619"/>
    <w:rsid w:val="00706C60"/>
    <w:rsid w:val="00707565"/>
    <w:rsid w:val="007101E7"/>
    <w:rsid w:val="00710311"/>
    <w:rsid w:val="00710F12"/>
    <w:rsid w:val="007114A2"/>
    <w:rsid w:val="00712F06"/>
    <w:rsid w:val="00714386"/>
    <w:rsid w:val="00714A2E"/>
    <w:rsid w:val="007151C2"/>
    <w:rsid w:val="007152A4"/>
    <w:rsid w:val="007161C2"/>
    <w:rsid w:val="00717725"/>
    <w:rsid w:val="007178EC"/>
    <w:rsid w:val="00717E7A"/>
    <w:rsid w:val="007203A0"/>
    <w:rsid w:val="00720C1C"/>
    <w:rsid w:val="00722B13"/>
    <w:rsid w:val="007247B8"/>
    <w:rsid w:val="007254DD"/>
    <w:rsid w:val="007256F7"/>
    <w:rsid w:val="00725A0F"/>
    <w:rsid w:val="007279B3"/>
    <w:rsid w:val="0073066C"/>
    <w:rsid w:val="00732C96"/>
    <w:rsid w:val="00736393"/>
    <w:rsid w:val="00736E53"/>
    <w:rsid w:val="00737DEE"/>
    <w:rsid w:val="00741240"/>
    <w:rsid w:val="0074125C"/>
    <w:rsid w:val="00741F3C"/>
    <w:rsid w:val="00743AC0"/>
    <w:rsid w:val="00744DC9"/>
    <w:rsid w:val="00745C80"/>
    <w:rsid w:val="00745CED"/>
    <w:rsid w:val="00747060"/>
    <w:rsid w:val="00747674"/>
    <w:rsid w:val="00747B26"/>
    <w:rsid w:val="00750459"/>
    <w:rsid w:val="00750D5F"/>
    <w:rsid w:val="00751049"/>
    <w:rsid w:val="00751645"/>
    <w:rsid w:val="00751F59"/>
    <w:rsid w:val="00752E32"/>
    <w:rsid w:val="00753B54"/>
    <w:rsid w:val="00754A60"/>
    <w:rsid w:val="00755EFE"/>
    <w:rsid w:val="00756BBB"/>
    <w:rsid w:val="007579D3"/>
    <w:rsid w:val="00757E26"/>
    <w:rsid w:val="00760012"/>
    <w:rsid w:val="0076025F"/>
    <w:rsid w:val="007607C6"/>
    <w:rsid w:val="007610F4"/>
    <w:rsid w:val="007615E3"/>
    <w:rsid w:val="00761876"/>
    <w:rsid w:val="00762657"/>
    <w:rsid w:val="00762BB3"/>
    <w:rsid w:val="00767028"/>
    <w:rsid w:val="0076753E"/>
    <w:rsid w:val="00770559"/>
    <w:rsid w:val="00770AC9"/>
    <w:rsid w:val="00770D0C"/>
    <w:rsid w:val="0077121A"/>
    <w:rsid w:val="00772DF6"/>
    <w:rsid w:val="0077382A"/>
    <w:rsid w:val="00774604"/>
    <w:rsid w:val="007766DC"/>
    <w:rsid w:val="00776E9C"/>
    <w:rsid w:val="007772E4"/>
    <w:rsid w:val="00777865"/>
    <w:rsid w:val="007779C9"/>
    <w:rsid w:val="00777D23"/>
    <w:rsid w:val="00780216"/>
    <w:rsid w:val="0078039D"/>
    <w:rsid w:val="007808E4"/>
    <w:rsid w:val="007826BF"/>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390B"/>
    <w:rsid w:val="00794E3F"/>
    <w:rsid w:val="00795551"/>
    <w:rsid w:val="00795673"/>
    <w:rsid w:val="0079597E"/>
    <w:rsid w:val="00795995"/>
    <w:rsid w:val="00796F89"/>
    <w:rsid w:val="0079743F"/>
    <w:rsid w:val="00797639"/>
    <w:rsid w:val="00797720"/>
    <w:rsid w:val="0079793D"/>
    <w:rsid w:val="00797D09"/>
    <w:rsid w:val="00797EB2"/>
    <w:rsid w:val="007A1BD6"/>
    <w:rsid w:val="007A2076"/>
    <w:rsid w:val="007A239B"/>
    <w:rsid w:val="007B02C9"/>
    <w:rsid w:val="007B0F23"/>
    <w:rsid w:val="007B1A28"/>
    <w:rsid w:val="007B1AE7"/>
    <w:rsid w:val="007B4CC0"/>
    <w:rsid w:val="007B576A"/>
    <w:rsid w:val="007B6464"/>
    <w:rsid w:val="007B656D"/>
    <w:rsid w:val="007B6EED"/>
    <w:rsid w:val="007B7022"/>
    <w:rsid w:val="007C01D8"/>
    <w:rsid w:val="007C0282"/>
    <w:rsid w:val="007C05FC"/>
    <w:rsid w:val="007C1756"/>
    <w:rsid w:val="007C2638"/>
    <w:rsid w:val="007C512A"/>
    <w:rsid w:val="007C5B91"/>
    <w:rsid w:val="007C5E0D"/>
    <w:rsid w:val="007D2436"/>
    <w:rsid w:val="007D2C50"/>
    <w:rsid w:val="007D3230"/>
    <w:rsid w:val="007D363A"/>
    <w:rsid w:val="007D4984"/>
    <w:rsid w:val="007D598C"/>
    <w:rsid w:val="007D59A6"/>
    <w:rsid w:val="007D715A"/>
    <w:rsid w:val="007D71FE"/>
    <w:rsid w:val="007D7B2C"/>
    <w:rsid w:val="007D7F3A"/>
    <w:rsid w:val="007E00D3"/>
    <w:rsid w:val="007E1042"/>
    <w:rsid w:val="007E17A1"/>
    <w:rsid w:val="007E37B3"/>
    <w:rsid w:val="007E381F"/>
    <w:rsid w:val="007E4C29"/>
    <w:rsid w:val="007E568E"/>
    <w:rsid w:val="007E6455"/>
    <w:rsid w:val="007E6992"/>
    <w:rsid w:val="007E6B1A"/>
    <w:rsid w:val="007E6F62"/>
    <w:rsid w:val="007E735B"/>
    <w:rsid w:val="007E7CEF"/>
    <w:rsid w:val="007E7F16"/>
    <w:rsid w:val="007F013E"/>
    <w:rsid w:val="007F079B"/>
    <w:rsid w:val="007F1DF4"/>
    <w:rsid w:val="007F2251"/>
    <w:rsid w:val="007F2D02"/>
    <w:rsid w:val="007F2FB3"/>
    <w:rsid w:val="007F4549"/>
    <w:rsid w:val="007F474E"/>
    <w:rsid w:val="007F57C6"/>
    <w:rsid w:val="007F5BD1"/>
    <w:rsid w:val="007F6708"/>
    <w:rsid w:val="007F749D"/>
    <w:rsid w:val="007F7815"/>
    <w:rsid w:val="0080138B"/>
    <w:rsid w:val="0080207B"/>
    <w:rsid w:val="00802265"/>
    <w:rsid w:val="00802523"/>
    <w:rsid w:val="00802D14"/>
    <w:rsid w:val="00803DFF"/>
    <w:rsid w:val="00803E02"/>
    <w:rsid w:val="008043C1"/>
    <w:rsid w:val="008045BB"/>
    <w:rsid w:val="00804E1C"/>
    <w:rsid w:val="00805156"/>
    <w:rsid w:val="00805843"/>
    <w:rsid w:val="0080599F"/>
    <w:rsid w:val="00805F6E"/>
    <w:rsid w:val="00807290"/>
    <w:rsid w:val="00810B65"/>
    <w:rsid w:val="00810ECD"/>
    <w:rsid w:val="008112C1"/>
    <w:rsid w:val="0081166F"/>
    <w:rsid w:val="00811E36"/>
    <w:rsid w:val="00812A2F"/>
    <w:rsid w:val="00812A90"/>
    <w:rsid w:val="00812CE9"/>
    <w:rsid w:val="0081531C"/>
    <w:rsid w:val="00815C5B"/>
    <w:rsid w:val="00816030"/>
    <w:rsid w:val="00817999"/>
    <w:rsid w:val="00821D5F"/>
    <w:rsid w:val="00822D7B"/>
    <w:rsid w:val="00824B45"/>
    <w:rsid w:val="00826BA9"/>
    <w:rsid w:val="0082724F"/>
    <w:rsid w:val="008274BA"/>
    <w:rsid w:val="008314DD"/>
    <w:rsid w:val="0083181F"/>
    <w:rsid w:val="00832270"/>
    <w:rsid w:val="00832FC6"/>
    <w:rsid w:val="008334C2"/>
    <w:rsid w:val="00833DD2"/>
    <w:rsid w:val="00835746"/>
    <w:rsid w:val="0084009C"/>
    <w:rsid w:val="0084226A"/>
    <w:rsid w:val="00842289"/>
    <w:rsid w:val="008429BF"/>
    <w:rsid w:val="00843875"/>
    <w:rsid w:val="00843AF3"/>
    <w:rsid w:val="00843AFD"/>
    <w:rsid w:val="008454F0"/>
    <w:rsid w:val="008463BB"/>
    <w:rsid w:val="00846DC0"/>
    <w:rsid w:val="00847CA7"/>
    <w:rsid w:val="0085055A"/>
    <w:rsid w:val="00850AB8"/>
    <w:rsid w:val="00851313"/>
    <w:rsid w:val="00852606"/>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65894"/>
    <w:rsid w:val="008705F3"/>
    <w:rsid w:val="00870894"/>
    <w:rsid w:val="0087108A"/>
    <w:rsid w:val="0087265C"/>
    <w:rsid w:val="008744C5"/>
    <w:rsid w:val="00875229"/>
    <w:rsid w:val="00876342"/>
    <w:rsid w:val="008778C3"/>
    <w:rsid w:val="00877D77"/>
    <w:rsid w:val="008815E1"/>
    <w:rsid w:val="0088307E"/>
    <w:rsid w:val="00885A71"/>
    <w:rsid w:val="008863EB"/>
    <w:rsid w:val="00886DE3"/>
    <w:rsid w:val="008871B4"/>
    <w:rsid w:val="00887B41"/>
    <w:rsid w:val="00890020"/>
    <w:rsid w:val="008900FD"/>
    <w:rsid w:val="0089043E"/>
    <w:rsid w:val="008922D3"/>
    <w:rsid w:val="00892698"/>
    <w:rsid w:val="008940F7"/>
    <w:rsid w:val="00894461"/>
    <w:rsid w:val="00895480"/>
    <w:rsid w:val="008965BA"/>
    <w:rsid w:val="008974DE"/>
    <w:rsid w:val="0089753F"/>
    <w:rsid w:val="00897B22"/>
    <w:rsid w:val="008A010C"/>
    <w:rsid w:val="008A0771"/>
    <w:rsid w:val="008A0B4A"/>
    <w:rsid w:val="008A18B2"/>
    <w:rsid w:val="008A34DB"/>
    <w:rsid w:val="008A405F"/>
    <w:rsid w:val="008A499A"/>
    <w:rsid w:val="008A5CD2"/>
    <w:rsid w:val="008A6130"/>
    <w:rsid w:val="008A650B"/>
    <w:rsid w:val="008A679D"/>
    <w:rsid w:val="008A6CA5"/>
    <w:rsid w:val="008B07C1"/>
    <w:rsid w:val="008B0BAD"/>
    <w:rsid w:val="008B5BB2"/>
    <w:rsid w:val="008B5C65"/>
    <w:rsid w:val="008B6341"/>
    <w:rsid w:val="008B6764"/>
    <w:rsid w:val="008B7895"/>
    <w:rsid w:val="008C051B"/>
    <w:rsid w:val="008C119E"/>
    <w:rsid w:val="008C11EE"/>
    <w:rsid w:val="008C180E"/>
    <w:rsid w:val="008C191F"/>
    <w:rsid w:val="008C2492"/>
    <w:rsid w:val="008C2578"/>
    <w:rsid w:val="008C2AD3"/>
    <w:rsid w:val="008C3470"/>
    <w:rsid w:val="008C3B2B"/>
    <w:rsid w:val="008C5560"/>
    <w:rsid w:val="008C6FA6"/>
    <w:rsid w:val="008D0036"/>
    <w:rsid w:val="008D0294"/>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E69E6"/>
    <w:rsid w:val="008E79D7"/>
    <w:rsid w:val="008F09BF"/>
    <w:rsid w:val="008F0B87"/>
    <w:rsid w:val="008F0F24"/>
    <w:rsid w:val="008F2266"/>
    <w:rsid w:val="008F4F41"/>
    <w:rsid w:val="008F5C65"/>
    <w:rsid w:val="008F61B1"/>
    <w:rsid w:val="008F74E2"/>
    <w:rsid w:val="00903AB8"/>
    <w:rsid w:val="00904953"/>
    <w:rsid w:val="00906BA9"/>
    <w:rsid w:val="00907078"/>
    <w:rsid w:val="00907818"/>
    <w:rsid w:val="00910BB8"/>
    <w:rsid w:val="0091149E"/>
    <w:rsid w:val="00912D67"/>
    <w:rsid w:val="0091403C"/>
    <w:rsid w:val="00914E04"/>
    <w:rsid w:val="00915E73"/>
    <w:rsid w:val="0091651F"/>
    <w:rsid w:val="0091685B"/>
    <w:rsid w:val="00916B94"/>
    <w:rsid w:val="00916C21"/>
    <w:rsid w:val="00917A23"/>
    <w:rsid w:val="009206D4"/>
    <w:rsid w:val="00920C72"/>
    <w:rsid w:val="00922E99"/>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1347"/>
    <w:rsid w:val="00931CCA"/>
    <w:rsid w:val="00932011"/>
    <w:rsid w:val="00932796"/>
    <w:rsid w:val="00932BB0"/>
    <w:rsid w:val="00932DED"/>
    <w:rsid w:val="0093309F"/>
    <w:rsid w:val="00933357"/>
    <w:rsid w:val="0093356A"/>
    <w:rsid w:val="0093493F"/>
    <w:rsid w:val="009361A2"/>
    <w:rsid w:val="0093646D"/>
    <w:rsid w:val="00936819"/>
    <w:rsid w:val="00936D8C"/>
    <w:rsid w:val="00936DAA"/>
    <w:rsid w:val="009374D6"/>
    <w:rsid w:val="009379A7"/>
    <w:rsid w:val="00937C4F"/>
    <w:rsid w:val="00940134"/>
    <w:rsid w:val="00940135"/>
    <w:rsid w:val="0094029C"/>
    <w:rsid w:val="0094135B"/>
    <w:rsid w:val="00941A1E"/>
    <w:rsid w:val="00941E10"/>
    <w:rsid w:val="009429C7"/>
    <w:rsid w:val="009433C0"/>
    <w:rsid w:val="00944130"/>
    <w:rsid w:val="0095009F"/>
    <w:rsid w:val="00950E19"/>
    <w:rsid w:val="00951FF3"/>
    <w:rsid w:val="009534A2"/>
    <w:rsid w:val="0095373D"/>
    <w:rsid w:val="00954932"/>
    <w:rsid w:val="00956979"/>
    <w:rsid w:val="00961466"/>
    <w:rsid w:val="009627CE"/>
    <w:rsid w:val="009630DC"/>
    <w:rsid w:val="009653F3"/>
    <w:rsid w:val="00965A6F"/>
    <w:rsid w:val="009667B7"/>
    <w:rsid w:val="00966811"/>
    <w:rsid w:val="00966B9D"/>
    <w:rsid w:val="00966CE8"/>
    <w:rsid w:val="00966ED7"/>
    <w:rsid w:val="00966F25"/>
    <w:rsid w:val="00967F65"/>
    <w:rsid w:val="0097107F"/>
    <w:rsid w:val="00971AA6"/>
    <w:rsid w:val="009722CA"/>
    <w:rsid w:val="00973FCA"/>
    <w:rsid w:val="009746E2"/>
    <w:rsid w:val="00975F29"/>
    <w:rsid w:val="009760A8"/>
    <w:rsid w:val="00976EC0"/>
    <w:rsid w:val="00977334"/>
    <w:rsid w:val="0097736B"/>
    <w:rsid w:val="009778A0"/>
    <w:rsid w:val="00980862"/>
    <w:rsid w:val="00981254"/>
    <w:rsid w:val="009820BB"/>
    <w:rsid w:val="009823AA"/>
    <w:rsid w:val="009824E3"/>
    <w:rsid w:val="00982519"/>
    <w:rsid w:val="00982D45"/>
    <w:rsid w:val="00982F1B"/>
    <w:rsid w:val="00985BEF"/>
    <w:rsid w:val="00987A7F"/>
    <w:rsid w:val="0099035D"/>
    <w:rsid w:val="009904C8"/>
    <w:rsid w:val="009904D7"/>
    <w:rsid w:val="00992C4C"/>
    <w:rsid w:val="00992D4E"/>
    <w:rsid w:val="0099324B"/>
    <w:rsid w:val="00993B6E"/>
    <w:rsid w:val="00996D67"/>
    <w:rsid w:val="0099793E"/>
    <w:rsid w:val="00997DEE"/>
    <w:rsid w:val="009A014B"/>
    <w:rsid w:val="009A072D"/>
    <w:rsid w:val="009A0990"/>
    <w:rsid w:val="009A0D24"/>
    <w:rsid w:val="009A183E"/>
    <w:rsid w:val="009A4524"/>
    <w:rsid w:val="009A51AE"/>
    <w:rsid w:val="009A6162"/>
    <w:rsid w:val="009A63C9"/>
    <w:rsid w:val="009A7AC5"/>
    <w:rsid w:val="009A7B87"/>
    <w:rsid w:val="009B0047"/>
    <w:rsid w:val="009B0082"/>
    <w:rsid w:val="009B128F"/>
    <w:rsid w:val="009B1ACF"/>
    <w:rsid w:val="009B1EB3"/>
    <w:rsid w:val="009B26A0"/>
    <w:rsid w:val="009B2BA0"/>
    <w:rsid w:val="009B3C90"/>
    <w:rsid w:val="009B4329"/>
    <w:rsid w:val="009B449D"/>
    <w:rsid w:val="009B4B4D"/>
    <w:rsid w:val="009B58E1"/>
    <w:rsid w:val="009B6938"/>
    <w:rsid w:val="009C003C"/>
    <w:rsid w:val="009C047C"/>
    <w:rsid w:val="009C14A7"/>
    <w:rsid w:val="009C15A6"/>
    <w:rsid w:val="009C167A"/>
    <w:rsid w:val="009C370B"/>
    <w:rsid w:val="009C3F2F"/>
    <w:rsid w:val="009C4CFB"/>
    <w:rsid w:val="009C6D00"/>
    <w:rsid w:val="009C70EE"/>
    <w:rsid w:val="009C7536"/>
    <w:rsid w:val="009C7D9F"/>
    <w:rsid w:val="009D0014"/>
    <w:rsid w:val="009D11E3"/>
    <w:rsid w:val="009D20BA"/>
    <w:rsid w:val="009D2A43"/>
    <w:rsid w:val="009D33F3"/>
    <w:rsid w:val="009D3692"/>
    <w:rsid w:val="009D51CA"/>
    <w:rsid w:val="009D646B"/>
    <w:rsid w:val="009D7993"/>
    <w:rsid w:val="009E04E9"/>
    <w:rsid w:val="009E06DB"/>
    <w:rsid w:val="009E0C1C"/>
    <w:rsid w:val="009E14CC"/>
    <w:rsid w:val="009E2359"/>
    <w:rsid w:val="009E273D"/>
    <w:rsid w:val="009E283B"/>
    <w:rsid w:val="009E316D"/>
    <w:rsid w:val="009E3860"/>
    <w:rsid w:val="009E3CD9"/>
    <w:rsid w:val="009E45B8"/>
    <w:rsid w:val="009E59E2"/>
    <w:rsid w:val="009E7635"/>
    <w:rsid w:val="009E7919"/>
    <w:rsid w:val="009F0323"/>
    <w:rsid w:val="009F09B7"/>
    <w:rsid w:val="009F1030"/>
    <w:rsid w:val="009F186E"/>
    <w:rsid w:val="009F1C65"/>
    <w:rsid w:val="009F1E2B"/>
    <w:rsid w:val="009F1E5F"/>
    <w:rsid w:val="009F2801"/>
    <w:rsid w:val="009F2926"/>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F5D"/>
    <w:rsid w:val="00A0246A"/>
    <w:rsid w:val="00A035A5"/>
    <w:rsid w:val="00A04447"/>
    <w:rsid w:val="00A04B6E"/>
    <w:rsid w:val="00A04E7B"/>
    <w:rsid w:val="00A05313"/>
    <w:rsid w:val="00A05845"/>
    <w:rsid w:val="00A05932"/>
    <w:rsid w:val="00A0626D"/>
    <w:rsid w:val="00A12251"/>
    <w:rsid w:val="00A12913"/>
    <w:rsid w:val="00A14A6A"/>
    <w:rsid w:val="00A14AC9"/>
    <w:rsid w:val="00A14BA0"/>
    <w:rsid w:val="00A14D4B"/>
    <w:rsid w:val="00A15AC7"/>
    <w:rsid w:val="00A15EB0"/>
    <w:rsid w:val="00A16576"/>
    <w:rsid w:val="00A2004F"/>
    <w:rsid w:val="00A21C4B"/>
    <w:rsid w:val="00A229B7"/>
    <w:rsid w:val="00A246C4"/>
    <w:rsid w:val="00A25594"/>
    <w:rsid w:val="00A255E2"/>
    <w:rsid w:val="00A2711B"/>
    <w:rsid w:val="00A30B20"/>
    <w:rsid w:val="00A30CD6"/>
    <w:rsid w:val="00A318C7"/>
    <w:rsid w:val="00A32896"/>
    <w:rsid w:val="00A3437C"/>
    <w:rsid w:val="00A355EF"/>
    <w:rsid w:val="00A35F51"/>
    <w:rsid w:val="00A406CA"/>
    <w:rsid w:val="00A4104B"/>
    <w:rsid w:val="00A4324A"/>
    <w:rsid w:val="00A439FB"/>
    <w:rsid w:val="00A44085"/>
    <w:rsid w:val="00A448BA"/>
    <w:rsid w:val="00A453B3"/>
    <w:rsid w:val="00A46AEA"/>
    <w:rsid w:val="00A473DA"/>
    <w:rsid w:val="00A47491"/>
    <w:rsid w:val="00A47BCC"/>
    <w:rsid w:val="00A5049E"/>
    <w:rsid w:val="00A50607"/>
    <w:rsid w:val="00A506FB"/>
    <w:rsid w:val="00A50ED4"/>
    <w:rsid w:val="00A5179B"/>
    <w:rsid w:val="00A529F5"/>
    <w:rsid w:val="00A546B0"/>
    <w:rsid w:val="00A5557D"/>
    <w:rsid w:val="00A56F5A"/>
    <w:rsid w:val="00A572EB"/>
    <w:rsid w:val="00A60CA0"/>
    <w:rsid w:val="00A61F01"/>
    <w:rsid w:val="00A6379E"/>
    <w:rsid w:val="00A6498B"/>
    <w:rsid w:val="00A650A9"/>
    <w:rsid w:val="00A664B4"/>
    <w:rsid w:val="00A66F26"/>
    <w:rsid w:val="00A7038C"/>
    <w:rsid w:val="00A706A8"/>
    <w:rsid w:val="00A71134"/>
    <w:rsid w:val="00A71206"/>
    <w:rsid w:val="00A71623"/>
    <w:rsid w:val="00A71806"/>
    <w:rsid w:val="00A71A06"/>
    <w:rsid w:val="00A71A81"/>
    <w:rsid w:val="00A71B4A"/>
    <w:rsid w:val="00A7228F"/>
    <w:rsid w:val="00A729E5"/>
    <w:rsid w:val="00A735FE"/>
    <w:rsid w:val="00A7398B"/>
    <w:rsid w:val="00A74311"/>
    <w:rsid w:val="00A7453E"/>
    <w:rsid w:val="00A74B88"/>
    <w:rsid w:val="00A75841"/>
    <w:rsid w:val="00A764BA"/>
    <w:rsid w:val="00A776EB"/>
    <w:rsid w:val="00A77F5D"/>
    <w:rsid w:val="00A80296"/>
    <w:rsid w:val="00A815E0"/>
    <w:rsid w:val="00A81C44"/>
    <w:rsid w:val="00A81FF6"/>
    <w:rsid w:val="00A82234"/>
    <w:rsid w:val="00A8293D"/>
    <w:rsid w:val="00A8299A"/>
    <w:rsid w:val="00A83393"/>
    <w:rsid w:val="00A83F48"/>
    <w:rsid w:val="00A84734"/>
    <w:rsid w:val="00A84D95"/>
    <w:rsid w:val="00A86209"/>
    <w:rsid w:val="00A86499"/>
    <w:rsid w:val="00A8668D"/>
    <w:rsid w:val="00A8754E"/>
    <w:rsid w:val="00A9087E"/>
    <w:rsid w:val="00A90C8A"/>
    <w:rsid w:val="00A90DDC"/>
    <w:rsid w:val="00A92962"/>
    <w:rsid w:val="00A93901"/>
    <w:rsid w:val="00A94FE1"/>
    <w:rsid w:val="00A95135"/>
    <w:rsid w:val="00A952FF"/>
    <w:rsid w:val="00A95AC8"/>
    <w:rsid w:val="00AA0375"/>
    <w:rsid w:val="00AA098C"/>
    <w:rsid w:val="00AA1213"/>
    <w:rsid w:val="00AA1B96"/>
    <w:rsid w:val="00AA2994"/>
    <w:rsid w:val="00AA2DD3"/>
    <w:rsid w:val="00AA37DB"/>
    <w:rsid w:val="00AA4C10"/>
    <w:rsid w:val="00AA5047"/>
    <w:rsid w:val="00AA55EA"/>
    <w:rsid w:val="00AA59BE"/>
    <w:rsid w:val="00AB0259"/>
    <w:rsid w:val="00AB11EB"/>
    <w:rsid w:val="00AB1646"/>
    <w:rsid w:val="00AB177E"/>
    <w:rsid w:val="00AB1D77"/>
    <w:rsid w:val="00AB219F"/>
    <w:rsid w:val="00AB2245"/>
    <w:rsid w:val="00AB2B69"/>
    <w:rsid w:val="00AB2BC5"/>
    <w:rsid w:val="00AB3499"/>
    <w:rsid w:val="00AB415C"/>
    <w:rsid w:val="00AB46C4"/>
    <w:rsid w:val="00AB4977"/>
    <w:rsid w:val="00AB6798"/>
    <w:rsid w:val="00AB7D85"/>
    <w:rsid w:val="00AC1D76"/>
    <w:rsid w:val="00AC3A64"/>
    <w:rsid w:val="00AC498F"/>
    <w:rsid w:val="00AC6930"/>
    <w:rsid w:val="00AC6C1B"/>
    <w:rsid w:val="00AD0896"/>
    <w:rsid w:val="00AD1AC8"/>
    <w:rsid w:val="00AD2074"/>
    <w:rsid w:val="00AD24B5"/>
    <w:rsid w:val="00AD31F2"/>
    <w:rsid w:val="00AD39D2"/>
    <w:rsid w:val="00AD6169"/>
    <w:rsid w:val="00AD6183"/>
    <w:rsid w:val="00AD742E"/>
    <w:rsid w:val="00AE0706"/>
    <w:rsid w:val="00AE0EBC"/>
    <w:rsid w:val="00AE189C"/>
    <w:rsid w:val="00AE1CAC"/>
    <w:rsid w:val="00AE2DD9"/>
    <w:rsid w:val="00AE4117"/>
    <w:rsid w:val="00AE6176"/>
    <w:rsid w:val="00AE62D8"/>
    <w:rsid w:val="00AE68BB"/>
    <w:rsid w:val="00AE78D4"/>
    <w:rsid w:val="00AE7FA5"/>
    <w:rsid w:val="00AF03B8"/>
    <w:rsid w:val="00AF05EF"/>
    <w:rsid w:val="00AF0858"/>
    <w:rsid w:val="00AF1D9D"/>
    <w:rsid w:val="00AF23F6"/>
    <w:rsid w:val="00AF350D"/>
    <w:rsid w:val="00AF367E"/>
    <w:rsid w:val="00AF405F"/>
    <w:rsid w:val="00AF454B"/>
    <w:rsid w:val="00AF5606"/>
    <w:rsid w:val="00AF587F"/>
    <w:rsid w:val="00AF74BF"/>
    <w:rsid w:val="00AF758E"/>
    <w:rsid w:val="00B00A93"/>
    <w:rsid w:val="00B019CB"/>
    <w:rsid w:val="00B01F98"/>
    <w:rsid w:val="00B02C2A"/>
    <w:rsid w:val="00B060EE"/>
    <w:rsid w:val="00B06983"/>
    <w:rsid w:val="00B07D09"/>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1FA9"/>
    <w:rsid w:val="00B224B3"/>
    <w:rsid w:val="00B23AF1"/>
    <w:rsid w:val="00B241DA"/>
    <w:rsid w:val="00B24CFF"/>
    <w:rsid w:val="00B26ED5"/>
    <w:rsid w:val="00B27335"/>
    <w:rsid w:val="00B2779E"/>
    <w:rsid w:val="00B31728"/>
    <w:rsid w:val="00B31ABF"/>
    <w:rsid w:val="00B321C1"/>
    <w:rsid w:val="00B34AEF"/>
    <w:rsid w:val="00B351C1"/>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46F0"/>
    <w:rsid w:val="00B54BD6"/>
    <w:rsid w:val="00B54D23"/>
    <w:rsid w:val="00B54F94"/>
    <w:rsid w:val="00B5509A"/>
    <w:rsid w:val="00B55DEE"/>
    <w:rsid w:val="00B565AE"/>
    <w:rsid w:val="00B56D5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814"/>
    <w:rsid w:val="00B737FE"/>
    <w:rsid w:val="00B73AB6"/>
    <w:rsid w:val="00B767AA"/>
    <w:rsid w:val="00B802F8"/>
    <w:rsid w:val="00B80A92"/>
    <w:rsid w:val="00B80A9A"/>
    <w:rsid w:val="00B82734"/>
    <w:rsid w:val="00B82FF9"/>
    <w:rsid w:val="00B83CD5"/>
    <w:rsid w:val="00B83D23"/>
    <w:rsid w:val="00B8451B"/>
    <w:rsid w:val="00B84964"/>
    <w:rsid w:val="00B85676"/>
    <w:rsid w:val="00B85896"/>
    <w:rsid w:val="00B8635D"/>
    <w:rsid w:val="00B86C0F"/>
    <w:rsid w:val="00B90D14"/>
    <w:rsid w:val="00B91459"/>
    <w:rsid w:val="00B94249"/>
    <w:rsid w:val="00B94CE2"/>
    <w:rsid w:val="00BA0B99"/>
    <w:rsid w:val="00BA2ED3"/>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EB"/>
    <w:rsid w:val="00BB46C4"/>
    <w:rsid w:val="00BB4BA9"/>
    <w:rsid w:val="00BB54E0"/>
    <w:rsid w:val="00BB5D57"/>
    <w:rsid w:val="00BB5E62"/>
    <w:rsid w:val="00BB6185"/>
    <w:rsid w:val="00BB69A7"/>
    <w:rsid w:val="00BB6B5E"/>
    <w:rsid w:val="00BB708D"/>
    <w:rsid w:val="00BB7DD5"/>
    <w:rsid w:val="00BC089C"/>
    <w:rsid w:val="00BC0AC9"/>
    <w:rsid w:val="00BC14A9"/>
    <w:rsid w:val="00BC16E5"/>
    <w:rsid w:val="00BC1C6B"/>
    <w:rsid w:val="00BC2B21"/>
    <w:rsid w:val="00BC577E"/>
    <w:rsid w:val="00BC628E"/>
    <w:rsid w:val="00BC6835"/>
    <w:rsid w:val="00BC76AF"/>
    <w:rsid w:val="00BC7BB9"/>
    <w:rsid w:val="00BC7C6D"/>
    <w:rsid w:val="00BD046B"/>
    <w:rsid w:val="00BD07F7"/>
    <w:rsid w:val="00BD0E31"/>
    <w:rsid w:val="00BD0FD5"/>
    <w:rsid w:val="00BD16D3"/>
    <w:rsid w:val="00BD20AF"/>
    <w:rsid w:val="00BD2CDE"/>
    <w:rsid w:val="00BD39BE"/>
    <w:rsid w:val="00BD3F7A"/>
    <w:rsid w:val="00BD48E4"/>
    <w:rsid w:val="00BD6C2C"/>
    <w:rsid w:val="00BD7B7E"/>
    <w:rsid w:val="00BE164F"/>
    <w:rsid w:val="00BE2107"/>
    <w:rsid w:val="00BE279E"/>
    <w:rsid w:val="00BE27CA"/>
    <w:rsid w:val="00BE3005"/>
    <w:rsid w:val="00BE3786"/>
    <w:rsid w:val="00BE4CFA"/>
    <w:rsid w:val="00BE551F"/>
    <w:rsid w:val="00BE5AD5"/>
    <w:rsid w:val="00BE6496"/>
    <w:rsid w:val="00BE6570"/>
    <w:rsid w:val="00BE65C8"/>
    <w:rsid w:val="00BE67A7"/>
    <w:rsid w:val="00BE6E4E"/>
    <w:rsid w:val="00BE7DED"/>
    <w:rsid w:val="00BF0BFC"/>
    <w:rsid w:val="00BF0D05"/>
    <w:rsid w:val="00BF214C"/>
    <w:rsid w:val="00BF3714"/>
    <w:rsid w:val="00BF382B"/>
    <w:rsid w:val="00BF45AD"/>
    <w:rsid w:val="00BF5118"/>
    <w:rsid w:val="00BF5228"/>
    <w:rsid w:val="00BF59DF"/>
    <w:rsid w:val="00BF68E0"/>
    <w:rsid w:val="00BF6BD6"/>
    <w:rsid w:val="00BF79E6"/>
    <w:rsid w:val="00C004CC"/>
    <w:rsid w:val="00C00A9E"/>
    <w:rsid w:val="00C03D6D"/>
    <w:rsid w:val="00C04F7C"/>
    <w:rsid w:val="00C05A13"/>
    <w:rsid w:val="00C06276"/>
    <w:rsid w:val="00C06B9E"/>
    <w:rsid w:val="00C07D29"/>
    <w:rsid w:val="00C108BC"/>
    <w:rsid w:val="00C11456"/>
    <w:rsid w:val="00C116D9"/>
    <w:rsid w:val="00C12447"/>
    <w:rsid w:val="00C124EC"/>
    <w:rsid w:val="00C128FE"/>
    <w:rsid w:val="00C12EDE"/>
    <w:rsid w:val="00C13333"/>
    <w:rsid w:val="00C147D1"/>
    <w:rsid w:val="00C157E9"/>
    <w:rsid w:val="00C15AD1"/>
    <w:rsid w:val="00C166EB"/>
    <w:rsid w:val="00C17209"/>
    <w:rsid w:val="00C17E72"/>
    <w:rsid w:val="00C2211B"/>
    <w:rsid w:val="00C23833"/>
    <w:rsid w:val="00C2564C"/>
    <w:rsid w:val="00C25891"/>
    <w:rsid w:val="00C2590B"/>
    <w:rsid w:val="00C25AE9"/>
    <w:rsid w:val="00C27561"/>
    <w:rsid w:val="00C3139B"/>
    <w:rsid w:val="00C31952"/>
    <w:rsid w:val="00C31FE6"/>
    <w:rsid w:val="00C32063"/>
    <w:rsid w:val="00C320B8"/>
    <w:rsid w:val="00C32673"/>
    <w:rsid w:val="00C3268E"/>
    <w:rsid w:val="00C32D87"/>
    <w:rsid w:val="00C330AE"/>
    <w:rsid w:val="00C347D8"/>
    <w:rsid w:val="00C35268"/>
    <w:rsid w:val="00C355B1"/>
    <w:rsid w:val="00C3593E"/>
    <w:rsid w:val="00C359EE"/>
    <w:rsid w:val="00C36899"/>
    <w:rsid w:val="00C36E6C"/>
    <w:rsid w:val="00C3710A"/>
    <w:rsid w:val="00C3745C"/>
    <w:rsid w:val="00C37CC4"/>
    <w:rsid w:val="00C401DA"/>
    <w:rsid w:val="00C411DB"/>
    <w:rsid w:val="00C4363E"/>
    <w:rsid w:val="00C43A43"/>
    <w:rsid w:val="00C43C38"/>
    <w:rsid w:val="00C44DAD"/>
    <w:rsid w:val="00C44E18"/>
    <w:rsid w:val="00C46F57"/>
    <w:rsid w:val="00C471D1"/>
    <w:rsid w:val="00C50364"/>
    <w:rsid w:val="00C504F3"/>
    <w:rsid w:val="00C51968"/>
    <w:rsid w:val="00C51EE1"/>
    <w:rsid w:val="00C52233"/>
    <w:rsid w:val="00C52BA3"/>
    <w:rsid w:val="00C5336F"/>
    <w:rsid w:val="00C53D03"/>
    <w:rsid w:val="00C53FC4"/>
    <w:rsid w:val="00C5423A"/>
    <w:rsid w:val="00C546F6"/>
    <w:rsid w:val="00C546FD"/>
    <w:rsid w:val="00C56F6A"/>
    <w:rsid w:val="00C572BF"/>
    <w:rsid w:val="00C57831"/>
    <w:rsid w:val="00C60128"/>
    <w:rsid w:val="00C603E8"/>
    <w:rsid w:val="00C60E0F"/>
    <w:rsid w:val="00C6103E"/>
    <w:rsid w:val="00C628C6"/>
    <w:rsid w:val="00C62C59"/>
    <w:rsid w:val="00C63452"/>
    <w:rsid w:val="00C63541"/>
    <w:rsid w:val="00C63EB5"/>
    <w:rsid w:val="00C649B9"/>
    <w:rsid w:val="00C649E7"/>
    <w:rsid w:val="00C65225"/>
    <w:rsid w:val="00C659C4"/>
    <w:rsid w:val="00C66603"/>
    <w:rsid w:val="00C6715A"/>
    <w:rsid w:val="00C6764B"/>
    <w:rsid w:val="00C67A3E"/>
    <w:rsid w:val="00C67C57"/>
    <w:rsid w:val="00C67FB7"/>
    <w:rsid w:val="00C702A9"/>
    <w:rsid w:val="00C708FB"/>
    <w:rsid w:val="00C70C37"/>
    <w:rsid w:val="00C718A2"/>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0808"/>
    <w:rsid w:val="00C90C9C"/>
    <w:rsid w:val="00C91884"/>
    <w:rsid w:val="00C93DF7"/>
    <w:rsid w:val="00C94785"/>
    <w:rsid w:val="00C94DB7"/>
    <w:rsid w:val="00C97389"/>
    <w:rsid w:val="00C97EB3"/>
    <w:rsid w:val="00CA04AE"/>
    <w:rsid w:val="00CA1CFF"/>
    <w:rsid w:val="00CA2E19"/>
    <w:rsid w:val="00CA2FF1"/>
    <w:rsid w:val="00CA4ADF"/>
    <w:rsid w:val="00CA5C20"/>
    <w:rsid w:val="00CA6C79"/>
    <w:rsid w:val="00CB2888"/>
    <w:rsid w:val="00CB3A14"/>
    <w:rsid w:val="00CB4EC9"/>
    <w:rsid w:val="00CB58C7"/>
    <w:rsid w:val="00CB6615"/>
    <w:rsid w:val="00CC0253"/>
    <w:rsid w:val="00CC0269"/>
    <w:rsid w:val="00CC084C"/>
    <w:rsid w:val="00CC1475"/>
    <w:rsid w:val="00CC247C"/>
    <w:rsid w:val="00CC3253"/>
    <w:rsid w:val="00CC3AA3"/>
    <w:rsid w:val="00CC4422"/>
    <w:rsid w:val="00CC5634"/>
    <w:rsid w:val="00CC5F62"/>
    <w:rsid w:val="00CC6169"/>
    <w:rsid w:val="00CC7563"/>
    <w:rsid w:val="00CC767D"/>
    <w:rsid w:val="00CD0514"/>
    <w:rsid w:val="00CD0A0F"/>
    <w:rsid w:val="00CD0B22"/>
    <w:rsid w:val="00CD1802"/>
    <w:rsid w:val="00CD19BD"/>
    <w:rsid w:val="00CD1F17"/>
    <w:rsid w:val="00CD2592"/>
    <w:rsid w:val="00CD2CCD"/>
    <w:rsid w:val="00CD42AF"/>
    <w:rsid w:val="00CD5027"/>
    <w:rsid w:val="00CD5B95"/>
    <w:rsid w:val="00CD5F15"/>
    <w:rsid w:val="00CE01EF"/>
    <w:rsid w:val="00CE056C"/>
    <w:rsid w:val="00CE1A20"/>
    <w:rsid w:val="00CE252A"/>
    <w:rsid w:val="00CE49AD"/>
    <w:rsid w:val="00CE5163"/>
    <w:rsid w:val="00CE538B"/>
    <w:rsid w:val="00CE5824"/>
    <w:rsid w:val="00CE5994"/>
    <w:rsid w:val="00CE63D4"/>
    <w:rsid w:val="00CE6D9D"/>
    <w:rsid w:val="00CE6DAD"/>
    <w:rsid w:val="00CF14E4"/>
    <w:rsid w:val="00CF1B21"/>
    <w:rsid w:val="00CF2166"/>
    <w:rsid w:val="00CF2674"/>
    <w:rsid w:val="00CF2906"/>
    <w:rsid w:val="00CF2C96"/>
    <w:rsid w:val="00CF3374"/>
    <w:rsid w:val="00CF57F4"/>
    <w:rsid w:val="00CF6115"/>
    <w:rsid w:val="00CF6AC6"/>
    <w:rsid w:val="00CF7284"/>
    <w:rsid w:val="00D00456"/>
    <w:rsid w:val="00D00EE1"/>
    <w:rsid w:val="00D02502"/>
    <w:rsid w:val="00D032AF"/>
    <w:rsid w:val="00D03CEC"/>
    <w:rsid w:val="00D04594"/>
    <w:rsid w:val="00D04FD6"/>
    <w:rsid w:val="00D057B9"/>
    <w:rsid w:val="00D0594B"/>
    <w:rsid w:val="00D0596C"/>
    <w:rsid w:val="00D062B9"/>
    <w:rsid w:val="00D0671C"/>
    <w:rsid w:val="00D070AB"/>
    <w:rsid w:val="00D072AE"/>
    <w:rsid w:val="00D0744A"/>
    <w:rsid w:val="00D074CB"/>
    <w:rsid w:val="00D07532"/>
    <w:rsid w:val="00D076E8"/>
    <w:rsid w:val="00D100A1"/>
    <w:rsid w:val="00D106FE"/>
    <w:rsid w:val="00D12BAF"/>
    <w:rsid w:val="00D12DFC"/>
    <w:rsid w:val="00D14054"/>
    <w:rsid w:val="00D14A4E"/>
    <w:rsid w:val="00D15A6D"/>
    <w:rsid w:val="00D15F68"/>
    <w:rsid w:val="00D164B1"/>
    <w:rsid w:val="00D16D48"/>
    <w:rsid w:val="00D17196"/>
    <w:rsid w:val="00D1725E"/>
    <w:rsid w:val="00D1736A"/>
    <w:rsid w:val="00D175CD"/>
    <w:rsid w:val="00D20E87"/>
    <w:rsid w:val="00D22267"/>
    <w:rsid w:val="00D22898"/>
    <w:rsid w:val="00D22A04"/>
    <w:rsid w:val="00D230B6"/>
    <w:rsid w:val="00D23CB8"/>
    <w:rsid w:val="00D23EA3"/>
    <w:rsid w:val="00D2428E"/>
    <w:rsid w:val="00D255E2"/>
    <w:rsid w:val="00D26AD5"/>
    <w:rsid w:val="00D26B94"/>
    <w:rsid w:val="00D27088"/>
    <w:rsid w:val="00D27332"/>
    <w:rsid w:val="00D30C1B"/>
    <w:rsid w:val="00D3117F"/>
    <w:rsid w:val="00D3366A"/>
    <w:rsid w:val="00D34386"/>
    <w:rsid w:val="00D34CAE"/>
    <w:rsid w:val="00D35A15"/>
    <w:rsid w:val="00D3694B"/>
    <w:rsid w:val="00D36DA9"/>
    <w:rsid w:val="00D37323"/>
    <w:rsid w:val="00D37595"/>
    <w:rsid w:val="00D40F50"/>
    <w:rsid w:val="00D4114C"/>
    <w:rsid w:val="00D42E57"/>
    <w:rsid w:val="00D43007"/>
    <w:rsid w:val="00D4387F"/>
    <w:rsid w:val="00D44386"/>
    <w:rsid w:val="00D4478D"/>
    <w:rsid w:val="00D4499F"/>
    <w:rsid w:val="00D44C83"/>
    <w:rsid w:val="00D44F6F"/>
    <w:rsid w:val="00D450B6"/>
    <w:rsid w:val="00D4528C"/>
    <w:rsid w:val="00D51281"/>
    <w:rsid w:val="00D537D5"/>
    <w:rsid w:val="00D53C64"/>
    <w:rsid w:val="00D54297"/>
    <w:rsid w:val="00D54F36"/>
    <w:rsid w:val="00D54FEB"/>
    <w:rsid w:val="00D55281"/>
    <w:rsid w:val="00D55D7C"/>
    <w:rsid w:val="00D562B3"/>
    <w:rsid w:val="00D56F5A"/>
    <w:rsid w:val="00D57F95"/>
    <w:rsid w:val="00D60AB8"/>
    <w:rsid w:val="00D61C1D"/>
    <w:rsid w:val="00D62A67"/>
    <w:rsid w:val="00D62C74"/>
    <w:rsid w:val="00D63209"/>
    <w:rsid w:val="00D6389C"/>
    <w:rsid w:val="00D63B19"/>
    <w:rsid w:val="00D6463C"/>
    <w:rsid w:val="00D64CB3"/>
    <w:rsid w:val="00D676ED"/>
    <w:rsid w:val="00D71E33"/>
    <w:rsid w:val="00D71FE9"/>
    <w:rsid w:val="00D725C0"/>
    <w:rsid w:val="00D73A0A"/>
    <w:rsid w:val="00D743C2"/>
    <w:rsid w:val="00D75C27"/>
    <w:rsid w:val="00D76899"/>
    <w:rsid w:val="00D77D2F"/>
    <w:rsid w:val="00D77D54"/>
    <w:rsid w:val="00D82978"/>
    <w:rsid w:val="00D83EC2"/>
    <w:rsid w:val="00D83F8C"/>
    <w:rsid w:val="00D8494A"/>
    <w:rsid w:val="00D84E34"/>
    <w:rsid w:val="00D84E57"/>
    <w:rsid w:val="00D84F5C"/>
    <w:rsid w:val="00D8714D"/>
    <w:rsid w:val="00D87689"/>
    <w:rsid w:val="00D902C3"/>
    <w:rsid w:val="00D913BC"/>
    <w:rsid w:val="00D92B92"/>
    <w:rsid w:val="00D9367D"/>
    <w:rsid w:val="00D94719"/>
    <w:rsid w:val="00D94F47"/>
    <w:rsid w:val="00D96624"/>
    <w:rsid w:val="00D967B2"/>
    <w:rsid w:val="00D96D08"/>
    <w:rsid w:val="00DA100A"/>
    <w:rsid w:val="00DA14AE"/>
    <w:rsid w:val="00DA182E"/>
    <w:rsid w:val="00DA1B68"/>
    <w:rsid w:val="00DA21F6"/>
    <w:rsid w:val="00DA310C"/>
    <w:rsid w:val="00DA3BA1"/>
    <w:rsid w:val="00DA43F0"/>
    <w:rsid w:val="00DA6562"/>
    <w:rsid w:val="00DA6C40"/>
    <w:rsid w:val="00DA7F98"/>
    <w:rsid w:val="00DB1F2B"/>
    <w:rsid w:val="00DB3253"/>
    <w:rsid w:val="00DB3FAC"/>
    <w:rsid w:val="00DB426A"/>
    <w:rsid w:val="00DB4913"/>
    <w:rsid w:val="00DB5819"/>
    <w:rsid w:val="00DB5C42"/>
    <w:rsid w:val="00DB5CDD"/>
    <w:rsid w:val="00DB663D"/>
    <w:rsid w:val="00DB695B"/>
    <w:rsid w:val="00DB7F40"/>
    <w:rsid w:val="00DC0605"/>
    <w:rsid w:val="00DC1820"/>
    <w:rsid w:val="00DC19AF"/>
    <w:rsid w:val="00DC1A5F"/>
    <w:rsid w:val="00DC1BCD"/>
    <w:rsid w:val="00DC39EE"/>
    <w:rsid w:val="00DC3B5C"/>
    <w:rsid w:val="00DC4884"/>
    <w:rsid w:val="00DC48ED"/>
    <w:rsid w:val="00DC4AD7"/>
    <w:rsid w:val="00DC518C"/>
    <w:rsid w:val="00DC55D6"/>
    <w:rsid w:val="00DC5A02"/>
    <w:rsid w:val="00DC6A8E"/>
    <w:rsid w:val="00DD0339"/>
    <w:rsid w:val="00DD0810"/>
    <w:rsid w:val="00DD092D"/>
    <w:rsid w:val="00DD0AC3"/>
    <w:rsid w:val="00DD159B"/>
    <w:rsid w:val="00DD193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39C7"/>
    <w:rsid w:val="00DE4167"/>
    <w:rsid w:val="00DE4393"/>
    <w:rsid w:val="00DE445A"/>
    <w:rsid w:val="00DE4C18"/>
    <w:rsid w:val="00DE5575"/>
    <w:rsid w:val="00DE5CF4"/>
    <w:rsid w:val="00DE60BA"/>
    <w:rsid w:val="00DE6B9E"/>
    <w:rsid w:val="00DE7EA2"/>
    <w:rsid w:val="00DE7EC1"/>
    <w:rsid w:val="00DF0615"/>
    <w:rsid w:val="00DF0789"/>
    <w:rsid w:val="00DF0A2A"/>
    <w:rsid w:val="00DF1DC1"/>
    <w:rsid w:val="00DF2012"/>
    <w:rsid w:val="00DF3738"/>
    <w:rsid w:val="00DF38B2"/>
    <w:rsid w:val="00DF3C44"/>
    <w:rsid w:val="00DF5CED"/>
    <w:rsid w:val="00DF637B"/>
    <w:rsid w:val="00DF69C8"/>
    <w:rsid w:val="00DF72B5"/>
    <w:rsid w:val="00E008C0"/>
    <w:rsid w:val="00E00BAF"/>
    <w:rsid w:val="00E00BF7"/>
    <w:rsid w:val="00E00D3D"/>
    <w:rsid w:val="00E02AC9"/>
    <w:rsid w:val="00E03219"/>
    <w:rsid w:val="00E0324B"/>
    <w:rsid w:val="00E04E9B"/>
    <w:rsid w:val="00E0741E"/>
    <w:rsid w:val="00E11EEE"/>
    <w:rsid w:val="00E12BEC"/>
    <w:rsid w:val="00E1311F"/>
    <w:rsid w:val="00E15BED"/>
    <w:rsid w:val="00E15E86"/>
    <w:rsid w:val="00E162FF"/>
    <w:rsid w:val="00E169A8"/>
    <w:rsid w:val="00E17E6C"/>
    <w:rsid w:val="00E20B50"/>
    <w:rsid w:val="00E22AF5"/>
    <w:rsid w:val="00E23548"/>
    <w:rsid w:val="00E240EB"/>
    <w:rsid w:val="00E24225"/>
    <w:rsid w:val="00E24AAB"/>
    <w:rsid w:val="00E253EF"/>
    <w:rsid w:val="00E25E4F"/>
    <w:rsid w:val="00E27740"/>
    <w:rsid w:val="00E31F9B"/>
    <w:rsid w:val="00E3290D"/>
    <w:rsid w:val="00E32BD7"/>
    <w:rsid w:val="00E33433"/>
    <w:rsid w:val="00E3407A"/>
    <w:rsid w:val="00E348C0"/>
    <w:rsid w:val="00E350B9"/>
    <w:rsid w:val="00E3522D"/>
    <w:rsid w:val="00E356CC"/>
    <w:rsid w:val="00E37729"/>
    <w:rsid w:val="00E42771"/>
    <w:rsid w:val="00E42BB1"/>
    <w:rsid w:val="00E456FA"/>
    <w:rsid w:val="00E459C5"/>
    <w:rsid w:val="00E45C5A"/>
    <w:rsid w:val="00E47BCF"/>
    <w:rsid w:val="00E5089A"/>
    <w:rsid w:val="00E50C87"/>
    <w:rsid w:val="00E52139"/>
    <w:rsid w:val="00E52373"/>
    <w:rsid w:val="00E535DB"/>
    <w:rsid w:val="00E54176"/>
    <w:rsid w:val="00E545FE"/>
    <w:rsid w:val="00E5483C"/>
    <w:rsid w:val="00E551A8"/>
    <w:rsid w:val="00E55676"/>
    <w:rsid w:val="00E55EEF"/>
    <w:rsid w:val="00E55FCC"/>
    <w:rsid w:val="00E56300"/>
    <w:rsid w:val="00E56798"/>
    <w:rsid w:val="00E56D77"/>
    <w:rsid w:val="00E573C5"/>
    <w:rsid w:val="00E60157"/>
    <w:rsid w:val="00E6192B"/>
    <w:rsid w:val="00E62D21"/>
    <w:rsid w:val="00E62F87"/>
    <w:rsid w:val="00E640A5"/>
    <w:rsid w:val="00E64282"/>
    <w:rsid w:val="00E65040"/>
    <w:rsid w:val="00E650AD"/>
    <w:rsid w:val="00E65586"/>
    <w:rsid w:val="00E66F1B"/>
    <w:rsid w:val="00E67254"/>
    <w:rsid w:val="00E67ACA"/>
    <w:rsid w:val="00E67FC6"/>
    <w:rsid w:val="00E70243"/>
    <w:rsid w:val="00E7088B"/>
    <w:rsid w:val="00E71DAA"/>
    <w:rsid w:val="00E72F06"/>
    <w:rsid w:val="00E737D8"/>
    <w:rsid w:val="00E73A04"/>
    <w:rsid w:val="00E75866"/>
    <w:rsid w:val="00E75B0B"/>
    <w:rsid w:val="00E75C7B"/>
    <w:rsid w:val="00E7646A"/>
    <w:rsid w:val="00E80192"/>
    <w:rsid w:val="00E8057C"/>
    <w:rsid w:val="00E81672"/>
    <w:rsid w:val="00E81678"/>
    <w:rsid w:val="00E816D9"/>
    <w:rsid w:val="00E819ED"/>
    <w:rsid w:val="00E82D4F"/>
    <w:rsid w:val="00E832A7"/>
    <w:rsid w:val="00E838A4"/>
    <w:rsid w:val="00E84B46"/>
    <w:rsid w:val="00E84D66"/>
    <w:rsid w:val="00E85AB3"/>
    <w:rsid w:val="00E85FA2"/>
    <w:rsid w:val="00E86F9C"/>
    <w:rsid w:val="00E87A6C"/>
    <w:rsid w:val="00E9075D"/>
    <w:rsid w:val="00E91163"/>
    <w:rsid w:val="00E915F2"/>
    <w:rsid w:val="00E93080"/>
    <w:rsid w:val="00E93B69"/>
    <w:rsid w:val="00E93C2E"/>
    <w:rsid w:val="00E952E8"/>
    <w:rsid w:val="00E95540"/>
    <w:rsid w:val="00E959D5"/>
    <w:rsid w:val="00E95D50"/>
    <w:rsid w:val="00E96431"/>
    <w:rsid w:val="00E96FB9"/>
    <w:rsid w:val="00E974D9"/>
    <w:rsid w:val="00EA01F0"/>
    <w:rsid w:val="00EA09BB"/>
    <w:rsid w:val="00EA1186"/>
    <w:rsid w:val="00EA1417"/>
    <w:rsid w:val="00EA1820"/>
    <w:rsid w:val="00EA1E24"/>
    <w:rsid w:val="00EA2180"/>
    <w:rsid w:val="00EA219E"/>
    <w:rsid w:val="00EA3DBE"/>
    <w:rsid w:val="00EA4520"/>
    <w:rsid w:val="00EA45FB"/>
    <w:rsid w:val="00EA4EC1"/>
    <w:rsid w:val="00EA599F"/>
    <w:rsid w:val="00EA679B"/>
    <w:rsid w:val="00EA6B47"/>
    <w:rsid w:val="00EA719A"/>
    <w:rsid w:val="00EA7AD7"/>
    <w:rsid w:val="00EB04BE"/>
    <w:rsid w:val="00EB05E7"/>
    <w:rsid w:val="00EB08F2"/>
    <w:rsid w:val="00EB0B8E"/>
    <w:rsid w:val="00EB18FF"/>
    <w:rsid w:val="00EB2820"/>
    <w:rsid w:val="00EB297B"/>
    <w:rsid w:val="00EB38EC"/>
    <w:rsid w:val="00EB39B2"/>
    <w:rsid w:val="00EB4357"/>
    <w:rsid w:val="00EB4BDD"/>
    <w:rsid w:val="00EB5DA7"/>
    <w:rsid w:val="00EB7255"/>
    <w:rsid w:val="00EC0088"/>
    <w:rsid w:val="00EC04E1"/>
    <w:rsid w:val="00EC106D"/>
    <w:rsid w:val="00EC16AF"/>
    <w:rsid w:val="00EC1DAB"/>
    <w:rsid w:val="00EC4044"/>
    <w:rsid w:val="00EC58D5"/>
    <w:rsid w:val="00EC61D9"/>
    <w:rsid w:val="00EC727B"/>
    <w:rsid w:val="00EC753F"/>
    <w:rsid w:val="00ED2E1A"/>
    <w:rsid w:val="00ED339D"/>
    <w:rsid w:val="00ED3649"/>
    <w:rsid w:val="00ED371E"/>
    <w:rsid w:val="00ED4084"/>
    <w:rsid w:val="00ED53C7"/>
    <w:rsid w:val="00ED57D3"/>
    <w:rsid w:val="00ED59BE"/>
    <w:rsid w:val="00ED5B33"/>
    <w:rsid w:val="00ED5EB4"/>
    <w:rsid w:val="00ED6108"/>
    <w:rsid w:val="00EE01D5"/>
    <w:rsid w:val="00EE1EA4"/>
    <w:rsid w:val="00EE1EEF"/>
    <w:rsid w:val="00EE21BD"/>
    <w:rsid w:val="00EE3158"/>
    <w:rsid w:val="00EE34B8"/>
    <w:rsid w:val="00EE3EB8"/>
    <w:rsid w:val="00EE4E88"/>
    <w:rsid w:val="00EE4F62"/>
    <w:rsid w:val="00EE50C7"/>
    <w:rsid w:val="00EE6D63"/>
    <w:rsid w:val="00EE77AC"/>
    <w:rsid w:val="00EF066F"/>
    <w:rsid w:val="00EF079A"/>
    <w:rsid w:val="00EF0872"/>
    <w:rsid w:val="00EF0E33"/>
    <w:rsid w:val="00EF126B"/>
    <w:rsid w:val="00EF248C"/>
    <w:rsid w:val="00EF25CA"/>
    <w:rsid w:val="00EF2B08"/>
    <w:rsid w:val="00EF2E8A"/>
    <w:rsid w:val="00EF2F3E"/>
    <w:rsid w:val="00EF47AA"/>
    <w:rsid w:val="00EF4E75"/>
    <w:rsid w:val="00EF5513"/>
    <w:rsid w:val="00EF599B"/>
    <w:rsid w:val="00EF60F8"/>
    <w:rsid w:val="00EF6FD3"/>
    <w:rsid w:val="00EF7358"/>
    <w:rsid w:val="00EF7E28"/>
    <w:rsid w:val="00F0194C"/>
    <w:rsid w:val="00F01B33"/>
    <w:rsid w:val="00F01C31"/>
    <w:rsid w:val="00F02A17"/>
    <w:rsid w:val="00F039DC"/>
    <w:rsid w:val="00F04B89"/>
    <w:rsid w:val="00F05983"/>
    <w:rsid w:val="00F069A0"/>
    <w:rsid w:val="00F06A38"/>
    <w:rsid w:val="00F06D3F"/>
    <w:rsid w:val="00F06FDE"/>
    <w:rsid w:val="00F07612"/>
    <w:rsid w:val="00F11248"/>
    <w:rsid w:val="00F12EF4"/>
    <w:rsid w:val="00F13000"/>
    <w:rsid w:val="00F1475D"/>
    <w:rsid w:val="00F16E34"/>
    <w:rsid w:val="00F2002A"/>
    <w:rsid w:val="00F21CCF"/>
    <w:rsid w:val="00F22E66"/>
    <w:rsid w:val="00F2323C"/>
    <w:rsid w:val="00F23464"/>
    <w:rsid w:val="00F24828"/>
    <w:rsid w:val="00F2795E"/>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371CD"/>
    <w:rsid w:val="00F40975"/>
    <w:rsid w:val="00F41DD5"/>
    <w:rsid w:val="00F421FB"/>
    <w:rsid w:val="00F42208"/>
    <w:rsid w:val="00F454C2"/>
    <w:rsid w:val="00F4677D"/>
    <w:rsid w:val="00F4729F"/>
    <w:rsid w:val="00F47E63"/>
    <w:rsid w:val="00F5040A"/>
    <w:rsid w:val="00F5108D"/>
    <w:rsid w:val="00F52FEE"/>
    <w:rsid w:val="00F54151"/>
    <w:rsid w:val="00F54561"/>
    <w:rsid w:val="00F5522D"/>
    <w:rsid w:val="00F55826"/>
    <w:rsid w:val="00F55CBB"/>
    <w:rsid w:val="00F57201"/>
    <w:rsid w:val="00F608C8"/>
    <w:rsid w:val="00F61D4E"/>
    <w:rsid w:val="00F6297A"/>
    <w:rsid w:val="00F65927"/>
    <w:rsid w:val="00F65AF4"/>
    <w:rsid w:val="00F65C53"/>
    <w:rsid w:val="00F667BB"/>
    <w:rsid w:val="00F70AEF"/>
    <w:rsid w:val="00F70E22"/>
    <w:rsid w:val="00F716A4"/>
    <w:rsid w:val="00F72ED1"/>
    <w:rsid w:val="00F730C8"/>
    <w:rsid w:val="00F73AC7"/>
    <w:rsid w:val="00F73E7E"/>
    <w:rsid w:val="00F74AB5"/>
    <w:rsid w:val="00F77C72"/>
    <w:rsid w:val="00F80064"/>
    <w:rsid w:val="00F80A76"/>
    <w:rsid w:val="00F813FD"/>
    <w:rsid w:val="00F842FB"/>
    <w:rsid w:val="00F85418"/>
    <w:rsid w:val="00F85DE5"/>
    <w:rsid w:val="00F86212"/>
    <w:rsid w:val="00F86B0B"/>
    <w:rsid w:val="00F87B83"/>
    <w:rsid w:val="00F90132"/>
    <w:rsid w:val="00F90223"/>
    <w:rsid w:val="00F9071E"/>
    <w:rsid w:val="00F92161"/>
    <w:rsid w:val="00F92F8E"/>
    <w:rsid w:val="00F93A95"/>
    <w:rsid w:val="00F941B4"/>
    <w:rsid w:val="00F958A6"/>
    <w:rsid w:val="00F959E0"/>
    <w:rsid w:val="00F963D9"/>
    <w:rsid w:val="00F9786A"/>
    <w:rsid w:val="00F97FF6"/>
    <w:rsid w:val="00FA009A"/>
    <w:rsid w:val="00FA0C67"/>
    <w:rsid w:val="00FA169E"/>
    <w:rsid w:val="00FA1D00"/>
    <w:rsid w:val="00FA1DCD"/>
    <w:rsid w:val="00FA2A64"/>
    <w:rsid w:val="00FA3454"/>
    <w:rsid w:val="00FA39DC"/>
    <w:rsid w:val="00FA51C3"/>
    <w:rsid w:val="00FA71E9"/>
    <w:rsid w:val="00FB0358"/>
    <w:rsid w:val="00FB0C71"/>
    <w:rsid w:val="00FB12AC"/>
    <w:rsid w:val="00FB1AF6"/>
    <w:rsid w:val="00FB1C0B"/>
    <w:rsid w:val="00FB1F46"/>
    <w:rsid w:val="00FB4CA0"/>
    <w:rsid w:val="00FB6F5B"/>
    <w:rsid w:val="00FB7C51"/>
    <w:rsid w:val="00FC1925"/>
    <w:rsid w:val="00FC279F"/>
    <w:rsid w:val="00FC2F26"/>
    <w:rsid w:val="00FC48E1"/>
    <w:rsid w:val="00FC4CDD"/>
    <w:rsid w:val="00FC511E"/>
    <w:rsid w:val="00FC5953"/>
    <w:rsid w:val="00FC7861"/>
    <w:rsid w:val="00FD08EE"/>
    <w:rsid w:val="00FD159F"/>
    <w:rsid w:val="00FD20BD"/>
    <w:rsid w:val="00FD30A5"/>
    <w:rsid w:val="00FD34AD"/>
    <w:rsid w:val="00FD35B3"/>
    <w:rsid w:val="00FD3E4E"/>
    <w:rsid w:val="00FD47D5"/>
    <w:rsid w:val="00FD4AB9"/>
    <w:rsid w:val="00FD5352"/>
    <w:rsid w:val="00FD6665"/>
    <w:rsid w:val="00FD6CEB"/>
    <w:rsid w:val="00FD6DCB"/>
    <w:rsid w:val="00FD6E7A"/>
    <w:rsid w:val="00FD707F"/>
    <w:rsid w:val="00FD7468"/>
    <w:rsid w:val="00FD7B9F"/>
    <w:rsid w:val="00FD7C21"/>
    <w:rsid w:val="00FE0716"/>
    <w:rsid w:val="00FE1A01"/>
    <w:rsid w:val="00FE2398"/>
    <w:rsid w:val="00FE23BE"/>
    <w:rsid w:val="00FE2EB9"/>
    <w:rsid w:val="00FE416B"/>
    <w:rsid w:val="00FE4BCF"/>
    <w:rsid w:val="00FE5602"/>
    <w:rsid w:val="00FE5AAA"/>
    <w:rsid w:val="00FE5C98"/>
    <w:rsid w:val="00FE6263"/>
    <w:rsid w:val="00FE62AF"/>
    <w:rsid w:val="00FE6C6F"/>
    <w:rsid w:val="00FE6F05"/>
    <w:rsid w:val="00FF087B"/>
    <w:rsid w:val="00FF16C1"/>
    <w:rsid w:val="00FF231B"/>
    <w:rsid w:val="00FF2B82"/>
    <w:rsid w:val="00FF3731"/>
    <w:rsid w:val="00FF3B40"/>
    <w:rsid w:val="00FF4299"/>
    <w:rsid w:val="00FF49F0"/>
    <w:rsid w:val="00FF4B99"/>
    <w:rsid w:val="00FF4BCB"/>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D2DFF"/>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8F0B87"/>
    <w:pPr>
      <w:spacing w:before="240" w:line="360" w:lineRule="auto"/>
      <w:outlineLvl w:val="0"/>
    </w:pPr>
    <w:rPr>
      <w:sz w:val="40"/>
      <w:szCs w:val="40"/>
    </w:rPr>
  </w:style>
  <w:style w:type="paragraph" w:styleId="Heading2">
    <w:name w:val="heading 2"/>
    <w:basedOn w:val="Normal"/>
    <w:next w:val="Normal"/>
    <w:link w:val="Heading2Char"/>
    <w:autoRedefine/>
    <w:qFormat/>
    <w:rsid w:val="00384E16"/>
    <w:pPr>
      <w:keepNext/>
      <w:numPr>
        <w:numId w:val="8"/>
      </w:numPr>
      <w:spacing w:before="240"/>
      <w:outlineLvl w:val="1"/>
    </w:pPr>
    <w:rPr>
      <w:rFonts w:cstheme="minorHAnsi"/>
      <w:bCs/>
      <w:iCs/>
      <w:color w:val="264F90"/>
      <w:sz w:val="32"/>
      <w:szCs w:val="32"/>
    </w:rPr>
  </w:style>
  <w:style w:type="paragraph" w:styleId="Heading3">
    <w:name w:val="heading 3"/>
    <w:basedOn w:val="Heading1"/>
    <w:next w:val="Normal"/>
    <w:link w:val="Heading3Char"/>
    <w:qFormat/>
    <w:rsid w:val="009E14CC"/>
    <w:pPr>
      <w:numPr>
        <w:ilvl w:val="1"/>
        <w:numId w:val="8"/>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iCs/>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8F0B87"/>
    <w:rPr>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384E1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E2EB9"/>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E14CC"/>
    <w:rPr>
      <w:rFonts w:cs="Arial"/>
      <w:b/>
      <w:color w:val="264F90"/>
      <w:sz w:val="24"/>
      <w:szCs w:val="40"/>
    </w:rPr>
  </w:style>
  <w:style w:type="character" w:customStyle="1" w:styleId="Heading4Char">
    <w:name w:val="Heading 4 Char"/>
    <w:basedOn w:val="Heading3Char"/>
    <w:link w:val="Heading4"/>
    <w:rsid w:val="00E00BF7"/>
    <w:rPr>
      <w:rFonts w:eastAsia="MS Mincho" w:cs="TimesNewRoman"/>
      <w:b/>
      <w:color w:val="264F90"/>
      <w:sz w:val="22"/>
      <w:szCs w:val="40"/>
    </w:rPr>
  </w:style>
  <w:style w:type="character" w:customStyle="1" w:styleId="Heading5Char">
    <w:name w:val="Heading 5 Char"/>
    <w:basedOn w:val="Heading4Char"/>
    <w:link w:val="Heading5"/>
    <w:rsid w:val="00430D2E"/>
    <w:rPr>
      <w:rFonts w:eastAsia="MS Mincho" w:cs="TimesNewRoman"/>
      <w:b/>
      <w:bCs/>
      <w:iCs/>
      <w:color w:val="264F90"/>
      <w:sz w:val="22"/>
      <w:szCs w:val="26"/>
    </w:rPr>
  </w:style>
  <w:style w:type="character" w:customStyle="1" w:styleId="Heading6Char">
    <w:name w:val="Heading 6 Char"/>
    <w:basedOn w:val="Heading5Char"/>
    <w:link w:val="Heading6"/>
    <w:rsid w:val="00C17209"/>
    <w:rPr>
      <w:rFonts w:eastAsia="MS Mincho" w:cs="TimesNewRoman"/>
      <w:b/>
      <w:bCs w:val="0"/>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0Bullet,Bullet point,CV text,Dot pt,F5 List Paragraph,FooterText,L,List Paragraph111,List Paragraph2,Medium Grid 1 - Accent 21,NFP GP Bulleted List,Table text,numbered,列出,列出段,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Heading1">
    <w:name w:val="Appendix Heading 1"/>
    <w:qFormat/>
    <w:rsid w:val="00EF47AA"/>
    <w:pPr>
      <w:pageBreakBefore/>
      <w:numPr>
        <w:numId w:val="21"/>
      </w:numPr>
      <w:spacing w:after="240"/>
    </w:pPr>
    <w:rPr>
      <w:rFonts w:asciiTheme="minorHAnsi" w:hAnsiTheme="minorHAnsi"/>
      <w:b/>
      <w:bCs/>
      <w:sz w:val="56"/>
      <w:szCs w:val="24"/>
    </w:rPr>
  </w:style>
  <w:style w:type="numbering" w:customStyle="1" w:styleId="Appendix">
    <w:name w:val="Appendix"/>
    <w:uiPriority w:val="99"/>
    <w:rsid w:val="00EF47AA"/>
    <w:pPr>
      <w:numPr>
        <w:numId w:val="20"/>
      </w:numPr>
    </w:pPr>
  </w:style>
  <w:style w:type="paragraph" w:customStyle="1" w:styleId="AppendixHeading2">
    <w:name w:val="Appendix Heading 2"/>
    <w:qFormat/>
    <w:rsid w:val="00EF47AA"/>
    <w:pPr>
      <w:numPr>
        <w:ilvl w:val="1"/>
        <w:numId w:val="21"/>
      </w:numPr>
    </w:pPr>
    <w:rPr>
      <w:rFonts w:asciiTheme="minorHAnsi" w:hAnsiTheme="minorHAnsi"/>
      <w:b/>
      <w:bCs/>
      <w:sz w:val="32"/>
      <w:szCs w:val="24"/>
    </w:rPr>
  </w:style>
  <w:style w:type="paragraph" w:customStyle="1" w:styleId="Pa4">
    <w:name w:val="Pa4"/>
    <w:basedOn w:val="Default"/>
    <w:next w:val="Default"/>
    <w:uiPriority w:val="99"/>
    <w:rsid w:val="00EF47AA"/>
    <w:pPr>
      <w:spacing w:line="181" w:lineRule="atLeast"/>
    </w:pPr>
    <w:rPr>
      <w:rFonts w:ascii="Helvetica 45 Light" w:eastAsia="Calibri" w:hAnsi="Helvetica 45 Light" w:cs="Times New Roman"/>
      <w:color w:val="auto"/>
      <w:lang w:eastAsia="en-AU"/>
    </w:rPr>
  </w:style>
  <w:style w:type="paragraph" w:customStyle="1" w:styleId="BodyTextnospace">
    <w:name w:val="Body Text (no space)"/>
    <w:basedOn w:val="BodyText"/>
    <w:qFormat/>
    <w:rsid w:val="008871B4"/>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0Bullet Char,Bullet point Char,CV text Char,Dot pt Char,F5 List Paragraph Char,FooterText Char,L Char,List Paragraph111 Char,List Paragraph2 Char,Table text Char,列出 Char"/>
    <w:basedOn w:val="DefaultParagraphFont"/>
    <w:link w:val="ListParagraph"/>
    <w:uiPriority w:val="34"/>
    <w:qFormat/>
    <w:locked/>
    <w:rsid w:val="009E2359"/>
  </w:style>
  <w:style w:type="paragraph" w:customStyle="1" w:styleId="Figuretitle">
    <w:name w:val="Figure title"/>
    <w:basedOn w:val="Heading2"/>
    <w:next w:val="BodyText1"/>
    <w:rsid w:val="009E2359"/>
    <w:pPr>
      <w:keepNext w:val="0"/>
      <w:numPr>
        <w:ilvl w:val="6"/>
        <w:numId w:val="34"/>
      </w:numPr>
      <w:spacing w:before="0" w:line="240" w:lineRule="auto"/>
    </w:pPr>
    <w:rPr>
      <w:rFonts w:cs="Times New Roman"/>
      <w:b/>
      <w:bCs w:val="0"/>
      <w:iCs w:val="0"/>
      <w:color w:val="auto"/>
      <w:spacing w:val="-6"/>
      <w:sz w:val="26"/>
      <w:szCs w:val="24"/>
    </w:rPr>
  </w:style>
  <w:style w:type="numbering" w:customStyle="1" w:styleId="Numbers">
    <w:name w:val="Numbers"/>
    <w:basedOn w:val="NoList"/>
    <w:rsid w:val="009E2359"/>
    <w:pPr>
      <w:numPr>
        <w:numId w:val="35"/>
      </w:numPr>
    </w:pPr>
  </w:style>
  <w:style w:type="paragraph" w:customStyle="1" w:styleId="Tabletitle">
    <w:name w:val="Table title"/>
    <w:basedOn w:val="Heading2"/>
    <w:next w:val="BodyText1"/>
    <w:rsid w:val="009E2359"/>
    <w:pPr>
      <w:keepNext w:val="0"/>
      <w:numPr>
        <w:ilvl w:val="8"/>
        <w:numId w:val="34"/>
      </w:numPr>
      <w:spacing w:before="0" w:line="240" w:lineRule="auto"/>
    </w:pPr>
    <w:rPr>
      <w:rFonts w:cs="Times New Roman"/>
      <w:b/>
      <w:bCs w:val="0"/>
      <w:iCs w:val="0"/>
      <w:color w:val="auto"/>
      <w:spacing w:val="-6"/>
      <w:sz w:val="26"/>
      <w:szCs w:val="24"/>
    </w:rPr>
  </w:style>
  <w:style w:type="paragraph" w:customStyle="1" w:styleId="Notetitle">
    <w:name w:val="Note title"/>
    <w:basedOn w:val="Heading2"/>
    <w:rsid w:val="009E2359"/>
    <w:pPr>
      <w:keepNext w:val="0"/>
      <w:numPr>
        <w:ilvl w:val="7"/>
        <w:numId w:val="34"/>
      </w:numPr>
      <w:spacing w:before="0" w:line="240" w:lineRule="auto"/>
    </w:pPr>
    <w:rPr>
      <w:rFonts w:cs="Times New Roman"/>
      <w:b/>
      <w:bCs w:val="0"/>
      <w:iCs w:val="0"/>
      <w:color w:val="auto"/>
      <w:spacing w:val="-6"/>
      <w:sz w:val="26"/>
      <w:szCs w:val="26"/>
    </w:rPr>
  </w:style>
  <w:style w:type="paragraph" w:customStyle="1" w:styleId="Numberedpara1stindent">
    <w:name w:val="Numbered para (1st indent)"/>
    <w:basedOn w:val="BodyText1"/>
    <w:rsid w:val="009E2359"/>
    <w:pPr>
      <w:numPr>
        <w:ilvl w:val="3"/>
        <w:numId w:val="34"/>
      </w:numPr>
    </w:pPr>
    <w:rPr>
      <w:iCs w:val="0"/>
      <w:szCs w:val="24"/>
    </w:rPr>
  </w:style>
  <w:style w:type="paragraph" w:customStyle="1" w:styleId="Numberedpara2ndindent">
    <w:name w:val="Numbered para (2nd indent)"/>
    <w:basedOn w:val="BodyText1"/>
    <w:rsid w:val="009E2359"/>
    <w:pPr>
      <w:numPr>
        <w:ilvl w:val="4"/>
        <w:numId w:val="34"/>
      </w:numPr>
    </w:pPr>
    <w:rPr>
      <w:iCs w:val="0"/>
      <w:szCs w:val="24"/>
    </w:rPr>
  </w:style>
  <w:style w:type="paragraph" w:customStyle="1" w:styleId="Numberedpara3rdindent">
    <w:name w:val="Numbered para (3rd indent)"/>
    <w:basedOn w:val="BodyText1"/>
    <w:rsid w:val="009E2359"/>
    <w:pPr>
      <w:numPr>
        <w:ilvl w:val="5"/>
        <w:numId w:val="34"/>
      </w:numPr>
    </w:pPr>
    <w:rPr>
      <w:i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16283113">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4127796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96221333">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7667615">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88782861">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094274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65818315">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4956067">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25169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eader" Target="header4.xml"/><Relationship Id="rId26" Type="http://schemas.openxmlformats.org/officeDocument/2006/relationships/hyperlink" Target="https://www.grants.gov.au/?event=public.home" TargetMode="External"/><Relationship Id="rId39" Type="http://schemas.openxmlformats.org/officeDocument/2006/relationships/hyperlink" Target="file://prod.protected.ind/User/user03/LLau2/insert%20link%20here" TargetMode="External"/><Relationship Id="rId21" Type="http://schemas.openxmlformats.org/officeDocument/2006/relationships/hyperlink" Target="https://www.communitygrants.gov.au/" TargetMode="External"/><Relationship Id="rId34" Type="http://schemas.openxmlformats.org/officeDocument/2006/relationships/hyperlink" Target="https://www.communitygrants.gov.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budget.gov.au/2018-19/content/pbs/index.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grants.gov.au" TargetMode="External"/><Relationship Id="rId33" Type="http://schemas.openxmlformats.org/officeDocument/2006/relationships/hyperlink" Target="https://www.grants.gov.au/" TargetMode="External"/><Relationship Id="rId38" Type="http://schemas.openxmlformats.org/officeDocument/2006/relationships/hyperlink" Target="https://www.ato.gov.au/"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grants.gov.au/" TargetMode="External"/><Relationship Id="rId29" Type="http://schemas.openxmlformats.org/officeDocument/2006/relationships/hyperlink" Target="https://www.grants.gov.au/?event=public.home" TargetMode="External"/><Relationship Id="rId41" Type="http://schemas.openxmlformats.org/officeDocument/2006/relationships/hyperlink" Target="https://www.communitygrants.gov.au/" TargetMode="External"/><Relationship Id="rId54"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 TargetMode="External"/><Relationship Id="rId40" Type="http://schemas.openxmlformats.org/officeDocument/2006/relationships/hyperlink" Target="https://www.grants.gov.au/?event=public.GO.list"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finance.gov.au/sites/default/files/commonwealth-grants-rules-and-guidelines.pdf"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mdba.gov.au/publications/mdba-reports/southern-basin-community-profiles" TargetMode="External"/><Relationship Id="rId28" Type="http://schemas.openxmlformats.org/officeDocument/2006/relationships/hyperlink" Target="https://www.grants.gov.au/?event=public.home" TargetMode="External"/><Relationship Id="rId36" Type="http://schemas.openxmlformats.org/officeDocument/2006/relationships/hyperlink" Target="https://www.finance.gov.au/sites/default/files/commonwealth-grants-rules-and-guidelines.pdf" TargetMode="External"/><Relationship Id="rId49" Type="http://schemas.openxmlformats.org/officeDocument/2006/relationships/hyperlink" Target="https://www.legislation.gov.au/Details/C2014C00076"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support@communitygrants.gov.au" TargetMode="External"/><Relationship Id="rId44" Type="http://schemas.openxmlformats.org/officeDocument/2006/relationships/hyperlink" Target="http://www.ombudsman.gov.au" TargetMode="External"/><Relationship Id="rId52"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mdba.gov.au/publications/mdba-reports/NBreview-social-economic-condition-reports" TargetMode="External"/><Relationship Id="rId27" Type="http://schemas.openxmlformats.org/officeDocument/2006/relationships/hyperlink" Target="https://www.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finance.gov.au/sites/default/files/commonwealth-grants-rules-and-guidelines-July2014.pdf"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s://www.finance.gov.au/resource-management/governance/" TargetMode="Externa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606D"/>
    <w:rsid w:val="000219A8"/>
    <w:rsid w:val="00030888"/>
    <w:rsid w:val="00047593"/>
    <w:rsid w:val="000660FF"/>
    <w:rsid w:val="00071798"/>
    <w:rsid w:val="0007740B"/>
    <w:rsid w:val="000A35DD"/>
    <w:rsid w:val="000D7768"/>
    <w:rsid w:val="000F772A"/>
    <w:rsid w:val="00102082"/>
    <w:rsid w:val="0011541E"/>
    <w:rsid w:val="00131AF8"/>
    <w:rsid w:val="00131C76"/>
    <w:rsid w:val="00146CF1"/>
    <w:rsid w:val="00184057"/>
    <w:rsid w:val="001874E2"/>
    <w:rsid w:val="001A07CD"/>
    <w:rsid w:val="001D19C2"/>
    <w:rsid w:val="001D6595"/>
    <w:rsid w:val="001D7A2B"/>
    <w:rsid w:val="001F735A"/>
    <w:rsid w:val="00204B5D"/>
    <w:rsid w:val="00205AE4"/>
    <w:rsid w:val="0022397D"/>
    <w:rsid w:val="00232CBA"/>
    <w:rsid w:val="00256378"/>
    <w:rsid w:val="00257336"/>
    <w:rsid w:val="00266DDC"/>
    <w:rsid w:val="00267D81"/>
    <w:rsid w:val="00267E5F"/>
    <w:rsid w:val="00275662"/>
    <w:rsid w:val="00287FAB"/>
    <w:rsid w:val="00297073"/>
    <w:rsid w:val="002A7BA7"/>
    <w:rsid w:val="002B4E5B"/>
    <w:rsid w:val="002B6F21"/>
    <w:rsid w:val="002D31BB"/>
    <w:rsid w:val="00303A15"/>
    <w:rsid w:val="003075AB"/>
    <w:rsid w:val="00391F0F"/>
    <w:rsid w:val="003969DB"/>
    <w:rsid w:val="003D1F7D"/>
    <w:rsid w:val="003F2417"/>
    <w:rsid w:val="003F46F5"/>
    <w:rsid w:val="004012A8"/>
    <w:rsid w:val="00405878"/>
    <w:rsid w:val="00405EC3"/>
    <w:rsid w:val="00420B2B"/>
    <w:rsid w:val="00420CE9"/>
    <w:rsid w:val="00432514"/>
    <w:rsid w:val="0045165D"/>
    <w:rsid w:val="004618DC"/>
    <w:rsid w:val="00466819"/>
    <w:rsid w:val="00467616"/>
    <w:rsid w:val="004917E4"/>
    <w:rsid w:val="00491EAB"/>
    <w:rsid w:val="004C5BB6"/>
    <w:rsid w:val="004D64F8"/>
    <w:rsid w:val="004E2075"/>
    <w:rsid w:val="004E7CAB"/>
    <w:rsid w:val="00507096"/>
    <w:rsid w:val="005321DB"/>
    <w:rsid w:val="00533CA6"/>
    <w:rsid w:val="00543D3F"/>
    <w:rsid w:val="00545695"/>
    <w:rsid w:val="00547973"/>
    <w:rsid w:val="0056781E"/>
    <w:rsid w:val="00573B84"/>
    <w:rsid w:val="005775C8"/>
    <w:rsid w:val="00582EAF"/>
    <w:rsid w:val="005A07E5"/>
    <w:rsid w:val="005A7688"/>
    <w:rsid w:val="005E65D2"/>
    <w:rsid w:val="005F2C75"/>
    <w:rsid w:val="00603511"/>
    <w:rsid w:val="00617C4F"/>
    <w:rsid w:val="0062631E"/>
    <w:rsid w:val="00626C0A"/>
    <w:rsid w:val="00642D3B"/>
    <w:rsid w:val="006573B9"/>
    <w:rsid w:val="00660762"/>
    <w:rsid w:val="00667D50"/>
    <w:rsid w:val="006726A6"/>
    <w:rsid w:val="0067338C"/>
    <w:rsid w:val="00682254"/>
    <w:rsid w:val="00691E9F"/>
    <w:rsid w:val="006C6952"/>
    <w:rsid w:val="006C7393"/>
    <w:rsid w:val="006D11E1"/>
    <w:rsid w:val="006F1D58"/>
    <w:rsid w:val="006F3FF3"/>
    <w:rsid w:val="00701DD5"/>
    <w:rsid w:val="0070249A"/>
    <w:rsid w:val="00712240"/>
    <w:rsid w:val="00714E10"/>
    <w:rsid w:val="00726777"/>
    <w:rsid w:val="0073578B"/>
    <w:rsid w:val="00745610"/>
    <w:rsid w:val="0077635D"/>
    <w:rsid w:val="00777DA7"/>
    <w:rsid w:val="007A0950"/>
    <w:rsid w:val="007B0E8B"/>
    <w:rsid w:val="007B517E"/>
    <w:rsid w:val="007C1B91"/>
    <w:rsid w:val="007E1D73"/>
    <w:rsid w:val="007E1FB5"/>
    <w:rsid w:val="007F340C"/>
    <w:rsid w:val="008125DB"/>
    <w:rsid w:val="00830C2A"/>
    <w:rsid w:val="008357F5"/>
    <w:rsid w:val="008B5A41"/>
    <w:rsid w:val="008C7A00"/>
    <w:rsid w:val="008D32AC"/>
    <w:rsid w:val="008E71B5"/>
    <w:rsid w:val="00901F89"/>
    <w:rsid w:val="00930BC4"/>
    <w:rsid w:val="00940252"/>
    <w:rsid w:val="0094366C"/>
    <w:rsid w:val="009518D1"/>
    <w:rsid w:val="00954EF5"/>
    <w:rsid w:val="00955C19"/>
    <w:rsid w:val="00960661"/>
    <w:rsid w:val="00984EB0"/>
    <w:rsid w:val="00991294"/>
    <w:rsid w:val="00994045"/>
    <w:rsid w:val="009B2426"/>
    <w:rsid w:val="009E4C16"/>
    <w:rsid w:val="009F6C90"/>
    <w:rsid w:val="00A036A5"/>
    <w:rsid w:val="00A12344"/>
    <w:rsid w:val="00A1591D"/>
    <w:rsid w:val="00A52D16"/>
    <w:rsid w:val="00A82A0F"/>
    <w:rsid w:val="00A8492E"/>
    <w:rsid w:val="00A90126"/>
    <w:rsid w:val="00A94248"/>
    <w:rsid w:val="00AA7D28"/>
    <w:rsid w:val="00AB1A10"/>
    <w:rsid w:val="00AF29F7"/>
    <w:rsid w:val="00AF3F81"/>
    <w:rsid w:val="00AF62FF"/>
    <w:rsid w:val="00B10E67"/>
    <w:rsid w:val="00B27EDD"/>
    <w:rsid w:val="00B821C1"/>
    <w:rsid w:val="00BB44E9"/>
    <w:rsid w:val="00BC1D4F"/>
    <w:rsid w:val="00BC219B"/>
    <w:rsid w:val="00BD4A9E"/>
    <w:rsid w:val="00BD553E"/>
    <w:rsid w:val="00BE193D"/>
    <w:rsid w:val="00BF0741"/>
    <w:rsid w:val="00BF10FB"/>
    <w:rsid w:val="00C10E4C"/>
    <w:rsid w:val="00C24B73"/>
    <w:rsid w:val="00C2738A"/>
    <w:rsid w:val="00C536DE"/>
    <w:rsid w:val="00C761A5"/>
    <w:rsid w:val="00C83821"/>
    <w:rsid w:val="00C85216"/>
    <w:rsid w:val="00C8774C"/>
    <w:rsid w:val="00C93610"/>
    <w:rsid w:val="00CF3EAA"/>
    <w:rsid w:val="00D13612"/>
    <w:rsid w:val="00D96834"/>
    <w:rsid w:val="00DA47B3"/>
    <w:rsid w:val="00DC2784"/>
    <w:rsid w:val="00DE3B7D"/>
    <w:rsid w:val="00DE71A7"/>
    <w:rsid w:val="00DF3458"/>
    <w:rsid w:val="00E11D2E"/>
    <w:rsid w:val="00E17E29"/>
    <w:rsid w:val="00E46F10"/>
    <w:rsid w:val="00E57DD5"/>
    <w:rsid w:val="00E75E70"/>
    <w:rsid w:val="00E9147E"/>
    <w:rsid w:val="00ED3250"/>
    <w:rsid w:val="00EE7809"/>
    <w:rsid w:val="00F11230"/>
    <w:rsid w:val="00F465E8"/>
    <w:rsid w:val="00F517A0"/>
    <w:rsid w:val="00F570E4"/>
    <w:rsid w:val="00F80090"/>
    <w:rsid w:val="00F87035"/>
    <w:rsid w:val="00FB5F0C"/>
    <w:rsid w:val="00FB79BF"/>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BEB931A4-D02F-4A27-9F2B-132B19E0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9000</Words>
  <Characters>51302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Murray-Darling Basin Economic Development Program Guidelines</vt:lpstr>
    </vt:vector>
  </TitlesOfParts>
  <Company>Industry</Company>
  <LinksUpToDate>false</LinksUpToDate>
  <CharactersWithSpaces>60182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Economic Development Program Guidelines</dc:title>
  <dc:creator>Industry</dc:creator>
  <cp:lastModifiedBy>WORKMAN, Reid</cp:lastModifiedBy>
  <cp:revision>2</cp:revision>
  <cp:lastPrinted>2019-01-25T05:49:00Z</cp:lastPrinted>
  <dcterms:created xsi:type="dcterms:W3CDTF">2019-02-04T04:40:00Z</dcterms:created>
  <dcterms:modified xsi:type="dcterms:W3CDTF">2019-02-04T04:40:00Z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