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B7B" w:rsidRDefault="008E204B" w:rsidP="00CC1B7B">
      <w:pPr>
        <w:pStyle w:val="Title"/>
        <w:rPr>
          <w:rFonts w:ascii="Arial" w:hAnsi="Arial"/>
          <w:color w:val="auto"/>
          <w:sz w:val="44"/>
          <w:szCs w:val="44"/>
        </w:rPr>
      </w:pPr>
      <w:r w:rsidRPr="008E204B">
        <w:rPr>
          <w:sz w:val="44"/>
          <w:szCs w:val="44"/>
        </w:rPr>
        <w:t xml:space="preserve">Murray-Darling Basin Economic Development </w:t>
      </w:r>
      <w:r>
        <w:rPr>
          <w:sz w:val="44"/>
          <w:szCs w:val="44"/>
        </w:rPr>
        <w:t xml:space="preserve">Grants </w:t>
      </w:r>
      <w:r w:rsidRPr="008E204B">
        <w:rPr>
          <w:sz w:val="44"/>
          <w:szCs w:val="44"/>
        </w:rPr>
        <w:t xml:space="preserve">Program </w:t>
      </w:r>
    </w:p>
    <w:p w:rsidR="00CC1B7B" w:rsidRDefault="00CC1B7B" w:rsidP="00CC1B7B">
      <w:pPr>
        <w:rPr>
          <w:sz w:val="40"/>
          <w:szCs w:val="40"/>
        </w:rPr>
      </w:pPr>
      <w:r>
        <w:rPr>
          <w:sz w:val="40"/>
          <w:szCs w:val="40"/>
        </w:rPr>
        <w:t xml:space="preserve">Questions and Answers </w:t>
      </w:r>
    </w:p>
    <w:p w:rsidR="00CC1B7B" w:rsidRPr="00032A8E" w:rsidRDefault="0024454A" w:rsidP="00046AC0">
      <w:pPr>
        <w:pStyle w:val="Heading2"/>
        <w:numPr>
          <w:ilvl w:val="0"/>
          <w:numId w:val="6"/>
        </w:numPr>
        <w:ind w:left="426" w:hanging="426"/>
        <w:rPr>
          <w:rFonts w:eastAsia="Calibri" w:cstheme="majorHAnsi"/>
          <w:sz w:val="22"/>
          <w:szCs w:val="22"/>
        </w:rPr>
      </w:pPr>
      <w:r w:rsidRPr="00032A8E">
        <w:rPr>
          <w:rFonts w:eastAsia="Calibri" w:cstheme="majorHAnsi"/>
          <w:sz w:val="22"/>
          <w:szCs w:val="22"/>
        </w:rPr>
        <w:t xml:space="preserve">What </w:t>
      </w:r>
      <w:r w:rsidR="00CC1B7B" w:rsidRPr="00032A8E">
        <w:rPr>
          <w:rFonts w:eastAsia="Calibri" w:cstheme="majorHAnsi"/>
          <w:sz w:val="22"/>
          <w:szCs w:val="22"/>
        </w:rPr>
        <w:t>is the closing time and date for applications?</w:t>
      </w:r>
    </w:p>
    <w:p w:rsidR="008E51C9" w:rsidRPr="00032A8E" w:rsidRDefault="00032A8E" w:rsidP="008E51C9">
      <w:pPr>
        <w:ind w:left="426"/>
        <w:rPr>
          <w:rFonts w:asciiTheme="majorHAnsi" w:hAnsiTheme="majorHAnsi" w:cstheme="majorHAnsi"/>
        </w:rPr>
      </w:pPr>
      <w:r w:rsidRPr="00032A8E">
        <w:rPr>
          <w:rFonts w:asciiTheme="majorHAnsi" w:hAnsiTheme="majorHAnsi" w:cstheme="majorHAnsi"/>
          <w:lang w:val="en" w:eastAsia="en-AU"/>
        </w:rPr>
        <w:t>The application f</w:t>
      </w:r>
      <w:r w:rsidR="006A25A1" w:rsidRPr="00032A8E">
        <w:rPr>
          <w:rFonts w:asciiTheme="majorHAnsi" w:hAnsiTheme="majorHAnsi" w:cstheme="majorHAnsi"/>
          <w:lang w:val="en" w:eastAsia="en-AU"/>
        </w:rPr>
        <w:t xml:space="preserve">orm must be submitted by </w:t>
      </w:r>
      <w:r w:rsidR="006A25A1" w:rsidRPr="00032A8E">
        <w:rPr>
          <w:rFonts w:asciiTheme="majorHAnsi" w:hAnsiTheme="majorHAnsi" w:cstheme="majorHAnsi"/>
          <w:b/>
          <w:lang w:val="en" w:eastAsia="en-AU"/>
        </w:rPr>
        <w:t>11.00pm AEDT on 10 March 2019</w:t>
      </w:r>
      <w:r w:rsidR="006A25A1" w:rsidRPr="00032A8E">
        <w:rPr>
          <w:rFonts w:asciiTheme="majorHAnsi" w:hAnsiTheme="majorHAnsi" w:cstheme="majorHAnsi"/>
          <w:lang w:val="en" w:eastAsia="en-AU"/>
        </w:rPr>
        <w:t>.</w:t>
      </w:r>
      <w:r w:rsidR="0024454A" w:rsidRPr="00032A8E">
        <w:rPr>
          <w:rFonts w:asciiTheme="majorHAnsi" w:hAnsiTheme="majorHAnsi" w:cstheme="majorHAnsi"/>
          <w:lang w:val="en" w:eastAsia="en-AU"/>
        </w:rPr>
        <w:t xml:space="preserve"> </w:t>
      </w:r>
      <w:r w:rsidR="00CC1B7B" w:rsidRPr="00032A8E">
        <w:rPr>
          <w:rFonts w:asciiTheme="majorHAnsi" w:hAnsiTheme="majorHAnsi" w:cstheme="majorHAnsi"/>
          <w:lang w:val="en" w:eastAsia="en-AU"/>
        </w:rPr>
        <w:t>It is</w:t>
      </w:r>
      <w:r w:rsidR="00772AC7" w:rsidRPr="00032A8E">
        <w:rPr>
          <w:rFonts w:asciiTheme="majorHAnsi" w:hAnsiTheme="majorHAnsi" w:cstheme="majorHAnsi"/>
          <w:lang w:val="en" w:eastAsia="en-AU"/>
        </w:rPr>
        <w:t xml:space="preserve"> </w:t>
      </w:r>
      <w:r w:rsidR="00CC1B7B" w:rsidRPr="00032A8E">
        <w:rPr>
          <w:rFonts w:asciiTheme="majorHAnsi" w:hAnsiTheme="majorHAnsi" w:cstheme="majorHAnsi"/>
          <w:lang w:val="en" w:eastAsia="en-AU"/>
        </w:rPr>
        <w:t xml:space="preserve">recommended that you submit your application </w:t>
      </w:r>
      <w:r w:rsidR="00CC1B7B" w:rsidRPr="00032A8E">
        <w:rPr>
          <w:rFonts w:asciiTheme="majorHAnsi" w:hAnsiTheme="majorHAnsi" w:cstheme="majorHAnsi"/>
          <w:b/>
          <w:lang w:val="en" w:eastAsia="en-AU"/>
        </w:rPr>
        <w:t>well before the closing time and date</w:t>
      </w:r>
      <w:r w:rsidR="00CC1B7B" w:rsidRPr="00032A8E">
        <w:rPr>
          <w:rFonts w:asciiTheme="majorHAnsi" w:hAnsiTheme="majorHAnsi" w:cstheme="majorHAnsi"/>
          <w:lang w:val="en" w:eastAsia="en-AU"/>
        </w:rPr>
        <w:t>.</w:t>
      </w:r>
    </w:p>
    <w:p w:rsidR="00CC1B7B" w:rsidRPr="00032A8E" w:rsidRDefault="00CC1B7B" w:rsidP="00046AC0">
      <w:pPr>
        <w:pStyle w:val="Heading2"/>
        <w:numPr>
          <w:ilvl w:val="0"/>
          <w:numId w:val="6"/>
        </w:numPr>
        <w:ind w:left="426" w:hanging="426"/>
        <w:rPr>
          <w:rFonts w:eastAsia="Calibri" w:cstheme="majorHAnsi"/>
          <w:sz w:val="22"/>
          <w:szCs w:val="22"/>
        </w:rPr>
      </w:pPr>
      <w:r w:rsidRPr="00032A8E">
        <w:rPr>
          <w:rFonts w:eastAsia="Calibri" w:cstheme="majorHAnsi"/>
          <w:sz w:val="22"/>
          <w:szCs w:val="22"/>
        </w:rPr>
        <w:t>If I am not able to submit my application by the due time and date, can I be granted an extension?</w:t>
      </w:r>
    </w:p>
    <w:p w:rsidR="00CC1B7B" w:rsidRPr="00032A8E" w:rsidRDefault="00EB16DD" w:rsidP="00046AC0">
      <w:pPr>
        <w:ind w:left="426"/>
        <w:rPr>
          <w:rFonts w:asciiTheme="majorHAnsi" w:hAnsiTheme="majorHAnsi" w:cstheme="majorHAnsi"/>
          <w:b/>
          <w:color w:val="2C2A29"/>
          <w:lang w:val="en"/>
        </w:rPr>
      </w:pPr>
      <w:r w:rsidRPr="00032A8E">
        <w:rPr>
          <w:rFonts w:asciiTheme="majorHAnsi" w:hAnsiTheme="majorHAnsi" w:cstheme="majorHAnsi"/>
        </w:rPr>
        <w:t>We will not accept late applications unless an applicant has experienced exceptional circumstances that prevent the submission of the application. Exceptional circumstances will be considered on their merits and in accordance with probity principles.</w:t>
      </w:r>
    </w:p>
    <w:p w:rsidR="00CC1B7B" w:rsidRPr="00032A8E" w:rsidRDefault="00CC1B7B" w:rsidP="00046AC0">
      <w:pPr>
        <w:ind w:left="426"/>
        <w:rPr>
          <w:rFonts w:asciiTheme="majorHAnsi" w:hAnsiTheme="majorHAnsi" w:cstheme="majorHAnsi"/>
          <w:lang w:eastAsia="en-AU"/>
        </w:rPr>
      </w:pPr>
      <w:r w:rsidRPr="00032A8E">
        <w:rPr>
          <w:rFonts w:asciiTheme="majorHAnsi" w:hAnsiTheme="majorHAnsi" w:cstheme="majorHAnsi"/>
          <w:lang w:eastAsia="en-AU"/>
        </w:rPr>
        <w:t xml:space="preserve">If an application is late or the Community Grants Hub is requested to approve a lodgement after the closing date the </w:t>
      </w:r>
      <w:hyperlink r:id="rId9" w:tooltip="late application policy" w:history="1">
        <w:r w:rsidRPr="00032A8E">
          <w:rPr>
            <w:rFonts w:asciiTheme="majorHAnsi" w:hAnsiTheme="majorHAnsi" w:cstheme="majorHAnsi"/>
            <w:color w:val="0000FF"/>
            <w:u w:val="single"/>
            <w:lang w:eastAsia="en-AU"/>
          </w:rPr>
          <w:t>late application policy</w:t>
        </w:r>
      </w:hyperlink>
      <w:r w:rsidRPr="00032A8E">
        <w:rPr>
          <w:rFonts w:asciiTheme="majorHAnsi" w:hAnsiTheme="majorHAnsi" w:cstheme="majorHAnsi"/>
          <w:lang w:eastAsia="en-AU"/>
        </w:rPr>
        <w:t xml:space="preserve"> available on the Community Grants Hub website will apply.</w:t>
      </w:r>
    </w:p>
    <w:p w:rsidR="00CC1B7B" w:rsidRPr="00032A8E" w:rsidRDefault="00CC1B7B" w:rsidP="00046AC0">
      <w:pPr>
        <w:pStyle w:val="Heading2"/>
        <w:numPr>
          <w:ilvl w:val="0"/>
          <w:numId w:val="6"/>
        </w:numPr>
        <w:ind w:left="426" w:hanging="426"/>
        <w:rPr>
          <w:rFonts w:eastAsia="Calibri" w:cstheme="majorHAnsi"/>
          <w:sz w:val="22"/>
          <w:szCs w:val="22"/>
        </w:rPr>
      </w:pPr>
      <w:r w:rsidRPr="00032A8E">
        <w:rPr>
          <w:rFonts w:eastAsia="Calibri" w:cstheme="majorHAnsi"/>
          <w:sz w:val="22"/>
          <w:szCs w:val="22"/>
        </w:rPr>
        <w:t xml:space="preserve">How much funding is available for this </w:t>
      </w:r>
      <w:r w:rsidR="00032A8E" w:rsidRPr="00032A8E">
        <w:rPr>
          <w:rFonts w:eastAsia="Calibri" w:cstheme="majorHAnsi"/>
          <w:sz w:val="22"/>
          <w:szCs w:val="22"/>
        </w:rPr>
        <w:t>p</w:t>
      </w:r>
      <w:r w:rsidRPr="00032A8E">
        <w:rPr>
          <w:rFonts w:eastAsia="Calibri" w:cstheme="majorHAnsi"/>
          <w:sz w:val="22"/>
          <w:szCs w:val="22"/>
        </w:rPr>
        <w:t>rogram?</w:t>
      </w:r>
    </w:p>
    <w:p w:rsidR="00CC1B7B" w:rsidRPr="00032A8E" w:rsidRDefault="0090564E" w:rsidP="00046AC0">
      <w:pPr>
        <w:ind w:left="426"/>
        <w:rPr>
          <w:rFonts w:asciiTheme="majorHAnsi" w:hAnsiTheme="majorHAnsi" w:cstheme="majorHAnsi"/>
        </w:rPr>
      </w:pPr>
      <w:r w:rsidRPr="00032A8E">
        <w:rPr>
          <w:rFonts w:asciiTheme="majorHAnsi" w:hAnsiTheme="majorHAnsi" w:cstheme="majorHAnsi"/>
        </w:rPr>
        <w:t xml:space="preserve">Under the program, up to $20 million (GST exclusive) is available. Fifteen communities have been identified as eligible under the program and a notional allocation of around $1 million (GST exclusive) is available </w:t>
      </w:r>
      <w:r w:rsidR="008E51C9" w:rsidRPr="00032A8E">
        <w:rPr>
          <w:rFonts w:asciiTheme="majorHAnsi" w:hAnsiTheme="majorHAnsi" w:cstheme="majorHAnsi"/>
        </w:rPr>
        <w:t xml:space="preserve">in each eligible community </w:t>
      </w:r>
      <w:r w:rsidRPr="00032A8E">
        <w:rPr>
          <w:rFonts w:asciiTheme="majorHAnsi" w:hAnsiTheme="majorHAnsi" w:cstheme="majorHAnsi"/>
        </w:rPr>
        <w:t xml:space="preserve">for </w:t>
      </w:r>
      <w:r w:rsidR="008E51C9" w:rsidRPr="00032A8E">
        <w:rPr>
          <w:rFonts w:asciiTheme="majorHAnsi" w:hAnsiTheme="majorHAnsi" w:cstheme="majorHAnsi"/>
        </w:rPr>
        <w:t xml:space="preserve">grants that deliver </w:t>
      </w:r>
      <w:r w:rsidRPr="00032A8E">
        <w:rPr>
          <w:rFonts w:asciiTheme="majorHAnsi" w:hAnsiTheme="majorHAnsi" w:cstheme="majorHAnsi"/>
        </w:rPr>
        <w:t>econo</w:t>
      </w:r>
      <w:bookmarkStart w:id="0" w:name="_GoBack"/>
      <w:bookmarkEnd w:id="0"/>
      <w:r w:rsidRPr="00032A8E">
        <w:rPr>
          <w:rFonts w:asciiTheme="majorHAnsi" w:hAnsiTheme="majorHAnsi" w:cstheme="majorHAnsi"/>
        </w:rPr>
        <w:t>mic development</w:t>
      </w:r>
      <w:r w:rsidR="00EB16DD" w:rsidRPr="00032A8E">
        <w:rPr>
          <w:rFonts w:asciiTheme="majorHAnsi" w:hAnsiTheme="majorHAnsi" w:cstheme="majorHAnsi"/>
        </w:rPr>
        <w:t xml:space="preserve"> projects</w:t>
      </w:r>
      <w:r w:rsidRPr="00032A8E">
        <w:rPr>
          <w:rFonts w:asciiTheme="majorHAnsi" w:hAnsiTheme="majorHAnsi" w:cstheme="majorHAnsi"/>
        </w:rPr>
        <w:t>.</w:t>
      </w:r>
    </w:p>
    <w:p w:rsidR="0090564E" w:rsidRPr="00032A8E" w:rsidRDefault="0090564E" w:rsidP="00046AC0">
      <w:pPr>
        <w:ind w:left="426"/>
        <w:rPr>
          <w:rFonts w:asciiTheme="majorHAnsi" w:hAnsiTheme="majorHAnsi" w:cstheme="majorHAnsi"/>
        </w:rPr>
      </w:pPr>
      <w:r w:rsidRPr="00032A8E">
        <w:rPr>
          <w:rFonts w:asciiTheme="majorHAnsi" w:hAnsiTheme="majorHAnsi" w:cstheme="majorHAnsi"/>
        </w:rPr>
        <w:t xml:space="preserve">A minimum and maximum amount has been set for each eligible project. The set minimum amount is $10,000 (GST exclusive) and the maximum amount is $500,000 (GST exclusive).  </w:t>
      </w:r>
    </w:p>
    <w:p w:rsidR="0090564E" w:rsidRPr="00032A8E" w:rsidRDefault="00EB16DD" w:rsidP="00046AC0">
      <w:pPr>
        <w:ind w:left="426"/>
        <w:rPr>
          <w:rFonts w:asciiTheme="majorHAnsi" w:hAnsiTheme="majorHAnsi" w:cstheme="majorHAnsi"/>
        </w:rPr>
      </w:pPr>
      <w:r w:rsidRPr="00032A8E">
        <w:rPr>
          <w:rFonts w:asciiTheme="majorHAnsi" w:hAnsiTheme="majorHAnsi" w:cstheme="majorHAnsi"/>
        </w:rPr>
        <w:t>An application for grant funding below the set minimum amount will be deemed ineligible and the application will not be assessed. Applications above the maximum amount may be considered if there are funds available for an eligible community.</w:t>
      </w:r>
    </w:p>
    <w:p w:rsidR="00AF4D37" w:rsidRPr="00032A8E" w:rsidRDefault="00AF4D37" w:rsidP="00046AC0">
      <w:pPr>
        <w:ind w:left="426"/>
        <w:rPr>
          <w:rFonts w:asciiTheme="majorHAnsi" w:hAnsiTheme="majorHAnsi" w:cstheme="majorHAnsi"/>
        </w:rPr>
      </w:pPr>
      <w:r w:rsidRPr="00032A8E">
        <w:rPr>
          <w:rFonts w:asciiTheme="majorHAnsi" w:hAnsiTheme="majorHAnsi" w:cstheme="majorHAnsi"/>
        </w:rPr>
        <w:t>Financial co-contributions are encouraged and welcome but are not a requirement for being successful. Applicants can also utilise other government program funding. In the latter case, applicants should note that such investment must be for additional activities and for complementary purposes to the objectives of this program and we cannot provide a grant if you receive funding from another source for the same purpose.</w:t>
      </w:r>
    </w:p>
    <w:p w:rsidR="00CC1B7B" w:rsidRPr="00032A8E" w:rsidRDefault="00CC1B7B" w:rsidP="00046AC0">
      <w:pPr>
        <w:pStyle w:val="Heading2"/>
        <w:numPr>
          <w:ilvl w:val="0"/>
          <w:numId w:val="6"/>
        </w:numPr>
        <w:ind w:left="426" w:hanging="426"/>
        <w:rPr>
          <w:rFonts w:eastAsia="Calibri" w:cstheme="majorHAnsi"/>
          <w:color w:val="auto"/>
          <w:sz w:val="22"/>
          <w:szCs w:val="22"/>
        </w:rPr>
      </w:pPr>
      <w:r w:rsidRPr="00032A8E">
        <w:rPr>
          <w:rFonts w:eastAsia="Calibri" w:cstheme="majorHAnsi"/>
          <w:color w:val="auto"/>
          <w:sz w:val="22"/>
          <w:szCs w:val="22"/>
        </w:rPr>
        <w:lastRenderedPageBreak/>
        <w:t>Is the funding on-going?</w:t>
      </w:r>
    </w:p>
    <w:p w:rsidR="00E94149" w:rsidRPr="00032A8E" w:rsidRDefault="0090564E" w:rsidP="00046AC0">
      <w:pPr>
        <w:ind w:left="426"/>
        <w:rPr>
          <w:rFonts w:asciiTheme="majorHAnsi" w:hAnsiTheme="majorHAnsi" w:cstheme="majorHAnsi"/>
        </w:rPr>
      </w:pPr>
      <w:proofErr w:type="gramStart"/>
      <w:r w:rsidRPr="00032A8E">
        <w:rPr>
          <w:rFonts w:asciiTheme="majorHAnsi" w:hAnsiTheme="majorHAnsi" w:cstheme="majorHAnsi"/>
        </w:rPr>
        <w:t>No,</w:t>
      </w:r>
      <w:r w:rsidR="005B578B">
        <w:rPr>
          <w:rFonts w:asciiTheme="majorHAnsi" w:hAnsiTheme="majorHAnsi" w:cstheme="majorHAnsi"/>
        </w:rPr>
        <w:t xml:space="preserve"> </w:t>
      </w:r>
      <w:r w:rsidRPr="00032A8E">
        <w:rPr>
          <w:rFonts w:asciiTheme="majorHAnsi" w:hAnsiTheme="majorHAnsi" w:cstheme="majorHAnsi"/>
        </w:rPr>
        <w:t>funding is not ongoing</w:t>
      </w:r>
      <w:r w:rsidR="007B744D" w:rsidRPr="00032A8E">
        <w:rPr>
          <w:rFonts w:asciiTheme="majorHAnsi" w:hAnsiTheme="majorHAnsi" w:cstheme="majorHAnsi"/>
        </w:rPr>
        <w:t xml:space="preserve"> and will conclude at the end of financial year 2021-22</w:t>
      </w:r>
      <w:r w:rsidRPr="00032A8E">
        <w:rPr>
          <w:rFonts w:asciiTheme="majorHAnsi" w:hAnsiTheme="majorHAnsi" w:cstheme="majorHAnsi"/>
        </w:rPr>
        <w:t>.</w:t>
      </w:r>
      <w:proofErr w:type="gramEnd"/>
      <w:r w:rsidRPr="00032A8E">
        <w:rPr>
          <w:rFonts w:asciiTheme="majorHAnsi" w:hAnsiTheme="majorHAnsi" w:cstheme="majorHAnsi"/>
        </w:rPr>
        <w:t xml:space="preserve">  </w:t>
      </w:r>
    </w:p>
    <w:p w:rsidR="007B744D" w:rsidRPr="00032A8E" w:rsidRDefault="007B744D" w:rsidP="007B744D">
      <w:pPr>
        <w:pStyle w:val="Heading2"/>
        <w:numPr>
          <w:ilvl w:val="0"/>
          <w:numId w:val="6"/>
        </w:numPr>
        <w:ind w:left="426" w:hanging="426"/>
        <w:rPr>
          <w:rFonts w:eastAsia="Calibri" w:cstheme="majorHAnsi"/>
          <w:color w:val="auto"/>
          <w:sz w:val="22"/>
          <w:szCs w:val="22"/>
        </w:rPr>
      </w:pPr>
      <w:r w:rsidRPr="00032A8E">
        <w:rPr>
          <w:rFonts w:eastAsia="Calibri" w:cstheme="majorHAnsi"/>
          <w:color w:val="auto"/>
          <w:sz w:val="22"/>
          <w:szCs w:val="22"/>
        </w:rPr>
        <w:t>Is the program over three or four financial years?</w:t>
      </w:r>
    </w:p>
    <w:p w:rsidR="007B744D" w:rsidRPr="00032A8E" w:rsidRDefault="007B744D" w:rsidP="00046AC0">
      <w:pPr>
        <w:ind w:left="426"/>
        <w:rPr>
          <w:rFonts w:asciiTheme="majorHAnsi" w:hAnsiTheme="majorHAnsi" w:cstheme="majorHAnsi"/>
        </w:rPr>
      </w:pPr>
      <w:r w:rsidRPr="00032A8E">
        <w:rPr>
          <w:rFonts w:asciiTheme="majorHAnsi" w:hAnsiTheme="majorHAnsi" w:cstheme="majorHAnsi"/>
        </w:rPr>
        <w:t xml:space="preserve">Funding is available for projects over four financial years from 2018-19 to 2021-22. </w:t>
      </w:r>
      <w:r w:rsidR="00267471" w:rsidRPr="00032A8E">
        <w:rPr>
          <w:rFonts w:asciiTheme="majorHAnsi" w:hAnsiTheme="majorHAnsi" w:cstheme="majorHAnsi"/>
        </w:rPr>
        <w:t xml:space="preserve">There may be limited funding expended in 2018-19 due to the timing of the assessment and contract negotiation processes. </w:t>
      </w:r>
      <w:r w:rsidRPr="00032A8E">
        <w:rPr>
          <w:rFonts w:asciiTheme="majorHAnsi" w:hAnsiTheme="majorHAnsi" w:cstheme="majorHAnsi"/>
        </w:rPr>
        <w:t xml:space="preserve"> </w:t>
      </w:r>
    </w:p>
    <w:p w:rsidR="00CC1B7B" w:rsidRPr="00032A8E" w:rsidRDefault="00CC1B7B" w:rsidP="00046AC0">
      <w:pPr>
        <w:pStyle w:val="Heading2"/>
        <w:numPr>
          <w:ilvl w:val="0"/>
          <w:numId w:val="6"/>
        </w:numPr>
        <w:ind w:left="426" w:hanging="426"/>
        <w:rPr>
          <w:rFonts w:eastAsia="Calibri" w:cstheme="majorHAnsi"/>
          <w:sz w:val="22"/>
          <w:szCs w:val="22"/>
        </w:rPr>
      </w:pPr>
      <w:r w:rsidRPr="00032A8E">
        <w:rPr>
          <w:rFonts w:eastAsia="Calibri" w:cstheme="majorHAnsi"/>
          <w:sz w:val="22"/>
          <w:szCs w:val="22"/>
        </w:rPr>
        <w:t>How can I submit the Application Form?</w:t>
      </w:r>
    </w:p>
    <w:p w:rsidR="00CC1B7B" w:rsidRPr="00032A8E" w:rsidRDefault="00032A8E" w:rsidP="009052EF">
      <w:pPr>
        <w:ind w:left="426"/>
        <w:rPr>
          <w:rFonts w:asciiTheme="majorHAnsi" w:hAnsiTheme="majorHAnsi" w:cstheme="majorHAnsi"/>
          <w:lang w:eastAsia="en-AU"/>
        </w:rPr>
      </w:pPr>
      <w:r w:rsidRPr="00032A8E">
        <w:rPr>
          <w:rFonts w:asciiTheme="majorHAnsi" w:hAnsiTheme="majorHAnsi" w:cstheme="majorHAnsi"/>
          <w:lang w:eastAsia="en-AU"/>
        </w:rPr>
        <w:t>The form is an online application f</w:t>
      </w:r>
      <w:r w:rsidR="00CC1B7B" w:rsidRPr="00032A8E">
        <w:rPr>
          <w:rFonts w:asciiTheme="majorHAnsi" w:hAnsiTheme="majorHAnsi" w:cstheme="majorHAnsi"/>
          <w:lang w:eastAsia="en-AU"/>
        </w:rPr>
        <w:t>orm that you must submit electronically</w:t>
      </w:r>
      <w:r w:rsidR="0006095A" w:rsidRPr="00032A8E">
        <w:rPr>
          <w:rFonts w:asciiTheme="majorHAnsi" w:hAnsiTheme="majorHAnsi" w:cstheme="majorHAnsi"/>
          <w:lang w:eastAsia="en-AU"/>
        </w:rPr>
        <w:t xml:space="preserve"> via </w:t>
      </w:r>
      <w:hyperlink r:id="rId10" w:history="1">
        <w:r w:rsidR="0006095A" w:rsidRPr="00032A8E">
          <w:rPr>
            <w:rFonts w:asciiTheme="majorHAnsi" w:hAnsiTheme="majorHAnsi" w:cstheme="majorHAnsi"/>
            <w:lang w:eastAsia="en-AU"/>
          </w:rPr>
          <w:t>GrantConnect</w:t>
        </w:r>
      </w:hyperlink>
      <w:r w:rsidR="00CC1B7B" w:rsidRPr="00032A8E">
        <w:rPr>
          <w:rFonts w:asciiTheme="majorHAnsi" w:hAnsiTheme="majorHAnsi" w:cstheme="majorHAnsi"/>
          <w:lang w:eastAsia="en-AU"/>
        </w:rPr>
        <w:t xml:space="preserve">. The Community Grants Hub will not provide </w:t>
      </w:r>
      <w:r w:rsidR="008E51C9" w:rsidRPr="00032A8E">
        <w:rPr>
          <w:rFonts w:asciiTheme="majorHAnsi" w:hAnsiTheme="majorHAnsi" w:cstheme="majorHAnsi"/>
          <w:lang w:eastAsia="en-AU"/>
        </w:rPr>
        <w:t xml:space="preserve">hardcopy </w:t>
      </w:r>
      <w:r w:rsidR="00CC1B7B" w:rsidRPr="00032A8E">
        <w:rPr>
          <w:rFonts w:asciiTheme="majorHAnsi" w:hAnsiTheme="majorHAnsi" w:cstheme="majorHAnsi"/>
          <w:lang w:eastAsia="en-AU"/>
        </w:rPr>
        <w:t xml:space="preserve">application forms or accept application forms by fax, email or through Australia Post </w:t>
      </w:r>
      <w:r w:rsidRPr="00032A8E">
        <w:rPr>
          <w:rFonts w:asciiTheme="majorHAnsi" w:hAnsiTheme="majorHAnsi" w:cstheme="majorHAnsi"/>
          <w:lang w:eastAsia="en-AU"/>
        </w:rPr>
        <w:t>unless otherwise stated in the grant opportunity d</w:t>
      </w:r>
      <w:r w:rsidR="00CC1B7B" w:rsidRPr="00032A8E">
        <w:rPr>
          <w:rFonts w:asciiTheme="majorHAnsi" w:hAnsiTheme="majorHAnsi" w:cstheme="majorHAnsi"/>
          <w:lang w:eastAsia="en-AU"/>
        </w:rPr>
        <w:t>ocuments</w:t>
      </w:r>
      <w:r w:rsidR="0006095A" w:rsidRPr="00032A8E">
        <w:rPr>
          <w:rFonts w:asciiTheme="majorHAnsi" w:hAnsiTheme="majorHAnsi" w:cstheme="majorHAnsi"/>
          <w:lang w:eastAsia="en-AU"/>
        </w:rPr>
        <w:t>.</w:t>
      </w:r>
    </w:p>
    <w:p w:rsidR="00046AC0" w:rsidRPr="00032A8E" w:rsidRDefault="00046AC0" w:rsidP="00046AC0">
      <w:pPr>
        <w:pStyle w:val="Heading2"/>
        <w:numPr>
          <w:ilvl w:val="0"/>
          <w:numId w:val="6"/>
        </w:numPr>
        <w:ind w:left="426" w:hanging="426"/>
        <w:rPr>
          <w:rFonts w:eastAsia="Calibri" w:cstheme="majorHAnsi"/>
          <w:sz w:val="22"/>
          <w:szCs w:val="22"/>
        </w:rPr>
      </w:pPr>
      <w:r w:rsidRPr="00032A8E">
        <w:rPr>
          <w:rFonts w:eastAsia="Calibri" w:cstheme="majorHAnsi"/>
          <w:sz w:val="22"/>
          <w:szCs w:val="22"/>
        </w:rPr>
        <w:t xml:space="preserve">Do word limits apply to selection criteria? </w:t>
      </w:r>
    </w:p>
    <w:p w:rsidR="00046AC0" w:rsidRPr="00032A8E" w:rsidRDefault="00046AC0" w:rsidP="0024454A">
      <w:pPr>
        <w:ind w:left="426"/>
        <w:rPr>
          <w:rFonts w:asciiTheme="majorHAnsi" w:hAnsiTheme="majorHAnsi" w:cstheme="majorHAnsi"/>
          <w:lang w:eastAsia="en-AU"/>
        </w:rPr>
      </w:pPr>
      <w:r w:rsidRPr="00032A8E">
        <w:rPr>
          <w:rFonts w:asciiTheme="majorHAnsi" w:hAnsiTheme="majorHAnsi" w:cstheme="majorHAnsi"/>
          <w:lang w:eastAsia="en-AU"/>
        </w:rPr>
        <w:t xml:space="preserve">Yes, there is a limit of </w:t>
      </w:r>
      <w:r w:rsidR="008B2B58" w:rsidRPr="00032A8E">
        <w:rPr>
          <w:rFonts w:asciiTheme="majorHAnsi" w:hAnsiTheme="majorHAnsi" w:cstheme="majorHAnsi"/>
          <w:lang w:eastAsia="en-AU"/>
        </w:rPr>
        <w:t>6,000 characters</w:t>
      </w:r>
      <w:r w:rsidR="008B2B58" w:rsidRPr="00032A8E" w:rsidDel="0090564E">
        <w:rPr>
          <w:rFonts w:asciiTheme="majorHAnsi" w:hAnsiTheme="majorHAnsi" w:cstheme="majorHAnsi"/>
          <w:lang w:eastAsia="en-AU"/>
        </w:rPr>
        <w:t xml:space="preserve"> </w:t>
      </w:r>
      <w:r w:rsidR="008B2B58" w:rsidRPr="00032A8E">
        <w:rPr>
          <w:rFonts w:asciiTheme="majorHAnsi" w:hAnsiTheme="majorHAnsi" w:cstheme="majorHAnsi"/>
          <w:lang w:eastAsia="en-AU"/>
        </w:rPr>
        <w:t>(</w:t>
      </w:r>
      <w:r w:rsidR="0090564E" w:rsidRPr="00032A8E">
        <w:rPr>
          <w:rFonts w:asciiTheme="majorHAnsi" w:hAnsiTheme="majorHAnsi" w:cstheme="majorHAnsi"/>
          <w:lang w:eastAsia="en-AU"/>
        </w:rPr>
        <w:t xml:space="preserve">approximately 900 </w:t>
      </w:r>
      <w:r w:rsidRPr="00032A8E">
        <w:rPr>
          <w:rFonts w:asciiTheme="majorHAnsi" w:hAnsiTheme="majorHAnsi" w:cstheme="majorHAnsi"/>
          <w:lang w:eastAsia="en-AU"/>
        </w:rPr>
        <w:t>words</w:t>
      </w:r>
      <w:r w:rsidR="008B2B58" w:rsidRPr="00032A8E">
        <w:rPr>
          <w:rFonts w:asciiTheme="majorHAnsi" w:hAnsiTheme="majorHAnsi" w:cstheme="majorHAnsi"/>
          <w:lang w:eastAsia="en-AU"/>
        </w:rPr>
        <w:t>)</w:t>
      </w:r>
      <w:r w:rsidR="0090564E" w:rsidRPr="00032A8E">
        <w:rPr>
          <w:rFonts w:asciiTheme="majorHAnsi" w:hAnsiTheme="majorHAnsi" w:cstheme="majorHAnsi"/>
          <w:lang w:eastAsia="en-AU"/>
        </w:rPr>
        <w:t xml:space="preserve"> for most selection criteria with the exception of </w:t>
      </w:r>
      <w:r w:rsidR="008B2B58" w:rsidRPr="00032A8E">
        <w:rPr>
          <w:rFonts w:asciiTheme="majorHAnsi" w:hAnsiTheme="majorHAnsi" w:cstheme="majorHAnsi"/>
          <w:lang w:eastAsia="en-AU"/>
        </w:rPr>
        <w:t xml:space="preserve">the limit for </w:t>
      </w:r>
      <w:r w:rsidR="0090564E" w:rsidRPr="00032A8E">
        <w:rPr>
          <w:rFonts w:asciiTheme="majorHAnsi" w:hAnsiTheme="majorHAnsi" w:cstheme="majorHAnsi"/>
          <w:lang w:eastAsia="en-AU"/>
        </w:rPr>
        <w:t>criterion</w:t>
      </w:r>
      <w:r w:rsidR="008B2B58" w:rsidRPr="00032A8E">
        <w:rPr>
          <w:rFonts w:asciiTheme="majorHAnsi" w:hAnsiTheme="majorHAnsi" w:cstheme="majorHAnsi"/>
          <w:lang w:eastAsia="en-AU"/>
        </w:rPr>
        <w:t xml:space="preserve"> 1(b)</w:t>
      </w:r>
      <w:r w:rsidRPr="00032A8E">
        <w:rPr>
          <w:rFonts w:asciiTheme="majorHAnsi" w:hAnsiTheme="majorHAnsi" w:cstheme="majorHAnsi"/>
          <w:lang w:eastAsia="en-AU"/>
        </w:rPr>
        <w:t xml:space="preserve"> </w:t>
      </w:r>
      <w:r w:rsidR="008B2B58" w:rsidRPr="00032A8E">
        <w:rPr>
          <w:rFonts w:asciiTheme="majorHAnsi" w:hAnsiTheme="majorHAnsi" w:cstheme="majorHAnsi"/>
          <w:lang w:eastAsia="en-AU"/>
        </w:rPr>
        <w:t>which is 2,000 characters (approximately 300 words)</w:t>
      </w:r>
      <w:r w:rsidRPr="00032A8E">
        <w:rPr>
          <w:rFonts w:asciiTheme="majorHAnsi" w:hAnsiTheme="majorHAnsi" w:cstheme="majorHAnsi"/>
          <w:lang w:eastAsia="en-AU"/>
        </w:rPr>
        <w:t xml:space="preserve">.  </w:t>
      </w:r>
    </w:p>
    <w:p w:rsidR="00B47661" w:rsidRPr="00032A8E" w:rsidRDefault="00B47661" w:rsidP="00B47661">
      <w:pPr>
        <w:pStyle w:val="Heading2"/>
        <w:numPr>
          <w:ilvl w:val="0"/>
          <w:numId w:val="6"/>
        </w:numPr>
        <w:rPr>
          <w:rFonts w:eastAsia="Calibri" w:cstheme="majorHAnsi"/>
          <w:sz w:val="22"/>
          <w:szCs w:val="22"/>
        </w:rPr>
      </w:pPr>
      <w:r w:rsidRPr="00032A8E">
        <w:rPr>
          <w:rFonts w:eastAsia="Calibri" w:cstheme="majorHAnsi"/>
          <w:sz w:val="22"/>
          <w:szCs w:val="22"/>
        </w:rPr>
        <w:t>How were the eligible communities chosen?</w:t>
      </w:r>
    </w:p>
    <w:p w:rsidR="00267471" w:rsidRPr="00032A8E" w:rsidRDefault="007F36ED" w:rsidP="00267471">
      <w:pPr>
        <w:ind w:left="426"/>
        <w:rPr>
          <w:rFonts w:asciiTheme="majorHAnsi" w:hAnsiTheme="majorHAnsi" w:cstheme="majorHAnsi"/>
        </w:rPr>
      </w:pPr>
      <w:r w:rsidRPr="00032A8E">
        <w:rPr>
          <w:rFonts w:asciiTheme="majorHAnsi" w:hAnsiTheme="majorHAnsi" w:cstheme="majorHAnsi"/>
        </w:rPr>
        <w:t xml:space="preserve">Communities were identified through a range of information, including research by the Murray–Darling Basin Authority (MDBA) that evaluated the economic impacts of the Basin Plan on Basin communities. </w:t>
      </w:r>
      <w:r w:rsidR="002F07F5" w:rsidRPr="00032A8E">
        <w:rPr>
          <w:rFonts w:asciiTheme="majorHAnsi" w:hAnsiTheme="majorHAnsi" w:cstheme="majorHAnsi"/>
        </w:rPr>
        <w:t xml:space="preserve">Based on this information, the communities selected for the program are experiencing greater impacts from water recovery under the Basin Plan than other communities. The Department of Agriculture and Water Resources has identified five communities in the northern Basin and ten communities in the southern Basin as those most impacted by water recovery under the Murray–Darling Basin Plan (Basin Plan). </w:t>
      </w:r>
      <w:r w:rsidRPr="00032A8E">
        <w:rPr>
          <w:rFonts w:asciiTheme="majorHAnsi" w:hAnsiTheme="majorHAnsi" w:cstheme="majorHAnsi"/>
        </w:rPr>
        <w:t xml:space="preserve">The program is limited to these 15 communities. </w:t>
      </w:r>
    </w:p>
    <w:p w:rsidR="00D2598A" w:rsidRPr="00032A8E" w:rsidRDefault="00D2598A" w:rsidP="00D2598A">
      <w:pPr>
        <w:pStyle w:val="Heading2"/>
        <w:numPr>
          <w:ilvl w:val="0"/>
          <w:numId w:val="6"/>
        </w:numPr>
        <w:rPr>
          <w:rFonts w:eastAsia="Calibri" w:cstheme="majorHAnsi"/>
          <w:sz w:val="22"/>
          <w:szCs w:val="22"/>
        </w:rPr>
      </w:pPr>
      <w:r w:rsidRPr="00032A8E">
        <w:rPr>
          <w:rFonts w:eastAsia="Calibri" w:cstheme="majorHAnsi"/>
          <w:sz w:val="22"/>
          <w:szCs w:val="22"/>
        </w:rPr>
        <w:t>Which communities are eligible for funding?</w:t>
      </w:r>
    </w:p>
    <w:p w:rsidR="008162EA" w:rsidRPr="00032A8E" w:rsidRDefault="00D26F88" w:rsidP="008162EA">
      <w:pPr>
        <w:ind w:left="426"/>
        <w:rPr>
          <w:rFonts w:asciiTheme="majorHAnsi" w:hAnsiTheme="majorHAnsi" w:cstheme="majorHAnsi"/>
        </w:rPr>
      </w:pPr>
      <w:r w:rsidRPr="00032A8E">
        <w:rPr>
          <w:rFonts w:asciiTheme="majorHAnsi" w:hAnsiTheme="majorHAnsi" w:cstheme="majorHAnsi"/>
        </w:rPr>
        <w:t xml:space="preserve">The community boundaries are </w:t>
      </w:r>
      <w:r w:rsidR="00267471" w:rsidRPr="00032A8E">
        <w:rPr>
          <w:rFonts w:asciiTheme="majorHAnsi" w:hAnsiTheme="majorHAnsi" w:cstheme="majorHAnsi"/>
        </w:rPr>
        <w:t xml:space="preserve">in the maps </w:t>
      </w:r>
      <w:r w:rsidRPr="00032A8E">
        <w:rPr>
          <w:rFonts w:asciiTheme="majorHAnsi" w:hAnsiTheme="majorHAnsi" w:cstheme="majorHAnsi"/>
        </w:rPr>
        <w:t xml:space="preserve">at </w:t>
      </w:r>
      <w:r w:rsidRPr="00032A8E">
        <w:rPr>
          <w:rFonts w:asciiTheme="majorHAnsi" w:hAnsiTheme="majorHAnsi" w:cstheme="majorHAnsi"/>
          <w:b/>
        </w:rPr>
        <w:t>Attachment A</w:t>
      </w:r>
      <w:r w:rsidRPr="00032A8E">
        <w:rPr>
          <w:rFonts w:asciiTheme="majorHAnsi" w:hAnsiTheme="majorHAnsi" w:cstheme="majorHAnsi"/>
        </w:rPr>
        <w:t xml:space="preserve"> to the program guidelines. </w:t>
      </w:r>
      <w:r w:rsidR="008162EA" w:rsidRPr="00032A8E">
        <w:rPr>
          <w:rFonts w:asciiTheme="majorHAnsi" w:hAnsiTheme="majorHAnsi" w:cstheme="majorHAnsi"/>
        </w:rPr>
        <w:t>Fifteen</w:t>
      </w:r>
      <w:r w:rsidR="00B47661" w:rsidRPr="00032A8E">
        <w:rPr>
          <w:rFonts w:asciiTheme="majorHAnsi" w:hAnsiTheme="majorHAnsi" w:cstheme="majorHAnsi"/>
        </w:rPr>
        <w:t xml:space="preserve"> communities have been identified as eligible</w:t>
      </w:r>
      <w:r w:rsidR="003A0C23" w:rsidRPr="00032A8E">
        <w:rPr>
          <w:rFonts w:asciiTheme="majorHAnsi" w:hAnsiTheme="majorHAnsi" w:cstheme="majorHAnsi"/>
        </w:rPr>
        <w:t xml:space="preserve"> for funding</w:t>
      </w:r>
      <w:r w:rsidR="00B47661" w:rsidRPr="00032A8E">
        <w:rPr>
          <w:rFonts w:asciiTheme="majorHAnsi" w:hAnsiTheme="majorHAnsi" w:cstheme="majorHAnsi"/>
        </w:rPr>
        <w:t xml:space="preserve"> under the program</w:t>
      </w:r>
      <w:r w:rsidRPr="00032A8E">
        <w:rPr>
          <w:rFonts w:asciiTheme="majorHAnsi" w:hAnsiTheme="majorHAnsi" w:cstheme="majorHAnsi"/>
        </w:rPr>
        <w:t>.</w:t>
      </w:r>
    </w:p>
    <w:p w:rsidR="008162EA" w:rsidRPr="00032A8E" w:rsidRDefault="008162EA" w:rsidP="00BC0045">
      <w:pPr>
        <w:spacing w:before="20" w:after="0"/>
        <w:ind w:left="720"/>
        <w:rPr>
          <w:rFonts w:asciiTheme="majorHAnsi" w:hAnsiTheme="majorHAnsi" w:cstheme="majorHAnsi"/>
          <w:b/>
        </w:rPr>
      </w:pPr>
      <w:r w:rsidRPr="00032A8E">
        <w:rPr>
          <w:rFonts w:asciiTheme="majorHAnsi" w:hAnsiTheme="majorHAnsi" w:cstheme="majorHAnsi"/>
          <w:b/>
        </w:rPr>
        <w:t>Northern Basin</w:t>
      </w:r>
      <w:r w:rsidRPr="00032A8E">
        <w:rPr>
          <w:rFonts w:asciiTheme="majorHAnsi" w:hAnsiTheme="majorHAnsi" w:cstheme="majorHAnsi"/>
          <w:b/>
        </w:rPr>
        <w:tab/>
      </w:r>
      <w:r w:rsidRPr="00032A8E">
        <w:rPr>
          <w:rFonts w:asciiTheme="majorHAnsi" w:hAnsiTheme="majorHAnsi" w:cstheme="majorHAnsi"/>
          <w:b/>
        </w:rPr>
        <w:tab/>
      </w:r>
    </w:p>
    <w:p w:rsidR="00BC0045" w:rsidRDefault="008162EA" w:rsidP="00C66889">
      <w:pPr>
        <w:pStyle w:val="ListParagraph"/>
        <w:numPr>
          <w:ilvl w:val="0"/>
          <w:numId w:val="15"/>
        </w:numPr>
        <w:spacing w:before="20" w:after="0"/>
        <w:rPr>
          <w:rFonts w:asciiTheme="majorHAnsi" w:hAnsiTheme="majorHAnsi" w:cstheme="majorHAnsi"/>
        </w:rPr>
      </w:pPr>
      <w:r w:rsidRPr="00BC0045">
        <w:rPr>
          <w:rFonts w:asciiTheme="majorHAnsi" w:hAnsiTheme="majorHAnsi" w:cstheme="majorHAnsi"/>
        </w:rPr>
        <w:t>Dirranbandi, QLD</w:t>
      </w:r>
    </w:p>
    <w:p w:rsidR="005B578B" w:rsidRPr="00BC0045" w:rsidRDefault="005B578B" w:rsidP="00C66889">
      <w:pPr>
        <w:pStyle w:val="ListParagraph"/>
        <w:numPr>
          <w:ilvl w:val="0"/>
          <w:numId w:val="15"/>
        </w:numPr>
        <w:spacing w:before="20" w:after="0"/>
        <w:rPr>
          <w:rFonts w:asciiTheme="majorHAnsi" w:hAnsiTheme="majorHAnsi" w:cstheme="majorHAnsi"/>
        </w:rPr>
      </w:pPr>
      <w:r w:rsidRPr="00BC0045">
        <w:rPr>
          <w:rFonts w:asciiTheme="majorHAnsi" w:hAnsiTheme="majorHAnsi" w:cstheme="majorHAnsi"/>
        </w:rPr>
        <w:t>St George, QLD</w:t>
      </w:r>
    </w:p>
    <w:p w:rsidR="005B578B" w:rsidRPr="00BC0045" w:rsidRDefault="005B578B" w:rsidP="00BC0045">
      <w:pPr>
        <w:pStyle w:val="ListParagraph"/>
        <w:numPr>
          <w:ilvl w:val="0"/>
          <w:numId w:val="15"/>
        </w:numPr>
        <w:spacing w:before="20" w:after="0"/>
        <w:rPr>
          <w:rFonts w:asciiTheme="majorHAnsi" w:hAnsiTheme="majorHAnsi" w:cstheme="majorHAnsi"/>
        </w:rPr>
      </w:pPr>
      <w:r w:rsidRPr="00BC0045">
        <w:rPr>
          <w:rFonts w:asciiTheme="majorHAnsi" w:hAnsiTheme="majorHAnsi" w:cstheme="majorHAnsi"/>
        </w:rPr>
        <w:t>Cunnamulla, QLD</w:t>
      </w:r>
    </w:p>
    <w:p w:rsidR="005B578B" w:rsidRPr="00BC0045" w:rsidRDefault="005B578B" w:rsidP="00BC0045">
      <w:pPr>
        <w:pStyle w:val="ListParagraph"/>
        <w:numPr>
          <w:ilvl w:val="0"/>
          <w:numId w:val="15"/>
        </w:numPr>
        <w:spacing w:before="20" w:after="0"/>
        <w:rPr>
          <w:rFonts w:asciiTheme="majorHAnsi" w:hAnsiTheme="majorHAnsi" w:cstheme="majorHAnsi"/>
        </w:rPr>
      </w:pPr>
      <w:r w:rsidRPr="00BC0045">
        <w:rPr>
          <w:rFonts w:asciiTheme="majorHAnsi" w:hAnsiTheme="majorHAnsi" w:cstheme="majorHAnsi"/>
        </w:rPr>
        <w:t>Collarenebri, NSW</w:t>
      </w:r>
    </w:p>
    <w:p w:rsidR="005B578B" w:rsidRPr="00BC0045" w:rsidRDefault="005B578B" w:rsidP="00BC0045">
      <w:pPr>
        <w:pStyle w:val="ListParagraph"/>
        <w:numPr>
          <w:ilvl w:val="0"/>
          <w:numId w:val="15"/>
        </w:numPr>
        <w:spacing w:before="20" w:after="0"/>
        <w:rPr>
          <w:rFonts w:asciiTheme="majorHAnsi" w:hAnsiTheme="majorHAnsi" w:cstheme="majorHAnsi"/>
        </w:rPr>
      </w:pPr>
      <w:r w:rsidRPr="00BC0045">
        <w:rPr>
          <w:rFonts w:asciiTheme="majorHAnsi" w:hAnsiTheme="majorHAnsi" w:cstheme="majorHAnsi"/>
        </w:rPr>
        <w:t>Warren, NSW</w:t>
      </w:r>
      <w:r w:rsidRPr="00BC0045">
        <w:rPr>
          <w:rFonts w:asciiTheme="majorHAnsi" w:hAnsiTheme="majorHAnsi" w:cstheme="majorHAnsi"/>
        </w:rPr>
        <w:tab/>
      </w:r>
    </w:p>
    <w:p w:rsidR="005B578B" w:rsidRDefault="005B578B" w:rsidP="00FE323E">
      <w:pPr>
        <w:spacing w:before="20" w:after="0"/>
        <w:ind w:left="720"/>
        <w:rPr>
          <w:rFonts w:asciiTheme="majorHAnsi" w:hAnsiTheme="majorHAnsi" w:cstheme="majorHAnsi"/>
        </w:rPr>
      </w:pPr>
    </w:p>
    <w:p w:rsidR="005B578B" w:rsidRDefault="005B578B" w:rsidP="00FE323E">
      <w:pPr>
        <w:spacing w:before="20" w:after="0"/>
        <w:ind w:left="720"/>
        <w:rPr>
          <w:rFonts w:asciiTheme="majorHAnsi" w:hAnsiTheme="majorHAnsi" w:cstheme="majorHAnsi"/>
        </w:rPr>
      </w:pPr>
      <w:r w:rsidRPr="00032A8E">
        <w:rPr>
          <w:rFonts w:asciiTheme="majorHAnsi" w:hAnsiTheme="majorHAnsi" w:cstheme="majorHAnsi"/>
          <w:b/>
        </w:rPr>
        <w:t>Southern Basin</w:t>
      </w:r>
      <w:r w:rsidRPr="00032A8E">
        <w:rPr>
          <w:rFonts w:asciiTheme="majorHAnsi" w:hAnsiTheme="majorHAnsi" w:cstheme="majorHAnsi"/>
        </w:rPr>
        <w:t xml:space="preserve"> </w:t>
      </w:r>
    </w:p>
    <w:p w:rsidR="005B578B" w:rsidRPr="00BC0045" w:rsidRDefault="008162EA" w:rsidP="00BC0045">
      <w:pPr>
        <w:pStyle w:val="ListParagraph"/>
        <w:numPr>
          <w:ilvl w:val="0"/>
          <w:numId w:val="16"/>
        </w:numPr>
        <w:spacing w:before="20" w:after="0"/>
        <w:rPr>
          <w:rFonts w:asciiTheme="majorHAnsi" w:hAnsiTheme="majorHAnsi" w:cstheme="majorHAnsi"/>
        </w:rPr>
      </w:pPr>
      <w:r w:rsidRPr="00BC0045">
        <w:rPr>
          <w:rFonts w:asciiTheme="majorHAnsi" w:hAnsiTheme="majorHAnsi" w:cstheme="majorHAnsi"/>
        </w:rPr>
        <w:t>Wakool, NSW</w:t>
      </w:r>
    </w:p>
    <w:p w:rsidR="005B578B" w:rsidRPr="00BC0045" w:rsidRDefault="00D26F88" w:rsidP="00BC0045">
      <w:pPr>
        <w:pStyle w:val="ListParagraph"/>
        <w:numPr>
          <w:ilvl w:val="0"/>
          <w:numId w:val="16"/>
        </w:numPr>
        <w:spacing w:before="20" w:after="0"/>
        <w:rPr>
          <w:rFonts w:asciiTheme="majorHAnsi" w:hAnsiTheme="majorHAnsi" w:cstheme="majorHAnsi"/>
        </w:rPr>
      </w:pPr>
      <w:r w:rsidRPr="00BC0045">
        <w:rPr>
          <w:rFonts w:asciiTheme="majorHAnsi" w:hAnsiTheme="majorHAnsi" w:cstheme="majorHAnsi"/>
        </w:rPr>
        <w:t>Colignan, NSW/VIC</w:t>
      </w:r>
    </w:p>
    <w:p w:rsidR="005B578B" w:rsidRPr="00BC0045" w:rsidRDefault="00D26F88" w:rsidP="00BC0045">
      <w:pPr>
        <w:pStyle w:val="ListParagraph"/>
        <w:numPr>
          <w:ilvl w:val="0"/>
          <w:numId w:val="16"/>
        </w:numPr>
        <w:spacing w:before="20" w:after="0"/>
        <w:rPr>
          <w:rFonts w:asciiTheme="majorHAnsi" w:hAnsiTheme="majorHAnsi" w:cstheme="majorHAnsi"/>
        </w:rPr>
      </w:pPr>
      <w:r w:rsidRPr="00BC0045">
        <w:rPr>
          <w:rFonts w:asciiTheme="majorHAnsi" w:hAnsiTheme="majorHAnsi" w:cstheme="majorHAnsi"/>
        </w:rPr>
        <w:t>Red Cliffs, VIC</w:t>
      </w:r>
    </w:p>
    <w:p w:rsidR="005B578B" w:rsidRPr="00BC0045" w:rsidRDefault="005B578B" w:rsidP="00BC0045">
      <w:pPr>
        <w:pStyle w:val="ListParagraph"/>
        <w:numPr>
          <w:ilvl w:val="0"/>
          <w:numId w:val="16"/>
        </w:numPr>
        <w:spacing w:before="20" w:after="0"/>
        <w:rPr>
          <w:rFonts w:asciiTheme="majorHAnsi" w:hAnsiTheme="majorHAnsi" w:cstheme="majorHAnsi"/>
        </w:rPr>
      </w:pPr>
      <w:r w:rsidRPr="00BC0045">
        <w:rPr>
          <w:rFonts w:asciiTheme="majorHAnsi" w:hAnsiTheme="majorHAnsi" w:cstheme="majorHAnsi"/>
        </w:rPr>
        <w:t>M</w:t>
      </w:r>
      <w:r w:rsidR="00D26F88" w:rsidRPr="00BC0045">
        <w:rPr>
          <w:rFonts w:asciiTheme="majorHAnsi" w:hAnsiTheme="majorHAnsi" w:cstheme="majorHAnsi"/>
        </w:rPr>
        <w:t>erbein, VIC</w:t>
      </w:r>
    </w:p>
    <w:p w:rsidR="005B578B" w:rsidRPr="00BC0045" w:rsidRDefault="00D26F88" w:rsidP="00BC0045">
      <w:pPr>
        <w:pStyle w:val="ListParagraph"/>
        <w:numPr>
          <w:ilvl w:val="0"/>
          <w:numId w:val="16"/>
        </w:numPr>
        <w:spacing w:before="20" w:after="0"/>
        <w:rPr>
          <w:rFonts w:asciiTheme="majorHAnsi" w:hAnsiTheme="majorHAnsi" w:cstheme="majorHAnsi"/>
        </w:rPr>
      </w:pPr>
      <w:r w:rsidRPr="00BC0045">
        <w:rPr>
          <w:rFonts w:asciiTheme="majorHAnsi" w:hAnsiTheme="majorHAnsi" w:cstheme="majorHAnsi"/>
        </w:rPr>
        <w:t>Rochester, VIC</w:t>
      </w:r>
    </w:p>
    <w:p w:rsidR="00BC0045" w:rsidRDefault="00D26F88" w:rsidP="00BC0045">
      <w:pPr>
        <w:pStyle w:val="ListParagraph"/>
        <w:numPr>
          <w:ilvl w:val="0"/>
          <w:numId w:val="16"/>
        </w:numPr>
        <w:spacing w:before="20" w:after="0"/>
        <w:rPr>
          <w:rFonts w:asciiTheme="majorHAnsi" w:hAnsiTheme="majorHAnsi" w:cstheme="majorHAnsi"/>
        </w:rPr>
      </w:pPr>
      <w:r w:rsidRPr="00BC0045">
        <w:rPr>
          <w:rFonts w:asciiTheme="majorHAnsi" w:hAnsiTheme="majorHAnsi" w:cstheme="majorHAnsi"/>
        </w:rPr>
        <w:t>Berri, SA</w:t>
      </w:r>
    </w:p>
    <w:p w:rsidR="005B578B" w:rsidRPr="00BC0045" w:rsidRDefault="00D26F88" w:rsidP="00BC0045">
      <w:pPr>
        <w:pStyle w:val="ListParagraph"/>
        <w:numPr>
          <w:ilvl w:val="0"/>
          <w:numId w:val="16"/>
        </w:numPr>
        <w:spacing w:before="20" w:after="0"/>
        <w:rPr>
          <w:rFonts w:asciiTheme="majorHAnsi" w:hAnsiTheme="majorHAnsi" w:cstheme="majorHAnsi"/>
        </w:rPr>
      </w:pPr>
      <w:r w:rsidRPr="00BC0045">
        <w:rPr>
          <w:rFonts w:asciiTheme="majorHAnsi" w:hAnsiTheme="majorHAnsi" w:cstheme="majorHAnsi"/>
        </w:rPr>
        <w:t>Loxton, SA</w:t>
      </w:r>
    </w:p>
    <w:p w:rsidR="005B578B" w:rsidRPr="00BC0045" w:rsidRDefault="00D26F88" w:rsidP="00BC0045">
      <w:pPr>
        <w:pStyle w:val="ListParagraph"/>
        <w:numPr>
          <w:ilvl w:val="0"/>
          <w:numId w:val="16"/>
        </w:numPr>
        <w:spacing w:before="20" w:after="0"/>
        <w:rPr>
          <w:rFonts w:asciiTheme="majorHAnsi" w:hAnsiTheme="majorHAnsi" w:cstheme="majorHAnsi"/>
        </w:rPr>
      </w:pPr>
      <w:r w:rsidRPr="00BC0045">
        <w:rPr>
          <w:rFonts w:asciiTheme="majorHAnsi" w:hAnsiTheme="majorHAnsi" w:cstheme="majorHAnsi"/>
        </w:rPr>
        <w:t>Cobdogla-Barmera, SA</w:t>
      </w:r>
    </w:p>
    <w:p w:rsidR="005B578B" w:rsidRPr="00BC0045" w:rsidRDefault="00D26F88" w:rsidP="00BC0045">
      <w:pPr>
        <w:pStyle w:val="ListParagraph"/>
        <w:numPr>
          <w:ilvl w:val="0"/>
          <w:numId w:val="16"/>
        </w:numPr>
        <w:spacing w:before="20" w:after="0"/>
        <w:rPr>
          <w:rFonts w:asciiTheme="majorHAnsi" w:hAnsiTheme="majorHAnsi" w:cstheme="majorHAnsi"/>
        </w:rPr>
      </w:pPr>
      <w:r w:rsidRPr="00BC0045">
        <w:rPr>
          <w:rFonts w:asciiTheme="majorHAnsi" w:hAnsiTheme="majorHAnsi" w:cstheme="majorHAnsi"/>
        </w:rPr>
        <w:t>Swan Reach, SA</w:t>
      </w:r>
    </w:p>
    <w:p w:rsidR="00FE323E" w:rsidRPr="00BC0045" w:rsidRDefault="00D26F88" w:rsidP="00BC0045">
      <w:pPr>
        <w:pStyle w:val="ListParagraph"/>
        <w:numPr>
          <w:ilvl w:val="0"/>
          <w:numId w:val="16"/>
        </w:numPr>
        <w:spacing w:before="20" w:after="0"/>
        <w:rPr>
          <w:rFonts w:asciiTheme="majorHAnsi" w:hAnsiTheme="majorHAnsi" w:cstheme="majorHAnsi"/>
        </w:rPr>
      </w:pPr>
      <w:r w:rsidRPr="00BC0045">
        <w:rPr>
          <w:rFonts w:asciiTheme="majorHAnsi" w:hAnsiTheme="majorHAnsi" w:cstheme="majorHAnsi"/>
        </w:rPr>
        <w:t>Lower Lakes, SA</w:t>
      </w:r>
    </w:p>
    <w:p w:rsidR="00FC0F90" w:rsidRPr="00032A8E" w:rsidRDefault="00FC0F90" w:rsidP="00FE323E">
      <w:pPr>
        <w:pStyle w:val="Heading2"/>
        <w:numPr>
          <w:ilvl w:val="0"/>
          <w:numId w:val="6"/>
        </w:numPr>
        <w:ind w:left="426" w:hanging="426"/>
        <w:rPr>
          <w:rFonts w:eastAsia="Calibri" w:cstheme="majorHAnsi"/>
          <w:sz w:val="22"/>
          <w:szCs w:val="22"/>
        </w:rPr>
      </w:pPr>
      <w:r w:rsidRPr="00032A8E">
        <w:rPr>
          <w:rFonts w:eastAsia="Calibri" w:cstheme="majorHAnsi"/>
          <w:sz w:val="22"/>
          <w:szCs w:val="22"/>
        </w:rPr>
        <w:t xml:space="preserve">Why are the eligibility boundaries set where they are? </w:t>
      </w:r>
    </w:p>
    <w:p w:rsidR="00267471" w:rsidRPr="00032A8E" w:rsidRDefault="00267471" w:rsidP="00267471">
      <w:pPr>
        <w:ind w:left="426"/>
        <w:rPr>
          <w:rFonts w:asciiTheme="majorHAnsi" w:hAnsiTheme="majorHAnsi" w:cstheme="majorHAnsi"/>
        </w:rPr>
      </w:pPr>
      <w:r w:rsidRPr="00032A8E">
        <w:rPr>
          <w:rFonts w:asciiTheme="majorHAnsi" w:hAnsiTheme="majorHAnsi" w:cstheme="majorHAnsi"/>
        </w:rPr>
        <w:t xml:space="preserve">The boundaries are consistent with the boundaries for communities as defined by the MDBA in its evaluation of the Basin Plan because this is the best information the Department has on </w:t>
      </w:r>
      <w:r w:rsidR="002F07F5" w:rsidRPr="00032A8E">
        <w:rPr>
          <w:rFonts w:asciiTheme="majorHAnsi" w:hAnsiTheme="majorHAnsi" w:cstheme="majorHAnsi"/>
        </w:rPr>
        <w:t>areas of</w:t>
      </w:r>
      <w:r w:rsidRPr="00032A8E">
        <w:rPr>
          <w:rFonts w:asciiTheme="majorHAnsi" w:hAnsiTheme="majorHAnsi" w:cstheme="majorHAnsi"/>
        </w:rPr>
        <w:t xml:space="preserve"> greatest economic impact from water recovery under the Basin Plan. These community boundaries are not the same as local government boundaries. Applicants should carefully consider eligibility in conjunction with the</w:t>
      </w:r>
      <w:r w:rsidR="00BC0045">
        <w:rPr>
          <w:rFonts w:asciiTheme="majorHAnsi" w:hAnsiTheme="majorHAnsi" w:cstheme="majorHAnsi"/>
        </w:rPr>
        <w:t xml:space="preserve"> detailed maps provided in the grant o</w:t>
      </w:r>
      <w:r w:rsidRPr="00032A8E">
        <w:rPr>
          <w:rFonts w:asciiTheme="majorHAnsi" w:hAnsiTheme="majorHAnsi" w:cstheme="majorHAnsi"/>
        </w:rPr>
        <w:t>pportunity</w:t>
      </w:r>
      <w:r w:rsidR="00BC0045">
        <w:rPr>
          <w:rFonts w:asciiTheme="majorHAnsi" w:hAnsiTheme="majorHAnsi" w:cstheme="majorHAnsi"/>
        </w:rPr>
        <w:t xml:space="preserve"> g</w:t>
      </w:r>
      <w:r w:rsidRPr="00032A8E">
        <w:rPr>
          <w:rFonts w:asciiTheme="majorHAnsi" w:hAnsiTheme="majorHAnsi" w:cstheme="majorHAnsi"/>
        </w:rPr>
        <w:t xml:space="preserve">uidelines. </w:t>
      </w:r>
    </w:p>
    <w:p w:rsidR="00CC1B7B" w:rsidRPr="00032A8E" w:rsidRDefault="00D73F50" w:rsidP="00046AC0">
      <w:pPr>
        <w:pStyle w:val="Heading2"/>
        <w:numPr>
          <w:ilvl w:val="0"/>
          <w:numId w:val="6"/>
        </w:numPr>
        <w:ind w:left="426" w:hanging="426"/>
        <w:rPr>
          <w:rFonts w:eastAsia="Calibri" w:cstheme="majorHAnsi"/>
          <w:sz w:val="22"/>
          <w:szCs w:val="22"/>
        </w:rPr>
      </w:pPr>
      <w:r w:rsidRPr="00032A8E">
        <w:rPr>
          <w:rFonts w:eastAsia="Calibri" w:cstheme="majorHAnsi"/>
          <w:sz w:val="22"/>
          <w:szCs w:val="22"/>
        </w:rPr>
        <w:t xml:space="preserve">Why </w:t>
      </w:r>
      <w:r w:rsidR="008B2B58" w:rsidRPr="00032A8E">
        <w:rPr>
          <w:rFonts w:eastAsia="Calibri" w:cstheme="majorHAnsi"/>
          <w:sz w:val="22"/>
          <w:szCs w:val="22"/>
        </w:rPr>
        <w:t>is my community</w:t>
      </w:r>
      <w:r w:rsidRPr="00032A8E">
        <w:rPr>
          <w:rFonts w:eastAsia="Calibri" w:cstheme="majorHAnsi"/>
          <w:sz w:val="22"/>
          <w:szCs w:val="22"/>
        </w:rPr>
        <w:t xml:space="preserve"> not eligible to apply</w:t>
      </w:r>
      <w:r w:rsidR="003303EA" w:rsidRPr="00032A8E">
        <w:rPr>
          <w:rFonts w:eastAsia="Calibri" w:cstheme="majorHAnsi"/>
          <w:sz w:val="22"/>
          <w:szCs w:val="22"/>
        </w:rPr>
        <w:t xml:space="preserve"> when </w:t>
      </w:r>
      <w:r w:rsidR="00900395" w:rsidRPr="00032A8E">
        <w:rPr>
          <w:rFonts w:eastAsia="Calibri" w:cstheme="majorHAnsi"/>
          <w:sz w:val="22"/>
          <w:szCs w:val="22"/>
        </w:rPr>
        <w:t>we are doing it tough too</w:t>
      </w:r>
      <w:r w:rsidRPr="00032A8E">
        <w:rPr>
          <w:rFonts w:eastAsia="Calibri" w:cstheme="majorHAnsi"/>
          <w:sz w:val="22"/>
          <w:szCs w:val="22"/>
        </w:rPr>
        <w:t>?</w:t>
      </w:r>
    </w:p>
    <w:p w:rsidR="008B6035" w:rsidRPr="00032A8E" w:rsidRDefault="008B6035" w:rsidP="008B6035">
      <w:pPr>
        <w:ind w:left="426"/>
        <w:rPr>
          <w:rFonts w:asciiTheme="majorHAnsi" w:hAnsiTheme="majorHAnsi" w:cstheme="majorHAnsi"/>
        </w:rPr>
      </w:pPr>
      <w:r w:rsidRPr="00032A8E">
        <w:rPr>
          <w:rFonts w:asciiTheme="majorHAnsi" w:hAnsiTheme="majorHAnsi" w:cstheme="majorHAnsi"/>
        </w:rPr>
        <w:t>This program is not intended to address all the difficult economic conditions and circumstances that many Basin communities are facing from other circumstances such as drought, job losses from mechanisation, or urban migration. Economic hardship is widespread in the Murray-Darling Basin, especially during this period of drought, and many areas would benefit from economic development assistance. There are other state and federal government programs designed to assist communities more broadly.</w:t>
      </w:r>
    </w:p>
    <w:p w:rsidR="008B6035" w:rsidRPr="00032A8E" w:rsidRDefault="008B6035" w:rsidP="008B6035">
      <w:pPr>
        <w:ind w:left="426"/>
        <w:rPr>
          <w:rFonts w:asciiTheme="majorHAnsi" w:hAnsiTheme="majorHAnsi" w:cstheme="majorHAnsi"/>
        </w:rPr>
      </w:pPr>
      <w:r w:rsidRPr="00032A8E">
        <w:rPr>
          <w:rFonts w:asciiTheme="majorHAnsi" w:hAnsiTheme="majorHAnsi" w:cstheme="majorHAnsi"/>
        </w:rPr>
        <w:t xml:space="preserve">The Department of Agriculture and Water Resources identified which communities were most impacted based on a range of information, including research by the Murray–Darling Basin Authority. Only those communities </w:t>
      </w:r>
      <w:r w:rsidRPr="00032A8E">
        <w:rPr>
          <w:rFonts w:asciiTheme="majorHAnsi" w:hAnsiTheme="majorHAnsi" w:cstheme="majorHAnsi"/>
          <w:u w:val="single"/>
        </w:rPr>
        <w:t>most</w:t>
      </w:r>
      <w:r w:rsidRPr="00032A8E">
        <w:rPr>
          <w:rFonts w:asciiTheme="majorHAnsi" w:hAnsiTheme="majorHAnsi" w:cstheme="majorHAnsi"/>
        </w:rPr>
        <w:t xml:space="preserve"> impacted by water recovery under the Murray-Darling Basin Plan are eligible for funding under this program.</w:t>
      </w:r>
    </w:p>
    <w:p w:rsidR="00CC1B7B" w:rsidRPr="00032A8E" w:rsidRDefault="00D73F50" w:rsidP="00046AC0">
      <w:pPr>
        <w:pStyle w:val="Heading2"/>
        <w:numPr>
          <w:ilvl w:val="0"/>
          <w:numId w:val="6"/>
        </w:numPr>
        <w:ind w:left="426" w:hanging="426"/>
        <w:rPr>
          <w:rFonts w:eastAsia="Calibri" w:cstheme="majorHAnsi"/>
          <w:sz w:val="22"/>
          <w:szCs w:val="22"/>
        </w:rPr>
      </w:pPr>
      <w:r w:rsidRPr="00032A8E">
        <w:rPr>
          <w:rFonts w:eastAsia="Calibri" w:cstheme="majorHAnsi"/>
          <w:sz w:val="22"/>
          <w:szCs w:val="22"/>
        </w:rPr>
        <w:t xml:space="preserve">Where can I find the </w:t>
      </w:r>
      <w:r w:rsidR="00E01B19" w:rsidRPr="00032A8E">
        <w:rPr>
          <w:rFonts w:eastAsia="Calibri" w:cstheme="majorHAnsi"/>
          <w:sz w:val="22"/>
          <w:szCs w:val="22"/>
        </w:rPr>
        <w:t>research conducted by the Murray-Darling Basin Authority (MDBA)?</w:t>
      </w:r>
    </w:p>
    <w:p w:rsidR="003A0C23" w:rsidRPr="00032A8E" w:rsidRDefault="003A0C23" w:rsidP="00D2598A">
      <w:pPr>
        <w:ind w:left="426"/>
        <w:rPr>
          <w:rFonts w:asciiTheme="majorHAnsi" w:hAnsiTheme="majorHAnsi" w:cstheme="majorHAnsi"/>
          <w:lang w:eastAsia="ja-JP"/>
        </w:rPr>
      </w:pPr>
      <w:r w:rsidRPr="00032A8E">
        <w:rPr>
          <w:rFonts w:asciiTheme="majorHAnsi" w:hAnsiTheme="majorHAnsi" w:cstheme="majorHAnsi"/>
          <w:lang w:eastAsia="ja-JP"/>
        </w:rPr>
        <w:t xml:space="preserve">The MDBA’s research found water recovery under the Basin Plan has led to varying economic impacts in communities. The MDBA’s 2016 Northern Basin Review and 2017 Basin Plan Evaluation identified varying degrees of social and economic impacts on Basin communities. </w:t>
      </w:r>
    </w:p>
    <w:p w:rsidR="003A0C23" w:rsidRPr="00032A8E" w:rsidRDefault="003A0C23" w:rsidP="00FE323E">
      <w:pPr>
        <w:pStyle w:val="ListBullet"/>
        <w:numPr>
          <w:ilvl w:val="0"/>
          <w:numId w:val="0"/>
        </w:numPr>
        <w:ind w:left="357"/>
        <w:contextualSpacing w:val="0"/>
        <w:rPr>
          <w:rFonts w:asciiTheme="majorHAnsi" w:hAnsiTheme="majorHAnsi" w:cstheme="majorHAnsi"/>
        </w:rPr>
      </w:pPr>
      <w:r w:rsidRPr="00032A8E">
        <w:rPr>
          <w:rFonts w:asciiTheme="majorHAnsi" w:hAnsiTheme="majorHAnsi" w:cstheme="majorHAnsi"/>
        </w:rPr>
        <w:lastRenderedPageBreak/>
        <w:t>More information on MDBA research can be found at</w:t>
      </w:r>
      <w:r w:rsidRPr="00032A8E">
        <w:rPr>
          <w:rFonts w:asciiTheme="majorHAnsi" w:hAnsiTheme="majorHAnsi" w:cstheme="majorHAnsi"/>
          <w:lang w:eastAsia="ja-JP"/>
        </w:rPr>
        <w:t xml:space="preserve"> the following links, together with separate reports on each relevant community</w:t>
      </w:r>
      <w:r w:rsidRPr="00032A8E">
        <w:rPr>
          <w:rFonts w:asciiTheme="majorHAnsi" w:hAnsiTheme="majorHAnsi" w:cstheme="majorHAnsi"/>
        </w:rPr>
        <w:t xml:space="preserve">: </w:t>
      </w:r>
    </w:p>
    <w:p w:rsidR="00FE323E" w:rsidRPr="00DB3905" w:rsidRDefault="008E7614" w:rsidP="00FE323E">
      <w:pPr>
        <w:pStyle w:val="ListBullet"/>
        <w:numPr>
          <w:ilvl w:val="0"/>
          <w:numId w:val="11"/>
        </w:numPr>
        <w:spacing w:before="200" w:after="0"/>
        <w:ind w:left="714" w:hanging="357"/>
        <w:contextualSpacing w:val="0"/>
        <w:rPr>
          <w:rStyle w:val="Hyperlink"/>
          <w:rFonts w:asciiTheme="majorHAnsi" w:hAnsiTheme="majorHAnsi" w:cstheme="majorHAnsi"/>
          <w:iCs/>
          <w:color w:val="auto"/>
          <w:u w:val="none"/>
        </w:rPr>
      </w:pPr>
      <w:hyperlink r:id="rId11" w:history="1">
        <w:r w:rsidR="003A0C23" w:rsidRPr="00DB3905">
          <w:rPr>
            <w:rStyle w:val="Hyperlink"/>
            <w:rFonts w:asciiTheme="majorHAnsi" w:hAnsiTheme="majorHAnsi" w:cstheme="majorHAnsi"/>
            <w:color w:val="auto"/>
          </w:rPr>
          <w:t>Northern Basin Review</w:t>
        </w:r>
      </w:hyperlink>
      <w:r w:rsidR="003A0C23" w:rsidRPr="00DB3905" w:rsidDel="00966ED7">
        <w:rPr>
          <w:rFonts w:asciiTheme="majorHAnsi" w:hAnsiTheme="majorHAnsi" w:cstheme="majorHAnsi"/>
        </w:rPr>
        <w:t xml:space="preserve"> </w:t>
      </w:r>
    </w:p>
    <w:p w:rsidR="00E94149" w:rsidRPr="00DB3905" w:rsidRDefault="008E7614" w:rsidP="00FE323E">
      <w:pPr>
        <w:pStyle w:val="ListBullet"/>
        <w:numPr>
          <w:ilvl w:val="0"/>
          <w:numId w:val="11"/>
        </w:numPr>
        <w:spacing w:before="200" w:after="0"/>
        <w:ind w:left="714" w:hanging="357"/>
        <w:contextualSpacing w:val="0"/>
        <w:rPr>
          <w:rFonts w:asciiTheme="majorHAnsi" w:hAnsiTheme="majorHAnsi" w:cstheme="majorHAnsi"/>
          <w:iCs/>
        </w:rPr>
      </w:pPr>
      <w:hyperlink r:id="rId12" w:history="1">
        <w:r w:rsidR="003A0C23" w:rsidRPr="00DB3905">
          <w:rPr>
            <w:rStyle w:val="Hyperlink"/>
            <w:rFonts w:asciiTheme="majorHAnsi" w:hAnsiTheme="majorHAnsi" w:cstheme="majorHAnsi"/>
            <w:color w:val="auto"/>
          </w:rPr>
          <w:t>Southern Basin Review</w:t>
        </w:r>
      </w:hyperlink>
    </w:p>
    <w:p w:rsidR="003C073F" w:rsidRPr="00032A8E" w:rsidRDefault="00FD77B3" w:rsidP="003C073F">
      <w:pPr>
        <w:pStyle w:val="Heading2"/>
        <w:numPr>
          <w:ilvl w:val="0"/>
          <w:numId w:val="6"/>
        </w:numPr>
        <w:ind w:left="426" w:hanging="426"/>
        <w:rPr>
          <w:rFonts w:eastAsia="Calibri" w:cstheme="majorHAnsi"/>
          <w:sz w:val="22"/>
          <w:szCs w:val="22"/>
        </w:rPr>
      </w:pPr>
      <w:r w:rsidRPr="00032A8E">
        <w:rPr>
          <w:rFonts w:eastAsia="Calibri" w:cstheme="majorHAnsi"/>
          <w:sz w:val="22"/>
          <w:szCs w:val="22"/>
        </w:rPr>
        <w:t>M</w:t>
      </w:r>
      <w:r w:rsidR="003C073F" w:rsidRPr="00032A8E">
        <w:rPr>
          <w:rFonts w:eastAsia="Calibri" w:cstheme="majorHAnsi"/>
          <w:sz w:val="22"/>
          <w:szCs w:val="22"/>
        </w:rPr>
        <w:t>y organisation is in an eligible community. Why</w:t>
      </w:r>
      <w:r w:rsidR="0090220A" w:rsidRPr="00032A8E">
        <w:rPr>
          <w:rFonts w:eastAsia="Calibri" w:cstheme="majorHAnsi"/>
          <w:sz w:val="22"/>
          <w:szCs w:val="22"/>
        </w:rPr>
        <w:t xml:space="preserve"> </w:t>
      </w:r>
      <w:r w:rsidR="003C073F" w:rsidRPr="00032A8E">
        <w:rPr>
          <w:rFonts w:eastAsia="Calibri" w:cstheme="majorHAnsi"/>
          <w:sz w:val="22"/>
          <w:szCs w:val="22"/>
        </w:rPr>
        <w:t>is my organisation not eligible to apply?</w:t>
      </w:r>
    </w:p>
    <w:p w:rsidR="007967E6" w:rsidRDefault="007967E6" w:rsidP="00036ABE">
      <w:pPr>
        <w:ind w:left="426"/>
        <w:rPr>
          <w:rFonts w:asciiTheme="majorHAnsi" w:hAnsiTheme="majorHAnsi" w:cstheme="majorHAnsi"/>
          <w:lang w:eastAsia="ja-JP"/>
        </w:rPr>
      </w:pPr>
      <w:r w:rsidRPr="00032A8E">
        <w:rPr>
          <w:rFonts w:asciiTheme="majorHAnsi" w:hAnsiTheme="majorHAnsi" w:cstheme="majorHAnsi"/>
          <w:lang w:eastAsia="ja-JP"/>
        </w:rPr>
        <w:t xml:space="preserve">The program is intended to </w:t>
      </w:r>
      <w:r w:rsidR="002F07F5" w:rsidRPr="00032A8E">
        <w:rPr>
          <w:rFonts w:asciiTheme="majorHAnsi" w:hAnsiTheme="majorHAnsi" w:cstheme="majorHAnsi"/>
          <w:lang w:eastAsia="ja-JP"/>
        </w:rPr>
        <w:t xml:space="preserve">apply to </w:t>
      </w:r>
      <w:r w:rsidR="00AF4D37" w:rsidRPr="00032A8E">
        <w:rPr>
          <w:rFonts w:asciiTheme="majorHAnsi" w:hAnsiTheme="majorHAnsi" w:cstheme="majorHAnsi"/>
          <w:lang w:eastAsia="ja-JP"/>
        </w:rPr>
        <w:t>not for profit organisations such as l</w:t>
      </w:r>
      <w:r w:rsidR="00036ABE" w:rsidRPr="00032A8E">
        <w:rPr>
          <w:rFonts w:asciiTheme="majorHAnsi" w:hAnsiTheme="majorHAnsi" w:cstheme="majorHAnsi"/>
          <w:lang w:eastAsia="ja-JP"/>
        </w:rPr>
        <w:t xml:space="preserve">ocal </w:t>
      </w:r>
      <w:r w:rsidR="00AF4D37" w:rsidRPr="00032A8E">
        <w:rPr>
          <w:rFonts w:asciiTheme="majorHAnsi" w:hAnsiTheme="majorHAnsi" w:cstheme="majorHAnsi"/>
          <w:lang w:eastAsia="ja-JP"/>
        </w:rPr>
        <w:t>g</w:t>
      </w:r>
      <w:r w:rsidR="00036ABE" w:rsidRPr="00032A8E">
        <w:rPr>
          <w:rFonts w:asciiTheme="majorHAnsi" w:hAnsiTheme="majorHAnsi" w:cstheme="majorHAnsi"/>
          <w:lang w:eastAsia="ja-JP"/>
        </w:rPr>
        <w:t>overnments</w:t>
      </w:r>
      <w:r w:rsidR="00AF4D37" w:rsidRPr="00032A8E">
        <w:rPr>
          <w:rFonts w:asciiTheme="majorHAnsi" w:hAnsiTheme="majorHAnsi" w:cstheme="majorHAnsi"/>
          <w:lang w:eastAsia="ja-JP"/>
        </w:rPr>
        <w:t>,</w:t>
      </w:r>
      <w:r w:rsidR="00036ABE" w:rsidRPr="00032A8E">
        <w:rPr>
          <w:rFonts w:asciiTheme="majorHAnsi" w:hAnsiTheme="majorHAnsi" w:cstheme="majorHAnsi"/>
          <w:lang w:eastAsia="ja-JP"/>
        </w:rPr>
        <w:t xml:space="preserve"> Indigenous </w:t>
      </w:r>
      <w:r w:rsidR="00AF4D37" w:rsidRPr="00032A8E">
        <w:rPr>
          <w:rFonts w:asciiTheme="majorHAnsi" w:hAnsiTheme="majorHAnsi" w:cstheme="majorHAnsi"/>
          <w:lang w:eastAsia="ja-JP"/>
        </w:rPr>
        <w:t>c</w:t>
      </w:r>
      <w:r w:rsidR="00036ABE" w:rsidRPr="00032A8E">
        <w:rPr>
          <w:rFonts w:asciiTheme="majorHAnsi" w:hAnsiTheme="majorHAnsi" w:cstheme="majorHAnsi"/>
          <w:lang w:eastAsia="ja-JP"/>
        </w:rPr>
        <w:t xml:space="preserve">orporations, </w:t>
      </w:r>
      <w:r w:rsidR="00AF4D37" w:rsidRPr="00032A8E">
        <w:rPr>
          <w:rFonts w:asciiTheme="majorHAnsi" w:hAnsiTheme="majorHAnsi" w:cstheme="majorHAnsi"/>
          <w:lang w:eastAsia="ja-JP"/>
        </w:rPr>
        <w:t>c</w:t>
      </w:r>
      <w:r w:rsidR="00036ABE" w:rsidRPr="00032A8E">
        <w:rPr>
          <w:rFonts w:asciiTheme="majorHAnsi" w:hAnsiTheme="majorHAnsi" w:cstheme="majorHAnsi"/>
          <w:lang w:eastAsia="ja-JP"/>
        </w:rPr>
        <w:t xml:space="preserve">ooperatives and </w:t>
      </w:r>
      <w:r w:rsidR="00AF4D37" w:rsidRPr="00032A8E">
        <w:rPr>
          <w:rFonts w:asciiTheme="majorHAnsi" w:hAnsiTheme="majorHAnsi" w:cstheme="majorHAnsi"/>
          <w:lang w:eastAsia="ja-JP"/>
        </w:rPr>
        <w:t>i</w:t>
      </w:r>
      <w:r w:rsidR="00036ABE" w:rsidRPr="00032A8E">
        <w:rPr>
          <w:rFonts w:asciiTheme="majorHAnsi" w:hAnsiTheme="majorHAnsi" w:cstheme="majorHAnsi"/>
          <w:lang w:eastAsia="ja-JP"/>
        </w:rPr>
        <w:t xml:space="preserve">ncorporated </w:t>
      </w:r>
      <w:r w:rsidR="00AF4D37" w:rsidRPr="00032A8E">
        <w:rPr>
          <w:rFonts w:asciiTheme="majorHAnsi" w:hAnsiTheme="majorHAnsi" w:cstheme="majorHAnsi"/>
          <w:lang w:eastAsia="ja-JP"/>
        </w:rPr>
        <w:t>a</w:t>
      </w:r>
      <w:r w:rsidR="00036ABE" w:rsidRPr="00032A8E">
        <w:rPr>
          <w:rFonts w:asciiTheme="majorHAnsi" w:hAnsiTheme="majorHAnsi" w:cstheme="majorHAnsi"/>
          <w:lang w:eastAsia="ja-JP"/>
        </w:rPr>
        <w:t>ssociations.</w:t>
      </w:r>
      <w:r w:rsidR="002F07F5" w:rsidRPr="00032A8E">
        <w:rPr>
          <w:rFonts w:asciiTheme="majorHAnsi" w:hAnsiTheme="majorHAnsi" w:cstheme="majorHAnsi"/>
          <w:lang w:eastAsia="ja-JP"/>
        </w:rPr>
        <w:t xml:space="preserve"> </w:t>
      </w:r>
      <w:r w:rsidRPr="00032A8E">
        <w:rPr>
          <w:rFonts w:asciiTheme="majorHAnsi" w:hAnsiTheme="majorHAnsi" w:cstheme="majorHAnsi"/>
          <w:lang w:eastAsia="ja-JP"/>
        </w:rPr>
        <w:t xml:space="preserve">All entities within eligible communities are encouraged to work together to put forward projects. </w:t>
      </w:r>
      <w:r w:rsidR="00AC716C" w:rsidRPr="00032A8E">
        <w:rPr>
          <w:rFonts w:asciiTheme="majorHAnsi" w:hAnsiTheme="majorHAnsi" w:cstheme="majorHAnsi"/>
          <w:lang w:eastAsia="ja-JP"/>
        </w:rPr>
        <w:t>T</w:t>
      </w:r>
      <w:r w:rsidRPr="00032A8E">
        <w:rPr>
          <w:rFonts w:asciiTheme="majorHAnsi" w:hAnsiTheme="majorHAnsi" w:cstheme="majorHAnsi"/>
          <w:lang w:eastAsia="ja-JP"/>
        </w:rPr>
        <w:t>he guidelines allow non-eligible entities to partner with other entities to propose a project</w:t>
      </w:r>
      <w:r w:rsidR="00D85A7C" w:rsidRPr="00032A8E">
        <w:rPr>
          <w:rFonts w:asciiTheme="majorHAnsi" w:hAnsiTheme="majorHAnsi" w:cstheme="majorHAnsi"/>
          <w:lang w:eastAsia="ja-JP"/>
        </w:rPr>
        <w:t>. The application would then be submitted by</w:t>
      </w:r>
      <w:r w:rsidRPr="00032A8E">
        <w:rPr>
          <w:rFonts w:asciiTheme="majorHAnsi" w:hAnsiTheme="majorHAnsi" w:cstheme="majorHAnsi"/>
          <w:lang w:eastAsia="ja-JP"/>
        </w:rPr>
        <w:t xml:space="preserve"> </w:t>
      </w:r>
      <w:r w:rsidR="00D85A7C" w:rsidRPr="00032A8E">
        <w:rPr>
          <w:rFonts w:asciiTheme="majorHAnsi" w:hAnsiTheme="majorHAnsi" w:cstheme="majorHAnsi"/>
          <w:lang w:eastAsia="ja-JP"/>
        </w:rPr>
        <w:t>a</w:t>
      </w:r>
      <w:r w:rsidRPr="00032A8E">
        <w:rPr>
          <w:rFonts w:asciiTheme="majorHAnsi" w:hAnsiTheme="majorHAnsi" w:cstheme="majorHAnsi"/>
          <w:lang w:eastAsia="ja-JP"/>
        </w:rPr>
        <w:t xml:space="preserve"> lead applicant </w:t>
      </w:r>
      <w:r w:rsidR="00D85A7C" w:rsidRPr="00032A8E">
        <w:rPr>
          <w:rFonts w:asciiTheme="majorHAnsi" w:hAnsiTheme="majorHAnsi" w:cstheme="majorHAnsi"/>
          <w:lang w:eastAsia="ja-JP"/>
        </w:rPr>
        <w:t xml:space="preserve">who </w:t>
      </w:r>
      <w:r w:rsidRPr="00032A8E">
        <w:rPr>
          <w:rFonts w:asciiTheme="majorHAnsi" w:hAnsiTheme="majorHAnsi" w:cstheme="majorHAnsi"/>
          <w:lang w:eastAsia="ja-JP"/>
        </w:rPr>
        <w:t>would need to be an eligible organisation.</w:t>
      </w:r>
    </w:p>
    <w:p w:rsidR="00267471" w:rsidRPr="00032A8E" w:rsidRDefault="00267471" w:rsidP="00267471">
      <w:pPr>
        <w:pStyle w:val="Heading2"/>
        <w:numPr>
          <w:ilvl w:val="0"/>
          <w:numId w:val="6"/>
        </w:numPr>
        <w:ind w:left="426" w:hanging="426"/>
        <w:rPr>
          <w:rFonts w:eastAsia="Calibri" w:cstheme="majorHAnsi"/>
          <w:sz w:val="22"/>
          <w:szCs w:val="22"/>
        </w:rPr>
      </w:pPr>
      <w:r w:rsidRPr="00032A8E">
        <w:rPr>
          <w:rFonts w:eastAsia="Calibri" w:cstheme="majorHAnsi"/>
          <w:sz w:val="22"/>
          <w:szCs w:val="22"/>
        </w:rPr>
        <w:t>Are there other options for getting support for my community?</w:t>
      </w:r>
    </w:p>
    <w:p w:rsidR="00267471" w:rsidRPr="00032A8E" w:rsidRDefault="00267471" w:rsidP="00267471">
      <w:pPr>
        <w:ind w:left="426"/>
        <w:rPr>
          <w:rFonts w:asciiTheme="majorHAnsi" w:hAnsiTheme="majorHAnsi" w:cstheme="majorHAnsi"/>
        </w:rPr>
      </w:pPr>
      <w:r w:rsidRPr="00032A8E">
        <w:rPr>
          <w:rFonts w:asciiTheme="majorHAnsi" w:hAnsiTheme="majorHAnsi" w:cstheme="majorHAnsi"/>
        </w:rPr>
        <w:t xml:space="preserve">There are several state and Commonwealth programs that can provide support to rural communities, including the Building Better Regions Fund. Commonwealth grant opportunities </w:t>
      </w:r>
      <w:proofErr w:type="gramStart"/>
      <w:r w:rsidRPr="00032A8E">
        <w:rPr>
          <w:rFonts w:asciiTheme="majorHAnsi" w:hAnsiTheme="majorHAnsi" w:cstheme="majorHAnsi"/>
        </w:rPr>
        <w:t>can be found</w:t>
      </w:r>
      <w:proofErr w:type="gramEnd"/>
      <w:r w:rsidRPr="00032A8E">
        <w:rPr>
          <w:rFonts w:asciiTheme="majorHAnsi" w:hAnsiTheme="majorHAnsi" w:cstheme="majorHAnsi"/>
        </w:rPr>
        <w:t xml:space="preserve"> </w:t>
      </w:r>
      <w:r w:rsidR="005B578B">
        <w:rPr>
          <w:rFonts w:asciiTheme="majorHAnsi" w:hAnsiTheme="majorHAnsi" w:cstheme="majorHAnsi"/>
        </w:rPr>
        <w:t xml:space="preserve">on </w:t>
      </w:r>
      <w:hyperlink r:id="rId13" w:history="1">
        <w:r w:rsidR="005B578B" w:rsidRPr="005B578B">
          <w:rPr>
            <w:rStyle w:val="Hyperlink"/>
            <w:rFonts w:asciiTheme="majorHAnsi" w:hAnsiTheme="majorHAnsi" w:cstheme="majorHAnsi"/>
          </w:rPr>
          <w:t>GrantConnect</w:t>
        </w:r>
      </w:hyperlink>
      <w:r w:rsidR="00313403">
        <w:rPr>
          <w:rFonts w:asciiTheme="majorHAnsi" w:hAnsiTheme="majorHAnsi" w:cstheme="majorHAnsi"/>
        </w:rPr>
        <w:t>.</w:t>
      </w:r>
    </w:p>
    <w:p w:rsidR="00A41182" w:rsidRPr="00032A8E" w:rsidRDefault="00A41182" w:rsidP="009052EF">
      <w:pPr>
        <w:pStyle w:val="Heading2"/>
        <w:numPr>
          <w:ilvl w:val="0"/>
          <w:numId w:val="6"/>
        </w:numPr>
        <w:ind w:left="426" w:hanging="426"/>
        <w:rPr>
          <w:rFonts w:eastAsia="Calibri" w:cstheme="majorHAnsi"/>
          <w:sz w:val="22"/>
          <w:szCs w:val="22"/>
        </w:rPr>
      </w:pPr>
      <w:r w:rsidRPr="00032A8E">
        <w:rPr>
          <w:rFonts w:eastAsia="Calibri" w:cstheme="majorHAnsi"/>
          <w:sz w:val="22"/>
          <w:szCs w:val="22"/>
        </w:rPr>
        <w:t>What can grant funding be used for?</w:t>
      </w:r>
    </w:p>
    <w:p w:rsidR="00422FAD" w:rsidRPr="00032A8E" w:rsidRDefault="00AC716C" w:rsidP="00A41182">
      <w:pPr>
        <w:ind w:left="426"/>
        <w:rPr>
          <w:rFonts w:asciiTheme="majorHAnsi" w:hAnsiTheme="majorHAnsi" w:cstheme="majorHAnsi"/>
          <w:iCs/>
        </w:rPr>
      </w:pPr>
      <w:r w:rsidRPr="00032A8E">
        <w:rPr>
          <w:rFonts w:asciiTheme="majorHAnsi" w:hAnsiTheme="majorHAnsi" w:cstheme="majorHAnsi"/>
          <w:iCs/>
        </w:rPr>
        <w:t>The grant funding can be used for a broad range of economic development projects.</w:t>
      </w:r>
      <w:r w:rsidR="00422FAD" w:rsidRPr="00032A8E">
        <w:rPr>
          <w:rFonts w:asciiTheme="majorHAnsi" w:hAnsiTheme="majorHAnsi" w:cstheme="majorHAnsi"/>
          <w:iCs/>
        </w:rPr>
        <w:t xml:space="preserve"> </w:t>
      </w:r>
      <w:r w:rsidRPr="00032A8E">
        <w:rPr>
          <w:rFonts w:asciiTheme="majorHAnsi" w:hAnsiTheme="majorHAnsi" w:cstheme="majorHAnsi"/>
          <w:iCs/>
        </w:rPr>
        <w:t>E</w:t>
      </w:r>
      <w:r w:rsidR="00422FAD" w:rsidRPr="00032A8E">
        <w:rPr>
          <w:rFonts w:asciiTheme="majorHAnsi" w:hAnsiTheme="majorHAnsi" w:cstheme="majorHAnsi"/>
          <w:iCs/>
        </w:rPr>
        <w:t>ligible projects must deliver economic benefits that address the economic impacts of water recovery on one or more of the eligible communities.</w:t>
      </w:r>
    </w:p>
    <w:p w:rsidR="00A41182" w:rsidRPr="00032A8E" w:rsidRDefault="00A41182" w:rsidP="00A41182">
      <w:pPr>
        <w:ind w:left="426"/>
        <w:rPr>
          <w:rFonts w:asciiTheme="majorHAnsi" w:hAnsiTheme="majorHAnsi" w:cstheme="majorHAnsi"/>
          <w:iCs/>
        </w:rPr>
      </w:pPr>
      <w:r w:rsidRPr="00032A8E">
        <w:rPr>
          <w:rFonts w:asciiTheme="majorHAnsi" w:hAnsiTheme="majorHAnsi" w:cstheme="majorHAnsi"/>
          <w:iCs/>
        </w:rPr>
        <w:t>The guidelines detail the types of activities</w:t>
      </w:r>
      <w:r w:rsidR="00422FAD" w:rsidRPr="00032A8E">
        <w:rPr>
          <w:rFonts w:asciiTheme="majorHAnsi" w:hAnsiTheme="majorHAnsi" w:cstheme="majorHAnsi"/>
          <w:iCs/>
        </w:rPr>
        <w:t xml:space="preserve"> (Section 5.1) and expenditure (Section 5.3) that are eligible through the program. These lists are not comprehensive, however, as it is intended that the program provide</w:t>
      </w:r>
      <w:r w:rsidRPr="00032A8E">
        <w:rPr>
          <w:rFonts w:asciiTheme="majorHAnsi" w:hAnsiTheme="majorHAnsi" w:cstheme="majorHAnsi"/>
          <w:iCs/>
        </w:rPr>
        <w:t xml:space="preserve"> flexibility for eligible organisations to identify projects that best address an eligible community’s particular circumstances. </w:t>
      </w:r>
    </w:p>
    <w:p w:rsidR="00B47661" w:rsidRPr="00032A8E" w:rsidRDefault="00B47661" w:rsidP="00B47661">
      <w:pPr>
        <w:pStyle w:val="Heading2"/>
        <w:numPr>
          <w:ilvl w:val="0"/>
          <w:numId w:val="6"/>
        </w:numPr>
        <w:ind w:left="426" w:hanging="426"/>
        <w:rPr>
          <w:rFonts w:eastAsia="Calibri" w:cstheme="majorHAnsi"/>
          <w:sz w:val="22"/>
          <w:szCs w:val="22"/>
        </w:rPr>
      </w:pPr>
      <w:r w:rsidRPr="00032A8E">
        <w:rPr>
          <w:rFonts w:eastAsia="Calibri" w:cstheme="majorHAnsi"/>
          <w:sz w:val="22"/>
          <w:szCs w:val="22"/>
        </w:rPr>
        <w:t>Can I be funded to prepare my application?</w:t>
      </w:r>
    </w:p>
    <w:p w:rsidR="00B47661" w:rsidRPr="00032A8E" w:rsidRDefault="00B47661" w:rsidP="00B47661">
      <w:pPr>
        <w:ind w:left="426"/>
        <w:rPr>
          <w:rFonts w:asciiTheme="majorHAnsi" w:hAnsiTheme="majorHAnsi" w:cstheme="majorHAnsi"/>
          <w:iCs/>
        </w:rPr>
      </w:pPr>
      <w:r w:rsidRPr="00032A8E">
        <w:rPr>
          <w:rFonts w:asciiTheme="majorHAnsi" w:hAnsiTheme="majorHAnsi" w:cstheme="majorHAnsi"/>
          <w:iCs/>
        </w:rPr>
        <w:t xml:space="preserve">No, funding is not available for </w:t>
      </w:r>
      <w:r w:rsidR="00D85A7C" w:rsidRPr="00032A8E">
        <w:rPr>
          <w:rFonts w:asciiTheme="majorHAnsi" w:hAnsiTheme="majorHAnsi" w:cstheme="majorHAnsi"/>
          <w:iCs/>
        </w:rPr>
        <w:t>costs incurred in the preparation of a project proposal or related documentation</w:t>
      </w:r>
      <w:r w:rsidRPr="00032A8E">
        <w:rPr>
          <w:rFonts w:asciiTheme="majorHAnsi" w:hAnsiTheme="majorHAnsi" w:cstheme="majorHAnsi"/>
          <w:iCs/>
        </w:rPr>
        <w:t xml:space="preserve">. </w:t>
      </w:r>
    </w:p>
    <w:p w:rsidR="00D26F88" w:rsidRPr="00032A8E" w:rsidRDefault="00D26F88" w:rsidP="00D26F88">
      <w:pPr>
        <w:pStyle w:val="Heading2"/>
        <w:numPr>
          <w:ilvl w:val="0"/>
          <w:numId w:val="6"/>
        </w:numPr>
        <w:rPr>
          <w:rFonts w:eastAsia="Calibri" w:cstheme="majorHAnsi"/>
          <w:sz w:val="22"/>
          <w:szCs w:val="22"/>
        </w:rPr>
      </w:pPr>
      <w:r w:rsidRPr="00032A8E">
        <w:rPr>
          <w:rFonts w:eastAsia="Calibri" w:cstheme="majorHAnsi"/>
          <w:sz w:val="22"/>
          <w:szCs w:val="22"/>
        </w:rPr>
        <w:t>When will I know the outcome of my application?</w:t>
      </w:r>
    </w:p>
    <w:p w:rsidR="00D26F88" w:rsidRPr="00032A8E" w:rsidRDefault="00D26F88" w:rsidP="00D26F88">
      <w:pPr>
        <w:ind w:left="426"/>
        <w:rPr>
          <w:rFonts w:asciiTheme="majorHAnsi" w:hAnsiTheme="majorHAnsi" w:cstheme="majorHAnsi"/>
          <w:lang w:eastAsia="en-AU"/>
        </w:rPr>
      </w:pPr>
      <w:r w:rsidRPr="00032A8E">
        <w:rPr>
          <w:rFonts w:asciiTheme="majorHAnsi" w:hAnsiTheme="majorHAnsi" w:cstheme="majorHAnsi"/>
          <w:lang w:eastAsia="en-AU"/>
        </w:rPr>
        <w:t>You will be notified of the outcome of your application at the end of the selection process after the closing date. For probity reasons, to treat all applicants fairly and equally, it is not possible to give you information about the status of individual applications during the assessment process.</w:t>
      </w:r>
    </w:p>
    <w:p w:rsidR="00A14C9A" w:rsidRPr="00032A8E" w:rsidRDefault="00A14C9A" w:rsidP="00A14C9A">
      <w:pPr>
        <w:pStyle w:val="Heading2"/>
        <w:numPr>
          <w:ilvl w:val="0"/>
          <w:numId w:val="6"/>
        </w:numPr>
        <w:ind w:left="426" w:hanging="426"/>
        <w:rPr>
          <w:rFonts w:eastAsia="Calibri" w:cstheme="majorHAnsi"/>
          <w:sz w:val="22"/>
          <w:szCs w:val="22"/>
        </w:rPr>
      </w:pPr>
      <w:r w:rsidRPr="00032A8E">
        <w:rPr>
          <w:rFonts w:eastAsia="Calibri" w:cstheme="majorHAnsi"/>
          <w:sz w:val="22"/>
          <w:szCs w:val="22"/>
        </w:rPr>
        <w:lastRenderedPageBreak/>
        <w:t>How will you ensure that projects are in the best interest for a community?</w:t>
      </w:r>
    </w:p>
    <w:p w:rsidR="00A14C9A" w:rsidRPr="00032A8E" w:rsidRDefault="00A14C9A" w:rsidP="00A14C9A">
      <w:pPr>
        <w:ind w:left="426"/>
        <w:rPr>
          <w:rFonts w:asciiTheme="majorHAnsi" w:hAnsiTheme="majorHAnsi" w:cstheme="majorHAnsi"/>
          <w:iCs/>
        </w:rPr>
      </w:pPr>
      <w:r w:rsidRPr="00032A8E">
        <w:rPr>
          <w:rFonts w:asciiTheme="majorHAnsi" w:hAnsiTheme="majorHAnsi" w:cstheme="majorHAnsi"/>
          <w:iCs/>
        </w:rPr>
        <w:t xml:space="preserve">The </w:t>
      </w:r>
      <w:r w:rsidR="00D26F88" w:rsidRPr="00032A8E">
        <w:rPr>
          <w:rFonts w:asciiTheme="majorHAnsi" w:hAnsiTheme="majorHAnsi" w:cstheme="majorHAnsi"/>
        </w:rPr>
        <w:t xml:space="preserve">Department of Agriculture and Water Resources </w:t>
      </w:r>
      <w:r w:rsidRPr="00032A8E">
        <w:rPr>
          <w:rFonts w:asciiTheme="majorHAnsi" w:hAnsiTheme="majorHAnsi" w:cstheme="majorHAnsi"/>
          <w:iCs/>
        </w:rPr>
        <w:t xml:space="preserve">would like to see broad community support for each proposed project. Applicants must </w:t>
      </w:r>
      <w:r w:rsidR="00D85A7C" w:rsidRPr="00032A8E">
        <w:rPr>
          <w:rFonts w:asciiTheme="majorHAnsi" w:hAnsiTheme="majorHAnsi" w:cstheme="majorHAnsi"/>
          <w:iCs/>
        </w:rPr>
        <w:t xml:space="preserve">describe </w:t>
      </w:r>
      <w:r w:rsidRPr="00032A8E">
        <w:rPr>
          <w:rFonts w:asciiTheme="majorHAnsi" w:hAnsiTheme="majorHAnsi" w:cstheme="majorHAnsi"/>
          <w:iCs/>
        </w:rPr>
        <w:t>how the project is supported by the community</w:t>
      </w:r>
      <w:r w:rsidR="00D85A7C" w:rsidRPr="00032A8E">
        <w:rPr>
          <w:rFonts w:asciiTheme="majorHAnsi" w:hAnsiTheme="majorHAnsi" w:cstheme="majorHAnsi"/>
          <w:iCs/>
        </w:rPr>
        <w:t xml:space="preserve"> and how it links to</w:t>
      </w:r>
      <w:r w:rsidRPr="00032A8E">
        <w:rPr>
          <w:rFonts w:asciiTheme="majorHAnsi" w:hAnsiTheme="majorHAnsi" w:cstheme="majorHAnsi"/>
          <w:iCs/>
        </w:rPr>
        <w:t xml:space="preserve"> relevant local economic development strategies</w:t>
      </w:r>
      <w:r w:rsidR="00D85A7C" w:rsidRPr="00032A8E">
        <w:rPr>
          <w:rFonts w:asciiTheme="majorHAnsi" w:hAnsiTheme="majorHAnsi" w:cstheme="majorHAnsi"/>
          <w:iCs/>
        </w:rPr>
        <w:t>. These would</w:t>
      </w:r>
      <w:r w:rsidRPr="00032A8E">
        <w:rPr>
          <w:rFonts w:asciiTheme="majorHAnsi" w:hAnsiTheme="majorHAnsi" w:cstheme="majorHAnsi"/>
          <w:iCs/>
        </w:rPr>
        <w:t xml:space="preserve"> includ</w:t>
      </w:r>
      <w:r w:rsidR="00D85A7C" w:rsidRPr="00032A8E">
        <w:rPr>
          <w:rFonts w:asciiTheme="majorHAnsi" w:hAnsiTheme="majorHAnsi" w:cstheme="majorHAnsi"/>
          <w:iCs/>
        </w:rPr>
        <w:t>e links to</w:t>
      </w:r>
      <w:r w:rsidRPr="00032A8E">
        <w:rPr>
          <w:rFonts w:asciiTheme="majorHAnsi" w:hAnsiTheme="majorHAnsi" w:cstheme="majorHAnsi"/>
          <w:iCs/>
        </w:rPr>
        <w:t xml:space="preserve"> the plans, priorities or challenges outlined in any relevant local, State or Australian Government policies or other documentation that demonstrates that the project is a strategic priority.</w:t>
      </w:r>
    </w:p>
    <w:p w:rsidR="00A14C9A" w:rsidRPr="00032A8E" w:rsidRDefault="00A14C9A" w:rsidP="00DB3905">
      <w:pPr>
        <w:pStyle w:val="Heading2"/>
        <w:numPr>
          <w:ilvl w:val="0"/>
          <w:numId w:val="6"/>
        </w:numPr>
        <w:ind w:left="426" w:hanging="426"/>
        <w:rPr>
          <w:rFonts w:eastAsia="Calibri" w:cstheme="majorHAnsi"/>
          <w:sz w:val="22"/>
          <w:szCs w:val="22"/>
        </w:rPr>
      </w:pPr>
      <w:r w:rsidRPr="00032A8E">
        <w:rPr>
          <w:rFonts w:eastAsia="Calibri" w:cstheme="majorHAnsi"/>
          <w:sz w:val="22"/>
          <w:szCs w:val="22"/>
        </w:rPr>
        <w:t xml:space="preserve">Is it okay if my proposed project will also benefit regions outside of the eligible community? </w:t>
      </w:r>
    </w:p>
    <w:p w:rsidR="009643DA" w:rsidRPr="00032A8E" w:rsidRDefault="00A14C9A" w:rsidP="00A14C9A">
      <w:pPr>
        <w:ind w:left="426"/>
        <w:rPr>
          <w:rFonts w:asciiTheme="majorHAnsi" w:hAnsiTheme="majorHAnsi" w:cstheme="majorHAnsi"/>
          <w:iCs/>
        </w:rPr>
      </w:pPr>
      <w:r w:rsidRPr="00032A8E">
        <w:rPr>
          <w:rFonts w:asciiTheme="majorHAnsi" w:hAnsiTheme="majorHAnsi" w:cstheme="majorHAnsi"/>
          <w:iCs/>
        </w:rPr>
        <w:t xml:space="preserve">It is </w:t>
      </w:r>
      <w:r w:rsidR="00F8409D" w:rsidRPr="00032A8E">
        <w:rPr>
          <w:rFonts w:asciiTheme="majorHAnsi" w:hAnsiTheme="majorHAnsi" w:cstheme="majorHAnsi"/>
          <w:iCs/>
        </w:rPr>
        <w:t>a condition of the program</w:t>
      </w:r>
      <w:r w:rsidRPr="00032A8E">
        <w:rPr>
          <w:rFonts w:asciiTheme="majorHAnsi" w:hAnsiTheme="majorHAnsi" w:cstheme="majorHAnsi"/>
          <w:iCs/>
        </w:rPr>
        <w:t xml:space="preserve"> that </w:t>
      </w:r>
      <w:r w:rsidR="009643DA" w:rsidRPr="00032A8E">
        <w:rPr>
          <w:rFonts w:asciiTheme="majorHAnsi" w:hAnsiTheme="majorHAnsi" w:cstheme="majorHAnsi"/>
          <w:iCs/>
        </w:rPr>
        <w:t>the</w:t>
      </w:r>
      <w:r w:rsidRPr="00032A8E">
        <w:rPr>
          <w:rFonts w:asciiTheme="majorHAnsi" w:hAnsiTheme="majorHAnsi" w:cstheme="majorHAnsi"/>
          <w:iCs/>
        </w:rPr>
        <w:t xml:space="preserve"> </w:t>
      </w:r>
      <w:r w:rsidR="00F8409D" w:rsidRPr="00032A8E">
        <w:rPr>
          <w:rFonts w:asciiTheme="majorHAnsi" w:hAnsiTheme="majorHAnsi" w:cstheme="majorHAnsi"/>
          <w:iCs/>
        </w:rPr>
        <w:t>benefit</w:t>
      </w:r>
      <w:r w:rsidRPr="00032A8E">
        <w:rPr>
          <w:rFonts w:asciiTheme="majorHAnsi" w:hAnsiTheme="majorHAnsi" w:cstheme="majorHAnsi"/>
          <w:iCs/>
        </w:rPr>
        <w:t xml:space="preserve"> </w:t>
      </w:r>
      <w:r w:rsidR="009643DA" w:rsidRPr="00032A8E">
        <w:rPr>
          <w:rFonts w:asciiTheme="majorHAnsi" w:hAnsiTheme="majorHAnsi" w:cstheme="majorHAnsi"/>
          <w:iCs/>
        </w:rPr>
        <w:t xml:space="preserve">of a project occur within </w:t>
      </w:r>
      <w:r w:rsidR="00F8409D" w:rsidRPr="00032A8E">
        <w:rPr>
          <w:rFonts w:asciiTheme="majorHAnsi" w:hAnsiTheme="majorHAnsi" w:cstheme="majorHAnsi"/>
          <w:iCs/>
        </w:rPr>
        <w:t xml:space="preserve">an </w:t>
      </w:r>
      <w:r w:rsidRPr="00032A8E">
        <w:rPr>
          <w:rFonts w:asciiTheme="majorHAnsi" w:hAnsiTheme="majorHAnsi" w:cstheme="majorHAnsi"/>
          <w:iCs/>
        </w:rPr>
        <w:t>eligible community</w:t>
      </w:r>
      <w:r w:rsidR="00F8409D" w:rsidRPr="00032A8E">
        <w:rPr>
          <w:rFonts w:asciiTheme="majorHAnsi" w:hAnsiTheme="majorHAnsi" w:cstheme="majorHAnsi"/>
          <w:iCs/>
        </w:rPr>
        <w:t xml:space="preserve"> or communities</w:t>
      </w:r>
      <w:r w:rsidRPr="00032A8E">
        <w:rPr>
          <w:rFonts w:asciiTheme="majorHAnsi" w:hAnsiTheme="majorHAnsi" w:cstheme="majorHAnsi"/>
          <w:iCs/>
        </w:rPr>
        <w:t xml:space="preserve">. </w:t>
      </w:r>
      <w:r w:rsidR="00D25B17" w:rsidRPr="00032A8E">
        <w:rPr>
          <w:rFonts w:asciiTheme="majorHAnsi" w:hAnsiTheme="majorHAnsi" w:cstheme="majorHAnsi"/>
          <w:iCs/>
        </w:rPr>
        <w:t>I</w:t>
      </w:r>
      <w:r w:rsidRPr="00032A8E">
        <w:rPr>
          <w:rFonts w:asciiTheme="majorHAnsi" w:hAnsiTheme="majorHAnsi" w:cstheme="majorHAnsi"/>
          <w:iCs/>
        </w:rPr>
        <w:t xml:space="preserve">ncidental benefits for </w:t>
      </w:r>
      <w:r w:rsidR="003852B4" w:rsidRPr="00032A8E">
        <w:rPr>
          <w:rFonts w:asciiTheme="majorHAnsi" w:hAnsiTheme="majorHAnsi" w:cstheme="majorHAnsi"/>
          <w:iCs/>
        </w:rPr>
        <w:t xml:space="preserve">areas </w:t>
      </w:r>
      <w:r w:rsidRPr="00032A8E">
        <w:rPr>
          <w:rFonts w:asciiTheme="majorHAnsi" w:hAnsiTheme="majorHAnsi" w:cstheme="majorHAnsi"/>
          <w:iCs/>
        </w:rPr>
        <w:t xml:space="preserve">outside </w:t>
      </w:r>
      <w:r w:rsidR="00D25B17" w:rsidRPr="00032A8E">
        <w:rPr>
          <w:rFonts w:asciiTheme="majorHAnsi" w:hAnsiTheme="majorHAnsi" w:cstheme="majorHAnsi"/>
          <w:iCs/>
        </w:rPr>
        <w:t xml:space="preserve">an </w:t>
      </w:r>
      <w:r w:rsidRPr="00032A8E">
        <w:rPr>
          <w:rFonts w:asciiTheme="majorHAnsi" w:hAnsiTheme="majorHAnsi" w:cstheme="majorHAnsi"/>
          <w:iCs/>
        </w:rPr>
        <w:t>eligible community</w:t>
      </w:r>
      <w:r w:rsidR="003852B4" w:rsidRPr="00032A8E">
        <w:rPr>
          <w:rFonts w:asciiTheme="majorHAnsi" w:hAnsiTheme="majorHAnsi" w:cstheme="majorHAnsi"/>
          <w:iCs/>
        </w:rPr>
        <w:t xml:space="preserve"> </w:t>
      </w:r>
      <w:r w:rsidR="00D25B17" w:rsidRPr="00032A8E">
        <w:rPr>
          <w:rFonts w:asciiTheme="majorHAnsi" w:hAnsiTheme="majorHAnsi" w:cstheme="majorHAnsi"/>
          <w:iCs/>
        </w:rPr>
        <w:t xml:space="preserve">arising from a project designed to benefit an eligible community would be acceptable. </w:t>
      </w:r>
      <w:r w:rsidR="009643DA" w:rsidRPr="00032A8E">
        <w:rPr>
          <w:rFonts w:asciiTheme="majorHAnsi" w:hAnsiTheme="majorHAnsi" w:cstheme="majorHAnsi"/>
          <w:iCs/>
        </w:rPr>
        <w:t xml:space="preserve">Projects </w:t>
      </w:r>
      <w:r w:rsidR="00D25B17" w:rsidRPr="00032A8E">
        <w:rPr>
          <w:rFonts w:asciiTheme="majorHAnsi" w:hAnsiTheme="majorHAnsi" w:cstheme="majorHAnsi"/>
          <w:iCs/>
        </w:rPr>
        <w:t xml:space="preserve">intended to </w:t>
      </w:r>
      <w:r w:rsidR="009643DA" w:rsidRPr="00032A8E">
        <w:rPr>
          <w:rFonts w:asciiTheme="majorHAnsi" w:hAnsiTheme="majorHAnsi" w:cstheme="majorHAnsi"/>
          <w:iCs/>
        </w:rPr>
        <w:t xml:space="preserve">benefit </w:t>
      </w:r>
      <w:r w:rsidR="00D25B17" w:rsidRPr="00032A8E">
        <w:rPr>
          <w:rFonts w:asciiTheme="majorHAnsi" w:hAnsiTheme="majorHAnsi" w:cstheme="majorHAnsi"/>
          <w:iCs/>
        </w:rPr>
        <w:t xml:space="preserve">areas </w:t>
      </w:r>
      <w:r w:rsidR="009643DA" w:rsidRPr="00032A8E">
        <w:rPr>
          <w:rFonts w:asciiTheme="majorHAnsi" w:hAnsiTheme="majorHAnsi" w:cstheme="majorHAnsi"/>
          <w:iCs/>
        </w:rPr>
        <w:t xml:space="preserve">outside </w:t>
      </w:r>
      <w:r w:rsidR="00D25B17" w:rsidRPr="00032A8E">
        <w:rPr>
          <w:rFonts w:asciiTheme="majorHAnsi" w:hAnsiTheme="majorHAnsi" w:cstheme="majorHAnsi"/>
          <w:iCs/>
        </w:rPr>
        <w:t xml:space="preserve">an </w:t>
      </w:r>
      <w:r w:rsidR="009643DA" w:rsidRPr="00032A8E">
        <w:rPr>
          <w:rFonts w:asciiTheme="majorHAnsi" w:hAnsiTheme="majorHAnsi" w:cstheme="majorHAnsi"/>
          <w:iCs/>
        </w:rPr>
        <w:t xml:space="preserve">eligible community </w:t>
      </w:r>
      <w:r w:rsidR="00D25B17" w:rsidRPr="00032A8E">
        <w:rPr>
          <w:rFonts w:asciiTheme="majorHAnsi" w:hAnsiTheme="majorHAnsi" w:cstheme="majorHAnsi"/>
          <w:iCs/>
        </w:rPr>
        <w:t xml:space="preserve">would </w:t>
      </w:r>
      <w:r w:rsidR="009643DA" w:rsidRPr="00032A8E">
        <w:rPr>
          <w:rFonts w:asciiTheme="majorHAnsi" w:hAnsiTheme="majorHAnsi" w:cstheme="majorHAnsi"/>
          <w:iCs/>
        </w:rPr>
        <w:t>not be acceptable.</w:t>
      </w:r>
    </w:p>
    <w:p w:rsidR="003155CA" w:rsidRPr="00032A8E" w:rsidRDefault="003155CA" w:rsidP="003155CA">
      <w:pPr>
        <w:pStyle w:val="Heading2"/>
        <w:numPr>
          <w:ilvl w:val="0"/>
          <w:numId w:val="6"/>
        </w:numPr>
        <w:ind w:left="426" w:hanging="426"/>
        <w:rPr>
          <w:rFonts w:eastAsia="Calibri" w:cstheme="majorHAnsi"/>
          <w:sz w:val="22"/>
          <w:szCs w:val="22"/>
        </w:rPr>
      </w:pPr>
      <w:r w:rsidRPr="00032A8E">
        <w:rPr>
          <w:rFonts w:eastAsia="Calibri" w:cstheme="majorHAnsi"/>
          <w:sz w:val="22"/>
          <w:szCs w:val="22"/>
        </w:rPr>
        <w:t xml:space="preserve">Can I apply with another organisation or as part of a group of organisations? </w:t>
      </w:r>
    </w:p>
    <w:p w:rsidR="003155CA" w:rsidRPr="00032A8E" w:rsidRDefault="003155CA" w:rsidP="003155CA">
      <w:pPr>
        <w:ind w:left="426"/>
        <w:rPr>
          <w:rFonts w:asciiTheme="majorHAnsi" w:hAnsiTheme="majorHAnsi" w:cstheme="majorHAnsi"/>
          <w:iCs/>
        </w:rPr>
      </w:pPr>
      <w:r w:rsidRPr="00032A8E">
        <w:rPr>
          <w:rFonts w:asciiTheme="majorHAnsi" w:hAnsiTheme="majorHAnsi" w:cstheme="majorHAnsi"/>
          <w:iCs/>
        </w:rPr>
        <w:t xml:space="preserve">Yes, </w:t>
      </w:r>
      <w:r w:rsidR="00D25B17" w:rsidRPr="00032A8E">
        <w:rPr>
          <w:rFonts w:asciiTheme="majorHAnsi" w:hAnsiTheme="majorHAnsi" w:cstheme="majorHAnsi"/>
          <w:iCs/>
        </w:rPr>
        <w:t>as long as the</w:t>
      </w:r>
      <w:r w:rsidRPr="00032A8E">
        <w:rPr>
          <w:rFonts w:asciiTheme="majorHAnsi" w:hAnsiTheme="majorHAnsi" w:cstheme="majorHAnsi"/>
          <w:iCs/>
        </w:rPr>
        <w:t xml:space="preserve"> lead organisation is eligible for funding. The application should clearly identify the lead organisation and all other members of the group.</w:t>
      </w:r>
    </w:p>
    <w:p w:rsidR="003155CA" w:rsidRPr="00032A8E" w:rsidRDefault="003155CA" w:rsidP="003155CA">
      <w:pPr>
        <w:ind w:left="426"/>
        <w:rPr>
          <w:rFonts w:asciiTheme="majorHAnsi" w:hAnsiTheme="majorHAnsi" w:cstheme="majorHAnsi"/>
          <w:iCs/>
        </w:rPr>
      </w:pPr>
      <w:r w:rsidRPr="00032A8E">
        <w:rPr>
          <w:rFonts w:asciiTheme="majorHAnsi" w:hAnsiTheme="majorHAnsi" w:cstheme="majorHAnsi"/>
          <w:iCs/>
        </w:rPr>
        <w:t>Should the application be successful, the grant agreement will be with the lead organisation and the lead organisation must have a formal arrangement (such as a memorandum of understanding) in place with all other members prior to execution of an agreement with the Australian Government.</w:t>
      </w:r>
    </w:p>
    <w:p w:rsidR="00C44E84" w:rsidRPr="00032A8E" w:rsidRDefault="00C44E84" w:rsidP="00C44E84">
      <w:pPr>
        <w:pStyle w:val="Heading2"/>
        <w:numPr>
          <w:ilvl w:val="0"/>
          <w:numId w:val="6"/>
        </w:numPr>
        <w:ind w:left="426" w:hanging="426"/>
        <w:rPr>
          <w:rFonts w:eastAsia="Calibri" w:cstheme="majorHAnsi"/>
          <w:sz w:val="22"/>
          <w:szCs w:val="22"/>
        </w:rPr>
      </w:pPr>
      <w:r w:rsidRPr="00032A8E">
        <w:rPr>
          <w:rFonts w:eastAsia="Calibri" w:cstheme="majorHAnsi"/>
          <w:sz w:val="22"/>
          <w:szCs w:val="22"/>
        </w:rPr>
        <w:t xml:space="preserve">Will the decision maker approve a different grant amount to what I requested? </w:t>
      </w:r>
    </w:p>
    <w:p w:rsidR="00A41182" w:rsidRPr="00032A8E" w:rsidRDefault="00D25B17" w:rsidP="00A41182">
      <w:pPr>
        <w:ind w:left="426"/>
        <w:rPr>
          <w:rFonts w:asciiTheme="majorHAnsi" w:hAnsiTheme="majorHAnsi" w:cstheme="majorHAnsi"/>
          <w:iCs/>
        </w:rPr>
      </w:pPr>
      <w:r w:rsidRPr="00032A8E">
        <w:rPr>
          <w:rFonts w:asciiTheme="majorHAnsi" w:hAnsiTheme="majorHAnsi" w:cstheme="majorHAnsi"/>
          <w:iCs/>
        </w:rPr>
        <w:t xml:space="preserve">It </w:t>
      </w:r>
      <w:r w:rsidR="00A41182" w:rsidRPr="00032A8E">
        <w:rPr>
          <w:rFonts w:asciiTheme="majorHAnsi" w:hAnsiTheme="majorHAnsi" w:cstheme="majorHAnsi"/>
          <w:iCs/>
        </w:rPr>
        <w:t>is possible</w:t>
      </w:r>
      <w:r w:rsidRPr="00032A8E">
        <w:rPr>
          <w:rFonts w:asciiTheme="majorHAnsi" w:hAnsiTheme="majorHAnsi" w:cstheme="majorHAnsi"/>
          <w:iCs/>
        </w:rPr>
        <w:t xml:space="preserve"> that t</w:t>
      </w:r>
      <w:r w:rsidR="00C44E84" w:rsidRPr="00032A8E">
        <w:rPr>
          <w:rFonts w:asciiTheme="majorHAnsi" w:hAnsiTheme="majorHAnsi" w:cstheme="majorHAnsi"/>
          <w:iCs/>
        </w:rPr>
        <w:t xml:space="preserve">he grant amount offered to successful applicants </w:t>
      </w:r>
      <w:r w:rsidRPr="00032A8E">
        <w:rPr>
          <w:rFonts w:asciiTheme="majorHAnsi" w:hAnsiTheme="majorHAnsi" w:cstheme="majorHAnsi"/>
          <w:iCs/>
        </w:rPr>
        <w:t xml:space="preserve">is less than the funding requested. There is no obligation to accept an offer of grant funding. The amount of grant funding is </w:t>
      </w:r>
      <w:r w:rsidR="00C44E84" w:rsidRPr="00032A8E">
        <w:rPr>
          <w:rFonts w:asciiTheme="majorHAnsi" w:hAnsiTheme="majorHAnsi" w:cstheme="majorHAnsi"/>
          <w:iCs/>
        </w:rPr>
        <w:t>a decision for the Minister</w:t>
      </w:r>
      <w:r w:rsidR="00A41182" w:rsidRPr="00032A8E">
        <w:rPr>
          <w:rFonts w:asciiTheme="majorHAnsi" w:hAnsiTheme="majorHAnsi" w:cstheme="majorHAnsi"/>
          <w:iCs/>
        </w:rPr>
        <w:t xml:space="preserve"> for Agriculture and Water Resources</w:t>
      </w:r>
      <w:r w:rsidRPr="00032A8E">
        <w:rPr>
          <w:rFonts w:asciiTheme="majorHAnsi" w:hAnsiTheme="majorHAnsi" w:cstheme="majorHAnsi"/>
          <w:iCs/>
        </w:rPr>
        <w:t xml:space="preserve"> and t</w:t>
      </w:r>
      <w:r w:rsidR="009643DA" w:rsidRPr="00032A8E">
        <w:rPr>
          <w:rFonts w:asciiTheme="majorHAnsi" w:hAnsiTheme="majorHAnsi" w:cstheme="majorHAnsi"/>
          <w:iCs/>
        </w:rPr>
        <w:t>he decision of the Minister is final</w:t>
      </w:r>
      <w:r w:rsidR="00C44E84" w:rsidRPr="00032A8E">
        <w:rPr>
          <w:rFonts w:asciiTheme="majorHAnsi" w:hAnsiTheme="majorHAnsi" w:cstheme="majorHAnsi"/>
          <w:iCs/>
        </w:rPr>
        <w:t xml:space="preserve">. </w:t>
      </w:r>
    </w:p>
    <w:p w:rsidR="009643DA" w:rsidRPr="00032A8E" w:rsidRDefault="009643DA" w:rsidP="00D2598A">
      <w:pPr>
        <w:ind w:left="426"/>
        <w:rPr>
          <w:rFonts w:asciiTheme="majorHAnsi" w:hAnsiTheme="majorHAnsi" w:cstheme="majorHAnsi"/>
          <w:iCs/>
        </w:rPr>
      </w:pPr>
      <w:r w:rsidRPr="00032A8E">
        <w:rPr>
          <w:rFonts w:asciiTheme="majorHAnsi" w:hAnsiTheme="majorHAnsi" w:cstheme="majorHAnsi"/>
          <w:iCs/>
        </w:rPr>
        <w:t xml:space="preserve">In addition, </w:t>
      </w:r>
      <w:r w:rsidR="003852B4" w:rsidRPr="00032A8E">
        <w:rPr>
          <w:rFonts w:asciiTheme="majorHAnsi" w:hAnsiTheme="majorHAnsi" w:cstheme="majorHAnsi"/>
          <w:iCs/>
        </w:rPr>
        <w:t xml:space="preserve">the department </w:t>
      </w:r>
      <w:r w:rsidRPr="00032A8E">
        <w:rPr>
          <w:rFonts w:asciiTheme="majorHAnsi" w:hAnsiTheme="majorHAnsi" w:cstheme="majorHAnsi"/>
          <w:iCs/>
        </w:rPr>
        <w:t>reserve</w:t>
      </w:r>
      <w:r w:rsidR="003852B4" w:rsidRPr="00032A8E">
        <w:rPr>
          <w:rFonts w:asciiTheme="majorHAnsi" w:hAnsiTheme="majorHAnsi" w:cstheme="majorHAnsi"/>
          <w:iCs/>
        </w:rPr>
        <w:t>s</w:t>
      </w:r>
      <w:r w:rsidRPr="00032A8E">
        <w:rPr>
          <w:rFonts w:asciiTheme="majorHAnsi" w:hAnsiTheme="majorHAnsi" w:cstheme="majorHAnsi"/>
          <w:iCs/>
        </w:rPr>
        <w:t xml:space="preserve"> the right to:</w:t>
      </w:r>
    </w:p>
    <w:p w:rsidR="009643DA" w:rsidRPr="00032A8E" w:rsidRDefault="009643DA" w:rsidP="00D2598A">
      <w:pPr>
        <w:pStyle w:val="ListParagraph"/>
        <w:numPr>
          <w:ilvl w:val="0"/>
          <w:numId w:val="14"/>
        </w:numPr>
        <w:rPr>
          <w:rFonts w:asciiTheme="majorHAnsi" w:hAnsiTheme="majorHAnsi" w:cstheme="majorHAnsi"/>
          <w:iCs/>
        </w:rPr>
      </w:pPr>
      <w:r w:rsidRPr="00032A8E">
        <w:rPr>
          <w:rFonts w:asciiTheme="majorHAnsi" w:hAnsiTheme="majorHAnsi" w:cstheme="majorHAnsi"/>
          <w:iCs/>
        </w:rPr>
        <w:t>negotiate the sc</w:t>
      </w:r>
      <w:r w:rsidR="009052EF" w:rsidRPr="00032A8E">
        <w:rPr>
          <w:rFonts w:asciiTheme="majorHAnsi" w:hAnsiTheme="majorHAnsi" w:cstheme="majorHAnsi"/>
          <w:iCs/>
        </w:rPr>
        <w:t>ope of a project under the fund</w:t>
      </w:r>
    </w:p>
    <w:p w:rsidR="009643DA" w:rsidRPr="00032A8E" w:rsidRDefault="009643DA" w:rsidP="00D2598A">
      <w:pPr>
        <w:pStyle w:val="ListParagraph"/>
        <w:numPr>
          <w:ilvl w:val="0"/>
          <w:numId w:val="14"/>
        </w:numPr>
        <w:rPr>
          <w:rFonts w:asciiTheme="majorHAnsi" w:hAnsiTheme="majorHAnsi" w:cstheme="majorHAnsi"/>
          <w:iCs/>
        </w:rPr>
      </w:pPr>
      <w:r w:rsidRPr="00032A8E">
        <w:rPr>
          <w:rFonts w:asciiTheme="majorHAnsi" w:hAnsiTheme="majorHAnsi" w:cstheme="majorHAnsi"/>
          <w:iCs/>
        </w:rPr>
        <w:t>specify conditions attached to the grant</w:t>
      </w:r>
      <w:r w:rsidR="00D25B17" w:rsidRPr="00032A8E">
        <w:rPr>
          <w:rFonts w:asciiTheme="majorHAnsi" w:hAnsiTheme="majorHAnsi" w:cstheme="majorHAnsi"/>
          <w:iCs/>
        </w:rPr>
        <w:t>, and</w:t>
      </w:r>
    </w:p>
    <w:p w:rsidR="009643DA" w:rsidRPr="00032A8E" w:rsidRDefault="009643DA" w:rsidP="00D2598A">
      <w:pPr>
        <w:pStyle w:val="ListParagraph"/>
        <w:numPr>
          <w:ilvl w:val="0"/>
          <w:numId w:val="14"/>
        </w:numPr>
        <w:rPr>
          <w:rFonts w:asciiTheme="majorHAnsi" w:hAnsiTheme="majorHAnsi" w:cstheme="majorHAnsi"/>
          <w:iCs/>
        </w:rPr>
      </w:pPr>
      <w:proofErr w:type="gramStart"/>
      <w:r w:rsidRPr="00032A8E">
        <w:rPr>
          <w:rFonts w:asciiTheme="majorHAnsi" w:hAnsiTheme="majorHAnsi" w:cstheme="majorHAnsi"/>
          <w:iCs/>
        </w:rPr>
        <w:t>impose</w:t>
      </w:r>
      <w:proofErr w:type="gramEnd"/>
      <w:r w:rsidRPr="00032A8E">
        <w:rPr>
          <w:rFonts w:asciiTheme="majorHAnsi" w:hAnsiTheme="majorHAnsi" w:cstheme="majorHAnsi"/>
          <w:iCs/>
        </w:rPr>
        <w:t xml:space="preserve"> conditions that must be met before funding is provided.</w:t>
      </w:r>
    </w:p>
    <w:p w:rsidR="00FC0F90" w:rsidRPr="00032A8E" w:rsidRDefault="00FC0F90" w:rsidP="00A41182">
      <w:pPr>
        <w:pStyle w:val="Heading2"/>
        <w:numPr>
          <w:ilvl w:val="0"/>
          <w:numId w:val="6"/>
        </w:numPr>
        <w:ind w:left="426" w:hanging="426"/>
        <w:rPr>
          <w:rFonts w:eastAsia="Calibri" w:cstheme="majorHAnsi"/>
          <w:sz w:val="22"/>
          <w:szCs w:val="22"/>
        </w:rPr>
      </w:pPr>
      <w:r w:rsidRPr="00032A8E">
        <w:rPr>
          <w:rFonts w:eastAsia="Calibri" w:cstheme="majorHAnsi"/>
          <w:sz w:val="22"/>
          <w:szCs w:val="22"/>
        </w:rPr>
        <w:t xml:space="preserve">Will there be future </w:t>
      </w:r>
      <w:r w:rsidR="00D25B17" w:rsidRPr="00032A8E">
        <w:rPr>
          <w:rFonts w:eastAsia="Calibri" w:cstheme="majorHAnsi"/>
          <w:sz w:val="22"/>
          <w:szCs w:val="22"/>
        </w:rPr>
        <w:t xml:space="preserve">funding </w:t>
      </w:r>
      <w:r w:rsidRPr="00032A8E">
        <w:rPr>
          <w:rFonts w:eastAsia="Calibri" w:cstheme="majorHAnsi"/>
          <w:sz w:val="22"/>
          <w:szCs w:val="22"/>
        </w:rPr>
        <w:t>rounds?</w:t>
      </w:r>
    </w:p>
    <w:p w:rsidR="00FC0F90" w:rsidRPr="00032A8E" w:rsidRDefault="00A41182" w:rsidP="00A41182">
      <w:pPr>
        <w:ind w:left="426"/>
        <w:rPr>
          <w:rFonts w:asciiTheme="majorHAnsi" w:hAnsiTheme="majorHAnsi" w:cstheme="majorHAnsi"/>
          <w:iCs/>
        </w:rPr>
      </w:pPr>
      <w:r w:rsidRPr="00032A8E">
        <w:rPr>
          <w:rFonts w:asciiTheme="majorHAnsi" w:hAnsiTheme="majorHAnsi" w:cstheme="majorHAnsi"/>
          <w:iCs/>
        </w:rPr>
        <w:t>The d</w:t>
      </w:r>
      <w:r w:rsidR="00FC0F90" w:rsidRPr="00032A8E">
        <w:rPr>
          <w:rFonts w:asciiTheme="majorHAnsi" w:hAnsiTheme="majorHAnsi" w:cstheme="majorHAnsi"/>
          <w:iCs/>
        </w:rPr>
        <w:t>ecision</w:t>
      </w:r>
      <w:r w:rsidRPr="00032A8E">
        <w:rPr>
          <w:rFonts w:asciiTheme="majorHAnsi" w:hAnsiTheme="majorHAnsi" w:cstheme="majorHAnsi"/>
          <w:iCs/>
        </w:rPr>
        <w:t xml:space="preserve"> </w:t>
      </w:r>
      <w:r w:rsidR="00D25B17" w:rsidRPr="00032A8E">
        <w:rPr>
          <w:rFonts w:asciiTheme="majorHAnsi" w:hAnsiTheme="majorHAnsi" w:cstheme="majorHAnsi"/>
          <w:iCs/>
        </w:rPr>
        <w:t xml:space="preserve">to undertake another </w:t>
      </w:r>
      <w:r w:rsidRPr="00032A8E">
        <w:rPr>
          <w:rFonts w:asciiTheme="majorHAnsi" w:hAnsiTheme="majorHAnsi" w:cstheme="majorHAnsi"/>
          <w:iCs/>
        </w:rPr>
        <w:t>round</w:t>
      </w:r>
      <w:r w:rsidR="00D25B17" w:rsidRPr="00032A8E">
        <w:rPr>
          <w:rFonts w:asciiTheme="majorHAnsi" w:hAnsiTheme="majorHAnsi" w:cstheme="majorHAnsi"/>
          <w:iCs/>
        </w:rPr>
        <w:t xml:space="preserve"> of funding is</w:t>
      </w:r>
      <w:r w:rsidRPr="00032A8E">
        <w:rPr>
          <w:rFonts w:asciiTheme="majorHAnsi" w:hAnsiTheme="majorHAnsi" w:cstheme="majorHAnsi"/>
          <w:iCs/>
        </w:rPr>
        <w:t xml:space="preserve"> at the discretion of the Minister for Agriculture and Water Resources. </w:t>
      </w:r>
      <w:r w:rsidR="00D25B17" w:rsidRPr="00032A8E">
        <w:rPr>
          <w:rFonts w:asciiTheme="majorHAnsi" w:hAnsiTheme="majorHAnsi" w:cstheme="majorHAnsi"/>
          <w:iCs/>
        </w:rPr>
        <w:t>A future funding round might occur if there was sufficient available funding after the first round is concluded. Applicants should apply in this funding round and should not rely on a possible future funding round.</w:t>
      </w:r>
      <w:r w:rsidR="00FC0F90" w:rsidRPr="00032A8E">
        <w:rPr>
          <w:rFonts w:asciiTheme="majorHAnsi" w:hAnsiTheme="majorHAnsi" w:cstheme="majorHAnsi"/>
          <w:iCs/>
        </w:rPr>
        <w:t xml:space="preserve"> </w:t>
      </w:r>
    </w:p>
    <w:p w:rsidR="00E94149" w:rsidRPr="00032A8E" w:rsidRDefault="00E94149" w:rsidP="0090220A">
      <w:pPr>
        <w:pStyle w:val="Heading2"/>
        <w:numPr>
          <w:ilvl w:val="0"/>
          <w:numId w:val="6"/>
        </w:numPr>
        <w:ind w:left="426" w:hanging="426"/>
        <w:rPr>
          <w:rFonts w:eastAsia="Calibri" w:cstheme="majorHAnsi"/>
          <w:sz w:val="22"/>
          <w:szCs w:val="22"/>
        </w:rPr>
      </w:pPr>
      <w:r w:rsidRPr="00032A8E">
        <w:rPr>
          <w:rFonts w:eastAsia="Calibri" w:cstheme="majorHAnsi"/>
          <w:sz w:val="22"/>
          <w:szCs w:val="22"/>
        </w:rPr>
        <w:lastRenderedPageBreak/>
        <w:t xml:space="preserve">Where should I go for further information? </w:t>
      </w:r>
    </w:p>
    <w:p w:rsidR="005B578B" w:rsidRDefault="00E94149" w:rsidP="00BC0045">
      <w:pPr>
        <w:ind w:left="567" w:hanging="141"/>
        <w:rPr>
          <w:rFonts w:asciiTheme="minorHAnsi" w:hAnsiTheme="minorHAnsi" w:cs="Times New Roman"/>
          <w:b/>
          <w:color w:val="000000" w:themeColor="text1"/>
          <w:szCs w:val="20"/>
          <w:u w:val="single"/>
        </w:rPr>
      </w:pPr>
      <w:r w:rsidRPr="00032A8E">
        <w:rPr>
          <w:rFonts w:asciiTheme="majorHAnsi" w:hAnsiTheme="majorHAnsi" w:cstheme="majorHAnsi"/>
        </w:rPr>
        <w:t xml:space="preserve">Please email your enquiries to </w:t>
      </w:r>
      <w:hyperlink r:id="rId14" w:history="1">
        <w:r w:rsidRPr="00032A8E">
          <w:rPr>
            <w:rStyle w:val="Hyperlink"/>
            <w:rFonts w:asciiTheme="majorHAnsi" w:hAnsiTheme="majorHAnsi" w:cstheme="majorHAnsi"/>
          </w:rPr>
          <w:t>support@communitygrants.gov.au</w:t>
        </w:r>
      </w:hyperlink>
      <w:r w:rsidR="00EE6CC7">
        <w:rPr>
          <w:rStyle w:val="Hyperlink"/>
          <w:rFonts w:asciiTheme="majorHAnsi" w:hAnsiTheme="majorHAnsi" w:cstheme="majorHAnsi"/>
          <w:color w:val="auto"/>
          <w:u w:val="none"/>
        </w:rPr>
        <w:t>.</w:t>
      </w:r>
    </w:p>
    <w:p w:rsidR="005D67AA" w:rsidRPr="00BC0045" w:rsidRDefault="00A92C6B" w:rsidP="005B578B">
      <w:pPr>
        <w:pStyle w:val="BodyText"/>
        <w:rPr>
          <w:u w:val="single"/>
        </w:rPr>
      </w:pPr>
      <w:r w:rsidRPr="00BC0045">
        <w:rPr>
          <w:u w:val="single"/>
        </w:rPr>
        <w:t xml:space="preserve">New </w:t>
      </w:r>
      <w:r w:rsidR="005B578B" w:rsidRPr="00BC0045">
        <w:rPr>
          <w:u w:val="single"/>
        </w:rPr>
        <w:t>questions and answers added 11 F</w:t>
      </w:r>
      <w:r w:rsidRPr="00BC0045">
        <w:rPr>
          <w:u w:val="single"/>
        </w:rPr>
        <w:t>ebruary</w:t>
      </w:r>
    </w:p>
    <w:p w:rsidR="00EE6CC7" w:rsidRPr="00987144" w:rsidRDefault="00EE6CC7" w:rsidP="00EE6CC7">
      <w:pPr>
        <w:pStyle w:val="Heading2"/>
        <w:numPr>
          <w:ilvl w:val="0"/>
          <w:numId w:val="6"/>
        </w:numPr>
        <w:ind w:left="426" w:hanging="426"/>
        <w:rPr>
          <w:rFonts w:eastAsia="Calibri" w:cstheme="majorHAnsi"/>
          <w:sz w:val="22"/>
          <w:szCs w:val="22"/>
        </w:rPr>
      </w:pPr>
      <w:r>
        <w:rPr>
          <w:rFonts w:eastAsia="Calibri" w:cstheme="majorHAnsi"/>
          <w:sz w:val="22"/>
          <w:szCs w:val="22"/>
        </w:rPr>
        <w:t xml:space="preserve">Can I check if my project proposal is likely to be successful before I apply? </w:t>
      </w:r>
    </w:p>
    <w:p w:rsidR="00EE6CC7" w:rsidRDefault="00EE6CC7" w:rsidP="00EE6CC7">
      <w:pPr>
        <w:ind w:left="426"/>
        <w:rPr>
          <w:rFonts w:asciiTheme="majorHAnsi" w:hAnsiTheme="majorHAnsi" w:cstheme="majorHAnsi"/>
          <w:lang w:eastAsia="ja-JP"/>
        </w:rPr>
      </w:pPr>
      <w:r>
        <w:rPr>
          <w:rFonts w:asciiTheme="majorHAnsi" w:hAnsiTheme="majorHAnsi" w:cstheme="majorHAnsi"/>
          <w:lang w:eastAsia="ja-JP"/>
        </w:rPr>
        <w:t xml:space="preserve">No, the Department is </w:t>
      </w:r>
      <w:r w:rsidRPr="00987144">
        <w:rPr>
          <w:rFonts w:asciiTheme="majorHAnsi" w:hAnsiTheme="majorHAnsi" w:cstheme="majorHAnsi"/>
          <w:lang w:eastAsia="ja-JP"/>
        </w:rPr>
        <w:t xml:space="preserve">unable to </w:t>
      </w:r>
      <w:r>
        <w:rPr>
          <w:rFonts w:asciiTheme="majorHAnsi" w:hAnsiTheme="majorHAnsi" w:cstheme="majorHAnsi"/>
          <w:lang w:eastAsia="ja-JP"/>
        </w:rPr>
        <w:t>provide</w:t>
      </w:r>
      <w:r w:rsidRPr="00987144">
        <w:rPr>
          <w:rFonts w:asciiTheme="majorHAnsi" w:hAnsiTheme="majorHAnsi" w:cstheme="majorHAnsi"/>
          <w:lang w:eastAsia="ja-JP"/>
        </w:rPr>
        <w:t xml:space="preserve"> advice about the </w:t>
      </w:r>
      <w:r>
        <w:rPr>
          <w:rFonts w:asciiTheme="majorHAnsi" w:hAnsiTheme="majorHAnsi" w:cstheme="majorHAnsi"/>
          <w:lang w:eastAsia="ja-JP"/>
        </w:rPr>
        <w:t>suitability of your proposed project or the l</w:t>
      </w:r>
      <w:r w:rsidRPr="00987144">
        <w:rPr>
          <w:rFonts w:asciiTheme="majorHAnsi" w:hAnsiTheme="majorHAnsi" w:cstheme="majorHAnsi"/>
          <w:lang w:eastAsia="ja-JP"/>
        </w:rPr>
        <w:t>ikel</w:t>
      </w:r>
      <w:r>
        <w:rPr>
          <w:rFonts w:asciiTheme="majorHAnsi" w:hAnsiTheme="majorHAnsi" w:cstheme="majorHAnsi"/>
          <w:lang w:eastAsia="ja-JP"/>
        </w:rPr>
        <w:t>ihood of its success for grant funding.</w:t>
      </w:r>
    </w:p>
    <w:p w:rsidR="00EE6CC7" w:rsidRDefault="00EE6CC7" w:rsidP="00EE6CC7">
      <w:pPr>
        <w:ind w:left="426"/>
        <w:rPr>
          <w:rFonts w:asciiTheme="majorHAnsi" w:hAnsiTheme="majorHAnsi" w:cstheme="majorHAnsi"/>
          <w:lang w:eastAsia="ja-JP"/>
        </w:rPr>
      </w:pPr>
      <w:r>
        <w:rPr>
          <w:rFonts w:asciiTheme="majorHAnsi" w:hAnsiTheme="majorHAnsi" w:cstheme="majorHAnsi"/>
          <w:lang w:eastAsia="ja-JP"/>
        </w:rPr>
        <w:t>G</w:t>
      </w:r>
      <w:r w:rsidRPr="00987144">
        <w:rPr>
          <w:rFonts w:asciiTheme="majorHAnsi" w:hAnsiTheme="majorHAnsi" w:cstheme="majorHAnsi"/>
          <w:lang w:eastAsia="ja-JP"/>
        </w:rPr>
        <w:t>rant funding can be used for a broad range of</w:t>
      </w:r>
      <w:r>
        <w:rPr>
          <w:rFonts w:asciiTheme="majorHAnsi" w:hAnsiTheme="majorHAnsi" w:cstheme="majorHAnsi"/>
          <w:lang w:eastAsia="ja-JP"/>
        </w:rPr>
        <w:t xml:space="preserve"> economic development projects and your description of the proposed </w:t>
      </w:r>
      <w:r w:rsidRPr="00987144">
        <w:rPr>
          <w:rFonts w:asciiTheme="majorHAnsi" w:hAnsiTheme="majorHAnsi" w:cstheme="majorHAnsi"/>
          <w:lang w:eastAsia="ja-JP"/>
        </w:rPr>
        <w:t xml:space="preserve">project </w:t>
      </w:r>
      <w:r>
        <w:rPr>
          <w:rFonts w:asciiTheme="majorHAnsi" w:hAnsiTheme="majorHAnsi" w:cstheme="majorHAnsi"/>
          <w:lang w:eastAsia="ja-JP"/>
        </w:rPr>
        <w:t xml:space="preserve">should clearly describe how the project meets the selection criteria outlined </w:t>
      </w:r>
      <w:r w:rsidRPr="00987144">
        <w:rPr>
          <w:rFonts w:asciiTheme="majorHAnsi" w:hAnsiTheme="majorHAnsi" w:cstheme="majorHAnsi"/>
          <w:lang w:eastAsia="ja-JP"/>
        </w:rPr>
        <w:t>in the program guidelines.</w:t>
      </w:r>
    </w:p>
    <w:p w:rsidR="00EE6CC7" w:rsidRPr="00987144" w:rsidRDefault="00EE6CC7" w:rsidP="00EE6CC7">
      <w:pPr>
        <w:ind w:left="426"/>
        <w:rPr>
          <w:rFonts w:asciiTheme="majorHAnsi" w:hAnsiTheme="majorHAnsi" w:cstheme="majorHAnsi"/>
          <w:lang w:eastAsia="ja-JP"/>
        </w:rPr>
      </w:pPr>
      <w:r w:rsidRPr="00987144">
        <w:rPr>
          <w:rFonts w:asciiTheme="majorHAnsi" w:hAnsiTheme="majorHAnsi" w:cstheme="majorHAnsi"/>
          <w:lang w:eastAsia="ja-JP"/>
        </w:rPr>
        <w:t>The suitability, and therefore the success of any project in attracting funding, is directly linked to how well the project meets the selection criteria. Successful projects will be those that deliver economic benefits that address the economic impacts of water recovery on one or more of the eligible communities.</w:t>
      </w:r>
    </w:p>
    <w:p w:rsidR="00EE6CC7" w:rsidRPr="00987144" w:rsidRDefault="00EE6CC7" w:rsidP="00EE6CC7">
      <w:pPr>
        <w:pStyle w:val="Heading2"/>
        <w:numPr>
          <w:ilvl w:val="0"/>
          <w:numId w:val="6"/>
        </w:numPr>
        <w:ind w:left="426" w:hanging="426"/>
        <w:rPr>
          <w:rFonts w:eastAsia="Calibri" w:cstheme="majorHAnsi"/>
          <w:sz w:val="22"/>
          <w:szCs w:val="22"/>
        </w:rPr>
      </w:pPr>
      <w:r>
        <w:rPr>
          <w:rFonts w:eastAsia="Calibri" w:cstheme="majorHAnsi"/>
          <w:sz w:val="22"/>
          <w:szCs w:val="22"/>
        </w:rPr>
        <w:t>If I put in more than one application, is there a requirement to prioritise the applications?</w:t>
      </w:r>
    </w:p>
    <w:p w:rsidR="00EE6CC7" w:rsidRDefault="00EE6CC7" w:rsidP="00EE6CC7">
      <w:pPr>
        <w:ind w:left="426"/>
        <w:rPr>
          <w:rFonts w:asciiTheme="majorHAnsi" w:hAnsiTheme="majorHAnsi" w:cstheme="majorHAnsi"/>
          <w:lang w:eastAsia="ja-JP"/>
        </w:rPr>
      </w:pPr>
      <w:r w:rsidRPr="0047525D">
        <w:rPr>
          <w:rFonts w:asciiTheme="majorHAnsi" w:hAnsiTheme="majorHAnsi" w:cstheme="majorHAnsi"/>
          <w:lang w:eastAsia="ja-JP"/>
        </w:rPr>
        <w:t xml:space="preserve">You may submit more than one application </w:t>
      </w:r>
      <w:r>
        <w:rPr>
          <w:rFonts w:asciiTheme="majorHAnsi" w:hAnsiTheme="majorHAnsi" w:cstheme="majorHAnsi"/>
          <w:lang w:eastAsia="ja-JP"/>
        </w:rPr>
        <w:t xml:space="preserve">but </w:t>
      </w:r>
      <w:r w:rsidRPr="0047525D">
        <w:rPr>
          <w:rFonts w:asciiTheme="majorHAnsi" w:hAnsiTheme="majorHAnsi" w:cstheme="majorHAnsi"/>
          <w:lang w:eastAsia="ja-JP"/>
        </w:rPr>
        <w:t>there is no need to provide your perspective on the relative priority of your applications. Each project will be assessed on its own merits against the assessment criteria</w:t>
      </w:r>
      <w:r>
        <w:rPr>
          <w:rFonts w:asciiTheme="majorHAnsi" w:hAnsiTheme="majorHAnsi" w:cstheme="majorHAnsi"/>
          <w:lang w:eastAsia="ja-JP"/>
        </w:rPr>
        <w:t xml:space="preserve"> and </w:t>
      </w:r>
      <w:r w:rsidRPr="0047525D">
        <w:rPr>
          <w:rFonts w:asciiTheme="majorHAnsi" w:hAnsiTheme="majorHAnsi" w:cstheme="majorHAnsi"/>
          <w:lang w:eastAsia="ja-JP"/>
        </w:rPr>
        <w:t>in competition with other projects</w:t>
      </w:r>
      <w:r>
        <w:rPr>
          <w:rFonts w:asciiTheme="majorHAnsi" w:hAnsiTheme="majorHAnsi" w:cstheme="majorHAnsi"/>
          <w:lang w:eastAsia="ja-JP"/>
        </w:rPr>
        <w:t>.</w:t>
      </w:r>
      <w:r w:rsidRPr="0047525D">
        <w:rPr>
          <w:rFonts w:asciiTheme="majorHAnsi" w:hAnsiTheme="majorHAnsi" w:cstheme="majorHAnsi"/>
          <w:lang w:eastAsia="ja-JP"/>
        </w:rPr>
        <w:t xml:space="preserve"> </w:t>
      </w:r>
    </w:p>
    <w:p w:rsidR="00EE6CC7" w:rsidRPr="00987144" w:rsidRDefault="00EE6CC7" w:rsidP="00EE6CC7">
      <w:pPr>
        <w:pStyle w:val="Heading2"/>
        <w:numPr>
          <w:ilvl w:val="0"/>
          <w:numId w:val="6"/>
        </w:numPr>
        <w:ind w:left="426" w:hanging="426"/>
        <w:rPr>
          <w:rFonts w:eastAsia="Calibri" w:cstheme="majorHAnsi"/>
        </w:rPr>
      </w:pPr>
      <w:r>
        <w:rPr>
          <w:rFonts w:eastAsia="Calibri" w:cstheme="majorHAnsi"/>
          <w:sz w:val="22"/>
          <w:szCs w:val="22"/>
        </w:rPr>
        <w:t>Is it best to do a joint application with other organisations or submit separate applications for each organisation?</w:t>
      </w:r>
    </w:p>
    <w:p w:rsidR="00EE6CC7" w:rsidRDefault="00EE6CC7" w:rsidP="00EE6CC7">
      <w:pPr>
        <w:ind w:left="426"/>
        <w:rPr>
          <w:rFonts w:asciiTheme="majorHAnsi" w:hAnsiTheme="majorHAnsi" w:cstheme="majorHAnsi"/>
          <w:lang w:eastAsia="ja-JP"/>
        </w:rPr>
      </w:pPr>
      <w:r>
        <w:rPr>
          <w:rFonts w:asciiTheme="majorHAnsi" w:hAnsiTheme="majorHAnsi" w:cstheme="majorHAnsi"/>
          <w:lang w:eastAsia="ja-JP"/>
        </w:rPr>
        <w:t>The decision to lodge one application for a project or multiple applications for separate components is one for the members of the group.</w:t>
      </w:r>
      <w:r w:rsidRPr="00313403">
        <w:rPr>
          <w:rFonts w:asciiTheme="majorHAnsi" w:hAnsiTheme="majorHAnsi" w:cstheme="majorHAnsi"/>
          <w:lang w:eastAsia="ja-JP"/>
        </w:rPr>
        <w:t xml:space="preserve"> However, joint applications would be sensible where one application is dependent on other applications to proceed or if economies of scale are required to make a project viable.</w:t>
      </w:r>
    </w:p>
    <w:p w:rsidR="009052EF" w:rsidRDefault="009052EF" w:rsidP="00422FAD">
      <w:pPr>
        <w:rPr>
          <w:b/>
        </w:rPr>
      </w:pPr>
    </w:p>
    <w:sectPr w:rsidR="009052EF" w:rsidSect="00105397">
      <w:headerReference w:type="default" r:id="rId15"/>
      <w:footerReference w:type="default" r:id="rId16"/>
      <w:headerReference w:type="first" r:id="rId17"/>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614" w:rsidRDefault="008E7614" w:rsidP="00772718">
      <w:pPr>
        <w:spacing w:line="240" w:lineRule="auto"/>
      </w:pPr>
      <w:r>
        <w:separator/>
      </w:r>
    </w:p>
  </w:endnote>
  <w:endnote w:type="continuationSeparator" w:id="0">
    <w:p w:rsidR="008E7614" w:rsidRDefault="008E7614"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03DA822A" wp14:editId="70C024A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B917DD"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614" w:rsidRDefault="008E7614" w:rsidP="00772718">
      <w:pPr>
        <w:spacing w:line="240" w:lineRule="auto"/>
      </w:pPr>
      <w:r>
        <w:separator/>
      </w:r>
    </w:p>
  </w:footnote>
  <w:footnote w:type="continuationSeparator" w:id="0">
    <w:p w:rsidR="008E7614" w:rsidRDefault="008E7614"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65B025EC" wp14:editId="31ABB5C3">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4F6006"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2368CA51" wp14:editId="06263C0D">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164AF8A2" wp14:editId="553109EF">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555700AC" wp14:editId="05C1A114">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8F0A8D"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OMIA&#10;AADaAAAADwAAAGRycy9kb3ducmV2LnhtbESPQYvCMBSE74L/ITxhb5oqKNI1yiIIgqCr9uLt0Tzb&#10;7jYvJYm1/febBcHjMDPfMKtNZ2rRkvOVZQXTSQKCOLe64kJBdt2NlyB8QNZYWyYFPXnYrIeDFaba&#10;PvlM7SUUIkLYp6igDKFJpfR5SQb9xDbE0btbZzBE6QqpHT4j3NRyliQLabDiuFBiQ9uS8t/Lwyjg&#10;U37q+6Q7fjtZ3H4Whzbb1nelPkbd1yeIQF14h1/tvVYwh/8r8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44wgAAANoAAAAPAAAAAAAAAAAAAAAAAJgCAABkcnMvZG93&#10;bnJldi54bWxQSwUGAAAAAAQABAD1AAAAhwM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h7cMA&#10;AADaAAAADwAAAGRycy9kb3ducmV2LnhtbESPwWrDMBBE74X8g9hALqWRa6gxjpUQCoEcG7c59LZY&#10;G1vEWjmWajt/HxUKPQ4z84Ypd7PtxEiDN44VvK4TEMS104YbBV+fh5cchA/IGjvHpOBOHnbbxVOJ&#10;hXYTn2isQiMihH2BCtoQ+kJKX7dk0a9dTxy9ixsshiiHRuoBpwi3nUyTJJMWDceFFnt6b6m+Vj9W&#10;wTk/Vpk5pNlYPRt257f97Vt/KLVazvsNiEBz+A//tY9aQQa/V+IN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vh7cMAAADaAAAADwAAAAAAAAAAAAAAAACYAgAAZHJzL2Rv&#10;d25yZXYueG1sUEsFBgAAAAAEAAQA9QAAAIgD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oP8AA&#10;AADaAAAADwAAAGRycy9kb3ducmV2LnhtbESP0YrCMBRE3xf8h3AF39ZUQVerUUQQBAXZ6gdcm2tb&#10;bG5KE231640g+DjMzBlmvmxNKe5Uu8KygkE/AkGcWl1wpuB03PxOQDiPrLG0TAoe5GC56PzMMda2&#10;4X+6Jz4TAcIuRgW591UspUtzMuj6tiIO3sXWBn2QdSZ1jU2Am1IOo2gsDRYcFnKsaJ1Tek1uRoE+&#10;N/7pDqNqp0/TkrTdX4etU6rXbVczEJ5a/w1/2lut4A/eV8IN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FoP8AAAADaAAAADwAAAAAAAAAAAAAAAACYAgAAZHJzL2Rvd25y&#10;ZXYueG1sUEsFBgAAAAAEAAQA9QAAAIUD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Zor8A&#10;AADaAAAADwAAAGRycy9kb3ducmV2LnhtbERPy4rCMBTdC/5DuII7TZ2FjNUoIgrjQmZ8IC4vzbUp&#10;NjelibX16yeLgVkeznuxam0pGqp94VjBZJyAIM6cLjhXcDnvRp8gfEDWWDomBR15WC37vQWm2r34&#10;SM0p5CKGsE9RgQmhSqX0mSGLfuwq4sjdXW0xRFjnUtf4iuG2lB9JMpUWC44NBivaGMoep6dV8FMd&#10;zAy1vbbbW/Lums33vjNSqeGgXc9BBGrDv/jP/aU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6BmivwAAANoAAAAPAAAAAAAAAAAAAAAAAJgCAABkcnMvZG93bnJl&#10;di54bWxQSwUGAAAAAAQABAD1AAAAhAM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1cEA&#10;AADaAAAADwAAAGRycy9kb3ducmV2LnhtbESPQYvCMBSE78L+h/AW9qaJLrhajSKiIHgo1t37o3m2&#10;xealNlHrvzeCsMdhZr5h5svO1uJGra8caxgOFAji3JmKCw2/x21/AsIHZIO1Y9LwIA/LxUdvjolx&#10;dz7QLQuFiBD2CWooQ2gSKX1ekkU/cA1x9E6utRiibAtpWrxHuK3lSKmxtFhxXCixoXVJ+Tm7Wg2p&#10;/6vSnTp8r3+m9qI2V2k2+1Trr89uNQMRqAv/4Xd7ZzRM4XU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qzNXBAAAA2gAAAA8AAAAAAAAAAAAAAAAAmAIAAGRycy9kb3du&#10;cmV2LnhtbFBLBQYAAAAABAAEAPUAAACGAw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bwMIA&#10;AADbAAAADwAAAGRycy9kb3ducmV2LnhtbESPT4vCMBDF78J+hzALXkRTV5ClGkXEZcWbfw57HJqx&#10;KW0mpclq/fbOQfA2w3vz3m+W69436kZdrAIbmE4yUMRFsBWXBi7nn/E3qJiQLTaBycCDIqxXH4Ml&#10;5jbc+Ui3UyqVhHDM0YBLqc21joUjj3ESWmLRrqHzmGTtSm07vEu4b/RXls21x4qlwWFLW0dFffr3&#10;Bs6/aTebP0Lt3WG03ff8d6xdMGb42W8WoBL16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9vAwgAAANsAAAAPAAAAAAAAAAAAAAAAAJgCAABkcnMvZG93&#10;bnJldi54bWxQSwUGAAAAAAQABAD1AAAAhwM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A+sQA&#10;AADbAAAADwAAAGRycy9kb3ducmV2LnhtbERPS2vCQBC+F/wPyxR6Kbqx4oM0q2hqoXgzitDbJDtN&#10;otnZkN1q+u+7QqG3+fiek6x604grda62rGA8ikAQF1bXXCo4Ht6HCxDOI2tsLJOCH3KwWg4eEoy1&#10;vfGerpkvRQhhF6OCyvs2ltIVFRl0I9sSB+7LdgZ9gF0pdYe3EG4a+RJFM2mw5tBQYUtpRcUl+zYK&#10;Ts9p7ufnfvP2udhtJ7tzPc2nqVJPj/36FYSn3v+L/9wfOswfw/2Xc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0wPrEAAAA2wAAAA8AAAAAAAAAAAAAAAAAmAIAAGRycy9k&#10;b3ducmV2LnhtbFBLBQYAAAAABAAEAPUAAACJAw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OH78A&#10;AADbAAAADwAAAGRycy9kb3ducmV2LnhtbERP24rCMBB9F/yHMIJvmqqwSDVKsQiiIGzrBwzN2Fab&#10;SWmi1r83wsK+zeFcZ73tTSOe1LnasoLZNAJBXFhdc6ngku8nSxDOI2tsLJOCNznYboaDNcbavviX&#10;npkvRQhhF6OCyvs2ltIVFRl0U9sSB+5qO4M+wK6UusNXCDeNnEfRjzRYc2iosKVdRcU9exgFtyjN&#10;9eKYpYu+Sc51cnLpKV8qNR71yQqEp97/i//cBx3mz+H7Szh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fI4fvwAAANsAAAAPAAAAAAAAAAAAAAAAAJgCAABkcnMvZG93bnJl&#10;di54bWxQSwUGAAAAAAQABAD1AAAAhAM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Ft8AA&#10;AADbAAAADwAAAGRycy9kb3ducmV2LnhtbERPTYvCMBC9C/sfwizsRTR1BZFqWkSUlb1pPXgcmrEp&#10;bSaliVr//WZB8DaP9znrfLCtuFPva8cKZtMEBHHpdM2VgnOxnyxB+ICssXVMCp7kIc8+RmtMtXvw&#10;ke6nUIkYwj5FBSaELpXSl4Ys+qnriCN3db3FEGFfSd3jI4bbVn4nyUJarDk2GOxoa6hsTjeroPgJ&#10;u/ni6Rprfsfbw8CXY2OcUl+fw2YFItAQ3uKX+6Dj/Dn8/xIP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lFt8AAAADbAAAADwAAAAAAAAAAAAAAAACYAgAAZHJzL2Rvd25y&#10;ZXYueG1sUEsFBgAAAAAEAAQA9QAAAIUD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KSMMA&#10;AADbAAAADwAAAGRycy9kb3ducmV2LnhtbERPTWvCQBC9F/oflil4qxtbSTW6hhIoWjxVK+htyI7Z&#10;YHY2ZFeN/fXdgtDbPN7nzPPeNuJCna8dKxgNExDEpdM1Vwq+tx/PExA+IGtsHJOCG3nIF48Pc8y0&#10;u/IXXTahEjGEfYYKTAhtJqUvDVn0Q9cSR+7oOoshwq6SusNrDLeNfEmSVFqsOTYYbKkwVJ42Z6tA&#10;7/ZT8/ljzv5tWx5ed+siXaY3pQZP/fsMRKA+/Ivv7pWO88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xKSMMAAADbAAAADwAAAAAAAAAAAAAAAACYAgAAZHJzL2Rv&#10;d25yZXYueG1sUEsFBgAAAAAEAAQA9QAAAIgD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ef8EA&#10;AADbAAAADwAAAGRycy9kb3ducmV2LnhtbERPTYvCMBC9C/6HMMLeNFXcItUoYhEURFhX70MztqXN&#10;pDZZrf76jbCwt3m8z1msOlOLO7WutKxgPIpAEGdWl5wrOH9vhzMQziNrrC2Tgic5WC37vQUm2j74&#10;i+4nn4sQwi5BBYX3TSKlywoy6Ea2IQ7c1bYGfYBtLnWLjxBuajmJolgaLDk0FNjQpqCsOv0YBdP9&#10;YXu8ZLtbmk7TqNpX8Ss9xEp9DLr1HISnzv+L/9w7HeZ/wvu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Knn/BAAAA2wAAAA8AAAAAAAAAAAAAAAAAmAIAAGRycy9kb3du&#10;cmV2LnhtbFBLBQYAAAAABAAEAPUAAACGAw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I9b0A&#10;AADbAAAADwAAAGRycy9kb3ducmV2LnhtbERPSwrCMBDdC94hjOBOUwVFqlFKQVHc+OkBhmZsi82k&#10;NFHr7Y0guJvH+85q05laPKl1lWUFk3EEgji3uuJCQXbdjhYgnEfWWFsmBW9ysFn3eyuMtX3xmZ4X&#10;X4gQwi5GBaX3TSyly0sy6Ma2IQ7czbYGfYBtIXWLrxBuajmNork0WHFoKLGhtKT8fnkYBadslxb1&#10;UR/26WyRJJia6rSbKjUcdMkShKfO/8U/916H+XP4/hIO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6I9b0AAADbAAAADwAAAAAAAAAAAAAAAACYAgAAZHJzL2Rvd25yZXYu&#10;eG1sUEsFBgAAAAAEAAQA9QAAAIID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eJMEA&#10;AADbAAAADwAAAGRycy9kb3ducmV2LnhtbERPS2sCMRC+F/wPYQRvNasHu6xGER9gCz101fuwGXcX&#10;N5OQRHf775tCobf5+J6z2gymE0/yobWsYDbNQBBXVrdcK7icj685iBCRNXaWScE3BdisRy8rLLTt&#10;+YueZaxFCuFQoIImRldIGaqGDIapdcSJu1lvMCboa6k99incdHKeZQtpsOXU0KCjXUPVvXwYBYdF&#10;ft6+O5fvy+Hz4+izy7XtD0pNxsN2CSLSEP/Ff+6TTvPf4P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7niTBAAAA2wAAAA8AAAAAAAAAAAAAAAAAmAIAAGRycy9kb3du&#10;cmV2LnhtbFBLBQYAAAAABAAEAPUAAACGAw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WbcMA&#10;AADbAAAADwAAAGRycy9kb3ducmV2LnhtbESPQW/CMAyF75P2HyIj7TJBCpsmVAhoQmKM46CX3Uxj&#10;morGqZIMun8/HyZxs/We3/u8XA++U1eKqQ1sYDopQBHXwbbcGKiO2/EcVMrIFrvAZOCXEqxXjw9L&#10;LG248RddD7lREsKpRAMu577UOtWOPKZJ6IlFO4foMcsaG20j3iTcd3pWFG/aY8vS4LCnjaP6cvjx&#10;Bp6/d6cquop3+WW7v7yGmW6GD2OeRsP7AlSmId/N/9efVvAFV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WbcMAAADbAAAADwAAAAAAAAAAAAAAAACYAgAAZHJzL2Rv&#10;d25yZXYueG1sUEsFBgAAAAAEAAQA9QAAAIgD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45sAA&#10;AADbAAAADwAAAGRycy9kb3ducmV2LnhtbERPTYvCMBC9C/sfwizsTRNdcLUaRURB8FCsu/ehGdti&#10;M6lN1PrvjSDsbR7vc+bLztbiRq2vHGsYDhQI4tyZigsNv8dtfwLCB2SDtWPS8CAPy8VHb46JcXc+&#10;0C0LhYgh7BPUUIbQJFL6vCSLfuAa4sidXGsxRNgW0rR4j+G2liOlxtJixbGhxIbWJeXn7Go1pP6v&#10;Snfq8L3+mdqL2lyl2exTrb8+u9UMRKAu/Ivf7p2J86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345sAAAADbAAAADwAAAAAAAAAAAAAAAACYAgAAZHJzL2Rvd25y&#10;ZXYueG1sUEsFBgAAAAAEAAQA9QAAAIUD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G9sIA&#10;AADbAAAADwAAAGRycy9kb3ducmV2LnhtbERPz2vCMBS+D/Y/hCfsNlM76GY1yiiIGztNJ+jt0Tyb&#10;YvNSmmjb/fXLYeDx4/u9XA+2ETfqfO1YwWyagCAuna65UvCz3zy/gfABWWPjmBSM5GG9enxYYq5d&#10;z99024VKxBD2OSowIbS5lL40ZNFPXUscubPrLIYIu0rqDvsYbhuZJkkmLdYcGwy2VBgqL7urVaAP&#10;x7n5/DVX/7ovTy+HryLbZqNST5PhfQEi0BDu4n/3h1aQxvX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4b2wgAAANsAAAAPAAAAAAAAAAAAAAAAAJgCAABkcnMvZG93&#10;bnJldi54bWxQSwUGAAAAAAQABAD1AAAAhwM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b5McA&#10;AADbAAAADwAAAGRycy9kb3ducmV2LnhtbESPT2sCMRTE74V+h/AKvRRNFBFZjVLFilBs/dNDj4/N&#10;6+7i5mVNorv99k2h0OMwM79hZovO1uJGPlSONQz6CgRx7kzFhYaP00tvAiJEZIO1Y9LwTQEW8/u7&#10;GWbGtXyg2zEWIkE4ZKihjLHJpAx5SRZD3zXEyfty3mJM0hfSeGwT3NZyqNRYWqw4LZTY0Kqk/Hy8&#10;Wg3rp0379jrebS77z51V2+Xaj96V1o8P3fMURKQu/of/2lujYTiA3y/p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w2+THAAAA2wAAAA8AAAAAAAAAAAAAAAAAmAIAAGRy&#10;cy9kb3ducmV2LnhtbFBLBQYAAAAABAAEAPUAAACMAw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sIA&#10;AADbAAAADwAAAGRycy9kb3ducmV2LnhtbESPQWsCMRSE74L/ITzBi9Ss2yKyNYoIanus7sXb6+Z1&#10;s7h5WZKo23/fFASPw8x8wyzXvW3FjXxoHCuYTTMQxJXTDdcKytPuZQEiRGSNrWNS8EsB1qvhYImF&#10;dnf+otsx1iJBOBSowMTYFVKGypDFMHUdcfJ+nLcYk/S11B7vCW5bmWfZXFpsOC0Y7GhrqLocr1bB&#10;5Hz4Lr0p+RBfd5+XN5fLut8rNR71m3cQkfr4DD/aH1pBnsP/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Ws6wgAAANsAAAAPAAAAAAAAAAAAAAAAAJgCAABkcnMvZG93&#10;bnJldi54bWxQSwUGAAAAAAQABAD1AAAAhwM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YgcUA&#10;AADbAAAADwAAAGRycy9kb3ducmV2LnhtbESPQWvCQBSE7wX/w/KE3urGCGmbugYRxJaeNBXa2yP7&#10;zAazb0N21dhf3xUKHoeZ+YaZF4NtxZl63zhWMJ0kIIgrpxuuFXyV66cXED4ga2wdk4IreSgWo4c5&#10;5tpdeEvnXahFhLDPUYEJocul9JUhi37iOuLoHVxvMUTZ11L3eIlw28o0STJpseG4YLCjlaHquDtZ&#10;BXr//Wo+fs3JP5fVz2z/uco22VWpx/GwfAMRaAj38H/7XStIZ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RiBxQAAANsAAAAPAAAAAAAAAAAAAAAAAJgCAABkcnMv&#10;ZG93bnJldi54bWxQSwUGAAAAAAQABAD1AAAAigM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uisQA&#10;AADbAAAADwAAAGRycy9kb3ducmV2LnhtbESPQWvCQBSE74L/YXmCt7pRSqnRNZSgUA+l1Rbx+Mg+&#10;s6HZtyG7xqS/vlsoeBxm5htmnfW2Fh21vnKsYD5LQBAXTldcKvj63D08g/ABWWPtmBQM5CHbjEdr&#10;TLW78YG6YyhFhLBPUYEJoUml9IUhi37mGuLoXVxrMUTZllK3eItwW8tFkjxJixXHBYMN5YaK7+PV&#10;Kvho3swStT3123PyM3T5+34wUqnppH9ZgQjUh3v4v/2qFSwe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SrorEAAAA2wAAAA8AAAAAAAAAAAAAAAAAmAIAAGRycy9k&#10;b3ducmV2LnhtbFBLBQYAAAAABAAEAPUAAACJAw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52MEA&#10;AADbAAAADwAAAGRycy9kb3ducmV2LnhtbESPS4vCMBSF94L/IVzBnaZKR5yOUXyM4NYqM9tLc21L&#10;m5vSRNv592ZAcHk4j4+z2vSmFg9qXWlZwWwagSDOrC45V3C9HCdLEM4ja6wtk4I/crBZDwcrTLTt&#10;+EyP1OcijLBLUEHhfZNI6bKCDLqpbYiDd7OtQR9km0vdYhfGTS3nUbSQBksOhAIb2heUVendBMjn&#10;hapZFW/j7uf3EJfd7tvrs1LjUb/9AuGp9+/wq33SCuYf8P8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M+djBAAAA2wAAAA8AAAAAAAAAAAAAAAAAmAIAAGRycy9kb3du&#10;cmV2LnhtbFBLBQYAAAAABAAEAPUAAACGAw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TYMUA&#10;AADbAAAADwAAAGRycy9kb3ducmV2LnhtbESPQWvCQBSE74X+h+UVvBTdGMFK6ipFUASh0ERojo/s&#10;Mwlm34bdVeO/d4VCj8PMfMMs14PpxJWcby0rmE4SEMSV1S3XCo7FdrwA4QOyxs4yKbiTh/Xq9WWJ&#10;mbY3/qFrHmoRIewzVNCE0GdS+qohg35ie+LonawzGKJ0tdQObxFuOpkmyVwabDkuNNjTpqHqnF+M&#10;guL3fPzIZ5v0e1+eyvdiVx5yZ5UavQ1fnyACDeE//NfeawXpHJ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dNgxQAAANsAAAAPAAAAAAAAAAAAAAAAAJgCAABkcnMv&#10;ZG93bnJldi54bWxQSwUGAAAAAAQABAD1AAAAigM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IF8QA&#10;AADbAAAADwAAAGRycy9kb3ducmV2LnhtbESPQUvDQBSE74L/YXlCL2I3zSGV2G0RsbTgQY2C10f2&#10;mQ1m34bsa5L++64geBxm5htms5t9p0YaYhvYwGqZgSKug225MfD5sb+7BxUF2WIXmAycKcJue321&#10;wdKGid9prKRRCcKxRANOpC+1jrUjj3EZeuLkfYfBoyQ5NNoOOCW473SeZYX22HJacNjTk6P6pzp5&#10;A8/i85d2ffv6JUU16kMxubl6M2ZxMz8+gBKa5T/81z5aA/kafr+kH6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CBfEAAAA2wAAAA8AAAAAAAAAAAAAAAAAmAIAAGRycy9k&#10;b3ducmV2LnhtbFBLBQYAAAAABAAEAPUAAACJAw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7sLwA&#10;AADbAAAADwAAAGRycy9kb3ducmV2LnhtbERPuwrCMBTdBf8hXMFNUx1Eq1FEUFx94Hxtrmm1uSlN&#10;rNWvN4PgeDjvxaq1pWio9oVjBaNhAoI4c7pgo+B82g6mIHxA1lg6JgVv8rBadjsLTLV78YGaYzAi&#10;hrBPUUEeQpVK6bOcLPqhq4gjd3O1xRBhbaSu8RXDbSnHSTKRFguODTlWtMkpexyfVsG1mRXmYs0j&#10;a673yXb9vvvd+aNUv9eu5yACteEv/rn3WsE4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BfuwvAAAANsAAAAPAAAAAAAAAAAAAAAAAJgCAABkcnMvZG93bnJldi54&#10;bWxQSwUGAAAAAAQABAD1AAAAgQM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c378A&#10;AADbAAAADwAAAGRycy9kb3ducmV2LnhtbESPzQrCMBCE74LvEFbwpqk9iFajiKCIN39AvS3N2hab&#10;TW2i1rc3guBxmJlvmOm8MaV4Uu0KywoG/QgEcWp1wZmC42HVG4FwHlljaZkUvMnBfNZuTTHR9sU7&#10;eu59JgKEXYIKcu+rREqX5mTQ9W1FHLyrrQ36IOtM6hpfAW5KGUfRUBosOCzkWNEyp/S2fxgF1+by&#10;4O25TDne3E/reMXn5fGkVLfTLCYgPDX+H/61N1pBPIb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91zfvwAAANsAAAAPAAAAAAAAAAAAAAAAAJgCAABkcnMvZG93bnJl&#10;di54bWxQSwUGAAAAAAQABAD1AAAAhAM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RTb8A&#10;AADbAAAADwAAAGRycy9kb3ducmV2LnhtbERPz2vCMBS+D/Y/hCd4W1MVZetMZYrCPKrd/dE8m9Lm&#10;pTTRdvvrl4Pg8eP7vd6MthV36n3tWMEsSUEQl07XXCkoLoe3dxA+IGtsHZOCX/KwyV9f1phpN/CJ&#10;7udQiRjCPkMFJoQuk9KXhiz6xHXEkbu63mKIsK+k7nGI4baV8zRdSYs1xwaDHe0Mlc35ZhX8Ne3P&#10;8Tp87Atz2LlBh61eXkalppPx6xNEoDE8xQ/3t1awiOvjl/gDZ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NFNvwAAANsAAAAPAAAAAAAAAAAAAAAAAJgCAABkcnMvZG93bnJl&#10;di54bWxQSwUGAAAAAAQABAD1AAAAhAM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PMUA&#10;AADbAAAADwAAAGRycy9kb3ducmV2LnhtbESPQWvCQBSE7wX/w/KE3uomFaSmrqJSaw9FaSw9P7LP&#10;bEj2bchuYvrvu4VCj8PMfMOsNqNtxECdrxwrSGcJCOLC6YpLBZ+Xw8MTCB+QNTaOScE3edisJ3cr&#10;zLS78QcNeShFhLDPUIEJoc2k9IUhi37mWuLoXV1nMUTZlVJ3eItw28jHJFlIixXHBYMt7Q0Vdd5b&#10;Bf2lbs6vu+GU90v3Ndbm/Zi+FErdT8ftM4hAY/gP/7XftIJ5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448xQAAANsAAAAPAAAAAAAAAAAAAAAAAJgCAABkcnMv&#10;ZG93bnJldi54bWxQSwUGAAAAAAQABAD1AAAAigM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f8QA&#10;AADbAAAADwAAAGRycy9kb3ducmV2LnhtbESPQYvCMBSE7wv+h/AEL7KmKqh0jaKCKAgr2j14fDRv&#10;29LmpTTR1n9vhIU9DjPzDbNcd6YSD2pcYVnBeBSBIE6tLjhT8JPsPxcgnEfWWFkmBU9ysF71PpYY&#10;a9vyhR5Xn4kAYRejgtz7OpbSpTkZdCNbEwfv1zYGfZBNJnWDbYCbSk6iaCYNFhwWcqxpl1NaXu9G&#10;wbk97Mthkuj5sy1v39vTcV6Mb0oN+t3mC4Snzv+H/9pHrWA6gfeX8AP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dX/EAAAA2wAAAA8AAAAAAAAAAAAAAAAAmAIAAGRycy9k&#10;b3ducmV2LnhtbFBLBQYAAAAABAAEAPUAAACJAw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Q5MYA&#10;AADbAAAADwAAAGRycy9kb3ducmV2LnhtbESPQWvCQBSE7wX/w/IEL6XZaKBK6ipakAqFiqaHHB/Z&#10;1yQk+zZktyb5991CocdhZr5htvvRtOJOvastK1hGMQjiwuqaSwWf2elpA8J5ZI2tZVIwkYP9bvaw&#10;xVTbga90v/lSBAi7FBVU3neplK6oyKCLbEccvC/bG/RB9qXUPQ4Bblq5iuNnabDmsFBhR68VFc3t&#10;2yi4DG+n5jHL9Hoamvzj+H5e18tcqcV8PLyA8DT6//Bf+6wVJAn8fgk/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DQ5MYAAADbAAAADwAAAAAAAAAAAAAAAACYAgAAZHJz&#10;L2Rvd25yZXYueG1sUEsFBgAAAAAEAAQA9QAAAIsD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G8MEA&#10;AADbAAAADwAAAGRycy9kb3ducmV2LnhtbESPwWrDMBBE74H+g9hCb7GUNpjgWAmhYEiOdU3PW2tj&#10;mVgrYymJ+/dVIdDjMDNvmHI/u0HcaAq9Zw2rTIEgbr3pudPQfFbLDYgQkQ0OnknDDwXY754WJRbG&#10;3/mDbnXsRIJwKFCDjXEspAytJYch8yNx8s5+chiTnDppJrwnuBvkq1K5dNhzWrA40rul9lJfnQav&#10;vqp62Mj29H3K1bHBlbLXSuuX5/mwBRFpjv/hR/toNLyt4e9L+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JhvDBAAAA2wAAAA8AAAAAAAAAAAAAAAAAmAIAAGRycy9kb3du&#10;cmV2LnhtbFBLBQYAAAAABAAEAPUAAACGAw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kp8UA&#10;AADbAAAADwAAAGRycy9kb3ducmV2LnhtbESPQWvCQBSE7wX/w/IKvRTdpEUrqauINLR4sE3U+yP7&#10;TILZtyG7Nem/dwWhx2FmvmEWq8E04kKdqy0riCcRCOLC6ppLBYd9Op6DcB5ZY2OZFPyRg9Vy9LDA&#10;RNueM7rkvhQBwi5BBZX3bSKlKyoy6Ca2JQ7eyXYGfZBdKXWHfYCbRr5E0UwarDksVNjSpqLinP8a&#10;BUae3qLsMx0+ptv4+1kf+91h9qPU0+OwfgfhafD/4Xv7Syt4ncL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GSnxQAAANsAAAAPAAAAAAAAAAAAAAAAAJgCAABkcnMv&#10;ZG93bnJldi54bWxQSwUGAAAAAAQABAD1AAAAigM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6KrcIA&#10;AADbAAAADwAAAGRycy9kb3ducmV2LnhtbESPQYvCMBSE74L/ITzBm6aroNI1iiiKIIrWvXh7NM+2&#10;bPNSmqj13xtB8DjMzDfMdN6YUtypdoVlBT/9CARxanXBmYK/87o3AeE8ssbSMil4koP5rN2aYqzt&#10;g090T3wmAoRdjApy76tYSpfmZND1bUUcvKutDfog60zqGh8Bbko5iKKRNFhwWMixomVO6X9yMwpW&#10;m93+sOHozMfscrkmx/Gi2O6U6naaxS8IT43/hj/trVYwHMH7S/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oqtwgAAANsAAAAPAAAAAAAAAAAAAAAAAJgCAABkcnMvZG93&#10;bnJldi54bWxQSwUGAAAAAAQABAD1AAAAhwM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LuMYA&#10;AADbAAAADwAAAGRycy9kb3ducmV2LnhtbESPT4vCMBTE74LfITxhL7Km/kHXapRlYcGDKOrC4u3R&#10;PNti81KbqNVPbwTB4zAzv2Gm89oU4kKVyy0r6HYiEMSJ1TmnCv52v59fIJxH1lhYJgU3cjCfNRtT&#10;jLW98oYuW5+KAGEXo4LM+zKW0iUZGXQdWxIH72Argz7IKpW6wmuAm0L2omgoDeYcFjIs6Sej5Lg9&#10;GwWb9np5Lg7jUzLuHff/g/Xu7lZ3pT5a9fcEhKfav8Ov9kIr6I/g+SX8AD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lLuMYAAADbAAAADwAAAAAAAAAAAAAAAACYAgAAZHJz&#10;L2Rvd25yZXYueG1sUEsFBgAAAAAEAAQA9QAAAIsD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0t8MA&#10;AADbAAAADwAAAGRycy9kb3ducmV2LnhtbERPz2vCMBS+D/wfwhvsIpqug02qUaR0MIYXrSK7vTXP&#10;pqx5KU2s3X+/HIQdP77fq81oWzFQ7xvHCp7nCQjiyumGawXH8n22AOEDssbWMSn4JQ+b9eRhhZl2&#10;N97TcAi1iCHsM1RgQugyKX1lyKKfu444chfXWwwR9rXUPd5iuG1lmiSv0mLDscFgR7mh6udwtQo+&#10;p19v1+KUn5NpmRYsv/e7Y2mUenoct0sQgcbwL767P7SClzg2fo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0t8MAAADbAAAADwAAAAAAAAAAAAAAAACYAgAAZHJzL2Rv&#10;d25yZXYueG1sUEsFBgAAAAAEAAQA9QAAAIgD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rMMQA&#10;AADbAAAADwAAAGRycy9kb3ducmV2LnhtbESPQWvCQBSE74X+h+UVvIhuqtDW6CpFVEoPgkbvL9ln&#10;Etx9G7Krxn/vFoQeh5n5hpktOmvElVpfO1bwPkxAEBdO11wqOGTrwRcIH5A1Gsek4E4eFvPXlxmm&#10;2t14R9d9KEWEsE9RQRVCk0rpi4os+qFriKN3cq3FEGVbSt3iLcKtkaMk+ZAWa44LFTa0rKg47y9W&#10;QfbbP/oVmu3nJN9k2uSjLO82SvXeuu8piEBd+A8/2z9awXgCf1/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66zDEAAAA2wAAAA8AAAAAAAAAAAAAAAAAmAIAAGRycy9k&#10;b3ducmV2LnhtbFBLBQYAAAAABAAEAPUAAACJAw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nq8IA&#10;AADbAAAADwAAAGRycy9kb3ducmV2LnhtbERPy4rCMBTdD/gP4QruxlTRQapRRBAVHfAF6u7SXNvS&#10;5qY0Uevfm8XALA/nPZk1phRPql1uWUGvG4EgTqzOOVVwPi2/RyCcR9ZYWiYFb3Iwm7a+Jhhr++ID&#10;PY8+FSGEXYwKMu+rWEqXZGTQdW1FHLi7rQ36AOtU6hpfIdyUsh9FP9JgzqEhw4oWGSXF8WEULC7X&#10;yz0vit/tsvc473frzeo2GCrVaTfzMQhPjf8X/7nXWsEgrA9fwg+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OerwgAAANsAAAAPAAAAAAAAAAAAAAAAAJgCAABkcnMvZG93&#10;bnJldi54bWxQSwUGAAAAAAQABAD1AAAAhwM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qKcYA&#10;AADbAAAADwAAAGRycy9kb3ducmV2LnhtbESPQWvCQBSE70L/w/IK3nSjWNHoKhIQYwuFpjno7TX7&#10;mqTNvg3ZVdN/3y0IPQ4z8w2z3vamEVfqXG1ZwWQcgSAurK65VJC/70cLEM4ja2wsk4IfcrDdPAzW&#10;GGt74ze6Zr4UAcIuRgWV920spSsqMujGtiUO3qftDPogu1LqDm8Bbho5jaK5NFhzWKiwpaSi4ju7&#10;GAX09WKflsnHIj0/v57ywzHLkzRTavjY71YgPPX+P3xvp1rBbA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jqKcYAAADbAAAADwAAAAAAAAAAAAAAAACYAgAAZHJz&#10;L2Rvd25yZXYueG1sUEsFBgAAAAAEAAQA9QAAAIsD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Fb8MA&#10;AADbAAAADwAAAGRycy9kb3ducmV2LnhtbESPQYvCMBSE7wv+h/AEL4um6iJajSKConsQrHrw9mie&#10;bbF5KU3U+u+NsLDHYWa+YWaLxpTiQbUrLCvo9yIQxKnVBWcKTsd1dwzCeWSNpWVS8CIHi3nra4ax&#10;tk8+0CPxmQgQdjEqyL2vYildmpNB17MVcfCutjbog6wzqWt8Brgp5SCKRtJgwWEhx4pWOaW35G4U&#10;bLaTy/CwwxUnl9fv8LSn9Rm/leq0m+UUhKfG/4f/2lut4GcAny/hB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jFb8MAAADbAAAADwAAAAAAAAAAAAAAAACYAgAAZHJzL2Rv&#10;d25yZXYueG1sUEsFBgAAAAAEAAQA9QAAAIgD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xsYA&#10;AADbAAAADwAAAGRycy9kb3ducmV2LnhtbESPS4vCQBCE74L/YWjBi6wTH8gaHUUEwYMoPmDZW5Np&#10;k2CmJ2ZGjf56R1jYY1FVX1HTeW0KcafK5ZYV9LoRCOLE6pxTBafj6usbhPPIGgvLpOBJDuazZmOK&#10;sbYP3tP94FMRIOxiVJB5X8ZSuiQjg65rS+LgnW1l0AdZpVJX+AhwU8h+FI2kwZzDQoYlLTNKLoeb&#10;UbDv7Da34jy+JuP+5fdnuDu+3PalVLtVLyYgPNX+P/zXXmsFwwF8voQf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Q+xsYAAADbAAAADwAAAAAAAAAAAAAAAACYAgAAZHJz&#10;L2Rvd25yZXYueG1sUEsFBgAAAAAEAAQA9QAAAIsD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Iq8MA&#10;AADbAAAADwAAAGRycy9kb3ducmV2LnhtbESPQYvCMBSE74L/ITzBm6Yrsmg1iggugnvRFtHbo3m2&#10;ZZuXkmS1/vvNguBxmJlvmOW6M424k/O1ZQUf4wQEcWF1zaWCPNuNZiB8QNbYWCYFT/KwXvV7S0y1&#10;ffCR7qdQighhn6KCKoQ2ldIXFRn0Y9sSR+9mncEQpSuldviIcNPISZJ8SoM1x4UKW9pWVPycfo2C&#10;6yabf++e7f58uRzPX/nskAd2Sg0H3WYBIlAX3uFXe68VT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UIq8MAAADbAAAADwAAAAAAAAAAAAAAAACYAgAAZHJzL2Rv&#10;d25yZXYueG1sUEsFBgAAAAAEAAQA9QAAAIgD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OAcIA&#10;AADbAAAADwAAAGRycy9kb3ducmV2LnhtbESPQWsCMRSE7wX/Q3hCbzWrtiKrUUQQeyu7Cl6fm+fu&#10;spuXJYma/vumUOhxmJlvmPU2ml48yPnWsoLpJANBXFndcq3gfDq8LUH4gKyxt0wKvsnDdjN6WWOu&#10;7ZMLepShFgnCPkcFTQhDLqWvGjLoJ3YgTt7NOoMhSVdL7fCZ4KaXsyxbSIMtp4UGB9o3VHXl3Si4&#10;xkW8tH7uLrfu4IruWHD5VSj1Oo67FYhAMfyH/9qfWsH7B/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U4BwgAAANsAAAAPAAAAAAAAAAAAAAAAAJgCAABkcnMvZG93&#10;bnJldi54bWxQSwUGAAAAAAQABAD1AAAAhwM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j38YA&#10;AADbAAAADwAAAGRycy9kb3ducmV2LnhtbESPT2sCMRTE70K/Q3iCl6LZ2lZ0NUqRlnrwUv8g3h6b&#10;52bp5iVs0nX77ZuC4HGYmd8wi1Vna9FSEyrHCp5GGQjiwumKSwWH/cdwCiJEZI21Y1LwSwFWy4fe&#10;AnPtrvxF7S6WIkE45KjAxOhzKUNhyGIYOU+cvItrLMYkm1LqBq8Jbms5zrKJtFhxWjDoaW2o+N79&#10;WAWzz1f/bh6361ifN9JPi+fjtj0pNeh3b3MQkbp4D9/aG63gZQL/X9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Aj38YAAADbAAAADwAAAAAAAAAAAAAAAACYAgAAZHJz&#10;L2Rvd25yZXYueG1sUEsFBgAAAAAEAAQA9QAAAIsD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YP8IA&#10;AADbAAAADwAAAGRycy9kb3ducmV2LnhtbESPQWsCMRSE7wX/Q3iCt5q1aCurUVQo7cWCVu+PzXOz&#10;uHlZNtk1/feNIHgcZuYbZrmOthY9tb5yrGAyzkAQF05XXCo4/X6+zkH4gKyxdkwK/sjDejV4WWKu&#10;3Y0P1B9DKRKEfY4KTAhNLqUvDFn0Y9cQJ+/iWoshybaUusVbgttavmXZu7RYcVow2NDOUHE9dlbB&#10;tpM/df/VHXb7yznOm4nxs31UajSMmwWIQDE8w4/2t1Yw/YD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1g/wgAAANsAAAAPAAAAAAAAAAAAAAAAAJgCAABkcnMvZG93&#10;bnJldi54bWxQSwUGAAAAAAQABAD1AAAAhwM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shape id="Freeform 51" o:spid="_x0000_s1071" style="position:absolute;left:7848;top:3702;width:235;height:158;visibility:visible;mso-wrap-style:square;v-text-anchor:top" coordsize="9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LfMMA&#10;AADbAAAADwAAAGRycy9kb3ducmV2LnhtbESPQWuDQBSE74H+h+UVcotrQgitdRNKQAjeYkrI8eG+&#10;qui+FXejpr++Gyj0OMzMN0x6mE0nRhpcY1nBOopBEJdWN1wp+LpkqzcQziNr7CyTggc5OOxfFikm&#10;2k58prHwlQgQdgkqqL3vEyldWZNBF9meOHjfdjDogxwqqQecAtx0chPHO2mw4bBQY0/Hmsq2uBsF&#10;RdVuzBTf++N1neWX7Gdnmluu1PJ1/vwA4Wn2/+G/9kkr2L7D8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LfMMAAADbAAAADwAAAAAAAAAAAAAAAACYAgAAZHJzL2Rv&#10;d25yZXYueG1sUEsFBgAAAAAEAAQA9QAAAIgD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Lc8AA&#10;AADbAAAADwAAAGRycy9kb3ducmV2LnhtbERPTYvCMBC9C/6HMII3TVUUqUbRdRe8iLvqxdvQjG2x&#10;mZQk1u6/NwfB4+N9L9etqURDzpeWFYyGCQjizOqScwWX889gDsIHZI2VZVLwTx7Wq25niam2T/6j&#10;5hRyEUPYp6igCKFOpfRZQQb90NbEkbtZZzBE6HKpHT5juKnkOElm0mDJsaHAmr4Kyu6nh1HwO/ve&#10;7dvdo9lOr5Px8UiH+c0Fpfq9drMAEagNH/HbvdcKpnF9/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fLc8AAAADbAAAADwAAAAAAAAAAAAAAAACYAgAAZHJzL2Rvd25y&#10;ZXYueG1sUEsFBgAAAAAEAAQA9QAAAIUD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tcIA&#10;AADbAAAADwAAAGRycy9kb3ducmV2LnhtbESP0YrCMBRE3wX/IVzBF9HUFV3pGkUWFkV8se4HXJpr&#10;07W5qU1W698bQfBxmJkzzGLV2kpcqfGlYwXjUQKCOHe65ELB7/FnOAfhA7LGyjEpuJOH1bLbWWCq&#10;3Y0PdM1CISKEfYoKTAh1KqXPDVn0I1cTR+/kGoshyqaQusFbhNtKfiTJTFosOS4YrOnbUH7O/q0C&#10;fTzvqunp8unMoN5MDnJv/5xXqt9r118gArXhHX61t1rBdA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m21wgAAANsAAAAPAAAAAAAAAAAAAAAAAJgCAABkcnMvZG93&#10;bnJldi54bWxQSwUGAAAAAAQABAD1AAAAhwM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a58MA&#10;AADbAAAADwAAAGRycy9kb3ducmV2LnhtbESP3WrCQBSE7wu+w3IE7+pGpaLRVaQgSCmKPw9wyB6T&#10;YPZsmj3G9O27BcHLYWa+YZbrzlWqpSaUng2Mhgko4szbknMDl/P2fQYqCLLFyjMZ+KUA61XvbYmp&#10;9Q8+UnuSXEUIhxQNFCJ1qnXICnIYhr4mjt7VNw4lyibXtsFHhLtKj5Nkqh2WHBcKrOmzoOx2ujsD&#10;P7dDvd/JfdJOv7vRZbtvv2R+MGbQ7zYLUEKdvMLP9s4a+BjD/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ga58MAAADbAAAADwAAAAAAAAAAAAAAAACYAgAAZHJzL2Rv&#10;d25yZXYueG1sUEsFBgAAAAAEAAQA9QAAAIgD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rV8UA&#10;AADbAAAADwAAAGRycy9kb3ducmV2LnhtbESP3WoCMRSE74W+QziF3tWslW5lNYotlFaEtv7dH5Lj&#10;7uLmZJukur69EQpeDjPzDTOZdbYRR/Khdqxg0M9AEGtnai4VbDfvjyMQISIbbByTgjMFmE3vehMs&#10;jDvxio7rWIoE4VCggirGtpAy6Ioshr5riZO3d95iTNKX0ng8Jbht5FOW5dJizWmhwpbeKtKH9Z9V&#10;sN/k9W/+8nPe6bZZvn4vPrT/Gir1cN/NxyAidfEW/m9/GgXPQ7h+S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CtXxQAAANsAAAAPAAAAAAAAAAAAAAAAAJgCAABkcnMv&#10;ZG93bnJldi54bWxQSwUGAAAAAAQABAD1AAAAigM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IsQA&#10;AADbAAAADwAAAGRycy9kb3ducmV2LnhtbESPQWsCMRSE7wX/Q3hCbzWrtiKrUcS6Yg8KtaXnx+a5&#10;Wdy8LEnU9d83QqHHYWa+YebLzjbiSj7UjhUMBxkI4tLpmisF31/FyxREiMgaG8ek4E4Blove0xxz&#10;7W78SddjrESCcMhRgYmxzaUMpSGLYeBa4uSdnLcYk/SV1B5vCW4bOcqyibRYc1ow2NLaUHk+XqyC&#10;Yrzng71v12b8M10V73HjPzZnpZ773WoGIlIX/8N/7Z1W8PYK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GSLEAAAA2wAAAA8AAAAAAAAAAAAAAAAAmAIAAGRycy9k&#10;b3ducmV2LnhtbFBLBQYAAAAABAAEAPUAAACJAw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y3MQA&#10;AADbAAAADwAAAGRycy9kb3ducmV2LnhtbESPQWvCQBSE74L/YXlCb7qxJSLRVVpB9Joolt6e2dds&#10;MPs2ZLea+uvdQsHjMDPfMMt1bxtxpc7XjhVMJwkI4tLpmisFx8N2PAfhA7LGxjEp+CUP69VwsMRM&#10;uxvndC1CJSKEfYYKTAhtJqUvDVn0E9cSR+/bdRZDlF0ldYe3CLeNfE2SmbRYc1ww2NLGUHkpfqyC&#10;r93b7pynbq8PH5vLvci35vM0Vepl1L8vQATqwzP8395rBWkK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ctzEAAAA2wAAAA8AAAAAAAAAAAAAAAAAmAIAAGRycy9k&#10;b3ducmV2LnhtbFBLBQYAAAAABAAEAPUAAACJAw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OMMA&#10;AADbAAAADwAAAGRycy9kb3ducmV2LnhtbESPQYvCMBSE78L+h/AWvGmqi+7SbRQRRUEvWqXXR/O2&#10;LTYvpclq/fdGEDwOM/MNk8w7U4srta6yrGA0jEAQ51ZXXCg4pevBDwjnkTXWlknBnRzMZx+9BGNt&#10;b3yg69EXIkDYxaig9L6JpXR5SQbd0DbEwfuzrUEfZFtI3eItwE0tx1E0lQYrDgslNrQsKb8c/42C&#10;Om/WmTWn9J59p110Pm/2u9WXUv3PbvELwlPn3+FXe6sVTK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hOMMAAADbAAAADwAAAAAAAAAAAAAAAACYAgAAZHJzL2Rv&#10;d25yZXYueG1sUEsFBgAAAAAEAAQA9QAAAIgD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n4cIA&#10;AADbAAAADwAAAGRycy9kb3ducmV2LnhtbESPQYvCMBSE74L/ITzBm6YuuErXKCIsCApi9bK3t83b&#10;tti8xCZq9ddvBMHjMDPfMLNFa2pxpcZXlhWMhgkI4tzqigsFx8P3YArCB2SNtWVScCcPi3m3M8NU&#10;2xvv6ZqFQkQI+xQVlCG4VEqfl2TQD60jjt6fbQyGKJtC6gZvEW5q+ZEkn9JgxXGhREerkvJTdjEK&#10;HP/8nk/ahfWDsna3Sybbi9ko1e+1yy8QgdrwDr/aa61gPIH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WfhwgAAANsAAAAPAAAAAAAAAAAAAAAAAJgCAABkcnMvZG93&#10;bnJldi54bWxQSwUGAAAAAAQABAD1AAAAhwM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CDsAA&#10;AADbAAAADwAAAGRycy9kb3ducmV2LnhtbERPS2rDMBDdB3oHMYXuErlxmxQnsgmGQuiq+RxgsKa2&#10;U2vkSIrt3D5aFLp8vP+2mEwnBnK+tazgdZGAIK6sbrlWcD59zj9A+ICssbNMCu7kocifZlvMtB35&#10;QMMx1CKGsM9QQRNCn0npq4YM+oXtiSP3Y53BEKGrpXY4xnDTyWWSrKTBlmNDgz2VDVW/x5tRkO7e&#10;ll0Zvi9fGul8Peh1ut47pV6ep90GRKAp/Iv/3Hut4D2OjV/iD5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aCDsAAAADbAAAADwAAAAAAAAAAAAAAAACYAgAAZHJzL2Rvd25y&#10;ZXYueG1sUEsFBgAAAAAEAAQA9QAAAIUD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42cQA&#10;AADbAAAADwAAAGRycy9kb3ducmV2LnhtbESPQWvCQBSE74X+h+UVvNWNFaVNXUUF0WuitHh7Zl+z&#10;wezbkN1q9Ne7guBxmJlvmMmss7U4UesrxwoG/QQEceF0xaWC3Xb1/gnCB2SNtWNScCEPs+nrywRT&#10;7c6c0SkPpYgQ9ikqMCE0qZS+MGTR911DHL0/11oMUbal1C2eI9zW8iNJxtJixXHBYENLQ8Ux/7cK&#10;9uvh+pCN3EZvF8vjNc9W5vdnoFTvrZt/gwjUhWf40d5oBaMvuH+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eNnEAAAA2wAAAA8AAAAAAAAAAAAAAAAAmAIAAGRycy9k&#10;b3ducmV2LnhtbFBLBQYAAAAABAAEAPUAAACJAw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Ck8EA&#10;AADbAAAADwAAAGRycy9kb3ducmV2LnhtbERP3WrCMBS+H/gO4QjejJmqzI3OtIggiuxG3QMcmmPT&#10;2ZzUJrb17c3FYJcf3/8qH2wtOmp95VjBbJqAIC6crrhU8HPevn2C8AFZY+2YFDzIQ56NXlaYatfz&#10;kbpTKEUMYZ+iAhNCk0rpC0MW/dQ1xJG7uNZiiLAtpW6xj+G2lvMkWUqLFccGgw1tDBXX090q0Ofr&#10;oX6/3D6ceW12i6P8tr/OKzUZD+svEIGG8C/+c++1gmVcH7/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OApPBAAAA2wAAAA8AAAAAAAAAAAAAAAAAmAIAAGRycy9kb3du&#10;cmV2LnhtbFBLBQYAAAAABAAEAPUAAACGAw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z8cMA&#10;AADbAAAADwAAAGRycy9kb3ducmV2LnhtbESPQYvCMBSE74L/ITxhb5qq4EptKiKKC+5lW8Xro3m2&#10;xealNFHrvzcLC3scZuYbJln3phEP6lxtWcF0EoEgLqyuuVRwyvfjJQjnkTU2lknBixys0+EgwVjb&#10;J//QI/OlCBB2MSqovG9jKV1RkUE3sS1x8K62M+iD7EqpO3wGuGnkLIoW0mDNYaHClrYVFbfsbhQ0&#10;Rbu/WHPKX5fPvI/O58P3cTdX6mPUb1YgPPX+P/zX/tIKFlP4/RJ+gE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Xz8cMAAADbAAAADwAAAAAAAAAAAAAAAACYAgAAZHJzL2Rv&#10;d25yZXYueG1sUEsFBgAAAAAEAAQA9QAAAIgD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5f8QA&#10;AADbAAAADwAAAGRycy9kb3ducmV2LnhtbESP0WrCQBRE3wv+w3ILvpS60VIr0VWkIJbSlyR+wCV7&#10;zaZm78bs1sS/7wqCj8PMnGFWm8E24kKdrx0rmE4SEMSl0zVXCg7F7nUBwgdkjY1jUnAlD5v16GmF&#10;qXY9Z3TJQyUihH2KCkwIbSqlLw1Z9BPXEkfv6DqLIcqukrrDPsJtI2dJMpcWa44LBlv6NFSe8j+r&#10;QBen7+b9eP5w5qXdv2Xyx/46r9T4edguQQQawiN8b39pBfMZ3L7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OX/EAAAA2wAAAA8AAAAAAAAAAAAAAAAAmAIAAGRycy9k&#10;b3ducmV2LnhtbFBLBQYAAAAABAAEAPUAAACJAw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3MEA&#10;AADbAAAADwAAAGRycy9kb3ducmV2LnhtbESPQWsCMRSE74X+h/AEL0WzKmx1a5QqCD0Jq/X+2Lzu&#10;LiYvSxJ1/feNIHgcZuYbZrnurRFX8qF1rGAyzkAQV063XCv4Pe5GcxAhIms0jknBnQKsV+9vSyy0&#10;u3FJ10OsRYJwKFBBE2NXSBmqhiyGseuIk/fnvMWYpK+l9nhLcGvkNMtyabHltNBgR9uGqvPhYhXM&#10;Fh9cfk5bc6+9yTnfnMp9b5QaDvrvLxCR+vgKP9s/WkE+g8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qdzBAAAA2wAAAA8AAAAAAAAAAAAAAAAAmAIAAGRycy9kb3du&#10;cmV2LnhtbFBLBQYAAAAABAAEAPUAAACGAw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d+sQA&#10;AADbAAAADwAAAGRycy9kb3ducmV2LnhtbESPQWvCQBSE70L/w/KE3nSjrSKpq1RB9JooLd5es89s&#10;MPs2ZLea9te7guBxmJlvmPmys7W4UOsrxwpGwwQEceF0xaWCw34zmIHwAVlj7ZgU/JGH5eKlN8dU&#10;uytndMlDKSKEfYoKTAhNKqUvDFn0Q9cQR+/kWoshyraUusVrhNtajpNkKi1WHBcMNrQ2VJzzX6vg&#10;uH3b/mQTt9P71fr8n2cb8/01Uuq1331+gAjUhWf40d5pBdN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HfrEAAAA2wAAAA8AAAAAAAAAAAAAAAAAmAIAAGRycy9k&#10;b3ducmV2LnhtbFBLBQYAAAAABAAEAPUAAACJAw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9vb4A&#10;AADbAAAADwAAAGRycy9kb3ducmV2LnhtbESPzQrCMBCE74LvEFbwpqmCItUoIggexP+Dx6VZ22Kz&#10;KUnU+vZGEDwOM/MNM1s0phJPcr60rGDQT0AQZ1aXnCu4nNe9CQgfkDVWlknBmzws5u3WDFNtX3yk&#10;5ynkIkLYp6igCKFOpfRZQQZ939bE0btZZzBE6XKpHb4i3FRymCRjabDkuFBgTauCsvvpYRRsD8Hr&#10;fO3Q+P15JK+T8r47rJTqdprlFESgJvzDv/ZGKxiP4Ps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q/b2+AAAA2wAAAA8AAAAAAAAAAAAAAAAAmAIAAGRycy9kb3ducmV2&#10;LnhtbFBLBQYAAAAABAAEAPUAAACDAw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PW8UA&#10;AADbAAAADwAAAGRycy9kb3ducmV2LnhtbESPT2sCMRTE74V+h/AKvdWsrSyyGkVKhfai9S8eH5vn&#10;Zu3mZZukun77plDwOMzMb5jxtLONOJMPtWMF/V4Ggrh0uuZKwXYzfxqCCBFZY+OYFFwpwHRyfzfG&#10;QrsLr+i8jpVIEA4FKjAxtoWUoTRkMfRcS5y8o/MWY5K+ktrjJcFtI5+zLJcWa04LBlt6NVR+rX+s&#10;gsNu+fH5chq0xtf775UJ87fFsK/U40M3G4GI1MVb+L/9rhXkOfx9S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89bxQAAANsAAAAPAAAAAAAAAAAAAAAAAJgCAABkcnMv&#10;ZG93bnJldi54bWxQSwUGAAAAAAQABAD1AAAAigM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zbsUA&#10;AADbAAAADwAAAGRycy9kb3ducmV2LnhtbESP0WrCQBRE3wX/YblCX0Q35kEldRUJFkpKoRo/4JK9&#10;zabN3g3ZbUz79d1CwcdhZs4wu8NoWzFQ7xvHClbLBARx5XTDtYJr+bTYgvABWWPrmBR8k4fDfjrZ&#10;Yabdjc80XEItIoR9hgpMCF0mpa8MWfRL1xFH7931FkOUfS11j7cIt61Mk2QtLTYcFwx2lBuqPi9f&#10;VkFZ5Nuf1/SIZ2lKPZ5e5m8fxVyph9l4fAQRaAz38H/7WStYb+DvS/wB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TNuxQAAANsAAAAPAAAAAAAAAAAAAAAAAJgCAABkcnMv&#10;ZG93bnJldi54bWxQSwUGAAAAAAQABAD1AAAAigM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NyMAA&#10;AADbAAAADwAAAGRycy9kb3ducmV2LnhtbERPTYvCMBC9C/sfwix403QVi1Sj7K4KXkTX9eJtaMa2&#10;2ExKEmv99+YgeHy87/myM7VoyfnKsoKvYQKCOLe64kLB6X8zmILwAVljbZkUPMjDcvHRm2Om7Z3/&#10;qD2GQsQQ9hkqKENoMil9XpJBP7QNceQu1hkMEbpCaof3GG5qOUqSVBqsODaU2NBvSfn1eDMKDul6&#10;te1Wt/Znch6P9nvaTS8uKNX/7L5nIAJ14S1+ubdaQRrHxi/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0NyMAAAADbAAAADwAAAAAAAAAAAAAAAACYAgAAZHJzL2Rvd25y&#10;ZXYueG1sUEsFBgAAAAAEAAQA9QAAAIUD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b8MA&#10;AADbAAAADwAAAGRycy9kb3ducmV2LnhtbESPT4vCMBTE74LfITzBi6ypHsR2jeIuCF7Ef4vnR/Ns&#10;ujYvpYna3U9vBMHjMPObYWaL1lbiRo0vHSsYDRMQxLnTJRcKfo6rjykIH5A1Vo5JwR95WMy7nRlm&#10;2t15T7dDKEQsYZ+hAhNCnUnpc0MW/dDVxNE7u8ZiiLIppG7wHsttJcdJMpEWS44LBmv6NpRfDler&#10;ID0f06/fnZHJ9jSoN/+RPW03SvV77fITRKA2vMMveq0VTFJ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b8MAAADbAAAADwAAAAAAAAAAAAAAAACYAgAAZHJzL2Rv&#10;d25yZXYueG1sUEsFBgAAAAAEAAQA9QAAAIgD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UBsEA&#10;AADbAAAADwAAAGRycy9kb3ducmV2LnhtbERPy2rCQBTdF/oPwy24ayZNwUp0FCko7UqMLrK8ZK5J&#10;NHMnZCYP+/XOQujycN6rzWQaMVDnassKPqIYBHFhdc2lgvNp974A4TyyxsYyKbiTg8369WWFqbYj&#10;H2nIfClCCLsUFVTet6mUrqjIoItsSxy4i+0M+gC7UuoOxxBuGpnE8VwarDk0VNjSd0XFLeuNgrqf&#10;+yTPbp/XvfyT5dbki99DrtTsbdouQXia/L/46f7RCr7C+vAl/A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3FAbBAAAA2wAAAA8AAAAAAAAAAAAAAAAAmAIAAGRycy9kb3du&#10;cmV2LnhtbFBLBQYAAAAABAAEAPUAAACGAw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m2sMA&#10;AADbAAAADwAAAGRycy9kb3ducmV2LnhtbESPQWsCMRSE70L/Q3iF3jRrBZWtUcS6pR4U1NLzY/O6&#10;Wdy8LEmq6783guBxmJlvmNmis404kw+1YwXDQQaCuHS65krBz7HoT0GEiKyxcUwKrhRgMX/pzTDX&#10;7sJ7Oh9iJRKEQ44KTIxtLmUoDVkMA9cSJ+/PeYsxSV9J7fGS4LaR71k2lhZrTgsGW1oZKk+Hf6ug&#10;GG15Z69fKzP6nS6Lz7j2m/VJqbfXbvkBIlIXn+FH+1srmAzh/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jm2sMAAADbAAAADwAAAAAAAAAAAAAAAACYAgAAZHJzL2Rv&#10;d25yZXYueG1sUEsFBgAAAAAEAAQA9QAAAIgD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VfhcUA&#10;AADbAAAADwAAAGRycy9kb3ducmV2LnhtbESPQWsCMRSE74L/ITzBm2bV0spqFJEK7aVVq6XHx+a5&#10;2Xbzsk1SXf99IxR6HGbmG2a+bG0tzuRD5VjBaJiBIC6crrhUcHjbDKYgQkTWWDsmBVcKsFx0O3PM&#10;tbvwjs77WIoE4ZCjAhNjk0sZCkMWw9A1xMk7OW8xJulLqT1eEtzWcpxl99JixWnBYENrQ8XX/scq&#10;+Di+Pm8nn3eN8dX7986EzePLdKRUv9euZiAitfE//Nd+0goexnD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1V+FxQAAANsAAAAPAAAAAAAAAAAAAAAAAJgCAABkcnMv&#10;ZG93bnJldi54bWxQSwUGAAAAAAQABAD1AAAAigM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I/8IA&#10;AADbAAAADwAAAGRycy9kb3ducmV2LnhtbESPQYvCMBSE7wv+h/AEb2vqLqh0jSJdhD3sxSqeH83b&#10;tti8hCTa6q/fCILHYWa+YVabwXTiSj60lhXMphkI4srqlmsFx8PufQkiRGSNnWVScKMAm/XobYW5&#10;tj3v6VrGWiQIhxwVNDG6XMpQNWQwTK0jTt6f9QZjkr6W2mOf4KaTH1k2lwZbTgsNOioaqs7lxShY&#10;9sWxDXNvLtm9PDlX/G6/Y1BqMh62XyAiDfEVfrZ/tILFJz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wj/wgAAANsAAAAPAAAAAAAAAAAAAAAAAJgCAABkcnMvZG93&#10;bnJldi54bWxQSwUGAAAAAAQABAD1AAAAhwM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iasUA&#10;AADbAAAADwAAAGRycy9kb3ducmV2LnhtbESPW2sCMRSE3wv+h3CEvtWsF6psjVKKQvvSei19PGxO&#10;N9tuTtYk6vbfm4Lg4zAz3zDTeWtrcSIfKscK+r0MBHHhdMWlgt12+TABESKyxtoxKfijAPNZ526K&#10;uXZnXtNpE0uRIBxyVGBibHIpQ2HIYui5hjh5385bjEn6UmqP5wS3tRxk2aO0WHFaMNjQi6Hid3O0&#10;Cr72H2+r4c+oMb76PKxNWC7eJ32l7rvt8xOISG28ha/tV61gPIL/L+kH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GJqxQAAANsAAAAPAAAAAAAAAAAAAAAAAJgCAABkcnMv&#10;ZG93bnJldi54bWxQSwUGAAAAAAQABAD1AAAAigM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2t8QA&#10;AADbAAAADwAAAGRycy9kb3ducmV2LnhtbESPT2sCMRTE70K/Q3gFL1KzCvXP1ihVELyI7Vo8PzbP&#10;zbabl2UTdeunN4LgcZj5zTCzRWsrcabGl44VDPoJCOLc6ZILBT/79dsEhA/IGivHpOCfPCzmL50Z&#10;ptpd+JvOWShELGGfogITQp1K6XNDFn3f1cTRO7rGYoiyKaRu8BLLbSWHSTKSFkuOCwZrWhnK/7KT&#10;VTA97qfL3y8jk92hV2+vkT3stkp1X9vPDxCB2vAMP+iNVjB+h/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drfEAAAA2wAAAA8AAAAAAAAAAAAAAAAAmAIAAGRycy9k&#10;b3ducmV2LnhtbFBLBQYAAAAABAAEAPUAAACJAw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04D2087" wp14:editId="59E5D7F2">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03DCC7"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619A5752" wp14:editId="7914E104">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6BEAE6"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554AF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45530"/>
    <w:multiLevelType w:val="hybridMultilevel"/>
    <w:tmpl w:val="D0C6DD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04EA3FBF"/>
    <w:multiLevelType w:val="hybridMultilevel"/>
    <w:tmpl w:val="87D2FB3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0B421C88"/>
    <w:multiLevelType w:val="hybridMultilevel"/>
    <w:tmpl w:val="84AE9F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BD12E7"/>
    <w:multiLevelType w:val="multilevel"/>
    <w:tmpl w:val="9252FDC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DFE1DF"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E74512"/>
    <w:multiLevelType w:val="hybridMultilevel"/>
    <w:tmpl w:val="6C72E44A"/>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560B3454"/>
    <w:multiLevelType w:val="hybridMultilevel"/>
    <w:tmpl w:val="11AAEF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457118"/>
    <w:multiLevelType w:val="hybridMultilevel"/>
    <w:tmpl w:val="1F2C2FF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2"/>
  </w:num>
  <w:num w:numId="2">
    <w:abstractNumId w:val="15"/>
  </w:num>
  <w:num w:numId="3">
    <w:abstractNumId w:val="8"/>
  </w:num>
  <w:num w:numId="4">
    <w:abstractNumId w:val="12"/>
  </w:num>
  <w:num w:numId="5">
    <w:abstractNumId w:val="10"/>
  </w:num>
  <w:num w:numId="6">
    <w:abstractNumId w:val="7"/>
  </w:num>
  <w:num w:numId="7">
    <w:abstractNumId w:val="5"/>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6"/>
  </w:num>
  <w:num w:numId="13">
    <w:abstractNumId w:val="14"/>
  </w:num>
  <w:num w:numId="14">
    <w:abstractNumId w:val="3"/>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2A8E"/>
    <w:rsid w:val="00033BC3"/>
    <w:rsid w:val="00036ABE"/>
    <w:rsid w:val="00044E09"/>
    <w:rsid w:val="00046AC0"/>
    <w:rsid w:val="0004784D"/>
    <w:rsid w:val="00051710"/>
    <w:rsid w:val="00053A00"/>
    <w:rsid w:val="0006095A"/>
    <w:rsid w:val="000B5FF1"/>
    <w:rsid w:val="000B6C00"/>
    <w:rsid w:val="000B71F8"/>
    <w:rsid w:val="000C1F06"/>
    <w:rsid w:val="000E6B5E"/>
    <w:rsid w:val="000F1DD1"/>
    <w:rsid w:val="000F28B8"/>
    <w:rsid w:val="000F3766"/>
    <w:rsid w:val="00105397"/>
    <w:rsid w:val="00106FC4"/>
    <w:rsid w:val="00111F0C"/>
    <w:rsid w:val="00123893"/>
    <w:rsid w:val="00145E2D"/>
    <w:rsid w:val="00162E92"/>
    <w:rsid w:val="00162FD8"/>
    <w:rsid w:val="0016612C"/>
    <w:rsid w:val="001763D4"/>
    <w:rsid w:val="00181433"/>
    <w:rsid w:val="001834DD"/>
    <w:rsid w:val="001836F3"/>
    <w:rsid w:val="001C096E"/>
    <w:rsid w:val="001C53CE"/>
    <w:rsid w:val="001C5D96"/>
    <w:rsid w:val="001D341B"/>
    <w:rsid w:val="001E3D2B"/>
    <w:rsid w:val="001E66CE"/>
    <w:rsid w:val="00207788"/>
    <w:rsid w:val="00221DC2"/>
    <w:rsid w:val="0024454A"/>
    <w:rsid w:val="00244B48"/>
    <w:rsid w:val="002573D5"/>
    <w:rsid w:val="00264E26"/>
    <w:rsid w:val="00265580"/>
    <w:rsid w:val="00267471"/>
    <w:rsid w:val="00280E74"/>
    <w:rsid w:val="002A41E1"/>
    <w:rsid w:val="002B6574"/>
    <w:rsid w:val="002D4D48"/>
    <w:rsid w:val="002E21D2"/>
    <w:rsid w:val="002F07F5"/>
    <w:rsid w:val="002F7D3C"/>
    <w:rsid w:val="00305720"/>
    <w:rsid w:val="0031299E"/>
    <w:rsid w:val="003131AB"/>
    <w:rsid w:val="00313403"/>
    <w:rsid w:val="003155CA"/>
    <w:rsid w:val="003217BE"/>
    <w:rsid w:val="003303EA"/>
    <w:rsid w:val="003336A6"/>
    <w:rsid w:val="00355677"/>
    <w:rsid w:val="0037724A"/>
    <w:rsid w:val="003852B4"/>
    <w:rsid w:val="00390202"/>
    <w:rsid w:val="003A0C23"/>
    <w:rsid w:val="003A48B0"/>
    <w:rsid w:val="003B68ED"/>
    <w:rsid w:val="003C073F"/>
    <w:rsid w:val="003D0647"/>
    <w:rsid w:val="003D1265"/>
    <w:rsid w:val="003D3B1D"/>
    <w:rsid w:val="003D5DBE"/>
    <w:rsid w:val="003E443E"/>
    <w:rsid w:val="00404841"/>
    <w:rsid w:val="00412059"/>
    <w:rsid w:val="0041496C"/>
    <w:rsid w:val="00422FAD"/>
    <w:rsid w:val="00425633"/>
    <w:rsid w:val="00441E79"/>
    <w:rsid w:val="00450486"/>
    <w:rsid w:val="0046219A"/>
    <w:rsid w:val="004679D7"/>
    <w:rsid w:val="004709E9"/>
    <w:rsid w:val="0047525D"/>
    <w:rsid w:val="00483A58"/>
    <w:rsid w:val="00486155"/>
    <w:rsid w:val="004924DA"/>
    <w:rsid w:val="004953AF"/>
    <w:rsid w:val="004D48D3"/>
    <w:rsid w:val="004D700E"/>
    <w:rsid w:val="004D7F17"/>
    <w:rsid w:val="004E0670"/>
    <w:rsid w:val="004E39EF"/>
    <w:rsid w:val="004E7F37"/>
    <w:rsid w:val="004F0289"/>
    <w:rsid w:val="004F31BA"/>
    <w:rsid w:val="0051299F"/>
    <w:rsid w:val="00516672"/>
    <w:rsid w:val="00526B85"/>
    <w:rsid w:val="005306A1"/>
    <w:rsid w:val="0059000C"/>
    <w:rsid w:val="005A02A1"/>
    <w:rsid w:val="005A0CA3"/>
    <w:rsid w:val="005B578B"/>
    <w:rsid w:val="005D5B5B"/>
    <w:rsid w:val="005D67AA"/>
    <w:rsid w:val="005D6D33"/>
    <w:rsid w:val="005D7A24"/>
    <w:rsid w:val="00616EBA"/>
    <w:rsid w:val="00632C08"/>
    <w:rsid w:val="00634D1F"/>
    <w:rsid w:val="006468F4"/>
    <w:rsid w:val="00654C42"/>
    <w:rsid w:val="00655B5B"/>
    <w:rsid w:val="0067074A"/>
    <w:rsid w:val="00672994"/>
    <w:rsid w:val="00673533"/>
    <w:rsid w:val="006A25A1"/>
    <w:rsid w:val="006C15C5"/>
    <w:rsid w:val="006C78A3"/>
    <w:rsid w:val="00736A76"/>
    <w:rsid w:val="00752C6B"/>
    <w:rsid w:val="00760CE6"/>
    <w:rsid w:val="00765764"/>
    <w:rsid w:val="007719C9"/>
    <w:rsid w:val="00772718"/>
    <w:rsid w:val="00772AC7"/>
    <w:rsid w:val="007967E6"/>
    <w:rsid w:val="007B744D"/>
    <w:rsid w:val="007D30A8"/>
    <w:rsid w:val="007D7690"/>
    <w:rsid w:val="007F36ED"/>
    <w:rsid w:val="007F6B85"/>
    <w:rsid w:val="00814FB1"/>
    <w:rsid w:val="008162EA"/>
    <w:rsid w:val="00820F20"/>
    <w:rsid w:val="0082528A"/>
    <w:rsid w:val="00825754"/>
    <w:rsid w:val="00835210"/>
    <w:rsid w:val="0083679D"/>
    <w:rsid w:val="00844C2D"/>
    <w:rsid w:val="0087438E"/>
    <w:rsid w:val="00884668"/>
    <w:rsid w:val="008B2B46"/>
    <w:rsid w:val="008B2B58"/>
    <w:rsid w:val="008B2C58"/>
    <w:rsid w:val="008B6035"/>
    <w:rsid w:val="008E204B"/>
    <w:rsid w:val="008E51C9"/>
    <w:rsid w:val="008E7614"/>
    <w:rsid w:val="008F46E7"/>
    <w:rsid w:val="00900395"/>
    <w:rsid w:val="0090220A"/>
    <w:rsid w:val="009052EF"/>
    <w:rsid w:val="0090564E"/>
    <w:rsid w:val="00921840"/>
    <w:rsid w:val="009331B4"/>
    <w:rsid w:val="009345F1"/>
    <w:rsid w:val="00944BBB"/>
    <w:rsid w:val="00953EE0"/>
    <w:rsid w:val="009547B6"/>
    <w:rsid w:val="00961072"/>
    <w:rsid w:val="009643DA"/>
    <w:rsid w:val="00982554"/>
    <w:rsid w:val="00987144"/>
    <w:rsid w:val="009B1832"/>
    <w:rsid w:val="009D405C"/>
    <w:rsid w:val="009E750F"/>
    <w:rsid w:val="00A04D96"/>
    <w:rsid w:val="00A0629B"/>
    <w:rsid w:val="00A14495"/>
    <w:rsid w:val="00A14C9A"/>
    <w:rsid w:val="00A16BE1"/>
    <w:rsid w:val="00A350B5"/>
    <w:rsid w:val="00A41182"/>
    <w:rsid w:val="00A454BF"/>
    <w:rsid w:val="00A52E3A"/>
    <w:rsid w:val="00A803F5"/>
    <w:rsid w:val="00A814CB"/>
    <w:rsid w:val="00A90D1B"/>
    <w:rsid w:val="00A92C6B"/>
    <w:rsid w:val="00A977D7"/>
    <w:rsid w:val="00AC716C"/>
    <w:rsid w:val="00AF4D37"/>
    <w:rsid w:val="00AF55F8"/>
    <w:rsid w:val="00B10ABA"/>
    <w:rsid w:val="00B420D4"/>
    <w:rsid w:val="00B47661"/>
    <w:rsid w:val="00B51F28"/>
    <w:rsid w:val="00B57910"/>
    <w:rsid w:val="00B7600D"/>
    <w:rsid w:val="00B951C6"/>
    <w:rsid w:val="00BA6686"/>
    <w:rsid w:val="00BC0045"/>
    <w:rsid w:val="00BC093A"/>
    <w:rsid w:val="00BC4ACC"/>
    <w:rsid w:val="00BC4FCC"/>
    <w:rsid w:val="00BD02F8"/>
    <w:rsid w:val="00BF0C2A"/>
    <w:rsid w:val="00C12E71"/>
    <w:rsid w:val="00C217A8"/>
    <w:rsid w:val="00C3150C"/>
    <w:rsid w:val="00C4188F"/>
    <w:rsid w:val="00C44E84"/>
    <w:rsid w:val="00C819A4"/>
    <w:rsid w:val="00C82A1B"/>
    <w:rsid w:val="00C82E6F"/>
    <w:rsid w:val="00C84EA8"/>
    <w:rsid w:val="00C918A2"/>
    <w:rsid w:val="00C92998"/>
    <w:rsid w:val="00CA720A"/>
    <w:rsid w:val="00CC1B7B"/>
    <w:rsid w:val="00CD38EE"/>
    <w:rsid w:val="00CD5925"/>
    <w:rsid w:val="00CE557A"/>
    <w:rsid w:val="00D031B2"/>
    <w:rsid w:val="00D05DC1"/>
    <w:rsid w:val="00D11AA5"/>
    <w:rsid w:val="00D1410C"/>
    <w:rsid w:val="00D2598A"/>
    <w:rsid w:val="00D25B17"/>
    <w:rsid w:val="00D26F88"/>
    <w:rsid w:val="00D40D16"/>
    <w:rsid w:val="00D42E0E"/>
    <w:rsid w:val="00D548F0"/>
    <w:rsid w:val="00D57F79"/>
    <w:rsid w:val="00D64FAC"/>
    <w:rsid w:val="00D65704"/>
    <w:rsid w:val="00D668F6"/>
    <w:rsid w:val="00D73F50"/>
    <w:rsid w:val="00D80EFA"/>
    <w:rsid w:val="00D84835"/>
    <w:rsid w:val="00D84875"/>
    <w:rsid w:val="00D85A7C"/>
    <w:rsid w:val="00D904F0"/>
    <w:rsid w:val="00D91378"/>
    <w:rsid w:val="00D91B18"/>
    <w:rsid w:val="00D96375"/>
    <w:rsid w:val="00DB3905"/>
    <w:rsid w:val="00DC0747"/>
    <w:rsid w:val="00DC2647"/>
    <w:rsid w:val="00DD1408"/>
    <w:rsid w:val="00DD356D"/>
    <w:rsid w:val="00DD6735"/>
    <w:rsid w:val="00DF0607"/>
    <w:rsid w:val="00DF136A"/>
    <w:rsid w:val="00E01B19"/>
    <w:rsid w:val="00E0448C"/>
    <w:rsid w:val="00E13525"/>
    <w:rsid w:val="00E47250"/>
    <w:rsid w:val="00E61535"/>
    <w:rsid w:val="00E84012"/>
    <w:rsid w:val="00E9373C"/>
    <w:rsid w:val="00E94149"/>
    <w:rsid w:val="00EA0724"/>
    <w:rsid w:val="00EA6251"/>
    <w:rsid w:val="00EB16DD"/>
    <w:rsid w:val="00EB6414"/>
    <w:rsid w:val="00EE5747"/>
    <w:rsid w:val="00EE6CC7"/>
    <w:rsid w:val="00EF3804"/>
    <w:rsid w:val="00EF5E05"/>
    <w:rsid w:val="00F227AF"/>
    <w:rsid w:val="00F27370"/>
    <w:rsid w:val="00F5001B"/>
    <w:rsid w:val="00F5341C"/>
    <w:rsid w:val="00F56954"/>
    <w:rsid w:val="00F66049"/>
    <w:rsid w:val="00F8409D"/>
    <w:rsid w:val="00F8657F"/>
    <w:rsid w:val="00F87B55"/>
    <w:rsid w:val="00F9047C"/>
    <w:rsid w:val="00F948AF"/>
    <w:rsid w:val="00FA5A7B"/>
    <w:rsid w:val="00FA5D07"/>
    <w:rsid w:val="00FA5F71"/>
    <w:rsid w:val="00FB11B1"/>
    <w:rsid w:val="00FC0935"/>
    <w:rsid w:val="00FC0F90"/>
    <w:rsid w:val="00FD77B3"/>
    <w:rsid w:val="00FE00E8"/>
    <w:rsid w:val="00FE32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styleId="ListBullet">
    <w:name w:val="List Bullet"/>
    <w:basedOn w:val="Normal"/>
    <w:uiPriority w:val="99"/>
    <w:unhideWhenUsed/>
    <w:rsid w:val="00E01B19"/>
    <w:pPr>
      <w:numPr>
        <w:numId w:val="10"/>
      </w:numPr>
      <w:contextualSpacing/>
    </w:pPr>
  </w:style>
  <w:style w:type="paragraph" w:styleId="CommentSubject">
    <w:name w:val="annotation subject"/>
    <w:basedOn w:val="CommentText"/>
    <w:next w:val="CommentText"/>
    <w:link w:val="CommentSubjectChar"/>
    <w:uiPriority w:val="99"/>
    <w:semiHidden/>
    <w:unhideWhenUsed/>
    <w:rsid w:val="003C073F"/>
    <w:rPr>
      <w:b/>
      <w:bCs/>
    </w:rPr>
  </w:style>
  <w:style w:type="character" w:customStyle="1" w:styleId="CommentSubjectChar">
    <w:name w:val="Comment Subject Char"/>
    <w:basedOn w:val="CommentTextChar"/>
    <w:link w:val="CommentSubject"/>
    <w:uiPriority w:val="99"/>
    <w:semiHidden/>
    <w:rsid w:val="003C073F"/>
    <w:rPr>
      <w:rFonts w:ascii="Arial" w:hAnsi="Arial" w:cstheme="minorBidi"/>
      <w:b/>
      <w:bCs/>
    </w:rPr>
  </w:style>
  <w:style w:type="character" w:styleId="FootnoteReference">
    <w:name w:val="footnote reference"/>
    <w:basedOn w:val="DefaultParagraphFont"/>
    <w:uiPriority w:val="99"/>
    <w:rsid w:val="003C073F"/>
    <w:rPr>
      <w:rFonts w:cs="Times New Roman"/>
      <w:vertAlign w:val="superscript"/>
    </w:rPr>
  </w:style>
  <w:style w:type="paragraph" w:styleId="ListParagraph">
    <w:name w:val="List Paragraph"/>
    <w:basedOn w:val="Normal"/>
    <w:uiPriority w:val="99"/>
    <w:qFormat/>
    <w:rsid w:val="00A14C9A"/>
    <w:pPr>
      <w:ind w:left="720"/>
      <w:contextualSpacing/>
    </w:pPr>
  </w:style>
  <w:style w:type="paragraph" w:customStyle="1" w:styleId="Default">
    <w:name w:val="Default"/>
    <w:rsid w:val="00FC0F90"/>
    <w:pPr>
      <w:autoSpaceDE w:val="0"/>
      <w:autoSpaceDN w:val="0"/>
      <w:adjustRightInd w:val="0"/>
    </w:pPr>
    <w:rPr>
      <w:rFonts w:ascii="Arial" w:hAnsi="Arial" w:cs="Arial"/>
      <w:color w:val="000000"/>
      <w:sz w:val="24"/>
      <w:szCs w:val="24"/>
    </w:rPr>
  </w:style>
  <w:style w:type="paragraph" w:customStyle="1" w:styleId="Label">
    <w:name w:val="Label"/>
    <w:basedOn w:val="Normal"/>
    <w:rsid w:val="0083679D"/>
    <w:pPr>
      <w:spacing w:before="20" w:after="20" w:line="240" w:lineRule="auto"/>
    </w:pPr>
    <w:rPr>
      <w:rFonts w:cs="Arial"/>
      <w:caps/>
      <w:sz w:val="18"/>
      <w:szCs w:val="18"/>
      <w:lang w:eastAsia="en-AU"/>
    </w:rPr>
  </w:style>
  <w:style w:type="paragraph" w:styleId="Revision">
    <w:name w:val="Revision"/>
    <w:hidden/>
    <w:uiPriority w:val="99"/>
    <w:semiHidden/>
    <w:rsid w:val="00987144"/>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344287422">
      <w:bodyDiv w:val="1"/>
      <w:marLeft w:val="0"/>
      <w:marRight w:val="0"/>
      <w:marTop w:val="0"/>
      <w:marBottom w:val="0"/>
      <w:divBdr>
        <w:top w:val="none" w:sz="0" w:space="0" w:color="auto"/>
        <w:left w:val="none" w:sz="0" w:space="0" w:color="auto"/>
        <w:bottom w:val="none" w:sz="0" w:space="0" w:color="auto"/>
        <w:right w:val="none" w:sz="0" w:space="0" w:color="auto"/>
      </w:divBdr>
    </w:div>
    <w:div w:id="1036395456">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62772147">
      <w:bodyDiv w:val="1"/>
      <w:marLeft w:val="0"/>
      <w:marRight w:val="0"/>
      <w:marTop w:val="0"/>
      <w:marBottom w:val="0"/>
      <w:divBdr>
        <w:top w:val="none" w:sz="0" w:space="0" w:color="auto"/>
        <w:left w:val="none" w:sz="0" w:space="0" w:color="auto"/>
        <w:bottom w:val="none" w:sz="0" w:space="0" w:color="auto"/>
        <w:right w:val="none" w:sz="0" w:space="0" w:color="auto"/>
      </w:divBdr>
    </w:div>
    <w:div w:id="1342851321">
      <w:bodyDiv w:val="1"/>
      <w:marLeft w:val="0"/>
      <w:marRight w:val="0"/>
      <w:marTop w:val="0"/>
      <w:marBottom w:val="0"/>
      <w:divBdr>
        <w:top w:val="none" w:sz="0" w:space="0" w:color="auto"/>
        <w:left w:val="none" w:sz="0" w:space="0" w:color="auto"/>
        <w:bottom w:val="none" w:sz="0" w:space="0" w:color="auto"/>
        <w:right w:val="none" w:sz="0" w:space="0" w:color="auto"/>
      </w:divBdr>
    </w:div>
    <w:div w:id="1384257668">
      <w:bodyDiv w:val="1"/>
      <w:marLeft w:val="0"/>
      <w:marRight w:val="0"/>
      <w:marTop w:val="0"/>
      <w:marBottom w:val="0"/>
      <w:divBdr>
        <w:top w:val="none" w:sz="0" w:space="0" w:color="auto"/>
        <w:left w:val="none" w:sz="0" w:space="0" w:color="auto"/>
        <w:bottom w:val="none" w:sz="0" w:space="0" w:color="auto"/>
        <w:right w:val="none" w:sz="0" w:space="0" w:color="auto"/>
      </w:divBdr>
    </w:div>
    <w:div w:id="1513107894">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96287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ts.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dba.gov.au/publications/mdba-reports/southern-basin-community-profil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dba.gov.au/publications/mdba-reports/NBreview-social-economic-condition-report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rants.gov.au/?event=public.hom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mailto:support@communitygran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2B66C3-D95C-465A-90CE-2B3AC036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2</TotalTime>
  <Pages>6</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BIGG, Suzanne</cp:lastModifiedBy>
  <cp:revision>2</cp:revision>
  <cp:lastPrinted>2019-01-29T02:32:00Z</cp:lastPrinted>
  <dcterms:created xsi:type="dcterms:W3CDTF">2019-02-11T01:25:00Z</dcterms:created>
  <dcterms:modified xsi:type="dcterms:W3CDTF">2019-02-11T01:25:00Z</dcterms:modified>
</cp:coreProperties>
</file>