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0F" w:rsidRPr="00F77925" w:rsidRDefault="004B5C0F" w:rsidP="00F77925">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 Supplementary Terms</w:t>
      </w:r>
      <w:r w:rsidR="00B87227">
        <w:rPr>
          <w:rFonts w:eastAsia="Times New Roman" w:cs="Arial"/>
          <w:color w:val="365F91"/>
          <w:sz w:val="26"/>
          <w:szCs w:val="26"/>
        </w:rPr>
        <w:t xml:space="preserve"> – </w:t>
      </w:r>
      <w:r w:rsidR="00254CD7">
        <w:rPr>
          <w:rFonts w:eastAsia="Times New Roman" w:cs="Arial"/>
          <w:color w:val="365F91"/>
          <w:sz w:val="26"/>
          <w:szCs w:val="26"/>
        </w:rPr>
        <w:t>Attorney-General’s Department</w:t>
      </w:r>
    </w:p>
    <w:p w:rsidR="004B5C0F" w:rsidRPr="004B5C0F" w:rsidRDefault="004B5C0F" w:rsidP="004B5C0F">
      <w:pPr>
        <w:rPr>
          <w:rFonts w:eastAsia="Times New Roman" w:cs="Arial"/>
          <w:b/>
          <w:bCs/>
          <w:color w:val="365F91"/>
          <w:sz w:val="26"/>
          <w:szCs w:val="26"/>
        </w:rPr>
      </w:pPr>
      <w:r w:rsidRPr="004B5C0F">
        <w:rPr>
          <w:rFonts w:eastAsia="Times New Roman" w:cs="Arial"/>
          <w:b/>
          <w:bCs/>
          <w:color w:val="365F91"/>
          <w:sz w:val="26"/>
          <w:szCs w:val="26"/>
        </w:rPr>
        <w:t xml:space="preserve"> </w:t>
      </w:r>
    </w:p>
    <w:p w:rsidR="004B5C0F" w:rsidRPr="00F77925" w:rsidRDefault="004B5C0F" w:rsidP="003159F4">
      <w:pPr>
        <w:pStyle w:val="Heading2"/>
        <w:rPr>
          <w:rFonts w:eastAsia="Times New Roman"/>
        </w:rPr>
      </w:pPr>
      <w:r w:rsidRPr="004B5C0F">
        <w:rPr>
          <w:rFonts w:eastAsia="Times New Roman"/>
        </w:rPr>
        <w:t>G1. Other Contributions</w:t>
      </w:r>
      <w:r w:rsidRPr="00F77925">
        <w:rPr>
          <w:rFonts w:eastAsia="Times New Roman"/>
        </w:rPr>
        <w:t xml:space="preserve"> </w:t>
      </w:r>
    </w:p>
    <w:p w:rsidR="004B5C0F" w:rsidRPr="00C33097" w:rsidRDefault="00DC5CBF" w:rsidP="00DC5CBF">
      <w:pPr>
        <w:tabs>
          <w:tab w:val="left" w:pos="567"/>
        </w:tabs>
      </w:pPr>
      <w:r w:rsidRPr="00C33097">
        <w:t>G1.1</w:t>
      </w:r>
      <w:r w:rsidRPr="00C33097">
        <w:tab/>
        <w:t xml:space="preserve">‘Other Contributions’ means the financial or in-kind contributions other than the Grant set out </w:t>
      </w:r>
      <w:proofErr w:type="gramStart"/>
      <w:r w:rsidRPr="00C33097">
        <w:t>below:</w:t>
      </w:r>
      <w:proofErr w:type="gramEnd"/>
    </w:p>
    <w:p w:rsidR="00DC5CBF" w:rsidRPr="00C33097" w:rsidRDefault="00DC5CBF" w:rsidP="00DC5CBF">
      <w:pPr>
        <w:tabs>
          <w:tab w:val="left" w:pos="567"/>
        </w:tabs>
      </w:pPr>
    </w:p>
    <w:tbl>
      <w:tblPr>
        <w:tblStyle w:val="TableGrid"/>
        <w:tblW w:w="0" w:type="auto"/>
        <w:tblLook w:val="04A0" w:firstRow="1" w:lastRow="0" w:firstColumn="1" w:lastColumn="0" w:noHBand="0" w:noVBand="1"/>
        <w:tblCaption w:val="Other contributions"/>
        <w:tblDescription w:val="Table includes information on the contributor, nature of contribution, the amount (excl.GST) and the timing."/>
      </w:tblPr>
      <w:tblGrid>
        <w:gridCol w:w="1838"/>
        <w:gridCol w:w="2835"/>
        <w:gridCol w:w="2835"/>
        <w:gridCol w:w="1508"/>
      </w:tblGrid>
      <w:tr w:rsidR="00DC5CBF" w:rsidRPr="00C33097" w:rsidTr="00E82C26">
        <w:trPr>
          <w:tblHeader/>
        </w:trPr>
        <w:tc>
          <w:tcPr>
            <w:tcW w:w="1838" w:type="dxa"/>
          </w:tcPr>
          <w:p w:rsidR="00DC5CBF" w:rsidRPr="00C33097" w:rsidRDefault="00DC5CBF" w:rsidP="00DC5CBF">
            <w:pPr>
              <w:tabs>
                <w:tab w:val="left" w:pos="567"/>
              </w:tabs>
              <w:rPr>
                <w:b/>
              </w:rPr>
            </w:pPr>
            <w:r w:rsidRPr="00C33097">
              <w:rPr>
                <w:b/>
              </w:rPr>
              <w:t>Contributor</w:t>
            </w:r>
          </w:p>
        </w:tc>
        <w:tc>
          <w:tcPr>
            <w:tcW w:w="2835" w:type="dxa"/>
          </w:tcPr>
          <w:p w:rsidR="00DC5CBF" w:rsidRPr="00C33097" w:rsidRDefault="00DC5CBF" w:rsidP="00DC5CBF">
            <w:pPr>
              <w:tabs>
                <w:tab w:val="left" w:pos="567"/>
              </w:tabs>
              <w:rPr>
                <w:b/>
              </w:rPr>
            </w:pPr>
            <w:r w:rsidRPr="00C33097">
              <w:rPr>
                <w:b/>
              </w:rPr>
              <w:t>Nature of Contribution</w:t>
            </w:r>
          </w:p>
        </w:tc>
        <w:tc>
          <w:tcPr>
            <w:tcW w:w="2835" w:type="dxa"/>
          </w:tcPr>
          <w:p w:rsidR="00DC5CBF" w:rsidRPr="00C33097" w:rsidRDefault="00DC5CBF" w:rsidP="00E75796">
            <w:pPr>
              <w:tabs>
                <w:tab w:val="left" w:pos="567"/>
              </w:tabs>
              <w:rPr>
                <w:b/>
              </w:rPr>
            </w:pPr>
            <w:r w:rsidRPr="00C33097">
              <w:rPr>
                <w:b/>
              </w:rPr>
              <w:t>Amount (</w:t>
            </w:r>
            <w:r w:rsidR="00E75796">
              <w:rPr>
                <w:b/>
              </w:rPr>
              <w:t xml:space="preserve">excl. </w:t>
            </w:r>
            <w:r w:rsidRPr="00C33097">
              <w:rPr>
                <w:b/>
              </w:rPr>
              <w:t>GST)</w:t>
            </w:r>
          </w:p>
        </w:tc>
        <w:tc>
          <w:tcPr>
            <w:tcW w:w="1508" w:type="dxa"/>
          </w:tcPr>
          <w:p w:rsidR="00DC5CBF" w:rsidRPr="00C33097" w:rsidRDefault="00DC5CBF" w:rsidP="00DC5CBF">
            <w:pPr>
              <w:tabs>
                <w:tab w:val="left" w:pos="567"/>
              </w:tabs>
              <w:rPr>
                <w:b/>
              </w:rPr>
            </w:pPr>
            <w:r w:rsidRPr="00C33097">
              <w:rPr>
                <w:b/>
              </w:rPr>
              <w:t>Timing</w:t>
            </w:r>
          </w:p>
        </w:tc>
      </w:tr>
      <w:tr w:rsidR="00DC5CBF" w:rsidRPr="00C33097" w:rsidTr="00E82C26">
        <w:trPr>
          <w:tblHeader/>
        </w:trPr>
        <w:tc>
          <w:tcPr>
            <w:tcW w:w="1838" w:type="dxa"/>
            <w:shd w:val="clear" w:color="auto" w:fill="auto"/>
          </w:tcPr>
          <w:p w:rsidR="00DC5CBF" w:rsidRPr="00C33097" w:rsidRDefault="00DC5CBF" w:rsidP="00DC5CBF">
            <w:pPr>
              <w:tabs>
                <w:tab w:val="left" w:pos="567"/>
              </w:tabs>
            </w:pPr>
          </w:p>
        </w:tc>
        <w:tc>
          <w:tcPr>
            <w:tcW w:w="2835" w:type="dxa"/>
          </w:tcPr>
          <w:p w:rsidR="00DC5CBF" w:rsidRPr="00C33097" w:rsidRDefault="00DC5CBF" w:rsidP="00DC5CBF">
            <w:pPr>
              <w:tabs>
                <w:tab w:val="left" w:pos="567"/>
              </w:tabs>
            </w:pPr>
          </w:p>
        </w:tc>
        <w:tc>
          <w:tcPr>
            <w:tcW w:w="2835" w:type="dxa"/>
          </w:tcPr>
          <w:p w:rsidR="00DC5CBF" w:rsidRPr="00C33097" w:rsidRDefault="00DC5CBF" w:rsidP="00DC5CBF">
            <w:pPr>
              <w:tabs>
                <w:tab w:val="left" w:pos="567"/>
              </w:tabs>
            </w:pPr>
          </w:p>
        </w:tc>
        <w:tc>
          <w:tcPr>
            <w:tcW w:w="1508" w:type="dxa"/>
          </w:tcPr>
          <w:p w:rsidR="00DC5CBF" w:rsidRPr="00C33097" w:rsidRDefault="00DC5CBF" w:rsidP="00DC5CBF">
            <w:pPr>
              <w:tabs>
                <w:tab w:val="left" w:pos="567"/>
              </w:tabs>
            </w:pPr>
          </w:p>
        </w:tc>
      </w:tr>
      <w:tr w:rsidR="00DC5CBF" w:rsidRPr="00C33097" w:rsidTr="00E82C26">
        <w:trPr>
          <w:tblHeader/>
        </w:trPr>
        <w:tc>
          <w:tcPr>
            <w:tcW w:w="1838" w:type="dxa"/>
            <w:shd w:val="clear" w:color="auto" w:fill="auto"/>
          </w:tcPr>
          <w:p w:rsidR="00DC5CBF" w:rsidRPr="00C33097" w:rsidRDefault="00DC5CBF" w:rsidP="00DC5CBF">
            <w:pPr>
              <w:tabs>
                <w:tab w:val="left" w:pos="567"/>
              </w:tabs>
            </w:pPr>
          </w:p>
        </w:tc>
        <w:tc>
          <w:tcPr>
            <w:tcW w:w="2835" w:type="dxa"/>
          </w:tcPr>
          <w:p w:rsidR="00DC5CBF" w:rsidRPr="00C33097" w:rsidRDefault="00DC5CBF" w:rsidP="00DC5CBF">
            <w:pPr>
              <w:tabs>
                <w:tab w:val="left" w:pos="567"/>
              </w:tabs>
            </w:pPr>
          </w:p>
        </w:tc>
        <w:tc>
          <w:tcPr>
            <w:tcW w:w="2835" w:type="dxa"/>
          </w:tcPr>
          <w:p w:rsidR="00DC5CBF" w:rsidRPr="00C33097" w:rsidRDefault="00DC5CBF" w:rsidP="00DC5CBF">
            <w:pPr>
              <w:tabs>
                <w:tab w:val="left" w:pos="567"/>
              </w:tabs>
            </w:pPr>
          </w:p>
        </w:tc>
        <w:tc>
          <w:tcPr>
            <w:tcW w:w="1508" w:type="dxa"/>
          </w:tcPr>
          <w:p w:rsidR="00DC5CBF" w:rsidRPr="00C33097" w:rsidRDefault="00DC5CBF" w:rsidP="00DC5CBF">
            <w:pPr>
              <w:tabs>
                <w:tab w:val="left" w:pos="567"/>
              </w:tabs>
            </w:pPr>
          </w:p>
        </w:tc>
      </w:tr>
      <w:tr w:rsidR="00DC5CBF" w:rsidRPr="00C33097" w:rsidTr="00E82C26">
        <w:trPr>
          <w:tblHeader/>
        </w:trPr>
        <w:tc>
          <w:tcPr>
            <w:tcW w:w="1838" w:type="dxa"/>
            <w:shd w:val="clear" w:color="auto" w:fill="auto"/>
          </w:tcPr>
          <w:p w:rsidR="00DC5CBF" w:rsidRPr="00C33097" w:rsidRDefault="00DC5CBF" w:rsidP="00DC5CBF">
            <w:pPr>
              <w:tabs>
                <w:tab w:val="left" w:pos="567"/>
              </w:tabs>
            </w:pPr>
          </w:p>
        </w:tc>
        <w:tc>
          <w:tcPr>
            <w:tcW w:w="2835" w:type="dxa"/>
          </w:tcPr>
          <w:p w:rsidR="00DC5CBF" w:rsidRPr="00C33097" w:rsidRDefault="00DC5CBF" w:rsidP="00DC5CBF">
            <w:pPr>
              <w:tabs>
                <w:tab w:val="left" w:pos="567"/>
              </w:tabs>
            </w:pPr>
          </w:p>
        </w:tc>
        <w:tc>
          <w:tcPr>
            <w:tcW w:w="2835" w:type="dxa"/>
          </w:tcPr>
          <w:p w:rsidR="00DC5CBF" w:rsidRPr="00C33097" w:rsidRDefault="00DC5CBF" w:rsidP="00DC5CBF">
            <w:pPr>
              <w:tabs>
                <w:tab w:val="left" w:pos="567"/>
              </w:tabs>
            </w:pPr>
          </w:p>
        </w:tc>
        <w:tc>
          <w:tcPr>
            <w:tcW w:w="1508" w:type="dxa"/>
          </w:tcPr>
          <w:p w:rsidR="00DC5CBF" w:rsidRPr="00C33097" w:rsidRDefault="00DC5CBF" w:rsidP="00DC5CBF">
            <w:pPr>
              <w:tabs>
                <w:tab w:val="left" w:pos="567"/>
              </w:tabs>
            </w:pPr>
          </w:p>
        </w:tc>
      </w:tr>
      <w:tr w:rsidR="00DC5CBF" w:rsidRPr="00274B21" w:rsidTr="00E82C26">
        <w:trPr>
          <w:tblHeader/>
        </w:trPr>
        <w:tc>
          <w:tcPr>
            <w:tcW w:w="4673" w:type="dxa"/>
            <w:gridSpan w:val="2"/>
          </w:tcPr>
          <w:p w:rsidR="00DC5CBF" w:rsidRPr="00274B21" w:rsidRDefault="00DC5CBF" w:rsidP="00274B21">
            <w:pPr>
              <w:tabs>
                <w:tab w:val="left" w:pos="567"/>
              </w:tabs>
              <w:rPr>
                <w:b/>
              </w:rPr>
            </w:pPr>
            <w:bookmarkStart w:id="0" w:name="_GoBack" w:colFirst="0" w:colLast="0"/>
            <w:r w:rsidRPr="00274B21">
              <w:rPr>
                <w:b/>
              </w:rPr>
              <w:t>Total over 3 years</w:t>
            </w:r>
          </w:p>
        </w:tc>
        <w:tc>
          <w:tcPr>
            <w:tcW w:w="2835" w:type="dxa"/>
          </w:tcPr>
          <w:p w:rsidR="00DC5CBF" w:rsidRPr="00274B21" w:rsidRDefault="00DC5CBF" w:rsidP="00DC5CBF">
            <w:pPr>
              <w:tabs>
                <w:tab w:val="left" w:pos="567"/>
              </w:tabs>
              <w:rPr>
                <w:b/>
              </w:rPr>
            </w:pPr>
            <w:r w:rsidRPr="00274B21">
              <w:rPr>
                <w:b/>
              </w:rPr>
              <w:t>$</w:t>
            </w:r>
          </w:p>
        </w:tc>
        <w:tc>
          <w:tcPr>
            <w:tcW w:w="1508" w:type="dxa"/>
          </w:tcPr>
          <w:p w:rsidR="00DC5CBF" w:rsidRPr="00274B21" w:rsidRDefault="00DC5CBF" w:rsidP="00DC5CBF">
            <w:pPr>
              <w:tabs>
                <w:tab w:val="left" w:pos="567"/>
              </w:tabs>
              <w:rPr>
                <w:b/>
              </w:rPr>
            </w:pPr>
          </w:p>
        </w:tc>
      </w:tr>
      <w:bookmarkEnd w:id="0"/>
    </w:tbl>
    <w:p w:rsidR="00DC5CBF" w:rsidRPr="00274B21" w:rsidRDefault="00DC5CBF" w:rsidP="00DC5CBF">
      <w:pPr>
        <w:tabs>
          <w:tab w:val="left" w:pos="567"/>
        </w:tabs>
        <w:rPr>
          <w:b/>
        </w:rPr>
      </w:pPr>
    </w:p>
    <w:p w:rsidR="00DC5CBF" w:rsidRPr="00C33097" w:rsidRDefault="00DC5CBF" w:rsidP="00DC5CBF">
      <w:pPr>
        <w:tabs>
          <w:tab w:val="left" w:pos="567"/>
        </w:tabs>
        <w:rPr>
          <w:rFonts w:eastAsia="Times New Roman" w:cs="Arial"/>
        </w:rPr>
      </w:pPr>
      <w:r w:rsidRPr="00C33097">
        <w:rPr>
          <w:rFonts w:eastAsia="Times New Roman" w:cs="Arial"/>
        </w:rPr>
        <w:t>G1.2</w:t>
      </w:r>
      <w:r w:rsidRPr="00C33097">
        <w:rPr>
          <w:rFonts w:eastAsia="Times New Roman" w:cs="Arial"/>
        </w:rPr>
        <w:tab/>
        <w:t xml:space="preserve">The Grantee agrees to provide, or to ensure the provision of, the Other Contributions and to use them to undertake the Activity. If the Other Contributions </w:t>
      </w:r>
      <w:proofErr w:type="gramStart"/>
      <w:r w:rsidRPr="00C33097">
        <w:rPr>
          <w:rFonts w:eastAsia="Times New Roman" w:cs="Arial"/>
        </w:rPr>
        <w:t>are not provided</w:t>
      </w:r>
      <w:proofErr w:type="gramEnd"/>
      <w:r w:rsidRPr="00C33097">
        <w:rPr>
          <w:rFonts w:eastAsia="Times New Roman" w:cs="Arial"/>
        </w:rPr>
        <w:t xml:space="preserve"> in accordance with this clause, then the Commonwealth may:</w:t>
      </w:r>
    </w:p>
    <w:p w:rsidR="00DC5CBF" w:rsidRPr="00C33097" w:rsidRDefault="00DC5CBF" w:rsidP="00DC5CBF">
      <w:pPr>
        <w:pStyle w:val="NormalWeb"/>
        <w:ind w:left="600"/>
      </w:pPr>
      <w:r w:rsidRPr="00C33097">
        <w:rPr>
          <w:rFonts w:ascii="Arial" w:hAnsi="Arial" w:cs="Arial"/>
          <w:color w:val="000000"/>
          <w:sz w:val="22"/>
          <w:szCs w:val="22"/>
        </w:rPr>
        <w:t xml:space="preserve">(a) </w:t>
      </w:r>
      <w:proofErr w:type="gramStart"/>
      <w:r w:rsidRPr="00C33097">
        <w:rPr>
          <w:rFonts w:ascii="Arial" w:hAnsi="Arial" w:cs="Arial"/>
          <w:color w:val="000000"/>
          <w:sz w:val="22"/>
          <w:szCs w:val="22"/>
        </w:rPr>
        <w:t>suspend</w:t>
      </w:r>
      <w:proofErr w:type="gramEnd"/>
      <w:r w:rsidRPr="00C33097">
        <w:rPr>
          <w:rFonts w:ascii="Arial" w:hAnsi="Arial" w:cs="Arial"/>
          <w:color w:val="000000"/>
          <w:sz w:val="22"/>
          <w:szCs w:val="22"/>
        </w:rPr>
        <w:t xml:space="preserve"> payment of the Grant until the Other Contributions are provided; or</w:t>
      </w:r>
    </w:p>
    <w:p w:rsidR="00DC5CBF" w:rsidRPr="00C33097" w:rsidRDefault="00DC5CBF" w:rsidP="00DC5CBF">
      <w:pPr>
        <w:pStyle w:val="NormalWeb"/>
        <w:ind w:left="600"/>
        <w:rPr>
          <w:rFonts w:ascii="Arial" w:hAnsi="Arial" w:cs="Arial"/>
          <w:color w:val="000000"/>
          <w:sz w:val="22"/>
          <w:szCs w:val="22"/>
        </w:rPr>
      </w:pPr>
      <w:r w:rsidRPr="00C33097">
        <w:rPr>
          <w:rFonts w:ascii="Arial" w:hAnsi="Arial" w:cs="Arial"/>
          <w:color w:val="000000"/>
          <w:sz w:val="22"/>
          <w:szCs w:val="22"/>
        </w:rPr>
        <w:t xml:space="preserve">(b) </w:t>
      </w:r>
      <w:proofErr w:type="gramStart"/>
      <w:r w:rsidRPr="00C33097">
        <w:rPr>
          <w:rFonts w:ascii="Arial" w:hAnsi="Arial" w:cs="Arial"/>
          <w:color w:val="000000"/>
          <w:sz w:val="22"/>
          <w:szCs w:val="22"/>
        </w:rPr>
        <w:t>terminate</w:t>
      </w:r>
      <w:proofErr w:type="gramEnd"/>
      <w:r w:rsidRPr="00C33097">
        <w:rPr>
          <w:rFonts w:ascii="Arial" w:hAnsi="Arial" w:cs="Arial"/>
          <w:color w:val="000000"/>
          <w:sz w:val="22"/>
          <w:szCs w:val="22"/>
        </w:rPr>
        <w:t xml:space="preserve"> this Agreement in accordance with clause 18 of the General Grant Conditions.</w:t>
      </w:r>
    </w:p>
    <w:p w:rsidR="004B5C0F" w:rsidRPr="00C33097" w:rsidRDefault="004B5C0F" w:rsidP="003159F4">
      <w:pPr>
        <w:pStyle w:val="Heading2"/>
        <w:rPr>
          <w:rFonts w:eastAsia="Times New Roman"/>
        </w:rPr>
      </w:pPr>
      <w:r w:rsidRPr="00C33097">
        <w:rPr>
          <w:rFonts w:eastAsia="Times New Roman"/>
        </w:rPr>
        <w:t xml:space="preserve">G2. Activity budget </w:t>
      </w:r>
    </w:p>
    <w:p w:rsidR="0041500D" w:rsidRPr="00C33097" w:rsidRDefault="0044117B" w:rsidP="0041500D">
      <w:r w:rsidRPr="00003E7B">
        <w:t>G2.1</w:t>
      </w:r>
      <w:r w:rsidRPr="00003E7B">
        <w:tab/>
        <w:t xml:space="preserve">The Grantee agrees to use the Grant (and any Other Contributions) and undertake the Activity consistent with the following budget. The percentage of the Budget (Total Cost) below which funding may be transferred between expenditure items without the Department’s approval </w:t>
      </w:r>
      <w:r w:rsidR="00332F8E" w:rsidRPr="00003E7B">
        <w:t>is 10% of the individual category item</w:t>
      </w:r>
      <w:r w:rsidR="00C13BAA" w:rsidRPr="00003E7B">
        <w:t>s</w:t>
      </w:r>
      <w:r w:rsidR="00332F8E" w:rsidRPr="00003E7B">
        <w:t>.</w:t>
      </w:r>
    </w:p>
    <w:p w:rsidR="0044117B" w:rsidRPr="00C33097" w:rsidRDefault="0044117B" w:rsidP="0041500D"/>
    <w:tbl>
      <w:tblPr>
        <w:tblStyle w:val="TableGrid"/>
        <w:tblW w:w="0" w:type="auto"/>
        <w:tblLook w:val="04A0" w:firstRow="1" w:lastRow="0" w:firstColumn="1" w:lastColumn="0" w:noHBand="0" w:noVBand="1"/>
        <w:tblCaption w:val="Activity budget "/>
      </w:tblPr>
      <w:tblGrid>
        <w:gridCol w:w="1502"/>
        <w:gridCol w:w="1503"/>
        <w:gridCol w:w="1503"/>
        <w:gridCol w:w="1502"/>
        <w:gridCol w:w="1503"/>
        <w:gridCol w:w="1503"/>
      </w:tblGrid>
      <w:tr w:rsidR="0044117B" w:rsidRPr="00C33097" w:rsidTr="00E82C26">
        <w:trPr>
          <w:trHeight w:val="253"/>
          <w:tblHeader/>
        </w:trPr>
        <w:tc>
          <w:tcPr>
            <w:tcW w:w="1502" w:type="dxa"/>
          </w:tcPr>
          <w:p w:rsidR="0044117B" w:rsidRPr="00C33097" w:rsidRDefault="0044117B" w:rsidP="0041500D">
            <w:pPr>
              <w:rPr>
                <w:b/>
              </w:rPr>
            </w:pPr>
            <w:r w:rsidRPr="00C33097">
              <w:rPr>
                <w:b/>
              </w:rPr>
              <w:t>Category</w:t>
            </w:r>
          </w:p>
        </w:tc>
        <w:tc>
          <w:tcPr>
            <w:tcW w:w="1503" w:type="dxa"/>
          </w:tcPr>
          <w:p w:rsidR="0044117B" w:rsidRPr="00C33097" w:rsidRDefault="0044117B" w:rsidP="0041500D">
            <w:pPr>
              <w:rPr>
                <w:b/>
              </w:rPr>
            </w:pPr>
            <w:r w:rsidRPr="00C33097">
              <w:rPr>
                <w:b/>
              </w:rPr>
              <w:t>Description</w:t>
            </w:r>
          </w:p>
        </w:tc>
        <w:tc>
          <w:tcPr>
            <w:tcW w:w="1503" w:type="dxa"/>
          </w:tcPr>
          <w:p w:rsidR="0044117B" w:rsidRPr="00C33097" w:rsidRDefault="0044117B" w:rsidP="0041500D">
            <w:pPr>
              <w:rPr>
                <w:b/>
              </w:rPr>
            </w:pPr>
            <w:r w:rsidRPr="00C33097">
              <w:rPr>
                <w:b/>
              </w:rPr>
              <w:t>2019-20</w:t>
            </w:r>
          </w:p>
        </w:tc>
        <w:tc>
          <w:tcPr>
            <w:tcW w:w="1502" w:type="dxa"/>
          </w:tcPr>
          <w:p w:rsidR="0044117B" w:rsidRPr="00C33097" w:rsidRDefault="0044117B" w:rsidP="0041500D">
            <w:pPr>
              <w:rPr>
                <w:b/>
              </w:rPr>
            </w:pPr>
            <w:r w:rsidRPr="00C33097">
              <w:rPr>
                <w:b/>
              </w:rPr>
              <w:t>2020-21</w:t>
            </w:r>
          </w:p>
        </w:tc>
        <w:tc>
          <w:tcPr>
            <w:tcW w:w="1503" w:type="dxa"/>
          </w:tcPr>
          <w:p w:rsidR="0044117B" w:rsidRPr="00C33097" w:rsidRDefault="0044117B" w:rsidP="0041500D">
            <w:pPr>
              <w:rPr>
                <w:b/>
              </w:rPr>
            </w:pPr>
            <w:r w:rsidRPr="00C33097">
              <w:rPr>
                <w:b/>
              </w:rPr>
              <w:t>2021-22</w:t>
            </w:r>
          </w:p>
        </w:tc>
        <w:tc>
          <w:tcPr>
            <w:tcW w:w="1503" w:type="dxa"/>
          </w:tcPr>
          <w:p w:rsidR="0044117B" w:rsidRPr="00C33097" w:rsidRDefault="0044117B" w:rsidP="0041500D">
            <w:pPr>
              <w:rPr>
                <w:b/>
              </w:rPr>
            </w:pPr>
            <w:r w:rsidRPr="00C33097">
              <w:rPr>
                <w:b/>
              </w:rPr>
              <w:t>Total Cost</w:t>
            </w:r>
          </w:p>
        </w:tc>
      </w:tr>
      <w:tr w:rsidR="0044117B" w:rsidRPr="00C33097" w:rsidTr="00E82C26">
        <w:trPr>
          <w:trHeight w:val="253"/>
          <w:tblHeader/>
        </w:trPr>
        <w:tc>
          <w:tcPr>
            <w:tcW w:w="1502" w:type="dxa"/>
          </w:tcPr>
          <w:p w:rsidR="0044117B" w:rsidRPr="00C33097" w:rsidRDefault="0044117B" w:rsidP="0041500D">
            <w:r w:rsidRPr="00C33097">
              <w:t>Salary</w:t>
            </w:r>
          </w:p>
        </w:tc>
        <w:tc>
          <w:tcPr>
            <w:tcW w:w="1503" w:type="dxa"/>
          </w:tcPr>
          <w:p w:rsidR="0044117B" w:rsidRPr="00C33097" w:rsidRDefault="0044117B" w:rsidP="0041500D"/>
        </w:tc>
        <w:tc>
          <w:tcPr>
            <w:tcW w:w="1503" w:type="dxa"/>
          </w:tcPr>
          <w:p w:rsidR="0044117B" w:rsidRPr="00C33097" w:rsidRDefault="0044117B" w:rsidP="0041500D"/>
        </w:tc>
        <w:tc>
          <w:tcPr>
            <w:tcW w:w="1502" w:type="dxa"/>
          </w:tcPr>
          <w:p w:rsidR="0044117B" w:rsidRPr="00C33097" w:rsidRDefault="0044117B" w:rsidP="0041500D"/>
        </w:tc>
        <w:tc>
          <w:tcPr>
            <w:tcW w:w="1503" w:type="dxa"/>
          </w:tcPr>
          <w:p w:rsidR="0044117B" w:rsidRPr="00C33097" w:rsidRDefault="0044117B" w:rsidP="0041500D"/>
        </w:tc>
        <w:tc>
          <w:tcPr>
            <w:tcW w:w="1503" w:type="dxa"/>
          </w:tcPr>
          <w:p w:rsidR="0044117B" w:rsidRPr="00C33097" w:rsidRDefault="0044117B" w:rsidP="0041500D"/>
        </w:tc>
      </w:tr>
      <w:tr w:rsidR="0044117B" w:rsidRPr="00C33097" w:rsidTr="00E82C26">
        <w:trPr>
          <w:trHeight w:val="253"/>
          <w:tblHeader/>
        </w:trPr>
        <w:tc>
          <w:tcPr>
            <w:tcW w:w="1502" w:type="dxa"/>
          </w:tcPr>
          <w:p w:rsidR="0044117B" w:rsidRPr="00C33097" w:rsidRDefault="0044117B" w:rsidP="0041500D">
            <w:r w:rsidRPr="00C33097">
              <w:t>Other</w:t>
            </w:r>
          </w:p>
        </w:tc>
        <w:tc>
          <w:tcPr>
            <w:tcW w:w="1503" w:type="dxa"/>
          </w:tcPr>
          <w:p w:rsidR="0044117B" w:rsidRPr="00C33097" w:rsidRDefault="0044117B" w:rsidP="0041500D"/>
        </w:tc>
        <w:tc>
          <w:tcPr>
            <w:tcW w:w="1503" w:type="dxa"/>
          </w:tcPr>
          <w:p w:rsidR="0044117B" w:rsidRPr="00C33097" w:rsidRDefault="0044117B" w:rsidP="0041500D"/>
        </w:tc>
        <w:tc>
          <w:tcPr>
            <w:tcW w:w="1502" w:type="dxa"/>
          </w:tcPr>
          <w:p w:rsidR="0044117B" w:rsidRPr="00C33097" w:rsidRDefault="0044117B" w:rsidP="0041500D"/>
        </w:tc>
        <w:tc>
          <w:tcPr>
            <w:tcW w:w="1503" w:type="dxa"/>
          </w:tcPr>
          <w:p w:rsidR="0044117B" w:rsidRPr="00C33097" w:rsidRDefault="0044117B" w:rsidP="0041500D"/>
        </w:tc>
        <w:tc>
          <w:tcPr>
            <w:tcW w:w="1503" w:type="dxa"/>
          </w:tcPr>
          <w:p w:rsidR="0044117B" w:rsidRPr="00C33097" w:rsidRDefault="0044117B" w:rsidP="0041500D"/>
        </w:tc>
      </w:tr>
      <w:tr w:rsidR="0044117B" w:rsidRPr="00C33097" w:rsidTr="00E82C26">
        <w:trPr>
          <w:trHeight w:val="253"/>
          <w:tblHeader/>
        </w:trPr>
        <w:tc>
          <w:tcPr>
            <w:tcW w:w="1502" w:type="dxa"/>
          </w:tcPr>
          <w:p w:rsidR="0044117B" w:rsidRPr="00C33097" w:rsidRDefault="0044117B" w:rsidP="0041500D">
            <w:r w:rsidRPr="00C33097">
              <w:t>Other</w:t>
            </w:r>
          </w:p>
        </w:tc>
        <w:tc>
          <w:tcPr>
            <w:tcW w:w="1503" w:type="dxa"/>
          </w:tcPr>
          <w:p w:rsidR="0044117B" w:rsidRPr="00C33097" w:rsidRDefault="0044117B" w:rsidP="0041500D"/>
        </w:tc>
        <w:tc>
          <w:tcPr>
            <w:tcW w:w="1503" w:type="dxa"/>
          </w:tcPr>
          <w:p w:rsidR="0044117B" w:rsidRPr="00C33097" w:rsidRDefault="0044117B" w:rsidP="0041500D"/>
        </w:tc>
        <w:tc>
          <w:tcPr>
            <w:tcW w:w="1502" w:type="dxa"/>
          </w:tcPr>
          <w:p w:rsidR="0044117B" w:rsidRPr="00C33097" w:rsidRDefault="0044117B" w:rsidP="0041500D"/>
        </w:tc>
        <w:tc>
          <w:tcPr>
            <w:tcW w:w="1503" w:type="dxa"/>
          </w:tcPr>
          <w:p w:rsidR="0044117B" w:rsidRPr="00C33097" w:rsidRDefault="0044117B" w:rsidP="0041500D"/>
        </w:tc>
        <w:tc>
          <w:tcPr>
            <w:tcW w:w="1503" w:type="dxa"/>
          </w:tcPr>
          <w:p w:rsidR="0044117B" w:rsidRPr="00C33097" w:rsidRDefault="0044117B" w:rsidP="0041500D"/>
        </w:tc>
      </w:tr>
      <w:tr w:rsidR="0044117B" w:rsidRPr="0044117B" w:rsidTr="00E82C26">
        <w:trPr>
          <w:trHeight w:val="253"/>
          <w:tblHeader/>
        </w:trPr>
        <w:tc>
          <w:tcPr>
            <w:tcW w:w="1502" w:type="dxa"/>
          </w:tcPr>
          <w:p w:rsidR="0044117B" w:rsidRPr="00C33097" w:rsidRDefault="0044117B" w:rsidP="0041500D">
            <w:pPr>
              <w:rPr>
                <w:b/>
              </w:rPr>
            </w:pPr>
          </w:p>
        </w:tc>
        <w:tc>
          <w:tcPr>
            <w:tcW w:w="1503" w:type="dxa"/>
          </w:tcPr>
          <w:p w:rsidR="0044117B" w:rsidRPr="0044117B" w:rsidRDefault="0044117B" w:rsidP="0041500D">
            <w:pPr>
              <w:rPr>
                <w:b/>
              </w:rPr>
            </w:pPr>
            <w:r w:rsidRPr="00C33097">
              <w:rPr>
                <w:b/>
              </w:rPr>
              <w:t>Total:</w:t>
            </w:r>
          </w:p>
        </w:tc>
        <w:tc>
          <w:tcPr>
            <w:tcW w:w="1503" w:type="dxa"/>
          </w:tcPr>
          <w:p w:rsidR="0044117B" w:rsidRPr="0044117B" w:rsidRDefault="0044117B" w:rsidP="0041500D">
            <w:pPr>
              <w:rPr>
                <w:b/>
              </w:rPr>
            </w:pPr>
          </w:p>
        </w:tc>
        <w:tc>
          <w:tcPr>
            <w:tcW w:w="1502" w:type="dxa"/>
          </w:tcPr>
          <w:p w:rsidR="0044117B" w:rsidRPr="0044117B" w:rsidRDefault="0044117B" w:rsidP="0041500D">
            <w:pPr>
              <w:rPr>
                <w:b/>
              </w:rPr>
            </w:pPr>
          </w:p>
        </w:tc>
        <w:tc>
          <w:tcPr>
            <w:tcW w:w="1503" w:type="dxa"/>
          </w:tcPr>
          <w:p w:rsidR="0044117B" w:rsidRPr="0044117B" w:rsidRDefault="0044117B" w:rsidP="0041500D">
            <w:pPr>
              <w:rPr>
                <w:b/>
              </w:rPr>
            </w:pPr>
          </w:p>
        </w:tc>
        <w:tc>
          <w:tcPr>
            <w:tcW w:w="1503" w:type="dxa"/>
          </w:tcPr>
          <w:p w:rsidR="0044117B" w:rsidRPr="0044117B" w:rsidRDefault="0044117B" w:rsidP="0041500D">
            <w:pPr>
              <w:rPr>
                <w:b/>
              </w:rPr>
            </w:pPr>
          </w:p>
        </w:tc>
      </w:tr>
    </w:tbl>
    <w:p w:rsidR="0044117B" w:rsidRPr="0041500D" w:rsidRDefault="0044117B" w:rsidP="0041500D"/>
    <w:p w:rsidR="00B87227" w:rsidRPr="00F77925" w:rsidRDefault="004B5C0F" w:rsidP="003159F4">
      <w:pPr>
        <w:pStyle w:val="Heading2"/>
        <w:rPr>
          <w:rFonts w:eastAsia="Times New Roman"/>
        </w:rPr>
      </w:pPr>
      <w:r w:rsidRPr="004B5C0F">
        <w:rPr>
          <w:rFonts w:eastAsia="Times New Roman"/>
        </w:rPr>
        <w:t>G3. Record keeping</w:t>
      </w:r>
      <w:r w:rsidRPr="00F77925">
        <w:rPr>
          <w:rFonts w:eastAsia="Times New Roman"/>
        </w:rPr>
        <w:t xml:space="preserve"> </w:t>
      </w:r>
    </w:p>
    <w:p w:rsidR="00FC7961" w:rsidRPr="00B87227" w:rsidRDefault="00FC7961" w:rsidP="003159F4">
      <w:pPr>
        <w:rPr>
          <w:rFonts w:ascii="Times New Roman" w:hAnsi="Times New Roman"/>
          <w:b/>
        </w:rPr>
      </w:pPr>
      <w:r w:rsidRPr="00B87227">
        <w:t>G3.1 The Grantee agrees to maintain the following records:</w:t>
      </w:r>
    </w:p>
    <w:p w:rsidR="00FC7961" w:rsidRDefault="00FC7961" w:rsidP="00FC7961">
      <w:pPr>
        <w:pStyle w:val="NormalWeb"/>
        <w:ind w:left="600"/>
      </w:pPr>
      <w:r>
        <w:rPr>
          <w:rFonts w:ascii="Arial" w:hAnsi="Arial" w:cs="Arial"/>
          <w:color w:val="000000"/>
          <w:sz w:val="22"/>
          <w:szCs w:val="22"/>
        </w:rPr>
        <w:t xml:space="preserve">(a) </w:t>
      </w:r>
      <w:proofErr w:type="gramStart"/>
      <w:r>
        <w:rPr>
          <w:rFonts w:ascii="Arial" w:hAnsi="Arial" w:cs="Arial"/>
          <w:color w:val="000000"/>
          <w:sz w:val="22"/>
          <w:szCs w:val="22"/>
        </w:rPr>
        <w:t>identify</w:t>
      </w:r>
      <w:proofErr w:type="gramEnd"/>
      <w:r>
        <w:rPr>
          <w:rFonts w:ascii="Arial" w:hAnsi="Arial" w:cs="Arial"/>
          <w:color w:val="000000"/>
          <w:sz w:val="22"/>
          <w:szCs w:val="22"/>
        </w:rPr>
        <w:t xml:space="preserve"> the receipt and expenditure of the Grant [and any Other Contributions] separately within the Grantee's accounts and records so that at all times the Grant is identifiable; and</w:t>
      </w:r>
    </w:p>
    <w:p w:rsidR="00FC7961" w:rsidRDefault="00FC7961" w:rsidP="00FC7961">
      <w:pPr>
        <w:pStyle w:val="NormalWeb"/>
        <w:ind w:left="600"/>
        <w:rPr>
          <w:rFonts w:ascii="Arial" w:hAnsi="Arial" w:cs="Arial"/>
          <w:color w:val="000000"/>
          <w:sz w:val="22"/>
          <w:szCs w:val="22"/>
        </w:rPr>
      </w:pPr>
      <w:r>
        <w:rPr>
          <w:rFonts w:ascii="Arial" w:hAnsi="Arial" w:cs="Arial"/>
          <w:color w:val="000000"/>
          <w:sz w:val="22"/>
          <w:szCs w:val="22"/>
        </w:rPr>
        <w:t>(b) keep financial accounts and records relating to the Activity so as to enable all receipts and payments related to the Activity to be identified and reported; and</w:t>
      </w:r>
    </w:p>
    <w:p w:rsidR="00FC7961" w:rsidRPr="00FC7961" w:rsidRDefault="00FC7961" w:rsidP="00FC7961">
      <w:pPr>
        <w:pStyle w:val="NormalWeb"/>
        <w:ind w:left="600"/>
        <w:rPr>
          <w:rFonts w:ascii="Arial" w:hAnsi="Arial" w:cs="Arial"/>
          <w:color w:val="000000"/>
          <w:sz w:val="22"/>
          <w:szCs w:val="22"/>
        </w:rPr>
      </w:pPr>
      <w:r>
        <w:t>(</w:t>
      </w:r>
      <w:r w:rsidRPr="00FC7961">
        <w:rPr>
          <w:rFonts w:ascii="Arial" w:hAnsi="Arial" w:cs="Arial"/>
          <w:color w:val="000000"/>
          <w:sz w:val="22"/>
          <w:szCs w:val="22"/>
        </w:rPr>
        <w:t>c)</w:t>
      </w:r>
      <w:r w:rsidR="009B2C0A">
        <w:rPr>
          <w:rFonts w:ascii="Arial" w:hAnsi="Arial" w:cs="Arial"/>
          <w:color w:val="000000"/>
          <w:sz w:val="22"/>
          <w:szCs w:val="22"/>
        </w:rPr>
        <w:t xml:space="preserve"> </w:t>
      </w:r>
      <w:proofErr w:type="gramStart"/>
      <w:r w:rsidRPr="00FC7961">
        <w:rPr>
          <w:rFonts w:ascii="Arial" w:hAnsi="Arial" w:cs="Arial"/>
          <w:color w:val="000000"/>
          <w:sz w:val="22"/>
          <w:szCs w:val="22"/>
        </w:rPr>
        <w:t>any</w:t>
      </w:r>
      <w:proofErr w:type="gramEnd"/>
      <w:r w:rsidRPr="00FC7961">
        <w:rPr>
          <w:rFonts w:ascii="Arial" w:hAnsi="Arial" w:cs="Arial"/>
          <w:color w:val="000000"/>
          <w:sz w:val="22"/>
          <w:szCs w:val="22"/>
        </w:rPr>
        <w:t xml:space="preserve"> other requirements indicated in the Grant Schedule.</w:t>
      </w:r>
    </w:p>
    <w:p w:rsidR="00FC7961" w:rsidRDefault="00FC7961" w:rsidP="00FC7961">
      <w:pPr>
        <w:pStyle w:val="NormalWeb"/>
        <w:rPr>
          <w:rFonts w:ascii="Arial" w:hAnsi="Arial" w:cs="Arial"/>
          <w:color w:val="000000"/>
          <w:sz w:val="22"/>
          <w:szCs w:val="22"/>
        </w:rPr>
      </w:pPr>
      <w:r w:rsidRPr="00FC7961">
        <w:rPr>
          <w:rFonts w:ascii="Arial" w:hAnsi="Arial" w:cs="Arial"/>
          <w:color w:val="000000"/>
          <w:sz w:val="22"/>
          <w:szCs w:val="22"/>
        </w:rPr>
        <w:t>G3.2</w:t>
      </w:r>
      <w:r w:rsidR="00F77925">
        <w:rPr>
          <w:rFonts w:ascii="Arial" w:hAnsi="Arial" w:cs="Arial"/>
          <w:color w:val="000000"/>
          <w:sz w:val="22"/>
          <w:szCs w:val="22"/>
        </w:rPr>
        <w:t xml:space="preserve"> </w:t>
      </w:r>
      <w:r w:rsidR="00E444C2">
        <w:rPr>
          <w:rFonts w:ascii="Arial" w:hAnsi="Arial" w:cs="Arial"/>
          <w:color w:val="000000"/>
          <w:sz w:val="22"/>
          <w:szCs w:val="22"/>
        </w:rPr>
        <w:t xml:space="preserve">The Grantee </w:t>
      </w:r>
      <w:r w:rsidRPr="00FC7961">
        <w:rPr>
          <w:rFonts w:ascii="Arial" w:hAnsi="Arial" w:cs="Arial"/>
          <w:color w:val="000000"/>
          <w:sz w:val="22"/>
          <w:szCs w:val="22"/>
        </w:rPr>
        <w:t>agree</w:t>
      </w:r>
      <w:r w:rsidR="00E444C2">
        <w:rPr>
          <w:rFonts w:ascii="Arial" w:hAnsi="Arial" w:cs="Arial"/>
          <w:color w:val="000000"/>
          <w:sz w:val="22"/>
          <w:szCs w:val="22"/>
        </w:rPr>
        <w:t>s</w:t>
      </w:r>
      <w:r w:rsidRPr="00FC7961">
        <w:rPr>
          <w:rFonts w:ascii="Arial" w:hAnsi="Arial" w:cs="Arial"/>
          <w:color w:val="000000"/>
          <w:sz w:val="22"/>
          <w:szCs w:val="22"/>
        </w:rPr>
        <w:t xml:space="preserve"> to maintain the records for five years after the Completion Date and</w:t>
      </w:r>
      <w:r>
        <w:rPr>
          <w:rFonts w:ascii="Arial" w:hAnsi="Arial" w:cs="Arial"/>
          <w:color w:val="000000"/>
          <w:sz w:val="22"/>
          <w:szCs w:val="22"/>
        </w:rPr>
        <w:t xml:space="preserve"> </w:t>
      </w:r>
      <w:r w:rsidRPr="00FC7961">
        <w:rPr>
          <w:rFonts w:ascii="Arial" w:hAnsi="Arial" w:cs="Arial"/>
          <w:color w:val="000000"/>
          <w:sz w:val="22"/>
          <w:szCs w:val="22"/>
        </w:rPr>
        <w:t>provide</w:t>
      </w:r>
      <w:r>
        <w:rPr>
          <w:rFonts w:ascii="Arial" w:hAnsi="Arial" w:cs="Arial"/>
          <w:color w:val="000000"/>
          <w:sz w:val="22"/>
          <w:szCs w:val="22"/>
        </w:rPr>
        <w:t xml:space="preserve"> </w:t>
      </w:r>
      <w:r w:rsidRPr="00FC7961">
        <w:rPr>
          <w:rFonts w:ascii="Arial" w:hAnsi="Arial" w:cs="Arial"/>
          <w:color w:val="000000"/>
          <w:sz w:val="22"/>
          <w:szCs w:val="22"/>
        </w:rPr>
        <w:t xml:space="preserve">copies of the records to </w:t>
      </w:r>
      <w:r w:rsidR="00E444C2">
        <w:rPr>
          <w:rFonts w:ascii="Arial" w:hAnsi="Arial" w:cs="Arial"/>
          <w:color w:val="000000"/>
          <w:sz w:val="22"/>
          <w:szCs w:val="22"/>
        </w:rPr>
        <w:t>the Commonwealth</w:t>
      </w:r>
      <w:r w:rsidRPr="00FC7961">
        <w:rPr>
          <w:rFonts w:ascii="Arial" w:hAnsi="Arial" w:cs="Arial"/>
          <w:color w:val="000000"/>
          <w:sz w:val="22"/>
          <w:szCs w:val="22"/>
        </w:rPr>
        <w:t xml:space="preserve"> representative upon request.</w:t>
      </w:r>
    </w:p>
    <w:p w:rsidR="00FC7961" w:rsidRPr="00FC7961" w:rsidRDefault="00F77925" w:rsidP="00FC7961">
      <w:pPr>
        <w:pStyle w:val="NormalWeb"/>
        <w:rPr>
          <w:rFonts w:ascii="Arial" w:hAnsi="Arial" w:cs="Arial"/>
          <w:color w:val="000000"/>
          <w:sz w:val="22"/>
          <w:szCs w:val="22"/>
        </w:rPr>
      </w:pPr>
      <w:r>
        <w:rPr>
          <w:rFonts w:ascii="Arial" w:hAnsi="Arial" w:cs="Arial"/>
          <w:color w:val="000000"/>
          <w:sz w:val="22"/>
          <w:szCs w:val="22"/>
        </w:rPr>
        <w:t xml:space="preserve">G3.3 </w:t>
      </w:r>
      <w:r w:rsidR="00FC7961" w:rsidRPr="00FC7961">
        <w:rPr>
          <w:rFonts w:ascii="Arial" w:hAnsi="Arial" w:cs="Arial"/>
          <w:color w:val="000000"/>
          <w:sz w:val="22"/>
          <w:szCs w:val="22"/>
        </w:rPr>
        <w:t>Term G3 survives the termination, cancellation or expiry of the Agreement.</w:t>
      </w:r>
    </w:p>
    <w:p w:rsidR="004B5C0F" w:rsidRPr="00F77925" w:rsidRDefault="004B5C0F" w:rsidP="003159F4">
      <w:pPr>
        <w:pStyle w:val="Heading2"/>
        <w:rPr>
          <w:rFonts w:eastAsia="Times New Roman"/>
        </w:rPr>
      </w:pPr>
      <w:r w:rsidRPr="004B5C0F">
        <w:rPr>
          <w:rFonts w:eastAsia="Times New Roman"/>
        </w:rPr>
        <w:lastRenderedPageBreak/>
        <w:t>G4. Audit</w:t>
      </w:r>
      <w:r w:rsidRPr="00F77925">
        <w:rPr>
          <w:rFonts w:eastAsia="Times New Roman"/>
        </w:rPr>
        <w:t xml:space="preserve"> </w:t>
      </w:r>
    </w:p>
    <w:p w:rsidR="00137DFD" w:rsidRDefault="00137DFD" w:rsidP="00137DFD">
      <w:r>
        <w:t>Not Applicable</w:t>
      </w:r>
    </w:p>
    <w:p w:rsidR="004B5C0F" w:rsidRPr="00F77925" w:rsidRDefault="004B5C0F" w:rsidP="003159F4">
      <w:pPr>
        <w:pStyle w:val="Heading2"/>
        <w:rPr>
          <w:rFonts w:eastAsia="Times New Roman"/>
        </w:rPr>
      </w:pPr>
      <w:r w:rsidRPr="004B5C0F">
        <w:rPr>
          <w:rFonts w:eastAsia="Times New Roman"/>
        </w:rPr>
        <w:t>G5. Activity Material</w:t>
      </w:r>
      <w:r w:rsidRPr="00F77925">
        <w:rPr>
          <w:rFonts w:eastAsia="Times New Roman"/>
        </w:rPr>
        <w:t xml:space="preserve"> </w:t>
      </w:r>
    </w:p>
    <w:p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G5.1 The Grantee agrees, on request from the Commonwealth, to provide the Commonwealth with a copy of any Activity Material in the format reasonably requested by the Commonwealth.</w:t>
      </w:r>
    </w:p>
    <w:p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G5.2 The Grantee provides the Commonwealth a permanent, non-exclusive, irrevocable, royalty-free licence (including a right to sub licence) to use, reproduce, publish, and adapt the Activity Material.</w:t>
      </w:r>
    </w:p>
    <w:p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G5.3 The Grantee warrants that the provision and use of Activity Material in accordance with the Agreement will not infringe any third party’s Intellectual Property Rights.</w:t>
      </w:r>
    </w:p>
    <w:p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G5.4 Term G5 survives the termination, cancellation or expiry of the Agreement.</w:t>
      </w:r>
    </w:p>
    <w:p w:rsidR="004B5C0F" w:rsidRPr="00E32FB2" w:rsidRDefault="004B5C0F" w:rsidP="003159F4">
      <w:pPr>
        <w:pStyle w:val="Heading2"/>
        <w:rPr>
          <w:rFonts w:eastAsia="Times New Roman"/>
        </w:rPr>
      </w:pPr>
      <w:r w:rsidRPr="00E32FB2">
        <w:rPr>
          <w:rFonts w:eastAsia="Times New Roman"/>
        </w:rPr>
        <w:t xml:space="preserve">G6. Access </w:t>
      </w:r>
    </w:p>
    <w:p w:rsidR="0044117B" w:rsidRDefault="0044117B" w:rsidP="0044117B">
      <w:r w:rsidRPr="00E32FB2">
        <w:t>Not Applicable</w:t>
      </w:r>
    </w:p>
    <w:p w:rsidR="00137DFD" w:rsidRDefault="004B5C0F" w:rsidP="003159F4">
      <w:pPr>
        <w:pStyle w:val="Heading2"/>
        <w:rPr>
          <w:rFonts w:eastAsia="Times New Roman"/>
        </w:rPr>
      </w:pPr>
      <w:r w:rsidRPr="004B5C0F">
        <w:rPr>
          <w:rFonts w:eastAsia="Times New Roman"/>
        </w:rPr>
        <w:t>G7. Equipment and assets</w:t>
      </w:r>
    </w:p>
    <w:p w:rsidR="00137DFD" w:rsidRDefault="00137DFD" w:rsidP="00137DFD">
      <w:r>
        <w:t>Not Applicable</w:t>
      </w:r>
    </w:p>
    <w:p w:rsidR="004B5C0F" w:rsidRPr="00F77925" w:rsidRDefault="004B5C0F" w:rsidP="003159F4">
      <w:pPr>
        <w:pStyle w:val="Heading2"/>
        <w:rPr>
          <w:rFonts w:eastAsia="Times New Roman"/>
        </w:rPr>
      </w:pPr>
      <w:r w:rsidRPr="004B5C0F">
        <w:rPr>
          <w:rFonts w:eastAsia="Times New Roman"/>
        </w:rPr>
        <w:t>G8. Relevant qualifications or skills</w:t>
      </w:r>
      <w:r w:rsidRPr="00F77925">
        <w:rPr>
          <w:rFonts w:eastAsia="Times New Roman"/>
        </w:rPr>
        <w:t xml:space="preserve"> </w:t>
      </w:r>
    </w:p>
    <w:p w:rsidR="00AC4CDF" w:rsidRPr="00003E7B" w:rsidRDefault="00AC4CDF" w:rsidP="00AC4CDF">
      <w:r w:rsidRPr="00003E7B">
        <w:t>G8.1</w:t>
      </w:r>
      <w:r w:rsidRPr="00003E7B">
        <w:tab/>
        <w:t>The Grantee agrees to ensure that personnel performing work in relation to the Activity are appropriately qualified to perform the tasks and have the relevant skills and qualifications.</w:t>
      </w:r>
      <w:r w:rsidRPr="00003E7B" w:rsidDel="00957206">
        <w:t xml:space="preserve"> </w:t>
      </w:r>
    </w:p>
    <w:p w:rsidR="00AC4CDF" w:rsidRPr="00003E7B" w:rsidRDefault="00AC4CDF" w:rsidP="00AC4CDF">
      <w:r w:rsidRPr="00003E7B">
        <w:t>G8.2</w:t>
      </w:r>
      <w:r w:rsidRPr="00003E7B">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rsidR="004B5C0F" w:rsidRPr="00F77925" w:rsidRDefault="004B5C0F" w:rsidP="003159F4">
      <w:pPr>
        <w:pStyle w:val="Heading2"/>
        <w:rPr>
          <w:rFonts w:eastAsia="Times New Roman"/>
        </w:rPr>
      </w:pPr>
      <w:r w:rsidRPr="004B5C0F">
        <w:rPr>
          <w:rFonts w:eastAsia="Times New Roman"/>
        </w:rPr>
        <w:t>G9. Activity specific legislation, policies and industry standards</w:t>
      </w:r>
      <w:r w:rsidRPr="00F77925">
        <w:rPr>
          <w:rFonts w:eastAsia="Times New Roman"/>
        </w:rPr>
        <w:t xml:space="preserve"> </w:t>
      </w:r>
    </w:p>
    <w:p w:rsidR="00137DFD" w:rsidRDefault="00137DFD" w:rsidP="00137DFD">
      <w:r>
        <w:t>Not Applicable</w:t>
      </w:r>
    </w:p>
    <w:p w:rsidR="004B5C0F" w:rsidRPr="00F77925" w:rsidRDefault="004B5C0F" w:rsidP="003159F4">
      <w:pPr>
        <w:pStyle w:val="Heading2"/>
        <w:rPr>
          <w:rFonts w:eastAsia="Times New Roman"/>
        </w:rPr>
      </w:pPr>
      <w:r w:rsidRPr="004B5C0F">
        <w:rPr>
          <w:rFonts w:eastAsia="Times New Roman"/>
        </w:rPr>
        <w:t>G10. Commonwealth Material, facilities and assistance</w:t>
      </w:r>
      <w:r w:rsidRPr="00F77925">
        <w:rPr>
          <w:rFonts w:eastAsia="Times New Roman"/>
        </w:rPr>
        <w:t xml:space="preserve"> </w:t>
      </w:r>
    </w:p>
    <w:p w:rsidR="00B87227" w:rsidRDefault="00B87227" w:rsidP="00B87227">
      <w:r>
        <w:t>Not Applicable</w:t>
      </w:r>
    </w:p>
    <w:p w:rsidR="004B5C0F" w:rsidRPr="00F77925" w:rsidRDefault="004B5C0F" w:rsidP="003159F4">
      <w:pPr>
        <w:pStyle w:val="Heading2"/>
        <w:rPr>
          <w:rFonts w:eastAsia="Times New Roman"/>
        </w:rPr>
      </w:pPr>
      <w:r w:rsidRPr="004B5C0F">
        <w:rPr>
          <w:rFonts w:eastAsia="Times New Roman"/>
        </w:rPr>
        <w:t>G11. Jurisdiction</w:t>
      </w:r>
      <w:r w:rsidRPr="00F77925">
        <w:rPr>
          <w:rFonts w:eastAsia="Times New Roman"/>
        </w:rPr>
        <w:t xml:space="preserve"> </w:t>
      </w:r>
    </w:p>
    <w:p w:rsidR="00B87227" w:rsidRPr="00B87227" w:rsidRDefault="00B87227" w:rsidP="00B87227">
      <w:r w:rsidRPr="00B87227">
        <w:t>G11.1</w:t>
      </w:r>
      <w:r w:rsidRPr="00B87227">
        <w:tab/>
      </w:r>
      <w:proofErr w:type="gramStart"/>
      <w:r w:rsidRPr="00B87227">
        <w:t>This Agreement is governed by the law of the Australian Capital Territory</w:t>
      </w:r>
      <w:proofErr w:type="gramEnd"/>
      <w:r w:rsidRPr="00B87227">
        <w:t>.</w:t>
      </w:r>
    </w:p>
    <w:p w:rsidR="00B87227" w:rsidRPr="00F77925" w:rsidRDefault="004B5C0F" w:rsidP="003159F4">
      <w:pPr>
        <w:pStyle w:val="Heading2"/>
        <w:rPr>
          <w:rFonts w:eastAsia="Times New Roman"/>
        </w:rPr>
      </w:pPr>
      <w:r w:rsidRPr="004B5C0F">
        <w:rPr>
          <w:rFonts w:eastAsia="Times New Roman"/>
        </w:rPr>
        <w:t>G12. Grantee Trustee of a Trust</w:t>
      </w:r>
      <w:r w:rsidRPr="00F77925">
        <w:rPr>
          <w:rFonts w:eastAsia="Times New Roman"/>
        </w:rPr>
        <w:t xml:space="preserve"> </w:t>
      </w:r>
    </w:p>
    <w:p w:rsidR="00B87227" w:rsidRDefault="00B87227" w:rsidP="00B87227">
      <w:r>
        <w:t>Not Applicable</w:t>
      </w:r>
    </w:p>
    <w:sectPr w:rsidR="00B872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B8" w:rsidRDefault="008F12B8" w:rsidP="00B04ED8">
      <w:r>
        <w:separator/>
      </w:r>
    </w:p>
  </w:endnote>
  <w:endnote w:type="continuationSeparator" w:id="0">
    <w:p w:rsidR="008F12B8" w:rsidRDefault="008F12B8"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14D65">
    <w:pPr>
      <w:pStyle w:val="Footer"/>
    </w:pPr>
    <w:r>
      <w:t>Simple Grant Agreement Supplementary Terms – Version 1 –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B8" w:rsidRDefault="008F12B8" w:rsidP="00B04ED8">
      <w:r>
        <w:separator/>
      </w:r>
    </w:p>
  </w:footnote>
  <w:footnote w:type="continuationSeparator" w:id="0">
    <w:p w:rsidR="008F12B8" w:rsidRDefault="008F12B8"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02D81"/>
    <w:multiLevelType w:val="hybridMultilevel"/>
    <w:tmpl w:val="EECEEFAA"/>
    <w:lvl w:ilvl="0" w:tplc="0C090017">
      <w:start w:val="1"/>
      <w:numFmt w:val="lowerLetter"/>
      <w:lvlText w:val="%1)"/>
      <w:lvlJc w:val="left"/>
      <w:pPr>
        <w:ind w:left="1283" w:hanging="360"/>
      </w:p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3E7B"/>
    <w:rsid w:val="00005633"/>
    <w:rsid w:val="00137DFD"/>
    <w:rsid w:val="00184825"/>
    <w:rsid w:val="001A0C3F"/>
    <w:rsid w:val="001E630D"/>
    <w:rsid w:val="00254CD7"/>
    <w:rsid w:val="00274B21"/>
    <w:rsid w:val="00284DC9"/>
    <w:rsid w:val="002E163F"/>
    <w:rsid w:val="003159F4"/>
    <w:rsid w:val="00332F8E"/>
    <w:rsid w:val="003B2BB8"/>
    <w:rsid w:val="003D34FF"/>
    <w:rsid w:val="003E25A3"/>
    <w:rsid w:val="003F4E17"/>
    <w:rsid w:val="0041500D"/>
    <w:rsid w:val="004256A0"/>
    <w:rsid w:val="0044117B"/>
    <w:rsid w:val="00445946"/>
    <w:rsid w:val="004B54CA"/>
    <w:rsid w:val="004B5C0F"/>
    <w:rsid w:val="004E5CBF"/>
    <w:rsid w:val="00546338"/>
    <w:rsid w:val="005B6396"/>
    <w:rsid w:val="005C3AA9"/>
    <w:rsid w:val="00621FC5"/>
    <w:rsid w:val="00636ACF"/>
    <w:rsid w:val="00637B02"/>
    <w:rsid w:val="00683A84"/>
    <w:rsid w:val="00692DC3"/>
    <w:rsid w:val="006A4CE7"/>
    <w:rsid w:val="00741DBD"/>
    <w:rsid w:val="00785261"/>
    <w:rsid w:val="007B0256"/>
    <w:rsid w:val="007F037D"/>
    <w:rsid w:val="0083177B"/>
    <w:rsid w:val="008969F7"/>
    <w:rsid w:val="008C767A"/>
    <w:rsid w:val="008F12B8"/>
    <w:rsid w:val="009225F0"/>
    <w:rsid w:val="0093462C"/>
    <w:rsid w:val="00953795"/>
    <w:rsid w:val="00974189"/>
    <w:rsid w:val="009B2C0A"/>
    <w:rsid w:val="009F3A13"/>
    <w:rsid w:val="00A652C4"/>
    <w:rsid w:val="00AC4CDF"/>
    <w:rsid w:val="00B04ED8"/>
    <w:rsid w:val="00B3177A"/>
    <w:rsid w:val="00B87227"/>
    <w:rsid w:val="00B91E3E"/>
    <w:rsid w:val="00BA2DB9"/>
    <w:rsid w:val="00BE7148"/>
    <w:rsid w:val="00C13BAA"/>
    <w:rsid w:val="00C33097"/>
    <w:rsid w:val="00C84DD7"/>
    <w:rsid w:val="00CB5863"/>
    <w:rsid w:val="00CC6627"/>
    <w:rsid w:val="00CC6A60"/>
    <w:rsid w:val="00DA243A"/>
    <w:rsid w:val="00DC07AC"/>
    <w:rsid w:val="00DC5CBF"/>
    <w:rsid w:val="00E14D65"/>
    <w:rsid w:val="00E273E4"/>
    <w:rsid w:val="00E32FB2"/>
    <w:rsid w:val="00E444C2"/>
    <w:rsid w:val="00E75796"/>
    <w:rsid w:val="00E82C26"/>
    <w:rsid w:val="00EF24A8"/>
    <w:rsid w:val="00F30AFE"/>
    <w:rsid w:val="00F3705D"/>
    <w:rsid w:val="00F77925"/>
    <w:rsid w:val="00FC7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7B"/>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unhideWhenUsed/>
    <w:rsid w:val="00FC7961"/>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4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C2"/>
    <w:rPr>
      <w:rFonts w:ascii="Segoe UI" w:hAnsi="Segoe UI" w:cs="Segoe UI"/>
      <w:sz w:val="18"/>
      <w:szCs w:val="18"/>
    </w:rPr>
  </w:style>
  <w:style w:type="table" w:styleId="TableGrid">
    <w:name w:val="Table Grid"/>
    <w:basedOn w:val="TableNormal"/>
    <w:uiPriority w:val="59"/>
    <w:rsid w:val="00DC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52971">
      <w:bodyDiv w:val="1"/>
      <w:marLeft w:val="0"/>
      <w:marRight w:val="0"/>
      <w:marTop w:val="0"/>
      <w:marBottom w:val="0"/>
      <w:divBdr>
        <w:top w:val="none" w:sz="0" w:space="0" w:color="auto"/>
        <w:left w:val="none" w:sz="0" w:space="0" w:color="auto"/>
        <w:bottom w:val="none" w:sz="0" w:space="0" w:color="auto"/>
        <w:right w:val="none" w:sz="0" w:space="0" w:color="auto"/>
      </w:divBdr>
    </w:div>
    <w:div w:id="1503158936">
      <w:bodyDiv w:val="1"/>
      <w:marLeft w:val="0"/>
      <w:marRight w:val="0"/>
      <w:marTop w:val="0"/>
      <w:marBottom w:val="0"/>
      <w:divBdr>
        <w:top w:val="none" w:sz="0" w:space="0" w:color="auto"/>
        <w:left w:val="none" w:sz="0" w:space="0" w:color="auto"/>
        <w:bottom w:val="none" w:sz="0" w:space="0" w:color="auto"/>
        <w:right w:val="none" w:sz="0" w:space="0" w:color="auto"/>
      </w:divBdr>
    </w:div>
    <w:div w:id="1624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2019-03-12T00:03:00Z</dcterms:created>
  <dcterms:modified xsi:type="dcterms:W3CDTF">2019-03-12T02:24:00Z</dcterms:modified>
</cp:coreProperties>
</file>