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AB" w:rsidRDefault="00F134F4" w:rsidP="00AD22AB">
      <w:pPr>
        <w:pStyle w:val="Title"/>
        <w:spacing w:line="360" w:lineRule="auto"/>
        <w:rPr>
          <w:sz w:val="36"/>
          <w:szCs w:val="36"/>
        </w:rPr>
      </w:pPr>
      <w:r w:rsidRPr="00AD22AB">
        <w:rPr>
          <w:i/>
          <w:sz w:val="36"/>
          <w:szCs w:val="36"/>
        </w:rPr>
        <w:t xml:space="preserve">Saluting Their Service </w:t>
      </w:r>
      <w:r w:rsidR="007F705D" w:rsidRPr="00AD22AB">
        <w:rPr>
          <w:sz w:val="36"/>
          <w:szCs w:val="36"/>
        </w:rPr>
        <w:t xml:space="preserve">Commemorations Program </w:t>
      </w:r>
      <w:r w:rsidR="00AD22AB">
        <w:rPr>
          <w:sz w:val="36"/>
          <w:szCs w:val="36"/>
        </w:rPr>
        <w:t>–</w:t>
      </w:r>
      <w:r w:rsidR="007F705D" w:rsidRPr="00AD22AB">
        <w:rPr>
          <w:sz w:val="36"/>
          <w:szCs w:val="36"/>
        </w:rPr>
        <w:t xml:space="preserve"> </w:t>
      </w:r>
    </w:p>
    <w:p w:rsidR="001E3D2B" w:rsidRPr="00AD22AB" w:rsidRDefault="00F134F4" w:rsidP="00AD22AB">
      <w:pPr>
        <w:pStyle w:val="Title"/>
        <w:spacing w:line="360" w:lineRule="auto"/>
        <w:rPr>
          <w:sz w:val="36"/>
          <w:szCs w:val="36"/>
        </w:rPr>
      </w:pPr>
      <w:r w:rsidRPr="00AD22AB">
        <w:rPr>
          <w:sz w:val="36"/>
          <w:szCs w:val="36"/>
        </w:rPr>
        <w:t xml:space="preserve">Major Commemorative Grants </w:t>
      </w:r>
    </w:p>
    <w:sdt>
      <w:sdtPr>
        <w:rPr>
          <w:sz w:val="24"/>
        </w:rPr>
        <w:alias w:val="Subtitle"/>
        <w:tag w:val=""/>
        <w:id w:val="-179897277"/>
        <w:placeholder>
          <w:docPart w:val="060155FD86294E33A98AC2FAEFF98AE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E47250" w:rsidRDefault="00AD22AB" w:rsidP="00E47250">
          <w:pPr>
            <w:pStyle w:val="Subtitle"/>
          </w:pPr>
          <w:r w:rsidRPr="00AD22AB">
            <w:rPr>
              <w:sz w:val="24"/>
            </w:rPr>
            <w:t xml:space="preserve">General </w:t>
          </w:r>
          <w:r w:rsidR="00016662">
            <w:rPr>
              <w:sz w:val="24"/>
            </w:rPr>
            <w:t>f</w:t>
          </w:r>
          <w:r w:rsidR="00AB2C99" w:rsidRPr="00AD22AB">
            <w:rPr>
              <w:sz w:val="24"/>
            </w:rPr>
            <w:t xml:space="preserve">eedback </w:t>
          </w:r>
          <w:r w:rsidRPr="00AD22AB">
            <w:rPr>
              <w:sz w:val="24"/>
            </w:rPr>
            <w:t xml:space="preserve">for </w:t>
          </w:r>
          <w:r w:rsidR="00016662">
            <w:rPr>
              <w:sz w:val="24"/>
            </w:rPr>
            <w:t>a</w:t>
          </w:r>
          <w:r w:rsidRPr="00AD22AB">
            <w:rPr>
              <w:sz w:val="24"/>
            </w:rPr>
            <w:t>pplicants</w:t>
          </w:r>
        </w:p>
      </w:sdtContent>
    </w:sdt>
    <w:p w:rsidR="00CF33BB" w:rsidRPr="00790FC7" w:rsidRDefault="00016662" w:rsidP="00DA0E19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Overview</w:t>
      </w:r>
    </w:p>
    <w:p w:rsidR="00C15642" w:rsidRDefault="002A6D54" w:rsidP="005C1D21">
      <w:r w:rsidRPr="005C1D21">
        <w:t xml:space="preserve">The </w:t>
      </w:r>
      <w:r w:rsidR="007F705D">
        <w:t xml:space="preserve">Major Commemorative Grants (MCG) category of the </w:t>
      </w:r>
      <w:r w:rsidR="00C15642" w:rsidRPr="001F689D">
        <w:rPr>
          <w:i/>
        </w:rPr>
        <w:t>Saluting Their Service</w:t>
      </w:r>
      <w:r w:rsidR="00C15642" w:rsidRPr="005C1D21">
        <w:t xml:space="preserve"> </w:t>
      </w:r>
      <w:r w:rsidR="007F705D">
        <w:t xml:space="preserve">(STS) Commemorations Program </w:t>
      </w:r>
      <w:r w:rsidR="001D4080" w:rsidRPr="005C1D21">
        <w:t xml:space="preserve">(the </w:t>
      </w:r>
      <w:r w:rsidR="00FF59B8">
        <w:t>p</w:t>
      </w:r>
      <w:r w:rsidR="00F1713E">
        <w:t>rogram</w:t>
      </w:r>
      <w:r w:rsidR="001D4080" w:rsidRPr="005C1D21">
        <w:t xml:space="preserve">) </w:t>
      </w:r>
      <w:r w:rsidRPr="005C1D21">
        <w:t xml:space="preserve">aims </w:t>
      </w:r>
      <w:r w:rsidR="005C1D21" w:rsidRPr="005C1D21">
        <w:t xml:space="preserve">to </w:t>
      </w:r>
      <w:r w:rsidR="0029107F">
        <w:t xml:space="preserve">support the Australian Government’s commitment to acknowledging and commemorating those who served Australia and its allies in wars, </w:t>
      </w:r>
      <w:r w:rsidR="00016662">
        <w:t>conflicts and peace operations.</w:t>
      </w:r>
    </w:p>
    <w:p w:rsidR="0029107F" w:rsidRDefault="0029107F" w:rsidP="005C1D21"/>
    <w:p w:rsidR="0029107F" w:rsidRPr="005C1D21" w:rsidRDefault="009176CA" w:rsidP="005C1D21">
      <w:r>
        <w:t xml:space="preserve">The </w:t>
      </w:r>
      <w:r w:rsidR="00FF59B8">
        <w:t>p</w:t>
      </w:r>
      <w:r w:rsidR="0029107F">
        <w:t xml:space="preserve">rogram </w:t>
      </w:r>
      <w:proofErr w:type="gramStart"/>
      <w:r w:rsidR="0029107F">
        <w:t>is designed</w:t>
      </w:r>
      <w:proofErr w:type="gramEnd"/>
      <w:r w:rsidR="0029107F">
        <w:t xml:space="preserve"> to preserve Australia’s wartime heritage and to involve people throughout the nation in a wide range of projects and activities that highlight the service and sacrifice of Australia’s service personnel</w:t>
      </w:r>
      <w:r w:rsidR="00C713B4">
        <w:t xml:space="preserve"> </w:t>
      </w:r>
      <w:r w:rsidR="00C713B4" w:rsidRPr="00D42F2E">
        <w:rPr>
          <w:color w:val="auto"/>
        </w:rPr>
        <w:t>in wars,</w:t>
      </w:r>
      <w:r w:rsidR="00C713B4">
        <w:rPr>
          <w:color w:val="auto"/>
        </w:rPr>
        <w:t xml:space="preserve"> conflicts and peace operations</w:t>
      </w:r>
      <w:r w:rsidR="0029107F">
        <w:t>, and promote appreciation and understanding of the role that those who served the nation hav</w:t>
      </w:r>
      <w:r w:rsidR="00016662">
        <w:t>e played in shaping the nation.</w:t>
      </w:r>
    </w:p>
    <w:p w:rsidR="00CF33BB" w:rsidRPr="00790FC7" w:rsidRDefault="00AB2C99" w:rsidP="005C1D21">
      <w:pPr>
        <w:pStyle w:val="Heading1"/>
        <w:rPr>
          <w:sz w:val="32"/>
          <w:szCs w:val="32"/>
        </w:rPr>
      </w:pPr>
      <w:r w:rsidRPr="00790FC7">
        <w:rPr>
          <w:sz w:val="32"/>
          <w:szCs w:val="32"/>
        </w:rPr>
        <w:t>Selection results</w:t>
      </w:r>
    </w:p>
    <w:p w:rsidR="00B86A5C" w:rsidRPr="009D42B6" w:rsidRDefault="00AB2C99" w:rsidP="00B86A5C">
      <w:pPr>
        <w:spacing w:after="240"/>
      </w:pPr>
      <w:r w:rsidRPr="00905F99">
        <w:t xml:space="preserve">There was a strong response from organisations and community groups across Australia to the </w:t>
      </w:r>
      <w:r w:rsidR="005C1D21">
        <w:t xml:space="preserve">STS </w:t>
      </w:r>
      <w:r w:rsidR="0029107F">
        <w:t>MCG</w:t>
      </w:r>
      <w:r w:rsidR="00905F99" w:rsidRPr="00905F99">
        <w:t xml:space="preserve"> </w:t>
      </w:r>
      <w:r w:rsidR="00C75B3B">
        <w:t xml:space="preserve">funding </w:t>
      </w:r>
      <w:r w:rsidR="00B01099">
        <w:t>r</w:t>
      </w:r>
      <w:r w:rsidR="00905F99" w:rsidRPr="00482A30">
        <w:t>ound</w:t>
      </w:r>
      <w:r w:rsidR="00550D85">
        <w:t>.</w:t>
      </w:r>
    </w:p>
    <w:p w:rsidR="00905F99" w:rsidRDefault="00905F99" w:rsidP="006A213A">
      <w:pPr>
        <w:spacing w:after="240"/>
      </w:pPr>
      <w:r w:rsidRPr="005C1D21">
        <w:t xml:space="preserve">All applications under the </w:t>
      </w:r>
      <w:r w:rsidR="005C1D21" w:rsidRPr="005C1D21">
        <w:t xml:space="preserve">STS </w:t>
      </w:r>
      <w:r w:rsidR="0029107F">
        <w:t>MCG</w:t>
      </w:r>
      <w:r w:rsidR="00B01099">
        <w:t xml:space="preserve"> r</w:t>
      </w:r>
      <w:r w:rsidRPr="005C1D21">
        <w:t xml:space="preserve">ound selection process </w:t>
      </w:r>
      <w:proofErr w:type="gramStart"/>
      <w:r w:rsidRPr="005C1D21">
        <w:t>were assessed</w:t>
      </w:r>
      <w:proofErr w:type="gramEnd"/>
      <w:r w:rsidRPr="005C1D21">
        <w:t xml:space="preserve"> in accordance with the Community Grants Hub (the Hub) policies.</w:t>
      </w:r>
    </w:p>
    <w:p w:rsidR="00AB2C99" w:rsidRPr="00790FC7" w:rsidRDefault="00AB2C99" w:rsidP="00DA0E19">
      <w:pPr>
        <w:pStyle w:val="Heading1"/>
        <w:rPr>
          <w:sz w:val="32"/>
          <w:szCs w:val="32"/>
        </w:rPr>
      </w:pPr>
      <w:r w:rsidRPr="00790FC7">
        <w:rPr>
          <w:sz w:val="32"/>
          <w:szCs w:val="32"/>
        </w:rPr>
        <w:t>Selection process</w:t>
      </w:r>
    </w:p>
    <w:p w:rsidR="00CF33BB" w:rsidRDefault="00790FC7" w:rsidP="00F56A09">
      <w:r>
        <w:t xml:space="preserve">Projects </w:t>
      </w:r>
      <w:proofErr w:type="gramStart"/>
      <w:r>
        <w:t>were selected</w:t>
      </w:r>
      <w:proofErr w:type="gramEnd"/>
      <w:r>
        <w:t xml:space="preserve"> through an </w:t>
      </w:r>
      <w:r w:rsidR="00F56A09" w:rsidRPr="003352E5">
        <w:t>open competitive process</w:t>
      </w:r>
      <w:r w:rsidR="00420A24" w:rsidRPr="003352E5">
        <w:t>.</w:t>
      </w:r>
    </w:p>
    <w:p w:rsidR="00AD22AB" w:rsidRDefault="00AD22AB" w:rsidP="002C0868">
      <w:pPr>
        <w:rPr>
          <w:rFonts w:ascii="Arial" w:eastAsia="Times New Roman" w:hAnsi="Arial" w:cs="Arial"/>
          <w:color w:val="auto"/>
          <w:szCs w:val="22"/>
        </w:rPr>
      </w:pPr>
      <w:bookmarkStart w:id="0" w:name="_Ref370296237"/>
    </w:p>
    <w:p w:rsidR="0080006C" w:rsidRDefault="00AD22AB" w:rsidP="0080006C">
      <w:pPr>
        <w:rPr>
          <w:rFonts w:ascii="Arial" w:eastAsia="Times New Roman" w:hAnsi="Arial" w:cs="Arial"/>
          <w:color w:val="auto"/>
          <w:szCs w:val="22"/>
        </w:rPr>
      </w:pPr>
      <w:r w:rsidRPr="00BD63CC">
        <w:rPr>
          <w:rFonts w:ascii="Arial" w:eastAsia="Times New Roman" w:hAnsi="Arial" w:cs="Arial"/>
          <w:color w:val="auto"/>
          <w:szCs w:val="22"/>
        </w:rPr>
        <w:t xml:space="preserve">All applications that passed the initial compliance and eligibility checks </w:t>
      </w:r>
      <w:proofErr w:type="gramStart"/>
      <w:r w:rsidRPr="00BD63CC">
        <w:rPr>
          <w:rFonts w:ascii="Arial" w:eastAsia="Times New Roman" w:hAnsi="Arial" w:cs="Arial"/>
          <w:color w:val="auto"/>
          <w:szCs w:val="22"/>
        </w:rPr>
        <w:t>were assessed and moderated against the assessment criteria</w:t>
      </w:r>
      <w:proofErr w:type="gramEnd"/>
      <w:r w:rsidRPr="00BD63CC">
        <w:rPr>
          <w:rFonts w:ascii="Arial" w:eastAsia="Times New Roman" w:hAnsi="Arial" w:cs="Arial"/>
          <w:color w:val="auto"/>
          <w:szCs w:val="22"/>
        </w:rPr>
        <w:t xml:space="preserve">. </w:t>
      </w:r>
      <w:r w:rsidR="003D1A2E">
        <w:rPr>
          <w:rFonts w:ascii="Arial" w:eastAsia="Times New Roman" w:hAnsi="Arial" w:cs="Arial"/>
          <w:color w:val="auto"/>
          <w:szCs w:val="22"/>
        </w:rPr>
        <w:t>A</w:t>
      </w:r>
      <w:r w:rsidR="0080006C">
        <w:rPr>
          <w:rFonts w:ascii="Arial" w:eastAsia="Times New Roman" w:hAnsi="Arial" w:cs="Arial"/>
          <w:color w:val="auto"/>
          <w:szCs w:val="22"/>
        </w:rPr>
        <w:t xml:space="preserve"> Selection Advisory Panel </w:t>
      </w:r>
      <w:r w:rsidR="003D1A2E">
        <w:rPr>
          <w:rFonts w:ascii="Arial" w:eastAsia="Times New Roman" w:hAnsi="Arial" w:cs="Arial"/>
          <w:color w:val="auto"/>
          <w:szCs w:val="22"/>
        </w:rPr>
        <w:t>comprising</w:t>
      </w:r>
      <w:r w:rsidR="0080006C">
        <w:rPr>
          <w:rFonts w:ascii="Arial" w:eastAsia="Times New Roman" w:hAnsi="Arial" w:cs="Arial"/>
          <w:color w:val="auto"/>
          <w:szCs w:val="22"/>
        </w:rPr>
        <w:t xml:space="preserve"> </w:t>
      </w:r>
      <w:r w:rsidR="0080006C">
        <w:rPr>
          <w:rFonts w:ascii="Arial" w:hAnsi="Arial" w:cs="Arial"/>
        </w:rPr>
        <w:t xml:space="preserve">Department of Veterans’ Affairs (DVA) </w:t>
      </w:r>
      <w:r w:rsidR="0080006C">
        <w:rPr>
          <w:rFonts w:ascii="Arial" w:eastAsia="Times New Roman" w:hAnsi="Arial" w:cs="Arial"/>
          <w:color w:val="auto"/>
          <w:szCs w:val="22"/>
        </w:rPr>
        <w:t>representatives made recommendations to inform the</w:t>
      </w:r>
      <w:r w:rsidR="0080006C">
        <w:rPr>
          <w:rFonts w:ascii="Arial" w:hAnsi="Arial" w:cs="Arial"/>
        </w:rPr>
        <w:t xml:space="preserve"> Commemorative Grants Advisory Committee (CGAC).</w:t>
      </w:r>
    </w:p>
    <w:p w:rsidR="0080006C" w:rsidRDefault="0080006C" w:rsidP="002C0868">
      <w:pPr>
        <w:rPr>
          <w:rFonts w:ascii="Arial" w:eastAsia="Times New Roman" w:hAnsi="Arial" w:cs="Arial"/>
          <w:color w:val="auto"/>
          <w:szCs w:val="22"/>
        </w:rPr>
      </w:pPr>
    </w:p>
    <w:p w:rsidR="0080006C" w:rsidRDefault="0080006C" w:rsidP="002C08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CGAC </w:t>
      </w:r>
      <w:proofErr w:type="gramStart"/>
      <w:r>
        <w:rPr>
          <w:rFonts w:ascii="Arial" w:hAnsi="Arial" w:cs="Arial"/>
        </w:rPr>
        <w:t>was chaired</w:t>
      </w:r>
      <w:r w:rsidR="00BD63CC">
        <w:rPr>
          <w:rFonts w:ascii="Arial" w:hAnsi="Arial" w:cs="Arial"/>
        </w:rPr>
        <w:t xml:space="preserve"> by the </w:t>
      </w:r>
      <w:r>
        <w:rPr>
          <w:rFonts w:ascii="Arial" w:hAnsi="Arial" w:cs="Arial"/>
        </w:rPr>
        <w:t>Repatriation Commissioner of</w:t>
      </w:r>
      <w:r w:rsidR="00BD63CC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>DVA</w:t>
      </w:r>
      <w:r>
        <w:rPr>
          <w:rFonts w:ascii="Arial" w:hAnsi="Arial" w:cs="Arial"/>
        </w:rPr>
        <w:t xml:space="preserve"> </w:t>
      </w:r>
      <w:r w:rsidR="00BD63CC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comprised of </w:t>
      </w:r>
      <w:r w:rsidR="00BD63CC">
        <w:rPr>
          <w:rFonts w:ascii="Arial" w:hAnsi="Arial" w:cs="Arial"/>
        </w:rPr>
        <w:t>representatives from the Returned and Services League of Australia, the Australian Local Government Association, the Australian War Memorial, and DVA policy staff</w:t>
      </w:r>
      <w:proofErr w:type="gramEnd"/>
      <w:r w:rsidR="008F6FA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CGAC</w:t>
      </w:r>
      <w:r w:rsidR="00BD63CC">
        <w:rPr>
          <w:rFonts w:ascii="Arial" w:hAnsi="Arial" w:cs="Arial"/>
        </w:rPr>
        <w:t xml:space="preserve"> reviewed the applications </w:t>
      </w:r>
      <w:r w:rsidR="003D1A2E">
        <w:rPr>
          <w:rFonts w:ascii="Arial" w:hAnsi="Arial" w:cs="Arial"/>
        </w:rPr>
        <w:t>and made</w:t>
      </w:r>
      <w:r w:rsidR="00BD63CC">
        <w:rPr>
          <w:rFonts w:ascii="Arial" w:hAnsi="Arial" w:cs="Arial"/>
        </w:rPr>
        <w:t xml:space="preserve"> final funding recommendations to the Minister for Veter</w:t>
      </w:r>
      <w:r w:rsidR="003D1A2E">
        <w:rPr>
          <w:rFonts w:ascii="Arial" w:hAnsi="Arial" w:cs="Arial"/>
        </w:rPr>
        <w:t>ans’ Affairs, who was the final decision maker.</w:t>
      </w:r>
    </w:p>
    <w:bookmarkEnd w:id="0"/>
    <w:p w:rsidR="00601EB6" w:rsidRPr="003D1A2E" w:rsidRDefault="0001493D" w:rsidP="003D1A2E">
      <w:pPr>
        <w:pStyle w:val="Heading1"/>
        <w:rPr>
          <w:sz w:val="32"/>
          <w:szCs w:val="32"/>
        </w:rPr>
      </w:pPr>
      <w:r w:rsidRPr="00877213">
        <w:rPr>
          <w:sz w:val="32"/>
          <w:szCs w:val="32"/>
        </w:rPr>
        <w:lastRenderedPageBreak/>
        <w:t xml:space="preserve">General feedback for future </w:t>
      </w:r>
      <w:proofErr w:type="gramStart"/>
      <w:r w:rsidR="00601EB6" w:rsidRPr="00877213">
        <w:rPr>
          <w:i/>
          <w:sz w:val="32"/>
          <w:szCs w:val="32"/>
        </w:rPr>
        <w:t>Saluting</w:t>
      </w:r>
      <w:proofErr w:type="gramEnd"/>
      <w:r w:rsidR="00601EB6" w:rsidRPr="00877213">
        <w:rPr>
          <w:i/>
          <w:sz w:val="32"/>
          <w:szCs w:val="32"/>
        </w:rPr>
        <w:t xml:space="preserve"> Their Service</w:t>
      </w:r>
      <w:r w:rsidR="00601EB6" w:rsidRPr="00877213">
        <w:rPr>
          <w:sz w:val="32"/>
          <w:szCs w:val="32"/>
        </w:rPr>
        <w:t xml:space="preserve"> Commemorati</w:t>
      </w:r>
      <w:r w:rsidR="00A566B9" w:rsidRPr="00877213">
        <w:rPr>
          <w:sz w:val="32"/>
          <w:szCs w:val="32"/>
        </w:rPr>
        <w:t>ons</w:t>
      </w:r>
      <w:r w:rsidR="00601EB6" w:rsidRPr="00877213">
        <w:rPr>
          <w:sz w:val="32"/>
          <w:szCs w:val="32"/>
        </w:rPr>
        <w:t xml:space="preserve"> </w:t>
      </w:r>
      <w:r w:rsidR="00F1713E" w:rsidRPr="00877213">
        <w:rPr>
          <w:sz w:val="32"/>
          <w:szCs w:val="32"/>
        </w:rPr>
        <w:t>Program</w:t>
      </w:r>
      <w:r w:rsidRPr="00877213">
        <w:rPr>
          <w:sz w:val="32"/>
          <w:szCs w:val="32"/>
        </w:rPr>
        <w:t xml:space="preserve"> </w:t>
      </w:r>
      <w:r w:rsidR="0016342C" w:rsidRPr="00877213">
        <w:rPr>
          <w:sz w:val="32"/>
          <w:szCs w:val="32"/>
        </w:rPr>
        <w:t>-</w:t>
      </w:r>
      <w:r w:rsidR="00A566B9" w:rsidRPr="00877213">
        <w:rPr>
          <w:sz w:val="32"/>
          <w:szCs w:val="32"/>
        </w:rPr>
        <w:t xml:space="preserve"> Major Commemorative Grants </w:t>
      </w:r>
      <w:r w:rsidRPr="00877213">
        <w:rPr>
          <w:sz w:val="32"/>
          <w:szCs w:val="32"/>
        </w:rPr>
        <w:t>applications</w:t>
      </w:r>
    </w:p>
    <w:p w:rsidR="00E66B6F" w:rsidRPr="00256E3C" w:rsidRDefault="00E66B6F" w:rsidP="0001493D">
      <w:pPr>
        <w:rPr>
          <w:rFonts w:eastAsia="Times New Roman" w:cstheme="minorHAnsi"/>
          <w:color w:val="auto"/>
          <w:szCs w:val="22"/>
          <w:lang w:eastAsia="en-AU"/>
        </w:rPr>
      </w:pPr>
      <w:r w:rsidRPr="00256E3C">
        <w:rPr>
          <w:rFonts w:eastAsia="Times New Roman" w:cstheme="minorHAnsi"/>
          <w:color w:val="auto"/>
          <w:szCs w:val="22"/>
          <w:lang w:eastAsia="en-AU"/>
        </w:rPr>
        <w:t xml:space="preserve">The following tips provide guidance in completing applications for </w:t>
      </w:r>
      <w:r w:rsidR="00601EB6">
        <w:rPr>
          <w:rFonts w:eastAsia="Times New Roman" w:cstheme="minorHAnsi"/>
          <w:color w:val="auto"/>
          <w:szCs w:val="22"/>
          <w:lang w:eastAsia="en-AU"/>
        </w:rPr>
        <w:t xml:space="preserve">STS </w:t>
      </w:r>
      <w:r w:rsidR="0029107F">
        <w:rPr>
          <w:rFonts w:eastAsia="Times New Roman" w:cstheme="minorHAnsi"/>
          <w:color w:val="auto"/>
          <w:szCs w:val="22"/>
          <w:lang w:eastAsia="en-AU"/>
        </w:rPr>
        <w:t>MCG</w:t>
      </w:r>
      <w:r w:rsidRPr="00256E3C">
        <w:rPr>
          <w:rFonts w:eastAsia="Times New Roman" w:cstheme="minorHAnsi"/>
          <w:color w:val="auto"/>
          <w:szCs w:val="22"/>
          <w:lang w:eastAsia="en-AU"/>
        </w:rPr>
        <w:t xml:space="preserve"> funding.</w:t>
      </w:r>
    </w:p>
    <w:p w:rsidR="0001493D" w:rsidRPr="00D81764" w:rsidRDefault="0001493D" w:rsidP="0001493D">
      <w:pPr>
        <w:pStyle w:val="Heading2"/>
      </w:pPr>
      <w:r w:rsidRPr="00D81764">
        <w:t>Read supporting information before applying</w:t>
      </w:r>
    </w:p>
    <w:p w:rsidR="00653414" w:rsidRPr="00D81764" w:rsidRDefault="00653414" w:rsidP="00DC5484">
      <w:pPr>
        <w:pStyle w:val="BodyText"/>
        <w:numPr>
          <w:ilvl w:val="0"/>
          <w:numId w:val="11"/>
        </w:numPr>
        <w:ind w:left="567"/>
      </w:pPr>
      <w:r w:rsidRPr="00D81764">
        <w:t xml:space="preserve">It is important to read all available information provided about </w:t>
      </w:r>
      <w:r w:rsidR="00601EB6">
        <w:rPr>
          <w:rFonts w:eastAsia="Times New Roman" w:cstheme="minorHAnsi"/>
          <w:color w:val="auto"/>
          <w:szCs w:val="22"/>
          <w:lang w:eastAsia="en-AU"/>
        </w:rPr>
        <w:t xml:space="preserve">STS </w:t>
      </w:r>
      <w:r w:rsidR="0029107F">
        <w:rPr>
          <w:rFonts w:eastAsia="Times New Roman" w:cstheme="minorHAnsi"/>
          <w:color w:val="auto"/>
          <w:szCs w:val="22"/>
          <w:lang w:eastAsia="en-AU"/>
        </w:rPr>
        <w:t>MCG</w:t>
      </w:r>
      <w:r w:rsidR="00601EB6" w:rsidRPr="00256E3C">
        <w:rPr>
          <w:rFonts w:eastAsia="Times New Roman" w:cstheme="minorHAnsi"/>
          <w:color w:val="auto"/>
          <w:szCs w:val="22"/>
          <w:lang w:eastAsia="en-AU"/>
        </w:rPr>
        <w:t xml:space="preserve"> </w:t>
      </w:r>
      <w:r w:rsidRPr="00D81764">
        <w:t xml:space="preserve">when applying for funding, especially the </w:t>
      </w:r>
      <w:r w:rsidR="00601EB6">
        <w:rPr>
          <w:rFonts w:eastAsia="Times New Roman" w:cstheme="minorHAnsi"/>
          <w:color w:val="auto"/>
          <w:szCs w:val="22"/>
          <w:lang w:eastAsia="en-AU"/>
        </w:rPr>
        <w:t xml:space="preserve">STS </w:t>
      </w:r>
      <w:r w:rsidR="0029107F">
        <w:rPr>
          <w:rFonts w:eastAsia="Times New Roman" w:cstheme="minorHAnsi"/>
          <w:color w:val="auto"/>
          <w:szCs w:val="22"/>
          <w:lang w:eastAsia="en-AU"/>
        </w:rPr>
        <w:t>MCG</w:t>
      </w:r>
      <w:r w:rsidR="00601EB6">
        <w:rPr>
          <w:rFonts w:eastAsia="Times New Roman" w:cstheme="minorHAnsi"/>
          <w:color w:val="auto"/>
          <w:szCs w:val="22"/>
          <w:lang w:eastAsia="en-AU"/>
        </w:rPr>
        <w:t xml:space="preserve"> </w:t>
      </w:r>
      <w:r w:rsidR="00190EE0">
        <w:rPr>
          <w:rFonts w:eastAsia="Times New Roman" w:cstheme="minorHAnsi"/>
          <w:color w:val="auto"/>
          <w:szCs w:val="22"/>
          <w:lang w:eastAsia="en-AU"/>
        </w:rPr>
        <w:t xml:space="preserve">Grant Opportunity </w:t>
      </w:r>
      <w:r w:rsidR="00256E3C" w:rsidRPr="00D81764">
        <w:t>Guidelines</w:t>
      </w:r>
      <w:r w:rsidR="00D5132D">
        <w:t xml:space="preserve"> (</w:t>
      </w:r>
      <w:r w:rsidR="00190EE0">
        <w:t>GOG</w:t>
      </w:r>
      <w:r w:rsidR="00D5132D">
        <w:t>)</w:t>
      </w:r>
      <w:r w:rsidR="00016662">
        <w:t>.</w:t>
      </w:r>
    </w:p>
    <w:p w:rsidR="006A213A" w:rsidRDefault="00653414" w:rsidP="00DC5484">
      <w:pPr>
        <w:pStyle w:val="BodyText"/>
        <w:numPr>
          <w:ilvl w:val="0"/>
          <w:numId w:val="11"/>
        </w:numPr>
        <w:ind w:left="567"/>
      </w:pPr>
      <w:r w:rsidRPr="00D81764">
        <w:t>T</w:t>
      </w:r>
      <w:r w:rsidR="00221F1A" w:rsidRPr="00D81764">
        <w:t xml:space="preserve">he </w:t>
      </w:r>
      <w:r w:rsidR="00256E3C" w:rsidRPr="00D81764">
        <w:t>G</w:t>
      </w:r>
      <w:r w:rsidR="00190EE0">
        <w:t>OG</w:t>
      </w:r>
      <w:r w:rsidR="00D81764" w:rsidRPr="00D81764">
        <w:t xml:space="preserve"> </w:t>
      </w:r>
      <w:r w:rsidRPr="00D81764">
        <w:t>contain</w:t>
      </w:r>
      <w:r w:rsidR="00E9028C">
        <w:t>s</w:t>
      </w:r>
      <w:r w:rsidRPr="00D81764">
        <w:t xml:space="preserve"> important information about the </w:t>
      </w:r>
      <w:r w:rsidR="00ED126A">
        <w:t xml:space="preserve">aim and objectives </w:t>
      </w:r>
      <w:r w:rsidR="00983225">
        <w:t xml:space="preserve">of </w:t>
      </w:r>
      <w:proofErr w:type="gramStart"/>
      <w:r w:rsidR="00983225">
        <w:t xml:space="preserve">the </w:t>
      </w:r>
      <w:r w:rsidR="00FF59B8">
        <w:t>p</w:t>
      </w:r>
      <w:r w:rsidR="00F1713E">
        <w:t>rogram</w:t>
      </w:r>
      <w:r w:rsidR="00983225">
        <w:t xml:space="preserve">, eligible applicants and items, </w:t>
      </w:r>
      <w:r w:rsidR="00FF4A06">
        <w:t xml:space="preserve">application process, </w:t>
      </w:r>
      <w:r w:rsidR="006A213A" w:rsidRPr="00D81764">
        <w:t>timeframes, and how to apply</w:t>
      </w:r>
      <w:proofErr w:type="gramEnd"/>
      <w:r w:rsidR="006A213A" w:rsidRPr="00D81764">
        <w:t>.</w:t>
      </w:r>
    </w:p>
    <w:p w:rsidR="00E04CA2" w:rsidRPr="00D81764" w:rsidRDefault="00E04CA2" w:rsidP="00E04CA2">
      <w:pPr>
        <w:pStyle w:val="Heading2"/>
      </w:pPr>
      <w:r w:rsidRPr="00D81764">
        <w:t>Check the app</w:t>
      </w:r>
      <w:r w:rsidR="00016662">
        <w:t>lication before it is submitted</w:t>
      </w:r>
    </w:p>
    <w:p w:rsidR="00226628" w:rsidRPr="00D81764" w:rsidRDefault="0001493D" w:rsidP="00DC5484">
      <w:pPr>
        <w:numPr>
          <w:ilvl w:val="0"/>
          <w:numId w:val="9"/>
        </w:numPr>
        <w:spacing w:after="240" w:line="240" w:lineRule="auto"/>
        <w:ind w:left="567" w:hanging="357"/>
        <w:rPr>
          <w:rFonts w:eastAsia="Times New Roman" w:cstheme="minorHAnsi"/>
          <w:color w:val="auto"/>
          <w:szCs w:val="22"/>
          <w:lang w:eastAsia="en-AU"/>
        </w:rPr>
      </w:pPr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Organisations </w:t>
      </w:r>
      <w:r w:rsidR="00CB0986" w:rsidRPr="00D81764">
        <w:rPr>
          <w:rFonts w:eastAsia="Times New Roman" w:cstheme="minorHAnsi"/>
          <w:color w:val="auto"/>
          <w:szCs w:val="22"/>
          <w:lang w:eastAsia="en-AU"/>
        </w:rPr>
        <w:t xml:space="preserve">and community groups </w:t>
      </w:r>
      <w:r w:rsidR="004D0733" w:rsidRPr="00D81764">
        <w:rPr>
          <w:rFonts w:eastAsia="Times New Roman" w:cstheme="minorHAnsi"/>
          <w:color w:val="auto"/>
          <w:szCs w:val="22"/>
          <w:lang w:eastAsia="en-AU"/>
        </w:rPr>
        <w:t>are encouraged to check the</w:t>
      </w:r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 </w:t>
      </w:r>
      <w:r w:rsidR="00FF59B8">
        <w:rPr>
          <w:rFonts w:eastAsia="Times New Roman" w:cstheme="minorHAnsi"/>
          <w:color w:val="auto"/>
          <w:szCs w:val="22"/>
          <w:lang w:eastAsia="en-AU"/>
        </w:rPr>
        <w:t>a</w:t>
      </w:r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pplication </w:t>
      </w:r>
      <w:r w:rsidR="00FF59B8">
        <w:rPr>
          <w:rFonts w:eastAsia="Times New Roman" w:cstheme="minorHAnsi"/>
          <w:color w:val="auto"/>
          <w:szCs w:val="22"/>
          <w:lang w:eastAsia="en-AU"/>
        </w:rPr>
        <w:t>f</w:t>
      </w:r>
      <w:r w:rsidRPr="00D81764">
        <w:rPr>
          <w:rFonts w:eastAsia="Times New Roman" w:cstheme="minorHAnsi"/>
          <w:color w:val="auto"/>
          <w:szCs w:val="22"/>
          <w:lang w:eastAsia="en-AU"/>
        </w:rPr>
        <w:t>orm</w:t>
      </w:r>
      <w:r w:rsidR="00226628" w:rsidRPr="00D81764">
        <w:rPr>
          <w:rFonts w:eastAsia="Times New Roman" w:cstheme="minorHAnsi"/>
          <w:color w:val="auto"/>
          <w:szCs w:val="22"/>
          <w:lang w:eastAsia="en-AU"/>
        </w:rPr>
        <w:t xml:space="preserve"> for completeness prior to making an attempt to submit</w:t>
      </w:r>
      <w:r w:rsidR="00152EE6">
        <w:rPr>
          <w:rFonts w:eastAsia="Times New Roman" w:cstheme="minorHAnsi"/>
          <w:color w:val="auto"/>
          <w:szCs w:val="22"/>
          <w:lang w:eastAsia="en-AU"/>
        </w:rPr>
        <w:t>:</w:t>
      </w:r>
    </w:p>
    <w:p w:rsidR="004D0733" w:rsidRPr="00D81764" w:rsidRDefault="00152EE6" w:rsidP="00DC5484">
      <w:pPr>
        <w:numPr>
          <w:ilvl w:val="1"/>
          <w:numId w:val="9"/>
        </w:numPr>
        <w:spacing w:after="240" w:line="240" w:lineRule="auto"/>
        <w:ind w:left="1134"/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c</w:t>
      </w:r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heck </w:t>
      </w:r>
      <w:r w:rsidR="004D0733" w:rsidRPr="00D81764">
        <w:rPr>
          <w:rFonts w:eastAsia="Times New Roman" w:cstheme="minorHAnsi"/>
          <w:color w:val="auto"/>
          <w:szCs w:val="22"/>
          <w:lang w:eastAsia="en-AU"/>
        </w:rPr>
        <w:t xml:space="preserve">that all fields in the </w:t>
      </w:r>
      <w:r w:rsidR="00FF59B8">
        <w:rPr>
          <w:rFonts w:eastAsia="Times New Roman" w:cstheme="minorHAnsi"/>
          <w:color w:val="auto"/>
          <w:szCs w:val="22"/>
          <w:lang w:eastAsia="en-AU"/>
        </w:rPr>
        <w:t>a</w:t>
      </w:r>
      <w:r w:rsidR="004D0733" w:rsidRPr="00D81764">
        <w:rPr>
          <w:rFonts w:eastAsia="Times New Roman" w:cstheme="minorHAnsi"/>
          <w:color w:val="auto"/>
          <w:szCs w:val="22"/>
          <w:lang w:eastAsia="en-AU"/>
        </w:rPr>
        <w:t xml:space="preserve">pplication </w:t>
      </w:r>
      <w:r w:rsidR="00FF59B8">
        <w:rPr>
          <w:rFonts w:eastAsia="Times New Roman" w:cstheme="minorHAnsi"/>
          <w:color w:val="auto"/>
          <w:szCs w:val="22"/>
          <w:lang w:eastAsia="en-AU"/>
        </w:rPr>
        <w:t>f</w:t>
      </w:r>
      <w:r w:rsidR="00016662">
        <w:rPr>
          <w:rFonts w:eastAsia="Times New Roman" w:cstheme="minorHAnsi"/>
          <w:color w:val="auto"/>
          <w:szCs w:val="22"/>
          <w:lang w:eastAsia="en-AU"/>
        </w:rPr>
        <w:t>orm have been completed in full</w:t>
      </w:r>
    </w:p>
    <w:p w:rsidR="0001493D" w:rsidRPr="009D42B6" w:rsidRDefault="00152EE6" w:rsidP="00DC5484">
      <w:pPr>
        <w:numPr>
          <w:ilvl w:val="1"/>
          <w:numId w:val="9"/>
        </w:numPr>
        <w:spacing w:after="240" w:line="240" w:lineRule="auto"/>
        <w:ind w:left="1134"/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c</w:t>
      </w:r>
      <w:r w:rsidRPr="009D42B6">
        <w:rPr>
          <w:rFonts w:eastAsia="Times New Roman" w:cstheme="minorHAnsi"/>
          <w:color w:val="auto"/>
          <w:szCs w:val="22"/>
          <w:lang w:eastAsia="en-AU"/>
        </w:rPr>
        <w:t xml:space="preserve">heck </w:t>
      </w:r>
      <w:r w:rsidR="0001493D" w:rsidRPr="009D42B6">
        <w:rPr>
          <w:rFonts w:eastAsia="Times New Roman" w:cstheme="minorHAnsi"/>
          <w:color w:val="auto"/>
          <w:szCs w:val="22"/>
          <w:lang w:eastAsia="en-AU"/>
        </w:rPr>
        <w:t xml:space="preserve">that all answers to questions have been entered </w:t>
      </w:r>
      <w:r w:rsidR="00226628" w:rsidRPr="009D42B6">
        <w:rPr>
          <w:rFonts w:eastAsia="Times New Roman" w:cstheme="minorHAnsi"/>
          <w:color w:val="auto"/>
          <w:szCs w:val="22"/>
          <w:lang w:eastAsia="en-AU"/>
        </w:rPr>
        <w:t>correctly</w:t>
      </w:r>
    </w:p>
    <w:p w:rsidR="0058371E" w:rsidRPr="009D42B6" w:rsidRDefault="00152EE6" w:rsidP="00DC5484">
      <w:pPr>
        <w:numPr>
          <w:ilvl w:val="1"/>
          <w:numId w:val="9"/>
        </w:numPr>
        <w:spacing w:after="240" w:line="240" w:lineRule="auto"/>
        <w:ind w:left="1134"/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c</w:t>
      </w:r>
      <w:r w:rsidRPr="009D42B6">
        <w:rPr>
          <w:rFonts w:eastAsia="Times New Roman" w:cstheme="minorHAnsi"/>
          <w:color w:val="auto"/>
          <w:szCs w:val="22"/>
          <w:lang w:eastAsia="en-AU"/>
        </w:rPr>
        <w:t xml:space="preserve">heck </w:t>
      </w:r>
      <w:r w:rsidR="0058371E" w:rsidRPr="009D42B6">
        <w:rPr>
          <w:rFonts w:eastAsia="Times New Roman" w:cstheme="minorHAnsi"/>
          <w:color w:val="auto"/>
          <w:szCs w:val="22"/>
          <w:lang w:eastAsia="en-AU"/>
        </w:rPr>
        <w:t>that any required attachme</w:t>
      </w:r>
      <w:r w:rsidR="00D81764" w:rsidRPr="009D42B6">
        <w:rPr>
          <w:rFonts w:eastAsia="Times New Roman" w:cstheme="minorHAnsi"/>
          <w:color w:val="auto"/>
          <w:szCs w:val="22"/>
          <w:lang w:eastAsia="en-AU"/>
        </w:rPr>
        <w:t xml:space="preserve">nts have been completed in full, including one quote </w:t>
      </w:r>
      <w:r w:rsidR="002C0868">
        <w:rPr>
          <w:rFonts w:eastAsia="Times New Roman" w:cstheme="minorHAnsi"/>
          <w:color w:val="auto"/>
          <w:szCs w:val="22"/>
          <w:lang w:eastAsia="en-AU"/>
        </w:rPr>
        <w:t>for each requested item</w:t>
      </w:r>
    </w:p>
    <w:p w:rsidR="005829CC" w:rsidRDefault="00152EE6" w:rsidP="00DC5484">
      <w:pPr>
        <w:numPr>
          <w:ilvl w:val="1"/>
          <w:numId w:val="9"/>
        </w:numPr>
        <w:spacing w:after="240" w:line="240" w:lineRule="auto"/>
        <w:ind w:left="1134"/>
        <w:rPr>
          <w:rFonts w:eastAsia="Times New Roman" w:cstheme="minorHAnsi"/>
          <w:color w:val="auto"/>
          <w:szCs w:val="22"/>
          <w:lang w:eastAsia="en-AU"/>
        </w:rPr>
      </w:pPr>
      <w:proofErr w:type="gramStart"/>
      <w:r>
        <w:rPr>
          <w:rFonts w:eastAsia="Times New Roman" w:cstheme="minorHAnsi"/>
          <w:color w:val="auto"/>
          <w:szCs w:val="22"/>
          <w:lang w:eastAsia="en-AU"/>
        </w:rPr>
        <w:t>c</w:t>
      </w:r>
      <w:r w:rsidRPr="00D81764">
        <w:rPr>
          <w:rFonts w:eastAsia="Times New Roman" w:cstheme="minorHAnsi"/>
          <w:color w:val="auto"/>
          <w:szCs w:val="22"/>
          <w:lang w:eastAsia="en-AU"/>
        </w:rPr>
        <w:t>heck</w:t>
      </w:r>
      <w:proofErr w:type="gramEnd"/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 </w:t>
      </w:r>
      <w:r w:rsidR="005829CC" w:rsidRPr="00D81764">
        <w:rPr>
          <w:rFonts w:eastAsia="Times New Roman" w:cstheme="minorHAnsi"/>
          <w:color w:val="auto"/>
          <w:szCs w:val="22"/>
          <w:lang w:eastAsia="en-AU"/>
        </w:rPr>
        <w:t xml:space="preserve">that </w:t>
      </w:r>
      <w:r w:rsidR="00107236">
        <w:rPr>
          <w:rFonts w:eastAsia="Times New Roman" w:cstheme="minorHAnsi"/>
          <w:color w:val="auto"/>
          <w:szCs w:val="22"/>
          <w:lang w:eastAsia="en-AU"/>
        </w:rPr>
        <w:t xml:space="preserve">responses to criterion </w:t>
      </w:r>
      <w:r w:rsidR="005829CC" w:rsidRPr="00D81764">
        <w:rPr>
          <w:rFonts w:eastAsia="Times New Roman" w:cstheme="minorHAnsi"/>
          <w:color w:val="auto"/>
          <w:szCs w:val="22"/>
          <w:lang w:eastAsia="en-AU"/>
        </w:rPr>
        <w:t>are accurate</w:t>
      </w:r>
      <w:r w:rsidR="0058371E" w:rsidRPr="00D81764">
        <w:rPr>
          <w:rFonts w:eastAsia="Times New Roman" w:cstheme="minorHAnsi"/>
          <w:color w:val="auto"/>
          <w:szCs w:val="22"/>
          <w:lang w:eastAsia="en-AU"/>
        </w:rPr>
        <w:t>, clear</w:t>
      </w:r>
      <w:r w:rsidR="005829CC" w:rsidRPr="00D81764">
        <w:rPr>
          <w:rFonts w:eastAsia="Times New Roman" w:cstheme="minorHAnsi"/>
          <w:color w:val="auto"/>
          <w:szCs w:val="22"/>
          <w:lang w:eastAsia="en-AU"/>
        </w:rPr>
        <w:t xml:space="preserve"> and easy to read</w:t>
      </w:r>
      <w:r w:rsidR="00016662">
        <w:rPr>
          <w:rFonts w:eastAsia="Times New Roman" w:cstheme="minorHAnsi"/>
          <w:color w:val="auto"/>
          <w:szCs w:val="22"/>
          <w:lang w:eastAsia="en-AU"/>
        </w:rPr>
        <w:t>.</w:t>
      </w:r>
    </w:p>
    <w:p w:rsidR="005829CC" w:rsidRPr="00D81764" w:rsidRDefault="007D34C4" w:rsidP="00C362DE">
      <w:pPr>
        <w:numPr>
          <w:ilvl w:val="0"/>
          <w:numId w:val="9"/>
        </w:numPr>
        <w:spacing w:after="240" w:line="240" w:lineRule="auto"/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A</w:t>
      </w:r>
      <w:r w:rsidR="00A63F2D">
        <w:rPr>
          <w:rFonts w:eastAsia="Times New Roman" w:cstheme="minorHAnsi"/>
          <w:color w:val="auto"/>
          <w:szCs w:val="22"/>
          <w:lang w:eastAsia="en-AU"/>
        </w:rPr>
        <w:t xml:space="preserve">ll information requested on the </w:t>
      </w:r>
      <w:r w:rsidR="00FF59B8">
        <w:rPr>
          <w:rFonts w:eastAsia="Times New Roman" w:cstheme="minorHAnsi"/>
          <w:color w:val="auto"/>
          <w:szCs w:val="22"/>
          <w:lang w:eastAsia="en-AU"/>
        </w:rPr>
        <w:t>a</w:t>
      </w:r>
      <w:r w:rsidR="00A63F2D">
        <w:rPr>
          <w:rFonts w:eastAsia="Times New Roman" w:cstheme="minorHAnsi"/>
          <w:color w:val="auto"/>
          <w:szCs w:val="22"/>
          <w:lang w:eastAsia="en-AU"/>
        </w:rPr>
        <w:t xml:space="preserve">pplication </w:t>
      </w:r>
      <w:r w:rsidR="00FF59B8">
        <w:rPr>
          <w:rFonts w:eastAsia="Times New Roman" w:cstheme="minorHAnsi"/>
          <w:color w:val="auto"/>
          <w:szCs w:val="22"/>
          <w:lang w:eastAsia="en-AU"/>
        </w:rPr>
        <w:t>f</w:t>
      </w:r>
      <w:r w:rsidR="00A63F2D">
        <w:rPr>
          <w:rFonts w:eastAsia="Times New Roman" w:cstheme="minorHAnsi"/>
          <w:color w:val="auto"/>
          <w:szCs w:val="22"/>
          <w:lang w:eastAsia="en-AU"/>
        </w:rPr>
        <w:t xml:space="preserve">orm </w:t>
      </w:r>
      <w:proofErr w:type="gramStart"/>
      <w:r w:rsidR="00A63F2D">
        <w:rPr>
          <w:rFonts w:eastAsia="Times New Roman" w:cstheme="minorHAnsi"/>
          <w:color w:val="auto"/>
          <w:szCs w:val="22"/>
          <w:lang w:eastAsia="en-AU"/>
        </w:rPr>
        <w:t>must be provided</w:t>
      </w:r>
      <w:proofErr w:type="gramEnd"/>
      <w:r w:rsidR="00A63F2D">
        <w:rPr>
          <w:rFonts w:eastAsia="Times New Roman" w:cstheme="minorHAnsi"/>
          <w:color w:val="auto"/>
          <w:szCs w:val="22"/>
          <w:lang w:eastAsia="en-AU"/>
        </w:rPr>
        <w:t xml:space="preserve"> to enable an appl</w:t>
      </w:r>
      <w:r>
        <w:rPr>
          <w:rFonts w:eastAsia="Times New Roman" w:cstheme="minorHAnsi"/>
          <w:color w:val="auto"/>
          <w:szCs w:val="22"/>
          <w:lang w:eastAsia="en-AU"/>
        </w:rPr>
        <w:t>ication to be fully considered.</w:t>
      </w:r>
    </w:p>
    <w:p w:rsidR="0001493D" w:rsidRDefault="0001493D" w:rsidP="00C362DE">
      <w:pPr>
        <w:numPr>
          <w:ilvl w:val="0"/>
          <w:numId w:val="9"/>
        </w:numPr>
        <w:spacing w:after="240" w:line="240" w:lineRule="auto"/>
        <w:rPr>
          <w:rFonts w:eastAsia="Times New Roman" w:cstheme="minorHAnsi"/>
          <w:color w:val="auto"/>
          <w:szCs w:val="22"/>
          <w:lang w:eastAsia="en-AU"/>
        </w:rPr>
      </w:pPr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The Grants </w:t>
      </w:r>
      <w:r w:rsidR="009F6CFB" w:rsidRPr="00D81764">
        <w:rPr>
          <w:rFonts w:eastAsia="Times New Roman" w:cstheme="minorHAnsi"/>
          <w:color w:val="auto"/>
          <w:szCs w:val="22"/>
          <w:lang w:eastAsia="en-AU"/>
        </w:rPr>
        <w:t xml:space="preserve">Support </w:t>
      </w:r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Hotline is available to </w:t>
      </w:r>
      <w:proofErr w:type="gramStart"/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provide </w:t>
      </w:r>
      <w:r w:rsidR="004D0733" w:rsidRPr="00D81764">
        <w:rPr>
          <w:rFonts w:eastAsia="Times New Roman" w:cstheme="minorHAnsi"/>
          <w:color w:val="auto"/>
          <w:szCs w:val="22"/>
          <w:lang w:eastAsia="en-AU"/>
        </w:rPr>
        <w:t>assistance</w:t>
      </w:r>
      <w:r w:rsidR="007D34C4">
        <w:rPr>
          <w:rFonts w:eastAsia="Times New Roman" w:cstheme="minorHAnsi"/>
          <w:color w:val="auto"/>
          <w:szCs w:val="22"/>
          <w:lang w:eastAsia="en-AU"/>
        </w:rPr>
        <w:t xml:space="preserve"> to</w:t>
      </w:r>
      <w:proofErr w:type="gramEnd"/>
      <w:r w:rsidR="007D34C4">
        <w:rPr>
          <w:rFonts w:eastAsia="Times New Roman" w:cstheme="minorHAnsi"/>
          <w:color w:val="auto"/>
          <w:szCs w:val="22"/>
          <w:lang w:eastAsia="en-AU"/>
        </w:rPr>
        <w:t xml:space="preserve"> you when you are completing your application.</w:t>
      </w:r>
    </w:p>
    <w:p w:rsidR="00D82DF9" w:rsidRPr="009065DC" w:rsidRDefault="00A526F7" w:rsidP="00DC5484">
      <w:pPr>
        <w:pStyle w:val="Heading2"/>
        <w:rPr>
          <w:rFonts w:eastAsia="Times New Roman"/>
          <w:lang w:eastAsia="en-AU"/>
        </w:rPr>
      </w:pPr>
      <w:r w:rsidRPr="009065DC">
        <w:rPr>
          <w:rFonts w:eastAsia="Times New Roman"/>
          <w:lang w:eastAsia="en-AU"/>
        </w:rPr>
        <w:t>C</w:t>
      </w:r>
      <w:r w:rsidR="00D5132D" w:rsidRPr="009065DC">
        <w:rPr>
          <w:rFonts w:eastAsia="Times New Roman"/>
          <w:lang w:eastAsia="en-AU"/>
        </w:rPr>
        <w:t>ompliance</w:t>
      </w:r>
      <w:r w:rsidRPr="009065DC">
        <w:rPr>
          <w:rFonts w:eastAsia="Times New Roman"/>
          <w:lang w:eastAsia="en-AU"/>
        </w:rPr>
        <w:t xml:space="preserve"> and eligibility</w:t>
      </w:r>
    </w:p>
    <w:p w:rsidR="00197D4E" w:rsidRDefault="000A1FD1" w:rsidP="00197D4E">
      <w:pPr>
        <w:pStyle w:val="Bullets1"/>
        <w:ind w:left="567"/>
        <w:rPr>
          <w:lang w:eastAsia="en-AU"/>
        </w:rPr>
      </w:pPr>
      <w:r w:rsidRPr="009065DC">
        <w:rPr>
          <w:lang w:eastAsia="en-AU"/>
        </w:rPr>
        <w:t>It is important to read the G</w:t>
      </w:r>
      <w:r w:rsidR="00243D5E">
        <w:rPr>
          <w:lang w:eastAsia="en-AU"/>
        </w:rPr>
        <w:t xml:space="preserve">OG </w:t>
      </w:r>
      <w:r w:rsidR="00D5132D" w:rsidRPr="009065DC">
        <w:rPr>
          <w:lang w:eastAsia="en-AU"/>
        </w:rPr>
        <w:t xml:space="preserve">to understand eligibility requirements. </w:t>
      </w:r>
      <w:r w:rsidR="008C649C" w:rsidRPr="009065DC">
        <w:rPr>
          <w:lang w:eastAsia="en-AU"/>
        </w:rPr>
        <w:t>Grant funding</w:t>
      </w:r>
      <w:r w:rsidR="00A63F2D" w:rsidRPr="009065DC">
        <w:rPr>
          <w:lang w:eastAsia="en-AU"/>
        </w:rPr>
        <w:t xml:space="preserve"> is only available for eligible </w:t>
      </w:r>
      <w:r w:rsidR="009065DC" w:rsidRPr="009065DC">
        <w:rPr>
          <w:lang w:eastAsia="en-AU"/>
        </w:rPr>
        <w:t>projects/activities</w:t>
      </w:r>
      <w:r w:rsidR="008C649C" w:rsidRPr="009065DC">
        <w:rPr>
          <w:lang w:eastAsia="en-AU"/>
        </w:rPr>
        <w:t xml:space="preserve"> outlined in the G</w:t>
      </w:r>
      <w:r w:rsidR="00243D5E">
        <w:rPr>
          <w:lang w:eastAsia="en-AU"/>
        </w:rPr>
        <w:t>OG</w:t>
      </w:r>
      <w:r w:rsidR="00016662">
        <w:rPr>
          <w:lang w:eastAsia="en-AU"/>
        </w:rPr>
        <w:t>.</w:t>
      </w:r>
    </w:p>
    <w:p w:rsidR="00B01099" w:rsidRDefault="00B01099" w:rsidP="00B01099">
      <w:pPr>
        <w:pStyle w:val="Bullets1"/>
        <w:ind w:left="567"/>
        <w:rPr>
          <w:lang w:eastAsia="en-AU"/>
        </w:rPr>
      </w:pPr>
      <w:r>
        <w:rPr>
          <w:lang w:eastAsia="en-AU"/>
        </w:rPr>
        <w:t xml:space="preserve">Proposed </w:t>
      </w:r>
      <w:r w:rsidRPr="00AC0AC3">
        <w:rPr>
          <w:lang w:eastAsia="en-AU"/>
        </w:rPr>
        <w:t xml:space="preserve">projects and activities must be </w:t>
      </w:r>
      <w:r>
        <w:rPr>
          <w:lang w:eastAsia="en-AU"/>
        </w:rPr>
        <w:t xml:space="preserve">significant, from a </w:t>
      </w:r>
      <w:r w:rsidR="00FF59B8">
        <w:rPr>
          <w:lang w:eastAsia="en-AU"/>
        </w:rPr>
        <w:t>n</w:t>
      </w:r>
      <w:r>
        <w:rPr>
          <w:lang w:eastAsia="en-AU"/>
        </w:rPr>
        <w:t xml:space="preserve">ational, </w:t>
      </w:r>
      <w:r w:rsidR="00FF59B8">
        <w:rPr>
          <w:lang w:eastAsia="en-AU"/>
        </w:rPr>
        <w:t>s</w:t>
      </w:r>
      <w:r>
        <w:rPr>
          <w:lang w:eastAsia="en-AU"/>
        </w:rPr>
        <w:t xml:space="preserve">tate or </w:t>
      </w:r>
      <w:r w:rsidR="00FF59B8">
        <w:rPr>
          <w:lang w:eastAsia="en-AU"/>
        </w:rPr>
        <w:t>t</w:t>
      </w:r>
      <w:r>
        <w:rPr>
          <w:lang w:eastAsia="en-AU"/>
        </w:rPr>
        <w:t xml:space="preserve">erritory perspective and contribute to Australia’s understanding of its wartime heritage and honour the service and sacrifice of its service personnel. For a project to be considered significant, its focus should be wider than the local </w:t>
      </w:r>
      <w:proofErr w:type="gramStart"/>
      <w:r>
        <w:rPr>
          <w:lang w:eastAsia="en-AU"/>
        </w:rPr>
        <w:t>community</w:t>
      </w:r>
      <w:proofErr w:type="gramEnd"/>
      <w:r>
        <w:rPr>
          <w:lang w:eastAsia="en-AU"/>
        </w:rPr>
        <w:t xml:space="preserve"> and be available to a larger audience.</w:t>
      </w:r>
    </w:p>
    <w:p w:rsidR="00197D4E" w:rsidRPr="00197D4E" w:rsidRDefault="00197D4E" w:rsidP="00B01099">
      <w:pPr>
        <w:pStyle w:val="Bullets1"/>
        <w:ind w:left="567"/>
        <w:rPr>
          <w:lang w:eastAsia="en-AU"/>
        </w:rPr>
      </w:pPr>
      <w:r w:rsidRPr="00B01099">
        <w:rPr>
          <w:rFonts w:ascii="Arial" w:hAnsi="Arial" w:cs="Arial"/>
          <w:szCs w:val="22"/>
        </w:rPr>
        <w:t>Eligible projects/activities include:</w:t>
      </w:r>
    </w:p>
    <w:p w:rsidR="004931D3" w:rsidRPr="007F3FFB" w:rsidRDefault="00152EE6" w:rsidP="001F689D">
      <w:pPr>
        <w:pStyle w:val="Bullets2"/>
        <w:numPr>
          <w:ilvl w:val="1"/>
          <w:numId w:val="17"/>
        </w:numPr>
        <w:ind w:left="143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</w:t>
      </w:r>
      <w:r w:rsidRPr="004931D3">
        <w:rPr>
          <w:rFonts w:ascii="Arial" w:hAnsi="Arial" w:cs="Arial"/>
          <w:szCs w:val="22"/>
        </w:rPr>
        <w:t xml:space="preserve">ew </w:t>
      </w:r>
      <w:r w:rsidR="00B01099">
        <w:rPr>
          <w:rFonts w:ascii="Arial" w:hAnsi="Arial" w:cs="Arial"/>
          <w:szCs w:val="22"/>
        </w:rPr>
        <w:t>n</w:t>
      </w:r>
      <w:r w:rsidR="004931D3" w:rsidRPr="004931D3">
        <w:rPr>
          <w:rFonts w:ascii="Arial" w:hAnsi="Arial" w:cs="Arial"/>
          <w:szCs w:val="22"/>
        </w:rPr>
        <w:t>ational/</w:t>
      </w:r>
      <w:r w:rsidR="00B01099">
        <w:rPr>
          <w:rFonts w:ascii="Arial" w:hAnsi="Arial" w:cs="Arial"/>
          <w:szCs w:val="22"/>
        </w:rPr>
        <w:t>s</w:t>
      </w:r>
      <w:r w:rsidR="004931D3" w:rsidRPr="004931D3">
        <w:rPr>
          <w:rFonts w:ascii="Arial" w:hAnsi="Arial" w:cs="Arial"/>
          <w:szCs w:val="22"/>
        </w:rPr>
        <w:t>tate/</w:t>
      </w:r>
      <w:r w:rsidR="00B01099">
        <w:rPr>
          <w:rFonts w:ascii="Arial" w:hAnsi="Arial" w:cs="Arial"/>
          <w:szCs w:val="22"/>
        </w:rPr>
        <w:t>t</w:t>
      </w:r>
      <w:r w:rsidR="004931D3" w:rsidRPr="004931D3">
        <w:rPr>
          <w:rFonts w:ascii="Arial" w:hAnsi="Arial" w:cs="Arial"/>
          <w:szCs w:val="22"/>
        </w:rPr>
        <w:t>erritory or otherwise significant war memorials where none exists and where the new memorial wil</w:t>
      </w:r>
      <w:r w:rsidR="00016662">
        <w:rPr>
          <w:rFonts w:ascii="Arial" w:hAnsi="Arial" w:cs="Arial"/>
          <w:szCs w:val="22"/>
        </w:rPr>
        <w:t>l be the focus of commemoration</w:t>
      </w:r>
    </w:p>
    <w:p w:rsidR="004931D3" w:rsidRPr="007F3FFB" w:rsidRDefault="00152EE6" w:rsidP="001F689D">
      <w:pPr>
        <w:pStyle w:val="Bullets2"/>
        <w:numPr>
          <w:ilvl w:val="1"/>
          <w:numId w:val="17"/>
        </w:numPr>
        <w:ind w:left="143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</w:t>
      </w:r>
      <w:r w:rsidRPr="004931D3">
        <w:rPr>
          <w:rFonts w:ascii="Arial" w:hAnsi="Arial" w:cs="Arial"/>
          <w:szCs w:val="22"/>
        </w:rPr>
        <w:t xml:space="preserve">ew </w:t>
      </w:r>
      <w:r w:rsidR="004931D3" w:rsidRPr="004931D3">
        <w:rPr>
          <w:rFonts w:ascii="Arial" w:hAnsi="Arial" w:cs="Arial"/>
          <w:szCs w:val="22"/>
        </w:rPr>
        <w:t>honour boards/rolls or plaques</w:t>
      </w:r>
    </w:p>
    <w:p w:rsidR="004931D3" w:rsidRPr="007F3FFB" w:rsidRDefault="00152EE6" w:rsidP="001F689D">
      <w:pPr>
        <w:pStyle w:val="Bullets2"/>
        <w:numPr>
          <w:ilvl w:val="1"/>
          <w:numId w:val="17"/>
        </w:numPr>
        <w:ind w:left="143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t</w:t>
      </w:r>
      <w:r w:rsidRPr="004931D3">
        <w:rPr>
          <w:rFonts w:ascii="Arial" w:hAnsi="Arial" w:cs="Arial"/>
          <w:szCs w:val="22"/>
        </w:rPr>
        <w:t xml:space="preserve">he </w:t>
      </w:r>
      <w:r w:rsidR="004931D3" w:rsidRPr="004931D3">
        <w:rPr>
          <w:rFonts w:ascii="Arial" w:hAnsi="Arial" w:cs="Arial"/>
          <w:szCs w:val="22"/>
        </w:rPr>
        <w:t xml:space="preserve">restoration of existing </w:t>
      </w:r>
      <w:r w:rsidR="00B01099">
        <w:rPr>
          <w:rFonts w:ascii="Arial" w:hAnsi="Arial" w:cs="Arial"/>
          <w:szCs w:val="22"/>
        </w:rPr>
        <w:t>n</w:t>
      </w:r>
      <w:r w:rsidR="004931D3" w:rsidRPr="004931D3">
        <w:rPr>
          <w:rFonts w:ascii="Arial" w:hAnsi="Arial" w:cs="Arial"/>
          <w:szCs w:val="22"/>
        </w:rPr>
        <w:t>ational/</w:t>
      </w:r>
      <w:r w:rsidR="00B01099">
        <w:rPr>
          <w:rFonts w:ascii="Arial" w:hAnsi="Arial" w:cs="Arial"/>
          <w:szCs w:val="22"/>
        </w:rPr>
        <w:t>s</w:t>
      </w:r>
      <w:r w:rsidR="004931D3" w:rsidRPr="004931D3">
        <w:rPr>
          <w:rFonts w:ascii="Arial" w:hAnsi="Arial" w:cs="Arial"/>
          <w:szCs w:val="22"/>
        </w:rPr>
        <w:t>tate/</w:t>
      </w:r>
      <w:r w:rsidR="00B01099">
        <w:rPr>
          <w:rFonts w:ascii="Arial" w:hAnsi="Arial" w:cs="Arial"/>
          <w:szCs w:val="22"/>
        </w:rPr>
        <w:t>t</w:t>
      </w:r>
      <w:r w:rsidR="004931D3" w:rsidRPr="004931D3">
        <w:rPr>
          <w:rFonts w:ascii="Arial" w:hAnsi="Arial" w:cs="Arial"/>
          <w:szCs w:val="22"/>
        </w:rPr>
        <w:t>erritory or otherwise significant war memorials</w:t>
      </w:r>
    </w:p>
    <w:p w:rsidR="004931D3" w:rsidRPr="007F3FFB" w:rsidRDefault="00152EE6" w:rsidP="001F689D">
      <w:pPr>
        <w:pStyle w:val="Bullets2"/>
        <w:numPr>
          <w:ilvl w:val="1"/>
          <w:numId w:val="17"/>
        </w:numPr>
        <w:ind w:left="143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</w:t>
      </w:r>
      <w:r w:rsidRPr="007F3FFB">
        <w:rPr>
          <w:rFonts w:ascii="Arial" w:hAnsi="Arial" w:cs="Arial"/>
          <w:szCs w:val="22"/>
        </w:rPr>
        <w:t xml:space="preserve">ignificant </w:t>
      </w:r>
      <w:r w:rsidR="004931D3" w:rsidRPr="007F3FFB">
        <w:rPr>
          <w:rFonts w:ascii="Arial" w:hAnsi="Arial" w:cs="Arial"/>
          <w:szCs w:val="22"/>
        </w:rPr>
        <w:t>(</w:t>
      </w:r>
      <w:r w:rsidR="00B01099">
        <w:rPr>
          <w:rFonts w:ascii="Arial" w:hAnsi="Arial" w:cs="Arial"/>
          <w:szCs w:val="22"/>
        </w:rPr>
        <w:t>n</w:t>
      </w:r>
      <w:r w:rsidR="004931D3" w:rsidRPr="007F3FFB">
        <w:rPr>
          <w:rFonts w:ascii="Arial" w:hAnsi="Arial" w:cs="Arial"/>
          <w:szCs w:val="22"/>
        </w:rPr>
        <w:t>ational/</w:t>
      </w:r>
      <w:r w:rsidR="00B01099">
        <w:rPr>
          <w:rFonts w:ascii="Arial" w:hAnsi="Arial" w:cs="Arial"/>
          <w:szCs w:val="22"/>
        </w:rPr>
        <w:t>s</w:t>
      </w:r>
      <w:r w:rsidR="004931D3" w:rsidRPr="007F3FFB">
        <w:rPr>
          <w:rFonts w:ascii="Arial" w:hAnsi="Arial" w:cs="Arial"/>
          <w:szCs w:val="22"/>
        </w:rPr>
        <w:t>tate/</w:t>
      </w:r>
      <w:r w:rsidR="00B01099">
        <w:rPr>
          <w:rFonts w:ascii="Arial" w:hAnsi="Arial" w:cs="Arial"/>
          <w:szCs w:val="22"/>
        </w:rPr>
        <w:t>t</w:t>
      </w:r>
      <w:r w:rsidR="004931D3" w:rsidRPr="007F3FFB">
        <w:rPr>
          <w:rFonts w:ascii="Arial" w:hAnsi="Arial" w:cs="Arial"/>
          <w:szCs w:val="22"/>
        </w:rPr>
        <w:t xml:space="preserve">erritory level) commemorative events (The event should be held within one month of the anniversary </w:t>
      </w:r>
      <w:r w:rsidR="00016662">
        <w:rPr>
          <w:rFonts w:ascii="Arial" w:hAnsi="Arial" w:cs="Arial"/>
          <w:szCs w:val="22"/>
        </w:rPr>
        <w:t>being commemorated)</w:t>
      </w:r>
    </w:p>
    <w:p w:rsidR="004931D3" w:rsidRPr="00243D5E" w:rsidRDefault="00152EE6" w:rsidP="001F689D">
      <w:pPr>
        <w:pStyle w:val="Bullets2"/>
        <w:numPr>
          <w:ilvl w:val="1"/>
          <w:numId w:val="17"/>
        </w:numPr>
        <w:ind w:left="1434" w:hanging="357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n</w:t>
      </w:r>
      <w:r w:rsidRPr="007F3FFB">
        <w:rPr>
          <w:rFonts w:ascii="Arial" w:hAnsi="Arial" w:cs="Arial"/>
          <w:szCs w:val="22"/>
        </w:rPr>
        <w:t>ationally</w:t>
      </w:r>
      <w:proofErr w:type="gramEnd"/>
      <w:r w:rsidRPr="007F3FFB">
        <w:rPr>
          <w:rFonts w:ascii="Arial" w:hAnsi="Arial" w:cs="Arial"/>
          <w:szCs w:val="22"/>
        </w:rPr>
        <w:t xml:space="preserve"> </w:t>
      </w:r>
      <w:r w:rsidR="004931D3" w:rsidRPr="007F3FFB">
        <w:rPr>
          <w:rFonts w:ascii="Arial" w:hAnsi="Arial" w:cs="Arial"/>
          <w:szCs w:val="22"/>
        </w:rPr>
        <w:t xml:space="preserve">significant cultural and educational projects with a military heritage focus and that add to the sum of knowledge on a particular topic or which provide access to information about Australia’s wartime heritage to a </w:t>
      </w:r>
      <w:r w:rsidR="00B01099">
        <w:rPr>
          <w:rFonts w:ascii="Arial" w:hAnsi="Arial" w:cs="Arial"/>
          <w:szCs w:val="22"/>
        </w:rPr>
        <w:t>n</w:t>
      </w:r>
      <w:r w:rsidR="004931D3" w:rsidRPr="007F3FFB">
        <w:rPr>
          <w:rFonts w:ascii="Arial" w:hAnsi="Arial" w:cs="Arial"/>
          <w:szCs w:val="22"/>
        </w:rPr>
        <w:t>ational/</w:t>
      </w:r>
      <w:r w:rsidR="00B01099">
        <w:rPr>
          <w:rFonts w:ascii="Arial" w:hAnsi="Arial" w:cs="Arial"/>
          <w:szCs w:val="22"/>
        </w:rPr>
        <w:t>s</w:t>
      </w:r>
      <w:r w:rsidR="004931D3" w:rsidRPr="007F3FFB">
        <w:rPr>
          <w:rFonts w:ascii="Arial" w:hAnsi="Arial" w:cs="Arial"/>
          <w:szCs w:val="22"/>
        </w:rPr>
        <w:t>tate/</w:t>
      </w:r>
      <w:r w:rsidR="00B01099">
        <w:rPr>
          <w:rFonts w:ascii="Arial" w:hAnsi="Arial" w:cs="Arial"/>
          <w:szCs w:val="22"/>
        </w:rPr>
        <w:t>t</w:t>
      </w:r>
      <w:r w:rsidR="004931D3" w:rsidRPr="007F3FFB">
        <w:rPr>
          <w:rFonts w:ascii="Arial" w:hAnsi="Arial" w:cs="Arial"/>
          <w:szCs w:val="22"/>
        </w:rPr>
        <w:t>erritory audience</w:t>
      </w:r>
      <w:r>
        <w:rPr>
          <w:rFonts w:ascii="Arial" w:hAnsi="Arial" w:cs="Arial"/>
          <w:szCs w:val="22"/>
        </w:rPr>
        <w:t>.</w:t>
      </w:r>
    </w:p>
    <w:p w:rsidR="0082439D" w:rsidRDefault="00B01099" w:rsidP="0082439D">
      <w:pPr>
        <w:pStyle w:val="Bullets2"/>
        <w:numPr>
          <w:ilvl w:val="0"/>
          <w:numId w:val="17"/>
        </w:numPr>
        <w:rPr>
          <w:lang w:eastAsia="en-AU"/>
        </w:rPr>
      </w:pPr>
      <w:r>
        <w:rPr>
          <w:lang w:eastAsia="en-AU"/>
        </w:rPr>
        <w:t xml:space="preserve">The </w:t>
      </w:r>
      <w:r>
        <w:t>grant can be used to pay for the following, but is not limited to</w:t>
      </w:r>
      <w:r w:rsidR="0082439D">
        <w:rPr>
          <w:lang w:eastAsia="en-AU"/>
        </w:rPr>
        <w:t>:</w:t>
      </w:r>
    </w:p>
    <w:p w:rsidR="0082439D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 xml:space="preserve">audio </w:t>
      </w:r>
      <w:r w:rsidR="0082439D">
        <w:rPr>
          <w:lang w:eastAsia="en-AU"/>
        </w:rPr>
        <w:t>and visual equipment hire</w:t>
      </w:r>
    </w:p>
    <w:p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d</w:t>
      </w:r>
      <w:r w:rsidRPr="004931D3">
        <w:rPr>
          <w:rFonts w:ascii="Arial" w:hAnsi="Arial" w:cs="Arial"/>
          <w:szCs w:val="22"/>
        </w:rPr>
        <w:t xml:space="preserve">isplay </w:t>
      </w:r>
      <w:r w:rsidR="004931D3" w:rsidRPr="004931D3">
        <w:rPr>
          <w:rFonts w:ascii="Arial" w:hAnsi="Arial" w:cs="Arial"/>
          <w:szCs w:val="22"/>
        </w:rPr>
        <w:t>cabinets for the</w:t>
      </w:r>
      <w:r w:rsidR="00016662">
        <w:rPr>
          <w:rFonts w:ascii="Arial" w:hAnsi="Arial" w:cs="Arial"/>
          <w:szCs w:val="22"/>
        </w:rPr>
        <w:t xml:space="preserve"> display of wartime memorabilia</w:t>
      </w:r>
    </w:p>
    <w:p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proofErr w:type="gramStart"/>
      <w:r>
        <w:rPr>
          <w:rFonts w:ascii="Arial" w:hAnsi="Arial" w:cs="Arial"/>
          <w:szCs w:val="22"/>
        </w:rPr>
        <w:t>e</w:t>
      </w:r>
      <w:r w:rsidRPr="004931D3">
        <w:rPr>
          <w:rFonts w:ascii="Arial" w:hAnsi="Arial" w:cs="Arial"/>
          <w:szCs w:val="22"/>
        </w:rPr>
        <w:t>quipment</w:t>
      </w:r>
      <w:proofErr w:type="gramEnd"/>
      <w:r w:rsidRPr="004931D3">
        <w:rPr>
          <w:rFonts w:ascii="Arial" w:hAnsi="Arial" w:cs="Arial"/>
          <w:szCs w:val="22"/>
        </w:rPr>
        <w:t xml:space="preserve"> </w:t>
      </w:r>
      <w:r w:rsidR="004931D3" w:rsidRPr="004931D3">
        <w:rPr>
          <w:rFonts w:ascii="Arial" w:hAnsi="Arial" w:cs="Arial"/>
          <w:szCs w:val="22"/>
        </w:rPr>
        <w:t>hire</w:t>
      </w:r>
      <w:r w:rsidR="00B01099">
        <w:rPr>
          <w:rFonts w:ascii="Arial" w:hAnsi="Arial" w:cs="Arial"/>
          <w:szCs w:val="22"/>
        </w:rPr>
        <w:t xml:space="preserve"> (</w:t>
      </w:r>
      <w:r w:rsidR="004931D3" w:rsidRPr="004931D3">
        <w:rPr>
          <w:rFonts w:ascii="Arial" w:hAnsi="Arial" w:cs="Arial"/>
          <w:szCs w:val="22"/>
        </w:rPr>
        <w:t>i.e. chairs, marquee, PA system</w:t>
      </w:r>
      <w:r w:rsidR="00B01099">
        <w:rPr>
          <w:rFonts w:ascii="Arial" w:hAnsi="Arial" w:cs="Arial"/>
          <w:szCs w:val="22"/>
        </w:rPr>
        <w:t>)</w:t>
      </w:r>
      <w:r w:rsidR="0080135A">
        <w:rPr>
          <w:rFonts w:ascii="Arial" w:hAnsi="Arial" w:cs="Arial"/>
          <w:szCs w:val="22"/>
        </w:rPr>
        <w:t>.</w:t>
      </w:r>
      <w:r w:rsidR="004931D3" w:rsidRPr="004931D3">
        <w:rPr>
          <w:rFonts w:ascii="Arial" w:hAnsi="Arial" w:cs="Arial"/>
          <w:szCs w:val="22"/>
        </w:rPr>
        <w:t xml:space="preserve"> Note</w:t>
      </w:r>
      <w:r w:rsidR="004931D3" w:rsidRPr="004931D3">
        <w:rPr>
          <w:rFonts w:ascii="Arial" w:hAnsi="Arial" w:cs="Arial"/>
          <w:b/>
          <w:bCs/>
          <w:szCs w:val="22"/>
        </w:rPr>
        <w:t xml:space="preserve">: </w:t>
      </w:r>
      <w:r w:rsidR="00016662">
        <w:rPr>
          <w:rFonts w:ascii="Arial" w:hAnsi="Arial" w:cs="Arial"/>
          <w:szCs w:val="22"/>
        </w:rPr>
        <w:t>For commemorative events only</w:t>
      </w:r>
    </w:p>
    <w:p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proofErr w:type="gramStart"/>
      <w:r>
        <w:rPr>
          <w:rFonts w:ascii="Arial" w:hAnsi="Arial" w:cs="Arial"/>
          <w:szCs w:val="22"/>
        </w:rPr>
        <w:t>f</w:t>
      </w:r>
      <w:r w:rsidRPr="004931D3">
        <w:rPr>
          <w:rFonts w:ascii="Arial" w:hAnsi="Arial" w:cs="Arial"/>
          <w:szCs w:val="22"/>
        </w:rPr>
        <w:t>lagpole</w:t>
      </w:r>
      <w:proofErr w:type="gramEnd"/>
      <w:r w:rsidRPr="004931D3">
        <w:rPr>
          <w:rFonts w:ascii="Arial" w:hAnsi="Arial" w:cs="Arial"/>
          <w:szCs w:val="22"/>
        </w:rPr>
        <w:t xml:space="preserve"> </w:t>
      </w:r>
      <w:r w:rsidR="004931D3" w:rsidRPr="004931D3">
        <w:rPr>
          <w:rFonts w:ascii="Arial" w:hAnsi="Arial" w:cs="Arial"/>
          <w:szCs w:val="22"/>
        </w:rPr>
        <w:t>(one only) where none already exists – Supply and Installation, to fly the Australian National Flag on days of commemoration. Note: Maximum available</w:t>
      </w:r>
      <w:r w:rsidR="00016662">
        <w:rPr>
          <w:rFonts w:ascii="Arial" w:hAnsi="Arial" w:cs="Arial"/>
          <w:szCs w:val="22"/>
        </w:rPr>
        <w:t xml:space="preserve"> amount for this item is $1,500</w:t>
      </w:r>
    </w:p>
    <w:p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proofErr w:type="gramStart"/>
      <w:r>
        <w:rPr>
          <w:rFonts w:ascii="Arial" w:hAnsi="Arial" w:cs="Arial"/>
          <w:szCs w:val="22"/>
        </w:rPr>
        <w:t>f</w:t>
      </w:r>
      <w:r w:rsidRPr="004931D3">
        <w:rPr>
          <w:rFonts w:ascii="Arial" w:hAnsi="Arial" w:cs="Arial"/>
          <w:szCs w:val="22"/>
        </w:rPr>
        <w:t>lagpole</w:t>
      </w:r>
      <w:proofErr w:type="gramEnd"/>
      <w:r w:rsidRPr="004931D3">
        <w:rPr>
          <w:rFonts w:ascii="Arial" w:hAnsi="Arial" w:cs="Arial"/>
          <w:szCs w:val="22"/>
        </w:rPr>
        <w:t xml:space="preserve"> </w:t>
      </w:r>
      <w:r w:rsidR="004931D3" w:rsidRPr="004931D3">
        <w:rPr>
          <w:rFonts w:ascii="Arial" w:hAnsi="Arial" w:cs="Arial"/>
          <w:szCs w:val="22"/>
        </w:rPr>
        <w:t>(one only) where none already exists – Supply only, to fly the Australian National Flag on days of commemoration. Note: Maximum available</w:t>
      </w:r>
      <w:r w:rsidR="00016662">
        <w:rPr>
          <w:rFonts w:ascii="Arial" w:hAnsi="Arial" w:cs="Arial"/>
          <w:szCs w:val="22"/>
        </w:rPr>
        <w:t xml:space="preserve"> amount for this item is $1,000</w:t>
      </w:r>
    </w:p>
    <w:p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h</w:t>
      </w:r>
      <w:r w:rsidRPr="004931D3">
        <w:rPr>
          <w:rFonts w:ascii="Arial" w:hAnsi="Arial" w:cs="Arial"/>
          <w:szCs w:val="22"/>
        </w:rPr>
        <w:t xml:space="preserve">onour </w:t>
      </w:r>
      <w:r w:rsidR="004931D3" w:rsidRPr="004931D3">
        <w:rPr>
          <w:rFonts w:ascii="Arial" w:hAnsi="Arial" w:cs="Arial"/>
          <w:szCs w:val="22"/>
        </w:rPr>
        <w:t>boards/rolls new or restoration of (including</w:t>
      </w:r>
      <w:r w:rsidR="004931D3">
        <w:rPr>
          <w:rFonts w:ascii="Arial" w:hAnsi="Arial" w:cs="Arial"/>
          <w:szCs w:val="22"/>
        </w:rPr>
        <w:t xml:space="preserve"> digital honour boards/rolls)</w:t>
      </w:r>
    </w:p>
    <w:p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i</w:t>
      </w:r>
      <w:r w:rsidRPr="004931D3">
        <w:rPr>
          <w:rFonts w:ascii="Arial" w:hAnsi="Arial" w:cs="Arial"/>
          <w:szCs w:val="22"/>
        </w:rPr>
        <w:t xml:space="preserve">nterpretive </w:t>
      </w:r>
      <w:r w:rsidR="004931D3" w:rsidRPr="004931D3">
        <w:rPr>
          <w:rFonts w:ascii="Arial" w:hAnsi="Arial" w:cs="Arial"/>
          <w:szCs w:val="22"/>
        </w:rPr>
        <w:t>signage</w:t>
      </w:r>
      <w:r w:rsidR="00B01099">
        <w:rPr>
          <w:rFonts w:ascii="Arial" w:hAnsi="Arial" w:cs="Arial"/>
          <w:szCs w:val="22"/>
        </w:rPr>
        <w:t xml:space="preserve"> (</w:t>
      </w:r>
      <w:r w:rsidR="004931D3" w:rsidRPr="004931D3">
        <w:rPr>
          <w:rFonts w:ascii="Arial" w:hAnsi="Arial" w:cs="Arial"/>
          <w:szCs w:val="22"/>
        </w:rPr>
        <w:t>i.e. description of memorabilia on display</w:t>
      </w:r>
      <w:r w:rsidR="00B01099">
        <w:rPr>
          <w:rFonts w:ascii="Arial" w:hAnsi="Arial" w:cs="Arial"/>
          <w:szCs w:val="22"/>
        </w:rPr>
        <w:t>)</w:t>
      </w:r>
    </w:p>
    <w:p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proofErr w:type="gramStart"/>
      <w:r>
        <w:rPr>
          <w:rFonts w:ascii="Arial" w:hAnsi="Arial" w:cs="Arial"/>
          <w:szCs w:val="22"/>
        </w:rPr>
        <w:t>l</w:t>
      </w:r>
      <w:r w:rsidRPr="004931D3">
        <w:rPr>
          <w:rFonts w:ascii="Arial" w:hAnsi="Arial" w:cs="Arial"/>
          <w:szCs w:val="22"/>
        </w:rPr>
        <w:t>andscaping</w:t>
      </w:r>
      <w:r w:rsidR="00B01099">
        <w:rPr>
          <w:rFonts w:ascii="Arial" w:hAnsi="Arial" w:cs="Arial"/>
          <w:szCs w:val="22"/>
        </w:rPr>
        <w:t>/g</w:t>
      </w:r>
      <w:r w:rsidR="004931D3" w:rsidRPr="004931D3">
        <w:rPr>
          <w:rFonts w:ascii="Arial" w:hAnsi="Arial" w:cs="Arial"/>
          <w:szCs w:val="22"/>
        </w:rPr>
        <w:t>ardening</w:t>
      </w:r>
      <w:proofErr w:type="gramEnd"/>
      <w:r w:rsidR="00B01099">
        <w:rPr>
          <w:rFonts w:ascii="Arial" w:hAnsi="Arial" w:cs="Arial"/>
          <w:szCs w:val="22"/>
        </w:rPr>
        <w:t xml:space="preserve"> (</w:t>
      </w:r>
      <w:r w:rsidR="004931D3" w:rsidRPr="004931D3">
        <w:rPr>
          <w:rFonts w:ascii="Arial" w:hAnsi="Arial" w:cs="Arial"/>
          <w:szCs w:val="22"/>
        </w:rPr>
        <w:t>i.e. trees, shrubs, paving</w:t>
      </w:r>
      <w:r w:rsidR="00B01099">
        <w:rPr>
          <w:rFonts w:ascii="Arial" w:hAnsi="Arial" w:cs="Arial"/>
          <w:szCs w:val="22"/>
        </w:rPr>
        <w:t>)</w:t>
      </w:r>
      <w:r w:rsidR="004931D3" w:rsidRPr="004931D3">
        <w:rPr>
          <w:rFonts w:ascii="Arial" w:hAnsi="Arial" w:cs="Arial"/>
          <w:szCs w:val="22"/>
        </w:rPr>
        <w:t>. Note: Must be within the immedi</w:t>
      </w:r>
      <w:r w:rsidR="00016662">
        <w:rPr>
          <w:rFonts w:ascii="Arial" w:hAnsi="Arial" w:cs="Arial"/>
          <w:szCs w:val="22"/>
        </w:rPr>
        <w:t>ate surrounds of memorials only</w:t>
      </w:r>
    </w:p>
    <w:p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l</w:t>
      </w:r>
      <w:r w:rsidRPr="004931D3">
        <w:rPr>
          <w:rFonts w:ascii="Arial" w:hAnsi="Arial" w:cs="Arial"/>
          <w:szCs w:val="22"/>
        </w:rPr>
        <w:t>ighting</w:t>
      </w:r>
      <w:r w:rsidR="00B01099">
        <w:rPr>
          <w:rFonts w:ascii="Arial" w:hAnsi="Arial" w:cs="Arial"/>
          <w:szCs w:val="22"/>
        </w:rPr>
        <w:t xml:space="preserve"> (</w:t>
      </w:r>
      <w:r w:rsidR="004931D3" w:rsidRPr="004931D3">
        <w:rPr>
          <w:rFonts w:ascii="Arial" w:hAnsi="Arial" w:cs="Arial"/>
          <w:szCs w:val="22"/>
        </w:rPr>
        <w:t>i.e. for display cabinets, cenotaphs, memorial security lighting</w:t>
      </w:r>
      <w:r w:rsidR="00B01099">
        <w:rPr>
          <w:rFonts w:ascii="Arial" w:hAnsi="Arial" w:cs="Arial"/>
          <w:szCs w:val="22"/>
        </w:rPr>
        <w:t>)</w:t>
      </w:r>
    </w:p>
    <w:p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m</w:t>
      </w:r>
      <w:r w:rsidRPr="004931D3">
        <w:rPr>
          <w:rFonts w:ascii="Arial" w:hAnsi="Arial" w:cs="Arial"/>
          <w:szCs w:val="22"/>
        </w:rPr>
        <w:t>emorials</w:t>
      </w:r>
      <w:r w:rsidR="004931D3" w:rsidRPr="004931D3">
        <w:rPr>
          <w:rFonts w:ascii="Arial" w:hAnsi="Arial" w:cs="Arial"/>
          <w:szCs w:val="22"/>
        </w:rPr>
        <w:t xml:space="preserve">, cenotaphs </w:t>
      </w:r>
      <w:r w:rsidR="00506A90">
        <w:rPr>
          <w:rFonts w:ascii="Arial" w:hAnsi="Arial" w:cs="Arial"/>
          <w:szCs w:val="22"/>
        </w:rPr>
        <w:t>and</w:t>
      </w:r>
      <w:r w:rsidR="004931D3" w:rsidRPr="004931D3">
        <w:rPr>
          <w:rFonts w:ascii="Arial" w:hAnsi="Arial" w:cs="Arial"/>
          <w:szCs w:val="22"/>
        </w:rPr>
        <w:t xml:space="preserve"> p</w:t>
      </w:r>
      <w:r w:rsidR="00016662">
        <w:rPr>
          <w:rFonts w:ascii="Arial" w:hAnsi="Arial" w:cs="Arial"/>
          <w:szCs w:val="22"/>
        </w:rPr>
        <w:t>linths (new and restoration of)</w:t>
      </w:r>
    </w:p>
    <w:p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m</w:t>
      </w:r>
      <w:r w:rsidRPr="004931D3">
        <w:rPr>
          <w:rFonts w:ascii="Arial" w:hAnsi="Arial" w:cs="Arial"/>
          <w:szCs w:val="22"/>
        </w:rPr>
        <w:t xml:space="preserve">onuments </w:t>
      </w:r>
      <w:r w:rsidR="00B01099">
        <w:rPr>
          <w:rFonts w:ascii="Arial" w:hAnsi="Arial" w:cs="Arial"/>
          <w:szCs w:val="22"/>
        </w:rPr>
        <w:t>and s</w:t>
      </w:r>
      <w:r w:rsidR="00016662">
        <w:rPr>
          <w:rFonts w:ascii="Arial" w:hAnsi="Arial" w:cs="Arial"/>
          <w:szCs w:val="22"/>
        </w:rPr>
        <w:t>tatues</w:t>
      </w:r>
    </w:p>
    <w:p w:rsidR="007F3FFB" w:rsidRPr="007F3FFB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p</w:t>
      </w:r>
      <w:r w:rsidRPr="004931D3">
        <w:rPr>
          <w:rFonts w:ascii="Arial" w:hAnsi="Arial" w:cs="Arial"/>
          <w:szCs w:val="22"/>
        </w:rPr>
        <w:t xml:space="preserve">laques </w:t>
      </w:r>
      <w:r w:rsidR="00016662">
        <w:rPr>
          <w:rFonts w:ascii="Arial" w:hAnsi="Arial" w:cs="Arial"/>
          <w:szCs w:val="22"/>
        </w:rPr>
        <w:t>(new and restoration of)</w:t>
      </w:r>
    </w:p>
    <w:p w:rsidR="007F3FFB" w:rsidRPr="007F3FFB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p</w:t>
      </w:r>
      <w:r w:rsidRPr="007F3FFB">
        <w:rPr>
          <w:rFonts w:ascii="Arial" w:hAnsi="Arial" w:cs="Arial"/>
          <w:szCs w:val="22"/>
        </w:rPr>
        <w:t>rint</w:t>
      </w:r>
      <w:r>
        <w:rPr>
          <w:rFonts w:ascii="Arial" w:hAnsi="Arial" w:cs="Arial"/>
          <w:szCs w:val="22"/>
        </w:rPr>
        <w:t xml:space="preserve">ing </w:t>
      </w:r>
      <w:r w:rsidR="0071214D">
        <w:rPr>
          <w:rFonts w:ascii="Arial" w:hAnsi="Arial" w:cs="Arial"/>
          <w:szCs w:val="22"/>
        </w:rPr>
        <w:t>of commemorative booklets/</w:t>
      </w:r>
      <w:r w:rsidR="00016662">
        <w:rPr>
          <w:rFonts w:ascii="Arial" w:hAnsi="Arial" w:cs="Arial"/>
          <w:szCs w:val="22"/>
        </w:rPr>
        <w:t>orders of service</w:t>
      </w:r>
    </w:p>
    <w:p w:rsidR="007F3FFB" w:rsidRPr="007F3FFB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p</w:t>
      </w:r>
      <w:r w:rsidRPr="007F3FFB">
        <w:rPr>
          <w:rFonts w:ascii="Arial" w:hAnsi="Arial" w:cs="Arial"/>
          <w:szCs w:val="22"/>
        </w:rPr>
        <w:t xml:space="preserve">ublishing </w:t>
      </w:r>
      <w:r w:rsidR="00016662">
        <w:rPr>
          <w:rFonts w:ascii="Arial" w:hAnsi="Arial" w:cs="Arial"/>
          <w:szCs w:val="22"/>
        </w:rPr>
        <w:t>and editing costs</w:t>
      </w:r>
    </w:p>
    <w:p w:rsidR="007F3FFB" w:rsidRPr="007F3FFB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r</w:t>
      </w:r>
      <w:r w:rsidRPr="007F3FFB">
        <w:rPr>
          <w:rFonts w:ascii="Arial" w:hAnsi="Arial" w:cs="Arial"/>
          <w:szCs w:val="22"/>
        </w:rPr>
        <w:t xml:space="preserve">esearch </w:t>
      </w:r>
      <w:r w:rsidR="004931D3" w:rsidRPr="007F3FFB">
        <w:rPr>
          <w:rFonts w:ascii="Arial" w:hAnsi="Arial" w:cs="Arial"/>
          <w:szCs w:val="22"/>
        </w:rPr>
        <w:t>expenses</w:t>
      </w:r>
      <w:r w:rsidR="00B01099">
        <w:rPr>
          <w:rFonts w:ascii="Arial" w:hAnsi="Arial" w:cs="Arial"/>
          <w:szCs w:val="22"/>
        </w:rPr>
        <w:t xml:space="preserve"> (</w:t>
      </w:r>
      <w:r w:rsidR="004931D3" w:rsidRPr="001F689D">
        <w:rPr>
          <w:rFonts w:ascii="Arial" w:hAnsi="Arial" w:cs="Arial"/>
          <w:iCs/>
          <w:szCs w:val="22"/>
        </w:rPr>
        <w:t>i.e. photocopying, postage, the purchase of photographs from Australian War Memorial etc</w:t>
      </w:r>
      <w:r w:rsidR="0080135A">
        <w:rPr>
          <w:rFonts w:ascii="Arial" w:hAnsi="Arial" w:cs="Arial"/>
          <w:iCs/>
          <w:szCs w:val="22"/>
        </w:rPr>
        <w:t>.,</w:t>
      </w:r>
      <w:r w:rsidR="004931D3" w:rsidRPr="001F689D">
        <w:rPr>
          <w:rFonts w:ascii="Arial" w:hAnsi="Arial" w:cs="Arial"/>
          <w:iCs/>
          <w:szCs w:val="22"/>
        </w:rPr>
        <w:t xml:space="preserve"> providing that the research expenses are not the majority of the costs of the project</w:t>
      </w:r>
      <w:r w:rsidR="00B01099">
        <w:rPr>
          <w:rFonts w:ascii="Arial" w:hAnsi="Arial" w:cs="Arial"/>
          <w:iCs/>
          <w:szCs w:val="22"/>
        </w:rPr>
        <w:t>)</w:t>
      </w:r>
    </w:p>
    <w:p w:rsidR="007F3FFB" w:rsidRPr="007F3FFB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v</w:t>
      </w:r>
      <w:r w:rsidRPr="007F3FFB">
        <w:rPr>
          <w:rFonts w:ascii="Arial" w:hAnsi="Arial" w:cs="Arial"/>
          <w:szCs w:val="22"/>
        </w:rPr>
        <w:t xml:space="preserve">enue </w:t>
      </w:r>
      <w:r w:rsidR="00016662">
        <w:rPr>
          <w:rFonts w:ascii="Arial" w:hAnsi="Arial" w:cs="Arial"/>
          <w:szCs w:val="22"/>
        </w:rPr>
        <w:t>hire</w:t>
      </w:r>
    </w:p>
    <w:p w:rsidR="0082439D" w:rsidRDefault="00152EE6" w:rsidP="008F6FA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proofErr w:type="gramStart"/>
      <w:r>
        <w:rPr>
          <w:rFonts w:ascii="Arial" w:hAnsi="Arial" w:cs="Arial"/>
          <w:szCs w:val="22"/>
        </w:rPr>
        <w:t>w</w:t>
      </w:r>
      <w:r w:rsidRPr="007F3FFB">
        <w:rPr>
          <w:rFonts w:ascii="Arial" w:hAnsi="Arial" w:cs="Arial"/>
          <w:szCs w:val="22"/>
        </w:rPr>
        <w:t>reaths</w:t>
      </w:r>
      <w:proofErr w:type="gramEnd"/>
      <w:r w:rsidRPr="007F3FFB">
        <w:rPr>
          <w:rFonts w:ascii="Arial" w:hAnsi="Arial" w:cs="Arial"/>
          <w:szCs w:val="22"/>
        </w:rPr>
        <w:t xml:space="preserve"> </w:t>
      </w:r>
      <w:r w:rsidR="004931D3" w:rsidRPr="007F3FFB">
        <w:rPr>
          <w:rFonts w:ascii="Arial" w:hAnsi="Arial" w:cs="Arial"/>
          <w:szCs w:val="22"/>
        </w:rPr>
        <w:t>(maximum of two). Note: limit of $100 per wreath</w:t>
      </w:r>
      <w:r>
        <w:rPr>
          <w:rFonts w:ascii="Arial" w:hAnsi="Arial" w:cs="Arial"/>
          <w:szCs w:val="22"/>
        </w:rPr>
        <w:t>.</w:t>
      </w:r>
    </w:p>
    <w:p w:rsidR="0082439D" w:rsidRDefault="00B01099" w:rsidP="0082439D">
      <w:pPr>
        <w:pStyle w:val="Bullets2"/>
        <w:numPr>
          <w:ilvl w:val="0"/>
          <w:numId w:val="17"/>
        </w:numPr>
        <w:rPr>
          <w:lang w:eastAsia="en-AU"/>
        </w:rPr>
      </w:pPr>
      <w:r>
        <w:rPr>
          <w:lang w:eastAsia="en-AU"/>
        </w:rPr>
        <w:t xml:space="preserve">The </w:t>
      </w:r>
      <w:r>
        <w:t>grant cannot be used to pay for the following</w:t>
      </w:r>
      <w:r w:rsidR="0082439D">
        <w:rPr>
          <w:lang w:eastAsia="en-AU"/>
        </w:rPr>
        <w:t>:</w:t>
      </w:r>
    </w:p>
    <w:p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p</w:t>
      </w:r>
      <w:r w:rsidRPr="00530B38">
        <w:rPr>
          <w:lang w:eastAsia="en-AU"/>
        </w:rPr>
        <w:t xml:space="preserve">rojects </w:t>
      </w:r>
      <w:r w:rsidR="00530B38" w:rsidRPr="00530B38">
        <w:rPr>
          <w:lang w:eastAsia="en-AU"/>
        </w:rPr>
        <w:t>of a commercial nature/projects for profit</w:t>
      </w:r>
    </w:p>
    <w:p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p</w:t>
      </w:r>
      <w:r w:rsidRPr="00530B38">
        <w:rPr>
          <w:lang w:eastAsia="en-AU"/>
        </w:rPr>
        <w:t xml:space="preserve">rojects </w:t>
      </w:r>
      <w:r w:rsidR="00016662">
        <w:rPr>
          <w:lang w:eastAsia="en-AU"/>
        </w:rPr>
        <w:t>undertaken outside of Australia</w:t>
      </w:r>
    </w:p>
    <w:p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p</w:t>
      </w:r>
      <w:r w:rsidRPr="00530B38">
        <w:rPr>
          <w:lang w:eastAsia="en-AU"/>
        </w:rPr>
        <w:t xml:space="preserve">rojects </w:t>
      </w:r>
      <w:r w:rsidR="00530B38" w:rsidRPr="00530B38">
        <w:rPr>
          <w:lang w:eastAsia="en-AU"/>
        </w:rPr>
        <w:t>ex</w:t>
      </w:r>
      <w:r w:rsidR="00016662">
        <w:rPr>
          <w:lang w:eastAsia="en-AU"/>
        </w:rPr>
        <w:t>clusively commemorating animals</w:t>
      </w:r>
    </w:p>
    <w:p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lastRenderedPageBreak/>
        <w:t>p</w:t>
      </w:r>
      <w:r w:rsidRPr="00530B38">
        <w:rPr>
          <w:lang w:eastAsia="en-AU"/>
        </w:rPr>
        <w:t xml:space="preserve">rojects </w:t>
      </w:r>
      <w:r w:rsidR="00016662">
        <w:rPr>
          <w:lang w:eastAsia="en-AU"/>
        </w:rPr>
        <w:t>commemorating individuals</w:t>
      </w:r>
    </w:p>
    <w:p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p</w:t>
      </w:r>
      <w:r w:rsidRPr="00530B38">
        <w:rPr>
          <w:lang w:eastAsia="en-AU"/>
        </w:rPr>
        <w:t xml:space="preserve">rojects </w:t>
      </w:r>
      <w:r w:rsidR="00530B38" w:rsidRPr="00530B38">
        <w:rPr>
          <w:lang w:eastAsia="en-AU"/>
        </w:rPr>
        <w:t xml:space="preserve">commemorating the post </w:t>
      </w:r>
      <w:r w:rsidR="00016662">
        <w:rPr>
          <w:lang w:eastAsia="en-AU"/>
        </w:rPr>
        <w:t>war deaths of service personnel</w:t>
      </w:r>
    </w:p>
    <w:p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s</w:t>
      </w:r>
      <w:r w:rsidRPr="00530B38">
        <w:rPr>
          <w:lang w:eastAsia="en-AU"/>
        </w:rPr>
        <w:t xml:space="preserve">porting </w:t>
      </w:r>
      <w:r w:rsidR="00016662">
        <w:rPr>
          <w:lang w:eastAsia="en-AU"/>
        </w:rPr>
        <w:t>events</w:t>
      </w:r>
    </w:p>
    <w:p w:rsidR="001E5E9F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proofErr w:type="gramStart"/>
      <w:r>
        <w:rPr>
          <w:lang w:eastAsia="en-AU"/>
        </w:rPr>
        <w:t>recurring</w:t>
      </w:r>
      <w:proofErr w:type="gramEnd"/>
      <w:r>
        <w:rPr>
          <w:lang w:eastAsia="en-AU"/>
        </w:rPr>
        <w:t xml:space="preserve"> </w:t>
      </w:r>
      <w:r w:rsidR="0071214D">
        <w:rPr>
          <w:lang w:eastAsia="en-AU"/>
        </w:rPr>
        <w:t>events/</w:t>
      </w:r>
      <w:r w:rsidR="00530B38" w:rsidRPr="00530B38">
        <w:rPr>
          <w:lang w:eastAsia="en-AU"/>
        </w:rPr>
        <w:t>activities</w:t>
      </w:r>
      <w:r w:rsidR="0080135A">
        <w:rPr>
          <w:lang w:eastAsia="en-AU"/>
        </w:rPr>
        <w:t>,</w:t>
      </w:r>
      <w:r w:rsidR="00530B38" w:rsidRPr="00530B38">
        <w:rPr>
          <w:lang w:eastAsia="en-AU"/>
        </w:rPr>
        <w:t xml:space="preserve"> e.g. Anzac Day, Remembrance Day, Vietnam Veterans’ Day, National Service Day except where the event relates to a significant anniversary</w:t>
      </w:r>
      <w:r>
        <w:rPr>
          <w:lang w:eastAsia="en-AU"/>
        </w:rPr>
        <w:t>.</w:t>
      </w:r>
    </w:p>
    <w:p w:rsidR="00530B38" w:rsidRPr="00530B38" w:rsidRDefault="00530B38" w:rsidP="001F689D">
      <w:pPr>
        <w:pStyle w:val="Bullets2"/>
        <w:numPr>
          <w:ilvl w:val="0"/>
          <w:numId w:val="28"/>
        </w:numPr>
        <w:spacing w:before="0" w:after="0" w:line="240" w:lineRule="auto"/>
        <w:rPr>
          <w:lang w:eastAsia="en-AU"/>
        </w:rPr>
      </w:pPr>
      <w:r w:rsidRPr="00530B38">
        <w:rPr>
          <w:lang w:eastAsia="en-AU"/>
        </w:rPr>
        <w:t>Expenditure items</w:t>
      </w:r>
      <w:r w:rsidR="00016662">
        <w:rPr>
          <w:lang w:eastAsia="en-AU"/>
        </w:rPr>
        <w:t xml:space="preserve"> that are not eligible include:</w:t>
      </w:r>
    </w:p>
    <w:p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c</w:t>
      </w:r>
      <w:r w:rsidRPr="00530B38">
        <w:rPr>
          <w:lang w:eastAsia="en-AU"/>
        </w:rPr>
        <w:t xml:space="preserve">apital </w:t>
      </w:r>
      <w:r w:rsidR="00530B38" w:rsidRPr="00530B38">
        <w:rPr>
          <w:lang w:eastAsia="en-AU"/>
        </w:rPr>
        <w:t>expenditure for the purchase of assets such as office furniture and equipment, motor vehicles, comp</w:t>
      </w:r>
      <w:r w:rsidR="00016662">
        <w:rPr>
          <w:lang w:eastAsia="en-AU"/>
        </w:rPr>
        <w:t>uters, printers or photocopiers</w:t>
      </w:r>
    </w:p>
    <w:p w:rsidR="00B01099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c</w:t>
      </w:r>
      <w:r w:rsidRPr="00530B38">
        <w:rPr>
          <w:lang w:eastAsia="en-AU"/>
        </w:rPr>
        <w:t xml:space="preserve">onstruction </w:t>
      </w:r>
      <w:r w:rsidR="00530B38" w:rsidRPr="00530B38">
        <w:rPr>
          <w:lang w:eastAsia="en-AU"/>
        </w:rPr>
        <w:t>of or fit out, alterations and/or extensions to premises including museums, memoria</w:t>
      </w:r>
      <w:r w:rsidR="00016662">
        <w:rPr>
          <w:lang w:eastAsia="en-AU"/>
        </w:rPr>
        <w:t>l halls and sporting facilities</w:t>
      </w:r>
    </w:p>
    <w:p w:rsidR="00B01099" w:rsidRDefault="00B01099" w:rsidP="00B01099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salaries/wages</w:t>
      </w:r>
    </w:p>
    <w:p w:rsidR="00530B38" w:rsidRDefault="00B01099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c</w:t>
      </w:r>
      <w:r w:rsidR="00530B38" w:rsidRPr="00530B38">
        <w:rPr>
          <w:lang w:eastAsia="en-AU"/>
        </w:rPr>
        <w:t>osts incurred in the preparation of a grant appli</w:t>
      </w:r>
      <w:r w:rsidR="00016662">
        <w:rPr>
          <w:lang w:eastAsia="en-AU"/>
        </w:rPr>
        <w:t>cation or related documentation</w:t>
      </w:r>
    </w:p>
    <w:p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c</w:t>
      </w:r>
      <w:r w:rsidRPr="00530B38">
        <w:rPr>
          <w:lang w:eastAsia="en-AU"/>
        </w:rPr>
        <w:t xml:space="preserve">ouncil </w:t>
      </w:r>
      <w:r w:rsidR="00016662">
        <w:rPr>
          <w:lang w:eastAsia="en-AU"/>
        </w:rPr>
        <w:t>approval costs</w:t>
      </w:r>
    </w:p>
    <w:p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e</w:t>
      </w:r>
      <w:r w:rsidRPr="00530B38">
        <w:rPr>
          <w:lang w:eastAsia="en-AU"/>
        </w:rPr>
        <w:t xml:space="preserve">ducational </w:t>
      </w:r>
      <w:r w:rsidR="00530B38" w:rsidRPr="00530B38">
        <w:rPr>
          <w:lang w:eastAsia="en-AU"/>
        </w:rPr>
        <w:t>materials where DVA already provide</w:t>
      </w:r>
      <w:r w:rsidR="00016662">
        <w:rPr>
          <w:lang w:eastAsia="en-AU"/>
        </w:rPr>
        <w:t>s similar resources for schools</w:t>
      </w:r>
    </w:p>
    <w:p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e</w:t>
      </w:r>
      <w:r w:rsidRPr="00530B38">
        <w:rPr>
          <w:lang w:eastAsia="en-AU"/>
        </w:rPr>
        <w:t xml:space="preserve">ntertainment </w:t>
      </w:r>
      <w:r w:rsidR="00016662">
        <w:rPr>
          <w:lang w:eastAsia="en-AU"/>
        </w:rPr>
        <w:t>not of a commemorative nature</w:t>
      </w:r>
    </w:p>
    <w:p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f</w:t>
      </w:r>
      <w:r w:rsidR="00016662">
        <w:rPr>
          <w:lang w:eastAsia="en-AU"/>
        </w:rPr>
        <w:t>ireworks</w:t>
      </w:r>
    </w:p>
    <w:p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g</w:t>
      </w:r>
      <w:r w:rsidRPr="00530B38">
        <w:rPr>
          <w:lang w:eastAsia="en-AU"/>
        </w:rPr>
        <w:t xml:space="preserve">eneral </w:t>
      </w:r>
      <w:r w:rsidR="00530B38" w:rsidRPr="00530B38">
        <w:rPr>
          <w:lang w:eastAsia="en-AU"/>
        </w:rPr>
        <w:t>ongoing administration costs of an organisation such</w:t>
      </w:r>
      <w:r w:rsidR="00016662">
        <w:rPr>
          <w:lang w:eastAsia="en-AU"/>
        </w:rPr>
        <w:t xml:space="preserve"> as electricity, phone and rent</w:t>
      </w:r>
    </w:p>
    <w:p w:rsidR="00D51C33" w:rsidRDefault="00152EE6" w:rsidP="00D51C33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o</w:t>
      </w:r>
      <w:r w:rsidRPr="00530B38">
        <w:rPr>
          <w:lang w:eastAsia="en-AU"/>
        </w:rPr>
        <w:t xml:space="preserve">ngoing </w:t>
      </w:r>
      <w:r w:rsidR="00D51C33" w:rsidRPr="00530B38">
        <w:rPr>
          <w:lang w:eastAsia="en-AU"/>
        </w:rPr>
        <w:t>expenditure</w:t>
      </w:r>
      <w:r w:rsidR="006B63F3">
        <w:rPr>
          <w:lang w:eastAsia="en-AU"/>
        </w:rPr>
        <w:t xml:space="preserve"> (</w:t>
      </w:r>
      <w:r w:rsidR="00D51C33" w:rsidRPr="000E45FA">
        <w:rPr>
          <w:lang w:eastAsia="en-AU"/>
        </w:rPr>
        <w:t>e.g. website hosting, memorial maintenance</w:t>
      </w:r>
      <w:r w:rsidR="006B63F3">
        <w:rPr>
          <w:lang w:eastAsia="en-AU"/>
        </w:rPr>
        <w:t>)</w:t>
      </w:r>
    </w:p>
    <w:p w:rsidR="00B01099" w:rsidRDefault="00B01099" w:rsidP="00B01099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c</w:t>
      </w:r>
      <w:r w:rsidR="00016662">
        <w:rPr>
          <w:lang w:eastAsia="en-AU"/>
        </w:rPr>
        <w:t>atering and refreshments</w:t>
      </w:r>
    </w:p>
    <w:p w:rsidR="00B01099" w:rsidRDefault="00B01099" w:rsidP="00B01099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e</w:t>
      </w:r>
      <w:r w:rsidRPr="00530B38">
        <w:rPr>
          <w:lang w:eastAsia="en-AU"/>
        </w:rPr>
        <w:t>ligible ite</w:t>
      </w:r>
      <w:r w:rsidR="00016662">
        <w:rPr>
          <w:lang w:eastAsia="en-AU"/>
        </w:rPr>
        <w:t>ms already purchased or ordered</w:t>
      </w:r>
    </w:p>
    <w:p w:rsidR="00B01099" w:rsidRPr="00530B38" w:rsidRDefault="00B01099" w:rsidP="00B01099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e</w:t>
      </w:r>
      <w:r w:rsidRPr="00530B38">
        <w:rPr>
          <w:lang w:eastAsia="en-AU"/>
        </w:rPr>
        <w:t>vents to mark the formation or anniversaries of associati</w:t>
      </w:r>
      <w:r w:rsidR="00016662">
        <w:rPr>
          <w:lang w:eastAsia="en-AU"/>
        </w:rPr>
        <w:t>ons or ex-service organisations</w:t>
      </w:r>
    </w:p>
    <w:p w:rsidR="00B01099" w:rsidRPr="00530B38" w:rsidRDefault="00B01099" w:rsidP="00B01099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e</w:t>
      </w:r>
      <w:r w:rsidRPr="00530B38">
        <w:rPr>
          <w:lang w:eastAsia="en-AU"/>
        </w:rPr>
        <w:t>vents to mark tra</w:t>
      </w:r>
      <w:r w:rsidR="00016662">
        <w:rPr>
          <w:lang w:eastAsia="en-AU"/>
        </w:rPr>
        <w:t>ining, enlistment or graduation</w:t>
      </w:r>
    </w:p>
    <w:p w:rsidR="00B01099" w:rsidRPr="00530B38" w:rsidRDefault="00B01099" w:rsidP="00B01099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h</w:t>
      </w:r>
      <w:r w:rsidRPr="00530B38">
        <w:rPr>
          <w:lang w:eastAsia="en-AU"/>
        </w:rPr>
        <w:t>onour boards or plaques acknowledging membership or servic</w:t>
      </w:r>
      <w:r w:rsidR="00016662">
        <w:rPr>
          <w:lang w:eastAsia="en-AU"/>
        </w:rPr>
        <w:t>e of an ex-service organisation</w:t>
      </w:r>
    </w:p>
    <w:p w:rsidR="00B01099" w:rsidRPr="00530B38" w:rsidRDefault="00B01099" w:rsidP="00B01099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m</w:t>
      </w:r>
      <w:r w:rsidRPr="00530B38">
        <w:rPr>
          <w:lang w:eastAsia="en-AU"/>
        </w:rPr>
        <w:t>emorabilia (purchase o</w:t>
      </w:r>
      <w:r w:rsidR="00016662">
        <w:rPr>
          <w:lang w:eastAsia="en-AU"/>
        </w:rPr>
        <w:t>f)</w:t>
      </w:r>
    </w:p>
    <w:p w:rsidR="00B01099" w:rsidRPr="00530B38" w:rsidRDefault="00B01099" w:rsidP="00B01099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m</w:t>
      </w:r>
      <w:r w:rsidR="00016662">
        <w:rPr>
          <w:lang w:eastAsia="en-AU"/>
        </w:rPr>
        <w:t>ilitary hardware (purchase of)</w:t>
      </w:r>
    </w:p>
    <w:p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r</w:t>
      </w:r>
      <w:r w:rsidRPr="00530B38">
        <w:rPr>
          <w:lang w:eastAsia="en-AU"/>
        </w:rPr>
        <w:t xml:space="preserve">estoration </w:t>
      </w:r>
      <w:r w:rsidR="00016662">
        <w:rPr>
          <w:lang w:eastAsia="en-AU"/>
        </w:rPr>
        <w:t>of graves</w:t>
      </w:r>
    </w:p>
    <w:p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s</w:t>
      </w:r>
      <w:r w:rsidR="00016662">
        <w:rPr>
          <w:lang w:eastAsia="en-AU"/>
        </w:rPr>
        <w:t>cholarships</w:t>
      </w:r>
    </w:p>
    <w:p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s</w:t>
      </w:r>
      <w:r w:rsidRPr="00530B38">
        <w:rPr>
          <w:lang w:eastAsia="en-AU"/>
        </w:rPr>
        <w:t>ubscriptions</w:t>
      </w:r>
      <w:r w:rsidR="00530B38" w:rsidRPr="00530B38">
        <w:rPr>
          <w:lang w:eastAsia="en-AU"/>
        </w:rPr>
        <w:t xml:space="preserve"> </w:t>
      </w:r>
      <w:r w:rsidR="006B63F3">
        <w:rPr>
          <w:lang w:eastAsia="en-AU"/>
        </w:rPr>
        <w:t>(</w:t>
      </w:r>
      <w:r w:rsidR="00530B38" w:rsidRPr="00530B38">
        <w:rPr>
          <w:lang w:eastAsia="en-AU"/>
        </w:rPr>
        <w:t>e.g. journals</w:t>
      </w:r>
      <w:r w:rsidR="006B63F3">
        <w:rPr>
          <w:lang w:eastAsia="en-AU"/>
        </w:rPr>
        <w:t>)</w:t>
      </w:r>
    </w:p>
    <w:p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proofErr w:type="gramStart"/>
      <w:r>
        <w:rPr>
          <w:lang w:eastAsia="en-AU"/>
        </w:rPr>
        <w:t>t</w:t>
      </w:r>
      <w:r w:rsidRPr="00530B38">
        <w:rPr>
          <w:lang w:eastAsia="en-AU"/>
        </w:rPr>
        <w:t>ravel</w:t>
      </w:r>
      <w:proofErr w:type="gramEnd"/>
      <w:r w:rsidRPr="00530B38">
        <w:rPr>
          <w:lang w:eastAsia="en-AU"/>
        </w:rPr>
        <w:t xml:space="preserve"> </w:t>
      </w:r>
      <w:r w:rsidR="00530B38" w:rsidRPr="00530B38">
        <w:rPr>
          <w:lang w:eastAsia="en-AU"/>
        </w:rPr>
        <w:t>– international and domestic. Note: includes hire of v</w:t>
      </w:r>
      <w:r w:rsidR="00016662">
        <w:rPr>
          <w:lang w:eastAsia="en-AU"/>
        </w:rPr>
        <w:t>ehicles, fuel and accommodation</w:t>
      </w:r>
    </w:p>
    <w:p w:rsidR="00D665AA" w:rsidRPr="00875302" w:rsidRDefault="00152EE6" w:rsidP="00875302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proofErr w:type="gramStart"/>
      <w:r>
        <w:rPr>
          <w:lang w:eastAsia="en-AU"/>
        </w:rPr>
        <w:t>t</w:t>
      </w:r>
      <w:r w:rsidRPr="00530B38">
        <w:rPr>
          <w:lang w:eastAsia="en-AU"/>
        </w:rPr>
        <w:t>rophies</w:t>
      </w:r>
      <w:proofErr w:type="gramEnd"/>
      <w:r w:rsidR="00530B38" w:rsidRPr="00530B38">
        <w:rPr>
          <w:lang w:eastAsia="en-AU"/>
        </w:rPr>
        <w:t>, prizes, awards, gifts and medallions</w:t>
      </w:r>
      <w:r>
        <w:rPr>
          <w:lang w:eastAsia="en-AU"/>
        </w:rPr>
        <w:t>.</w:t>
      </w:r>
    </w:p>
    <w:p w:rsidR="0082439D" w:rsidRDefault="0082439D" w:rsidP="00530B38">
      <w:pPr>
        <w:pStyle w:val="Bullets2"/>
        <w:numPr>
          <w:ilvl w:val="0"/>
          <w:numId w:val="0"/>
        </w:numPr>
        <w:spacing w:before="0" w:after="0" w:line="240" w:lineRule="auto"/>
        <w:ind w:left="907" w:hanging="227"/>
        <w:rPr>
          <w:lang w:eastAsia="en-AU"/>
        </w:rPr>
      </w:pPr>
    </w:p>
    <w:sectPr w:rsidR="0082439D" w:rsidSect="00D5132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7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B17" w:rsidRDefault="00D32B17" w:rsidP="00772718">
      <w:pPr>
        <w:spacing w:line="240" w:lineRule="auto"/>
      </w:pPr>
      <w:r>
        <w:separator/>
      </w:r>
    </w:p>
  </w:endnote>
  <w:endnote w:type="continuationSeparator" w:id="0">
    <w:p w:rsidR="00D32B17" w:rsidRDefault="00D32B17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85AAF">
      <w:rPr>
        <w:noProof/>
      </w:rPr>
      <w:t>4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E5D3483" wp14:editId="68B45F47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77DEB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85AAF">
      <w:rPr>
        <w:noProof/>
      </w:rPr>
      <w:t>1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B17" w:rsidRDefault="00D32B17" w:rsidP="00772718">
      <w:pPr>
        <w:spacing w:line="240" w:lineRule="auto"/>
      </w:pPr>
      <w:r>
        <w:separator/>
      </w:r>
    </w:p>
  </w:footnote>
  <w:footnote w:type="continuationSeparator" w:id="0">
    <w:p w:rsidR="00D32B17" w:rsidRDefault="00D32B17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244B4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02CC66EB" wp14:editId="769507E8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6AB810E4" wp14:editId="326CDC76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15526859" wp14:editId="1579CAC4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CC5AA7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4957169"/>
    <w:multiLevelType w:val="hybridMultilevel"/>
    <w:tmpl w:val="22B4C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258E5"/>
    <w:multiLevelType w:val="hybridMultilevel"/>
    <w:tmpl w:val="F4F4BE76"/>
    <w:lvl w:ilvl="0" w:tplc="9EEC60F2">
      <w:start w:val="1"/>
      <w:numFmt w:val="decimal"/>
      <w:lvlText w:val="%1."/>
      <w:lvlJc w:val="left"/>
      <w:pPr>
        <w:ind w:left="15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C37ED"/>
    <w:multiLevelType w:val="hybridMultilevel"/>
    <w:tmpl w:val="F240483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2F53A7B"/>
    <w:multiLevelType w:val="hybridMultilevel"/>
    <w:tmpl w:val="C41AD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44DE"/>
    <w:multiLevelType w:val="hybridMultilevel"/>
    <w:tmpl w:val="6CF09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329A7"/>
    <w:multiLevelType w:val="hybridMultilevel"/>
    <w:tmpl w:val="C1E4D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42D83"/>
    <w:multiLevelType w:val="hybridMultilevel"/>
    <w:tmpl w:val="682CE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B17F3"/>
    <w:multiLevelType w:val="hybridMultilevel"/>
    <w:tmpl w:val="DC901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A7941"/>
    <w:multiLevelType w:val="hybridMultilevel"/>
    <w:tmpl w:val="EEC80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F79C2"/>
    <w:multiLevelType w:val="hybridMultilevel"/>
    <w:tmpl w:val="BFD84954"/>
    <w:lvl w:ilvl="0" w:tplc="449CA27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3" w15:restartNumberingAfterBreak="0">
    <w:nsid w:val="3F751E81"/>
    <w:multiLevelType w:val="hybridMultilevel"/>
    <w:tmpl w:val="0060A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5235C"/>
    <w:multiLevelType w:val="hybridMultilevel"/>
    <w:tmpl w:val="6382EBA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5DE0D09"/>
    <w:multiLevelType w:val="hybridMultilevel"/>
    <w:tmpl w:val="705E361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2D24EA"/>
    <w:multiLevelType w:val="hybridMultilevel"/>
    <w:tmpl w:val="C21E6D78"/>
    <w:lvl w:ilvl="0" w:tplc="0C090001">
      <w:start w:val="1"/>
      <w:numFmt w:val="bullet"/>
      <w:lvlText w:val=""/>
      <w:lvlJc w:val="left"/>
      <w:pPr>
        <w:ind w:left="1515" w:hanging="435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5940D5"/>
    <w:multiLevelType w:val="multilevel"/>
    <w:tmpl w:val="DFCAEE9A"/>
    <w:styleLink w:val="Bullets"/>
    <w:lvl w:ilvl="0">
      <w:start w:val="1"/>
      <w:numFmt w:val="bullet"/>
      <w:pStyle w:val="Bullets1"/>
      <w:lvlText w:val=""/>
      <w:lvlJc w:val="left"/>
      <w:pPr>
        <w:ind w:left="51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o"/>
      <w:lvlJc w:val="left"/>
      <w:pPr>
        <w:ind w:left="907" w:hanging="227"/>
      </w:pPr>
      <w:rPr>
        <w:rFonts w:ascii="Courier New" w:hAnsi="Courier New" w:cs="Courier New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9" w15:restartNumberingAfterBreak="0">
    <w:nsid w:val="755E75D5"/>
    <w:multiLevelType w:val="hybridMultilevel"/>
    <w:tmpl w:val="587E6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024F7"/>
    <w:multiLevelType w:val="hybridMultilevel"/>
    <w:tmpl w:val="23CA5C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30D38"/>
    <w:multiLevelType w:val="hybridMultilevel"/>
    <w:tmpl w:val="8DCA2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C317B"/>
    <w:multiLevelType w:val="hybridMultilevel"/>
    <w:tmpl w:val="E264C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5"/>
  </w:num>
  <w:num w:numId="5">
    <w:abstractNumId w:val="12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22"/>
  </w:num>
  <w:num w:numId="14">
    <w:abstractNumId w:val="21"/>
  </w:num>
  <w:num w:numId="15">
    <w:abstractNumId w:val="11"/>
  </w:num>
  <w:num w:numId="16">
    <w:abstractNumId w:val="19"/>
  </w:num>
  <w:num w:numId="17">
    <w:abstractNumId w:val="6"/>
  </w:num>
  <w:num w:numId="18">
    <w:abstractNumId w:val="14"/>
  </w:num>
  <w:num w:numId="19">
    <w:abstractNumId w:val="18"/>
  </w:num>
  <w:num w:numId="20">
    <w:abstractNumId w:val="16"/>
  </w:num>
  <w:num w:numId="21">
    <w:abstractNumId w:val="2"/>
  </w:num>
  <w:num w:numId="22">
    <w:abstractNumId w:val="17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2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54"/>
    <w:rsid w:val="00000555"/>
    <w:rsid w:val="00000A51"/>
    <w:rsid w:val="00003AEA"/>
    <w:rsid w:val="00004A79"/>
    <w:rsid w:val="00007A0E"/>
    <w:rsid w:val="00007DE9"/>
    <w:rsid w:val="0001493D"/>
    <w:rsid w:val="00015AE4"/>
    <w:rsid w:val="00016662"/>
    <w:rsid w:val="00017E51"/>
    <w:rsid w:val="0003018E"/>
    <w:rsid w:val="00033BC3"/>
    <w:rsid w:val="00033F02"/>
    <w:rsid w:val="0004161C"/>
    <w:rsid w:val="00044E09"/>
    <w:rsid w:val="00046F04"/>
    <w:rsid w:val="0004784D"/>
    <w:rsid w:val="00053A00"/>
    <w:rsid w:val="00075A81"/>
    <w:rsid w:val="00077A49"/>
    <w:rsid w:val="00087026"/>
    <w:rsid w:val="00092C54"/>
    <w:rsid w:val="00093DBF"/>
    <w:rsid w:val="000A1FD1"/>
    <w:rsid w:val="000B0CF9"/>
    <w:rsid w:val="000B3087"/>
    <w:rsid w:val="000B6C00"/>
    <w:rsid w:val="000B707F"/>
    <w:rsid w:val="000C1330"/>
    <w:rsid w:val="000C1F06"/>
    <w:rsid w:val="000E1F46"/>
    <w:rsid w:val="000E45FA"/>
    <w:rsid w:val="000F1DD1"/>
    <w:rsid w:val="000F28B8"/>
    <w:rsid w:val="000F3766"/>
    <w:rsid w:val="00102564"/>
    <w:rsid w:val="00106FC4"/>
    <w:rsid w:val="00107236"/>
    <w:rsid w:val="001115F5"/>
    <w:rsid w:val="00111F0C"/>
    <w:rsid w:val="00123148"/>
    <w:rsid w:val="001262AD"/>
    <w:rsid w:val="00145E2D"/>
    <w:rsid w:val="00152B59"/>
    <w:rsid w:val="00152EE6"/>
    <w:rsid w:val="0016342C"/>
    <w:rsid w:val="0016612C"/>
    <w:rsid w:val="001763D4"/>
    <w:rsid w:val="00181433"/>
    <w:rsid w:val="001834DD"/>
    <w:rsid w:val="00190EE0"/>
    <w:rsid w:val="00191564"/>
    <w:rsid w:val="00197D4E"/>
    <w:rsid w:val="001C53CE"/>
    <w:rsid w:val="001C5D96"/>
    <w:rsid w:val="001D17D2"/>
    <w:rsid w:val="001D341B"/>
    <w:rsid w:val="001D4080"/>
    <w:rsid w:val="001E3D2B"/>
    <w:rsid w:val="001E5E9F"/>
    <w:rsid w:val="001E66CE"/>
    <w:rsid w:val="001F689D"/>
    <w:rsid w:val="00221DC2"/>
    <w:rsid w:val="00221F1A"/>
    <w:rsid w:val="00226628"/>
    <w:rsid w:val="002343EB"/>
    <w:rsid w:val="00236370"/>
    <w:rsid w:val="00243D5E"/>
    <w:rsid w:val="00244B48"/>
    <w:rsid w:val="00256E3C"/>
    <w:rsid w:val="002573D5"/>
    <w:rsid w:val="00264E26"/>
    <w:rsid w:val="00280E74"/>
    <w:rsid w:val="00286F81"/>
    <w:rsid w:val="0029107F"/>
    <w:rsid w:val="002970E1"/>
    <w:rsid w:val="002A41E1"/>
    <w:rsid w:val="002A6D54"/>
    <w:rsid w:val="002B6574"/>
    <w:rsid w:val="002B6789"/>
    <w:rsid w:val="002B6C0F"/>
    <w:rsid w:val="002C0868"/>
    <w:rsid w:val="002C77C1"/>
    <w:rsid w:val="002D4D48"/>
    <w:rsid w:val="002E21D2"/>
    <w:rsid w:val="002F20BD"/>
    <w:rsid w:val="002F7D3C"/>
    <w:rsid w:val="00305720"/>
    <w:rsid w:val="00310B6B"/>
    <w:rsid w:val="003131AB"/>
    <w:rsid w:val="003217BE"/>
    <w:rsid w:val="003352E5"/>
    <w:rsid w:val="0034081D"/>
    <w:rsid w:val="0036354E"/>
    <w:rsid w:val="003A0726"/>
    <w:rsid w:val="003B0C00"/>
    <w:rsid w:val="003B299A"/>
    <w:rsid w:val="003C4342"/>
    <w:rsid w:val="003C5E0F"/>
    <w:rsid w:val="003D0647"/>
    <w:rsid w:val="003D1265"/>
    <w:rsid w:val="003D1A2E"/>
    <w:rsid w:val="003D3B1D"/>
    <w:rsid w:val="003D5DBE"/>
    <w:rsid w:val="003E23BF"/>
    <w:rsid w:val="003F6F39"/>
    <w:rsid w:val="00404841"/>
    <w:rsid w:val="00411419"/>
    <w:rsid w:val="00412059"/>
    <w:rsid w:val="004120E8"/>
    <w:rsid w:val="00417D3F"/>
    <w:rsid w:val="00420A24"/>
    <w:rsid w:val="00425633"/>
    <w:rsid w:val="00441E79"/>
    <w:rsid w:val="00450486"/>
    <w:rsid w:val="00464183"/>
    <w:rsid w:val="004709E9"/>
    <w:rsid w:val="00471851"/>
    <w:rsid w:val="00482A30"/>
    <w:rsid w:val="00483A58"/>
    <w:rsid w:val="004931D3"/>
    <w:rsid w:val="00495C4D"/>
    <w:rsid w:val="004B5F40"/>
    <w:rsid w:val="004C0F7E"/>
    <w:rsid w:val="004C2E23"/>
    <w:rsid w:val="004C7D16"/>
    <w:rsid w:val="004D0733"/>
    <w:rsid w:val="004D700E"/>
    <w:rsid w:val="004D7F17"/>
    <w:rsid w:val="004E0670"/>
    <w:rsid w:val="004E7F37"/>
    <w:rsid w:val="004F31BA"/>
    <w:rsid w:val="00506A90"/>
    <w:rsid w:val="0051299F"/>
    <w:rsid w:val="00515CBF"/>
    <w:rsid w:val="00517D02"/>
    <w:rsid w:val="00526B85"/>
    <w:rsid w:val="00526C81"/>
    <w:rsid w:val="005306A1"/>
    <w:rsid w:val="00530B38"/>
    <w:rsid w:val="00532AB6"/>
    <w:rsid w:val="00533B8A"/>
    <w:rsid w:val="005366FC"/>
    <w:rsid w:val="00544673"/>
    <w:rsid w:val="00550D85"/>
    <w:rsid w:val="00572802"/>
    <w:rsid w:val="005829CC"/>
    <w:rsid w:val="0058371E"/>
    <w:rsid w:val="0058656B"/>
    <w:rsid w:val="0059000C"/>
    <w:rsid w:val="005A02A1"/>
    <w:rsid w:val="005A2887"/>
    <w:rsid w:val="005C1D21"/>
    <w:rsid w:val="005D7A24"/>
    <w:rsid w:val="005E5465"/>
    <w:rsid w:val="005F68EA"/>
    <w:rsid w:val="00601EB6"/>
    <w:rsid w:val="00616EBA"/>
    <w:rsid w:val="00620898"/>
    <w:rsid w:val="006236CE"/>
    <w:rsid w:val="00632C08"/>
    <w:rsid w:val="006415E7"/>
    <w:rsid w:val="00645C1D"/>
    <w:rsid w:val="00653414"/>
    <w:rsid w:val="00654C42"/>
    <w:rsid w:val="0067074A"/>
    <w:rsid w:val="00672994"/>
    <w:rsid w:val="00692122"/>
    <w:rsid w:val="006A213A"/>
    <w:rsid w:val="006B63F3"/>
    <w:rsid w:val="006C15C5"/>
    <w:rsid w:val="006C3FFE"/>
    <w:rsid w:val="006D3DAD"/>
    <w:rsid w:val="006D5E78"/>
    <w:rsid w:val="006F5ACE"/>
    <w:rsid w:val="006F7B19"/>
    <w:rsid w:val="0071214D"/>
    <w:rsid w:val="00732A51"/>
    <w:rsid w:val="00736A76"/>
    <w:rsid w:val="007469F0"/>
    <w:rsid w:val="00752C6B"/>
    <w:rsid w:val="007556CB"/>
    <w:rsid w:val="00760CE6"/>
    <w:rsid w:val="007719C9"/>
    <w:rsid w:val="00772718"/>
    <w:rsid w:val="0078342D"/>
    <w:rsid w:val="00790FC7"/>
    <w:rsid w:val="00795A8C"/>
    <w:rsid w:val="007D30A8"/>
    <w:rsid w:val="007D34C4"/>
    <w:rsid w:val="007E0FC5"/>
    <w:rsid w:val="007F3FFB"/>
    <w:rsid w:val="007F705D"/>
    <w:rsid w:val="0080006C"/>
    <w:rsid w:val="0080135A"/>
    <w:rsid w:val="00814FB1"/>
    <w:rsid w:val="00820F20"/>
    <w:rsid w:val="0082439D"/>
    <w:rsid w:val="0082528A"/>
    <w:rsid w:val="00825754"/>
    <w:rsid w:val="00835210"/>
    <w:rsid w:val="00844C2D"/>
    <w:rsid w:val="00847C5E"/>
    <w:rsid w:val="00864697"/>
    <w:rsid w:val="008677F1"/>
    <w:rsid w:val="008737C5"/>
    <w:rsid w:val="0087438E"/>
    <w:rsid w:val="00875302"/>
    <w:rsid w:val="00877213"/>
    <w:rsid w:val="00884668"/>
    <w:rsid w:val="008921BD"/>
    <w:rsid w:val="008933AB"/>
    <w:rsid w:val="008A406E"/>
    <w:rsid w:val="008B2B46"/>
    <w:rsid w:val="008C4F3F"/>
    <w:rsid w:val="008C649C"/>
    <w:rsid w:val="008E05BC"/>
    <w:rsid w:val="008F3CCF"/>
    <w:rsid w:val="008F6FAD"/>
    <w:rsid w:val="00905E4B"/>
    <w:rsid w:val="00905F99"/>
    <w:rsid w:val="009065DC"/>
    <w:rsid w:val="0091350B"/>
    <w:rsid w:val="009176CA"/>
    <w:rsid w:val="00921840"/>
    <w:rsid w:val="00931173"/>
    <w:rsid w:val="00932C87"/>
    <w:rsid w:val="009331B4"/>
    <w:rsid w:val="009345F1"/>
    <w:rsid w:val="00944BBB"/>
    <w:rsid w:val="009547B6"/>
    <w:rsid w:val="00961072"/>
    <w:rsid w:val="00983225"/>
    <w:rsid w:val="00986B71"/>
    <w:rsid w:val="00992836"/>
    <w:rsid w:val="009B256A"/>
    <w:rsid w:val="009B6094"/>
    <w:rsid w:val="009D2444"/>
    <w:rsid w:val="009D42B6"/>
    <w:rsid w:val="009E1EB4"/>
    <w:rsid w:val="009E750F"/>
    <w:rsid w:val="009F0561"/>
    <w:rsid w:val="009F6CFB"/>
    <w:rsid w:val="009F77A0"/>
    <w:rsid w:val="00A04D96"/>
    <w:rsid w:val="00A0629B"/>
    <w:rsid w:val="00A14495"/>
    <w:rsid w:val="00A16BE1"/>
    <w:rsid w:val="00A2346C"/>
    <w:rsid w:val="00A25A6C"/>
    <w:rsid w:val="00A442F6"/>
    <w:rsid w:val="00A454BF"/>
    <w:rsid w:val="00A526F7"/>
    <w:rsid w:val="00A52AE3"/>
    <w:rsid w:val="00A52E3A"/>
    <w:rsid w:val="00A566B9"/>
    <w:rsid w:val="00A63F2D"/>
    <w:rsid w:val="00A80160"/>
    <w:rsid w:val="00A814CB"/>
    <w:rsid w:val="00A815AE"/>
    <w:rsid w:val="00A82E95"/>
    <w:rsid w:val="00A87758"/>
    <w:rsid w:val="00A90D1B"/>
    <w:rsid w:val="00A96BC7"/>
    <w:rsid w:val="00AB2C99"/>
    <w:rsid w:val="00AC0AC3"/>
    <w:rsid w:val="00AD22AB"/>
    <w:rsid w:val="00AE1FFD"/>
    <w:rsid w:val="00AF55F8"/>
    <w:rsid w:val="00B01099"/>
    <w:rsid w:val="00B032FF"/>
    <w:rsid w:val="00B10ABA"/>
    <w:rsid w:val="00B21FEA"/>
    <w:rsid w:val="00B420D4"/>
    <w:rsid w:val="00B57910"/>
    <w:rsid w:val="00B747F7"/>
    <w:rsid w:val="00B76944"/>
    <w:rsid w:val="00B86A5C"/>
    <w:rsid w:val="00B952F6"/>
    <w:rsid w:val="00BA4B7A"/>
    <w:rsid w:val="00BB2D81"/>
    <w:rsid w:val="00BB68DD"/>
    <w:rsid w:val="00BC093A"/>
    <w:rsid w:val="00BC4ACC"/>
    <w:rsid w:val="00BC4FCC"/>
    <w:rsid w:val="00BD02F8"/>
    <w:rsid w:val="00BD63CC"/>
    <w:rsid w:val="00C15642"/>
    <w:rsid w:val="00C217A8"/>
    <w:rsid w:val="00C362DE"/>
    <w:rsid w:val="00C4188F"/>
    <w:rsid w:val="00C713B4"/>
    <w:rsid w:val="00C75B3B"/>
    <w:rsid w:val="00C819A4"/>
    <w:rsid w:val="00C824AE"/>
    <w:rsid w:val="00C84EA8"/>
    <w:rsid w:val="00C914F3"/>
    <w:rsid w:val="00C92998"/>
    <w:rsid w:val="00CA3E47"/>
    <w:rsid w:val="00CA720A"/>
    <w:rsid w:val="00CB0986"/>
    <w:rsid w:val="00CB3A46"/>
    <w:rsid w:val="00CD5925"/>
    <w:rsid w:val="00CE557A"/>
    <w:rsid w:val="00CF33BB"/>
    <w:rsid w:val="00CF45F3"/>
    <w:rsid w:val="00D01239"/>
    <w:rsid w:val="00D031B2"/>
    <w:rsid w:val="00D1410C"/>
    <w:rsid w:val="00D17989"/>
    <w:rsid w:val="00D32B17"/>
    <w:rsid w:val="00D40D16"/>
    <w:rsid w:val="00D5132D"/>
    <w:rsid w:val="00D51C33"/>
    <w:rsid w:val="00D548F0"/>
    <w:rsid w:val="00D57F79"/>
    <w:rsid w:val="00D64034"/>
    <w:rsid w:val="00D64FAC"/>
    <w:rsid w:val="00D65704"/>
    <w:rsid w:val="00D665AA"/>
    <w:rsid w:val="00D668F6"/>
    <w:rsid w:val="00D81764"/>
    <w:rsid w:val="00D82DF9"/>
    <w:rsid w:val="00D84875"/>
    <w:rsid w:val="00D904F0"/>
    <w:rsid w:val="00D91378"/>
    <w:rsid w:val="00D91B18"/>
    <w:rsid w:val="00D9307B"/>
    <w:rsid w:val="00D94DF8"/>
    <w:rsid w:val="00DA0E19"/>
    <w:rsid w:val="00DB0991"/>
    <w:rsid w:val="00DC0747"/>
    <w:rsid w:val="00DC0AC8"/>
    <w:rsid w:val="00DC2647"/>
    <w:rsid w:val="00DC5484"/>
    <w:rsid w:val="00DD1408"/>
    <w:rsid w:val="00DD356D"/>
    <w:rsid w:val="00DD6735"/>
    <w:rsid w:val="00DF136A"/>
    <w:rsid w:val="00E0448C"/>
    <w:rsid w:val="00E04CA2"/>
    <w:rsid w:val="00E13525"/>
    <w:rsid w:val="00E23B0E"/>
    <w:rsid w:val="00E47250"/>
    <w:rsid w:val="00E61535"/>
    <w:rsid w:val="00E66B6F"/>
    <w:rsid w:val="00E84012"/>
    <w:rsid w:val="00E85AAF"/>
    <w:rsid w:val="00E9028C"/>
    <w:rsid w:val="00E90B70"/>
    <w:rsid w:val="00E9373C"/>
    <w:rsid w:val="00EA0724"/>
    <w:rsid w:val="00EA6251"/>
    <w:rsid w:val="00EB6414"/>
    <w:rsid w:val="00EC386C"/>
    <w:rsid w:val="00ED126A"/>
    <w:rsid w:val="00ED3184"/>
    <w:rsid w:val="00EE5747"/>
    <w:rsid w:val="00EF3804"/>
    <w:rsid w:val="00EF5E05"/>
    <w:rsid w:val="00F03810"/>
    <w:rsid w:val="00F042DE"/>
    <w:rsid w:val="00F10518"/>
    <w:rsid w:val="00F134F4"/>
    <w:rsid w:val="00F1713E"/>
    <w:rsid w:val="00F227AF"/>
    <w:rsid w:val="00F27370"/>
    <w:rsid w:val="00F36072"/>
    <w:rsid w:val="00F40B00"/>
    <w:rsid w:val="00F41DFE"/>
    <w:rsid w:val="00F5341C"/>
    <w:rsid w:val="00F56954"/>
    <w:rsid w:val="00F56A06"/>
    <w:rsid w:val="00F56A09"/>
    <w:rsid w:val="00F603B6"/>
    <w:rsid w:val="00F627DC"/>
    <w:rsid w:val="00F875C2"/>
    <w:rsid w:val="00F948AF"/>
    <w:rsid w:val="00F9632B"/>
    <w:rsid w:val="00FA2FCF"/>
    <w:rsid w:val="00FA5A7B"/>
    <w:rsid w:val="00FB11B1"/>
    <w:rsid w:val="00FC2192"/>
    <w:rsid w:val="00FC231A"/>
    <w:rsid w:val="00FC2556"/>
    <w:rsid w:val="00FC2BD7"/>
    <w:rsid w:val="00FC2DE4"/>
    <w:rsid w:val="00FC7803"/>
    <w:rsid w:val="00FD2018"/>
    <w:rsid w:val="00FE00E8"/>
    <w:rsid w:val="00FE634C"/>
    <w:rsid w:val="00FF46E3"/>
    <w:rsid w:val="00FF4A06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F91CCE"/>
  <w15:docId w15:val="{433862D7-5BB3-427F-825D-E739B334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  <w:ind w:left="680"/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,Recommendation,List Paragraph11,L,Bullet point,Numbered paragraph,List Paragraph2,List Paragraph Number,AR bullet 1,Number Paragraph,Num Bullet 1,Use Case List Paragraph,lp1,Bullet Number,FooterText,Num List Paragraph"/>
    <w:basedOn w:val="Normal"/>
    <w:link w:val="ListParagraphChar"/>
    <w:uiPriority w:val="34"/>
    <w:qFormat/>
    <w:rsid w:val="00F56A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A3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A30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A30"/>
    <w:rPr>
      <w:rFonts w:asciiTheme="minorHAnsi" w:hAnsiTheme="minorHAnsi"/>
      <w:b/>
      <w:bCs/>
      <w:color w:val="000000" w:themeColor="text1"/>
    </w:rPr>
  </w:style>
  <w:style w:type="paragraph" w:customStyle="1" w:styleId="Default">
    <w:name w:val="Default"/>
    <w:rsid w:val="004931D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istParagraphChar">
    <w:name w:val="List Paragraph Char"/>
    <w:aliases w:val="List Paragraph1 Char,Recommendation Char,List Paragraph11 Char,L Char,Bullet point Char,Numbered paragraph Char,List Paragraph2 Char,List Paragraph Number Char,AR bullet 1 Char,Number Paragraph Char,Num Bullet 1 Char,lp1 Char"/>
    <w:basedOn w:val="DefaultParagraphFont"/>
    <w:link w:val="ListParagraph"/>
    <w:uiPriority w:val="34"/>
    <w:locked/>
    <w:rsid w:val="00D665AA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0155FD86294E33A98AC2FAEFF9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7A1CE-EB89-473A-A26D-964FD3E9DC3D}"/>
      </w:docPartPr>
      <w:docPartBody>
        <w:p w:rsidR="0018253C" w:rsidRDefault="0018253C">
          <w:pPr>
            <w:pStyle w:val="060155FD86294E33A98AC2FAEFF98AEB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3C"/>
    <w:rsid w:val="00036B18"/>
    <w:rsid w:val="0007028A"/>
    <w:rsid w:val="0018253C"/>
    <w:rsid w:val="001E4AAB"/>
    <w:rsid w:val="002113F2"/>
    <w:rsid w:val="002E4F6B"/>
    <w:rsid w:val="002E6DC1"/>
    <w:rsid w:val="0034776B"/>
    <w:rsid w:val="003856F4"/>
    <w:rsid w:val="004637DF"/>
    <w:rsid w:val="005676A5"/>
    <w:rsid w:val="00630029"/>
    <w:rsid w:val="0076791E"/>
    <w:rsid w:val="008C2074"/>
    <w:rsid w:val="008D4D04"/>
    <w:rsid w:val="0092428E"/>
    <w:rsid w:val="00E21CBB"/>
    <w:rsid w:val="00F16390"/>
    <w:rsid w:val="00F30AEF"/>
    <w:rsid w:val="00F426C8"/>
    <w:rsid w:val="00FA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1BFFAD894546DBAB7D2739659A4C0F">
    <w:name w:val="EE1BFFAD894546DBAB7D2739659A4C0F"/>
  </w:style>
  <w:style w:type="paragraph" w:customStyle="1" w:styleId="060155FD86294E33A98AC2FAEFF98AEB">
    <w:name w:val="060155FD86294E33A98AC2FAEFF98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3B31F9-C90F-4BB0-9D0E-A3D4A39E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Saluting Their Service Major Commemorative Grants Program</vt:lpstr>
    </vt:vector>
  </TitlesOfParts>
  <Company>Community Grants Hub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Saluting Their Service Major Commemorative Grants Program</dc:title>
  <dc:subject>General feedback for applicants</dc:subject>
  <dc:creator>TAYLOR, Megan</dc:creator>
  <cp:lastModifiedBy>DONATH, Kristen</cp:lastModifiedBy>
  <cp:revision>15</cp:revision>
  <cp:lastPrinted>2019-04-29T02:55:00Z</cp:lastPrinted>
  <dcterms:created xsi:type="dcterms:W3CDTF">2019-04-10T23:37:00Z</dcterms:created>
  <dcterms:modified xsi:type="dcterms:W3CDTF">2019-04-29T02:55:00Z</dcterms:modified>
</cp:coreProperties>
</file>