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7B" w:rsidRPr="006A678C" w:rsidRDefault="0058017C" w:rsidP="00CC1B7B">
      <w:pPr>
        <w:pStyle w:val="Title"/>
        <w:rPr>
          <w:rFonts w:ascii="Arial" w:hAnsi="Arial"/>
          <w:color w:val="auto"/>
          <w:sz w:val="44"/>
          <w:szCs w:val="44"/>
        </w:rPr>
      </w:pPr>
      <w:r>
        <w:rPr>
          <w:color w:val="auto"/>
          <w:sz w:val="44"/>
          <w:szCs w:val="44"/>
        </w:rPr>
        <w:t>Specialised Family Violence Services</w:t>
      </w:r>
    </w:p>
    <w:p w:rsidR="00CC1B7B" w:rsidRDefault="00CC1B7B" w:rsidP="00CC1B7B">
      <w:pPr>
        <w:rPr>
          <w:sz w:val="40"/>
          <w:szCs w:val="40"/>
        </w:rPr>
      </w:pPr>
      <w:r>
        <w:rPr>
          <w:sz w:val="40"/>
          <w:szCs w:val="40"/>
        </w:rPr>
        <w:t xml:space="preserve">Questions and Answers </w:t>
      </w:r>
    </w:p>
    <w:p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rsidR="00CC1B7B" w:rsidRPr="00660F7F" w:rsidRDefault="00F23B83" w:rsidP="001364C7">
      <w:pPr>
        <w:ind w:left="426"/>
        <w:rPr>
          <w:lang w:val="en" w:eastAsia="en-AU"/>
        </w:rPr>
      </w:pPr>
      <w:r>
        <w:rPr>
          <w:lang w:val="en" w:eastAsia="en-AU"/>
        </w:rPr>
        <w:t xml:space="preserve">Applications </w:t>
      </w:r>
      <w:r w:rsidR="00CC1B7B" w:rsidRPr="00660F7F">
        <w:rPr>
          <w:lang w:val="en" w:eastAsia="en-AU"/>
        </w:rPr>
        <w:t xml:space="preserve">must be submitted by </w:t>
      </w:r>
      <w:r w:rsidR="00C82A32">
        <w:rPr>
          <w:b/>
          <w:lang w:val="en" w:eastAsia="en-AU"/>
        </w:rPr>
        <w:t>5</w:t>
      </w:r>
      <w:r w:rsidR="00964CA2">
        <w:rPr>
          <w:b/>
          <w:lang w:val="en" w:eastAsia="en-AU"/>
        </w:rPr>
        <w:t>:</w:t>
      </w:r>
      <w:r w:rsidR="00421DFD" w:rsidRPr="00421DFD">
        <w:rPr>
          <w:b/>
          <w:lang w:val="en" w:eastAsia="en-AU"/>
        </w:rPr>
        <w:t>00pm</w:t>
      </w:r>
      <w:r w:rsidR="00CC1B7B" w:rsidRPr="00DA3883">
        <w:rPr>
          <w:b/>
          <w:color w:val="FF0000"/>
          <w:lang w:val="en" w:eastAsia="en-AU"/>
        </w:rPr>
        <w:t xml:space="preserve"> </w:t>
      </w:r>
      <w:r w:rsidR="007056B3">
        <w:rPr>
          <w:b/>
          <w:lang w:val="en" w:eastAsia="en-AU"/>
        </w:rPr>
        <w:t xml:space="preserve">Australian </w:t>
      </w:r>
      <w:r w:rsidR="00E339EF">
        <w:rPr>
          <w:b/>
          <w:lang w:val="en" w:eastAsia="en-AU"/>
        </w:rPr>
        <w:t>Eastern Standard</w:t>
      </w:r>
      <w:r w:rsidR="007056B3">
        <w:rPr>
          <w:b/>
          <w:lang w:val="en" w:eastAsia="en-AU"/>
        </w:rPr>
        <w:t xml:space="preserve"> Time (</w:t>
      </w:r>
      <w:r w:rsidR="007056B3" w:rsidRPr="003D705D">
        <w:rPr>
          <w:b/>
          <w:lang w:val="en" w:eastAsia="en-AU"/>
        </w:rPr>
        <w:t>AE</w:t>
      </w:r>
      <w:r w:rsidR="00E339EF">
        <w:rPr>
          <w:b/>
          <w:lang w:val="en" w:eastAsia="en-AU"/>
        </w:rPr>
        <w:t>S</w:t>
      </w:r>
      <w:r w:rsidR="00F8123F">
        <w:rPr>
          <w:b/>
          <w:lang w:val="en" w:eastAsia="en-AU"/>
        </w:rPr>
        <w:t>T)</w:t>
      </w:r>
      <w:r w:rsidR="0060494A">
        <w:rPr>
          <w:b/>
          <w:lang w:val="en" w:eastAsia="en-AU"/>
        </w:rPr>
        <w:t xml:space="preserve"> </w:t>
      </w:r>
      <w:r w:rsidR="00421DFD" w:rsidRPr="00421DFD">
        <w:rPr>
          <w:b/>
          <w:lang w:val="en" w:eastAsia="en-AU"/>
        </w:rPr>
        <w:t xml:space="preserve">on </w:t>
      </w:r>
      <w:r w:rsidR="0065666D">
        <w:rPr>
          <w:b/>
          <w:lang w:val="en" w:eastAsia="en-AU"/>
        </w:rPr>
        <w:br/>
      </w:r>
      <w:r w:rsidR="00414BD6">
        <w:rPr>
          <w:b/>
          <w:lang w:val="en" w:eastAsia="en-AU"/>
        </w:rPr>
        <w:t>5</w:t>
      </w:r>
      <w:r w:rsidR="00421DFD" w:rsidRPr="00421DFD">
        <w:rPr>
          <w:b/>
          <w:lang w:val="en" w:eastAsia="en-AU"/>
        </w:rPr>
        <w:t xml:space="preserve"> </w:t>
      </w:r>
      <w:r w:rsidR="00C82A32">
        <w:rPr>
          <w:b/>
          <w:lang w:val="en" w:eastAsia="en-AU"/>
        </w:rPr>
        <w:t>June</w:t>
      </w:r>
      <w:r w:rsidR="00DA3883" w:rsidRPr="00421DFD">
        <w:rPr>
          <w:b/>
          <w:lang w:val="en" w:eastAsia="en-AU"/>
        </w:rPr>
        <w:t xml:space="preserve"> </w:t>
      </w:r>
      <w:r w:rsidR="00A13154" w:rsidRPr="00421DFD">
        <w:rPr>
          <w:b/>
          <w:lang w:val="en" w:eastAsia="en-AU"/>
        </w:rPr>
        <w:t>2019</w:t>
      </w:r>
      <w:r w:rsidR="00CC1B7B" w:rsidRPr="00ED4271">
        <w:rPr>
          <w:lang w:val="en" w:eastAsia="en-AU"/>
        </w:rPr>
        <w:t xml:space="preserve">. It </w:t>
      </w:r>
      <w:proofErr w:type="gramStart"/>
      <w:r w:rsidR="00CC1B7B" w:rsidRPr="00ED4271">
        <w:rPr>
          <w:lang w:val="en" w:eastAsia="en-AU"/>
        </w:rPr>
        <w:t>is</w:t>
      </w:r>
      <w:r w:rsidR="00CC1B7B" w:rsidRPr="00660F7F">
        <w:rPr>
          <w:lang w:val="en" w:eastAsia="en-AU"/>
        </w:rPr>
        <w:t xml:space="preserve"> recommended</w:t>
      </w:r>
      <w:proofErr w:type="gramEnd"/>
      <w:r w:rsidR="00CC1B7B" w:rsidRPr="00660F7F">
        <w:rPr>
          <w:lang w:val="en" w:eastAsia="en-AU"/>
        </w:rPr>
        <w:t xml:space="preserve"> that you submit your application </w:t>
      </w:r>
      <w:r w:rsidR="00CC1B7B" w:rsidRPr="00660F7F">
        <w:rPr>
          <w:b/>
          <w:lang w:val="en" w:eastAsia="en-AU"/>
        </w:rPr>
        <w:t>well before the closing time and date</w:t>
      </w:r>
      <w:r w:rsidR="00CC1B7B" w:rsidRPr="00660F7F">
        <w:rPr>
          <w:lang w:val="en" w:eastAsia="en-AU"/>
        </w:rPr>
        <w:t>.</w:t>
      </w:r>
    </w:p>
    <w:p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rsidR="00CC1B7B" w:rsidRPr="006375BB" w:rsidRDefault="00CC1B7B" w:rsidP="00046AC0">
      <w:pPr>
        <w:ind w:left="426"/>
        <w:rPr>
          <w:rFonts w:cs="Arial"/>
          <w:b/>
          <w:color w:val="2C2A29"/>
          <w:lang w:val="en"/>
        </w:rPr>
      </w:pPr>
      <w:r w:rsidRPr="00496141">
        <w:t xml:space="preserve">No, extensions </w:t>
      </w:r>
      <w:proofErr w:type="gramStart"/>
      <w:r>
        <w:t xml:space="preserve">will </w:t>
      </w:r>
      <w:r w:rsidRPr="007F50D9">
        <w:rPr>
          <w:b/>
        </w:rPr>
        <w:t>not</w:t>
      </w:r>
      <w:r>
        <w:t xml:space="preserve"> be given</w:t>
      </w:r>
      <w:proofErr w:type="gramEnd"/>
      <w:r w:rsidR="001E6588">
        <w:t>.</w:t>
      </w:r>
    </w:p>
    <w:p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w:t>
      </w:r>
      <w:proofErr w:type="gramStart"/>
      <w:r w:rsidRPr="00496141">
        <w:rPr>
          <w:lang w:eastAsia="en-AU"/>
        </w:rPr>
        <w:t>is requested</w:t>
      </w:r>
      <w:proofErr w:type="gramEnd"/>
      <w:r w:rsidRPr="00496141">
        <w:rPr>
          <w:lang w:eastAsia="en-AU"/>
        </w:rPr>
        <w:t xml:space="preserve">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rsidR="007D4329" w:rsidRPr="007D4329" w:rsidRDefault="00F23B83" w:rsidP="007D4329">
      <w:pPr>
        <w:pStyle w:val="Heading2"/>
        <w:numPr>
          <w:ilvl w:val="0"/>
          <w:numId w:val="6"/>
        </w:numPr>
        <w:ind w:left="426" w:hanging="426"/>
        <w:rPr>
          <w:rFonts w:eastAsia="Calibri"/>
        </w:rPr>
      </w:pPr>
      <w:r>
        <w:rPr>
          <w:rFonts w:eastAsia="Calibri"/>
        </w:rPr>
        <w:t xml:space="preserve">How much funding is available? </w:t>
      </w:r>
      <w:r w:rsidR="007D4329" w:rsidRPr="007D4329">
        <w:rPr>
          <w:rFonts w:eastAsia="Calibri"/>
        </w:rPr>
        <w:t xml:space="preserve">Can I </w:t>
      </w:r>
      <w:r w:rsidR="007F402A">
        <w:rPr>
          <w:rFonts w:eastAsia="Calibri"/>
        </w:rPr>
        <w:t xml:space="preserve">apply for more </w:t>
      </w:r>
      <w:r w:rsidR="007D4329" w:rsidRPr="007D4329">
        <w:rPr>
          <w:rFonts w:eastAsia="Calibri"/>
        </w:rPr>
        <w:t xml:space="preserve">than </w:t>
      </w:r>
      <w:r w:rsidR="007F402A">
        <w:rPr>
          <w:rFonts w:eastAsia="Calibri"/>
        </w:rPr>
        <w:t>the amount of funding specified in my letter of invitation?</w:t>
      </w:r>
    </w:p>
    <w:p w:rsidR="007056B3" w:rsidRPr="007D4329" w:rsidRDefault="0058017C" w:rsidP="007D4329">
      <w:pPr>
        <w:ind w:left="426"/>
      </w:pPr>
      <w:r>
        <w:t>S</w:t>
      </w:r>
      <w:r w:rsidRPr="00ED4271">
        <w:t xml:space="preserve">ection </w:t>
      </w:r>
      <w:r w:rsidR="00F37E5D" w:rsidRPr="00F37E5D">
        <w:t>3.1</w:t>
      </w:r>
      <w:r w:rsidRPr="00F37E5D">
        <w:t xml:space="preserve"> </w:t>
      </w:r>
      <w:r w:rsidRPr="00ED4271">
        <w:t>of the Gr</w:t>
      </w:r>
      <w:r>
        <w:t>ant Opportunity Guidelines outline</w:t>
      </w:r>
      <w:r w:rsidR="00F23B83">
        <w:t xml:space="preserve"> the amount of funding that you may apply </w:t>
      </w:r>
      <w:proofErr w:type="gramStart"/>
      <w:r w:rsidR="00F23B83">
        <w:t>for</w:t>
      </w:r>
      <w:proofErr w:type="gramEnd"/>
      <w:r w:rsidR="00F23B83">
        <w:t>.</w:t>
      </w:r>
    </w:p>
    <w:p w:rsidR="00700B1E" w:rsidRDefault="00700B1E" w:rsidP="0075086E">
      <w:pPr>
        <w:pStyle w:val="Heading2"/>
        <w:numPr>
          <w:ilvl w:val="0"/>
          <w:numId w:val="6"/>
        </w:numPr>
        <w:ind w:left="426" w:hanging="426"/>
      </w:pPr>
      <w:r>
        <w:t>Where is the funding coming from?</w:t>
      </w:r>
    </w:p>
    <w:p w:rsidR="00700B1E" w:rsidRDefault="00700B1E" w:rsidP="00700B1E">
      <w:pPr>
        <w:ind w:left="426"/>
      </w:pPr>
      <w:r w:rsidRPr="00700B1E">
        <w:t xml:space="preserve">On 5 March 2019, the Australian Government announced a $328 million package to reduce violence against women and children. This represents the Australian Government’s contribution to the Fourth Action Plan 2019-2022, the final plan under the </w:t>
      </w:r>
      <w:r w:rsidRPr="00700B1E">
        <w:rPr>
          <w:i/>
        </w:rPr>
        <w:t>National Plan to Reduce Violence against Women and their Children 2010-2022</w:t>
      </w:r>
      <w:r>
        <w:t>.</w:t>
      </w:r>
    </w:p>
    <w:p w:rsidR="00700B1E" w:rsidRDefault="00700B1E" w:rsidP="00700B1E">
      <w:pPr>
        <w:ind w:left="426"/>
      </w:pPr>
      <w:r>
        <w:t xml:space="preserve">This included funding of $10 million to </w:t>
      </w:r>
      <w:r w:rsidRPr="00700B1E">
        <w:t>deliver Specialised Family Violence Services in up to 16</w:t>
      </w:r>
      <w:r w:rsidR="004B65B6">
        <w:t> </w:t>
      </w:r>
      <w:r w:rsidRPr="00700B1E">
        <w:t>additional sites, providing for up to 20,000 additional support sessions per year. This critical service provides specialised counselling and support for families affected by violence, including help for children who witness and/or experience violence.</w:t>
      </w:r>
    </w:p>
    <w:p w:rsidR="007240D1" w:rsidRDefault="004C246B" w:rsidP="00700B1E">
      <w:pPr>
        <w:ind w:left="426"/>
      </w:pPr>
      <w:r w:rsidRPr="00965CA3">
        <w:t xml:space="preserve">A Fact Sheet relating to the Specialised Family Violence Services grant opportunity </w:t>
      </w:r>
      <w:proofErr w:type="gramStart"/>
      <w:r w:rsidRPr="00965CA3">
        <w:t xml:space="preserve">can be </w:t>
      </w:r>
      <w:r w:rsidR="00965CA3" w:rsidRPr="00965CA3">
        <w:t>accessed</w:t>
      </w:r>
      <w:proofErr w:type="gramEnd"/>
      <w:r w:rsidR="00965CA3" w:rsidRPr="00965CA3">
        <w:t xml:space="preserve"> </w:t>
      </w:r>
      <w:hyperlink r:id="rId10" w:history="1">
        <w:r w:rsidR="001E5D80" w:rsidRPr="001E5D80">
          <w:rPr>
            <w:rStyle w:val="Hyperlink"/>
          </w:rPr>
          <w:t>here</w:t>
        </w:r>
      </w:hyperlink>
      <w:r w:rsidR="001E5D80">
        <w:t xml:space="preserve">. </w:t>
      </w:r>
    </w:p>
    <w:p w:rsidR="00700B1E" w:rsidRPr="00700B1E" w:rsidRDefault="00700B1E" w:rsidP="00700B1E">
      <w:pPr>
        <w:ind w:left="426"/>
      </w:pPr>
      <w:r>
        <w:t xml:space="preserve">Further information on this package </w:t>
      </w:r>
      <w:proofErr w:type="gramStart"/>
      <w:r>
        <w:t>can be found</w:t>
      </w:r>
      <w:proofErr w:type="gramEnd"/>
      <w:r>
        <w:t xml:space="preserve"> on the </w:t>
      </w:r>
      <w:hyperlink r:id="rId11" w:history="1">
        <w:r w:rsidRPr="00700B1E">
          <w:rPr>
            <w:rStyle w:val="Hyperlink"/>
          </w:rPr>
          <w:t>Department of Social Services</w:t>
        </w:r>
      </w:hyperlink>
      <w:r>
        <w:t xml:space="preserve"> website. </w:t>
      </w:r>
    </w:p>
    <w:p w:rsidR="007F402A" w:rsidRDefault="007F402A" w:rsidP="0075086E">
      <w:pPr>
        <w:pStyle w:val="Heading2"/>
        <w:numPr>
          <w:ilvl w:val="0"/>
          <w:numId w:val="6"/>
        </w:numPr>
        <w:ind w:left="426" w:hanging="426"/>
      </w:pPr>
      <w:r>
        <w:lastRenderedPageBreak/>
        <w:t xml:space="preserve">I have received more than one letter of invitation. How many </w:t>
      </w:r>
      <w:r w:rsidR="00456FCB">
        <w:t>applications d</w:t>
      </w:r>
      <w:r>
        <w:t>o I need to submit?</w:t>
      </w:r>
    </w:p>
    <w:p w:rsidR="006917C5" w:rsidRDefault="0058017C" w:rsidP="006917C5">
      <w:pPr>
        <w:pStyle w:val="BodyText"/>
        <w:ind w:left="426"/>
      </w:pPr>
      <w:r>
        <w:t>Your organisation can only submit one application for this selection round.</w:t>
      </w:r>
      <w:r w:rsidR="006917C5" w:rsidRPr="004D3EBE">
        <w:t xml:space="preserve"> </w:t>
      </w:r>
      <w:r w:rsidR="002F4A06">
        <w:t>See question 2</w:t>
      </w:r>
      <w:r w:rsidR="00351CE0">
        <w:t>5</w:t>
      </w:r>
      <w:r w:rsidR="002F4A06">
        <w:t>.</w:t>
      </w:r>
    </w:p>
    <w:p w:rsidR="0075086E" w:rsidRPr="0075086E" w:rsidRDefault="0075086E" w:rsidP="0058017C">
      <w:pPr>
        <w:pStyle w:val="Heading2"/>
        <w:numPr>
          <w:ilvl w:val="0"/>
          <w:numId w:val="6"/>
        </w:numPr>
        <w:ind w:left="426" w:hanging="426"/>
      </w:pPr>
      <w:r w:rsidRPr="005E36ED">
        <w:t>Is the funding ongoing?</w:t>
      </w:r>
    </w:p>
    <w:p w:rsidR="0075086E" w:rsidRDefault="0075086E" w:rsidP="0075086E">
      <w:pPr>
        <w:ind w:firstLine="426"/>
      </w:pPr>
      <w:r>
        <w:t xml:space="preserve">No. If successful, the funding </w:t>
      </w:r>
      <w:proofErr w:type="gramStart"/>
      <w:r>
        <w:t>will be provided</w:t>
      </w:r>
      <w:proofErr w:type="gramEnd"/>
      <w:r>
        <w:t xml:space="preserve"> over a </w:t>
      </w:r>
      <w:r w:rsidR="00DA3883">
        <w:t>three</w:t>
      </w:r>
      <w:r w:rsidR="007D0636">
        <w:t>-</w:t>
      </w:r>
      <w:r>
        <w:t>year grant agreement.</w:t>
      </w:r>
    </w:p>
    <w:p w:rsidR="0075086E" w:rsidRPr="0075086E" w:rsidRDefault="0075086E" w:rsidP="0075086E">
      <w:pPr>
        <w:pStyle w:val="Heading2"/>
        <w:numPr>
          <w:ilvl w:val="0"/>
          <w:numId w:val="6"/>
        </w:numPr>
        <w:ind w:left="426" w:hanging="426"/>
      </w:pPr>
      <w:r w:rsidRPr="005E36ED">
        <w:t>Is my organisation eligible to apply?</w:t>
      </w:r>
    </w:p>
    <w:p w:rsidR="0075086E" w:rsidRPr="0075086E" w:rsidRDefault="007F402A" w:rsidP="0075086E">
      <w:pPr>
        <w:ind w:left="426"/>
      </w:pPr>
      <w:r>
        <w:t xml:space="preserve">To be eligible </w:t>
      </w:r>
      <w:r w:rsidR="005C568C">
        <w:t xml:space="preserve">to apply </w:t>
      </w:r>
      <w:r>
        <w:t xml:space="preserve">for this funding opportunity, </w:t>
      </w:r>
      <w:r w:rsidR="005C568C">
        <w:t>you must have received a letter</w:t>
      </w:r>
      <w:r w:rsidR="006917C5">
        <w:t xml:space="preserve"> inviting you to apply for</w:t>
      </w:r>
      <w:r>
        <w:t xml:space="preserve"> funding</w:t>
      </w:r>
      <w:r w:rsidR="005C568C">
        <w:t>.</w:t>
      </w:r>
      <w:r w:rsidR="006917C5" w:rsidRPr="006917C5">
        <w:t xml:space="preserve"> </w:t>
      </w:r>
    </w:p>
    <w:p w:rsidR="00EF2946" w:rsidRPr="00ED4271" w:rsidRDefault="00CF0A03" w:rsidP="00CF0A03">
      <w:pPr>
        <w:pStyle w:val="Heading2"/>
        <w:numPr>
          <w:ilvl w:val="0"/>
          <w:numId w:val="6"/>
        </w:numPr>
        <w:ind w:left="426" w:hanging="426"/>
        <w:rPr>
          <w:rFonts w:eastAsia="Calibri"/>
        </w:rPr>
      </w:pPr>
      <w:r w:rsidRPr="00ED4271">
        <w:rPr>
          <w:rFonts w:eastAsia="Calibri"/>
        </w:rPr>
        <w:t xml:space="preserve">What service delivery catchment area is this funding </w:t>
      </w:r>
      <w:proofErr w:type="gramStart"/>
      <w:r w:rsidRPr="00ED4271">
        <w:rPr>
          <w:rFonts w:eastAsia="Calibri"/>
        </w:rPr>
        <w:t>for</w:t>
      </w:r>
      <w:proofErr w:type="gramEnd"/>
      <w:r w:rsidRPr="00ED4271">
        <w:rPr>
          <w:rFonts w:eastAsia="Calibri"/>
        </w:rPr>
        <w:t xml:space="preserve">? </w:t>
      </w:r>
    </w:p>
    <w:p w:rsidR="00EF2946" w:rsidRPr="00ED4271" w:rsidRDefault="00EF2946" w:rsidP="00DA3883">
      <w:pPr>
        <w:pStyle w:val="BodyText"/>
        <w:ind w:left="426"/>
      </w:pPr>
      <w:r w:rsidRPr="00ED4271">
        <w:t>You will only be required to deliver services to your existing service delivery catchment area</w:t>
      </w:r>
      <w:r w:rsidR="005876D2">
        <w:t>,</w:t>
      </w:r>
      <w:r w:rsidR="00DA3883">
        <w:t xml:space="preserve"> which </w:t>
      </w:r>
      <w:proofErr w:type="gramStart"/>
      <w:r w:rsidR="00DA3883">
        <w:t>are outlined</w:t>
      </w:r>
      <w:proofErr w:type="gramEnd"/>
      <w:r w:rsidR="00DA3883">
        <w:t xml:space="preserve"> in your </w:t>
      </w:r>
      <w:r w:rsidR="004B65B6">
        <w:t xml:space="preserve">current grant agreement listing your </w:t>
      </w:r>
      <w:r w:rsidR="00DA3883">
        <w:t xml:space="preserve">Family and Relationship Services </w:t>
      </w:r>
      <w:r w:rsidR="004B65B6">
        <w:t>Activity details</w:t>
      </w:r>
      <w:r w:rsidR="00DA3883">
        <w:t xml:space="preserve">. </w:t>
      </w:r>
    </w:p>
    <w:p w:rsidR="00EF2946" w:rsidRPr="00ED4271" w:rsidRDefault="00EF2946" w:rsidP="00EF2946">
      <w:pPr>
        <w:pStyle w:val="BodyText"/>
        <w:ind w:left="426"/>
      </w:pPr>
      <w:r w:rsidRPr="00ED4271">
        <w:t xml:space="preserve">While you are required to complete your application based on </w:t>
      </w:r>
      <w:r w:rsidR="0058017C">
        <w:t xml:space="preserve">the </w:t>
      </w:r>
      <w:r w:rsidRPr="00ED4271">
        <w:t xml:space="preserve">particular </w:t>
      </w:r>
      <w:r w:rsidR="0058017C">
        <w:t>service delivery locations listed in your Family and Relationship Services grant agreement,</w:t>
      </w:r>
      <w:r w:rsidRPr="00ED4271">
        <w:t xml:space="preserve"> you </w:t>
      </w:r>
      <w:proofErr w:type="gramStart"/>
      <w:r w:rsidRPr="00ED4271">
        <w:t>will not be required</w:t>
      </w:r>
      <w:proofErr w:type="gramEnd"/>
      <w:r w:rsidRPr="00ED4271">
        <w:t xml:space="preserve"> to deliver services to those areas where you are not already doing so.</w:t>
      </w:r>
    </w:p>
    <w:p w:rsidR="00EF2946" w:rsidRDefault="00EF2946" w:rsidP="00EF2946">
      <w:pPr>
        <w:pStyle w:val="BodyText"/>
        <w:ind w:left="426"/>
      </w:pPr>
      <w:r w:rsidRPr="00ED4271">
        <w:t xml:space="preserve">If you do decide to deliver services in other parts and which are not part of your existing service delivery catchment area, no additional funding </w:t>
      </w:r>
      <w:proofErr w:type="gramStart"/>
      <w:r w:rsidRPr="00ED4271">
        <w:t>will be provided</w:t>
      </w:r>
      <w:proofErr w:type="gramEnd"/>
      <w:r w:rsidRPr="00ED4271">
        <w:t>.</w:t>
      </w:r>
    </w:p>
    <w:p w:rsidR="00511B42" w:rsidRPr="00ED4271" w:rsidRDefault="00511B42" w:rsidP="00511B42">
      <w:pPr>
        <w:pStyle w:val="BodyText"/>
        <w:ind w:left="426"/>
      </w:pPr>
      <w:r>
        <w:t xml:space="preserve">You will be required to allocate funding amounts per service area in the application form. If you only provide services in one service area as indicated on your invitation, you </w:t>
      </w:r>
      <w:r w:rsidR="0060429E">
        <w:t xml:space="preserve">should </w:t>
      </w:r>
      <w:r>
        <w:t xml:space="preserve">input the full funding amount offered against that service area. </w:t>
      </w:r>
    </w:p>
    <w:p w:rsidR="00046AC0" w:rsidRPr="00ED4271" w:rsidRDefault="00046AC0" w:rsidP="00046AC0">
      <w:pPr>
        <w:pStyle w:val="Heading2"/>
        <w:numPr>
          <w:ilvl w:val="0"/>
          <w:numId w:val="6"/>
        </w:numPr>
        <w:ind w:left="426" w:hanging="426"/>
        <w:rPr>
          <w:rFonts w:eastAsia="Calibri"/>
        </w:rPr>
      </w:pPr>
      <w:r w:rsidRPr="00ED4271">
        <w:rPr>
          <w:rFonts w:eastAsia="Calibri"/>
        </w:rPr>
        <w:t>Do word limits apply to</w:t>
      </w:r>
      <w:r w:rsidR="007E7824" w:rsidRPr="00ED4271">
        <w:rPr>
          <w:rFonts w:eastAsia="Calibri"/>
        </w:rPr>
        <w:t xml:space="preserve"> my application?</w:t>
      </w:r>
      <w:r w:rsidRPr="00ED4271">
        <w:rPr>
          <w:rFonts w:eastAsia="Calibri"/>
        </w:rPr>
        <w:t xml:space="preserve"> </w:t>
      </w:r>
    </w:p>
    <w:p w:rsidR="00046AC0" w:rsidRPr="003301CD" w:rsidRDefault="00046AC0" w:rsidP="003301CD">
      <w:pPr>
        <w:ind w:left="426"/>
        <w:rPr>
          <w:lang w:eastAsia="en-AU"/>
        </w:rPr>
      </w:pPr>
      <w:r w:rsidRPr="00ED4271">
        <w:rPr>
          <w:lang w:eastAsia="en-AU"/>
        </w:rPr>
        <w:t xml:space="preserve">Yes, there is a </w:t>
      </w:r>
      <w:r w:rsidR="007E7824" w:rsidRPr="00ED4271">
        <w:rPr>
          <w:lang w:eastAsia="en-AU"/>
        </w:rPr>
        <w:t xml:space="preserve">total </w:t>
      </w:r>
      <w:r w:rsidRPr="00ED4271">
        <w:rPr>
          <w:lang w:eastAsia="en-AU"/>
        </w:rPr>
        <w:t xml:space="preserve">word limit of </w:t>
      </w:r>
      <w:r w:rsidR="00405BC2">
        <w:rPr>
          <w:lang w:eastAsia="en-AU"/>
        </w:rPr>
        <w:t>6,000 characters</w:t>
      </w:r>
      <w:r w:rsidR="00842F34" w:rsidRPr="00ED4271">
        <w:rPr>
          <w:lang w:eastAsia="en-AU"/>
        </w:rPr>
        <w:t xml:space="preserve"> </w:t>
      </w:r>
      <w:r w:rsidR="007F402A" w:rsidRPr="00ED4271">
        <w:rPr>
          <w:lang w:eastAsia="en-AU"/>
        </w:rPr>
        <w:t>for</w:t>
      </w:r>
      <w:r w:rsidR="007E7824" w:rsidRPr="00ED4271">
        <w:rPr>
          <w:lang w:eastAsia="en-AU"/>
        </w:rPr>
        <w:t xml:space="preserve"> addressing </w:t>
      </w:r>
      <w:r w:rsidR="00E1242B">
        <w:rPr>
          <w:lang w:eastAsia="en-AU"/>
        </w:rPr>
        <w:t>each</w:t>
      </w:r>
      <w:r w:rsidR="007E7824" w:rsidRPr="00ED4271">
        <w:rPr>
          <w:lang w:eastAsia="en-AU"/>
        </w:rPr>
        <w:t xml:space="preserve"> sele</w:t>
      </w:r>
      <w:r w:rsidR="006A7938" w:rsidRPr="00ED4271">
        <w:rPr>
          <w:lang w:eastAsia="en-AU"/>
        </w:rPr>
        <w:t>ction criterion</w:t>
      </w:r>
      <w:r w:rsidR="00842F34" w:rsidRPr="00ED4271">
        <w:rPr>
          <w:lang w:eastAsia="en-AU"/>
        </w:rPr>
        <w:t>.</w:t>
      </w:r>
      <w:r>
        <w:rPr>
          <w:lang w:eastAsia="en-AU"/>
        </w:rPr>
        <w:t xml:space="preserve"> </w:t>
      </w:r>
    </w:p>
    <w:p w:rsidR="00A20C66" w:rsidRPr="00A20C66" w:rsidRDefault="00242EE0" w:rsidP="00A20C66">
      <w:pPr>
        <w:pStyle w:val="Heading2"/>
        <w:numPr>
          <w:ilvl w:val="0"/>
          <w:numId w:val="6"/>
        </w:numPr>
        <w:ind w:left="426" w:hanging="426"/>
        <w:rPr>
          <w:rFonts w:eastAsia="Calibri"/>
        </w:rPr>
      </w:pPr>
      <w:r>
        <w:rPr>
          <w:rFonts w:eastAsia="Calibri"/>
        </w:rPr>
        <w:t>I</w:t>
      </w:r>
      <w:r w:rsidR="00A20C66" w:rsidRPr="00A20C66">
        <w:rPr>
          <w:rFonts w:eastAsia="Calibri"/>
        </w:rPr>
        <w:t>f my organisation is successful, when can we expect payments?</w:t>
      </w:r>
    </w:p>
    <w:p w:rsidR="00A20C66" w:rsidRDefault="00242EE0" w:rsidP="00A20C66">
      <w:pPr>
        <w:ind w:left="426"/>
      </w:pPr>
      <w:r>
        <w:t>S</w:t>
      </w:r>
      <w:r w:rsidR="00A20C66">
        <w:t>uccessful organisation</w:t>
      </w:r>
      <w:r>
        <w:t>s</w:t>
      </w:r>
      <w:r w:rsidR="00A20C66">
        <w:t xml:space="preserve"> </w:t>
      </w:r>
      <w:proofErr w:type="gramStart"/>
      <w:r w:rsidR="00A20C66" w:rsidRPr="00E6314D">
        <w:t xml:space="preserve">will be </w:t>
      </w:r>
      <w:r w:rsidR="00A20C66">
        <w:t>contacted</w:t>
      </w:r>
      <w:proofErr w:type="gramEnd"/>
      <w:r w:rsidR="00A20C66">
        <w:t xml:space="preserve"> to enter negotiations and to execute a grant agreement with the Department of Social Services.</w:t>
      </w:r>
      <w:r w:rsidR="00A20C66" w:rsidRPr="00E6314D">
        <w:t xml:space="preserve"> The grant will be made available once the</w:t>
      </w:r>
      <w:r w:rsidR="00A20C66">
        <w:t xml:space="preserve"> grant agreement has been executed, and as per the payment schedule in the grant agreement.</w:t>
      </w:r>
    </w:p>
    <w:p w:rsidR="00A20C66" w:rsidRPr="00A20C66" w:rsidRDefault="00A20C66" w:rsidP="00A20C66">
      <w:pPr>
        <w:pStyle w:val="Heading2"/>
        <w:numPr>
          <w:ilvl w:val="0"/>
          <w:numId w:val="6"/>
        </w:numPr>
        <w:ind w:left="426" w:hanging="426"/>
        <w:rPr>
          <w:rFonts w:eastAsia="Calibri"/>
        </w:rPr>
      </w:pPr>
      <w:r w:rsidRPr="00A20C66">
        <w:rPr>
          <w:rFonts w:eastAsia="Calibri"/>
        </w:rPr>
        <w:t>What is the Data Exchange?</w:t>
      </w:r>
    </w:p>
    <w:p w:rsidR="00A20C66" w:rsidRDefault="00A20C66" w:rsidP="00A20C66">
      <w:pPr>
        <w:ind w:left="426"/>
      </w:pPr>
      <w:r>
        <w:t xml:space="preserve">The Data Exchange is the performance reporting system for the Department of Social Services. It </w:t>
      </w:r>
      <w:proofErr w:type="gramStart"/>
      <w:r>
        <w:t>must be used</w:t>
      </w:r>
      <w:proofErr w:type="gramEnd"/>
      <w:r>
        <w:t xml:space="preserve"> by organisations that are funded under grant agreements to deliver services to clients. There are a small number of data items that </w:t>
      </w:r>
      <w:proofErr w:type="gramStart"/>
      <w:r>
        <w:t>must be captured</w:t>
      </w:r>
      <w:proofErr w:type="gramEnd"/>
      <w:r>
        <w:t xml:space="preserve"> in the Data Exchange –</w:t>
      </w:r>
      <w:r w:rsidR="007F50D9">
        <w:t xml:space="preserve"> </w:t>
      </w:r>
      <w:r w:rsidR="00312DF4">
        <w:t>including</w:t>
      </w:r>
      <w:r>
        <w:t xml:space="preserve"> information about client details, case and session details, and client </w:t>
      </w:r>
      <w:r>
        <w:lastRenderedPageBreak/>
        <w:t xml:space="preserve">consent to participate in follow-up research. Service providers can access their own reports via the Data Exchange web-based portal. These reports </w:t>
      </w:r>
      <w:proofErr w:type="gramStart"/>
      <w:r>
        <w:t>are based</w:t>
      </w:r>
      <w:proofErr w:type="gramEnd"/>
      <w:r>
        <w:t xml:space="preserve"> on the information submitted by their organisation.</w:t>
      </w:r>
    </w:p>
    <w:p w:rsidR="00A20C66" w:rsidRDefault="00A20C66" w:rsidP="00A20C66">
      <w:pPr>
        <w:ind w:left="426"/>
      </w:pPr>
      <w:r>
        <w:t xml:space="preserve">Service providers can choose to collect further data in exchange for access to a more sophisticated suite of reports. This further data includes information about the client’s presenting needs and circumstances, referrals, and outcomes. </w:t>
      </w:r>
    </w:p>
    <w:p w:rsidR="00A20C66" w:rsidRDefault="00A20C66" w:rsidP="00A20C66">
      <w:pPr>
        <w:ind w:left="426"/>
        <w:rPr>
          <w:rStyle w:val="Hyperlink"/>
          <w:rFonts w:cstheme="minorHAnsi"/>
          <w:lang w:val="en-GB"/>
        </w:rPr>
      </w:pPr>
      <w:r>
        <w:rPr>
          <w:rFonts w:cstheme="minorHAnsi"/>
        </w:rPr>
        <w:t>Further i</w:t>
      </w:r>
      <w:r w:rsidRPr="000048E2">
        <w:rPr>
          <w:rFonts w:cstheme="minorHAnsi"/>
        </w:rPr>
        <w:t xml:space="preserve">nformation </w:t>
      </w:r>
      <w:r>
        <w:rPr>
          <w:rFonts w:cstheme="minorHAnsi"/>
        </w:rPr>
        <w:t xml:space="preserve">about what is required through the Data Exchange is </w:t>
      </w:r>
      <w:r w:rsidR="006F6F7A">
        <w:rPr>
          <w:rFonts w:cstheme="minorHAnsi"/>
        </w:rPr>
        <w:t xml:space="preserve">on the </w:t>
      </w:r>
      <w:hyperlink r:id="rId12" w:history="1">
        <w:r w:rsidR="006F6F7A" w:rsidRPr="006F6F7A">
          <w:rPr>
            <w:rStyle w:val="Hyperlink"/>
            <w:rFonts w:cstheme="minorHAnsi"/>
          </w:rPr>
          <w:t>Data Exchange website</w:t>
        </w:r>
      </w:hyperlink>
      <w:r w:rsidR="006F6F7A">
        <w:rPr>
          <w:rFonts w:cstheme="minorHAnsi"/>
        </w:rPr>
        <w:t xml:space="preserve">. </w:t>
      </w:r>
    </w:p>
    <w:p w:rsidR="0058017C" w:rsidRDefault="0058017C" w:rsidP="0058017C">
      <w:pPr>
        <w:pStyle w:val="Heading2"/>
        <w:numPr>
          <w:ilvl w:val="0"/>
          <w:numId w:val="6"/>
        </w:numPr>
        <w:ind w:left="426" w:hanging="426"/>
        <w:rPr>
          <w:rFonts w:eastAsia="Calibri"/>
        </w:rPr>
      </w:pPr>
      <w:r w:rsidRPr="0058017C">
        <w:rPr>
          <w:rFonts w:eastAsia="Calibri"/>
        </w:rPr>
        <w:t>Does my organisation have to provide any additional reporting for this funding?</w:t>
      </w:r>
    </w:p>
    <w:p w:rsidR="00700B1E" w:rsidRDefault="00700B1E" w:rsidP="00700B1E">
      <w:pPr>
        <w:ind w:left="426"/>
      </w:pPr>
      <w:r>
        <w:t xml:space="preserve">Successful providers are required to report against the </w:t>
      </w:r>
      <w:r w:rsidRPr="00700B1E">
        <w:t xml:space="preserve">DEX partnership approach. </w:t>
      </w:r>
    </w:p>
    <w:p w:rsidR="0058017C" w:rsidRPr="0058017C" w:rsidRDefault="00700B1E" w:rsidP="00700B1E">
      <w:pPr>
        <w:ind w:left="426"/>
      </w:pPr>
      <w:r>
        <w:t xml:space="preserve">Additionally, </w:t>
      </w:r>
      <w:r w:rsidRPr="00700B1E">
        <w:t>the Department may ask for additional information</w:t>
      </w:r>
      <w:r>
        <w:t xml:space="preserve"> to support the implementation of the Fourth Action Plan under the </w:t>
      </w:r>
      <w:r w:rsidRPr="00700B1E">
        <w:rPr>
          <w:i/>
        </w:rPr>
        <w:t>National Plan to Reduce Violence against Women and their Children</w:t>
      </w:r>
      <w:r w:rsidR="00C82A32">
        <w:rPr>
          <w:i/>
        </w:rPr>
        <w:t xml:space="preserve"> 2010-2022</w:t>
      </w:r>
      <w:r w:rsidRPr="00700B1E">
        <w:t xml:space="preserve">. This requirement </w:t>
      </w:r>
      <w:proofErr w:type="gramStart"/>
      <w:r w:rsidRPr="00700B1E">
        <w:t>will be listed</w:t>
      </w:r>
      <w:proofErr w:type="gramEnd"/>
      <w:r w:rsidRPr="00700B1E">
        <w:t xml:space="preserve"> as part of the Activity Work Plan.  </w:t>
      </w:r>
    </w:p>
    <w:p w:rsidR="00A20C66" w:rsidRPr="00A20C66" w:rsidRDefault="00242EE0" w:rsidP="00A20C66">
      <w:pPr>
        <w:pStyle w:val="Heading2"/>
        <w:numPr>
          <w:ilvl w:val="0"/>
          <w:numId w:val="6"/>
        </w:numPr>
        <w:ind w:left="426" w:hanging="426"/>
        <w:rPr>
          <w:rFonts w:eastAsia="Calibri"/>
        </w:rPr>
      </w:pPr>
      <w:r>
        <w:rPr>
          <w:rFonts w:eastAsia="Calibri"/>
        </w:rPr>
        <w:t xml:space="preserve">Do </w:t>
      </w:r>
      <w:r w:rsidR="00A20C66" w:rsidRPr="00A20C66">
        <w:rPr>
          <w:rFonts w:eastAsia="Calibri"/>
        </w:rPr>
        <w:t>successful applicant</w:t>
      </w:r>
      <w:r>
        <w:rPr>
          <w:rFonts w:eastAsia="Calibri"/>
        </w:rPr>
        <w:t>s</w:t>
      </w:r>
      <w:r w:rsidR="00A20C66" w:rsidRPr="00A20C66">
        <w:rPr>
          <w:rFonts w:eastAsia="Calibri"/>
        </w:rPr>
        <w:t xml:space="preserve"> have to report information through the Data Exchange?</w:t>
      </w:r>
    </w:p>
    <w:p w:rsidR="00A20C66" w:rsidRDefault="00242EE0" w:rsidP="00A20C66">
      <w:pPr>
        <w:ind w:left="426"/>
      </w:pPr>
      <w:r>
        <w:t>Yes. S</w:t>
      </w:r>
      <w:r w:rsidR="00A20C66">
        <w:t>uccessful applicant</w:t>
      </w:r>
      <w:r>
        <w:t>s</w:t>
      </w:r>
      <w:r w:rsidR="00A20C66">
        <w:t xml:space="preserve"> must use the Data Exchange to report data </w:t>
      </w:r>
      <w:r w:rsidR="00A20C66" w:rsidRPr="00ED4271">
        <w:t xml:space="preserve">about </w:t>
      </w:r>
      <w:r w:rsidR="007F402A" w:rsidRPr="00ED4271">
        <w:t>its activities.</w:t>
      </w:r>
      <w:r w:rsidR="007F402A">
        <w:t xml:space="preserve"> </w:t>
      </w:r>
    </w:p>
    <w:p w:rsidR="00312DF4" w:rsidRPr="00ED4271" w:rsidRDefault="00A20C66" w:rsidP="00A20C66">
      <w:pPr>
        <w:ind w:left="426"/>
      </w:pPr>
      <w:r w:rsidRPr="009A4A0A">
        <w:t xml:space="preserve">As noted </w:t>
      </w:r>
      <w:r w:rsidRPr="00ED4271">
        <w:t xml:space="preserve">in </w:t>
      </w:r>
      <w:r w:rsidR="004806AD" w:rsidRPr="00421DFD">
        <w:t xml:space="preserve">section </w:t>
      </w:r>
      <w:r w:rsidR="00421DFD" w:rsidRPr="00421DFD">
        <w:t xml:space="preserve">12.2 </w:t>
      </w:r>
      <w:r w:rsidRPr="00421DFD">
        <w:t>of the Gr</w:t>
      </w:r>
      <w:r w:rsidR="00242EE0" w:rsidRPr="00421DFD">
        <w:t xml:space="preserve">ant </w:t>
      </w:r>
      <w:r w:rsidR="00242EE0">
        <w:t xml:space="preserve">Opportunity Guidelines, </w:t>
      </w:r>
      <w:r w:rsidRPr="00ED4271">
        <w:t>successful applicant</w:t>
      </w:r>
      <w:r w:rsidR="00242EE0">
        <w:t>s</w:t>
      </w:r>
      <w:r w:rsidRPr="00ED4271">
        <w:t xml:space="preserve"> must enter a grant agreement that requires participation in the partnership approach. This will ensure that a rich set of information is available about client outcomes to help inform both the service provider and government. </w:t>
      </w:r>
    </w:p>
    <w:p w:rsidR="00A20C66" w:rsidRPr="00ED4271" w:rsidRDefault="00A20C66" w:rsidP="00A20C66">
      <w:pPr>
        <w:pStyle w:val="Heading2"/>
        <w:numPr>
          <w:ilvl w:val="0"/>
          <w:numId w:val="6"/>
        </w:numPr>
        <w:ind w:left="426" w:hanging="426"/>
        <w:rPr>
          <w:rFonts w:eastAsia="Calibri"/>
        </w:rPr>
      </w:pPr>
      <w:r w:rsidRPr="00ED4271">
        <w:rPr>
          <w:rFonts w:eastAsia="Calibri"/>
        </w:rPr>
        <w:t xml:space="preserve">What is the Social and Community Services (SACS) supplementation? </w:t>
      </w:r>
    </w:p>
    <w:p w:rsidR="00A20C66" w:rsidRPr="00ED4271" w:rsidRDefault="00A20C66" w:rsidP="00A20C66">
      <w:pPr>
        <w:ind w:left="426"/>
      </w:pPr>
      <w:r w:rsidRPr="00ED4271">
        <w:t xml:space="preserve">On 1 February 2012, Fair Work Australia (now the Fair Work Commission) made a decision to increase wages for the social and community services sector from 1 December 2012. That decision affected workers employed under the Social, Community, Home Care and Disability Services Industry Award 2010. </w:t>
      </w:r>
    </w:p>
    <w:p w:rsidR="00A20C66" w:rsidRPr="00ED4271" w:rsidRDefault="00A20C66" w:rsidP="00A20C66">
      <w:pPr>
        <w:ind w:left="426"/>
      </w:pPr>
      <w:r w:rsidRPr="00ED4271">
        <w:t xml:space="preserve">The Australian Government made a commitment to pay a supplement to organisations that deliver certain programs to enable those organisations to provide their workers with the increased pay. The commitment was to provide this supplementation through to 30 June 2021. </w:t>
      </w:r>
    </w:p>
    <w:p w:rsidR="00A20C66" w:rsidRPr="00ED4271" w:rsidRDefault="00A20C66" w:rsidP="00A20C66">
      <w:pPr>
        <w:ind w:firstLine="426"/>
        <w:rPr>
          <w:rFonts w:cstheme="minorHAnsi"/>
          <w:lang w:val="en-US"/>
        </w:rPr>
      </w:pPr>
      <w:r w:rsidRPr="00ED4271">
        <w:rPr>
          <w:rFonts w:cstheme="minorHAnsi"/>
        </w:rPr>
        <w:t xml:space="preserve">Further information is available on the </w:t>
      </w:r>
      <w:hyperlink r:id="rId13" w:tooltip="fair pay for social and community services workers" w:history="1">
        <w:r w:rsidRPr="00ED4271">
          <w:rPr>
            <w:rStyle w:val="Hyperlink"/>
            <w:rFonts w:cstheme="minorHAnsi"/>
          </w:rPr>
          <w:t>Department of Social Services</w:t>
        </w:r>
      </w:hyperlink>
      <w:r w:rsidRPr="00ED4271">
        <w:rPr>
          <w:rFonts w:cstheme="minorHAnsi"/>
        </w:rPr>
        <w:t xml:space="preserve"> </w:t>
      </w:r>
      <w:r w:rsidRPr="00ED4271">
        <w:rPr>
          <w:rFonts w:cstheme="minorHAnsi"/>
          <w:lang w:val="en-US"/>
        </w:rPr>
        <w:t>website.</w:t>
      </w:r>
    </w:p>
    <w:p w:rsidR="00A20C66" w:rsidRPr="00ED4271" w:rsidRDefault="00A20C66" w:rsidP="00A20C66">
      <w:pPr>
        <w:pStyle w:val="Heading2"/>
        <w:numPr>
          <w:ilvl w:val="0"/>
          <w:numId w:val="6"/>
        </w:numPr>
        <w:ind w:left="426" w:hanging="426"/>
        <w:rPr>
          <w:rFonts w:eastAsia="Calibri"/>
        </w:rPr>
      </w:pPr>
      <w:r w:rsidRPr="00ED4271">
        <w:rPr>
          <w:rFonts w:eastAsia="Calibri"/>
        </w:rPr>
        <w:lastRenderedPageBreak/>
        <w:t>Will our organisation be eligible to receive the SACS supplementation?</w:t>
      </w:r>
    </w:p>
    <w:p w:rsidR="00A20C66" w:rsidRDefault="001536A5" w:rsidP="00A20C66">
      <w:pPr>
        <w:ind w:left="426"/>
      </w:pPr>
      <w:r w:rsidRPr="001536A5">
        <w:t xml:space="preserve">SACS supplementation </w:t>
      </w:r>
      <w:r>
        <w:t>does</w:t>
      </w:r>
      <w:r w:rsidRPr="001536A5">
        <w:t xml:space="preserve"> not extend to new programs that did not exist in February 2012.  As new policy proposals and programs are developed, SACS wage costs (at the relevant award rate) </w:t>
      </w:r>
      <w:r>
        <w:t>need to</w:t>
      </w:r>
      <w:r w:rsidRPr="001536A5">
        <w:t xml:space="preserve"> </w:t>
      </w:r>
      <w:proofErr w:type="gramStart"/>
      <w:r w:rsidRPr="001536A5">
        <w:t>be factored</w:t>
      </w:r>
      <w:proofErr w:type="gramEnd"/>
      <w:r w:rsidRPr="001536A5">
        <w:t xml:space="preserve"> into the baseline program funding.</w:t>
      </w:r>
    </w:p>
    <w:p w:rsidR="00CF285C" w:rsidRDefault="00CF285C" w:rsidP="00DA711A">
      <w:pPr>
        <w:pStyle w:val="Heading2"/>
        <w:numPr>
          <w:ilvl w:val="0"/>
          <w:numId w:val="6"/>
        </w:numPr>
        <w:ind w:left="426" w:hanging="426"/>
        <w:rPr>
          <w:rFonts w:eastAsia="Calibri"/>
        </w:rPr>
      </w:pPr>
      <w:r w:rsidRPr="00DA711A">
        <w:rPr>
          <w:rFonts w:eastAsia="Calibri"/>
        </w:rPr>
        <w:t>Can an organisation apply on behalf of a consortium?</w:t>
      </w:r>
    </w:p>
    <w:p w:rsidR="008546E6" w:rsidRDefault="000D321C" w:rsidP="00990BAB">
      <w:pPr>
        <w:pStyle w:val="BodyText"/>
        <w:ind w:left="426"/>
      </w:pPr>
      <w:r>
        <w:t>An o</w:t>
      </w:r>
      <w:r w:rsidR="009A4A0A">
        <w:t>rganisation</w:t>
      </w:r>
      <w:r>
        <w:t xml:space="preserve"> that </w:t>
      </w:r>
      <w:proofErr w:type="gramStart"/>
      <w:r>
        <w:t>is invited</w:t>
      </w:r>
      <w:proofErr w:type="gramEnd"/>
      <w:r>
        <w:t xml:space="preserve"> to apply for funding</w:t>
      </w:r>
      <w:r w:rsidR="004806AD">
        <w:t xml:space="preserve"> may apply as a consortium</w:t>
      </w:r>
      <w:r w:rsidR="007A2A5C">
        <w:t xml:space="preserve">, whether or not they are currently delivering services as part of a consortium arrangement under the grant agreement. </w:t>
      </w:r>
    </w:p>
    <w:p w:rsidR="009A4A0A" w:rsidRPr="00990BAB" w:rsidRDefault="004806AD" w:rsidP="00990BAB">
      <w:pPr>
        <w:pStyle w:val="BodyText"/>
        <w:ind w:left="426"/>
      </w:pPr>
      <w:r>
        <w:t>The</w:t>
      </w:r>
      <w:r w:rsidR="009A4A0A">
        <w:t xml:space="preserve"> organisation </w:t>
      </w:r>
      <w:r>
        <w:t xml:space="preserve">that </w:t>
      </w:r>
      <w:proofErr w:type="gramStart"/>
      <w:r>
        <w:t>is invited</w:t>
      </w:r>
      <w:proofErr w:type="gramEnd"/>
      <w:r>
        <w:t xml:space="preserve"> to apply for this funding opportunity </w:t>
      </w:r>
      <w:r w:rsidR="009A4A0A">
        <w:t>must be a</w:t>
      </w:r>
      <w:r w:rsidR="000D321C">
        <w:t>ppointed as the ‘lead applicant</w:t>
      </w:r>
      <w:r w:rsidR="009A4A0A">
        <w:t>’ and be responsible for</w:t>
      </w:r>
      <w:r>
        <w:t xml:space="preserve"> completing the application</w:t>
      </w:r>
      <w:r w:rsidR="00160D1E">
        <w:t>, and entering into the g</w:t>
      </w:r>
      <w:r w:rsidR="00D81EB9">
        <w:t xml:space="preserve">rant </w:t>
      </w:r>
      <w:r w:rsidR="00160D1E">
        <w:t>a</w:t>
      </w:r>
      <w:r w:rsidR="00D81EB9">
        <w:t>greement</w:t>
      </w:r>
      <w:r w:rsidR="000D321C">
        <w:t xml:space="preserve"> (subject to being assessed as successful)</w:t>
      </w:r>
      <w:r w:rsidR="009A4A0A">
        <w:t xml:space="preserve">. </w:t>
      </w:r>
      <w:r w:rsidR="000D321C">
        <w:t xml:space="preserve">The lead </w:t>
      </w:r>
      <w:r w:rsidR="008546E6">
        <w:t>appli</w:t>
      </w:r>
      <w:r w:rsidR="006E4D50">
        <w:t>cant may form a consortium</w:t>
      </w:r>
      <w:r w:rsidR="008546E6">
        <w:t xml:space="preserve"> with an organisation(s) that is not eligible</w:t>
      </w:r>
      <w:r w:rsidR="00160D1E">
        <w:t xml:space="preserve">, </w:t>
      </w:r>
      <w:r w:rsidR="008546E6">
        <w:t xml:space="preserve">i.e. they </w:t>
      </w:r>
      <w:proofErr w:type="gramStart"/>
      <w:r w:rsidR="008546E6">
        <w:t>have not been invited</w:t>
      </w:r>
      <w:proofErr w:type="gramEnd"/>
      <w:r w:rsidR="008546E6">
        <w:t xml:space="preserve"> to apply for funding. </w:t>
      </w:r>
      <w:r w:rsidR="009A4A0A">
        <w:t>Further information about cons</w:t>
      </w:r>
      <w:r>
        <w:t>ortia</w:t>
      </w:r>
      <w:r w:rsidR="006E4D50">
        <w:t xml:space="preserve"> arrangements</w:t>
      </w:r>
      <w:r>
        <w:t xml:space="preserve"> </w:t>
      </w:r>
      <w:proofErr w:type="gramStart"/>
      <w:r>
        <w:t>is provided</w:t>
      </w:r>
      <w:proofErr w:type="gramEnd"/>
      <w:r>
        <w:t xml:space="preserve"> in </w:t>
      </w:r>
      <w:r w:rsidR="00E4742F">
        <w:t>section 7.2</w:t>
      </w:r>
      <w:r w:rsidR="009A4A0A">
        <w:t xml:space="preserve"> of th</w:t>
      </w:r>
      <w:r w:rsidR="00E4742F">
        <w:t>e Grant Opportunity Guidelines.</w:t>
      </w:r>
    </w:p>
    <w:p w:rsidR="000F63A3" w:rsidRPr="00DA711A" w:rsidRDefault="000F63A3" w:rsidP="00DA711A">
      <w:pPr>
        <w:pStyle w:val="Heading2"/>
        <w:numPr>
          <w:ilvl w:val="0"/>
          <w:numId w:val="6"/>
        </w:numPr>
        <w:ind w:left="426" w:hanging="426"/>
        <w:rPr>
          <w:rFonts w:eastAsia="Calibri"/>
        </w:rPr>
      </w:pPr>
      <w:r w:rsidRPr="00DA711A">
        <w:rPr>
          <w:rFonts w:eastAsia="Calibri"/>
        </w:rPr>
        <w:t xml:space="preserve">Is there provision to attach letters of support to the application? </w:t>
      </w:r>
    </w:p>
    <w:p w:rsidR="00896C1F" w:rsidRPr="00896C1F" w:rsidRDefault="00096870" w:rsidP="00896C1F">
      <w:pPr>
        <w:ind w:firstLine="426"/>
      </w:pPr>
      <w:r>
        <w:t>Applicants are not ab</w:t>
      </w:r>
      <w:r w:rsidR="00896C1F">
        <w:t>le to provide letters of support</w:t>
      </w:r>
      <w:r>
        <w:t>.</w:t>
      </w:r>
      <w:r w:rsidR="006F6F7A" w:rsidDel="006F6F7A">
        <w:t xml:space="preserve"> </w:t>
      </w:r>
    </w:p>
    <w:p w:rsidR="00896C1F" w:rsidRDefault="00896C1F" w:rsidP="004806AD">
      <w:pPr>
        <w:pStyle w:val="Heading2"/>
        <w:numPr>
          <w:ilvl w:val="0"/>
          <w:numId w:val="6"/>
        </w:numPr>
        <w:ind w:left="426" w:hanging="426"/>
        <w:rPr>
          <w:rFonts w:eastAsia="Calibri"/>
        </w:rPr>
      </w:pPr>
      <w:proofErr w:type="gramStart"/>
      <w:r>
        <w:rPr>
          <w:rFonts w:eastAsia="Calibri"/>
        </w:rPr>
        <w:t>What if my organisation does not want to take up the opportunity to apply for this funding?</w:t>
      </w:r>
      <w:proofErr w:type="gramEnd"/>
    </w:p>
    <w:p w:rsidR="00896C1F" w:rsidRDefault="00DA3883" w:rsidP="00896C1F">
      <w:pPr>
        <w:pStyle w:val="BodyText"/>
        <w:ind w:left="426"/>
      </w:pPr>
      <w:r>
        <w:t>Your organisation is not required to provide an application if it does not wish to apply for this funding.</w:t>
      </w:r>
      <w:r w:rsidR="00896C1F">
        <w:t xml:space="preserve"> </w:t>
      </w:r>
    </w:p>
    <w:p w:rsidR="007A2A5C" w:rsidRPr="00A53743" w:rsidRDefault="0040344F" w:rsidP="007A2A5C">
      <w:pPr>
        <w:pStyle w:val="Heading2"/>
        <w:numPr>
          <w:ilvl w:val="0"/>
          <w:numId w:val="6"/>
        </w:numPr>
        <w:ind w:left="426" w:hanging="426"/>
        <w:rPr>
          <w:rFonts w:eastAsia="Calibri"/>
        </w:rPr>
      </w:pPr>
      <w:r>
        <w:rPr>
          <w:rFonts w:eastAsia="Calibri"/>
        </w:rPr>
        <w:t>What f</w:t>
      </w:r>
      <w:r w:rsidR="007A2A5C" w:rsidRPr="00A53743">
        <w:rPr>
          <w:rFonts w:eastAsia="Calibri"/>
        </w:rPr>
        <w:t>eedback will be available for this funding round</w:t>
      </w:r>
      <w:r w:rsidR="007A2A5C">
        <w:rPr>
          <w:rFonts w:eastAsia="Calibri"/>
        </w:rPr>
        <w:t>?</w:t>
      </w:r>
    </w:p>
    <w:p w:rsidR="007A2A5C" w:rsidRPr="00A53743" w:rsidRDefault="0040344F" w:rsidP="007A2A5C">
      <w:pPr>
        <w:ind w:left="360"/>
      </w:pPr>
      <w:r>
        <w:t>A f</w:t>
      </w:r>
      <w:r w:rsidR="007A2A5C" w:rsidRPr="00A53743">
        <w:t xml:space="preserve">eedback </w:t>
      </w:r>
      <w:r>
        <w:t>s</w:t>
      </w:r>
      <w:r w:rsidR="007A2A5C" w:rsidRPr="00A53743">
        <w:t xml:space="preserve">ummary </w:t>
      </w:r>
      <w:proofErr w:type="gramStart"/>
      <w:r w:rsidR="007A2A5C" w:rsidRPr="00A53743">
        <w:t xml:space="preserve">will be </w:t>
      </w:r>
      <w:r w:rsidR="007A2A5C">
        <w:t>published</w:t>
      </w:r>
      <w:proofErr w:type="gramEnd"/>
      <w:r w:rsidR="007A2A5C">
        <w:t xml:space="preserve"> on the </w:t>
      </w:r>
      <w:r w:rsidR="007A2A5C">
        <w:rPr>
          <w:lang w:eastAsia="en-AU"/>
        </w:rPr>
        <w:t>Community Grants Hub</w:t>
      </w:r>
      <w:r w:rsidR="007A2A5C" w:rsidRPr="00496141">
        <w:rPr>
          <w:lang w:eastAsia="en-AU"/>
        </w:rPr>
        <w:t xml:space="preserve"> </w:t>
      </w:r>
      <w:r w:rsidR="007A2A5C">
        <w:t>website following the finalisation of the funding round.</w:t>
      </w:r>
    </w:p>
    <w:p w:rsidR="007A2A5C" w:rsidRPr="00496141" w:rsidRDefault="0040344F" w:rsidP="007A2A5C">
      <w:pPr>
        <w:ind w:left="360"/>
      </w:pPr>
      <w:r>
        <w:rPr>
          <w:rFonts w:eastAsia="Calibri" w:cs="Arial"/>
        </w:rPr>
        <w:t>The f</w:t>
      </w:r>
      <w:r w:rsidR="007A2A5C" w:rsidRPr="00A53743">
        <w:rPr>
          <w:rFonts w:eastAsia="Calibri" w:cs="Arial"/>
        </w:rPr>
        <w:t xml:space="preserve">eedback </w:t>
      </w:r>
      <w:r>
        <w:rPr>
          <w:rFonts w:eastAsia="Calibri" w:cs="Arial"/>
        </w:rPr>
        <w:t>s</w:t>
      </w:r>
      <w:r w:rsidR="007A2A5C" w:rsidRPr="00A53743">
        <w:rPr>
          <w:rFonts w:eastAsia="Calibri" w:cs="Arial"/>
        </w:rPr>
        <w:t xml:space="preserve">ummary will provide general round-specific information </w:t>
      </w:r>
      <w:r w:rsidR="007A2A5C" w:rsidRPr="00A53743">
        <w:t>and will include main strengths and areas of improvement for the applications received in this round.</w:t>
      </w:r>
    </w:p>
    <w:p w:rsidR="007A2A5C" w:rsidRPr="00496141" w:rsidRDefault="007A2A5C" w:rsidP="007A2A5C">
      <w:pPr>
        <w:ind w:firstLine="360"/>
      </w:pPr>
      <w:r>
        <w:t>Individual feedback is not available for this round.</w:t>
      </w:r>
    </w:p>
    <w:p w:rsidR="007A2A5C" w:rsidRPr="00355B0A" w:rsidRDefault="007A2A5C" w:rsidP="007A2A5C">
      <w:pPr>
        <w:pStyle w:val="Heading2"/>
        <w:numPr>
          <w:ilvl w:val="0"/>
          <w:numId w:val="6"/>
        </w:numPr>
        <w:ind w:left="426" w:hanging="426"/>
        <w:rPr>
          <w:rFonts w:eastAsia="Calibri"/>
        </w:rPr>
      </w:pPr>
      <w:r w:rsidRPr="00355B0A">
        <w:rPr>
          <w:rFonts w:eastAsia="Calibri"/>
        </w:rPr>
        <w:t xml:space="preserve">This is a restricted round – I was not invited can you please advise how I can </w:t>
      </w:r>
      <w:proofErr w:type="gramStart"/>
      <w:r w:rsidRPr="00355B0A">
        <w:rPr>
          <w:rFonts w:eastAsia="Calibri"/>
        </w:rPr>
        <w:t>get</w:t>
      </w:r>
      <w:proofErr w:type="gramEnd"/>
      <w:r w:rsidRPr="00355B0A">
        <w:rPr>
          <w:rFonts w:eastAsia="Calibri"/>
        </w:rPr>
        <w:t xml:space="preserve"> invited?  </w:t>
      </w:r>
    </w:p>
    <w:p w:rsidR="007A2A5C" w:rsidRDefault="007A2A5C" w:rsidP="007A2A5C">
      <w:pPr>
        <w:ind w:left="426"/>
        <w:rPr>
          <w:rFonts w:eastAsia="Calibri"/>
        </w:rPr>
      </w:pPr>
      <w:r w:rsidRPr="00355B0A">
        <w:rPr>
          <w:rFonts w:eastAsia="Calibri"/>
        </w:rPr>
        <w:t xml:space="preserve">Letters of invitation to apply for funding were only sent to organisations </w:t>
      </w:r>
      <w:r w:rsidR="000D321C" w:rsidRPr="00355B0A">
        <w:rPr>
          <w:rFonts w:eastAsia="Calibri"/>
        </w:rPr>
        <w:t xml:space="preserve">that currently provide </w:t>
      </w:r>
      <w:r w:rsidR="00DA3883">
        <w:rPr>
          <w:rFonts w:eastAsia="Calibri"/>
        </w:rPr>
        <w:t>Family and Relationship Services and which currently do not receive Specialised Family Violence Services funding.</w:t>
      </w:r>
      <w:r w:rsidR="00355B0A" w:rsidRPr="00355B0A">
        <w:rPr>
          <w:rFonts w:eastAsia="Calibri"/>
        </w:rPr>
        <w:t xml:space="preserve"> Where a consortia arrangement is in place, the letter</w:t>
      </w:r>
      <w:r w:rsidR="000D321C" w:rsidRPr="00355B0A">
        <w:rPr>
          <w:rFonts w:eastAsia="Calibri"/>
        </w:rPr>
        <w:t xml:space="preserve"> </w:t>
      </w:r>
      <w:r w:rsidR="00355B0A" w:rsidRPr="00355B0A">
        <w:rPr>
          <w:rFonts w:eastAsia="Calibri"/>
        </w:rPr>
        <w:t xml:space="preserve">of invitation </w:t>
      </w:r>
      <w:proofErr w:type="gramStart"/>
      <w:r w:rsidR="00355B0A" w:rsidRPr="00355B0A">
        <w:rPr>
          <w:rFonts w:eastAsia="Calibri"/>
        </w:rPr>
        <w:t>was sent</w:t>
      </w:r>
      <w:proofErr w:type="gramEnd"/>
      <w:r w:rsidR="00355B0A" w:rsidRPr="00355B0A">
        <w:rPr>
          <w:rFonts w:eastAsia="Calibri"/>
        </w:rPr>
        <w:t xml:space="preserve"> to the lead agency.</w:t>
      </w:r>
      <w:r w:rsidRPr="00355B0A">
        <w:rPr>
          <w:rFonts w:eastAsia="Calibri"/>
        </w:rPr>
        <w:t xml:space="preserve"> </w:t>
      </w:r>
      <w:r w:rsidR="00355B0A" w:rsidRPr="00355B0A">
        <w:rPr>
          <w:rFonts w:eastAsia="Calibri"/>
        </w:rPr>
        <w:t>No other organisation can apply for this funding.</w:t>
      </w:r>
      <w:r w:rsidR="00355B0A">
        <w:rPr>
          <w:rFonts w:eastAsia="Calibri"/>
        </w:rPr>
        <w:t xml:space="preserve"> </w:t>
      </w:r>
    </w:p>
    <w:p w:rsidR="00D91EEE" w:rsidRDefault="00D91EEE" w:rsidP="007A2A5C">
      <w:pPr>
        <w:ind w:left="426"/>
        <w:rPr>
          <w:rFonts w:eastAsia="Calibri"/>
        </w:rPr>
      </w:pPr>
      <w:r>
        <w:rPr>
          <w:rFonts w:eastAsia="Calibri"/>
        </w:rPr>
        <w:lastRenderedPageBreak/>
        <w:t xml:space="preserve">If you would like to express interest in possible future funding rounds, please email </w:t>
      </w:r>
      <w:hyperlink r:id="rId14" w:history="1">
        <w:r w:rsidRPr="003C423F">
          <w:rPr>
            <w:rStyle w:val="Hyperlink"/>
          </w:rPr>
          <w:t>support@communitygrants.gov.au</w:t>
        </w:r>
      </w:hyperlink>
      <w:r>
        <w:rPr>
          <w:rFonts w:eastAsia="Calibri"/>
        </w:rPr>
        <w:t>.</w:t>
      </w:r>
    </w:p>
    <w:p w:rsidR="004806AD" w:rsidRPr="003C423F" w:rsidRDefault="004806AD" w:rsidP="004806AD">
      <w:pPr>
        <w:pStyle w:val="Heading2"/>
        <w:numPr>
          <w:ilvl w:val="0"/>
          <w:numId w:val="6"/>
        </w:numPr>
        <w:ind w:left="426" w:hanging="426"/>
        <w:rPr>
          <w:rFonts w:eastAsia="Calibri"/>
        </w:rPr>
      </w:pPr>
      <w:r w:rsidRPr="003C423F">
        <w:rPr>
          <w:rFonts w:eastAsia="Calibri"/>
        </w:rPr>
        <w:t xml:space="preserve">Where should I go for further information? </w:t>
      </w:r>
    </w:p>
    <w:p w:rsidR="004806AD" w:rsidRDefault="004806AD" w:rsidP="004806AD">
      <w:pPr>
        <w:ind w:left="567" w:hanging="141"/>
        <w:rPr>
          <w:rStyle w:val="Hyperlink"/>
        </w:rPr>
      </w:pPr>
      <w:r w:rsidRPr="003C423F">
        <w:t xml:space="preserve">Please email your enquiries to </w:t>
      </w:r>
      <w:hyperlink r:id="rId15" w:history="1">
        <w:r w:rsidRPr="003C423F">
          <w:rPr>
            <w:rStyle w:val="Hyperlink"/>
          </w:rPr>
          <w:t>support@communitygrants.gov.au</w:t>
        </w:r>
      </w:hyperlink>
      <w:r w:rsidR="00535800">
        <w:rPr>
          <w:rStyle w:val="Hyperlink"/>
        </w:rPr>
        <w:t>.</w:t>
      </w:r>
    </w:p>
    <w:p w:rsidR="00E351EC" w:rsidRDefault="00E351EC" w:rsidP="00E351EC">
      <w:pPr>
        <w:ind w:left="141" w:hanging="141"/>
        <w:rPr>
          <w:u w:val="single"/>
        </w:rPr>
      </w:pPr>
    </w:p>
    <w:p w:rsidR="00E351EC" w:rsidRPr="00E351EC" w:rsidRDefault="00E351EC" w:rsidP="00E351EC">
      <w:pPr>
        <w:ind w:left="141" w:hanging="141"/>
        <w:rPr>
          <w:rStyle w:val="Hyperlink"/>
        </w:rPr>
      </w:pPr>
      <w:r w:rsidRPr="00E351EC">
        <w:rPr>
          <w:u w:val="single"/>
        </w:rPr>
        <w:t>New question and answer added 9 May</w:t>
      </w:r>
    </w:p>
    <w:p w:rsidR="00642B24" w:rsidRPr="00642B24" w:rsidRDefault="00642B24" w:rsidP="00642B24">
      <w:pPr>
        <w:pStyle w:val="Heading2"/>
        <w:numPr>
          <w:ilvl w:val="0"/>
          <w:numId w:val="6"/>
        </w:numPr>
        <w:ind w:left="426" w:hanging="426"/>
        <w:rPr>
          <w:rFonts w:eastAsia="Calibri"/>
        </w:rPr>
      </w:pPr>
      <w:r>
        <w:rPr>
          <w:rFonts w:eastAsia="Calibri"/>
        </w:rPr>
        <w:t>Are Companies</w:t>
      </w:r>
      <w:r w:rsidRPr="00642B24">
        <w:rPr>
          <w:rFonts w:eastAsia="Calibri"/>
        </w:rPr>
        <w:t xml:space="preserve"> eligible to apply?</w:t>
      </w:r>
    </w:p>
    <w:p w:rsidR="00642B24" w:rsidRDefault="00642B24" w:rsidP="00E351EC">
      <w:pPr>
        <w:ind w:left="426"/>
      </w:pPr>
      <w:r>
        <w:t>Yes. There was an error when the Grant Opportunity Guidelines were first published, in which “company” was listed as an ineligible entity type. The ad</w:t>
      </w:r>
      <w:r w:rsidR="00E31012">
        <w:t>denda to the Grant Opportunity</w:t>
      </w:r>
      <w:r>
        <w:t xml:space="preserve"> Guidelines removes this error, and confirms that these entities are eligible to apply. </w:t>
      </w:r>
    </w:p>
    <w:p w:rsidR="00284325" w:rsidRDefault="00642B24" w:rsidP="00E351EC">
      <w:pPr>
        <w:ind w:left="426"/>
      </w:pPr>
      <w:r>
        <w:t>All eligible applicants need to be able to enter into a legally binding funding agreement with the Commonwealth. If there is any doubt, applicants should consider obtaining legal advice.</w:t>
      </w:r>
    </w:p>
    <w:p w:rsidR="00C6377F" w:rsidRDefault="00C6377F" w:rsidP="00C6377F"/>
    <w:p w:rsidR="00C6377F" w:rsidRDefault="00C6377F" w:rsidP="00C6377F">
      <w:pPr>
        <w:rPr>
          <w:u w:val="single"/>
        </w:rPr>
      </w:pPr>
      <w:r w:rsidRPr="00C6377F">
        <w:rPr>
          <w:u w:val="single"/>
        </w:rPr>
        <w:t>New question</w:t>
      </w:r>
      <w:r>
        <w:rPr>
          <w:u w:val="single"/>
        </w:rPr>
        <w:t>s</w:t>
      </w:r>
      <w:r w:rsidRPr="00C6377F">
        <w:rPr>
          <w:u w:val="single"/>
        </w:rPr>
        <w:t xml:space="preserve"> and </w:t>
      </w:r>
      <w:r>
        <w:rPr>
          <w:u w:val="single"/>
        </w:rPr>
        <w:t>a</w:t>
      </w:r>
      <w:r w:rsidRPr="00C6377F">
        <w:rPr>
          <w:u w:val="single"/>
        </w:rPr>
        <w:t>n</w:t>
      </w:r>
      <w:r>
        <w:rPr>
          <w:u w:val="single"/>
        </w:rPr>
        <w:t xml:space="preserve">swers </w:t>
      </w:r>
      <w:r w:rsidRPr="00C6377F">
        <w:rPr>
          <w:u w:val="single"/>
        </w:rPr>
        <w:t>added 15 May</w:t>
      </w:r>
    </w:p>
    <w:p w:rsidR="00C6377F" w:rsidRPr="00642B24" w:rsidRDefault="00C6377F" w:rsidP="00C6377F">
      <w:pPr>
        <w:pStyle w:val="Heading2"/>
        <w:numPr>
          <w:ilvl w:val="0"/>
          <w:numId w:val="6"/>
        </w:numPr>
        <w:ind w:left="426" w:hanging="426"/>
        <w:rPr>
          <w:rFonts w:eastAsia="Calibri"/>
        </w:rPr>
      </w:pPr>
      <w:r>
        <w:rPr>
          <w:rFonts w:eastAsia="Calibri"/>
        </w:rPr>
        <w:t>H</w:t>
      </w:r>
      <w:r w:rsidR="005D466A">
        <w:rPr>
          <w:rFonts w:eastAsia="Calibri"/>
        </w:rPr>
        <w:t>ow much funding can my organisation</w:t>
      </w:r>
      <w:r>
        <w:rPr>
          <w:rFonts w:eastAsia="Calibri"/>
        </w:rPr>
        <w:t xml:space="preserve"> apply </w:t>
      </w:r>
      <w:proofErr w:type="gramStart"/>
      <w:r>
        <w:rPr>
          <w:rFonts w:eastAsia="Calibri"/>
        </w:rPr>
        <w:t>for</w:t>
      </w:r>
      <w:proofErr w:type="gramEnd"/>
      <w:r w:rsidRPr="00642B24">
        <w:rPr>
          <w:rFonts w:eastAsia="Calibri"/>
        </w:rPr>
        <w:t>?</w:t>
      </w:r>
    </w:p>
    <w:p w:rsidR="00C6377F" w:rsidRPr="00C6377F" w:rsidRDefault="00C6377F" w:rsidP="00C6377F">
      <w:pPr>
        <w:ind w:left="426"/>
        <w:rPr>
          <w:rFonts w:cs="Times New Roman"/>
          <w:sz w:val="20"/>
          <w:szCs w:val="20"/>
        </w:rPr>
      </w:pPr>
      <w:r>
        <w:t>Under this grant opportunity, the minimum grant amount is $197,000 GST exclusive per financial year. The maximum grant amount is $205,000 GST exclusive per financial year.</w:t>
      </w:r>
    </w:p>
    <w:tbl>
      <w:tblPr>
        <w:tblStyle w:val="CGHTableBanded"/>
        <w:tblW w:w="0" w:type="auto"/>
        <w:tblInd w:w="426" w:type="dxa"/>
        <w:tblLook w:val="04A0" w:firstRow="1" w:lastRow="0" w:firstColumn="1" w:lastColumn="0" w:noHBand="0" w:noVBand="1"/>
        <w:tblCaption w:val="How much funding can my organisation apply for"/>
        <w:tblDescription w:val="Table outlines the funding available for the following financial years: 2019-20, 2020-21 and 2021-22."/>
      </w:tblPr>
      <w:tblGrid>
        <w:gridCol w:w="1886"/>
        <w:gridCol w:w="1899"/>
        <w:gridCol w:w="1899"/>
        <w:gridCol w:w="1899"/>
        <w:gridCol w:w="1629"/>
      </w:tblGrid>
      <w:tr w:rsidR="00C6377F" w:rsidTr="00355F4F">
        <w:trPr>
          <w:cnfStyle w:val="100000000000" w:firstRow="1" w:lastRow="0" w:firstColumn="0" w:lastColumn="0" w:oddVBand="0" w:evenVBand="0" w:oddHBand="0" w:evenHBand="0" w:firstRowFirstColumn="0" w:firstRowLastColumn="0" w:lastRowFirstColumn="0" w:lastRowLastColumn="0"/>
          <w:tblHeader/>
        </w:trPr>
        <w:tc>
          <w:tcPr>
            <w:tcW w:w="1886" w:type="dxa"/>
          </w:tcPr>
          <w:p w:rsidR="00C6377F" w:rsidRPr="005D466A" w:rsidRDefault="00C6377F" w:rsidP="005D466A">
            <w:pPr>
              <w:jc w:val="center"/>
              <w:rPr>
                <w:b/>
              </w:rPr>
            </w:pPr>
            <w:bookmarkStart w:id="0" w:name="_GoBack" w:colFirst="0" w:colLast="5"/>
            <w:r w:rsidRPr="005D466A">
              <w:rPr>
                <w:b/>
              </w:rPr>
              <w:t>Financial year</w:t>
            </w:r>
          </w:p>
        </w:tc>
        <w:tc>
          <w:tcPr>
            <w:tcW w:w="1899" w:type="dxa"/>
          </w:tcPr>
          <w:p w:rsidR="00C6377F" w:rsidRPr="005D466A" w:rsidRDefault="00C6377F" w:rsidP="005D466A">
            <w:pPr>
              <w:jc w:val="center"/>
              <w:rPr>
                <w:b/>
              </w:rPr>
            </w:pPr>
            <w:r w:rsidRPr="005D466A">
              <w:rPr>
                <w:b/>
              </w:rPr>
              <w:t>2019-20</w:t>
            </w:r>
          </w:p>
        </w:tc>
        <w:tc>
          <w:tcPr>
            <w:tcW w:w="1899" w:type="dxa"/>
          </w:tcPr>
          <w:p w:rsidR="00C6377F" w:rsidRPr="005D466A" w:rsidRDefault="00C6377F" w:rsidP="005D466A">
            <w:pPr>
              <w:jc w:val="center"/>
              <w:rPr>
                <w:b/>
              </w:rPr>
            </w:pPr>
            <w:r w:rsidRPr="005D466A">
              <w:rPr>
                <w:b/>
              </w:rPr>
              <w:t>2020-21</w:t>
            </w:r>
          </w:p>
        </w:tc>
        <w:tc>
          <w:tcPr>
            <w:tcW w:w="1899" w:type="dxa"/>
          </w:tcPr>
          <w:p w:rsidR="00C6377F" w:rsidRPr="005D466A" w:rsidRDefault="00C6377F" w:rsidP="005D466A">
            <w:pPr>
              <w:jc w:val="center"/>
              <w:rPr>
                <w:b/>
              </w:rPr>
            </w:pPr>
            <w:r w:rsidRPr="005D466A">
              <w:rPr>
                <w:b/>
              </w:rPr>
              <w:t>2021-22</w:t>
            </w:r>
          </w:p>
        </w:tc>
        <w:tc>
          <w:tcPr>
            <w:tcW w:w="1629" w:type="dxa"/>
          </w:tcPr>
          <w:p w:rsidR="00C6377F" w:rsidRPr="005D466A" w:rsidRDefault="00C6377F" w:rsidP="005D466A">
            <w:pPr>
              <w:jc w:val="center"/>
              <w:rPr>
                <w:b/>
              </w:rPr>
            </w:pPr>
            <w:r w:rsidRPr="005D466A">
              <w:rPr>
                <w:b/>
              </w:rPr>
              <w:t>TOTAL</w:t>
            </w:r>
          </w:p>
        </w:tc>
      </w:tr>
      <w:bookmarkEnd w:id="0"/>
      <w:tr w:rsidR="00C6377F" w:rsidTr="00C6377F">
        <w:trPr>
          <w:cnfStyle w:val="000000100000" w:firstRow="0" w:lastRow="0" w:firstColumn="0" w:lastColumn="0" w:oddVBand="0" w:evenVBand="0" w:oddHBand="1" w:evenHBand="0" w:firstRowFirstColumn="0" w:firstRowLastColumn="0" w:lastRowFirstColumn="0" w:lastRowLastColumn="0"/>
        </w:trPr>
        <w:tc>
          <w:tcPr>
            <w:tcW w:w="1886" w:type="dxa"/>
          </w:tcPr>
          <w:p w:rsidR="00C6377F" w:rsidRDefault="00C6377F" w:rsidP="00C6377F">
            <w:r>
              <w:t>Grant funding available</w:t>
            </w:r>
            <w:r w:rsidR="002F4A06">
              <w:t xml:space="preserve"> (GST exclusive)</w:t>
            </w:r>
          </w:p>
        </w:tc>
        <w:tc>
          <w:tcPr>
            <w:tcW w:w="1899" w:type="dxa"/>
          </w:tcPr>
          <w:p w:rsidR="00C6377F" w:rsidRDefault="00C6377F" w:rsidP="002F4A06">
            <w:pPr>
              <w:jc w:val="right"/>
            </w:pPr>
            <w:r>
              <w:t>$197,000 to $205,000</w:t>
            </w:r>
            <w:r w:rsidR="002F4A06">
              <w:t xml:space="preserve"> </w:t>
            </w:r>
          </w:p>
        </w:tc>
        <w:tc>
          <w:tcPr>
            <w:tcW w:w="1899" w:type="dxa"/>
          </w:tcPr>
          <w:p w:rsidR="00C6377F" w:rsidRDefault="00C6377F" w:rsidP="005D466A">
            <w:pPr>
              <w:jc w:val="right"/>
            </w:pPr>
            <w:r>
              <w:t>$197,000 to $205,000</w:t>
            </w:r>
          </w:p>
        </w:tc>
        <w:tc>
          <w:tcPr>
            <w:tcW w:w="1899" w:type="dxa"/>
          </w:tcPr>
          <w:p w:rsidR="00C6377F" w:rsidRDefault="00C6377F" w:rsidP="005D466A">
            <w:pPr>
              <w:jc w:val="right"/>
            </w:pPr>
            <w:r>
              <w:t>$197,000 to $205,000</w:t>
            </w:r>
          </w:p>
        </w:tc>
        <w:tc>
          <w:tcPr>
            <w:tcW w:w="1629" w:type="dxa"/>
          </w:tcPr>
          <w:p w:rsidR="00C6377F" w:rsidRDefault="00C6377F" w:rsidP="005D466A">
            <w:pPr>
              <w:jc w:val="right"/>
            </w:pPr>
            <w:r>
              <w:t>$591,000 to $615,000</w:t>
            </w:r>
          </w:p>
        </w:tc>
      </w:tr>
    </w:tbl>
    <w:p w:rsidR="00C6377F" w:rsidRDefault="00C6377F" w:rsidP="00C6377F">
      <w:pPr>
        <w:ind w:left="426"/>
      </w:pPr>
    </w:p>
    <w:p w:rsidR="00C6377F" w:rsidRPr="00642B24" w:rsidRDefault="00C6377F" w:rsidP="00C6377F">
      <w:pPr>
        <w:pStyle w:val="Heading2"/>
        <w:numPr>
          <w:ilvl w:val="0"/>
          <w:numId w:val="6"/>
        </w:numPr>
        <w:ind w:left="426" w:hanging="426"/>
        <w:rPr>
          <w:rFonts w:eastAsia="Calibri"/>
        </w:rPr>
      </w:pPr>
      <w:r>
        <w:rPr>
          <w:rFonts w:eastAsia="Calibri"/>
        </w:rPr>
        <w:t>I ha</w:t>
      </w:r>
      <w:r w:rsidR="005D466A">
        <w:rPr>
          <w:rFonts w:eastAsia="Calibri"/>
        </w:rPr>
        <w:t>ve</w:t>
      </w:r>
      <w:r>
        <w:rPr>
          <w:rFonts w:eastAsia="Calibri"/>
        </w:rPr>
        <w:t xml:space="preserve"> already submitted </w:t>
      </w:r>
      <w:r w:rsidR="005D466A">
        <w:rPr>
          <w:rFonts w:eastAsia="Calibri"/>
        </w:rPr>
        <w:t>an</w:t>
      </w:r>
      <w:r>
        <w:rPr>
          <w:rFonts w:eastAsia="Calibri"/>
        </w:rPr>
        <w:t xml:space="preserve"> application. Can I update my application</w:t>
      </w:r>
      <w:r w:rsidRPr="00642B24">
        <w:rPr>
          <w:rFonts w:eastAsia="Calibri"/>
        </w:rPr>
        <w:t>?</w:t>
      </w:r>
    </w:p>
    <w:p w:rsidR="00C82A32" w:rsidRDefault="00C82A32" w:rsidP="00C82A32">
      <w:pPr>
        <w:ind w:left="426"/>
      </w:pPr>
      <w:r>
        <w:t xml:space="preserve">No. If you would like to make any changes to the information contained within your submission, you will need to submit a new application through the online form. This is because applications are unable to </w:t>
      </w:r>
      <w:proofErr w:type="gramStart"/>
      <w:r>
        <w:t>be edited</w:t>
      </w:r>
      <w:proofErr w:type="gramEnd"/>
      <w:r>
        <w:t xml:space="preserve"> after submission. </w:t>
      </w:r>
    </w:p>
    <w:p w:rsidR="00C82A32" w:rsidRDefault="00C82A32" w:rsidP="00C82A32">
      <w:pPr>
        <w:ind w:left="426"/>
      </w:pPr>
      <w:r>
        <w:t xml:space="preserve">If you </w:t>
      </w:r>
      <w:r w:rsidRPr="00C82A32">
        <w:rPr>
          <w:u w:val="single"/>
        </w:rPr>
        <w:t>only</w:t>
      </w:r>
      <w:r>
        <w:t xml:space="preserve"> wish to provide a revised budget to account for the funding available per financial year (i.e. you do not want to amend your full application), you can submit an amended budget using the attached template. The template </w:t>
      </w:r>
      <w:proofErr w:type="gramStart"/>
      <w:r>
        <w:t>should be submitted</w:t>
      </w:r>
      <w:proofErr w:type="gramEnd"/>
      <w:r>
        <w:t xml:space="preserve"> to the Grants Support Hotline by email to: </w:t>
      </w:r>
      <w:hyperlink r:id="rId16" w:history="1">
        <w:r>
          <w:rPr>
            <w:rStyle w:val="Hyperlink"/>
          </w:rPr>
          <w:t>support@communitygrants.gov.au</w:t>
        </w:r>
      </w:hyperlink>
      <w:r>
        <w:t xml:space="preserve"> by </w:t>
      </w:r>
      <w:r w:rsidRPr="00C82A32">
        <w:rPr>
          <w:b/>
          <w:bCs/>
        </w:rPr>
        <w:t xml:space="preserve">5:00pm </w:t>
      </w:r>
      <w:r w:rsidR="00436781">
        <w:rPr>
          <w:b/>
          <w:bCs/>
        </w:rPr>
        <w:t xml:space="preserve">AEST </w:t>
      </w:r>
      <w:r w:rsidRPr="00C82A32">
        <w:rPr>
          <w:b/>
          <w:bCs/>
        </w:rPr>
        <w:t>Wednesday 5 June 2019</w:t>
      </w:r>
      <w:r>
        <w:t xml:space="preserve">. </w:t>
      </w:r>
    </w:p>
    <w:p w:rsidR="00C6377F" w:rsidRDefault="005D466A" w:rsidP="005D466A">
      <w:pPr>
        <w:ind w:left="426"/>
      </w:pPr>
      <w:r>
        <w:lastRenderedPageBreak/>
        <w:t xml:space="preserve">. </w:t>
      </w:r>
    </w:p>
    <w:p w:rsidR="005D466A" w:rsidRPr="00642B24" w:rsidRDefault="005D466A" w:rsidP="005D466A">
      <w:pPr>
        <w:pStyle w:val="Heading2"/>
        <w:numPr>
          <w:ilvl w:val="0"/>
          <w:numId w:val="6"/>
        </w:numPr>
        <w:ind w:left="426" w:hanging="426"/>
        <w:rPr>
          <w:rFonts w:eastAsia="Calibri"/>
        </w:rPr>
      </w:pPr>
      <w:r>
        <w:rPr>
          <w:rFonts w:eastAsia="Calibri"/>
        </w:rPr>
        <w:t>What happens if I submit more than one application</w:t>
      </w:r>
      <w:r w:rsidRPr="00642B24">
        <w:rPr>
          <w:rFonts w:eastAsia="Calibri"/>
        </w:rPr>
        <w:t>?</w:t>
      </w:r>
    </w:p>
    <w:p w:rsidR="00C82A32" w:rsidRDefault="00C82A32" w:rsidP="005D466A">
      <w:pPr>
        <w:ind w:left="426"/>
      </w:pPr>
      <w:r>
        <w:t>Any new applications submitted will supersede earlier applications made by the same organisation for this grant round.</w:t>
      </w:r>
    </w:p>
    <w:p w:rsidR="00C6377F" w:rsidRDefault="00C82A32" w:rsidP="00C82A32">
      <w:pPr>
        <w:pStyle w:val="Heading2"/>
        <w:numPr>
          <w:ilvl w:val="0"/>
          <w:numId w:val="6"/>
        </w:numPr>
        <w:ind w:left="426" w:hanging="426"/>
      </w:pPr>
      <w:r w:rsidRPr="00C82A32">
        <w:t xml:space="preserve">I </w:t>
      </w:r>
      <w:proofErr w:type="gramStart"/>
      <w:r w:rsidRPr="00C82A32">
        <w:t>don’t</w:t>
      </w:r>
      <w:proofErr w:type="gramEnd"/>
      <w:r w:rsidRPr="00C82A32">
        <w:t xml:space="preserve"> want to make any changes to my submission</w:t>
      </w:r>
      <w:r>
        <w:t>. D</w:t>
      </w:r>
      <w:r w:rsidRPr="00C82A32">
        <w:t xml:space="preserve">o I have to submit a new application? </w:t>
      </w:r>
    </w:p>
    <w:p w:rsidR="00C82A32" w:rsidRDefault="00C82A32" w:rsidP="00C82A32">
      <w:pPr>
        <w:ind w:left="426"/>
      </w:pPr>
      <w:r>
        <w:t xml:space="preserve">If your organisation has already submitted an application requesting funding within the grant amount of $197,000 GST exclusive to $205,000 GST exclusive, </w:t>
      </w:r>
      <w:r w:rsidRPr="00C82A32">
        <w:rPr>
          <w:b/>
        </w:rPr>
        <w:t>per year</w:t>
      </w:r>
      <w:r>
        <w:t xml:space="preserve">, and you do not want to make any changes to your application, no action is required. </w:t>
      </w:r>
    </w:p>
    <w:p w:rsidR="00C82A32" w:rsidRDefault="00C82A32" w:rsidP="00C82A32">
      <w:pPr>
        <w:ind w:left="426"/>
      </w:pPr>
      <w:r>
        <w:t xml:space="preserve">If we do not receive any further updates from your organisation, we will assume the application submitted to be current. </w:t>
      </w:r>
    </w:p>
    <w:p w:rsidR="002F4A06" w:rsidRPr="00C82A32" w:rsidRDefault="002F4A06" w:rsidP="00C82A32">
      <w:pPr>
        <w:pStyle w:val="Heading2"/>
        <w:numPr>
          <w:ilvl w:val="0"/>
          <w:numId w:val="6"/>
        </w:numPr>
        <w:ind w:left="426" w:hanging="426"/>
      </w:pPr>
      <w:r w:rsidRPr="00C82A32">
        <w:rPr>
          <w:rFonts w:eastAsia="Calibri"/>
        </w:rPr>
        <w:t>When</w:t>
      </w:r>
      <w:r w:rsidRPr="00C82A32">
        <w:t xml:space="preserve"> can I expect to </w:t>
      </w:r>
      <w:proofErr w:type="gramStart"/>
      <w:r w:rsidRPr="00C82A32">
        <w:t>be notified</w:t>
      </w:r>
      <w:proofErr w:type="gramEnd"/>
      <w:r w:rsidRPr="00C82A32">
        <w:t xml:space="preserve"> of the outcome of my application, given the extension?</w:t>
      </w:r>
    </w:p>
    <w:p w:rsidR="002F4A06" w:rsidRPr="00C6377F" w:rsidRDefault="00351CE0" w:rsidP="00351CE0">
      <w:pPr>
        <w:ind w:left="426"/>
        <w:rPr>
          <w:u w:val="single"/>
        </w:rPr>
      </w:pPr>
      <w:r w:rsidRPr="00496141">
        <w:rPr>
          <w:lang w:eastAsia="en-AU"/>
        </w:rPr>
        <w:t xml:space="preserve">You </w:t>
      </w:r>
      <w:proofErr w:type="gramStart"/>
      <w:r w:rsidRPr="00496141">
        <w:rPr>
          <w:lang w:eastAsia="en-AU"/>
        </w:rPr>
        <w:t>will be notified</w:t>
      </w:r>
      <w:proofErr w:type="gramEnd"/>
      <w:r w:rsidRPr="00496141">
        <w:rPr>
          <w:lang w:eastAsia="en-AU"/>
        </w:rPr>
        <w:t xml:space="preserve"> of the outcome of your application at the end of the selection process. </w:t>
      </w:r>
      <w:r w:rsidR="00261524">
        <w:t>The Community Grants Hub will commence processing applications on closure of the grant opportunity, and work to provide applicants with an outcome as soon as possible.</w:t>
      </w:r>
      <w:r>
        <w:t xml:space="preserve"> </w:t>
      </w:r>
      <w:r w:rsidRPr="00496141">
        <w:rPr>
          <w:lang w:eastAsia="en-AU"/>
        </w:rPr>
        <w:t>For probity reasons,</w:t>
      </w:r>
      <w:r>
        <w:rPr>
          <w:lang w:eastAsia="en-AU"/>
        </w:rPr>
        <w:t xml:space="preserve"> </w:t>
      </w:r>
      <w:r w:rsidRPr="00496141">
        <w:rPr>
          <w:lang w:eastAsia="en-AU"/>
        </w:rPr>
        <w:t>it is not possible to give you information about the status of individual applications during the assessment process</w:t>
      </w:r>
      <w:r>
        <w:rPr>
          <w:lang w:eastAsia="en-AU"/>
        </w:rPr>
        <w:t>.</w:t>
      </w:r>
    </w:p>
    <w:sectPr w:rsidR="002F4A06" w:rsidRPr="00C6377F" w:rsidSect="00105397">
      <w:headerReference w:type="default" r:id="rId17"/>
      <w:footerReference w:type="default" r:id="rId18"/>
      <w:headerReference w:type="first" r:id="rId19"/>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B3" w:rsidRDefault="00EA1FB3" w:rsidP="00772718">
      <w:pPr>
        <w:spacing w:line="240" w:lineRule="auto"/>
      </w:pPr>
      <w:r>
        <w:separator/>
      </w:r>
    </w:p>
  </w:endnote>
  <w:endnote w:type="continuationSeparator" w:id="0">
    <w:p w:rsidR="00EA1FB3" w:rsidRDefault="00EA1FB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312446"/>
      <w:docPartObj>
        <w:docPartGallery w:val="Page Numbers (Bottom of Page)"/>
        <w:docPartUnique/>
      </w:docPartObj>
    </w:sdtPr>
    <w:sdtEndPr>
      <w:rPr>
        <w:noProof/>
      </w:rPr>
    </w:sdtEndPr>
    <w:sdtContent>
      <w:p w:rsidR="003E7ECD" w:rsidRDefault="003E7ECD">
        <w:pPr>
          <w:pStyle w:val="Footer"/>
          <w:jc w:val="right"/>
        </w:pPr>
        <w:r>
          <w:fldChar w:fldCharType="begin"/>
        </w:r>
        <w:r>
          <w:instrText xml:space="preserve"> PAGE   \* MERGEFORMAT </w:instrText>
        </w:r>
        <w:r>
          <w:fldChar w:fldCharType="separate"/>
        </w:r>
        <w:r w:rsidR="00355F4F">
          <w:rPr>
            <w:noProof/>
          </w:rPr>
          <w:t>6</w:t>
        </w:r>
        <w:r>
          <w:rPr>
            <w:noProof/>
          </w:rPr>
          <w:fldChar w:fldCharType="end"/>
        </w:r>
      </w:p>
    </w:sdtContent>
  </w:sdt>
  <w:p w:rsidR="00A14495" w:rsidRDefault="00A14495" w:rsidP="0020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B3" w:rsidRDefault="00EA1FB3" w:rsidP="00772718">
      <w:pPr>
        <w:spacing w:line="240" w:lineRule="auto"/>
      </w:pPr>
      <w:r>
        <w:separator/>
      </w:r>
    </w:p>
  </w:footnote>
  <w:footnote w:type="continuationSeparator" w:id="0">
    <w:p w:rsidR="00EA1FB3" w:rsidRDefault="00EA1FB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23570CA1" wp14:editId="5D8C53DA">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FC9683"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6B79CA74" wp14:editId="3A58B270">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77C2348C" wp14:editId="7066D219">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3396F102" wp14:editId="40A8B12B">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59FEFA"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2A1977D" wp14:editId="2C3D5A39">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4AFC7C"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8BAFEF2" wp14:editId="48D3534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D2F1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3333A05"/>
    <w:multiLevelType w:val="hybridMultilevel"/>
    <w:tmpl w:val="1CB6E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512"/>
    <w:multiLevelType w:val="hybridMultilevel"/>
    <w:tmpl w:val="73ACFB34"/>
    <w:lvl w:ilvl="0" w:tplc="C02AC552">
      <w:start w:val="1"/>
      <w:numFmt w:val="decimal"/>
      <w:lvlText w:val="%1."/>
      <w:lvlJc w:val="left"/>
      <w:pPr>
        <w:ind w:left="785"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83400BB"/>
    <w:multiLevelType w:val="hybridMultilevel"/>
    <w:tmpl w:val="8E5623DC"/>
    <w:lvl w:ilvl="0" w:tplc="3BAEFED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8"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10"/>
  </w:num>
  <w:num w:numId="3">
    <w:abstractNumId w:val="4"/>
  </w:num>
  <w:num w:numId="4">
    <w:abstractNumId w:val="9"/>
  </w:num>
  <w:num w:numId="5">
    <w:abstractNumId w:val="7"/>
  </w:num>
  <w:num w:numId="6">
    <w:abstractNumId w:val="3"/>
  </w:num>
  <w:num w:numId="7">
    <w:abstractNumId w:val="2"/>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2681"/>
    <w:rsid w:val="00004A79"/>
    <w:rsid w:val="00006649"/>
    <w:rsid w:val="00007DE9"/>
    <w:rsid w:val="00015AE4"/>
    <w:rsid w:val="0003018E"/>
    <w:rsid w:val="00031A56"/>
    <w:rsid w:val="00033BC3"/>
    <w:rsid w:val="00044E09"/>
    <w:rsid w:val="00046AC0"/>
    <w:rsid w:val="0004784D"/>
    <w:rsid w:val="00053A00"/>
    <w:rsid w:val="000930DA"/>
    <w:rsid w:val="00096870"/>
    <w:rsid w:val="000B6C00"/>
    <w:rsid w:val="000B71F8"/>
    <w:rsid w:val="000C1F06"/>
    <w:rsid w:val="000D321C"/>
    <w:rsid w:val="000E015F"/>
    <w:rsid w:val="000E6B5E"/>
    <w:rsid w:val="000F1DD1"/>
    <w:rsid w:val="000F28B8"/>
    <w:rsid w:val="000F3766"/>
    <w:rsid w:val="000F3BB2"/>
    <w:rsid w:val="000F63A3"/>
    <w:rsid w:val="00105397"/>
    <w:rsid w:val="00106FC4"/>
    <w:rsid w:val="00111F0C"/>
    <w:rsid w:val="001364C7"/>
    <w:rsid w:val="001435D6"/>
    <w:rsid w:val="00145E2D"/>
    <w:rsid w:val="001536A5"/>
    <w:rsid w:val="00160D1E"/>
    <w:rsid w:val="0016612C"/>
    <w:rsid w:val="001763D4"/>
    <w:rsid w:val="00181433"/>
    <w:rsid w:val="001834DD"/>
    <w:rsid w:val="001A29BC"/>
    <w:rsid w:val="001B227B"/>
    <w:rsid w:val="001C096E"/>
    <w:rsid w:val="001C53CE"/>
    <w:rsid w:val="001C5D96"/>
    <w:rsid w:val="001D341B"/>
    <w:rsid w:val="001D476D"/>
    <w:rsid w:val="001E3D2B"/>
    <w:rsid w:val="001E5861"/>
    <w:rsid w:val="001E5D80"/>
    <w:rsid w:val="001E6588"/>
    <w:rsid w:val="001E66CE"/>
    <w:rsid w:val="001E6F45"/>
    <w:rsid w:val="001F29CD"/>
    <w:rsid w:val="00207234"/>
    <w:rsid w:val="00207788"/>
    <w:rsid w:val="00221DC2"/>
    <w:rsid w:val="002236F8"/>
    <w:rsid w:val="002361C6"/>
    <w:rsid w:val="0024113E"/>
    <w:rsid w:val="00242EE0"/>
    <w:rsid w:val="00244B48"/>
    <w:rsid w:val="002572FF"/>
    <w:rsid w:val="002573D5"/>
    <w:rsid w:val="00261524"/>
    <w:rsid w:val="00264E26"/>
    <w:rsid w:val="00265580"/>
    <w:rsid w:val="00266E47"/>
    <w:rsid w:val="00280E74"/>
    <w:rsid w:val="00284325"/>
    <w:rsid w:val="002A0986"/>
    <w:rsid w:val="002A41E1"/>
    <w:rsid w:val="002A4B65"/>
    <w:rsid w:val="002A7A15"/>
    <w:rsid w:val="002B11D9"/>
    <w:rsid w:val="002B6574"/>
    <w:rsid w:val="002D4D48"/>
    <w:rsid w:val="002E21D2"/>
    <w:rsid w:val="002E3E50"/>
    <w:rsid w:val="002F4A06"/>
    <w:rsid w:val="002F7D3C"/>
    <w:rsid w:val="00305720"/>
    <w:rsid w:val="00310757"/>
    <w:rsid w:val="00312DF4"/>
    <w:rsid w:val="003131AB"/>
    <w:rsid w:val="003217BE"/>
    <w:rsid w:val="003230E7"/>
    <w:rsid w:val="00323222"/>
    <w:rsid w:val="003301CD"/>
    <w:rsid w:val="00343C4E"/>
    <w:rsid w:val="00351CE0"/>
    <w:rsid w:val="00355677"/>
    <w:rsid w:val="00355B0A"/>
    <w:rsid w:val="00355F4F"/>
    <w:rsid w:val="003C423F"/>
    <w:rsid w:val="003D0647"/>
    <w:rsid w:val="003D1265"/>
    <w:rsid w:val="003D3B1D"/>
    <w:rsid w:val="003D5DBE"/>
    <w:rsid w:val="003D705D"/>
    <w:rsid w:val="003E2347"/>
    <w:rsid w:val="003E7ECD"/>
    <w:rsid w:val="003F086B"/>
    <w:rsid w:val="003F1047"/>
    <w:rsid w:val="0040344F"/>
    <w:rsid w:val="00404841"/>
    <w:rsid w:val="00405BC2"/>
    <w:rsid w:val="00407C17"/>
    <w:rsid w:val="00412059"/>
    <w:rsid w:val="0041496C"/>
    <w:rsid w:val="00414BD6"/>
    <w:rsid w:val="00421DFD"/>
    <w:rsid w:val="0042354B"/>
    <w:rsid w:val="0042474F"/>
    <w:rsid w:val="00425633"/>
    <w:rsid w:val="00431675"/>
    <w:rsid w:val="00436781"/>
    <w:rsid w:val="00441E79"/>
    <w:rsid w:val="00450486"/>
    <w:rsid w:val="00456FCB"/>
    <w:rsid w:val="00466C95"/>
    <w:rsid w:val="004709E9"/>
    <w:rsid w:val="004806AD"/>
    <w:rsid w:val="00481536"/>
    <w:rsid w:val="00483A58"/>
    <w:rsid w:val="00486155"/>
    <w:rsid w:val="004924DA"/>
    <w:rsid w:val="004B65B6"/>
    <w:rsid w:val="004C246B"/>
    <w:rsid w:val="004C4F24"/>
    <w:rsid w:val="004C569B"/>
    <w:rsid w:val="004D3EBE"/>
    <w:rsid w:val="004D700E"/>
    <w:rsid w:val="004D7E9F"/>
    <w:rsid w:val="004D7F17"/>
    <w:rsid w:val="004E0670"/>
    <w:rsid w:val="004E7F37"/>
    <w:rsid w:val="004F31BA"/>
    <w:rsid w:val="004F5328"/>
    <w:rsid w:val="00511B42"/>
    <w:rsid w:val="0051299F"/>
    <w:rsid w:val="00516672"/>
    <w:rsid w:val="00526B85"/>
    <w:rsid w:val="00527731"/>
    <w:rsid w:val="005306A1"/>
    <w:rsid w:val="005356E8"/>
    <w:rsid w:val="00535800"/>
    <w:rsid w:val="005408A9"/>
    <w:rsid w:val="00567710"/>
    <w:rsid w:val="005734E3"/>
    <w:rsid w:val="0058017C"/>
    <w:rsid w:val="005876D2"/>
    <w:rsid w:val="0059000C"/>
    <w:rsid w:val="005A02A1"/>
    <w:rsid w:val="005A0CA3"/>
    <w:rsid w:val="005C568C"/>
    <w:rsid w:val="005D38BD"/>
    <w:rsid w:val="005D466A"/>
    <w:rsid w:val="005D5B5B"/>
    <w:rsid w:val="005D6D33"/>
    <w:rsid w:val="005D7A24"/>
    <w:rsid w:val="0060058C"/>
    <w:rsid w:val="0060429E"/>
    <w:rsid w:val="0060494A"/>
    <w:rsid w:val="006058A4"/>
    <w:rsid w:val="00616EBA"/>
    <w:rsid w:val="00617A2F"/>
    <w:rsid w:val="00632C08"/>
    <w:rsid w:val="00642B24"/>
    <w:rsid w:val="006468F4"/>
    <w:rsid w:val="00654C42"/>
    <w:rsid w:val="0065666D"/>
    <w:rsid w:val="00664C1F"/>
    <w:rsid w:val="0067074A"/>
    <w:rsid w:val="00672994"/>
    <w:rsid w:val="006917C5"/>
    <w:rsid w:val="00696F09"/>
    <w:rsid w:val="006A678C"/>
    <w:rsid w:val="006A7938"/>
    <w:rsid w:val="006B780A"/>
    <w:rsid w:val="006C15C5"/>
    <w:rsid w:val="006D0898"/>
    <w:rsid w:val="006D44E9"/>
    <w:rsid w:val="006E4D50"/>
    <w:rsid w:val="006E53EC"/>
    <w:rsid w:val="006F6F7A"/>
    <w:rsid w:val="00700B1E"/>
    <w:rsid w:val="007056B3"/>
    <w:rsid w:val="007240D1"/>
    <w:rsid w:val="00736A76"/>
    <w:rsid w:val="00743AE7"/>
    <w:rsid w:val="00744826"/>
    <w:rsid w:val="0075086E"/>
    <w:rsid w:val="00752C6B"/>
    <w:rsid w:val="00760CE6"/>
    <w:rsid w:val="00765764"/>
    <w:rsid w:val="007675A7"/>
    <w:rsid w:val="00770022"/>
    <w:rsid w:val="007719C9"/>
    <w:rsid w:val="00772718"/>
    <w:rsid w:val="00775FEB"/>
    <w:rsid w:val="0078588A"/>
    <w:rsid w:val="007A1CD4"/>
    <w:rsid w:val="007A2A5C"/>
    <w:rsid w:val="007D0636"/>
    <w:rsid w:val="007D30A8"/>
    <w:rsid w:val="007D4329"/>
    <w:rsid w:val="007E7824"/>
    <w:rsid w:val="007F402A"/>
    <w:rsid w:val="007F50D9"/>
    <w:rsid w:val="007F6B85"/>
    <w:rsid w:val="00804A8B"/>
    <w:rsid w:val="00814FB1"/>
    <w:rsid w:val="008157B8"/>
    <w:rsid w:val="00820F20"/>
    <w:rsid w:val="0082528A"/>
    <w:rsid w:val="00825754"/>
    <w:rsid w:val="008259CA"/>
    <w:rsid w:val="00826115"/>
    <w:rsid w:val="0083479D"/>
    <w:rsid w:val="00835210"/>
    <w:rsid w:val="00842F34"/>
    <w:rsid w:val="00844C2D"/>
    <w:rsid w:val="008546E6"/>
    <w:rsid w:val="0087438E"/>
    <w:rsid w:val="00884668"/>
    <w:rsid w:val="0088492C"/>
    <w:rsid w:val="008862D7"/>
    <w:rsid w:val="00886A10"/>
    <w:rsid w:val="00890240"/>
    <w:rsid w:val="00890ED8"/>
    <w:rsid w:val="00896C1F"/>
    <w:rsid w:val="008B2B46"/>
    <w:rsid w:val="008B2C58"/>
    <w:rsid w:val="008C053E"/>
    <w:rsid w:val="008F3E55"/>
    <w:rsid w:val="008F6122"/>
    <w:rsid w:val="008F67C8"/>
    <w:rsid w:val="00921840"/>
    <w:rsid w:val="009331B4"/>
    <w:rsid w:val="009345F1"/>
    <w:rsid w:val="00944BBB"/>
    <w:rsid w:val="00951E80"/>
    <w:rsid w:val="009547B6"/>
    <w:rsid w:val="00961072"/>
    <w:rsid w:val="00964CA2"/>
    <w:rsid w:val="00965CA3"/>
    <w:rsid w:val="00982554"/>
    <w:rsid w:val="00984394"/>
    <w:rsid w:val="00987081"/>
    <w:rsid w:val="00990BAB"/>
    <w:rsid w:val="009A4A0A"/>
    <w:rsid w:val="009B201A"/>
    <w:rsid w:val="009B5C2C"/>
    <w:rsid w:val="009C5C8B"/>
    <w:rsid w:val="009D405C"/>
    <w:rsid w:val="009D4714"/>
    <w:rsid w:val="009E750F"/>
    <w:rsid w:val="00A04D96"/>
    <w:rsid w:val="00A0629B"/>
    <w:rsid w:val="00A1207B"/>
    <w:rsid w:val="00A13154"/>
    <w:rsid w:val="00A14495"/>
    <w:rsid w:val="00A16BE1"/>
    <w:rsid w:val="00A20C66"/>
    <w:rsid w:val="00A221CD"/>
    <w:rsid w:val="00A2349B"/>
    <w:rsid w:val="00A306DD"/>
    <w:rsid w:val="00A31BCE"/>
    <w:rsid w:val="00A32B16"/>
    <w:rsid w:val="00A454BF"/>
    <w:rsid w:val="00A52E3A"/>
    <w:rsid w:val="00A814CB"/>
    <w:rsid w:val="00A84C1B"/>
    <w:rsid w:val="00A90D1B"/>
    <w:rsid w:val="00AA7FDB"/>
    <w:rsid w:val="00AC69CD"/>
    <w:rsid w:val="00AD34C5"/>
    <w:rsid w:val="00AD513E"/>
    <w:rsid w:val="00AE0230"/>
    <w:rsid w:val="00AF55F8"/>
    <w:rsid w:val="00B10ABA"/>
    <w:rsid w:val="00B27F80"/>
    <w:rsid w:val="00B420D4"/>
    <w:rsid w:val="00B51F28"/>
    <w:rsid w:val="00B56FDC"/>
    <w:rsid w:val="00B57910"/>
    <w:rsid w:val="00B67550"/>
    <w:rsid w:val="00B7600D"/>
    <w:rsid w:val="00B93999"/>
    <w:rsid w:val="00BA6686"/>
    <w:rsid w:val="00BC093A"/>
    <w:rsid w:val="00BC4ACC"/>
    <w:rsid w:val="00BC4FCC"/>
    <w:rsid w:val="00BD02F8"/>
    <w:rsid w:val="00BD64BA"/>
    <w:rsid w:val="00BF50DD"/>
    <w:rsid w:val="00BF7DE9"/>
    <w:rsid w:val="00C057D3"/>
    <w:rsid w:val="00C12E71"/>
    <w:rsid w:val="00C203A3"/>
    <w:rsid w:val="00C217A8"/>
    <w:rsid w:val="00C4188F"/>
    <w:rsid w:val="00C6377F"/>
    <w:rsid w:val="00C819A4"/>
    <w:rsid w:val="00C82A1B"/>
    <w:rsid w:val="00C82A32"/>
    <w:rsid w:val="00C82E6F"/>
    <w:rsid w:val="00C84EA8"/>
    <w:rsid w:val="00C918A2"/>
    <w:rsid w:val="00C9223D"/>
    <w:rsid w:val="00C92998"/>
    <w:rsid w:val="00CA720A"/>
    <w:rsid w:val="00CB2A07"/>
    <w:rsid w:val="00CB664C"/>
    <w:rsid w:val="00CC1B7B"/>
    <w:rsid w:val="00CC7D36"/>
    <w:rsid w:val="00CD38EE"/>
    <w:rsid w:val="00CD3AB9"/>
    <w:rsid w:val="00CD5925"/>
    <w:rsid w:val="00CE557A"/>
    <w:rsid w:val="00CF0A03"/>
    <w:rsid w:val="00CF285C"/>
    <w:rsid w:val="00D031B2"/>
    <w:rsid w:val="00D1410C"/>
    <w:rsid w:val="00D16DAD"/>
    <w:rsid w:val="00D35B05"/>
    <w:rsid w:val="00D40D16"/>
    <w:rsid w:val="00D42E0E"/>
    <w:rsid w:val="00D47BEB"/>
    <w:rsid w:val="00D54197"/>
    <w:rsid w:val="00D548F0"/>
    <w:rsid w:val="00D57F79"/>
    <w:rsid w:val="00D64FAC"/>
    <w:rsid w:val="00D65704"/>
    <w:rsid w:val="00D668F6"/>
    <w:rsid w:val="00D81EB9"/>
    <w:rsid w:val="00D84875"/>
    <w:rsid w:val="00D904F0"/>
    <w:rsid w:val="00D906AB"/>
    <w:rsid w:val="00D91378"/>
    <w:rsid w:val="00D91B18"/>
    <w:rsid w:val="00D91EEE"/>
    <w:rsid w:val="00D92C17"/>
    <w:rsid w:val="00DA3883"/>
    <w:rsid w:val="00DA711A"/>
    <w:rsid w:val="00DC0747"/>
    <w:rsid w:val="00DC2647"/>
    <w:rsid w:val="00DD1408"/>
    <w:rsid w:val="00DD356D"/>
    <w:rsid w:val="00DD6735"/>
    <w:rsid w:val="00DF0607"/>
    <w:rsid w:val="00DF136A"/>
    <w:rsid w:val="00E0448C"/>
    <w:rsid w:val="00E04FC9"/>
    <w:rsid w:val="00E1242B"/>
    <w:rsid w:val="00E13525"/>
    <w:rsid w:val="00E21512"/>
    <w:rsid w:val="00E31012"/>
    <w:rsid w:val="00E339EF"/>
    <w:rsid w:val="00E351EC"/>
    <w:rsid w:val="00E47250"/>
    <w:rsid w:val="00E4742F"/>
    <w:rsid w:val="00E61535"/>
    <w:rsid w:val="00E704C2"/>
    <w:rsid w:val="00E81198"/>
    <w:rsid w:val="00E84012"/>
    <w:rsid w:val="00E9373C"/>
    <w:rsid w:val="00E94149"/>
    <w:rsid w:val="00EA0566"/>
    <w:rsid w:val="00EA0724"/>
    <w:rsid w:val="00EA1FB3"/>
    <w:rsid w:val="00EA6251"/>
    <w:rsid w:val="00EB5AE4"/>
    <w:rsid w:val="00EB6414"/>
    <w:rsid w:val="00EC507B"/>
    <w:rsid w:val="00EC6E2C"/>
    <w:rsid w:val="00ED4271"/>
    <w:rsid w:val="00EE5747"/>
    <w:rsid w:val="00EF2946"/>
    <w:rsid w:val="00EF2B10"/>
    <w:rsid w:val="00EF3804"/>
    <w:rsid w:val="00EF4C3E"/>
    <w:rsid w:val="00EF5E05"/>
    <w:rsid w:val="00EF5FDA"/>
    <w:rsid w:val="00F15158"/>
    <w:rsid w:val="00F227AF"/>
    <w:rsid w:val="00F23B83"/>
    <w:rsid w:val="00F24977"/>
    <w:rsid w:val="00F27370"/>
    <w:rsid w:val="00F37E5D"/>
    <w:rsid w:val="00F477C4"/>
    <w:rsid w:val="00F5138F"/>
    <w:rsid w:val="00F5341C"/>
    <w:rsid w:val="00F56954"/>
    <w:rsid w:val="00F57FD0"/>
    <w:rsid w:val="00F66049"/>
    <w:rsid w:val="00F8123F"/>
    <w:rsid w:val="00F948AF"/>
    <w:rsid w:val="00FA5A7B"/>
    <w:rsid w:val="00FA5D07"/>
    <w:rsid w:val="00FB11B1"/>
    <w:rsid w:val="00FB3B53"/>
    <w:rsid w:val="00FC0935"/>
    <w:rsid w:val="00FE00E8"/>
    <w:rsid w:val="00FF4092"/>
    <w:rsid w:val="00FF48CB"/>
    <w:rsid w:val="00FF5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6944F22-9080-433D-A08F-70BEB070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styleId="ListParagraph">
    <w:name w:val="List Paragraph"/>
    <w:basedOn w:val="Normal"/>
    <w:uiPriority w:val="34"/>
    <w:qFormat/>
    <w:rsid w:val="007D4329"/>
    <w:pPr>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42F34"/>
    <w:rPr>
      <w:b/>
      <w:bCs/>
    </w:rPr>
  </w:style>
  <w:style w:type="character" w:customStyle="1" w:styleId="CommentSubjectChar">
    <w:name w:val="Comment Subject Char"/>
    <w:basedOn w:val="CommentTextChar"/>
    <w:link w:val="CommentSubject"/>
    <w:uiPriority w:val="99"/>
    <w:semiHidden/>
    <w:rsid w:val="00842F34"/>
    <w:rPr>
      <w:rFonts w:ascii="Arial" w:hAnsi="Arial" w:cstheme="minorBidi"/>
      <w:b/>
      <w:bCs/>
    </w:rPr>
  </w:style>
  <w:style w:type="character" w:styleId="FollowedHyperlink">
    <w:name w:val="FollowedHyperlink"/>
    <w:basedOn w:val="DefaultParagraphFont"/>
    <w:uiPriority w:val="99"/>
    <w:semiHidden/>
    <w:unhideWhenUsed/>
    <w:rsid w:val="00C9223D"/>
    <w:rPr>
      <w:color w:val="800080" w:themeColor="followedHyperlink"/>
      <w:u w:val="single"/>
    </w:rPr>
  </w:style>
  <w:style w:type="paragraph" w:styleId="Revision">
    <w:name w:val="Revision"/>
    <w:hidden/>
    <w:uiPriority w:val="99"/>
    <w:semiHidden/>
    <w:rsid w:val="00DA711A"/>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781">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39620364">
      <w:bodyDiv w:val="1"/>
      <w:marLeft w:val="0"/>
      <w:marRight w:val="0"/>
      <w:marTop w:val="0"/>
      <w:marBottom w:val="0"/>
      <w:divBdr>
        <w:top w:val="none" w:sz="0" w:space="0" w:color="auto"/>
        <w:left w:val="none" w:sz="0" w:space="0" w:color="auto"/>
        <w:bottom w:val="none" w:sz="0" w:space="0" w:color="auto"/>
        <w:right w:val="none" w:sz="0" w:space="0" w:color="auto"/>
      </w:divBdr>
    </w:div>
    <w:div w:id="198980820">
      <w:bodyDiv w:val="1"/>
      <w:marLeft w:val="0"/>
      <w:marRight w:val="0"/>
      <w:marTop w:val="0"/>
      <w:marBottom w:val="0"/>
      <w:divBdr>
        <w:top w:val="none" w:sz="0" w:space="0" w:color="auto"/>
        <w:left w:val="none" w:sz="0" w:space="0" w:color="auto"/>
        <w:bottom w:val="none" w:sz="0" w:space="0" w:color="auto"/>
        <w:right w:val="none" w:sz="0" w:space="0" w:color="auto"/>
      </w:divBdr>
    </w:div>
    <w:div w:id="435714586">
      <w:bodyDiv w:val="1"/>
      <w:marLeft w:val="0"/>
      <w:marRight w:val="0"/>
      <w:marTop w:val="0"/>
      <w:marBottom w:val="0"/>
      <w:divBdr>
        <w:top w:val="none" w:sz="0" w:space="0" w:color="auto"/>
        <w:left w:val="none" w:sz="0" w:space="0" w:color="auto"/>
        <w:bottom w:val="none" w:sz="0" w:space="0" w:color="auto"/>
        <w:right w:val="none" w:sz="0" w:space="0" w:color="auto"/>
      </w:divBdr>
    </w:div>
    <w:div w:id="678167268">
      <w:bodyDiv w:val="1"/>
      <w:marLeft w:val="0"/>
      <w:marRight w:val="0"/>
      <w:marTop w:val="0"/>
      <w:marBottom w:val="0"/>
      <w:divBdr>
        <w:top w:val="none" w:sz="0" w:space="0" w:color="auto"/>
        <w:left w:val="none" w:sz="0" w:space="0" w:color="auto"/>
        <w:bottom w:val="none" w:sz="0" w:space="0" w:color="auto"/>
        <w:right w:val="none" w:sz="0" w:space="0" w:color="auto"/>
      </w:divBdr>
    </w:div>
    <w:div w:id="86941556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88829249">
      <w:bodyDiv w:val="1"/>
      <w:marLeft w:val="0"/>
      <w:marRight w:val="0"/>
      <w:marTop w:val="0"/>
      <w:marBottom w:val="0"/>
      <w:divBdr>
        <w:top w:val="none" w:sz="0" w:space="0" w:color="auto"/>
        <w:left w:val="none" w:sz="0" w:space="0" w:color="auto"/>
        <w:bottom w:val="none" w:sz="0" w:space="0" w:color="auto"/>
        <w:right w:val="none" w:sz="0" w:space="0" w:color="auto"/>
      </w:divBdr>
    </w:div>
    <w:div w:id="1284506132">
      <w:bodyDiv w:val="1"/>
      <w:marLeft w:val="0"/>
      <w:marRight w:val="0"/>
      <w:marTop w:val="0"/>
      <w:marBottom w:val="0"/>
      <w:divBdr>
        <w:top w:val="none" w:sz="0" w:space="0" w:color="auto"/>
        <w:left w:val="none" w:sz="0" w:space="0" w:color="auto"/>
        <w:bottom w:val="none" w:sz="0" w:space="0" w:color="auto"/>
        <w:right w:val="none" w:sz="0" w:space="0" w:color="auto"/>
      </w:divBdr>
    </w:div>
    <w:div w:id="1478181951">
      <w:bodyDiv w:val="1"/>
      <w:marLeft w:val="0"/>
      <w:marRight w:val="0"/>
      <w:marTop w:val="0"/>
      <w:marBottom w:val="0"/>
      <w:divBdr>
        <w:top w:val="none" w:sz="0" w:space="0" w:color="auto"/>
        <w:left w:val="none" w:sz="0" w:space="0" w:color="auto"/>
        <w:bottom w:val="none" w:sz="0" w:space="0" w:color="auto"/>
        <w:right w:val="none" w:sz="0" w:space="0" w:color="auto"/>
      </w:divBdr>
    </w:div>
    <w:div w:id="1665746546">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68585417">
      <w:bodyDiv w:val="1"/>
      <w:marLeft w:val="0"/>
      <w:marRight w:val="0"/>
      <w:marTop w:val="0"/>
      <w:marBottom w:val="0"/>
      <w:divBdr>
        <w:top w:val="none" w:sz="0" w:space="0" w:color="auto"/>
        <w:left w:val="none" w:sz="0" w:space="0" w:color="auto"/>
        <w:bottom w:val="none" w:sz="0" w:space="0" w:color="auto"/>
        <w:right w:val="none" w:sz="0" w:space="0" w:color="auto"/>
      </w:divBdr>
    </w:div>
    <w:div w:id="2024088394">
      <w:bodyDiv w:val="1"/>
      <w:marLeft w:val="0"/>
      <w:marRight w:val="0"/>
      <w:marTop w:val="0"/>
      <w:marBottom w:val="0"/>
      <w:divBdr>
        <w:top w:val="none" w:sz="0" w:space="0" w:color="auto"/>
        <w:left w:val="none" w:sz="0" w:space="0" w:color="auto"/>
        <w:bottom w:val="none" w:sz="0" w:space="0" w:color="auto"/>
        <w:right w:val="none" w:sz="0" w:space="0" w:color="auto"/>
      </w:divBdr>
    </w:div>
    <w:div w:id="21314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s.gov.au/communities-and-vulnerable-people/fair-pay-for-social-and-community-services-worker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x.dss.gov.au/data-exchange-protocols/dex_data_exchange_protoco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s.gov.au/women-programs-services-reducing-violence/our-investment-in-womens-safety" TargetMode="Externa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10" Type="http://schemas.openxmlformats.org/officeDocument/2006/relationships/hyperlink" Target="https://www.communitygrants.gov.au/grants/specialised-family-violence-service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mailto:support@communitygran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69BCA4-BE9F-4013-B277-FB2482D8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6</TotalTime>
  <Pages>6</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DONATH, Kristen</cp:lastModifiedBy>
  <cp:revision>5</cp:revision>
  <dcterms:created xsi:type="dcterms:W3CDTF">2019-05-15T07:55:00Z</dcterms:created>
  <dcterms:modified xsi:type="dcterms:W3CDTF">2019-05-15T08:26:00Z</dcterms:modified>
</cp:coreProperties>
</file>