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bookmarkStart w:id="0" w:name="_GoBack"/>
      <w:bookmarkEnd w:id="0"/>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110ABF" w:rsidRDefault="00277F98" w:rsidP="00C84209">
      <w:pPr>
        <w:spacing w:line="240" w:lineRule="auto"/>
        <w:jc w:val="center"/>
        <w:rPr>
          <w:rFonts w:ascii="Arial" w:hAnsi="Arial" w:cs="Arial"/>
          <w:sz w:val="52"/>
          <w:szCs w:val="52"/>
        </w:rPr>
      </w:pPr>
      <w:r w:rsidRPr="00110ABF">
        <w:rPr>
          <w:rFonts w:ascii="Arial" w:hAnsi="Arial" w:cs="Arial"/>
          <w:sz w:val="52"/>
          <w:szCs w:val="52"/>
        </w:rPr>
        <w:t xml:space="preserve">Department of </w:t>
      </w:r>
      <w:r w:rsidR="00A443CD" w:rsidRPr="00110ABF">
        <w:rPr>
          <w:rFonts w:ascii="Arial" w:hAnsi="Arial" w:cs="Arial"/>
          <w:sz w:val="52"/>
          <w:szCs w:val="52"/>
        </w:rPr>
        <w:t>Social Services</w:t>
      </w:r>
    </w:p>
    <w:p w14:paraId="790537F0" w14:textId="1B63CAA4" w:rsidR="00EC7CB0" w:rsidRPr="00110ABF" w:rsidRDefault="007C636F" w:rsidP="00C84209">
      <w:pPr>
        <w:spacing w:line="240" w:lineRule="auto"/>
        <w:jc w:val="center"/>
        <w:rPr>
          <w:rFonts w:ascii="Arial" w:hAnsi="Arial" w:cs="Arial"/>
          <w:sz w:val="52"/>
          <w:szCs w:val="52"/>
        </w:rPr>
      </w:pPr>
      <w:proofErr w:type="gramStart"/>
      <w:r w:rsidRPr="00110ABF">
        <w:rPr>
          <w:rFonts w:ascii="Arial" w:hAnsi="Arial" w:cs="Arial"/>
          <w:sz w:val="52"/>
          <w:szCs w:val="52"/>
        </w:rPr>
        <w:t>a</w:t>
      </w:r>
      <w:r w:rsidR="00EC7CB0" w:rsidRPr="00110ABF">
        <w:rPr>
          <w:rFonts w:ascii="Arial" w:hAnsi="Arial" w:cs="Arial"/>
          <w:sz w:val="52"/>
          <w:szCs w:val="52"/>
        </w:rPr>
        <w:t>nd</w:t>
      </w:r>
      <w:proofErr w:type="gramEnd"/>
    </w:p>
    <w:p w14:paraId="0E8D4173" w14:textId="6F3A830F" w:rsidR="007C636F" w:rsidRPr="00E60184" w:rsidRDefault="007C636F" w:rsidP="007C636F">
      <w:pPr>
        <w:spacing w:line="240" w:lineRule="auto"/>
        <w:jc w:val="center"/>
        <w:rPr>
          <w:rFonts w:ascii="Arial" w:hAnsi="Arial" w:cs="Arial"/>
          <w:sz w:val="52"/>
          <w:szCs w:val="52"/>
        </w:rPr>
      </w:pPr>
      <w:r w:rsidRPr="00110ABF">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pgNumType w:start="1"/>
          <w:cols w:space="708"/>
          <w:titlePg/>
          <w:docGrid w:linePitch="299"/>
        </w:sectPr>
      </w:pPr>
    </w:p>
    <w:p w14:paraId="0AFFE27A" w14:textId="7A64588D" w:rsidR="00EC7CB0" w:rsidRPr="00DC57FE" w:rsidRDefault="00EC7CB0" w:rsidP="00FD3FF7">
      <w:pPr>
        <w:pStyle w:val="Heading1"/>
        <w:spacing w:before="360" w:after="240"/>
        <w:rPr>
          <w:rFonts w:ascii="Arial" w:hAnsi="Arial" w:cs="Arial"/>
          <w:sz w:val="26"/>
          <w:szCs w:val="26"/>
        </w:rPr>
      </w:pPr>
      <w:bookmarkStart w:id="1" w:name="_Toc494986402"/>
      <w:r w:rsidRPr="00DC57FE">
        <w:rPr>
          <w:rFonts w:ascii="Arial" w:hAnsi="Arial" w:cs="Arial"/>
          <w:sz w:val="26"/>
          <w:szCs w:val="26"/>
        </w:rPr>
        <w:lastRenderedPageBreak/>
        <w:t xml:space="preserve">Grant </w:t>
      </w:r>
      <w:r w:rsidRPr="00110ABF">
        <w:rPr>
          <w:rFonts w:ascii="Arial" w:hAnsi="Arial" w:cs="Arial"/>
          <w:sz w:val="26"/>
          <w:szCs w:val="26"/>
        </w:rPr>
        <w:t>Agreement</w:t>
      </w:r>
      <w:bookmarkEnd w:id="1"/>
      <w:r w:rsidR="00304243" w:rsidRPr="00110ABF">
        <w:rPr>
          <w:rFonts w:ascii="Arial" w:hAnsi="Arial" w:cs="Arial"/>
          <w:sz w:val="26"/>
          <w:szCs w:val="26"/>
        </w:rPr>
        <w:t xml:space="preserve"> [Agreement Id]</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2"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2"/>
    </w:p>
    <w:p w14:paraId="793D118F" w14:textId="77777777" w:rsidR="00EC7CB0" w:rsidRPr="00761566" w:rsidRDefault="00EC7CB0" w:rsidP="00094736">
      <w:pPr>
        <w:pStyle w:val="Heading2"/>
      </w:pPr>
      <w:bookmarkStart w:id="3" w:name="_Toc494986404"/>
      <w:r w:rsidRPr="00761566">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0E170C76"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7EA11E3A" w:rsidR="00715F4E" w:rsidRDefault="00715F4E" w:rsidP="00110ABF">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67168423"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A3CEF5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2F11B99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18FD100" w:rsidR="007C636F" w:rsidRPr="007C636F" w:rsidRDefault="007C636F" w:rsidP="00110ABF">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010AE3E7"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14DB06C1"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42A49FD"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0F0A2AC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24A7C08B" w:rsidR="007C636F" w:rsidRPr="007C636F" w:rsidRDefault="007C636F" w:rsidP="00110ABF">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8FD13AA" w:rsidR="00A907EB" w:rsidRPr="007C636F" w:rsidRDefault="00A907EB" w:rsidP="00110ABF">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5902344A" w:rsidR="007C636F" w:rsidRPr="007C636F" w:rsidRDefault="007C636F" w:rsidP="00110ABF">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094736">
      <w:pPr>
        <w:pStyle w:val="Heading2"/>
      </w:pPr>
      <w:bookmarkStart w:id="4" w:name="_Toc494986405"/>
      <w:r w:rsidRPr="00715F4E">
        <w:t>The Commonwealth</w:t>
      </w:r>
      <w:bookmarkEnd w:id="4"/>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71 Athllon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5" w:name="_Toc494986406"/>
      <w:r w:rsidRPr="00C7353F">
        <w:rPr>
          <w:rFonts w:ascii="Arial" w:hAnsi="Arial" w:cs="Arial"/>
          <w:sz w:val="26"/>
          <w:szCs w:val="26"/>
        </w:rPr>
        <w:t>Background</w:t>
      </w:r>
      <w:bookmarkEnd w:id="5"/>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094736">
      <w:pPr>
        <w:pStyle w:val="Heading2"/>
      </w:pPr>
      <w:bookmarkStart w:id="6" w:name="_Toc494986407"/>
      <w:r w:rsidRPr="00FD3FF7">
        <w:lastRenderedPageBreak/>
        <w:t>Scope of this Agreement</w:t>
      </w:r>
      <w:bookmarkEnd w:id="6"/>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2F5E9C91" w14:textId="39B98EEF" w:rsidR="00ED3AA5" w:rsidRDefault="00EC7CB0" w:rsidP="009042FB">
      <w:pPr>
        <w:rPr>
          <w:rFonts w:ascii="Arial" w:hAnsi="Arial" w:cs="Arial"/>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p>
    <w:p w14:paraId="51E3FFFB" w14:textId="77777777" w:rsidR="007C636F" w:rsidRPr="00FD3FF7" w:rsidRDefault="00EC7CB0" w:rsidP="007C636F">
      <w:pPr>
        <w:rPr>
          <w:rFonts w:ascii="Arial" w:hAnsi="Arial" w:cs="Arial"/>
          <w:b/>
          <w:bCs/>
          <w:color w:val="365F91"/>
          <w:sz w:val="28"/>
          <w:szCs w:val="26"/>
        </w:rPr>
      </w:pPr>
      <w:r w:rsidRPr="00ED3AA5">
        <w:rPr>
          <w:rFonts w:ascii="Arial" w:hAnsi="Arial" w:cs="Arial"/>
        </w:rPr>
        <w:br w:type="page"/>
      </w:r>
      <w:bookmarkStart w:id="7" w:name="_Toc494986408"/>
      <w:r w:rsidRPr="00FD3FF7">
        <w:rPr>
          <w:rFonts w:ascii="Arial" w:hAnsi="Arial" w:cs="Arial"/>
          <w:b/>
          <w:bCs/>
          <w:color w:val="365F91"/>
          <w:sz w:val="28"/>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greement and Schedule ID"/>
      </w:tblPr>
      <w:tblGrid>
        <w:gridCol w:w="2196"/>
        <w:gridCol w:w="2380"/>
      </w:tblGrid>
      <w:tr w:rsidR="00794F1A" w14:paraId="3E050283" w14:textId="77777777" w:rsidTr="009042FB">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03706962"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1F571B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009631D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094736">
      <w:bookmarkStart w:id="8" w:name="_Toc494986409"/>
    </w:p>
    <w:p w14:paraId="45B7F694" w14:textId="1881FD5F" w:rsidR="00EC7CB0"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8"/>
    </w:p>
    <w:p w14:paraId="7A56EA9D" w14:textId="0B325006" w:rsidR="00CA464B" w:rsidRPr="00EA64D4" w:rsidRDefault="00304243" w:rsidP="00CA464B">
      <w:pPr>
        <w:rPr>
          <w:rFonts w:ascii="Arial" w:hAnsi="Arial" w:cs="Arial"/>
        </w:rPr>
      </w:pPr>
      <w:bookmarkStart w:id="9" w:name="_Toc494986410"/>
      <w:r>
        <w:rPr>
          <w:rFonts w:ascii="Arial" w:hAnsi="Arial" w:cs="Arial"/>
        </w:rPr>
        <w:t xml:space="preserve">The purpose of the Grant is </w:t>
      </w:r>
      <w:r w:rsidR="00CA464B" w:rsidRPr="00EA64D4">
        <w:rPr>
          <w:rFonts w:ascii="Arial" w:hAnsi="Arial" w:cs="Arial"/>
        </w:rPr>
        <w:t xml:space="preserve">to build </w:t>
      </w:r>
      <w:r w:rsidR="000C4032" w:rsidRPr="00EA64D4">
        <w:rPr>
          <w:rFonts w:ascii="Arial" w:hAnsi="Arial" w:cs="Arial"/>
        </w:rPr>
        <w:t xml:space="preserve">the </w:t>
      </w:r>
      <w:r w:rsidR="00CA464B" w:rsidRPr="00EA64D4">
        <w:rPr>
          <w:rFonts w:ascii="Arial" w:hAnsi="Arial" w:cs="Arial"/>
        </w:rPr>
        <w:t xml:space="preserve">capability and capacity of the service system by training frontline workers to better recognise and respond to all people who experience sexual violence. Frontline workers receive disclosures of sexual assault; however, many are not adequately trained to respond appropriately to people who disclose. </w:t>
      </w:r>
    </w:p>
    <w:p w14:paraId="73738470" w14:textId="37E7D840" w:rsidR="00CA464B" w:rsidRPr="00EA64D4" w:rsidRDefault="00CA464B" w:rsidP="00CA464B">
      <w:pPr>
        <w:rPr>
          <w:rFonts w:ascii="Arial" w:hAnsi="Arial" w:cs="Arial"/>
        </w:rPr>
      </w:pPr>
      <w:r w:rsidRPr="00EA64D4">
        <w:rPr>
          <w:rFonts w:ascii="Arial" w:hAnsi="Arial" w:cs="Arial"/>
        </w:rPr>
        <w:t xml:space="preserve">Sexual violence may form part of family and domestic violence or as a standalone form of violence, and requires specific and specialised skills, capabilities and responses from frontline workers. These workforces could also work with clients to provide crisis support or referrals, or assist with recovery. </w:t>
      </w:r>
    </w:p>
    <w:p w14:paraId="545FCF9D" w14:textId="2B70DB9C" w:rsidR="000C4032" w:rsidRPr="00EA64D4" w:rsidRDefault="000C4032" w:rsidP="00CA464B">
      <w:pPr>
        <w:rPr>
          <w:rFonts w:ascii="Arial" w:hAnsi="Arial" w:cs="Arial"/>
        </w:rPr>
      </w:pPr>
      <w:r w:rsidRPr="00EA64D4">
        <w:rPr>
          <w:rFonts w:ascii="Arial" w:hAnsi="Arial" w:cs="Arial"/>
        </w:rPr>
        <w:t>The expected outcomes of the grant program are:</w:t>
      </w:r>
    </w:p>
    <w:p w14:paraId="651B5B55" w14:textId="77777777" w:rsidR="005054AC" w:rsidRPr="0053262F" w:rsidRDefault="005054AC" w:rsidP="005054AC">
      <w:pPr>
        <w:pStyle w:val="ListBullet"/>
        <w:spacing w:after="120"/>
        <w:ind w:left="363" w:hanging="357"/>
        <w:rPr>
          <w:rStyle w:val="highlightedtextChar"/>
          <w:rFonts w:ascii="Arial" w:hAnsi="Arial" w:cs="Arial"/>
          <w:b w:val="0"/>
          <w:color w:val="auto"/>
          <w:sz w:val="22"/>
        </w:rPr>
      </w:pPr>
      <w:r w:rsidRPr="0053262F">
        <w:rPr>
          <w:rStyle w:val="highlightedtextChar"/>
          <w:rFonts w:ascii="Arial" w:hAnsi="Arial" w:cs="Arial"/>
          <w:b w:val="0"/>
          <w:color w:val="auto"/>
          <w:sz w:val="22"/>
        </w:rPr>
        <w:t xml:space="preserve">increased capability and capacity of frontline workers to respond to </w:t>
      </w:r>
      <w:r w:rsidRPr="00AC793A">
        <w:rPr>
          <w:rFonts w:eastAsiaTheme="minorHAnsi" w:cs="Arial"/>
          <w:sz w:val="22"/>
        </w:rPr>
        <w:t>victims of sexual violence in a supported, rights-based, and autonomous fashion</w:t>
      </w:r>
      <w:r w:rsidRPr="0053262F">
        <w:rPr>
          <w:rStyle w:val="highlightedtextChar"/>
          <w:rFonts w:ascii="Arial" w:hAnsi="Arial" w:cs="Arial"/>
          <w:b w:val="0"/>
          <w:color w:val="auto"/>
          <w:sz w:val="22"/>
        </w:rPr>
        <w:t>:</w:t>
      </w:r>
    </w:p>
    <w:p w14:paraId="658BC410" w14:textId="77777777" w:rsidR="005054AC" w:rsidRPr="0053262F" w:rsidRDefault="005054AC" w:rsidP="005054AC">
      <w:pPr>
        <w:pStyle w:val="ListBullet"/>
        <w:numPr>
          <w:ilvl w:val="1"/>
          <w:numId w:val="11"/>
        </w:numPr>
        <w:spacing w:after="120"/>
        <w:ind w:hanging="357"/>
        <w:rPr>
          <w:rStyle w:val="highlightedtextChar"/>
          <w:rFonts w:ascii="Arial" w:hAnsi="Arial" w:cs="Arial"/>
          <w:b w:val="0"/>
          <w:color w:val="auto"/>
          <w:sz w:val="22"/>
        </w:rPr>
      </w:pPr>
      <w:r w:rsidRPr="0053262F">
        <w:rPr>
          <w:rStyle w:val="highlightedtextChar"/>
          <w:rFonts w:ascii="Arial" w:hAnsi="Arial" w:cs="Arial"/>
          <w:b w:val="0"/>
          <w:color w:val="auto"/>
          <w:sz w:val="22"/>
        </w:rPr>
        <w:t>participants demonstrate increased understanding of all forms of sexual violence</w:t>
      </w:r>
    </w:p>
    <w:p w14:paraId="3DED8124" w14:textId="77777777" w:rsidR="005054AC" w:rsidRPr="0053262F" w:rsidRDefault="005054AC" w:rsidP="005054AC">
      <w:pPr>
        <w:pStyle w:val="ListBullet"/>
        <w:numPr>
          <w:ilvl w:val="1"/>
          <w:numId w:val="11"/>
        </w:numPr>
        <w:spacing w:after="120"/>
        <w:ind w:hanging="357"/>
        <w:rPr>
          <w:rStyle w:val="highlightedtextChar"/>
          <w:rFonts w:ascii="Arial" w:hAnsi="Arial" w:cs="Arial"/>
          <w:b w:val="0"/>
          <w:color w:val="auto"/>
          <w:sz w:val="22"/>
        </w:rPr>
      </w:pPr>
      <w:r w:rsidRPr="0053262F">
        <w:rPr>
          <w:rStyle w:val="highlightedtextChar"/>
          <w:rFonts w:ascii="Arial" w:hAnsi="Arial" w:cs="Arial"/>
          <w:b w:val="0"/>
          <w:color w:val="auto"/>
          <w:sz w:val="22"/>
        </w:rPr>
        <w:t xml:space="preserve">participants have increased capacity and capability to respond to and support people affected by sexual violence </w:t>
      </w:r>
    </w:p>
    <w:p w14:paraId="5B80080F" w14:textId="77777777" w:rsidR="005054AC" w:rsidRPr="0053262F" w:rsidRDefault="005054AC" w:rsidP="005054AC">
      <w:pPr>
        <w:pStyle w:val="ListBullet"/>
        <w:numPr>
          <w:ilvl w:val="1"/>
          <w:numId w:val="11"/>
        </w:numPr>
        <w:spacing w:after="120"/>
        <w:ind w:hanging="357"/>
        <w:rPr>
          <w:rStyle w:val="highlightedtextChar"/>
          <w:rFonts w:ascii="Arial" w:hAnsi="Arial" w:cs="Arial"/>
          <w:b w:val="0"/>
          <w:color w:val="auto"/>
          <w:sz w:val="22"/>
        </w:rPr>
      </w:pPr>
      <w:r w:rsidRPr="0053262F">
        <w:rPr>
          <w:rStyle w:val="highlightedtextChar"/>
          <w:rFonts w:ascii="Arial" w:hAnsi="Arial" w:cs="Arial"/>
          <w:b w:val="0"/>
          <w:color w:val="auto"/>
          <w:sz w:val="22"/>
        </w:rPr>
        <w:t>participants are able to respond in culturally appropriate ways</w:t>
      </w:r>
    </w:p>
    <w:p w14:paraId="59C21A50" w14:textId="77777777" w:rsidR="005054AC" w:rsidRPr="0053262F" w:rsidRDefault="005054AC" w:rsidP="005054AC">
      <w:pPr>
        <w:pStyle w:val="ListBullet"/>
        <w:numPr>
          <w:ilvl w:val="1"/>
          <w:numId w:val="11"/>
        </w:numPr>
        <w:spacing w:after="120"/>
        <w:ind w:hanging="357"/>
        <w:rPr>
          <w:rStyle w:val="highlightedtextChar"/>
          <w:rFonts w:ascii="Arial" w:hAnsi="Arial" w:cs="Arial"/>
          <w:b w:val="0"/>
          <w:color w:val="auto"/>
          <w:sz w:val="22"/>
        </w:rPr>
      </w:pPr>
      <w:r w:rsidRPr="0053262F">
        <w:rPr>
          <w:rStyle w:val="highlightedtextChar"/>
          <w:rFonts w:ascii="Arial" w:hAnsi="Arial" w:cs="Arial"/>
          <w:b w:val="0"/>
          <w:color w:val="auto"/>
          <w:sz w:val="22"/>
        </w:rPr>
        <w:t>people understand and respond appropriately to the complexities of sexual assault of women with disability</w:t>
      </w:r>
    </w:p>
    <w:p w14:paraId="06785A5D" w14:textId="77777777" w:rsidR="005054AC" w:rsidRPr="0053262F" w:rsidRDefault="005054AC" w:rsidP="005054AC">
      <w:pPr>
        <w:pStyle w:val="ListBullet"/>
        <w:numPr>
          <w:ilvl w:val="1"/>
          <w:numId w:val="11"/>
        </w:numPr>
        <w:spacing w:after="120"/>
        <w:ind w:hanging="357"/>
        <w:rPr>
          <w:rStyle w:val="highlightedtextChar"/>
          <w:rFonts w:ascii="Arial" w:hAnsi="Arial" w:cs="Arial"/>
          <w:b w:val="0"/>
          <w:color w:val="auto"/>
          <w:sz w:val="22"/>
        </w:rPr>
      </w:pPr>
      <w:r w:rsidRPr="0053262F">
        <w:rPr>
          <w:rStyle w:val="highlightedtextChar"/>
          <w:rFonts w:ascii="Arial" w:hAnsi="Arial" w:cs="Arial"/>
          <w:b w:val="0"/>
          <w:color w:val="auto"/>
          <w:sz w:val="22"/>
        </w:rPr>
        <w:t>participants are equipped with practical techniques that enable them to tailor their responses to the needs and experience of people affected by violence, whether the sexual violence was perpetrated as a standalone form of violence and/or in a domestic and family violence setting</w:t>
      </w:r>
    </w:p>
    <w:p w14:paraId="522F5975" w14:textId="77777777" w:rsidR="005054AC" w:rsidRPr="0053262F" w:rsidRDefault="005054AC" w:rsidP="005054AC">
      <w:pPr>
        <w:pStyle w:val="ListBullet"/>
        <w:numPr>
          <w:ilvl w:val="1"/>
          <w:numId w:val="11"/>
        </w:numPr>
        <w:spacing w:after="120"/>
        <w:ind w:hanging="357"/>
        <w:rPr>
          <w:rStyle w:val="highlightedtextChar"/>
          <w:rFonts w:ascii="Arial" w:hAnsi="Arial" w:cs="Arial"/>
          <w:b w:val="0"/>
          <w:color w:val="auto"/>
          <w:sz w:val="22"/>
        </w:rPr>
      </w:pPr>
      <w:proofErr w:type="gramStart"/>
      <w:r w:rsidRPr="0053262F">
        <w:rPr>
          <w:rStyle w:val="highlightedtextChar"/>
          <w:rFonts w:ascii="Arial" w:hAnsi="Arial" w:cs="Arial"/>
          <w:b w:val="0"/>
          <w:color w:val="auto"/>
          <w:sz w:val="22"/>
        </w:rPr>
        <w:t>victims</w:t>
      </w:r>
      <w:proofErr w:type="gramEnd"/>
      <w:r w:rsidRPr="0053262F">
        <w:rPr>
          <w:rStyle w:val="highlightedtextChar"/>
          <w:rFonts w:ascii="Arial" w:hAnsi="Arial" w:cs="Arial"/>
          <w:b w:val="0"/>
          <w:color w:val="auto"/>
          <w:sz w:val="22"/>
        </w:rPr>
        <w:t xml:space="preserve"> of sexual violence are not re-traumatised by the act of seeking help.</w:t>
      </w:r>
    </w:p>
    <w:p w14:paraId="7D87B5C4" w14:textId="0138EA39" w:rsidR="005054AC" w:rsidRPr="0053262F" w:rsidRDefault="005054AC" w:rsidP="005054AC">
      <w:pPr>
        <w:pStyle w:val="ListBullet"/>
        <w:spacing w:after="120"/>
        <w:ind w:left="363" w:hanging="357"/>
        <w:rPr>
          <w:rStyle w:val="highlightedtextChar"/>
          <w:rFonts w:ascii="Arial" w:hAnsi="Arial" w:cs="Arial"/>
          <w:b w:val="0"/>
          <w:color w:val="auto"/>
          <w:sz w:val="22"/>
        </w:rPr>
      </w:pPr>
      <w:r w:rsidRPr="0053262F">
        <w:rPr>
          <w:rStyle w:val="highlightedtextChar"/>
          <w:rFonts w:ascii="Arial" w:hAnsi="Arial" w:cs="Arial"/>
          <w:b w:val="0"/>
          <w:color w:val="auto"/>
          <w:sz w:val="22"/>
        </w:rPr>
        <w:t>building the capacity of frontline workers to respond to victims of sexual violence leads to improved service system responses for priority cohorts:</w:t>
      </w:r>
    </w:p>
    <w:p w14:paraId="5A551F5B" w14:textId="59010D52" w:rsidR="005054AC" w:rsidRPr="00AC793A" w:rsidRDefault="005054AC" w:rsidP="005054AC">
      <w:pPr>
        <w:pStyle w:val="ListBullet"/>
        <w:numPr>
          <w:ilvl w:val="1"/>
          <w:numId w:val="11"/>
        </w:numPr>
        <w:spacing w:after="120"/>
        <w:ind w:hanging="357"/>
        <w:rPr>
          <w:rFonts w:cs="Arial"/>
          <w:sz w:val="22"/>
        </w:rPr>
      </w:pPr>
      <w:r w:rsidRPr="00AC793A">
        <w:rPr>
          <w:rFonts w:cs="Arial"/>
          <w:sz w:val="22"/>
        </w:rPr>
        <w:t>Aboriginal and Torres Strait Islander people affected by sexual violence have access to workers who can support them in culturally appropriate ways</w:t>
      </w:r>
    </w:p>
    <w:p w14:paraId="0EA0C958" w14:textId="1088E528" w:rsidR="005054AC" w:rsidRPr="00AC793A" w:rsidRDefault="005054AC" w:rsidP="005054AC">
      <w:pPr>
        <w:pStyle w:val="ListBullet"/>
        <w:numPr>
          <w:ilvl w:val="1"/>
          <w:numId w:val="11"/>
        </w:numPr>
        <w:spacing w:after="120"/>
        <w:ind w:hanging="357"/>
        <w:rPr>
          <w:rFonts w:cs="Arial"/>
          <w:sz w:val="22"/>
        </w:rPr>
      </w:pPr>
      <w:r w:rsidRPr="00AC793A">
        <w:rPr>
          <w:rFonts w:cs="Arial"/>
          <w:sz w:val="22"/>
        </w:rPr>
        <w:t>people affected by sexual violence in culturally and linguistically diverse (CALD) communities have access to workers who can support them in culturally appropriate ways</w:t>
      </w:r>
    </w:p>
    <w:p w14:paraId="4958DBEE" w14:textId="77777777" w:rsidR="005054AC" w:rsidRPr="00AC793A" w:rsidRDefault="005054AC" w:rsidP="005054AC">
      <w:pPr>
        <w:pStyle w:val="ListBullet"/>
        <w:numPr>
          <w:ilvl w:val="1"/>
          <w:numId w:val="11"/>
        </w:numPr>
        <w:spacing w:after="120"/>
        <w:ind w:hanging="357"/>
        <w:rPr>
          <w:rFonts w:cs="Arial"/>
          <w:sz w:val="22"/>
        </w:rPr>
      </w:pPr>
      <w:r w:rsidRPr="00AC793A">
        <w:rPr>
          <w:rFonts w:cs="Arial"/>
          <w:sz w:val="22"/>
        </w:rPr>
        <w:t>people affected by sexual violence in rural, regional and remote areas have access to workers who can support them</w:t>
      </w:r>
    </w:p>
    <w:p w14:paraId="70FA24AE" w14:textId="119088F4" w:rsidR="005054AC" w:rsidRPr="00AC793A" w:rsidRDefault="005054AC" w:rsidP="005054AC">
      <w:pPr>
        <w:pStyle w:val="ListBullet"/>
        <w:numPr>
          <w:ilvl w:val="1"/>
          <w:numId w:val="11"/>
        </w:numPr>
        <w:spacing w:after="120"/>
        <w:ind w:hanging="357"/>
        <w:rPr>
          <w:rFonts w:cs="Arial"/>
          <w:sz w:val="22"/>
        </w:rPr>
      </w:pPr>
      <w:proofErr w:type="gramStart"/>
      <w:r w:rsidRPr="00AC793A">
        <w:rPr>
          <w:rFonts w:cs="Arial"/>
          <w:iCs w:val="0"/>
          <w:sz w:val="22"/>
        </w:rPr>
        <w:t>people</w:t>
      </w:r>
      <w:proofErr w:type="gramEnd"/>
      <w:r w:rsidRPr="00AC793A">
        <w:rPr>
          <w:rFonts w:cs="Arial"/>
          <w:iCs w:val="0"/>
          <w:sz w:val="22"/>
        </w:rPr>
        <w:t xml:space="preserve"> with disability affected by sexual violence have access to workers who can support them. </w:t>
      </w:r>
    </w:p>
    <w:p w14:paraId="475E24A4" w14:textId="77777777" w:rsidR="005054AC" w:rsidRPr="00AC793A" w:rsidRDefault="005054AC" w:rsidP="005054AC">
      <w:pPr>
        <w:pStyle w:val="ListBullet"/>
        <w:numPr>
          <w:ilvl w:val="1"/>
          <w:numId w:val="11"/>
        </w:numPr>
        <w:spacing w:after="120"/>
        <w:ind w:hanging="357"/>
        <w:rPr>
          <w:rFonts w:cs="Arial"/>
          <w:sz w:val="22"/>
        </w:rPr>
      </w:pPr>
      <w:proofErr w:type="gramStart"/>
      <w:r w:rsidRPr="00AC793A">
        <w:rPr>
          <w:rFonts w:cs="Arial"/>
          <w:sz w:val="22"/>
        </w:rPr>
        <w:t>people</w:t>
      </w:r>
      <w:proofErr w:type="gramEnd"/>
      <w:r w:rsidRPr="00AC793A">
        <w:rPr>
          <w:rFonts w:cs="Arial"/>
          <w:sz w:val="22"/>
        </w:rPr>
        <w:t xml:space="preserve"> with diverse sex, sexuality and gender are able to access workers who can support them.</w:t>
      </w:r>
    </w:p>
    <w:p w14:paraId="5EF6EA94" w14:textId="77777777" w:rsidR="00B612DE" w:rsidRDefault="00B612DE" w:rsidP="00E45ABD">
      <w:pPr>
        <w:rPr>
          <w:rFonts w:ascii="Arial" w:hAnsi="Arial" w:cs="Arial"/>
        </w:rPr>
      </w:pPr>
    </w:p>
    <w:p w14:paraId="1A70BFED" w14:textId="320F605D" w:rsidR="00304243" w:rsidRDefault="00304243" w:rsidP="00E45ABD">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2345A465" w14:textId="666F1B62" w:rsidR="00AC05EE" w:rsidRDefault="00304243" w:rsidP="0053262F">
      <w:pPr>
        <w:rPr>
          <w:rFonts w:ascii="Arial" w:hAnsi="Arial" w:cs="Arial"/>
          <w:b/>
          <w:bCs/>
          <w:color w:val="365F91"/>
          <w:sz w:val="26"/>
          <w:szCs w:val="26"/>
          <w:highlight w:val="cyan"/>
        </w:rPr>
      </w:pPr>
      <w:r w:rsidRPr="00F46233">
        <w:rPr>
          <w:rFonts w:ascii="Arial" w:hAnsi="Arial" w:cs="Arial"/>
        </w:rPr>
        <w:t>The Grant i</w:t>
      </w:r>
      <w:r w:rsidR="00110ABF">
        <w:rPr>
          <w:rFonts w:ascii="Arial" w:hAnsi="Arial" w:cs="Arial"/>
        </w:rPr>
        <w:t xml:space="preserve">s being provided as part of the </w:t>
      </w:r>
      <w:r w:rsidR="00E45ABD">
        <w:rPr>
          <w:rFonts w:ascii="Arial" w:hAnsi="Arial" w:cs="Arial"/>
        </w:rPr>
        <w:t>National Initiatives</w:t>
      </w:r>
      <w:r w:rsidR="00CA464B" w:rsidRPr="00CA464B">
        <w:rPr>
          <w:rFonts w:ascii="Arial" w:hAnsi="Arial" w:cs="Arial"/>
        </w:rPr>
        <w:t xml:space="preserve"> </w:t>
      </w:r>
      <w:r w:rsidRPr="00F46233">
        <w:rPr>
          <w:rFonts w:ascii="Arial" w:hAnsi="Arial" w:cs="Arial"/>
        </w:rPr>
        <w:t>program.</w:t>
      </w:r>
    </w:p>
    <w:p w14:paraId="699EFDBE" w14:textId="0EDD5A32"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lastRenderedPageBreak/>
        <w:t>B. Activity</w:t>
      </w:r>
      <w:bookmarkStart w:id="10" w:name="_Toc494986411"/>
      <w:bookmarkEnd w:id="9"/>
    </w:p>
    <w:p w14:paraId="5C0EB1DA" w14:textId="77777777" w:rsidR="000C4032" w:rsidRDefault="000C4032" w:rsidP="000C4032">
      <w:pPr>
        <w:rPr>
          <w:rFonts w:ascii="Arial" w:eastAsia="Arial" w:hAnsi="Arial" w:cs="Arial"/>
          <w:color w:val="000000"/>
        </w:rPr>
      </w:pPr>
      <w:r>
        <w:rPr>
          <w:rFonts w:ascii="Arial" w:eastAsia="Arial" w:hAnsi="Arial" w:cs="Arial"/>
          <w:color w:val="000000"/>
        </w:rPr>
        <w:t>You must:</w:t>
      </w:r>
    </w:p>
    <w:p w14:paraId="5974598F" w14:textId="311D6BEA" w:rsidR="000C4032" w:rsidRPr="0053262F" w:rsidRDefault="000C4032" w:rsidP="000C4032">
      <w:pPr>
        <w:rPr>
          <w:rFonts w:ascii="Arial" w:eastAsia="Arial" w:hAnsi="Arial" w:cs="Arial"/>
          <w:color w:val="000000"/>
        </w:rPr>
      </w:pPr>
      <w:r>
        <w:rPr>
          <w:rFonts w:ascii="Arial" w:eastAsia="Arial" w:hAnsi="Arial" w:cs="Arial"/>
          <w:color w:val="000000"/>
        </w:rPr>
        <w:t xml:space="preserve">Develop </w:t>
      </w:r>
      <w:r w:rsidRPr="000C4032">
        <w:rPr>
          <w:rFonts w:ascii="Arial" w:eastAsia="Arial" w:hAnsi="Arial" w:cs="Arial"/>
          <w:color w:val="000000"/>
        </w:rPr>
        <w:t>and deliver free accredited training for sexual violence responses</w:t>
      </w:r>
      <w:r w:rsidR="00481CA0">
        <w:rPr>
          <w:rFonts w:ascii="Arial" w:eastAsia="Arial" w:hAnsi="Arial" w:cs="Arial"/>
          <w:color w:val="000000"/>
        </w:rPr>
        <w:t xml:space="preserve"> for frontline</w:t>
      </w:r>
      <w:r w:rsidRPr="000C4032">
        <w:rPr>
          <w:rFonts w:ascii="Arial" w:eastAsia="Arial" w:hAnsi="Arial" w:cs="Arial"/>
          <w:color w:val="000000"/>
        </w:rPr>
        <w:t xml:space="preserve"> workers that may interact with individuals or communities affected by sexual violence</w:t>
      </w:r>
      <w:r w:rsidRPr="0053262F">
        <w:rPr>
          <w:rFonts w:ascii="Arial" w:eastAsia="Arial" w:hAnsi="Arial" w:cs="Arial"/>
          <w:color w:val="000000"/>
        </w:rPr>
        <w:t xml:space="preserve">. </w:t>
      </w:r>
    </w:p>
    <w:p w14:paraId="5F9CAAE0" w14:textId="0B850635" w:rsidR="000C4032" w:rsidRPr="0053262F" w:rsidRDefault="000C4032" w:rsidP="000C4032">
      <w:pPr>
        <w:spacing w:after="240"/>
        <w:rPr>
          <w:rFonts w:ascii="Arial" w:eastAsia="Arial" w:hAnsi="Arial" w:cs="Arial"/>
          <w:color w:val="000000"/>
        </w:rPr>
      </w:pPr>
      <w:r>
        <w:rPr>
          <w:rFonts w:ascii="Arial" w:eastAsia="Arial" w:hAnsi="Arial" w:cs="Arial"/>
          <w:color w:val="000000"/>
        </w:rPr>
        <w:t>T</w:t>
      </w:r>
      <w:r w:rsidRPr="003C58FC">
        <w:rPr>
          <w:rFonts w:ascii="Arial" w:eastAsia="Arial" w:hAnsi="Arial" w:cs="Arial"/>
          <w:color w:val="000000"/>
        </w:rPr>
        <w:t>he train</w:t>
      </w:r>
      <w:r>
        <w:rPr>
          <w:rFonts w:ascii="Arial" w:eastAsia="Arial" w:hAnsi="Arial" w:cs="Arial"/>
          <w:color w:val="000000"/>
        </w:rPr>
        <w:t>ing package must</w:t>
      </w:r>
      <w:r w:rsidRPr="0053262F">
        <w:rPr>
          <w:rFonts w:ascii="Arial" w:eastAsia="Arial" w:hAnsi="Arial" w:cs="Arial"/>
          <w:color w:val="000000"/>
        </w:rPr>
        <w:t>:</w:t>
      </w:r>
    </w:p>
    <w:p w14:paraId="4A3988E3" w14:textId="77777777" w:rsidR="00481CA0" w:rsidRPr="0053262F" w:rsidRDefault="00481CA0" w:rsidP="0053262F">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 xml:space="preserve">be trauma-informed and underpinned by a rigorous evidence base </w:t>
      </w:r>
    </w:p>
    <w:p w14:paraId="1C45590A" w14:textId="77777777" w:rsidR="00481CA0" w:rsidRPr="0053262F" w:rsidRDefault="00481CA0" w:rsidP="0053262F">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comply with relevant standards</w:t>
      </w:r>
    </w:p>
    <w:p w14:paraId="2B758FAE" w14:textId="77777777" w:rsidR="00481CA0" w:rsidRPr="0053262F" w:rsidRDefault="00481CA0" w:rsidP="0053262F">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be accredited by the Australian Skills and Quality Authority (ASQA)</w:t>
      </w:r>
    </w:p>
    <w:p w14:paraId="5544DDD0" w14:textId="2FFD7F34" w:rsidR="00481CA0" w:rsidRPr="0053262F" w:rsidRDefault="00481CA0" w:rsidP="0053262F">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be delivered through face-to-</w:t>
      </w:r>
      <w:r>
        <w:rPr>
          <w:rStyle w:val="highlightedtextChar"/>
          <w:rFonts w:ascii="Arial" w:hAnsi="Arial" w:cs="Arial"/>
          <w:b w:val="0"/>
          <w:color w:val="auto"/>
          <w:sz w:val="22"/>
          <w:szCs w:val="22"/>
        </w:rPr>
        <w:t xml:space="preserve">face or </w:t>
      </w:r>
      <w:r w:rsidRPr="0053262F">
        <w:rPr>
          <w:rStyle w:val="highlightedtextChar"/>
          <w:rFonts w:ascii="Arial" w:hAnsi="Arial" w:cs="Arial"/>
          <w:b w:val="0"/>
          <w:color w:val="auto"/>
          <w:sz w:val="22"/>
          <w:szCs w:val="22"/>
        </w:rPr>
        <w:t>online courses or any combination of delivery modes that meet the needs of identified users as determined through consultation with stakeholders</w:t>
      </w:r>
    </w:p>
    <w:p w14:paraId="4DFE68A0" w14:textId="77777777" w:rsidR="00481CA0" w:rsidRPr="0053262F" w:rsidRDefault="00481CA0" w:rsidP="0053262F">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comply with the requirements of the Digital Transformation Agenda (for online training)</w:t>
      </w:r>
    </w:p>
    <w:p w14:paraId="3400A9D4" w14:textId="77777777" w:rsidR="00481CA0" w:rsidRPr="0053262F" w:rsidRDefault="00481CA0" w:rsidP="0053262F">
      <w:pPr>
        <w:pStyle w:val="ListBullet"/>
        <w:spacing w:after="120"/>
        <w:ind w:left="567" w:hanging="357"/>
        <w:rPr>
          <w:rStyle w:val="highlightedtextChar"/>
          <w:rFonts w:ascii="Arial" w:hAnsi="Arial" w:cs="Arial"/>
          <w:b w:val="0"/>
          <w:color w:val="auto"/>
          <w:sz w:val="22"/>
          <w:szCs w:val="22"/>
        </w:rPr>
      </w:pPr>
      <w:proofErr w:type="gramStart"/>
      <w:r w:rsidRPr="0053262F">
        <w:rPr>
          <w:rStyle w:val="highlightedtextChar"/>
          <w:rFonts w:ascii="Arial" w:hAnsi="Arial" w:cs="Arial"/>
          <w:b w:val="0"/>
          <w:color w:val="auto"/>
          <w:sz w:val="22"/>
          <w:szCs w:val="22"/>
        </w:rPr>
        <w:t>be</w:t>
      </w:r>
      <w:proofErr w:type="gramEnd"/>
      <w:r w:rsidRPr="0053262F">
        <w:rPr>
          <w:rStyle w:val="highlightedtextChar"/>
          <w:rFonts w:ascii="Arial" w:hAnsi="Arial" w:cs="Arial"/>
          <w:b w:val="0"/>
          <w:color w:val="auto"/>
          <w:sz w:val="22"/>
          <w:szCs w:val="22"/>
        </w:rPr>
        <w:t xml:space="preserve"> able to be delivered across Australia; metropolitan, regional, rural and remote areas.</w:t>
      </w:r>
    </w:p>
    <w:p w14:paraId="18542ABE" w14:textId="77777777" w:rsidR="000C4032" w:rsidRPr="0053262F" w:rsidRDefault="000C4032" w:rsidP="000C4032">
      <w:pPr>
        <w:pStyle w:val="ListBullet"/>
        <w:spacing w:after="120"/>
        <w:ind w:left="567" w:hanging="357"/>
        <w:rPr>
          <w:rFonts w:cs="Arial"/>
          <w:sz w:val="22"/>
          <w:szCs w:val="22"/>
        </w:rPr>
      </w:pPr>
      <w:r w:rsidRPr="0053262F">
        <w:rPr>
          <w:rStyle w:val="highlightedtextChar"/>
          <w:rFonts w:ascii="Arial" w:hAnsi="Arial" w:cs="Arial"/>
          <w:b w:val="0"/>
          <w:color w:val="auto"/>
          <w:sz w:val="22"/>
          <w:szCs w:val="22"/>
        </w:rPr>
        <w:t>be tailored to the needs of Australia’s diverse community, including but not limited to:</w:t>
      </w:r>
    </w:p>
    <w:p w14:paraId="6FF88CEB"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Aboriginal and Torres Strait Islander people</w:t>
      </w:r>
    </w:p>
    <w:p w14:paraId="2D4301AB"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people from culturally and linguistically diverse backgrounds</w:t>
      </w:r>
    </w:p>
    <w:p w14:paraId="7EA3BEFB"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people with disability</w:t>
      </w:r>
    </w:p>
    <w:p w14:paraId="6AE2966C"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people with diverse sex, sexuality and gender</w:t>
      </w:r>
    </w:p>
    <w:p w14:paraId="11B1952A"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young people</w:t>
      </w:r>
    </w:p>
    <w:p w14:paraId="64B41D55"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elderly people</w:t>
      </w:r>
    </w:p>
    <w:p w14:paraId="6CD6451B"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 xml:space="preserve">people living in rural, regional and remote areas </w:t>
      </w:r>
    </w:p>
    <w:p w14:paraId="14E6B3DD" w14:textId="77777777" w:rsidR="000C4032" w:rsidRPr="0053262F" w:rsidRDefault="000C4032" w:rsidP="000C4032">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cover all forms of sexual violence</w:t>
      </w:r>
    </w:p>
    <w:p w14:paraId="718ECF51" w14:textId="77777777" w:rsidR="000C4032" w:rsidRPr="0053262F" w:rsidRDefault="000C4032" w:rsidP="000C4032">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address the context of the sexual violence experienced by victims, such as</w:t>
      </w:r>
    </w:p>
    <w:p w14:paraId="0EB452CF"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strangers</w:t>
      </w:r>
    </w:p>
    <w:p w14:paraId="36D996C2"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acquaintances</w:t>
      </w:r>
    </w:p>
    <w:p w14:paraId="547955DC"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within a domestic and family violence situation</w:t>
      </w:r>
    </w:p>
    <w:p w14:paraId="4DDFBA67" w14:textId="77777777" w:rsidR="000C4032" w:rsidRPr="0053262F" w:rsidRDefault="000C4032" w:rsidP="000C4032">
      <w:pPr>
        <w:pStyle w:val="ListBullet"/>
        <w:spacing w:after="120"/>
        <w:ind w:left="567" w:hanging="357"/>
        <w:rPr>
          <w:rStyle w:val="highlightedtextChar"/>
          <w:rFonts w:ascii="Arial" w:hAnsi="Arial" w:cs="Arial"/>
          <w:b w:val="0"/>
          <w:color w:val="auto"/>
          <w:sz w:val="22"/>
          <w:szCs w:val="22"/>
        </w:rPr>
      </w:pPr>
      <w:r w:rsidRPr="0053262F">
        <w:rPr>
          <w:rStyle w:val="highlightedtextChar"/>
          <w:rFonts w:ascii="Arial" w:hAnsi="Arial" w:cs="Arial"/>
          <w:b w:val="0"/>
          <w:color w:val="auto"/>
          <w:sz w:val="22"/>
          <w:szCs w:val="22"/>
        </w:rPr>
        <w:t xml:space="preserve">be accessible to frontline workers that may interact with individuals or communities affected by sexual violence, including: </w:t>
      </w:r>
    </w:p>
    <w:p w14:paraId="1AFEE753"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specialist family, domestic and sexual violence organisations</w:t>
      </w:r>
    </w:p>
    <w:p w14:paraId="3FFD0FD4"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health practitioners</w:t>
      </w:r>
    </w:p>
    <w:p w14:paraId="6A550617"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allied health</w:t>
      </w:r>
    </w:p>
    <w:p w14:paraId="5AD78489" w14:textId="77777777" w:rsidR="000C4032" w:rsidRPr="0053262F" w:rsidRDefault="000C4032" w:rsidP="000C4032">
      <w:pPr>
        <w:pStyle w:val="ListBullet"/>
        <w:numPr>
          <w:ilvl w:val="0"/>
          <w:numId w:val="12"/>
        </w:numPr>
        <w:spacing w:before="0"/>
        <w:ind w:left="993" w:hanging="357"/>
        <w:rPr>
          <w:rFonts w:cs="Arial"/>
          <w:sz w:val="22"/>
          <w:szCs w:val="22"/>
        </w:rPr>
      </w:pPr>
      <w:r w:rsidRPr="0053262F">
        <w:rPr>
          <w:rFonts w:cs="Arial"/>
          <w:sz w:val="22"/>
          <w:szCs w:val="22"/>
        </w:rPr>
        <w:t>the community sector</w:t>
      </w:r>
    </w:p>
    <w:p w14:paraId="68D230BD" w14:textId="630123DC" w:rsidR="00481CA0" w:rsidRDefault="00481CA0" w:rsidP="00F031D3">
      <w:pPr>
        <w:spacing w:before="120" w:after="120"/>
        <w:rPr>
          <w:rFonts w:ascii="Arial" w:hAnsi="Arial" w:cs="Arial"/>
        </w:rPr>
      </w:pPr>
      <w:r>
        <w:rPr>
          <w:rFonts w:ascii="Arial" w:hAnsi="Arial" w:cs="Arial"/>
        </w:rPr>
        <w:t>In developing and delivering the training package you must:</w:t>
      </w:r>
    </w:p>
    <w:p w14:paraId="20BA4F53" w14:textId="77777777" w:rsidR="00481CA0" w:rsidRPr="00EB2E1A" w:rsidRDefault="00481CA0" w:rsidP="00481CA0">
      <w:pPr>
        <w:pStyle w:val="ListBullet"/>
        <w:spacing w:after="120"/>
        <w:ind w:left="567" w:hanging="357"/>
        <w:rPr>
          <w:rStyle w:val="highlightedtextChar"/>
          <w:rFonts w:ascii="Arial" w:hAnsi="Arial" w:cs="Arial"/>
          <w:b w:val="0"/>
          <w:color w:val="auto"/>
          <w:sz w:val="22"/>
          <w:szCs w:val="22"/>
        </w:rPr>
      </w:pPr>
      <w:proofErr w:type="gramStart"/>
      <w:r w:rsidRPr="00EB2E1A">
        <w:rPr>
          <w:rStyle w:val="highlightedtextChar"/>
          <w:rFonts w:ascii="Arial" w:hAnsi="Arial" w:cs="Arial"/>
          <w:b w:val="0"/>
          <w:color w:val="auto"/>
          <w:sz w:val="22"/>
          <w:szCs w:val="22"/>
        </w:rPr>
        <w:t>undertake</w:t>
      </w:r>
      <w:proofErr w:type="gramEnd"/>
      <w:r w:rsidRPr="00EB2E1A">
        <w:rPr>
          <w:rStyle w:val="highlightedtextChar"/>
          <w:rFonts w:ascii="Arial" w:hAnsi="Arial" w:cs="Arial"/>
          <w:b w:val="0"/>
          <w:color w:val="auto"/>
          <w:sz w:val="22"/>
          <w:szCs w:val="22"/>
        </w:rPr>
        <w:t xml:space="preserve"> research and evaluation of the training package to support, inform and improve the development and delivery of the training.</w:t>
      </w:r>
    </w:p>
    <w:p w14:paraId="7645D353" w14:textId="77777777" w:rsidR="00481CA0" w:rsidRDefault="00481CA0" w:rsidP="00F031D3">
      <w:pPr>
        <w:spacing w:before="120" w:after="120"/>
        <w:rPr>
          <w:rFonts w:ascii="Arial" w:hAnsi="Arial" w:cs="Arial"/>
        </w:rPr>
      </w:pPr>
    </w:p>
    <w:p w14:paraId="19F2C2F2" w14:textId="4F7A71B1" w:rsidR="00F031D3" w:rsidRPr="00481CA0" w:rsidRDefault="00F031D3" w:rsidP="00F031D3">
      <w:pPr>
        <w:spacing w:before="120" w:after="120"/>
        <w:rPr>
          <w:rFonts w:ascii="Arial" w:hAnsi="Arial" w:cs="Arial"/>
        </w:rPr>
      </w:pPr>
    </w:p>
    <w:p w14:paraId="43F1E569" w14:textId="77777777" w:rsidR="00C56B23" w:rsidRDefault="00C56B23">
      <w:pPr>
        <w:spacing w:after="0" w:line="240" w:lineRule="auto"/>
        <w:rPr>
          <w:rFonts w:ascii="Arial" w:hAnsi="Arial" w:cs="Arial"/>
          <w:b/>
          <w:bCs/>
          <w:color w:val="365F91"/>
          <w:sz w:val="24"/>
          <w:szCs w:val="26"/>
        </w:rPr>
      </w:pPr>
      <w:r>
        <w:rPr>
          <w:rFonts w:ascii="Arial" w:hAnsi="Arial" w:cs="Arial"/>
          <w:sz w:val="24"/>
          <w:szCs w:val="26"/>
        </w:rPr>
        <w:br w:type="page"/>
      </w:r>
    </w:p>
    <w:p w14:paraId="6E88B9D3" w14:textId="700D292F" w:rsidR="00235020" w:rsidRDefault="00235020" w:rsidP="00094736">
      <w:pPr>
        <w:pStyle w:val="Heading2"/>
      </w:pPr>
      <w:r w:rsidRPr="00FD3FF7">
        <w:lastRenderedPageBreak/>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5000" w:type="pct"/>
        <w:tblLook w:val="04A0" w:firstRow="1" w:lastRow="0" w:firstColumn="1" w:lastColumn="0" w:noHBand="0" w:noVBand="1"/>
        <w:tblCaption w:val="Performance Indicators"/>
        <w:tblDescription w:val="This table provides information on the Performance Indicator Description and the Measure."/>
      </w:tblPr>
      <w:tblGrid>
        <w:gridCol w:w="5228"/>
        <w:gridCol w:w="5228"/>
      </w:tblGrid>
      <w:tr w:rsidR="006F6094" w:rsidRPr="006F4B08" w14:paraId="76D17C8E" w14:textId="77777777" w:rsidTr="009042FB">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28537081" w:rsidR="006F6094" w:rsidRPr="006F6094" w:rsidRDefault="006F6094" w:rsidP="00110ABF">
            <w:pPr>
              <w:spacing w:before="60" w:after="60"/>
              <w:rPr>
                <w:rFonts w:ascii="Arial" w:hAnsi="Arial" w:cs="Arial"/>
                <w:sz w:val="22"/>
              </w:rPr>
            </w:pPr>
          </w:p>
        </w:tc>
        <w:tc>
          <w:tcPr>
            <w:tcW w:w="2500" w:type="pct"/>
          </w:tcPr>
          <w:p w14:paraId="01D3994B" w14:textId="1D3836E6" w:rsidR="006F6094" w:rsidRPr="006F6094" w:rsidRDefault="006F6094" w:rsidP="00110ABF">
            <w:pPr>
              <w:spacing w:before="60" w:after="60"/>
              <w:rPr>
                <w:rFonts w:ascii="Arial" w:hAnsi="Arial" w:cs="Arial"/>
                <w:sz w:val="22"/>
              </w:rPr>
            </w:pPr>
          </w:p>
        </w:tc>
      </w:tr>
    </w:tbl>
    <w:p w14:paraId="4C85806C" w14:textId="6A2828D0" w:rsidR="006F6094" w:rsidRPr="00FD3FF7" w:rsidRDefault="009F7242" w:rsidP="00094736">
      <w:pPr>
        <w:pStyle w:val="Heading2"/>
      </w:pPr>
      <w:r w:rsidRPr="00FD3FF7">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Caption w:val="Location Information"/>
        <w:tblDescription w:val="Table provides information on the location type, name and address of the Activity site locations."/>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104F68C5" w:rsidR="009F7242" w:rsidRPr="009F7242" w:rsidRDefault="009F7242" w:rsidP="00110ABF">
            <w:pPr>
              <w:spacing w:before="120" w:after="120"/>
              <w:rPr>
                <w:rFonts w:ascii="Arial" w:hAnsi="Arial" w:cs="Arial"/>
                <w:sz w:val="22"/>
                <w:szCs w:val="22"/>
              </w:rPr>
            </w:pPr>
          </w:p>
        </w:tc>
        <w:tc>
          <w:tcPr>
            <w:tcW w:w="1601" w:type="pct"/>
          </w:tcPr>
          <w:p w14:paraId="411B1696" w14:textId="30C93872" w:rsidR="009F7242" w:rsidRPr="009F7242" w:rsidRDefault="009F7242" w:rsidP="00110ABF">
            <w:pPr>
              <w:spacing w:before="120" w:after="120"/>
              <w:rPr>
                <w:rFonts w:ascii="Arial" w:hAnsi="Arial" w:cs="Arial"/>
                <w:sz w:val="22"/>
                <w:szCs w:val="22"/>
              </w:rPr>
            </w:pPr>
          </w:p>
        </w:tc>
        <w:tc>
          <w:tcPr>
            <w:tcW w:w="1601" w:type="pct"/>
          </w:tcPr>
          <w:p w14:paraId="473E3FAD" w14:textId="567A4442" w:rsidR="009F7242" w:rsidRPr="009F7242" w:rsidRDefault="009F7242" w:rsidP="00110ABF">
            <w:pPr>
              <w:spacing w:before="120" w:after="120"/>
              <w:rPr>
                <w:rFonts w:ascii="Arial" w:hAnsi="Arial" w:cs="Arial"/>
                <w:sz w:val="22"/>
                <w:szCs w:val="22"/>
              </w:rPr>
            </w:pPr>
          </w:p>
        </w:tc>
      </w:tr>
    </w:tbl>
    <w:p w14:paraId="50B8FDD9" w14:textId="41774537" w:rsidR="009F7242" w:rsidRPr="00FD3FF7" w:rsidRDefault="009F7242" w:rsidP="00094736">
      <w:pPr>
        <w:pStyle w:val="Heading2"/>
      </w:pPr>
      <w:r w:rsidRPr="00FD3FF7">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Caption w:val="Service Area Information"/>
        <w:tblDescription w:val="Table provides information of the type and service area of the Activity."/>
      </w:tblPr>
      <w:tblGrid>
        <w:gridCol w:w="412"/>
        <w:gridCol w:w="5023"/>
        <w:gridCol w:w="5021"/>
      </w:tblGrid>
      <w:tr w:rsidR="009F7242" w:rsidRPr="006F4B08" w14:paraId="429CEFB1" w14:textId="77777777" w:rsidTr="009042FB">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1EE2C0CE" w:rsidR="009F7242" w:rsidRPr="0053262F" w:rsidRDefault="00E45ABD" w:rsidP="00110ABF">
            <w:pPr>
              <w:spacing w:before="120" w:after="120"/>
              <w:rPr>
                <w:rFonts w:ascii="Arial" w:hAnsi="Arial" w:cs="Arial"/>
                <w:sz w:val="22"/>
              </w:rPr>
            </w:pPr>
            <w:r w:rsidRPr="0053262F">
              <w:rPr>
                <w:rFonts w:ascii="Arial" w:hAnsi="Arial" w:cs="Arial"/>
              </w:rPr>
              <w:t>National</w:t>
            </w:r>
          </w:p>
        </w:tc>
        <w:tc>
          <w:tcPr>
            <w:tcW w:w="2402" w:type="pct"/>
          </w:tcPr>
          <w:p w14:paraId="22A76C2A" w14:textId="01F116BD" w:rsidR="009F7242" w:rsidRPr="0053262F" w:rsidRDefault="00E45ABD" w:rsidP="00110ABF">
            <w:pPr>
              <w:spacing w:before="120" w:after="120"/>
              <w:rPr>
                <w:rFonts w:ascii="Arial" w:hAnsi="Arial" w:cs="Arial"/>
                <w:sz w:val="22"/>
              </w:rPr>
            </w:pPr>
            <w:r w:rsidRPr="0053262F">
              <w:rPr>
                <w:rFonts w:ascii="Arial" w:hAnsi="Arial" w:cs="Arial"/>
              </w:rPr>
              <w:t>Australia</w:t>
            </w: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10"/>
    </w:p>
    <w:p w14:paraId="19066D30" w14:textId="49EDE4B0" w:rsidR="002C3E8A" w:rsidRDefault="007C636F" w:rsidP="006F6094">
      <w:pPr>
        <w:spacing w:before="120" w:after="120"/>
        <w:rPr>
          <w:rFonts w:ascii="Arial" w:hAnsi="Arial" w:cs="Arial"/>
          <w:lang w:eastAsia="en-AU"/>
        </w:rPr>
      </w:pPr>
      <w:r w:rsidRPr="006F6094">
        <w:rPr>
          <w:rFonts w:ascii="Arial" w:hAnsi="Arial" w:cs="Arial"/>
          <w:color w:val="000000"/>
        </w:rPr>
        <w:t xml:space="preserve">The Activity starts </w:t>
      </w:r>
      <w:r w:rsidRPr="00110ABF">
        <w:rPr>
          <w:rFonts w:ascii="Arial" w:hAnsi="Arial" w:cs="Arial"/>
          <w:color w:val="000000"/>
        </w:rPr>
        <w:t xml:space="preserve">on </w:t>
      </w:r>
      <w:r w:rsidR="00E45ABD">
        <w:rPr>
          <w:rFonts w:ascii="Arial" w:hAnsi="Arial" w:cs="Arial"/>
          <w:lang w:eastAsia="en-AU"/>
        </w:rPr>
        <w:t>26 November 2019</w:t>
      </w:r>
      <w:r w:rsidR="002C3E8A" w:rsidRPr="00110ABF">
        <w:rPr>
          <w:rFonts w:ascii="Arial" w:hAnsi="Arial" w:cs="Arial"/>
          <w:lang w:eastAsia="en-AU"/>
        </w:rPr>
        <w:t>.</w:t>
      </w:r>
    </w:p>
    <w:p w14:paraId="0FC28A60" w14:textId="466B0D2D" w:rsidR="007C636F" w:rsidRDefault="002C3E8A" w:rsidP="006F6094">
      <w:pPr>
        <w:spacing w:before="120" w:after="120"/>
        <w:rPr>
          <w:rFonts w:ascii="Arial" w:hAnsi="Arial" w:cs="Arial"/>
          <w:color w:val="000000"/>
        </w:rPr>
      </w:pPr>
      <w:r>
        <w:rPr>
          <w:rFonts w:ascii="Arial" w:hAnsi="Arial" w:cs="Arial"/>
          <w:lang w:eastAsia="en-AU"/>
        </w:rPr>
        <w:t>The Activity (other than the provision of any final reports)</w:t>
      </w:r>
      <w:r w:rsidR="007C636F" w:rsidRPr="006F6094">
        <w:rPr>
          <w:rFonts w:ascii="Arial" w:hAnsi="Arial" w:cs="Arial"/>
          <w:color w:val="000000"/>
        </w:rPr>
        <w:t xml:space="preserve"> ends </w:t>
      </w:r>
      <w:r w:rsidR="007C636F" w:rsidRPr="00110ABF">
        <w:rPr>
          <w:rFonts w:ascii="Arial" w:hAnsi="Arial" w:cs="Arial"/>
          <w:color w:val="000000"/>
        </w:rPr>
        <w:t xml:space="preserve">on </w:t>
      </w:r>
      <w:r w:rsidR="00E45ABD">
        <w:rPr>
          <w:rFonts w:ascii="Arial" w:hAnsi="Arial" w:cs="Arial"/>
          <w:lang w:eastAsia="en-AU"/>
        </w:rPr>
        <w:t>30 June 2022</w:t>
      </w:r>
      <w:r w:rsidR="007C636F" w:rsidRPr="00110ABF">
        <w:rPr>
          <w:rFonts w:ascii="Arial" w:hAnsi="Arial" w:cs="Arial"/>
          <w:color w:val="000000"/>
        </w:rPr>
        <w:t>,</w:t>
      </w:r>
      <w:r w:rsidR="007C636F" w:rsidRPr="006F6094">
        <w:rPr>
          <w:rFonts w:ascii="Arial" w:hAnsi="Arial" w:cs="Arial"/>
          <w:color w:val="000000"/>
        </w:rPr>
        <w:t xml:space="preserve"> </w:t>
      </w:r>
      <w:r>
        <w:rPr>
          <w:rFonts w:ascii="Arial" w:hAnsi="Arial" w:cs="Arial"/>
          <w:color w:val="000000"/>
        </w:rPr>
        <w:t>which is the Activity’s</w:t>
      </w:r>
      <w:r w:rsidR="007C636F" w:rsidRPr="006F6094">
        <w:rPr>
          <w:rFonts w:ascii="Arial" w:hAnsi="Arial" w:cs="Arial"/>
          <w:color w:val="000000"/>
        </w:rPr>
        <w:t xml:space="preserve"> Completion Date.</w:t>
      </w:r>
    </w:p>
    <w:p w14:paraId="49BC91FD" w14:textId="13E55E01" w:rsidR="00304243" w:rsidRDefault="00304243" w:rsidP="00304243">
      <w:pPr>
        <w:spacing w:after="0" w:line="240" w:lineRule="auto"/>
        <w:rPr>
          <w:rFonts w:ascii="Times New Roman" w:hAnsi="Times New Roman"/>
          <w:sz w:val="24"/>
          <w:szCs w:val="24"/>
          <w:lang w:eastAsia="en-AU"/>
        </w:rPr>
      </w:pPr>
      <w:r>
        <w:rPr>
          <w:rFonts w:ascii="Arial" w:hAnsi="Arial" w:cs="Arial"/>
          <w:color w:val="000000"/>
        </w:rPr>
        <w:t xml:space="preserve">The Agreement </w:t>
      </w:r>
      <w:r w:rsidRPr="00110ABF">
        <w:rPr>
          <w:rFonts w:ascii="Arial" w:hAnsi="Arial" w:cs="Arial"/>
          <w:color w:val="000000"/>
        </w:rPr>
        <w:t xml:space="preserve">ends on </w:t>
      </w:r>
      <w:r w:rsidR="00E45ABD">
        <w:rPr>
          <w:rFonts w:ascii="Arial" w:hAnsi="Arial" w:cs="Arial"/>
        </w:rPr>
        <w:t>31 October 2022</w:t>
      </w:r>
      <w:r w:rsidR="00110ABF" w:rsidRPr="00110ABF">
        <w:rPr>
          <w:rFonts w:ascii="Arial" w:hAnsi="Arial" w:cs="Arial"/>
        </w:rPr>
        <w:t xml:space="preserve"> </w:t>
      </w:r>
      <w:r w:rsidRPr="00110ABF">
        <w:rPr>
          <w:rFonts w:ascii="Arial" w:hAnsi="Arial" w:cs="Arial"/>
        </w:rPr>
        <w:t>or</w:t>
      </w:r>
      <w:r>
        <w:rPr>
          <w:rFonts w:ascii="Arial" w:hAnsi="Arial" w:cs="Arial"/>
        </w:rPr>
        <w:t xml:space="preserve"> </w:t>
      </w:r>
      <w:r w:rsidRPr="00304243">
        <w:rPr>
          <w:rFonts w:ascii="Arial" w:hAnsi="Arial" w:cs="Arial"/>
        </w:rPr>
        <w:t>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2"/>
      <w:r w:rsidRPr="0082326C">
        <w:rPr>
          <w:rFonts w:ascii="Arial" w:hAnsi="Arial" w:cs="Arial"/>
          <w:b/>
          <w:bCs/>
          <w:color w:val="365F91"/>
          <w:sz w:val="26"/>
          <w:szCs w:val="26"/>
          <w:lang w:eastAsia="en-AU"/>
        </w:rPr>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1"/>
      <w:r w:rsidRPr="0082326C">
        <w:rPr>
          <w:rFonts w:ascii="Arial" w:hAnsi="Arial" w:cs="Arial"/>
          <w:b/>
          <w:bCs/>
          <w:color w:val="365F91"/>
          <w:sz w:val="26"/>
          <w:szCs w:val="26"/>
          <w:lang w:eastAsia="en-AU"/>
        </w:rPr>
        <w:t xml:space="preserve"> </w:t>
      </w:r>
    </w:p>
    <w:p w14:paraId="61C9F259" w14:textId="6B312452"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w:t>
      </w:r>
      <w:r w:rsidRPr="00110ABF">
        <w:rPr>
          <w:rFonts w:ascii="Arial" w:hAnsi="Arial" w:cs="Arial"/>
          <w:color w:val="000000"/>
        </w:rPr>
        <w:t>is [</w:t>
      </w:r>
      <w:r w:rsidR="00DE6883" w:rsidRPr="00110ABF">
        <w:rPr>
          <w:rFonts w:ascii="Arial" w:hAnsi="Arial" w:cs="Arial"/>
          <w:color w:val="000000"/>
        </w:rPr>
        <w:t>Overall Agreement Value for all financial years</w:t>
      </w:r>
      <w:r w:rsidRPr="00110ABF">
        <w:rPr>
          <w:rFonts w:ascii="Arial" w:hAnsi="Arial" w:cs="Arial"/>
          <w:color w:val="000000"/>
        </w:rPr>
        <w:t>]</w:t>
      </w:r>
      <w:r w:rsidR="00DE6883" w:rsidRPr="00110ABF">
        <w:rPr>
          <w:rFonts w:ascii="Arial" w:hAnsi="Arial" w:cs="Arial"/>
          <w:color w:val="000000"/>
        </w:rPr>
        <w:t>*</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68D3AA33" w:rsidR="0082326C" w:rsidRPr="003C58FC" w:rsidRDefault="00481CA0" w:rsidP="00110ABF">
            <w:pPr>
              <w:spacing w:before="60" w:after="60"/>
              <w:rPr>
                <w:rFonts w:ascii="Arial" w:hAnsi="Arial" w:cs="Arial"/>
                <w:color w:val="000000"/>
                <w:lang w:eastAsia="en-AU"/>
              </w:rPr>
            </w:pPr>
            <w:r w:rsidRPr="0053262F">
              <w:rPr>
                <w:rFonts w:ascii="Arial" w:hAnsi="Arial" w:cs="Arial"/>
                <w:sz w:val="20"/>
                <w:szCs w:val="20"/>
              </w:rPr>
              <w:t>2019-20</w:t>
            </w:r>
          </w:p>
        </w:tc>
        <w:tc>
          <w:tcPr>
            <w:tcW w:w="2442" w:type="pct"/>
            <w:tcMar>
              <w:top w:w="0" w:type="dxa"/>
              <w:left w:w="108" w:type="dxa"/>
              <w:bottom w:w="0" w:type="dxa"/>
              <w:right w:w="108" w:type="dxa"/>
            </w:tcMar>
            <w:hideMark/>
          </w:tcPr>
          <w:p w14:paraId="6ACC3B60" w14:textId="5F1C44E1" w:rsidR="0082326C" w:rsidRPr="00DE020C" w:rsidRDefault="00481CA0" w:rsidP="00110ABF">
            <w:pPr>
              <w:spacing w:before="60" w:after="60"/>
              <w:rPr>
                <w:rFonts w:ascii="Arial" w:hAnsi="Arial" w:cs="Arial"/>
                <w:color w:val="000000"/>
                <w:lang w:eastAsia="en-AU"/>
              </w:rPr>
            </w:pPr>
            <w:r w:rsidRPr="00F22857">
              <w:rPr>
                <w:rFonts w:ascii="Arial" w:hAnsi="Arial" w:cs="Arial"/>
                <w:sz w:val="20"/>
                <w:szCs w:val="20"/>
              </w:rPr>
              <w:t>$1.231 million</w:t>
            </w:r>
          </w:p>
        </w:tc>
      </w:tr>
      <w:tr w:rsidR="0082326C" w:rsidRPr="00DE020C" w14:paraId="554074EE" w14:textId="77777777" w:rsidTr="000025D5">
        <w:tc>
          <w:tcPr>
            <w:tcW w:w="2558" w:type="pct"/>
            <w:tcMar>
              <w:top w:w="0" w:type="dxa"/>
              <w:left w:w="108" w:type="dxa"/>
              <w:bottom w:w="0" w:type="dxa"/>
              <w:right w:w="108" w:type="dxa"/>
            </w:tcMar>
            <w:hideMark/>
          </w:tcPr>
          <w:p w14:paraId="2B02E1FF" w14:textId="71B0AA0B" w:rsidR="0082326C" w:rsidRPr="003C58FC" w:rsidRDefault="00481CA0" w:rsidP="00110ABF">
            <w:pPr>
              <w:spacing w:before="60" w:after="60"/>
              <w:rPr>
                <w:rFonts w:ascii="Arial" w:hAnsi="Arial" w:cs="Arial"/>
                <w:color w:val="000000"/>
                <w:lang w:eastAsia="en-AU"/>
              </w:rPr>
            </w:pPr>
            <w:r w:rsidRPr="0053262F">
              <w:rPr>
                <w:rFonts w:ascii="Arial" w:hAnsi="Arial" w:cs="Arial"/>
                <w:sz w:val="20"/>
                <w:szCs w:val="20"/>
              </w:rPr>
              <w:t>2020-21</w:t>
            </w:r>
          </w:p>
        </w:tc>
        <w:tc>
          <w:tcPr>
            <w:tcW w:w="2442" w:type="pct"/>
            <w:tcMar>
              <w:top w:w="0" w:type="dxa"/>
              <w:left w:w="108" w:type="dxa"/>
              <w:bottom w:w="0" w:type="dxa"/>
              <w:right w:w="108" w:type="dxa"/>
            </w:tcMar>
            <w:hideMark/>
          </w:tcPr>
          <w:p w14:paraId="28A4CC5B" w14:textId="3515486D" w:rsidR="0082326C" w:rsidRPr="00DE020C" w:rsidRDefault="00481CA0" w:rsidP="00110ABF">
            <w:pPr>
              <w:spacing w:before="60" w:after="60"/>
              <w:rPr>
                <w:rFonts w:ascii="Arial" w:hAnsi="Arial" w:cs="Arial"/>
                <w:color w:val="000000"/>
                <w:lang w:eastAsia="en-AU"/>
              </w:rPr>
            </w:pPr>
            <w:r w:rsidRPr="00F22857">
              <w:rPr>
                <w:rFonts w:ascii="Arial" w:hAnsi="Arial" w:cs="Arial"/>
                <w:sz w:val="20"/>
                <w:szCs w:val="20"/>
              </w:rPr>
              <w:t>$1.618 million</w:t>
            </w:r>
          </w:p>
        </w:tc>
      </w:tr>
      <w:tr w:rsidR="00481CA0" w:rsidRPr="00DE020C" w14:paraId="786090B4" w14:textId="77777777" w:rsidTr="000025D5">
        <w:tc>
          <w:tcPr>
            <w:tcW w:w="2558" w:type="pct"/>
            <w:tcMar>
              <w:top w:w="0" w:type="dxa"/>
              <w:left w:w="108" w:type="dxa"/>
              <w:bottom w:w="0" w:type="dxa"/>
              <w:right w:w="108" w:type="dxa"/>
            </w:tcMar>
          </w:tcPr>
          <w:p w14:paraId="54902814" w14:textId="13D17525" w:rsidR="00481CA0" w:rsidRPr="0053262F" w:rsidRDefault="00481CA0" w:rsidP="00110ABF">
            <w:pPr>
              <w:spacing w:before="60" w:after="60"/>
              <w:rPr>
                <w:rFonts w:ascii="Arial" w:hAnsi="Arial" w:cs="Arial"/>
                <w:sz w:val="20"/>
                <w:szCs w:val="20"/>
              </w:rPr>
            </w:pPr>
            <w:r w:rsidRPr="0053262F">
              <w:rPr>
                <w:rFonts w:ascii="Arial" w:hAnsi="Arial" w:cs="Arial"/>
                <w:sz w:val="20"/>
                <w:szCs w:val="20"/>
              </w:rPr>
              <w:t>2021-22</w:t>
            </w:r>
          </w:p>
        </w:tc>
        <w:tc>
          <w:tcPr>
            <w:tcW w:w="2442" w:type="pct"/>
            <w:tcMar>
              <w:top w:w="0" w:type="dxa"/>
              <w:left w:w="108" w:type="dxa"/>
              <w:bottom w:w="0" w:type="dxa"/>
              <w:right w:w="108" w:type="dxa"/>
            </w:tcMar>
          </w:tcPr>
          <w:p w14:paraId="395E794F" w14:textId="6A852D6B" w:rsidR="00481CA0" w:rsidRPr="00F22857" w:rsidRDefault="00481CA0" w:rsidP="00110ABF">
            <w:pPr>
              <w:spacing w:before="60" w:after="60"/>
              <w:rPr>
                <w:rFonts w:ascii="Arial" w:hAnsi="Arial" w:cs="Arial"/>
                <w:sz w:val="20"/>
                <w:szCs w:val="20"/>
              </w:rPr>
            </w:pPr>
            <w:r w:rsidRPr="00F22857">
              <w:rPr>
                <w:rFonts w:ascii="Arial" w:hAnsi="Arial" w:cs="Arial"/>
                <w:sz w:val="20"/>
                <w:szCs w:val="20"/>
              </w:rPr>
              <w:t>$1.645 million</w:t>
            </w: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6326CE05"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CE020B">
        <w:rPr>
          <w:rFonts w:ascii="Arial" w:hAnsi="Arial" w:cs="Arial"/>
          <w:color w:val="000000"/>
        </w:rPr>
        <w:t>Cth</w:t>
      </w:r>
      <w:proofErr w:type="spellEnd"/>
      <w:r w:rsidRPr="00CE020B">
        <w:rPr>
          <w:rFonts w:ascii="Arial" w:hAnsi="Arial" w:cs="Arial"/>
          <w:color w:val="000000"/>
        </w:rPr>
        <w:t>) to carry on banking business in Australia.</w:t>
      </w: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A7905E7" w:rsidR="00D463E3" w:rsidRPr="00D7001F" w:rsidRDefault="00D463E3" w:rsidP="00110ABF">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B4F55E3" w:rsidR="00D463E3" w:rsidRPr="00D7001F" w:rsidRDefault="00D463E3" w:rsidP="00110ABF">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426AA75" w:rsidR="00D463E3" w:rsidRPr="00D7001F" w:rsidRDefault="00D463E3" w:rsidP="00110ABF">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8A82C52" w:rsidR="00D463E3" w:rsidRPr="00D7001F" w:rsidRDefault="00D463E3" w:rsidP="00110ABF">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lastRenderedPageBreak/>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AC180A" w:rsidRPr="006F6094" w14:paraId="617E4F34" w14:textId="77777777" w:rsidTr="00715F4E">
        <w:tc>
          <w:tcPr>
            <w:tcW w:w="1307" w:type="pct"/>
          </w:tcPr>
          <w:p w14:paraId="74A953E9" w14:textId="57E48D80" w:rsidR="00AC180A" w:rsidRPr="0053262F" w:rsidRDefault="00AC180A" w:rsidP="00AC180A">
            <w:pPr>
              <w:spacing w:before="60" w:after="60" w:line="240" w:lineRule="auto"/>
              <w:rPr>
                <w:rFonts w:ascii="Arial" w:hAnsi="Arial" w:cs="Arial"/>
                <w:color w:val="000000"/>
                <w:lang w:eastAsia="en-AU"/>
              </w:rPr>
            </w:pPr>
            <w:r>
              <w:rPr>
                <w:rFonts w:ascii="Arial" w:hAnsi="Arial" w:cs="Arial"/>
                <w:color w:val="000000"/>
                <w:lang w:eastAsia="en-AU"/>
              </w:rPr>
              <w:t>P</w:t>
            </w:r>
            <w:r w:rsidRPr="0053262F">
              <w:rPr>
                <w:rFonts w:ascii="Arial" w:hAnsi="Arial" w:cs="Arial"/>
                <w:color w:val="000000"/>
                <w:lang w:eastAsia="en-AU"/>
              </w:rPr>
              <w:t>ayment of 2019</w:t>
            </w:r>
            <w:r w:rsidRPr="0053262F">
              <w:rPr>
                <w:rFonts w:ascii="Arial" w:hAnsi="Arial" w:cs="Arial"/>
                <w:color w:val="000000"/>
                <w:lang w:eastAsia="en-AU"/>
              </w:rPr>
              <w:noBreakHyphen/>
              <w:t>20 funds</w:t>
            </w:r>
          </w:p>
        </w:tc>
        <w:tc>
          <w:tcPr>
            <w:tcW w:w="1177" w:type="pct"/>
          </w:tcPr>
          <w:p w14:paraId="1F05100D" w14:textId="604B792A" w:rsidR="00AC180A" w:rsidRPr="0053262F" w:rsidRDefault="00AC180A" w:rsidP="00AC180A">
            <w:pPr>
              <w:spacing w:before="60" w:after="60" w:line="240" w:lineRule="auto"/>
              <w:rPr>
                <w:rFonts w:ascii="Arial" w:hAnsi="Arial" w:cs="Arial"/>
                <w:color w:val="000000"/>
                <w:lang w:eastAsia="en-AU"/>
              </w:rPr>
            </w:pPr>
            <w:r w:rsidRPr="00DE74A8">
              <w:rPr>
                <w:rFonts w:ascii="Arial" w:hAnsi="Arial" w:cs="Arial"/>
              </w:rPr>
              <w:t>TBC</w:t>
            </w:r>
          </w:p>
        </w:tc>
        <w:tc>
          <w:tcPr>
            <w:tcW w:w="1084" w:type="pct"/>
          </w:tcPr>
          <w:p w14:paraId="204586AF" w14:textId="32E43A96"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264CB7C0" w14:textId="0D1EFA12"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683201DC" w14:textId="66707902" w:rsidR="00AC180A" w:rsidRPr="006F6094" w:rsidRDefault="00AC180A" w:rsidP="00AC180A">
            <w:pPr>
              <w:spacing w:before="60" w:after="60" w:line="240" w:lineRule="auto"/>
              <w:rPr>
                <w:rFonts w:ascii="Arial" w:hAnsi="Arial" w:cs="Arial"/>
                <w:color w:val="000000"/>
                <w:highlight w:val="yellow"/>
                <w:lang w:eastAsia="en-AU"/>
              </w:rPr>
            </w:pPr>
          </w:p>
        </w:tc>
      </w:tr>
      <w:tr w:rsidR="00AC180A" w:rsidRPr="006F6094" w14:paraId="4404276C" w14:textId="77777777" w:rsidTr="00715F4E">
        <w:tc>
          <w:tcPr>
            <w:tcW w:w="1307" w:type="pct"/>
          </w:tcPr>
          <w:p w14:paraId="59D123A8" w14:textId="21D55D4C" w:rsidR="00AC180A" w:rsidRPr="0053262F" w:rsidRDefault="00AC180A" w:rsidP="00AC180A">
            <w:pPr>
              <w:spacing w:before="60" w:after="60" w:line="240" w:lineRule="auto"/>
              <w:rPr>
                <w:rFonts w:ascii="Arial" w:hAnsi="Arial" w:cs="Arial"/>
                <w:color w:val="000000"/>
                <w:lang w:eastAsia="en-AU"/>
              </w:rPr>
            </w:pPr>
            <w:r w:rsidRPr="0053262F">
              <w:rPr>
                <w:rFonts w:ascii="Arial" w:hAnsi="Arial" w:cs="Arial"/>
                <w:color w:val="000000"/>
                <w:lang w:eastAsia="en-AU"/>
              </w:rPr>
              <w:t>First payment of 2020</w:t>
            </w:r>
            <w:r w:rsidRPr="0053262F">
              <w:rPr>
                <w:rFonts w:ascii="Arial" w:hAnsi="Arial" w:cs="Arial"/>
                <w:color w:val="000000"/>
                <w:lang w:eastAsia="en-AU"/>
              </w:rPr>
              <w:noBreakHyphen/>
              <w:t xml:space="preserve">21 funds subject to acceptance of </w:t>
            </w:r>
            <w:r>
              <w:rPr>
                <w:rFonts w:ascii="Arial" w:hAnsi="Arial" w:cs="Arial"/>
                <w:color w:val="000000"/>
                <w:lang w:eastAsia="en-AU"/>
              </w:rPr>
              <w:t xml:space="preserve">key deliverables in the </w:t>
            </w:r>
            <w:r w:rsidRPr="00C00A21">
              <w:rPr>
                <w:rFonts w:ascii="Arial" w:hAnsi="Arial" w:cs="Arial"/>
                <w:color w:val="000000"/>
                <w:lang w:eastAsia="en-AU"/>
              </w:rPr>
              <w:t>Agreed Activity Work Plan negotiated with the Department as per Item E.2</w:t>
            </w:r>
          </w:p>
        </w:tc>
        <w:tc>
          <w:tcPr>
            <w:tcW w:w="1177" w:type="pct"/>
          </w:tcPr>
          <w:p w14:paraId="4751C211" w14:textId="65AF2502" w:rsidR="00AC180A" w:rsidRPr="0053262F" w:rsidRDefault="00AC180A" w:rsidP="00AC180A">
            <w:pPr>
              <w:spacing w:before="60" w:after="60" w:line="240" w:lineRule="auto"/>
              <w:rPr>
                <w:rFonts w:ascii="Arial" w:hAnsi="Arial" w:cs="Arial"/>
                <w:color w:val="000000"/>
                <w:lang w:eastAsia="en-AU"/>
              </w:rPr>
            </w:pPr>
            <w:r w:rsidRPr="00DE74A8">
              <w:rPr>
                <w:rFonts w:ascii="Arial" w:hAnsi="Arial" w:cs="Arial"/>
              </w:rPr>
              <w:t>TBC</w:t>
            </w:r>
          </w:p>
        </w:tc>
        <w:tc>
          <w:tcPr>
            <w:tcW w:w="1084" w:type="pct"/>
          </w:tcPr>
          <w:p w14:paraId="268EDE71"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51F86DD7"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429AB450" w14:textId="77777777" w:rsidR="00AC180A" w:rsidRPr="006F6094" w:rsidRDefault="00AC180A" w:rsidP="00AC180A">
            <w:pPr>
              <w:spacing w:before="60" w:after="60" w:line="240" w:lineRule="auto"/>
              <w:rPr>
                <w:rFonts w:ascii="Arial" w:hAnsi="Arial" w:cs="Arial"/>
                <w:color w:val="000000"/>
                <w:highlight w:val="yellow"/>
                <w:lang w:eastAsia="en-AU"/>
              </w:rPr>
            </w:pPr>
          </w:p>
        </w:tc>
      </w:tr>
      <w:tr w:rsidR="00AC180A" w:rsidRPr="006F6094" w14:paraId="58FCAFA7" w14:textId="77777777" w:rsidTr="00715F4E">
        <w:tc>
          <w:tcPr>
            <w:tcW w:w="1307" w:type="pct"/>
          </w:tcPr>
          <w:p w14:paraId="02537EE6" w14:textId="21BFB401" w:rsidR="00AC180A" w:rsidRPr="0053262F" w:rsidRDefault="00AC180A" w:rsidP="00AC180A">
            <w:pPr>
              <w:spacing w:before="60" w:after="60" w:line="240" w:lineRule="auto"/>
              <w:rPr>
                <w:rFonts w:ascii="Arial" w:hAnsi="Arial" w:cs="Arial"/>
                <w:color w:val="000000"/>
                <w:lang w:eastAsia="en-AU"/>
              </w:rPr>
            </w:pPr>
            <w:r w:rsidRPr="0053262F">
              <w:rPr>
                <w:rFonts w:ascii="Arial" w:hAnsi="Arial" w:cs="Arial"/>
                <w:color w:val="000000"/>
                <w:lang w:eastAsia="en-AU"/>
              </w:rPr>
              <w:t>Second  payment of 2020</w:t>
            </w:r>
            <w:r w:rsidRPr="0053262F">
              <w:rPr>
                <w:rFonts w:ascii="Arial" w:hAnsi="Arial" w:cs="Arial"/>
                <w:color w:val="000000"/>
                <w:lang w:eastAsia="en-AU"/>
              </w:rPr>
              <w:noBreakHyphen/>
              <w:t>21 funds subject to …</w:t>
            </w:r>
          </w:p>
        </w:tc>
        <w:tc>
          <w:tcPr>
            <w:tcW w:w="1177" w:type="pct"/>
          </w:tcPr>
          <w:p w14:paraId="5837DE5F" w14:textId="240054BA" w:rsidR="00AC180A" w:rsidRPr="0053262F" w:rsidRDefault="00AC180A" w:rsidP="00AC180A">
            <w:pPr>
              <w:spacing w:before="60" w:after="60" w:line="240" w:lineRule="auto"/>
              <w:rPr>
                <w:rFonts w:ascii="Arial" w:hAnsi="Arial" w:cs="Arial"/>
                <w:color w:val="000000"/>
                <w:lang w:eastAsia="en-AU"/>
              </w:rPr>
            </w:pPr>
            <w:r w:rsidRPr="00DE74A8">
              <w:rPr>
                <w:rFonts w:ascii="Arial" w:hAnsi="Arial" w:cs="Arial"/>
              </w:rPr>
              <w:t>TBC</w:t>
            </w:r>
          </w:p>
        </w:tc>
        <w:tc>
          <w:tcPr>
            <w:tcW w:w="1084" w:type="pct"/>
          </w:tcPr>
          <w:p w14:paraId="725AD1C8"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212ECC63"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1B63A6A4" w14:textId="77777777" w:rsidR="00AC180A" w:rsidRPr="006F6094" w:rsidRDefault="00AC180A" w:rsidP="00AC180A">
            <w:pPr>
              <w:spacing w:before="60" w:after="60" w:line="240" w:lineRule="auto"/>
              <w:rPr>
                <w:rFonts w:ascii="Arial" w:hAnsi="Arial" w:cs="Arial"/>
                <w:color w:val="000000"/>
                <w:highlight w:val="yellow"/>
                <w:lang w:eastAsia="en-AU"/>
              </w:rPr>
            </w:pPr>
          </w:p>
        </w:tc>
      </w:tr>
      <w:tr w:rsidR="00AC180A" w:rsidRPr="006F6094" w14:paraId="3D45BF20" w14:textId="77777777" w:rsidTr="00715F4E">
        <w:tc>
          <w:tcPr>
            <w:tcW w:w="1307" w:type="pct"/>
          </w:tcPr>
          <w:p w14:paraId="49F5A5FD" w14:textId="37F4D202" w:rsidR="00AC180A" w:rsidRPr="0053262F" w:rsidRDefault="00AC180A" w:rsidP="00AC180A">
            <w:pPr>
              <w:spacing w:before="60" w:after="60" w:line="240" w:lineRule="auto"/>
              <w:rPr>
                <w:rFonts w:ascii="Arial" w:hAnsi="Arial" w:cs="Arial"/>
                <w:color w:val="000000"/>
                <w:lang w:eastAsia="en-AU"/>
              </w:rPr>
            </w:pPr>
            <w:r w:rsidRPr="0053262F">
              <w:rPr>
                <w:rFonts w:ascii="Arial" w:hAnsi="Arial" w:cs="Arial"/>
                <w:color w:val="000000"/>
                <w:lang w:eastAsia="en-AU"/>
              </w:rPr>
              <w:t>First payment of 2021</w:t>
            </w:r>
            <w:r w:rsidRPr="0053262F">
              <w:rPr>
                <w:rFonts w:ascii="Arial" w:hAnsi="Arial" w:cs="Arial"/>
                <w:color w:val="000000"/>
                <w:lang w:eastAsia="en-AU"/>
              </w:rPr>
              <w:noBreakHyphen/>
              <w:t>22 funds subject to…</w:t>
            </w:r>
          </w:p>
        </w:tc>
        <w:tc>
          <w:tcPr>
            <w:tcW w:w="1177" w:type="pct"/>
          </w:tcPr>
          <w:p w14:paraId="6FEDC289" w14:textId="2FE096A2" w:rsidR="00AC180A" w:rsidRPr="0053262F" w:rsidRDefault="00AC180A" w:rsidP="00AC180A">
            <w:pPr>
              <w:spacing w:before="60" w:after="60" w:line="240" w:lineRule="auto"/>
              <w:rPr>
                <w:rFonts w:ascii="Arial" w:hAnsi="Arial" w:cs="Arial"/>
                <w:color w:val="000000"/>
                <w:lang w:eastAsia="en-AU"/>
              </w:rPr>
            </w:pPr>
            <w:r w:rsidRPr="00DE74A8">
              <w:rPr>
                <w:rFonts w:ascii="Arial" w:hAnsi="Arial" w:cs="Arial"/>
              </w:rPr>
              <w:t>TBC</w:t>
            </w:r>
          </w:p>
        </w:tc>
        <w:tc>
          <w:tcPr>
            <w:tcW w:w="1084" w:type="pct"/>
          </w:tcPr>
          <w:p w14:paraId="0F4CE3A1"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13C553A9"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Pr>
          <w:p w14:paraId="14272867" w14:textId="77777777" w:rsidR="00AC180A" w:rsidRPr="006F6094" w:rsidRDefault="00AC180A" w:rsidP="00AC180A">
            <w:pPr>
              <w:spacing w:before="60" w:after="60" w:line="240" w:lineRule="auto"/>
              <w:rPr>
                <w:rFonts w:ascii="Arial" w:hAnsi="Arial" w:cs="Arial"/>
                <w:color w:val="000000"/>
                <w:highlight w:val="yellow"/>
                <w:lang w:eastAsia="en-AU"/>
              </w:rPr>
            </w:pPr>
          </w:p>
        </w:tc>
      </w:tr>
      <w:tr w:rsidR="00AC180A" w:rsidRPr="006F6094" w14:paraId="708335C5" w14:textId="77777777" w:rsidTr="00304243">
        <w:tc>
          <w:tcPr>
            <w:tcW w:w="1307" w:type="pct"/>
            <w:tcBorders>
              <w:bottom w:val="single" w:sz="4" w:space="0" w:color="auto"/>
            </w:tcBorders>
          </w:tcPr>
          <w:p w14:paraId="576B7873" w14:textId="0CF0D9E7" w:rsidR="00AC180A" w:rsidRPr="0053262F" w:rsidRDefault="00AC180A" w:rsidP="00AC180A">
            <w:pPr>
              <w:spacing w:before="60" w:after="60" w:line="240" w:lineRule="auto"/>
              <w:rPr>
                <w:rFonts w:ascii="Arial" w:hAnsi="Arial" w:cs="Arial"/>
                <w:color w:val="000000"/>
                <w:lang w:eastAsia="en-AU"/>
              </w:rPr>
            </w:pPr>
            <w:r w:rsidRPr="0053262F">
              <w:rPr>
                <w:rFonts w:ascii="Arial" w:hAnsi="Arial" w:cs="Arial"/>
                <w:color w:val="000000"/>
                <w:lang w:eastAsia="en-AU"/>
              </w:rPr>
              <w:t>Second  payment of 2021</w:t>
            </w:r>
            <w:r w:rsidRPr="0053262F">
              <w:rPr>
                <w:rFonts w:ascii="Arial" w:hAnsi="Arial" w:cs="Arial"/>
                <w:color w:val="000000"/>
                <w:lang w:eastAsia="en-AU"/>
              </w:rPr>
              <w:noBreakHyphen/>
              <w:t>22 funds subject to …</w:t>
            </w:r>
          </w:p>
        </w:tc>
        <w:tc>
          <w:tcPr>
            <w:tcW w:w="1177" w:type="pct"/>
            <w:tcBorders>
              <w:bottom w:val="single" w:sz="4" w:space="0" w:color="auto"/>
            </w:tcBorders>
          </w:tcPr>
          <w:p w14:paraId="50F8B45C" w14:textId="471964C5" w:rsidR="00AC180A" w:rsidRPr="0053262F" w:rsidRDefault="00AC180A" w:rsidP="00AC180A">
            <w:pPr>
              <w:spacing w:before="60" w:after="60" w:line="240" w:lineRule="auto"/>
              <w:rPr>
                <w:rFonts w:ascii="Arial" w:hAnsi="Arial" w:cs="Arial"/>
                <w:color w:val="000000"/>
                <w:lang w:eastAsia="en-AU"/>
              </w:rPr>
            </w:pPr>
            <w:r w:rsidRPr="00DE74A8">
              <w:rPr>
                <w:rFonts w:ascii="Arial" w:hAnsi="Arial" w:cs="Arial"/>
              </w:rPr>
              <w:t>TBC</w:t>
            </w:r>
          </w:p>
        </w:tc>
        <w:tc>
          <w:tcPr>
            <w:tcW w:w="1084" w:type="pct"/>
            <w:tcBorders>
              <w:bottom w:val="single" w:sz="4" w:space="0" w:color="auto"/>
            </w:tcBorders>
          </w:tcPr>
          <w:p w14:paraId="702C0C6E"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64E5BE16" w14:textId="77777777" w:rsidR="00AC180A" w:rsidRPr="006F6094" w:rsidRDefault="00AC180A" w:rsidP="00AC180A">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5CBA4202" w14:textId="77777777" w:rsidR="00AC180A" w:rsidRPr="006F6094" w:rsidRDefault="00AC180A" w:rsidP="00AC180A">
            <w:pPr>
              <w:spacing w:before="60" w:after="60" w:line="240" w:lineRule="auto"/>
              <w:rPr>
                <w:rFonts w:ascii="Arial" w:hAnsi="Arial" w:cs="Arial"/>
                <w:color w:val="000000"/>
                <w:highlight w:val="yellow"/>
                <w:lang w:eastAsia="en-AU"/>
              </w:rPr>
            </w:pPr>
          </w:p>
        </w:tc>
      </w:tr>
      <w:tr w:rsidR="006F4B08" w:rsidRPr="006F6094" w14:paraId="6A08D972" w14:textId="77777777" w:rsidTr="00304243">
        <w:tc>
          <w:tcPr>
            <w:tcW w:w="2484" w:type="pct"/>
            <w:gridSpan w:val="2"/>
            <w:tcBorders>
              <w:bottom w:val="single" w:sz="4" w:space="0" w:color="auto"/>
            </w:tcBorders>
          </w:tcPr>
          <w:p w14:paraId="49C66385" w14:textId="59A606DE" w:rsidR="006F4B08" w:rsidRPr="006F6094" w:rsidRDefault="006F4B08" w:rsidP="006F4B08">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7411EA1A"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16691D7B" w14:textId="6C251A27"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99CA8E9" w14:textId="305C1E54" w:rsidR="006F4B08" w:rsidRPr="006F6094" w:rsidRDefault="006F4B08" w:rsidP="00110ABF">
            <w:pPr>
              <w:spacing w:before="60" w:after="60" w:line="240" w:lineRule="auto"/>
              <w:rPr>
                <w:rFonts w:ascii="Arial" w:hAnsi="Arial" w:cs="Arial"/>
                <w:b/>
                <w:color w:val="000000"/>
                <w:lang w:eastAsia="en-AU"/>
              </w:rPr>
            </w:pPr>
          </w:p>
        </w:tc>
      </w:tr>
    </w:tbl>
    <w:p w14:paraId="75C59DC9" w14:textId="4DF10D5B" w:rsidR="00EC7CB0" w:rsidRPr="00FD3FF7" w:rsidRDefault="00EC7CB0" w:rsidP="00094736">
      <w:pPr>
        <w:pStyle w:val="Heading2"/>
      </w:pPr>
      <w:r w:rsidRPr="00FD3FF7">
        <w:t>Invoicing</w:t>
      </w:r>
    </w:p>
    <w:p w14:paraId="1F7F39A1" w14:textId="00E3446F" w:rsidR="00235020" w:rsidRPr="007C636F" w:rsidRDefault="00110ABF" w:rsidP="00235020">
      <w:pPr>
        <w:rPr>
          <w:rFonts w:ascii="Arial" w:hAnsi="Arial" w:cs="Arial"/>
        </w:rPr>
      </w:pPr>
      <w:r>
        <w:rPr>
          <w:rFonts w:ascii="Arial" w:hAnsi="Arial" w:cs="Arial"/>
        </w:rPr>
        <w:t>TBC</w:t>
      </w:r>
    </w:p>
    <w:p w14:paraId="3DD4D45D" w14:textId="5FBD72B6" w:rsidR="00480D52" w:rsidRPr="00FD3FF7" w:rsidRDefault="00480D52" w:rsidP="00094736">
      <w:pPr>
        <w:pStyle w:val="Heading2"/>
      </w:pPr>
      <w:r w:rsidRPr="00FD3FF7">
        <w:t>Taxes, duties and government charges</w:t>
      </w:r>
    </w:p>
    <w:p w14:paraId="01E69F8A" w14:textId="41C34559" w:rsidR="00480D52" w:rsidRPr="007C636F" w:rsidRDefault="00110ABF" w:rsidP="00F415ED">
      <w:pPr>
        <w:rPr>
          <w:rFonts w:ascii="Arial" w:hAnsi="Arial" w:cs="Arial"/>
        </w:rPr>
      </w:pPr>
      <w:r>
        <w:rPr>
          <w:rFonts w:ascii="Arial" w:hAnsi="Arial" w:cs="Arial"/>
        </w:rPr>
        <w:t>TBC</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2" w:name="_Toc494986413"/>
      <w:r w:rsidRPr="0082326C">
        <w:rPr>
          <w:rFonts w:ascii="Arial" w:hAnsi="Arial" w:cs="Arial"/>
          <w:b/>
          <w:bCs/>
          <w:color w:val="365F91"/>
          <w:sz w:val="26"/>
          <w:szCs w:val="26"/>
          <w:lang w:eastAsia="en-AU"/>
        </w:rPr>
        <w:t>E. Reporting</w:t>
      </w:r>
      <w:bookmarkEnd w:id="12"/>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Caption w:val="E. Reporting"/>
        <w:tblDescription w:val="This table contains information on the milestone, information to be included and due date."/>
      </w:tblPr>
      <w:tblGrid>
        <w:gridCol w:w="2943"/>
        <w:gridCol w:w="4820"/>
        <w:gridCol w:w="2205"/>
      </w:tblGrid>
      <w:tr w:rsidR="00480D52" w:rsidRPr="00480D52" w14:paraId="621884C8" w14:textId="77777777" w:rsidTr="009042FB">
        <w:trPr>
          <w:cantSplit/>
          <w:tblHeader/>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480D52" w:rsidRPr="00480D52" w14:paraId="46F5B6A0" w14:textId="77777777" w:rsidTr="003C0E37">
        <w:trPr>
          <w:cantSplit/>
        </w:trPr>
        <w:tc>
          <w:tcPr>
            <w:tcW w:w="2943" w:type="dxa"/>
          </w:tcPr>
          <w:p w14:paraId="61AAE18B" w14:textId="701290E1" w:rsidR="00480D52" w:rsidRPr="00A4709D" w:rsidRDefault="00397037" w:rsidP="00482DB2">
            <w:pPr>
              <w:rPr>
                <w:rFonts w:ascii="Arial" w:hAnsi="Arial" w:cs="Arial"/>
                <w:sz w:val="22"/>
                <w:szCs w:val="22"/>
                <w:highlight w:val="cyan"/>
              </w:rPr>
            </w:pPr>
            <w:r w:rsidRPr="0053262F">
              <w:rPr>
                <w:rFonts w:ascii="Arial" w:hAnsi="Arial" w:cs="Arial"/>
              </w:rPr>
              <w:t>Activity Work Plan</w:t>
            </w:r>
          </w:p>
        </w:tc>
        <w:tc>
          <w:tcPr>
            <w:tcW w:w="4820" w:type="dxa"/>
          </w:tcPr>
          <w:p w14:paraId="739B8495" w14:textId="24685BB9" w:rsidR="00480D52" w:rsidRPr="0053262F" w:rsidRDefault="00397037" w:rsidP="0053262F">
            <w:pPr>
              <w:pStyle w:val="Default"/>
            </w:pPr>
            <w:r>
              <w:rPr>
                <w:sz w:val="22"/>
                <w:szCs w:val="22"/>
              </w:rPr>
              <w:t xml:space="preserve">Agreed Activity Work Plan negotiated with the Department as per Item E.2 </w:t>
            </w:r>
          </w:p>
        </w:tc>
        <w:tc>
          <w:tcPr>
            <w:tcW w:w="2205" w:type="dxa"/>
          </w:tcPr>
          <w:p w14:paraId="303A4855" w14:textId="45AF53A6" w:rsidR="00480D52" w:rsidRPr="00480D52" w:rsidRDefault="00AC180A">
            <w:pPr>
              <w:rPr>
                <w:rFonts w:ascii="Arial" w:hAnsi="Arial" w:cs="Arial"/>
                <w:sz w:val="22"/>
              </w:rPr>
            </w:pPr>
            <w:r>
              <w:rPr>
                <w:rFonts w:ascii="Arial" w:hAnsi="Arial" w:cs="Arial"/>
                <w:sz w:val="22"/>
              </w:rPr>
              <w:t>TBC</w:t>
            </w:r>
          </w:p>
        </w:tc>
      </w:tr>
      <w:tr w:rsidR="003C58FC" w:rsidRPr="00480D52" w14:paraId="4673D2FE" w14:textId="77777777" w:rsidTr="003C0E37">
        <w:trPr>
          <w:cantSplit/>
        </w:trPr>
        <w:tc>
          <w:tcPr>
            <w:tcW w:w="2943" w:type="dxa"/>
          </w:tcPr>
          <w:p w14:paraId="027C4515" w14:textId="26527C29" w:rsidR="003C58FC" w:rsidRPr="0053262F" w:rsidRDefault="00397037">
            <w:pPr>
              <w:rPr>
                <w:rFonts w:ascii="Arial" w:hAnsi="Arial" w:cs="Arial"/>
                <w:sz w:val="22"/>
                <w:szCs w:val="22"/>
                <w:highlight w:val="cyan"/>
              </w:rPr>
            </w:pPr>
            <w:r w:rsidRPr="00397037">
              <w:rPr>
                <w:rFonts w:ascii="Arial" w:hAnsi="Arial" w:cs="Arial"/>
                <w:sz w:val="22"/>
                <w:szCs w:val="22"/>
              </w:rPr>
              <w:t>Performance Report</w:t>
            </w:r>
          </w:p>
        </w:tc>
        <w:tc>
          <w:tcPr>
            <w:tcW w:w="4820" w:type="dxa"/>
          </w:tcPr>
          <w:p w14:paraId="7472DD24" w14:textId="74EE8F83" w:rsidR="003C58FC" w:rsidRPr="0053262F" w:rsidRDefault="00397037" w:rsidP="0053262F">
            <w:pPr>
              <w:pStyle w:val="Default"/>
            </w:pPr>
            <w:r>
              <w:rPr>
                <w:sz w:val="22"/>
                <w:szCs w:val="22"/>
              </w:rPr>
              <w:t xml:space="preserve">Performance Report 1 - A report with progress against the agreed Activity Work Plan, as set out in Item E.1 for the period from execution to 31 </w:t>
            </w:r>
            <w:r w:rsidR="00935ECD">
              <w:rPr>
                <w:sz w:val="22"/>
                <w:szCs w:val="22"/>
              </w:rPr>
              <w:t>March</w:t>
            </w:r>
            <w:r>
              <w:rPr>
                <w:sz w:val="22"/>
                <w:szCs w:val="22"/>
              </w:rPr>
              <w:t xml:space="preserve"> 2020 </w:t>
            </w:r>
          </w:p>
        </w:tc>
        <w:tc>
          <w:tcPr>
            <w:tcW w:w="2205" w:type="dxa"/>
          </w:tcPr>
          <w:p w14:paraId="759A95DA" w14:textId="442BB2D1" w:rsidR="003C58FC" w:rsidRPr="00480D52" w:rsidRDefault="00AC180A" w:rsidP="00110ABF">
            <w:pPr>
              <w:rPr>
                <w:rFonts w:ascii="Arial" w:hAnsi="Arial" w:cs="Arial"/>
              </w:rPr>
            </w:pPr>
            <w:r>
              <w:rPr>
                <w:rFonts w:ascii="Arial" w:hAnsi="Arial" w:cs="Arial"/>
              </w:rPr>
              <w:t>TBC</w:t>
            </w:r>
          </w:p>
        </w:tc>
      </w:tr>
      <w:tr w:rsidR="003C58FC" w:rsidRPr="00480D52" w14:paraId="6DD49E81" w14:textId="77777777" w:rsidTr="003C0E37">
        <w:trPr>
          <w:cantSplit/>
        </w:trPr>
        <w:tc>
          <w:tcPr>
            <w:tcW w:w="2943" w:type="dxa"/>
          </w:tcPr>
          <w:p w14:paraId="16A7EF4A" w14:textId="2DCCAFF4" w:rsidR="003C58FC" w:rsidRPr="0053262F" w:rsidRDefault="00397037" w:rsidP="00482DB2">
            <w:pPr>
              <w:rPr>
                <w:rFonts w:ascii="Arial" w:hAnsi="Arial" w:cs="Arial"/>
                <w:sz w:val="22"/>
                <w:szCs w:val="22"/>
                <w:highlight w:val="cyan"/>
              </w:rPr>
            </w:pPr>
            <w:r w:rsidRPr="00397037">
              <w:rPr>
                <w:rFonts w:ascii="Arial" w:hAnsi="Arial" w:cs="Arial"/>
                <w:sz w:val="22"/>
                <w:szCs w:val="22"/>
              </w:rPr>
              <w:t>Performance Report</w:t>
            </w:r>
          </w:p>
        </w:tc>
        <w:tc>
          <w:tcPr>
            <w:tcW w:w="4820" w:type="dxa"/>
          </w:tcPr>
          <w:p w14:paraId="4393A96C" w14:textId="13A4A019" w:rsidR="003C58FC" w:rsidRPr="0053262F" w:rsidRDefault="00397037" w:rsidP="0053262F">
            <w:pPr>
              <w:pStyle w:val="Default"/>
            </w:pPr>
            <w:r>
              <w:rPr>
                <w:sz w:val="22"/>
                <w:szCs w:val="22"/>
              </w:rPr>
              <w:t xml:space="preserve">Performance Report 2 - A report with progress against the agreed Activity Work Plan, as set out in Item E.1 for the period 1 </w:t>
            </w:r>
            <w:r w:rsidR="00B93A4E">
              <w:rPr>
                <w:sz w:val="22"/>
                <w:szCs w:val="22"/>
              </w:rPr>
              <w:t>April</w:t>
            </w:r>
            <w:r>
              <w:rPr>
                <w:sz w:val="22"/>
                <w:szCs w:val="22"/>
              </w:rPr>
              <w:t xml:space="preserve"> 2020 to 3</w:t>
            </w:r>
            <w:r w:rsidR="00B749D5">
              <w:rPr>
                <w:sz w:val="22"/>
                <w:szCs w:val="22"/>
              </w:rPr>
              <w:t>0</w:t>
            </w:r>
            <w:r w:rsidR="00B93A4E">
              <w:rPr>
                <w:sz w:val="22"/>
                <w:szCs w:val="22"/>
              </w:rPr>
              <w:t> June </w:t>
            </w:r>
            <w:r>
              <w:rPr>
                <w:sz w:val="22"/>
                <w:szCs w:val="22"/>
              </w:rPr>
              <w:t xml:space="preserve">2020 </w:t>
            </w:r>
          </w:p>
        </w:tc>
        <w:tc>
          <w:tcPr>
            <w:tcW w:w="2205" w:type="dxa"/>
          </w:tcPr>
          <w:p w14:paraId="12D76F46" w14:textId="0C1F0351" w:rsidR="003C58FC" w:rsidRPr="00480D52" w:rsidRDefault="00AC180A">
            <w:pPr>
              <w:rPr>
                <w:rFonts w:ascii="Arial" w:hAnsi="Arial" w:cs="Arial"/>
              </w:rPr>
            </w:pPr>
            <w:r>
              <w:rPr>
                <w:rFonts w:ascii="Arial" w:hAnsi="Arial" w:cs="Arial"/>
              </w:rPr>
              <w:t>TBC</w:t>
            </w:r>
          </w:p>
        </w:tc>
      </w:tr>
      <w:tr w:rsidR="00AC180A" w:rsidRPr="00480D52" w14:paraId="7A04F230" w14:textId="77777777" w:rsidTr="003C0E37">
        <w:trPr>
          <w:cantSplit/>
        </w:trPr>
        <w:tc>
          <w:tcPr>
            <w:tcW w:w="2943" w:type="dxa"/>
          </w:tcPr>
          <w:p w14:paraId="4C98D06D" w14:textId="75EEA797" w:rsidR="00AC180A" w:rsidRPr="003C58FC" w:rsidRDefault="00AC180A" w:rsidP="00AC180A">
            <w:pPr>
              <w:rPr>
                <w:rFonts w:ascii="Arial" w:hAnsi="Arial" w:cs="Arial"/>
                <w:highlight w:val="cyan"/>
              </w:rPr>
            </w:pPr>
            <w:r w:rsidRPr="00397037">
              <w:rPr>
                <w:rFonts w:ascii="Arial" w:hAnsi="Arial" w:cs="Arial"/>
                <w:sz w:val="22"/>
                <w:szCs w:val="22"/>
              </w:rPr>
              <w:t>Performance Report</w:t>
            </w:r>
          </w:p>
        </w:tc>
        <w:tc>
          <w:tcPr>
            <w:tcW w:w="4820" w:type="dxa"/>
          </w:tcPr>
          <w:p w14:paraId="1D80C608" w14:textId="61DAD12C" w:rsidR="00AC180A" w:rsidRPr="0053262F" w:rsidRDefault="00AC180A" w:rsidP="00AC180A">
            <w:pPr>
              <w:pStyle w:val="Default"/>
            </w:pPr>
            <w:r>
              <w:rPr>
                <w:sz w:val="22"/>
                <w:szCs w:val="22"/>
              </w:rPr>
              <w:t xml:space="preserve">Performance Report 3 - A report with progress against the agreed Activity Work Plan, as set out in Item E.1 for the period 1 July 2020 to 31 December 2020 </w:t>
            </w:r>
          </w:p>
        </w:tc>
        <w:tc>
          <w:tcPr>
            <w:tcW w:w="2205" w:type="dxa"/>
          </w:tcPr>
          <w:p w14:paraId="7039F1FA" w14:textId="51E09FAE" w:rsidR="00AC180A" w:rsidRPr="00480D52" w:rsidRDefault="00AC180A" w:rsidP="00AC180A">
            <w:pPr>
              <w:rPr>
                <w:rFonts w:ascii="Arial" w:hAnsi="Arial" w:cs="Arial"/>
              </w:rPr>
            </w:pPr>
            <w:r w:rsidRPr="008C427A">
              <w:rPr>
                <w:rFonts w:ascii="Arial" w:hAnsi="Arial" w:cs="Arial"/>
              </w:rPr>
              <w:t>TBC</w:t>
            </w:r>
          </w:p>
        </w:tc>
      </w:tr>
      <w:tr w:rsidR="00AC180A" w:rsidRPr="00480D52" w14:paraId="2FBA4800" w14:textId="77777777" w:rsidTr="003C0E37">
        <w:trPr>
          <w:cantSplit/>
        </w:trPr>
        <w:tc>
          <w:tcPr>
            <w:tcW w:w="2943" w:type="dxa"/>
          </w:tcPr>
          <w:p w14:paraId="6F83A824" w14:textId="7782A390" w:rsidR="00AC180A" w:rsidRPr="003C58FC" w:rsidRDefault="00AC180A" w:rsidP="00AC180A">
            <w:pPr>
              <w:rPr>
                <w:rFonts w:ascii="Arial" w:hAnsi="Arial" w:cs="Arial"/>
                <w:highlight w:val="cyan"/>
              </w:rPr>
            </w:pPr>
            <w:r w:rsidRPr="00397037">
              <w:rPr>
                <w:rFonts w:ascii="Arial" w:hAnsi="Arial" w:cs="Arial"/>
                <w:sz w:val="22"/>
                <w:szCs w:val="22"/>
              </w:rPr>
              <w:lastRenderedPageBreak/>
              <w:t>Performance Report</w:t>
            </w:r>
          </w:p>
        </w:tc>
        <w:tc>
          <w:tcPr>
            <w:tcW w:w="4820" w:type="dxa"/>
          </w:tcPr>
          <w:p w14:paraId="28D6626B" w14:textId="1D3F1A5F" w:rsidR="00AC180A" w:rsidRPr="0053262F" w:rsidRDefault="00AC180A" w:rsidP="00AC180A">
            <w:pPr>
              <w:pStyle w:val="Default"/>
            </w:pPr>
            <w:r>
              <w:rPr>
                <w:sz w:val="22"/>
                <w:szCs w:val="22"/>
              </w:rPr>
              <w:t xml:space="preserve">Performance Report 4 - A report with progress against the agreed Activity Work Plan, as set out in Item E.1 for the period 1 January 2021 to 30 June 2021 </w:t>
            </w:r>
          </w:p>
        </w:tc>
        <w:tc>
          <w:tcPr>
            <w:tcW w:w="2205" w:type="dxa"/>
          </w:tcPr>
          <w:p w14:paraId="438A67BB" w14:textId="315AC688" w:rsidR="00AC180A" w:rsidRPr="00480D52" w:rsidRDefault="00AC180A" w:rsidP="00AC180A">
            <w:pPr>
              <w:rPr>
                <w:rFonts w:ascii="Arial" w:hAnsi="Arial" w:cs="Arial"/>
              </w:rPr>
            </w:pPr>
            <w:r w:rsidRPr="008C427A">
              <w:rPr>
                <w:rFonts w:ascii="Arial" w:hAnsi="Arial" w:cs="Arial"/>
              </w:rPr>
              <w:t>TBC</w:t>
            </w:r>
          </w:p>
        </w:tc>
      </w:tr>
      <w:tr w:rsidR="00AC180A" w:rsidRPr="00480D52" w14:paraId="5A280583" w14:textId="77777777" w:rsidTr="003C0E37">
        <w:trPr>
          <w:cantSplit/>
        </w:trPr>
        <w:tc>
          <w:tcPr>
            <w:tcW w:w="2943" w:type="dxa"/>
          </w:tcPr>
          <w:p w14:paraId="0E67271D" w14:textId="0DFB047C" w:rsidR="00AC180A" w:rsidRPr="003C58FC" w:rsidRDefault="00AC180A" w:rsidP="00AC180A">
            <w:pPr>
              <w:rPr>
                <w:rFonts w:ascii="Arial" w:hAnsi="Arial" w:cs="Arial"/>
                <w:highlight w:val="cyan"/>
              </w:rPr>
            </w:pPr>
            <w:r w:rsidRPr="00397037">
              <w:rPr>
                <w:rFonts w:ascii="Arial" w:hAnsi="Arial" w:cs="Arial"/>
                <w:sz w:val="22"/>
                <w:szCs w:val="22"/>
              </w:rPr>
              <w:t>Performance Report</w:t>
            </w:r>
          </w:p>
        </w:tc>
        <w:tc>
          <w:tcPr>
            <w:tcW w:w="4820" w:type="dxa"/>
          </w:tcPr>
          <w:p w14:paraId="2654398F" w14:textId="6D94B753" w:rsidR="00AC180A" w:rsidRPr="0053262F" w:rsidRDefault="00AC180A" w:rsidP="00AC180A">
            <w:pPr>
              <w:pStyle w:val="Default"/>
            </w:pPr>
            <w:r>
              <w:rPr>
                <w:sz w:val="22"/>
                <w:szCs w:val="22"/>
              </w:rPr>
              <w:t xml:space="preserve">Performance Report 5 - A report with progress against the agreed Activity Work Plan, as set out in Item E.1 for the period 1 July 2021 to 31 December 2021 </w:t>
            </w:r>
          </w:p>
        </w:tc>
        <w:tc>
          <w:tcPr>
            <w:tcW w:w="2205" w:type="dxa"/>
          </w:tcPr>
          <w:p w14:paraId="0830FB5E" w14:textId="027F0D9A" w:rsidR="00AC180A" w:rsidRPr="00480D52" w:rsidRDefault="00AC180A" w:rsidP="00AC180A">
            <w:pPr>
              <w:rPr>
                <w:rFonts w:ascii="Arial" w:hAnsi="Arial" w:cs="Arial"/>
              </w:rPr>
            </w:pPr>
            <w:r w:rsidRPr="008C427A">
              <w:rPr>
                <w:rFonts w:ascii="Arial" w:hAnsi="Arial" w:cs="Arial"/>
              </w:rPr>
              <w:t>TBC</w:t>
            </w:r>
          </w:p>
        </w:tc>
      </w:tr>
      <w:tr w:rsidR="00AC180A" w:rsidRPr="00480D52" w14:paraId="6604D278" w14:textId="77777777" w:rsidTr="003C0E37">
        <w:trPr>
          <w:cantSplit/>
        </w:trPr>
        <w:tc>
          <w:tcPr>
            <w:tcW w:w="2943" w:type="dxa"/>
          </w:tcPr>
          <w:p w14:paraId="2D4DC52D" w14:textId="1B2CEB71" w:rsidR="00AC180A" w:rsidRPr="0053262F" w:rsidRDefault="00AC180A" w:rsidP="00AC180A">
            <w:pPr>
              <w:rPr>
                <w:rFonts w:ascii="Arial" w:hAnsi="Arial" w:cs="Arial"/>
                <w:sz w:val="22"/>
                <w:highlight w:val="cyan"/>
              </w:rPr>
            </w:pPr>
            <w:r w:rsidRPr="00397037">
              <w:rPr>
                <w:rFonts w:ascii="Arial" w:hAnsi="Arial" w:cs="Arial"/>
                <w:sz w:val="22"/>
                <w:szCs w:val="22"/>
              </w:rPr>
              <w:t>Performance Report</w:t>
            </w:r>
          </w:p>
        </w:tc>
        <w:tc>
          <w:tcPr>
            <w:tcW w:w="4820" w:type="dxa"/>
          </w:tcPr>
          <w:p w14:paraId="1B9212A3" w14:textId="4B0E295A" w:rsidR="00AC180A" w:rsidRPr="0053262F" w:rsidRDefault="00AC180A" w:rsidP="00AC180A">
            <w:pPr>
              <w:pStyle w:val="Default"/>
            </w:pPr>
            <w:r>
              <w:rPr>
                <w:sz w:val="22"/>
                <w:szCs w:val="22"/>
              </w:rPr>
              <w:t xml:space="preserve">Performance Report 6 - A report with progress against the agreed Activity Work Plan, as set out in Item E.1 for the period 1 January 2022 to 30 June 2022 </w:t>
            </w:r>
          </w:p>
        </w:tc>
        <w:tc>
          <w:tcPr>
            <w:tcW w:w="2205" w:type="dxa"/>
          </w:tcPr>
          <w:p w14:paraId="4DE1AF09" w14:textId="5F397747" w:rsidR="00AC180A" w:rsidRPr="00480D52" w:rsidRDefault="00AC180A" w:rsidP="00AC180A">
            <w:pPr>
              <w:rPr>
                <w:rFonts w:ascii="Arial" w:hAnsi="Arial" w:cs="Arial"/>
              </w:rPr>
            </w:pPr>
            <w:r w:rsidRPr="008C427A">
              <w:rPr>
                <w:rFonts w:ascii="Arial" w:hAnsi="Arial" w:cs="Arial"/>
              </w:rPr>
              <w:t>TBC</w:t>
            </w:r>
          </w:p>
        </w:tc>
      </w:tr>
      <w:tr w:rsidR="00AC180A" w:rsidRPr="00480D52" w14:paraId="725C02FC" w14:textId="77777777" w:rsidTr="003C0E37">
        <w:trPr>
          <w:cantSplit/>
        </w:trPr>
        <w:tc>
          <w:tcPr>
            <w:tcW w:w="2943" w:type="dxa"/>
          </w:tcPr>
          <w:p w14:paraId="23E05357" w14:textId="2F68968A" w:rsidR="00AC180A" w:rsidRPr="0053262F" w:rsidRDefault="00AC180A" w:rsidP="00AC180A">
            <w:pPr>
              <w:rPr>
                <w:rFonts w:ascii="Arial" w:hAnsi="Arial" w:cs="Arial"/>
                <w:sz w:val="22"/>
                <w:highlight w:val="cyan"/>
              </w:rPr>
            </w:pPr>
            <w:r w:rsidRPr="00397037">
              <w:rPr>
                <w:rFonts w:ascii="Arial" w:hAnsi="Arial" w:cs="Arial"/>
              </w:rPr>
              <w:t>Final Report</w:t>
            </w:r>
          </w:p>
        </w:tc>
        <w:tc>
          <w:tcPr>
            <w:tcW w:w="4820" w:type="dxa"/>
          </w:tcPr>
          <w:p w14:paraId="6DE5D958" w14:textId="77777777" w:rsidR="00AC180A" w:rsidRDefault="00AC180A" w:rsidP="00AC180A">
            <w:pPr>
              <w:pStyle w:val="Default"/>
            </w:pPr>
            <w:r>
              <w:rPr>
                <w:sz w:val="22"/>
                <w:szCs w:val="22"/>
              </w:rPr>
              <w:t xml:space="preserve">Final Report as set out in Item E.5 </w:t>
            </w:r>
          </w:p>
          <w:p w14:paraId="6FE9ED4B" w14:textId="77777777" w:rsidR="00AC180A" w:rsidRDefault="00AC180A" w:rsidP="00AC180A">
            <w:pPr>
              <w:pStyle w:val="Default"/>
              <w:rPr>
                <w:sz w:val="22"/>
                <w:szCs w:val="22"/>
              </w:rPr>
            </w:pPr>
          </w:p>
        </w:tc>
        <w:tc>
          <w:tcPr>
            <w:tcW w:w="2205" w:type="dxa"/>
          </w:tcPr>
          <w:p w14:paraId="7C415B64" w14:textId="3AA1D0B0" w:rsidR="00AC180A" w:rsidRPr="00480D52" w:rsidRDefault="00AC180A" w:rsidP="00AC180A">
            <w:pPr>
              <w:rPr>
                <w:rFonts w:ascii="Arial" w:hAnsi="Arial" w:cs="Arial"/>
              </w:rPr>
            </w:pPr>
            <w:r w:rsidRPr="008C427A">
              <w:rPr>
                <w:rFonts w:ascii="Arial" w:hAnsi="Arial" w:cs="Arial"/>
              </w:rPr>
              <w:t>TBC</w:t>
            </w:r>
          </w:p>
        </w:tc>
      </w:tr>
      <w:tr w:rsidR="00AC180A" w:rsidRPr="00480D52" w14:paraId="555635C9" w14:textId="77777777" w:rsidTr="003C0E37">
        <w:trPr>
          <w:cantSplit/>
        </w:trPr>
        <w:tc>
          <w:tcPr>
            <w:tcW w:w="2943" w:type="dxa"/>
          </w:tcPr>
          <w:p w14:paraId="02EFFDDD" w14:textId="3E97DEDB" w:rsidR="00AC180A" w:rsidRPr="0053262F" w:rsidRDefault="00AC180A" w:rsidP="00AC180A">
            <w:pPr>
              <w:pStyle w:val="Default"/>
            </w:pPr>
            <w:r>
              <w:rPr>
                <w:sz w:val="22"/>
                <w:szCs w:val="22"/>
              </w:rPr>
              <w:t xml:space="preserve">Financial Acquittal Report </w:t>
            </w:r>
          </w:p>
        </w:tc>
        <w:tc>
          <w:tcPr>
            <w:tcW w:w="4820" w:type="dxa"/>
          </w:tcPr>
          <w:p w14:paraId="4BEAC9F9" w14:textId="3029173E" w:rsidR="00AC180A" w:rsidRPr="0053262F" w:rsidRDefault="00AC180A" w:rsidP="00AC180A">
            <w:pPr>
              <w:pStyle w:val="Default"/>
            </w:pPr>
            <w:r>
              <w:rPr>
                <w:sz w:val="22"/>
                <w:szCs w:val="22"/>
              </w:rPr>
              <w:t xml:space="preserve">Final Financial Report as per Item E.4 </w:t>
            </w:r>
          </w:p>
        </w:tc>
        <w:tc>
          <w:tcPr>
            <w:tcW w:w="2205" w:type="dxa"/>
          </w:tcPr>
          <w:p w14:paraId="09532244" w14:textId="78B95D44" w:rsidR="00AC180A" w:rsidRPr="00480D52" w:rsidRDefault="00AC180A" w:rsidP="00AC180A">
            <w:pPr>
              <w:rPr>
                <w:rFonts w:ascii="Arial" w:hAnsi="Arial" w:cs="Arial"/>
              </w:rPr>
            </w:pPr>
            <w:r w:rsidRPr="008C427A">
              <w:rPr>
                <w:rFonts w:ascii="Arial" w:hAnsi="Arial" w:cs="Arial"/>
              </w:rPr>
              <w:t>TBC</w:t>
            </w:r>
          </w:p>
        </w:tc>
      </w:tr>
    </w:tbl>
    <w:p w14:paraId="6F434136" w14:textId="0A82067F" w:rsidR="00D463E3" w:rsidRDefault="00D463E3" w:rsidP="00094736">
      <w:pPr>
        <w:pStyle w:val="Heading2"/>
      </w:pPr>
      <w:r w:rsidRPr="00FD3FF7">
        <w:t>E.1 Performance Reports</w:t>
      </w:r>
    </w:p>
    <w:p w14:paraId="0229A83C" w14:textId="3F9EE436" w:rsidR="00D463E3" w:rsidRPr="00110ABF" w:rsidRDefault="00491E41" w:rsidP="00D463E3">
      <w:pPr>
        <w:rPr>
          <w:rFonts w:ascii="Arial" w:hAnsi="Arial" w:cs="Arial"/>
        </w:rPr>
      </w:pPr>
      <w:r w:rsidRPr="00491E41">
        <w:rPr>
          <w:rFonts w:ascii="Arial" w:hAnsi="Arial" w:cs="Arial"/>
        </w:rPr>
        <w:t xml:space="preserve">Six monthly Performance Report on the Activity that outline the activities and the deliverables agreed to in the Activity Work Plan that </w:t>
      </w:r>
      <w:proofErr w:type="gramStart"/>
      <w:r w:rsidRPr="00491E41">
        <w:rPr>
          <w:rFonts w:ascii="Arial" w:hAnsi="Arial" w:cs="Arial"/>
        </w:rPr>
        <w:t>have been completed</w:t>
      </w:r>
      <w:proofErr w:type="gramEnd"/>
      <w:r w:rsidRPr="00491E41">
        <w:rPr>
          <w:rFonts w:ascii="Arial" w:hAnsi="Arial" w:cs="Arial"/>
        </w:rPr>
        <w:t xml:space="preserve"> to date.</w:t>
      </w:r>
    </w:p>
    <w:p w14:paraId="1327C3C4" w14:textId="77777777" w:rsidR="00D463E3" w:rsidRPr="00110ABF" w:rsidRDefault="00D463E3" w:rsidP="00094736">
      <w:pPr>
        <w:pStyle w:val="Heading2"/>
      </w:pPr>
      <w:r w:rsidRPr="00110ABF">
        <w:t>E.2 Activity Work Plan</w:t>
      </w:r>
    </w:p>
    <w:p w14:paraId="778DF1FF" w14:textId="484EEA51" w:rsidR="00D463E3" w:rsidRPr="00110ABF" w:rsidRDefault="00110ABF" w:rsidP="00D463E3">
      <w:pPr>
        <w:rPr>
          <w:rFonts w:ascii="Arial" w:hAnsi="Arial" w:cs="Arial"/>
        </w:rPr>
      </w:pPr>
      <w:r w:rsidRPr="00110ABF">
        <w:rPr>
          <w:rFonts w:ascii="Arial" w:hAnsi="Arial" w:cs="Arial"/>
        </w:rPr>
        <w:t>TBC</w:t>
      </w:r>
    </w:p>
    <w:p w14:paraId="1B89B288" w14:textId="77777777" w:rsidR="00D463E3" w:rsidRPr="00110ABF" w:rsidRDefault="00D463E3" w:rsidP="00094736">
      <w:pPr>
        <w:pStyle w:val="Heading2"/>
      </w:pPr>
      <w:r w:rsidRPr="00110ABF">
        <w:t>E.3 Annual Report</w:t>
      </w:r>
    </w:p>
    <w:p w14:paraId="0C92DEA8" w14:textId="22AD486D" w:rsidR="00D463E3" w:rsidRPr="00110ABF" w:rsidRDefault="00110ABF" w:rsidP="00D463E3">
      <w:pPr>
        <w:rPr>
          <w:rFonts w:ascii="Arial" w:hAnsi="Arial" w:cs="Arial"/>
        </w:rPr>
      </w:pPr>
      <w:r w:rsidRPr="00110ABF">
        <w:rPr>
          <w:rFonts w:ascii="Arial" w:hAnsi="Arial" w:cs="Arial"/>
        </w:rPr>
        <w:t>TBC</w:t>
      </w:r>
    </w:p>
    <w:p w14:paraId="79747EF0" w14:textId="77777777" w:rsidR="00D463E3" w:rsidRPr="00110ABF" w:rsidRDefault="00D463E3" w:rsidP="00094736">
      <w:pPr>
        <w:pStyle w:val="Heading2"/>
      </w:pPr>
      <w:r w:rsidRPr="00110ABF">
        <w:t>E.4 Accounting for the Grant</w:t>
      </w:r>
    </w:p>
    <w:p w14:paraId="0536A7F7" w14:textId="7AB87EC6" w:rsidR="00D463E3" w:rsidRPr="00110ABF" w:rsidRDefault="00110ABF" w:rsidP="00D463E3">
      <w:pPr>
        <w:rPr>
          <w:rFonts w:ascii="Arial" w:hAnsi="Arial" w:cs="Arial"/>
        </w:rPr>
      </w:pPr>
      <w:r w:rsidRPr="00110ABF">
        <w:rPr>
          <w:rFonts w:ascii="Arial" w:hAnsi="Arial" w:cs="Arial"/>
        </w:rPr>
        <w:t>TBC</w:t>
      </w:r>
    </w:p>
    <w:p w14:paraId="1CD65C11" w14:textId="77777777" w:rsidR="00D463E3" w:rsidRPr="00110ABF" w:rsidRDefault="00D463E3" w:rsidP="00094736">
      <w:pPr>
        <w:pStyle w:val="Heading2"/>
      </w:pPr>
      <w:r w:rsidRPr="00110ABF">
        <w:t>E.5 Other Reports</w:t>
      </w:r>
    </w:p>
    <w:p w14:paraId="700447CC" w14:textId="6B662E77" w:rsidR="00D463E3" w:rsidRPr="007C636F" w:rsidRDefault="00110ABF" w:rsidP="00D463E3">
      <w:pPr>
        <w:rPr>
          <w:rFonts w:ascii="Arial" w:hAnsi="Arial" w:cs="Arial"/>
        </w:rPr>
      </w:pPr>
      <w:r w:rsidRPr="00110ABF">
        <w:rPr>
          <w:rFonts w:ascii="Arial" w:hAnsi="Arial" w:cs="Arial"/>
        </w:rPr>
        <w:t>TBC</w:t>
      </w:r>
    </w:p>
    <w:p w14:paraId="5DF1001F" w14:textId="742E86DA" w:rsidR="00EC7CB0" w:rsidRPr="00FD3FF7" w:rsidRDefault="006728DC" w:rsidP="00FD3FF7">
      <w:pPr>
        <w:pStyle w:val="Heading1"/>
        <w:spacing w:before="360" w:after="240"/>
        <w:rPr>
          <w:rFonts w:ascii="Arial" w:hAnsi="Arial" w:cs="Arial"/>
          <w:sz w:val="26"/>
          <w:szCs w:val="26"/>
        </w:rPr>
      </w:pPr>
      <w:bookmarkStart w:id="13" w:name="_Toc494986414"/>
      <w:r w:rsidRPr="00FD3FF7">
        <w:rPr>
          <w:rFonts w:ascii="Arial" w:hAnsi="Arial" w:cs="Arial"/>
          <w:sz w:val="26"/>
          <w:szCs w:val="26"/>
        </w:rPr>
        <w:t>F. Party representatives and address for n</w:t>
      </w:r>
      <w:r w:rsidR="00EC7CB0" w:rsidRPr="00FD3FF7">
        <w:rPr>
          <w:rFonts w:ascii="Arial" w:hAnsi="Arial" w:cs="Arial"/>
          <w:sz w:val="26"/>
          <w:szCs w:val="26"/>
        </w:rPr>
        <w:t>otices</w:t>
      </w:r>
      <w:bookmarkEnd w:id="13"/>
    </w:p>
    <w:p w14:paraId="393C9FF8" w14:textId="77777777" w:rsidR="00EC7CB0" w:rsidRPr="00FD3FF7" w:rsidRDefault="00EC7CB0" w:rsidP="00094736">
      <w:pPr>
        <w:pStyle w:val="Heading2"/>
      </w:pPr>
      <w:bookmarkStart w:id="14" w:name="_Toc494986415"/>
      <w:r w:rsidRPr="00FD3FF7">
        <w:t>Grantee's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2A55E8AF" w:rsidR="00235020" w:rsidRPr="00235020" w:rsidRDefault="00235020" w:rsidP="00110ABF">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073F4D1" w:rsidR="00235020" w:rsidRPr="00235020" w:rsidRDefault="00235020" w:rsidP="00110ABF">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6B12B493" w14:textId="2538F4E9" w:rsidR="00235020" w:rsidRPr="00235020" w:rsidRDefault="00235020" w:rsidP="00110ABF">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6DBF1B10" w:rsidR="00235020" w:rsidRPr="00235020" w:rsidRDefault="00235020" w:rsidP="00110ABF">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55EA7640"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227AFF68"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2C15E205" w:rsidR="00235020" w:rsidRPr="00235020" w:rsidRDefault="00235020" w:rsidP="00110ABF">
            <w:pPr>
              <w:spacing w:after="0" w:line="240" w:lineRule="auto"/>
              <w:rPr>
                <w:rFonts w:ascii="Arial" w:hAnsi="Arial" w:cs="Arial"/>
                <w:highlight w:val="cyan"/>
              </w:rPr>
            </w:pPr>
          </w:p>
        </w:tc>
      </w:tr>
    </w:tbl>
    <w:p w14:paraId="496C6066" w14:textId="77777777" w:rsidR="00EC7CB0" w:rsidRPr="00FD3FF7" w:rsidRDefault="00EC7CB0" w:rsidP="00094736">
      <w:pPr>
        <w:pStyle w:val="Heading2"/>
      </w:pPr>
      <w:bookmarkStart w:id="15" w:name="_Toc494986416"/>
      <w:r w:rsidRPr="00FD3FF7">
        <w:t>Commonwealth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4CF862" w:rsidR="00EC7CB0" w:rsidRPr="007C636F" w:rsidRDefault="00EC7CB0" w:rsidP="00110ABF">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235465F2" w:rsidR="00D463E3" w:rsidRPr="007C636F" w:rsidRDefault="00D463E3" w:rsidP="00110ABF">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470E6529" w:rsidR="00235020" w:rsidRPr="007C636F" w:rsidRDefault="00235020" w:rsidP="00110ABF">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4A126D78" w:rsidR="00235020" w:rsidRPr="007C636F" w:rsidRDefault="00235020" w:rsidP="00110ABF">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lastRenderedPageBreak/>
              <w:t>Fax</w:t>
            </w:r>
          </w:p>
        </w:tc>
        <w:tc>
          <w:tcPr>
            <w:tcW w:w="6150" w:type="dxa"/>
          </w:tcPr>
          <w:p w14:paraId="214AEA47" w14:textId="7D8559A4" w:rsidR="00304243" w:rsidRDefault="00304243" w:rsidP="00110ABF">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3BAF196" w:rsidR="00235020" w:rsidRPr="007C636F" w:rsidRDefault="00235020" w:rsidP="00110ABF">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110ABF" w:rsidRDefault="007A5027" w:rsidP="00F415ED">
      <w:pPr>
        <w:rPr>
          <w:rFonts w:ascii="Arial" w:hAnsi="Arial" w:cs="Arial"/>
          <w:color w:val="000000"/>
        </w:rPr>
      </w:pPr>
      <w:r>
        <w:rPr>
          <w:rFonts w:ascii="Arial" w:hAnsi="Arial" w:cs="Arial"/>
          <w:color w:val="000000"/>
        </w:rPr>
        <w:t xml:space="preserve">Activity Material means any material, other than Reporting Material, created or developed by the Grantee as a result of the Activity and includes any Existing Material that is incorporated in or supplied with the </w:t>
      </w:r>
      <w:r w:rsidRPr="00110ABF">
        <w:rPr>
          <w:rFonts w:ascii="Arial" w:hAnsi="Arial" w:cs="Arial"/>
          <w:color w:val="000000"/>
        </w:rPr>
        <w:t>Activity Material.</w:t>
      </w:r>
    </w:p>
    <w:p w14:paraId="553024C2" w14:textId="0417FBED" w:rsidR="00C7353F" w:rsidRPr="007C636F" w:rsidRDefault="00110ABF" w:rsidP="00C7353F">
      <w:pPr>
        <w:rPr>
          <w:rFonts w:ascii="Arial" w:hAnsi="Arial" w:cs="Arial"/>
        </w:rPr>
      </w:pPr>
      <w:r w:rsidRPr="00110ABF">
        <w:rPr>
          <w:rFonts w:ascii="Arial" w:hAnsi="Arial" w:cs="Arial"/>
        </w:rPr>
        <w:t>TBC</w:t>
      </w:r>
    </w:p>
    <w:p w14:paraId="4AB83D7C" w14:textId="77777777" w:rsidR="00753ADD" w:rsidRDefault="00753ADD">
      <w:pPr>
        <w:spacing w:after="0" w:line="240" w:lineRule="auto"/>
        <w:rPr>
          <w:rFonts w:ascii="Arial" w:hAnsi="Arial" w:cs="Arial"/>
          <w:b/>
          <w:bCs/>
          <w:color w:val="365F91"/>
          <w:sz w:val="26"/>
          <w:szCs w:val="26"/>
        </w:rPr>
      </w:pPr>
      <w:bookmarkStart w:id="16" w:name="_Toc494986418"/>
      <w:r>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7" w:name="_Toc494986440"/>
      <w:bookmarkEnd w:id="16"/>
      <w:r w:rsidRPr="0048465C">
        <w:rPr>
          <w:rFonts w:ascii="Arial" w:hAnsi="Arial" w:cs="Arial"/>
          <w:sz w:val="26"/>
          <w:szCs w:val="26"/>
        </w:rPr>
        <w:lastRenderedPageBreak/>
        <w:t>Signat</w:t>
      </w:r>
      <w:bookmarkEnd w:id="17"/>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043178" w:rsidRPr="00043178" w14:paraId="49BF1E9A" w14:textId="77777777" w:rsidTr="009042FB">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67D2FB18" w:rsidR="00043178" w:rsidRPr="002B3617" w:rsidRDefault="00043178" w:rsidP="00043178">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3C60FAD0" w:rsidR="00043178" w:rsidRPr="002B3617" w:rsidRDefault="00043178" w:rsidP="00043178">
            <w:pPr>
              <w:keepNext/>
              <w:keepLines/>
              <w:spacing w:before="60" w:after="60"/>
              <w:outlineLvl w:val="0"/>
              <w:rPr>
                <w:rFonts w:ascii="Arial" w:hAnsi="Arial" w:cs="Arial"/>
                <w:bCs/>
                <w:sz w:val="24"/>
                <w:szCs w:val="28"/>
                <w:highlight w:val="cyan"/>
              </w:rPr>
            </w:pPr>
          </w:p>
        </w:tc>
      </w:tr>
    </w:tbl>
    <w:p w14:paraId="70AFA702" w14:textId="0F54518D" w:rsidR="00EC7CB0" w:rsidRPr="0048465C" w:rsidRDefault="00EC7CB0" w:rsidP="00094736"/>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5026"/>
        <w:gridCol w:w="297"/>
        <w:gridCol w:w="5143"/>
      </w:tblGrid>
      <w:tr w:rsidR="0048465C" w:rsidRPr="0048465C" w14:paraId="4F068A54" w14:textId="2DA4F511" w:rsidTr="009042FB">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274D40B6" w:rsidR="006D6C7C" w:rsidRPr="00F031D3" w:rsidRDefault="006D6C7C" w:rsidP="00110ABF">
            <w:pPr>
              <w:spacing w:before="120" w:after="120"/>
              <w:rPr>
                <w:rFonts w:ascii="Arial" w:hAnsi="Arial" w:cs="Arial"/>
                <w:sz w:val="24"/>
              </w:rPr>
            </w:pPr>
            <w:r w:rsidRPr="00F031D3">
              <w:rPr>
                <w:rFonts w:ascii="Arial" w:hAnsi="Arial" w:cs="Arial"/>
                <w:sz w:val="22"/>
                <w:szCs w:val="24"/>
                <w:lang w:eastAsia="en-AU"/>
              </w:rPr>
              <w:t xml:space="preserve">Signed for and on </w:t>
            </w:r>
            <w:r w:rsidRPr="00110ABF">
              <w:rPr>
                <w:rFonts w:ascii="Arial" w:hAnsi="Arial" w:cs="Arial"/>
                <w:sz w:val="22"/>
                <w:szCs w:val="24"/>
                <w:lang w:eastAsia="en-AU"/>
              </w:rPr>
              <w:t>behalf of [Organisation Legal Name], ABN [Organisation ABN] in accordance</w:t>
            </w:r>
            <w:r w:rsidRPr="00F031D3">
              <w:rPr>
                <w:rFonts w:ascii="Arial" w:hAnsi="Arial" w:cs="Arial"/>
                <w:sz w:val="22"/>
                <w:szCs w:val="24"/>
                <w:lang w:eastAsia="en-AU"/>
              </w:rPr>
              <w:t xml:space="preserv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094736">
      <w:pPr>
        <w:pStyle w:val="Heading2"/>
      </w:pPr>
      <w: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 xml:space="preserve">If you are an incorporated association, you must refer to the legislation incorporating the </w:t>
      </w:r>
      <w:proofErr w:type="gramStart"/>
      <w:r w:rsidRPr="0067788E">
        <w:rPr>
          <w:rFonts w:ascii="Arial" w:hAnsi="Arial" w:cs="Arial"/>
        </w:rPr>
        <w:t>association</w:t>
      </w:r>
      <w:proofErr w:type="gramEnd"/>
      <w:r w:rsidRPr="0067788E">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96CCCE7" w:rsidR="00337E82" w:rsidRPr="00094736" w:rsidRDefault="0077177B" w:rsidP="00094736">
      <w:pPr>
        <w:widowControl w:val="0"/>
        <w:numPr>
          <w:ilvl w:val="0"/>
          <w:numId w:val="3"/>
        </w:numPr>
        <w:spacing w:after="220" w:line="240" w:lineRule="auto"/>
        <w:rPr>
          <w:rFonts w:ascii="Arial" w:hAnsi="Arial" w:cs="Arial"/>
        </w:rPr>
      </w:pPr>
      <w:r w:rsidRPr="00094736">
        <w:rPr>
          <w:rFonts w:ascii="Arial" w:hAnsi="Arial" w:cs="Arial"/>
        </w:rPr>
        <w:t>If you are a university, the signatory can be an officer authorised by the legislation creating the university to enter into legally binding documents.  A witne</w:t>
      </w:r>
      <w:r w:rsidR="00277F98" w:rsidRPr="00094736">
        <w:rPr>
          <w:rFonts w:ascii="Arial" w:hAnsi="Arial" w:cs="Arial"/>
        </w:rPr>
        <w:t>ss to the signature is required.</w:t>
      </w:r>
    </w:p>
    <w:sectPr w:rsidR="00337E82" w:rsidRPr="00094736" w:rsidSect="00A93088">
      <w:headerReference w:type="even" r:id="rId14"/>
      <w:headerReference w:type="default" r:id="rId15"/>
      <w:headerReference w:type="first" r:id="rId16"/>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3581" w14:textId="77777777" w:rsidR="00593E86" w:rsidRDefault="00593E86" w:rsidP="00685263">
      <w:pPr>
        <w:spacing w:after="0" w:line="240" w:lineRule="auto"/>
      </w:pPr>
      <w:r>
        <w:separator/>
      </w:r>
    </w:p>
  </w:endnote>
  <w:endnote w:type="continuationSeparator" w:id="0">
    <w:p w14:paraId="2FD58CFE" w14:textId="77777777" w:rsidR="00593E86" w:rsidRDefault="00593E8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5047" w14:textId="77777777" w:rsidR="00ED3AA5" w:rsidRDefault="00ED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171EB94A"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F4DF2">
      <w:rPr>
        <w:rFonts w:ascii="Arial" w:hAnsi="Arial" w:cs="Arial"/>
        <w:noProof/>
        <w:sz w:val="20"/>
      </w:rPr>
      <w:t>11</w:t>
    </w:r>
    <w:r>
      <w:rPr>
        <w:rFonts w:ascii="Arial" w:hAnsi="Arial" w:cs="Arial"/>
        <w:sz w:val="20"/>
      </w:rPr>
      <w:fldChar w:fldCharType="end"/>
    </w:r>
    <w:r w:rsidR="008F5E80">
      <w:rPr>
        <w:rFonts w:ascii="Arial" w:hAnsi="Arial" w:cs="Arial"/>
        <w:sz w:val="20"/>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E932" w14:textId="77777777" w:rsidR="00593E86" w:rsidRDefault="00593E86" w:rsidP="00685263">
      <w:pPr>
        <w:spacing w:after="0" w:line="240" w:lineRule="auto"/>
      </w:pPr>
      <w:r>
        <w:separator/>
      </w:r>
    </w:p>
  </w:footnote>
  <w:footnote w:type="continuationSeparator" w:id="0">
    <w:p w14:paraId="41FFB7A7" w14:textId="77777777" w:rsidR="00593E86" w:rsidRDefault="00593E8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9C4F" w14:textId="3C3385A6" w:rsidR="00ED3AA5" w:rsidRDefault="00593E86">
    <w:pPr>
      <w:pStyle w:val="Header"/>
    </w:pPr>
    <w:r>
      <w:rPr>
        <w:noProof/>
      </w:rPr>
      <w:pict w14:anchorId="5FF45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5"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5CE6BC52" w:rsidR="00F53518" w:rsidRPr="00277F98" w:rsidRDefault="00593E86" w:rsidP="002C18EE">
    <w:pPr>
      <w:pStyle w:val="Header"/>
      <w:jc w:val="center"/>
    </w:pPr>
    <w:r>
      <w:rPr>
        <w:noProof/>
      </w:rPr>
      <w:pict w14:anchorId="1C53F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6" o:spid="_x0000_s2051" type="#_x0000_t136" style="position:absolute;left:0;text-align:left;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A443CD">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472E4542" w:rsidR="002C18EE" w:rsidRDefault="00593E86" w:rsidP="00CE1422">
    <w:pPr>
      <w:pStyle w:val="Header"/>
      <w:jc w:val="center"/>
    </w:pPr>
    <w:r>
      <w:rPr>
        <w:noProof/>
      </w:rPr>
      <w:pict w14:anchorId="06FD8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4" o:spid="_x0000_s2049" type="#_x0000_t136" style="position:absolute;left:0;text-align:left;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CE1422">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06EB6AAA" w:rsidR="00F53518" w:rsidRDefault="00593E86">
    <w:pPr>
      <w:pStyle w:val="Header"/>
    </w:pPr>
    <w:r>
      <w:rPr>
        <w:noProof/>
      </w:rPr>
      <w:pict w14:anchorId="448D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8" o:spid="_x0000_s2053" type="#_x0000_t136" style="position:absolute;margin-left:0;margin-top:0;width:627.15pt;height:110.65pt;rotation:315;z-index:-251649024;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8CB51A4" w:rsidR="00F53518" w:rsidRPr="00C7353F" w:rsidRDefault="00593E86" w:rsidP="00C7353F">
    <w:pPr>
      <w:pStyle w:val="Header"/>
    </w:pPr>
    <w:r>
      <w:rPr>
        <w:noProof/>
      </w:rPr>
      <w:pict w14:anchorId="32FE1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9" o:spid="_x0000_s2054" type="#_x0000_t136" style="position:absolute;margin-left:0;margin-top:0;width:627.15pt;height:110.65pt;rotation:315;z-index:-25164697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F05C65" w:rsidR="00F53518" w:rsidRDefault="00593E86">
    <w:pPr>
      <w:pStyle w:val="Header"/>
    </w:pPr>
    <w:r>
      <w:rPr>
        <w:noProof/>
      </w:rPr>
      <w:pict w14:anchorId="6189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7" o:spid="_x0000_s2052" type="#_x0000_t136" style="position:absolute;margin-left:0;margin-top:0;width:627.15pt;height:110.65pt;rotation:315;z-index:-25165107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BD12E7"/>
    <w:multiLevelType w:val="multilevel"/>
    <w:tmpl w:val="C22A602E"/>
    <w:lvl w:ilvl="0">
      <w:start w:val="1"/>
      <w:numFmt w:val="bullet"/>
      <w:pStyle w:val="List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B91500B"/>
    <w:multiLevelType w:val="hybridMultilevel"/>
    <w:tmpl w:val="D410E700"/>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77F7B5A"/>
    <w:multiLevelType w:val="hybridMultilevel"/>
    <w:tmpl w:val="07602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2"/>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736"/>
    <w:rsid w:val="000949D8"/>
    <w:rsid w:val="000969AF"/>
    <w:rsid w:val="00096B35"/>
    <w:rsid w:val="000A0973"/>
    <w:rsid w:val="000A1717"/>
    <w:rsid w:val="000A26A7"/>
    <w:rsid w:val="000A617B"/>
    <w:rsid w:val="000B2D45"/>
    <w:rsid w:val="000B42A3"/>
    <w:rsid w:val="000B655E"/>
    <w:rsid w:val="000C0A96"/>
    <w:rsid w:val="000C4032"/>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0ABF"/>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2653"/>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65ED"/>
    <w:rsid w:val="00227B0E"/>
    <w:rsid w:val="00231718"/>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6399"/>
    <w:rsid w:val="00397037"/>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C58FC"/>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4DF2"/>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44FE1"/>
    <w:rsid w:val="00450134"/>
    <w:rsid w:val="00452A1C"/>
    <w:rsid w:val="00454582"/>
    <w:rsid w:val="00454E8C"/>
    <w:rsid w:val="0045689F"/>
    <w:rsid w:val="0046172F"/>
    <w:rsid w:val="00461DBA"/>
    <w:rsid w:val="004623D0"/>
    <w:rsid w:val="004627C7"/>
    <w:rsid w:val="00463DE1"/>
    <w:rsid w:val="0046449B"/>
    <w:rsid w:val="00466EC6"/>
    <w:rsid w:val="004702F0"/>
    <w:rsid w:val="0047307F"/>
    <w:rsid w:val="0047479D"/>
    <w:rsid w:val="00474839"/>
    <w:rsid w:val="00475510"/>
    <w:rsid w:val="004802C4"/>
    <w:rsid w:val="00480D52"/>
    <w:rsid w:val="00481B11"/>
    <w:rsid w:val="00481CA0"/>
    <w:rsid w:val="004820E0"/>
    <w:rsid w:val="0048290F"/>
    <w:rsid w:val="00482DB2"/>
    <w:rsid w:val="00482E07"/>
    <w:rsid w:val="00483B1E"/>
    <w:rsid w:val="0048465C"/>
    <w:rsid w:val="00484D02"/>
    <w:rsid w:val="00485362"/>
    <w:rsid w:val="00485412"/>
    <w:rsid w:val="00485D0A"/>
    <w:rsid w:val="00491E41"/>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E3752"/>
    <w:rsid w:val="004F046E"/>
    <w:rsid w:val="004F3EBD"/>
    <w:rsid w:val="004F52D4"/>
    <w:rsid w:val="004F70C0"/>
    <w:rsid w:val="004F7E15"/>
    <w:rsid w:val="00500D0C"/>
    <w:rsid w:val="0050228D"/>
    <w:rsid w:val="005042F4"/>
    <w:rsid w:val="0050456B"/>
    <w:rsid w:val="005054AC"/>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262F"/>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3E86"/>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50F"/>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2AD9"/>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B3D"/>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42FB"/>
    <w:rsid w:val="009052D5"/>
    <w:rsid w:val="009056B0"/>
    <w:rsid w:val="00905C68"/>
    <w:rsid w:val="009120A8"/>
    <w:rsid w:val="0091311A"/>
    <w:rsid w:val="009239E8"/>
    <w:rsid w:val="0092596F"/>
    <w:rsid w:val="0093000D"/>
    <w:rsid w:val="00932FCA"/>
    <w:rsid w:val="0093478D"/>
    <w:rsid w:val="00934F87"/>
    <w:rsid w:val="009350D9"/>
    <w:rsid w:val="00935ECD"/>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15C"/>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0662F"/>
    <w:rsid w:val="00A100A8"/>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4709D"/>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180A"/>
    <w:rsid w:val="00AC2948"/>
    <w:rsid w:val="00AC5D3B"/>
    <w:rsid w:val="00AC6218"/>
    <w:rsid w:val="00AC793A"/>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2DE"/>
    <w:rsid w:val="00B61355"/>
    <w:rsid w:val="00B63366"/>
    <w:rsid w:val="00B65868"/>
    <w:rsid w:val="00B675E1"/>
    <w:rsid w:val="00B71AC3"/>
    <w:rsid w:val="00B747FF"/>
    <w:rsid w:val="00B749D5"/>
    <w:rsid w:val="00B769A3"/>
    <w:rsid w:val="00B771A7"/>
    <w:rsid w:val="00B80F5B"/>
    <w:rsid w:val="00B815BA"/>
    <w:rsid w:val="00B818DE"/>
    <w:rsid w:val="00B82BCA"/>
    <w:rsid w:val="00B84BDF"/>
    <w:rsid w:val="00B8665A"/>
    <w:rsid w:val="00B901C3"/>
    <w:rsid w:val="00B92B79"/>
    <w:rsid w:val="00B93A4E"/>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6200"/>
    <w:rsid w:val="00BE69B7"/>
    <w:rsid w:val="00BF2985"/>
    <w:rsid w:val="00BF3BD9"/>
    <w:rsid w:val="00BF421C"/>
    <w:rsid w:val="00BF7498"/>
    <w:rsid w:val="00BF7CC3"/>
    <w:rsid w:val="00C006C2"/>
    <w:rsid w:val="00C00A21"/>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6B23"/>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5091"/>
    <w:rsid w:val="00C97009"/>
    <w:rsid w:val="00CA0211"/>
    <w:rsid w:val="00CA1CB9"/>
    <w:rsid w:val="00CA2488"/>
    <w:rsid w:val="00CA3D08"/>
    <w:rsid w:val="00CA4074"/>
    <w:rsid w:val="00CA449E"/>
    <w:rsid w:val="00CA464B"/>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7C5"/>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4D95"/>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5ABD"/>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4D4"/>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AA5"/>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1223"/>
    <w:rsid w:val="00FB287B"/>
    <w:rsid w:val="00FB3499"/>
    <w:rsid w:val="00FC2F01"/>
    <w:rsid w:val="00FC3A88"/>
    <w:rsid w:val="00FC40A3"/>
    <w:rsid w:val="00FC43D2"/>
    <w:rsid w:val="00FC6380"/>
    <w:rsid w:val="00FC7F18"/>
    <w:rsid w:val="00FD0B16"/>
    <w:rsid w:val="00FD19C6"/>
    <w:rsid w:val="00FD19F1"/>
    <w:rsid w:val="00FD29E7"/>
    <w:rsid w:val="00FD3BD3"/>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270F"/>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styleId="ListBullet">
    <w:name w:val="List Bullet"/>
    <w:basedOn w:val="Normal"/>
    <w:uiPriority w:val="99"/>
    <w:rsid w:val="005054AC"/>
    <w:pPr>
      <w:numPr>
        <w:numId w:val="11"/>
      </w:num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5054A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5054AC"/>
    <w:rPr>
      <w:rFonts w:asciiTheme="minorHAnsi" w:eastAsiaTheme="minorHAnsi" w:hAnsiTheme="minorHAnsi" w:cstheme="minorBidi"/>
      <w:b/>
      <w:iCs/>
      <w:color w:val="4F6228" w:themeColor="accent3" w:themeShade="80"/>
      <w:lang w:eastAsia="en-US"/>
    </w:rPr>
  </w:style>
  <w:style w:type="paragraph" w:customStyle="1" w:styleId="Default">
    <w:name w:val="Default"/>
    <w:rsid w:val="003970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C0C2A-D3EB-4EAB-9329-8FA8ADF8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2</cp:revision>
  <cp:lastPrinted>2019-07-01T23:24:00Z</cp:lastPrinted>
  <dcterms:created xsi:type="dcterms:W3CDTF">2019-07-09T07:02:00Z</dcterms:created>
  <dcterms:modified xsi:type="dcterms:W3CDTF">2019-07-09T07:02:00Z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