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00684" w14:textId="77777777" w:rsidR="00590593" w:rsidRPr="00590593" w:rsidRDefault="00590593" w:rsidP="00590593">
      <w:pPr>
        <w:spacing w:before="2000" w:after="360"/>
        <w:outlineLvl w:val="0"/>
        <w:rPr>
          <w:color w:val="264F90"/>
          <w:sz w:val="40"/>
          <w:szCs w:val="40"/>
        </w:rPr>
      </w:pPr>
      <w:bookmarkStart w:id="0" w:name="_Toc394504362"/>
      <w:r w:rsidRPr="00590593">
        <w:rPr>
          <w:color w:val="264F90"/>
          <w:sz w:val="40"/>
          <w:szCs w:val="40"/>
        </w:rPr>
        <w:t>Legal advisory service for persons engaging with the Royal Commission into Violence, Abuse, Neglect and Exploitation of People with Disability</w:t>
      </w:r>
      <w:bookmarkEnd w:id="0"/>
      <w:r w:rsidRPr="00590593">
        <w:rPr>
          <w:color w:val="264F90"/>
          <w:sz w:val="40"/>
          <w:szCs w:val="40"/>
        </w:rPr>
        <w:br/>
      </w:r>
      <w:r w:rsidRPr="00590593">
        <w:rPr>
          <w:i/>
          <w:color w:val="264F90"/>
          <w:sz w:val="40"/>
          <w:szCs w:val="40"/>
        </w:rPr>
        <w:br/>
      </w:r>
      <w:r w:rsidRPr="00590593">
        <w:rPr>
          <w:color w:val="264F90"/>
          <w:sz w:val="40"/>
          <w:szCs w:val="40"/>
        </w:rPr>
        <w:t>Grant Opportunity Guidelines</w:t>
      </w:r>
    </w:p>
    <w:p w14:paraId="1BE6CB4D" w14:textId="77777777" w:rsidR="00590593" w:rsidRDefault="00590593" w:rsidP="00267C0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06"/>
        <w:gridCol w:w="5983"/>
      </w:tblGrid>
      <w:tr w:rsidR="00B1460B" w:rsidRPr="007040EB" w14:paraId="36741667" w14:textId="77777777" w:rsidTr="00DE5F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0011F82F" w14:textId="77777777" w:rsidR="00B1460B" w:rsidRPr="0004098F" w:rsidRDefault="00B1460B" w:rsidP="00624853">
            <w:pPr>
              <w:rPr>
                <w:color w:val="264F90"/>
              </w:rPr>
            </w:pPr>
            <w:r w:rsidRPr="0004098F">
              <w:rPr>
                <w:color w:val="264F90"/>
              </w:rPr>
              <w:t>Opening date:</w:t>
            </w:r>
          </w:p>
        </w:tc>
        <w:tc>
          <w:tcPr>
            <w:tcW w:w="5983" w:type="dxa"/>
          </w:tcPr>
          <w:p w14:paraId="4C6AC0D2" w14:textId="77777777" w:rsidR="00B1460B" w:rsidRPr="00EF3D9D" w:rsidRDefault="00EF3D9D" w:rsidP="00EF3D9D">
            <w:pPr>
              <w:cnfStyle w:val="100000000000" w:firstRow="1" w:lastRow="0" w:firstColumn="0" w:lastColumn="0" w:oddVBand="0" w:evenVBand="0" w:oddHBand="0" w:evenHBand="0" w:firstRowFirstColumn="0" w:firstRowLastColumn="0" w:lastRowFirstColumn="0" w:lastRowLastColumn="0"/>
              <w:rPr>
                <w:b w:val="0"/>
                <w:bCs w:val="0"/>
              </w:rPr>
            </w:pPr>
            <w:r w:rsidRPr="00EF3D9D">
              <w:rPr>
                <w:b w:val="0"/>
                <w:bCs w:val="0"/>
              </w:rPr>
              <w:t>30</w:t>
            </w:r>
            <w:r w:rsidR="00D54ABE" w:rsidRPr="00EF3D9D">
              <w:rPr>
                <w:b w:val="0"/>
                <w:bCs w:val="0"/>
              </w:rPr>
              <w:t xml:space="preserve"> July 2019</w:t>
            </w:r>
          </w:p>
        </w:tc>
      </w:tr>
      <w:tr w:rsidR="00B1460B" w:rsidRPr="007040EB" w14:paraId="33DB81E7" w14:textId="77777777" w:rsidTr="00FC5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E8C33EE" w14:textId="77777777" w:rsidR="00B1460B" w:rsidRPr="0004098F" w:rsidRDefault="00B1460B" w:rsidP="00624853">
            <w:pPr>
              <w:rPr>
                <w:color w:val="264F90"/>
              </w:rPr>
            </w:pPr>
            <w:r w:rsidRPr="0004098F">
              <w:rPr>
                <w:color w:val="264F90"/>
              </w:rPr>
              <w:t>Closing date and time:</w:t>
            </w:r>
          </w:p>
        </w:tc>
        <w:tc>
          <w:tcPr>
            <w:tcW w:w="5983" w:type="dxa"/>
            <w:shd w:val="clear" w:color="auto" w:fill="auto"/>
          </w:tcPr>
          <w:p w14:paraId="03B0E205" w14:textId="77777777" w:rsidR="00B1460B" w:rsidRPr="00EF3D9D" w:rsidRDefault="00BD59A9" w:rsidP="00EF3D9D">
            <w:pPr>
              <w:cnfStyle w:val="000000100000" w:firstRow="0" w:lastRow="0" w:firstColumn="0" w:lastColumn="0" w:oddVBand="0" w:evenVBand="0" w:oddHBand="1" w:evenHBand="0" w:firstRowFirstColumn="0" w:firstRowLastColumn="0" w:lastRowFirstColumn="0" w:lastRowLastColumn="0"/>
            </w:pPr>
            <w:r w:rsidRPr="00EF3D9D">
              <w:t>11</w:t>
            </w:r>
            <w:r w:rsidR="00F65C53" w:rsidRPr="00EF3D9D">
              <w:t>.00</w:t>
            </w:r>
            <w:r w:rsidR="00712933" w:rsidRPr="00EF3D9D">
              <w:t>PM</w:t>
            </w:r>
            <w:r w:rsidR="00F65C53" w:rsidRPr="00EF3D9D">
              <w:t xml:space="preserve"> </w:t>
            </w:r>
            <w:r w:rsidR="00B1460B" w:rsidRPr="00EF3D9D">
              <w:t xml:space="preserve">AEST on </w:t>
            </w:r>
            <w:r w:rsidR="00EF3D9D" w:rsidRPr="00EF3D9D">
              <w:t>1</w:t>
            </w:r>
            <w:r w:rsidR="00D54ABE" w:rsidRPr="00EF3D9D">
              <w:t>2</w:t>
            </w:r>
            <w:r w:rsidR="00F65C53" w:rsidRPr="00EF3D9D">
              <w:t xml:space="preserve"> </w:t>
            </w:r>
            <w:r w:rsidR="00D54ABE" w:rsidRPr="00EF3D9D">
              <w:t>August</w:t>
            </w:r>
            <w:r w:rsidR="00F65C53" w:rsidRPr="00EF3D9D">
              <w:t xml:space="preserve"> </w:t>
            </w:r>
            <w:r w:rsidR="00D54ABE" w:rsidRPr="00EF3D9D">
              <w:t>2019</w:t>
            </w:r>
          </w:p>
        </w:tc>
      </w:tr>
      <w:tr w:rsidR="00B1460B" w:rsidRPr="007040EB" w14:paraId="635AF73E" w14:textId="77777777" w:rsidTr="00FC527F">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07135B94" w14:textId="77777777" w:rsidR="00B1460B" w:rsidRPr="0004098F" w:rsidRDefault="00B1460B" w:rsidP="00624853">
            <w:pPr>
              <w:rPr>
                <w:color w:val="264F90"/>
              </w:rPr>
            </w:pPr>
            <w:r w:rsidRPr="0004098F">
              <w:rPr>
                <w:color w:val="264F90"/>
              </w:rPr>
              <w:t>Commonwealth policy entity:</w:t>
            </w:r>
          </w:p>
        </w:tc>
        <w:tc>
          <w:tcPr>
            <w:tcW w:w="5983" w:type="dxa"/>
            <w:shd w:val="clear" w:color="auto" w:fill="auto"/>
          </w:tcPr>
          <w:p w14:paraId="0CACFC62" w14:textId="77777777" w:rsidR="00B1460B" w:rsidRPr="00F65C53" w:rsidRDefault="00590593" w:rsidP="00624853">
            <w:pPr>
              <w:cnfStyle w:val="000000000000" w:firstRow="0" w:lastRow="0" w:firstColumn="0" w:lastColumn="0" w:oddVBand="0" w:evenVBand="0" w:oddHBand="0" w:evenHBand="0" w:firstRowFirstColumn="0" w:firstRowLastColumn="0" w:lastRowFirstColumn="0" w:lastRowLastColumn="0"/>
            </w:pPr>
            <w:r w:rsidRPr="000D3AB5">
              <w:t>Attorney-General’s Department</w:t>
            </w:r>
          </w:p>
        </w:tc>
      </w:tr>
      <w:tr w:rsidR="0077121A" w:rsidRPr="007040EB" w14:paraId="36B5AD18" w14:textId="77777777" w:rsidTr="00FC52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3CBF5D8" w14:textId="77777777" w:rsidR="0077121A" w:rsidRPr="0004098F" w:rsidRDefault="0077121A" w:rsidP="0077121A">
            <w:pPr>
              <w:rPr>
                <w:color w:val="264F90"/>
              </w:rPr>
            </w:pPr>
            <w:r>
              <w:rPr>
                <w:color w:val="264F90"/>
              </w:rPr>
              <w:t>Administering e</w:t>
            </w:r>
            <w:r w:rsidRPr="0004098F">
              <w:rPr>
                <w:color w:val="264F90"/>
              </w:rPr>
              <w:t>ntit</w:t>
            </w:r>
            <w:r>
              <w:rPr>
                <w:color w:val="264F90"/>
              </w:rPr>
              <w:t>y</w:t>
            </w:r>
          </w:p>
        </w:tc>
        <w:tc>
          <w:tcPr>
            <w:tcW w:w="5983" w:type="dxa"/>
            <w:shd w:val="clear" w:color="auto" w:fill="auto"/>
          </w:tcPr>
          <w:p w14:paraId="32A31DA9" w14:textId="77777777" w:rsidR="0077121A" w:rsidRDefault="006F64A3" w:rsidP="0077121A">
            <w:pPr>
              <w:cnfStyle w:val="000000100000" w:firstRow="0" w:lastRow="0" w:firstColumn="0" w:lastColumn="0" w:oddVBand="0" w:evenVBand="0" w:oddHBand="1" w:evenHBand="0" w:firstRowFirstColumn="0" w:firstRowLastColumn="0" w:lastRowFirstColumn="0" w:lastRowLastColumn="0"/>
            </w:pPr>
            <w:r>
              <w:t>Community Grants Hub</w:t>
            </w:r>
          </w:p>
        </w:tc>
      </w:tr>
      <w:tr w:rsidR="0077121A" w:rsidRPr="007040EB" w14:paraId="653D1313" w14:textId="77777777" w:rsidTr="0059059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2BE3D3E" w14:textId="77777777" w:rsidR="0077121A" w:rsidRPr="0004098F" w:rsidRDefault="0077121A" w:rsidP="0077121A">
            <w:pPr>
              <w:rPr>
                <w:color w:val="264F90"/>
              </w:rPr>
            </w:pPr>
            <w:r w:rsidRPr="0004098F">
              <w:rPr>
                <w:color w:val="264F90"/>
              </w:rPr>
              <w:t>Enquiries:</w:t>
            </w:r>
          </w:p>
        </w:tc>
        <w:tc>
          <w:tcPr>
            <w:tcW w:w="5983" w:type="dxa"/>
            <w:shd w:val="clear" w:color="auto" w:fill="auto"/>
          </w:tcPr>
          <w:p w14:paraId="07407753" w14:textId="77777777" w:rsidR="006F64A3" w:rsidRDefault="0077121A" w:rsidP="0077121A">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4F2E721C"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Community Grants Hub</w:t>
            </w:r>
          </w:p>
          <w:p w14:paraId="43DC7689" w14:textId="77777777" w:rsidR="006F64A3" w:rsidRDefault="006F64A3" w:rsidP="0077121A">
            <w:pPr>
              <w:cnfStyle w:val="000000000000" w:firstRow="0" w:lastRow="0" w:firstColumn="0" w:lastColumn="0" w:oddVBand="0" w:evenVBand="0" w:oddHBand="0" w:evenHBand="0" w:firstRowFirstColumn="0" w:firstRowLastColumn="0" w:lastRowFirstColumn="0" w:lastRowLastColumn="0"/>
            </w:pPr>
            <w:r>
              <w:t>Phone: 1800 020 283</w:t>
            </w:r>
          </w:p>
          <w:p w14:paraId="7BBC41DA" w14:textId="77777777" w:rsidR="0077121A" w:rsidRPr="00F65C53" w:rsidRDefault="006F64A3" w:rsidP="0077121A">
            <w:pPr>
              <w:cnfStyle w:val="000000000000" w:firstRow="0" w:lastRow="0" w:firstColumn="0" w:lastColumn="0" w:oddVBand="0" w:evenVBand="0" w:oddHBand="0" w:evenHBand="0" w:firstRowFirstColumn="0" w:firstRowLastColumn="0" w:lastRowFirstColumn="0" w:lastRowLastColumn="0"/>
            </w:pPr>
            <w:r>
              <w:t xml:space="preserve">Email: </w:t>
            </w:r>
            <w:hyperlink r:id="rId12" w:history="1">
              <w:r w:rsidRPr="00D13426">
                <w:rPr>
                  <w:rStyle w:val="Hyperlink"/>
                </w:rPr>
                <w:t>support@communitygrants.gov.au</w:t>
              </w:r>
            </w:hyperlink>
          </w:p>
          <w:p w14:paraId="00375178" w14:textId="77777777" w:rsidR="0077121A" w:rsidRPr="00F65C53" w:rsidRDefault="0077121A" w:rsidP="00EF3D9D">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rsidR="00DC4010">
              <w:t xml:space="preserve"> 5.00PM </w:t>
            </w:r>
            <w:r w:rsidR="00DC4010" w:rsidRPr="000D3AB5">
              <w:t>AEST o</w:t>
            </w:r>
            <w:r w:rsidR="00DC4010">
              <w:t>n</w:t>
            </w:r>
            <w:r w:rsidR="00590593">
              <w:br/>
            </w:r>
            <w:r w:rsidR="00EF3D9D" w:rsidRPr="00EF3D9D">
              <w:t>5 August</w:t>
            </w:r>
            <w:r w:rsidRPr="00EF3D9D">
              <w:t xml:space="preserve"> </w:t>
            </w:r>
            <w:r w:rsidR="00D54ABE" w:rsidRPr="00EF3D9D">
              <w:t>2019</w:t>
            </w:r>
          </w:p>
        </w:tc>
      </w:tr>
      <w:tr w:rsidR="0077121A" w:rsidRPr="007040EB" w14:paraId="7F8526DC" w14:textId="77777777" w:rsidTr="00590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311BFBB" w14:textId="77777777" w:rsidR="0077121A" w:rsidRPr="0004098F" w:rsidRDefault="0077121A" w:rsidP="0077121A">
            <w:pPr>
              <w:rPr>
                <w:color w:val="264F90"/>
              </w:rPr>
            </w:pPr>
            <w:r w:rsidRPr="0004098F">
              <w:rPr>
                <w:color w:val="264F90"/>
              </w:rPr>
              <w:t>Date guidelines released:</w:t>
            </w:r>
          </w:p>
        </w:tc>
        <w:tc>
          <w:tcPr>
            <w:tcW w:w="5983" w:type="dxa"/>
            <w:shd w:val="clear" w:color="auto" w:fill="auto"/>
          </w:tcPr>
          <w:p w14:paraId="0AF54C84" w14:textId="77777777" w:rsidR="0077121A" w:rsidRPr="00F65C53" w:rsidRDefault="00EF3D9D" w:rsidP="00EF3D9D">
            <w:pPr>
              <w:cnfStyle w:val="000000100000" w:firstRow="0" w:lastRow="0" w:firstColumn="0" w:lastColumn="0" w:oddVBand="0" w:evenVBand="0" w:oddHBand="1" w:evenHBand="0" w:firstRowFirstColumn="0" w:firstRowLastColumn="0" w:lastRowFirstColumn="0" w:lastRowLastColumn="0"/>
            </w:pPr>
            <w:r>
              <w:t>30</w:t>
            </w:r>
            <w:r w:rsidR="00D54ABE" w:rsidRPr="00EF3D9D">
              <w:t xml:space="preserve"> July 2019</w:t>
            </w:r>
          </w:p>
        </w:tc>
      </w:tr>
      <w:tr w:rsidR="0077121A" w14:paraId="6D272A84" w14:textId="77777777" w:rsidTr="00590593">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3230CDFE" w14:textId="77777777" w:rsidR="0077121A" w:rsidRPr="0004098F" w:rsidRDefault="0077121A" w:rsidP="0077121A">
            <w:pPr>
              <w:rPr>
                <w:color w:val="264F90"/>
              </w:rPr>
            </w:pPr>
            <w:r w:rsidRPr="0004098F">
              <w:rPr>
                <w:color w:val="264F90"/>
              </w:rPr>
              <w:t>Type of grant opportunity:</w:t>
            </w:r>
          </w:p>
        </w:tc>
        <w:tc>
          <w:tcPr>
            <w:tcW w:w="5983" w:type="dxa"/>
            <w:shd w:val="clear" w:color="auto" w:fill="auto"/>
          </w:tcPr>
          <w:p w14:paraId="155B5DB8" w14:textId="77777777" w:rsidR="0077121A" w:rsidRPr="00F65C53" w:rsidRDefault="00FC527F" w:rsidP="00631AB6">
            <w:pPr>
              <w:cnfStyle w:val="000000000000" w:firstRow="0" w:lastRow="0" w:firstColumn="0" w:lastColumn="0" w:oddVBand="0" w:evenVBand="0" w:oddHBand="0" w:evenHBand="0" w:firstRowFirstColumn="0" w:firstRowLastColumn="0" w:lastRowFirstColumn="0" w:lastRowLastColumn="0"/>
            </w:pPr>
            <w:r>
              <w:t xml:space="preserve">Targeted </w:t>
            </w:r>
            <w:r w:rsidR="00590593">
              <w:t>Competitive</w:t>
            </w:r>
          </w:p>
        </w:tc>
      </w:tr>
    </w:tbl>
    <w:p w14:paraId="1296FF85" w14:textId="77777777" w:rsidR="00FC5223" w:rsidRDefault="00FC5223" w:rsidP="00077C3D"/>
    <w:p w14:paraId="45D544A4" w14:textId="77777777" w:rsidR="00FC5223" w:rsidRDefault="00FC5223">
      <w:pPr>
        <w:spacing w:before="0" w:after="0" w:line="240" w:lineRule="auto"/>
      </w:pPr>
      <w:r>
        <w:br w:type="page"/>
      </w:r>
    </w:p>
    <w:p w14:paraId="21B731AE" w14:textId="77777777" w:rsidR="00227D98" w:rsidRDefault="00E31F9B" w:rsidP="006B54AC">
      <w:pPr>
        <w:pStyle w:val="TOCHeading"/>
      </w:pPr>
      <w:r>
        <w:lastRenderedPageBreak/>
        <w:t>Contents</w:t>
      </w:r>
    </w:p>
    <w:p w14:paraId="0BF99B7C" w14:textId="47FD1032" w:rsidR="00D14E92" w:rsidRDefault="004A238A">
      <w:pPr>
        <w:pStyle w:val="TOC3"/>
        <w:rPr>
          <w:rFonts w:asciiTheme="minorHAnsi" w:eastAsiaTheme="minorEastAsia" w:hAnsiTheme="minorHAnsi" w:cstheme="minorBidi"/>
          <w:noProof/>
          <w:sz w:val="22"/>
          <w:lang w:val="en-AU" w:eastAsia="en-AU"/>
        </w:rPr>
      </w:pPr>
      <w:r>
        <w:rPr>
          <w:szCs w:val="28"/>
        </w:rPr>
        <w:fldChar w:fldCharType="begin"/>
      </w:r>
      <w:r>
        <w:rPr>
          <w:szCs w:val="28"/>
        </w:rPr>
        <w:instrText xml:space="preserve"> TOC \o "2-9" </w:instrText>
      </w:r>
      <w:r>
        <w:rPr>
          <w:szCs w:val="28"/>
        </w:rPr>
        <w:fldChar w:fldCharType="separate"/>
      </w:r>
      <w:r w:rsidR="00D14E92">
        <w:rPr>
          <w:noProof/>
        </w:rPr>
        <w:t>1.1</w:t>
      </w:r>
      <w:r w:rsidR="00D14E92">
        <w:rPr>
          <w:rFonts w:asciiTheme="minorHAnsi" w:eastAsiaTheme="minorEastAsia" w:hAnsiTheme="minorHAnsi" w:cstheme="minorBidi"/>
          <w:noProof/>
          <w:sz w:val="22"/>
          <w:lang w:val="en-AU" w:eastAsia="en-AU"/>
        </w:rPr>
        <w:tab/>
      </w:r>
      <w:r w:rsidR="00D14E92">
        <w:rPr>
          <w:noProof/>
        </w:rPr>
        <w:t>Introduction</w:t>
      </w:r>
      <w:r w:rsidR="00D14E92">
        <w:rPr>
          <w:noProof/>
        </w:rPr>
        <w:tab/>
      </w:r>
      <w:r w:rsidR="00D14E92">
        <w:rPr>
          <w:noProof/>
        </w:rPr>
        <w:fldChar w:fldCharType="begin"/>
      </w:r>
      <w:r w:rsidR="00D14E92">
        <w:rPr>
          <w:noProof/>
        </w:rPr>
        <w:instrText xml:space="preserve"> PAGEREF _Toc15025934 \h </w:instrText>
      </w:r>
      <w:r w:rsidR="00D14E92">
        <w:rPr>
          <w:noProof/>
        </w:rPr>
      </w:r>
      <w:r w:rsidR="00D14E92">
        <w:rPr>
          <w:noProof/>
        </w:rPr>
        <w:fldChar w:fldCharType="separate"/>
      </w:r>
      <w:r w:rsidR="00CB4284">
        <w:rPr>
          <w:noProof/>
        </w:rPr>
        <w:t>5</w:t>
      </w:r>
      <w:r w:rsidR="00D14E92">
        <w:rPr>
          <w:noProof/>
        </w:rPr>
        <w:fldChar w:fldCharType="end"/>
      </w:r>
    </w:p>
    <w:p w14:paraId="01CE8B2A" w14:textId="4310885E" w:rsidR="00D14E92" w:rsidRDefault="00D14E92">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_Toc15025935 \h </w:instrText>
      </w:r>
      <w:r>
        <w:rPr>
          <w:noProof/>
        </w:rPr>
      </w:r>
      <w:r>
        <w:rPr>
          <w:noProof/>
        </w:rPr>
        <w:fldChar w:fldCharType="separate"/>
      </w:r>
      <w:r w:rsidR="00CB4284">
        <w:rPr>
          <w:noProof/>
        </w:rPr>
        <w:t>5</w:t>
      </w:r>
      <w:r>
        <w:rPr>
          <w:noProof/>
        </w:rPr>
        <w:fldChar w:fldCharType="end"/>
      </w:r>
    </w:p>
    <w:p w14:paraId="6BBD76B0" w14:textId="49BE20BA" w:rsidR="00D14E92" w:rsidRDefault="00D14E92">
      <w:pPr>
        <w:pStyle w:val="TOC3"/>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the Legal advisory services grant opportunity</w:t>
      </w:r>
      <w:r>
        <w:rPr>
          <w:noProof/>
        </w:rPr>
        <w:tab/>
      </w:r>
      <w:r>
        <w:rPr>
          <w:noProof/>
        </w:rPr>
        <w:fldChar w:fldCharType="begin"/>
      </w:r>
      <w:r>
        <w:rPr>
          <w:noProof/>
        </w:rPr>
        <w:instrText xml:space="preserve"> PAGEREF _Toc15025936 \h </w:instrText>
      </w:r>
      <w:r>
        <w:rPr>
          <w:noProof/>
        </w:rPr>
      </w:r>
      <w:r>
        <w:rPr>
          <w:noProof/>
        </w:rPr>
        <w:fldChar w:fldCharType="separate"/>
      </w:r>
      <w:r w:rsidR="00CB4284">
        <w:rPr>
          <w:noProof/>
        </w:rPr>
        <w:t>5</w:t>
      </w:r>
      <w:r>
        <w:rPr>
          <w:noProof/>
        </w:rPr>
        <w:fldChar w:fldCharType="end"/>
      </w:r>
    </w:p>
    <w:p w14:paraId="5E7F3320" w14:textId="27536DAE" w:rsidR="00D14E92" w:rsidRDefault="00D14E92">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_Toc15025937 \h </w:instrText>
      </w:r>
      <w:r>
        <w:rPr>
          <w:noProof/>
        </w:rPr>
      </w:r>
      <w:r>
        <w:rPr>
          <w:noProof/>
        </w:rPr>
        <w:fldChar w:fldCharType="separate"/>
      </w:r>
      <w:r w:rsidR="00CB4284">
        <w:rPr>
          <w:noProof/>
        </w:rPr>
        <w:t>6</w:t>
      </w:r>
      <w:r>
        <w:rPr>
          <w:noProof/>
        </w:rPr>
        <w:fldChar w:fldCharType="end"/>
      </w:r>
    </w:p>
    <w:p w14:paraId="50D946D7" w14:textId="0A6BB19F" w:rsidR="00D14E92" w:rsidRDefault="00D14E92">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_Toc15025938 \h </w:instrText>
      </w:r>
      <w:r>
        <w:rPr>
          <w:noProof/>
        </w:rPr>
      </w:r>
      <w:r>
        <w:rPr>
          <w:noProof/>
        </w:rPr>
        <w:fldChar w:fldCharType="separate"/>
      </w:r>
      <w:r w:rsidR="00CB4284">
        <w:rPr>
          <w:noProof/>
        </w:rPr>
        <w:t>6</w:t>
      </w:r>
      <w:r>
        <w:rPr>
          <w:noProof/>
        </w:rPr>
        <w:fldChar w:fldCharType="end"/>
      </w:r>
    </w:p>
    <w:p w14:paraId="3A7F7561" w14:textId="2499E313" w:rsidR="00D14E92" w:rsidRDefault="00D14E92">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_Toc15025939 \h </w:instrText>
      </w:r>
      <w:r>
        <w:rPr>
          <w:noProof/>
        </w:rPr>
      </w:r>
      <w:r>
        <w:rPr>
          <w:noProof/>
        </w:rPr>
        <w:fldChar w:fldCharType="separate"/>
      </w:r>
      <w:r w:rsidR="00CB4284">
        <w:rPr>
          <w:noProof/>
        </w:rPr>
        <w:t>7</w:t>
      </w:r>
      <w:r>
        <w:rPr>
          <w:noProof/>
        </w:rPr>
        <w:fldChar w:fldCharType="end"/>
      </w:r>
    </w:p>
    <w:p w14:paraId="46C6EAD2" w14:textId="756C2C7A" w:rsidR="00D14E92" w:rsidRDefault="00D14E92">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_Toc15025940 \h </w:instrText>
      </w:r>
      <w:r>
        <w:rPr>
          <w:noProof/>
        </w:rPr>
      </w:r>
      <w:r>
        <w:rPr>
          <w:noProof/>
        </w:rPr>
        <w:fldChar w:fldCharType="separate"/>
      </w:r>
      <w:r w:rsidR="00CB4284">
        <w:rPr>
          <w:noProof/>
        </w:rPr>
        <w:t>7</w:t>
      </w:r>
      <w:r>
        <w:rPr>
          <w:noProof/>
        </w:rPr>
        <w:fldChar w:fldCharType="end"/>
      </w:r>
    </w:p>
    <w:p w14:paraId="582B594C" w14:textId="79963D15" w:rsidR="00D14E92" w:rsidRDefault="00D14E92">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_Toc15025941 \h </w:instrText>
      </w:r>
      <w:r>
        <w:rPr>
          <w:noProof/>
        </w:rPr>
      </w:r>
      <w:r>
        <w:rPr>
          <w:noProof/>
        </w:rPr>
        <w:fldChar w:fldCharType="separate"/>
      </w:r>
      <w:r w:rsidR="00CB4284">
        <w:rPr>
          <w:noProof/>
        </w:rPr>
        <w:t>7</w:t>
      </w:r>
      <w:r>
        <w:rPr>
          <w:noProof/>
        </w:rPr>
        <w:fldChar w:fldCharType="end"/>
      </w:r>
    </w:p>
    <w:p w14:paraId="120D9EBD" w14:textId="3A4AB5EB" w:rsidR="00D14E92" w:rsidRDefault="00D14E92">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_Toc15025942 \h </w:instrText>
      </w:r>
      <w:r>
        <w:rPr>
          <w:noProof/>
        </w:rPr>
      </w:r>
      <w:r>
        <w:rPr>
          <w:noProof/>
        </w:rPr>
        <w:fldChar w:fldCharType="separate"/>
      </w:r>
      <w:r w:rsidR="00CB4284">
        <w:rPr>
          <w:noProof/>
        </w:rPr>
        <w:t>8</w:t>
      </w:r>
      <w:r>
        <w:rPr>
          <w:noProof/>
        </w:rPr>
        <w:fldChar w:fldCharType="end"/>
      </w:r>
    </w:p>
    <w:p w14:paraId="2F8F823E" w14:textId="13186D49" w:rsidR="00D14E92" w:rsidRDefault="00D14E92">
      <w:pPr>
        <w:pStyle w:val="TOC3"/>
        <w:rPr>
          <w:rFonts w:asciiTheme="minorHAnsi" w:eastAsiaTheme="minorEastAsia" w:hAnsiTheme="minorHAnsi" w:cstheme="minorBidi"/>
          <w:noProof/>
          <w:sz w:val="22"/>
          <w:lang w:val="en-AU" w:eastAsia="en-AU"/>
        </w:rPr>
      </w:pPr>
      <w:r>
        <w:rPr>
          <w:noProof/>
        </w:rPr>
        <w:t>4.3</w:t>
      </w:r>
      <w:r>
        <w:rPr>
          <w:rFonts w:asciiTheme="minorHAnsi" w:eastAsiaTheme="minorEastAsia" w:hAnsiTheme="minorHAnsi" w:cstheme="minorBidi"/>
          <w:noProof/>
          <w:sz w:val="22"/>
          <w:lang w:val="en-AU" w:eastAsia="en-AU"/>
        </w:rPr>
        <w:tab/>
      </w:r>
      <w:r>
        <w:rPr>
          <w:noProof/>
        </w:rPr>
        <w:t>What qualifications, skills or checks are required?</w:t>
      </w:r>
      <w:r>
        <w:rPr>
          <w:noProof/>
        </w:rPr>
        <w:tab/>
      </w:r>
      <w:r>
        <w:rPr>
          <w:noProof/>
        </w:rPr>
        <w:fldChar w:fldCharType="begin"/>
      </w:r>
      <w:r>
        <w:rPr>
          <w:noProof/>
        </w:rPr>
        <w:instrText xml:space="preserve"> PAGEREF _Toc15025943 \h </w:instrText>
      </w:r>
      <w:r>
        <w:rPr>
          <w:noProof/>
        </w:rPr>
      </w:r>
      <w:r>
        <w:rPr>
          <w:noProof/>
        </w:rPr>
        <w:fldChar w:fldCharType="separate"/>
      </w:r>
      <w:r w:rsidR="00CB4284">
        <w:rPr>
          <w:noProof/>
        </w:rPr>
        <w:t>8</w:t>
      </w:r>
      <w:r>
        <w:rPr>
          <w:noProof/>
        </w:rPr>
        <w:fldChar w:fldCharType="end"/>
      </w:r>
    </w:p>
    <w:p w14:paraId="2F84463D" w14:textId="51F78DE6" w:rsidR="00D14E92" w:rsidRDefault="00D14E92">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_Toc15025944 \h </w:instrText>
      </w:r>
      <w:r>
        <w:rPr>
          <w:noProof/>
        </w:rPr>
      </w:r>
      <w:r>
        <w:rPr>
          <w:noProof/>
        </w:rPr>
        <w:fldChar w:fldCharType="separate"/>
      </w:r>
      <w:r w:rsidR="00CB4284">
        <w:rPr>
          <w:noProof/>
        </w:rPr>
        <w:t>8</w:t>
      </w:r>
      <w:r>
        <w:rPr>
          <w:noProof/>
        </w:rPr>
        <w:fldChar w:fldCharType="end"/>
      </w:r>
    </w:p>
    <w:p w14:paraId="0087511B" w14:textId="5344B0CD" w:rsidR="00D14E92" w:rsidRDefault="00D14E92">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_Toc15025945 \h </w:instrText>
      </w:r>
      <w:r>
        <w:rPr>
          <w:noProof/>
        </w:rPr>
      </w:r>
      <w:r>
        <w:rPr>
          <w:noProof/>
        </w:rPr>
        <w:fldChar w:fldCharType="separate"/>
      </w:r>
      <w:r w:rsidR="00CB4284">
        <w:rPr>
          <w:noProof/>
        </w:rPr>
        <w:t>8</w:t>
      </w:r>
      <w:r>
        <w:rPr>
          <w:noProof/>
        </w:rPr>
        <w:fldChar w:fldCharType="end"/>
      </w:r>
    </w:p>
    <w:p w14:paraId="623F1C19" w14:textId="5A96504A" w:rsidR="00D14E92" w:rsidRDefault="00D14E92">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_Toc15025946 \h </w:instrText>
      </w:r>
      <w:r>
        <w:rPr>
          <w:noProof/>
        </w:rPr>
      </w:r>
      <w:r>
        <w:rPr>
          <w:noProof/>
        </w:rPr>
        <w:fldChar w:fldCharType="separate"/>
      </w:r>
      <w:r w:rsidR="00CB4284">
        <w:rPr>
          <w:noProof/>
        </w:rPr>
        <w:t>9</w:t>
      </w:r>
      <w:r>
        <w:rPr>
          <w:noProof/>
        </w:rPr>
        <w:fldChar w:fldCharType="end"/>
      </w:r>
    </w:p>
    <w:p w14:paraId="2A25DA21" w14:textId="4D807D7C" w:rsidR="00D14E92" w:rsidRDefault="00D14E92">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_Toc15025947 \h </w:instrText>
      </w:r>
      <w:r>
        <w:rPr>
          <w:noProof/>
        </w:rPr>
      </w:r>
      <w:r>
        <w:rPr>
          <w:noProof/>
        </w:rPr>
        <w:fldChar w:fldCharType="separate"/>
      </w:r>
      <w:r w:rsidR="00CB4284">
        <w:rPr>
          <w:noProof/>
        </w:rPr>
        <w:t>9</w:t>
      </w:r>
      <w:r>
        <w:rPr>
          <w:noProof/>
        </w:rPr>
        <w:fldChar w:fldCharType="end"/>
      </w:r>
    </w:p>
    <w:p w14:paraId="092DEA46" w14:textId="1AB9BE63" w:rsidR="00D14E92" w:rsidRDefault="00D14E92">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_Toc15025948 \h </w:instrText>
      </w:r>
      <w:r>
        <w:rPr>
          <w:noProof/>
        </w:rPr>
      </w:r>
      <w:r>
        <w:rPr>
          <w:noProof/>
        </w:rPr>
        <w:fldChar w:fldCharType="separate"/>
      </w:r>
      <w:r w:rsidR="00CB4284">
        <w:rPr>
          <w:noProof/>
        </w:rPr>
        <w:t>10</w:t>
      </w:r>
      <w:r>
        <w:rPr>
          <w:noProof/>
        </w:rPr>
        <w:fldChar w:fldCharType="end"/>
      </w:r>
    </w:p>
    <w:p w14:paraId="41814171" w14:textId="6BEF386F" w:rsidR="00D14E92" w:rsidRDefault="00D14E92">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_Toc15025949 \h </w:instrText>
      </w:r>
      <w:r>
        <w:rPr>
          <w:noProof/>
        </w:rPr>
      </w:r>
      <w:r>
        <w:rPr>
          <w:noProof/>
        </w:rPr>
        <w:fldChar w:fldCharType="separate"/>
      </w:r>
      <w:r w:rsidR="00CB4284">
        <w:rPr>
          <w:noProof/>
        </w:rPr>
        <w:t>10</w:t>
      </w:r>
      <w:r>
        <w:rPr>
          <w:noProof/>
        </w:rPr>
        <w:fldChar w:fldCharType="end"/>
      </w:r>
    </w:p>
    <w:p w14:paraId="16B866DE" w14:textId="7A366B96" w:rsidR="00D14E92" w:rsidRDefault="00D14E92">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_Toc15025950 \h </w:instrText>
      </w:r>
      <w:r>
        <w:rPr>
          <w:noProof/>
        </w:rPr>
      </w:r>
      <w:r>
        <w:rPr>
          <w:noProof/>
        </w:rPr>
        <w:fldChar w:fldCharType="separate"/>
      </w:r>
      <w:r w:rsidR="00CB4284">
        <w:rPr>
          <w:noProof/>
        </w:rPr>
        <w:t>11</w:t>
      </w:r>
      <w:r>
        <w:rPr>
          <w:noProof/>
        </w:rPr>
        <w:fldChar w:fldCharType="end"/>
      </w:r>
    </w:p>
    <w:p w14:paraId="3B4F0BD2" w14:textId="3363E207" w:rsidR="00D14E92" w:rsidRDefault="00D14E92">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_Toc15025951 \h </w:instrText>
      </w:r>
      <w:r>
        <w:rPr>
          <w:noProof/>
        </w:rPr>
      </w:r>
      <w:r>
        <w:rPr>
          <w:noProof/>
        </w:rPr>
        <w:fldChar w:fldCharType="separate"/>
      </w:r>
      <w:r w:rsidR="00CB4284">
        <w:rPr>
          <w:noProof/>
        </w:rPr>
        <w:t>12</w:t>
      </w:r>
      <w:r>
        <w:rPr>
          <w:noProof/>
        </w:rPr>
        <w:fldChar w:fldCharType="end"/>
      </w:r>
    </w:p>
    <w:p w14:paraId="62854177" w14:textId="33B52B3C" w:rsidR="00D14E92" w:rsidRDefault="00D14E92">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_Toc15025952 \h </w:instrText>
      </w:r>
      <w:r>
        <w:rPr>
          <w:noProof/>
        </w:rPr>
      </w:r>
      <w:r>
        <w:rPr>
          <w:noProof/>
        </w:rPr>
        <w:fldChar w:fldCharType="separate"/>
      </w:r>
      <w:r w:rsidR="00CB4284">
        <w:rPr>
          <w:noProof/>
        </w:rPr>
        <w:t>12</w:t>
      </w:r>
      <w:r>
        <w:rPr>
          <w:noProof/>
        </w:rPr>
        <w:fldChar w:fldCharType="end"/>
      </w:r>
    </w:p>
    <w:p w14:paraId="2D2D6BB1" w14:textId="1ABAADE7" w:rsidR="00D14E92" w:rsidRDefault="00D14E92">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_Toc15025953 \h </w:instrText>
      </w:r>
      <w:r>
        <w:rPr>
          <w:noProof/>
        </w:rPr>
      </w:r>
      <w:r>
        <w:rPr>
          <w:noProof/>
        </w:rPr>
        <w:fldChar w:fldCharType="separate"/>
      </w:r>
      <w:r w:rsidR="00CB4284">
        <w:rPr>
          <w:noProof/>
        </w:rPr>
        <w:t>12</w:t>
      </w:r>
      <w:r>
        <w:rPr>
          <w:noProof/>
        </w:rPr>
        <w:fldChar w:fldCharType="end"/>
      </w:r>
    </w:p>
    <w:p w14:paraId="428929A3" w14:textId="66A527EF" w:rsidR="00D14E92" w:rsidRDefault="00D14E92">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_Toc15025954 \h </w:instrText>
      </w:r>
      <w:r>
        <w:rPr>
          <w:noProof/>
        </w:rPr>
      </w:r>
      <w:r>
        <w:rPr>
          <w:noProof/>
        </w:rPr>
        <w:fldChar w:fldCharType="separate"/>
      </w:r>
      <w:r w:rsidR="00CB4284">
        <w:rPr>
          <w:noProof/>
        </w:rPr>
        <w:t>14</w:t>
      </w:r>
      <w:r>
        <w:rPr>
          <w:noProof/>
        </w:rPr>
        <w:fldChar w:fldCharType="end"/>
      </w:r>
    </w:p>
    <w:p w14:paraId="230F1EDE" w14:textId="55F6705D" w:rsidR="00D14E92" w:rsidRDefault="00D14E92">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_Toc15025955 \h </w:instrText>
      </w:r>
      <w:r>
        <w:rPr>
          <w:noProof/>
        </w:rPr>
      </w:r>
      <w:r>
        <w:rPr>
          <w:noProof/>
        </w:rPr>
        <w:fldChar w:fldCharType="separate"/>
      </w:r>
      <w:r w:rsidR="00CB4284">
        <w:rPr>
          <w:noProof/>
        </w:rPr>
        <w:t>14</w:t>
      </w:r>
      <w:r>
        <w:rPr>
          <w:noProof/>
        </w:rPr>
        <w:fldChar w:fldCharType="end"/>
      </w:r>
    </w:p>
    <w:p w14:paraId="161FFD86" w14:textId="70C933EB" w:rsidR="00D14E92" w:rsidRDefault="00D14E92">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_Toc15025956 \h </w:instrText>
      </w:r>
      <w:r>
        <w:rPr>
          <w:noProof/>
        </w:rPr>
      </w:r>
      <w:r>
        <w:rPr>
          <w:noProof/>
        </w:rPr>
        <w:fldChar w:fldCharType="separate"/>
      </w:r>
      <w:r w:rsidR="00CB4284">
        <w:rPr>
          <w:noProof/>
        </w:rPr>
        <w:t>14</w:t>
      </w:r>
      <w:r>
        <w:rPr>
          <w:noProof/>
        </w:rPr>
        <w:fldChar w:fldCharType="end"/>
      </w:r>
    </w:p>
    <w:p w14:paraId="644DAD1B" w14:textId="47CA5216" w:rsidR="00D14E92" w:rsidRDefault="00D14E92">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Financial viability</w:t>
      </w:r>
      <w:r>
        <w:rPr>
          <w:noProof/>
        </w:rPr>
        <w:tab/>
      </w:r>
      <w:r>
        <w:rPr>
          <w:noProof/>
        </w:rPr>
        <w:fldChar w:fldCharType="begin"/>
      </w:r>
      <w:r>
        <w:rPr>
          <w:noProof/>
        </w:rPr>
        <w:instrText xml:space="preserve"> PAGEREF _Toc15025957 \h </w:instrText>
      </w:r>
      <w:r>
        <w:rPr>
          <w:noProof/>
        </w:rPr>
      </w:r>
      <w:r>
        <w:rPr>
          <w:noProof/>
        </w:rPr>
        <w:fldChar w:fldCharType="separate"/>
      </w:r>
      <w:r w:rsidR="00CB4284">
        <w:rPr>
          <w:noProof/>
        </w:rPr>
        <w:t>14</w:t>
      </w:r>
      <w:r>
        <w:rPr>
          <w:noProof/>
        </w:rPr>
        <w:fldChar w:fldCharType="end"/>
      </w:r>
    </w:p>
    <w:p w14:paraId="12F6E431" w14:textId="3EAA9E89" w:rsidR="00D14E92" w:rsidRDefault="00D14E92">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_Toc15025958 \h </w:instrText>
      </w:r>
      <w:r>
        <w:rPr>
          <w:noProof/>
        </w:rPr>
      </w:r>
      <w:r>
        <w:rPr>
          <w:noProof/>
        </w:rPr>
        <w:fldChar w:fldCharType="separate"/>
      </w:r>
      <w:r w:rsidR="00CB4284">
        <w:rPr>
          <w:noProof/>
        </w:rPr>
        <w:t>15</w:t>
      </w:r>
      <w:r>
        <w:rPr>
          <w:noProof/>
        </w:rPr>
        <w:fldChar w:fldCharType="end"/>
      </w:r>
    </w:p>
    <w:p w14:paraId="249CD730" w14:textId="77633C0C" w:rsidR="00D14E92" w:rsidRDefault="00D14E92">
      <w:pPr>
        <w:pStyle w:val="TOC3"/>
        <w:rPr>
          <w:rFonts w:asciiTheme="minorHAnsi" w:eastAsiaTheme="minorEastAsia" w:hAnsiTheme="minorHAnsi" w:cstheme="minorBidi"/>
          <w:noProof/>
          <w:sz w:val="22"/>
          <w:lang w:val="en-AU" w:eastAsia="en-AU"/>
        </w:rPr>
      </w:pPr>
      <w:r>
        <w:rPr>
          <w:noProof/>
        </w:rPr>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_Toc15025959 \h </w:instrText>
      </w:r>
      <w:r>
        <w:rPr>
          <w:noProof/>
        </w:rPr>
      </w:r>
      <w:r>
        <w:rPr>
          <w:noProof/>
        </w:rPr>
        <w:fldChar w:fldCharType="separate"/>
      </w:r>
      <w:r w:rsidR="00CB4284">
        <w:rPr>
          <w:noProof/>
        </w:rPr>
        <w:t>15</w:t>
      </w:r>
      <w:r>
        <w:rPr>
          <w:noProof/>
        </w:rPr>
        <w:fldChar w:fldCharType="end"/>
      </w:r>
    </w:p>
    <w:p w14:paraId="2FF8066F" w14:textId="658223BF" w:rsidR="00D14E92" w:rsidRDefault="00D14E92">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_Toc15025960 \h </w:instrText>
      </w:r>
      <w:r>
        <w:rPr>
          <w:noProof/>
        </w:rPr>
      </w:r>
      <w:r>
        <w:rPr>
          <w:noProof/>
        </w:rPr>
        <w:fldChar w:fldCharType="separate"/>
      </w:r>
      <w:r w:rsidR="00CB4284">
        <w:rPr>
          <w:noProof/>
        </w:rPr>
        <w:t>15</w:t>
      </w:r>
      <w:r>
        <w:rPr>
          <w:noProof/>
        </w:rPr>
        <w:fldChar w:fldCharType="end"/>
      </w:r>
    </w:p>
    <w:p w14:paraId="591B9A6D" w14:textId="0A485763" w:rsidR="00D14E92" w:rsidRDefault="00D14E92">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_Toc15025961 \h </w:instrText>
      </w:r>
      <w:r>
        <w:rPr>
          <w:noProof/>
        </w:rPr>
      </w:r>
      <w:r>
        <w:rPr>
          <w:noProof/>
        </w:rPr>
        <w:fldChar w:fldCharType="separate"/>
      </w:r>
      <w:r w:rsidR="00CB4284">
        <w:rPr>
          <w:noProof/>
        </w:rPr>
        <w:t>15</w:t>
      </w:r>
      <w:r>
        <w:rPr>
          <w:noProof/>
        </w:rPr>
        <w:fldChar w:fldCharType="end"/>
      </w:r>
    </w:p>
    <w:p w14:paraId="13003A17" w14:textId="6CA749CD" w:rsidR="00D14E92" w:rsidRDefault="00D14E92">
      <w:pPr>
        <w:pStyle w:val="TOC3"/>
        <w:rPr>
          <w:rFonts w:asciiTheme="minorHAnsi" w:eastAsiaTheme="minorEastAsia" w:hAnsiTheme="minorHAnsi" w:cstheme="minorBidi"/>
          <w:noProof/>
          <w:sz w:val="22"/>
          <w:lang w:val="en-AU" w:eastAsia="en-AU"/>
        </w:rPr>
      </w:pPr>
      <w:r>
        <w:rPr>
          <w:noProof/>
        </w:rPr>
        <w:t>9.2</w:t>
      </w:r>
      <w:r>
        <w:rPr>
          <w:rFonts w:asciiTheme="minorHAnsi" w:eastAsiaTheme="minorEastAsia" w:hAnsiTheme="minorHAnsi" w:cstheme="minorBidi"/>
          <w:noProof/>
          <w:sz w:val="22"/>
          <w:lang w:val="en-AU" w:eastAsia="en-AU"/>
        </w:rPr>
        <w:tab/>
      </w:r>
      <w:r>
        <w:rPr>
          <w:noProof/>
        </w:rPr>
        <w:t>Further grant opportunities</w:t>
      </w:r>
      <w:r>
        <w:rPr>
          <w:noProof/>
        </w:rPr>
        <w:tab/>
      </w:r>
      <w:r>
        <w:rPr>
          <w:noProof/>
        </w:rPr>
        <w:fldChar w:fldCharType="begin"/>
      </w:r>
      <w:r>
        <w:rPr>
          <w:noProof/>
        </w:rPr>
        <w:instrText xml:space="preserve"> PAGEREF _Toc15025962 \h </w:instrText>
      </w:r>
      <w:r>
        <w:rPr>
          <w:noProof/>
        </w:rPr>
      </w:r>
      <w:r>
        <w:rPr>
          <w:noProof/>
        </w:rPr>
        <w:fldChar w:fldCharType="separate"/>
      </w:r>
      <w:r w:rsidR="00CB4284">
        <w:rPr>
          <w:noProof/>
        </w:rPr>
        <w:t>15</w:t>
      </w:r>
      <w:r>
        <w:rPr>
          <w:noProof/>
        </w:rPr>
        <w:fldChar w:fldCharType="end"/>
      </w:r>
    </w:p>
    <w:p w14:paraId="0AC14CD1" w14:textId="3BB328E8" w:rsidR="00D14E92" w:rsidRDefault="00D14E92">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_Toc15025963 \h </w:instrText>
      </w:r>
      <w:r>
        <w:rPr>
          <w:noProof/>
        </w:rPr>
      </w:r>
      <w:r>
        <w:rPr>
          <w:noProof/>
        </w:rPr>
        <w:fldChar w:fldCharType="separate"/>
      </w:r>
      <w:r w:rsidR="00CB4284">
        <w:rPr>
          <w:noProof/>
        </w:rPr>
        <w:t>15</w:t>
      </w:r>
      <w:r>
        <w:rPr>
          <w:noProof/>
        </w:rPr>
        <w:fldChar w:fldCharType="end"/>
      </w:r>
    </w:p>
    <w:p w14:paraId="34AC93D7" w14:textId="08C7E7A7"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_Toc15025964 \h </w:instrText>
      </w:r>
      <w:r>
        <w:rPr>
          <w:noProof/>
        </w:rPr>
      </w:r>
      <w:r>
        <w:rPr>
          <w:noProof/>
        </w:rPr>
        <w:fldChar w:fldCharType="separate"/>
      </w:r>
      <w:r w:rsidR="00CB4284">
        <w:rPr>
          <w:noProof/>
        </w:rPr>
        <w:t>15</w:t>
      </w:r>
      <w:r>
        <w:rPr>
          <w:noProof/>
        </w:rPr>
        <w:fldChar w:fldCharType="end"/>
      </w:r>
    </w:p>
    <w:p w14:paraId="5BB0757F" w14:textId="66499DF2"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_Toc15025965 \h </w:instrText>
      </w:r>
      <w:r>
        <w:rPr>
          <w:noProof/>
        </w:rPr>
      </w:r>
      <w:r>
        <w:rPr>
          <w:noProof/>
        </w:rPr>
        <w:fldChar w:fldCharType="separate"/>
      </w:r>
      <w:r w:rsidR="00CB4284">
        <w:rPr>
          <w:noProof/>
        </w:rPr>
        <w:t>16</w:t>
      </w:r>
      <w:r>
        <w:rPr>
          <w:noProof/>
        </w:rPr>
        <w:fldChar w:fldCharType="end"/>
      </w:r>
    </w:p>
    <w:p w14:paraId="1B98738A" w14:textId="1540668B" w:rsidR="00D14E92" w:rsidRDefault="00D14E92">
      <w:pPr>
        <w:pStyle w:val="TOC4"/>
        <w:rPr>
          <w:rFonts w:asciiTheme="minorHAnsi" w:eastAsiaTheme="minorEastAsia" w:hAnsiTheme="minorHAnsi" w:cstheme="minorBidi"/>
          <w:sz w:val="22"/>
          <w:szCs w:val="22"/>
          <w:lang w:eastAsia="en-AU"/>
        </w:rPr>
      </w:pPr>
      <w:r>
        <w:t>10.2.1</w:t>
      </w:r>
      <w:r>
        <w:rPr>
          <w:rFonts w:asciiTheme="minorHAnsi" w:eastAsiaTheme="minorEastAsia" w:hAnsiTheme="minorHAnsi" w:cstheme="minorBidi"/>
          <w:sz w:val="22"/>
          <w:szCs w:val="22"/>
          <w:lang w:eastAsia="en-AU"/>
        </w:rPr>
        <w:tab/>
      </w:r>
      <w:r>
        <w:t>Commonwealth Child Safe Framework</w:t>
      </w:r>
      <w:r>
        <w:tab/>
      </w:r>
      <w:r>
        <w:fldChar w:fldCharType="begin"/>
      </w:r>
      <w:r>
        <w:instrText xml:space="preserve"> PAGEREF _Toc15025966 \h </w:instrText>
      </w:r>
      <w:r>
        <w:fldChar w:fldCharType="separate"/>
      </w:r>
      <w:r w:rsidR="00CB4284">
        <w:t>16</w:t>
      </w:r>
      <w:r>
        <w:fldChar w:fldCharType="end"/>
      </w:r>
    </w:p>
    <w:p w14:paraId="429525E9" w14:textId="4592FFC4" w:rsidR="00D14E92" w:rsidRDefault="00D14E92">
      <w:pPr>
        <w:pStyle w:val="TOC4"/>
        <w:rPr>
          <w:rFonts w:asciiTheme="minorHAnsi" w:eastAsiaTheme="minorEastAsia" w:hAnsiTheme="minorHAnsi" w:cstheme="minorBidi"/>
          <w:sz w:val="22"/>
          <w:szCs w:val="22"/>
          <w:lang w:eastAsia="en-AU"/>
        </w:rPr>
      </w:pPr>
      <w:r>
        <w:t>10.2.2</w:t>
      </w:r>
      <w:r>
        <w:rPr>
          <w:rFonts w:asciiTheme="minorHAnsi" w:eastAsiaTheme="minorEastAsia" w:hAnsiTheme="minorHAnsi" w:cstheme="minorBidi"/>
          <w:sz w:val="22"/>
          <w:szCs w:val="22"/>
          <w:lang w:eastAsia="en-AU"/>
        </w:rPr>
        <w:tab/>
      </w:r>
      <w:r>
        <w:t>The Closing the Gap Refresh Agenda and the Indigenous Grants Policy (IGP)</w:t>
      </w:r>
      <w:r>
        <w:tab/>
      </w:r>
      <w:r>
        <w:fldChar w:fldCharType="begin"/>
      </w:r>
      <w:r>
        <w:instrText xml:space="preserve"> PAGEREF _Toc15025967 \h </w:instrText>
      </w:r>
      <w:r>
        <w:fldChar w:fldCharType="separate"/>
      </w:r>
      <w:r w:rsidR="00CB4284">
        <w:t>17</w:t>
      </w:r>
      <w:r>
        <w:fldChar w:fldCharType="end"/>
      </w:r>
    </w:p>
    <w:p w14:paraId="6EDC3EFF" w14:textId="26A7D6BD" w:rsidR="00D14E92" w:rsidRDefault="00D14E92">
      <w:pPr>
        <w:pStyle w:val="TOC4"/>
        <w:rPr>
          <w:rFonts w:asciiTheme="minorHAnsi" w:eastAsiaTheme="minorEastAsia" w:hAnsiTheme="minorHAnsi" w:cstheme="minorBidi"/>
          <w:sz w:val="22"/>
          <w:szCs w:val="22"/>
          <w:lang w:eastAsia="en-AU"/>
        </w:rPr>
      </w:pPr>
      <w:r>
        <w:t>10.2.3</w:t>
      </w:r>
      <w:r>
        <w:rPr>
          <w:rFonts w:asciiTheme="minorHAnsi" w:eastAsiaTheme="minorEastAsia" w:hAnsiTheme="minorHAnsi" w:cstheme="minorBidi"/>
          <w:sz w:val="22"/>
          <w:szCs w:val="22"/>
          <w:lang w:eastAsia="en-AU"/>
        </w:rPr>
        <w:tab/>
      </w:r>
      <w:r>
        <w:t>Legal practitioner legislation, rules and code of conduct</w:t>
      </w:r>
      <w:r>
        <w:tab/>
      </w:r>
      <w:r>
        <w:fldChar w:fldCharType="begin"/>
      </w:r>
      <w:r>
        <w:instrText xml:space="preserve"> PAGEREF _Toc15025968 \h </w:instrText>
      </w:r>
      <w:r>
        <w:fldChar w:fldCharType="separate"/>
      </w:r>
      <w:r w:rsidR="00CB4284">
        <w:t>17</w:t>
      </w:r>
      <w:r>
        <w:fldChar w:fldCharType="end"/>
      </w:r>
    </w:p>
    <w:p w14:paraId="1269B74C" w14:textId="7E0C7417" w:rsidR="00D14E92" w:rsidRDefault="00D14E92">
      <w:pPr>
        <w:pStyle w:val="TOC4"/>
        <w:rPr>
          <w:rFonts w:asciiTheme="minorHAnsi" w:eastAsiaTheme="minorEastAsia" w:hAnsiTheme="minorHAnsi" w:cstheme="minorBidi"/>
          <w:sz w:val="22"/>
          <w:szCs w:val="22"/>
          <w:lang w:eastAsia="en-AU"/>
        </w:rPr>
      </w:pPr>
      <w:r>
        <w:t>10.2.4</w:t>
      </w:r>
      <w:r>
        <w:rPr>
          <w:rFonts w:asciiTheme="minorHAnsi" w:eastAsiaTheme="minorEastAsia" w:hAnsiTheme="minorHAnsi" w:cstheme="minorBidi"/>
          <w:sz w:val="22"/>
          <w:szCs w:val="22"/>
          <w:lang w:eastAsia="en-AU"/>
        </w:rPr>
        <w:tab/>
      </w:r>
      <w:r>
        <w:t>National Disability Strategy</w:t>
      </w:r>
      <w:r>
        <w:tab/>
      </w:r>
      <w:r>
        <w:fldChar w:fldCharType="begin"/>
      </w:r>
      <w:r>
        <w:instrText xml:space="preserve"> PAGEREF _Toc15025969 \h </w:instrText>
      </w:r>
      <w:r>
        <w:fldChar w:fldCharType="separate"/>
      </w:r>
      <w:r w:rsidR="00CB4284">
        <w:t>17</w:t>
      </w:r>
      <w:r>
        <w:fldChar w:fldCharType="end"/>
      </w:r>
    </w:p>
    <w:p w14:paraId="7CA99F6B" w14:textId="134DE1E9" w:rsidR="00D14E92" w:rsidRDefault="00D14E92">
      <w:pPr>
        <w:pStyle w:val="TOC4"/>
        <w:rPr>
          <w:rFonts w:asciiTheme="minorHAnsi" w:eastAsiaTheme="minorEastAsia" w:hAnsiTheme="minorHAnsi" w:cstheme="minorBidi"/>
          <w:sz w:val="22"/>
          <w:szCs w:val="22"/>
          <w:lang w:eastAsia="en-AU"/>
        </w:rPr>
      </w:pPr>
      <w:r>
        <w:t>10.2.5</w:t>
      </w:r>
      <w:r>
        <w:rPr>
          <w:rFonts w:asciiTheme="minorHAnsi" w:eastAsiaTheme="minorEastAsia" w:hAnsiTheme="minorHAnsi" w:cstheme="minorBidi"/>
          <w:sz w:val="22"/>
          <w:szCs w:val="22"/>
          <w:lang w:eastAsia="en-AU"/>
        </w:rPr>
        <w:tab/>
      </w:r>
      <w:r>
        <w:t>Multicultural Access and Equity</w:t>
      </w:r>
      <w:r>
        <w:tab/>
      </w:r>
      <w:r>
        <w:fldChar w:fldCharType="begin"/>
      </w:r>
      <w:r>
        <w:instrText xml:space="preserve"> PAGEREF _Toc15025970 \h </w:instrText>
      </w:r>
      <w:r>
        <w:fldChar w:fldCharType="separate"/>
      </w:r>
      <w:r w:rsidR="00CB4284">
        <w:t>17</w:t>
      </w:r>
      <w:r>
        <w:fldChar w:fldCharType="end"/>
      </w:r>
    </w:p>
    <w:p w14:paraId="1255D0A6" w14:textId="14819583"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lastRenderedPageBreak/>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_Toc15025971 \h </w:instrText>
      </w:r>
      <w:r>
        <w:rPr>
          <w:noProof/>
        </w:rPr>
      </w:r>
      <w:r>
        <w:rPr>
          <w:noProof/>
        </w:rPr>
        <w:fldChar w:fldCharType="separate"/>
      </w:r>
      <w:r w:rsidR="00CB4284">
        <w:rPr>
          <w:noProof/>
        </w:rPr>
        <w:t>18</w:t>
      </w:r>
      <w:r>
        <w:rPr>
          <w:noProof/>
        </w:rPr>
        <w:fldChar w:fldCharType="end"/>
      </w:r>
    </w:p>
    <w:p w14:paraId="01321EB1" w14:textId="342804F5"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_Toc15025972 \h </w:instrText>
      </w:r>
      <w:r>
        <w:rPr>
          <w:noProof/>
        </w:rPr>
      </w:r>
      <w:r>
        <w:rPr>
          <w:noProof/>
        </w:rPr>
        <w:fldChar w:fldCharType="separate"/>
      </w:r>
      <w:r w:rsidR="00CB4284">
        <w:rPr>
          <w:noProof/>
        </w:rPr>
        <w:t>18</w:t>
      </w:r>
      <w:r>
        <w:rPr>
          <w:noProof/>
        </w:rPr>
        <w:fldChar w:fldCharType="end"/>
      </w:r>
    </w:p>
    <w:p w14:paraId="7AD00A1E" w14:textId="51C845D2" w:rsidR="00D14E92" w:rsidRDefault="00D14E92">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_Toc15025973 \h </w:instrText>
      </w:r>
      <w:r>
        <w:rPr>
          <w:noProof/>
        </w:rPr>
      </w:r>
      <w:r>
        <w:rPr>
          <w:noProof/>
        </w:rPr>
        <w:fldChar w:fldCharType="separate"/>
      </w:r>
      <w:r w:rsidR="00CB4284">
        <w:rPr>
          <w:noProof/>
        </w:rPr>
        <w:t>18</w:t>
      </w:r>
      <w:r>
        <w:rPr>
          <w:noProof/>
        </w:rPr>
        <w:fldChar w:fldCharType="end"/>
      </w:r>
    </w:p>
    <w:p w14:paraId="1A212C58" w14:textId="1CBFE10E" w:rsidR="00D14E92" w:rsidRDefault="00D14E92">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_Toc15025974 \h </w:instrText>
      </w:r>
      <w:r>
        <w:rPr>
          <w:noProof/>
        </w:rPr>
      </w:r>
      <w:r>
        <w:rPr>
          <w:noProof/>
        </w:rPr>
        <w:fldChar w:fldCharType="separate"/>
      </w:r>
      <w:r w:rsidR="00CB4284">
        <w:rPr>
          <w:noProof/>
        </w:rPr>
        <w:t>18</w:t>
      </w:r>
      <w:r>
        <w:rPr>
          <w:noProof/>
        </w:rPr>
        <w:fldChar w:fldCharType="end"/>
      </w:r>
    </w:p>
    <w:p w14:paraId="05AEEC56" w14:textId="40B0FB65"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_Toc15025975 \h </w:instrText>
      </w:r>
      <w:r>
        <w:rPr>
          <w:noProof/>
        </w:rPr>
      </w:r>
      <w:r>
        <w:rPr>
          <w:noProof/>
        </w:rPr>
        <w:fldChar w:fldCharType="separate"/>
      </w:r>
      <w:r w:rsidR="00CB4284">
        <w:rPr>
          <w:noProof/>
        </w:rPr>
        <w:t>18</w:t>
      </w:r>
      <w:r>
        <w:rPr>
          <w:noProof/>
        </w:rPr>
        <w:fldChar w:fldCharType="end"/>
      </w:r>
    </w:p>
    <w:p w14:paraId="22AD53D8" w14:textId="51D8B608"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_Toc15025976 \h </w:instrText>
      </w:r>
      <w:r>
        <w:rPr>
          <w:noProof/>
        </w:rPr>
      </w:r>
      <w:r>
        <w:rPr>
          <w:noProof/>
        </w:rPr>
        <w:fldChar w:fldCharType="separate"/>
      </w:r>
      <w:r w:rsidR="00CB4284">
        <w:rPr>
          <w:noProof/>
        </w:rPr>
        <w:t>19</w:t>
      </w:r>
      <w:r>
        <w:rPr>
          <w:noProof/>
        </w:rPr>
        <w:fldChar w:fldCharType="end"/>
      </w:r>
    </w:p>
    <w:p w14:paraId="6E764C93" w14:textId="0FB63CE4"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Audited financial acquittal report</w:t>
      </w:r>
      <w:r>
        <w:rPr>
          <w:noProof/>
        </w:rPr>
        <w:tab/>
      </w:r>
      <w:r>
        <w:rPr>
          <w:noProof/>
        </w:rPr>
        <w:fldChar w:fldCharType="begin"/>
      </w:r>
      <w:r>
        <w:rPr>
          <w:noProof/>
        </w:rPr>
        <w:instrText xml:space="preserve"> PAGEREF _Toc15025977 \h </w:instrText>
      </w:r>
      <w:r>
        <w:rPr>
          <w:noProof/>
        </w:rPr>
      </w:r>
      <w:r>
        <w:rPr>
          <w:noProof/>
        </w:rPr>
        <w:fldChar w:fldCharType="separate"/>
      </w:r>
      <w:r w:rsidR="00CB4284">
        <w:rPr>
          <w:noProof/>
        </w:rPr>
        <w:t>19</w:t>
      </w:r>
      <w:r>
        <w:rPr>
          <w:noProof/>
        </w:rPr>
        <w:fldChar w:fldCharType="end"/>
      </w:r>
    </w:p>
    <w:p w14:paraId="4B648BB4" w14:textId="155490ED"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_Toc15025978 \h </w:instrText>
      </w:r>
      <w:r>
        <w:rPr>
          <w:noProof/>
        </w:rPr>
      </w:r>
      <w:r>
        <w:rPr>
          <w:noProof/>
        </w:rPr>
        <w:fldChar w:fldCharType="separate"/>
      </w:r>
      <w:r w:rsidR="00CB4284">
        <w:rPr>
          <w:noProof/>
        </w:rPr>
        <w:t>19</w:t>
      </w:r>
      <w:r>
        <w:rPr>
          <w:noProof/>
        </w:rPr>
        <w:fldChar w:fldCharType="end"/>
      </w:r>
    </w:p>
    <w:p w14:paraId="6B504C3C" w14:textId="43AAEB5F"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_Toc15025979 \h </w:instrText>
      </w:r>
      <w:r>
        <w:rPr>
          <w:noProof/>
        </w:rPr>
      </w:r>
      <w:r>
        <w:rPr>
          <w:noProof/>
        </w:rPr>
        <w:fldChar w:fldCharType="separate"/>
      </w:r>
      <w:r w:rsidR="00CB4284">
        <w:rPr>
          <w:noProof/>
        </w:rPr>
        <w:t>19</w:t>
      </w:r>
      <w:r>
        <w:rPr>
          <w:noProof/>
        </w:rPr>
        <w:fldChar w:fldCharType="end"/>
      </w:r>
    </w:p>
    <w:p w14:paraId="02897D75" w14:textId="219B9034"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_Toc15025980 \h </w:instrText>
      </w:r>
      <w:r>
        <w:rPr>
          <w:noProof/>
        </w:rPr>
      </w:r>
      <w:r>
        <w:rPr>
          <w:noProof/>
        </w:rPr>
        <w:fldChar w:fldCharType="separate"/>
      </w:r>
      <w:r w:rsidR="00CB4284">
        <w:rPr>
          <w:noProof/>
        </w:rPr>
        <w:t>20</w:t>
      </w:r>
      <w:r>
        <w:rPr>
          <w:noProof/>
        </w:rPr>
        <w:fldChar w:fldCharType="end"/>
      </w:r>
    </w:p>
    <w:p w14:paraId="6F9E9518" w14:textId="2947573A"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_Toc15025981 \h </w:instrText>
      </w:r>
      <w:r>
        <w:rPr>
          <w:noProof/>
        </w:rPr>
      </w:r>
      <w:r>
        <w:rPr>
          <w:noProof/>
        </w:rPr>
        <w:fldChar w:fldCharType="separate"/>
      </w:r>
      <w:r w:rsidR="00CB4284">
        <w:rPr>
          <w:noProof/>
        </w:rPr>
        <w:t>20</w:t>
      </w:r>
      <w:r>
        <w:rPr>
          <w:noProof/>
        </w:rPr>
        <w:fldChar w:fldCharType="end"/>
      </w:r>
    </w:p>
    <w:p w14:paraId="31CA9E47" w14:textId="1EEBADC8" w:rsidR="00D14E92" w:rsidRDefault="00D14E92">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_Toc15025982 \h </w:instrText>
      </w:r>
      <w:r>
        <w:rPr>
          <w:noProof/>
        </w:rPr>
      </w:r>
      <w:r>
        <w:rPr>
          <w:noProof/>
        </w:rPr>
        <w:fldChar w:fldCharType="separate"/>
      </w:r>
      <w:r w:rsidR="00CB4284">
        <w:rPr>
          <w:noProof/>
        </w:rPr>
        <w:t>20</w:t>
      </w:r>
      <w:r>
        <w:rPr>
          <w:noProof/>
        </w:rPr>
        <w:fldChar w:fldCharType="end"/>
      </w:r>
    </w:p>
    <w:p w14:paraId="4526CB35" w14:textId="27965E42"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_Toc15025983 \h </w:instrText>
      </w:r>
      <w:r>
        <w:rPr>
          <w:noProof/>
        </w:rPr>
      </w:r>
      <w:r>
        <w:rPr>
          <w:noProof/>
        </w:rPr>
        <w:fldChar w:fldCharType="separate"/>
      </w:r>
      <w:r w:rsidR="00CB4284">
        <w:rPr>
          <w:noProof/>
        </w:rPr>
        <w:t>20</w:t>
      </w:r>
      <w:r>
        <w:rPr>
          <w:noProof/>
        </w:rPr>
        <w:fldChar w:fldCharType="end"/>
      </w:r>
    </w:p>
    <w:p w14:paraId="7C4E79AE" w14:textId="0B129033"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_Toc15025984 \h </w:instrText>
      </w:r>
      <w:r>
        <w:rPr>
          <w:noProof/>
        </w:rPr>
      </w:r>
      <w:r>
        <w:rPr>
          <w:noProof/>
        </w:rPr>
        <w:fldChar w:fldCharType="separate"/>
      </w:r>
      <w:r w:rsidR="00CB4284">
        <w:rPr>
          <w:noProof/>
        </w:rPr>
        <w:t>20</w:t>
      </w:r>
      <w:r>
        <w:rPr>
          <w:noProof/>
        </w:rPr>
        <w:fldChar w:fldCharType="end"/>
      </w:r>
    </w:p>
    <w:p w14:paraId="699F08B6" w14:textId="4BF9A4D2"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_Toc15025985 \h </w:instrText>
      </w:r>
      <w:r>
        <w:rPr>
          <w:noProof/>
        </w:rPr>
      </w:r>
      <w:r>
        <w:rPr>
          <w:noProof/>
        </w:rPr>
        <w:fldChar w:fldCharType="separate"/>
      </w:r>
      <w:r w:rsidR="00CB4284">
        <w:rPr>
          <w:noProof/>
        </w:rPr>
        <w:t>21</w:t>
      </w:r>
      <w:r>
        <w:rPr>
          <w:noProof/>
        </w:rPr>
        <w:fldChar w:fldCharType="end"/>
      </w:r>
    </w:p>
    <w:p w14:paraId="151E1BBD" w14:textId="5F36B41E"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_Toc15025986 \h </w:instrText>
      </w:r>
      <w:r>
        <w:rPr>
          <w:noProof/>
        </w:rPr>
      </w:r>
      <w:r>
        <w:rPr>
          <w:noProof/>
        </w:rPr>
        <w:fldChar w:fldCharType="separate"/>
      </w:r>
      <w:r w:rsidR="00CB4284">
        <w:rPr>
          <w:noProof/>
        </w:rPr>
        <w:t>21</w:t>
      </w:r>
      <w:r>
        <w:rPr>
          <w:noProof/>
        </w:rPr>
        <w:fldChar w:fldCharType="end"/>
      </w:r>
    </w:p>
    <w:p w14:paraId="3F1AF189" w14:textId="74888E64" w:rsidR="00D14E92" w:rsidRDefault="00D14E92">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_Toc15025987 \h </w:instrText>
      </w:r>
      <w:r>
        <w:rPr>
          <w:noProof/>
        </w:rPr>
      </w:r>
      <w:r>
        <w:rPr>
          <w:noProof/>
        </w:rPr>
        <w:fldChar w:fldCharType="separate"/>
      </w:r>
      <w:r w:rsidR="00CB4284">
        <w:rPr>
          <w:noProof/>
        </w:rPr>
        <w:t>22</w:t>
      </w:r>
      <w:r>
        <w:rPr>
          <w:noProof/>
        </w:rPr>
        <w:fldChar w:fldCharType="end"/>
      </w:r>
    </w:p>
    <w:p w14:paraId="07B0E060" w14:textId="5A2C4655" w:rsidR="00D14E92" w:rsidRDefault="00D14E92">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_Toc15025988 \h </w:instrText>
      </w:r>
      <w:r>
        <w:rPr>
          <w:noProof/>
        </w:rPr>
      </w:r>
      <w:r>
        <w:rPr>
          <w:noProof/>
        </w:rPr>
        <w:fldChar w:fldCharType="separate"/>
      </w:r>
      <w:r w:rsidR="00CB4284">
        <w:rPr>
          <w:noProof/>
        </w:rPr>
        <w:t>23</w:t>
      </w:r>
      <w:r>
        <w:rPr>
          <w:noProof/>
        </w:rPr>
        <w:fldChar w:fldCharType="end"/>
      </w:r>
    </w:p>
    <w:p w14:paraId="279C80EB" w14:textId="77A16792" w:rsidR="00D14E92" w:rsidRDefault="00D14E92">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_Toc15025989 \h </w:instrText>
      </w:r>
      <w:r>
        <w:rPr>
          <w:noProof/>
        </w:rPr>
      </w:r>
      <w:r>
        <w:rPr>
          <w:noProof/>
        </w:rPr>
        <w:fldChar w:fldCharType="separate"/>
      </w:r>
      <w:r w:rsidR="00CB4284">
        <w:rPr>
          <w:noProof/>
        </w:rPr>
        <w:t>24</w:t>
      </w:r>
      <w:r>
        <w:rPr>
          <w:noProof/>
        </w:rPr>
        <w:fldChar w:fldCharType="end"/>
      </w:r>
    </w:p>
    <w:p w14:paraId="3A0A7A22" w14:textId="77777777" w:rsidR="00DD3C0D" w:rsidRDefault="004A238A" w:rsidP="00DD3C0D">
      <w:pPr>
        <w:sectPr w:rsidR="00DD3C0D" w:rsidSect="00CA3DD9">
          <w:headerReference w:type="default" r:id="rId13"/>
          <w:footerReference w:type="default" r:id="rId14"/>
          <w:headerReference w:type="first" r:id="rId15"/>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EFC3E1F" w14:textId="77777777" w:rsidR="00CE0A34" w:rsidRPr="00CE0A34" w:rsidRDefault="00590593" w:rsidP="004D2C3F">
      <w:pPr>
        <w:keepNext/>
        <w:numPr>
          <w:ilvl w:val="0"/>
          <w:numId w:val="11"/>
        </w:numPr>
        <w:spacing w:before="240"/>
        <w:outlineLvl w:val="1"/>
        <w:rPr>
          <w:rFonts w:cstheme="minorHAnsi"/>
          <w:b/>
          <w:bCs/>
          <w:iCs/>
          <w:color w:val="264F90"/>
          <w:sz w:val="28"/>
          <w:szCs w:val="28"/>
        </w:rPr>
      </w:pPr>
      <w:bookmarkStart w:id="1" w:name="_[Program_name]:_[Grant"/>
      <w:bookmarkStart w:id="2" w:name="_Toc524362437"/>
      <w:bookmarkEnd w:id="1"/>
      <w:r w:rsidRPr="00590593">
        <w:rPr>
          <w:rFonts w:cstheme="minorHAnsi"/>
          <w:b/>
          <w:bCs/>
          <w:iCs/>
          <w:color w:val="264F90"/>
          <w:sz w:val="28"/>
          <w:szCs w:val="28"/>
        </w:rPr>
        <w:lastRenderedPageBreak/>
        <w:t>Justice Service: Legal advisory services for persons engaging with the Royal Commission into Violence, Abuse, Neglect and Exploitation of People with Disability processes</w:t>
      </w:r>
      <w:bookmarkEnd w:id="2"/>
    </w:p>
    <w:p w14:paraId="6DE807F2" w14:textId="77777777" w:rsidR="00CE0A34" w:rsidRDefault="00CE0A34" w:rsidP="00CE0A34">
      <w:pPr>
        <w:pBdr>
          <w:top w:val="single" w:sz="4" w:space="1" w:color="auto"/>
          <w:left w:val="single" w:sz="4" w:space="4" w:color="auto"/>
          <w:bottom w:val="single" w:sz="4" w:space="1" w:color="auto"/>
          <w:right w:val="single" w:sz="4" w:space="4" w:color="auto"/>
        </w:pBdr>
        <w:spacing w:after="0"/>
        <w:jc w:val="center"/>
        <w:rPr>
          <w:b/>
        </w:rPr>
      </w:pPr>
      <w:r w:rsidRPr="00F40BDA">
        <w:rPr>
          <w:b/>
        </w:rPr>
        <w:t>Th</w:t>
      </w:r>
      <w:r>
        <w:rPr>
          <w:b/>
        </w:rPr>
        <w:t xml:space="preserve">is grant </w:t>
      </w:r>
      <w:r w:rsidRPr="00F40BDA">
        <w:rPr>
          <w:b/>
        </w:rPr>
        <w:t>is</w:t>
      </w:r>
      <w:r>
        <w:rPr>
          <w:b/>
        </w:rPr>
        <w:t xml:space="preserve"> </w:t>
      </w:r>
      <w:r w:rsidRPr="00F40BDA">
        <w:rPr>
          <w:b/>
        </w:rPr>
        <w:t xml:space="preserve">designed to </w:t>
      </w:r>
      <w:r>
        <w:rPr>
          <w:b/>
        </w:rPr>
        <w:t>achieve</w:t>
      </w:r>
      <w:r w:rsidRPr="00F40BDA">
        <w:rPr>
          <w:b/>
        </w:rPr>
        <w:t xml:space="preserve"> Australian Government </w:t>
      </w:r>
      <w:r>
        <w:rPr>
          <w:b/>
        </w:rPr>
        <w:t>objectives</w:t>
      </w:r>
      <w:r w:rsidRPr="00F40BDA">
        <w:rPr>
          <w:b/>
        </w:rPr>
        <w:t xml:space="preserve"> </w:t>
      </w:r>
    </w:p>
    <w:p w14:paraId="7985C333" w14:textId="77777777" w:rsidR="00CE0A34" w:rsidRPr="00FA5A51" w:rsidRDefault="00CE0A34" w:rsidP="008A3F8A">
      <w:pPr>
        <w:pBdr>
          <w:top w:val="single" w:sz="4" w:space="1" w:color="auto"/>
          <w:left w:val="single" w:sz="4" w:space="4" w:color="auto"/>
          <w:bottom w:val="single" w:sz="4" w:space="1" w:color="auto"/>
          <w:right w:val="single" w:sz="4" w:space="4" w:color="auto"/>
        </w:pBdr>
        <w:spacing w:before="120" w:after="0" w:line="240" w:lineRule="auto"/>
        <w:jc w:val="center"/>
      </w:pPr>
      <w:r>
        <w:t xml:space="preserve">This grant opportunity </w:t>
      </w:r>
      <w:r w:rsidRPr="00D164B1">
        <w:t xml:space="preserve">contributes to </w:t>
      </w:r>
      <w:r>
        <w:t>the Attorney-General’s Department’s</w:t>
      </w:r>
      <w:r w:rsidRPr="00D164B1">
        <w:t xml:space="preserve"> Outcome </w:t>
      </w:r>
      <w:r w:rsidR="008A3F8A">
        <w:t xml:space="preserve">1.4 Justice Services. </w:t>
      </w:r>
      <w:r w:rsidRPr="00D164B1">
        <w:t xml:space="preserve">The </w:t>
      </w:r>
      <w:r w:rsidR="008A3F8A">
        <w:t>Attorney-General’s Department</w:t>
      </w:r>
      <w:r>
        <w:t xml:space="preserve"> works with stakeholders to plan and design the grant program according to the </w:t>
      </w:r>
      <w:hyperlink r:id="rId16"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1B9E7823" w14:textId="77777777" w:rsidR="00CE0A34" w:rsidRPr="00F40BDA" w:rsidRDefault="00CE0A34" w:rsidP="00CE0A34">
      <w:pPr>
        <w:spacing w:after="0"/>
        <w:jc w:val="center"/>
        <w:rPr>
          <w:rFonts w:ascii="Wingdings" w:hAnsi="Wingdings"/>
        </w:rPr>
      </w:pPr>
      <w:r w:rsidRPr="00F40BDA">
        <w:rPr>
          <w:rFonts w:ascii="Wingdings" w:hAnsi="Wingdings"/>
        </w:rPr>
        <w:t></w:t>
      </w:r>
    </w:p>
    <w:p w14:paraId="29738CE4" w14:textId="77777777" w:rsidR="00CE6D9D" w:rsidRDefault="00CE6D9D" w:rsidP="009E283B">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50F0C6D1" w14:textId="77777777" w:rsidR="00C70C37" w:rsidRDefault="00293465" w:rsidP="009E283B">
      <w:pPr>
        <w:pBdr>
          <w:top w:val="single" w:sz="2" w:space="1" w:color="auto"/>
          <w:left w:val="single" w:sz="2" w:space="4" w:color="auto"/>
          <w:bottom w:val="single" w:sz="2" w:space="0" w:color="auto"/>
          <w:right w:val="single" w:sz="2" w:space="4" w:color="auto"/>
        </w:pBdr>
        <w:spacing w:after="0"/>
        <w:jc w:val="center"/>
        <w:rPr>
          <w:b/>
        </w:rPr>
      </w:pPr>
      <w:r>
        <w:t>We</w:t>
      </w:r>
      <w:r w:rsidR="00ED5B16" w:rsidRPr="009E283B">
        <w:t xml:space="preserve"> </w:t>
      </w:r>
      <w:r w:rsidR="00C70C37" w:rsidRPr="009E283B">
        <w:t xml:space="preserve">publish the grant guidelines on </w:t>
      </w:r>
      <w:hyperlink r:id="rId17" w:history="1">
        <w:r w:rsidR="008D123A" w:rsidRPr="00452C26">
          <w:rPr>
            <w:rStyle w:val="Hyperlink"/>
          </w:rPr>
          <w:t>GrantConnect</w:t>
        </w:r>
      </w:hyperlink>
      <w:r w:rsidR="00C70C37" w:rsidRPr="009E283B">
        <w:t xml:space="preserve"> </w:t>
      </w:r>
      <w:r w:rsidR="00A7274E">
        <w:t xml:space="preserve">and </w:t>
      </w:r>
      <w:hyperlink r:id="rId18" w:history="1">
        <w:r w:rsidR="00A7274E" w:rsidRPr="00A7274E">
          <w:rPr>
            <w:rStyle w:val="Hyperlink"/>
          </w:rPr>
          <w:t>Community Grants Hub</w:t>
        </w:r>
      </w:hyperlink>
      <w:r w:rsidR="00A7274E">
        <w:t xml:space="preserve"> websites.</w:t>
      </w:r>
    </w:p>
    <w:p w14:paraId="40081E69" w14:textId="77777777" w:rsidR="00CE6D9D" w:rsidRPr="00F40BDA" w:rsidRDefault="00CE6D9D" w:rsidP="00CE6D9D">
      <w:pPr>
        <w:spacing w:after="0"/>
        <w:jc w:val="center"/>
        <w:rPr>
          <w:rFonts w:ascii="Wingdings" w:hAnsi="Wingdings"/>
        </w:rPr>
      </w:pPr>
      <w:r w:rsidRPr="00F40BDA">
        <w:rPr>
          <w:rFonts w:ascii="Wingdings" w:hAnsi="Wingdings"/>
        </w:rPr>
        <w:t></w:t>
      </w:r>
    </w:p>
    <w:p w14:paraId="12837DDC" w14:textId="77777777" w:rsidR="00C70C37"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598020FC" w14:textId="77777777" w:rsidR="00CE6D9D" w:rsidRPr="00EF2B08" w:rsidRDefault="00C70C37" w:rsidP="00CE6D9D">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237E4900" w14:textId="77777777" w:rsidR="00CE6D9D" w:rsidRPr="00F40BDA" w:rsidRDefault="00CE6D9D" w:rsidP="00CE6D9D">
      <w:pPr>
        <w:spacing w:after="0"/>
        <w:jc w:val="center"/>
        <w:rPr>
          <w:rFonts w:ascii="Wingdings" w:hAnsi="Wingdings"/>
        </w:rPr>
      </w:pPr>
      <w:r w:rsidRPr="00F40BDA">
        <w:rPr>
          <w:rFonts w:ascii="Wingdings" w:hAnsi="Wingdings"/>
        </w:rPr>
        <w:t></w:t>
      </w:r>
    </w:p>
    <w:p w14:paraId="3EC35C97" w14:textId="77777777" w:rsidR="00CE6D9D" w:rsidRDefault="00293465" w:rsidP="00CE6D9D">
      <w:pPr>
        <w:pBdr>
          <w:top w:val="single" w:sz="2" w:space="1" w:color="auto"/>
          <w:left w:val="single" w:sz="2" w:space="4" w:color="auto"/>
          <w:bottom w:val="single" w:sz="2" w:space="1" w:color="auto"/>
          <w:right w:val="single" w:sz="2" w:space="4" w:color="auto"/>
        </w:pBdr>
        <w:spacing w:after="0"/>
        <w:jc w:val="center"/>
        <w:rPr>
          <w:bCs/>
        </w:rPr>
      </w:pPr>
      <w:r>
        <w:rPr>
          <w:b/>
        </w:rPr>
        <w:t>We</w:t>
      </w:r>
      <w:r w:rsidR="00C327FC">
        <w:rPr>
          <w:b/>
        </w:rPr>
        <w:t xml:space="preserve"> </w:t>
      </w:r>
      <w:r w:rsidR="00CE6D9D">
        <w:rPr>
          <w:b/>
        </w:rPr>
        <w:t xml:space="preserve">assess all </w:t>
      </w:r>
      <w:r w:rsidR="00CE6D9D" w:rsidRPr="00F40BDA">
        <w:rPr>
          <w:b/>
        </w:rPr>
        <w:t>grant application</w:t>
      </w:r>
      <w:r w:rsidR="00DA43F0">
        <w:rPr>
          <w:b/>
        </w:rPr>
        <w:t>s</w:t>
      </w:r>
    </w:p>
    <w:p w14:paraId="67C3F3A8" w14:textId="77777777" w:rsidR="00E52373" w:rsidRPr="005E08F7" w:rsidRDefault="00293465" w:rsidP="00E52373">
      <w:pPr>
        <w:pBdr>
          <w:top w:val="single" w:sz="2" w:space="1" w:color="auto"/>
          <w:left w:val="single" w:sz="2" w:space="4" w:color="auto"/>
          <w:bottom w:val="single" w:sz="2" w:space="1" w:color="auto"/>
          <w:right w:val="single" w:sz="2" w:space="4" w:color="auto"/>
        </w:pBdr>
        <w:spacing w:after="0"/>
        <w:jc w:val="center"/>
      </w:pPr>
      <w:r>
        <w:t>We</w:t>
      </w:r>
      <w:r w:rsidR="00E52373">
        <w:t xml:space="preserve"> assess the applications against eligibility criteria </w:t>
      </w:r>
      <w:r w:rsidR="0087265C" w:rsidRPr="00EE0C10">
        <w:t xml:space="preserve">and </w:t>
      </w:r>
      <w:r w:rsidR="00E52373" w:rsidRPr="00EE0C10">
        <w:t>notify you if you are not eligible</w:t>
      </w:r>
      <w:r w:rsidR="00A41003" w:rsidRPr="00EE0C10">
        <w:t>.</w:t>
      </w:r>
      <w:r w:rsidR="000F48FA" w:rsidRPr="005E08F7">
        <w:t xml:space="preserve"> </w:t>
      </w:r>
      <w:r w:rsidR="00BE34F3">
        <w:t>If you are eligible, w</w:t>
      </w:r>
      <w:r>
        <w:t>e</w:t>
      </w:r>
      <w:r w:rsidR="00543A99" w:rsidRPr="005E08F7">
        <w:t xml:space="preserve"> then </w:t>
      </w:r>
      <w:r w:rsidR="00E52373" w:rsidRPr="005E08F7">
        <w:t xml:space="preserve">assess your </w:t>
      </w:r>
      <w:r w:rsidR="00BC0AC9" w:rsidRPr="005E08F7">
        <w:t xml:space="preserve">eligible </w:t>
      </w:r>
      <w:r w:rsidR="00E52373" w:rsidRPr="005E08F7">
        <w:t xml:space="preserve">application against the assessment criteria including an overall consideration of value </w:t>
      </w:r>
      <w:r w:rsidR="0001641E" w:rsidRPr="005E08F7">
        <w:t>with</w:t>
      </w:r>
      <w:r w:rsidR="00E52373" w:rsidRPr="005E08F7">
        <w:t xml:space="preserve"> money </w:t>
      </w:r>
      <w:r w:rsidR="0087265C" w:rsidRPr="00EE0C10">
        <w:t xml:space="preserve">and </w:t>
      </w:r>
      <w:r w:rsidR="00E52373" w:rsidRPr="00EE0C10">
        <w:t>compare it to other applications</w:t>
      </w:r>
      <w:r w:rsidR="00A41003" w:rsidRPr="00EE0C10">
        <w:t>.</w:t>
      </w:r>
    </w:p>
    <w:p w14:paraId="636755F6" w14:textId="77777777" w:rsidR="00CE6D9D" w:rsidRPr="00C659C4" w:rsidRDefault="00CE6D9D" w:rsidP="00CE6D9D">
      <w:pPr>
        <w:spacing w:after="0"/>
        <w:jc w:val="center"/>
        <w:rPr>
          <w:rFonts w:ascii="Wingdings" w:hAnsi="Wingdings"/>
        </w:rPr>
      </w:pPr>
      <w:r w:rsidRPr="00C659C4">
        <w:rPr>
          <w:rFonts w:ascii="Wingdings" w:hAnsi="Wingdings"/>
        </w:rPr>
        <w:t></w:t>
      </w:r>
    </w:p>
    <w:p w14:paraId="0E59A7B8" w14:textId="77777777" w:rsidR="00CE6D9D" w:rsidRPr="00DB796E"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00CE6D9D" w:rsidRPr="00DB796E">
        <w:rPr>
          <w:b/>
        </w:rPr>
        <w:t>make grant recommendations</w:t>
      </w:r>
    </w:p>
    <w:p w14:paraId="20840028"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rsidRPr="003416C1">
        <w:t>We</w:t>
      </w:r>
      <w:r w:rsidR="00543A99" w:rsidRPr="003416C1">
        <w:t xml:space="preserve"> </w:t>
      </w:r>
      <w:r w:rsidR="00CE6D9D" w:rsidRPr="003416C1">
        <w:t>provide advice</w:t>
      </w:r>
      <w:r w:rsidR="00543A99" w:rsidRPr="003416C1">
        <w:t xml:space="preserve">, </w:t>
      </w:r>
      <w:r w:rsidR="00543A99" w:rsidRPr="00924190">
        <w:t xml:space="preserve">through </w:t>
      </w:r>
      <w:r w:rsidR="00543A99" w:rsidRPr="00EF3D9D">
        <w:t>the</w:t>
      </w:r>
      <w:r w:rsidR="0070001C" w:rsidRPr="00EF3D9D">
        <w:t xml:space="preserve"> s</w:t>
      </w:r>
      <w:r w:rsidR="00543A99" w:rsidRPr="00EF3D9D">
        <w:t xml:space="preserve">election </w:t>
      </w:r>
      <w:r w:rsidR="0070001C" w:rsidRPr="00EF3D9D">
        <w:t>a</w:t>
      </w:r>
      <w:r w:rsidR="00543A99" w:rsidRPr="00EF3D9D">
        <w:t xml:space="preserve">dvisory </w:t>
      </w:r>
      <w:r w:rsidR="0070001C" w:rsidRPr="00EF3D9D">
        <w:t>p</w:t>
      </w:r>
      <w:r w:rsidR="00543A99" w:rsidRPr="00EF3D9D">
        <w:t>anel</w:t>
      </w:r>
      <w:r w:rsidR="00CE6D9D" w:rsidRPr="00EF3D9D">
        <w:t xml:space="preserve"> to the</w:t>
      </w:r>
      <w:r w:rsidR="00CE6D9D" w:rsidRPr="003416C1">
        <w:t xml:space="preserve"> decision maker on the merits of each application.</w:t>
      </w:r>
    </w:p>
    <w:p w14:paraId="0306CEDC" w14:textId="77777777" w:rsidR="00CE6D9D" w:rsidRPr="00C659C4" w:rsidRDefault="00CE6D9D" w:rsidP="00CE6D9D">
      <w:pPr>
        <w:spacing w:after="0"/>
        <w:jc w:val="center"/>
        <w:rPr>
          <w:rFonts w:ascii="Wingdings" w:hAnsi="Wingdings"/>
        </w:rPr>
      </w:pPr>
      <w:r w:rsidRPr="00C659C4">
        <w:rPr>
          <w:rFonts w:ascii="Wingdings" w:hAnsi="Wingdings"/>
        </w:rPr>
        <w:t></w:t>
      </w:r>
    </w:p>
    <w:p w14:paraId="373A769C"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sidR="007B4CC0">
        <w:rPr>
          <w:b/>
        </w:rPr>
        <w:t>d</w:t>
      </w:r>
      <w:r w:rsidRPr="00C659C4">
        <w:rPr>
          <w:b/>
        </w:rPr>
        <w:t>ecisions are made</w:t>
      </w:r>
    </w:p>
    <w:p w14:paraId="58E50A5A"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pPr>
      <w:r w:rsidRPr="00C659C4">
        <w:t>The decision maker</w:t>
      </w:r>
      <w:r w:rsidR="00DA43F0">
        <w:t xml:space="preserve"> </w:t>
      </w:r>
      <w:r w:rsidRPr="00C659C4">
        <w:t>decides which applications are successful.</w:t>
      </w:r>
    </w:p>
    <w:p w14:paraId="65CAFAB5" w14:textId="77777777" w:rsidR="00CE6D9D" w:rsidRPr="00C659C4" w:rsidRDefault="00CE6D9D" w:rsidP="00CE6D9D">
      <w:pPr>
        <w:spacing w:after="0"/>
        <w:jc w:val="center"/>
        <w:rPr>
          <w:rFonts w:ascii="Wingdings" w:hAnsi="Wingdings"/>
        </w:rPr>
      </w:pPr>
      <w:r w:rsidRPr="00C659C4">
        <w:rPr>
          <w:rFonts w:ascii="Wingdings" w:hAnsi="Wingdings"/>
        </w:rPr>
        <w:t></w:t>
      </w:r>
    </w:p>
    <w:p w14:paraId="3700CDB1"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C659C4">
        <w:rPr>
          <w:b/>
        </w:rPr>
        <w:t xml:space="preserve"> </w:t>
      </w:r>
      <w:r w:rsidR="00CE6D9D" w:rsidRPr="00C659C4">
        <w:rPr>
          <w:b/>
        </w:rPr>
        <w:t>notify you of the outcome</w:t>
      </w:r>
    </w:p>
    <w:p w14:paraId="34DFD445"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pPr>
      <w:r>
        <w:t>We</w:t>
      </w:r>
      <w:r w:rsidR="00105D44">
        <w:rPr>
          <w:color w:val="0070C0"/>
        </w:rPr>
        <w:t xml:space="preserve"> </w:t>
      </w:r>
      <w:r w:rsidR="00CE6D9D" w:rsidRPr="00C659C4">
        <w:t>advise you of the outcome of your application. We may not notify unsuccessful applicants until grant agreements have been executed with successful applicants.</w:t>
      </w:r>
    </w:p>
    <w:p w14:paraId="09DF3429" w14:textId="77777777" w:rsidR="00CE6D9D" w:rsidRPr="00C659C4" w:rsidRDefault="00CE6D9D" w:rsidP="00CE6D9D">
      <w:pPr>
        <w:spacing w:after="0"/>
        <w:jc w:val="center"/>
        <w:rPr>
          <w:rFonts w:ascii="Wingdings" w:hAnsi="Wingdings"/>
        </w:rPr>
      </w:pPr>
      <w:r w:rsidRPr="00C659C4">
        <w:rPr>
          <w:rFonts w:ascii="Wingdings" w:hAnsi="Wingdings"/>
        </w:rPr>
        <w:t></w:t>
      </w:r>
    </w:p>
    <w:p w14:paraId="52E0BB3F"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rPr>
      </w:pPr>
      <w:r>
        <w:rPr>
          <w:b/>
        </w:rPr>
        <w:t>We</w:t>
      </w:r>
      <w:r w:rsidR="00C327FC" w:rsidRPr="00EE0C10">
        <w:rPr>
          <w:b/>
          <w:color w:val="0070C0"/>
        </w:rPr>
        <w:t xml:space="preserve"> </w:t>
      </w:r>
      <w:r w:rsidR="00CE6D9D" w:rsidRPr="00C659C4">
        <w:rPr>
          <w:b/>
        </w:rPr>
        <w:t>enter into a grant agreement</w:t>
      </w:r>
    </w:p>
    <w:p w14:paraId="127C3C20" w14:textId="77777777" w:rsidR="00CE6D9D" w:rsidRPr="00C659C4" w:rsidRDefault="00293465" w:rsidP="00CE6D9D">
      <w:pPr>
        <w:pBdr>
          <w:top w:val="single" w:sz="2" w:space="1" w:color="auto"/>
          <w:left w:val="single" w:sz="2" w:space="4" w:color="auto"/>
          <w:bottom w:val="single" w:sz="2" w:space="1" w:color="auto"/>
          <w:right w:val="single" w:sz="2" w:space="4" w:color="auto"/>
        </w:pBdr>
        <w:spacing w:after="0"/>
        <w:jc w:val="center"/>
        <w:rPr>
          <w:b/>
          <w:bCs/>
        </w:rPr>
      </w:pPr>
      <w:r>
        <w:t>We</w:t>
      </w:r>
      <w:r w:rsidR="00CE6D9D" w:rsidRPr="00C659C4">
        <w:t xml:space="preserve"> enter into a grant agreement with</w:t>
      </w:r>
      <w:r w:rsidR="00D676ED">
        <w:t xml:space="preserve"> you if successful.</w:t>
      </w:r>
      <w:r w:rsidR="00CE6D9D" w:rsidRPr="00C659C4">
        <w:t xml:space="preserve"> The type of grant agreement is based on the nature</w:t>
      </w:r>
      <w:r w:rsidR="006F5892">
        <w:t xml:space="preserve"> or </w:t>
      </w:r>
      <w:r w:rsidR="00DB3B12">
        <w:t>complexity</w:t>
      </w:r>
      <w:r w:rsidR="00CE6D9D" w:rsidRPr="00C659C4">
        <w:t xml:space="preserve"> of the grant and</w:t>
      </w:r>
      <w:r w:rsidR="001B4EAA">
        <w:t xml:space="preserve"> </w:t>
      </w:r>
      <w:r w:rsidR="00974279">
        <w:t>is</w:t>
      </w:r>
      <w:r w:rsidR="00CE6D9D" w:rsidRPr="00C659C4">
        <w:t xml:space="preserve"> proportional to the risks involved.</w:t>
      </w:r>
    </w:p>
    <w:p w14:paraId="431B621B" w14:textId="77777777" w:rsidR="00CE6D9D" w:rsidRPr="00C659C4" w:rsidRDefault="00CE6D9D" w:rsidP="00CE6D9D">
      <w:pPr>
        <w:spacing w:after="0"/>
        <w:jc w:val="center"/>
        <w:rPr>
          <w:rFonts w:ascii="Wingdings" w:hAnsi="Wingdings"/>
        </w:rPr>
      </w:pPr>
      <w:r w:rsidRPr="00C659C4">
        <w:rPr>
          <w:rFonts w:ascii="Wingdings" w:hAnsi="Wingdings"/>
        </w:rPr>
        <w:t></w:t>
      </w:r>
    </w:p>
    <w:p w14:paraId="0C8F6E6B"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758BB2B8" w14:textId="77777777" w:rsidR="00CE6D9D" w:rsidRPr="00C659C4" w:rsidRDefault="00CE6D9D" w:rsidP="00CE6D9D">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sidR="00827752">
        <w:rPr>
          <w:bCs/>
        </w:rPr>
        <w:t xml:space="preserve">We </w:t>
      </w:r>
      <w:r w:rsidRPr="00C659C4">
        <w:rPr>
          <w:bCs/>
        </w:rPr>
        <w:t>manage the grant by working with you, monitoring your progress and making payments.</w:t>
      </w:r>
    </w:p>
    <w:p w14:paraId="0B54315C" w14:textId="77777777" w:rsidR="00CE6D9D" w:rsidRPr="00C659C4" w:rsidRDefault="00CE6D9D" w:rsidP="00CE6D9D">
      <w:pPr>
        <w:spacing w:after="0"/>
        <w:jc w:val="center"/>
        <w:rPr>
          <w:rFonts w:ascii="Wingdings" w:hAnsi="Wingdings"/>
        </w:rPr>
      </w:pPr>
      <w:r w:rsidRPr="00C659C4">
        <w:rPr>
          <w:rFonts w:ascii="Wingdings" w:hAnsi="Wingdings"/>
        </w:rPr>
        <w:t></w:t>
      </w:r>
    </w:p>
    <w:p w14:paraId="37F65B48" w14:textId="77777777" w:rsidR="008A3F8A" w:rsidRDefault="008A3F8A" w:rsidP="008A3F8A">
      <w:pPr>
        <w:pBdr>
          <w:top w:val="single" w:sz="2" w:space="1" w:color="auto"/>
          <w:left w:val="single" w:sz="2" w:space="4" w:color="auto"/>
          <w:bottom w:val="single" w:sz="2" w:space="1" w:color="auto"/>
          <w:right w:val="single" w:sz="2" w:space="4" w:color="auto"/>
        </w:pBdr>
        <w:spacing w:after="0"/>
        <w:jc w:val="center"/>
        <w:rPr>
          <w:b/>
        </w:rPr>
      </w:pPr>
      <w:r w:rsidRPr="008A3F8A">
        <w:rPr>
          <w:b/>
        </w:rPr>
        <w:t>Evaluation of the Legal advisory service for persons engaging with the Royal Commission into Abuse, Violence, Neglect and Exploitation of People with Disability</w:t>
      </w:r>
    </w:p>
    <w:p w14:paraId="0118B03A" w14:textId="77777777" w:rsidR="00843AFD" w:rsidRPr="008A3F8A" w:rsidRDefault="00293465" w:rsidP="008A3F8A">
      <w:pPr>
        <w:pBdr>
          <w:top w:val="single" w:sz="2" w:space="1" w:color="auto"/>
          <w:left w:val="single" w:sz="2" w:space="4" w:color="auto"/>
          <w:bottom w:val="single" w:sz="2" w:space="1" w:color="auto"/>
          <w:right w:val="single" w:sz="2" w:space="4" w:color="auto"/>
        </w:pBdr>
        <w:spacing w:after="0"/>
        <w:jc w:val="center"/>
        <w:rPr>
          <w:bCs/>
        </w:rPr>
      </w:pPr>
      <w:r w:rsidRPr="008A3F8A">
        <w:rPr>
          <w:bCs/>
        </w:rPr>
        <w:t>We</w:t>
      </w:r>
      <w:r w:rsidR="00105D44" w:rsidRPr="008A3F8A">
        <w:rPr>
          <w:bCs/>
        </w:rPr>
        <w:t xml:space="preserve"> </w:t>
      </w:r>
      <w:r w:rsidR="00CE6D9D" w:rsidRPr="008A3F8A">
        <w:rPr>
          <w:bCs/>
        </w:rPr>
        <w:t xml:space="preserve">evaluate </w:t>
      </w:r>
      <w:r w:rsidR="001B4EAA" w:rsidRPr="008A3F8A">
        <w:rPr>
          <w:bCs/>
        </w:rPr>
        <w:t xml:space="preserve">your </w:t>
      </w:r>
      <w:r w:rsidR="00CE6D9D" w:rsidRPr="008A3F8A">
        <w:rPr>
          <w:bCs/>
        </w:rPr>
        <w:t>specific grant activity base</w:t>
      </w:r>
      <w:r w:rsidR="008A3F8A" w:rsidRPr="008A3F8A">
        <w:rPr>
          <w:bCs/>
        </w:rPr>
        <w:t>d</w:t>
      </w:r>
      <w:r w:rsidR="00CE6D9D" w:rsidRPr="008A3F8A">
        <w:rPr>
          <w:bCs/>
        </w:rPr>
        <w:t xml:space="preserve"> on information you provide us and that we collect from various sources.</w:t>
      </w:r>
    </w:p>
    <w:p w14:paraId="2B2D5718" w14:textId="77777777" w:rsidR="00E00BAF" w:rsidRPr="00181A24" w:rsidRDefault="00E00BAF" w:rsidP="00827752">
      <w:pPr>
        <w:pStyle w:val="Heading3"/>
      </w:pPr>
      <w:bookmarkStart w:id="3" w:name="_Toc15025934"/>
      <w:r w:rsidRPr="00181A24">
        <w:lastRenderedPageBreak/>
        <w:t>Introduction</w:t>
      </w:r>
      <w:bookmarkEnd w:id="3"/>
    </w:p>
    <w:p w14:paraId="05730C24" w14:textId="77777777" w:rsidR="004D0459" w:rsidRDefault="004D0459" w:rsidP="004D0459">
      <w:r>
        <w:t xml:space="preserve">These guidelines contain information for the </w:t>
      </w:r>
      <w:r w:rsidRPr="004A3BEE">
        <w:rPr>
          <w:i/>
        </w:rPr>
        <w:t>Legal support services for persons engaging with the Royal Commission into Violence, Abuse, Neglect and Exploitation of People with Disability</w:t>
      </w:r>
      <w:r>
        <w:rPr>
          <w:i/>
        </w:rPr>
        <w:t xml:space="preserve"> </w:t>
      </w:r>
      <w:r>
        <w:t>(</w:t>
      </w:r>
      <w:r w:rsidRPr="007A037E">
        <w:rPr>
          <w:b/>
        </w:rPr>
        <w:t>the program</w:t>
      </w:r>
      <w:r w:rsidR="006D239E">
        <w:t>) grant.</w:t>
      </w:r>
    </w:p>
    <w:p w14:paraId="29A56695" w14:textId="77777777" w:rsidR="004D0459" w:rsidRDefault="004D0459" w:rsidP="004D0459">
      <w:r>
        <w:t xml:space="preserve">You must read these guidelines before filling out an application. </w:t>
      </w:r>
    </w:p>
    <w:p w14:paraId="495D2560" w14:textId="77777777" w:rsidR="004D0459" w:rsidRPr="00E00BAF" w:rsidRDefault="004D0459" w:rsidP="004D0459">
      <w:r w:rsidRPr="00E00BAF">
        <w:t>This document sets out:</w:t>
      </w:r>
    </w:p>
    <w:p w14:paraId="156FC1C3" w14:textId="77777777" w:rsidR="004D0459" w:rsidRPr="009E283B" w:rsidRDefault="004D0459" w:rsidP="004D0459">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w:t>
      </w:r>
      <w:r>
        <w:rPr>
          <w:rStyle w:val="highlightedtextChar"/>
          <w:rFonts w:ascii="Arial" w:hAnsi="Arial" w:cs="Arial"/>
          <w:b w:val="0"/>
          <w:color w:val="auto"/>
          <w:sz w:val="20"/>
          <w:szCs w:val="20"/>
        </w:rPr>
        <w:t xml:space="preserve">he purpose of the </w:t>
      </w:r>
      <w:r w:rsidRPr="009E283B">
        <w:rPr>
          <w:rStyle w:val="highlightedtextChar"/>
          <w:rFonts w:ascii="Arial" w:hAnsi="Arial" w:cs="Arial"/>
          <w:b w:val="0"/>
          <w:color w:val="auto"/>
          <w:sz w:val="20"/>
          <w:szCs w:val="20"/>
        </w:rPr>
        <w:t>grant opportunity</w:t>
      </w:r>
    </w:p>
    <w:p w14:paraId="7B690498" w14:textId="77777777" w:rsidR="004D0459" w:rsidRPr="009E283B" w:rsidRDefault="004D0459" w:rsidP="004D0459">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06E22240" w14:textId="77777777" w:rsidR="004D0459" w:rsidRPr="009E283B" w:rsidRDefault="004D0459" w:rsidP="004D0459">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2C489B70" w14:textId="77777777" w:rsidR="004D0459" w:rsidRPr="009E283B" w:rsidRDefault="004D0459" w:rsidP="004D0459">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787FD547" w14:textId="77777777" w:rsidR="004D0459" w:rsidRPr="009E283B" w:rsidRDefault="004D0459" w:rsidP="004D0459">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5B25EA78" w14:textId="77777777" w:rsidR="004D0459" w:rsidRPr="009E283B" w:rsidRDefault="004D0459" w:rsidP="004D0459">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 </w:t>
      </w:r>
    </w:p>
    <w:p w14:paraId="58A0EA2A" w14:textId="77777777" w:rsidR="004D0459" w:rsidRDefault="004D0459" w:rsidP="004D0459">
      <w:pPr>
        <w:pStyle w:val="ListBullet"/>
        <w:numPr>
          <w:ilvl w:val="0"/>
          <w:numId w:val="0"/>
        </w:numPr>
        <w:rPr>
          <w:rStyle w:val="highlightedtextChar"/>
          <w:rFonts w:ascii="Arial" w:hAnsi="Arial" w:cs="Arial"/>
          <w:b w:val="0"/>
          <w:iCs w:val="0"/>
          <w:color w:val="auto"/>
          <w:sz w:val="20"/>
          <w:szCs w:val="20"/>
        </w:rPr>
      </w:pPr>
      <w:r w:rsidRPr="00D3694B">
        <w:rPr>
          <w:rStyle w:val="highlightedtextChar"/>
          <w:rFonts w:ascii="Arial" w:hAnsi="Arial" w:cs="Arial"/>
          <w:b w:val="0"/>
          <w:color w:val="auto"/>
          <w:sz w:val="20"/>
          <w:szCs w:val="20"/>
        </w:rPr>
        <w:t xml:space="preserve">This grant </w:t>
      </w:r>
      <w:r>
        <w:rPr>
          <w:rStyle w:val="highlightedtextChar"/>
          <w:rFonts w:ascii="Arial" w:hAnsi="Arial" w:cs="Arial"/>
          <w:b w:val="0"/>
          <w:color w:val="auto"/>
          <w:sz w:val="20"/>
          <w:szCs w:val="20"/>
        </w:rPr>
        <w:t xml:space="preserve">opportunity </w:t>
      </w:r>
      <w:r w:rsidRPr="00D3694B">
        <w:rPr>
          <w:rStyle w:val="highlightedtextChar"/>
          <w:rFonts w:ascii="Arial" w:hAnsi="Arial" w:cs="Arial"/>
          <w:b w:val="0"/>
          <w:color w:val="auto"/>
          <w:sz w:val="20"/>
          <w:szCs w:val="20"/>
        </w:rPr>
        <w:t xml:space="preserve">and process will be administered by the </w:t>
      </w:r>
      <w:r>
        <w:rPr>
          <w:rStyle w:val="highlightedtextChar"/>
          <w:rFonts w:ascii="Arial" w:hAnsi="Arial" w:cs="Arial"/>
          <w:b w:val="0"/>
          <w:color w:val="auto"/>
          <w:sz w:val="20"/>
          <w:szCs w:val="20"/>
        </w:rPr>
        <w:t>Community Grants</w:t>
      </w:r>
      <w:r w:rsidRPr="00D3694B">
        <w:rPr>
          <w:rStyle w:val="highlightedtextChar"/>
          <w:rFonts w:ascii="Arial" w:hAnsi="Arial" w:cs="Arial"/>
          <w:b w:val="0"/>
          <w:color w:val="auto"/>
          <w:sz w:val="20"/>
          <w:szCs w:val="20"/>
        </w:rPr>
        <w:t xml:space="preserve"> Hub on</w:t>
      </w:r>
      <w:r>
        <w:rPr>
          <w:rStyle w:val="highlightedtextChar"/>
          <w:rFonts w:ascii="Arial" w:hAnsi="Arial" w:cs="Arial"/>
          <w:b w:val="0"/>
          <w:color w:val="auto"/>
          <w:sz w:val="20"/>
          <w:szCs w:val="20"/>
        </w:rPr>
        <w:t xml:space="preserve"> behalf of the </w:t>
      </w:r>
      <w:r w:rsidRPr="004B2B7F">
        <w:rPr>
          <w:rStyle w:val="highlightedtextChar"/>
          <w:rFonts w:ascii="Arial" w:hAnsi="Arial" w:cs="Arial"/>
          <w:b w:val="0"/>
          <w:color w:val="auto"/>
          <w:sz w:val="20"/>
          <w:szCs w:val="20"/>
        </w:rPr>
        <w:t>Attorney-General's Department</w:t>
      </w:r>
      <w:r w:rsidR="00CF2B71">
        <w:rPr>
          <w:rStyle w:val="highlightedtextChar"/>
          <w:rFonts w:ascii="Arial" w:hAnsi="Arial" w:cs="Arial"/>
          <w:b w:val="0"/>
          <w:color w:val="auto"/>
          <w:sz w:val="20"/>
          <w:szCs w:val="20"/>
        </w:rPr>
        <w:t xml:space="preserve"> (the department).</w:t>
      </w:r>
    </w:p>
    <w:p w14:paraId="30442EAA" w14:textId="77777777" w:rsidR="00907078" w:rsidRPr="00F40BDA" w:rsidRDefault="005C7B4A" w:rsidP="009668F6">
      <w:pPr>
        <w:pStyle w:val="Heading2"/>
      </w:pPr>
      <w:bookmarkStart w:id="4" w:name="_Toc15025935"/>
      <w:r>
        <w:t xml:space="preserve">About the </w:t>
      </w:r>
      <w:r w:rsidR="00FE6C6F">
        <w:t>g</w:t>
      </w:r>
      <w:r>
        <w:t xml:space="preserve">rant </w:t>
      </w:r>
      <w:r w:rsidR="00FE6C6F">
        <w:t>p</w:t>
      </w:r>
      <w:r w:rsidR="00EB5DA7">
        <w:t>rogram</w:t>
      </w:r>
      <w:bookmarkEnd w:id="4"/>
    </w:p>
    <w:p w14:paraId="42BF0EB1" w14:textId="77777777" w:rsidR="004D0459" w:rsidRDefault="004D0459" w:rsidP="004D0459">
      <w:r>
        <w:t xml:space="preserve">On 5 April 2019, the Prime Minister announced the establishment of the Royal Commission into Violence, Abuse, Neglect and Exploitation of People with Disability (the Royal Commission). The Letters Patent, issued on 4 April 2019 under the </w:t>
      </w:r>
      <w:r>
        <w:rPr>
          <w:i/>
        </w:rPr>
        <w:t xml:space="preserve">Royal Commissions Act </w:t>
      </w:r>
      <w:r w:rsidRPr="00EC09FF">
        <w:t>1902</w:t>
      </w:r>
      <w:r>
        <w:t xml:space="preserve">, set out the terms of reference. The Royal Commission will provide an interim report by 31 October 2020 and a final report by 29 April 2022. </w:t>
      </w:r>
    </w:p>
    <w:p w14:paraId="36A37B76" w14:textId="77777777" w:rsidR="004D0459" w:rsidRDefault="004D0459" w:rsidP="004D0459">
      <w:r>
        <w:t xml:space="preserve">The department, under Program 1.7 of the department’s Portfolio Budget Statement, is committed to the Royal Commission. Program 1.4 of the department’s allocation includes </w:t>
      </w:r>
      <w:r w:rsidRPr="001F39D0">
        <w:t>a</w:t>
      </w:r>
      <w:r w:rsidRPr="00EC09FF">
        <w:t xml:space="preserve"> provision of community legal services</w:t>
      </w:r>
      <w:r>
        <w:t xml:space="preserve"> to support the Royal Commission</w:t>
      </w:r>
      <w:r w:rsidR="00993A94">
        <w:t>.</w:t>
      </w:r>
    </w:p>
    <w:p w14:paraId="38C42B92" w14:textId="77777777" w:rsidR="004D0459" w:rsidRDefault="004D0459" w:rsidP="004D0459">
      <w:pPr>
        <w:rPr>
          <w:i/>
        </w:rPr>
      </w:pPr>
      <w:r>
        <w:t>A national legal advisory service will be established to support these measures.</w:t>
      </w:r>
    </w:p>
    <w:p w14:paraId="58C84160" w14:textId="77777777" w:rsidR="004D0459" w:rsidRPr="00AE510B" w:rsidRDefault="004D0459" w:rsidP="004D0459">
      <w:r>
        <w:t xml:space="preserve">Funding of $17.194m over three years has been allocated for the legal advisory service. </w:t>
      </w:r>
    </w:p>
    <w:p w14:paraId="1580E8B4" w14:textId="77777777" w:rsidR="004D0459" w:rsidRPr="008A77F5" w:rsidRDefault="004D0459" w:rsidP="004D0459">
      <w:pPr>
        <w:pStyle w:val="Heading3"/>
      </w:pPr>
      <w:bookmarkStart w:id="5" w:name="_Toc15025936"/>
      <w:r w:rsidRPr="008A77F5">
        <w:t>About the Legal advisory services grant opportunity</w:t>
      </w:r>
      <w:bookmarkEnd w:id="5"/>
    </w:p>
    <w:p w14:paraId="0D6BF94A" w14:textId="77777777" w:rsidR="004D0459" w:rsidRDefault="004D0459" w:rsidP="004D0459">
      <w:bookmarkStart w:id="6" w:name="_Toc494290488"/>
      <w:bookmarkEnd w:id="6"/>
      <w:r>
        <w:t xml:space="preserve">Approximately 18% of all Australian people have a disability. Disability comes in various forms and has different effects on a person; it can be short-term, life-long, visible and invisible. With the establishment of the </w:t>
      </w:r>
      <w:r w:rsidRPr="00181FFC">
        <w:t>Royal Commission</w:t>
      </w:r>
      <w:r>
        <w:t xml:space="preserve">, the Australian Government recognises the need for persons with disability, their families, carers and supporters to share their experiences. </w:t>
      </w:r>
    </w:p>
    <w:p w14:paraId="024752B2" w14:textId="77777777" w:rsidR="00011A1A" w:rsidRDefault="004D0459" w:rsidP="004D0459">
      <w:r>
        <w:t xml:space="preserve">The legal advisory service provides legal advice and information for members of the public engaging with the Royal Commission. The legal advisory service seeks to assist persons with disability, their families, carers and supporters to access and engage with the Royal </w:t>
      </w:r>
      <w:r w:rsidRPr="00704A58">
        <w:t>Commission</w:t>
      </w:r>
      <w:r>
        <w:t>. It will be an independent, trauma-informed and culturally</w:t>
      </w:r>
      <w:r>
        <w:noBreakHyphen/>
        <w:t xml:space="preserve">safe service that will be delivered nationally. This legal service will enable people to understand their legal rights and options about how to engage with the Royal Commission. </w:t>
      </w:r>
    </w:p>
    <w:p w14:paraId="053C1CBB" w14:textId="77777777" w:rsidR="004D0459" w:rsidRDefault="004D0459" w:rsidP="004D0459">
      <w:r>
        <w:t xml:space="preserve">The service will be able to provide </w:t>
      </w:r>
      <w:r w:rsidR="00EA26FC">
        <w:t xml:space="preserve">referrals </w:t>
      </w:r>
      <w:r>
        <w:t xml:space="preserve">to counselling and other support services to ensure holistic and cooperative approach to assisting people to engage with the Royal Commission. </w:t>
      </w:r>
      <w:r w:rsidR="00AC495A">
        <w:t>A person will not be required to be a formal witness of the Royal Commission to access assistance through the legal advisory service</w:t>
      </w:r>
      <w:r>
        <w:t>.</w:t>
      </w:r>
    </w:p>
    <w:p w14:paraId="6E26EFE6" w14:textId="77777777" w:rsidR="00011A1A" w:rsidRPr="000F576B" w:rsidRDefault="00011A1A" w:rsidP="00011A1A">
      <w:r>
        <w:t xml:space="preserve">The Community Grants Hub administers the program according to </w:t>
      </w:r>
      <w:r w:rsidRPr="00045933">
        <w:t>the</w:t>
      </w:r>
      <w:r>
        <w:rPr>
          <w:rStyle w:val="Hyperlink"/>
          <w:i/>
        </w:rPr>
        <w:t xml:space="preserve"> </w:t>
      </w:r>
      <w:hyperlink r:id="rId19" w:history="1">
        <w:r w:rsidRPr="006F145A">
          <w:rPr>
            <w:rStyle w:val="Hyperlink"/>
            <w:i/>
          </w:rPr>
          <w:t>Commonwealth Grants Rules and Guidelines</w:t>
        </w:r>
      </w:hyperlink>
      <w:r>
        <w:rPr>
          <w:rStyle w:val="Hyperlink"/>
          <w:i/>
        </w:rPr>
        <w:t xml:space="preserve"> 2017</w:t>
      </w:r>
      <w:r w:rsidRPr="00B368D9">
        <w:t xml:space="preserve"> (CGRGs)</w:t>
      </w:r>
      <w:r>
        <w:rPr>
          <w:i/>
        </w:rPr>
        <w:t>.</w:t>
      </w:r>
    </w:p>
    <w:p w14:paraId="66CE43B4" w14:textId="77777777" w:rsidR="004D0459" w:rsidRDefault="004D0459" w:rsidP="004D0459">
      <w:r>
        <w:lastRenderedPageBreak/>
        <w:t xml:space="preserve">The service will run for the duration of the Royal Commission. The legal advisory service will target individual/s with a disability, their families and carers from the diverse Australian community, expressly: </w:t>
      </w:r>
    </w:p>
    <w:p w14:paraId="1208365F" w14:textId="77777777" w:rsidR="004D0459" w:rsidRPr="00903FA3" w:rsidRDefault="00EA26FC" w:rsidP="004D0459">
      <w:pPr>
        <w:pStyle w:val="ListBullet"/>
        <w:numPr>
          <w:ilvl w:val="0"/>
          <w:numId w:val="7"/>
        </w:numPr>
      </w:pPr>
      <w:r>
        <w:t>Aboriginal</w:t>
      </w:r>
      <w:r w:rsidRPr="00903FA3">
        <w:t xml:space="preserve"> </w:t>
      </w:r>
      <w:r w:rsidR="004D0459" w:rsidRPr="00903FA3">
        <w:t xml:space="preserve">and Torres Strait Islander people </w:t>
      </w:r>
    </w:p>
    <w:p w14:paraId="601A9627" w14:textId="77777777" w:rsidR="004D0459" w:rsidRPr="00903FA3" w:rsidRDefault="00EA26FC" w:rsidP="004D0459">
      <w:pPr>
        <w:pStyle w:val="ListBullet"/>
        <w:numPr>
          <w:ilvl w:val="0"/>
          <w:numId w:val="7"/>
        </w:numPr>
      </w:pPr>
      <w:r>
        <w:t>people</w:t>
      </w:r>
      <w:r w:rsidRPr="00903FA3">
        <w:t xml:space="preserve"> </w:t>
      </w:r>
      <w:r w:rsidR="004D0459" w:rsidRPr="00903FA3">
        <w:t>from culturally and linguistically diverse background</w:t>
      </w:r>
      <w:r>
        <w:t>s</w:t>
      </w:r>
    </w:p>
    <w:p w14:paraId="76FF467C" w14:textId="77777777" w:rsidR="004D0459" w:rsidRPr="00903FA3" w:rsidRDefault="00EA26FC" w:rsidP="00FC527F">
      <w:pPr>
        <w:pStyle w:val="ListBullet"/>
      </w:pPr>
      <w:r>
        <w:t>people</w:t>
      </w:r>
      <w:r w:rsidRPr="00903FA3">
        <w:t xml:space="preserve"> </w:t>
      </w:r>
      <w:r w:rsidR="004D0459" w:rsidRPr="00903FA3">
        <w:t xml:space="preserve">who identify with the LGBTIQ+ </w:t>
      </w:r>
      <w:r w:rsidR="00FC527F" w:rsidRPr="00FC527F">
        <w:t>community</w:t>
      </w:r>
    </w:p>
    <w:p w14:paraId="3A3FE79A" w14:textId="77777777" w:rsidR="004D0459" w:rsidRPr="00903FA3" w:rsidRDefault="00EA26FC" w:rsidP="004D0459">
      <w:pPr>
        <w:pStyle w:val="ListBullet"/>
        <w:numPr>
          <w:ilvl w:val="0"/>
          <w:numId w:val="7"/>
        </w:numPr>
      </w:pPr>
      <w:r>
        <w:t xml:space="preserve">people residing </w:t>
      </w:r>
      <w:r w:rsidR="004D0459" w:rsidRPr="00903FA3">
        <w:t xml:space="preserve">in </w:t>
      </w:r>
      <w:r w:rsidR="004D0459">
        <w:t>institution</w:t>
      </w:r>
      <w:r>
        <w:t>s</w:t>
      </w:r>
      <w:r w:rsidR="004D0459" w:rsidRPr="00903FA3">
        <w:t xml:space="preserve"> (such as care facilities and prison/detention centres)</w:t>
      </w:r>
      <w:r w:rsidR="0057132D">
        <w:t>.</w:t>
      </w:r>
    </w:p>
    <w:p w14:paraId="40A4CFCB" w14:textId="77777777" w:rsidR="004D0459" w:rsidRPr="001252AE" w:rsidRDefault="004D0459" w:rsidP="004D0459">
      <w:pPr>
        <w:rPr>
          <w:rStyle w:val="highlightedtextChar"/>
          <w:rFonts w:ascii="Arial" w:eastAsia="Times New Roman" w:hAnsi="Arial" w:cs="Times New Roman"/>
          <w:b w:val="0"/>
          <w:color w:val="auto"/>
          <w:sz w:val="20"/>
          <w:szCs w:val="20"/>
        </w:rPr>
      </w:pPr>
      <w:r>
        <w:t>The express outcomes of the grant activity is the provision of a free national legal service that will</w:t>
      </w:r>
      <w:r w:rsidR="00924190">
        <w:t xml:space="preserve"> be</w:t>
      </w:r>
      <w:r>
        <w:t xml:space="preserve">: </w:t>
      </w:r>
    </w:p>
    <w:p w14:paraId="0DC47837" w14:textId="77777777" w:rsidR="00924190" w:rsidRPr="009873AB" w:rsidRDefault="00924190" w:rsidP="00924190">
      <w:pPr>
        <w:pStyle w:val="ListParagraph"/>
        <w:numPr>
          <w:ilvl w:val="0"/>
          <w:numId w:val="31"/>
        </w:numPr>
        <w:spacing w:before="120" w:after="200" w:line="276" w:lineRule="auto"/>
        <w:ind w:left="357" w:hanging="357"/>
        <w:contextualSpacing w:val="0"/>
        <w:rPr>
          <w:b/>
        </w:rPr>
      </w:pPr>
      <w:r w:rsidRPr="009873AB">
        <w:rPr>
          <w:b/>
        </w:rPr>
        <w:t>National</w:t>
      </w:r>
      <w:r w:rsidRPr="009873AB">
        <w:t xml:space="preserve"> –</w:t>
      </w:r>
      <w:r>
        <w:t xml:space="preserve"> </w:t>
      </w:r>
      <w:r w:rsidRPr="009873AB">
        <w:t>legal</w:t>
      </w:r>
      <w:r>
        <w:t xml:space="preserve"> assistance</w:t>
      </w:r>
      <w:r w:rsidRPr="009873AB">
        <w:t xml:space="preserve"> service</w:t>
      </w:r>
      <w:r>
        <w:t>/s</w:t>
      </w:r>
      <w:r w:rsidRPr="009873AB">
        <w:t xml:space="preserve"> that has the ability to scale nationally before the commencement of hearings of the Royal Commission.</w:t>
      </w:r>
    </w:p>
    <w:p w14:paraId="454484D0" w14:textId="77777777" w:rsidR="00924190" w:rsidRPr="009873AB" w:rsidRDefault="00924190" w:rsidP="00924190">
      <w:pPr>
        <w:pStyle w:val="ListParagraph"/>
        <w:numPr>
          <w:ilvl w:val="0"/>
          <w:numId w:val="31"/>
        </w:numPr>
        <w:spacing w:before="120" w:after="200" w:line="276" w:lineRule="auto"/>
        <w:ind w:left="357" w:hanging="357"/>
        <w:contextualSpacing w:val="0"/>
      </w:pPr>
      <w:r w:rsidRPr="009873AB">
        <w:rPr>
          <w:b/>
        </w:rPr>
        <w:t>Accessible</w:t>
      </w:r>
      <w:r w:rsidRPr="009873AB">
        <w:t xml:space="preserve"> – provide appropriate arrangements for persons with disability, their families, carers and supporters to physically attend locations for legal advice, provide a telephone service, </w:t>
      </w:r>
      <w:r>
        <w:t xml:space="preserve">and provide </w:t>
      </w:r>
      <w:r w:rsidRPr="009873AB">
        <w:t>outreach for persons unable to attend locations due to disability or being located in an institution. The legal advice service will provide access to communication assistance services such as interpreters, communication boards</w:t>
      </w:r>
      <w:r>
        <w:t xml:space="preserve"> and </w:t>
      </w:r>
      <w:r w:rsidRPr="009873AB">
        <w:t xml:space="preserve">easy English guides. </w:t>
      </w:r>
    </w:p>
    <w:p w14:paraId="70A7E731" w14:textId="77777777" w:rsidR="00924190" w:rsidRPr="009873AB" w:rsidRDefault="00924190" w:rsidP="00924190">
      <w:pPr>
        <w:pStyle w:val="ListParagraph"/>
        <w:numPr>
          <w:ilvl w:val="0"/>
          <w:numId w:val="31"/>
        </w:numPr>
        <w:spacing w:before="120" w:after="200" w:line="276" w:lineRule="auto"/>
        <w:ind w:left="357" w:hanging="357"/>
        <w:contextualSpacing w:val="0"/>
      </w:pPr>
      <w:r w:rsidRPr="009873AB">
        <w:rPr>
          <w:b/>
        </w:rPr>
        <w:t>Exper</w:t>
      </w:r>
      <w:r>
        <w:rPr>
          <w:b/>
        </w:rPr>
        <w:t>ienced</w:t>
      </w:r>
      <w:r w:rsidR="00A50FA3">
        <w:rPr>
          <w:b/>
        </w:rPr>
        <w:t xml:space="preserve"> </w:t>
      </w:r>
      <w:r w:rsidRPr="009873AB">
        <w:t>– be a</w:t>
      </w:r>
      <w:r>
        <w:t xml:space="preserve"> national </w:t>
      </w:r>
      <w:r w:rsidRPr="009873AB">
        <w:t>legal</w:t>
      </w:r>
      <w:r>
        <w:t xml:space="preserve"> advisory</w:t>
      </w:r>
      <w:r w:rsidRPr="009873AB">
        <w:t xml:space="preserve"> service that provides legal advice</w:t>
      </w:r>
      <w:r>
        <w:t xml:space="preserve"> and information</w:t>
      </w:r>
      <w:r w:rsidRPr="009873AB">
        <w:t xml:space="preserve"> for persons with disability (such as physical, sensory, intellectual and psycho-social disabilities) and be able to expand prior experience with clients to assist with advice to be explored before the Royal Commission, including the preparation of voluntary submissions and private sessions where appropriate. Employees </w:t>
      </w:r>
      <w:r w:rsidR="00AC495A">
        <w:t>should have</w:t>
      </w:r>
      <w:r w:rsidRPr="009873AB">
        <w:t xml:space="preserve"> experienced</w:t>
      </w:r>
      <w:r w:rsidR="00AC495A">
        <w:t>, preferably with training,</w:t>
      </w:r>
      <w:r w:rsidRPr="009873AB">
        <w:t xml:space="preserve"> with assisting persons </w:t>
      </w:r>
      <w:r w:rsidR="00EA26FC">
        <w:t>who</w:t>
      </w:r>
      <w:r w:rsidR="00EA26FC" w:rsidRPr="009873AB">
        <w:t xml:space="preserve"> </w:t>
      </w:r>
      <w:r w:rsidRPr="009873AB">
        <w:t>have experienced violence, abuse, neglect and exploitation. Demonstrated use and knowledge of the National Disability Strategy frameworks.</w:t>
      </w:r>
    </w:p>
    <w:p w14:paraId="745D3583" w14:textId="77777777" w:rsidR="00924190" w:rsidRPr="009873AB" w:rsidRDefault="00924190" w:rsidP="00924190">
      <w:pPr>
        <w:pStyle w:val="ListParagraph"/>
        <w:numPr>
          <w:ilvl w:val="0"/>
          <w:numId w:val="31"/>
        </w:numPr>
        <w:spacing w:before="120" w:after="200" w:line="276" w:lineRule="auto"/>
        <w:ind w:left="357" w:hanging="357"/>
        <w:contextualSpacing w:val="0"/>
      </w:pPr>
      <w:r w:rsidRPr="009873AB">
        <w:rPr>
          <w:b/>
        </w:rPr>
        <w:t>Culturally appropriate</w:t>
      </w:r>
      <w:r w:rsidRPr="009873AB">
        <w:t xml:space="preserve"> – the legal advisory service must provide a culturally appropriate service for culturally and </w:t>
      </w:r>
      <w:r w:rsidR="002C34A4">
        <w:t>linguistically</w:t>
      </w:r>
      <w:r w:rsidR="002C34A4" w:rsidRPr="009873AB">
        <w:t xml:space="preserve"> </w:t>
      </w:r>
      <w:r w:rsidRPr="009873AB">
        <w:t xml:space="preserve">diverse persons and have specialist staff to provide culturally safe services for Aboriginal and Torres Strait Islander individuals and the community. </w:t>
      </w:r>
      <w:r>
        <w:t>It must also m</w:t>
      </w:r>
      <w:r w:rsidRPr="009873AB">
        <w:t>eet the requirements under the Multicultural Access and Equity policy, Closing the Gap Refresh Agenda and Indigenous Grants Policy.</w:t>
      </w:r>
    </w:p>
    <w:p w14:paraId="36DAE664" w14:textId="77777777" w:rsidR="00924190" w:rsidRPr="009873AB" w:rsidRDefault="00924190" w:rsidP="00924190">
      <w:pPr>
        <w:pStyle w:val="ListParagraph"/>
        <w:numPr>
          <w:ilvl w:val="0"/>
          <w:numId w:val="31"/>
        </w:numPr>
        <w:spacing w:before="120" w:after="200" w:line="276" w:lineRule="auto"/>
        <w:ind w:left="357" w:hanging="357"/>
        <w:contextualSpacing w:val="0"/>
      </w:pPr>
      <w:r>
        <w:rPr>
          <w:b/>
        </w:rPr>
        <w:t>Able to refer</w:t>
      </w:r>
      <w:r w:rsidRPr="009873AB">
        <w:t xml:space="preserve"> – use existing networks and have the ability to create referrals for individuals seeking legal representation for appearances before the Royal Commission. Referrals </w:t>
      </w:r>
      <w:r>
        <w:t>are</w:t>
      </w:r>
      <w:r w:rsidRPr="009873AB">
        <w:t xml:space="preserve"> to include other services, such as advocacy, social and psychological support services.</w:t>
      </w:r>
    </w:p>
    <w:p w14:paraId="06C5514A" w14:textId="77777777" w:rsidR="00924190" w:rsidRPr="009873AB" w:rsidRDefault="00924190" w:rsidP="00924190">
      <w:pPr>
        <w:pStyle w:val="ListParagraph"/>
        <w:numPr>
          <w:ilvl w:val="0"/>
          <w:numId w:val="31"/>
        </w:numPr>
        <w:spacing w:before="120" w:after="200" w:line="276" w:lineRule="auto"/>
        <w:ind w:left="357" w:hanging="357"/>
        <w:contextualSpacing w:val="0"/>
      </w:pPr>
      <w:r>
        <w:rPr>
          <w:b/>
        </w:rPr>
        <w:t>Established g</w:t>
      </w:r>
      <w:r w:rsidRPr="009873AB">
        <w:rPr>
          <w:b/>
        </w:rPr>
        <w:t xml:space="preserve">overnance </w:t>
      </w:r>
      <w:r w:rsidRPr="009873AB">
        <w:t xml:space="preserve">– have strong, existing governance and financial arrangements to support the delivery of a national service. </w:t>
      </w:r>
    </w:p>
    <w:p w14:paraId="5ACC37E2" w14:textId="77777777" w:rsidR="00924190" w:rsidRPr="009873AB" w:rsidRDefault="00924190" w:rsidP="00924190">
      <w:pPr>
        <w:pStyle w:val="ListParagraph"/>
        <w:numPr>
          <w:ilvl w:val="0"/>
          <w:numId w:val="31"/>
        </w:numPr>
        <w:spacing w:before="120" w:after="200" w:line="276" w:lineRule="auto"/>
        <w:ind w:left="357" w:hanging="357"/>
        <w:contextualSpacing w:val="0"/>
      </w:pPr>
      <w:r>
        <w:rPr>
          <w:b/>
        </w:rPr>
        <w:t>Work</w:t>
      </w:r>
      <w:r w:rsidRPr="009873AB">
        <w:rPr>
          <w:b/>
        </w:rPr>
        <w:t xml:space="preserve"> with the Royal Commission</w:t>
      </w:r>
      <w:r w:rsidRPr="009873AB">
        <w:t xml:space="preserve"> –</w:t>
      </w:r>
      <w:r w:rsidR="00A50FA3">
        <w:t xml:space="preserve"> </w:t>
      </w:r>
      <w:r w:rsidRPr="009873AB">
        <w:t xml:space="preserve">ability to work closely with the Royal Commission, ensuring there are appropriate resources available during hearing dates. </w:t>
      </w:r>
    </w:p>
    <w:p w14:paraId="6788B530" w14:textId="77777777" w:rsidR="000E08D0" w:rsidRDefault="000E08D0" w:rsidP="009668F6">
      <w:pPr>
        <w:pStyle w:val="Heading2"/>
      </w:pPr>
      <w:bookmarkStart w:id="7" w:name="_Toc15025937"/>
      <w:r>
        <w:t>Grant</w:t>
      </w:r>
      <w:r w:rsidR="00B62A3A">
        <w:t xml:space="preserve"> amount</w:t>
      </w:r>
      <w:r w:rsidR="00492E57">
        <w:t xml:space="preserve"> </w:t>
      </w:r>
      <w:r w:rsidR="00D450B6">
        <w:t>and grant period</w:t>
      </w:r>
      <w:bookmarkEnd w:id="7"/>
    </w:p>
    <w:p w14:paraId="029BD559" w14:textId="77777777" w:rsidR="001E60B8" w:rsidRDefault="001E60B8" w:rsidP="009668F6">
      <w:pPr>
        <w:pStyle w:val="Heading3"/>
      </w:pPr>
      <w:bookmarkStart w:id="8" w:name="_Toc15025938"/>
      <w:r>
        <w:t>Grants available</w:t>
      </w:r>
      <w:bookmarkEnd w:id="8"/>
    </w:p>
    <w:p w14:paraId="2F5461D1" w14:textId="77777777" w:rsidR="0045038D" w:rsidRDefault="00277B22" w:rsidP="00277B22">
      <w:r>
        <w:t xml:space="preserve">The Australian Government has announced a total of $17.194 million (excluding indexation and GST) over three years for the provision of legal advice service supporting the Royal Commission. </w:t>
      </w:r>
    </w:p>
    <w:p w14:paraId="53396864" w14:textId="77777777" w:rsidR="00277B22" w:rsidRDefault="0045038D" w:rsidP="00AC495A">
      <w:pPr>
        <w:spacing w:before="0" w:after="0" w:line="240" w:lineRule="auto"/>
      </w:pPr>
      <w:r>
        <w:br w:type="page"/>
      </w: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rant Opportunity Funding"/>
        <w:tblDescription w:val="The Administered amount specifically available for this Grant Opportunity"/>
      </w:tblPr>
      <w:tblGrid>
        <w:gridCol w:w="1959"/>
        <w:gridCol w:w="1564"/>
        <w:gridCol w:w="1565"/>
        <w:gridCol w:w="1564"/>
        <w:gridCol w:w="1565"/>
      </w:tblGrid>
      <w:tr w:rsidR="0045038D" w:rsidRPr="00EB4686" w14:paraId="7A9BFEE3" w14:textId="77777777" w:rsidTr="00DE5F4E">
        <w:trPr>
          <w:trHeight w:val="401"/>
          <w:tblHeader/>
        </w:trPr>
        <w:tc>
          <w:tcPr>
            <w:tcW w:w="1959" w:type="dxa"/>
            <w:vAlign w:val="center"/>
          </w:tcPr>
          <w:p w14:paraId="5C66B086" w14:textId="77777777" w:rsidR="0045038D" w:rsidRPr="00CF79CC" w:rsidRDefault="0045038D" w:rsidP="00FC527F">
            <w:pPr>
              <w:pStyle w:val="BodyText"/>
              <w:spacing w:before="0" w:after="0" w:line="280" w:lineRule="atLeast"/>
              <w:ind w:left="146"/>
              <w:rPr>
                <w:rFonts w:ascii="Arial" w:eastAsia="Times New Roman" w:hAnsi="Arial"/>
                <w:b/>
                <w:sz w:val="20"/>
                <w:szCs w:val="20"/>
                <w:lang w:eastAsia="en-US"/>
              </w:rPr>
            </w:pPr>
            <w:r w:rsidRPr="00CF79CC">
              <w:rPr>
                <w:rFonts w:ascii="Arial" w:eastAsia="Times New Roman" w:hAnsi="Arial"/>
                <w:b/>
                <w:sz w:val="20"/>
                <w:szCs w:val="20"/>
                <w:lang w:eastAsia="en-US"/>
              </w:rPr>
              <w:lastRenderedPageBreak/>
              <w:t>YEAR</w:t>
            </w:r>
          </w:p>
        </w:tc>
        <w:tc>
          <w:tcPr>
            <w:tcW w:w="1564" w:type="dxa"/>
            <w:vAlign w:val="center"/>
          </w:tcPr>
          <w:p w14:paraId="6A8EE99B" w14:textId="77777777" w:rsidR="0045038D" w:rsidRPr="00CF79CC" w:rsidRDefault="0045038D" w:rsidP="00FC527F">
            <w:pPr>
              <w:pStyle w:val="BodyText"/>
              <w:spacing w:before="0" w:after="0" w:line="280" w:lineRule="atLeast"/>
              <w:ind w:left="96"/>
              <w:rPr>
                <w:rFonts w:ascii="Arial" w:eastAsia="Times New Roman" w:hAnsi="Arial"/>
                <w:b/>
                <w:sz w:val="20"/>
                <w:szCs w:val="20"/>
                <w:lang w:eastAsia="en-US"/>
              </w:rPr>
            </w:pPr>
            <w:r w:rsidRPr="00CF79CC">
              <w:rPr>
                <w:rFonts w:ascii="Arial" w:eastAsia="Times New Roman" w:hAnsi="Arial"/>
                <w:b/>
                <w:sz w:val="20"/>
                <w:szCs w:val="20"/>
                <w:lang w:eastAsia="en-US"/>
              </w:rPr>
              <w:t>2019-20</w:t>
            </w:r>
          </w:p>
        </w:tc>
        <w:tc>
          <w:tcPr>
            <w:tcW w:w="1565" w:type="dxa"/>
            <w:vAlign w:val="center"/>
          </w:tcPr>
          <w:p w14:paraId="07A4D2DA" w14:textId="77777777" w:rsidR="0045038D" w:rsidRPr="00CF79CC" w:rsidRDefault="0045038D" w:rsidP="00FC527F">
            <w:pPr>
              <w:pStyle w:val="BodyText"/>
              <w:spacing w:before="0" w:after="0" w:line="280" w:lineRule="atLeast"/>
              <w:ind w:left="67"/>
              <w:rPr>
                <w:rFonts w:ascii="Arial" w:eastAsia="Times New Roman" w:hAnsi="Arial"/>
                <w:b/>
                <w:sz w:val="20"/>
                <w:szCs w:val="20"/>
                <w:lang w:eastAsia="en-US"/>
              </w:rPr>
            </w:pPr>
            <w:r w:rsidRPr="00CF79CC">
              <w:rPr>
                <w:rFonts w:ascii="Arial" w:eastAsia="Times New Roman" w:hAnsi="Arial"/>
                <w:b/>
                <w:sz w:val="20"/>
                <w:szCs w:val="20"/>
                <w:lang w:eastAsia="en-US"/>
              </w:rPr>
              <w:t>2020-21</w:t>
            </w:r>
          </w:p>
        </w:tc>
        <w:tc>
          <w:tcPr>
            <w:tcW w:w="1564" w:type="dxa"/>
            <w:vAlign w:val="center"/>
          </w:tcPr>
          <w:p w14:paraId="5939AC1E" w14:textId="77777777" w:rsidR="0045038D" w:rsidRPr="00CF79CC" w:rsidRDefault="0045038D" w:rsidP="00FC527F">
            <w:pPr>
              <w:pStyle w:val="BodyText"/>
              <w:spacing w:before="0" w:after="0" w:line="280" w:lineRule="atLeast"/>
              <w:ind w:left="47"/>
              <w:rPr>
                <w:rFonts w:ascii="Arial" w:eastAsia="Times New Roman" w:hAnsi="Arial"/>
                <w:b/>
                <w:sz w:val="20"/>
                <w:szCs w:val="20"/>
                <w:lang w:eastAsia="en-US"/>
              </w:rPr>
            </w:pPr>
            <w:r w:rsidRPr="00CF79CC">
              <w:rPr>
                <w:rFonts w:ascii="Arial" w:eastAsia="Times New Roman" w:hAnsi="Arial"/>
                <w:b/>
                <w:sz w:val="20"/>
                <w:szCs w:val="20"/>
                <w:lang w:eastAsia="en-US"/>
              </w:rPr>
              <w:t>2021-22</w:t>
            </w:r>
          </w:p>
        </w:tc>
        <w:tc>
          <w:tcPr>
            <w:tcW w:w="1565" w:type="dxa"/>
            <w:vAlign w:val="center"/>
          </w:tcPr>
          <w:p w14:paraId="148CDA36" w14:textId="77777777" w:rsidR="0045038D" w:rsidRPr="00CF79CC" w:rsidRDefault="0045038D" w:rsidP="00FC527F">
            <w:pPr>
              <w:pStyle w:val="BodyText"/>
              <w:spacing w:before="0" w:after="0" w:line="280" w:lineRule="atLeast"/>
              <w:ind w:left="29"/>
              <w:rPr>
                <w:rFonts w:ascii="Arial" w:eastAsia="Times New Roman" w:hAnsi="Arial"/>
                <w:b/>
                <w:sz w:val="20"/>
                <w:szCs w:val="20"/>
                <w:lang w:eastAsia="en-US"/>
              </w:rPr>
            </w:pPr>
            <w:r w:rsidRPr="00CF79CC">
              <w:rPr>
                <w:rFonts w:ascii="Arial" w:eastAsia="Times New Roman" w:hAnsi="Arial"/>
                <w:b/>
                <w:sz w:val="20"/>
                <w:szCs w:val="20"/>
                <w:lang w:eastAsia="en-US"/>
              </w:rPr>
              <w:t>TOTAL</w:t>
            </w:r>
          </w:p>
        </w:tc>
      </w:tr>
      <w:tr w:rsidR="0045038D" w:rsidRPr="00EB4686" w14:paraId="0A1B1458" w14:textId="77777777" w:rsidTr="00FC527F">
        <w:trPr>
          <w:trHeight w:val="409"/>
        </w:trPr>
        <w:tc>
          <w:tcPr>
            <w:tcW w:w="1959" w:type="dxa"/>
            <w:vAlign w:val="center"/>
          </w:tcPr>
          <w:p w14:paraId="4D8E5049" w14:textId="77777777" w:rsidR="0045038D" w:rsidRPr="00CF79CC" w:rsidRDefault="0045038D" w:rsidP="00FC527F">
            <w:pPr>
              <w:pStyle w:val="BodyText"/>
              <w:spacing w:before="0" w:after="0" w:line="280" w:lineRule="atLeast"/>
              <w:ind w:left="146"/>
              <w:rPr>
                <w:rFonts w:ascii="Arial" w:eastAsia="Times New Roman" w:hAnsi="Arial"/>
                <w:b/>
                <w:sz w:val="20"/>
                <w:szCs w:val="20"/>
                <w:lang w:eastAsia="en-US"/>
              </w:rPr>
            </w:pPr>
            <w:r w:rsidRPr="00CF79CC">
              <w:rPr>
                <w:rFonts w:ascii="Arial" w:eastAsia="Times New Roman" w:hAnsi="Arial"/>
                <w:b/>
                <w:sz w:val="20"/>
                <w:szCs w:val="20"/>
                <w:lang w:eastAsia="en-US"/>
              </w:rPr>
              <w:t>Total funding</w:t>
            </w:r>
          </w:p>
          <w:p w14:paraId="67AAEA3E" w14:textId="77777777" w:rsidR="0045038D" w:rsidRPr="00CF79CC" w:rsidRDefault="0045038D" w:rsidP="00FC527F">
            <w:pPr>
              <w:pStyle w:val="BodyText"/>
              <w:spacing w:before="0" w:after="0" w:line="280" w:lineRule="atLeast"/>
              <w:ind w:left="146"/>
              <w:rPr>
                <w:rFonts w:ascii="Arial" w:eastAsia="Times New Roman" w:hAnsi="Arial"/>
                <w:b/>
                <w:sz w:val="20"/>
                <w:szCs w:val="20"/>
                <w:lang w:eastAsia="en-US"/>
              </w:rPr>
            </w:pPr>
            <w:r w:rsidRPr="00CF79CC">
              <w:rPr>
                <w:rFonts w:ascii="Arial" w:eastAsia="Times New Roman" w:hAnsi="Arial"/>
                <w:b/>
                <w:sz w:val="20"/>
                <w:szCs w:val="20"/>
                <w:lang w:eastAsia="en-US"/>
              </w:rPr>
              <w:t>(GST exclusive)</w:t>
            </w:r>
          </w:p>
        </w:tc>
        <w:tc>
          <w:tcPr>
            <w:tcW w:w="1564" w:type="dxa"/>
            <w:shd w:val="clear" w:color="auto" w:fill="FFFFFF" w:themeFill="background1"/>
            <w:vAlign w:val="center"/>
          </w:tcPr>
          <w:p w14:paraId="22E931AE" w14:textId="77777777" w:rsidR="0045038D" w:rsidRPr="00CF79CC" w:rsidRDefault="0045038D" w:rsidP="00FC527F">
            <w:pPr>
              <w:pStyle w:val="BodyText"/>
              <w:spacing w:before="0" w:after="0" w:line="280" w:lineRule="atLeast"/>
              <w:ind w:left="96"/>
              <w:rPr>
                <w:rFonts w:ascii="Arial" w:eastAsia="Times New Roman" w:hAnsi="Arial"/>
                <w:sz w:val="20"/>
                <w:szCs w:val="20"/>
                <w:lang w:eastAsia="en-US"/>
              </w:rPr>
            </w:pPr>
            <w:r w:rsidRPr="00CF79CC">
              <w:rPr>
                <w:rFonts w:ascii="Arial" w:eastAsia="Times New Roman" w:hAnsi="Arial"/>
                <w:sz w:val="20"/>
                <w:szCs w:val="20"/>
                <w:lang w:eastAsia="en-US"/>
              </w:rPr>
              <w:t>$6.230m</w:t>
            </w:r>
          </w:p>
        </w:tc>
        <w:tc>
          <w:tcPr>
            <w:tcW w:w="1565" w:type="dxa"/>
            <w:shd w:val="clear" w:color="auto" w:fill="FFFFFF" w:themeFill="background1"/>
            <w:vAlign w:val="center"/>
          </w:tcPr>
          <w:p w14:paraId="67239BED" w14:textId="77777777" w:rsidR="0045038D" w:rsidRPr="00CF79CC" w:rsidRDefault="0045038D" w:rsidP="00FC527F">
            <w:pPr>
              <w:pStyle w:val="BodyText"/>
              <w:spacing w:before="0" w:after="0" w:line="280" w:lineRule="atLeast"/>
              <w:ind w:left="67"/>
              <w:rPr>
                <w:rFonts w:ascii="Arial" w:eastAsia="Times New Roman" w:hAnsi="Arial"/>
                <w:sz w:val="20"/>
                <w:szCs w:val="20"/>
                <w:lang w:eastAsia="en-US"/>
              </w:rPr>
            </w:pPr>
            <w:r w:rsidRPr="00CF79CC">
              <w:rPr>
                <w:rFonts w:ascii="Arial" w:eastAsia="Times New Roman" w:hAnsi="Arial"/>
                <w:sz w:val="20"/>
                <w:szCs w:val="20"/>
                <w:lang w:eastAsia="en-US"/>
              </w:rPr>
              <w:t>$5.029m</w:t>
            </w:r>
          </w:p>
        </w:tc>
        <w:tc>
          <w:tcPr>
            <w:tcW w:w="1564" w:type="dxa"/>
            <w:shd w:val="clear" w:color="auto" w:fill="FFFFFF" w:themeFill="background1"/>
            <w:vAlign w:val="center"/>
          </w:tcPr>
          <w:p w14:paraId="5C21CA62" w14:textId="77777777" w:rsidR="0045038D" w:rsidRPr="00CF79CC" w:rsidRDefault="0045038D" w:rsidP="00FC527F">
            <w:pPr>
              <w:pStyle w:val="BodyText"/>
              <w:spacing w:before="0" w:after="0" w:line="280" w:lineRule="atLeast"/>
              <w:ind w:left="47"/>
              <w:rPr>
                <w:rFonts w:ascii="Arial" w:eastAsia="Times New Roman" w:hAnsi="Arial"/>
                <w:sz w:val="20"/>
                <w:szCs w:val="20"/>
                <w:lang w:eastAsia="en-US"/>
              </w:rPr>
            </w:pPr>
            <w:r w:rsidRPr="00CF79CC">
              <w:rPr>
                <w:rFonts w:ascii="Arial" w:eastAsia="Times New Roman" w:hAnsi="Arial"/>
                <w:sz w:val="20"/>
                <w:szCs w:val="20"/>
                <w:lang w:eastAsia="en-US"/>
              </w:rPr>
              <w:t>$5.935m</w:t>
            </w:r>
          </w:p>
        </w:tc>
        <w:tc>
          <w:tcPr>
            <w:tcW w:w="1565" w:type="dxa"/>
            <w:vAlign w:val="center"/>
          </w:tcPr>
          <w:p w14:paraId="175DF209" w14:textId="77777777" w:rsidR="0045038D" w:rsidRPr="00CF79CC" w:rsidRDefault="0045038D" w:rsidP="00FC527F">
            <w:pPr>
              <w:pStyle w:val="BodyText"/>
              <w:spacing w:before="0" w:after="0" w:line="280" w:lineRule="atLeast"/>
              <w:ind w:left="47"/>
              <w:rPr>
                <w:rFonts w:ascii="Arial" w:eastAsia="Times New Roman" w:hAnsi="Arial"/>
                <w:b/>
                <w:sz w:val="20"/>
                <w:szCs w:val="20"/>
                <w:lang w:eastAsia="en-US"/>
              </w:rPr>
            </w:pPr>
            <w:r w:rsidRPr="00CF79CC">
              <w:rPr>
                <w:rFonts w:ascii="Arial" w:eastAsia="Times New Roman" w:hAnsi="Arial"/>
                <w:b/>
                <w:sz w:val="20"/>
                <w:szCs w:val="20"/>
                <w:lang w:eastAsia="en-US"/>
              </w:rPr>
              <w:t>$17.194m</w:t>
            </w:r>
          </w:p>
        </w:tc>
      </w:tr>
    </w:tbl>
    <w:p w14:paraId="4BE83BF9" w14:textId="77777777" w:rsidR="0045038D" w:rsidRDefault="0045038D" w:rsidP="00277B22"/>
    <w:p w14:paraId="2751AEA7" w14:textId="77777777" w:rsidR="00277B22" w:rsidRDefault="00277B22" w:rsidP="00277B22">
      <w:r>
        <w:t xml:space="preserve">Grant agreements will be issued subject to the department receiving the relevant appropriations being obtained through the Budget process. </w:t>
      </w:r>
    </w:p>
    <w:p w14:paraId="03A6056D" w14:textId="77777777" w:rsidR="00277B22" w:rsidRDefault="00277B22" w:rsidP="00277B22">
      <w:pPr>
        <w:pStyle w:val="ListBullet"/>
        <w:numPr>
          <w:ilvl w:val="0"/>
          <w:numId w:val="0"/>
        </w:numPr>
        <w:ind w:left="360" w:hanging="360"/>
      </w:pPr>
      <w:r>
        <w:t>There is no maximum grant amount but grants cannot exceed the amount of available funds.</w:t>
      </w:r>
    </w:p>
    <w:p w14:paraId="132AE863" w14:textId="77777777" w:rsidR="005D5D1D" w:rsidRDefault="00387218" w:rsidP="009668F6">
      <w:pPr>
        <w:pStyle w:val="Heading3"/>
      </w:pPr>
      <w:bookmarkStart w:id="9" w:name="_Toc530486324"/>
      <w:bookmarkStart w:id="10" w:name="_Toc530579967"/>
      <w:bookmarkStart w:id="11" w:name="_Toc15025939"/>
      <w:bookmarkEnd w:id="9"/>
      <w:bookmarkEnd w:id="10"/>
      <w:r>
        <w:t>Grant</w:t>
      </w:r>
      <w:r w:rsidR="005D5D1D">
        <w:t xml:space="preserve"> </w:t>
      </w:r>
      <w:r w:rsidR="009F1E2B">
        <w:t>period</w:t>
      </w:r>
      <w:bookmarkEnd w:id="11"/>
    </w:p>
    <w:p w14:paraId="7021E3DF" w14:textId="77777777" w:rsidR="00277B22" w:rsidRDefault="00277B22" w:rsidP="00277B22">
      <w:r>
        <w:t xml:space="preserve">The maximum grant period is three years. </w:t>
      </w:r>
    </w:p>
    <w:p w14:paraId="5F2FCDE8" w14:textId="77777777" w:rsidR="00277B22" w:rsidRDefault="00277B22" w:rsidP="00277B22">
      <w:r w:rsidRPr="00623DA7">
        <w:t xml:space="preserve">During the three year grant period, </w:t>
      </w:r>
      <w:r>
        <w:t>the grantee</w:t>
      </w:r>
      <w:r w:rsidRPr="00623DA7">
        <w:t xml:space="preserve"> will be expected to provide six monthly progress reports.</w:t>
      </w:r>
      <w:r>
        <w:t xml:space="preserve"> </w:t>
      </w:r>
    </w:p>
    <w:p w14:paraId="47FB2CB3" w14:textId="77777777" w:rsidR="00277B22" w:rsidRDefault="00277B22" w:rsidP="00277B22">
      <w:r>
        <w:t xml:space="preserve">The department may exercise at its discretion to extend the grant period if the Royal Commission is extended beyond the expected reporting date </w:t>
      </w:r>
      <w:r w:rsidRPr="00094C77">
        <w:t xml:space="preserve">of 30 </w:t>
      </w:r>
      <w:r w:rsidR="00F52614">
        <w:t>June</w:t>
      </w:r>
      <w:r w:rsidRPr="00094C77">
        <w:t xml:space="preserve"> 2022.</w:t>
      </w:r>
      <w:r>
        <w:t xml:space="preserve"> </w:t>
      </w:r>
    </w:p>
    <w:p w14:paraId="09EEACB1" w14:textId="77777777" w:rsidR="00285F58" w:rsidRPr="00DF637B" w:rsidRDefault="000E2D44" w:rsidP="009668F6">
      <w:pPr>
        <w:pStyle w:val="Heading2"/>
      </w:pPr>
      <w:bookmarkStart w:id="12" w:name="_Toc15025940"/>
      <w:r>
        <w:t>E</w:t>
      </w:r>
      <w:r w:rsidR="00285F58">
        <w:t>ligibility criteria</w:t>
      </w:r>
      <w:bookmarkEnd w:id="12"/>
    </w:p>
    <w:p w14:paraId="2463B7BA" w14:textId="77777777" w:rsidR="00277B22" w:rsidRDefault="00277B22" w:rsidP="00277B22">
      <w:bookmarkStart w:id="13" w:name="_Ref437348317"/>
      <w:bookmarkStart w:id="14" w:name="_Ref437348323"/>
      <w:bookmarkStart w:id="15" w:name="_Ref437349175"/>
      <w:r>
        <w:t>The eligibility of an organisation to apply for funding under this grant opportunity is determined by the organisation’s entity type and criter</w:t>
      </w:r>
      <w:r w:rsidR="00011A1A">
        <w:t>ia as set out in this document.</w:t>
      </w:r>
    </w:p>
    <w:p w14:paraId="208C219B" w14:textId="77777777" w:rsidR="00277B22" w:rsidRDefault="00277B22" w:rsidP="00277B22">
      <w:r>
        <w:t xml:space="preserve">The decision maker can choose to waive the eligibility criteria; however, the decision maker must be made aware of the risk. </w:t>
      </w:r>
    </w:p>
    <w:p w14:paraId="3AF1F247" w14:textId="77777777" w:rsidR="00993A94" w:rsidRDefault="00277B22" w:rsidP="00277B22">
      <w:r>
        <w:t>If a decision is made to fund an organisation that does not meet the criteria, that organisation would need to be able to comply with all the mandatory requirements under a grant agreement</w:t>
      </w:r>
      <w:r w:rsidR="00A017FE">
        <w:t xml:space="preserve">. </w:t>
      </w:r>
    </w:p>
    <w:p w14:paraId="6EE865C2" w14:textId="77777777" w:rsidR="00277B22" w:rsidRDefault="00A017FE" w:rsidP="00277B22">
      <w:r>
        <w:t>The</w:t>
      </w:r>
      <w:r w:rsidR="00993A94">
        <w:t xml:space="preserve"> organisation</w:t>
      </w:r>
      <w:r>
        <w:t xml:space="preserve"> would also be required to</w:t>
      </w:r>
      <w:r w:rsidR="00277B22">
        <w:t xml:space="preserve"> demonstrate that they have the existing infrastructure, capacity, and capability to provide national legal advice service to individuals with a disability, their families, their carers and supporters who are seeking to engage with the Royal Commission.</w:t>
      </w:r>
    </w:p>
    <w:p w14:paraId="6494A6C1" w14:textId="77777777" w:rsidR="00277B22" w:rsidRDefault="00277B22" w:rsidP="00277B22">
      <w:r>
        <w:t>Applications will not be considered if you do not satisfy all the eligibility criteria.</w:t>
      </w:r>
    </w:p>
    <w:p w14:paraId="35CE2DE1" w14:textId="77777777" w:rsidR="00277B22" w:rsidRPr="00AB219F" w:rsidRDefault="00277B22" w:rsidP="00277B22">
      <w:r>
        <w:t>A</w:t>
      </w:r>
      <w:r w:rsidRPr="000A271A">
        <w:t xml:space="preserve"> grant</w:t>
      </w:r>
      <w:r>
        <w:t xml:space="preserve"> will not be provided</w:t>
      </w:r>
      <w:r w:rsidRPr="000A271A">
        <w:t xml:space="preserve"> if funding </w:t>
      </w:r>
      <w:r>
        <w:t xml:space="preserve">is received </w:t>
      </w:r>
      <w:r w:rsidRPr="000A271A">
        <w:t xml:space="preserve">from another government source for the same </w:t>
      </w:r>
      <w:r w:rsidRPr="00AB219F">
        <w:t>purpose.</w:t>
      </w:r>
    </w:p>
    <w:p w14:paraId="41C2DC91" w14:textId="77777777" w:rsidR="00A35F51" w:rsidRDefault="001A6862" w:rsidP="009668F6">
      <w:pPr>
        <w:pStyle w:val="Heading3"/>
      </w:pPr>
      <w:bookmarkStart w:id="16" w:name="_Ref485202969"/>
      <w:bookmarkStart w:id="17" w:name="_Toc15025941"/>
      <w:r>
        <w:t xml:space="preserve">Who </w:t>
      </w:r>
      <w:r w:rsidR="009F7B46">
        <w:t>is eligible</w:t>
      </w:r>
      <w:r w:rsidR="00A60CA0">
        <w:t xml:space="preserve"> to apply for a grant</w:t>
      </w:r>
      <w:r w:rsidR="009F7B46">
        <w:t>?</w:t>
      </w:r>
      <w:bookmarkEnd w:id="13"/>
      <w:bookmarkEnd w:id="14"/>
      <w:bookmarkEnd w:id="15"/>
      <w:bookmarkEnd w:id="16"/>
      <w:bookmarkEnd w:id="17"/>
    </w:p>
    <w:p w14:paraId="6B94799E" w14:textId="77777777" w:rsidR="00E16027" w:rsidRDefault="00E16027" w:rsidP="00E16027">
      <w:pPr>
        <w:spacing w:after="80"/>
        <w:rPr>
          <w:iCs/>
        </w:rPr>
      </w:pPr>
      <w:r>
        <w:rPr>
          <w:iCs/>
        </w:rPr>
        <w:t>To be e</w:t>
      </w:r>
      <w:r w:rsidR="00F52614">
        <w:rPr>
          <w:iCs/>
        </w:rPr>
        <w:t>ligible to apply for this grant</w:t>
      </w:r>
      <w:r>
        <w:rPr>
          <w:iCs/>
        </w:rPr>
        <w:t xml:space="preserve"> you must:</w:t>
      </w:r>
    </w:p>
    <w:p w14:paraId="3A0AA586" w14:textId="77777777" w:rsidR="00277B22" w:rsidRPr="00277B22" w:rsidRDefault="00277B22" w:rsidP="00277B22">
      <w:pPr>
        <w:numPr>
          <w:ilvl w:val="0"/>
          <w:numId w:val="7"/>
        </w:numPr>
        <w:spacing w:after="80"/>
        <w:rPr>
          <w:iCs/>
        </w:rPr>
      </w:pPr>
      <w:r w:rsidRPr="00277B22">
        <w:rPr>
          <w:iCs/>
        </w:rPr>
        <w:t xml:space="preserve">have an Australian bank account </w:t>
      </w:r>
    </w:p>
    <w:p w14:paraId="457CDAB9" w14:textId="77777777" w:rsidR="00277B22" w:rsidRPr="00277B22" w:rsidRDefault="00277B22" w:rsidP="00277B22">
      <w:pPr>
        <w:numPr>
          <w:ilvl w:val="0"/>
          <w:numId w:val="7"/>
        </w:numPr>
        <w:spacing w:after="80"/>
        <w:rPr>
          <w:iCs/>
        </w:rPr>
      </w:pPr>
      <w:r w:rsidRPr="00277B22">
        <w:rPr>
          <w:iCs/>
        </w:rPr>
        <w:t>demonstrate the ability to operate a trauma-informed legal practice</w:t>
      </w:r>
    </w:p>
    <w:p w14:paraId="61DFCB43" w14:textId="77777777" w:rsidR="00277B22" w:rsidRPr="00277B22" w:rsidRDefault="00277B22" w:rsidP="00277B22">
      <w:pPr>
        <w:numPr>
          <w:ilvl w:val="0"/>
          <w:numId w:val="7"/>
        </w:numPr>
        <w:spacing w:after="80"/>
        <w:rPr>
          <w:iCs/>
        </w:rPr>
      </w:pPr>
      <w:r w:rsidRPr="00277B22">
        <w:rPr>
          <w:iCs/>
        </w:rPr>
        <w:t xml:space="preserve">demonstrate the ability to provide diverse disability accessible practice with culturally appropriate and safe services for Aboriginal and Torres Strait Islander and </w:t>
      </w:r>
      <w:r w:rsidR="002C34A4">
        <w:rPr>
          <w:iCs/>
        </w:rPr>
        <w:t>C</w:t>
      </w:r>
      <w:r w:rsidRPr="00277B22">
        <w:rPr>
          <w:iCs/>
        </w:rPr>
        <w:t>ulturally and Linguistically Diverse individuals</w:t>
      </w:r>
    </w:p>
    <w:p w14:paraId="6185C44C" w14:textId="77777777" w:rsidR="00277B22" w:rsidRPr="00277B22" w:rsidRDefault="00277B22" w:rsidP="00277B22">
      <w:pPr>
        <w:numPr>
          <w:ilvl w:val="0"/>
          <w:numId w:val="7"/>
        </w:numPr>
        <w:spacing w:after="80"/>
        <w:rPr>
          <w:iCs/>
        </w:rPr>
      </w:pPr>
      <w:r w:rsidRPr="00277B22">
        <w:rPr>
          <w:iCs/>
        </w:rPr>
        <w:t>demonstrate the capacity to provide the grant activity as a nationally-accessible service</w:t>
      </w:r>
    </w:p>
    <w:p w14:paraId="63C87438" w14:textId="77777777" w:rsidR="00277B22" w:rsidRPr="00277B22" w:rsidRDefault="00277B22" w:rsidP="00277B22">
      <w:pPr>
        <w:numPr>
          <w:ilvl w:val="0"/>
          <w:numId w:val="7"/>
        </w:numPr>
        <w:spacing w:after="80"/>
        <w:rPr>
          <w:iCs/>
        </w:rPr>
      </w:pPr>
      <w:r w:rsidRPr="00277B22">
        <w:rPr>
          <w:iCs/>
        </w:rPr>
        <w:t>demonstrate the capability to access expert legal</w:t>
      </w:r>
      <w:r w:rsidR="006D239E">
        <w:rPr>
          <w:iCs/>
        </w:rPr>
        <w:t xml:space="preserve"> </w:t>
      </w:r>
      <w:r w:rsidRPr="00277B22">
        <w:rPr>
          <w:iCs/>
        </w:rPr>
        <w:t>advice, as required</w:t>
      </w:r>
    </w:p>
    <w:p w14:paraId="1C1F75AB" w14:textId="77777777" w:rsidR="00277B22" w:rsidRPr="00277B22" w:rsidRDefault="00277B22" w:rsidP="00277B22">
      <w:pPr>
        <w:numPr>
          <w:ilvl w:val="0"/>
          <w:numId w:val="7"/>
        </w:numPr>
        <w:spacing w:after="80"/>
        <w:rPr>
          <w:iCs/>
        </w:rPr>
      </w:pPr>
      <w:r w:rsidRPr="00277B22">
        <w:rPr>
          <w:iCs/>
        </w:rPr>
        <w:t>have an existing strong managerial, administrative and governance structure to support the grant activity.</w:t>
      </w:r>
    </w:p>
    <w:p w14:paraId="7DF1D51E" w14:textId="77777777" w:rsidR="00277B22" w:rsidRPr="00277B22" w:rsidRDefault="00277B22" w:rsidP="00277B22">
      <w:pPr>
        <w:rPr>
          <w:b/>
          <w:iCs/>
          <w:color w:val="4F6228" w:themeColor="accent3" w:themeShade="80"/>
        </w:rPr>
      </w:pPr>
      <w:r w:rsidRPr="00277B22">
        <w:t>We can only accept applications</w:t>
      </w:r>
      <w:r>
        <w:t xml:space="preserve"> w</w:t>
      </w:r>
      <w:r w:rsidRPr="00277B22">
        <w:rPr>
          <w:iCs/>
        </w:rPr>
        <w:t>here you can provide evidence</w:t>
      </w:r>
      <w:r w:rsidRPr="00277B22">
        <w:rPr>
          <w:b/>
          <w:iCs/>
          <w:color w:val="4F6228" w:themeColor="accent3" w:themeShade="80"/>
        </w:rPr>
        <w:t xml:space="preserve"> </w:t>
      </w:r>
      <w:r w:rsidRPr="00277B22">
        <w:rPr>
          <w:iCs/>
        </w:rPr>
        <w:t xml:space="preserve">from your board (or Chief Executive Officer or equivalent if there is no board) that the grant activity is supported, and that you can complete the grant activity and meet the costs of the grant activity not covered by the grant. </w:t>
      </w:r>
    </w:p>
    <w:p w14:paraId="4189E259" w14:textId="77777777" w:rsidR="00011A1A" w:rsidRDefault="00011A1A" w:rsidP="00011A1A">
      <w:pPr>
        <w:pStyle w:val="ListBullet"/>
        <w:numPr>
          <w:ilvl w:val="0"/>
          <w:numId w:val="0"/>
        </w:numPr>
      </w:pPr>
      <w:r>
        <w:lastRenderedPageBreak/>
        <w:t xml:space="preserve">Applications from consortia are acceptable, as long as you have a lead applicant who is solely accountable to the Commonwealth for the delivery of grant activities and </w:t>
      </w:r>
      <w:r w:rsidR="00D25DF5">
        <w:t>is an invited organisation as listed below.</w:t>
      </w:r>
    </w:p>
    <w:p w14:paraId="61BD5350" w14:textId="77777777" w:rsidR="006C6386" w:rsidRPr="006C6386" w:rsidRDefault="006C6386" w:rsidP="00C17584">
      <w:pPr>
        <w:spacing w:after="240"/>
      </w:pPr>
      <w:r w:rsidRPr="006C6386">
        <w:t>The list of invited organisations includes; members of the National Association of Community Legal Centres (NACLC), members of the National Aboriginal and Torres Strait Islander Legal Services (NATSILS) and members of the National Legal Aid (NLA)</w:t>
      </w:r>
      <w:r w:rsidRPr="006C6386">
        <w:rPr>
          <w:rFonts w:cs="Arial"/>
        </w:rPr>
        <w:t>.</w:t>
      </w:r>
    </w:p>
    <w:tbl>
      <w:tblPr>
        <w:tblStyle w:val="GridTable4"/>
        <w:tblW w:w="9351" w:type="dxa"/>
        <w:tblLook w:val="04A0" w:firstRow="1" w:lastRow="0" w:firstColumn="1" w:lastColumn="0" w:noHBand="0" w:noVBand="1"/>
        <w:tblCaption w:val="Invited Organtion and Rationale for Invitation"/>
      </w:tblPr>
      <w:tblGrid>
        <w:gridCol w:w="5524"/>
        <w:gridCol w:w="3827"/>
      </w:tblGrid>
      <w:tr w:rsidR="006C6386" w:rsidRPr="008D0D99" w14:paraId="65744732" w14:textId="77777777" w:rsidTr="00DE5F4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24" w:type="dxa"/>
          </w:tcPr>
          <w:p w14:paraId="3731FBE1" w14:textId="77777777" w:rsidR="006C6386" w:rsidRPr="008D0D99" w:rsidRDefault="006C6386" w:rsidP="008D0D99">
            <w:pPr>
              <w:spacing w:before="60" w:after="60" w:line="240" w:lineRule="auto"/>
              <w:rPr>
                <w:rFonts w:asciiTheme="minorHAnsi" w:eastAsiaTheme="minorHAnsi" w:hAnsiTheme="minorHAnsi" w:cstheme="minorBidi"/>
                <w:b w:val="0"/>
                <w:sz w:val="22"/>
                <w:szCs w:val="22"/>
              </w:rPr>
            </w:pPr>
            <w:r w:rsidRPr="008D0D99">
              <w:t>Invited Organisation</w:t>
            </w:r>
          </w:p>
        </w:tc>
        <w:tc>
          <w:tcPr>
            <w:tcW w:w="3827" w:type="dxa"/>
          </w:tcPr>
          <w:p w14:paraId="1398BC16" w14:textId="77777777" w:rsidR="006C6386" w:rsidRPr="00E86F19" w:rsidRDefault="006C6386" w:rsidP="008D0D99">
            <w:pPr>
              <w:spacing w:before="60" w:after="60" w:line="240" w:lineRule="auto"/>
              <w:cnfStyle w:val="100000000000" w:firstRow="1" w:lastRow="0" w:firstColumn="0" w:lastColumn="0" w:oddVBand="0" w:evenVBand="0" w:oddHBand="0" w:evenHBand="0" w:firstRowFirstColumn="0" w:firstRowLastColumn="0" w:lastRowFirstColumn="0" w:lastRowLastColumn="0"/>
            </w:pPr>
            <w:r w:rsidRPr="00E86F19">
              <w:t>Member Of</w:t>
            </w:r>
          </w:p>
        </w:tc>
      </w:tr>
      <w:tr w:rsidR="006C6386" w:rsidRPr="008D0D99" w14:paraId="44529963" w14:textId="77777777" w:rsidTr="003D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38DC33A3" w14:textId="77777777" w:rsidR="006C6386" w:rsidRPr="008D0D99" w:rsidRDefault="00862FF2" w:rsidP="008D0D99">
            <w:pPr>
              <w:spacing w:before="60" w:after="60" w:line="240" w:lineRule="auto"/>
              <w:rPr>
                <w:b w:val="0"/>
              </w:rPr>
            </w:pPr>
            <w:r>
              <w:rPr>
                <w:b w:val="0"/>
              </w:rPr>
              <w:t>National Association of Community Legal Centres</w:t>
            </w:r>
          </w:p>
        </w:tc>
        <w:tc>
          <w:tcPr>
            <w:tcW w:w="3827" w:type="dxa"/>
          </w:tcPr>
          <w:p w14:paraId="72B5D252" w14:textId="77777777" w:rsidR="006C6386" w:rsidRPr="006C6386" w:rsidRDefault="006C6386" w:rsidP="008D0D99">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6C6386">
              <w:t>NACLC</w:t>
            </w:r>
          </w:p>
        </w:tc>
      </w:tr>
      <w:tr w:rsidR="006C6386" w:rsidRPr="008D0D99" w14:paraId="6D7F880C" w14:textId="77777777" w:rsidTr="003D5C9A">
        <w:tc>
          <w:tcPr>
            <w:cnfStyle w:val="001000000000" w:firstRow="0" w:lastRow="0" w:firstColumn="1" w:lastColumn="0" w:oddVBand="0" w:evenVBand="0" w:oddHBand="0" w:evenHBand="0" w:firstRowFirstColumn="0" w:firstRowLastColumn="0" w:lastRowFirstColumn="0" w:lastRowLastColumn="0"/>
            <w:tcW w:w="5524" w:type="dxa"/>
          </w:tcPr>
          <w:p w14:paraId="2FD33FB6" w14:textId="77777777" w:rsidR="00862FF2" w:rsidRPr="008D0D99" w:rsidRDefault="00C70D2D" w:rsidP="008D0D99">
            <w:pPr>
              <w:spacing w:before="60" w:after="60" w:line="240" w:lineRule="auto"/>
              <w:rPr>
                <w:b w:val="0"/>
              </w:rPr>
            </w:pPr>
            <w:r w:rsidRPr="00C70D2D">
              <w:rPr>
                <w:b w:val="0"/>
              </w:rPr>
              <w:t>Victoria Aboriginal Legal Service trading as National Aboriginal and Torres Strait Islander Legal Service</w:t>
            </w:r>
          </w:p>
        </w:tc>
        <w:tc>
          <w:tcPr>
            <w:tcW w:w="3827" w:type="dxa"/>
          </w:tcPr>
          <w:p w14:paraId="563FED4D" w14:textId="77777777" w:rsidR="006C6386" w:rsidRPr="006C6386" w:rsidRDefault="00C70D2D" w:rsidP="008D0D99">
            <w:pPr>
              <w:spacing w:before="60" w:after="60" w:line="240" w:lineRule="auto"/>
              <w:cnfStyle w:val="000000000000" w:firstRow="0" w:lastRow="0" w:firstColumn="0" w:lastColumn="0" w:oddVBand="0" w:evenVBand="0" w:oddHBand="0" w:evenHBand="0" w:firstRowFirstColumn="0" w:firstRowLastColumn="0" w:lastRowFirstColumn="0" w:lastRowLastColumn="0"/>
            </w:pPr>
            <w:r>
              <w:t>National Aboriginal &amp; Torres Strait Islander Legal Services</w:t>
            </w:r>
          </w:p>
        </w:tc>
      </w:tr>
      <w:tr w:rsidR="006C6386" w:rsidRPr="008D0D99" w14:paraId="21542A14" w14:textId="77777777" w:rsidTr="003D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4" w:type="dxa"/>
          </w:tcPr>
          <w:p w14:paraId="509335D6" w14:textId="77777777" w:rsidR="00862FF2" w:rsidRPr="008D0D99" w:rsidRDefault="00862FF2" w:rsidP="003D5C9A">
            <w:pPr>
              <w:spacing w:before="60" w:after="60" w:line="240" w:lineRule="auto"/>
              <w:rPr>
                <w:b w:val="0"/>
              </w:rPr>
            </w:pPr>
            <w:r>
              <w:rPr>
                <w:b w:val="0"/>
              </w:rPr>
              <w:t>Legal Aid New South Wales</w:t>
            </w:r>
          </w:p>
        </w:tc>
        <w:tc>
          <w:tcPr>
            <w:tcW w:w="3827" w:type="dxa"/>
          </w:tcPr>
          <w:p w14:paraId="3A8527C9" w14:textId="77777777" w:rsidR="006C6386" w:rsidRPr="006C6386" w:rsidRDefault="006C6386" w:rsidP="008D0D99">
            <w:pPr>
              <w:spacing w:before="60" w:after="60" w:line="240" w:lineRule="auto"/>
              <w:cnfStyle w:val="000000100000" w:firstRow="0" w:lastRow="0" w:firstColumn="0" w:lastColumn="0" w:oddVBand="0" w:evenVBand="0" w:oddHBand="1" w:evenHBand="0" w:firstRowFirstColumn="0" w:firstRowLastColumn="0" w:lastRowFirstColumn="0" w:lastRowLastColumn="0"/>
            </w:pPr>
            <w:r w:rsidRPr="006C6386">
              <w:t>N</w:t>
            </w:r>
            <w:r w:rsidR="00143DE8">
              <w:t xml:space="preserve">ational </w:t>
            </w:r>
            <w:r w:rsidRPr="006C6386">
              <w:t>L</w:t>
            </w:r>
            <w:r w:rsidR="00143DE8">
              <w:t xml:space="preserve">egal </w:t>
            </w:r>
            <w:r w:rsidRPr="006C6386">
              <w:t>A</w:t>
            </w:r>
            <w:r w:rsidR="00143DE8">
              <w:t>id</w:t>
            </w:r>
          </w:p>
        </w:tc>
      </w:tr>
    </w:tbl>
    <w:p w14:paraId="34DF15DC" w14:textId="77777777" w:rsidR="00D25DF5" w:rsidRPr="006C6386" w:rsidRDefault="00D25DF5" w:rsidP="00D25DF5">
      <w:pPr>
        <w:spacing w:before="120" w:after="240"/>
        <w:rPr>
          <w:rFonts w:eastAsiaTheme="minorHAnsi" w:cs="Arial"/>
        </w:rPr>
      </w:pPr>
      <w:r w:rsidRPr="006C6386">
        <w:rPr>
          <w:rFonts w:eastAsiaTheme="minorHAnsi" w:cs="Arial"/>
        </w:rPr>
        <w:t>You must be one of the listed invited organisations and have received an invitation</w:t>
      </w:r>
      <w:r w:rsidR="00C70D2D">
        <w:rPr>
          <w:rFonts w:eastAsiaTheme="minorHAnsi" w:cs="Arial"/>
        </w:rPr>
        <w:t xml:space="preserve"> to apply through GrantConnect.</w:t>
      </w:r>
    </w:p>
    <w:p w14:paraId="6D567588" w14:textId="77777777" w:rsidR="00924190" w:rsidRDefault="00924190" w:rsidP="006C6386">
      <w:pPr>
        <w:rPr>
          <w:rFonts w:cs="Arial"/>
        </w:rPr>
      </w:pPr>
      <w:r w:rsidRPr="00277B22">
        <w:rPr>
          <w:rFonts w:cs="Arial"/>
        </w:rPr>
        <w:t>The list of eligible applicants was determined based on the need for the establishment of a national legal advisory service that will meet the requirements of all individuals with disability, their families, carers and their supporters who may seek to en</w:t>
      </w:r>
      <w:r w:rsidR="004D6C5E">
        <w:rPr>
          <w:rFonts w:cs="Arial"/>
        </w:rPr>
        <w:t>gage with the Royal Commission.</w:t>
      </w:r>
    </w:p>
    <w:p w14:paraId="28E7CFBA" w14:textId="77777777" w:rsidR="002A0E03" w:rsidRDefault="002A0E03" w:rsidP="009668F6">
      <w:pPr>
        <w:pStyle w:val="Heading3"/>
      </w:pPr>
      <w:bookmarkStart w:id="18" w:name="_Toc494290495"/>
      <w:bookmarkStart w:id="19" w:name="_Toc15025942"/>
      <w:bookmarkEnd w:id="18"/>
      <w:r>
        <w:t>Who is not eligible</w:t>
      </w:r>
      <w:r w:rsidR="003271A6">
        <w:t xml:space="preserve"> to apply for a grant</w:t>
      </w:r>
      <w:r>
        <w:t>?</w:t>
      </w:r>
      <w:bookmarkEnd w:id="19"/>
    </w:p>
    <w:p w14:paraId="6018ED02" w14:textId="77777777" w:rsidR="00826647" w:rsidRDefault="00826647" w:rsidP="00826647">
      <w:pPr>
        <w:pStyle w:val="ListBullet"/>
        <w:numPr>
          <w:ilvl w:val="0"/>
          <w:numId w:val="0"/>
        </w:numPr>
      </w:pPr>
      <w:r w:rsidRPr="004F1605">
        <w:t xml:space="preserve">You are not eligible to apply for this grant opportunity if you have not received an invitation </w:t>
      </w:r>
      <w:r>
        <w:t>to apply through GrantC</w:t>
      </w:r>
      <w:r w:rsidRPr="004F1605">
        <w:t>onnect and ar</w:t>
      </w:r>
      <w:r>
        <w:t>e</w:t>
      </w:r>
      <w:r w:rsidRPr="004F1605">
        <w:t xml:space="preserve"> not listed as an eligible </w:t>
      </w:r>
      <w:r>
        <w:t xml:space="preserve">invited </w:t>
      </w:r>
      <w:r w:rsidRPr="004F1605">
        <w:t xml:space="preserve">organisation at </w:t>
      </w:r>
      <w:r>
        <w:t>S</w:t>
      </w:r>
      <w:r w:rsidRPr="004F1605">
        <w:t xml:space="preserve">ection </w:t>
      </w:r>
      <w:r>
        <w:t>4.1.</w:t>
      </w:r>
    </w:p>
    <w:p w14:paraId="374948C8" w14:textId="77777777" w:rsidR="002A0E03" w:rsidRDefault="003C19C8" w:rsidP="009668F6">
      <w:pPr>
        <w:pStyle w:val="Heading3"/>
      </w:pPr>
      <w:bookmarkStart w:id="20" w:name="_Toc15025943"/>
      <w:r>
        <w:t>What qualifications</w:t>
      </w:r>
      <w:r w:rsidR="008D123A">
        <w:t>,</w:t>
      </w:r>
      <w:r>
        <w:t xml:space="preserve"> skills</w:t>
      </w:r>
      <w:r w:rsidR="008D123A">
        <w:t xml:space="preserve"> or checks</w:t>
      </w:r>
      <w:r>
        <w:t xml:space="preserve"> are required?</w:t>
      </w:r>
      <w:bookmarkEnd w:id="20"/>
      <w:r>
        <w:t xml:space="preserve"> </w:t>
      </w:r>
    </w:p>
    <w:p w14:paraId="1179FF72" w14:textId="77777777" w:rsidR="00826647" w:rsidRPr="00A815E0" w:rsidRDefault="00826647" w:rsidP="00826647">
      <w:bookmarkStart w:id="21" w:name="_Toc164844264"/>
      <w:bookmarkStart w:id="22" w:name="_Toc383003257"/>
      <w:r>
        <w:t>If you are successful, all relevant personnel</w:t>
      </w:r>
      <w:r w:rsidRPr="00B72EE8">
        <w:t xml:space="preserve"> </w:t>
      </w:r>
      <w:r w:rsidRPr="00A815E0">
        <w:rPr>
          <w:rFonts w:cs="Arial"/>
        </w:rPr>
        <w:t xml:space="preserve">working on the grant activity </w:t>
      </w:r>
      <w:r>
        <w:rPr>
          <w:rFonts w:cs="Arial"/>
        </w:rPr>
        <w:t xml:space="preserve">must </w:t>
      </w:r>
      <w:r w:rsidRPr="00A815E0">
        <w:rPr>
          <w:rFonts w:cs="Arial"/>
        </w:rPr>
        <w:t xml:space="preserve">maintain the following </w:t>
      </w:r>
      <w:r>
        <w:rPr>
          <w:rStyle w:val="highlightedtextChar"/>
          <w:rFonts w:ascii="Arial" w:hAnsi="Arial" w:cs="Arial"/>
          <w:b w:val="0"/>
          <w:color w:val="auto"/>
          <w:sz w:val="20"/>
          <w:szCs w:val="20"/>
        </w:rPr>
        <w:t>registration/</w:t>
      </w:r>
      <w:r w:rsidRPr="00A815E0">
        <w:rPr>
          <w:rStyle w:val="highlightedtextChar"/>
          <w:rFonts w:ascii="Arial" w:hAnsi="Arial" w:cs="Arial"/>
          <w:b w:val="0"/>
          <w:color w:val="auto"/>
          <w:sz w:val="20"/>
          <w:szCs w:val="20"/>
        </w:rPr>
        <w:t>checks</w:t>
      </w:r>
      <w:r>
        <w:rPr>
          <w:rStyle w:val="highlightedtextChar"/>
          <w:rFonts w:ascii="Arial" w:hAnsi="Arial" w:cs="Arial"/>
          <w:b w:val="0"/>
          <w:color w:val="auto"/>
          <w:sz w:val="20"/>
          <w:szCs w:val="20"/>
        </w:rPr>
        <w:t>/qualification</w:t>
      </w:r>
      <w:r w:rsidRPr="00A815E0">
        <w:rPr>
          <w:rFonts w:cs="Arial"/>
        </w:rPr>
        <w:t>:</w:t>
      </w:r>
    </w:p>
    <w:p w14:paraId="10496347" w14:textId="77777777" w:rsidR="00826647" w:rsidRDefault="00826647" w:rsidP="00826647">
      <w:pPr>
        <w:pStyle w:val="ListBullet"/>
        <w:numPr>
          <w:ilvl w:val="0"/>
          <w:numId w:val="7"/>
        </w:numPr>
      </w:pPr>
      <w:r w:rsidRPr="00A815E0">
        <w:t xml:space="preserve">Working with Vulnerable People </w:t>
      </w:r>
      <w:r>
        <w:t xml:space="preserve">registration </w:t>
      </w:r>
    </w:p>
    <w:p w14:paraId="6A724A5F" w14:textId="77777777" w:rsidR="00826647" w:rsidRPr="00A815E0" w:rsidRDefault="00826647" w:rsidP="00826647">
      <w:pPr>
        <w:pStyle w:val="ListBullet"/>
        <w:numPr>
          <w:ilvl w:val="0"/>
          <w:numId w:val="7"/>
        </w:numPr>
      </w:pPr>
      <w:r>
        <w:t xml:space="preserve">Working with Children </w:t>
      </w:r>
      <w:r w:rsidR="00A017FE">
        <w:t>Check</w:t>
      </w:r>
    </w:p>
    <w:p w14:paraId="3D9C0577" w14:textId="77777777" w:rsidR="00826647" w:rsidRDefault="00A017FE" w:rsidP="00826647">
      <w:pPr>
        <w:pStyle w:val="ListBullet"/>
        <w:numPr>
          <w:ilvl w:val="0"/>
          <w:numId w:val="7"/>
        </w:numPr>
      </w:pPr>
      <w:r>
        <w:t xml:space="preserve">current </w:t>
      </w:r>
      <w:r w:rsidR="00826647">
        <w:t>legal practitioner certificate with the relevant state/territory legal practitioner boa</w:t>
      </w:r>
      <w:r w:rsidR="00C433A3">
        <w:t>r</w:t>
      </w:r>
      <w:r w:rsidR="00826647">
        <w:t>d as required part of employment opportunity</w:t>
      </w:r>
      <w:r>
        <w:t>.</w:t>
      </w:r>
    </w:p>
    <w:p w14:paraId="258A6FBD" w14:textId="77777777" w:rsidR="00A35F51" w:rsidRDefault="00907078" w:rsidP="009668F6">
      <w:pPr>
        <w:pStyle w:val="Heading2"/>
      </w:pPr>
      <w:bookmarkStart w:id="23" w:name="_Toc15025944"/>
      <w:bookmarkEnd w:id="21"/>
      <w:bookmarkEnd w:id="22"/>
      <w:r>
        <w:t>What the grant money can be used for</w:t>
      </w:r>
      <w:bookmarkEnd w:id="23"/>
    </w:p>
    <w:p w14:paraId="4AED6067" w14:textId="77777777" w:rsidR="00387218" w:rsidRDefault="007101E7" w:rsidP="009668F6">
      <w:pPr>
        <w:pStyle w:val="Heading3"/>
      </w:pPr>
      <w:bookmarkStart w:id="24" w:name="_Toc15025945"/>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24"/>
    </w:p>
    <w:p w14:paraId="0F9838D8" w14:textId="77777777" w:rsidR="004D2C3F" w:rsidRDefault="004D2C3F" w:rsidP="004D2C3F">
      <w:pPr>
        <w:rPr>
          <w:rFonts w:cs="Arial"/>
        </w:rPr>
      </w:pPr>
      <w:bookmarkStart w:id="25" w:name="_Ref468355814"/>
      <w:bookmarkStart w:id="26" w:name="_Toc383003258"/>
      <w:bookmarkStart w:id="27" w:name="_Toc164844265"/>
      <w:r>
        <w:rPr>
          <w:rFonts w:cs="Arial"/>
        </w:rPr>
        <w:t xml:space="preserve">Eligible activities must directly relate to the grant activity and </w:t>
      </w:r>
      <w:r w:rsidRPr="009C167A">
        <w:rPr>
          <w:rFonts w:cs="Arial"/>
        </w:rPr>
        <w:t>must</w:t>
      </w:r>
      <w:r>
        <w:rPr>
          <w:rFonts w:cs="Arial"/>
        </w:rPr>
        <w:t xml:space="preserve"> include</w:t>
      </w:r>
      <w:r w:rsidRPr="009C167A">
        <w:rPr>
          <w:rFonts w:cs="Arial"/>
        </w:rPr>
        <w:t>:</w:t>
      </w:r>
    </w:p>
    <w:p w14:paraId="5DC97FBF" w14:textId="77777777" w:rsidR="004D2C3F" w:rsidRPr="00836E1A" w:rsidRDefault="004D2C3F" w:rsidP="00836E1A">
      <w:pPr>
        <w:pStyle w:val="ListBullet"/>
        <w:numPr>
          <w:ilvl w:val="0"/>
          <w:numId w:val="7"/>
        </w:numPr>
      </w:pPr>
      <w:r w:rsidRPr="00836E1A">
        <w:t>Create and operate a trauma-informed national legal advice service to support the objectives of the Royal Commission.</w:t>
      </w:r>
    </w:p>
    <w:p w14:paraId="1636B4F4" w14:textId="77777777" w:rsidR="004D2C3F" w:rsidRPr="00836E1A" w:rsidRDefault="004D2C3F" w:rsidP="00836E1A">
      <w:pPr>
        <w:pStyle w:val="ListBullet"/>
        <w:numPr>
          <w:ilvl w:val="0"/>
          <w:numId w:val="7"/>
        </w:numPr>
      </w:pPr>
      <w:r w:rsidRPr="00836E1A">
        <w:t>The service will provide:</w:t>
      </w:r>
    </w:p>
    <w:p w14:paraId="4BC8C410" w14:textId="77777777" w:rsidR="004D2C3F" w:rsidRDefault="004D2C3F" w:rsidP="00A165F0">
      <w:pPr>
        <w:pStyle w:val="ListParagraph"/>
        <w:numPr>
          <w:ilvl w:val="1"/>
          <w:numId w:val="24"/>
        </w:numPr>
        <w:rPr>
          <w:rFonts w:cs="Arial"/>
        </w:rPr>
      </w:pPr>
      <w:r>
        <w:rPr>
          <w:rFonts w:cs="Arial"/>
        </w:rPr>
        <w:t>free legal advice, information and referral to be provided through a national digital advice line, a website and face-to-face services in key locations</w:t>
      </w:r>
    </w:p>
    <w:p w14:paraId="70168854" w14:textId="77777777" w:rsidR="004D2C3F" w:rsidRDefault="004D2C3F" w:rsidP="00A165F0">
      <w:pPr>
        <w:pStyle w:val="ListParagraph"/>
        <w:numPr>
          <w:ilvl w:val="1"/>
          <w:numId w:val="24"/>
        </w:numPr>
        <w:rPr>
          <w:rFonts w:cs="Arial"/>
        </w:rPr>
      </w:pPr>
      <w:r>
        <w:rPr>
          <w:rFonts w:cs="Arial"/>
        </w:rPr>
        <w:t>community outreach and liaison</w:t>
      </w:r>
    </w:p>
    <w:p w14:paraId="2B78FBA6" w14:textId="77777777" w:rsidR="004D2C3F" w:rsidRDefault="004D2C3F" w:rsidP="00A165F0">
      <w:pPr>
        <w:pStyle w:val="ListParagraph"/>
        <w:numPr>
          <w:ilvl w:val="1"/>
          <w:numId w:val="24"/>
        </w:numPr>
        <w:rPr>
          <w:rFonts w:cs="Arial"/>
        </w:rPr>
      </w:pPr>
      <w:r>
        <w:rPr>
          <w:rFonts w:cs="Arial"/>
        </w:rPr>
        <w:t>community information and education sessions.</w:t>
      </w:r>
    </w:p>
    <w:p w14:paraId="5B5ACFF7" w14:textId="77777777" w:rsidR="004D2C3F" w:rsidRPr="00836E1A" w:rsidRDefault="004D2C3F" w:rsidP="00836E1A">
      <w:pPr>
        <w:pStyle w:val="ListBullet"/>
        <w:numPr>
          <w:ilvl w:val="0"/>
          <w:numId w:val="7"/>
        </w:numPr>
      </w:pPr>
      <w:r w:rsidRPr="00FF2FAC">
        <w:t>The service</w:t>
      </w:r>
      <w:r w:rsidR="009357B9" w:rsidRPr="00FF2FAC">
        <w:t xml:space="preserve"> should</w:t>
      </w:r>
      <w:r w:rsidR="009A7C02">
        <w:t xml:space="preserve"> </w:t>
      </w:r>
      <w:r w:rsidR="009357B9">
        <w:t xml:space="preserve">consist </w:t>
      </w:r>
      <w:r w:rsidR="002A77B5">
        <w:t>of the</w:t>
      </w:r>
      <w:r w:rsidRPr="00836E1A">
        <w:t xml:space="preserve"> following staff:</w:t>
      </w:r>
    </w:p>
    <w:p w14:paraId="45E92D91" w14:textId="77777777" w:rsidR="004D2C3F" w:rsidRDefault="004D2C3F" w:rsidP="00A165F0">
      <w:pPr>
        <w:pStyle w:val="ListParagraph"/>
        <w:numPr>
          <w:ilvl w:val="1"/>
          <w:numId w:val="24"/>
        </w:numPr>
        <w:rPr>
          <w:rFonts w:cs="Arial"/>
        </w:rPr>
      </w:pPr>
      <w:r>
        <w:rPr>
          <w:rFonts w:cs="Arial"/>
        </w:rPr>
        <w:t>appropriately qualified legal and support staff</w:t>
      </w:r>
    </w:p>
    <w:p w14:paraId="1D85F0AA" w14:textId="77777777" w:rsidR="004D2C3F" w:rsidRDefault="004D2C3F" w:rsidP="00A165F0">
      <w:pPr>
        <w:pStyle w:val="ListParagraph"/>
        <w:numPr>
          <w:ilvl w:val="1"/>
          <w:numId w:val="24"/>
        </w:numPr>
        <w:rPr>
          <w:rFonts w:cs="Arial"/>
        </w:rPr>
      </w:pPr>
      <w:r>
        <w:rPr>
          <w:rFonts w:cs="Arial"/>
        </w:rPr>
        <w:t xml:space="preserve">specialist staff for Aboriginal and Torres Strait Islander clients </w:t>
      </w:r>
    </w:p>
    <w:p w14:paraId="366E6D32" w14:textId="77777777" w:rsidR="004D2C3F" w:rsidRDefault="004D2C3F" w:rsidP="00A165F0">
      <w:pPr>
        <w:pStyle w:val="ListParagraph"/>
        <w:numPr>
          <w:ilvl w:val="1"/>
          <w:numId w:val="24"/>
        </w:numPr>
        <w:rPr>
          <w:rFonts w:cs="Arial"/>
        </w:rPr>
      </w:pPr>
      <w:r>
        <w:rPr>
          <w:rFonts w:cs="Arial"/>
        </w:rPr>
        <w:lastRenderedPageBreak/>
        <w:t>specialist staff trained and experienced in dealing with victims of violence, abuse, neglect and exploitation.</w:t>
      </w:r>
    </w:p>
    <w:p w14:paraId="455FDCEC" w14:textId="77777777" w:rsidR="004D2C3F" w:rsidRPr="00836E1A" w:rsidRDefault="004D2C3F" w:rsidP="00836E1A">
      <w:pPr>
        <w:pStyle w:val="ListBullet"/>
        <w:numPr>
          <w:ilvl w:val="0"/>
          <w:numId w:val="7"/>
        </w:numPr>
      </w:pPr>
      <w:r w:rsidRPr="00836E1A">
        <w:t>The service must develop a close working relationship with key stakeholders and establish referral pathways with:</w:t>
      </w:r>
    </w:p>
    <w:p w14:paraId="09AB27B3" w14:textId="77777777" w:rsidR="004D2C3F" w:rsidRDefault="004D2C3F" w:rsidP="00A165F0">
      <w:pPr>
        <w:pStyle w:val="ListParagraph"/>
        <w:numPr>
          <w:ilvl w:val="1"/>
          <w:numId w:val="24"/>
        </w:numPr>
        <w:rPr>
          <w:rFonts w:cs="Arial"/>
        </w:rPr>
      </w:pPr>
      <w:r>
        <w:rPr>
          <w:rFonts w:cs="Arial"/>
        </w:rPr>
        <w:t>The Royal Commission (including the legal team and the call centre service)</w:t>
      </w:r>
    </w:p>
    <w:p w14:paraId="061EA8F7" w14:textId="77777777" w:rsidR="004D2C3F" w:rsidRDefault="004D2C3F" w:rsidP="00A165F0">
      <w:pPr>
        <w:pStyle w:val="ListParagraph"/>
        <w:numPr>
          <w:ilvl w:val="1"/>
          <w:numId w:val="24"/>
        </w:numPr>
        <w:rPr>
          <w:rFonts w:cs="Arial"/>
        </w:rPr>
      </w:pPr>
      <w:r>
        <w:rPr>
          <w:rFonts w:cs="Arial"/>
        </w:rPr>
        <w:t>relevant Government funded non-legal service providers</w:t>
      </w:r>
    </w:p>
    <w:p w14:paraId="6144C247" w14:textId="77777777" w:rsidR="004D2C3F" w:rsidRDefault="004D2C3F" w:rsidP="00A165F0">
      <w:pPr>
        <w:pStyle w:val="ListParagraph"/>
        <w:numPr>
          <w:ilvl w:val="1"/>
          <w:numId w:val="24"/>
        </w:numPr>
        <w:rPr>
          <w:rFonts w:cs="Arial"/>
        </w:rPr>
      </w:pPr>
      <w:r>
        <w:rPr>
          <w:rFonts w:cs="Arial"/>
        </w:rPr>
        <w:t>the Financial Assistance section of the department.</w:t>
      </w:r>
    </w:p>
    <w:p w14:paraId="25DE00A0" w14:textId="77777777" w:rsidR="004D2C3F" w:rsidRPr="00836E1A" w:rsidRDefault="004D2C3F" w:rsidP="00836E1A">
      <w:pPr>
        <w:pStyle w:val="ListBullet"/>
        <w:numPr>
          <w:ilvl w:val="0"/>
          <w:numId w:val="7"/>
        </w:numPr>
      </w:pPr>
      <w:r w:rsidRPr="00836E1A">
        <w:t>The service is to be governed under an existing governance structure and/or a specialist board appointed for the activity.</w:t>
      </w:r>
    </w:p>
    <w:p w14:paraId="50CAC401" w14:textId="77777777" w:rsidR="002D5BBC" w:rsidRDefault="002D5BBC" w:rsidP="002D5BBC">
      <w:pPr>
        <w:pStyle w:val="Heading3"/>
      </w:pPr>
      <w:bookmarkStart w:id="28" w:name="_Toc15025946"/>
      <w:r>
        <w:t>Eligible locations</w:t>
      </w:r>
      <w:bookmarkEnd w:id="28"/>
    </w:p>
    <w:p w14:paraId="0DCE37F4" w14:textId="77777777" w:rsidR="002D5BBC" w:rsidRPr="004D2C3F" w:rsidRDefault="002D5BBC" w:rsidP="002D5BBC">
      <w:pPr>
        <w:rPr>
          <w:rFonts w:cs="Arial"/>
        </w:rPr>
      </w:pPr>
      <w:r w:rsidRPr="004D2C3F">
        <w:rPr>
          <w:rFonts w:cs="Arial"/>
        </w:rPr>
        <w:t>Your grant activity must provide Australian wide delivery of legal advisory services to individuals seeking to engage with the Royal Commission.</w:t>
      </w:r>
    </w:p>
    <w:p w14:paraId="3B453A19" w14:textId="77777777" w:rsidR="002D5BBC" w:rsidRPr="004D2C3F" w:rsidRDefault="002D5BBC" w:rsidP="002D5BBC">
      <w:pPr>
        <w:rPr>
          <w:rFonts w:cs="Arial"/>
        </w:rPr>
      </w:pPr>
      <w:r w:rsidRPr="004D2C3F">
        <w:rPr>
          <w:rFonts w:cs="Arial"/>
        </w:rPr>
        <w:t>Your eligible locations must provide appropriate face-to-face assistance, telephone contact, online information that meets all or some of the needs of web-based communication standard of W3G – Web Content Accessibility Guidelines, and reaching off-site and</w:t>
      </w:r>
      <w:r>
        <w:rPr>
          <w:rFonts w:cs="Arial"/>
        </w:rPr>
        <w:t xml:space="preserve"> in institutions.</w:t>
      </w:r>
    </w:p>
    <w:p w14:paraId="69D29C3C" w14:textId="77777777" w:rsidR="002D5BBC" w:rsidRDefault="002D5BBC" w:rsidP="002D5BBC">
      <w:pPr>
        <w:pStyle w:val="Heading3"/>
      </w:pPr>
      <w:bookmarkStart w:id="29" w:name="_Toc15025947"/>
      <w:r>
        <w:t>Eligible expenditure</w:t>
      </w:r>
      <w:bookmarkEnd w:id="29"/>
      <w:r>
        <w:t xml:space="preserve"> </w:t>
      </w:r>
    </w:p>
    <w:p w14:paraId="4FC08AC1" w14:textId="77777777" w:rsidR="002D5BBC" w:rsidRDefault="002D5BBC" w:rsidP="002D5BBC">
      <w:bookmarkStart w:id="30" w:name="_Toc506537745"/>
      <w:bookmarkStart w:id="31" w:name="_Toc506537746"/>
      <w:bookmarkStart w:id="32" w:name="_Toc506537747"/>
      <w:bookmarkStart w:id="33" w:name="_Toc506537748"/>
      <w:bookmarkStart w:id="34" w:name="_Toc506537749"/>
      <w:bookmarkStart w:id="35" w:name="_Toc506537751"/>
      <w:bookmarkStart w:id="36" w:name="_Toc506537752"/>
      <w:bookmarkStart w:id="37" w:name="_Toc506537753"/>
      <w:bookmarkStart w:id="38" w:name="_Toc506537754"/>
      <w:bookmarkStart w:id="39" w:name="_Toc506537755"/>
      <w:bookmarkStart w:id="40" w:name="_Toc506537756"/>
      <w:bookmarkStart w:id="41" w:name="_Toc506537757"/>
      <w:bookmarkEnd w:id="30"/>
      <w:bookmarkEnd w:id="31"/>
      <w:bookmarkEnd w:id="32"/>
      <w:bookmarkEnd w:id="33"/>
      <w:bookmarkEnd w:id="34"/>
      <w:bookmarkEnd w:id="35"/>
      <w:bookmarkEnd w:id="36"/>
      <w:bookmarkEnd w:id="37"/>
      <w:bookmarkEnd w:id="38"/>
      <w:bookmarkEnd w:id="39"/>
      <w:bookmarkEnd w:id="40"/>
      <w:bookmarkEnd w:id="41"/>
      <w:r w:rsidRPr="00BB5D57">
        <w:t xml:space="preserve">You can only spend </w:t>
      </w:r>
      <w:r>
        <w:t xml:space="preserve">the </w:t>
      </w:r>
      <w:r w:rsidRPr="00BB5D57">
        <w:t xml:space="preserve">grant on eligible expenditure you have incurred </w:t>
      </w:r>
      <w:r>
        <w:t>on eligible grant activities</w:t>
      </w:r>
      <w:r w:rsidRPr="00BB5D57">
        <w:t>.</w:t>
      </w:r>
    </w:p>
    <w:p w14:paraId="2897E99A" w14:textId="77777777" w:rsidR="002D5BBC" w:rsidRDefault="002D5BBC" w:rsidP="002D5BBC">
      <w:r>
        <w:t>Eligible expenditure items are:</w:t>
      </w:r>
    </w:p>
    <w:p w14:paraId="66E98A77" w14:textId="77777777" w:rsidR="002D5BBC" w:rsidRPr="004D2C3F" w:rsidRDefault="002D5BBC" w:rsidP="002D5BBC">
      <w:pPr>
        <w:pStyle w:val="ListBullet"/>
        <w:rPr>
          <w:rFonts w:cs="Arial"/>
        </w:rPr>
      </w:pPr>
      <w:r w:rsidRPr="004D2C3F">
        <w:rPr>
          <w:rFonts w:cs="Arial"/>
        </w:rPr>
        <w:t>Employee salary and on-going costs that can be directly attributed to the provision of the funded grant activity</w:t>
      </w:r>
      <w:r w:rsidR="00A017FE">
        <w:rPr>
          <w:rFonts w:cs="Arial"/>
        </w:rPr>
        <w:t>.</w:t>
      </w:r>
      <w:r w:rsidRPr="004D2C3F">
        <w:rPr>
          <w:rFonts w:cs="Arial"/>
        </w:rPr>
        <w:t xml:space="preserve"> </w:t>
      </w:r>
    </w:p>
    <w:p w14:paraId="2871E90C" w14:textId="77777777" w:rsidR="002D5BBC" w:rsidRPr="004D2C3F" w:rsidRDefault="002D5BBC" w:rsidP="002D5BBC">
      <w:pPr>
        <w:pStyle w:val="ListBullet"/>
        <w:rPr>
          <w:rFonts w:cs="Arial"/>
        </w:rPr>
      </w:pPr>
      <w:r w:rsidRPr="004D2C3F">
        <w:rPr>
          <w:rFonts w:cs="Arial"/>
        </w:rPr>
        <w:t xml:space="preserve">The provision of legal advice including general information about the role and operation of the Royal Commission, including assisting with the preparation of voluntary written submissions. </w:t>
      </w:r>
    </w:p>
    <w:p w14:paraId="350647D4" w14:textId="77777777" w:rsidR="002D5BBC" w:rsidRPr="004D2C3F" w:rsidRDefault="002D5BBC" w:rsidP="002D5BBC">
      <w:pPr>
        <w:pStyle w:val="ListBullet"/>
        <w:rPr>
          <w:rFonts w:cs="Arial"/>
        </w:rPr>
      </w:pPr>
      <w:r w:rsidRPr="004D2C3F">
        <w:rPr>
          <w:rFonts w:cs="Arial"/>
        </w:rPr>
        <w:t>Employee training specifically related to the delivery of the legal advisory service for persons with disability, their families, carers and supporters.</w:t>
      </w:r>
    </w:p>
    <w:p w14:paraId="4CFE5B05" w14:textId="77777777" w:rsidR="002D5BBC" w:rsidRPr="004D2C3F" w:rsidRDefault="002D5BBC" w:rsidP="002D5BBC">
      <w:pPr>
        <w:pStyle w:val="ListBullet"/>
        <w:numPr>
          <w:ilvl w:val="0"/>
          <w:numId w:val="0"/>
        </w:numPr>
        <w:rPr>
          <w:rFonts w:cs="Arial"/>
        </w:rPr>
      </w:pPr>
      <w:r w:rsidRPr="004D2C3F">
        <w:rPr>
          <w:rFonts w:cs="Arial"/>
        </w:rPr>
        <w:t xml:space="preserve">Administrative expenses directly related to the delivery of the funded grant activity such as: </w:t>
      </w:r>
    </w:p>
    <w:p w14:paraId="54F6A1D6" w14:textId="77777777" w:rsidR="002D5BBC" w:rsidRPr="004D2C3F" w:rsidRDefault="002D5BBC" w:rsidP="002D5BBC">
      <w:pPr>
        <w:pStyle w:val="ListBullet"/>
      </w:pPr>
      <w:r w:rsidRPr="004D2C3F">
        <w:t>rent and outgoings</w:t>
      </w:r>
    </w:p>
    <w:p w14:paraId="14AB727A" w14:textId="77777777" w:rsidR="002D5BBC" w:rsidRPr="004D2C3F" w:rsidRDefault="002D5BBC" w:rsidP="002D5BBC">
      <w:pPr>
        <w:pStyle w:val="ListBullet"/>
      </w:pPr>
      <w:r w:rsidRPr="004D2C3F">
        <w:t>computer/information/software</w:t>
      </w:r>
    </w:p>
    <w:p w14:paraId="10535CBC" w14:textId="77777777" w:rsidR="002D5BBC" w:rsidRPr="004D2C3F" w:rsidRDefault="002D5BBC" w:rsidP="002D5BBC">
      <w:pPr>
        <w:pStyle w:val="ListBullet"/>
      </w:pPr>
      <w:r w:rsidRPr="004D2C3F">
        <w:t>insurance</w:t>
      </w:r>
    </w:p>
    <w:p w14:paraId="6919446D" w14:textId="77777777" w:rsidR="002D5BBC" w:rsidRPr="004D2C3F" w:rsidRDefault="002D5BBC" w:rsidP="002D5BBC">
      <w:pPr>
        <w:pStyle w:val="ListBullet"/>
      </w:pPr>
      <w:r w:rsidRPr="004D2C3F">
        <w:t>utilities</w:t>
      </w:r>
    </w:p>
    <w:p w14:paraId="09630947" w14:textId="77777777" w:rsidR="002D5BBC" w:rsidRPr="004D2C3F" w:rsidRDefault="002D5BBC" w:rsidP="002D5BBC">
      <w:pPr>
        <w:pStyle w:val="ListBullet"/>
      </w:pPr>
      <w:r w:rsidRPr="004D2C3F">
        <w:t>postage</w:t>
      </w:r>
    </w:p>
    <w:p w14:paraId="3767B00D" w14:textId="77777777" w:rsidR="002D5BBC" w:rsidRPr="004D2C3F" w:rsidRDefault="002D5BBC" w:rsidP="002D5BBC">
      <w:pPr>
        <w:pStyle w:val="ListBullet"/>
      </w:pPr>
      <w:r w:rsidRPr="004D2C3F">
        <w:t>station</w:t>
      </w:r>
      <w:r w:rsidR="00A6580B">
        <w:t>e</w:t>
      </w:r>
      <w:r w:rsidRPr="004D2C3F">
        <w:t xml:space="preserve">ry and printing </w:t>
      </w:r>
    </w:p>
    <w:p w14:paraId="1FD9B299" w14:textId="77777777" w:rsidR="002D5BBC" w:rsidRPr="004D2C3F" w:rsidRDefault="002D5BBC" w:rsidP="002D5BBC">
      <w:pPr>
        <w:pStyle w:val="ListBullet"/>
      </w:pPr>
      <w:r w:rsidRPr="004D2C3F">
        <w:t>interpreter services</w:t>
      </w:r>
    </w:p>
    <w:p w14:paraId="7DA5632E" w14:textId="77777777" w:rsidR="002D5BBC" w:rsidRPr="004D2C3F" w:rsidRDefault="002D5BBC" w:rsidP="002D5BBC">
      <w:pPr>
        <w:pStyle w:val="ListBullet"/>
      </w:pPr>
      <w:r w:rsidRPr="004D2C3F">
        <w:t>telephones</w:t>
      </w:r>
    </w:p>
    <w:p w14:paraId="4CDAE67A" w14:textId="77777777" w:rsidR="002D5BBC" w:rsidRPr="004D2C3F" w:rsidRDefault="002D5BBC" w:rsidP="002D5BBC">
      <w:pPr>
        <w:pStyle w:val="ListBullet"/>
      </w:pPr>
      <w:r w:rsidRPr="004D2C3F">
        <w:t xml:space="preserve">travel costs and vehicles used for the purpose of transporting employees to provide the legal advisory service and promote the engagement of the service to persons unable to travel to office locations because of their disability, or they </w:t>
      </w:r>
      <w:r>
        <w:t>are loc</w:t>
      </w:r>
      <w:r w:rsidR="00AF08F7">
        <w:t>ated in an institution.</w:t>
      </w:r>
    </w:p>
    <w:p w14:paraId="04C8BF73" w14:textId="77777777" w:rsidR="002D5BBC" w:rsidRPr="004D2C3F" w:rsidRDefault="002D5BBC" w:rsidP="002D5BBC">
      <w:pPr>
        <w:pStyle w:val="ListBullet"/>
        <w:numPr>
          <w:ilvl w:val="0"/>
          <w:numId w:val="0"/>
        </w:numPr>
      </w:pPr>
      <w:r w:rsidRPr="004D2C3F">
        <w:t xml:space="preserve">We may update the guidelines on eligible and ineligible expenditure from time to time. If your application is successful, the version in place when you submitted your application </w:t>
      </w:r>
      <w:r w:rsidR="00AF08F7">
        <w:t>applies to your grant activity.</w:t>
      </w:r>
    </w:p>
    <w:p w14:paraId="24654C30" w14:textId="77777777" w:rsidR="002D5BBC" w:rsidRPr="004D2C3F" w:rsidRDefault="002D5BBC" w:rsidP="002D5BBC">
      <w:pPr>
        <w:pStyle w:val="ListBullet"/>
        <w:numPr>
          <w:ilvl w:val="0"/>
          <w:numId w:val="0"/>
        </w:numPr>
      </w:pPr>
      <w:r w:rsidRPr="004D2C3F">
        <w:t>If your application is successful, we may ask you to verify project costs that you provided in your application. You may need to provide evidence such as quotes for major costs.</w:t>
      </w:r>
    </w:p>
    <w:p w14:paraId="5D2883C2" w14:textId="77777777" w:rsidR="002D5BBC" w:rsidRPr="004D2C3F" w:rsidRDefault="002D5BBC" w:rsidP="002D5BBC">
      <w:pPr>
        <w:pStyle w:val="ListBullet"/>
        <w:numPr>
          <w:ilvl w:val="0"/>
          <w:numId w:val="0"/>
        </w:numPr>
      </w:pPr>
      <w:r w:rsidRPr="004D2C3F">
        <w:lastRenderedPageBreak/>
        <w:t>Not all expenditure on your grant activity may be eligible for grant funding. The Program Delegate makes the final decision on what is eligible expenditure</w:t>
      </w:r>
      <w:r>
        <w:t>.</w:t>
      </w:r>
    </w:p>
    <w:p w14:paraId="76539DC3" w14:textId="77777777" w:rsidR="002D5BBC" w:rsidRDefault="002D5BBC" w:rsidP="002A77B5">
      <w:pPr>
        <w:pStyle w:val="ListBullet"/>
        <w:numPr>
          <w:ilvl w:val="0"/>
          <w:numId w:val="0"/>
        </w:numPr>
      </w:pPr>
      <w:r w:rsidRPr="004D2C3F">
        <w:t>You must incur the expenditure on your grant activities between the start date and end or completion date for your grant agreement for it to be eligible.</w:t>
      </w:r>
    </w:p>
    <w:p w14:paraId="00D83E73" w14:textId="77777777" w:rsidR="004D2C3F" w:rsidRPr="009C4FA8" w:rsidRDefault="004D2C3F" w:rsidP="004A7A3A">
      <w:pPr>
        <w:pStyle w:val="Heading3"/>
      </w:pPr>
      <w:bookmarkStart w:id="42" w:name="_Toc15025948"/>
      <w:r w:rsidRPr="009C4FA8">
        <w:t>What the grant money cannot be used for</w:t>
      </w:r>
      <w:bookmarkEnd w:id="42"/>
      <w:r w:rsidRPr="009C4FA8">
        <w:t xml:space="preserve"> </w:t>
      </w:r>
    </w:p>
    <w:p w14:paraId="02E077F4" w14:textId="77777777" w:rsidR="004D2C3F" w:rsidRPr="004D2C3F" w:rsidRDefault="004D2C3F" w:rsidP="004D2C3F">
      <w:pPr>
        <w:rPr>
          <w:rFonts w:cs="Arial"/>
        </w:rPr>
      </w:pPr>
      <w:r w:rsidRPr="004D2C3F">
        <w:rPr>
          <w:rFonts w:cs="Arial"/>
        </w:rPr>
        <w:t xml:space="preserve">You cannot use the grant money for the following activities: </w:t>
      </w:r>
    </w:p>
    <w:p w14:paraId="78668BA1" w14:textId="77777777" w:rsidR="00836E1A" w:rsidRDefault="00F51A6B" w:rsidP="00836E1A">
      <w:pPr>
        <w:pStyle w:val="ListBullet"/>
        <w:numPr>
          <w:ilvl w:val="0"/>
          <w:numId w:val="7"/>
        </w:numPr>
      </w:pPr>
      <w:r>
        <w:t>a</w:t>
      </w:r>
      <w:r w:rsidR="00836E1A">
        <w:t>ctivities for the same purpose that is already funded on an ongoing basis by another Australian, state or local government provide</w:t>
      </w:r>
      <w:r w:rsidR="002C34A4">
        <w:t>r</w:t>
      </w:r>
    </w:p>
    <w:p w14:paraId="1107897A" w14:textId="77777777" w:rsidR="00836E1A" w:rsidRDefault="00F51A6B" w:rsidP="00836E1A">
      <w:pPr>
        <w:pStyle w:val="ListBullet"/>
        <w:numPr>
          <w:ilvl w:val="0"/>
          <w:numId w:val="7"/>
        </w:numPr>
      </w:pPr>
      <w:r>
        <w:t>a</w:t>
      </w:r>
      <w:r w:rsidR="00836E1A">
        <w:t>ctivities that commenced prior to the grant agreement being finalised, such as capital works</w:t>
      </w:r>
    </w:p>
    <w:p w14:paraId="6931BA5A" w14:textId="77777777" w:rsidR="00836E1A" w:rsidRDefault="00F51A6B" w:rsidP="00836E1A">
      <w:pPr>
        <w:pStyle w:val="ListBullet"/>
        <w:numPr>
          <w:ilvl w:val="0"/>
          <w:numId w:val="7"/>
        </w:numPr>
      </w:pPr>
      <w:r>
        <w:t>r</w:t>
      </w:r>
      <w:r w:rsidR="00836E1A">
        <w:t>elocation costs</w:t>
      </w:r>
    </w:p>
    <w:p w14:paraId="33C6EEE8" w14:textId="77777777" w:rsidR="00836E1A" w:rsidRDefault="00836E1A" w:rsidP="00836E1A">
      <w:pPr>
        <w:pStyle w:val="ListBullet"/>
        <w:numPr>
          <w:ilvl w:val="0"/>
          <w:numId w:val="7"/>
        </w:numPr>
      </w:pPr>
      <w:r>
        <w:t>the purchase of land</w:t>
      </w:r>
    </w:p>
    <w:p w14:paraId="71C7F672" w14:textId="77777777" w:rsidR="00836E1A" w:rsidRDefault="00F51A6B" w:rsidP="00836E1A">
      <w:pPr>
        <w:pStyle w:val="ListBullet"/>
        <w:numPr>
          <w:ilvl w:val="0"/>
          <w:numId w:val="7"/>
        </w:numPr>
      </w:pPr>
      <w:r>
        <w:t>w</w:t>
      </w:r>
      <w:r w:rsidR="00836E1A">
        <w:t>ages not directly related to the delivery of the funded grant activity</w:t>
      </w:r>
    </w:p>
    <w:p w14:paraId="1F466E26" w14:textId="77777777" w:rsidR="00836E1A" w:rsidRDefault="00F51A6B" w:rsidP="00836E1A">
      <w:pPr>
        <w:pStyle w:val="ListBullet"/>
        <w:numPr>
          <w:ilvl w:val="0"/>
          <w:numId w:val="7"/>
        </w:numPr>
      </w:pPr>
      <w:r>
        <w:t>m</w:t>
      </w:r>
      <w:r w:rsidR="00836E1A">
        <w:t>ajor capital expenditure without prior approval</w:t>
      </w:r>
    </w:p>
    <w:p w14:paraId="6BFC6FA9" w14:textId="77777777" w:rsidR="00836E1A" w:rsidRDefault="00F51A6B" w:rsidP="00836E1A">
      <w:pPr>
        <w:pStyle w:val="ListBullet"/>
        <w:numPr>
          <w:ilvl w:val="0"/>
          <w:numId w:val="7"/>
        </w:numPr>
      </w:pPr>
      <w:r>
        <w:t>c</w:t>
      </w:r>
      <w:r w:rsidR="00836E1A">
        <w:t>osts incurred in assisting an individual and/or organisations</w:t>
      </w:r>
      <w:r w:rsidR="006D239E">
        <w:t xml:space="preserve"> </w:t>
      </w:r>
      <w:r w:rsidR="00836E1A">
        <w:t>to appear as a witness before the Royal Commission (this is provided through Financial Assistance for legal and related expenses for witnesses appearing before the Royal Commission)</w:t>
      </w:r>
    </w:p>
    <w:p w14:paraId="4E5487A7" w14:textId="77777777" w:rsidR="00836E1A" w:rsidRDefault="00F51A6B" w:rsidP="00836E1A">
      <w:pPr>
        <w:pStyle w:val="ListBullet"/>
        <w:numPr>
          <w:ilvl w:val="0"/>
          <w:numId w:val="7"/>
        </w:numPr>
      </w:pPr>
      <w:r>
        <w:t>s</w:t>
      </w:r>
      <w:r w:rsidR="00836E1A">
        <w:t>ubsidy of general ongoing administration of an organisation that is not related to the funded grant activity such as electricity, phone and rent</w:t>
      </w:r>
    </w:p>
    <w:p w14:paraId="1BE4E2D1" w14:textId="77777777" w:rsidR="00836E1A" w:rsidRDefault="00F51A6B" w:rsidP="00836E1A">
      <w:pPr>
        <w:pStyle w:val="ListBullet"/>
        <w:numPr>
          <w:ilvl w:val="0"/>
          <w:numId w:val="7"/>
        </w:numPr>
      </w:pPr>
      <w:r>
        <w:t>o</w:t>
      </w:r>
      <w:r w:rsidR="00836E1A">
        <w:t>verseas travel</w:t>
      </w:r>
    </w:p>
    <w:p w14:paraId="36DE3AE7" w14:textId="77777777" w:rsidR="00836E1A" w:rsidRPr="001552F7" w:rsidRDefault="00F51A6B" w:rsidP="00836E1A">
      <w:pPr>
        <w:pStyle w:val="ListBullet"/>
        <w:numPr>
          <w:ilvl w:val="0"/>
          <w:numId w:val="7"/>
        </w:numPr>
      </w:pPr>
      <w:r>
        <w:t>a</w:t>
      </w:r>
      <w:r w:rsidR="00836E1A">
        <w:t xml:space="preserve">ctivity for which the Commonwealth, </w:t>
      </w:r>
      <w:r w:rsidR="00734C14">
        <w:t>state</w:t>
      </w:r>
      <w:r w:rsidR="00836E1A">
        <w:t xml:space="preserve">, </w:t>
      </w:r>
      <w:r w:rsidR="00734C14">
        <w:t xml:space="preserve">territory </w:t>
      </w:r>
      <w:r w:rsidR="00836E1A">
        <w:t xml:space="preserve">or </w:t>
      </w:r>
      <w:r w:rsidR="00734C14">
        <w:t xml:space="preserve">local government </w:t>
      </w:r>
      <w:r w:rsidR="00836E1A">
        <w:t>bodi</w:t>
      </w:r>
      <w:r w:rsidR="00AF08F7">
        <w:t>es have primary responsibility.</w:t>
      </w:r>
    </w:p>
    <w:p w14:paraId="068674A2" w14:textId="77777777" w:rsidR="0039610D" w:rsidRPr="00747B26" w:rsidRDefault="0036055C" w:rsidP="009668F6">
      <w:pPr>
        <w:pStyle w:val="Heading2"/>
      </w:pPr>
      <w:bookmarkStart w:id="43" w:name="_Toc494290504"/>
      <w:bookmarkStart w:id="44" w:name="_Toc494290505"/>
      <w:bookmarkStart w:id="45" w:name="_Toc494290506"/>
      <w:bookmarkStart w:id="46" w:name="_Toc494290507"/>
      <w:bookmarkStart w:id="47" w:name="_Toc494290508"/>
      <w:bookmarkStart w:id="48" w:name="_Toc494290509"/>
      <w:bookmarkStart w:id="49" w:name="_Toc494290510"/>
      <w:bookmarkStart w:id="50" w:name="_Toc494290511"/>
      <w:bookmarkStart w:id="51" w:name="_Ref485221187"/>
      <w:bookmarkStart w:id="52" w:name="_Toc15025949"/>
      <w:bookmarkEnd w:id="25"/>
      <w:bookmarkEnd w:id="43"/>
      <w:bookmarkEnd w:id="44"/>
      <w:bookmarkEnd w:id="45"/>
      <w:bookmarkEnd w:id="46"/>
      <w:bookmarkEnd w:id="47"/>
      <w:bookmarkEnd w:id="48"/>
      <w:bookmarkEnd w:id="49"/>
      <w:bookmarkEnd w:id="50"/>
      <w:r>
        <w:t xml:space="preserve">The </w:t>
      </w:r>
      <w:r w:rsidR="00B94249">
        <w:t>assessment criteria</w:t>
      </w:r>
      <w:bookmarkEnd w:id="51"/>
      <w:bookmarkEnd w:id="52"/>
    </w:p>
    <w:p w14:paraId="6F350D9E" w14:textId="77777777" w:rsidR="009357B9" w:rsidRDefault="00C74952" w:rsidP="00C74952">
      <w:r>
        <w:t>Y</w:t>
      </w:r>
      <w:r w:rsidRPr="00E44E21">
        <w:t xml:space="preserve">ou </w:t>
      </w:r>
      <w:r>
        <w:t>must</w:t>
      </w:r>
      <w:r w:rsidRPr="00E44E21">
        <w:t xml:space="preserve"> </w:t>
      </w:r>
      <w:r w:rsidRPr="00EB1075">
        <w:t xml:space="preserve">address </w:t>
      </w:r>
      <w:r w:rsidRPr="00EE0C10">
        <w:t>all</w:t>
      </w:r>
      <w:r w:rsidRPr="00EB1075">
        <w:t xml:space="preserve"> </w:t>
      </w:r>
      <w:r>
        <w:t>of</w:t>
      </w:r>
      <w:r w:rsidRPr="00342D0A">
        <w:t xml:space="preserve"> </w:t>
      </w:r>
      <w:r w:rsidRPr="00E44E21">
        <w:t xml:space="preserve">the following assessment criteria in </w:t>
      </w:r>
      <w:r>
        <w:t>the</w:t>
      </w:r>
      <w:r w:rsidR="00AF08F7">
        <w:t xml:space="preserve"> application.</w:t>
      </w:r>
    </w:p>
    <w:p w14:paraId="61584B07" w14:textId="77777777" w:rsidR="002A77B5" w:rsidRDefault="00350C9B" w:rsidP="00C74952">
      <w:r>
        <w:t xml:space="preserve">When addressing the assessment criteria, you should consider the policies at section 10.2. </w:t>
      </w:r>
    </w:p>
    <w:p w14:paraId="13432349" w14:textId="77777777" w:rsidR="00C74952" w:rsidRDefault="00C74952" w:rsidP="00C74952">
      <w:r>
        <w:t xml:space="preserve">We </w:t>
      </w:r>
      <w:r w:rsidRPr="00E44E21">
        <w:t xml:space="preserve">will </w:t>
      </w:r>
      <w:r>
        <w:t>assess</w:t>
      </w:r>
      <w:r w:rsidRPr="00E44E21">
        <w:t xml:space="preserve"> your application based on the weighting given to each criterion</w:t>
      </w:r>
      <w:r>
        <w:t xml:space="preserve"> detailed below, if applicable.</w:t>
      </w:r>
    </w:p>
    <w:p w14:paraId="11AD75E6" w14:textId="77777777" w:rsidR="00C74952" w:rsidRDefault="00C74952" w:rsidP="00C74952">
      <w:r>
        <w:t xml:space="preserve">The application form includes character limits – up to </w:t>
      </w:r>
      <w:r w:rsidR="002A77B5" w:rsidRPr="002A77B5">
        <w:t>6,000</w:t>
      </w:r>
      <w:r w:rsidRPr="002A77B5">
        <w:t xml:space="preserve"> </w:t>
      </w:r>
      <w:r>
        <w:t>characters (approx.</w:t>
      </w:r>
      <w:r w:rsidRPr="002A77B5">
        <w:t xml:space="preserve"> </w:t>
      </w:r>
      <w:r w:rsidR="002A77B5" w:rsidRPr="002A77B5">
        <w:t>900</w:t>
      </w:r>
      <w:r>
        <w:t xml:space="preserve"> words) per criterion. The application form will not accept characters beyond this limit. Please note spaces are included in the character limit.</w:t>
      </w:r>
    </w:p>
    <w:p w14:paraId="4690ABE1" w14:textId="77777777" w:rsidR="0045038D" w:rsidRPr="00E44E21" w:rsidRDefault="0045038D" w:rsidP="00C74952">
      <w:r>
        <w:t>Each criteria is weighted equally.</w:t>
      </w:r>
    </w:p>
    <w:p w14:paraId="371EC0D6" w14:textId="77777777" w:rsidR="00836E1A" w:rsidRDefault="00836E1A" w:rsidP="00836E1A">
      <w:r w:rsidRPr="007F3E7A">
        <w:t>The amount of detail and supporting evidence you provide in your application should be relative to the size, complex</w:t>
      </w:r>
      <w:r w:rsidR="00AF08F7">
        <w:t>ity and grant amount requested.</w:t>
      </w:r>
    </w:p>
    <w:p w14:paraId="31D8B360" w14:textId="77777777" w:rsidR="0045038D" w:rsidRDefault="0045038D" w:rsidP="00090B23">
      <w:pPr>
        <w:spacing w:before="0" w:after="0" w:line="240" w:lineRule="auto"/>
        <w:rPr>
          <w:b/>
        </w:rPr>
      </w:pPr>
    </w:p>
    <w:p w14:paraId="61663759" w14:textId="77777777" w:rsidR="000A68A8" w:rsidRPr="000A68A8" w:rsidRDefault="000A68A8" w:rsidP="00090B23">
      <w:pPr>
        <w:spacing w:before="0" w:after="0" w:line="240" w:lineRule="auto"/>
        <w:rPr>
          <w:b/>
        </w:rPr>
      </w:pPr>
      <w:r w:rsidRPr="000A68A8">
        <w:rPr>
          <w:b/>
        </w:rPr>
        <w:t>Criterion 1 – How will you meet the needs of individuals seeking to engage with the Royal Commission.</w:t>
      </w:r>
    </w:p>
    <w:p w14:paraId="29664A7E" w14:textId="77777777" w:rsidR="000A68A8" w:rsidRPr="000A68A8" w:rsidRDefault="000A68A8" w:rsidP="000A68A8">
      <w:r w:rsidRPr="000A68A8">
        <w:t>Applicants should demonstrate:</w:t>
      </w:r>
    </w:p>
    <w:p w14:paraId="54449299" w14:textId="77777777" w:rsidR="000A68A8" w:rsidRPr="000A68A8" w:rsidRDefault="000A68A8" w:rsidP="000A68A8">
      <w:pPr>
        <w:numPr>
          <w:ilvl w:val="0"/>
          <w:numId w:val="46"/>
        </w:numPr>
        <w:contextualSpacing/>
      </w:pPr>
      <w:r w:rsidRPr="000A68A8">
        <w:t>Training, policies and procedures to provide a national trauma-informed legal service</w:t>
      </w:r>
      <w:r w:rsidR="00AF08F7">
        <w:t>.</w:t>
      </w:r>
    </w:p>
    <w:p w14:paraId="65B8D4B7" w14:textId="77777777" w:rsidR="000A68A8" w:rsidRPr="000A68A8" w:rsidRDefault="000A68A8" w:rsidP="000A68A8">
      <w:pPr>
        <w:numPr>
          <w:ilvl w:val="0"/>
          <w:numId w:val="46"/>
        </w:numPr>
        <w:contextualSpacing/>
      </w:pPr>
      <w:r w:rsidRPr="000A68A8">
        <w:t>Experience providing a legal service to intersectional individuals (such as Aboriginal and Torres Strait Islander persons, LBGTIQ+, older persons, culturally and linguistically diverse persons) with disability, their families, carers and supporters in an inclusive, culturally safe wit</w:t>
      </w:r>
      <w:r w:rsidR="00AF08F7">
        <w:t>h human rights focused practice.</w:t>
      </w:r>
    </w:p>
    <w:p w14:paraId="7EC56836" w14:textId="77777777" w:rsidR="000A68A8" w:rsidRPr="000A68A8" w:rsidRDefault="000A68A8" w:rsidP="000A68A8">
      <w:pPr>
        <w:numPr>
          <w:ilvl w:val="0"/>
          <w:numId w:val="46"/>
        </w:numPr>
        <w:contextualSpacing/>
      </w:pPr>
      <w:r w:rsidRPr="000A68A8">
        <w:lastRenderedPageBreak/>
        <w:t>Accessibility for the delivery of face-to-face, digital, and print advice and services on a national level</w:t>
      </w:r>
      <w:r w:rsidR="00AF08F7">
        <w:t>.</w:t>
      </w:r>
    </w:p>
    <w:p w14:paraId="763BE9DB" w14:textId="77777777" w:rsidR="000A68A8" w:rsidRPr="000A68A8" w:rsidRDefault="000A68A8" w:rsidP="000A68A8">
      <w:pPr>
        <w:numPr>
          <w:ilvl w:val="0"/>
          <w:numId w:val="46"/>
        </w:numPr>
        <w:contextualSpacing/>
      </w:pPr>
      <w:r w:rsidRPr="000A68A8">
        <w:t>Referral means to assist individuals to access community supports for counsellin</w:t>
      </w:r>
      <w:r w:rsidR="00AF08F7">
        <w:t>g and other legal practitioners.</w:t>
      </w:r>
    </w:p>
    <w:p w14:paraId="73877BB4" w14:textId="77777777" w:rsidR="000A68A8" w:rsidRPr="000A68A8" w:rsidRDefault="000A68A8" w:rsidP="000A68A8">
      <w:pPr>
        <w:rPr>
          <w:b/>
        </w:rPr>
      </w:pPr>
    </w:p>
    <w:p w14:paraId="2FA1A00D" w14:textId="77777777" w:rsidR="000A68A8" w:rsidRPr="000A68A8" w:rsidRDefault="003F1E31" w:rsidP="000A68A8">
      <w:pPr>
        <w:rPr>
          <w:b/>
        </w:rPr>
      </w:pPr>
      <w:r>
        <w:rPr>
          <w:b/>
        </w:rPr>
        <w:t>Criterion 2 – How do</w:t>
      </w:r>
      <w:r w:rsidR="000A68A8" w:rsidRPr="000A68A8">
        <w:rPr>
          <w:b/>
        </w:rPr>
        <w:t xml:space="preserve"> you propose to deliver the national legal advisory service </w:t>
      </w:r>
    </w:p>
    <w:p w14:paraId="6685EFB5" w14:textId="77777777" w:rsidR="000A68A8" w:rsidRPr="000A68A8" w:rsidRDefault="000A68A8" w:rsidP="000A68A8">
      <w:r w:rsidRPr="000A68A8">
        <w:t xml:space="preserve">Applicants should demonstrate: </w:t>
      </w:r>
    </w:p>
    <w:p w14:paraId="3B49DC8E" w14:textId="77777777" w:rsidR="000A68A8" w:rsidRPr="000A68A8" w:rsidRDefault="000A68A8" w:rsidP="000A68A8">
      <w:pPr>
        <w:numPr>
          <w:ilvl w:val="0"/>
          <w:numId w:val="47"/>
        </w:numPr>
        <w:spacing w:after="80"/>
        <w:rPr>
          <w:iCs/>
        </w:rPr>
      </w:pPr>
      <w:r w:rsidRPr="000A68A8">
        <w:rPr>
          <w:iCs/>
        </w:rPr>
        <w:t xml:space="preserve">Expertise in providing legal advice and information to individuals (inclusive of intersectional persons) with disability, their </w:t>
      </w:r>
      <w:r w:rsidR="00AF08F7">
        <w:rPr>
          <w:iCs/>
        </w:rPr>
        <w:t>families, carers and supporters.</w:t>
      </w:r>
    </w:p>
    <w:p w14:paraId="1B9EF959" w14:textId="77777777" w:rsidR="000A68A8" w:rsidRPr="000A68A8" w:rsidRDefault="000A68A8" w:rsidP="000A68A8">
      <w:pPr>
        <w:numPr>
          <w:ilvl w:val="0"/>
          <w:numId w:val="47"/>
        </w:numPr>
        <w:contextualSpacing/>
        <w:rPr>
          <w:b/>
        </w:rPr>
      </w:pPr>
      <w:r w:rsidRPr="000A68A8">
        <w:rPr>
          <w:iCs/>
        </w:rPr>
        <w:t>National location(s), scaling and timeline for delivery of services for length of the Royal Commission</w:t>
      </w:r>
      <w:r w:rsidR="00AF08F7">
        <w:rPr>
          <w:iCs/>
        </w:rPr>
        <w:t>.</w:t>
      </w:r>
    </w:p>
    <w:p w14:paraId="3CD082EE" w14:textId="77777777" w:rsidR="000A68A8" w:rsidRPr="000A68A8" w:rsidRDefault="000A68A8" w:rsidP="000A68A8">
      <w:pPr>
        <w:numPr>
          <w:ilvl w:val="0"/>
          <w:numId w:val="47"/>
        </w:numPr>
        <w:spacing w:after="80"/>
        <w:contextualSpacing/>
        <w:rPr>
          <w:iCs/>
        </w:rPr>
      </w:pPr>
      <w:r w:rsidRPr="000A68A8">
        <w:rPr>
          <w:iCs/>
        </w:rPr>
        <w:t>Policies, procedures and systems in place to deal with conflict of interests, confidentiality, safety of clients and staff and risk assessments. Provide information on insur</w:t>
      </w:r>
      <w:r w:rsidR="00AF08F7">
        <w:rPr>
          <w:iCs/>
        </w:rPr>
        <w:t>ance and professional indemnity.</w:t>
      </w:r>
    </w:p>
    <w:p w14:paraId="263BB5C3" w14:textId="77777777" w:rsidR="000A68A8" w:rsidRPr="000A68A8" w:rsidRDefault="000A68A8" w:rsidP="000A68A8">
      <w:pPr>
        <w:numPr>
          <w:ilvl w:val="0"/>
          <w:numId w:val="47"/>
        </w:numPr>
        <w:spacing w:before="0" w:after="160" w:line="259" w:lineRule="auto"/>
        <w:contextualSpacing/>
      </w:pPr>
      <w:r w:rsidRPr="000A68A8">
        <w:t>Examples of successful collaborations and stakeholder relationships, such as with disability, counselling and advocacy providers</w:t>
      </w:r>
      <w:r w:rsidR="00AF08F7">
        <w:t>.</w:t>
      </w:r>
    </w:p>
    <w:p w14:paraId="5BB8B063" w14:textId="77777777" w:rsidR="000A68A8" w:rsidRPr="000A68A8" w:rsidRDefault="000A68A8" w:rsidP="000A68A8">
      <w:pPr>
        <w:numPr>
          <w:ilvl w:val="0"/>
          <w:numId w:val="47"/>
        </w:numPr>
        <w:spacing w:after="80"/>
        <w:contextualSpacing/>
        <w:rPr>
          <w:iCs/>
        </w:rPr>
      </w:pPr>
      <w:r w:rsidRPr="000A68A8">
        <w:rPr>
          <w:iCs/>
        </w:rPr>
        <w:t>A targeted marketing and engagement strategy.</w:t>
      </w:r>
    </w:p>
    <w:p w14:paraId="5753A8CB" w14:textId="77777777" w:rsidR="000A68A8" w:rsidRPr="000A68A8" w:rsidRDefault="000A68A8" w:rsidP="000A68A8">
      <w:pPr>
        <w:rPr>
          <w:b/>
        </w:rPr>
      </w:pPr>
    </w:p>
    <w:p w14:paraId="3F7F63FD" w14:textId="77777777" w:rsidR="000A68A8" w:rsidRPr="000A68A8" w:rsidRDefault="000A68A8" w:rsidP="000A68A8">
      <w:pPr>
        <w:rPr>
          <w:b/>
        </w:rPr>
      </w:pPr>
      <w:r w:rsidRPr="000A68A8">
        <w:rPr>
          <w:b/>
        </w:rPr>
        <w:t xml:space="preserve">Criterion 3 – Describe your capacity to deliver the proposed grant activity </w:t>
      </w:r>
    </w:p>
    <w:p w14:paraId="152BBE80" w14:textId="77777777" w:rsidR="000A68A8" w:rsidRPr="000A68A8" w:rsidRDefault="000A68A8" w:rsidP="000A68A8">
      <w:r w:rsidRPr="000A68A8">
        <w:t>Applicants should demonstrate:</w:t>
      </w:r>
    </w:p>
    <w:p w14:paraId="4A37E2F5" w14:textId="77777777" w:rsidR="000A68A8" w:rsidRPr="000A68A8" w:rsidRDefault="000A68A8" w:rsidP="000A68A8">
      <w:pPr>
        <w:numPr>
          <w:ilvl w:val="0"/>
          <w:numId w:val="48"/>
        </w:numPr>
        <w:contextualSpacing/>
      </w:pPr>
      <w:r w:rsidRPr="000A68A8">
        <w:t>Use of National Disability Strategy frameworks six policy areas (or equivalent).</w:t>
      </w:r>
    </w:p>
    <w:p w14:paraId="5D0A9C28" w14:textId="77777777" w:rsidR="000A68A8" w:rsidRPr="000A68A8" w:rsidRDefault="000A68A8" w:rsidP="000A68A8">
      <w:pPr>
        <w:numPr>
          <w:ilvl w:val="0"/>
          <w:numId w:val="48"/>
        </w:numPr>
        <w:spacing w:after="80"/>
        <w:contextualSpacing/>
        <w:rPr>
          <w:iCs/>
        </w:rPr>
      </w:pPr>
      <w:r w:rsidRPr="000A68A8">
        <w:rPr>
          <w:iCs/>
        </w:rPr>
        <w:t>Meet Multicultural Access and Equity commitments (or equivalent) and legal requirements in providing of culturally appropriate and safe services to individuals</w:t>
      </w:r>
      <w:r w:rsidR="00AF08F7">
        <w:rPr>
          <w:iCs/>
        </w:rPr>
        <w:t>.</w:t>
      </w:r>
    </w:p>
    <w:p w14:paraId="7B158B7C" w14:textId="77777777" w:rsidR="000A68A8" w:rsidRPr="000A68A8" w:rsidRDefault="000A68A8" w:rsidP="000A68A8">
      <w:pPr>
        <w:numPr>
          <w:ilvl w:val="0"/>
          <w:numId w:val="48"/>
        </w:numPr>
        <w:spacing w:after="80"/>
        <w:contextualSpacing/>
        <w:rPr>
          <w:iCs/>
        </w:rPr>
      </w:pPr>
      <w:r w:rsidRPr="000A68A8">
        <w:rPr>
          <w:iCs/>
        </w:rPr>
        <w:t>Ability to comply and adhere to the outcome requirements of the Indigenous Grants Policy</w:t>
      </w:r>
      <w:r w:rsidR="00AF08F7">
        <w:rPr>
          <w:iCs/>
        </w:rPr>
        <w:t>.</w:t>
      </w:r>
    </w:p>
    <w:p w14:paraId="049515E7" w14:textId="77777777" w:rsidR="000A68A8" w:rsidRPr="000A68A8" w:rsidRDefault="000A68A8" w:rsidP="000A68A8">
      <w:pPr>
        <w:numPr>
          <w:ilvl w:val="0"/>
          <w:numId w:val="48"/>
        </w:numPr>
        <w:spacing w:after="80"/>
        <w:contextualSpacing/>
        <w:rPr>
          <w:iCs/>
        </w:rPr>
      </w:pPr>
      <w:r w:rsidRPr="000A68A8">
        <w:rPr>
          <w:iCs/>
        </w:rPr>
        <w:t>Costed plan for the term of the grant activity, outline of infrastructure delivery</w:t>
      </w:r>
      <w:r w:rsidR="00AF08F7">
        <w:rPr>
          <w:iCs/>
        </w:rPr>
        <w:t>.</w:t>
      </w:r>
    </w:p>
    <w:p w14:paraId="6675EA26" w14:textId="77777777" w:rsidR="000A68A8" w:rsidRPr="000A68A8" w:rsidRDefault="000A68A8" w:rsidP="000A68A8">
      <w:pPr>
        <w:numPr>
          <w:ilvl w:val="0"/>
          <w:numId w:val="48"/>
        </w:numPr>
        <w:spacing w:after="80"/>
        <w:contextualSpacing/>
        <w:rPr>
          <w:iCs/>
        </w:rPr>
      </w:pPr>
      <w:r w:rsidRPr="000A68A8">
        <w:rPr>
          <w:iCs/>
        </w:rPr>
        <w:t>Ability to develop, implement, manage and monitor grant (or equivalent) activities to achieve positive outcomes relevant to the grant activity</w:t>
      </w:r>
      <w:r w:rsidR="00AF08F7">
        <w:rPr>
          <w:iCs/>
        </w:rPr>
        <w:t>.</w:t>
      </w:r>
    </w:p>
    <w:p w14:paraId="54A4AC97" w14:textId="77777777" w:rsidR="000A68A8" w:rsidRPr="00D14E92" w:rsidRDefault="000A68A8" w:rsidP="000A68A8">
      <w:pPr>
        <w:numPr>
          <w:ilvl w:val="0"/>
          <w:numId w:val="48"/>
        </w:numPr>
        <w:spacing w:after="80"/>
        <w:contextualSpacing/>
        <w:rPr>
          <w:iCs/>
        </w:rPr>
      </w:pPr>
      <w:r w:rsidRPr="000A68A8">
        <w:rPr>
          <w:iCs/>
        </w:rPr>
        <w:t>Strong governance and financial arrangements that exist in your organisation</w:t>
      </w:r>
      <w:r w:rsidR="00AF08F7">
        <w:rPr>
          <w:iCs/>
        </w:rPr>
        <w:t>.</w:t>
      </w:r>
    </w:p>
    <w:p w14:paraId="4C7DEF34" w14:textId="77777777" w:rsidR="00C347D8" w:rsidRPr="00FD47D5" w:rsidRDefault="00C347D8" w:rsidP="009668F6">
      <w:pPr>
        <w:pStyle w:val="Heading2"/>
      </w:pPr>
      <w:bookmarkStart w:id="53" w:name="_Toc12617919"/>
      <w:bookmarkStart w:id="54" w:name="_Toc12617921"/>
      <w:bookmarkStart w:id="55" w:name="_Toc12615699"/>
      <w:bookmarkStart w:id="56" w:name="_Toc12617923"/>
      <w:bookmarkStart w:id="57" w:name="_Toc15025950"/>
      <w:bookmarkStart w:id="58" w:name="_Toc164844283"/>
      <w:bookmarkStart w:id="59" w:name="_Toc383003272"/>
      <w:bookmarkEnd w:id="26"/>
      <w:bookmarkEnd w:id="27"/>
      <w:bookmarkEnd w:id="53"/>
      <w:bookmarkEnd w:id="54"/>
      <w:bookmarkEnd w:id="55"/>
      <w:bookmarkEnd w:id="56"/>
      <w:r w:rsidRPr="00FD47D5">
        <w:t xml:space="preserve">How to </w:t>
      </w:r>
      <w:r w:rsidR="00C7753F" w:rsidRPr="00FD47D5">
        <w:t>a</w:t>
      </w:r>
      <w:r w:rsidRPr="00FD47D5">
        <w:t>pply</w:t>
      </w:r>
      <w:bookmarkEnd w:id="57"/>
    </w:p>
    <w:p w14:paraId="164E6945" w14:textId="77777777" w:rsidR="00635ACF" w:rsidRPr="00D4091A" w:rsidRDefault="00C347D8" w:rsidP="00D14E92">
      <w:r>
        <w:t>Before applying, you</w:t>
      </w:r>
      <w:r w:rsidRPr="00B72EE8">
        <w:t xml:space="preserve"> </w:t>
      </w:r>
      <w:r>
        <w:t>must</w:t>
      </w:r>
      <w:r w:rsidRPr="00B72EE8">
        <w:t xml:space="preserve"> read</w:t>
      </w:r>
      <w:r>
        <w:t xml:space="preserve"> and understand</w:t>
      </w:r>
      <w:r w:rsidRPr="00B72EE8">
        <w:t xml:space="preserve"> these guidelines</w:t>
      </w:r>
      <w:r w:rsidR="009F3218" w:rsidRPr="00B72EE8">
        <w:t>,</w:t>
      </w:r>
      <w:r w:rsidR="007C2638">
        <w:t xml:space="preserve"> </w:t>
      </w:r>
      <w:r w:rsidR="007C2638" w:rsidRPr="00B72EE8">
        <w:t xml:space="preserve">the </w:t>
      </w:r>
      <w:r w:rsidR="00FF6B6A">
        <w:t>terms and conditions,</w:t>
      </w:r>
      <w:r w:rsidR="00FF6B6A" w:rsidRPr="00D4091A">
        <w:t xml:space="preserve"> </w:t>
      </w:r>
      <w:r w:rsidR="00D4091A" w:rsidRPr="00D4091A">
        <w:t xml:space="preserve">the </w:t>
      </w:r>
      <w:r w:rsidR="007C2638" w:rsidRPr="00D4091A">
        <w:t>sample grant agreement</w:t>
      </w:r>
      <w:r w:rsidR="005E08F7">
        <w:t xml:space="preserve"> </w:t>
      </w:r>
      <w:r w:rsidR="00261986">
        <w:t xml:space="preserve">and </w:t>
      </w:r>
      <w:r w:rsidR="00D4091A">
        <w:t xml:space="preserve">the </w:t>
      </w:r>
      <w:r w:rsidR="00975DDF" w:rsidRPr="00D4091A">
        <w:t>Questions and Answers</w:t>
      </w:r>
      <w:r w:rsidR="00261986" w:rsidRPr="00D4091A">
        <w:t xml:space="preserve"> </w:t>
      </w:r>
      <w:r w:rsidR="00D4091A" w:rsidRPr="00D4091A">
        <w:t>document</w:t>
      </w:r>
      <w:r w:rsidR="00975DDF" w:rsidRPr="00D4091A">
        <w:t>.</w:t>
      </w:r>
    </w:p>
    <w:p w14:paraId="59294B90" w14:textId="77777777" w:rsidR="007C2638" w:rsidRDefault="007C2638" w:rsidP="00D14E92">
      <w:r w:rsidRPr="00122BE1">
        <w:t xml:space="preserve">These documents </w:t>
      </w:r>
      <w:r w:rsidR="00D4091A">
        <w:t>may be found on the</w:t>
      </w:r>
      <w:r w:rsidR="00247042">
        <w:t xml:space="preserve"> </w:t>
      </w:r>
      <w:hyperlink r:id="rId20" w:history="1">
        <w:r w:rsidR="00247042" w:rsidRPr="00247042">
          <w:rPr>
            <w:rStyle w:val="Hyperlink"/>
          </w:rPr>
          <w:t>GrantConnect</w:t>
        </w:r>
      </w:hyperlink>
      <w:r w:rsidR="00247042">
        <w:t xml:space="preserve"> website.</w:t>
      </w:r>
      <w:r w:rsidR="00746AF0">
        <w:t xml:space="preserve"> </w:t>
      </w:r>
      <w:r w:rsidRPr="00122BE1">
        <w:t xml:space="preserve">Any </w:t>
      </w:r>
      <w:r w:rsidR="00C37B9D">
        <w:t>changes</w:t>
      </w:r>
      <w:r w:rsidR="00C37B9D" w:rsidRPr="00122BE1">
        <w:t xml:space="preserve"> </w:t>
      </w:r>
      <w:r w:rsidR="00742B12">
        <w:t xml:space="preserve">to grant documentation are published on both sites </w:t>
      </w:r>
      <w:r w:rsidRPr="00122BE1">
        <w:t>and addenda</w:t>
      </w:r>
      <w:r w:rsidRPr="00122BE1">
        <w:rPr>
          <w:rStyle w:val="FootnoteReference"/>
        </w:rPr>
        <w:footnoteReference w:id="2"/>
      </w:r>
      <w:r w:rsidRPr="00122BE1">
        <w:t xml:space="preserve"> will be published on GrantConnect</w:t>
      </w:r>
      <w:r w:rsidR="00742B12">
        <w:t>.</w:t>
      </w:r>
      <w:r w:rsidRPr="00122BE1">
        <w:t xml:space="preserve"> </w:t>
      </w:r>
      <w:r w:rsidR="00742B12">
        <w:t>B</w:t>
      </w:r>
      <w:r w:rsidRPr="00122BE1">
        <w:t xml:space="preserve">y registering on this </w:t>
      </w:r>
      <w:r w:rsidR="00C90253" w:rsidRPr="00122BE1">
        <w:t>website,</w:t>
      </w:r>
      <w:r w:rsidRPr="00122BE1">
        <w:t xml:space="preserve"> you will be automatically notified o</w:t>
      </w:r>
      <w:r w:rsidR="00C37B9D">
        <w:t>f</w:t>
      </w:r>
      <w:r w:rsidRPr="00122BE1">
        <w:t xml:space="preserve"> any changes. </w:t>
      </w:r>
      <w:r w:rsidRPr="005458F8">
        <w:t>GrantConnect</w:t>
      </w:r>
      <w:r>
        <w:t xml:space="preserve"> is the </w:t>
      </w:r>
      <w:r w:rsidRPr="00E92A12">
        <w:t>authoritative</w:t>
      </w:r>
      <w:r>
        <w:t xml:space="preserve"> source</w:t>
      </w:r>
      <w:r w:rsidR="00832270">
        <w:t xml:space="preserve"> for grants information</w:t>
      </w:r>
      <w:r>
        <w:t>.</w:t>
      </w:r>
    </w:p>
    <w:p w14:paraId="2044C8CD" w14:textId="77777777" w:rsidR="00D4091A" w:rsidRDefault="007F6D34" w:rsidP="00D14E92">
      <w:pPr>
        <w:rPr>
          <w:color w:val="0070C0"/>
        </w:rPr>
      </w:pPr>
      <w:r>
        <w:t>Invitees can only access these documents including the application form.</w:t>
      </w:r>
    </w:p>
    <w:p w14:paraId="09D8331F" w14:textId="77777777" w:rsidR="00D4091A" w:rsidRDefault="00D4091A" w:rsidP="00D14E92">
      <w:r w:rsidRPr="00D4091A">
        <w:t>You can only submit one application form for this grant opportunity. If more than one application is submitted, the latest accepted application form will progress.</w:t>
      </w:r>
    </w:p>
    <w:p w14:paraId="462DED26" w14:textId="77777777" w:rsidR="00D4091A" w:rsidRDefault="00D4091A" w:rsidP="00D14E92">
      <w:r>
        <w:t>To apply you must:</w:t>
      </w:r>
    </w:p>
    <w:p w14:paraId="6AEFB02E" w14:textId="77777777" w:rsidR="00D4091A" w:rsidRPr="00670D60" w:rsidRDefault="00734C14" w:rsidP="00D14E92">
      <w:pPr>
        <w:pStyle w:val="ListBullet"/>
        <w:numPr>
          <w:ilvl w:val="0"/>
          <w:numId w:val="7"/>
        </w:numPr>
        <w:spacing w:after="120"/>
      </w:pPr>
      <w:r>
        <w:t xml:space="preserve">complete </w:t>
      </w:r>
      <w:r w:rsidR="00D4091A">
        <w:t>the online a</w:t>
      </w:r>
      <w:r w:rsidR="00AF08F7">
        <w:t>pplication form on GrantConnect</w:t>
      </w:r>
    </w:p>
    <w:p w14:paraId="0846CBB3" w14:textId="77777777" w:rsidR="00D4091A" w:rsidRDefault="00D4091A" w:rsidP="00D14E92">
      <w:pPr>
        <w:pStyle w:val="ListBullet"/>
        <w:numPr>
          <w:ilvl w:val="0"/>
          <w:numId w:val="7"/>
        </w:numPr>
        <w:spacing w:after="120"/>
      </w:pPr>
      <w:r>
        <w:lastRenderedPageBreak/>
        <w:t>provide all the information requested</w:t>
      </w:r>
    </w:p>
    <w:p w14:paraId="1F015697" w14:textId="77777777" w:rsidR="00D4091A" w:rsidRDefault="00D4091A" w:rsidP="00D14E92">
      <w:pPr>
        <w:pStyle w:val="ListBullet"/>
        <w:numPr>
          <w:ilvl w:val="0"/>
          <w:numId w:val="7"/>
        </w:numPr>
        <w:spacing w:after="120"/>
      </w:pPr>
      <w:r>
        <w:t>address all eligibility criteria and assessment criteria</w:t>
      </w:r>
    </w:p>
    <w:p w14:paraId="11639A0D" w14:textId="77777777" w:rsidR="00D4091A" w:rsidRDefault="00D4091A" w:rsidP="00D14E92">
      <w:pPr>
        <w:pStyle w:val="ListBullet"/>
        <w:numPr>
          <w:ilvl w:val="0"/>
          <w:numId w:val="7"/>
        </w:numPr>
        <w:spacing w:after="120"/>
      </w:pPr>
      <w:r>
        <w:t>include all necessary attachments</w:t>
      </w:r>
    </w:p>
    <w:p w14:paraId="3519AB3B" w14:textId="77777777" w:rsidR="00AF290F" w:rsidRDefault="00D4091A" w:rsidP="00D14E92">
      <w:pPr>
        <w:pStyle w:val="ListBullet"/>
        <w:spacing w:after="120"/>
      </w:pPr>
      <w:r>
        <w:t>submit your application</w:t>
      </w:r>
      <w:r w:rsidRPr="003A7117">
        <w:t xml:space="preserve"> o</w:t>
      </w:r>
      <w:r>
        <w:t>n</w:t>
      </w:r>
      <w:r w:rsidRPr="003A7117">
        <w:t xml:space="preserve"> </w:t>
      </w:r>
      <w:r>
        <w:t xml:space="preserve">GrantConnect </w:t>
      </w:r>
      <w:r w:rsidRPr="003A7117">
        <w:t xml:space="preserve">by </w:t>
      </w:r>
      <w:r w:rsidR="00836E1A" w:rsidRPr="00836E1A">
        <w:t xml:space="preserve">11.00PM AEST on </w:t>
      </w:r>
      <w:r w:rsidR="00AF290F">
        <w:t>1</w:t>
      </w:r>
      <w:r w:rsidR="00836E1A" w:rsidRPr="00AF290F">
        <w:t>2 August 2019</w:t>
      </w:r>
      <w:r w:rsidR="00AF290F" w:rsidRPr="00AF290F">
        <w:t>.</w:t>
      </w:r>
    </w:p>
    <w:p w14:paraId="34CACD5A" w14:textId="77777777" w:rsidR="00D4091A" w:rsidRDefault="00D4091A" w:rsidP="00D14E92">
      <w:r>
        <w:t>You</w:t>
      </w:r>
      <w:r w:rsidRPr="00B72EE8">
        <w:t xml:space="preserve"> are</w:t>
      </w:r>
      <w:r>
        <w:t xml:space="preserve"> responsible for ensuring that your</w:t>
      </w:r>
      <w:r w:rsidRPr="00B72EE8">
        <w:t xml:space="preserve"> application is complete and accurate. Giving false or misleading information</w:t>
      </w:r>
      <w:r>
        <w:t xml:space="preserve"> is a serious offence under the</w:t>
      </w:r>
      <w:r w:rsidRPr="00AF290F">
        <w:rPr>
          <w:rStyle w:val="Hyperlink"/>
          <w:i/>
        </w:rPr>
        <w:t xml:space="preserve"> </w:t>
      </w:r>
      <w:hyperlink r:id="rId21" w:history="1">
        <w:r w:rsidRPr="00AF290F">
          <w:rPr>
            <w:rStyle w:val="Hyperlink"/>
            <w:i/>
          </w:rPr>
          <w:t>Criminal Code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6334C425" w14:textId="77777777" w:rsidR="00D4091A" w:rsidRDefault="00D4091A" w:rsidP="00D14E92">
      <w:r>
        <w:t xml:space="preserve">If you find an error in your application after submitting it, you should contact us immediately on Community Grants Hub on 1800 020 283 or emailing </w:t>
      </w:r>
      <w:hyperlink r:id="rId22" w:history="1">
        <w:r w:rsidRPr="00F5089E">
          <w:rPr>
            <w:rStyle w:val="Hyperlink"/>
          </w:rPr>
          <w:t>support@communitygrants.gov.au</w:t>
        </w:r>
      </w:hyperlink>
      <w:r>
        <w:t>. The Community Grants Hub do not have to accept any additional information or requests from you to correct your application after the closing time.</w:t>
      </w:r>
    </w:p>
    <w:p w14:paraId="7A55A018" w14:textId="77777777" w:rsidR="00D4091A" w:rsidRPr="00780114" w:rsidRDefault="00D4091A" w:rsidP="00D14E92">
      <w:r w:rsidRPr="00780114">
        <w:t xml:space="preserve">You cannot change your application after the closing date and time. </w:t>
      </w:r>
    </w:p>
    <w:p w14:paraId="41EBC50F" w14:textId="77777777" w:rsidR="00D4091A" w:rsidRDefault="00D4091A" w:rsidP="00D14E92">
      <w:r>
        <w:t xml:space="preserve">If we find an error or information that is missing, we may ask for clarification or additional information from you that will not change the nature of your application. However, we can refuse to accept any additional information from you that would change your submission after the application closing time. </w:t>
      </w:r>
    </w:p>
    <w:p w14:paraId="0CF3B289" w14:textId="77777777" w:rsidR="00D4091A" w:rsidRDefault="00D4091A" w:rsidP="00D14E92">
      <w:r>
        <w:t>You should</w:t>
      </w:r>
      <w:r w:rsidRPr="00B72EE8">
        <w:t xml:space="preserve"> keep a copy of your applica</w:t>
      </w:r>
      <w:r>
        <w:t>tion and any supporting documents</w:t>
      </w:r>
      <w:r w:rsidRPr="00B72EE8">
        <w:t xml:space="preserve">. </w:t>
      </w:r>
    </w:p>
    <w:p w14:paraId="7C14DC53" w14:textId="77777777" w:rsidR="00D4091A" w:rsidRPr="00451180" w:rsidRDefault="00D4091A" w:rsidP="00D14E92">
      <w:r>
        <w:t>We will acknowledge that we have received your a</w:t>
      </w:r>
      <w:r w:rsidRPr="00B72EE8">
        <w:t xml:space="preserve">pplication within </w:t>
      </w:r>
      <w:r>
        <w:t>seven</w:t>
      </w:r>
      <w:r w:rsidRPr="00876342">
        <w:t xml:space="preserve"> </w:t>
      </w:r>
      <w:r w:rsidRPr="0028767B">
        <w:t xml:space="preserve">working </w:t>
      </w:r>
      <w:r w:rsidRPr="00A632E3">
        <w:t>days</w:t>
      </w:r>
      <w:r w:rsidRPr="00876342">
        <w:t>.</w:t>
      </w:r>
      <w:r>
        <w:t xml:space="preserve"> If you need further guidance around the application process or if you are unable to submit an application online </w:t>
      </w:r>
      <w:r w:rsidRPr="00F20775">
        <w:t>contact us</w:t>
      </w:r>
      <w:r>
        <w:t xml:space="preserve"> at the Community Grants Hub on 1800 020 283 or email </w:t>
      </w:r>
      <w:hyperlink r:id="rId23" w:history="1">
        <w:r w:rsidR="00FC527F" w:rsidRPr="00F5089E">
          <w:rPr>
            <w:rStyle w:val="Hyperlink"/>
          </w:rPr>
          <w:t>support@communitygrants.gov.au</w:t>
        </w:r>
      </w:hyperlink>
      <w:r w:rsidR="00957658">
        <w:t>.</w:t>
      </w:r>
    </w:p>
    <w:p w14:paraId="475562F3" w14:textId="77777777" w:rsidR="00DB695B" w:rsidRDefault="00DB695B" w:rsidP="009668F6">
      <w:pPr>
        <w:pStyle w:val="Heading3"/>
      </w:pPr>
      <w:bookmarkStart w:id="60" w:name="_Toc525295534"/>
      <w:bookmarkStart w:id="61" w:name="_Toc525552132"/>
      <w:bookmarkStart w:id="62" w:name="_Toc525722832"/>
      <w:bookmarkStart w:id="63" w:name="_Toc15025951"/>
      <w:bookmarkEnd w:id="60"/>
      <w:bookmarkEnd w:id="61"/>
      <w:bookmarkEnd w:id="62"/>
      <w:r>
        <w:t>Attachments to the application</w:t>
      </w:r>
      <w:bookmarkEnd w:id="63"/>
    </w:p>
    <w:p w14:paraId="31C1D56D" w14:textId="77777777" w:rsidR="003C2230" w:rsidRPr="003C2230" w:rsidRDefault="003C2230" w:rsidP="003C2230">
      <w:r w:rsidRPr="003C2230">
        <w:t>We require the following documents with your application:</w:t>
      </w:r>
    </w:p>
    <w:p w14:paraId="74258592" w14:textId="77777777" w:rsidR="003C2230" w:rsidRPr="003C2230" w:rsidRDefault="00734C14" w:rsidP="003C2230">
      <w:pPr>
        <w:numPr>
          <w:ilvl w:val="0"/>
          <w:numId w:val="7"/>
        </w:numPr>
        <w:spacing w:after="80"/>
        <w:rPr>
          <w:iCs/>
        </w:rPr>
      </w:pPr>
      <w:r>
        <w:rPr>
          <w:iCs/>
        </w:rPr>
        <w:t>a</w:t>
      </w:r>
      <w:r w:rsidRPr="003C2230">
        <w:rPr>
          <w:iCs/>
        </w:rPr>
        <w:t xml:space="preserve">n </w:t>
      </w:r>
      <w:r w:rsidR="003C2230" w:rsidRPr="003C2230">
        <w:rPr>
          <w:iCs/>
        </w:rPr>
        <w:t>indicative budget with expected six monthly costings to align with report</w:t>
      </w:r>
      <w:r w:rsidR="00AF08F7">
        <w:rPr>
          <w:iCs/>
        </w:rPr>
        <w:t>ing and acquittal requirements.</w:t>
      </w:r>
    </w:p>
    <w:p w14:paraId="5E821D1C" w14:textId="77777777" w:rsidR="003C2230" w:rsidRPr="003C2230" w:rsidRDefault="00734C14" w:rsidP="003C2230">
      <w:pPr>
        <w:numPr>
          <w:ilvl w:val="0"/>
          <w:numId w:val="7"/>
        </w:numPr>
        <w:spacing w:after="80"/>
        <w:rPr>
          <w:iCs/>
        </w:rPr>
      </w:pPr>
      <w:r>
        <w:rPr>
          <w:iCs/>
        </w:rPr>
        <w:t>e</w:t>
      </w:r>
      <w:r w:rsidRPr="003C2230">
        <w:rPr>
          <w:iCs/>
        </w:rPr>
        <w:t xml:space="preserve">vidence </w:t>
      </w:r>
      <w:r w:rsidR="003C2230" w:rsidRPr="003C2230">
        <w:rPr>
          <w:iCs/>
        </w:rPr>
        <w:t>of support from your organisation’s board, CEO or equivalent.</w:t>
      </w:r>
    </w:p>
    <w:p w14:paraId="40A3AABE" w14:textId="77777777" w:rsidR="003C2230" w:rsidRPr="003C2230" w:rsidRDefault="003C2230" w:rsidP="003C2230">
      <w:r w:rsidRPr="003C2230">
        <w:t>You must attach supporting documentation to the application form in line with the instructions provided within the form. You should only attach requested documents. We will not consider information in attachments that we do not request.</w:t>
      </w:r>
    </w:p>
    <w:p w14:paraId="61DA0041" w14:textId="77777777" w:rsidR="006A44FD" w:rsidRDefault="006A44FD" w:rsidP="00DB695B">
      <w:r w:rsidRPr="006A44FD">
        <w:rPr>
          <w:b/>
        </w:rPr>
        <w:t>Please note</w:t>
      </w:r>
      <w:r>
        <w:t>: There is a</w:t>
      </w:r>
      <w:r w:rsidR="00AF08F7">
        <w:t xml:space="preserve"> 2mb limit for each attachment.</w:t>
      </w:r>
    </w:p>
    <w:p w14:paraId="0348B787" w14:textId="77777777" w:rsidR="00E50C87" w:rsidRDefault="00E50C87" w:rsidP="009668F6">
      <w:pPr>
        <w:pStyle w:val="Heading3"/>
      </w:pPr>
      <w:bookmarkStart w:id="64" w:name="_Toc15025952"/>
      <w:r>
        <w:t>Joint (consortia) applications</w:t>
      </w:r>
      <w:bookmarkEnd w:id="64"/>
    </w:p>
    <w:p w14:paraId="17B55777" w14:textId="77777777" w:rsidR="0082291D" w:rsidRDefault="0082291D" w:rsidP="00E50C87">
      <w:r w:rsidRPr="0082291D">
        <w:t>We recognise that some organisations may want to join together as a grou</w:t>
      </w:r>
      <w:r>
        <w:t>p to deliver a grant activity.</w:t>
      </w:r>
    </w:p>
    <w:p w14:paraId="22E92429" w14:textId="77777777" w:rsidR="00E50C87" w:rsidRDefault="00E50C87" w:rsidP="00E50C87">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The</w:t>
      </w:r>
      <w:r>
        <w:t xml:space="preserve"> a</w:t>
      </w:r>
      <w:r w:rsidRPr="00B72EE8">
        <w:t xml:space="preserve">pplication </w:t>
      </w:r>
      <w:r>
        <w:t>must</w:t>
      </w:r>
      <w:r w:rsidRPr="00B72EE8">
        <w:t xml:space="preserve"> identify all other members of the proposed </w:t>
      </w:r>
      <w:r>
        <w:t>group</w:t>
      </w:r>
      <w:r w:rsidR="00A21E0A">
        <w:t>.</w:t>
      </w:r>
    </w:p>
    <w:p w14:paraId="651CFEA7" w14:textId="77777777" w:rsidR="00E50C87" w:rsidRPr="00103A95" w:rsidRDefault="00E50C87" w:rsidP="00E50C87">
      <w:r>
        <w:t>You must have a formal arrangement in place with all parties prior</w:t>
      </w:r>
      <w:r w:rsidR="0082291D">
        <w:t xml:space="preserve"> to execution of the agreement.</w:t>
      </w:r>
    </w:p>
    <w:p w14:paraId="24622AA1" w14:textId="77777777" w:rsidR="00C347D8" w:rsidRDefault="00C347D8" w:rsidP="009668F6">
      <w:pPr>
        <w:pStyle w:val="Heading3"/>
      </w:pPr>
      <w:bookmarkStart w:id="65" w:name="_Toc15025953"/>
      <w:r>
        <w:t xml:space="preserve">Timing of grant opportunity </w:t>
      </w:r>
      <w:r w:rsidR="00635ACF">
        <w:t>processes</w:t>
      </w:r>
      <w:bookmarkEnd w:id="65"/>
    </w:p>
    <w:p w14:paraId="650A33C9" w14:textId="77777777" w:rsidR="000A4D8A" w:rsidRDefault="00C347D8" w:rsidP="00C347D8">
      <w:r>
        <w:t xml:space="preserve">You </w:t>
      </w:r>
      <w:r w:rsidR="00311CBF">
        <w:t>must</w:t>
      </w:r>
      <w:r>
        <w:t xml:space="preserve"> submit an application between the publi</w:t>
      </w:r>
      <w:r w:rsidR="00AF08F7">
        <w:t>shed opening and closing dates.</w:t>
      </w:r>
    </w:p>
    <w:p w14:paraId="537182EE" w14:textId="77777777" w:rsidR="00FC527F" w:rsidRDefault="00FC527F">
      <w:pPr>
        <w:spacing w:before="0" w:after="0" w:line="240" w:lineRule="auto"/>
        <w:rPr>
          <w:b/>
        </w:rPr>
      </w:pPr>
      <w:r>
        <w:rPr>
          <w:b/>
        </w:rPr>
        <w:br w:type="page"/>
      </w:r>
    </w:p>
    <w:p w14:paraId="44B8C74B" w14:textId="77777777" w:rsidR="00631AB6" w:rsidRPr="002D3960" w:rsidRDefault="00631AB6" w:rsidP="00A21E0A">
      <w:pPr>
        <w:rPr>
          <w:b/>
        </w:rPr>
      </w:pPr>
      <w:r w:rsidRPr="00587B4B">
        <w:rPr>
          <w:b/>
        </w:rPr>
        <w:lastRenderedPageBreak/>
        <w:t xml:space="preserve">Late applications </w:t>
      </w:r>
    </w:p>
    <w:p w14:paraId="7FC2521F" w14:textId="77777777" w:rsidR="00A21E0A" w:rsidRDefault="00705C93" w:rsidP="00D14E92">
      <w:r>
        <w:t>We</w:t>
      </w:r>
      <w:r w:rsidR="00A21E0A">
        <w:t xml:space="preserve"> will not accept late applications unless an applicant has experienced exceptional circumstances that prevent the submission of the application. Broadly, exceptional circumstances are events characterised by one or more of the following:</w:t>
      </w:r>
    </w:p>
    <w:p w14:paraId="5CD57336" w14:textId="77777777" w:rsidR="00A21E0A" w:rsidRPr="00A21E0A" w:rsidRDefault="00A21E0A" w:rsidP="00D14E92">
      <w:pPr>
        <w:pStyle w:val="ListParagraph"/>
        <w:numPr>
          <w:ilvl w:val="0"/>
          <w:numId w:val="21"/>
        </w:numPr>
        <w:contextualSpacing w:val="0"/>
        <w:rPr>
          <w:rFonts w:cs="Arial"/>
          <w:szCs w:val="22"/>
        </w:rPr>
      </w:pPr>
      <w:r w:rsidRPr="00A21E0A">
        <w:rPr>
          <w:rFonts w:cs="Arial"/>
          <w:szCs w:val="22"/>
        </w:rPr>
        <w:t>reasonably unforeseeable</w:t>
      </w:r>
    </w:p>
    <w:p w14:paraId="03B1B384" w14:textId="77777777" w:rsidR="00A21E0A" w:rsidRPr="00A21E0A" w:rsidRDefault="00A21E0A" w:rsidP="00D14E92">
      <w:pPr>
        <w:pStyle w:val="ListParagraph"/>
        <w:numPr>
          <w:ilvl w:val="0"/>
          <w:numId w:val="21"/>
        </w:numPr>
        <w:contextualSpacing w:val="0"/>
        <w:rPr>
          <w:rFonts w:cs="Arial"/>
          <w:szCs w:val="22"/>
        </w:rPr>
      </w:pPr>
      <w:r w:rsidRPr="00A21E0A">
        <w:rPr>
          <w:rFonts w:cs="Arial"/>
          <w:szCs w:val="22"/>
        </w:rPr>
        <w:t>beyond the applicant’s control</w:t>
      </w:r>
    </w:p>
    <w:p w14:paraId="53407AB6" w14:textId="77777777" w:rsidR="00A21E0A" w:rsidRPr="00A21E0A" w:rsidRDefault="00A21E0A" w:rsidP="00D14E92">
      <w:pPr>
        <w:pStyle w:val="ListParagraph"/>
        <w:numPr>
          <w:ilvl w:val="0"/>
          <w:numId w:val="21"/>
        </w:numPr>
        <w:contextualSpacing w:val="0"/>
        <w:rPr>
          <w:rFonts w:cs="Arial"/>
          <w:szCs w:val="22"/>
        </w:rPr>
      </w:pPr>
      <w:r w:rsidRPr="00A21E0A">
        <w:rPr>
          <w:rFonts w:cs="Arial"/>
          <w:szCs w:val="22"/>
        </w:rPr>
        <w:t>unable to be managed or resolved</w:t>
      </w:r>
      <w:r w:rsidR="00AF08F7">
        <w:rPr>
          <w:rFonts w:cs="Arial"/>
          <w:szCs w:val="22"/>
        </w:rPr>
        <w:t xml:space="preserve"> within the application period.</w:t>
      </w:r>
    </w:p>
    <w:p w14:paraId="6BB074F3" w14:textId="77777777" w:rsidR="00A21E0A" w:rsidRDefault="00A21E0A" w:rsidP="00D14E92">
      <w:r>
        <w:t>Exceptional circumstances will be considered on their merits and in accordance with probity principles.</w:t>
      </w:r>
    </w:p>
    <w:p w14:paraId="6B839080" w14:textId="77777777" w:rsidR="00957658" w:rsidRPr="00A21E0A" w:rsidRDefault="00957658" w:rsidP="00D14E92">
      <w:pPr>
        <w:rPr>
          <w:rFonts w:ascii="Calibri" w:hAnsi="Calibri" w:cs="Calibri"/>
          <w:sz w:val="22"/>
          <w:szCs w:val="22"/>
        </w:rPr>
      </w:pPr>
      <w:r>
        <w:t xml:space="preserve">Additional information can be obtained under the </w:t>
      </w:r>
      <w:hyperlink r:id="rId24" w:history="1">
        <w:r w:rsidRPr="00957658">
          <w:rPr>
            <w:rStyle w:val="Hyperlink"/>
          </w:rPr>
          <w:t>Information for applicants tab</w:t>
        </w:r>
      </w:hyperlink>
      <w:r>
        <w:t xml:space="preserve"> on the Community Grants website.</w:t>
      </w:r>
    </w:p>
    <w:p w14:paraId="314B7304" w14:textId="77777777" w:rsidR="00A21E0A" w:rsidRDefault="00A21E0A" w:rsidP="00A21E0A">
      <w:pPr>
        <w:rPr>
          <w:b/>
          <w:bCs/>
        </w:rPr>
      </w:pPr>
      <w:r>
        <w:rPr>
          <w:b/>
          <w:bCs/>
        </w:rPr>
        <w:t>How to lodge a late application</w:t>
      </w:r>
    </w:p>
    <w:p w14:paraId="36882550" w14:textId="77777777" w:rsidR="00A21E0A" w:rsidRDefault="00A21E0A" w:rsidP="00D14E92">
      <w:r>
        <w:t xml:space="preserve">Applicants seeking to submit a late application will be required to submit a late application request to the Community Grants Hub via </w:t>
      </w:r>
      <w:hyperlink r:id="rId25" w:history="1">
        <w:r>
          <w:rPr>
            <w:rStyle w:val="Hyperlink"/>
          </w:rPr>
          <w:t>support@communitygrants.gov.au</w:t>
        </w:r>
      </w:hyperlink>
      <w:r>
        <w:t>.</w:t>
      </w:r>
    </w:p>
    <w:p w14:paraId="200C4522" w14:textId="77777777" w:rsidR="00A21E0A" w:rsidRPr="00A21E0A" w:rsidRDefault="00A21E0A" w:rsidP="00D14E92">
      <w:pPr>
        <w:pStyle w:val="BodyText"/>
        <w:spacing w:before="40" w:line="280" w:lineRule="atLeast"/>
        <w:rPr>
          <w:sz w:val="20"/>
        </w:rPr>
      </w:pPr>
      <w:r w:rsidRPr="00A21E0A">
        <w:rPr>
          <w:sz w:val="20"/>
        </w:rPr>
        <w:t>The request should include a detailed explanation of the circumstances that prevented the application being submitted prior to the closing time. Where appropriate, supporting evidence can be provided to verify the clai</w:t>
      </w:r>
      <w:r w:rsidR="00AF08F7">
        <w:rPr>
          <w:sz w:val="20"/>
        </w:rPr>
        <w:t>m of exceptional circumstances.</w:t>
      </w:r>
    </w:p>
    <w:p w14:paraId="11C4DF61" w14:textId="77777777" w:rsidR="00A21E0A" w:rsidRDefault="00A21E0A" w:rsidP="00D14E92">
      <w:r>
        <w:t xml:space="preserve">Written requests to lodge a late application will only be accepted within </w:t>
      </w:r>
      <w:r w:rsidRPr="002D3960">
        <w:rPr>
          <w:b/>
        </w:rPr>
        <w:t xml:space="preserve">three </w:t>
      </w:r>
      <w:r>
        <w:t>days after th</w:t>
      </w:r>
      <w:r w:rsidR="00AF08F7">
        <w:t>e grant opportunity has closed.</w:t>
      </w:r>
    </w:p>
    <w:p w14:paraId="48BA3E4A" w14:textId="77777777" w:rsidR="00A21E0A" w:rsidRPr="00A21E0A" w:rsidRDefault="00A21E0A" w:rsidP="00D14E92">
      <w:pPr>
        <w:rPr>
          <w:rFonts w:ascii="Times New Roman" w:hAnsi="Times New Roman"/>
          <w:sz w:val="24"/>
          <w:szCs w:val="24"/>
          <w:lang w:eastAsia="en-AU"/>
        </w:rPr>
      </w:pPr>
      <w:r>
        <w:t>The Delegate or their appointed representative</w:t>
      </w:r>
      <w:r w:rsidR="00F52614">
        <w:rPr>
          <w:rStyle w:val="FootnoteReference"/>
        </w:rPr>
        <w:footnoteReference w:id="3"/>
      </w:r>
      <w:r>
        <w:t xml:space="preserve"> will determine whether a late application will be accepted. The decision of the delegate will be final and not be subject to a review or appeals process.</w:t>
      </w:r>
    </w:p>
    <w:p w14:paraId="2BF4839C" w14:textId="77777777" w:rsidR="00184F6F" w:rsidRDefault="00A21E0A" w:rsidP="00D14E92">
      <w:pPr>
        <w:rPr>
          <w:b/>
        </w:rPr>
      </w:pPr>
      <w:r>
        <w:t>Once the outcome is determined, the Community Grants</w:t>
      </w:r>
      <w:r w:rsidR="003C2230">
        <w:t xml:space="preserve"> Hub will advise the applicant i</w:t>
      </w:r>
      <w:r>
        <w:t>f their request is accepted or declined.</w:t>
      </w:r>
    </w:p>
    <w:p w14:paraId="5E69D2A2" w14:textId="77777777" w:rsidR="00587B4B" w:rsidRPr="00587B4B" w:rsidRDefault="00587B4B" w:rsidP="00C347D8">
      <w:pPr>
        <w:spacing w:before="200"/>
        <w:rPr>
          <w:b/>
        </w:rPr>
      </w:pPr>
      <w:r w:rsidRPr="00632292">
        <w:rPr>
          <w:b/>
        </w:rPr>
        <w:t xml:space="preserve">Expected timing for this grant opportunity </w:t>
      </w:r>
    </w:p>
    <w:p w14:paraId="1CC27E53" w14:textId="77777777" w:rsidR="00A21E0A" w:rsidRDefault="00C347D8" w:rsidP="00C347D8">
      <w:pPr>
        <w:spacing w:before="200"/>
      </w:pPr>
      <w:r>
        <w:t>If you are successful</w:t>
      </w:r>
      <w:r w:rsidR="00DB695B">
        <w:t xml:space="preserve">, </w:t>
      </w:r>
      <w:r w:rsidR="00456DA5">
        <w:t xml:space="preserve">you will be </w:t>
      </w:r>
      <w:r>
        <w:t>expect</w:t>
      </w:r>
      <w:r w:rsidR="00456DA5">
        <w:t>ed</w:t>
      </w:r>
      <w:r>
        <w:t xml:space="preserve"> </w:t>
      </w:r>
      <w:r w:rsidR="003106BC">
        <w:t>to start</w:t>
      </w:r>
      <w:r>
        <w:t xml:space="preserve"> your </w:t>
      </w:r>
      <w:r w:rsidRPr="003C2230">
        <w:t>grant activity</w:t>
      </w:r>
      <w:r>
        <w:t xml:space="preserve"> </w:t>
      </w:r>
      <w:r w:rsidR="00AC495A">
        <w:t>on execution of the grant agreement</w:t>
      </w:r>
      <w:r w:rsidRPr="00A6580B">
        <w:t>.</w:t>
      </w:r>
    </w:p>
    <w:p w14:paraId="6C74F816" w14:textId="77777777" w:rsidR="00C347D8" w:rsidRPr="00456DA5" w:rsidRDefault="00C347D8" w:rsidP="00C347D8">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926" w:type="dxa"/>
        <w:tblLook w:val="0660" w:firstRow="1" w:lastRow="1" w:firstColumn="0" w:lastColumn="0" w:noHBand="1" w:noVBand="1"/>
        <w:tblCaption w:val="Expected timing for this grant opportunity"/>
      </w:tblPr>
      <w:tblGrid>
        <w:gridCol w:w="4815"/>
        <w:gridCol w:w="4111"/>
      </w:tblGrid>
      <w:tr w:rsidR="00C347D8" w:rsidRPr="00DB5819" w14:paraId="6339EABF" w14:textId="77777777" w:rsidTr="003C2230">
        <w:trPr>
          <w:cantSplit/>
          <w:tblHeader/>
        </w:trPr>
        <w:tc>
          <w:tcPr>
            <w:tcW w:w="4815" w:type="dxa"/>
            <w:shd w:val="clear" w:color="auto" w:fill="264F90"/>
          </w:tcPr>
          <w:p w14:paraId="5E5E5E33" w14:textId="77777777" w:rsidR="00C347D8" w:rsidRPr="00DB5819" w:rsidRDefault="00C347D8" w:rsidP="005E75D9">
            <w:pPr>
              <w:pStyle w:val="TableHeadingNumbered"/>
            </w:pPr>
            <w:r w:rsidRPr="00DB5819">
              <w:t>Activity</w:t>
            </w:r>
          </w:p>
        </w:tc>
        <w:tc>
          <w:tcPr>
            <w:tcW w:w="4111" w:type="dxa"/>
            <w:shd w:val="clear" w:color="auto" w:fill="264F90"/>
          </w:tcPr>
          <w:p w14:paraId="6550AE41" w14:textId="77777777" w:rsidR="00C347D8" w:rsidRPr="00DB5819" w:rsidRDefault="00C347D8" w:rsidP="005E75D9">
            <w:pPr>
              <w:pStyle w:val="TableHeadingNumbered"/>
            </w:pPr>
            <w:r w:rsidRPr="00DB5819">
              <w:t>Timeframe</w:t>
            </w:r>
          </w:p>
        </w:tc>
      </w:tr>
      <w:tr w:rsidR="00C347D8" w14:paraId="3EFB5E26" w14:textId="77777777" w:rsidTr="003C2230">
        <w:trPr>
          <w:cantSplit/>
        </w:trPr>
        <w:tc>
          <w:tcPr>
            <w:tcW w:w="4815" w:type="dxa"/>
          </w:tcPr>
          <w:p w14:paraId="3FEF9A3F" w14:textId="77777777" w:rsidR="00C347D8" w:rsidRPr="00B16B54" w:rsidRDefault="00C347D8" w:rsidP="005E75D9">
            <w:pPr>
              <w:pStyle w:val="TableText"/>
            </w:pPr>
            <w:r w:rsidRPr="00B16B54">
              <w:t>Assessment of applications</w:t>
            </w:r>
          </w:p>
        </w:tc>
        <w:tc>
          <w:tcPr>
            <w:tcW w:w="4111" w:type="dxa"/>
          </w:tcPr>
          <w:p w14:paraId="65FD3C33" w14:textId="77777777" w:rsidR="00C347D8" w:rsidRPr="00B16B54" w:rsidRDefault="0082291D" w:rsidP="00F72DA9">
            <w:pPr>
              <w:pStyle w:val="TableText"/>
            </w:pPr>
            <w:r>
              <w:t>2</w:t>
            </w:r>
            <w:r w:rsidR="00C347D8" w:rsidRPr="00B16B54">
              <w:t xml:space="preserve"> weeks </w:t>
            </w:r>
          </w:p>
        </w:tc>
      </w:tr>
      <w:tr w:rsidR="00C347D8" w14:paraId="7D5BD4F7" w14:textId="77777777" w:rsidTr="003C2230">
        <w:trPr>
          <w:cantSplit/>
        </w:trPr>
        <w:tc>
          <w:tcPr>
            <w:tcW w:w="4815" w:type="dxa"/>
          </w:tcPr>
          <w:p w14:paraId="4C57A7AE" w14:textId="77777777" w:rsidR="00C347D8" w:rsidRPr="00B16B54" w:rsidRDefault="00C347D8" w:rsidP="005E75D9">
            <w:pPr>
              <w:pStyle w:val="TableText"/>
            </w:pPr>
            <w:r w:rsidRPr="00B16B54">
              <w:t>Approval of outcomes of selection process</w:t>
            </w:r>
          </w:p>
        </w:tc>
        <w:tc>
          <w:tcPr>
            <w:tcW w:w="4111" w:type="dxa"/>
          </w:tcPr>
          <w:p w14:paraId="59C889D0" w14:textId="77777777" w:rsidR="00C347D8" w:rsidRPr="00B16B54" w:rsidRDefault="0082291D" w:rsidP="00F72DA9">
            <w:pPr>
              <w:pStyle w:val="TableText"/>
            </w:pPr>
            <w:r>
              <w:t>2</w:t>
            </w:r>
            <w:r w:rsidR="00C347D8" w:rsidRPr="00B16B54">
              <w:t xml:space="preserve"> weeks </w:t>
            </w:r>
          </w:p>
        </w:tc>
      </w:tr>
      <w:tr w:rsidR="00C347D8" w14:paraId="7708B412" w14:textId="77777777" w:rsidTr="003C2230">
        <w:trPr>
          <w:cantSplit/>
        </w:trPr>
        <w:tc>
          <w:tcPr>
            <w:tcW w:w="4815" w:type="dxa"/>
          </w:tcPr>
          <w:p w14:paraId="4705F0DB" w14:textId="77777777" w:rsidR="00C347D8" w:rsidRPr="00B16B54" w:rsidRDefault="00C347D8" w:rsidP="005E75D9">
            <w:pPr>
              <w:pStyle w:val="TableText"/>
            </w:pPr>
            <w:r w:rsidRPr="00B16B54">
              <w:t>Negotiations and award of grant agreements</w:t>
            </w:r>
          </w:p>
        </w:tc>
        <w:tc>
          <w:tcPr>
            <w:tcW w:w="4111" w:type="dxa"/>
          </w:tcPr>
          <w:p w14:paraId="49F5D567" w14:textId="77777777" w:rsidR="00C347D8" w:rsidRPr="00B16B54" w:rsidRDefault="0082291D" w:rsidP="00F72DA9">
            <w:pPr>
              <w:pStyle w:val="TableText"/>
            </w:pPr>
            <w:r>
              <w:t>1</w:t>
            </w:r>
            <w:r w:rsidR="00F72DA9" w:rsidRPr="007F6D34">
              <w:t xml:space="preserve"> weeks</w:t>
            </w:r>
          </w:p>
        </w:tc>
      </w:tr>
      <w:tr w:rsidR="00C347D8" w14:paraId="0AD20953" w14:textId="77777777" w:rsidTr="003C2230">
        <w:trPr>
          <w:cantSplit/>
        </w:trPr>
        <w:tc>
          <w:tcPr>
            <w:tcW w:w="4815" w:type="dxa"/>
          </w:tcPr>
          <w:p w14:paraId="23F106B5" w14:textId="77777777" w:rsidR="00C347D8" w:rsidRPr="00B16B54" w:rsidRDefault="00C347D8" w:rsidP="005E75D9">
            <w:pPr>
              <w:pStyle w:val="TableText"/>
            </w:pPr>
            <w:r w:rsidRPr="00B16B54">
              <w:t>Notification to unsuccessful applicants</w:t>
            </w:r>
          </w:p>
        </w:tc>
        <w:tc>
          <w:tcPr>
            <w:tcW w:w="4111" w:type="dxa"/>
          </w:tcPr>
          <w:p w14:paraId="709B2471" w14:textId="77777777" w:rsidR="00C347D8" w:rsidRPr="00B16B54" w:rsidRDefault="00C347D8" w:rsidP="00F72DA9">
            <w:pPr>
              <w:pStyle w:val="TableText"/>
            </w:pPr>
            <w:r w:rsidRPr="00B16B54">
              <w:t>2 weeks</w:t>
            </w:r>
            <w:r w:rsidR="00AB177E">
              <w:t xml:space="preserve"> </w:t>
            </w:r>
          </w:p>
        </w:tc>
      </w:tr>
      <w:tr w:rsidR="00C347D8" w14:paraId="648A744B" w14:textId="77777777" w:rsidTr="003C2230">
        <w:trPr>
          <w:cantSplit/>
        </w:trPr>
        <w:tc>
          <w:tcPr>
            <w:tcW w:w="4815" w:type="dxa"/>
          </w:tcPr>
          <w:p w14:paraId="36BC7BD0" w14:textId="77777777" w:rsidR="00C347D8" w:rsidRPr="00B16B54" w:rsidRDefault="00C347D8" w:rsidP="005A20F7">
            <w:pPr>
              <w:pStyle w:val="TableText"/>
            </w:pPr>
            <w:r>
              <w:t>Earliest start date of grant a</w:t>
            </w:r>
            <w:r w:rsidRPr="00B16B54">
              <w:t>ctivity</w:t>
            </w:r>
            <w:r w:rsidR="00AB177E">
              <w:t xml:space="preserve"> </w:t>
            </w:r>
          </w:p>
        </w:tc>
        <w:tc>
          <w:tcPr>
            <w:tcW w:w="4111" w:type="dxa"/>
          </w:tcPr>
          <w:p w14:paraId="77E6990D" w14:textId="77777777" w:rsidR="00C347D8" w:rsidRPr="00B16B54" w:rsidRDefault="00AC495A" w:rsidP="005E75D9">
            <w:pPr>
              <w:pStyle w:val="TableText"/>
            </w:pPr>
            <w:r>
              <w:t>On execution of the grant agreement</w:t>
            </w:r>
          </w:p>
        </w:tc>
      </w:tr>
      <w:tr w:rsidR="00C347D8" w14:paraId="39965FFF" w14:textId="77777777" w:rsidTr="003C2230">
        <w:trPr>
          <w:cantSplit/>
        </w:trPr>
        <w:tc>
          <w:tcPr>
            <w:tcW w:w="4815" w:type="dxa"/>
          </w:tcPr>
          <w:p w14:paraId="2E9C42BB" w14:textId="77777777" w:rsidR="00C347D8" w:rsidRPr="00B16B54" w:rsidRDefault="00C347D8" w:rsidP="005A20F7">
            <w:pPr>
              <w:pStyle w:val="TableText"/>
            </w:pPr>
            <w:r w:rsidRPr="00B16B54">
              <w:t>End date</w:t>
            </w:r>
            <w:r>
              <w:t xml:space="preserve"> of </w:t>
            </w:r>
            <w:r w:rsidR="00C27561">
              <w:t xml:space="preserve">grant </w:t>
            </w:r>
            <w:r w:rsidR="00AB177E">
              <w:t xml:space="preserve">activity </w:t>
            </w:r>
          </w:p>
        </w:tc>
        <w:tc>
          <w:tcPr>
            <w:tcW w:w="4111" w:type="dxa"/>
          </w:tcPr>
          <w:p w14:paraId="3BB8BF79" w14:textId="77777777" w:rsidR="00C347D8" w:rsidRPr="00B16B54" w:rsidRDefault="003C2230" w:rsidP="00F52614">
            <w:pPr>
              <w:pStyle w:val="TableText"/>
            </w:pPr>
            <w:r w:rsidRPr="00AF722D">
              <w:t xml:space="preserve">30 </w:t>
            </w:r>
            <w:r w:rsidR="00F52614">
              <w:t>Ju</w:t>
            </w:r>
            <w:bookmarkStart w:id="66" w:name="_GoBack"/>
            <w:bookmarkEnd w:id="66"/>
            <w:r w:rsidR="00F52614">
              <w:t>ne</w:t>
            </w:r>
            <w:r w:rsidRPr="00AF722D">
              <w:t xml:space="preserve"> 2022</w:t>
            </w:r>
          </w:p>
        </w:tc>
      </w:tr>
    </w:tbl>
    <w:p w14:paraId="58ED87B6" w14:textId="77777777" w:rsidR="008778C3" w:rsidRDefault="008778C3" w:rsidP="009668F6">
      <w:pPr>
        <w:pStyle w:val="Heading3"/>
      </w:pPr>
      <w:bookmarkStart w:id="67" w:name="_Toc15025954"/>
      <w:r w:rsidRPr="00181A24">
        <w:lastRenderedPageBreak/>
        <w:t>Questions during the application process</w:t>
      </w:r>
      <w:bookmarkEnd w:id="67"/>
    </w:p>
    <w:p w14:paraId="2B7C354C" w14:textId="77777777" w:rsidR="0016365F" w:rsidRPr="00A6580B" w:rsidRDefault="0016365F" w:rsidP="00A6580B">
      <w:pPr>
        <w:pStyle w:val="Default"/>
        <w:spacing w:before="40" w:after="120" w:line="280" w:lineRule="atLeast"/>
        <w:rPr>
          <w:rFonts w:cs="Times New Roman"/>
          <w:color w:val="auto"/>
          <w:sz w:val="20"/>
          <w:szCs w:val="20"/>
        </w:rPr>
      </w:pPr>
      <w:r w:rsidRPr="00A6580B">
        <w:rPr>
          <w:rFonts w:cs="Times New Roman"/>
          <w:color w:val="auto"/>
          <w:sz w:val="20"/>
          <w:szCs w:val="20"/>
        </w:rPr>
        <w:t xml:space="preserve">If you have any questions during the application period only invited applicants’ questions will be responded to during the application submission period, contact the Community Grants Hub on 1800 020 283 or email </w:t>
      </w:r>
      <w:hyperlink r:id="rId26" w:history="1">
        <w:r w:rsidR="00631AB6" w:rsidRPr="00A6580B">
          <w:rPr>
            <w:rStyle w:val="Hyperlink"/>
            <w:sz w:val="20"/>
            <w:szCs w:val="20"/>
          </w:rPr>
          <w:t>support@communitygrants.gov.au</w:t>
        </w:r>
      </w:hyperlink>
    </w:p>
    <w:p w14:paraId="571578D4" w14:textId="77777777" w:rsidR="0016365F" w:rsidRDefault="0016365F" w:rsidP="0016365F">
      <w:r>
        <w:t>The Community Grants Hub will respond to emailed questions</w:t>
      </w:r>
      <w:r w:rsidRPr="006C5423">
        <w:t xml:space="preserve"> </w:t>
      </w:r>
      <w:r>
        <w:t>within five working days. Answers to questions are posted on the GrantConnect website.</w:t>
      </w:r>
    </w:p>
    <w:p w14:paraId="6DC93D25" w14:textId="77777777" w:rsidR="0016365F" w:rsidRDefault="0016365F" w:rsidP="0016365F">
      <w:r>
        <w:t xml:space="preserve">The question period will close at 5:00PM AEST </w:t>
      </w:r>
      <w:r w:rsidRPr="00AF722D">
        <w:t xml:space="preserve">on </w:t>
      </w:r>
      <w:r w:rsidR="00AF722D" w:rsidRPr="00AF722D">
        <w:t>5</w:t>
      </w:r>
      <w:r w:rsidR="003C2230" w:rsidRPr="00AF722D">
        <w:t xml:space="preserve"> </w:t>
      </w:r>
      <w:r w:rsidR="00AF722D" w:rsidRPr="00AF722D">
        <w:t>August</w:t>
      </w:r>
      <w:r w:rsidRPr="00AF722D">
        <w:t xml:space="preserve"> 2019.</w:t>
      </w:r>
      <w:r>
        <w:t xml:space="preserve"> Following this time, only questions about using and/or submitting the application form will be answered.</w:t>
      </w:r>
    </w:p>
    <w:p w14:paraId="5C3BB65E" w14:textId="77777777" w:rsidR="006E0B42" w:rsidRDefault="006E0B42" w:rsidP="009668F6">
      <w:pPr>
        <w:pStyle w:val="Heading2"/>
      </w:pPr>
      <w:bookmarkStart w:id="68" w:name="_Toc15025955"/>
      <w:r>
        <w:t>The grant selection process</w:t>
      </w:r>
      <w:bookmarkEnd w:id="68"/>
    </w:p>
    <w:p w14:paraId="79D00CC9" w14:textId="77777777" w:rsidR="00032BB0" w:rsidRDefault="00032BB0" w:rsidP="00032BB0">
      <w:pPr>
        <w:pStyle w:val="Heading3"/>
      </w:pPr>
      <w:bookmarkStart w:id="69" w:name="_Toc15025956"/>
      <w:r>
        <w:t>Assessment of grant applications</w:t>
      </w:r>
      <w:bookmarkEnd w:id="69"/>
      <w:r>
        <w:t xml:space="preserve"> </w:t>
      </w:r>
    </w:p>
    <w:p w14:paraId="3D8776A7" w14:textId="77777777" w:rsidR="003C2230" w:rsidRDefault="00993A94" w:rsidP="003C2230">
      <w:pPr>
        <w:rPr>
          <w:rFonts w:cstheme="minorHAnsi"/>
        </w:rPr>
      </w:pPr>
      <w:r>
        <w:rPr>
          <w:rFonts w:cstheme="minorHAnsi"/>
        </w:rPr>
        <w:t>We</w:t>
      </w:r>
      <w:r w:rsidR="003C2230">
        <w:rPr>
          <w:rFonts w:cstheme="minorHAnsi"/>
        </w:rPr>
        <w:t xml:space="preserve"> will f</w:t>
      </w:r>
      <w:r w:rsidR="003C2230" w:rsidRPr="00A632E3">
        <w:rPr>
          <w:rFonts w:cstheme="minorHAnsi"/>
        </w:rPr>
        <w:t xml:space="preserve">irst </w:t>
      </w:r>
      <w:r w:rsidR="003C2230">
        <w:rPr>
          <w:rFonts w:cstheme="minorHAnsi"/>
        </w:rPr>
        <w:t>review</w:t>
      </w:r>
      <w:r w:rsidR="003C2230" w:rsidRPr="00A632E3">
        <w:rPr>
          <w:rFonts w:cstheme="minorHAnsi"/>
        </w:rPr>
        <w:t xml:space="preserve"> your application against the eligibility</w:t>
      </w:r>
      <w:r w:rsidR="00C00259">
        <w:rPr>
          <w:rFonts w:cstheme="minorHAnsi"/>
        </w:rPr>
        <w:t xml:space="preserve"> and assessment</w:t>
      </w:r>
      <w:r w:rsidR="003C2230">
        <w:rPr>
          <w:rFonts w:cstheme="minorHAnsi"/>
        </w:rPr>
        <w:t xml:space="preserve"> criteria</w:t>
      </w:r>
      <w:r w:rsidR="00AF08F7">
        <w:rPr>
          <w:rFonts w:cstheme="minorHAnsi"/>
        </w:rPr>
        <w:t>.</w:t>
      </w:r>
    </w:p>
    <w:p w14:paraId="10DFB36C" w14:textId="77777777" w:rsidR="003C2230" w:rsidRPr="00A632E3" w:rsidRDefault="003C2230" w:rsidP="003C2230">
      <w:pPr>
        <w:rPr>
          <w:rFonts w:cstheme="minorHAnsi"/>
        </w:rPr>
      </w:pPr>
      <w:r w:rsidRPr="00A632E3">
        <w:rPr>
          <w:rFonts w:cstheme="minorHAnsi"/>
        </w:rPr>
        <w:t xml:space="preserve">Only eligible applications will move to the next stage. </w:t>
      </w:r>
      <w:r>
        <w:rPr>
          <w:rFonts w:cstheme="minorHAnsi"/>
        </w:rPr>
        <w:t>E</w:t>
      </w:r>
      <w:r w:rsidRPr="00A632E3">
        <w:rPr>
          <w:rFonts w:cstheme="minorHAnsi"/>
        </w:rPr>
        <w:t xml:space="preserve">ligible applications </w:t>
      </w:r>
      <w:r>
        <w:rPr>
          <w:rFonts w:cstheme="minorHAnsi"/>
        </w:rPr>
        <w:t xml:space="preserve">will be considered </w:t>
      </w:r>
      <w:r w:rsidRPr="00A632E3">
        <w:rPr>
          <w:rFonts w:cstheme="minorHAnsi"/>
        </w:rPr>
        <w:t xml:space="preserve">through </w:t>
      </w:r>
      <w:r>
        <w:rPr>
          <w:rFonts w:cstheme="minorHAnsi"/>
        </w:rPr>
        <w:t>a</w:t>
      </w:r>
      <w:r w:rsidRPr="00BC628E">
        <w:rPr>
          <w:rFonts w:cstheme="minorHAnsi"/>
        </w:rPr>
        <w:t xml:space="preserve"> </w:t>
      </w:r>
      <w:r>
        <w:rPr>
          <w:rFonts w:cstheme="minorHAnsi"/>
        </w:rPr>
        <w:t xml:space="preserve">targeted competitive </w:t>
      </w:r>
      <w:r w:rsidRPr="00A632E3">
        <w:rPr>
          <w:rFonts w:cstheme="minorHAnsi"/>
        </w:rPr>
        <w:t>grant process.</w:t>
      </w:r>
    </w:p>
    <w:p w14:paraId="70F2E609" w14:textId="77777777" w:rsidR="003C2230" w:rsidRPr="00A632E3" w:rsidRDefault="003C2230" w:rsidP="003C2230">
      <w:r>
        <w:t>If eligible, w</w:t>
      </w:r>
      <w:r w:rsidRPr="00A632E3">
        <w:t xml:space="preserve">e will then assess your application against the </w:t>
      </w:r>
      <w:r>
        <w:t xml:space="preserve">assessment </w:t>
      </w:r>
      <w:r w:rsidRPr="005163DB">
        <w:t>criteria (see Section 6)</w:t>
      </w:r>
      <w:r>
        <w:t xml:space="preserve"> </w:t>
      </w:r>
      <w:r w:rsidRPr="00A632E3">
        <w:t xml:space="preserve">and against other applications. </w:t>
      </w:r>
      <w:r>
        <w:t>We consider y</w:t>
      </w:r>
      <w:r w:rsidRPr="00A632E3">
        <w:t>our application on its merits, based on:</w:t>
      </w:r>
    </w:p>
    <w:p w14:paraId="316FE321" w14:textId="77777777" w:rsidR="00CF1804" w:rsidRPr="00A632E3" w:rsidRDefault="0049278D" w:rsidP="00CF1804">
      <w:pPr>
        <w:pStyle w:val="ListBullet"/>
        <w:numPr>
          <w:ilvl w:val="0"/>
          <w:numId w:val="7"/>
        </w:numPr>
      </w:pPr>
      <w:r>
        <w:t>how well it meets the criteria</w:t>
      </w:r>
    </w:p>
    <w:p w14:paraId="2C692635" w14:textId="77777777" w:rsidR="00CF1804" w:rsidRDefault="00CF1804">
      <w:pPr>
        <w:pStyle w:val="ListBullet"/>
        <w:numPr>
          <w:ilvl w:val="0"/>
          <w:numId w:val="7"/>
        </w:numPr>
      </w:pPr>
      <w:r w:rsidRPr="00A632E3">
        <w:t>how it compares to other applications</w:t>
      </w:r>
      <w:r w:rsidR="00D14E92">
        <w:t>.</w:t>
      </w:r>
    </w:p>
    <w:p w14:paraId="58EB8217" w14:textId="77777777" w:rsidR="00CF1804" w:rsidRDefault="00CF1804" w:rsidP="00AF722D">
      <w:pPr>
        <w:pStyle w:val="ListBullet"/>
        <w:numPr>
          <w:ilvl w:val="0"/>
          <w:numId w:val="0"/>
        </w:numPr>
        <w:spacing w:before="120"/>
      </w:pPr>
      <w:r>
        <w:t>A Selection Advisory Panel will consider:</w:t>
      </w:r>
    </w:p>
    <w:p w14:paraId="5DEA8718" w14:textId="77777777" w:rsidR="00CF1804" w:rsidRDefault="00CF1804" w:rsidP="00CF1804">
      <w:pPr>
        <w:pStyle w:val="ListBullet"/>
        <w:numPr>
          <w:ilvl w:val="0"/>
          <w:numId w:val="45"/>
        </w:numPr>
      </w:pPr>
      <w:r>
        <w:t>whether it provides value with relevant money.</w:t>
      </w:r>
      <w:r>
        <w:rPr>
          <w:rStyle w:val="FootnoteReference"/>
        </w:rPr>
        <w:footnoteReference w:id="4"/>
      </w:r>
    </w:p>
    <w:p w14:paraId="094D7C4A" w14:textId="77777777" w:rsidR="00CF1804" w:rsidRDefault="00CF1804" w:rsidP="00CF1804">
      <w:pPr>
        <w:pStyle w:val="ListBullet"/>
        <w:numPr>
          <w:ilvl w:val="0"/>
          <w:numId w:val="0"/>
        </w:numPr>
        <w:rPr>
          <w:rFonts w:cs="Arial"/>
        </w:rPr>
      </w:pPr>
      <w:r>
        <w:rPr>
          <w:rFonts w:cs="Arial"/>
        </w:rPr>
        <w:t>When assessing the extent to which the application represents value with relevant money, the Selection Advisory Panel will have regard to</w:t>
      </w:r>
    </w:p>
    <w:p w14:paraId="7CA5CAD1" w14:textId="77777777" w:rsidR="003C2230" w:rsidRDefault="003C2230" w:rsidP="003C2230">
      <w:pPr>
        <w:pStyle w:val="ListBullet"/>
        <w:numPr>
          <w:ilvl w:val="0"/>
          <w:numId w:val="7"/>
        </w:numPr>
      </w:pPr>
      <w:r>
        <w:t>the overall objectives to be achieved in providing the grant</w:t>
      </w:r>
    </w:p>
    <w:p w14:paraId="7F62AD02" w14:textId="77777777" w:rsidR="00AF722D" w:rsidRPr="00AF722D" w:rsidRDefault="00AF722D" w:rsidP="00AF722D">
      <w:pPr>
        <w:pStyle w:val="ListBullet"/>
      </w:pPr>
      <w:r w:rsidRPr="00AF722D">
        <w:t>the extent to which the evidence in the application demonstrates that it will contribute to meeting the outcomes/objectives of the Royal Commission</w:t>
      </w:r>
    </w:p>
    <w:p w14:paraId="079413F3" w14:textId="77777777" w:rsidR="003C2230" w:rsidRDefault="003C2230" w:rsidP="003C2230">
      <w:pPr>
        <w:pStyle w:val="ListBullet"/>
        <w:numPr>
          <w:ilvl w:val="0"/>
          <w:numId w:val="7"/>
        </w:numPr>
      </w:pPr>
      <w:r>
        <w:t xml:space="preserve">applications will be rated based on scores </w:t>
      </w:r>
      <w:r w:rsidR="0049278D">
        <w:t>against all assessment criteria</w:t>
      </w:r>
    </w:p>
    <w:p w14:paraId="56CE0C3F" w14:textId="77777777" w:rsidR="00C22A3C" w:rsidRPr="009E283B" w:rsidRDefault="00C22A3C" w:rsidP="00C22A3C">
      <w:pPr>
        <w:pStyle w:val="ListBullet"/>
        <w:numPr>
          <w:ilvl w:val="0"/>
          <w:numId w:val="7"/>
        </w:numPr>
      </w:pPr>
      <w:r w:rsidRPr="00DE5CF4">
        <w:t xml:space="preserve">the relative </w:t>
      </w:r>
      <w:r w:rsidRPr="00FC5953">
        <w:t>value of the grant sought</w:t>
      </w:r>
    </w:p>
    <w:p w14:paraId="39B8A4DA" w14:textId="77777777" w:rsidR="00C22A3C" w:rsidRPr="009E283B" w:rsidRDefault="00C22A3C" w:rsidP="00C22A3C">
      <w:pPr>
        <w:pStyle w:val="ListBullet"/>
        <w:numPr>
          <w:ilvl w:val="0"/>
          <w:numId w:val="7"/>
        </w:numPr>
      </w:pPr>
      <w:r w:rsidRPr="009E283B">
        <w:t>extent to which the geographic location of the application matches identified priorities</w:t>
      </w:r>
    </w:p>
    <w:p w14:paraId="7B992279" w14:textId="77777777" w:rsidR="00C22A3C" w:rsidRPr="002A4E3C" w:rsidRDefault="00C22A3C">
      <w:pPr>
        <w:pStyle w:val="ListBullet"/>
        <w:numPr>
          <w:ilvl w:val="0"/>
          <w:numId w:val="7"/>
        </w:numPr>
      </w:pPr>
      <w:r>
        <w:t>h</w:t>
      </w:r>
      <w:r w:rsidRPr="009E283B">
        <w:t>ow the grant activities will target groups or individuals</w:t>
      </w:r>
      <w:r>
        <w:t>, specifically persons with disability, Australian Aboriginal and Torres Strait Islander peoples and Culturally and</w:t>
      </w:r>
      <w:r w:rsidR="0049278D">
        <w:t xml:space="preserve"> Linguistically Diverse people.</w:t>
      </w:r>
    </w:p>
    <w:p w14:paraId="3CCC6FA6" w14:textId="77777777" w:rsidR="00866D16" w:rsidRDefault="00866D16" w:rsidP="009668F6">
      <w:pPr>
        <w:pStyle w:val="Heading3"/>
      </w:pPr>
      <w:bookmarkStart w:id="70" w:name="_Toc15025957"/>
      <w:r>
        <w:t xml:space="preserve">Financial </w:t>
      </w:r>
      <w:r w:rsidR="00166239">
        <w:t>viability</w:t>
      </w:r>
      <w:bookmarkEnd w:id="70"/>
    </w:p>
    <w:p w14:paraId="09E3F82B" w14:textId="77777777" w:rsidR="00702EA6" w:rsidRPr="00E044B6" w:rsidRDefault="00702EA6" w:rsidP="00702EA6">
      <w:r>
        <w:t xml:space="preserve">Applicants may be subject to financial viability assessment. The financial viability assessment forms part of the risk mitigation strategy and can include: </w:t>
      </w:r>
    </w:p>
    <w:p w14:paraId="09B43A54" w14:textId="77777777" w:rsidR="00702EA6" w:rsidRDefault="00702EA6" w:rsidP="00702EA6">
      <w:pPr>
        <w:pStyle w:val="ListBullet"/>
        <w:numPr>
          <w:ilvl w:val="0"/>
          <w:numId w:val="7"/>
        </w:numPr>
      </w:pPr>
      <w:r>
        <w:t>whether it provides value with relevant</w:t>
      </w:r>
      <w:r w:rsidRPr="00A632E3">
        <w:t xml:space="preserve"> money</w:t>
      </w:r>
      <w:r>
        <w:rPr>
          <w:rStyle w:val="FootnoteReference"/>
        </w:rPr>
        <w:footnoteReference w:id="5"/>
      </w:r>
    </w:p>
    <w:p w14:paraId="622E5E8A" w14:textId="77777777" w:rsidR="00702EA6" w:rsidRDefault="00702EA6" w:rsidP="00702EA6">
      <w:pPr>
        <w:pStyle w:val="ListBullet"/>
        <w:numPr>
          <w:ilvl w:val="0"/>
          <w:numId w:val="7"/>
        </w:numPr>
      </w:pPr>
      <w:r>
        <w:t>that the proposed grant activity can be delivered on time and to budget in the applicant’s supporting documentation</w:t>
      </w:r>
    </w:p>
    <w:p w14:paraId="27EDAC8D" w14:textId="77777777" w:rsidR="00702EA6" w:rsidRDefault="00702EA6" w:rsidP="00702EA6">
      <w:pPr>
        <w:pStyle w:val="ListBullet"/>
        <w:numPr>
          <w:ilvl w:val="0"/>
          <w:numId w:val="7"/>
        </w:numPr>
      </w:pPr>
      <w:r>
        <w:lastRenderedPageBreak/>
        <w:t xml:space="preserve">that the proposed grant activity has been appropriately costed – the level of detail and the costing should be commensurate with </w:t>
      </w:r>
      <w:r w:rsidR="0049278D">
        <w:t>the value of the grant activity</w:t>
      </w:r>
    </w:p>
    <w:p w14:paraId="64015D96" w14:textId="77777777" w:rsidR="00702EA6" w:rsidRPr="00BC628E" w:rsidRDefault="00702EA6" w:rsidP="00702EA6">
      <w:pPr>
        <w:pStyle w:val="ListBullet"/>
        <w:numPr>
          <w:ilvl w:val="0"/>
          <w:numId w:val="7"/>
        </w:numPr>
      </w:pPr>
      <w:r>
        <w:t>that the level of risk associate with the proposed grant activity and there are implementation is managed and/or acceptable and it is acknowledge that risk may stem from multiple sources.</w:t>
      </w:r>
    </w:p>
    <w:p w14:paraId="23701E75" w14:textId="77777777" w:rsidR="00C157E9" w:rsidRDefault="00C157E9" w:rsidP="009668F6">
      <w:pPr>
        <w:pStyle w:val="Heading3"/>
      </w:pPr>
      <w:bookmarkStart w:id="71" w:name="_Toc15025958"/>
      <w:r>
        <w:t xml:space="preserve">Who will assess </w:t>
      </w:r>
      <w:r w:rsidR="001A2806">
        <w:t xml:space="preserve">and select </w:t>
      </w:r>
      <w:r>
        <w:t>applications?</w:t>
      </w:r>
      <w:bookmarkEnd w:id="71"/>
    </w:p>
    <w:p w14:paraId="1F4D359D" w14:textId="77777777" w:rsidR="00B02E2A" w:rsidRDefault="00993A94" w:rsidP="00B02E2A">
      <w:pPr>
        <w:spacing w:before="120"/>
        <w:rPr>
          <w:rFonts w:cs="Arial"/>
          <w:b/>
        </w:rPr>
      </w:pPr>
      <w:r>
        <w:t>We</w:t>
      </w:r>
      <w:r w:rsidR="00B02E2A">
        <w:t xml:space="preserve"> will assess each application on its merit and before making a recommendation to the Secretary of </w:t>
      </w:r>
      <w:r>
        <w:t>the</w:t>
      </w:r>
      <w:r w:rsidR="00B02E2A">
        <w:t xml:space="preserve"> </w:t>
      </w:r>
      <w:r>
        <w:t>d</w:t>
      </w:r>
      <w:r w:rsidR="00B02E2A">
        <w:t>epartment which applica</w:t>
      </w:r>
      <w:r w:rsidR="0049278D">
        <w:t>tion should be awarded a grant.</w:t>
      </w:r>
    </w:p>
    <w:p w14:paraId="700E89F8" w14:textId="77777777" w:rsidR="00B02E2A" w:rsidRDefault="00993A94" w:rsidP="00B02E2A">
      <w:r>
        <w:t>We</w:t>
      </w:r>
      <w:r w:rsidR="00B02E2A">
        <w:t xml:space="preserve"> may seek additional information about you or your application. They may do this from within the Commonwealth, even if the sources are not nominated by you as referees. The </w:t>
      </w:r>
      <w:r w:rsidR="00FC1E88">
        <w:t>Selection Advisory Panel</w:t>
      </w:r>
      <w:r w:rsidR="00B02E2A">
        <w:t xml:space="preserve"> may also consider information about you or your application that is available through the normal course of business.</w:t>
      </w:r>
    </w:p>
    <w:p w14:paraId="78CFE94C" w14:textId="77777777" w:rsidR="00FC1E88" w:rsidRDefault="00FC1E88" w:rsidP="00FC1E88">
      <w:r>
        <w:t xml:space="preserve">The Selection Advisory Panel </w:t>
      </w:r>
      <w:r w:rsidR="0045038D">
        <w:t xml:space="preserve">is comprised of AGD officers who </w:t>
      </w:r>
      <w:r w:rsidR="003F3ED2">
        <w:t xml:space="preserve">will </w:t>
      </w:r>
      <w:r>
        <w:t>recommen</w:t>
      </w:r>
      <w:r w:rsidR="0045038D">
        <w:t>d</w:t>
      </w:r>
      <w:r>
        <w:t xml:space="preserve"> to the decision maker</w:t>
      </w:r>
      <w:r>
        <w:rPr>
          <w:color w:val="0070C0"/>
        </w:rPr>
        <w:t xml:space="preserve"> </w:t>
      </w:r>
      <w:r>
        <w:t>which applications to approve for a grant.</w:t>
      </w:r>
    </w:p>
    <w:p w14:paraId="5B3612B3" w14:textId="77777777" w:rsidR="00C157E9" w:rsidRDefault="00C157E9" w:rsidP="009668F6">
      <w:pPr>
        <w:pStyle w:val="Heading3"/>
      </w:pPr>
      <w:bookmarkStart w:id="72" w:name="_Toc15025959"/>
      <w:r>
        <w:t>Who will approve grants?</w:t>
      </w:r>
      <w:bookmarkEnd w:id="72"/>
    </w:p>
    <w:p w14:paraId="4478543D" w14:textId="77777777" w:rsidR="00C157E9" w:rsidRDefault="00C157E9" w:rsidP="00C157E9">
      <w:r>
        <w:t>The</w:t>
      </w:r>
      <w:r w:rsidR="00AA2994">
        <w:t xml:space="preserve"> </w:t>
      </w:r>
      <w:r w:rsidR="00526EA9" w:rsidRPr="00526EA9">
        <w:t xml:space="preserve">Secretary of the </w:t>
      </w:r>
      <w:r w:rsidR="00993A94">
        <w:t>d</w:t>
      </w:r>
      <w:r w:rsidR="00526EA9" w:rsidRPr="00526EA9">
        <w:t>epartment</w:t>
      </w:r>
      <w:r w:rsidR="002B5733" w:rsidRPr="00526EA9">
        <w:t xml:space="preserve"> </w:t>
      </w:r>
      <w:r w:rsidR="004F222D" w:rsidRPr="00526EA9">
        <w:t>(the decision m</w:t>
      </w:r>
      <w:r w:rsidR="008D34C3" w:rsidRPr="00526EA9">
        <w:t xml:space="preserve">aker) </w:t>
      </w:r>
      <w:r w:rsidR="002B5733">
        <w:t>d</w:t>
      </w:r>
      <w:r>
        <w:t xml:space="preserve">ecides which grants to approve </w:t>
      </w:r>
      <w:r w:rsidR="004F222D">
        <w:t>based on</w:t>
      </w:r>
      <w:r>
        <w:t xml:space="preserve"> the recommendations of the </w:t>
      </w:r>
      <w:r w:rsidR="003416C1" w:rsidRPr="00C00259">
        <w:t>Selection Advisory Panel</w:t>
      </w:r>
      <w:r w:rsidR="003416C1" w:rsidRPr="00103A95">
        <w:t xml:space="preserve"> </w:t>
      </w:r>
      <w:r>
        <w:t>and the availability of grant funds</w:t>
      </w:r>
      <w:r w:rsidR="00BB272F">
        <w:t xml:space="preserve"> for the purposes of the </w:t>
      </w:r>
      <w:r w:rsidR="00090431">
        <w:t xml:space="preserve">grant </w:t>
      </w:r>
      <w:r w:rsidR="00BB272F">
        <w:t>program</w:t>
      </w:r>
      <w:r>
        <w:t>.</w:t>
      </w:r>
    </w:p>
    <w:p w14:paraId="574481A0" w14:textId="77777777" w:rsidR="00C157E9" w:rsidRPr="00103A95" w:rsidRDefault="00C157E9" w:rsidP="00C157E9">
      <w:r w:rsidRPr="00103A95">
        <w:t xml:space="preserve">The </w:t>
      </w:r>
      <w:r w:rsidR="004F222D">
        <w:t>d</w:t>
      </w:r>
      <w:r w:rsidR="004F222D">
        <w:rPr>
          <w:iCs/>
        </w:rPr>
        <w:t>ecision</w:t>
      </w:r>
      <w:r w:rsidR="006149B3">
        <w:rPr>
          <w:iCs/>
        </w:rPr>
        <w:t xml:space="preserve"> </w:t>
      </w:r>
      <w:r w:rsidR="004F222D">
        <w:rPr>
          <w:iCs/>
        </w:rPr>
        <w:t>m</w:t>
      </w:r>
      <w:r w:rsidR="00A65BDC" w:rsidRPr="008D34C3">
        <w:rPr>
          <w:iCs/>
        </w:rPr>
        <w:t>aker</w:t>
      </w:r>
      <w:r w:rsidR="008D34C3" w:rsidRPr="008D34C3">
        <w:rPr>
          <w:iCs/>
        </w:rPr>
        <w:t>’s</w:t>
      </w:r>
      <w:r w:rsidR="00A65BDC" w:rsidRPr="008D34C3">
        <w:rPr>
          <w:iCs/>
        </w:rPr>
        <w:t xml:space="preserve"> </w:t>
      </w:r>
      <w:r w:rsidRPr="00A65BDC">
        <w:t>decision</w:t>
      </w:r>
      <w:r w:rsidRPr="00A65BDC">
        <w:rPr>
          <w:color w:val="00B0F0"/>
        </w:rPr>
        <w:t xml:space="preserve"> </w:t>
      </w:r>
      <w:r w:rsidRPr="00103A95">
        <w:t xml:space="preserve">is </w:t>
      </w:r>
      <w:r w:rsidRPr="00164671">
        <w:t>final</w:t>
      </w:r>
      <w:r w:rsidRPr="00103A95">
        <w:t xml:space="preserve"> in all matters, including</w:t>
      </w:r>
      <w:r w:rsidR="00E33557">
        <w:t xml:space="preserve"> the</w:t>
      </w:r>
      <w:r w:rsidRPr="00103A95">
        <w:t>:</w:t>
      </w:r>
    </w:p>
    <w:p w14:paraId="7A2DAC51" w14:textId="77777777" w:rsidR="00C157E9" w:rsidRPr="00103A95" w:rsidRDefault="00C157E9" w:rsidP="00C157E9">
      <w:pPr>
        <w:pStyle w:val="ListBullet"/>
      </w:pPr>
      <w:r w:rsidRPr="00103A95">
        <w:t>approval of the grant</w:t>
      </w:r>
    </w:p>
    <w:p w14:paraId="45388D6C" w14:textId="77777777" w:rsidR="00C157E9" w:rsidRPr="00103A95" w:rsidRDefault="00C157E9" w:rsidP="00C157E9">
      <w:pPr>
        <w:pStyle w:val="ListBullet"/>
      </w:pPr>
      <w:r w:rsidRPr="00103A95">
        <w:t>grant funding amount to be awarded</w:t>
      </w:r>
    </w:p>
    <w:p w14:paraId="25963497" w14:textId="77777777" w:rsidR="00E459C5" w:rsidRDefault="00C157E9" w:rsidP="00E459C5">
      <w:pPr>
        <w:pStyle w:val="ListBullet"/>
      </w:pPr>
      <w:r w:rsidRPr="00103A95">
        <w:t>ter</w:t>
      </w:r>
      <w:r w:rsidR="0049278D">
        <w:t>ms and conditions of the grant.</w:t>
      </w:r>
    </w:p>
    <w:p w14:paraId="0E6C3BDB" w14:textId="77777777" w:rsidR="00E459C5" w:rsidRPr="00103A95" w:rsidRDefault="00E459C5" w:rsidP="00181A24">
      <w:pPr>
        <w:pStyle w:val="ListBullet"/>
        <w:numPr>
          <w:ilvl w:val="0"/>
          <w:numId w:val="0"/>
        </w:numPr>
      </w:pPr>
      <w:r>
        <w:t>There is no appeal mechanism for decisions to approve or not approve a grant.</w:t>
      </w:r>
    </w:p>
    <w:p w14:paraId="69410078" w14:textId="77777777" w:rsidR="00DB5819" w:rsidRDefault="00FB0C71" w:rsidP="009668F6">
      <w:pPr>
        <w:pStyle w:val="Heading2"/>
      </w:pPr>
      <w:bookmarkStart w:id="73" w:name="_Toc15025960"/>
      <w:r>
        <w:t>Notification of application outcomes</w:t>
      </w:r>
      <w:bookmarkEnd w:id="73"/>
    </w:p>
    <w:p w14:paraId="7DBBF978" w14:textId="77777777" w:rsidR="00FB0C71" w:rsidRDefault="00705C93" w:rsidP="00FB0C71">
      <w:r>
        <w:t>We</w:t>
      </w:r>
      <w:r w:rsidR="003349F3">
        <w:t xml:space="preserve"> </w:t>
      </w:r>
      <w:r w:rsidR="00272178">
        <w:t xml:space="preserve">will </w:t>
      </w:r>
      <w:r w:rsidR="00480913">
        <w:t xml:space="preserve">write to </w:t>
      </w:r>
      <w:r w:rsidR="00272178">
        <w:t>y</w:t>
      </w:r>
      <w:r w:rsidR="00FB0C71">
        <w:t>ou</w:t>
      </w:r>
      <w:r w:rsidR="00480913">
        <w:t xml:space="preserve"> about</w:t>
      </w:r>
      <w:r w:rsidR="00FB0C71" w:rsidRPr="00B72EE8">
        <w:t xml:space="preserve"> the outcome of </w:t>
      </w:r>
      <w:r w:rsidR="00FB0C71">
        <w:t xml:space="preserve">your </w:t>
      </w:r>
      <w:r w:rsidR="00FB0C71" w:rsidRPr="002E0C03">
        <w:t>application</w:t>
      </w:r>
      <w:r w:rsidR="001A1C64">
        <w:t xml:space="preserve">. </w:t>
      </w:r>
      <w:r w:rsidR="00FB0C71" w:rsidRPr="00C25555">
        <w:t xml:space="preserve">If you are successful, </w:t>
      </w:r>
      <w:r w:rsidR="00A65BDC">
        <w:t xml:space="preserve">you </w:t>
      </w:r>
      <w:r w:rsidR="006149B3">
        <w:t>are</w:t>
      </w:r>
      <w:r w:rsidR="00272178">
        <w:t xml:space="preserve"> advise</w:t>
      </w:r>
      <w:r w:rsidR="00A65BDC">
        <w:t>d</w:t>
      </w:r>
      <w:r w:rsidR="00272178">
        <w:t xml:space="preserve"> of</w:t>
      </w:r>
      <w:r w:rsidR="00FB0C71" w:rsidRPr="00C25555">
        <w:t xml:space="preserve"> any </w:t>
      </w:r>
      <w:r w:rsidR="00FB0C71" w:rsidRPr="00B72EE8">
        <w:t xml:space="preserve">specific conditions attached to the </w:t>
      </w:r>
      <w:r w:rsidR="00FB0C71">
        <w:t>grant</w:t>
      </w:r>
      <w:r w:rsidR="00637F3C">
        <w:t>.</w:t>
      </w:r>
    </w:p>
    <w:p w14:paraId="2F5E76CB" w14:textId="77777777" w:rsidR="00FB0C71" w:rsidRDefault="00FB0C71" w:rsidP="009668F6">
      <w:pPr>
        <w:pStyle w:val="Heading3"/>
      </w:pPr>
      <w:bookmarkStart w:id="74" w:name="_Toc15025961"/>
      <w:r w:rsidRPr="00FB0C71">
        <w:t>Feedback on your application</w:t>
      </w:r>
      <w:bookmarkEnd w:id="74"/>
    </w:p>
    <w:p w14:paraId="56000982" w14:textId="77777777" w:rsidR="00637F3C" w:rsidRPr="00637F3C" w:rsidRDefault="00637F3C" w:rsidP="00637F3C">
      <w:r w:rsidRPr="00637F3C">
        <w:t>Individual feedback will not be provided for this grant opportunity.</w:t>
      </w:r>
    </w:p>
    <w:p w14:paraId="5A79B02B" w14:textId="77777777" w:rsidR="003349F3" w:rsidRDefault="003349F3" w:rsidP="00FB0C71">
      <w:r>
        <w:t xml:space="preserve">A </w:t>
      </w:r>
      <w:r w:rsidR="006734C3" w:rsidRPr="006734C3">
        <w:t>Feedback Summary</w:t>
      </w:r>
      <w:r>
        <w:t xml:space="preserve"> will be published on the Community Grants Hub website to provide all organisations with easy to access</w:t>
      </w:r>
      <w:r w:rsidR="003941BA">
        <w:t xml:space="preserve"> to</w:t>
      </w:r>
      <w:r>
        <w:t xml:space="preserve"> information about the grant selection process and the main strengths and areas for improving applications.</w:t>
      </w:r>
    </w:p>
    <w:p w14:paraId="096849B3" w14:textId="77777777" w:rsidR="00DD159B" w:rsidRDefault="00DD159B" w:rsidP="009668F6">
      <w:pPr>
        <w:pStyle w:val="Heading3"/>
      </w:pPr>
      <w:bookmarkStart w:id="75" w:name="_Toc525295546"/>
      <w:bookmarkStart w:id="76" w:name="_Toc525552144"/>
      <w:bookmarkStart w:id="77" w:name="_Toc525722844"/>
      <w:bookmarkStart w:id="78" w:name="_Toc15025962"/>
      <w:bookmarkEnd w:id="75"/>
      <w:bookmarkEnd w:id="76"/>
      <w:bookmarkEnd w:id="77"/>
      <w:r>
        <w:t>Further grant opportunities</w:t>
      </w:r>
      <w:bookmarkEnd w:id="78"/>
    </w:p>
    <w:p w14:paraId="00E016F9" w14:textId="77777777" w:rsidR="00637F3C" w:rsidRDefault="00637F3C" w:rsidP="00637F3C">
      <w:pPr>
        <w:rPr>
          <w:rStyle w:val="highlightedtextChar"/>
          <w:rFonts w:ascii="Arial" w:hAnsi="Arial" w:cs="Arial"/>
          <w:b w:val="0"/>
          <w:color w:val="auto"/>
          <w:sz w:val="20"/>
          <w:szCs w:val="20"/>
        </w:rPr>
      </w:pPr>
      <w:r w:rsidRPr="0036071F">
        <w:rPr>
          <w:rStyle w:val="highlightedtextChar"/>
          <w:rFonts w:ascii="Arial" w:hAnsi="Arial" w:cs="Arial"/>
          <w:b w:val="0"/>
          <w:color w:val="auto"/>
          <w:sz w:val="20"/>
          <w:szCs w:val="20"/>
        </w:rPr>
        <w:t xml:space="preserve">If there </w:t>
      </w:r>
      <w:r>
        <w:rPr>
          <w:rStyle w:val="highlightedtextChar"/>
          <w:rFonts w:ascii="Arial" w:hAnsi="Arial" w:cs="Arial"/>
          <w:b w:val="0"/>
          <w:color w:val="auto"/>
          <w:sz w:val="20"/>
          <w:szCs w:val="20"/>
        </w:rPr>
        <w:t xml:space="preserve">is </w:t>
      </w:r>
      <w:r w:rsidRPr="0036071F">
        <w:rPr>
          <w:rStyle w:val="highlightedtextChar"/>
          <w:rFonts w:ascii="Arial" w:hAnsi="Arial" w:cs="Arial"/>
          <w:b w:val="0"/>
          <w:color w:val="auto"/>
          <w:sz w:val="20"/>
          <w:szCs w:val="20"/>
        </w:rPr>
        <w:t xml:space="preserve">not </w:t>
      </w:r>
      <w:r>
        <w:rPr>
          <w:rStyle w:val="highlightedtextChar"/>
          <w:rFonts w:ascii="Arial" w:hAnsi="Arial" w:cs="Arial"/>
          <w:b w:val="0"/>
          <w:color w:val="auto"/>
          <w:sz w:val="20"/>
          <w:szCs w:val="20"/>
        </w:rPr>
        <w:t>a suitable applicant</w:t>
      </w:r>
      <w:r w:rsidRPr="0036071F">
        <w:rPr>
          <w:rStyle w:val="highlightedtextChar"/>
          <w:rFonts w:ascii="Arial" w:hAnsi="Arial" w:cs="Arial"/>
          <w:b w:val="0"/>
          <w:color w:val="auto"/>
          <w:sz w:val="20"/>
          <w:szCs w:val="20"/>
        </w:rPr>
        <w:t xml:space="preserve"> to meet the program’s objectives, </w:t>
      </w:r>
      <w:r w:rsidR="00115A47">
        <w:rPr>
          <w:rStyle w:val="highlightedtextChar"/>
          <w:rFonts w:ascii="Arial" w:hAnsi="Arial" w:cs="Arial"/>
          <w:b w:val="0"/>
          <w:color w:val="auto"/>
          <w:sz w:val="20"/>
          <w:szCs w:val="20"/>
        </w:rPr>
        <w:t>the department</w:t>
      </w:r>
      <w:r w:rsidR="00115A47" w:rsidRPr="0036071F">
        <w:rPr>
          <w:rStyle w:val="highlightedtextChar"/>
          <w:rFonts w:ascii="Arial" w:hAnsi="Arial" w:cs="Arial"/>
          <w:b w:val="0"/>
          <w:color w:val="auto"/>
          <w:sz w:val="20"/>
          <w:szCs w:val="20"/>
        </w:rPr>
        <w:t xml:space="preserve"> </w:t>
      </w:r>
      <w:r w:rsidRPr="0036071F">
        <w:rPr>
          <w:rStyle w:val="highlightedtextChar"/>
          <w:rFonts w:ascii="Arial" w:hAnsi="Arial" w:cs="Arial"/>
          <w:b w:val="0"/>
          <w:color w:val="auto"/>
          <w:sz w:val="20"/>
          <w:szCs w:val="20"/>
        </w:rPr>
        <w:t>will</w:t>
      </w:r>
      <w:r>
        <w:rPr>
          <w:rStyle w:val="highlightedtextChar"/>
          <w:rFonts w:ascii="Arial" w:hAnsi="Arial" w:cs="Arial"/>
          <w:b w:val="0"/>
          <w:color w:val="auto"/>
          <w:sz w:val="20"/>
          <w:szCs w:val="20"/>
        </w:rPr>
        <w:t xml:space="preserve"> </w:t>
      </w:r>
      <w:r w:rsidR="00785E41">
        <w:rPr>
          <w:rStyle w:val="highlightedtextChar"/>
          <w:rFonts w:ascii="Arial" w:hAnsi="Arial" w:cs="Arial"/>
          <w:b w:val="0"/>
          <w:color w:val="auto"/>
          <w:sz w:val="20"/>
          <w:szCs w:val="20"/>
        </w:rPr>
        <w:t xml:space="preserve">consider </w:t>
      </w:r>
      <w:r>
        <w:rPr>
          <w:rStyle w:val="highlightedtextChar"/>
          <w:rFonts w:ascii="Arial" w:hAnsi="Arial" w:cs="Arial"/>
          <w:b w:val="0"/>
          <w:color w:val="auto"/>
          <w:sz w:val="20"/>
          <w:szCs w:val="20"/>
        </w:rPr>
        <w:t>appoint</w:t>
      </w:r>
      <w:r w:rsidR="00785E41">
        <w:rPr>
          <w:rStyle w:val="highlightedtextChar"/>
          <w:rFonts w:ascii="Arial" w:hAnsi="Arial" w:cs="Arial"/>
          <w:b w:val="0"/>
          <w:color w:val="auto"/>
          <w:sz w:val="20"/>
          <w:szCs w:val="20"/>
        </w:rPr>
        <w:t>ing</w:t>
      </w:r>
      <w:r>
        <w:rPr>
          <w:rStyle w:val="highlightedtextChar"/>
          <w:rFonts w:ascii="Arial" w:hAnsi="Arial" w:cs="Arial"/>
          <w:b w:val="0"/>
          <w:color w:val="auto"/>
          <w:sz w:val="20"/>
          <w:szCs w:val="20"/>
        </w:rPr>
        <w:t xml:space="preserve"> a grantee via a</w:t>
      </w:r>
      <w:r w:rsidR="00AF722D">
        <w:rPr>
          <w:rStyle w:val="highlightedtextChar"/>
          <w:rFonts w:ascii="Arial" w:hAnsi="Arial" w:cs="Arial"/>
          <w:b w:val="0"/>
          <w:color w:val="auto"/>
          <w:sz w:val="20"/>
          <w:szCs w:val="20"/>
        </w:rPr>
        <w:t>n ad-hoc</w:t>
      </w:r>
      <w:r>
        <w:rPr>
          <w:rStyle w:val="highlightedtextChar"/>
          <w:rFonts w:ascii="Arial" w:hAnsi="Arial" w:cs="Arial"/>
          <w:b w:val="0"/>
          <w:color w:val="auto"/>
          <w:sz w:val="20"/>
          <w:szCs w:val="20"/>
        </w:rPr>
        <w:t xml:space="preserve"> </w:t>
      </w:r>
      <w:r w:rsidR="00AF722D">
        <w:rPr>
          <w:rStyle w:val="highlightedtextChar"/>
          <w:rFonts w:ascii="Arial" w:hAnsi="Arial" w:cs="Arial"/>
          <w:b w:val="0"/>
          <w:color w:val="auto"/>
          <w:sz w:val="20"/>
          <w:szCs w:val="20"/>
        </w:rPr>
        <w:t>g</w:t>
      </w:r>
      <w:r>
        <w:rPr>
          <w:rStyle w:val="highlightedtextChar"/>
          <w:rFonts w:ascii="Arial" w:hAnsi="Arial" w:cs="Arial"/>
          <w:b w:val="0"/>
          <w:color w:val="auto"/>
          <w:sz w:val="20"/>
          <w:szCs w:val="20"/>
        </w:rPr>
        <w:t>rant</w:t>
      </w:r>
      <w:r w:rsidR="00AF722D">
        <w:rPr>
          <w:rStyle w:val="highlightedtextChar"/>
          <w:rFonts w:ascii="Arial" w:hAnsi="Arial" w:cs="Arial"/>
          <w:b w:val="0"/>
          <w:color w:val="auto"/>
          <w:sz w:val="20"/>
          <w:szCs w:val="20"/>
        </w:rPr>
        <w:t xml:space="preserve"> process</w:t>
      </w:r>
      <w:r>
        <w:rPr>
          <w:rStyle w:val="highlightedtextChar"/>
          <w:rFonts w:ascii="Arial" w:hAnsi="Arial" w:cs="Arial"/>
          <w:b w:val="0"/>
          <w:color w:val="auto"/>
          <w:sz w:val="20"/>
          <w:szCs w:val="20"/>
        </w:rPr>
        <w:t>.</w:t>
      </w:r>
    </w:p>
    <w:p w14:paraId="2FDDF1C0" w14:textId="77777777" w:rsidR="00DB5819" w:rsidRDefault="00FB0C71" w:rsidP="009668F6">
      <w:pPr>
        <w:pStyle w:val="Heading2"/>
      </w:pPr>
      <w:bookmarkStart w:id="79" w:name="_Toc15025963"/>
      <w:r>
        <w:t>Successful grant applications</w:t>
      </w:r>
      <w:bookmarkEnd w:id="79"/>
    </w:p>
    <w:p w14:paraId="70901B6E" w14:textId="77777777" w:rsidR="00FB0C71" w:rsidRPr="00FB0C71" w:rsidRDefault="00FB0C71" w:rsidP="009668F6">
      <w:pPr>
        <w:pStyle w:val="Heading3"/>
      </w:pPr>
      <w:bookmarkStart w:id="80" w:name="_Toc15025964"/>
      <w:r>
        <w:t>The grant agreement</w:t>
      </w:r>
      <w:bookmarkEnd w:id="80"/>
    </w:p>
    <w:p w14:paraId="637937A5" w14:textId="77777777" w:rsidR="000A4D8A" w:rsidRDefault="0000694F" w:rsidP="00756BBB">
      <w:bookmarkStart w:id="81" w:name="_Toc466898121"/>
      <w:bookmarkEnd w:id="58"/>
      <w:bookmarkEnd w:id="59"/>
      <w:r>
        <w:t>You</w:t>
      </w:r>
      <w:r w:rsidR="00756BBB">
        <w:t xml:space="preserve"> must enter into a </w:t>
      </w:r>
      <w:r w:rsidR="0028277B">
        <w:t xml:space="preserve">legally binding </w:t>
      </w:r>
      <w:r w:rsidR="00AE3DAF">
        <w:t>g</w:t>
      </w:r>
      <w:r w:rsidR="00756BBB">
        <w:t xml:space="preserve">rant </w:t>
      </w:r>
      <w:r w:rsidR="00AE3DAF">
        <w:t>a</w:t>
      </w:r>
      <w:r w:rsidR="00756BBB">
        <w:t>greement with the Commonwealth.</w:t>
      </w:r>
      <w:r w:rsidR="00B65B88" w:rsidRPr="00B65B88">
        <w:t xml:space="preserve"> </w:t>
      </w:r>
      <w:r w:rsidR="00705C93">
        <w:t>We</w:t>
      </w:r>
      <w:r w:rsidR="00961BC2">
        <w:t xml:space="preserve"> </w:t>
      </w:r>
      <w:r w:rsidR="00DA3DCF">
        <w:t>will offer successful applicants</w:t>
      </w:r>
      <w:r w:rsidR="00CA3900">
        <w:t xml:space="preserve"> a</w:t>
      </w:r>
      <w:r w:rsidR="000D0A9A">
        <w:t xml:space="preserve"> </w:t>
      </w:r>
      <w:r w:rsidR="00C219AD">
        <w:t xml:space="preserve">Commonwealth </w:t>
      </w:r>
      <w:r w:rsidR="00381648" w:rsidRPr="00C65623">
        <w:t>S</w:t>
      </w:r>
      <w:r w:rsidR="001A6742" w:rsidRPr="00C65623">
        <w:t>tandard</w:t>
      </w:r>
      <w:r w:rsidR="00381648" w:rsidRPr="00C65623">
        <w:t xml:space="preserve"> </w:t>
      </w:r>
      <w:r w:rsidR="00B05EED">
        <w:t>g</w:t>
      </w:r>
      <w:r w:rsidR="00381648" w:rsidRPr="00C65623">
        <w:t xml:space="preserve">rant </w:t>
      </w:r>
      <w:r w:rsidR="00B05EED">
        <w:t>a</w:t>
      </w:r>
      <w:r w:rsidR="00381648" w:rsidRPr="00C65623">
        <w:t>greement</w:t>
      </w:r>
      <w:r w:rsidR="00637F3C" w:rsidRPr="00C65623">
        <w:t xml:space="preserve"> </w:t>
      </w:r>
      <w:r w:rsidR="00DA3DCF">
        <w:t>for</w:t>
      </w:r>
      <w:r w:rsidR="00A51A3F">
        <w:t xml:space="preserve"> </w:t>
      </w:r>
      <w:r w:rsidR="00B65B88">
        <w:t>this</w:t>
      </w:r>
      <w:r w:rsidR="00A51A3F">
        <w:t xml:space="preserve"> </w:t>
      </w:r>
      <w:r w:rsidR="00DA3DCF">
        <w:t>grant opportunity.</w:t>
      </w:r>
    </w:p>
    <w:p w14:paraId="3C588DBB" w14:textId="77777777" w:rsidR="00756BBB" w:rsidRPr="007B4969" w:rsidRDefault="0028277B" w:rsidP="00756BBB">
      <w:r>
        <w:lastRenderedPageBreak/>
        <w:t xml:space="preserve">Each </w:t>
      </w:r>
      <w:r w:rsidR="00AE3DAF">
        <w:t>a</w:t>
      </w:r>
      <w:r>
        <w:t xml:space="preserve">greement has </w:t>
      </w:r>
      <w:r w:rsidR="00FE3713">
        <w:t>standard</w:t>
      </w:r>
      <w:r w:rsidR="00F4677D">
        <w:t xml:space="preserve"> </w:t>
      </w:r>
      <w:r w:rsidR="00AE3DAF">
        <w:t>g</w:t>
      </w:r>
      <w:r w:rsidR="00FE3713">
        <w:t>rant</w:t>
      </w:r>
      <w:r>
        <w:t xml:space="preserve"> </w:t>
      </w:r>
      <w:r w:rsidR="00AE3DAF">
        <w:t>c</w:t>
      </w:r>
      <w:r>
        <w:t>onditions that cannot be changed.</w:t>
      </w:r>
      <w:r w:rsidR="00756BBB">
        <w:t xml:space="preserve"> </w:t>
      </w:r>
      <w:r w:rsidR="002F7E8A">
        <w:t>S</w:t>
      </w:r>
      <w:r w:rsidR="00756BBB">
        <w:t xml:space="preserve">ample </w:t>
      </w:r>
      <w:r w:rsidR="00AE3DAF">
        <w:rPr>
          <w:rStyle w:val="Hyperlink"/>
          <w:rFonts w:eastAsia="MS Mincho"/>
          <w:color w:val="auto"/>
          <w:u w:val="none"/>
        </w:rPr>
        <w:t>g</w:t>
      </w:r>
      <w:r w:rsidR="00756BBB" w:rsidRPr="003B575D">
        <w:rPr>
          <w:rStyle w:val="Hyperlink"/>
          <w:rFonts w:eastAsia="MS Mincho"/>
          <w:color w:val="auto"/>
          <w:u w:val="none"/>
        </w:rPr>
        <w:t xml:space="preserve">rant </w:t>
      </w:r>
      <w:r w:rsidR="00AE3DAF">
        <w:rPr>
          <w:rStyle w:val="Hyperlink"/>
          <w:rFonts w:eastAsia="MS Mincho"/>
          <w:color w:val="auto"/>
          <w:u w:val="none"/>
        </w:rPr>
        <w:t>a</w:t>
      </w:r>
      <w:r w:rsidR="00756BBB" w:rsidRPr="003B575D">
        <w:rPr>
          <w:rStyle w:val="Hyperlink"/>
          <w:rFonts w:eastAsia="MS Mincho"/>
          <w:color w:val="auto"/>
          <w:u w:val="none"/>
        </w:rPr>
        <w:t>greement</w:t>
      </w:r>
      <w:r w:rsidR="002F7E8A">
        <w:rPr>
          <w:rStyle w:val="Hyperlink"/>
          <w:rFonts w:eastAsia="MS Mincho"/>
          <w:color w:val="auto"/>
          <w:u w:val="none"/>
        </w:rPr>
        <w:t>s are</w:t>
      </w:r>
      <w:r w:rsidR="002F7E8A">
        <w:t xml:space="preserve"> </w:t>
      </w:r>
      <w:r w:rsidR="00756BBB">
        <w:t>available on</w:t>
      </w:r>
      <w:r w:rsidR="00EB18FF">
        <w:t xml:space="preserve"> </w:t>
      </w:r>
      <w:r w:rsidR="00637F3C">
        <w:t>GrantConnect,</w:t>
      </w:r>
      <w:r w:rsidR="0086382B">
        <w:t xml:space="preserve"> </w:t>
      </w:r>
      <w:r w:rsidR="002F7E8A">
        <w:t>as part of the grant documentation</w:t>
      </w:r>
      <w:r w:rsidR="00756BBB" w:rsidRPr="007B4969">
        <w:rPr>
          <w:color w:val="0070C0"/>
        </w:rPr>
        <w:t>.</w:t>
      </w:r>
      <w:r w:rsidR="005A49DF" w:rsidRPr="007B4969">
        <w:rPr>
          <w:color w:val="0070C0"/>
        </w:rPr>
        <w:t xml:space="preserve"> </w:t>
      </w:r>
      <w:r w:rsidR="005A49DF" w:rsidRPr="007B4969">
        <w:t xml:space="preserve">We will use a schedule </w:t>
      </w:r>
      <w:r w:rsidR="00B65B88" w:rsidRPr="007B4969">
        <w:t xml:space="preserve">to </w:t>
      </w:r>
      <w:r w:rsidR="005A49DF" w:rsidRPr="007B4969">
        <w:t>outline the specific grant requirements.</w:t>
      </w:r>
    </w:p>
    <w:p w14:paraId="2C422224" w14:textId="77777777" w:rsidR="00C65623" w:rsidRDefault="00C65623" w:rsidP="00C65623">
      <w:r>
        <w:t>We must execute a grant agreement with you before we can make any payments. We are not responsible for any of your expenditure until a grant agreement is executed. If you choose to start your grant activities before you have an executed grant agreement, you do so at your own risk.</w:t>
      </w:r>
    </w:p>
    <w:p w14:paraId="00248571" w14:textId="77777777" w:rsidR="00756BBB" w:rsidRDefault="009D51CA" w:rsidP="00C65623">
      <w:r>
        <w:t xml:space="preserve">Your </w:t>
      </w:r>
      <w:r w:rsidR="00AE3DAF" w:rsidRPr="00AE3DAF">
        <w:t>grant agreement</w:t>
      </w:r>
      <w:r w:rsidR="00320EA3">
        <w:t xml:space="preserve"> </w:t>
      </w:r>
      <w:r w:rsidR="00756BBB">
        <w:t>may have specific conditions determined by the assessment process or other considerations made by the</w:t>
      </w:r>
      <w:r w:rsidR="00916B94" w:rsidRPr="002D0FAF">
        <w:t xml:space="preserve"> </w:t>
      </w:r>
      <w:r w:rsidR="004712C0" w:rsidRPr="00C65623">
        <w:t>decision maker</w:t>
      </w:r>
      <w:r w:rsidR="00756BBB" w:rsidRPr="002D0FAF">
        <w:t>.</w:t>
      </w:r>
      <w:r w:rsidR="00756BBB">
        <w:t xml:space="preserve"> </w:t>
      </w:r>
      <w:r w:rsidR="004712C0">
        <w:t>These</w:t>
      </w:r>
      <w:r w:rsidR="00756BBB">
        <w:t xml:space="preserve"> </w:t>
      </w:r>
      <w:r w:rsidR="000C4F78">
        <w:t>are</w:t>
      </w:r>
      <w:r w:rsidR="00FE3713">
        <w:t xml:space="preserve"> </w:t>
      </w:r>
      <w:r w:rsidR="00756BBB">
        <w:t>identif</w:t>
      </w:r>
      <w:r w:rsidR="00FE3713">
        <w:t>ied</w:t>
      </w:r>
      <w:r w:rsidR="00756BBB">
        <w:t xml:space="preserve"> in the </w:t>
      </w:r>
      <w:r w:rsidR="00AE3DAF">
        <w:t>a</w:t>
      </w:r>
      <w:r>
        <w:t>greement</w:t>
      </w:r>
      <w:r w:rsidR="0049278D">
        <w:t>.</w:t>
      </w:r>
    </w:p>
    <w:p w14:paraId="141FE2AC" w14:textId="77777777" w:rsidR="00756BBB" w:rsidRDefault="00756BBB" w:rsidP="00756BBB">
      <w:r>
        <w:t xml:space="preserve">The Commonwealth may recover grant funds if there is a breach of the </w:t>
      </w:r>
      <w:r w:rsidR="00AE3DAF" w:rsidRPr="00AE3DAF">
        <w:t>grant agreement</w:t>
      </w:r>
      <w:r>
        <w:t>.</w:t>
      </w:r>
    </w:p>
    <w:p w14:paraId="264790D1" w14:textId="77777777" w:rsidR="00756BBB" w:rsidRPr="00F1569F" w:rsidRDefault="00381648" w:rsidP="009E283B">
      <w:pPr>
        <w:rPr>
          <w:b/>
        </w:rPr>
      </w:pPr>
      <w:bookmarkStart w:id="82" w:name="_Toc468693652"/>
      <w:r w:rsidRPr="00F1569F">
        <w:rPr>
          <w:b/>
        </w:rPr>
        <w:t xml:space="preserve">Commonwealth </w:t>
      </w:r>
      <w:r w:rsidR="00C65623" w:rsidRPr="00C65623">
        <w:rPr>
          <w:b/>
        </w:rPr>
        <w:t>Standard</w:t>
      </w:r>
      <w:r w:rsidR="00756BBB" w:rsidRPr="00C65623">
        <w:rPr>
          <w:b/>
        </w:rPr>
        <w:t xml:space="preserve"> </w:t>
      </w:r>
      <w:r w:rsidR="00CE01EF" w:rsidRPr="00F1569F">
        <w:rPr>
          <w:b/>
        </w:rPr>
        <w:t>G</w:t>
      </w:r>
      <w:r w:rsidR="00756BBB" w:rsidRPr="00F1569F">
        <w:rPr>
          <w:b/>
        </w:rPr>
        <w:t xml:space="preserve">rant </w:t>
      </w:r>
      <w:r w:rsidR="005163DB" w:rsidRPr="00F1569F">
        <w:rPr>
          <w:b/>
        </w:rPr>
        <w:t>A</w:t>
      </w:r>
      <w:r w:rsidR="00756BBB" w:rsidRPr="00F1569F">
        <w:rPr>
          <w:b/>
        </w:rPr>
        <w:t>greement</w:t>
      </w:r>
      <w:bookmarkEnd w:id="82"/>
      <w:r w:rsidR="002D13CB" w:rsidRPr="00F1569F">
        <w:rPr>
          <w:b/>
        </w:rPr>
        <w:t xml:space="preserve"> </w:t>
      </w:r>
    </w:p>
    <w:p w14:paraId="228B69D7" w14:textId="77777777" w:rsidR="00756BBB" w:rsidRPr="00C65623" w:rsidRDefault="00705C93" w:rsidP="00BC16E5">
      <w:pPr>
        <w:rPr>
          <w:iCs/>
        </w:rPr>
      </w:pPr>
      <w:r>
        <w:rPr>
          <w:iCs/>
        </w:rPr>
        <w:t>We</w:t>
      </w:r>
      <w:r w:rsidR="004712C0" w:rsidRPr="00C65623">
        <w:rPr>
          <w:iCs/>
        </w:rPr>
        <w:t xml:space="preserve"> </w:t>
      </w:r>
      <w:r w:rsidR="00756BBB" w:rsidRPr="008B5C65">
        <w:rPr>
          <w:iCs/>
        </w:rPr>
        <w:t xml:space="preserve">will use a </w:t>
      </w:r>
      <w:r w:rsidR="00381648" w:rsidRPr="00F1569F">
        <w:rPr>
          <w:iCs/>
        </w:rPr>
        <w:t xml:space="preserve">Commonwealth </w:t>
      </w:r>
      <w:r w:rsidR="00C65623" w:rsidRPr="00C65623">
        <w:rPr>
          <w:iCs/>
        </w:rPr>
        <w:t>Standard</w:t>
      </w:r>
      <w:r w:rsidR="00756BBB" w:rsidRPr="00F1569F">
        <w:rPr>
          <w:iCs/>
        </w:rPr>
        <w:t xml:space="preserve"> </w:t>
      </w:r>
      <w:r w:rsidR="00AE3DAF" w:rsidRPr="00AE3DAF">
        <w:rPr>
          <w:iCs/>
        </w:rPr>
        <w:t>grant agreement</w:t>
      </w:r>
      <w:r w:rsidR="00C65623">
        <w:rPr>
          <w:iCs/>
        </w:rPr>
        <w:t xml:space="preserve"> with a schedule</w:t>
      </w:r>
      <w:r w:rsidR="00D242BE" w:rsidRPr="00F1569F">
        <w:rPr>
          <w:iCs/>
        </w:rPr>
        <w:t>.</w:t>
      </w:r>
    </w:p>
    <w:p w14:paraId="596826D5" w14:textId="77777777" w:rsidR="005163DB" w:rsidRDefault="00756BBB" w:rsidP="00756BBB">
      <w:pPr>
        <w:rPr>
          <w:iCs/>
        </w:rPr>
      </w:pPr>
      <w:r w:rsidRPr="0001641E">
        <w:rPr>
          <w:iCs/>
        </w:rPr>
        <w:t xml:space="preserve">You will </w:t>
      </w:r>
      <w:r w:rsidRPr="00705C93">
        <w:rPr>
          <w:iCs/>
        </w:rPr>
        <w:t>have</w:t>
      </w:r>
      <w:r w:rsidR="00C65623">
        <w:rPr>
          <w:iCs/>
        </w:rPr>
        <w:t xml:space="preserve"> fourteen</w:t>
      </w:r>
      <w:r w:rsidR="00BA18AE">
        <w:rPr>
          <w:iCs/>
        </w:rPr>
        <w:t xml:space="preserve"> (</w:t>
      </w:r>
      <w:r w:rsidR="00C65623">
        <w:rPr>
          <w:iCs/>
        </w:rPr>
        <w:t>14</w:t>
      </w:r>
      <w:r w:rsidR="00BA18AE">
        <w:rPr>
          <w:iCs/>
        </w:rPr>
        <w:t>) business</w:t>
      </w:r>
      <w:r w:rsidRPr="00705C93">
        <w:rPr>
          <w:iCs/>
        </w:rPr>
        <w:t xml:space="preserve"> days from</w:t>
      </w:r>
      <w:r w:rsidRPr="0001641E">
        <w:rPr>
          <w:iCs/>
        </w:rPr>
        <w:t xml:space="preserve"> the date of a written offer to</w:t>
      </w:r>
      <w:r w:rsidR="00BA18AE">
        <w:rPr>
          <w:iCs/>
        </w:rPr>
        <w:t xml:space="preserve"> sign and return</w:t>
      </w:r>
      <w:r w:rsidRPr="0001641E">
        <w:rPr>
          <w:iCs/>
        </w:rPr>
        <w:t xml:space="preserve"> this </w:t>
      </w:r>
      <w:r w:rsidR="00AE3DAF" w:rsidRPr="00AE3DAF">
        <w:rPr>
          <w:iCs/>
        </w:rPr>
        <w:t>grant agreement</w:t>
      </w:r>
      <w:r w:rsidR="00BA18AE">
        <w:rPr>
          <w:iCs/>
        </w:rPr>
        <w:t xml:space="preserve">. The grant agreement is not considered to be executed until </w:t>
      </w:r>
      <w:r w:rsidRPr="0001641E">
        <w:rPr>
          <w:iCs/>
        </w:rPr>
        <w:t xml:space="preserve">both you and the Commonwealth have signed the </w:t>
      </w:r>
      <w:r w:rsidR="00AE3DAF">
        <w:rPr>
          <w:iCs/>
        </w:rPr>
        <w:t>a</w:t>
      </w:r>
      <w:r w:rsidR="00BA18AE">
        <w:rPr>
          <w:iCs/>
        </w:rPr>
        <w:t>greement</w:t>
      </w:r>
      <w:r w:rsidRPr="0001641E">
        <w:rPr>
          <w:iCs/>
        </w:rPr>
        <w:t xml:space="preserve">. During this time, </w:t>
      </w:r>
      <w:r w:rsidR="00705C93">
        <w:rPr>
          <w:iCs/>
        </w:rPr>
        <w:t xml:space="preserve">we </w:t>
      </w:r>
      <w:r w:rsidRPr="0001641E">
        <w:rPr>
          <w:iCs/>
        </w:rPr>
        <w:t>will wor</w:t>
      </w:r>
      <w:r w:rsidR="0049278D">
        <w:rPr>
          <w:iCs/>
        </w:rPr>
        <w:t>k with you to finalise details.</w:t>
      </w:r>
    </w:p>
    <w:p w14:paraId="0BA6AF65" w14:textId="77777777" w:rsidR="00BA3F7E" w:rsidRDefault="00756BBB" w:rsidP="00756BBB">
      <w:pPr>
        <w:rPr>
          <w:iCs/>
        </w:rPr>
      </w:pPr>
      <w:r w:rsidRPr="0001641E">
        <w:rPr>
          <w:iCs/>
        </w:rPr>
        <w:t xml:space="preserve">The offer may lapse if both parties do not sign the </w:t>
      </w:r>
      <w:r w:rsidR="00AE3DAF" w:rsidRPr="00AE3DAF">
        <w:rPr>
          <w:iCs/>
        </w:rPr>
        <w:t>grant agreement</w:t>
      </w:r>
      <w:r w:rsidR="00320EA3">
        <w:rPr>
          <w:iCs/>
        </w:rPr>
        <w:t xml:space="preserve"> </w:t>
      </w:r>
      <w:r w:rsidRPr="0001641E">
        <w:rPr>
          <w:iCs/>
        </w:rPr>
        <w:t xml:space="preserve">within this time. Under certain circumstances, we may extend this period. </w:t>
      </w:r>
      <w:r w:rsidR="00705C93">
        <w:rPr>
          <w:iCs/>
        </w:rPr>
        <w:t xml:space="preserve">We </w:t>
      </w:r>
      <w:r w:rsidRPr="0001641E">
        <w:rPr>
          <w:iCs/>
        </w:rPr>
        <w:t xml:space="preserve">base the approval of your </w:t>
      </w:r>
      <w:r w:rsidR="00AE3DAF">
        <w:rPr>
          <w:iCs/>
        </w:rPr>
        <w:t>g</w:t>
      </w:r>
      <w:r w:rsidRPr="0001641E">
        <w:rPr>
          <w:iCs/>
        </w:rPr>
        <w:t>rant on the information you provide in your application.</w:t>
      </w:r>
    </w:p>
    <w:p w14:paraId="14A36C64" w14:textId="77777777" w:rsidR="00184F6F" w:rsidRDefault="00BA3F7E" w:rsidP="00090B23">
      <w:pPr>
        <w:rPr>
          <w:iCs/>
        </w:rPr>
      </w:pPr>
      <w:r>
        <w:rPr>
          <w:iCs/>
        </w:rPr>
        <w:t xml:space="preserve">You may request changes to the </w:t>
      </w:r>
      <w:r w:rsidR="00AE3DAF" w:rsidRPr="00AE3DAF">
        <w:rPr>
          <w:iCs/>
        </w:rPr>
        <w:t>grant agreement</w:t>
      </w:r>
      <w:r>
        <w:rPr>
          <w:iCs/>
        </w:rPr>
        <w:t xml:space="preserve">. However, </w:t>
      </w:r>
      <w:r w:rsidR="00705C93">
        <w:rPr>
          <w:iCs/>
        </w:rPr>
        <w:t>we</w:t>
      </w:r>
      <w:r w:rsidR="00756BBB" w:rsidRPr="00F1569F">
        <w:rPr>
          <w:iCs/>
          <w:color w:val="548DD4" w:themeColor="text2" w:themeTint="99"/>
        </w:rPr>
        <w:t xml:space="preserve"> </w:t>
      </w:r>
      <w:r w:rsidR="00756BBB" w:rsidRPr="0001641E">
        <w:rPr>
          <w:iCs/>
        </w:rPr>
        <w:t>will review any changes to</w:t>
      </w:r>
      <w:r w:rsidR="00756BBB" w:rsidRPr="000525BC">
        <w:rPr>
          <w:iCs/>
        </w:rPr>
        <w:t xml:space="preserve"> </w:t>
      </w:r>
      <w:r w:rsidR="003106BC">
        <w:rPr>
          <w:iCs/>
        </w:rPr>
        <w:t>make sure</w:t>
      </w:r>
      <w:r w:rsidR="00756BBB" w:rsidRPr="000525BC">
        <w:rPr>
          <w:iCs/>
        </w:rPr>
        <w:t xml:space="preserve"> they do not </w:t>
      </w:r>
      <w:r w:rsidR="00724B55">
        <w:rPr>
          <w:iCs/>
        </w:rPr>
        <w:t>affect</w:t>
      </w:r>
      <w:r w:rsidR="00756BBB" w:rsidRPr="000525BC">
        <w:rPr>
          <w:iCs/>
        </w:rPr>
        <w:t xml:space="preserve"> the </w:t>
      </w:r>
      <w:r w:rsidR="00AE3DAF">
        <w:t>g</w:t>
      </w:r>
      <w:r>
        <w:t>rant</w:t>
      </w:r>
      <w:r w:rsidR="00CD5027">
        <w:rPr>
          <w:iCs/>
        </w:rPr>
        <w:t xml:space="preserve"> </w:t>
      </w:r>
      <w:r w:rsidR="00756BBB" w:rsidRPr="008B5C65">
        <w:rPr>
          <w:iCs/>
        </w:rPr>
        <w:t xml:space="preserve">as approved by the </w:t>
      </w:r>
      <w:r w:rsidR="004712C0" w:rsidRPr="00F1569F">
        <w:rPr>
          <w:iCs/>
        </w:rPr>
        <w:t>decision maker.</w:t>
      </w:r>
    </w:p>
    <w:p w14:paraId="5C8202BB" w14:textId="77777777" w:rsidR="00933357" w:rsidRDefault="005C30BA" w:rsidP="009668F6">
      <w:pPr>
        <w:pStyle w:val="Heading3"/>
      </w:pPr>
      <w:bookmarkStart w:id="83" w:name="_Toc15025965"/>
      <w:bookmarkEnd w:id="81"/>
      <w:r>
        <w:t>Specific legislation, policies and industry standards</w:t>
      </w:r>
      <w:bookmarkEnd w:id="83"/>
      <w:r>
        <w:t xml:space="preserve"> </w:t>
      </w:r>
    </w:p>
    <w:p w14:paraId="02AFA7F0" w14:textId="77777777" w:rsidR="00E94F0B" w:rsidRDefault="00E94F0B" w:rsidP="00E94F0B">
      <w:r>
        <w:t>Whilst you are required to be compliant with all relevant laws and regulations, you will be requested to demonstrate compliance with the following policies:</w:t>
      </w:r>
    </w:p>
    <w:p w14:paraId="27CA5A29" w14:textId="77777777" w:rsidR="00E94F0B" w:rsidRDefault="00E94F0B" w:rsidP="00E94F0B">
      <w:pPr>
        <w:pStyle w:val="Heading4"/>
      </w:pPr>
      <w:bookmarkStart w:id="84" w:name="_Toc15025966"/>
      <w:r>
        <w:t>Commonwealth Child Safe Framework</w:t>
      </w:r>
      <w:bookmarkEnd w:id="84"/>
      <w:r>
        <w:t xml:space="preserve"> </w:t>
      </w:r>
    </w:p>
    <w:p w14:paraId="18F1A4AD" w14:textId="77777777" w:rsidR="00E94F0B" w:rsidRDefault="00E94F0B" w:rsidP="00D14E92">
      <w:pPr>
        <w:rPr>
          <w:rFonts w:cs="Arial"/>
        </w:rPr>
      </w:pPr>
      <w:r>
        <w:rPr>
          <w:rFonts w:cs="Arial"/>
        </w:rPr>
        <w:t>The Royal Commission into Institutional Responses to Child Sexual Abuse highlighted the need for organisations to adopt child safe practices including appropriate screening of staff, mandatory reporting and adoption of the National Principles for Child Safe Organisations. The Australian Government committed to a new Commonwealth-wide framework to protect children and young people it is responsible for – the Commonwealth Child Safe Framework (CCSF).</w:t>
      </w:r>
    </w:p>
    <w:p w14:paraId="094739CC" w14:textId="77777777" w:rsidR="00E94F0B" w:rsidRDefault="00E94F0B" w:rsidP="00D14E92">
      <w:pPr>
        <w:rPr>
          <w:rFonts w:cs="Arial"/>
        </w:rPr>
      </w:pPr>
      <w:r>
        <w:rPr>
          <w:rFonts w:cs="Arial"/>
        </w:rPr>
        <w:t>The Australian Government is considering appropriate ways to apply the requirements of the CCSF to grant recipients. A child safety clause is likely to be included in a grant agreement where the Commonwealth considers the grant is for:</w:t>
      </w:r>
    </w:p>
    <w:p w14:paraId="0C80FC63" w14:textId="77777777" w:rsidR="00E94F0B" w:rsidRDefault="00E94F0B" w:rsidP="00D14E92">
      <w:pPr>
        <w:numPr>
          <w:ilvl w:val="0"/>
          <w:numId w:val="22"/>
        </w:numPr>
        <w:suppressAutoHyphens/>
        <w:rPr>
          <w:rFonts w:cs="Arial"/>
        </w:rPr>
      </w:pPr>
      <w:r>
        <w:rPr>
          <w:rFonts w:cs="Arial"/>
        </w:rPr>
        <w:t>services directly to children; or</w:t>
      </w:r>
    </w:p>
    <w:p w14:paraId="4B5F1B0F" w14:textId="77777777" w:rsidR="00E94F0B" w:rsidRDefault="00E94F0B" w:rsidP="00D14E92">
      <w:pPr>
        <w:numPr>
          <w:ilvl w:val="0"/>
          <w:numId w:val="22"/>
        </w:numPr>
        <w:suppressAutoHyphens/>
        <w:rPr>
          <w:rFonts w:cs="Arial"/>
        </w:rPr>
      </w:pPr>
      <w:r>
        <w:rPr>
          <w:rFonts w:cs="Arial"/>
        </w:rPr>
        <w:t>activities that involve contact with children that is a usual part of, and more than incidental to, the grant activity.</w:t>
      </w:r>
    </w:p>
    <w:p w14:paraId="1A9DF807" w14:textId="77777777" w:rsidR="00E94F0B" w:rsidRDefault="00E94F0B" w:rsidP="00D14E92">
      <w:pPr>
        <w:rPr>
          <w:rFonts w:cs="Arial"/>
        </w:rPr>
      </w:pPr>
      <w:r>
        <w:rPr>
          <w:rFonts w:cs="Arial"/>
        </w:rPr>
        <w:t>A child safety clause may also be included in the grant agreement if the Commonwealth considers the grant activity involves children more broadly.</w:t>
      </w:r>
    </w:p>
    <w:p w14:paraId="3940D566" w14:textId="77777777" w:rsidR="00E94F0B" w:rsidRDefault="00E94F0B" w:rsidP="00D14E92">
      <w:pPr>
        <w:rPr>
          <w:bCs/>
          <w:lang w:eastAsia="en-AU"/>
        </w:rPr>
      </w:pPr>
      <w:r>
        <w:rPr>
          <w:rFonts w:cs="Arial"/>
        </w:rPr>
        <w:t>The successful applicant will be required to comply with all child safety obligations included in the grant agreement published with this grant opportunity or notified to the successful applicant prior to execution of the grant agreement. Irrespective of the child safety obligations in the grant agreement you must always comply with your state and territory legislative requirements for working with children and mandatory reporting.</w:t>
      </w:r>
    </w:p>
    <w:p w14:paraId="07476E05" w14:textId="77777777" w:rsidR="00350C9B" w:rsidRPr="004A7A3A" w:rsidRDefault="00350C9B" w:rsidP="00FF2FAC">
      <w:pPr>
        <w:pStyle w:val="Heading4"/>
      </w:pPr>
      <w:bookmarkStart w:id="85" w:name="_Toc15025967"/>
      <w:r w:rsidRPr="004A7A3A">
        <w:lastRenderedPageBreak/>
        <w:t>The Closing the Gap Refresh Agenda and the Indigenous Grants Policy (IGP)</w:t>
      </w:r>
      <w:bookmarkEnd w:id="85"/>
    </w:p>
    <w:p w14:paraId="5A545FA0" w14:textId="77777777" w:rsidR="00350C9B" w:rsidRPr="00706A18" w:rsidRDefault="00350C9B" w:rsidP="00350C9B">
      <w:r w:rsidRPr="00706A18">
        <w:t>The Closing the Gap Refresh is a whole of government agenda for the Commonwealth with the State and Territories.</w:t>
      </w:r>
      <w:r w:rsidR="006D239E">
        <w:t xml:space="preserve"> </w:t>
      </w:r>
      <w:r w:rsidRPr="00706A18">
        <w:t>It provides direct accountability to the Aboriginal and Torres Strait Islander Peoples on improving outcomes in the priority areas of families, children and youth, housing, justice (including youth justice), health, economic development, culture and language, education, healing and the elimination of raci</w:t>
      </w:r>
      <w:r w:rsidR="0049278D">
        <w:t>sm and systemic discrimination.</w:t>
      </w:r>
    </w:p>
    <w:p w14:paraId="71E56499" w14:textId="77777777" w:rsidR="00350C9B" w:rsidRDefault="00350C9B" w:rsidP="00350C9B">
      <w:r w:rsidRPr="00706A18">
        <w:t xml:space="preserve">The Closing the Gap Refresh provides the Australian </w:t>
      </w:r>
      <w:r w:rsidR="00E33557">
        <w:t>G</w:t>
      </w:r>
      <w:r w:rsidRPr="00706A18">
        <w:t xml:space="preserve">overnment with the framework to fund opportunities that will address the for </w:t>
      </w:r>
      <w:r>
        <w:t>intergenerational change, racism, discrimination and social inclusion, in particular for persons with a disability, gender and LGBTIQ+, healing and trauma, and the promotion of culture and language for Aboriginal and Torres Strait Islander peoples.</w:t>
      </w:r>
    </w:p>
    <w:p w14:paraId="08513BDE" w14:textId="77777777" w:rsidR="00350C9B" w:rsidRDefault="00350C9B" w:rsidP="00350C9B">
      <w:r>
        <w:t>The Australian Government announced the trial of an Indigenous Grants Policy (IGP) on 12 February 2018. The IGP trial aims to increase the delivery of programs and activities by Indigenous organisations and the involvement of Indigenous Australians in services intended to improve their lives. The IGP trial commenced on 1 July 2018 and funding recipients will be required to capture some Aboriginal and Torres Strait Islander employment data and estimations of total value of goods and services provided by Indigenous businesses. The data will be used to inform the development of an ongoing whole-of-government policy that is flexible, sustainable and centred on improving outco</w:t>
      </w:r>
      <w:r w:rsidR="0049278D">
        <w:t>mes for Indigenous Australians.</w:t>
      </w:r>
    </w:p>
    <w:p w14:paraId="2F7277E9" w14:textId="77777777" w:rsidR="00350C9B" w:rsidRPr="00706A18" w:rsidRDefault="00350C9B" w:rsidP="00350C9B">
      <w:r>
        <w:t>The Australian Government Indigenous Grants Policy (IGP) is to ensure that Indigenous people are involved in the design and delivery of program that affect them, and improve on-the-ground service delivery for Indigenous Australians</w:t>
      </w:r>
      <w:r w:rsidR="0049278D">
        <w:t>.</w:t>
      </w:r>
    </w:p>
    <w:p w14:paraId="556EEB54" w14:textId="77777777" w:rsidR="00E94F0B" w:rsidRDefault="00E94F0B" w:rsidP="00E94F0B">
      <w:pPr>
        <w:pStyle w:val="Heading4"/>
      </w:pPr>
      <w:bookmarkStart w:id="86" w:name="_Toc15025968"/>
      <w:r>
        <w:t>Legal practitioner legislation, rules and code of conduct</w:t>
      </w:r>
      <w:bookmarkEnd w:id="86"/>
    </w:p>
    <w:p w14:paraId="1B46CC83" w14:textId="77777777" w:rsidR="00E94F0B" w:rsidRPr="00B2154D" w:rsidRDefault="00E94F0B" w:rsidP="00E94F0B">
      <w:pPr>
        <w:rPr>
          <w:rFonts w:cs="Arial"/>
        </w:rPr>
      </w:pPr>
      <w:r>
        <w:t xml:space="preserve">The successful applicant is required to ensure all persons involved in the delivery of this grant activity comply with all relevant legislation, rules and code of conduct in the provision of legal services in the </w:t>
      </w:r>
      <w:r w:rsidR="00E33557">
        <w:t xml:space="preserve">states </w:t>
      </w:r>
      <w:r>
        <w:t xml:space="preserve">and </w:t>
      </w:r>
      <w:r w:rsidR="00E33557">
        <w:t xml:space="preserve">territories </w:t>
      </w:r>
      <w:r w:rsidR="0049278D">
        <w:t>of Australia.</w:t>
      </w:r>
    </w:p>
    <w:p w14:paraId="06206CA6" w14:textId="77777777" w:rsidR="00E94F0B" w:rsidRDefault="00E94F0B" w:rsidP="00E94F0B">
      <w:r>
        <w:t>To be eligible for a grant, you must declare in your application that you comply with these requirements. You will need to declare you can meet these requirements in your grant agreement with the Commonwealth.</w:t>
      </w:r>
    </w:p>
    <w:p w14:paraId="24F4D27B" w14:textId="77777777" w:rsidR="00115A47" w:rsidRPr="006415C2" w:rsidRDefault="00115A47" w:rsidP="00FF2FAC">
      <w:pPr>
        <w:pStyle w:val="Heading4"/>
      </w:pPr>
      <w:bookmarkStart w:id="87" w:name="_Toc15025969"/>
      <w:r w:rsidRPr="006415C2">
        <w:t>National Disability Strategy</w:t>
      </w:r>
      <w:bookmarkEnd w:id="87"/>
    </w:p>
    <w:p w14:paraId="5F3B78AC" w14:textId="77777777" w:rsidR="00115A47" w:rsidRPr="00706A18" w:rsidRDefault="00115A47" w:rsidP="00115A47">
      <w:r>
        <w:t xml:space="preserve">The Australian </w:t>
      </w:r>
      <w:r w:rsidRPr="000E2FD8">
        <w:t xml:space="preserve">Government’s National Disability Strategy provides a framework for </w:t>
      </w:r>
      <w:r w:rsidRPr="00706A18">
        <w:t>policy makers, service providers, community groups, businesses and families to engage with people with disability. The goal of the National Disability Strategy is to enable people with disability to realise their aspirations, maximise their independence and participate in their communities.</w:t>
      </w:r>
    </w:p>
    <w:p w14:paraId="07913CF9" w14:textId="77777777" w:rsidR="00115A47" w:rsidRDefault="00115A47" w:rsidP="00E94F0B">
      <w:r w:rsidRPr="00706A18">
        <w:t>Grant applicants should demonstrate in their application how they will ensure their service will be accessible to people with varying levels of levels of disabilities that are physical, sensory, intellectual and psycho-social disabilities. For example, some individuals, their families and carers may require communication accessibility environment or use au</w:t>
      </w:r>
      <w:r w:rsidR="0049278D">
        <w:t>gmented communication methods.</w:t>
      </w:r>
    </w:p>
    <w:p w14:paraId="69DCD1CE" w14:textId="77777777" w:rsidR="007F3B54" w:rsidRPr="00436036" w:rsidRDefault="007F3B54" w:rsidP="00E94F0B">
      <w:pPr>
        <w:pStyle w:val="Heading4"/>
      </w:pPr>
      <w:bookmarkStart w:id="88" w:name="_Toc15025970"/>
      <w:r w:rsidRPr="00436036">
        <w:t>Multicultural Access and Equity</w:t>
      </w:r>
      <w:bookmarkEnd w:id="88"/>
      <w:r w:rsidRPr="00436036">
        <w:t xml:space="preserve"> </w:t>
      </w:r>
    </w:p>
    <w:p w14:paraId="5769B243" w14:textId="77777777" w:rsidR="007447F0" w:rsidRDefault="00436036" w:rsidP="004712C0">
      <w:pPr>
        <w:pStyle w:val="ListBullet"/>
        <w:numPr>
          <w:ilvl w:val="0"/>
          <w:numId w:val="0"/>
        </w:numPr>
        <w:rPr>
          <w:iCs w:val="0"/>
        </w:rPr>
      </w:pPr>
      <w:r w:rsidRPr="00436036">
        <w:rPr>
          <w:iCs w:val="0"/>
        </w:rPr>
        <w:t xml:space="preserve">The Australian Government’s </w:t>
      </w:r>
      <w:r w:rsidRPr="00CA3DD9">
        <w:rPr>
          <w:i/>
          <w:iCs w:val="0"/>
        </w:rPr>
        <w:t xml:space="preserve">Multicultural Access and Equity Policy </w:t>
      </w:r>
      <w:r w:rsidRPr="00436036">
        <w:rPr>
          <w:iCs w:val="0"/>
        </w:rPr>
        <w:t>obliges Australian government agencies to ensure their policies, programs and services - including those provided by contractors and service delivery partners - are accessible to, and deliver equitable outcomes for, people from culturally and linguistica</w:t>
      </w:r>
      <w:r w:rsidR="0049278D">
        <w:rPr>
          <w:iCs w:val="0"/>
        </w:rPr>
        <w:t>lly diverse (CALD) backgrounds.</w:t>
      </w:r>
    </w:p>
    <w:p w14:paraId="0CE899CC" w14:textId="77777777" w:rsidR="00436036" w:rsidRDefault="00436036" w:rsidP="004712C0">
      <w:pPr>
        <w:pStyle w:val="ListBullet"/>
        <w:numPr>
          <w:ilvl w:val="0"/>
          <w:numId w:val="0"/>
        </w:numPr>
        <w:rPr>
          <w:iCs w:val="0"/>
        </w:rPr>
      </w:pPr>
      <w:r w:rsidRPr="00436036">
        <w:rPr>
          <w:iCs w:val="0"/>
        </w:rPr>
        <w:lastRenderedPageBreak/>
        <w:t>Grant applicants should consider how they will ensure their services will be accessible to people from CALD backgrounds. For example, service delivery partners may require cultural competency skills. In addition, services, projects, activities or events may require the use of professional translating or interpreting services in order to communicate with clients who have limited English proficiency. Based on an assessment of the client target group, costs for translating and interpreting services should be f</w:t>
      </w:r>
      <w:r w:rsidR="00702EA6">
        <w:rPr>
          <w:iCs w:val="0"/>
        </w:rPr>
        <w:t>actored into grant applications.</w:t>
      </w:r>
    </w:p>
    <w:p w14:paraId="5260D856" w14:textId="77777777" w:rsidR="00D057B9" w:rsidRPr="00F4677D" w:rsidRDefault="004545F3" w:rsidP="009668F6">
      <w:pPr>
        <w:pStyle w:val="Heading3"/>
      </w:pPr>
      <w:bookmarkStart w:id="89" w:name="_Toc530579998"/>
      <w:bookmarkStart w:id="90" w:name="_Toc15025971"/>
      <w:bookmarkEnd w:id="89"/>
      <w:r w:rsidRPr="00F4677D">
        <w:t xml:space="preserve">How </w:t>
      </w:r>
      <w:r w:rsidR="006C764B">
        <w:t>we</w:t>
      </w:r>
      <w:r w:rsidR="00756BBB" w:rsidRPr="00F4677D">
        <w:t xml:space="preserve"> pay </w:t>
      </w:r>
      <w:r w:rsidRPr="00F4677D">
        <w:t>the grant</w:t>
      </w:r>
      <w:bookmarkEnd w:id="90"/>
    </w:p>
    <w:p w14:paraId="6858420B" w14:textId="77777777" w:rsidR="00E94F0B" w:rsidRDefault="00E94F0B" w:rsidP="00E94F0B">
      <w:pPr>
        <w:tabs>
          <w:tab w:val="left" w:pos="0"/>
        </w:tabs>
      </w:pPr>
      <w:bookmarkStart w:id="91" w:name="_Toc529276547"/>
      <w:bookmarkStart w:id="92" w:name="_Toc529458389"/>
      <w:bookmarkStart w:id="93" w:name="_Toc530486357"/>
      <w:bookmarkStart w:id="94" w:name="_Toc530580001"/>
      <w:bookmarkStart w:id="95" w:name="_Toc466898122"/>
      <w:bookmarkEnd w:id="91"/>
      <w:bookmarkEnd w:id="92"/>
      <w:bookmarkEnd w:id="93"/>
      <w:bookmarkEnd w:id="94"/>
      <w:r w:rsidRPr="00DB0315">
        <w:rPr>
          <w:bCs/>
          <w:lang w:eastAsia="en-AU"/>
        </w:rPr>
        <w:t>The grant agreement will state the</w:t>
      </w:r>
      <w:r>
        <w:rPr>
          <w:bCs/>
          <w:lang w:eastAsia="en-AU"/>
        </w:rPr>
        <w:t xml:space="preserve"> </w:t>
      </w:r>
      <w:r w:rsidRPr="00DB0315">
        <w:t>maximum grant amount to be paid</w:t>
      </w:r>
      <w:r w:rsidR="00702EA6">
        <w:t xml:space="preserve"> and the frequency of payments.</w:t>
      </w:r>
    </w:p>
    <w:p w14:paraId="1CEA81EE" w14:textId="77777777" w:rsidR="00E94F0B" w:rsidRPr="00D14E92" w:rsidRDefault="00E94F0B">
      <w:r>
        <w:t>We will make payments according to an agreed schedule set out in the grant agreement. Payments are subject to satisfactory progress on the grant activity.</w:t>
      </w:r>
    </w:p>
    <w:p w14:paraId="6B874A72" w14:textId="77777777" w:rsidR="00E403B5" w:rsidRPr="00D369C8" w:rsidRDefault="00C05A13" w:rsidP="00EE0C10">
      <w:pPr>
        <w:pStyle w:val="Heading3"/>
      </w:pPr>
      <w:bookmarkStart w:id="96" w:name="_Toc15025972"/>
      <w:r>
        <w:t xml:space="preserve">Grant </w:t>
      </w:r>
      <w:r w:rsidR="00FF299F">
        <w:t xml:space="preserve">payments </w:t>
      </w:r>
      <w:r>
        <w:t>and GST</w:t>
      </w:r>
      <w:bookmarkEnd w:id="96"/>
    </w:p>
    <w:p w14:paraId="403FE017" w14:textId="77777777" w:rsidR="00E94F0B" w:rsidRPr="00815A59" w:rsidRDefault="00E94F0B" w:rsidP="00E94F0B">
      <w:bookmarkStart w:id="97" w:name="_Toc494290551"/>
      <w:bookmarkStart w:id="98" w:name="_Toc485726977"/>
      <w:bookmarkStart w:id="99" w:name="_Toc485736597"/>
      <w:bookmarkStart w:id="100" w:name="_Toc164844284"/>
      <w:bookmarkEnd w:id="95"/>
      <w:bookmarkEnd w:id="97"/>
      <w:r w:rsidRPr="0008705C">
        <w:t>‘Payments will be GST Inclusive’.</w:t>
      </w:r>
      <w:r>
        <w:t xml:space="preserve"> </w:t>
      </w:r>
      <w:r w:rsidRPr="0008705C">
        <w:t xml:space="preserve">If you are registered for the </w:t>
      </w:r>
      <w:hyperlink r:id="rId27" w:history="1">
        <w:r w:rsidRPr="00A0120E">
          <w:rPr>
            <w:rStyle w:val="Hyperlink"/>
          </w:rPr>
          <w:t>Goods and Services Tax (GST)</w:t>
        </w:r>
      </w:hyperlink>
      <w:r w:rsidRPr="00815A59">
        <w:t>, where applicable, we will add GST to your grant payment</w:t>
      </w:r>
      <w:r>
        <w:t xml:space="preserve"> and issue you with a </w:t>
      </w:r>
      <w:hyperlink r:id="rId28" w:history="1">
        <w:r w:rsidRPr="00A0120E">
          <w:rPr>
            <w:rStyle w:val="Hyperlink"/>
          </w:rPr>
          <w:t>Recipient Created Tax Invoice</w:t>
        </w:r>
      </w:hyperlink>
      <w:r>
        <w:t>.</w:t>
      </w:r>
    </w:p>
    <w:p w14:paraId="6D84A2C0" w14:textId="77777777" w:rsidR="00E94F0B" w:rsidRDefault="00E94F0B" w:rsidP="00E94F0B">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29" w:history="1">
        <w:r w:rsidRPr="002612BF">
          <w:rPr>
            <w:rStyle w:val="Hyperlink"/>
          </w:rPr>
          <w:t>Australian Taxation Office</w:t>
        </w:r>
      </w:hyperlink>
      <w:r w:rsidRPr="00E162FF">
        <w:t>.</w:t>
      </w:r>
      <w:r>
        <w:rPr>
          <w:rStyle w:val="FootnoteReference"/>
        </w:rPr>
        <w:footnoteReference w:id="6"/>
      </w:r>
      <w:r w:rsidRPr="00E162FF">
        <w:t xml:space="preserve"> </w:t>
      </w:r>
      <w:r>
        <w:t>We do not</w:t>
      </w:r>
      <w:r w:rsidRPr="00E162FF">
        <w:t xml:space="preserve"> provide advice on </w:t>
      </w:r>
      <w:r>
        <w:t xml:space="preserve">your particular </w:t>
      </w:r>
      <w:r w:rsidRPr="00E162FF">
        <w:t>tax</w:t>
      </w:r>
      <w:r>
        <w:t>ation circumstances</w:t>
      </w:r>
      <w:r w:rsidRPr="00E162FF">
        <w:t>.</w:t>
      </w:r>
    </w:p>
    <w:p w14:paraId="14649C22" w14:textId="77777777" w:rsidR="00E1311F" w:rsidRPr="004223FA" w:rsidDel="00457E6C" w:rsidRDefault="00E1311F" w:rsidP="009668F6">
      <w:pPr>
        <w:pStyle w:val="Heading2"/>
      </w:pPr>
      <w:bookmarkStart w:id="101" w:name="_Toc15025973"/>
      <w:r w:rsidRPr="004223FA" w:rsidDel="00457E6C">
        <w:t>Announcement of grants</w:t>
      </w:r>
      <w:bookmarkEnd w:id="98"/>
      <w:bookmarkEnd w:id="99"/>
      <w:bookmarkEnd w:id="101"/>
    </w:p>
    <w:p w14:paraId="72C68BE8" w14:textId="77777777" w:rsidR="00E1311F" w:rsidDel="00457E6C" w:rsidRDefault="00E1311F" w:rsidP="00E1311F">
      <w:pPr>
        <w:rPr>
          <w:i/>
        </w:rPr>
      </w:pPr>
      <w:r w:rsidDel="00457E6C">
        <w:t xml:space="preserve">If successful, your </w:t>
      </w:r>
      <w:r w:rsidR="00AE3DAF">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0" w:history="1">
        <w:r w:rsidR="004D3D46" w:rsidRPr="00B832D2" w:rsidDel="00457E6C">
          <w:rPr>
            <w:rStyle w:val="Hyperlink"/>
          </w:rPr>
          <w:t>CGRGs</w:t>
        </w:r>
      </w:hyperlink>
      <w:r w:rsidRPr="00CF2166" w:rsidDel="00457E6C">
        <w:t>.</w:t>
      </w:r>
    </w:p>
    <w:p w14:paraId="45F22F07" w14:textId="77777777" w:rsidR="00E1311F" w:rsidRDefault="00492B00" w:rsidP="009668F6">
      <w:pPr>
        <w:pStyle w:val="Heading2"/>
      </w:pPr>
      <w:bookmarkStart w:id="102" w:name="_Toc530486361"/>
      <w:bookmarkStart w:id="103" w:name="_Toc530580006"/>
      <w:bookmarkStart w:id="104" w:name="_Toc15025974"/>
      <w:bookmarkEnd w:id="102"/>
      <w:bookmarkEnd w:id="103"/>
      <w:r>
        <w:t xml:space="preserve">How </w:t>
      </w:r>
      <w:r w:rsidR="00705C93">
        <w:t>we</w:t>
      </w:r>
      <w:r w:rsidR="00110267">
        <w:t xml:space="preserve"> </w:t>
      </w:r>
      <w:r>
        <w:t>monitor your grant activity</w:t>
      </w:r>
      <w:bookmarkEnd w:id="104"/>
    </w:p>
    <w:p w14:paraId="7703012C" w14:textId="77777777" w:rsidR="004A2224" w:rsidRPr="00170226" w:rsidRDefault="004A2224" w:rsidP="009668F6">
      <w:pPr>
        <w:pStyle w:val="Heading3"/>
      </w:pPr>
      <w:bookmarkStart w:id="105" w:name="_Toc15025975"/>
      <w:r w:rsidRPr="00170226">
        <w:t>Keeping us informed</w:t>
      </w:r>
      <w:bookmarkEnd w:id="105"/>
    </w:p>
    <w:p w14:paraId="4950E8D3" w14:textId="77777777" w:rsidR="00E94F0B" w:rsidRDefault="00E94F0B" w:rsidP="00E94F0B">
      <w:bookmarkStart w:id="106" w:name="_Toc529276553"/>
      <w:bookmarkEnd w:id="106"/>
      <w:r>
        <w:t xml:space="preserve">You should let us know if anything is likely to affect your </w:t>
      </w:r>
      <w:r w:rsidR="0049278D">
        <w:t>grant activity or organisation.</w:t>
      </w:r>
    </w:p>
    <w:p w14:paraId="4000B999" w14:textId="77777777" w:rsidR="00E94F0B" w:rsidRDefault="00E94F0B" w:rsidP="00E94F0B">
      <w:r>
        <w:t>We need to know of any key changes to your organisation or its business activities, particularly if they affect your ability to complete your grant, carry on business and pay debts due.</w:t>
      </w:r>
    </w:p>
    <w:p w14:paraId="76DCFF57" w14:textId="77777777" w:rsidR="00E94F0B" w:rsidRDefault="00E94F0B" w:rsidP="00E94F0B">
      <w:r>
        <w:t>You must also inform us of any changes to your:</w:t>
      </w:r>
    </w:p>
    <w:p w14:paraId="173CA7DE" w14:textId="77777777" w:rsidR="00E94F0B" w:rsidRDefault="00E94F0B" w:rsidP="00E94F0B">
      <w:pPr>
        <w:pStyle w:val="ListBullet"/>
        <w:numPr>
          <w:ilvl w:val="0"/>
          <w:numId w:val="7"/>
        </w:numPr>
      </w:pPr>
      <w:r>
        <w:t>name</w:t>
      </w:r>
    </w:p>
    <w:p w14:paraId="0D009B7C" w14:textId="77777777" w:rsidR="00E94F0B" w:rsidRDefault="00E94F0B" w:rsidP="00E94F0B">
      <w:pPr>
        <w:pStyle w:val="ListBullet"/>
        <w:numPr>
          <w:ilvl w:val="0"/>
          <w:numId w:val="7"/>
        </w:numPr>
      </w:pPr>
      <w:r>
        <w:t>addresses</w:t>
      </w:r>
    </w:p>
    <w:p w14:paraId="6B59A17C" w14:textId="77777777" w:rsidR="00E94F0B" w:rsidRDefault="00E94F0B" w:rsidP="00E94F0B">
      <w:pPr>
        <w:pStyle w:val="ListBullet"/>
        <w:numPr>
          <w:ilvl w:val="0"/>
          <w:numId w:val="7"/>
        </w:numPr>
      </w:pPr>
      <w:r>
        <w:t>nominated contact details</w:t>
      </w:r>
    </w:p>
    <w:p w14:paraId="68951026" w14:textId="77777777" w:rsidR="00E94F0B" w:rsidRDefault="00E94F0B" w:rsidP="00E94F0B">
      <w:pPr>
        <w:pStyle w:val="ListBullet"/>
        <w:numPr>
          <w:ilvl w:val="0"/>
          <w:numId w:val="7"/>
        </w:numPr>
      </w:pPr>
      <w:r>
        <w:t>bank account details</w:t>
      </w:r>
    </w:p>
    <w:p w14:paraId="3999769E" w14:textId="77777777" w:rsidR="00E94F0B" w:rsidRDefault="00E94F0B" w:rsidP="00E94F0B">
      <w:pPr>
        <w:pStyle w:val="ListBullet"/>
        <w:numPr>
          <w:ilvl w:val="0"/>
          <w:numId w:val="7"/>
        </w:numPr>
      </w:pPr>
      <w:r>
        <w:t>ability to meet the objectives of the grant a</w:t>
      </w:r>
      <w:r w:rsidR="0049278D">
        <w:t>ctivity.</w:t>
      </w:r>
    </w:p>
    <w:p w14:paraId="4F686C0E" w14:textId="77777777" w:rsidR="00E94F0B" w:rsidRDefault="00E94F0B" w:rsidP="00E94F0B">
      <w:r>
        <w:t>If you become aware of a breach of terms and conditions under the grant agreement, y</w:t>
      </w:r>
      <w:r w:rsidR="0049278D">
        <w:t>ou must contact us immediately.</w:t>
      </w:r>
    </w:p>
    <w:p w14:paraId="74063B0F" w14:textId="77777777" w:rsidR="00E94F0B" w:rsidRDefault="00E94F0B" w:rsidP="00E94F0B">
      <w:r>
        <w:t>You must notify us of events relating to your grant and provide an opportunity for the Minister or their representative to attend.</w:t>
      </w:r>
    </w:p>
    <w:p w14:paraId="2E14B6D2" w14:textId="77777777" w:rsidR="003159B5" w:rsidRPr="00683955" w:rsidRDefault="002536AC" w:rsidP="009668F6">
      <w:pPr>
        <w:pStyle w:val="Heading3"/>
      </w:pPr>
      <w:bookmarkStart w:id="107" w:name="_Toc15025976"/>
      <w:r w:rsidRPr="00683955">
        <w:lastRenderedPageBreak/>
        <w:t>Reporting</w:t>
      </w:r>
      <w:bookmarkEnd w:id="107"/>
      <w:r w:rsidRPr="00683955">
        <w:t xml:space="preserve"> </w:t>
      </w:r>
    </w:p>
    <w:p w14:paraId="6BB6603E" w14:textId="77777777" w:rsidR="00F16EEF" w:rsidRDefault="00E94F0B" w:rsidP="00E94F0B">
      <w:pPr>
        <w:rPr>
          <w:rFonts w:cstheme="minorHAnsi"/>
        </w:rPr>
      </w:pPr>
      <w:bookmarkStart w:id="108" w:name="_Toc509572409"/>
      <w:bookmarkStart w:id="109" w:name="_Toc509572410"/>
      <w:bookmarkStart w:id="110" w:name="_Toc509572411"/>
      <w:bookmarkEnd w:id="108"/>
      <w:bookmarkEnd w:id="109"/>
      <w:bookmarkEnd w:id="110"/>
      <w:r w:rsidRPr="00E94F0B">
        <w:rPr>
          <w:rFonts w:cstheme="minorHAnsi"/>
        </w:rPr>
        <w:t>You must submit reports</w:t>
      </w:r>
      <w:r w:rsidRPr="00E94F0B">
        <w:rPr>
          <w:rFonts w:cstheme="minorHAnsi"/>
          <w:b/>
        </w:rPr>
        <w:t xml:space="preserve"> </w:t>
      </w:r>
      <w:r w:rsidRPr="00E94F0B">
        <w:rPr>
          <w:rFonts w:cstheme="minorHAnsi"/>
        </w:rPr>
        <w:t>in line with the</w:t>
      </w:r>
      <w:r w:rsidRPr="00E94F0B" w:rsidDel="00D505A5">
        <w:rPr>
          <w:rFonts w:cstheme="minorHAnsi"/>
        </w:rPr>
        <w:t xml:space="preserve"> </w:t>
      </w:r>
      <w:hyperlink r:id="rId31" w:history="1">
        <w:r w:rsidRPr="00E94F0B">
          <w:rPr>
            <w:rFonts w:cstheme="minorHAnsi"/>
          </w:rPr>
          <w:t>grant agreement</w:t>
        </w:r>
      </w:hyperlink>
      <w:r w:rsidR="0049278D">
        <w:rPr>
          <w:rFonts w:cstheme="minorHAnsi"/>
        </w:rPr>
        <w:t>.</w:t>
      </w:r>
    </w:p>
    <w:p w14:paraId="4E970F14" w14:textId="77777777" w:rsidR="00E94F0B" w:rsidRPr="00E94F0B" w:rsidRDefault="00E94F0B" w:rsidP="00E94F0B">
      <w:bookmarkStart w:id="111" w:name="_Toc468693655"/>
      <w:bookmarkStart w:id="112" w:name="_Toc509838910"/>
      <w:r w:rsidRPr="00E94F0B">
        <w:rPr>
          <w:b/>
        </w:rPr>
        <w:t>Progress reports</w:t>
      </w:r>
      <w:bookmarkEnd w:id="111"/>
      <w:r w:rsidRPr="00E94F0B">
        <w:rPr>
          <w:b/>
        </w:rPr>
        <w:t xml:space="preserve"> </w:t>
      </w:r>
      <w:bookmarkEnd w:id="112"/>
    </w:p>
    <w:p w14:paraId="142A431E" w14:textId="77777777" w:rsidR="00E94F0B" w:rsidRPr="00E94F0B" w:rsidRDefault="00E94F0B" w:rsidP="00E94F0B">
      <w:r w:rsidRPr="00E94F0B">
        <w:t>Progress reports m</w:t>
      </w:r>
      <w:r w:rsidR="00785E41">
        <w:t>ay require you to</w:t>
      </w:r>
      <w:r w:rsidRPr="00E94F0B">
        <w:t>:</w:t>
      </w:r>
    </w:p>
    <w:p w14:paraId="345D8900" w14:textId="77777777" w:rsidR="00E94F0B" w:rsidRPr="00E94F0B" w:rsidRDefault="00E94F0B" w:rsidP="00E94F0B">
      <w:pPr>
        <w:numPr>
          <w:ilvl w:val="0"/>
          <w:numId w:val="7"/>
        </w:numPr>
        <w:spacing w:before="60" w:after="60"/>
        <w:ind w:left="357" w:hanging="357"/>
        <w:rPr>
          <w:iCs/>
        </w:rPr>
      </w:pPr>
      <w:r w:rsidRPr="00E94F0B">
        <w:rPr>
          <w:iCs/>
        </w:rPr>
        <w:t>include evidence of your progress towards completion of agreed activities and outcomes</w:t>
      </w:r>
    </w:p>
    <w:p w14:paraId="035D9A33" w14:textId="77777777" w:rsidR="00E94F0B" w:rsidRPr="00E94F0B" w:rsidRDefault="00E94F0B" w:rsidP="00E94F0B">
      <w:pPr>
        <w:numPr>
          <w:ilvl w:val="0"/>
          <w:numId w:val="7"/>
        </w:numPr>
        <w:spacing w:before="60" w:after="60"/>
        <w:ind w:left="357" w:hanging="357"/>
        <w:rPr>
          <w:iCs/>
        </w:rPr>
      </w:pPr>
      <w:r w:rsidRPr="00E94F0B">
        <w:rPr>
          <w:iCs/>
        </w:rPr>
        <w:t>show the total eligible expenditure incurred to date</w:t>
      </w:r>
    </w:p>
    <w:p w14:paraId="38F137CC" w14:textId="77777777" w:rsidR="00E94F0B" w:rsidRPr="00E94F0B" w:rsidRDefault="00E94F0B" w:rsidP="00E94F0B">
      <w:pPr>
        <w:numPr>
          <w:ilvl w:val="0"/>
          <w:numId w:val="7"/>
        </w:numPr>
        <w:spacing w:before="60" w:after="60"/>
        <w:ind w:left="357" w:hanging="357"/>
        <w:rPr>
          <w:iCs/>
        </w:rPr>
      </w:pPr>
      <w:r w:rsidRPr="00E94F0B">
        <w:rPr>
          <w:iCs/>
        </w:rPr>
        <w:t>include evidence of expenditure</w:t>
      </w:r>
    </w:p>
    <w:p w14:paraId="18F65977" w14:textId="77777777" w:rsidR="00E94F0B" w:rsidRPr="00E94F0B" w:rsidRDefault="00E94F0B" w:rsidP="00E94F0B">
      <w:pPr>
        <w:numPr>
          <w:ilvl w:val="0"/>
          <w:numId w:val="7"/>
        </w:numPr>
        <w:spacing w:before="60" w:after="60"/>
        <w:ind w:left="357" w:hanging="357"/>
        <w:rPr>
          <w:iCs/>
        </w:rPr>
      </w:pPr>
      <w:r w:rsidRPr="00E94F0B">
        <w:rPr>
          <w:iCs/>
        </w:rPr>
        <w:t>be submitted by the report due date (you can submit reports ahead of time if you have completed relevant activities).</w:t>
      </w:r>
    </w:p>
    <w:p w14:paraId="3DD2E13A" w14:textId="77777777" w:rsidR="00E94F0B" w:rsidRPr="00E94F0B" w:rsidRDefault="00E94F0B" w:rsidP="00E94F0B">
      <w:r w:rsidRPr="00E94F0B">
        <w:t>We will only make grant payments when we receive</w:t>
      </w:r>
      <w:r w:rsidR="0049278D">
        <w:t xml:space="preserve"> satisfactory progress reports.</w:t>
      </w:r>
    </w:p>
    <w:p w14:paraId="5E175459" w14:textId="77777777" w:rsidR="00E94F0B" w:rsidRPr="00E94F0B" w:rsidRDefault="00E94F0B" w:rsidP="00E94F0B">
      <w:r w:rsidRPr="00E94F0B">
        <w:t>You must discuss any reporting delays with us as soon as you become aware of them.</w:t>
      </w:r>
    </w:p>
    <w:p w14:paraId="400BB1D9" w14:textId="77777777" w:rsidR="00E94F0B" w:rsidRPr="00E94F0B" w:rsidRDefault="00E94F0B" w:rsidP="00E94F0B">
      <w:pPr>
        <w:rPr>
          <w:rFonts w:cstheme="minorHAnsi"/>
          <w:b/>
          <w:lang w:val="en-GB"/>
        </w:rPr>
      </w:pPr>
      <w:bookmarkStart w:id="113" w:name="_Toc508896611"/>
      <w:bookmarkStart w:id="114" w:name="_Toc468693656"/>
      <w:bookmarkStart w:id="115" w:name="_Toc509838912"/>
      <w:r w:rsidRPr="00E94F0B">
        <w:rPr>
          <w:rFonts w:cstheme="minorHAnsi"/>
          <w:b/>
          <w:lang w:val="en-GB"/>
        </w:rPr>
        <w:t>Ad-hoc reports</w:t>
      </w:r>
      <w:bookmarkEnd w:id="113"/>
    </w:p>
    <w:p w14:paraId="1BB2B1AB" w14:textId="77777777" w:rsidR="00E94F0B" w:rsidRPr="00E94F0B" w:rsidRDefault="00E94F0B" w:rsidP="00E94F0B">
      <w:pPr>
        <w:rPr>
          <w:rFonts w:cstheme="minorHAnsi"/>
          <w:lang w:val="en-GB"/>
        </w:rPr>
      </w:pPr>
      <w:r w:rsidRPr="00E94F0B">
        <w:rPr>
          <w:rFonts w:cstheme="minorHAnsi"/>
          <w:lang w:val="en-GB"/>
        </w:rPr>
        <w:t>We may ask you for ad-hoc reports on your grant. This may be to provide an update on progress, or any significant delays or difficulties in completing the grant activity.</w:t>
      </w:r>
    </w:p>
    <w:p w14:paraId="3156ACD0" w14:textId="77777777" w:rsidR="00E94F0B" w:rsidRPr="00E94F0B" w:rsidRDefault="00E94F0B" w:rsidP="00E94F0B">
      <w:r w:rsidRPr="00E94F0B">
        <w:rPr>
          <w:b/>
        </w:rPr>
        <w:t>Final report</w:t>
      </w:r>
      <w:bookmarkEnd w:id="114"/>
      <w:r w:rsidRPr="00E94F0B">
        <w:rPr>
          <w:b/>
        </w:rPr>
        <w:t xml:space="preserve"> </w:t>
      </w:r>
      <w:bookmarkEnd w:id="115"/>
    </w:p>
    <w:p w14:paraId="65306A2C" w14:textId="77777777" w:rsidR="00E94F0B" w:rsidRPr="00E94F0B" w:rsidRDefault="00E94F0B" w:rsidP="00E94F0B">
      <w:r w:rsidRPr="00E94F0B">
        <w:t>When you complete the grant activity, you must submit a final report.</w:t>
      </w:r>
    </w:p>
    <w:p w14:paraId="0D66062F" w14:textId="77777777" w:rsidR="00E94F0B" w:rsidRPr="00E94F0B" w:rsidRDefault="00E94F0B" w:rsidP="00E94F0B">
      <w:r w:rsidRPr="00E94F0B">
        <w:t>Final reports must:</w:t>
      </w:r>
    </w:p>
    <w:p w14:paraId="1E07F7A4" w14:textId="77777777" w:rsidR="00E94F0B" w:rsidRPr="00E94F0B" w:rsidRDefault="00E94F0B" w:rsidP="00E94F0B">
      <w:pPr>
        <w:numPr>
          <w:ilvl w:val="0"/>
          <w:numId w:val="7"/>
        </w:numPr>
        <w:spacing w:before="60" w:after="60"/>
        <w:ind w:left="357" w:hanging="357"/>
        <w:rPr>
          <w:iCs/>
        </w:rPr>
      </w:pPr>
      <w:r w:rsidRPr="00E94F0B">
        <w:rPr>
          <w:iCs/>
        </w:rPr>
        <w:t>identify if and how outcomes have been achieved</w:t>
      </w:r>
    </w:p>
    <w:p w14:paraId="32B41BC1" w14:textId="77777777" w:rsidR="00E94F0B" w:rsidRPr="00E94F0B" w:rsidRDefault="00E94F0B" w:rsidP="00E94F0B">
      <w:pPr>
        <w:numPr>
          <w:ilvl w:val="0"/>
          <w:numId w:val="7"/>
        </w:numPr>
        <w:spacing w:before="60" w:after="60"/>
        <w:ind w:left="357" w:hanging="357"/>
        <w:rPr>
          <w:iCs/>
        </w:rPr>
      </w:pPr>
      <w:r w:rsidRPr="00E94F0B">
        <w:rPr>
          <w:iCs/>
        </w:rPr>
        <w:t>include the agreed evidence as specified in the grant agreement</w:t>
      </w:r>
    </w:p>
    <w:p w14:paraId="42999866" w14:textId="77777777" w:rsidR="00E94F0B" w:rsidRPr="00E94F0B" w:rsidRDefault="00E94F0B" w:rsidP="00E94F0B">
      <w:pPr>
        <w:numPr>
          <w:ilvl w:val="0"/>
          <w:numId w:val="7"/>
        </w:numPr>
        <w:spacing w:before="60" w:after="60"/>
        <w:ind w:left="357" w:hanging="357"/>
        <w:rPr>
          <w:iCs/>
        </w:rPr>
      </w:pPr>
      <w:r w:rsidRPr="00E94F0B">
        <w:rPr>
          <w:iCs/>
        </w:rPr>
        <w:t>identify the total eligible expenditure incurred</w:t>
      </w:r>
    </w:p>
    <w:p w14:paraId="1978605E" w14:textId="77777777" w:rsidR="00E94F0B" w:rsidRPr="00E94F0B" w:rsidRDefault="00E94F0B" w:rsidP="00E94F0B">
      <w:pPr>
        <w:numPr>
          <w:ilvl w:val="0"/>
          <w:numId w:val="7"/>
        </w:numPr>
        <w:spacing w:before="60" w:after="60"/>
        <w:ind w:left="357" w:hanging="357"/>
        <w:rPr>
          <w:iCs/>
        </w:rPr>
      </w:pPr>
      <w:r w:rsidRPr="00E94F0B">
        <w:rPr>
          <w:iCs/>
        </w:rPr>
        <w:t>be submitted within 30 days of completion in the format provided in the grant agreement.</w:t>
      </w:r>
    </w:p>
    <w:p w14:paraId="3A15AB6C" w14:textId="77777777" w:rsidR="009A072D" w:rsidRPr="0052630B" w:rsidRDefault="00EC727B" w:rsidP="00E94F0B">
      <w:pPr>
        <w:pStyle w:val="Heading3"/>
      </w:pPr>
      <w:bookmarkStart w:id="116" w:name="_Toc15025977"/>
      <w:r w:rsidRPr="0052630B">
        <w:t>Audited financial acquittal report</w:t>
      </w:r>
      <w:bookmarkEnd w:id="116"/>
    </w:p>
    <w:p w14:paraId="6C5E2DB1" w14:textId="77777777" w:rsidR="00E94F0B" w:rsidRDefault="00E94F0B" w:rsidP="00E94F0B">
      <w:r>
        <w:t xml:space="preserve">We will ask you to provide an independently audited financial acquittal report at </w:t>
      </w:r>
      <w:r w:rsidR="0049278D">
        <w:t>the end of each financial year.</w:t>
      </w:r>
    </w:p>
    <w:p w14:paraId="740BC8DF" w14:textId="77777777" w:rsidR="00E94F0B" w:rsidRDefault="00E94F0B" w:rsidP="00E94F0B">
      <w:r>
        <w:t>We will ask you to provide a final independently audited financial acquittal report at</w:t>
      </w:r>
      <w:r w:rsidR="0049278D">
        <w:t xml:space="preserve"> the end of the grant activity.</w:t>
      </w:r>
    </w:p>
    <w:p w14:paraId="032610AC" w14:textId="77777777" w:rsidR="00C006A3" w:rsidRPr="007A19D9" w:rsidRDefault="00E94F0B" w:rsidP="00E94F0B">
      <w:pPr>
        <w:rPr>
          <w:color w:val="0070C0"/>
        </w:rPr>
      </w:pPr>
      <w:r>
        <w:t>A financial acquittal report will verify that you spent the grant in accordance with the grant agreement.</w:t>
      </w:r>
    </w:p>
    <w:p w14:paraId="665A3B1F" w14:textId="77777777" w:rsidR="004A2224" w:rsidRPr="00F4677D" w:rsidRDefault="004A2224" w:rsidP="009668F6">
      <w:pPr>
        <w:pStyle w:val="Heading3"/>
      </w:pPr>
      <w:bookmarkStart w:id="117" w:name="_Toc15025978"/>
      <w:bookmarkStart w:id="118" w:name="_Toc468693659"/>
      <w:r w:rsidRPr="00F4677D">
        <w:t xml:space="preserve">Grant </w:t>
      </w:r>
      <w:r w:rsidR="00FF299F">
        <w:t>a</w:t>
      </w:r>
      <w:r w:rsidR="00FF299F" w:rsidRPr="00F4677D">
        <w:t xml:space="preserve">greement </w:t>
      </w:r>
      <w:r w:rsidRPr="00F4677D">
        <w:t>variations</w:t>
      </w:r>
      <w:bookmarkEnd w:id="117"/>
    </w:p>
    <w:p w14:paraId="2E9B0DA6" w14:textId="77777777" w:rsidR="00E94F0B" w:rsidRPr="00AD6169" w:rsidRDefault="00E94F0B" w:rsidP="00E94F0B">
      <w:pPr>
        <w:tabs>
          <w:tab w:val="left" w:pos="0"/>
        </w:tabs>
        <w:rPr>
          <w:bCs/>
          <w:lang w:eastAsia="en-AU"/>
        </w:rPr>
      </w:pPr>
      <w:r w:rsidRPr="00795673">
        <w:rPr>
          <w:bCs/>
          <w:lang w:eastAsia="en-AU"/>
        </w:rPr>
        <w:t>We recognise that unexpected events may affect your progress. In these circumstances, you can request a variation to your grant agreement</w:t>
      </w:r>
      <w:r>
        <w:rPr>
          <w:bCs/>
          <w:lang w:eastAsia="en-AU"/>
        </w:rPr>
        <w:t>. You can request a variation by writing to the dep</w:t>
      </w:r>
      <w:r w:rsidR="0049278D">
        <w:rPr>
          <w:bCs/>
          <w:lang w:eastAsia="en-AU"/>
        </w:rPr>
        <w:t>artment.</w:t>
      </w:r>
    </w:p>
    <w:p w14:paraId="0D676DAD" w14:textId="77777777" w:rsidR="00E94F0B" w:rsidRDefault="00E94F0B" w:rsidP="00E94F0B">
      <w:r w:rsidRPr="00164671">
        <w:t xml:space="preserve">You should not assume that a variation request will be successful. We will consider your request based on </w:t>
      </w:r>
      <w:r>
        <w:t>provisions in the grant agreement and the likely impact on achieving outcomes.</w:t>
      </w:r>
    </w:p>
    <w:p w14:paraId="53E74D8E" w14:textId="77777777" w:rsidR="00492B00" w:rsidRPr="00E067F3" w:rsidRDefault="00832FC6" w:rsidP="009668F6">
      <w:pPr>
        <w:pStyle w:val="Heading3"/>
      </w:pPr>
      <w:bookmarkStart w:id="119" w:name="_Toc15025979"/>
      <w:bookmarkEnd w:id="118"/>
      <w:r w:rsidRPr="00E067F3">
        <w:t>R</w:t>
      </w:r>
      <w:r w:rsidR="00DC4884" w:rsidRPr="00E067F3">
        <w:t>ecord keeping</w:t>
      </w:r>
      <w:bookmarkEnd w:id="119"/>
    </w:p>
    <w:p w14:paraId="6B9713E7" w14:textId="77777777" w:rsidR="00795673" w:rsidRDefault="00E96DD6" w:rsidP="00795673">
      <w:r>
        <w:t>We</w:t>
      </w:r>
      <w:r w:rsidR="0028433B">
        <w:t xml:space="preserve"> may also inspect the records you are required to keep under the </w:t>
      </w:r>
      <w:r w:rsidR="006F16B1" w:rsidRPr="006F16B1">
        <w:t>grant agreement</w:t>
      </w:r>
      <w:r w:rsidR="00795673">
        <w:t>.</w:t>
      </w:r>
    </w:p>
    <w:p w14:paraId="1DE38486" w14:textId="77777777" w:rsidR="00E1311F" w:rsidRDefault="004B1409" w:rsidP="009668F6">
      <w:pPr>
        <w:pStyle w:val="Heading3"/>
      </w:pPr>
      <w:bookmarkStart w:id="120" w:name="_Toc15025980"/>
      <w:r>
        <w:lastRenderedPageBreak/>
        <w:t>Evaluation</w:t>
      </w:r>
      <w:bookmarkEnd w:id="120"/>
    </w:p>
    <w:p w14:paraId="3C5FC90B" w14:textId="77777777" w:rsidR="00E94F0B" w:rsidRDefault="00E94F0B" w:rsidP="00E94F0B">
      <w:r>
        <w:t>We</w:t>
      </w:r>
      <w:r w:rsidRPr="00726710">
        <w:rPr>
          <w:color w:val="4F6228" w:themeColor="accent3" w:themeShade="80"/>
        </w:rPr>
        <w:t xml:space="preserve"> </w:t>
      </w:r>
      <w:r>
        <w:t xml:space="preserve">will </w:t>
      </w:r>
      <w:r w:rsidRPr="00B72EE8">
        <w:t>evaluat</w:t>
      </w:r>
      <w:r>
        <w:t>e</w:t>
      </w:r>
      <w:r w:rsidRPr="00B72EE8">
        <w:t xml:space="preserve"> </w:t>
      </w:r>
      <w:r w:rsidRPr="00726710">
        <w:t>the</w:t>
      </w:r>
      <w:r w:rsidRPr="00726710">
        <w:rPr>
          <w:color w:val="4F6228" w:themeColor="accent3" w:themeShade="80"/>
        </w:rPr>
        <w:t xml:space="preserve"> </w:t>
      </w:r>
      <w:r w:rsidRPr="00056158">
        <w:t xml:space="preserve">grant </w:t>
      </w:r>
      <w:r>
        <w:t>opportunity</w:t>
      </w:r>
      <w:r w:rsidRPr="00056158">
        <w:rPr>
          <w:b/>
        </w:rPr>
        <w:t xml:space="preserve"> </w:t>
      </w:r>
      <w:r w:rsidRPr="00B72EE8">
        <w:t>to</w:t>
      </w:r>
      <w:r>
        <w:t xml:space="preserve"> measure how well </w:t>
      </w:r>
      <w:r w:rsidRPr="00B72EE8">
        <w:t xml:space="preserve">the outcomes and objectives have been achieved. </w:t>
      </w:r>
      <w:r>
        <w:t>We may use information from your application and reports for this purpose. We may also interview you, or ask you for more information to help us understand how the grant impacted you and to evaluate how effective the program was in achieving its outcomes.</w:t>
      </w:r>
    </w:p>
    <w:p w14:paraId="41B085F6" w14:textId="77777777" w:rsidR="004B1409" w:rsidRDefault="00E94F0B" w:rsidP="004B1409">
      <w:r>
        <w:t>We may contact you up to one year after you finish your grant for more information to assist with this evaluation</w:t>
      </w:r>
      <w:r w:rsidRPr="00B72EE8">
        <w:t>.</w:t>
      </w:r>
    </w:p>
    <w:p w14:paraId="2C0FF57A" w14:textId="77777777" w:rsidR="00E1311F" w:rsidRDefault="004B1409" w:rsidP="009668F6">
      <w:pPr>
        <w:pStyle w:val="Heading3"/>
      </w:pPr>
      <w:bookmarkStart w:id="121" w:name="_Toc15025981"/>
      <w:r>
        <w:t>Acknowledgement</w:t>
      </w:r>
      <w:bookmarkEnd w:id="121"/>
    </w:p>
    <w:p w14:paraId="7B490B41" w14:textId="77777777" w:rsidR="00E94F0B" w:rsidRPr="008B782D" w:rsidRDefault="00E94F0B" w:rsidP="00E94F0B">
      <w:r w:rsidRPr="008B782D">
        <w:t xml:space="preserve">The </w:t>
      </w:r>
      <w:r>
        <w:t>program</w:t>
      </w:r>
      <w:r w:rsidRPr="008B782D">
        <w:t xml:space="preserve"> logo </w:t>
      </w:r>
      <w:r>
        <w:t>should</w:t>
      </w:r>
      <w:r w:rsidRPr="008B782D">
        <w:t xml:space="preserve"> be used on all materials related to grants under the </w:t>
      </w:r>
      <w:r>
        <w:t>program</w:t>
      </w:r>
      <w:r w:rsidRPr="008B782D">
        <w:t xml:space="preserve">. Whenever the logo is used, the publication </w:t>
      </w:r>
      <w:r>
        <w:t>must</w:t>
      </w:r>
      <w:r w:rsidRPr="008B782D">
        <w:t xml:space="preserve"> also acknowledge the Commonwealth as follows:</w:t>
      </w:r>
    </w:p>
    <w:p w14:paraId="3C41B6D2" w14:textId="77777777" w:rsidR="00E94F0B" w:rsidRPr="008B782D" w:rsidRDefault="00E94F0B" w:rsidP="00E94F0B">
      <w:r>
        <w:t>“</w:t>
      </w:r>
      <w:r w:rsidR="009F7C8E" w:rsidRPr="009F7C8E">
        <w:t>Legal advisory service for persons engaging with the Royal Commission into Violence, Abuse, Neglect and Exploitation of People with Disability</w:t>
      </w:r>
      <w:r w:rsidRPr="009F7C8E">
        <w:t>”</w:t>
      </w:r>
      <w:r w:rsidRPr="00295A53">
        <w:t xml:space="preserve"> </w:t>
      </w:r>
      <w:r w:rsidRPr="008B782D">
        <w:t>– an Australian Government initiative.</w:t>
      </w:r>
    </w:p>
    <w:p w14:paraId="400F7A05" w14:textId="77777777" w:rsidR="00E94F0B" w:rsidRDefault="00E94F0B" w:rsidP="00E94F0B">
      <w:pPr>
        <w:rPr>
          <w:rFonts w:eastAsiaTheme="minorHAnsi"/>
        </w:rPr>
      </w:pPr>
      <w:r>
        <w:t>If you make a public statement about a grant activity funded under the program, we require you to acknowledge the grant by using the following:</w:t>
      </w:r>
    </w:p>
    <w:p w14:paraId="2CC8E297" w14:textId="77777777" w:rsidR="00E94F0B" w:rsidRPr="00B72EE8" w:rsidRDefault="00E94F0B" w:rsidP="00E94F0B">
      <w:pPr>
        <w:spacing w:after="0"/>
      </w:pPr>
      <w:r w:rsidRPr="004F54BC">
        <w:t>‘This legal advice service received grant funding from the Australian Government.’</w:t>
      </w:r>
    </w:p>
    <w:p w14:paraId="31A98D5A" w14:textId="77777777" w:rsidR="00E1311F" w:rsidRDefault="004B1409" w:rsidP="009668F6">
      <w:pPr>
        <w:pStyle w:val="Heading2"/>
      </w:pPr>
      <w:bookmarkStart w:id="122" w:name="_Toc15025982"/>
      <w:r>
        <w:t>Probity</w:t>
      </w:r>
      <w:bookmarkEnd w:id="122"/>
    </w:p>
    <w:p w14:paraId="50A08F02" w14:textId="77777777" w:rsidR="00E94F0B" w:rsidRPr="00726710" w:rsidRDefault="00E94F0B" w:rsidP="00E94F0B">
      <w:r w:rsidRPr="00B72EE8">
        <w:t xml:space="preserve">The Australian Government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3A9B2D59" w14:textId="77777777" w:rsidR="00E94F0B" w:rsidRPr="00122DEC" w:rsidRDefault="00E94F0B" w:rsidP="00E94F0B">
      <w:r w:rsidRPr="00726710">
        <w:t>These guidelines may be changed from time-to-time</w:t>
      </w:r>
      <w:r w:rsidR="00993A94">
        <w:t>.</w:t>
      </w:r>
      <w:r w:rsidRPr="00122DEC">
        <w:t xml:space="preserve"> When this happens, the revised guidelines will be published on GrantConnect</w:t>
      </w:r>
      <w:r>
        <w:t>.</w:t>
      </w:r>
    </w:p>
    <w:p w14:paraId="6E277F34" w14:textId="77777777" w:rsidR="004B1409" w:rsidRDefault="00A0109E" w:rsidP="009668F6">
      <w:pPr>
        <w:pStyle w:val="Heading3"/>
      </w:pPr>
      <w:bookmarkStart w:id="123" w:name="_Toc15025983"/>
      <w:r>
        <w:t>Enquiries and feedback</w:t>
      </w:r>
      <w:bookmarkEnd w:id="123"/>
    </w:p>
    <w:p w14:paraId="7C47DFDA" w14:textId="77777777" w:rsidR="00790775" w:rsidRPr="00790775" w:rsidRDefault="00790775" w:rsidP="00122DEC">
      <w:pPr>
        <w:rPr>
          <w:b/>
        </w:rPr>
      </w:pPr>
      <w:r>
        <w:rPr>
          <w:b/>
        </w:rPr>
        <w:t>Complaints about this</w:t>
      </w:r>
      <w:r w:rsidRPr="00790775">
        <w:rPr>
          <w:b/>
        </w:rPr>
        <w:t xml:space="preserve"> </w:t>
      </w:r>
      <w:r w:rsidR="006F16B1">
        <w:rPr>
          <w:b/>
        </w:rPr>
        <w:t>g</w:t>
      </w:r>
      <w:r w:rsidRPr="00790775">
        <w:rPr>
          <w:b/>
        </w:rPr>
        <w:t xml:space="preserve">rant </w:t>
      </w:r>
      <w:r w:rsidR="006F16B1">
        <w:rPr>
          <w:b/>
        </w:rPr>
        <w:t>o</w:t>
      </w:r>
      <w:r w:rsidRPr="00790775">
        <w:rPr>
          <w:b/>
        </w:rPr>
        <w:t>pportunity</w:t>
      </w:r>
    </w:p>
    <w:p w14:paraId="6C63B909" w14:textId="77777777" w:rsidR="00E94F0B" w:rsidRPr="00E94F0B" w:rsidRDefault="00E94F0B" w:rsidP="00E94F0B">
      <w:r w:rsidRPr="00E94F0B">
        <w:t xml:space="preserve">The </w:t>
      </w:r>
      <w:r w:rsidR="00993A94">
        <w:t>d</w:t>
      </w:r>
      <w:r w:rsidRPr="00E94F0B">
        <w:t>epartment</w:t>
      </w:r>
      <w:r w:rsidR="00993A94">
        <w:t>’s</w:t>
      </w:r>
      <w:r w:rsidRPr="00E94F0B">
        <w:t xml:space="preserve"> Client Service Charter apply to complaints about this grant opportunity.</w:t>
      </w:r>
      <w:r w:rsidRPr="00E94F0B">
        <w:rPr>
          <w:b/>
        </w:rPr>
        <w:t xml:space="preserve"> </w:t>
      </w:r>
      <w:r w:rsidRPr="00E94F0B">
        <w:t>All complaints about a grant process must be provided in writing.</w:t>
      </w:r>
    </w:p>
    <w:p w14:paraId="48BE7E70" w14:textId="77777777" w:rsidR="00E94F0B" w:rsidRPr="00E94F0B" w:rsidRDefault="00E94F0B" w:rsidP="00E94F0B">
      <w:r w:rsidRPr="00E94F0B">
        <w:t xml:space="preserve">Any questions you have about grant decisions for this grant opportunity should be sent to the Legal Assistance Branch at </w:t>
      </w:r>
      <w:hyperlink r:id="rId32" w:history="1">
        <w:r w:rsidR="00D14E92" w:rsidRPr="00487114">
          <w:rPr>
            <w:rStyle w:val="Hyperlink"/>
          </w:rPr>
          <w:t>finass@ag.gov.au</w:t>
        </w:r>
      </w:hyperlink>
      <w:r w:rsidRPr="00E94F0B">
        <w:t>.</w:t>
      </w:r>
    </w:p>
    <w:p w14:paraId="4F056561" w14:textId="77777777" w:rsidR="00790775" w:rsidRPr="00790775" w:rsidRDefault="00790775" w:rsidP="00122DEC">
      <w:pPr>
        <w:rPr>
          <w:b/>
        </w:rPr>
      </w:pPr>
      <w:r w:rsidRPr="00790775">
        <w:rPr>
          <w:b/>
        </w:rPr>
        <w:t>Complaints to the Ombudsman</w:t>
      </w:r>
    </w:p>
    <w:p w14:paraId="1D0F1A26" w14:textId="77777777" w:rsidR="004B1409" w:rsidRPr="00122DEC" w:rsidRDefault="004B1409" w:rsidP="00122DEC">
      <w:r w:rsidRPr="00122DEC">
        <w:t>If you do not agree with the way the</w:t>
      </w:r>
      <w:r w:rsidR="00470E18">
        <w:t xml:space="preserve"> </w:t>
      </w:r>
      <w:r w:rsidR="00993A94">
        <w:t>d</w:t>
      </w:r>
      <w:r w:rsidR="00A67B24">
        <w:t>epartment</w:t>
      </w:r>
      <w:r w:rsidRPr="00516E21">
        <w:t xml:space="preserve"> </w:t>
      </w:r>
      <w:r w:rsidRPr="00122DEC">
        <w:t xml:space="preserve">has handled your complaint, </w:t>
      </w:r>
      <w:r w:rsidRPr="00F1475D">
        <w:t xml:space="preserve">you may complain to the </w:t>
      </w:r>
      <w:hyperlink r:id="rId33"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993A94">
        <w:t>d</w:t>
      </w:r>
      <w:r w:rsidR="00A67B24">
        <w:t>epartment</w:t>
      </w:r>
      <w:r w:rsidRPr="00516E21">
        <w:t>.</w:t>
      </w:r>
    </w:p>
    <w:p w14:paraId="676AEA76" w14:textId="77777777" w:rsidR="004B1409" w:rsidRDefault="004B1409" w:rsidP="004B1409">
      <w:pPr>
        <w:ind w:left="5040" w:hanging="5040"/>
      </w:pPr>
      <w:r w:rsidRPr="00B72EE8">
        <w:t>The Commonwealth</w:t>
      </w:r>
      <w:r w:rsidR="0049278D">
        <w:t xml:space="preserve"> Ombudsman can be contacted on:</w:t>
      </w:r>
    </w:p>
    <w:p w14:paraId="0BB195B9" w14:textId="77777777" w:rsidR="004B1409" w:rsidRPr="00B72EE8" w:rsidRDefault="004B1409" w:rsidP="004B1409">
      <w:pPr>
        <w:ind w:left="1276" w:hanging="1276"/>
      </w:pPr>
      <w:r w:rsidRPr="00B72EE8">
        <w:tab/>
        <w:t>Phone (Toll free): 1300 362 072</w:t>
      </w:r>
      <w:r w:rsidRPr="00B72EE8">
        <w:br/>
        <w:t xml:space="preserve">Email: </w:t>
      </w:r>
      <w:hyperlink r:id="rId34" w:history="1">
        <w:r w:rsidRPr="00B72EE8">
          <w:t>ombudsman@ombudsman.gov.au</w:t>
        </w:r>
      </w:hyperlink>
      <w:r w:rsidRPr="00B72EE8">
        <w:t xml:space="preserve"> </w:t>
      </w:r>
      <w:r w:rsidRPr="00B72EE8">
        <w:br/>
        <w:t xml:space="preserve">Website: </w:t>
      </w:r>
      <w:hyperlink r:id="rId35" w:history="1">
        <w:r w:rsidRPr="00B72EE8">
          <w:t>www.ombudsman.gov.au</w:t>
        </w:r>
      </w:hyperlink>
    </w:p>
    <w:p w14:paraId="36C9A06A" w14:textId="77777777" w:rsidR="004B1409" w:rsidRPr="00A04CCA" w:rsidRDefault="004B1409" w:rsidP="009668F6">
      <w:pPr>
        <w:pStyle w:val="Heading3"/>
      </w:pPr>
      <w:bookmarkStart w:id="124" w:name="_Toc15025984"/>
      <w:r w:rsidRPr="00A04CCA">
        <w:t>Conflicts of interest</w:t>
      </w:r>
      <w:bookmarkEnd w:id="124"/>
    </w:p>
    <w:p w14:paraId="701BE3E9" w14:textId="77777777" w:rsidR="00A67B24" w:rsidRPr="00F1475D" w:rsidRDefault="00A67B24" w:rsidP="00A67B24">
      <w:r w:rsidRPr="00122DEC">
        <w:t>Any conflicts of interest could affect the performance of the grant</w:t>
      </w:r>
      <w:r>
        <w:t xml:space="preserve"> opportunity or program</w:t>
      </w:r>
      <w:r w:rsidRPr="00122DEC">
        <w:t xml:space="preserve">. There may be a </w:t>
      </w:r>
      <w:hyperlink r:id="rId36" w:history="1">
        <w:r w:rsidRPr="00122DEC">
          <w:t>conflict of interest</w:t>
        </w:r>
      </w:hyperlink>
      <w:r w:rsidRPr="00122DEC">
        <w:t>, or perceived conflict of interest, if</w:t>
      </w:r>
      <w:r w:rsidRPr="00F1475D">
        <w:t xml:space="preserve"> </w:t>
      </w:r>
      <w:r>
        <w:t>the department, the Department of Social Services, the Community Grants Hub</w:t>
      </w:r>
      <w:r w:rsidRPr="00516E21">
        <w:t xml:space="preserve"> </w:t>
      </w:r>
      <w:r w:rsidRPr="00122DEC">
        <w:t>staff, any member of a committee or advisor</w:t>
      </w:r>
      <w:r w:rsidRPr="00F1475D">
        <w:t xml:space="preserve"> and/or you or any of your personnel</w:t>
      </w:r>
      <w:r w:rsidR="004237D9">
        <w:t xml:space="preserve"> has a</w:t>
      </w:r>
      <w:r w:rsidRPr="00F1475D">
        <w:t>:</w:t>
      </w:r>
    </w:p>
    <w:p w14:paraId="790366F0" w14:textId="77777777" w:rsidR="00A67B24" w:rsidRPr="00F1475D" w:rsidRDefault="00A67B24" w:rsidP="00A67B24">
      <w:pPr>
        <w:pStyle w:val="ListBullet"/>
        <w:numPr>
          <w:ilvl w:val="0"/>
          <w:numId w:val="7"/>
        </w:numPr>
      </w:pPr>
      <w:r w:rsidRPr="00F1475D">
        <w:lastRenderedPageBreak/>
        <w:t>professional, commercial or personal relationship with a party who is able to influence the application selection process, such as an Australian Government officer</w:t>
      </w:r>
    </w:p>
    <w:p w14:paraId="12910ACA" w14:textId="77777777" w:rsidR="00A67B24" w:rsidRPr="00F1475D" w:rsidRDefault="00A67B24" w:rsidP="00A67B24">
      <w:pPr>
        <w:pStyle w:val="ListBullet"/>
        <w:numPr>
          <w:ilvl w:val="0"/>
          <w:numId w:val="7"/>
        </w:numPr>
      </w:pPr>
      <w:r w:rsidRPr="00F1475D">
        <w:t xml:space="preserve">relationship with </w:t>
      </w:r>
      <w:r>
        <w:t>or interest in</w:t>
      </w:r>
      <w:r w:rsidRPr="00F1475D">
        <w:t>, an organisation, which is likely to interfere with or restrict the applicants from carrying out the proposed activities fairly and independently or</w:t>
      </w:r>
    </w:p>
    <w:p w14:paraId="615795C3" w14:textId="77777777" w:rsidR="00A67B24" w:rsidRPr="00F1475D" w:rsidRDefault="00A67B24" w:rsidP="00A67B24">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 grant opportunity</w:t>
      </w:r>
      <w:r w:rsidRPr="00F1475D">
        <w:t>.</w:t>
      </w:r>
    </w:p>
    <w:p w14:paraId="78194463" w14:textId="77777777" w:rsidR="00A67B24" w:rsidRPr="00F1475D" w:rsidRDefault="00A67B24" w:rsidP="00A67B24">
      <w:r w:rsidRPr="00F1475D">
        <w:t>You will be asked to declare, as part of your application, any perceived or existing conflicts of interests or that, to the best of your knowledge, there is no conflict of interest.</w:t>
      </w:r>
    </w:p>
    <w:p w14:paraId="7C616F0A" w14:textId="77777777" w:rsidR="00A67B24" w:rsidRDefault="00A67B24" w:rsidP="00A67B24">
      <w:r w:rsidRPr="00F1475D">
        <w:t xml:space="preserve">If you later identify an actual, apparent, or </w:t>
      </w:r>
      <w:r>
        <w:t xml:space="preserve">perceived </w:t>
      </w:r>
      <w:r w:rsidRPr="00F1475D">
        <w:t>conflict of interest, you must inform the</w:t>
      </w:r>
      <w:r>
        <w:t xml:space="preserve"> department in writing immediately and include the information in your application.</w:t>
      </w:r>
    </w:p>
    <w:p w14:paraId="40EDD42F" w14:textId="77777777" w:rsidR="00A67B24" w:rsidRDefault="00A67B24" w:rsidP="00A67B24">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37" w:history="1">
        <w:r w:rsidRPr="009C7586">
          <w:rPr>
            <w:rStyle w:val="Hyperlink"/>
          </w:rPr>
          <w:t>Public Service Code of Conduct (Section 13(7))</w:t>
        </w:r>
      </w:hyperlink>
      <w:r>
        <w:t xml:space="preserve"> of the </w:t>
      </w:r>
      <w:hyperlink r:id="rId38" w:history="1">
        <w:r w:rsidRPr="00132512">
          <w:rPr>
            <w:rStyle w:val="Hyperlink"/>
            <w:i/>
          </w:rPr>
          <w:t>Public Service Act 1999</w:t>
        </w:r>
      </w:hyperlink>
      <w:r>
        <w:t>. Committee members and other officials including the decision maker must also declare any conflicts of interest.</w:t>
      </w:r>
    </w:p>
    <w:p w14:paraId="7EF1EB28" w14:textId="77777777" w:rsidR="00A67B24" w:rsidRPr="00B72EE8" w:rsidRDefault="00A67B24" w:rsidP="00A67B24">
      <w:r>
        <w:t>We publish our conflict of interest policy on the</w:t>
      </w:r>
      <w:r w:rsidRPr="00726710">
        <w:rPr>
          <w:b/>
          <w:color w:val="4F6228" w:themeColor="accent3" w:themeShade="80"/>
        </w:rPr>
        <w:t xml:space="preserve"> </w:t>
      </w:r>
      <w:r w:rsidRPr="00D14E92">
        <w:t xml:space="preserve">Community Grants Hub </w:t>
      </w:r>
      <w:r w:rsidRPr="00122DEC">
        <w:t>website</w:t>
      </w:r>
      <w:r>
        <w:t xml:space="preserve">. </w:t>
      </w:r>
    </w:p>
    <w:p w14:paraId="21D766CD" w14:textId="77777777" w:rsidR="004B1409" w:rsidRDefault="007E6B1A" w:rsidP="009668F6">
      <w:pPr>
        <w:pStyle w:val="Heading3"/>
      </w:pPr>
      <w:bookmarkStart w:id="125" w:name="_Toc15025985"/>
      <w:r>
        <w:t>Privacy</w:t>
      </w:r>
      <w:bookmarkEnd w:id="125"/>
    </w:p>
    <w:p w14:paraId="5F8F9752" w14:textId="77777777" w:rsidR="007E6B1A" w:rsidRPr="000D1F02" w:rsidRDefault="00E96DD6" w:rsidP="007E6B1A">
      <w:r>
        <w:t>We</w:t>
      </w:r>
      <w:r w:rsidR="00470E18" w:rsidRPr="009668F6">
        <w:rPr>
          <w:color w:val="0070C0"/>
        </w:rPr>
        <w:t xml:space="preserve"> </w:t>
      </w:r>
      <w:r w:rsidR="007E6B1A" w:rsidRPr="00164671">
        <w:t xml:space="preserve">treat your personal information according to the </w:t>
      </w:r>
      <w:hyperlink r:id="rId39"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0" w:history="1">
        <w:r w:rsidR="007E6B1A" w:rsidRPr="009D794C">
          <w:rPr>
            <w:rStyle w:val="Hyperlink"/>
          </w:rPr>
          <w:t>Australian Privacy Principles</w:t>
        </w:r>
      </w:hyperlink>
      <w:r w:rsidR="00164671" w:rsidRPr="00164671">
        <w:t>.</w:t>
      </w:r>
      <w:r w:rsidR="007E6B1A" w:rsidRPr="00164671">
        <w:t xml:space="preserve"> This includes letting you know:</w:t>
      </w:r>
    </w:p>
    <w:p w14:paraId="22ACFE41" w14:textId="77777777" w:rsidR="007E6B1A" w:rsidRPr="00E86A67" w:rsidRDefault="007E6B1A" w:rsidP="007E6B1A">
      <w:pPr>
        <w:pStyle w:val="ListBullet"/>
      </w:pPr>
      <w:r w:rsidRPr="00E86A67">
        <w:t>what personal information we collect</w:t>
      </w:r>
    </w:p>
    <w:p w14:paraId="61A2D8CE" w14:textId="77777777" w:rsidR="007E6B1A" w:rsidRPr="00E86A67" w:rsidRDefault="007E6B1A" w:rsidP="007E6B1A">
      <w:pPr>
        <w:pStyle w:val="ListBullet"/>
      </w:pPr>
      <w:r w:rsidRPr="00E86A67">
        <w:t>why we co</w:t>
      </w:r>
      <w:r>
        <w:t>llect your personal information</w:t>
      </w:r>
    </w:p>
    <w:p w14:paraId="3F6444D5" w14:textId="77777777" w:rsidR="007E6B1A" w:rsidRDefault="007E6B1A" w:rsidP="007E6B1A">
      <w:pPr>
        <w:pStyle w:val="ListBullet"/>
      </w:pPr>
      <w:r w:rsidRPr="00E86A67">
        <w:t>who we gi</w:t>
      </w:r>
      <w:r>
        <w:t>ve your personal information to</w:t>
      </w:r>
      <w:r w:rsidR="00EA7AD7">
        <w:t>.</w:t>
      </w:r>
    </w:p>
    <w:p w14:paraId="04B16BBC" w14:textId="77777777" w:rsidR="00A95129" w:rsidRDefault="00A95129" w:rsidP="007E6B1A">
      <w:r>
        <w:t>Your personal information can only be disclosed to someone else for the primary purpose for which it was collected, unless an exemption applies.</w:t>
      </w:r>
    </w:p>
    <w:p w14:paraId="257EC24C" w14:textId="77777777" w:rsidR="00A95129" w:rsidRDefault="00A95129" w:rsidP="00A95129">
      <w:r w:rsidRPr="00763129">
        <w:t xml:space="preserve">The </w:t>
      </w:r>
      <w:r w:rsidR="00370E02">
        <w:t>Australian g</w:t>
      </w:r>
      <w:r w:rsidRPr="00B12804">
        <w:t xml:space="preserve">overnment </w:t>
      </w:r>
      <w:r w:rsidRPr="00763129">
        <w:t xml:space="preserve">may also use and </w:t>
      </w:r>
      <w:r w:rsidR="00346B05">
        <w:t>give out</w:t>
      </w:r>
      <w:r w:rsidR="00346B05" w:rsidRPr="00763129">
        <w:t xml:space="preserve"> </w:t>
      </w:r>
      <w:r w:rsidRPr="00763129">
        <w:t xml:space="preserve">information </w:t>
      </w:r>
      <w:r>
        <w:t>about grant</w:t>
      </w:r>
      <w:r w:rsidRPr="00763129">
        <w:t xml:space="preserve"> applicants and </w:t>
      </w:r>
      <w:r>
        <w:t xml:space="preserve">grant recipients under this grant opportunity </w:t>
      </w:r>
      <w:r w:rsidR="00370E02">
        <w:t>in any other Australian g</w:t>
      </w:r>
      <w:r w:rsidRPr="00763129">
        <w:t>overnment business or function</w:t>
      </w:r>
      <w:r>
        <w:t>. This includes disclosing grant information on GrantConnect as required for reporting purpose</w:t>
      </w:r>
      <w:r w:rsidR="009376CD">
        <w:t>s</w:t>
      </w:r>
      <w:r>
        <w:t xml:space="preserve"> and giving </w:t>
      </w:r>
      <w:r w:rsidRPr="00763129">
        <w:t>information to the Australian Taxation Office for compliance purposes.</w:t>
      </w:r>
    </w:p>
    <w:p w14:paraId="0AF09D87" w14:textId="77777777" w:rsidR="00A95129" w:rsidRDefault="00E96DD6" w:rsidP="00A95129">
      <w:r>
        <w:t>We</w:t>
      </w:r>
      <w:r w:rsidR="00A95129" w:rsidRPr="009668F6">
        <w:rPr>
          <w:color w:val="0070C0"/>
        </w:rPr>
        <w:t xml:space="preserve"> </w:t>
      </w:r>
      <w:r w:rsidR="00A95129">
        <w:t xml:space="preserve">may share the information you give us with other Commonwealth </w:t>
      </w:r>
      <w:r w:rsidR="002B4620">
        <w:t>entities</w:t>
      </w:r>
      <w:r w:rsidR="00A95129">
        <w:t xml:space="preserve"> for purposes including government administration, research or service delivery, according to Australian laws.</w:t>
      </w:r>
    </w:p>
    <w:p w14:paraId="4BD7F532" w14:textId="77777777" w:rsidR="00A95129" w:rsidRPr="00763129" w:rsidRDefault="00A95129" w:rsidP="00A95129">
      <w:r>
        <w:t xml:space="preserve">As part of your application, you declare your ability to comply with the </w:t>
      </w:r>
      <w:r w:rsidRPr="00B368D9">
        <w:rPr>
          <w:i/>
        </w:rPr>
        <w:t>Privacy Act 1988</w:t>
      </w:r>
      <w:r>
        <w:t xml:space="preserve"> and the Australian Privacy Principles and impose the same privacy obligations on officers, employees, agents and subcontractors that you engage to assist with </w:t>
      </w:r>
      <w:r w:rsidR="007A46B8">
        <w:t>the activity, in respect of personal information you collect, use, store, or disclose in connection with the activity. Accordingly, you must not do anything</w:t>
      </w:r>
      <w:r w:rsidR="002B4620">
        <w:t>, which</w:t>
      </w:r>
      <w:r w:rsidR="007A46B8">
        <w:t xml:space="preserve"> if done by the</w:t>
      </w:r>
      <w:r w:rsidR="00A67B24">
        <w:t xml:space="preserve"> </w:t>
      </w:r>
      <w:r w:rsidR="00993A94">
        <w:t>d</w:t>
      </w:r>
      <w:r w:rsidR="00A67B24">
        <w:t>epartment</w:t>
      </w:r>
      <w:r w:rsidR="007A46B8">
        <w:t xml:space="preserve"> would breach an Australian Privacy Principle as defined in the Act.</w:t>
      </w:r>
    </w:p>
    <w:p w14:paraId="36E65F00" w14:textId="77777777" w:rsidR="00D35A39" w:rsidRDefault="00D35A39" w:rsidP="009668F6">
      <w:pPr>
        <w:pStyle w:val="Heading3"/>
      </w:pPr>
      <w:bookmarkStart w:id="126" w:name="_Toc15025986"/>
      <w:r>
        <w:t xml:space="preserve">Confidential </w:t>
      </w:r>
      <w:r w:rsidR="00166239">
        <w:t>information</w:t>
      </w:r>
      <w:bookmarkEnd w:id="126"/>
    </w:p>
    <w:p w14:paraId="3ED742B0" w14:textId="77777777" w:rsidR="007A46B8" w:rsidRPr="00E96DD6" w:rsidRDefault="002B4620" w:rsidP="007E6B1A">
      <w:pPr>
        <w:rPr>
          <w:lang w:eastAsia="en-AU"/>
        </w:rPr>
      </w:pPr>
      <w:r>
        <w:rPr>
          <w:lang w:eastAsia="en-AU"/>
        </w:rPr>
        <w:t>Other</w:t>
      </w:r>
      <w:r w:rsidR="007A46B8">
        <w:rPr>
          <w:lang w:eastAsia="en-AU"/>
        </w:rPr>
        <w:t xml:space="preserve"> than information available in the public domain, you agree not to </w:t>
      </w:r>
      <w:r w:rsidR="00046C7E">
        <w:rPr>
          <w:lang w:eastAsia="en-AU"/>
        </w:rPr>
        <w:t xml:space="preserve">give out </w:t>
      </w:r>
      <w:r w:rsidR="007A46B8">
        <w:rPr>
          <w:lang w:eastAsia="en-AU"/>
        </w:rPr>
        <w:t xml:space="preserve">to any person, other than </w:t>
      </w:r>
      <w:r>
        <w:rPr>
          <w:lang w:eastAsia="en-AU"/>
        </w:rPr>
        <w:t>us</w:t>
      </w:r>
      <w:r w:rsidR="007A46B8">
        <w:rPr>
          <w:lang w:eastAsia="en-AU"/>
        </w:rPr>
        <w:t xml:space="preserve">, any confidential information relating to the grant application and/or agreement, without </w:t>
      </w:r>
      <w:r>
        <w:rPr>
          <w:lang w:eastAsia="en-AU"/>
        </w:rPr>
        <w:t xml:space="preserve">our </w:t>
      </w:r>
      <w:r w:rsidR="007A46B8">
        <w:rPr>
          <w:lang w:eastAsia="en-AU"/>
        </w:rPr>
        <w:t>prior written approval</w:t>
      </w:r>
      <w:r>
        <w:rPr>
          <w:lang w:eastAsia="en-AU"/>
        </w:rPr>
        <w:t>.</w:t>
      </w:r>
      <w:r w:rsidR="007A46B8">
        <w:rPr>
          <w:lang w:eastAsia="en-AU"/>
        </w:rPr>
        <w:t xml:space="preserve"> The obligation will not be breached where you are required by law, Parliament or a stock exchange to disclose the relevant information or where the relevant information is publicly available (other than through breach of a confidentiality or non-disclosure </w:t>
      </w:r>
      <w:r w:rsidR="007A46B8" w:rsidRPr="00E96DD6">
        <w:rPr>
          <w:lang w:eastAsia="en-AU"/>
        </w:rPr>
        <w:t>obligation).</w:t>
      </w:r>
    </w:p>
    <w:p w14:paraId="632642E9" w14:textId="77777777" w:rsidR="007A46B8" w:rsidRPr="00E96DD6" w:rsidRDefault="007A46B8" w:rsidP="007E6B1A">
      <w:pPr>
        <w:rPr>
          <w:lang w:eastAsia="en-AU"/>
        </w:rPr>
      </w:pPr>
      <w:r w:rsidRPr="00EE0C10">
        <w:rPr>
          <w:lang w:eastAsia="en-AU"/>
        </w:rPr>
        <w:lastRenderedPageBreak/>
        <w:t>We</w:t>
      </w:r>
      <w:r w:rsidRPr="00E96DD6">
        <w:rPr>
          <w:lang w:eastAsia="en-AU"/>
        </w:rPr>
        <w:t xml:space="preserve"> may at any time</w:t>
      </w:r>
      <w:r w:rsidR="002B4620" w:rsidRPr="00E96DD6">
        <w:rPr>
          <w:lang w:eastAsia="en-AU"/>
        </w:rPr>
        <w:t>,</w:t>
      </w:r>
      <w:r w:rsidRPr="00E96DD6">
        <w:rPr>
          <w:lang w:eastAsia="en-AU"/>
        </w:rPr>
        <w:t xml:space="preserve"> require you to arrange for you</w:t>
      </w:r>
      <w:r w:rsidR="002B4620" w:rsidRPr="00E96DD6">
        <w:rPr>
          <w:lang w:eastAsia="en-AU"/>
        </w:rPr>
        <w:t>;</w:t>
      </w:r>
      <w:r w:rsidRPr="00E96DD6">
        <w:rPr>
          <w:lang w:eastAsia="en-AU"/>
        </w:rPr>
        <w:t xml:space="preserve"> or your employees, agents or subcontractors to give a written undertaking relating to nondisclosure of </w:t>
      </w:r>
      <w:r w:rsidR="002B4620" w:rsidRPr="00E96DD6">
        <w:rPr>
          <w:lang w:eastAsia="en-AU"/>
        </w:rPr>
        <w:t xml:space="preserve">our </w:t>
      </w:r>
      <w:r w:rsidRPr="00E96DD6">
        <w:rPr>
          <w:lang w:eastAsia="en-AU"/>
        </w:rPr>
        <w:t xml:space="preserve">confidential information in a form </w:t>
      </w:r>
      <w:r w:rsidR="002B4620" w:rsidRPr="00E96DD6">
        <w:rPr>
          <w:lang w:eastAsia="en-AU"/>
        </w:rPr>
        <w:t xml:space="preserve">we consider </w:t>
      </w:r>
      <w:r w:rsidRPr="00E96DD6">
        <w:rPr>
          <w:lang w:eastAsia="en-AU"/>
        </w:rPr>
        <w:t>acceptable</w:t>
      </w:r>
      <w:r w:rsidR="002B4620" w:rsidRPr="00E96DD6">
        <w:rPr>
          <w:lang w:eastAsia="en-AU"/>
        </w:rPr>
        <w:t>.</w:t>
      </w:r>
    </w:p>
    <w:p w14:paraId="4DE1D0D7" w14:textId="77777777" w:rsidR="002B4620" w:rsidRPr="00E96DD6" w:rsidRDefault="002B4620" w:rsidP="007E6B1A">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the three conditions below:</w:t>
      </w:r>
    </w:p>
    <w:p w14:paraId="6B15AD08" w14:textId="77777777" w:rsidR="002B4620" w:rsidRPr="00E96DD6" w:rsidRDefault="00370E02" w:rsidP="009668F6">
      <w:pPr>
        <w:pStyle w:val="ListNumber"/>
        <w:numPr>
          <w:ilvl w:val="0"/>
          <w:numId w:val="16"/>
        </w:numPr>
      </w:pPr>
      <w:r>
        <w:t>y</w:t>
      </w:r>
      <w:r w:rsidR="002B4620" w:rsidRPr="00E96DD6">
        <w:t>ou clearly identify the information as confidential and explain why we should treat it as confidential</w:t>
      </w:r>
    </w:p>
    <w:p w14:paraId="399BFF72" w14:textId="77777777" w:rsidR="002B4620" w:rsidRPr="00E96DD6" w:rsidRDefault="00370E02" w:rsidP="002B4620">
      <w:pPr>
        <w:pStyle w:val="ListNumber"/>
      </w:pPr>
      <w:r>
        <w:t>t</w:t>
      </w:r>
      <w:r w:rsidR="002B4620" w:rsidRPr="00E96DD6">
        <w:t>he information is commercially sensitive</w:t>
      </w:r>
    </w:p>
    <w:p w14:paraId="30A395DA" w14:textId="77777777" w:rsidR="002B4620" w:rsidRPr="00E96DD6" w:rsidRDefault="00370E02" w:rsidP="002B4620">
      <w:pPr>
        <w:pStyle w:val="ListNumber"/>
      </w:pPr>
      <w:r>
        <w:t>r</w:t>
      </w:r>
      <w:r w:rsidR="002B4620" w:rsidRPr="00E96DD6">
        <w:t>evealing the information would cause unreasonable harm to you or someone else.</w:t>
      </w:r>
    </w:p>
    <w:p w14:paraId="0EB89315" w14:textId="77777777" w:rsidR="007E6B1A" w:rsidRPr="00E96DD6" w:rsidRDefault="007E6B1A" w:rsidP="007E6B1A">
      <w:pPr>
        <w:rPr>
          <w:lang w:eastAsia="en-AU"/>
        </w:rPr>
      </w:pPr>
      <w:r w:rsidRPr="00EE0C10">
        <w:rPr>
          <w:lang w:eastAsia="en-AU"/>
        </w:rPr>
        <w:t>We</w:t>
      </w:r>
      <w:r w:rsidRPr="00E96DD6">
        <w:rPr>
          <w:lang w:eastAsia="en-AU"/>
        </w:rPr>
        <w:t xml:space="preserve"> </w:t>
      </w:r>
      <w:r w:rsidR="002B4620" w:rsidRPr="00E96DD6">
        <w:rPr>
          <w:lang w:eastAsia="en-AU"/>
        </w:rPr>
        <w:t>will not be in breach of any confidentiality agreement if t</w:t>
      </w:r>
      <w:r w:rsidR="0049278D">
        <w:rPr>
          <w:lang w:eastAsia="en-AU"/>
        </w:rPr>
        <w:t>he information is disclosed to:</w:t>
      </w:r>
    </w:p>
    <w:p w14:paraId="59EF39A9" w14:textId="77777777" w:rsidR="007E6B1A" w:rsidRPr="00E96DD6" w:rsidRDefault="007E6B1A" w:rsidP="002D2607">
      <w:pPr>
        <w:pStyle w:val="ListBullet"/>
      </w:pPr>
      <w:r w:rsidRPr="00E96DD6">
        <w:t>Commonwealth employees and contractors to help us manage the program effectively</w:t>
      </w:r>
    </w:p>
    <w:p w14:paraId="4983E89A" w14:textId="77777777" w:rsidR="007E6B1A" w:rsidRDefault="007E6B1A" w:rsidP="002D2607">
      <w:pPr>
        <w:pStyle w:val="ListBullet"/>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647F3E79" w14:textId="77777777" w:rsidR="007E6B1A" w:rsidRDefault="007E6B1A" w:rsidP="002D2607">
      <w:pPr>
        <w:pStyle w:val="ListBullet"/>
      </w:pPr>
      <w:r>
        <w:t>employees and contractors of other Commonwealth agencies for any purposes, including government administration, research or service delivery</w:t>
      </w:r>
    </w:p>
    <w:p w14:paraId="008CA2B2" w14:textId="77777777" w:rsidR="007E6B1A" w:rsidRPr="0033741C" w:rsidRDefault="007E6B1A" w:rsidP="002D2607">
      <w:pPr>
        <w:pStyle w:val="ListBullet"/>
      </w:pPr>
      <w:r>
        <w:t xml:space="preserve">other Commonwealth, </w:t>
      </w:r>
      <w:r w:rsidR="00046C7E">
        <w:t>state</w:t>
      </w:r>
      <w:r>
        <w:t xml:space="preserve">, </w:t>
      </w:r>
      <w:r w:rsidR="00046C7E">
        <w:t xml:space="preserve">territory </w:t>
      </w:r>
      <w:r>
        <w:t>or local government agencies in program reports and consultations</w:t>
      </w:r>
    </w:p>
    <w:p w14:paraId="2E4A2802" w14:textId="77777777" w:rsidR="007E6B1A" w:rsidRPr="0033741C" w:rsidRDefault="007E6B1A" w:rsidP="002D2607">
      <w:pPr>
        <w:pStyle w:val="ListBullet"/>
      </w:pPr>
      <w:r w:rsidRPr="0033741C">
        <w:t>the Auditor-General, Ombudsman or Privacy Commissioner</w:t>
      </w:r>
    </w:p>
    <w:p w14:paraId="6DEDA80C" w14:textId="77777777" w:rsidR="007E6B1A" w:rsidRPr="00BA6D16" w:rsidRDefault="007E6B1A" w:rsidP="002D2607">
      <w:pPr>
        <w:pStyle w:val="ListBullet"/>
      </w:pPr>
      <w:r w:rsidRPr="00BA6D16">
        <w:t>the responsible Minister or Parliamentary Secretary</w:t>
      </w:r>
    </w:p>
    <w:p w14:paraId="5154B91A" w14:textId="77777777" w:rsidR="007E6B1A" w:rsidRPr="0033741C" w:rsidRDefault="007E6B1A" w:rsidP="002D2607">
      <w:pPr>
        <w:pStyle w:val="ListBullet"/>
      </w:pPr>
      <w:r w:rsidRPr="0033741C">
        <w:t xml:space="preserve">a House or a Committee of the </w:t>
      </w:r>
      <w:r>
        <w:t xml:space="preserve">Australian </w:t>
      </w:r>
      <w:r w:rsidRPr="0033741C">
        <w:t>Parliament</w:t>
      </w:r>
      <w:r>
        <w:t>.</w:t>
      </w:r>
    </w:p>
    <w:p w14:paraId="3A4DE97F" w14:textId="77777777" w:rsidR="007E6B1A" w:rsidRPr="00E86A67" w:rsidRDefault="007E6B1A" w:rsidP="007E6B1A">
      <w:r w:rsidRPr="00E86A67">
        <w:t xml:space="preserve">The </w:t>
      </w:r>
      <w:r>
        <w:t xml:space="preserve">grant </w:t>
      </w:r>
      <w:r w:rsidRPr="00E86A67">
        <w:t xml:space="preserve">agreement </w:t>
      </w:r>
      <w:r w:rsidR="002B4620">
        <w:t>may also</w:t>
      </w:r>
      <w:r w:rsidR="002B4620" w:rsidRPr="00E86A67">
        <w:t xml:space="preserve"> </w:t>
      </w:r>
      <w:r w:rsidRPr="00E86A67">
        <w:t xml:space="preserve">include any specific requirements about special categories of information collected, created or held under the </w:t>
      </w:r>
      <w:r>
        <w:t xml:space="preserve">grant </w:t>
      </w:r>
      <w:r w:rsidR="0049278D">
        <w:t>agreement.</w:t>
      </w:r>
    </w:p>
    <w:p w14:paraId="5A0378D0" w14:textId="77777777" w:rsidR="004B1409" w:rsidRDefault="002D2607" w:rsidP="009668F6">
      <w:pPr>
        <w:pStyle w:val="Heading3"/>
      </w:pPr>
      <w:bookmarkStart w:id="127" w:name="_Toc15025987"/>
      <w:r>
        <w:t>Freedom of information</w:t>
      </w:r>
      <w:bookmarkEnd w:id="127"/>
    </w:p>
    <w:p w14:paraId="523EAEEF" w14:textId="77777777" w:rsidR="002D2607" w:rsidRPr="00B72EE8" w:rsidRDefault="002D2607" w:rsidP="002D2607">
      <w:r w:rsidRPr="00B72EE8">
        <w:t xml:space="preserve">All documents </w:t>
      </w:r>
      <w:r w:rsidR="00346B05">
        <w:t>that the</w:t>
      </w:r>
      <w:r w:rsidR="00346B05" w:rsidRPr="00B72EE8">
        <w:t xml:space="preserve"> </w:t>
      </w:r>
      <w:r>
        <w:t xml:space="preserve">Australian </w:t>
      </w:r>
      <w:r w:rsidR="00370E02">
        <w:t>g</w:t>
      </w:r>
      <w:r w:rsidRPr="00781E9D">
        <w:t>overnment</w:t>
      </w:r>
      <w:r w:rsidR="00346B05">
        <w:t xml:space="preserve"> has</w:t>
      </w:r>
      <w:r w:rsidRPr="00781E9D">
        <w:t xml:space="preserve">, including those </w:t>
      </w:r>
      <w:r>
        <w:t>about</w:t>
      </w:r>
      <w:r w:rsidR="00182EAC">
        <w:t xml:space="preserve"> this grant opportunity</w:t>
      </w:r>
      <w:r w:rsidRPr="00B72EE8">
        <w:t xml:space="preserve">, are subject to the </w:t>
      </w:r>
      <w:hyperlink r:id="rId41" w:history="1">
        <w:r w:rsidRPr="00443FC0">
          <w:rPr>
            <w:rStyle w:val="Hyperlink"/>
            <w:i/>
          </w:rPr>
          <w:t>Freedom of Information Act 1982</w:t>
        </w:r>
      </w:hyperlink>
      <w:r w:rsidRPr="00B72EE8">
        <w:t xml:space="preserve"> </w:t>
      </w:r>
      <w:r w:rsidRPr="0049044C">
        <w:t>(FOI Act)</w:t>
      </w:r>
      <w:r w:rsidRPr="00333BAC">
        <w:rPr>
          <w:i/>
        </w:rPr>
        <w:t>.</w:t>
      </w:r>
    </w:p>
    <w:p w14:paraId="49C9EBD4" w14:textId="77777777" w:rsidR="002D2607" w:rsidRPr="00B72EE8" w:rsidRDefault="002D2607" w:rsidP="002D2607">
      <w:r w:rsidRPr="00B72EE8">
        <w:t>The purpose of the FOI Act give</w:t>
      </w:r>
      <w:r w:rsidR="00370E02">
        <w:t>s</w:t>
      </w:r>
      <w:r w:rsidRPr="00B72EE8">
        <w:t xml:space="preserve"> </w:t>
      </w:r>
      <w:r w:rsidR="00346B05">
        <w:t>people the ability to get</w:t>
      </w:r>
      <w:r w:rsidRPr="00B72EE8">
        <w:t xml:space="preserve"> info</w:t>
      </w:r>
      <w:r w:rsidR="00370E02">
        <w:t>rmation held by the Australian g</w:t>
      </w:r>
      <w:r w:rsidRPr="00B72EE8">
        <w:t xml:space="preserve">overnment and its </w:t>
      </w:r>
      <w:r w:rsidR="00346B05">
        <w:t>organisations</w:t>
      </w:r>
      <w:r w:rsidRPr="00B72EE8">
        <w:t xml:space="preserve">. Under the FOI Act, </w:t>
      </w:r>
      <w:r w:rsidR="00346B05">
        <w:t>people can ask for</w:t>
      </w:r>
      <w:r w:rsidRPr="00B72EE8">
        <w:t xml:space="preserve"> documents the </w:t>
      </w:r>
      <w:r w:rsidR="00370E02">
        <w:t>Australian g</w:t>
      </w:r>
      <w:r>
        <w:t>overnment</w:t>
      </w:r>
      <w:r w:rsidR="00346B05">
        <w:t xml:space="preserve"> has</w:t>
      </w:r>
      <w:r w:rsidRPr="00B72EE8">
        <w:t>.</w:t>
      </w:r>
      <w:r w:rsidR="00346B05">
        <w:t xml:space="preserve"> People may not be able to get these documents if these documents need</w:t>
      </w:r>
      <w:r w:rsidRPr="00B72EE8">
        <w:t xml:space="preserve"> to protect essential public interests and private and business affairs of persons </w:t>
      </w:r>
      <w:r w:rsidR="00370E02">
        <w:t>who</w:t>
      </w:r>
      <w:r w:rsidRPr="00B72EE8">
        <w:t xml:space="preserve"> the information relates</w:t>
      </w:r>
      <w:r w:rsidR="00346B05">
        <w:t xml:space="preserve"> to</w:t>
      </w:r>
      <w:r w:rsidRPr="00B72EE8">
        <w:t>.</w:t>
      </w:r>
    </w:p>
    <w:p w14:paraId="6268F829" w14:textId="77777777" w:rsidR="00A67B24" w:rsidRPr="00B72EE8" w:rsidRDefault="00A67B24" w:rsidP="00A67B24">
      <w:r w:rsidRPr="00B72EE8">
        <w:t>All F</w:t>
      </w:r>
      <w:r>
        <w:t xml:space="preserve">reedom of Information </w:t>
      </w:r>
      <w:r w:rsidRPr="00B72EE8">
        <w:t>requests must be referred to the Freedom of Information Coordinator in writing.</w:t>
      </w:r>
    </w:p>
    <w:p w14:paraId="7005160E" w14:textId="77777777" w:rsidR="00A67B24" w:rsidRDefault="00A67B24" w:rsidP="00A67B24">
      <w:pPr>
        <w:tabs>
          <w:tab w:val="left" w:pos="1418"/>
        </w:tabs>
        <w:ind w:left="1418" w:hanging="1418"/>
        <w:contextualSpacing/>
      </w:pPr>
      <w:r w:rsidRPr="00B72EE8">
        <w:t>By mail:</w:t>
      </w:r>
      <w:r w:rsidRPr="00B72EE8">
        <w:tab/>
      </w:r>
      <w:r>
        <w:t>Director, Freedom of Information and Parliamentary Section Strategy &amp; Delivery Division</w:t>
      </w:r>
    </w:p>
    <w:p w14:paraId="0E2C1D23" w14:textId="77777777" w:rsidR="00A67B24" w:rsidRDefault="00A67B24" w:rsidP="00A67B24">
      <w:pPr>
        <w:tabs>
          <w:tab w:val="left" w:pos="1418"/>
        </w:tabs>
        <w:ind w:left="1418" w:hanging="1418"/>
        <w:contextualSpacing/>
      </w:pPr>
      <w:r>
        <w:tab/>
        <w:t xml:space="preserve">Attorney-General’s Department </w:t>
      </w:r>
    </w:p>
    <w:p w14:paraId="4D66798B" w14:textId="77777777" w:rsidR="00A67B24" w:rsidRPr="00516E21" w:rsidRDefault="00A67B24" w:rsidP="00A67B24">
      <w:pPr>
        <w:tabs>
          <w:tab w:val="left" w:pos="1418"/>
        </w:tabs>
        <w:ind w:left="1418" w:hanging="1418"/>
        <w:contextualSpacing/>
      </w:pPr>
      <w:r>
        <w:tab/>
        <w:t>3-5 National Circuit Barton ACT 2600</w:t>
      </w:r>
      <w:r w:rsidRPr="00516E21">
        <w:t>[</w:t>
      </w:r>
    </w:p>
    <w:p w14:paraId="6F519B51" w14:textId="77777777" w:rsidR="00A67B24" w:rsidRDefault="00A67B24" w:rsidP="00A67B24">
      <w:r w:rsidRPr="00122DEC">
        <w:t>By email:</w:t>
      </w:r>
      <w:r w:rsidRPr="00122DEC">
        <w:tab/>
      </w:r>
      <w:hyperlink r:id="rId42" w:history="1">
        <w:r w:rsidR="00510C5F" w:rsidRPr="00A76445">
          <w:rPr>
            <w:rStyle w:val="Hyperlink"/>
          </w:rPr>
          <w:t>foi@ag.gov.au</w:t>
        </w:r>
      </w:hyperlink>
    </w:p>
    <w:p w14:paraId="28C059C1" w14:textId="77777777" w:rsidR="00510C5F" w:rsidRPr="00122DEC" w:rsidRDefault="00510C5F" w:rsidP="00A67B24"/>
    <w:p w14:paraId="7640072B" w14:textId="77777777" w:rsidR="00D14E92" w:rsidRDefault="00D14E92">
      <w:pPr>
        <w:spacing w:before="0" w:after="0" w:line="240" w:lineRule="auto"/>
        <w:rPr>
          <w:rFonts w:cstheme="minorHAnsi"/>
          <w:bCs/>
          <w:iCs/>
          <w:color w:val="264F90"/>
          <w:sz w:val="32"/>
          <w:szCs w:val="32"/>
        </w:rPr>
      </w:pPr>
      <w:r>
        <w:br w:type="page"/>
      </w:r>
    </w:p>
    <w:p w14:paraId="115FF675" w14:textId="77777777" w:rsidR="007E6B1A" w:rsidRDefault="002D2607" w:rsidP="009668F6">
      <w:pPr>
        <w:pStyle w:val="Heading2"/>
      </w:pPr>
      <w:bookmarkStart w:id="128" w:name="_Toc15025988"/>
      <w:r>
        <w:lastRenderedPageBreak/>
        <w:t>Consultation</w:t>
      </w:r>
      <w:bookmarkEnd w:id="128"/>
    </w:p>
    <w:p w14:paraId="297EA778" w14:textId="77777777" w:rsidR="00A67B24" w:rsidRDefault="00A67B24" w:rsidP="00D14E92">
      <w:pPr>
        <w:pStyle w:val="ListBullet"/>
        <w:numPr>
          <w:ilvl w:val="0"/>
          <w:numId w:val="0"/>
        </w:numPr>
      </w:pPr>
      <w:r>
        <w:t xml:space="preserve">In the development of this grant opportunity, </w:t>
      </w:r>
      <w:r w:rsidR="00510C5F">
        <w:t xml:space="preserve">the department </w:t>
      </w:r>
      <w:r w:rsidR="007A0219">
        <w:t xml:space="preserve">has </w:t>
      </w:r>
      <w:r>
        <w:t>consulted wi</w:t>
      </w:r>
      <w:r w:rsidR="0049278D">
        <w:t>th the following organisations:</w:t>
      </w:r>
    </w:p>
    <w:p w14:paraId="7AEB6C93" w14:textId="77777777" w:rsidR="00A67B24" w:rsidRPr="0088178F" w:rsidRDefault="00A67B24" w:rsidP="00A67B24">
      <w:pPr>
        <w:pStyle w:val="ListBullet"/>
        <w:numPr>
          <w:ilvl w:val="0"/>
          <w:numId w:val="7"/>
        </w:numPr>
      </w:pPr>
      <w:r w:rsidRPr="0088178F">
        <w:t>Royal Commission into Abuse, Violence, Neglect and Exploitation of People with Disability</w:t>
      </w:r>
    </w:p>
    <w:p w14:paraId="34B13645" w14:textId="77777777" w:rsidR="00A67B24" w:rsidRPr="0088178F" w:rsidRDefault="00A67B24" w:rsidP="00A67B24">
      <w:pPr>
        <w:pStyle w:val="ListBullet"/>
        <w:numPr>
          <w:ilvl w:val="0"/>
          <w:numId w:val="7"/>
        </w:numPr>
      </w:pPr>
      <w:r w:rsidRPr="0088178F">
        <w:t>Department of Social Services</w:t>
      </w:r>
    </w:p>
    <w:p w14:paraId="0D7BBA14" w14:textId="77777777" w:rsidR="00A67B24" w:rsidRPr="0088178F" w:rsidRDefault="00A67B24" w:rsidP="00A67B24">
      <w:pPr>
        <w:pStyle w:val="ListBullet"/>
        <w:numPr>
          <w:ilvl w:val="0"/>
          <w:numId w:val="7"/>
        </w:numPr>
      </w:pPr>
      <w:r w:rsidRPr="0088178F">
        <w:t xml:space="preserve">National Association of Community Legal Centres (NACLC) </w:t>
      </w:r>
    </w:p>
    <w:p w14:paraId="5E9E4FE7" w14:textId="77777777" w:rsidR="00A67B24" w:rsidRPr="0088178F" w:rsidRDefault="00A67B24" w:rsidP="00A67B24">
      <w:pPr>
        <w:pStyle w:val="ListBullet"/>
        <w:numPr>
          <w:ilvl w:val="0"/>
          <w:numId w:val="7"/>
        </w:numPr>
      </w:pPr>
      <w:r w:rsidRPr="0088178F">
        <w:t>National Aboriginal &amp; Torres Strait Islander Legal Services (NATSILS)</w:t>
      </w:r>
    </w:p>
    <w:p w14:paraId="7A6C4B6C" w14:textId="77777777" w:rsidR="00184F6F" w:rsidRDefault="00A67B24" w:rsidP="00A67B24">
      <w:pPr>
        <w:pStyle w:val="ListBullet"/>
        <w:numPr>
          <w:ilvl w:val="0"/>
          <w:numId w:val="7"/>
        </w:numPr>
      </w:pPr>
      <w:r w:rsidRPr="0088178F">
        <w:t>National Legal Aid (NLA)</w:t>
      </w:r>
      <w:r w:rsidR="004237D9">
        <w:t>.</w:t>
      </w:r>
    </w:p>
    <w:p w14:paraId="27966DC4" w14:textId="77777777" w:rsidR="00184F6F" w:rsidRDefault="00184F6F">
      <w:pPr>
        <w:spacing w:before="0" w:after="0" w:line="240" w:lineRule="auto"/>
        <w:rPr>
          <w:iCs/>
        </w:rPr>
      </w:pPr>
      <w:r>
        <w:br w:type="page"/>
      </w:r>
    </w:p>
    <w:p w14:paraId="50FDB1AC" w14:textId="77777777" w:rsidR="00D96D08" w:rsidRDefault="002D2607" w:rsidP="009668F6">
      <w:pPr>
        <w:pStyle w:val="Heading2"/>
      </w:pPr>
      <w:bookmarkStart w:id="129" w:name="_Toc15025989"/>
      <w:bookmarkEnd w:id="100"/>
      <w:r w:rsidRPr="002D2607">
        <w:lastRenderedPageBreak/>
        <w:t>Glossary</w:t>
      </w:r>
      <w:bookmarkEnd w:id="129"/>
    </w:p>
    <w:p w14:paraId="2F95F98A" w14:textId="77777777" w:rsidR="007B576A" w:rsidRPr="007B576A" w:rsidRDefault="007B576A" w:rsidP="00BB5D57"/>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9E3949" w14:paraId="7E83C745" w14:textId="77777777" w:rsidTr="004960E4">
        <w:trPr>
          <w:cantSplit/>
          <w:tblHeader/>
        </w:trPr>
        <w:tc>
          <w:tcPr>
            <w:tcW w:w="1843" w:type="pct"/>
            <w:shd w:val="clear" w:color="auto" w:fill="264F90"/>
          </w:tcPr>
          <w:p w14:paraId="2792E5BF" w14:textId="77777777" w:rsidR="002A7660" w:rsidRPr="004D41A5" w:rsidRDefault="002A7660" w:rsidP="004B1409">
            <w:pPr>
              <w:pStyle w:val="TableHeadingNumbered"/>
            </w:pPr>
            <w:r w:rsidRPr="004D41A5">
              <w:t>Term</w:t>
            </w:r>
          </w:p>
        </w:tc>
        <w:tc>
          <w:tcPr>
            <w:tcW w:w="3157" w:type="pct"/>
            <w:shd w:val="clear" w:color="auto" w:fill="264F90"/>
          </w:tcPr>
          <w:p w14:paraId="49849638" w14:textId="77777777" w:rsidR="002A7660" w:rsidRPr="004D41A5" w:rsidRDefault="002A7660" w:rsidP="004B1409">
            <w:pPr>
              <w:pStyle w:val="TableHeadingNumbered"/>
            </w:pPr>
            <w:r w:rsidRPr="004D41A5">
              <w:t>Definition</w:t>
            </w:r>
          </w:p>
        </w:tc>
      </w:tr>
      <w:tr w:rsidR="002547F6" w:rsidRPr="00274AE2" w14:paraId="70A5BE44" w14:textId="77777777" w:rsidTr="004960E4">
        <w:trPr>
          <w:cantSplit/>
        </w:trPr>
        <w:tc>
          <w:tcPr>
            <w:tcW w:w="1843" w:type="pct"/>
          </w:tcPr>
          <w:p w14:paraId="2080959C" w14:textId="77777777" w:rsidR="002547F6" w:rsidRPr="00274AE2" w:rsidRDefault="002547F6" w:rsidP="00455160">
            <w:r w:rsidRPr="00274AE2">
              <w:t>accountable authority</w:t>
            </w:r>
          </w:p>
        </w:tc>
        <w:tc>
          <w:tcPr>
            <w:tcW w:w="3157" w:type="pct"/>
          </w:tcPr>
          <w:p w14:paraId="7FF838BE" w14:textId="77777777" w:rsidR="002547F6" w:rsidRPr="00274AE2" w:rsidRDefault="001D76D4" w:rsidP="00A05845">
            <w:pPr>
              <w:rPr>
                <w:rFonts w:cs="Arial"/>
                <w:lang w:eastAsia="en-AU"/>
              </w:rPr>
            </w:pPr>
            <w:r>
              <w:rPr>
                <w:rFonts w:cs="Arial"/>
                <w:lang w:eastAsia="en-AU"/>
              </w:rPr>
              <w:t>s</w:t>
            </w:r>
            <w:r w:rsidR="00A77F5D" w:rsidRPr="00A77F5D">
              <w:rPr>
                <w:rFonts w:cs="Arial"/>
                <w:lang w:eastAsia="en-AU"/>
              </w:rPr>
              <w:t xml:space="preserve">ee subsection 12(2) of the </w:t>
            </w:r>
            <w:hyperlink r:id="rId43" w:history="1">
              <w:r w:rsidR="00452C26" w:rsidRPr="00676247">
                <w:rPr>
                  <w:rStyle w:val="Hyperlink"/>
                  <w:i/>
                </w:rPr>
                <w:t>Public Governance, Performance and Accountability Act 2013</w:t>
              </w:r>
            </w:hyperlink>
          </w:p>
        </w:tc>
      </w:tr>
      <w:tr w:rsidR="002547F6" w:rsidRPr="00274AE2" w14:paraId="59D21215" w14:textId="77777777" w:rsidTr="004960E4">
        <w:trPr>
          <w:cantSplit/>
        </w:trPr>
        <w:tc>
          <w:tcPr>
            <w:tcW w:w="1843" w:type="pct"/>
          </w:tcPr>
          <w:p w14:paraId="2181309D" w14:textId="77777777" w:rsidR="002547F6" w:rsidRPr="00274AE2" w:rsidRDefault="008463BB" w:rsidP="00455160">
            <w:r>
              <w:t>a</w:t>
            </w:r>
            <w:r w:rsidR="002547F6" w:rsidRPr="00274AE2">
              <w:t>dministering entity</w:t>
            </w:r>
          </w:p>
        </w:tc>
        <w:tc>
          <w:tcPr>
            <w:tcW w:w="3157" w:type="pct"/>
          </w:tcPr>
          <w:p w14:paraId="7432BEE3" w14:textId="77777777" w:rsidR="002547F6" w:rsidRPr="00274AE2" w:rsidRDefault="001D76D4" w:rsidP="00A05845">
            <w:pPr>
              <w:rPr>
                <w:rFonts w:cs="Arial"/>
                <w:lang w:eastAsia="en-AU"/>
              </w:rPr>
            </w:pPr>
            <w:r>
              <w:rPr>
                <w:rFonts w:cs="Arial"/>
                <w:lang w:eastAsia="en-AU"/>
              </w:rPr>
              <w:t>w</w:t>
            </w:r>
            <w:r w:rsidR="002547F6" w:rsidRPr="00274AE2">
              <w:rPr>
                <w:rFonts w:cs="Arial"/>
                <w:lang w:eastAsia="en-AU"/>
              </w:rPr>
              <w:t>hen an entity that is not responsible for the policy, is responsible for the administration of part or all of the grant administration processes</w:t>
            </w:r>
          </w:p>
        </w:tc>
      </w:tr>
      <w:tr w:rsidR="002D2607" w:rsidRPr="009E3949" w14:paraId="219DE0F2" w14:textId="77777777" w:rsidTr="004960E4">
        <w:trPr>
          <w:cantSplit/>
        </w:trPr>
        <w:tc>
          <w:tcPr>
            <w:tcW w:w="1843" w:type="pct"/>
          </w:tcPr>
          <w:p w14:paraId="6B0CA723" w14:textId="77777777" w:rsidR="002D2607" w:rsidRDefault="002D2607" w:rsidP="002D2607">
            <w:r w:rsidRPr="001B21A4">
              <w:t>assessment criteria</w:t>
            </w:r>
          </w:p>
        </w:tc>
        <w:tc>
          <w:tcPr>
            <w:tcW w:w="3157" w:type="pct"/>
          </w:tcPr>
          <w:p w14:paraId="5F74DF0D" w14:textId="77777777" w:rsidR="002D2607" w:rsidRPr="006C4678" w:rsidRDefault="001D76D4" w:rsidP="00613D08">
            <w:r>
              <w:rPr>
                <w:rFonts w:cs="Arial"/>
                <w:lang w:eastAsia="en-AU"/>
              </w:rPr>
              <w:t>a</w:t>
            </w:r>
            <w:r w:rsidR="00932BB0"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sidR="008A499A">
              <w:rPr>
                <w:rFonts w:cs="Arial"/>
                <w:lang w:eastAsia="en-AU"/>
              </w:rPr>
              <w:t>.</w:t>
            </w:r>
          </w:p>
        </w:tc>
      </w:tr>
      <w:tr w:rsidR="002D2607" w:rsidRPr="009E3949" w14:paraId="19437875" w14:textId="77777777" w:rsidTr="004960E4">
        <w:trPr>
          <w:cantSplit/>
        </w:trPr>
        <w:tc>
          <w:tcPr>
            <w:tcW w:w="1843" w:type="pct"/>
          </w:tcPr>
          <w:p w14:paraId="40CB7AFB" w14:textId="77777777" w:rsidR="002D2607" w:rsidRDefault="002D2607" w:rsidP="002D2607">
            <w:r>
              <w:t>c</w:t>
            </w:r>
            <w:r w:rsidRPr="00463AB3">
              <w:t>ommencement date</w:t>
            </w:r>
          </w:p>
        </w:tc>
        <w:tc>
          <w:tcPr>
            <w:tcW w:w="3157" w:type="pct"/>
          </w:tcPr>
          <w:p w14:paraId="5939CB92" w14:textId="77777777" w:rsidR="002D2607" w:rsidRPr="006C4678" w:rsidRDefault="001D76D4" w:rsidP="00A05845">
            <w:r>
              <w:t>t</w:t>
            </w:r>
            <w:r w:rsidR="002D2607" w:rsidRPr="00463AB3">
              <w:t xml:space="preserve">he expected start date for the grant activity </w:t>
            </w:r>
          </w:p>
        </w:tc>
      </w:tr>
      <w:tr w:rsidR="002D2607" w:rsidRPr="009E3949" w14:paraId="4D7F7124" w14:textId="77777777" w:rsidTr="004960E4">
        <w:trPr>
          <w:cantSplit/>
        </w:trPr>
        <w:tc>
          <w:tcPr>
            <w:tcW w:w="1843" w:type="pct"/>
          </w:tcPr>
          <w:p w14:paraId="4C70E0DE" w14:textId="77777777" w:rsidR="002D2607" w:rsidRDefault="002D2607" w:rsidP="002D2607">
            <w:r>
              <w:t>c</w:t>
            </w:r>
            <w:r w:rsidRPr="00463AB3">
              <w:t>ompletion date</w:t>
            </w:r>
          </w:p>
        </w:tc>
        <w:tc>
          <w:tcPr>
            <w:tcW w:w="3157" w:type="pct"/>
          </w:tcPr>
          <w:p w14:paraId="216F7F9D" w14:textId="77777777" w:rsidR="002D2607" w:rsidRPr="006C4678" w:rsidRDefault="001D76D4" w:rsidP="00A05845">
            <w:r>
              <w:t>t</w:t>
            </w:r>
            <w:r w:rsidR="002D2607" w:rsidRPr="00463AB3">
              <w:t xml:space="preserve">he expected date that the grant activity must be completed and the grant spent by </w:t>
            </w:r>
          </w:p>
        </w:tc>
      </w:tr>
      <w:tr w:rsidR="004960E4" w:rsidRPr="00274AE2" w14:paraId="71CB7C48" w14:textId="77777777" w:rsidTr="004960E4">
        <w:trPr>
          <w:cantSplit/>
        </w:trPr>
        <w:tc>
          <w:tcPr>
            <w:tcW w:w="1843" w:type="pct"/>
          </w:tcPr>
          <w:p w14:paraId="2D245A61" w14:textId="77777777" w:rsidR="004960E4" w:rsidRPr="00274AE2" w:rsidRDefault="008463BB" w:rsidP="00455160">
            <w:r>
              <w:t>c</w:t>
            </w:r>
            <w:r w:rsidR="004960E4" w:rsidRPr="00274AE2">
              <w:t>o-sponsoring entity</w:t>
            </w:r>
          </w:p>
        </w:tc>
        <w:tc>
          <w:tcPr>
            <w:tcW w:w="3157" w:type="pct"/>
          </w:tcPr>
          <w:p w14:paraId="66AC0F15" w14:textId="77777777" w:rsidR="004960E4" w:rsidRPr="00274AE2" w:rsidRDefault="00A05845" w:rsidP="00A05845">
            <w:pPr>
              <w:rPr>
                <w:rFonts w:cs="Arial"/>
                <w:lang w:eastAsia="en-AU"/>
              </w:rPr>
            </w:pPr>
            <w:r>
              <w:rPr>
                <w:rFonts w:cs="Arial"/>
                <w:lang w:eastAsia="en-AU"/>
              </w:rPr>
              <w:t>w</w:t>
            </w:r>
            <w:r w:rsidR="004960E4" w:rsidRPr="00274AE2">
              <w:rPr>
                <w:rFonts w:cs="Arial"/>
                <w:lang w:eastAsia="en-AU"/>
              </w:rPr>
              <w:t>hen two or more entities are responsible for the policy and the appropriation for outcomes associated with it</w:t>
            </w:r>
          </w:p>
        </w:tc>
      </w:tr>
      <w:tr w:rsidR="00B20BF7" w:rsidRPr="009E3949" w14:paraId="298C2261" w14:textId="77777777" w:rsidTr="004960E4">
        <w:trPr>
          <w:cantSplit/>
        </w:trPr>
        <w:tc>
          <w:tcPr>
            <w:tcW w:w="1843" w:type="pct"/>
          </w:tcPr>
          <w:p w14:paraId="266BC653" w14:textId="77777777" w:rsidR="00B20BF7" w:rsidRDefault="00B20BF7" w:rsidP="00B20BF7">
            <w:r>
              <w:t xml:space="preserve">Commonwealth </w:t>
            </w:r>
            <w:r w:rsidRPr="001B21A4">
              <w:t>entity</w:t>
            </w:r>
          </w:p>
        </w:tc>
        <w:tc>
          <w:tcPr>
            <w:tcW w:w="3157" w:type="pct"/>
          </w:tcPr>
          <w:p w14:paraId="0FA434D9" w14:textId="77777777" w:rsidR="00B20BF7" w:rsidRPr="00164671" w:rsidRDefault="00B20BF7" w:rsidP="00370E02">
            <w:pPr>
              <w:rPr>
                <w:rFonts w:cs="Arial"/>
                <w:lang w:eastAsia="en-AU"/>
              </w:rPr>
            </w:pPr>
            <w:r>
              <w:rPr>
                <w:rFonts w:cs="Arial"/>
                <w:lang w:eastAsia="en-AU"/>
              </w:rPr>
              <w:t>a</w:t>
            </w:r>
            <w:r w:rsidR="00370E02">
              <w:rPr>
                <w:rFonts w:cs="Arial"/>
                <w:lang w:eastAsia="en-AU"/>
              </w:rPr>
              <w:t xml:space="preserve"> d</w:t>
            </w:r>
            <w:r w:rsidRPr="00932BB0">
              <w:rPr>
                <w:rFonts w:cs="Arial"/>
                <w:lang w:eastAsia="en-AU"/>
              </w:rPr>
              <w:t xml:space="preserve">epartment of </w:t>
            </w:r>
            <w:r w:rsidR="00370E02">
              <w:rPr>
                <w:rFonts w:cs="Arial"/>
                <w:lang w:eastAsia="en-AU"/>
              </w:rPr>
              <w:t>state, or a p</w:t>
            </w:r>
            <w:r w:rsidRPr="00932BB0">
              <w:rPr>
                <w:rFonts w:cs="Arial"/>
                <w:lang w:eastAsia="en-AU"/>
              </w:rPr>
              <w:t xml:space="preserve">arliamentary </w:t>
            </w:r>
            <w:r w:rsidR="00370E02">
              <w:rPr>
                <w:rFonts w:cs="Arial"/>
                <w:lang w:eastAsia="en-AU"/>
              </w:rPr>
              <w:t>d</w:t>
            </w:r>
            <w:r w:rsidRPr="00932BB0">
              <w:rPr>
                <w:rFonts w:cs="Arial"/>
                <w:lang w:eastAsia="en-AU"/>
              </w:rPr>
              <w:t>epartment, or a listed entity or a body corporate established by a law of the Commonwealth. See subsections 10(1) and (2) of the PGPA Act</w:t>
            </w:r>
          </w:p>
        </w:tc>
      </w:tr>
      <w:tr w:rsidR="00B20BF7" w:rsidRPr="009E3949" w14:paraId="3049E192" w14:textId="77777777" w:rsidTr="004960E4">
        <w:trPr>
          <w:cantSplit/>
        </w:trPr>
        <w:tc>
          <w:tcPr>
            <w:tcW w:w="1843" w:type="pct"/>
          </w:tcPr>
          <w:p w14:paraId="000FA9E6" w14:textId="77777777" w:rsidR="00B20BF7" w:rsidRDefault="00F82D68" w:rsidP="00B20BF7">
            <w:hyperlink r:id="rId44" w:history="1">
              <w:r w:rsidR="00B20BF7" w:rsidRPr="00FA5A51">
                <w:rPr>
                  <w:rStyle w:val="Hyperlink"/>
                  <w:i/>
                </w:rPr>
                <w:t>Commonwealth Grants Rules and Guidelines (CGRGs)</w:t>
              </w:r>
            </w:hyperlink>
            <w:r w:rsidR="00B20BF7">
              <w:rPr>
                <w:rStyle w:val="Hyperlink"/>
                <w:i/>
              </w:rPr>
              <w:t xml:space="preserve"> </w:t>
            </w:r>
          </w:p>
        </w:tc>
        <w:tc>
          <w:tcPr>
            <w:tcW w:w="3157" w:type="pct"/>
          </w:tcPr>
          <w:p w14:paraId="73F59B0B" w14:textId="77777777" w:rsidR="00B20BF7" w:rsidRPr="00164671" w:rsidRDefault="00B20BF7" w:rsidP="00B20BF7">
            <w:pPr>
              <w:rPr>
                <w:rFonts w:cs="Arial"/>
                <w:lang w:eastAsia="en-AU"/>
              </w:rPr>
            </w:pPr>
            <w:r>
              <w:rPr>
                <w:rFonts w:cs="Arial"/>
                <w:lang w:eastAsia="en-AU"/>
              </w:rPr>
              <w:t>e</w:t>
            </w:r>
            <w:r w:rsidRPr="00A77F5D">
              <w:rPr>
                <w:rFonts w:cs="Arial"/>
                <w:lang w:eastAsia="en-AU"/>
              </w:rPr>
              <w:t>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2D2607" w:rsidRPr="009E3949" w14:paraId="00737A78" w14:textId="77777777" w:rsidTr="004960E4">
        <w:trPr>
          <w:cantSplit/>
        </w:trPr>
        <w:tc>
          <w:tcPr>
            <w:tcW w:w="1843" w:type="pct"/>
          </w:tcPr>
          <w:p w14:paraId="1D5F66CC" w14:textId="77777777" w:rsidR="002D2607" w:rsidRDefault="002D2607" w:rsidP="002D2607">
            <w:r>
              <w:t>date of effect</w:t>
            </w:r>
          </w:p>
        </w:tc>
        <w:tc>
          <w:tcPr>
            <w:tcW w:w="3157" w:type="pct"/>
          </w:tcPr>
          <w:p w14:paraId="6FF761E5" w14:textId="77777777" w:rsidR="002D2607" w:rsidRPr="006C4678" w:rsidRDefault="002D2607" w:rsidP="00A05845">
            <w:pPr>
              <w:rPr>
                <w:i/>
              </w:rPr>
            </w:pPr>
            <w:r w:rsidRPr="00164671">
              <w:rPr>
                <w:rFonts w:cs="Arial"/>
                <w:lang w:eastAsia="en-AU"/>
              </w:rPr>
              <w:t xml:space="preserve">can be the date </w:t>
            </w:r>
            <w:r w:rsidR="001B7CCF">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2D2607" w:rsidRPr="009E3949" w14:paraId="39E80AFE" w14:textId="77777777" w:rsidTr="004960E4">
        <w:trPr>
          <w:cantSplit/>
        </w:trPr>
        <w:tc>
          <w:tcPr>
            <w:tcW w:w="1843" w:type="pct"/>
          </w:tcPr>
          <w:p w14:paraId="692DECD6" w14:textId="77777777" w:rsidR="002D2607" w:rsidRDefault="002D2607" w:rsidP="002D2607">
            <w:r w:rsidRPr="001B21A4">
              <w:t>decision maker</w:t>
            </w:r>
          </w:p>
        </w:tc>
        <w:tc>
          <w:tcPr>
            <w:tcW w:w="3157" w:type="pct"/>
          </w:tcPr>
          <w:p w14:paraId="21E3C422" w14:textId="77777777" w:rsidR="002D2607" w:rsidRPr="006C4678" w:rsidRDefault="00A05845" w:rsidP="00A05845">
            <w:r>
              <w:rPr>
                <w:rFonts w:cs="Arial"/>
                <w:lang w:eastAsia="en-AU"/>
              </w:rPr>
              <w:t>t</w:t>
            </w:r>
            <w:r w:rsidR="002D2607" w:rsidRPr="00710FAB">
              <w:rPr>
                <w:rFonts w:cs="Arial"/>
                <w:lang w:eastAsia="en-AU"/>
              </w:rPr>
              <w:t>he person who makes a decision to award a grant</w:t>
            </w:r>
          </w:p>
        </w:tc>
      </w:tr>
      <w:tr w:rsidR="002D2607" w:rsidRPr="009E3949" w14:paraId="6EB988F3" w14:textId="77777777" w:rsidTr="004960E4">
        <w:trPr>
          <w:cantSplit/>
        </w:trPr>
        <w:tc>
          <w:tcPr>
            <w:tcW w:w="1843" w:type="pct"/>
          </w:tcPr>
          <w:p w14:paraId="15FA866C" w14:textId="77777777" w:rsidR="002D2607" w:rsidRDefault="002D2607" w:rsidP="002D2607">
            <w:r w:rsidRPr="001B21A4">
              <w:t>eligibility criteria</w:t>
            </w:r>
          </w:p>
        </w:tc>
        <w:tc>
          <w:tcPr>
            <w:tcW w:w="3157" w:type="pct"/>
          </w:tcPr>
          <w:p w14:paraId="47039009" w14:textId="77777777" w:rsidR="002D2607" w:rsidRPr="006C4678" w:rsidRDefault="00A05845" w:rsidP="00613D08">
            <w:pPr>
              <w:rPr>
                <w:bCs/>
              </w:rPr>
            </w:pPr>
            <w:r>
              <w:rPr>
                <w:rFonts w:cs="Arial"/>
                <w:lang w:eastAsia="en-AU"/>
              </w:rPr>
              <w:t>r</w:t>
            </w:r>
            <w:r w:rsidR="00932BB0" w:rsidRPr="00932BB0">
              <w:rPr>
                <w:rFonts w:cs="Arial"/>
                <w:lang w:eastAsia="en-AU"/>
              </w:rPr>
              <w:t>efer to the mandatory criteria which must be met to qualify for a grant. Assessment criteria may apply in addition to eligibility criteria</w:t>
            </w:r>
            <w:r w:rsidR="001B7CCF">
              <w:rPr>
                <w:rFonts w:cs="Arial"/>
                <w:lang w:eastAsia="en-AU"/>
              </w:rPr>
              <w:t>.</w:t>
            </w:r>
          </w:p>
        </w:tc>
      </w:tr>
      <w:tr w:rsidR="001F45CE" w:rsidRPr="009E3949" w14:paraId="4F8F1AF6" w14:textId="77777777" w:rsidTr="004960E4">
        <w:trPr>
          <w:cantSplit/>
        </w:trPr>
        <w:tc>
          <w:tcPr>
            <w:tcW w:w="1843" w:type="pct"/>
          </w:tcPr>
          <w:p w14:paraId="5EC7D0C1" w14:textId="77777777" w:rsidR="001F45CE" w:rsidRPr="00463AB3" w:rsidRDefault="00370E02" w:rsidP="00370E02">
            <w:pPr>
              <w:rPr>
                <w:rFonts w:cs="Arial"/>
                <w:lang w:eastAsia="en-AU"/>
              </w:rPr>
            </w:pPr>
            <w:r>
              <w:rPr>
                <w:rFonts w:cs="Arial"/>
                <w:lang w:eastAsia="en-AU"/>
              </w:rPr>
              <w:t>f</w:t>
            </w:r>
            <w:r w:rsidR="001F45CE" w:rsidRPr="00D369C8">
              <w:rPr>
                <w:rFonts w:cs="Arial"/>
                <w:lang w:eastAsia="en-AU"/>
              </w:rPr>
              <w:t xml:space="preserve">unding </w:t>
            </w:r>
            <w:r>
              <w:rPr>
                <w:rFonts w:cs="Arial"/>
                <w:lang w:eastAsia="en-AU"/>
              </w:rPr>
              <w:t>a</w:t>
            </w:r>
            <w:r w:rsidR="001F45CE" w:rsidRPr="00D369C8">
              <w:rPr>
                <w:rFonts w:cs="Arial"/>
                <w:lang w:eastAsia="en-AU"/>
              </w:rPr>
              <w:t xml:space="preserve">rrangement </w:t>
            </w:r>
            <w:r>
              <w:rPr>
                <w:rFonts w:cs="Arial"/>
                <w:lang w:eastAsia="en-AU"/>
              </w:rPr>
              <w:t>m</w:t>
            </w:r>
            <w:r w:rsidR="001F45CE" w:rsidRPr="00D369C8">
              <w:rPr>
                <w:rFonts w:cs="Arial"/>
                <w:lang w:eastAsia="en-AU"/>
              </w:rPr>
              <w:t xml:space="preserve">anager </w:t>
            </w:r>
          </w:p>
        </w:tc>
        <w:tc>
          <w:tcPr>
            <w:tcW w:w="3157" w:type="pct"/>
          </w:tcPr>
          <w:p w14:paraId="32A06D55" w14:textId="77777777" w:rsidR="001F45CE" w:rsidRDefault="00666176" w:rsidP="003B575D">
            <w:pPr>
              <w:suppressAutoHyphens/>
              <w:spacing w:before="60"/>
            </w:pPr>
            <w:r>
              <w:t>is t</w:t>
            </w:r>
            <w:r w:rsidR="009023CF">
              <w:t>he officer responsible for the ongoing management of the grantee and their compliance with the grant agreement.</w:t>
            </w:r>
          </w:p>
        </w:tc>
      </w:tr>
      <w:tr w:rsidR="002D2607" w:rsidRPr="009E3949" w14:paraId="7C5FDD43" w14:textId="77777777" w:rsidTr="004960E4">
        <w:trPr>
          <w:cantSplit/>
        </w:trPr>
        <w:tc>
          <w:tcPr>
            <w:tcW w:w="1843" w:type="pct"/>
          </w:tcPr>
          <w:p w14:paraId="400A3B57" w14:textId="77777777" w:rsidR="002D2607" w:rsidRPr="0007627E" w:rsidRDefault="002D2607" w:rsidP="002D2607">
            <w:r w:rsidRPr="00463AB3">
              <w:rPr>
                <w:rFonts w:cs="Arial"/>
                <w:lang w:eastAsia="en-AU"/>
              </w:rPr>
              <w:lastRenderedPageBreak/>
              <w:t xml:space="preserve">grant </w:t>
            </w:r>
          </w:p>
        </w:tc>
        <w:tc>
          <w:tcPr>
            <w:tcW w:w="3157" w:type="pct"/>
          </w:tcPr>
          <w:p w14:paraId="639348A1" w14:textId="77777777" w:rsidR="00ED6108" w:rsidRPr="006A6E10" w:rsidRDefault="00A05845" w:rsidP="003B575D">
            <w:pPr>
              <w:suppressAutoHyphens/>
              <w:spacing w:before="60"/>
              <w:rPr>
                <w:rFonts w:cs="Arial"/>
              </w:rPr>
            </w:pPr>
            <w:r>
              <w:t xml:space="preserve">for </w:t>
            </w:r>
            <w:r w:rsidR="00ED6108">
              <w:t xml:space="preserve">the purposes of the CGRGs, a ‘grant’ is an arrangement for the provision of financial assistance by the </w:t>
            </w:r>
            <w:r w:rsidR="00ED6108" w:rsidRPr="006A6E10">
              <w:rPr>
                <w:rFonts w:cs="Arial"/>
              </w:rPr>
              <w:t>Commonwealth or on behalf of the Commonwealth:</w:t>
            </w:r>
          </w:p>
          <w:p w14:paraId="24562208" w14:textId="77777777" w:rsidR="00ED6108" w:rsidRPr="00181A24" w:rsidRDefault="00ED6108" w:rsidP="009668F6">
            <w:pPr>
              <w:pStyle w:val="NumberedList2"/>
              <w:numPr>
                <w:ilvl w:val="1"/>
                <w:numId w:val="19"/>
              </w:numPr>
              <w:spacing w:before="60"/>
              <w:ind w:left="1134"/>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7"/>
            </w:r>
            <w:r w:rsidRPr="00181A24">
              <w:rPr>
                <w:rFonts w:ascii="Arial" w:hAnsi="Arial" w:cs="Arial"/>
                <w:sz w:val="20"/>
                <w:szCs w:val="20"/>
              </w:rPr>
              <w:t xml:space="preserve"> or other</w:t>
            </w:r>
            <w:r w:rsidR="00A13E60">
              <w:rPr>
                <w:rFonts w:ascii="Arial" w:hAnsi="Arial" w:cs="Arial"/>
                <w:sz w:val="20"/>
                <w:szCs w:val="20"/>
              </w:rPr>
              <w:t xml:space="preserve"> </w:t>
            </w:r>
            <w:hyperlink r:id="rId45" w:history="1">
              <w:r w:rsidR="00A13E60"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sidR="00A13E60">
              <w:rPr>
                <w:rFonts w:ascii="Arial" w:hAnsi="Arial" w:cs="Arial"/>
                <w:sz w:val="20"/>
                <w:szCs w:val="20"/>
              </w:rPr>
              <w:t>(</w:t>
            </w:r>
            <w:r w:rsidRPr="00181A24">
              <w:rPr>
                <w:rFonts w:ascii="Arial" w:hAnsi="Arial" w:cs="Arial"/>
                <w:sz w:val="20"/>
                <w:szCs w:val="20"/>
              </w:rPr>
              <w:t>CRF</w:t>
            </w:r>
            <w:r w:rsidR="00A13E60">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8"/>
            </w:r>
            <w:r w:rsidRPr="00181A24">
              <w:rPr>
                <w:rFonts w:ascii="Arial" w:hAnsi="Arial" w:cs="Arial"/>
                <w:sz w:val="20"/>
                <w:szCs w:val="20"/>
              </w:rPr>
              <w:t xml:space="preserve"> is to be paid to a grantee other than the Commonwealth; and</w:t>
            </w:r>
          </w:p>
          <w:p w14:paraId="176442B5" w14:textId="77777777" w:rsidR="002D2607" w:rsidRPr="00710FAB" w:rsidRDefault="00ED6108" w:rsidP="009668F6">
            <w:pPr>
              <w:pStyle w:val="NumberedList2"/>
              <w:numPr>
                <w:ilvl w:val="1"/>
                <w:numId w:val="18"/>
              </w:numPr>
              <w:spacing w:before="60"/>
              <w:ind w:left="1134"/>
            </w:pPr>
            <w:r w:rsidRPr="00181A24">
              <w:rPr>
                <w:rFonts w:ascii="Arial" w:hAnsi="Arial" w:cs="Arial"/>
                <w:sz w:val="20"/>
                <w:szCs w:val="20"/>
              </w:rPr>
              <w:t>which is intended to help address one or more of the Australian Government’s policy outcomes while assisting the grantee achieve its objectives.</w:t>
            </w:r>
            <w:r w:rsidRPr="003B575D">
              <w:rPr>
                <w:rFonts w:ascii="Arial" w:hAnsi="Arial" w:cs="Arial"/>
              </w:rPr>
              <w:t xml:space="preserve"> </w:t>
            </w:r>
          </w:p>
        </w:tc>
      </w:tr>
      <w:tr w:rsidR="002D2607" w:rsidRPr="009E3949" w14:paraId="49CE6125" w14:textId="77777777" w:rsidTr="004960E4">
        <w:trPr>
          <w:cantSplit/>
        </w:trPr>
        <w:tc>
          <w:tcPr>
            <w:tcW w:w="1843" w:type="pct"/>
          </w:tcPr>
          <w:p w14:paraId="04B8466F" w14:textId="77777777" w:rsidR="002D2607" w:rsidRPr="00463AB3" w:rsidRDefault="002D2607" w:rsidP="001B7CCF">
            <w:pPr>
              <w:rPr>
                <w:rFonts w:cs="Arial"/>
                <w:lang w:eastAsia="en-AU"/>
              </w:rPr>
            </w:pPr>
            <w:r>
              <w:t xml:space="preserve">grant </w:t>
            </w:r>
            <w:r w:rsidRPr="001B21A4">
              <w:t>activity</w:t>
            </w:r>
            <w:r w:rsidR="001B7CCF">
              <w:t>/activities</w:t>
            </w:r>
          </w:p>
        </w:tc>
        <w:tc>
          <w:tcPr>
            <w:tcW w:w="3157" w:type="pct"/>
          </w:tcPr>
          <w:p w14:paraId="2C72C3CD" w14:textId="77777777" w:rsidR="002D2607" w:rsidRPr="00463AB3" w:rsidRDefault="00A05845" w:rsidP="001B7CCF">
            <w:pPr>
              <w:rPr>
                <w:rFonts w:cs="Arial"/>
                <w:lang w:eastAsia="en-AU"/>
              </w:rPr>
            </w:pPr>
            <w:r>
              <w:t>r</w:t>
            </w:r>
            <w:r w:rsidR="00A77F5D" w:rsidRPr="00A77F5D">
              <w:t>efers to the project/tasks/services that the grantee is required to undertake</w:t>
            </w:r>
          </w:p>
        </w:tc>
      </w:tr>
      <w:tr w:rsidR="002D2607" w:rsidRPr="009E3949" w14:paraId="2EEDA410" w14:textId="77777777" w:rsidTr="004960E4">
        <w:trPr>
          <w:cantSplit/>
        </w:trPr>
        <w:tc>
          <w:tcPr>
            <w:tcW w:w="1843" w:type="pct"/>
          </w:tcPr>
          <w:p w14:paraId="0D71A1D6" w14:textId="77777777" w:rsidR="002D2607" w:rsidRDefault="002D2607" w:rsidP="002D2607">
            <w:r w:rsidRPr="001B21A4">
              <w:t>grant agreement</w:t>
            </w:r>
          </w:p>
        </w:tc>
        <w:tc>
          <w:tcPr>
            <w:tcW w:w="3157" w:type="pct"/>
          </w:tcPr>
          <w:p w14:paraId="5B5A369A" w14:textId="77777777" w:rsidR="002D2607" w:rsidRPr="00710FAB" w:rsidRDefault="00A05845" w:rsidP="00613D08">
            <w:r>
              <w:t>s</w:t>
            </w:r>
            <w:r w:rsidR="00A77F5D" w:rsidRPr="00A77F5D">
              <w:t>ets out the relationship between the parties to the agreement, and specifies the details of the grant</w:t>
            </w:r>
          </w:p>
        </w:tc>
      </w:tr>
      <w:tr w:rsidR="004960E4" w:rsidRPr="009E3949" w14:paraId="2546804D" w14:textId="77777777" w:rsidTr="004960E4">
        <w:trPr>
          <w:cantSplit/>
        </w:trPr>
        <w:tc>
          <w:tcPr>
            <w:tcW w:w="1843" w:type="pct"/>
          </w:tcPr>
          <w:p w14:paraId="6DBBC5CA" w14:textId="77777777" w:rsidR="004960E4" w:rsidRDefault="00F82D68" w:rsidP="004960E4">
            <w:hyperlink r:id="rId46" w:history="1">
              <w:r w:rsidR="004960E4" w:rsidRPr="00132512">
                <w:rPr>
                  <w:rStyle w:val="Hyperlink"/>
                </w:rPr>
                <w:t>GrantConnect</w:t>
              </w:r>
            </w:hyperlink>
          </w:p>
        </w:tc>
        <w:tc>
          <w:tcPr>
            <w:tcW w:w="3157" w:type="pct"/>
          </w:tcPr>
          <w:p w14:paraId="579FB744" w14:textId="77777777" w:rsidR="004960E4" w:rsidRPr="00710FAB" w:rsidRDefault="00A05845" w:rsidP="00613D08">
            <w:r>
              <w:t>i</w:t>
            </w:r>
            <w:r w:rsidR="00370E02">
              <w:t>s the Australian g</w:t>
            </w:r>
            <w:r w:rsidR="00A77F5D" w:rsidRPr="00A77F5D">
              <w:t>overnment’s whole-of-government grants information system, which centralises the publication and reporting of Commonwealth grants in accordance with the CGRGs</w:t>
            </w:r>
          </w:p>
        </w:tc>
      </w:tr>
      <w:tr w:rsidR="002D2607" w:rsidRPr="009E3949" w14:paraId="5795811F" w14:textId="77777777" w:rsidTr="004960E4">
        <w:trPr>
          <w:cantSplit/>
        </w:trPr>
        <w:tc>
          <w:tcPr>
            <w:tcW w:w="1843" w:type="pct"/>
          </w:tcPr>
          <w:p w14:paraId="1CB4C039" w14:textId="77777777" w:rsidR="002D2607" w:rsidRPr="001B21A4" w:rsidRDefault="002D2607" w:rsidP="002D2607">
            <w:r>
              <w:t>grant opportunity</w:t>
            </w:r>
          </w:p>
        </w:tc>
        <w:tc>
          <w:tcPr>
            <w:tcW w:w="3157" w:type="pct"/>
          </w:tcPr>
          <w:p w14:paraId="5D3F11AA" w14:textId="77777777" w:rsidR="002D2607" w:rsidRPr="00710FAB" w:rsidRDefault="00A05845" w:rsidP="00613D08">
            <w:r>
              <w:t>r</w:t>
            </w:r>
            <w:r w:rsidR="00A77F5D" w:rsidRPr="00A77F5D">
              <w:t>efers to the specific grant round or process where a Commonwealth grant is made available to potential grantees. Grant opportunities may be open or targeted, and will reflect the relevant grant selection process</w:t>
            </w:r>
            <w:r w:rsidR="001B7CCF">
              <w:t>.</w:t>
            </w:r>
          </w:p>
        </w:tc>
      </w:tr>
      <w:tr w:rsidR="002D2607" w:rsidRPr="009E3949" w14:paraId="19C17803" w14:textId="77777777" w:rsidTr="004960E4">
        <w:trPr>
          <w:cantSplit/>
        </w:trPr>
        <w:tc>
          <w:tcPr>
            <w:tcW w:w="1843" w:type="pct"/>
          </w:tcPr>
          <w:p w14:paraId="1D875E5A" w14:textId="77777777" w:rsidR="002D2607" w:rsidRDefault="002D2607" w:rsidP="002D2607">
            <w:r w:rsidRPr="001B21A4">
              <w:t xml:space="preserve">grant </w:t>
            </w:r>
            <w:r>
              <w:t>program</w:t>
            </w:r>
          </w:p>
        </w:tc>
        <w:tc>
          <w:tcPr>
            <w:tcW w:w="3157" w:type="pct"/>
          </w:tcPr>
          <w:p w14:paraId="6D3B5F3C" w14:textId="77777777" w:rsidR="00F85418" w:rsidRPr="00F85418" w:rsidRDefault="00F85418" w:rsidP="00A05845">
            <w:pPr>
              <w:rPr>
                <w:rFonts w:cs="Arial"/>
              </w:rPr>
            </w:pPr>
            <w:r>
              <w:rPr>
                <w:rFonts w:cs="Arial"/>
              </w:rPr>
              <w:t xml:space="preserve">a ‘program’ carries its natural meaning and is intended to cover a potentially wide range of related activities aimed at achieving government policy outcomes. A grant program </w:t>
            </w:r>
            <w:r w:rsidR="00A05845">
              <w:rPr>
                <w:rFonts w:cs="Arial"/>
              </w:rPr>
              <w:t>i</w:t>
            </w:r>
            <w:r w:rsidR="00A77F5D" w:rsidRPr="00A77F5D">
              <w:rPr>
                <w:rFonts w:cs="Arial"/>
              </w:rPr>
              <w:t>s a group of one or more grant opportunities under a single [entity] Portfolio Budget Statement Program</w:t>
            </w:r>
            <w:r>
              <w:rPr>
                <w:rFonts w:cs="Arial"/>
              </w:rPr>
              <w:t>.</w:t>
            </w:r>
          </w:p>
        </w:tc>
      </w:tr>
      <w:tr w:rsidR="002D2607" w:rsidRPr="009E3949" w14:paraId="393D9229" w14:textId="77777777" w:rsidTr="004960E4">
        <w:trPr>
          <w:cantSplit/>
        </w:trPr>
        <w:tc>
          <w:tcPr>
            <w:tcW w:w="1843" w:type="pct"/>
          </w:tcPr>
          <w:p w14:paraId="2E25BE44" w14:textId="77777777" w:rsidR="002D2607" w:rsidRPr="001B21A4" w:rsidRDefault="002D2607" w:rsidP="002D2607">
            <w:r>
              <w:t>grantee</w:t>
            </w:r>
          </w:p>
        </w:tc>
        <w:tc>
          <w:tcPr>
            <w:tcW w:w="3157" w:type="pct"/>
          </w:tcPr>
          <w:p w14:paraId="790112DD" w14:textId="77777777" w:rsidR="002D2607" w:rsidRPr="00710FAB" w:rsidRDefault="00A05845" w:rsidP="00A05845">
            <w:pPr>
              <w:rPr>
                <w:rFonts w:cs="Arial"/>
              </w:rPr>
            </w:pPr>
            <w:r>
              <w:t>t</w:t>
            </w:r>
            <w:r w:rsidR="006E2EEE">
              <w:t>he individual/organisation which has been selected to receive a grant</w:t>
            </w:r>
          </w:p>
        </w:tc>
      </w:tr>
      <w:tr w:rsidR="002D2607" w:rsidRPr="009E3949" w14:paraId="727B3B81" w14:textId="77777777" w:rsidTr="004960E4">
        <w:trPr>
          <w:cantSplit/>
        </w:trPr>
        <w:tc>
          <w:tcPr>
            <w:tcW w:w="1843" w:type="pct"/>
          </w:tcPr>
          <w:p w14:paraId="0A1CFBB3" w14:textId="77777777" w:rsidR="002D2607" w:rsidRDefault="003F1913" w:rsidP="002D2607">
            <w:r>
              <w:t>Portfolio Budget Statement (</w:t>
            </w:r>
            <w:r w:rsidR="002D2607" w:rsidRPr="00463AB3">
              <w:t>PBS</w:t>
            </w:r>
            <w:r>
              <w:t>)</w:t>
            </w:r>
            <w:r w:rsidR="002D2607" w:rsidRPr="00463AB3">
              <w:t xml:space="preserve"> Program</w:t>
            </w:r>
          </w:p>
        </w:tc>
        <w:tc>
          <w:tcPr>
            <w:tcW w:w="3157" w:type="pct"/>
          </w:tcPr>
          <w:p w14:paraId="14F0BC79" w14:textId="77777777" w:rsidR="002D2607" w:rsidRPr="00710FAB" w:rsidRDefault="00A05845" w:rsidP="00370E02">
            <w:r>
              <w:rPr>
                <w:rFonts w:cs="Arial"/>
              </w:rPr>
              <w:t>d</w:t>
            </w:r>
            <w:r w:rsidR="002D2607" w:rsidRPr="00463AB3">
              <w:rPr>
                <w:rFonts w:cs="Arial"/>
              </w:rPr>
              <w:t xml:space="preserve">escribed within the entity’s </w:t>
            </w:r>
            <w:hyperlink r:id="rId47" w:history="1">
              <w:r w:rsidR="002D2607" w:rsidRPr="00B832D2">
                <w:rPr>
                  <w:rStyle w:val="Hyperlink"/>
                  <w:rFonts w:cs="Arial"/>
                </w:rPr>
                <w:t>Portfolio Budget Statement</w:t>
              </w:r>
            </w:hyperlink>
            <w:r w:rsidR="002D2607" w:rsidRPr="00463AB3">
              <w:rPr>
                <w:rFonts w:cs="Arial"/>
              </w:rPr>
              <w:t xml:space="preserve">, </w:t>
            </w:r>
            <w:r w:rsidR="002D2607" w:rsidRPr="00463AB3">
              <w:t xml:space="preserve">PBS programs each link to a single outcome and provide transparency for funding decisions. These </w:t>
            </w:r>
            <w:r w:rsidR="00782A88" w:rsidRPr="00463AB3">
              <w:t>high-level</w:t>
            </w:r>
            <w:r w:rsidR="002D2607" w:rsidRPr="00463AB3">
              <w:t xml:space="preserve"> PBS programs often comprise a number of lower level, more publicly recognised programs, some of which will be </w:t>
            </w:r>
            <w:r w:rsidR="00370E02">
              <w:t>g</w:t>
            </w:r>
            <w:r w:rsidR="006D239E">
              <w:t>rant p</w:t>
            </w:r>
            <w:r w:rsidR="002D2607" w:rsidRPr="00463AB3">
              <w:t xml:space="preserve">rograms. A PBS Program may have more than one </w:t>
            </w:r>
            <w:r w:rsidR="00370E02">
              <w:t>g</w:t>
            </w:r>
            <w:r w:rsidR="006D239E">
              <w:t>rant p</w:t>
            </w:r>
            <w:r w:rsidR="002D2607" w:rsidRPr="00463AB3">
              <w:t xml:space="preserve">rogram associated with it, and each of these may have </w:t>
            </w:r>
            <w:r w:rsidR="002D2607" w:rsidRPr="00463AB3">
              <w:rPr>
                <w:rFonts w:cs="Arial"/>
              </w:rPr>
              <w:t>one or more grant opportunities</w:t>
            </w:r>
            <w:r w:rsidR="001B7CCF">
              <w:rPr>
                <w:rFonts w:cs="Arial"/>
              </w:rPr>
              <w:t>.</w:t>
            </w:r>
          </w:p>
        </w:tc>
      </w:tr>
      <w:tr w:rsidR="002D2607" w:rsidRPr="009E3949" w14:paraId="02F36127" w14:textId="77777777" w:rsidTr="004960E4">
        <w:trPr>
          <w:cantSplit/>
        </w:trPr>
        <w:tc>
          <w:tcPr>
            <w:tcW w:w="1843" w:type="pct"/>
          </w:tcPr>
          <w:p w14:paraId="7CA6C3FD" w14:textId="77777777" w:rsidR="002D2607" w:rsidRPr="00463AB3" w:rsidRDefault="002D2607" w:rsidP="002D2607">
            <w:r w:rsidRPr="001B21A4">
              <w:t>selection criteria</w:t>
            </w:r>
          </w:p>
        </w:tc>
        <w:tc>
          <w:tcPr>
            <w:tcW w:w="3157" w:type="pct"/>
          </w:tcPr>
          <w:p w14:paraId="24B9B221" w14:textId="77777777" w:rsidR="002D2607" w:rsidRPr="00463AB3" w:rsidRDefault="00A05845" w:rsidP="00613D08">
            <w:pPr>
              <w:rPr>
                <w:rFonts w:cs="Arial"/>
              </w:rPr>
            </w:pPr>
            <w:r>
              <w:t>c</w:t>
            </w:r>
            <w:r w:rsidR="002D2607" w:rsidRPr="00710FAB">
              <w:t xml:space="preserve">omprise eligibility criteria </w:t>
            </w:r>
            <w:r w:rsidR="00A71623">
              <w:t>and assessment criteria.</w:t>
            </w:r>
          </w:p>
        </w:tc>
      </w:tr>
      <w:tr w:rsidR="002D2607" w:rsidRPr="009E3949" w14:paraId="1871C7C8" w14:textId="77777777" w:rsidTr="004960E4">
        <w:trPr>
          <w:cantSplit/>
        </w:trPr>
        <w:tc>
          <w:tcPr>
            <w:tcW w:w="1843" w:type="pct"/>
          </w:tcPr>
          <w:p w14:paraId="4DE2BB62" w14:textId="77777777" w:rsidR="002D2607" w:rsidRPr="001B21A4" w:rsidRDefault="002D2607" w:rsidP="002D2607">
            <w:r w:rsidRPr="001B21A4">
              <w:lastRenderedPageBreak/>
              <w:t>selection process</w:t>
            </w:r>
          </w:p>
        </w:tc>
        <w:tc>
          <w:tcPr>
            <w:tcW w:w="3157" w:type="pct"/>
          </w:tcPr>
          <w:p w14:paraId="0E3B6A82" w14:textId="77777777" w:rsidR="002D2607" w:rsidRPr="00710FAB" w:rsidRDefault="00A05845" w:rsidP="00613D08">
            <w:r>
              <w:t>t</w:t>
            </w:r>
            <w:r w:rsidR="002D2607" w:rsidRPr="00710FAB">
              <w:t xml:space="preserve">he method used to select potential grantees. This process may involve comparative assessment of applications or the assessment of applications against the eligibility criteria and/or </w:t>
            </w:r>
            <w:r w:rsidR="00A71623">
              <w:t>the assessment criteria.</w:t>
            </w:r>
          </w:p>
        </w:tc>
      </w:tr>
      <w:tr w:rsidR="00456C23" w:rsidRPr="009E3949" w14:paraId="2E9ECD92" w14:textId="77777777" w:rsidTr="00117DE3">
        <w:trPr>
          <w:cantSplit/>
          <w:trHeight w:val="1133"/>
        </w:trPr>
        <w:tc>
          <w:tcPr>
            <w:tcW w:w="1843" w:type="pct"/>
          </w:tcPr>
          <w:p w14:paraId="600A133A" w14:textId="77777777" w:rsidR="00456C23" w:rsidRPr="001B21A4" w:rsidRDefault="006F16B1" w:rsidP="002D2607">
            <w:r>
              <w:t>s</w:t>
            </w:r>
            <w:r w:rsidR="00456C23">
              <w:t xml:space="preserve">election advisory panel </w:t>
            </w:r>
          </w:p>
        </w:tc>
        <w:tc>
          <w:tcPr>
            <w:tcW w:w="3157" w:type="pct"/>
            <w:vAlign w:val="center"/>
          </w:tcPr>
          <w:p w14:paraId="7D909486" w14:textId="77777777" w:rsidR="00456C23" w:rsidRPr="00117DE3" w:rsidRDefault="00117DE3" w:rsidP="00117DE3">
            <w:pPr>
              <w:pStyle w:val="BodyText"/>
              <w:spacing w:before="0" w:after="0" w:line="240" w:lineRule="auto"/>
              <w:rPr>
                <w:sz w:val="20"/>
                <w:szCs w:val="20"/>
                <w:lang w:eastAsia="en-US"/>
              </w:rPr>
            </w:pPr>
            <w:r w:rsidRPr="00117DE3">
              <w:rPr>
                <w:sz w:val="20"/>
                <w:szCs w:val="20"/>
                <w:lang w:eastAsia="en-US"/>
              </w:rPr>
              <w:t>provide</w:t>
            </w:r>
            <w:r>
              <w:rPr>
                <w:sz w:val="20"/>
                <w:szCs w:val="20"/>
                <w:lang w:eastAsia="en-US"/>
              </w:rPr>
              <w:t>s</w:t>
            </w:r>
            <w:r w:rsidRPr="00117DE3">
              <w:rPr>
                <w:sz w:val="20"/>
                <w:szCs w:val="20"/>
                <w:lang w:eastAsia="en-US"/>
              </w:rPr>
              <w:t xml:space="preserve"> strategic oversight, advice and recommendations to the </w:t>
            </w:r>
            <w:r w:rsidR="006F16B1">
              <w:rPr>
                <w:sz w:val="20"/>
                <w:szCs w:val="20"/>
                <w:lang w:eastAsia="en-US"/>
              </w:rPr>
              <w:t>d</w:t>
            </w:r>
            <w:r w:rsidRPr="00117DE3">
              <w:rPr>
                <w:sz w:val="20"/>
                <w:szCs w:val="20"/>
                <w:lang w:eastAsia="en-US"/>
              </w:rPr>
              <w:t xml:space="preserve">ecision </w:t>
            </w:r>
            <w:r w:rsidR="006F16B1">
              <w:rPr>
                <w:sz w:val="20"/>
                <w:szCs w:val="20"/>
                <w:lang w:eastAsia="en-US"/>
              </w:rPr>
              <w:t>m</w:t>
            </w:r>
            <w:r w:rsidRPr="00117DE3">
              <w:rPr>
                <w:sz w:val="20"/>
                <w:szCs w:val="20"/>
                <w:lang w:eastAsia="en-US"/>
              </w:rPr>
              <w:t>aker on assessed applications from the program specific, service provider composition and service location perspectives.</w:t>
            </w:r>
          </w:p>
        </w:tc>
      </w:tr>
      <w:tr w:rsidR="004960E4" w:rsidRPr="009E3949" w14:paraId="1AFCB921" w14:textId="77777777" w:rsidTr="004960E4">
        <w:trPr>
          <w:cantSplit/>
        </w:trPr>
        <w:tc>
          <w:tcPr>
            <w:tcW w:w="1843" w:type="pct"/>
          </w:tcPr>
          <w:p w14:paraId="1D411B4E" w14:textId="77777777" w:rsidR="004960E4" w:rsidRPr="001B21A4" w:rsidRDefault="008463BB" w:rsidP="00D57F95">
            <w:r>
              <w:t>v</w:t>
            </w:r>
            <w:r w:rsidR="00D57F95">
              <w:t xml:space="preserve">alue with </w:t>
            </w:r>
            <w:r w:rsidR="004960E4" w:rsidRPr="00274AE2">
              <w:t>money</w:t>
            </w:r>
          </w:p>
        </w:tc>
        <w:tc>
          <w:tcPr>
            <w:tcW w:w="3157" w:type="pct"/>
          </w:tcPr>
          <w:p w14:paraId="65C13AD4" w14:textId="77777777" w:rsidR="004960E4" w:rsidRPr="00274AE2" w:rsidRDefault="00D57F95" w:rsidP="00613D08">
            <w:r>
              <w:t xml:space="preserve">refers to ‘value with </w:t>
            </w:r>
            <w:r w:rsidR="004960E4" w:rsidRPr="00274AE2">
              <w:t>relevant money</w:t>
            </w:r>
            <w:r>
              <w:t xml:space="preserve">’ which is a </w:t>
            </w:r>
            <w:r w:rsidR="004960E4" w:rsidRPr="00274AE2">
              <w:t xml:space="preserve">judgement based on the grant proposal representing an efficient, effective, economical and ethical use of public resources and </w:t>
            </w:r>
            <w:r>
              <w:t>dete</w:t>
            </w:r>
            <w:r w:rsidR="004960E4" w:rsidRPr="00274AE2">
              <w:t xml:space="preserve">rmined </w:t>
            </w:r>
            <w:r>
              <w:t>from</w:t>
            </w:r>
            <w:r w:rsidR="004960E4" w:rsidRPr="00274AE2">
              <w:t xml:space="preserve"> a variety of considerations.</w:t>
            </w:r>
          </w:p>
          <w:p w14:paraId="40FAB966" w14:textId="77777777" w:rsidR="004960E4" w:rsidRPr="00274AE2" w:rsidRDefault="004960E4" w:rsidP="00613D08">
            <w:pPr>
              <w:spacing w:before="0" w:after="40" w:line="240" w:lineRule="auto"/>
            </w:pPr>
            <w:r w:rsidRPr="00274AE2">
              <w:t>When administering a grant opportunity, an official should consider the relevant financial and non-financial costs and benefits of each proposal including, but not limited to</w:t>
            </w:r>
            <w:r w:rsidR="00370E02">
              <w:t xml:space="preserve"> the</w:t>
            </w:r>
            <w:r w:rsidRPr="00274AE2">
              <w:t>:</w:t>
            </w:r>
          </w:p>
          <w:p w14:paraId="6DA7447C" w14:textId="77777777" w:rsidR="004960E4" w:rsidRPr="00274AE2" w:rsidRDefault="004960E4" w:rsidP="009668F6">
            <w:pPr>
              <w:numPr>
                <w:ilvl w:val="0"/>
                <w:numId w:val="17"/>
              </w:numPr>
              <w:spacing w:before="0" w:after="40" w:line="240" w:lineRule="auto"/>
              <w:ind w:left="342" w:hanging="342"/>
              <w:rPr>
                <w:rFonts w:cs="Arial"/>
                <w:lang w:eastAsia="en-AU"/>
              </w:rPr>
            </w:pPr>
            <w:r w:rsidRPr="00274AE2">
              <w:rPr>
                <w:rFonts w:cs="Arial"/>
                <w:lang w:eastAsia="en-AU"/>
              </w:rPr>
              <w:t>quality of the project proposal and activities;</w:t>
            </w:r>
          </w:p>
          <w:p w14:paraId="44FB3F5C" w14:textId="77777777" w:rsidR="004960E4" w:rsidRPr="00274AE2" w:rsidRDefault="00370E02" w:rsidP="009668F6">
            <w:pPr>
              <w:numPr>
                <w:ilvl w:val="0"/>
                <w:numId w:val="17"/>
              </w:numPr>
              <w:spacing w:before="0" w:after="40" w:line="240" w:lineRule="auto"/>
              <w:ind w:left="342" w:hanging="342"/>
              <w:rPr>
                <w:rFonts w:cs="Arial"/>
                <w:lang w:eastAsia="en-AU"/>
              </w:rPr>
            </w:pPr>
            <w:r>
              <w:rPr>
                <w:rFonts w:cs="Arial"/>
                <w:lang w:eastAsia="en-AU"/>
              </w:rPr>
              <w:t>fit</w:t>
            </w:r>
            <w:r w:rsidR="004960E4" w:rsidRPr="00274AE2">
              <w:rPr>
                <w:rFonts w:cs="Arial"/>
                <w:lang w:eastAsia="en-AU"/>
              </w:rPr>
              <w:t xml:space="preserve"> for purpose of the proposal in contributing to government objectives;</w:t>
            </w:r>
          </w:p>
          <w:p w14:paraId="75BA7F11" w14:textId="77777777" w:rsidR="00D57F95" w:rsidRPr="00D57F95" w:rsidRDefault="004960E4" w:rsidP="009668F6">
            <w:pPr>
              <w:numPr>
                <w:ilvl w:val="0"/>
                <w:numId w:val="17"/>
              </w:numPr>
              <w:spacing w:before="0" w:after="40" w:line="240" w:lineRule="auto"/>
              <w:ind w:left="342" w:hanging="342"/>
            </w:pPr>
            <w:r w:rsidRPr="00274AE2">
              <w:rPr>
                <w:rFonts w:cs="Arial"/>
                <w:lang w:eastAsia="en-AU"/>
              </w:rPr>
              <w:t>absence of a grant is likely to prevent the grantee and gover</w:t>
            </w:r>
            <w:r w:rsidR="00370E02">
              <w:rPr>
                <w:rFonts w:cs="Arial"/>
                <w:lang w:eastAsia="en-AU"/>
              </w:rPr>
              <w:t>nment’s outcomes being achieved</w:t>
            </w:r>
          </w:p>
          <w:p w14:paraId="0EA9966E" w14:textId="77777777" w:rsidR="004960E4" w:rsidRPr="00710FAB" w:rsidRDefault="004960E4" w:rsidP="00370E02">
            <w:pPr>
              <w:numPr>
                <w:ilvl w:val="0"/>
                <w:numId w:val="17"/>
              </w:numPr>
              <w:spacing w:before="0" w:after="40" w:line="240" w:lineRule="auto"/>
              <w:ind w:left="342" w:hanging="342"/>
            </w:pPr>
            <w:r w:rsidRPr="00274AE2">
              <w:rPr>
                <w:rFonts w:cs="Arial"/>
                <w:lang w:eastAsia="en-AU"/>
              </w:rPr>
              <w:t>potential grantee’s relevant experience and performance history</w:t>
            </w:r>
            <w:r w:rsidRPr="00274AE2">
              <w:rPr>
                <w:rFonts w:ascii="Times New Roman" w:hAnsi="Times New Roman"/>
                <w:sz w:val="24"/>
                <w:szCs w:val="24"/>
                <w:lang w:val="en" w:eastAsia="en-AU"/>
              </w:rPr>
              <w:t>.</w:t>
            </w:r>
          </w:p>
        </w:tc>
      </w:tr>
    </w:tbl>
    <w:p w14:paraId="6C56DF2F" w14:textId="77777777" w:rsidR="00230A2B" w:rsidRDefault="00230A2B" w:rsidP="003F6ED6"/>
    <w:sectPr w:rsidR="00230A2B" w:rsidSect="00CF2B71">
      <w:pgSz w:w="11907" w:h="16840" w:code="9"/>
      <w:pgMar w:top="1134"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8C12F" w14:textId="77777777" w:rsidR="00F82D68" w:rsidRDefault="00F82D68" w:rsidP="00077C3D">
      <w:r>
        <w:separator/>
      </w:r>
    </w:p>
  </w:endnote>
  <w:endnote w:type="continuationSeparator" w:id="0">
    <w:p w14:paraId="1BA56402" w14:textId="77777777" w:rsidR="00F82D68" w:rsidRDefault="00F82D68" w:rsidP="00077C3D">
      <w:r>
        <w:continuationSeparator/>
      </w:r>
    </w:p>
  </w:endnote>
  <w:endnote w:type="continuationNotice" w:id="1">
    <w:p w14:paraId="487D2090" w14:textId="77777777" w:rsidR="00F82D68" w:rsidRDefault="00F82D68"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6959C" w14:textId="54A9B297" w:rsidR="00AF08F7" w:rsidRDefault="00AF08F7" w:rsidP="0002331D">
    <w:pPr>
      <w:pStyle w:val="Footer"/>
      <w:tabs>
        <w:tab w:val="clear" w:pos="4153"/>
        <w:tab w:val="clear" w:pos="8306"/>
        <w:tab w:val="center" w:pos="6096"/>
        <w:tab w:val="right" w:pos="8789"/>
      </w:tabs>
    </w:pPr>
    <w:r w:rsidRPr="00CE0A34">
      <w:t>Legal advisory services Guidelines</w:t>
    </w:r>
    <w:r>
      <w:tab/>
      <w:t>July 2019</w:t>
    </w:r>
    <w:r w:rsidRPr="005B72F4">
      <w:tab/>
      <w:t xml:space="preserve">Page </w:t>
    </w:r>
    <w:r w:rsidRPr="005B72F4">
      <w:fldChar w:fldCharType="begin"/>
    </w:r>
    <w:r w:rsidRPr="005B72F4">
      <w:instrText xml:space="preserve"> PAGE </w:instrText>
    </w:r>
    <w:r w:rsidRPr="005B72F4">
      <w:fldChar w:fldCharType="separate"/>
    </w:r>
    <w:r w:rsidR="00CB4284">
      <w:rPr>
        <w:noProof/>
      </w:rPr>
      <w:t>22</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B4284">
      <w:rPr>
        <w:noProof/>
      </w:rPr>
      <w:t>26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6D4CC" w14:textId="77777777" w:rsidR="00F82D68" w:rsidRDefault="00F82D68" w:rsidP="00077C3D">
      <w:r>
        <w:separator/>
      </w:r>
    </w:p>
  </w:footnote>
  <w:footnote w:type="continuationSeparator" w:id="0">
    <w:p w14:paraId="29BDAE0C" w14:textId="77777777" w:rsidR="00F82D68" w:rsidRDefault="00F82D68" w:rsidP="00077C3D">
      <w:r>
        <w:continuationSeparator/>
      </w:r>
    </w:p>
  </w:footnote>
  <w:footnote w:type="continuationNotice" w:id="1">
    <w:p w14:paraId="390A74C4" w14:textId="77777777" w:rsidR="00F82D68" w:rsidRDefault="00F82D68" w:rsidP="00077C3D"/>
  </w:footnote>
  <w:footnote w:id="2">
    <w:p w14:paraId="46839CBC" w14:textId="77777777" w:rsidR="00AF08F7" w:rsidRDefault="00AF08F7" w:rsidP="00732300">
      <w:pPr>
        <w:pStyle w:val="FootnoteText"/>
      </w:pPr>
      <w:r>
        <w:rPr>
          <w:rStyle w:val="FootnoteReference"/>
        </w:rPr>
        <w:footnoteRef/>
      </w:r>
      <w:r>
        <w:t xml:space="preserve"> Alterations and addenda include but are not limited to: corrections to currently published documents, changes to close times for applications, questions and answers documents </w:t>
      </w:r>
    </w:p>
  </w:footnote>
  <w:footnote w:id="3">
    <w:p w14:paraId="4220A1A7" w14:textId="77777777" w:rsidR="00F52614" w:rsidRDefault="00F52614">
      <w:pPr>
        <w:pStyle w:val="FootnoteText"/>
      </w:pPr>
      <w:r>
        <w:rPr>
          <w:rStyle w:val="FootnoteReference"/>
        </w:rPr>
        <w:footnoteRef/>
      </w:r>
      <w:r>
        <w:t xml:space="preserve"> </w:t>
      </w:r>
      <w:r>
        <w:rPr>
          <w:szCs w:val="16"/>
        </w:rPr>
        <w:t>This may be the Hub Delegate or nominated staff member of the client agency at the EL2 level or above.</w:t>
      </w:r>
    </w:p>
  </w:footnote>
  <w:footnote w:id="4">
    <w:p w14:paraId="78E656D6" w14:textId="77777777" w:rsidR="00AF08F7" w:rsidRDefault="00AF08F7" w:rsidP="00CF1804">
      <w:pPr>
        <w:pStyle w:val="FootnoteText"/>
      </w:pPr>
      <w:r>
        <w:rPr>
          <w:rStyle w:val="FootnoteReference"/>
        </w:rPr>
        <w:footnoteRef/>
      </w:r>
      <w:r>
        <w:t xml:space="preserve"> See glossary for an explanation of ‘value with money’.</w:t>
      </w:r>
    </w:p>
  </w:footnote>
  <w:footnote w:id="5">
    <w:p w14:paraId="379E4169" w14:textId="77777777" w:rsidR="00AF08F7" w:rsidRDefault="00AF08F7" w:rsidP="00702EA6">
      <w:pPr>
        <w:pStyle w:val="FootnoteText"/>
      </w:pPr>
      <w:r>
        <w:rPr>
          <w:rStyle w:val="FootnoteReference"/>
        </w:rPr>
        <w:footnoteRef/>
      </w:r>
      <w:r>
        <w:t xml:space="preserve"> See glossary for an explanation of ‘value with money’.</w:t>
      </w:r>
    </w:p>
  </w:footnote>
  <w:footnote w:id="6">
    <w:p w14:paraId="4D4021C0" w14:textId="77777777" w:rsidR="00AF08F7" w:rsidRDefault="00AF08F7" w:rsidP="00E94F0B">
      <w:pPr>
        <w:pStyle w:val="FootnoteText"/>
      </w:pPr>
      <w:r>
        <w:rPr>
          <w:rStyle w:val="FootnoteReference"/>
        </w:rPr>
        <w:footnoteRef/>
      </w:r>
      <w:r>
        <w:t xml:space="preserve"> </w:t>
      </w:r>
      <w:hyperlink r:id="rId1" w:history="1">
        <w:r w:rsidRPr="00A21DA1">
          <w:rPr>
            <w:rStyle w:val="Hyperlink"/>
          </w:rPr>
          <w:t>https://www.ato.gov.au/</w:t>
        </w:r>
      </w:hyperlink>
      <w:r>
        <w:t xml:space="preserve"> </w:t>
      </w:r>
    </w:p>
  </w:footnote>
  <w:footnote w:id="7">
    <w:p w14:paraId="305B9CF7" w14:textId="77777777" w:rsidR="00AF08F7" w:rsidRPr="007133C2" w:rsidRDefault="00AF08F7" w:rsidP="00732300">
      <w:pPr>
        <w:pStyle w:val="FootnoteText"/>
      </w:pPr>
      <w:r w:rsidRPr="007133C2">
        <w:rPr>
          <w:rStyle w:val="FootnoteReference"/>
        </w:rPr>
        <w:footnoteRef/>
      </w:r>
      <w:r w:rsidRPr="007133C2">
        <w:t xml:space="preserve"> Relevant money is defined in the PGPA Act. See section 8, Dictionary</w:t>
      </w:r>
      <w:r>
        <w:t>.</w:t>
      </w:r>
    </w:p>
  </w:footnote>
  <w:footnote w:id="8">
    <w:p w14:paraId="45A17DE1" w14:textId="77777777" w:rsidR="00AF08F7" w:rsidRPr="007133C2" w:rsidRDefault="00AF08F7" w:rsidP="00732300">
      <w:pPr>
        <w:pStyle w:val="FootnoteText"/>
      </w:pPr>
      <w:r w:rsidRPr="007133C2">
        <w:rPr>
          <w:rStyle w:val="FootnoteReference"/>
        </w:rPr>
        <w:footnoteRef/>
      </w:r>
      <w:r w:rsidRPr="007133C2">
        <w:t xml:space="preserve"> Other CRF money is defined in the PGPA Act. See section 105, Rules in relation to other CRF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4B5BD" w14:textId="77777777" w:rsidR="00AF08F7" w:rsidRDefault="00AF08F7" w:rsidP="00CA3DD9">
    <w:pPr>
      <w:pStyle w:val="Header"/>
      <w:tabs>
        <w:tab w:val="left" w:pos="6912"/>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406DC" w14:textId="77777777" w:rsidR="00AF08F7" w:rsidRDefault="00AF08F7" w:rsidP="006D239E">
    <w:pPr>
      <w:pStyle w:val="Header"/>
      <w:jc w:val="center"/>
    </w:pPr>
    <w:r>
      <w:rPr>
        <w:noProof/>
        <w:lang w:eastAsia="en-AU"/>
      </w:rPr>
      <w:drawing>
        <wp:anchor distT="0" distB="0" distL="114300" distR="114300" simplePos="0" relativeHeight="251658240" behindDoc="1" locked="0" layoutInCell="1" allowOverlap="1" wp14:anchorId="146E63F7" wp14:editId="69FDBE8A">
          <wp:simplePos x="0" y="0"/>
          <wp:positionH relativeFrom="column">
            <wp:posOffset>-612842</wp:posOffset>
          </wp:positionH>
          <wp:positionV relativeFrom="paragraph">
            <wp:posOffset>-110152</wp:posOffset>
          </wp:positionV>
          <wp:extent cx="6715469" cy="920817"/>
          <wp:effectExtent l="0" t="0" r="0" b="0"/>
          <wp:wrapNone/>
          <wp:docPr id="3" name="Picture 3" descr="Government crest and Hub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D combined.jpg"/>
                  <pic:cNvPicPr/>
                </pic:nvPicPr>
                <pic:blipFill>
                  <a:blip r:embed="rId1">
                    <a:extLst>
                      <a:ext uri="{28A0092B-C50C-407E-A947-70E740481C1C}">
                        <a14:useLocalDpi xmlns:a14="http://schemas.microsoft.com/office/drawing/2010/main" val="0"/>
                      </a:ext>
                    </a:extLst>
                  </a:blip>
                  <a:stretch>
                    <a:fillRect/>
                  </a:stretch>
                </pic:blipFill>
                <pic:spPr>
                  <a:xfrm>
                    <a:off x="0" y="0"/>
                    <a:ext cx="6715469" cy="92081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7700C3E"/>
    <w:multiLevelType w:val="hybridMultilevel"/>
    <w:tmpl w:val="78E0CABC"/>
    <w:lvl w:ilvl="0" w:tplc="2D5EE386">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123C3A"/>
    <w:multiLevelType w:val="hybridMultilevel"/>
    <w:tmpl w:val="5BE84F8A"/>
    <w:lvl w:ilvl="0" w:tplc="5DFC24C6">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C6A27"/>
    <w:multiLevelType w:val="multilevel"/>
    <w:tmpl w:val="AEAA644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843"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3198E7D8"/>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1A776D75"/>
    <w:multiLevelType w:val="hybridMultilevel"/>
    <w:tmpl w:val="037266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DC56C7"/>
    <w:multiLevelType w:val="multilevel"/>
    <w:tmpl w:val="D24EA2DA"/>
    <w:lvl w:ilvl="0">
      <w:start w:val="1"/>
      <w:numFmt w:val="bullet"/>
      <w:lvlText w:val=""/>
      <w:lvlJc w:val="left"/>
      <w:pPr>
        <w:ind w:left="714" w:hanging="357"/>
      </w:pPr>
      <w:rPr>
        <w:rFonts w:ascii="Symbol" w:hAnsi="Symbol" w:hint="default"/>
        <w:color w:val="auto"/>
      </w:rPr>
    </w:lvl>
    <w:lvl w:ilvl="1">
      <w:start w:val="1"/>
      <w:numFmt w:val="lowerLetter"/>
      <w:lvlText w:val="%2"/>
      <w:lvlJc w:val="left"/>
      <w:pPr>
        <w:ind w:left="1077" w:hanging="363"/>
      </w:pPr>
    </w:lvl>
    <w:lvl w:ilvl="2">
      <w:start w:val="1"/>
      <w:numFmt w:val="lowerRoman"/>
      <w:lvlText w:val="%3"/>
      <w:lvlJc w:val="left"/>
      <w:pPr>
        <w:ind w:left="1437" w:hanging="360"/>
      </w:pPr>
    </w:lvl>
    <w:lvl w:ilvl="3">
      <w:start w:val="1"/>
      <w:numFmt w:val="decimal"/>
      <w:lvlText w:val="%1.%2.%3.%4"/>
      <w:lvlJc w:val="left"/>
      <w:pPr>
        <w:ind w:left="1797" w:hanging="306"/>
      </w:pPr>
      <w:rPr>
        <w:b w:val="0"/>
        <w:i w:val="0"/>
        <w:color w:val="auto"/>
        <w:sz w:val="20"/>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11" w15:restartNumberingAfterBreak="0">
    <w:nsid w:val="204B05C9"/>
    <w:multiLevelType w:val="hybridMultilevel"/>
    <w:tmpl w:val="2EFC01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325CDD"/>
    <w:multiLevelType w:val="multilevel"/>
    <w:tmpl w:val="15441DB8"/>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85F6D62"/>
    <w:multiLevelType w:val="hybridMultilevel"/>
    <w:tmpl w:val="0FC20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F43796"/>
    <w:multiLevelType w:val="hybridMultilevel"/>
    <w:tmpl w:val="7D1405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7" w15:restartNumberingAfterBreak="0">
    <w:nsid w:val="3ACB2D51"/>
    <w:multiLevelType w:val="hybridMultilevel"/>
    <w:tmpl w:val="67906A0A"/>
    <w:lvl w:ilvl="0" w:tplc="0C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EC098E"/>
    <w:multiLevelType w:val="hybridMultilevel"/>
    <w:tmpl w:val="3C026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F23AAC"/>
    <w:multiLevelType w:val="multilevel"/>
    <w:tmpl w:val="379A6CF0"/>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1F5F3B"/>
    <w:multiLevelType w:val="multilevel"/>
    <w:tmpl w:val="6C36B31E"/>
    <w:lvl w:ilvl="0">
      <w:start w:val="1"/>
      <w:numFmt w:val="lowerLetter"/>
      <w:lvlText w:val="%1)"/>
      <w:lvlJc w:val="left"/>
      <w:pPr>
        <w:ind w:left="360" w:hanging="360"/>
      </w:pPr>
      <w:rPr>
        <w:rFont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528212A"/>
    <w:multiLevelType w:val="hybridMultilevel"/>
    <w:tmpl w:val="2140F4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5" w15:restartNumberingAfterBreak="0">
    <w:nsid w:val="5C5C11B4"/>
    <w:multiLevelType w:val="hybridMultilevel"/>
    <w:tmpl w:val="994C890E"/>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2731CA"/>
    <w:multiLevelType w:val="hybridMultilevel"/>
    <w:tmpl w:val="00785334"/>
    <w:lvl w:ilvl="0" w:tplc="562C64B2">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678354D"/>
    <w:multiLevelType w:val="hybridMultilevel"/>
    <w:tmpl w:val="1F8EE20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0"/>
  </w:num>
  <w:num w:numId="3">
    <w:abstractNumId w:val="16"/>
  </w:num>
  <w:num w:numId="4">
    <w:abstractNumId w:val="20"/>
  </w:num>
  <w:num w:numId="5">
    <w:abstractNumId w:val="31"/>
  </w:num>
  <w:num w:numId="6">
    <w:abstractNumId w:val="29"/>
  </w:num>
  <w:num w:numId="7">
    <w:abstractNumId w:val="8"/>
  </w:num>
  <w:num w:numId="8">
    <w:abstractNumId w:val="7"/>
  </w:num>
  <w:num w:numId="9">
    <w:abstractNumId w:val="5"/>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8"/>
  </w:num>
  <w:num w:numId="14">
    <w:abstractNumId w:val="24"/>
  </w:num>
  <w:num w:numId="15">
    <w:abstractNumId w:val="6"/>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5"/>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4"/>
  </w:num>
  <w:num w:numId="25">
    <w:abstractNumId w:val="12"/>
  </w:num>
  <w:num w:numId="26">
    <w:abstractNumId w:val="19"/>
  </w:num>
  <w:num w:numId="27">
    <w:abstractNumId w:val="21"/>
  </w:num>
  <w:num w:numId="28">
    <w:abstractNumId w:val="27"/>
  </w:num>
  <w:num w:numId="29">
    <w:abstractNumId w:val="7"/>
    <w:lvlOverride w:ilvl="0">
      <w:startOverride w:val="1"/>
      <w:lvl w:ilvl="0">
        <w:start w:val="1"/>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9923" w:hanging="1134"/>
        </w:pPr>
        <w:rPr>
          <w:rFonts w:hint="default"/>
        </w:rPr>
      </w:lvl>
    </w:lvlOverride>
    <w:lvlOverride w:ilvl="2">
      <w:startOverride w:val="1"/>
      <w:lvl w:ilvl="2">
        <w:start w:val="1"/>
        <w:numFmt w:val="decimal"/>
        <w:pStyle w:val="Heading4"/>
        <w:lvlText w:val="%1.%2.%3"/>
        <w:lvlJc w:val="left"/>
        <w:pPr>
          <w:ind w:left="2215"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7"/>
  </w:num>
  <w:num w:numId="32">
    <w:abstractNumId w:val="8"/>
  </w:num>
  <w:num w:numId="33">
    <w:abstractNumId w:val="8"/>
  </w:num>
  <w:num w:numId="34">
    <w:abstractNumId w:val="8"/>
  </w:num>
  <w:num w:numId="35">
    <w:abstractNumId w:val="8"/>
  </w:num>
  <w:num w:numId="36">
    <w:abstractNumId w:val="8"/>
  </w:num>
  <w:num w:numId="37">
    <w:abstractNumId w:val="8"/>
  </w:num>
  <w:num w:numId="38">
    <w:abstractNumId w:val="22"/>
  </w:num>
  <w:num w:numId="39">
    <w:abstractNumId w:val="3"/>
  </w:num>
  <w:num w:numId="40">
    <w:abstractNumId w:val="11"/>
  </w:num>
  <w:num w:numId="4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84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7"/>
    <w:lvlOverride w:ilvl="0">
      <w:startOverride w:val="1"/>
      <w:lvl w:ilvl="0">
        <w:start w:val="1"/>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1843" w:hanging="1134"/>
        </w:pPr>
        <w:rPr>
          <w:rFonts w:hint="default"/>
        </w:rPr>
      </w:lvl>
    </w:lvlOverride>
    <w:lvlOverride w:ilvl="2">
      <w:startOverride w:val="1"/>
      <w:lvl w:ilvl="2">
        <w:start w:val="1"/>
        <w:numFmt w:val="decimal"/>
        <w:pStyle w:val="Heading4"/>
        <w:lvlText w:val="%1.%2.%3"/>
        <w:lvlJc w:val="left"/>
        <w:pPr>
          <w:ind w:left="1080"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84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7"/>
    <w:lvlOverride w:ilvl="0">
      <w:startOverride w:val="1"/>
      <w:lvl w:ilvl="0">
        <w:start w:val="1"/>
        <w:numFmt w:val="decimal"/>
        <w:pStyle w:val="Heading2"/>
        <w:lvlText w:val="%1"/>
        <w:lvlJc w:val="left"/>
        <w:pPr>
          <w:ind w:left="1134" w:hanging="1134"/>
        </w:pPr>
        <w:rPr>
          <w:rFonts w:hint="default"/>
        </w:rPr>
      </w:lvl>
    </w:lvlOverride>
    <w:lvlOverride w:ilvl="1">
      <w:startOverride w:val="1"/>
      <w:lvl w:ilvl="1">
        <w:start w:val="1"/>
        <w:numFmt w:val="decimal"/>
        <w:pStyle w:val="Heading3"/>
        <w:lvlText w:val="%1.%2"/>
        <w:lvlJc w:val="left"/>
        <w:pPr>
          <w:ind w:left="1843" w:hanging="1134"/>
        </w:pPr>
        <w:rPr>
          <w:rFonts w:hint="default"/>
        </w:rPr>
      </w:lvl>
    </w:lvlOverride>
    <w:lvlOverride w:ilvl="2">
      <w:startOverride w:val="1"/>
      <w:lvl w:ilvl="2">
        <w:start w:val="1"/>
        <w:numFmt w:val="decimal"/>
        <w:pStyle w:val="Heading4"/>
        <w:lvlText w:val="%1.%2.%3"/>
        <w:lvlJc w:val="left"/>
        <w:pPr>
          <w:ind w:left="1080" w:hanging="1080"/>
        </w:pPr>
        <w:rPr>
          <w:rFonts w:hint="default"/>
        </w:rPr>
      </w:lvl>
    </w:lvlOverride>
    <w:lvlOverride w:ilvl="3">
      <w:startOverride w:val="1"/>
      <w:lvl w:ilvl="3">
        <w:start w:val="1"/>
        <w:numFmt w:val="decimal"/>
        <w:pStyle w:val="Heading5"/>
        <w:lvlText w:val="%1.%2.%3.%4"/>
        <w:lvlJc w:val="left"/>
        <w:pPr>
          <w:ind w:left="1440" w:hanging="306"/>
        </w:pPr>
        <w:rPr>
          <w:rFonts w:hint="default"/>
          <w:b/>
          <w:i w:val="0"/>
          <w:color w:val="auto"/>
          <w:sz w:val="20"/>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abstractNumId w:val="30"/>
  </w:num>
  <w:num w:numId="46">
    <w:abstractNumId w:val="14"/>
  </w:num>
  <w:num w:numId="47">
    <w:abstractNumId w:val="25"/>
  </w:num>
  <w:num w:numId="4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ctiveWritingStyle w:appName="MSWord" w:lang="en-AU" w:vendorID="64" w:dllVersion="131078" w:nlCheck="1" w:checkStyle="0"/>
  <w:activeWritingStyle w:appName="MSWord" w:lang="en-US" w:vendorID="64" w:dllVersion="131078" w:nlCheck="1" w:checkStyle="0"/>
  <w:activeWritingStyle w:appName="MSWord" w:lang="en-GB"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CF8"/>
    <w:rsid w:val="00011A1A"/>
    <w:rsid w:val="00011AA7"/>
    <w:rsid w:val="00011DF1"/>
    <w:rsid w:val="00014DD7"/>
    <w:rsid w:val="0001641E"/>
    <w:rsid w:val="0001685F"/>
    <w:rsid w:val="00016C0F"/>
    <w:rsid w:val="00016E51"/>
    <w:rsid w:val="00017238"/>
    <w:rsid w:val="00017503"/>
    <w:rsid w:val="000207D9"/>
    <w:rsid w:val="00021292"/>
    <w:rsid w:val="000216F2"/>
    <w:rsid w:val="000220D6"/>
    <w:rsid w:val="00022A7F"/>
    <w:rsid w:val="00023115"/>
    <w:rsid w:val="0002331D"/>
    <w:rsid w:val="00024BA4"/>
    <w:rsid w:val="00024C55"/>
    <w:rsid w:val="00025467"/>
    <w:rsid w:val="0002574E"/>
    <w:rsid w:val="00026A96"/>
    <w:rsid w:val="00027157"/>
    <w:rsid w:val="000273AD"/>
    <w:rsid w:val="0003065E"/>
    <w:rsid w:val="00031075"/>
    <w:rsid w:val="0003165D"/>
    <w:rsid w:val="0003249B"/>
    <w:rsid w:val="00032BB0"/>
    <w:rsid w:val="00034775"/>
    <w:rsid w:val="00034FFA"/>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5F62"/>
    <w:rsid w:val="00056158"/>
    <w:rsid w:val="00056AF5"/>
    <w:rsid w:val="00057B0D"/>
    <w:rsid w:val="00057E29"/>
    <w:rsid w:val="00060AD3"/>
    <w:rsid w:val="00060F83"/>
    <w:rsid w:val="00062B2E"/>
    <w:rsid w:val="000635B2"/>
    <w:rsid w:val="0006399E"/>
    <w:rsid w:val="000640E1"/>
    <w:rsid w:val="000644EE"/>
    <w:rsid w:val="0006586E"/>
    <w:rsid w:val="00065F24"/>
    <w:rsid w:val="000668C5"/>
    <w:rsid w:val="00066A84"/>
    <w:rsid w:val="000673F8"/>
    <w:rsid w:val="0007009A"/>
    <w:rsid w:val="000718BC"/>
    <w:rsid w:val="00071CC0"/>
    <w:rsid w:val="00072DD5"/>
    <w:rsid w:val="00073AC8"/>
    <w:rsid w:val="00073E95"/>
    <w:rsid w:val="000741DE"/>
    <w:rsid w:val="000752EC"/>
    <w:rsid w:val="00076300"/>
    <w:rsid w:val="00077C3D"/>
    <w:rsid w:val="000805C4"/>
    <w:rsid w:val="00081379"/>
    <w:rsid w:val="0008289E"/>
    <w:rsid w:val="000833DF"/>
    <w:rsid w:val="00083CC7"/>
    <w:rsid w:val="0008479B"/>
    <w:rsid w:val="000849D6"/>
    <w:rsid w:val="0008697C"/>
    <w:rsid w:val="00090431"/>
    <w:rsid w:val="00090B23"/>
    <w:rsid w:val="0009133F"/>
    <w:rsid w:val="00093BA1"/>
    <w:rsid w:val="000951B3"/>
    <w:rsid w:val="00096575"/>
    <w:rsid w:val="0009683F"/>
    <w:rsid w:val="000A2011"/>
    <w:rsid w:val="000A2037"/>
    <w:rsid w:val="000A2B69"/>
    <w:rsid w:val="000A4261"/>
    <w:rsid w:val="000A4490"/>
    <w:rsid w:val="000A4D8A"/>
    <w:rsid w:val="000A615C"/>
    <w:rsid w:val="000A68A8"/>
    <w:rsid w:val="000A6E25"/>
    <w:rsid w:val="000A79C0"/>
    <w:rsid w:val="000A7F58"/>
    <w:rsid w:val="000B0CB0"/>
    <w:rsid w:val="000B1184"/>
    <w:rsid w:val="000B138C"/>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AB5"/>
    <w:rsid w:val="000D3F05"/>
    <w:rsid w:val="000D4257"/>
    <w:rsid w:val="000D53D9"/>
    <w:rsid w:val="000D5D0A"/>
    <w:rsid w:val="000D6D35"/>
    <w:rsid w:val="000E08D0"/>
    <w:rsid w:val="000E0C56"/>
    <w:rsid w:val="000E11A2"/>
    <w:rsid w:val="000E167A"/>
    <w:rsid w:val="000E1E35"/>
    <w:rsid w:val="000E23A5"/>
    <w:rsid w:val="000E276D"/>
    <w:rsid w:val="000E2D44"/>
    <w:rsid w:val="000E2F40"/>
    <w:rsid w:val="000E4061"/>
    <w:rsid w:val="000E4CD5"/>
    <w:rsid w:val="000E55FA"/>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E5C"/>
    <w:rsid w:val="001045B6"/>
    <w:rsid w:val="00104854"/>
    <w:rsid w:val="0010490E"/>
    <w:rsid w:val="00105D44"/>
    <w:rsid w:val="001061F9"/>
    <w:rsid w:val="001065D5"/>
    <w:rsid w:val="00106980"/>
    <w:rsid w:val="00106B83"/>
    <w:rsid w:val="00106FD8"/>
    <w:rsid w:val="001074B6"/>
    <w:rsid w:val="00107A22"/>
    <w:rsid w:val="0011021A"/>
    <w:rsid w:val="00110267"/>
    <w:rsid w:val="00110DF4"/>
    <w:rsid w:val="00110F7F"/>
    <w:rsid w:val="00111506"/>
    <w:rsid w:val="00111ABB"/>
    <w:rsid w:val="00112457"/>
    <w:rsid w:val="00114CE2"/>
    <w:rsid w:val="00115A47"/>
    <w:rsid w:val="00115A51"/>
    <w:rsid w:val="00115A9B"/>
    <w:rsid w:val="00115C6B"/>
    <w:rsid w:val="0011744A"/>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20AF"/>
    <w:rsid w:val="00143DE8"/>
    <w:rsid w:val="00143EA2"/>
    <w:rsid w:val="0014408C"/>
    <w:rsid w:val="00144380"/>
    <w:rsid w:val="001450BD"/>
    <w:rsid w:val="001452A7"/>
    <w:rsid w:val="00146033"/>
    <w:rsid w:val="00146445"/>
    <w:rsid w:val="00150905"/>
    <w:rsid w:val="00150E98"/>
    <w:rsid w:val="00151417"/>
    <w:rsid w:val="00151A65"/>
    <w:rsid w:val="0015405F"/>
    <w:rsid w:val="00154230"/>
    <w:rsid w:val="00155480"/>
    <w:rsid w:val="00160DFD"/>
    <w:rsid w:val="00161E9F"/>
    <w:rsid w:val="001624F7"/>
    <w:rsid w:val="0016365F"/>
    <w:rsid w:val="001642EF"/>
    <w:rsid w:val="001642FE"/>
    <w:rsid w:val="00164671"/>
    <w:rsid w:val="00165CA8"/>
    <w:rsid w:val="00166239"/>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4F6F"/>
    <w:rsid w:val="0018511E"/>
    <w:rsid w:val="001867EC"/>
    <w:rsid w:val="001875DA"/>
    <w:rsid w:val="001907F9"/>
    <w:rsid w:val="00193926"/>
    <w:rsid w:val="0019423A"/>
    <w:rsid w:val="001948A9"/>
    <w:rsid w:val="00194969"/>
    <w:rsid w:val="00194ACD"/>
    <w:rsid w:val="001956C5"/>
    <w:rsid w:val="00195BF5"/>
    <w:rsid w:val="00195D42"/>
    <w:rsid w:val="00195E18"/>
    <w:rsid w:val="00197A10"/>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6BA"/>
    <w:rsid w:val="001B3CCB"/>
    <w:rsid w:val="001B3F03"/>
    <w:rsid w:val="001B43D0"/>
    <w:rsid w:val="001B4595"/>
    <w:rsid w:val="001B4EAA"/>
    <w:rsid w:val="001B5E07"/>
    <w:rsid w:val="001B6272"/>
    <w:rsid w:val="001B62A2"/>
    <w:rsid w:val="001B6C85"/>
    <w:rsid w:val="001B7CCF"/>
    <w:rsid w:val="001B7CE1"/>
    <w:rsid w:val="001C02D9"/>
    <w:rsid w:val="001C02DF"/>
    <w:rsid w:val="001C1B5B"/>
    <w:rsid w:val="001C2830"/>
    <w:rsid w:val="001C2B63"/>
    <w:rsid w:val="001C53D3"/>
    <w:rsid w:val="001C6603"/>
    <w:rsid w:val="001C6ACC"/>
    <w:rsid w:val="001C7328"/>
    <w:rsid w:val="001C7BBA"/>
    <w:rsid w:val="001C7F1A"/>
    <w:rsid w:val="001D09AC"/>
    <w:rsid w:val="001D0EC9"/>
    <w:rsid w:val="001D1340"/>
    <w:rsid w:val="001D1782"/>
    <w:rsid w:val="001D201F"/>
    <w:rsid w:val="001D27BB"/>
    <w:rsid w:val="001D37FB"/>
    <w:rsid w:val="001D3896"/>
    <w:rsid w:val="001D4718"/>
    <w:rsid w:val="001D4DA5"/>
    <w:rsid w:val="001D513B"/>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1B51"/>
    <w:rsid w:val="001F2424"/>
    <w:rsid w:val="001F24BD"/>
    <w:rsid w:val="001F2ED0"/>
    <w:rsid w:val="001F3068"/>
    <w:rsid w:val="001F32A5"/>
    <w:rsid w:val="001F42E4"/>
    <w:rsid w:val="001F45CE"/>
    <w:rsid w:val="001F49E6"/>
    <w:rsid w:val="001F5D08"/>
    <w:rsid w:val="001F6379"/>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78C"/>
    <w:rsid w:val="00226A9A"/>
    <w:rsid w:val="00226C2F"/>
    <w:rsid w:val="00226D9F"/>
    <w:rsid w:val="00226FCB"/>
    <w:rsid w:val="00227080"/>
    <w:rsid w:val="002277F9"/>
    <w:rsid w:val="00227D98"/>
    <w:rsid w:val="0023055D"/>
    <w:rsid w:val="00230A2B"/>
    <w:rsid w:val="00231B61"/>
    <w:rsid w:val="002330BB"/>
    <w:rsid w:val="00234A47"/>
    <w:rsid w:val="00235894"/>
    <w:rsid w:val="00235F40"/>
    <w:rsid w:val="00236D85"/>
    <w:rsid w:val="00240385"/>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77B22"/>
    <w:rsid w:val="00281521"/>
    <w:rsid w:val="00282312"/>
    <w:rsid w:val="0028277B"/>
    <w:rsid w:val="0028417F"/>
    <w:rsid w:val="0028433B"/>
    <w:rsid w:val="00284561"/>
    <w:rsid w:val="00284875"/>
    <w:rsid w:val="0028593B"/>
    <w:rsid w:val="00285F58"/>
    <w:rsid w:val="002862FD"/>
    <w:rsid w:val="002876F0"/>
    <w:rsid w:val="00287AC7"/>
    <w:rsid w:val="00287D87"/>
    <w:rsid w:val="00290F12"/>
    <w:rsid w:val="00291F3E"/>
    <w:rsid w:val="00291F7D"/>
    <w:rsid w:val="00292430"/>
    <w:rsid w:val="002926DD"/>
    <w:rsid w:val="0029272C"/>
    <w:rsid w:val="0029287F"/>
    <w:rsid w:val="00293465"/>
    <w:rsid w:val="00294DD2"/>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A77B5"/>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34A4"/>
    <w:rsid w:val="002C471C"/>
    <w:rsid w:val="002C5768"/>
    <w:rsid w:val="002C5AE5"/>
    <w:rsid w:val="002C5FE4"/>
    <w:rsid w:val="002C621C"/>
    <w:rsid w:val="002C6991"/>
    <w:rsid w:val="002D0581"/>
    <w:rsid w:val="002D0F24"/>
    <w:rsid w:val="002D0FAF"/>
    <w:rsid w:val="002D13CB"/>
    <w:rsid w:val="002D1855"/>
    <w:rsid w:val="002D2607"/>
    <w:rsid w:val="002D2DC7"/>
    <w:rsid w:val="002D3517"/>
    <w:rsid w:val="002D3960"/>
    <w:rsid w:val="002D5192"/>
    <w:rsid w:val="002D5BBC"/>
    <w:rsid w:val="002D6428"/>
    <w:rsid w:val="002D6748"/>
    <w:rsid w:val="002D720E"/>
    <w:rsid w:val="002E0040"/>
    <w:rsid w:val="002E18F3"/>
    <w:rsid w:val="002E2BEC"/>
    <w:rsid w:val="002E367A"/>
    <w:rsid w:val="002E3A5A"/>
    <w:rsid w:val="002E3CA8"/>
    <w:rsid w:val="002E4ED1"/>
    <w:rsid w:val="002E5556"/>
    <w:rsid w:val="002F115B"/>
    <w:rsid w:val="002F28CA"/>
    <w:rsid w:val="002F2933"/>
    <w:rsid w:val="002F5D25"/>
    <w:rsid w:val="002F65BC"/>
    <w:rsid w:val="002F71EC"/>
    <w:rsid w:val="002F7D07"/>
    <w:rsid w:val="002F7E8A"/>
    <w:rsid w:val="003001C7"/>
    <w:rsid w:val="003005AC"/>
    <w:rsid w:val="00300D02"/>
    <w:rsid w:val="003015F1"/>
    <w:rsid w:val="003019AF"/>
    <w:rsid w:val="003027D2"/>
    <w:rsid w:val="00302AF5"/>
    <w:rsid w:val="003038C5"/>
    <w:rsid w:val="00307289"/>
    <w:rsid w:val="003100D0"/>
    <w:rsid w:val="003106BC"/>
    <w:rsid w:val="00311CBF"/>
    <w:rsid w:val="003133FB"/>
    <w:rsid w:val="00313BBC"/>
    <w:rsid w:val="00313FA2"/>
    <w:rsid w:val="00314704"/>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643"/>
    <w:rsid w:val="0034447B"/>
    <w:rsid w:val="00344AF3"/>
    <w:rsid w:val="00344BC3"/>
    <w:rsid w:val="00346B05"/>
    <w:rsid w:val="00350C9B"/>
    <w:rsid w:val="00351215"/>
    <w:rsid w:val="0035202F"/>
    <w:rsid w:val="003527CC"/>
    <w:rsid w:val="00352EA5"/>
    <w:rsid w:val="00352EF1"/>
    <w:rsid w:val="00353428"/>
    <w:rsid w:val="0035355B"/>
    <w:rsid w:val="00353CBF"/>
    <w:rsid w:val="00354604"/>
    <w:rsid w:val="003549A0"/>
    <w:rsid w:val="003552BD"/>
    <w:rsid w:val="003560E1"/>
    <w:rsid w:val="003565D1"/>
    <w:rsid w:val="00356ED2"/>
    <w:rsid w:val="003576AB"/>
    <w:rsid w:val="0036055C"/>
    <w:rsid w:val="0036071F"/>
    <w:rsid w:val="00363657"/>
    <w:rsid w:val="0036437D"/>
    <w:rsid w:val="00365288"/>
    <w:rsid w:val="00365CF4"/>
    <w:rsid w:val="003703B2"/>
    <w:rsid w:val="00370E02"/>
    <w:rsid w:val="0037141F"/>
    <w:rsid w:val="00372018"/>
    <w:rsid w:val="003726E2"/>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FC0"/>
    <w:rsid w:val="003900DB"/>
    <w:rsid w:val="003903AE"/>
    <w:rsid w:val="00390825"/>
    <w:rsid w:val="003908CC"/>
    <w:rsid w:val="00391474"/>
    <w:rsid w:val="00392716"/>
    <w:rsid w:val="003941BA"/>
    <w:rsid w:val="00394349"/>
    <w:rsid w:val="0039610D"/>
    <w:rsid w:val="003A0BCC"/>
    <w:rsid w:val="003A0F5D"/>
    <w:rsid w:val="003A244B"/>
    <w:rsid w:val="003A270D"/>
    <w:rsid w:val="003A402D"/>
    <w:rsid w:val="003A48C0"/>
    <w:rsid w:val="003A4A83"/>
    <w:rsid w:val="003A5754"/>
    <w:rsid w:val="003A5D94"/>
    <w:rsid w:val="003A638D"/>
    <w:rsid w:val="003A79AD"/>
    <w:rsid w:val="003B0568"/>
    <w:rsid w:val="003B0700"/>
    <w:rsid w:val="003B18C7"/>
    <w:rsid w:val="003B29BA"/>
    <w:rsid w:val="003B2EF1"/>
    <w:rsid w:val="003B4A52"/>
    <w:rsid w:val="003B50DD"/>
    <w:rsid w:val="003B575D"/>
    <w:rsid w:val="003B6AC4"/>
    <w:rsid w:val="003C001C"/>
    <w:rsid w:val="003C19C8"/>
    <w:rsid w:val="003C2226"/>
    <w:rsid w:val="003C2230"/>
    <w:rsid w:val="003C280B"/>
    <w:rsid w:val="003C2AB0"/>
    <w:rsid w:val="003C2F23"/>
    <w:rsid w:val="003C30E5"/>
    <w:rsid w:val="003C3144"/>
    <w:rsid w:val="003C451C"/>
    <w:rsid w:val="003C5915"/>
    <w:rsid w:val="003C6EA3"/>
    <w:rsid w:val="003D061B"/>
    <w:rsid w:val="003D09C5"/>
    <w:rsid w:val="003D3AE8"/>
    <w:rsid w:val="003D521B"/>
    <w:rsid w:val="003D5C41"/>
    <w:rsid w:val="003D5C9A"/>
    <w:rsid w:val="003D635D"/>
    <w:rsid w:val="003D7548"/>
    <w:rsid w:val="003D7F5C"/>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1E31"/>
    <w:rsid w:val="003F2048"/>
    <w:rsid w:val="003F3392"/>
    <w:rsid w:val="003F385C"/>
    <w:rsid w:val="003F3ED2"/>
    <w:rsid w:val="003F5421"/>
    <w:rsid w:val="003F5453"/>
    <w:rsid w:val="003F5CEA"/>
    <w:rsid w:val="003F65A5"/>
    <w:rsid w:val="003F6ED6"/>
    <w:rsid w:val="003F7220"/>
    <w:rsid w:val="003F745B"/>
    <w:rsid w:val="003F7476"/>
    <w:rsid w:val="003F7C5F"/>
    <w:rsid w:val="00400EC3"/>
    <w:rsid w:val="004023A1"/>
    <w:rsid w:val="004028F2"/>
    <w:rsid w:val="00402CA9"/>
    <w:rsid w:val="0040475A"/>
    <w:rsid w:val="00404C02"/>
    <w:rsid w:val="00405D85"/>
    <w:rsid w:val="00407403"/>
    <w:rsid w:val="004102B0"/>
    <w:rsid w:val="004108DC"/>
    <w:rsid w:val="00411141"/>
    <w:rsid w:val="004131EC"/>
    <w:rsid w:val="00414211"/>
    <w:rsid w:val="004142C1"/>
    <w:rsid w:val="004149EB"/>
    <w:rsid w:val="00414EF2"/>
    <w:rsid w:val="004161D7"/>
    <w:rsid w:val="00420081"/>
    <w:rsid w:val="004223FA"/>
    <w:rsid w:val="004230D5"/>
    <w:rsid w:val="00423435"/>
    <w:rsid w:val="004234A1"/>
    <w:rsid w:val="004237D9"/>
    <w:rsid w:val="00424DCB"/>
    <w:rsid w:val="00425052"/>
    <w:rsid w:val="0042548E"/>
    <w:rsid w:val="004267B3"/>
    <w:rsid w:val="00427819"/>
    <w:rsid w:val="00427AC0"/>
    <w:rsid w:val="00430ADC"/>
    <w:rsid w:val="00430D2E"/>
    <w:rsid w:val="00430F31"/>
    <w:rsid w:val="00431870"/>
    <w:rsid w:val="0043194E"/>
    <w:rsid w:val="00431BA8"/>
    <w:rsid w:val="00436036"/>
    <w:rsid w:val="00436853"/>
    <w:rsid w:val="00437174"/>
    <w:rsid w:val="00437CDA"/>
    <w:rsid w:val="00441028"/>
    <w:rsid w:val="00441195"/>
    <w:rsid w:val="00441373"/>
    <w:rsid w:val="00443024"/>
    <w:rsid w:val="004431AE"/>
    <w:rsid w:val="004436AA"/>
    <w:rsid w:val="00443FC0"/>
    <w:rsid w:val="00445D92"/>
    <w:rsid w:val="0045038D"/>
    <w:rsid w:val="00452841"/>
    <w:rsid w:val="00452B86"/>
    <w:rsid w:val="00452C26"/>
    <w:rsid w:val="00452C7A"/>
    <w:rsid w:val="00453537"/>
    <w:rsid w:val="00453DBA"/>
    <w:rsid w:val="00453E77"/>
    <w:rsid w:val="00453EFC"/>
    <w:rsid w:val="00453F62"/>
    <w:rsid w:val="004545F3"/>
    <w:rsid w:val="00455160"/>
    <w:rsid w:val="004552D7"/>
    <w:rsid w:val="00456C04"/>
    <w:rsid w:val="00456C23"/>
    <w:rsid w:val="00456DA5"/>
    <w:rsid w:val="00457D2C"/>
    <w:rsid w:val="00457E6C"/>
    <w:rsid w:val="00461AAE"/>
    <w:rsid w:val="004622C2"/>
    <w:rsid w:val="004639AD"/>
    <w:rsid w:val="00464E2C"/>
    <w:rsid w:val="00466F9B"/>
    <w:rsid w:val="004671DC"/>
    <w:rsid w:val="004678C6"/>
    <w:rsid w:val="00470E18"/>
    <w:rsid w:val="004710B7"/>
    <w:rsid w:val="004712C0"/>
    <w:rsid w:val="004714FC"/>
    <w:rsid w:val="00473161"/>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8D"/>
    <w:rsid w:val="004927C4"/>
    <w:rsid w:val="00492B00"/>
    <w:rsid w:val="00492B0C"/>
    <w:rsid w:val="00492E57"/>
    <w:rsid w:val="00492E66"/>
    <w:rsid w:val="004938CD"/>
    <w:rsid w:val="00494050"/>
    <w:rsid w:val="00494814"/>
    <w:rsid w:val="00495081"/>
    <w:rsid w:val="00495971"/>
    <w:rsid w:val="00495B49"/>
    <w:rsid w:val="004960E4"/>
    <w:rsid w:val="00496465"/>
    <w:rsid w:val="00496FF5"/>
    <w:rsid w:val="00497929"/>
    <w:rsid w:val="00497AEC"/>
    <w:rsid w:val="004A169C"/>
    <w:rsid w:val="004A2224"/>
    <w:rsid w:val="004A238A"/>
    <w:rsid w:val="004A2472"/>
    <w:rsid w:val="004A29B3"/>
    <w:rsid w:val="004A2CCD"/>
    <w:rsid w:val="004A500A"/>
    <w:rsid w:val="004A7109"/>
    <w:rsid w:val="004A7A3A"/>
    <w:rsid w:val="004B0468"/>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3151"/>
    <w:rsid w:val="004C368D"/>
    <w:rsid w:val="004C37F5"/>
    <w:rsid w:val="004C4D0B"/>
    <w:rsid w:val="004C6F6D"/>
    <w:rsid w:val="004D033A"/>
    <w:rsid w:val="004D0459"/>
    <w:rsid w:val="004D0CF5"/>
    <w:rsid w:val="004D19FC"/>
    <w:rsid w:val="004D2C3F"/>
    <w:rsid w:val="004D2CBD"/>
    <w:rsid w:val="004D3D46"/>
    <w:rsid w:val="004D58C0"/>
    <w:rsid w:val="004D5A91"/>
    <w:rsid w:val="004D5BB6"/>
    <w:rsid w:val="004D5BED"/>
    <w:rsid w:val="004D61B0"/>
    <w:rsid w:val="004D6A7F"/>
    <w:rsid w:val="004D6C5E"/>
    <w:rsid w:val="004E0184"/>
    <w:rsid w:val="004E069C"/>
    <w:rsid w:val="004E0B0A"/>
    <w:rsid w:val="004E31D8"/>
    <w:rsid w:val="004E4327"/>
    <w:rsid w:val="004E43BF"/>
    <w:rsid w:val="004E5976"/>
    <w:rsid w:val="004E75D4"/>
    <w:rsid w:val="004F12AC"/>
    <w:rsid w:val="004F2105"/>
    <w:rsid w:val="004F222D"/>
    <w:rsid w:val="004F2FAF"/>
    <w:rsid w:val="004F3523"/>
    <w:rsid w:val="004F3711"/>
    <w:rsid w:val="004F3D4A"/>
    <w:rsid w:val="004F4C5B"/>
    <w:rsid w:val="004F5112"/>
    <w:rsid w:val="004F5841"/>
    <w:rsid w:val="004F75B8"/>
    <w:rsid w:val="004F76F0"/>
    <w:rsid w:val="00501068"/>
    <w:rsid w:val="0050156B"/>
    <w:rsid w:val="00501C36"/>
    <w:rsid w:val="00502558"/>
    <w:rsid w:val="00502D31"/>
    <w:rsid w:val="0050697C"/>
    <w:rsid w:val="00506B23"/>
    <w:rsid w:val="0050723E"/>
    <w:rsid w:val="00510511"/>
    <w:rsid w:val="005108D4"/>
    <w:rsid w:val="00510C5F"/>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6EA9"/>
    <w:rsid w:val="00527787"/>
    <w:rsid w:val="005277BC"/>
    <w:rsid w:val="00527857"/>
    <w:rsid w:val="005304C8"/>
    <w:rsid w:val="0053072B"/>
    <w:rsid w:val="0053262C"/>
    <w:rsid w:val="00532882"/>
    <w:rsid w:val="0053412C"/>
    <w:rsid w:val="00534248"/>
    <w:rsid w:val="00534B4C"/>
    <w:rsid w:val="00535DC6"/>
    <w:rsid w:val="005365FF"/>
    <w:rsid w:val="00537A0D"/>
    <w:rsid w:val="0054009F"/>
    <w:rsid w:val="005409E2"/>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1A4"/>
    <w:rsid w:val="0054745E"/>
    <w:rsid w:val="005509F8"/>
    <w:rsid w:val="00550C6F"/>
    <w:rsid w:val="00551817"/>
    <w:rsid w:val="00553DBD"/>
    <w:rsid w:val="00553F7F"/>
    <w:rsid w:val="00555308"/>
    <w:rsid w:val="005571C0"/>
    <w:rsid w:val="00557246"/>
    <w:rsid w:val="00557E0C"/>
    <w:rsid w:val="005616DA"/>
    <w:rsid w:val="00561C96"/>
    <w:rsid w:val="005632D8"/>
    <w:rsid w:val="00564451"/>
    <w:rsid w:val="005652A4"/>
    <w:rsid w:val="00565996"/>
    <w:rsid w:val="00565D77"/>
    <w:rsid w:val="00566D72"/>
    <w:rsid w:val="0057132D"/>
    <w:rsid w:val="005716C1"/>
    <w:rsid w:val="00571845"/>
    <w:rsid w:val="005718EF"/>
    <w:rsid w:val="00572707"/>
    <w:rsid w:val="00572E54"/>
    <w:rsid w:val="0057327E"/>
    <w:rsid w:val="00573821"/>
    <w:rsid w:val="0057495B"/>
    <w:rsid w:val="005753B8"/>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0593"/>
    <w:rsid w:val="0059126E"/>
    <w:rsid w:val="00591C33"/>
    <w:rsid w:val="00591E81"/>
    <w:rsid w:val="0059201B"/>
    <w:rsid w:val="00592DF7"/>
    <w:rsid w:val="00592E1B"/>
    <w:rsid w:val="00594E1F"/>
    <w:rsid w:val="005960C4"/>
    <w:rsid w:val="00597881"/>
    <w:rsid w:val="005A02A4"/>
    <w:rsid w:val="005A15E9"/>
    <w:rsid w:val="005A20F7"/>
    <w:rsid w:val="005A229A"/>
    <w:rsid w:val="005A2A4A"/>
    <w:rsid w:val="005A38E6"/>
    <w:rsid w:val="005A4714"/>
    <w:rsid w:val="005A49DF"/>
    <w:rsid w:val="005A5E9D"/>
    <w:rsid w:val="005A670D"/>
    <w:rsid w:val="005A7550"/>
    <w:rsid w:val="005B04D9"/>
    <w:rsid w:val="005B059A"/>
    <w:rsid w:val="005B150A"/>
    <w:rsid w:val="005B1696"/>
    <w:rsid w:val="005B19EE"/>
    <w:rsid w:val="005B2462"/>
    <w:rsid w:val="005B2AC9"/>
    <w:rsid w:val="005B4ADF"/>
    <w:rsid w:val="005B5B57"/>
    <w:rsid w:val="005B5CC5"/>
    <w:rsid w:val="005B6089"/>
    <w:rsid w:val="005B72F4"/>
    <w:rsid w:val="005B7D70"/>
    <w:rsid w:val="005C0699"/>
    <w:rsid w:val="005C0971"/>
    <w:rsid w:val="005C09CB"/>
    <w:rsid w:val="005C1462"/>
    <w:rsid w:val="005C1BFA"/>
    <w:rsid w:val="005C20A0"/>
    <w:rsid w:val="005C2EDB"/>
    <w:rsid w:val="005C30BA"/>
    <w:rsid w:val="005C3AAF"/>
    <w:rsid w:val="005C3CC7"/>
    <w:rsid w:val="005C7B4A"/>
    <w:rsid w:val="005D11BE"/>
    <w:rsid w:val="005D1222"/>
    <w:rsid w:val="005D186F"/>
    <w:rsid w:val="005D192C"/>
    <w:rsid w:val="005D19E6"/>
    <w:rsid w:val="005D2418"/>
    <w:rsid w:val="005D3AD3"/>
    <w:rsid w:val="005D4023"/>
    <w:rsid w:val="005D4034"/>
    <w:rsid w:val="005D5D1D"/>
    <w:rsid w:val="005E00F1"/>
    <w:rsid w:val="005E08F7"/>
    <w:rsid w:val="005E1D73"/>
    <w:rsid w:val="005E1F31"/>
    <w:rsid w:val="005E3700"/>
    <w:rsid w:val="005E37A8"/>
    <w:rsid w:val="005E3826"/>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A33"/>
    <w:rsid w:val="00612D70"/>
    <w:rsid w:val="00612D8F"/>
    <w:rsid w:val="006132DF"/>
    <w:rsid w:val="0061338A"/>
    <w:rsid w:val="00613CBB"/>
    <w:rsid w:val="00613D08"/>
    <w:rsid w:val="0061470F"/>
    <w:rsid w:val="006149B3"/>
    <w:rsid w:val="0061673A"/>
    <w:rsid w:val="00617236"/>
    <w:rsid w:val="00617411"/>
    <w:rsid w:val="00617AD8"/>
    <w:rsid w:val="00620033"/>
    <w:rsid w:val="00620ADE"/>
    <w:rsid w:val="0062275D"/>
    <w:rsid w:val="00622F42"/>
    <w:rsid w:val="00624853"/>
    <w:rsid w:val="00624C58"/>
    <w:rsid w:val="00626268"/>
    <w:rsid w:val="006268DB"/>
    <w:rsid w:val="00626B4F"/>
    <w:rsid w:val="0062711A"/>
    <w:rsid w:val="006276CC"/>
    <w:rsid w:val="006301B6"/>
    <w:rsid w:val="00631AB6"/>
    <w:rsid w:val="006323DB"/>
    <w:rsid w:val="00635352"/>
    <w:rsid w:val="00635ACF"/>
    <w:rsid w:val="00635E8B"/>
    <w:rsid w:val="00636E75"/>
    <w:rsid w:val="00637F3C"/>
    <w:rsid w:val="00640663"/>
    <w:rsid w:val="006416B1"/>
    <w:rsid w:val="00641763"/>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D9A"/>
    <w:rsid w:val="0066445B"/>
    <w:rsid w:val="00664C5F"/>
    <w:rsid w:val="00664D75"/>
    <w:rsid w:val="00665793"/>
    <w:rsid w:val="00665FC5"/>
    <w:rsid w:val="00666176"/>
    <w:rsid w:val="00666A5E"/>
    <w:rsid w:val="00667E91"/>
    <w:rsid w:val="00670A05"/>
    <w:rsid w:val="00670D60"/>
    <w:rsid w:val="00671776"/>
    <w:rsid w:val="00671E17"/>
    <w:rsid w:val="00671F7E"/>
    <w:rsid w:val="00672886"/>
    <w:rsid w:val="0067309B"/>
    <w:rsid w:val="006734C3"/>
    <w:rsid w:val="006740D4"/>
    <w:rsid w:val="00676423"/>
    <w:rsid w:val="00676604"/>
    <w:rsid w:val="006772FC"/>
    <w:rsid w:val="0068075B"/>
    <w:rsid w:val="00680B56"/>
    <w:rsid w:val="006816EA"/>
    <w:rsid w:val="00682BBD"/>
    <w:rsid w:val="00683955"/>
    <w:rsid w:val="00683C71"/>
    <w:rsid w:val="00684E39"/>
    <w:rsid w:val="00685918"/>
    <w:rsid w:val="006908DF"/>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54AC"/>
    <w:rsid w:val="006B6136"/>
    <w:rsid w:val="006B64E8"/>
    <w:rsid w:val="006B6532"/>
    <w:rsid w:val="006B6AFA"/>
    <w:rsid w:val="006B759C"/>
    <w:rsid w:val="006B79F2"/>
    <w:rsid w:val="006C13FD"/>
    <w:rsid w:val="006C27C3"/>
    <w:rsid w:val="006C3A33"/>
    <w:rsid w:val="006C4678"/>
    <w:rsid w:val="006C4CCA"/>
    <w:rsid w:val="006C4CF9"/>
    <w:rsid w:val="006C4D3E"/>
    <w:rsid w:val="006C4D89"/>
    <w:rsid w:val="006C53ED"/>
    <w:rsid w:val="006C5974"/>
    <w:rsid w:val="006C5E94"/>
    <w:rsid w:val="006C6386"/>
    <w:rsid w:val="006C6EDB"/>
    <w:rsid w:val="006C764B"/>
    <w:rsid w:val="006C79BB"/>
    <w:rsid w:val="006D239E"/>
    <w:rsid w:val="006D29A7"/>
    <w:rsid w:val="006D49B3"/>
    <w:rsid w:val="006D604A"/>
    <w:rsid w:val="006D68E6"/>
    <w:rsid w:val="006D6F93"/>
    <w:rsid w:val="006D7724"/>
    <w:rsid w:val="006D77A4"/>
    <w:rsid w:val="006E05A8"/>
    <w:rsid w:val="006E066F"/>
    <w:rsid w:val="006E0800"/>
    <w:rsid w:val="006E0B42"/>
    <w:rsid w:val="006E166D"/>
    <w:rsid w:val="006E1B88"/>
    <w:rsid w:val="006E2818"/>
    <w:rsid w:val="006E2EEE"/>
    <w:rsid w:val="006E42EC"/>
    <w:rsid w:val="006E6377"/>
    <w:rsid w:val="006E641F"/>
    <w:rsid w:val="006E7694"/>
    <w:rsid w:val="006E7FF6"/>
    <w:rsid w:val="006F0483"/>
    <w:rsid w:val="006F1011"/>
    <w:rsid w:val="006F1108"/>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2EA6"/>
    <w:rsid w:val="0070382E"/>
    <w:rsid w:val="00705C93"/>
    <w:rsid w:val="00705F9A"/>
    <w:rsid w:val="00706C60"/>
    <w:rsid w:val="00707565"/>
    <w:rsid w:val="00707613"/>
    <w:rsid w:val="007101E7"/>
    <w:rsid w:val="00710311"/>
    <w:rsid w:val="00710F12"/>
    <w:rsid w:val="007114A2"/>
    <w:rsid w:val="007126B9"/>
    <w:rsid w:val="00712933"/>
    <w:rsid w:val="00712F06"/>
    <w:rsid w:val="00714386"/>
    <w:rsid w:val="007151C2"/>
    <w:rsid w:val="007152A4"/>
    <w:rsid w:val="00717725"/>
    <w:rsid w:val="007178EC"/>
    <w:rsid w:val="00717E7A"/>
    <w:rsid w:val="007203A0"/>
    <w:rsid w:val="00720C09"/>
    <w:rsid w:val="00720C1C"/>
    <w:rsid w:val="00722B13"/>
    <w:rsid w:val="00724B55"/>
    <w:rsid w:val="007254DD"/>
    <w:rsid w:val="007256F7"/>
    <w:rsid w:val="00726387"/>
    <w:rsid w:val="0072723C"/>
    <w:rsid w:val="007279B3"/>
    <w:rsid w:val="0073066C"/>
    <w:rsid w:val="00732300"/>
    <w:rsid w:val="00732C96"/>
    <w:rsid w:val="007331B0"/>
    <w:rsid w:val="00734C14"/>
    <w:rsid w:val="00736393"/>
    <w:rsid w:val="00736E53"/>
    <w:rsid w:val="00737DEE"/>
    <w:rsid w:val="00741240"/>
    <w:rsid w:val="0074125C"/>
    <w:rsid w:val="00741F3C"/>
    <w:rsid w:val="00742B12"/>
    <w:rsid w:val="00743AC0"/>
    <w:rsid w:val="007447F0"/>
    <w:rsid w:val="00744DC9"/>
    <w:rsid w:val="00745C80"/>
    <w:rsid w:val="00746AF0"/>
    <w:rsid w:val="00746E6E"/>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07EB"/>
    <w:rsid w:val="007610F4"/>
    <w:rsid w:val="007615E3"/>
    <w:rsid w:val="00761876"/>
    <w:rsid w:val="00762BB3"/>
    <w:rsid w:val="007639C3"/>
    <w:rsid w:val="00763E50"/>
    <w:rsid w:val="00767028"/>
    <w:rsid w:val="00770559"/>
    <w:rsid w:val="00770AC9"/>
    <w:rsid w:val="0077121A"/>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5E41"/>
    <w:rsid w:val="0078618B"/>
    <w:rsid w:val="00786734"/>
    <w:rsid w:val="007867AB"/>
    <w:rsid w:val="007867C0"/>
    <w:rsid w:val="00790516"/>
    <w:rsid w:val="0079067B"/>
    <w:rsid w:val="00790775"/>
    <w:rsid w:val="0079092D"/>
    <w:rsid w:val="00791684"/>
    <w:rsid w:val="00794AE1"/>
    <w:rsid w:val="00795551"/>
    <w:rsid w:val="00795673"/>
    <w:rsid w:val="00795995"/>
    <w:rsid w:val="00796F89"/>
    <w:rsid w:val="00797639"/>
    <w:rsid w:val="00797720"/>
    <w:rsid w:val="0079793D"/>
    <w:rsid w:val="00797EB2"/>
    <w:rsid w:val="007A0219"/>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5B91"/>
    <w:rsid w:val="007C7D07"/>
    <w:rsid w:val="007D363A"/>
    <w:rsid w:val="007D4984"/>
    <w:rsid w:val="007D59A6"/>
    <w:rsid w:val="007D715A"/>
    <w:rsid w:val="007D71FE"/>
    <w:rsid w:val="007D7B2C"/>
    <w:rsid w:val="007D7F3A"/>
    <w:rsid w:val="007E00D3"/>
    <w:rsid w:val="007E27FD"/>
    <w:rsid w:val="007E29A1"/>
    <w:rsid w:val="007E37B8"/>
    <w:rsid w:val="007E381F"/>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ABB"/>
    <w:rsid w:val="00805F6E"/>
    <w:rsid w:val="00807290"/>
    <w:rsid w:val="00810B65"/>
    <w:rsid w:val="00810ECD"/>
    <w:rsid w:val="008112C1"/>
    <w:rsid w:val="0081166F"/>
    <w:rsid w:val="00811E36"/>
    <w:rsid w:val="00812A2F"/>
    <w:rsid w:val="00812A90"/>
    <w:rsid w:val="0081304B"/>
    <w:rsid w:val="00821D5F"/>
    <w:rsid w:val="0082291D"/>
    <w:rsid w:val="00822D7B"/>
    <w:rsid w:val="008241F3"/>
    <w:rsid w:val="00824B45"/>
    <w:rsid w:val="00826647"/>
    <w:rsid w:val="00826BA9"/>
    <w:rsid w:val="0082724F"/>
    <w:rsid w:val="008274BA"/>
    <w:rsid w:val="00827752"/>
    <w:rsid w:val="008314DD"/>
    <w:rsid w:val="00832270"/>
    <w:rsid w:val="008325C9"/>
    <w:rsid w:val="00832F3B"/>
    <w:rsid w:val="00832FC6"/>
    <w:rsid w:val="008334C2"/>
    <w:rsid w:val="00834959"/>
    <w:rsid w:val="00835746"/>
    <w:rsid w:val="00836E1A"/>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27CB"/>
    <w:rsid w:val="0085322B"/>
    <w:rsid w:val="008539BF"/>
    <w:rsid w:val="00853EB9"/>
    <w:rsid w:val="00855366"/>
    <w:rsid w:val="008560F3"/>
    <w:rsid w:val="008561B5"/>
    <w:rsid w:val="00857103"/>
    <w:rsid w:val="00857133"/>
    <w:rsid w:val="00857771"/>
    <w:rsid w:val="0086014A"/>
    <w:rsid w:val="008601EF"/>
    <w:rsid w:val="00860289"/>
    <w:rsid w:val="00860F9C"/>
    <w:rsid w:val="00861387"/>
    <w:rsid w:val="00862339"/>
    <w:rsid w:val="00862C18"/>
    <w:rsid w:val="00862FF2"/>
    <w:rsid w:val="00863265"/>
    <w:rsid w:val="0086382B"/>
    <w:rsid w:val="00864C31"/>
    <w:rsid w:val="00865088"/>
    <w:rsid w:val="00866D16"/>
    <w:rsid w:val="00867F5B"/>
    <w:rsid w:val="008705F3"/>
    <w:rsid w:val="00870894"/>
    <w:rsid w:val="00870A36"/>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63EB"/>
    <w:rsid w:val="00886DE3"/>
    <w:rsid w:val="008900FD"/>
    <w:rsid w:val="0089043E"/>
    <w:rsid w:val="00891C1B"/>
    <w:rsid w:val="008922D3"/>
    <w:rsid w:val="00892698"/>
    <w:rsid w:val="008940F7"/>
    <w:rsid w:val="00894461"/>
    <w:rsid w:val="008947F2"/>
    <w:rsid w:val="00897183"/>
    <w:rsid w:val="008974DE"/>
    <w:rsid w:val="0089753F"/>
    <w:rsid w:val="008A010C"/>
    <w:rsid w:val="008A0771"/>
    <w:rsid w:val="008A18B2"/>
    <w:rsid w:val="008A28C1"/>
    <w:rsid w:val="008A34DB"/>
    <w:rsid w:val="008A3F8A"/>
    <w:rsid w:val="008A405F"/>
    <w:rsid w:val="008A499A"/>
    <w:rsid w:val="008A5CD2"/>
    <w:rsid w:val="008A6130"/>
    <w:rsid w:val="008A63F3"/>
    <w:rsid w:val="008A650B"/>
    <w:rsid w:val="008A6CA5"/>
    <w:rsid w:val="008B07C1"/>
    <w:rsid w:val="008B0BAD"/>
    <w:rsid w:val="008B14FE"/>
    <w:rsid w:val="008B3B80"/>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AC9"/>
    <w:rsid w:val="008D3DAD"/>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D86"/>
    <w:rsid w:val="008E567E"/>
    <w:rsid w:val="008F09BF"/>
    <w:rsid w:val="008F4F41"/>
    <w:rsid w:val="008F6014"/>
    <w:rsid w:val="008F61B1"/>
    <w:rsid w:val="008F67FF"/>
    <w:rsid w:val="008F74E2"/>
    <w:rsid w:val="008F767D"/>
    <w:rsid w:val="008F7952"/>
    <w:rsid w:val="009023CF"/>
    <w:rsid w:val="00903AB8"/>
    <w:rsid w:val="00904953"/>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190"/>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A27"/>
    <w:rsid w:val="00932796"/>
    <w:rsid w:val="00932BB0"/>
    <w:rsid w:val="00932DED"/>
    <w:rsid w:val="0093309F"/>
    <w:rsid w:val="00933344"/>
    <w:rsid w:val="00933357"/>
    <w:rsid w:val="0093356A"/>
    <w:rsid w:val="009347AD"/>
    <w:rsid w:val="0093493F"/>
    <w:rsid w:val="009357B9"/>
    <w:rsid w:val="009361A2"/>
    <w:rsid w:val="0093646D"/>
    <w:rsid w:val="00936819"/>
    <w:rsid w:val="00936D8C"/>
    <w:rsid w:val="00936DAA"/>
    <w:rsid w:val="009374D6"/>
    <w:rsid w:val="009376CD"/>
    <w:rsid w:val="009379A7"/>
    <w:rsid w:val="00937C4F"/>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57658"/>
    <w:rsid w:val="009601F8"/>
    <w:rsid w:val="00961BC2"/>
    <w:rsid w:val="009627CE"/>
    <w:rsid w:val="009630DC"/>
    <w:rsid w:val="00963E0A"/>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862"/>
    <w:rsid w:val="009820BB"/>
    <w:rsid w:val="009823AA"/>
    <w:rsid w:val="009824E3"/>
    <w:rsid w:val="00982519"/>
    <w:rsid w:val="00982A88"/>
    <w:rsid w:val="00982D45"/>
    <w:rsid w:val="00982F1B"/>
    <w:rsid w:val="00985BEF"/>
    <w:rsid w:val="0098645D"/>
    <w:rsid w:val="00987544"/>
    <w:rsid w:val="0098774B"/>
    <w:rsid w:val="00987A7F"/>
    <w:rsid w:val="0099035D"/>
    <w:rsid w:val="009904C8"/>
    <w:rsid w:val="009904D7"/>
    <w:rsid w:val="00991D44"/>
    <w:rsid w:val="00992C4C"/>
    <w:rsid w:val="00992D4E"/>
    <w:rsid w:val="0099324B"/>
    <w:rsid w:val="00993A94"/>
    <w:rsid w:val="00993B6E"/>
    <w:rsid w:val="00996D67"/>
    <w:rsid w:val="00997A40"/>
    <w:rsid w:val="00997B09"/>
    <w:rsid w:val="00997DEE"/>
    <w:rsid w:val="009A014B"/>
    <w:rsid w:val="009A0540"/>
    <w:rsid w:val="009A054A"/>
    <w:rsid w:val="009A072D"/>
    <w:rsid w:val="009A0990"/>
    <w:rsid w:val="009A0D24"/>
    <w:rsid w:val="009A4524"/>
    <w:rsid w:val="009A50DF"/>
    <w:rsid w:val="009A51AE"/>
    <w:rsid w:val="009A6162"/>
    <w:rsid w:val="009A7AC5"/>
    <w:rsid w:val="009A7B87"/>
    <w:rsid w:val="009A7C02"/>
    <w:rsid w:val="009B0047"/>
    <w:rsid w:val="009B0082"/>
    <w:rsid w:val="009B07D5"/>
    <w:rsid w:val="009B0D64"/>
    <w:rsid w:val="009B1ACF"/>
    <w:rsid w:val="009B1EB3"/>
    <w:rsid w:val="009B3C90"/>
    <w:rsid w:val="009B3D6A"/>
    <w:rsid w:val="009B4329"/>
    <w:rsid w:val="009B449D"/>
    <w:rsid w:val="009B46E3"/>
    <w:rsid w:val="009B4B4D"/>
    <w:rsid w:val="009B58E1"/>
    <w:rsid w:val="009B6938"/>
    <w:rsid w:val="009B74A8"/>
    <w:rsid w:val="009C047C"/>
    <w:rsid w:val="009C14A7"/>
    <w:rsid w:val="009C167A"/>
    <w:rsid w:val="009C2996"/>
    <w:rsid w:val="009C370B"/>
    <w:rsid w:val="009C3F2F"/>
    <w:rsid w:val="009C4CFB"/>
    <w:rsid w:val="009C51E5"/>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283B"/>
    <w:rsid w:val="009E316D"/>
    <w:rsid w:val="009E36D6"/>
    <w:rsid w:val="009E3860"/>
    <w:rsid w:val="009E3CD9"/>
    <w:rsid w:val="009E45B8"/>
    <w:rsid w:val="009E51F6"/>
    <w:rsid w:val="009E59E2"/>
    <w:rsid w:val="009E7919"/>
    <w:rsid w:val="009F0323"/>
    <w:rsid w:val="009F09B7"/>
    <w:rsid w:val="009F0BD9"/>
    <w:rsid w:val="009F1030"/>
    <w:rsid w:val="009F1C65"/>
    <w:rsid w:val="009F1E2B"/>
    <w:rsid w:val="009F2B71"/>
    <w:rsid w:val="009F2C2A"/>
    <w:rsid w:val="009F3218"/>
    <w:rsid w:val="009F3630"/>
    <w:rsid w:val="009F5482"/>
    <w:rsid w:val="009F55DE"/>
    <w:rsid w:val="009F5A19"/>
    <w:rsid w:val="009F5D4A"/>
    <w:rsid w:val="009F604C"/>
    <w:rsid w:val="009F628E"/>
    <w:rsid w:val="009F76E3"/>
    <w:rsid w:val="009F7B46"/>
    <w:rsid w:val="009F7C8E"/>
    <w:rsid w:val="009F7D28"/>
    <w:rsid w:val="009F7DC9"/>
    <w:rsid w:val="009F7F9A"/>
    <w:rsid w:val="009F7FCB"/>
    <w:rsid w:val="00A0109E"/>
    <w:rsid w:val="00A0120E"/>
    <w:rsid w:val="00A017FE"/>
    <w:rsid w:val="00A035A5"/>
    <w:rsid w:val="00A04B6E"/>
    <w:rsid w:val="00A04CCA"/>
    <w:rsid w:val="00A04E7B"/>
    <w:rsid w:val="00A05313"/>
    <w:rsid w:val="00A05845"/>
    <w:rsid w:val="00A05932"/>
    <w:rsid w:val="00A10050"/>
    <w:rsid w:val="00A12251"/>
    <w:rsid w:val="00A12913"/>
    <w:rsid w:val="00A129F8"/>
    <w:rsid w:val="00A13E60"/>
    <w:rsid w:val="00A14BA0"/>
    <w:rsid w:val="00A14D4B"/>
    <w:rsid w:val="00A15AC7"/>
    <w:rsid w:val="00A16576"/>
    <w:rsid w:val="00A165F0"/>
    <w:rsid w:val="00A2004F"/>
    <w:rsid w:val="00A216BE"/>
    <w:rsid w:val="00A21D9F"/>
    <w:rsid w:val="00A21E0A"/>
    <w:rsid w:val="00A229B7"/>
    <w:rsid w:val="00A22FD4"/>
    <w:rsid w:val="00A246C4"/>
    <w:rsid w:val="00A25594"/>
    <w:rsid w:val="00A255E2"/>
    <w:rsid w:val="00A2674E"/>
    <w:rsid w:val="00A26F99"/>
    <w:rsid w:val="00A2711B"/>
    <w:rsid w:val="00A30B20"/>
    <w:rsid w:val="00A30CD6"/>
    <w:rsid w:val="00A31174"/>
    <w:rsid w:val="00A318C7"/>
    <w:rsid w:val="00A3198C"/>
    <w:rsid w:val="00A32896"/>
    <w:rsid w:val="00A3437C"/>
    <w:rsid w:val="00A355EF"/>
    <w:rsid w:val="00A35F51"/>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0FA3"/>
    <w:rsid w:val="00A51A3F"/>
    <w:rsid w:val="00A53C2A"/>
    <w:rsid w:val="00A546B0"/>
    <w:rsid w:val="00A5557D"/>
    <w:rsid w:val="00A572EB"/>
    <w:rsid w:val="00A60CA0"/>
    <w:rsid w:val="00A61E96"/>
    <w:rsid w:val="00A6379E"/>
    <w:rsid w:val="00A6498B"/>
    <w:rsid w:val="00A6580B"/>
    <w:rsid w:val="00A65BDC"/>
    <w:rsid w:val="00A664B4"/>
    <w:rsid w:val="00A66F26"/>
    <w:rsid w:val="00A6731F"/>
    <w:rsid w:val="00A67B24"/>
    <w:rsid w:val="00A7038C"/>
    <w:rsid w:val="00A706A8"/>
    <w:rsid w:val="00A71134"/>
    <w:rsid w:val="00A71206"/>
    <w:rsid w:val="00A71623"/>
    <w:rsid w:val="00A71806"/>
    <w:rsid w:val="00A71A06"/>
    <w:rsid w:val="00A71A81"/>
    <w:rsid w:val="00A71B4A"/>
    <w:rsid w:val="00A7228F"/>
    <w:rsid w:val="00A7274E"/>
    <w:rsid w:val="00A735FE"/>
    <w:rsid w:val="00A7398B"/>
    <w:rsid w:val="00A7453E"/>
    <w:rsid w:val="00A74B88"/>
    <w:rsid w:val="00A75841"/>
    <w:rsid w:val="00A764BA"/>
    <w:rsid w:val="00A76D68"/>
    <w:rsid w:val="00A7738F"/>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5129"/>
    <w:rsid w:val="00A952FF"/>
    <w:rsid w:val="00A9533B"/>
    <w:rsid w:val="00A95AC8"/>
    <w:rsid w:val="00AA0375"/>
    <w:rsid w:val="00AA1213"/>
    <w:rsid w:val="00AA1B96"/>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499"/>
    <w:rsid w:val="00AB415C"/>
    <w:rsid w:val="00AB46C4"/>
    <w:rsid w:val="00AB4977"/>
    <w:rsid w:val="00AB7D85"/>
    <w:rsid w:val="00AC1603"/>
    <w:rsid w:val="00AC1BCE"/>
    <w:rsid w:val="00AC1D76"/>
    <w:rsid w:val="00AC289B"/>
    <w:rsid w:val="00AC3A64"/>
    <w:rsid w:val="00AC495A"/>
    <w:rsid w:val="00AC498F"/>
    <w:rsid w:val="00AC60DD"/>
    <w:rsid w:val="00AC6930"/>
    <w:rsid w:val="00AD0896"/>
    <w:rsid w:val="00AD2074"/>
    <w:rsid w:val="00AD24B5"/>
    <w:rsid w:val="00AD28FD"/>
    <w:rsid w:val="00AD31F2"/>
    <w:rsid w:val="00AD39D2"/>
    <w:rsid w:val="00AD6169"/>
    <w:rsid w:val="00AD6183"/>
    <w:rsid w:val="00AD742E"/>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08F7"/>
    <w:rsid w:val="00AF1D9D"/>
    <w:rsid w:val="00AF225E"/>
    <w:rsid w:val="00AF290F"/>
    <w:rsid w:val="00AF367E"/>
    <w:rsid w:val="00AF405F"/>
    <w:rsid w:val="00AF5606"/>
    <w:rsid w:val="00AF587F"/>
    <w:rsid w:val="00AF722D"/>
    <w:rsid w:val="00AF74BF"/>
    <w:rsid w:val="00AF758E"/>
    <w:rsid w:val="00B019CB"/>
    <w:rsid w:val="00B01F98"/>
    <w:rsid w:val="00B02C2A"/>
    <w:rsid w:val="00B02E2A"/>
    <w:rsid w:val="00B05D29"/>
    <w:rsid w:val="00B05EED"/>
    <w:rsid w:val="00B060EE"/>
    <w:rsid w:val="00B10071"/>
    <w:rsid w:val="00B102D1"/>
    <w:rsid w:val="00B10524"/>
    <w:rsid w:val="00B10560"/>
    <w:rsid w:val="00B10A26"/>
    <w:rsid w:val="00B10D58"/>
    <w:rsid w:val="00B117A9"/>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90D"/>
    <w:rsid w:val="00B224B3"/>
    <w:rsid w:val="00B23AF1"/>
    <w:rsid w:val="00B241DA"/>
    <w:rsid w:val="00B24CFF"/>
    <w:rsid w:val="00B25171"/>
    <w:rsid w:val="00B25B1D"/>
    <w:rsid w:val="00B25C51"/>
    <w:rsid w:val="00B26A5F"/>
    <w:rsid w:val="00B26D04"/>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CF"/>
    <w:rsid w:val="00B50288"/>
    <w:rsid w:val="00B50A70"/>
    <w:rsid w:val="00B51861"/>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7103B"/>
    <w:rsid w:val="00B7178E"/>
    <w:rsid w:val="00B72477"/>
    <w:rsid w:val="00B72CFD"/>
    <w:rsid w:val="00B737FE"/>
    <w:rsid w:val="00B73AB6"/>
    <w:rsid w:val="00B76298"/>
    <w:rsid w:val="00B767AA"/>
    <w:rsid w:val="00B76F24"/>
    <w:rsid w:val="00B802F8"/>
    <w:rsid w:val="00B80A5A"/>
    <w:rsid w:val="00B80A92"/>
    <w:rsid w:val="00B82734"/>
    <w:rsid w:val="00B82FF9"/>
    <w:rsid w:val="00B832A1"/>
    <w:rsid w:val="00B832D2"/>
    <w:rsid w:val="00B83CD5"/>
    <w:rsid w:val="00B83D23"/>
    <w:rsid w:val="00B8451B"/>
    <w:rsid w:val="00B84964"/>
    <w:rsid w:val="00B85676"/>
    <w:rsid w:val="00B85896"/>
    <w:rsid w:val="00B8635D"/>
    <w:rsid w:val="00B90D14"/>
    <w:rsid w:val="00B94249"/>
    <w:rsid w:val="00B94276"/>
    <w:rsid w:val="00B94653"/>
    <w:rsid w:val="00B94CE2"/>
    <w:rsid w:val="00BA0783"/>
    <w:rsid w:val="00BA0B99"/>
    <w:rsid w:val="00BA18AE"/>
    <w:rsid w:val="00BA1E6F"/>
    <w:rsid w:val="00BA2EE4"/>
    <w:rsid w:val="00BA32B4"/>
    <w:rsid w:val="00BA3F7E"/>
    <w:rsid w:val="00BA4B75"/>
    <w:rsid w:val="00BA4E9B"/>
    <w:rsid w:val="00BA53C3"/>
    <w:rsid w:val="00BA5EA6"/>
    <w:rsid w:val="00BA60DC"/>
    <w:rsid w:val="00BA65AC"/>
    <w:rsid w:val="00BA6D16"/>
    <w:rsid w:val="00BB0CA4"/>
    <w:rsid w:val="00BB272F"/>
    <w:rsid w:val="00BB29F6"/>
    <w:rsid w:val="00BB30F0"/>
    <w:rsid w:val="00BB37A8"/>
    <w:rsid w:val="00BB3854"/>
    <w:rsid w:val="00BB3A85"/>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214C"/>
    <w:rsid w:val="00BF3714"/>
    <w:rsid w:val="00BF382B"/>
    <w:rsid w:val="00BF3BA3"/>
    <w:rsid w:val="00BF41E9"/>
    <w:rsid w:val="00BF45AD"/>
    <w:rsid w:val="00BF5118"/>
    <w:rsid w:val="00BF5228"/>
    <w:rsid w:val="00BF59DF"/>
    <w:rsid w:val="00BF68E0"/>
    <w:rsid w:val="00BF69A2"/>
    <w:rsid w:val="00BF6A6B"/>
    <w:rsid w:val="00BF6BD6"/>
    <w:rsid w:val="00C00259"/>
    <w:rsid w:val="00C004CC"/>
    <w:rsid w:val="00C006A3"/>
    <w:rsid w:val="00C00A9E"/>
    <w:rsid w:val="00C03D6D"/>
    <w:rsid w:val="00C04F7C"/>
    <w:rsid w:val="00C05A13"/>
    <w:rsid w:val="00C06276"/>
    <w:rsid w:val="00C06B9E"/>
    <w:rsid w:val="00C07D29"/>
    <w:rsid w:val="00C108BC"/>
    <w:rsid w:val="00C10924"/>
    <w:rsid w:val="00C116D9"/>
    <w:rsid w:val="00C12447"/>
    <w:rsid w:val="00C124EC"/>
    <w:rsid w:val="00C128FE"/>
    <w:rsid w:val="00C12EDE"/>
    <w:rsid w:val="00C147D1"/>
    <w:rsid w:val="00C157E9"/>
    <w:rsid w:val="00C15AD1"/>
    <w:rsid w:val="00C166EB"/>
    <w:rsid w:val="00C169BF"/>
    <w:rsid w:val="00C17209"/>
    <w:rsid w:val="00C17584"/>
    <w:rsid w:val="00C17E72"/>
    <w:rsid w:val="00C219AD"/>
    <w:rsid w:val="00C2211B"/>
    <w:rsid w:val="00C22A3C"/>
    <w:rsid w:val="00C2349D"/>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F8B"/>
    <w:rsid w:val="00C433A3"/>
    <w:rsid w:val="00C4352B"/>
    <w:rsid w:val="00C43A43"/>
    <w:rsid w:val="00C43C38"/>
    <w:rsid w:val="00C44DAD"/>
    <w:rsid w:val="00C44E18"/>
    <w:rsid w:val="00C46F16"/>
    <w:rsid w:val="00C46F57"/>
    <w:rsid w:val="00C50364"/>
    <w:rsid w:val="00C504F3"/>
    <w:rsid w:val="00C51968"/>
    <w:rsid w:val="00C51EE1"/>
    <w:rsid w:val="00C52233"/>
    <w:rsid w:val="00C52BA3"/>
    <w:rsid w:val="00C5336F"/>
    <w:rsid w:val="00C53D03"/>
    <w:rsid w:val="00C53FC4"/>
    <w:rsid w:val="00C5423A"/>
    <w:rsid w:val="00C54560"/>
    <w:rsid w:val="00C546F6"/>
    <w:rsid w:val="00C546FD"/>
    <w:rsid w:val="00C54D4D"/>
    <w:rsid w:val="00C5530D"/>
    <w:rsid w:val="00C56F6A"/>
    <w:rsid w:val="00C572BF"/>
    <w:rsid w:val="00C57831"/>
    <w:rsid w:val="00C60128"/>
    <w:rsid w:val="00C603E8"/>
    <w:rsid w:val="00C60E0F"/>
    <w:rsid w:val="00C6103E"/>
    <w:rsid w:val="00C61EA9"/>
    <w:rsid w:val="00C628C6"/>
    <w:rsid w:val="00C62C59"/>
    <w:rsid w:val="00C63541"/>
    <w:rsid w:val="00C63EB5"/>
    <w:rsid w:val="00C649B9"/>
    <w:rsid w:val="00C65623"/>
    <w:rsid w:val="00C6593B"/>
    <w:rsid w:val="00C659C4"/>
    <w:rsid w:val="00C6715A"/>
    <w:rsid w:val="00C676BC"/>
    <w:rsid w:val="00C67C57"/>
    <w:rsid w:val="00C702A9"/>
    <w:rsid w:val="00C70C37"/>
    <w:rsid w:val="00C70D2D"/>
    <w:rsid w:val="00C729AB"/>
    <w:rsid w:val="00C74952"/>
    <w:rsid w:val="00C74F21"/>
    <w:rsid w:val="00C7593F"/>
    <w:rsid w:val="00C75A8C"/>
    <w:rsid w:val="00C7685C"/>
    <w:rsid w:val="00C7753F"/>
    <w:rsid w:val="00C776E3"/>
    <w:rsid w:val="00C80BDE"/>
    <w:rsid w:val="00C80C05"/>
    <w:rsid w:val="00C815CB"/>
    <w:rsid w:val="00C826F3"/>
    <w:rsid w:val="00C836BF"/>
    <w:rsid w:val="00C83C63"/>
    <w:rsid w:val="00C84490"/>
    <w:rsid w:val="00C8466C"/>
    <w:rsid w:val="00C84E84"/>
    <w:rsid w:val="00C86224"/>
    <w:rsid w:val="00C86E8A"/>
    <w:rsid w:val="00C878B0"/>
    <w:rsid w:val="00C90253"/>
    <w:rsid w:val="00C9122C"/>
    <w:rsid w:val="00C91BE9"/>
    <w:rsid w:val="00C94785"/>
    <w:rsid w:val="00C94DB7"/>
    <w:rsid w:val="00C97389"/>
    <w:rsid w:val="00C97AC5"/>
    <w:rsid w:val="00C97EB3"/>
    <w:rsid w:val="00CA0E5D"/>
    <w:rsid w:val="00CA1CFF"/>
    <w:rsid w:val="00CA3900"/>
    <w:rsid w:val="00CA3DD9"/>
    <w:rsid w:val="00CA4ADF"/>
    <w:rsid w:val="00CA4D1F"/>
    <w:rsid w:val="00CA5C20"/>
    <w:rsid w:val="00CB0A28"/>
    <w:rsid w:val="00CB0FBC"/>
    <w:rsid w:val="00CB2888"/>
    <w:rsid w:val="00CB3A14"/>
    <w:rsid w:val="00CB4284"/>
    <w:rsid w:val="00CB4EC9"/>
    <w:rsid w:val="00CB58C7"/>
    <w:rsid w:val="00CC0269"/>
    <w:rsid w:val="00CC084C"/>
    <w:rsid w:val="00CC1475"/>
    <w:rsid w:val="00CC3253"/>
    <w:rsid w:val="00CC3AA3"/>
    <w:rsid w:val="00CC4422"/>
    <w:rsid w:val="00CC5634"/>
    <w:rsid w:val="00CC5F62"/>
    <w:rsid w:val="00CC6169"/>
    <w:rsid w:val="00CC7563"/>
    <w:rsid w:val="00CC767D"/>
    <w:rsid w:val="00CD0A0F"/>
    <w:rsid w:val="00CD0B22"/>
    <w:rsid w:val="00CD1F17"/>
    <w:rsid w:val="00CD2CCD"/>
    <w:rsid w:val="00CD2F56"/>
    <w:rsid w:val="00CD42AF"/>
    <w:rsid w:val="00CD5027"/>
    <w:rsid w:val="00CD59FC"/>
    <w:rsid w:val="00CD5F15"/>
    <w:rsid w:val="00CE01EF"/>
    <w:rsid w:val="00CE0274"/>
    <w:rsid w:val="00CE056C"/>
    <w:rsid w:val="00CE0A34"/>
    <w:rsid w:val="00CE1A20"/>
    <w:rsid w:val="00CE252A"/>
    <w:rsid w:val="00CE49AD"/>
    <w:rsid w:val="00CE5163"/>
    <w:rsid w:val="00CE538B"/>
    <w:rsid w:val="00CE5824"/>
    <w:rsid w:val="00CE63D4"/>
    <w:rsid w:val="00CE6D9D"/>
    <w:rsid w:val="00CE6DAD"/>
    <w:rsid w:val="00CF0F48"/>
    <w:rsid w:val="00CF14E4"/>
    <w:rsid w:val="00CF1804"/>
    <w:rsid w:val="00CF1B21"/>
    <w:rsid w:val="00CF2166"/>
    <w:rsid w:val="00CF2674"/>
    <w:rsid w:val="00CF2906"/>
    <w:rsid w:val="00CF2B71"/>
    <w:rsid w:val="00CF2C96"/>
    <w:rsid w:val="00CF57F4"/>
    <w:rsid w:val="00CF6AC6"/>
    <w:rsid w:val="00CF7284"/>
    <w:rsid w:val="00CF79CC"/>
    <w:rsid w:val="00D00456"/>
    <w:rsid w:val="00D00EE1"/>
    <w:rsid w:val="00D032AF"/>
    <w:rsid w:val="00D034A0"/>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4E92"/>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4B3D"/>
    <w:rsid w:val="00D255E2"/>
    <w:rsid w:val="00D25DF5"/>
    <w:rsid w:val="00D26AD5"/>
    <w:rsid w:val="00D26B94"/>
    <w:rsid w:val="00D27332"/>
    <w:rsid w:val="00D30C1B"/>
    <w:rsid w:val="00D30E2D"/>
    <w:rsid w:val="00D3117F"/>
    <w:rsid w:val="00D34386"/>
    <w:rsid w:val="00D34CAE"/>
    <w:rsid w:val="00D35A39"/>
    <w:rsid w:val="00D3694B"/>
    <w:rsid w:val="00D369C8"/>
    <w:rsid w:val="00D36DA9"/>
    <w:rsid w:val="00D37595"/>
    <w:rsid w:val="00D4091A"/>
    <w:rsid w:val="00D40F50"/>
    <w:rsid w:val="00D42E57"/>
    <w:rsid w:val="00D4387F"/>
    <w:rsid w:val="00D43B4E"/>
    <w:rsid w:val="00D44386"/>
    <w:rsid w:val="00D4478D"/>
    <w:rsid w:val="00D4499F"/>
    <w:rsid w:val="00D44B42"/>
    <w:rsid w:val="00D44C83"/>
    <w:rsid w:val="00D450B6"/>
    <w:rsid w:val="00D4528C"/>
    <w:rsid w:val="00D51281"/>
    <w:rsid w:val="00D537D5"/>
    <w:rsid w:val="00D539F8"/>
    <w:rsid w:val="00D53C64"/>
    <w:rsid w:val="00D5467F"/>
    <w:rsid w:val="00D54ABE"/>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6ED"/>
    <w:rsid w:val="00D67F09"/>
    <w:rsid w:val="00D70655"/>
    <w:rsid w:val="00D70DC1"/>
    <w:rsid w:val="00D71FE9"/>
    <w:rsid w:val="00D725C0"/>
    <w:rsid w:val="00D75C27"/>
    <w:rsid w:val="00D77D54"/>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715"/>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262F"/>
    <w:rsid w:val="00DE2868"/>
    <w:rsid w:val="00DE445A"/>
    <w:rsid w:val="00DE4A13"/>
    <w:rsid w:val="00DE4C18"/>
    <w:rsid w:val="00DE5CF4"/>
    <w:rsid w:val="00DE5F4E"/>
    <w:rsid w:val="00DE60BA"/>
    <w:rsid w:val="00DE6B9E"/>
    <w:rsid w:val="00DF0789"/>
    <w:rsid w:val="00DF2012"/>
    <w:rsid w:val="00DF2CD3"/>
    <w:rsid w:val="00DF38B2"/>
    <w:rsid w:val="00DF3C44"/>
    <w:rsid w:val="00DF44A5"/>
    <w:rsid w:val="00DF5CED"/>
    <w:rsid w:val="00DF637B"/>
    <w:rsid w:val="00DF69C8"/>
    <w:rsid w:val="00DF72B5"/>
    <w:rsid w:val="00E0039C"/>
    <w:rsid w:val="00E008C0"/>
    <w:rsid w:val="00E00BAF"/>
    <w:rsid w:val="00E00BF7"/>
    <w:rsid w:val="00E00D3D"/>
    <w:rsid w:val="00E02AC9"/>
    <w:rsid w:val="00E03219"/>
    <w:rsid w:val="00E045B5"/>
    <w:rsid w:val="00E04E9B"/>
    <w:rsid w:val="00E067F3"/>
    <w:rsid w:val="00E0741E"/>
    <w:rsid w:val="00E075E9"/>
    <w:rsid w:val="00E10BD1"/>
    <w:rsid w:val="00E11EEE"/>
    <w:rsid w:val="00E12BEC"/>
    <w:rsid w:val="00E1311F"/>
    <w:rsid w:val="00E14125"/>
    <w:rsid w:val="00E152D5"/>
    <w:rsid w:val="00E15BED"/>
    <w:rsid w:val="00E15E86"/>
    <w:rsid w:val="00E16027"/>
    <w:rsid w:val="00E162FF"/>
    <w:rsid w:val="00E169A8"/>
    <w:rsid w:val="00E16CD4"/>
    <w:rsid w:val="00E17E6C"/>
    <w:rsid w:val="00E20B50"/>
    <w:rsid w:val="00E2199E"/>
    <w:rsid w:val="00E22A63"/>
    <w:rsid w:val="00E22AF5"/>
    <w:rsid w:val="00E23548"/>
    <w:rsid w:val="00E23858"/>
    <w:rsid w:val="00E240EB"/>
    <w:rsid w:val="00E24AAB"/>
    <w:rsid w:val="00E24BFE"/>
    <w:rsid w:val="00E24E99"/>
    <w:rsid w:val="00E253EF"/>
    <w:rsid w:val="00E25E4F"/>
    <w:rsid w:val="00E26C9F"/>
    <w:rsid w:val="00E31C36"/>
    <w:rsid w:val="00E31F9B"/>
    <w:rsid w:val="00E3290D"/>
    <w:rsid w:val="00E32BD7"/>
    <w:rsid w:val="00E33557"/>
    <w:rsid w:val="00E348C0"/>
    <w:rsid w:val="00E3522D"/>
    <w:rsid w:val="00E356CC"/>
    <w:rsid w:val="00E37729"/>
    <w:rsid w:val="00E403B5"/>
    <w:rsid w:val="00E42680"/>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93"/>
    <w:rsid w:val="00E71DAA"/>
    <w:rsid w:val="00E72F06"/>
    <w:rsid w:val="00E737D8"/>
    <w:rsid w:val="00E73A04"/>
    <w:rsid w:val="00E75866"/>
    <w:rsid w:val="00E75A3B"/>
    <w:rsid w:val="00E75B0B"/>
    <w:rsid w:val="00E75C7B"/>
    <w:rsid w:val="00E7646A"/>
    <w:rsid w:val="00E80192"/>
    <w:rsid w:val="00E81672"/>
    <w:rsid w:val="00E81678"/>
    <w:rsid w:val="00E816D9"/>
    <w:rsid w:val="00E819ED"/>
    <w:rsid w:val="00E832A7"/>
    <w:rsid w:val="00E838A4"/>
    <w:rsid w:val="00E84B46"/>
    <w:rsid w:val="00E85B92"/>
    <w:rsid w:val="00E85FA2"/>
    <w:rsid w:val="00E86F19"/>
    <w:rsid w:val="00E87A6C"/>
    <w:rsid w:val="00E87D12"/>
    <w:rsid w:val="00E9075D"/>
    <w:rsid w:val="00E91163"/>
    <w:rsid w:val="00E915F2"/>
    <w:rsid w:val="00E93B69"/>
    <w:rsid w:val="00E93C2E"/>
    <w:rsid w:val="00E94F0B"/>
    <w:rsid w:val="00E952E8"/>
    <w:rsid w:val="00E95540"/>
    <w:rsid w:val="00E95D50"/>
    <w:rsid w:val="00E96431"/>
    <w:rsid w:val="00E96DD6"/>
    <w:rsid w:val="00E96FB9"/>
    <w:rsid w:val="00E97FAE"/>
    <w:rsid w:val="00EA01F0"/>
    <w:rsid w:val="00EA02F8"/>
    <w:rsid w:val="00EA1186"/>
    <w:rsid w:val="00EA1417"/>
    <w:rsid w:val="00EA1820"/>
    <w:rsid w:val="00EA2180"/>
    <w:rsid w:val="00EA26FC"/>
    <w:rsid w:val="00EA3DBE"/>
    <w:rsid w:val="00EA4520"/>
    <w:rsid w:val="00EA45FB"/>
    <w:rsid w:val="00EA4EC1"/>
    <w:rsid w:val="00EA599F"/>
    <w:rsid w:val="00EA6497"/>
    <w:rsid w:val="00EA6BEE"/>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79A"/>
    <w:rsid w:val="00EF0872"/>
    <w:rsid w:val="00EF0E33"/>
    <w:rsid w:val="00EF0F08"/>
    <w:rsid w:val="00EF126B"/>
    <w:rsid w:val="00EF152F"/>
    <w:rsid w:val="00EF21C5"/>
    <w:rsid w:val="00EF248C"/>
    <w:rsid w:val="00EF25CA"/>
    <w:rsid w:val="00EF2B08"/>
    <w:rsid w:val="00EF2E8A"/>
    <w:rsid w:val="00EF3D9D"/>
    <w:rsid w:val="00EF4972"/>
    <w:rsid w:val="00EF5513"/>
    <w:rsid w:val="00EF599B"/>
    <w:rsid w:val="00EF6FD3"/>
    <w:rsid w:val="00EF7358"/>
    <w:rsid w:val="00EF7769"/>
    <w:rsid w:val="00EF7838"/>
    <w:rsid w:val="00F0194C"/>
    <w:rsid w:val="00F01B33"/>
    <w:rsid w:val="00F01C31"/>
    <w:rsid w:val="00F02A17"/>
    <w:rsid w:val="00F04B89"/>
    <w:rsid w:val="00F05983"/>
    <w:rsid w:val="00F069A0"/>
    <w:rsid w:val="00F06FDE"/>
    <w:rsid w:val="00F07612"/>
    <w:rsid w:val="00F102F4"/>
    <w:rsid w:val="00F11248"/>
    <w:rsid w:val="00F113A1"/>
    <w:rsid w:val="00F12EF4"/>
    <w:rsid w:val="00F13000"/>
    <w:rsid w:val="00F13F1D"/>
    <w:rsid w:val="00F1475D"/>
    <w:rsid w:val="00F1542A"/>
    <w:rsid w:val="00F1569F"/>
    <w:rsid w:val="00F16EE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3692"/>
    <w:rsid w:val="00F44B61"/>
    <w:rsid w:val="00F44FCC"/>
    <w:rsid w:val="00F45113"/>
    <w:rsid w:val="00F454C2"/>
    <w:rsid w:val="00F4677D"/>
    <w:rsid w:val="00F4729F"/>
    <w:rsid w:val="00F51A6B"/>
    <w:rsid w:val="00F52614"/>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80064"/>
    <w:rsid w:val="00F80A76"/>
    <w:rsid w:val="00F813FD"/>
    <w:rsid w:val="00F82D68"/>
    <w:rsid w:val="00F842FB"/>
    <w:rsid w:val="00F85418"/>
    <w:rsid w:val="00F8543B"/>
    <w:rsid w:val="00F85DE5"/>
    <w:rsid w:val="00F86212"/>
    <w:rsid w:val="00F87B83"/>
    <w:rsid w:val="00F90132"/>
    <w:rsid w:val="00F90223"/>
    <w:rsid w:val="00F9028C"/>
    <w:rsid w:val="00F90355"/>
    <w:rsid w:val="00F9071E"/>
    <w:rsid w:val="00F92161"/>
    <w:rsid w:val="00F926B1"/>
    <w:rsid w:val="00F92F8E"/>
    <w:rsid w:val="00F92FE3"/>
    <w:rsid w:val="00F941B4"/>
    <w:rsid w:val="00F958A6"/>
    <w:rsid w:val="00F959E0"/>
    <w:rsid w:val="00F96204"/>
    <w:rsid w:val="00F963D9"/>
    <w:rsid w:val="00F9786A"/>
    <w:rsid w:val="00F97C6F"/>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358"/>
    <w:rsid w:val="00FB0C71"/>
    <w:rsid w:val="00FB0E5B"/>
    <w:rsid w:val="00FB12AC"/>
    <w:rsid w:val="00FB15FA"/>
    <w:rsid w:val="00FB1A08"/>
    <w:rsid w:val="00FB1C0B"/>
    <w:rsid w:val="00FB1F46"/>
    <w:rsid w:val="00FB340B"/>
    <w:rsid w:val="00FB612D"/>
    <w:rsid w:val="00FB67ED"/>
    <w:rsid w:val="00FB6F5B"/>
    <w:rsid w:val="00FB7C51"/>
    <w:rsid w:val="00FC02EC"/>
    <w:rsid w:val="00FC1B73"/>
    <w:rsid w:val="00FC1E88"/>
    <w:rsid w:val="00FC279F"/>
    <w:rsid w:val="00FC2D7B"/>
    <w:rsid w:val="00FC2F26"/>
    <w:rsid w:val="00FC48E1"/>
    <w:rsid w:val="00FC4CDD"/>
    <w:rsid w:val="00FC511E"/>
    <w:rsid w:val="00FC5223"/>
    <w:rsid w:val="00FC527F"/>
    <w:rsid w:val="00FC5360"/>
    <w:rsid w:val="00FC5501"/>
    <w:rsid w:val="00FC5953"/>
    <w:rsid w:val="00FC7861"/>
    <w:rsid w:val="00FC7A6B"/>
    <w:rsid w:val="00FD08EE"/>
    <w:rsid w:val="00FD0D92"/>
    <w:rsid w:val="00FD20BD"/>
    <w:rsid w:val="00FD34AD"/>
    <w:rsid w:val="00FD35B3"/>
    <w:rsid w:val="00FD3E4E"/>
    <w:rsid w:val="00FD4083"/>
    <w:rsid w:val="00FD47D5"/>
    <w:rsid w:val="00FD4DDC"/>
    <w:rsid w:val="00FD5352"/>
    <w:rsid w:val="00FD6665"/>
    <w:rsid w:val="00FD6CEB"/>
    <w:rsid w:val="00FD6DCB"/>
    <w:rsid w:val="00FD6E7A"/>
    <w:rsid w:val="00FD707F"/>
    <w:rsid w:val="00FD7468"/>
    <w:rsid w:val="00FD7B9F"/>
    <w:rsid w:val="00FD7C21"/>
    <w:rsid w:val="00FE0716"/>
    <w:rsid w:val="00FE1A01"/>
    <w:rsid w:val="00FE2398"/>
    <w:rsid w:val="00FE23BE"/>
    <w:rsid w:val="00FE28D6"/>
    <w:rsid w:val="00FE3713"/>
    <w:rsid w:val="00FE408E"/>
    <w:rsid w:val="00FE416B"/>
    <w:rsid w:val="00FE4BCF"/>
    <w:rsid w:val="00FE5182"/>
    <w:rsid w:val="00FE527C"/>
    <w:rsid w:val="00FE5602"/>
    <w:rsid w:val="00FE5AAA"/>
    <w:rsid w:val="00FE5C98"/>
    <w:rsid w:val="00FE6128"/>
    <w:rsid w:val="00FE6263"/>
    <w:rsid w:val="00FE62AF"/>
    <w:rsid w:val="00FE6C6F"/>
    <w:rsid w:val="00FF16C1"/>
    <w:rsid w:val="00FF231B"/>
    <w:rsid w:val="00FF299F"/>
    <w:rsid w:val="00FF2B82"/>
    <w:rsid w:val="00FF2FAC"/>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96DC5F"/>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6B54AC"/>
    <w:pPr>
      <w:widowControl w:val="0"/>
      <w:spacing w:before="1080"/>
      <w:outlineLvl w:val="0"/>
    </w:pPr>
    <w:rPr>
      <w:color w:val="264F90"/>
      <w:sz w:val="40"/>
      <w:szCs w:val="40"/>
    </w:rPr>
  </w:style>
  <w:style w:type="paragraph" w:styleId="Heading2">
    <w:name w:val="heading 2"/>
    <w:basedOn w:val="Normal"/>
    <w:next w:val="Normal"/>
    <w:link w:val="Heading2Char"/>
    <w:autoRedefine/>
    <w:qFormat/>
    <w:rsid w:val="009668F6"/>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outlineLvl w:val="2"/>
    </w:pPr>
    <w:rPr>
      <w:rFonts w:cs="Arial"/>
      <w:b/>
      <w:sz w:val="24"/>
    </w:rPr>
  </w:style>
  <w:style w:type="paragraph" w:styleId="Heading4">
    <w:name w:val="heading 4"/>
    <w:basedOn w:val="Heading3"/>
    <w:next w:val="Normal"/>
    <w:link w:val="Heading4Char"/>
    <w:autoRedefine/>
    <w:qFormat/>
    <w:rsid w:val="00E94F0B"/>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732300"/>
    <w:pPr>
      <w:tabs>
        <w:tab w:val="left" w:pos="4590"/>
        <w:tab w:val="right" w:pos="9450"/>
      </w:tabs>
      <w:spacing w:line="220" w:lineRule="exact"/>
      <w:ind w:left="142" w:right="188"/>
    </w:pPr>
    <w:rPr>
      <w:sz w:val="16"/>
    </w:rPr>
  </w:style>
  <w:style w:type="character" w:customStyle="1" w:styleId="FootnoteTextChar1">
    <w:name w:val="Footnote Text Char1"/>
    <w:basedOn w:val="DefaultParagraphFont"/>
    <w:link w:val="FootnoteText"/>
    <w:uiPriority w:val="97"/>
    <w:rsid w:val="00732300"/>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6B54AC"/>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10"/>
      </w:numPr>
      <w:spacing w:after="80"/>
    </w:pPr>
    <w:rPr>
      <w:iCs/>
    </w:rPr>
  </w:style>
  <w:style w:type="character" w:customStyle="1" w:styleId="Heading2Char">
    <w:name w:val="Heading 2 Char"/>
    <w:basedOn w:val="DefaultParagraphFont"/>
    <w:link w:val="Heading2"/>
    <w:rsid w:val="009668F6"/>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94F0B"/>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table" w:styleId="GridTable4-Accent1">
    <w:name w:val="Grid Table 4 Accent 1"/>
    <w:basedOn w:val="TableNormal"/>
    <w:uiPriority w:val="49"/>
    <w:rsid w:val="00E86F1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E86F1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45038D"/>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277025357">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09327574">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431464017">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08737498">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4990839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51163708">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communitygrants.gov.au/" TargetMode="External"/><Relationship Id="rId26" Type="http://schemas.openxmlformats.org/officeDocument/2006/relationships/hyperlink" Target="mailto:support@communitygrants.gov.au" TargetMode="External"/><Relationship Id="rId39" Type="http://schemas.openxmlformats.org/officeDocument/2006/relationships/hyperlink" Target="https://www.legislation.gov.au/Details/C2014C00076" TargetMode="External"/><Relationship Id="rId3" Type="http://schemas.openxmlformats.org/officeDocument/2006/relationships/customXml" Target="../customXml/item3.xml"/><Relationship Id="rId21" Type="http://schemas.openxmlformats.org/officeDocument/2006/relationships/hyperlink" Target="http://www8.austlii.edu.au/cgi-bin/viewdoc/au/legis/cth/consol_act/cca1995115/sch1.html" TargetMode="External"/><Relationship Id="rId34" Type="http://schemas.openxmlformats.org/officeDocument/2006/relationships/hyperlink" Target="mailto:ombudsman@ombudsman.gov.au" TargetMode="External"/><Relationship Id="rId42" Type="http://schemas.openxmlformats.org/officeDocument/2006/relationships/hyperlink" Target="mailto:foi@ag.gov.au" TargetMode="External"/><Relationship Id="rId47" Type="http://schemas.openxmlformats.org/officeDocument/2006/relationships/hyperlink" Target="https://www.budget.gov.au/2019-20/content/pbs/index.htm" TargetMode="External"/><Relationship Id="rId7" Type="http://schemas.openxmlformats.org/officeDocument/2006/relationships/styles" Target="styles.xml"/><Relationship Id="rId12" Type="http://schemas.openxmlformats.org/officeDocument/2006/relationships/hyperlink" Target="mailto:support@communitygrants.gov.au" TargetMode="External"/><Relationship Id="rId17" Type="http://schemas.openxmlformats.org/officeDocument/2006/relationships/hyperlink" Target="http://www.grants.gov.au/" TargetMode="External"/><Relationship Id="rId25" Type="http://schemas.openxmlformats.org/officeDocument/2006/relationships/hyperlink" Target="mailto:support@communitygrants.gov.au" TargetMode="External"/><Relationship Id="rId33" Type="http://schemas.openxmlformats.org/officeDocument/2006/relationships/hyperlink" Target="http://www.ombudsman.gov.au/" TargetMode="External"/><Relationship Id="rId38" Type="http://schemas.openxmlformats.org/officeDocument/2006/relationships/hyperlink" Target="https://www.legislation.gov.au/Series/C2004A00538" TargetMode="External"/><Relationship Id="rId46" Type="http://schemas.openxmlformats.org/officeDocument/2006/relationships/hyperlink" Target="http://www.grants.gov.au/" TargetMode="External"/><Relationship Id="rId2" Type="http://schemas.openxmlformats.org/officeDocument/2006/relationships/customXml" Target="../customXml/item2.xml"/><Relationship Id="rId16" Type="http://schemas.openxmlformats.org/officeDocument/2006/relationships/hyperlink" Target="https://www.finance.gov.au/sites/default/files/commonwealth-grants-rules-and-guidelines.pdf" TargetMode="External"/><Relationship Id="rId20" Type="http://schemas.openxmlformats.org/officeDocument/2006/relationships/hyperlink" Target="https://www.grants.gov.au/?event=public.home" TargetMode="External"/><Relationship Id="rId29" Type="http://schemas.openxmlformats.org/officeDocument/2006/relationships/hyperlink" Target="https://www.ato.gov.au/" TargetMode="External"/><Relationship Id="rId41" Type="http://schemas.openxmlformats.org/officeDocument/2006/relationships/hyperlink" Target="https://www.legislation.gov.au/Series/C2004A02562"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ommunitygrants.gov.au/information/information-applicants/timing-grant-opportunity-processes" TargetMode="External"/><Relationship Id="rId32" Type="http://schemas.openxmlformats.org/officeDocument/2006/relationships/hyperlink" Target="mailto:finass@ag.gov.au" TargetMode="External"/><Relationship Id="rId37" Type="http://schemas.openxmlformats.org/officeDocument/2006/relationships/hyperlink" Target="http://www8.austlii.edu.au/cgi-bin/viewdoc/au/legis/cth/consol_act/psa1999152/s13.html" TargetMode="External"/><Relationship Id="rId40" Type="http://schemas.openxmlformats.org/officeDocument/2006/relationships/hyperlink" Target="https://www.oaic.gov.au/privacy-law/privacy-act/australian-privacy-principles" TargetMode="External"/><Relationship Id="rId45" Type="http://schemas.openxmlformats.org/officeDocument/2006/relationships/hyperlink" Target="https://www.finance.gov.au/resource-management/pgpa-glossary/consolidated-revenue-fund/"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support@communitygrants.gov.au" TargetMode="External"/><Relationship Id="rId28" Type="http://schemas.openxmlformats.org/officeDocument/2006/relationships/hyperlink" Target="https://www.ato.gov.au/business/gst/in-detail/managing-gst-in-your-business/tax-invoices/recipient-created-tax-invoices/" TargetMode="External"/><Relationship Id="rId36" Type="http://schemas.openxmlformats.org/officeDocument/2006/relationships/hyperlink" Target="http://www.apsc.gov.au/publications-and-media/current-publications/aps-values-and-code-of-conduct-in-practice/conflict-of-interest"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finance.gov.au/sites/default/files/commonwealth-grants-rules-and-guidelines.pdf" TargetMode="External"/><Relationship Id="rId31" Type="http://schemas.openxmlformats.org/officeDocument/2006/relationships/hyperlink" Target="file://prod.protected.ind/User/user03/LLau2/insert%20link%20here" TargetMode="External"/><Relationship Id="rId44" Type="http://schemas.openxmlformats.org/officeDocument/2006/relationships/hyperlink" Target="https://www.finance.gov.au/sites/default/files/commonwealth-grants-rules-and-guideline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support@communitygrants.gov.au" TargetMode="External"/><Relationship Id="rId27" Type="http://schemas.openxmlformats.org/officeDocument/2006/relationships/hyperlink" Target="https://www.ato.gov.au/Business/GST/Registering-for-GST/" TargetMode="External"/><Relationship Id="rId30" Type="http://schemas.openxmlformats.org/officeDocument/2006/relationships/hyperlink" Target="http://edit.finance.gov.au/sites/default/files/commonwealth-grants-rules-and-guidelines.pdf" TargetMode="External"/><Relationship Id="rId35" Type="http://schemas.openxmlformats.org/officeDocument/2006/relationships/hyperlink" Target="http://www.ombudsman.gov.au" TargetMode="External"/><Relationship Id="rId43" Type="http://schemas.openxmlformats.org/officeDocument/2006/relationships/hyperlink" Target="http://www.finance.gov.au/resource-management/pgpa-legislation-rules-and-associated-instruments/"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ato.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29FCC3B-59B0-4711-BD00-C4DE37CFD3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82DC6B27C690C143BA4A1C0150DAC272" ma:contentTypeVersion="" ma:contentTypeDescription="PDMS Document Site Content Type" ma:contentTypeScope="" ma:versionID="8521b32ecd968c586813c57ba1c30612">
  <xsd:schema xmlns:xsd="http://www.w3.org/2001/XMLSchema" xmlns:xs="http://www.w3.org/2001/XMLSchema" xmlns:p="http://schemas.microsoft.com/office/2006/metadata/properties" xmlns:ns2="B29FCC3B-59B0-4711-BD00-C4DE37CFD38E" targetNamespace="http://schemas.microsoft.com/office/2006/metadata/properties" ma:root="true" ma:fieldsID="7ace4ce554e7a16e32c859f65d475e4d" ns2:_="">
    <xsd:import namespace="B29FCC3B-59B0-4711-BD00-C4DE37CFD38E"/>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FCC3B-59B0-4711-BD00-C4DE37CFD38E"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2.xml><?xml version="1.0" encoding="utf-8"?>
<ds:datastoreItem xmlns:ds="http://schemas.openxmlformats.org/officeDocument/2006/customXml" ds:itemID="{9F6E2E88-EE6C-43C6-86B9-33AC0BB14B7F}">
  <ds:schemaRefs>
    <ds:schemaRef ds:uri="http://schemas.microsoft.com/office/2006/metadata/properties"/>
    <ds:schemaRef ds:uri="http://schemas.microsoft.com/office/infopath/2007/PartnerControls"/>
    <ds:schemaRef ds:uri="B29FCC3B-59B0-4711-BD00-C4DE37CFD38E"/>
  </ds:schemaRefs>
</ds:datastoreItem>
</file>

<file path=customXml/itemProps3.xml><?xml version="1.0" encoding="utf-8"?>
<ds:datastoreItem xmlns:ds="http://schemas.openxmlformats.org/officeDocument/2006/customXml" ds:itemID="{EFE91E0B-6593-4DE0-8E61-086CC0CAC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FCC3B-59B0-4711-BD00-C4DE37CFD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5.xml><?xml version="1.0" encoding="utf-8"?>
<ds:datastoreItem xmlns:ds="http://schemas.openxmlformats.org/officeDocument/2006/customXml" ds:itemID="{C9DB9607-838F-482C-AE0C-F9CEABCF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9259</Words>
  <Characters>52781</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61917</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dc:description/>
  <cp:lastModifiedBy>DONATH, Kristen</cp:lastModifiedBy>
  <cp:revision>4</cp:revision>
  <cp:lastPrinted>2019-07-29T05:37:00Z</cp:lastPrinted>
  <dcterms:created xsi:type="dcterms:W3CDTF">2019-07-29T05:37:00Z</dcterms:created>
  <dcterms:modified xsi:type="dcterms:W3CDTF">2019-07-29T05:38:00Z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0x010100266966F133664895A6EE3632470D45F50082DC6B27C690C143BA4A1C0150DAC272</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ies>
</file>