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8EADA" w14:textId="77777777" w:rsidR="00594453" w:rsidRDefault="00594453" w:rsidP="007E1C17">
      <w:pPr>
        <w:pStyle w:val="Title"/>
        <w:spacing w:before="120" w:line="276" w:lineRule="auto"/>
        <w:contextualSpacing w:val="0"/>
        <w:jc w:val="center"/>
        <w:rPr>
          <w:color w:val="000000" w:themeColor="text1"/>
        </w:rPr>
      </w:pPr>
      <w:bookmarkStart w:id="0" w:name="_GoBack"/>
      <w:bookmarkEnd w:id="0"/>
    </w:p>
    <w:p w14:paraId="7DE6B2B7" w14:textId="77777777" w:rsidR="00594453" w:rsidRDefault="00594453" w:rsidP="007E1C17">
      <w:pPr>
        <w:pStyle w:val="Title"/>
        <w:spacing w:before="120" w:line="276" w:lineRule="auto"/>
        <w:contextualSpacing w:val="0"/>
        <w:jc w:val="center"/>
        <w:rPr>
          <w:color w:val="000000" w:themeColor="text1"/>
        </w:rPr>
      </w:pPr>
      <w:bookmarkStart w:id="1" w:name="_Toc786954"/>
      <w:bookmarkStart w:id="2" w:name="_Toc4175403"/>
      <w:r>
        <w:rPr>
          <w:noProof/>
          <w:lang w:eastAsia="en-AU"/>
        </w:rPr>
        <w:drawing>
          <wp:inline distT="0" distB="0" distL="0" distR="0" wp14:anchorId="482062AE" wp14:editId="1D769AD5">
            <wp:extent cx="2872740" cy="690245"/>
            <wp:effectExtent l="0" t="0" r="3810" b="0"/>
            <wp:docPr id="2" name="Picture 2"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1"/>
      <w:bookmarkEnd w:id="2"/>
    </w:p>
    <w:p w14:paraId="16630AB2" w14:textId="77777777" w:rsidR="00594453" w:rsidRDefault="00594453" w:rsidP="00594453"/>
    <w:p w14:paraId="709E1E03" w14:textId="77777777" w:rsidR="00594453" w:rsidRPr="00594453" w:rsidRDefault="00594453" w:rsidP="00594453"/>
    <w:p w14:paraId="7CF240A3" w14:textId="77777777" w:rsidR="00594453" w:rsidRDefault="00594453" w:rsidP="00594453">
      <w:pPr>
        <w:pBdr>
          <w:bottom w:val="single" w:sz="6" w:space="1" w:color="auto"/>
        </w:pBdr>
        <w:spacing w:before="1440" w:after="80" w:line="240" w:lineRule="auto"/>
        <w:jc w:val="center"/>
        <w:rPr>
          <w:rFonts w:eastAsia="Calibri" w:cs="Arial"/>
          <w:i/>
          <w:sz w:val="48"/>
          <w:szCs w:val="48"/>
        </w:rPr>
      </w:pPr>
      <w:r w:rsidRPr="001135C9">
        <w:rPr>
          <w:rFonts w:eastAsia="Calibri" w:cs="Arial"/>
          <w:i/>
          <w:sz w:val="48"/>
          <w:szCs w:val="48"/>
        </w:rPr>
        <w:t>Information, Linkages and Capacity Building Program (ILC)</w:t>
      </w:r>
    </w:p>
    <w:p w14:paraId="74A6AE9D" w14:textId="77777777" w:rsidR="00594453" w:rsidRPr="001135C9" w:rsidRDefault="00594453" w:rsidP="00594453">
      <w:pPr>
        <w:pBdr>
          <w:bottom w:val="single" w:sz="6" w:space="1" w:color="auto"/>
        </w:pBdr>
        <w:spacing w:before="1440" w:after="80" w:line="240" w:lineRule="auto"/>
        <w:jc w:val="center"/>
        <w:rPr>
          <w:rFonts w:cs="Arial"/>
          <w:b/>
          <w:i/>
          <w:sz w:val="48"/>
          <w:szCs w:val="48"/>
        </w:rPr>
      </w:pPr>
      <w:r w:rsidRPr="001135C9">
        <w:rPr>
          <w:rFonts w:eastAsia="Calibri" w:cs="Arial"/>
          <w:i/>
          <w:sz w:val="48"/>
          <w:szCs w:val="48"/>
        </w:rPr>
        <w:br/>
      </w:r>
      <w:r w:rsidRPr="001135C9">
        <w:rPr>
          <w:rFonts w:cs="Arial"/>
          <w:b/>
          <w:i/>
          <w:sz w:val="48"/>
          <w:szCs w:val="48"/>
        </w:rPr>
        <w:t>Program Guidelines</w:t>
      </w:r>
    </w:p>
    <w:p w14:paraId="3985B18D" w14:textId="77777777" w:rsidR="00594453" w:rsidRDefault="007E1C17" w:rsidP="00594453">
      <w:pPr>
        <w:pStyle w:val="Title"/>
        <w:spacing w:before="120" w:line="276" w:lineRule="auto"/>
        <w:contextualSpacing w:val="0"/>
        <w:jc w:val="center"/>
      </w:pPr>
      <w:r>
        <w:rPr>
          <w:color w:val="000000" w:themeColor="text1"/>
        </w:rPr>
        <w:br/>
      </w:r>
      <w:bookmarkStart w:id="3" w:name="_Toc786955"/>
      <w:bookmarkStart w:id="4" w:name="_Toc4175404"/>
      <w:r w:rsidR="002007D9">
        <w:t>2019</w:t>
      </w:r>
      <w:r w:rsidR="00D70A7F">
        <w:t>-20</w:t>
      </w:r>
      <w:r w:rsidR="002007D9">
        <w:t xml:space="preserve"> to 2021-22</w:t>
      </w:r>
      <w:bookmarkEnd w:id="3"/>
      <w:bookmarkEnd w:id="4"/>
    </w:p>
    <w:p w14:paraId="58F93315" w14:textId="77777777" w:rsidR="00316682" w:rsidRDefault="00316682" w:rsidP="00CC3C8E">
      <w:pPr>
        <w:spacing w:after="120" w:line="276" w:lineRule="auto"/>
      </w:pPr>
    </w:p>
    <w:p w14:paraId="6B2983B1" w14:textId="77777777" w:rsidR="000B6F57" w:rsidRDefault="000B6F57">
      <w:pPr>
        <w:suppressAutoHyphens w:val="0"/>
        <w:spacing w:before="0" w:after="120" w:line="440" w:lineRule="atLeast"/>
      </w:pPr>
      <w:r>
        <w:br w:type="page"/>
      </w:r>
    </w:p>
    <w:sdt>
      <w:sdtPr>
        <w:rPr>
          <w:rFonts w:asciiTheme="minorHAnsi" w:eastAsiaTheme="minorHAnsi" w:hAnsiTheme="minorHAnsi" w:cs="Arial"/>
          <w:b/>
          <w:bCs/>
          <w:color w:val="auto"/>
          <w:sz w:val="22"/>
          <w:szCs w:val="22"/>
          <w:lang w:val="en-AU"/>
        </w:rPr>
        <w:id w:val="-434749987"/>
        <w:docPartObj>
          <w:docPartGallery w:val="Table of Contents"/>
          <w:docPartUnique/>
        </w:docPartObj>
      </w:sdtPr>
      <w:sdtEndPr>
        <w:rPr>
          <w:b w:val="0"/>
          <w:bCs w:val="0"/>
        </w:rPr>
      </w:sdtEndPr>
      <w:sdtContent>
        <w:p w14:paraId="32AE200D" w14:textId="77777777" w:rsidR="00F22AEA" w:rsidRDefault="00F22AEA" w:rsidP="00F22AEA">
          <w:pPr>
            <w:pStyle w:val="TOCHeading"/>
            <w:jc w:val="both"/>
            <w:rPr>
              <w:rFonts w:cs="Arial"/>
            </w:rPr>
          </w:pPr>
          <w:r>
            <w:rPr>
              <w:rFonts w:cs="Arial"/>
            </w:rPr>
            <w:t>Table of Contents</w:t>
          </w:r>
        </w:p>
        <w:p w14:paraId="5D106B36" w14:textId="3D7DF66E" w:rsidR="008F0976" w:rsidRDefault="00F22AEA">
          <w:pPr>
            <w:pStyle w:val="TOC1"/>
            <w:rPr>
              <w:rFonts w:eastAsiaTheme="minorEastAsia"/>
              <w:b w:val="0"/>
              <w:sz w:val="22"/>
              <w:lang w:eastAsia="en-AU"/>
            </w:rPr>
          </w:pPr>
          <w:r>
            <w:fldChar w:fldCharType="begin"/>
          </w:r>
          <w:r>
            <w:instrText xml:space="preserve"> TOC \o "1-3" \h \z \u </w:instrText>
          </w:r>
          <w:r>
            <w:fldChar w:fldCharType="separate"/>
          </w:r>
          <w:hyperlink w:anchor="_Toc4175403" w:history="1">
            <w:bookmarkStart w:id="5" w:name="_Toc3814679"/>
            <w:r w:rsidR="008F0976" w:rsidRPr="00CE5939">
              <w:rPr>
                <w:rStyle w:val="Hyperlink"/>
                <w:lang w:eastAsia="en-AU"/>
              </w:rPr>
              <w:drawing>
                <wp:inline distT="0" distB="0" distL="0" distR="0" wp14:anchorId="6A1EAD40" wp14:editId="35E96238">
                  <wp:extent cx="2872740" cy="690245"/>
                  <wp:effectExtent l="0" t="0" r="3810" b="0"/>
                  <wp:docPr id="1" name="Picture 1" descr="Title: NDIS delivered by the National Disability Insurance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NDIS delivered by the National Disability Insurance Agency"/>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872740" cy="690245"/>
                          </a:xfrm>
                          <a:prstGeom prst="rect">
                            <a:avLst/>
                          </a:prstGeom>
                          <a:noFill/>
                          <a:ln>
                            <a:noFill/>
                          </a:ln>
                        </pic:spPr>
                      </pic:pic>
                    </a:graphicData>
                  </a:graphic>
                </wp:inline>
              </w:drawing>
            </w:r>
            <w:bookmarkEnd w:id="5"/>
            <w:r w:rsidR="008F0976">
              <w:rPr>
                <w:webHidden/>
              </w:rPr>
              <w:tab/>
            </w:r>
            <w:r w:rsidR="008F0976">
              <w:rPr>
                <w:webHidden/>
              </w:rPr>
              <w:fldChar w:fldCharType="begin"/>
            </w:r>
            <w:r w:rsidR="008F0976">
              <w:rPr>
                <w:webHidden/>
              </w:rPr>
              <w:instrText xml:space="preserve"> PAGEREF _Toc4175403 \h </w:instrText>
            </w:r>
            <w:r w:rsidR="008F0976">
              <w:rPr>
                <w:webHidden/>
              </w:rPr>
            </w:r>
            <w:r w:rsidR="008F0976">
              <w:rPr>
                <w:webHidden/>
              </w:rPr>
              <w:fldChar w:fldCharType="separate"/>
            </w:r>
            <w:r w:rsidR="00B979F5">
              <w:rPr>
                <w:webHidden/>
              </w:rPr>
              <w:t>1</w:t>
            </w:r>
            <w:r w:rsidR="008F0976">
              <w:rPr>
                <w:webHidden/>
              </w:rPr>
              <w:fldChar w:fldCharType="end"/>
            </w:r>
          </w:hyperlink>
        </w:p>
        <w:p w14:paraId="59EDE450" w14:textId="05A9F019" w:rsidR="008F0976" w:rsidRDefault="00EB3118">
          <w:pPr>
            <w:pStyle w:val="TOC1"/>
            <w:rPr>
              <w:rFonts w:eastAsiaTheme="minorEastAsia"/>
              <w:b w:val="0"/>
              <w:sz w:val="22"/>
              <w:lang w:eastAsia="en-AU"/>
            </w:rPr>
          </w:pPr>
          <w:hyperlink w:anchor="_Toc4175404" w:history="1">
            <w:r w:rsidR="008F0976" w:rsidRPr="00CE5939">
              <w:rPr>
                <w:rStyle w:val="Hyperlink"/>
              </w:rPr>
              <w:t>2019-20 to 2021-22</w:t>
            </w:r>
            <w:r w:rsidR="008F0976">
              <w:rPr>
                <w:webHidden/>
              </w:rPr>
              <w:tab/>
            </w:r>
            <w:r w:rsidR="008F0976">
              <w:rPr>
                <w:webHidden/>
              </w:rPr>
              <w:fldChar w:fldCharType="begin"/>
            </w:r>
            <w:r w:rsidR="008F0976">
              <w:rPr>
                <w:webHidden/>
              </w:rPr>
              <w:instrText xml:space="preserve"> PAGEREF _Toc4175404 \h </w:instrText>
            </w:r>
            <w:r w:rsidR="008F0976">
              <w:rPr>
                <w:webHidden/>
              </w:rPr>
            </w:r>
            <w:r w:rsidR="008F0976">
              <w:rPr>
                <w:webHidden/>
              </w:rPr>
              <w:fldChar w:fldCharType="separate"/>
            </w:r>
            <w:r w:rsidR="00B979F5">
              <w:rPr>
                <w:webHidden/>
              </w:rPr>
              <w:t>1</w:t>
            </w:r>
            <w:r w:rsidR="008F0976">
              <w:rPr>
                <w:webHidden/>
              </w:rPr>
              <w:fldChar w:fldCharType="end"/>
            </w:r>
          </w:hyperlink>
        </w:p>
        <w:p w14:paraId="165CA7E8" w14:textId="59491DC2" w:rsidR="008F0976" w:rsidRDefault="00EB3118">
          <w:pPr>
            <w:pStyle w:val="TOC1"/>
            <w:rPr>
              <w:rFonts w:eastAsiaTheme="minorEastAsia"/>
              <w:b w:val="0"/>
              <w:sz w:val="22"/>
              <w:lang w:eastAsia="en-AU"/>
            </w:rPr>
          </w:pPr>
          <w:hyperlink w:anchor="_Toc4175405" w:history="1">
            <w:r w:rsidR="008F0976" w:rsidRPr="00CE5939">
              <w:rPr>
                <w:rStyle w:val="Hyperlink"/>
              </w:rPr>
              <w:t>1</w:t>
            </w:r>
            <w:r w:rsidR="008F0976">
              <w:rPr>
                <w:rFonts w:eastAsiaTheme="minorEastAsia"/>
                <w:b w:val="0"/>
                <w:sz w:val="22"/>
                <w:lang w:eastAsia="en-AU"/>
              </w:rPr>
              <w:tab/>
            </w:r>
            <w:r w:rsidR="008F0976" w:rsidRPr="00CE5939">
              <w:rPr>
                <w:rStyle w:val="Hyperlink"/>
              </w:rPr>
              <w:t>Purpose</w:t>
            </w:r>
            <w:r w:rsidR="008F0976">
              <w:rPr>
                <w:webHidden/>
              </w:rPr>
              <w:tab/>
            </w:r>
            <w:r w:rsidR="008F0976">
              <w:rPr>
                <w:webHidden/>
              </w:rPr>
              <w:fldChar w:fldCharType="begin"/>
            </w:r>
            <w:r w:rsidR="008F0976">
              <w:rPr>
                <w:webHidden/>
              </w:rPr>
              <w:instrText xml:space="preserve"> PAGEREF _Toc4175405 \h </w:instrText>
            </w:r>
            <w:r w:rsidR="008F0976">
              <w:rPr>
                <w:webHidden/>
              </w:rPr>
            </w:r>
            <w:r w:rsidR="008F0976">
              <w:rPr>
                <w:webHidden/>
              </w:rPr>
              <w:fldChar w:fldCharType="separate"/>
            </w:r>
            <w:r w:rsidR="00B979F5">
              <w:rPr>
                <w:webHidden/>
              </w:rPr>
              <w:t>4</w:t>
            </w:r>
            <w:r w:rsidR="008F0976">
              <w:rPr>
                <w:webHidden/>
              </w:rPr>
              <w:fldChar w:fldCharType="end"/>
            </w:r>
          </w:hyperlink>
        </w:p>
        <w:p w14:paraId="7BA236C2" w14:textId="6C9F19E7" w:rsidR="008F0976" w:rsidRDefault="00EB3118">
          <w:pPr>
            <w:pStyle w:val="TOC2"/>
            <w:rPr>
              <w:rFonts w:eastAsiaTheme="minorEastAsia"/>
              <w:lang w:eastAsia="en-AU"/>
            </w:rPr>
          </w:pPr>
          <w:hyperlink w:anchor="_Toc4175406" w:history="1">
            <w:r w:rsidR="008F0976" w:rsidRPr="00CE5939">
              <w:rPr>
                <w:rStyle w:val="Hyperlink"/>
              </w:rPr>
              <w:t>1.1</w:t>
            </w:r>
            <w:r w:rsidR="008F0976">
              <w:rPr>
                <w:rFonts w:eastAsiaTheme="minorEastAsia"/>
                <w:lang w:eastAsia="en-AU"/>
              </w:rPr>
              <w:tab/>
            </w:r>
            <w:r w:rsidR="008F0976" w:rsidRPr="00CE5939">
              <w:rPr>
                <w:rStyle w:val="Hyperlink"/>
              </w:rPr>
              <w:t>Administrative Context</w:t>
            </w:r>
            <w:r w:rsidR="008F0976">
              <w:rPr>
                <w:webHidden/>
              </w:rPr>
              <w:tab/>
            </w:r>
            <w:r w:rsidR="008F0976">
              <w:rPr>
                <w:webHidden/>
              </w:rPr>
              <w:fldChar w:fldCharType="begin"/>
            </w:r>
            <w:r w:rsidR="008F0976">
              <w:rPr>
                <w:webHidden/>
              </w:rPr>
              <w:instrText xml:space="preserve"> PAGEREF _Toc4175406 \h </w:instrText>
            </w:r>
            <w:r w:rsidR="008F0976">
              <w:rPr>
                <w:webHidden/>
              </w:rPr>
            </w:r>
            <w:r w:rsidR="008F0976">
              <w:rPr>
                <w:webHidden/>
              </w:rPr>
              <w:fldChar w:fldCharType="separate"/>
            </w:r>
            <w:r w:rsidR="00B979F5">
              <w:rPr>
                <w:webHidden/>
              </w:rPr>
              <w:t>4</w:t>
            </w:r>
            <w:r w:rsidR="008F0976">
              <w:rPr>
                <w:webHidden/>
              </w:rPr>
              <w:fldChar w:fldCharType="end"/>
            </w:r>
          </w:hyperlink>
        </w:p>
        <w:p w14:paraId="191BBB9F" w14:textId="6FB91A75" w:rsidR="008F0976" w:rsidRDefault="00EB3118">
          <w:pPr>
            <w:pStyle w:val="TOC2"/>
            <w:rPr>
              <w:rFonts w:eastAsiaTheme="minorEastAsia"/>
              <w:lang w:eastAsia="en-AU"/>
            </w:rPr>
          </w:pPr>
          <w:hyperlink w:anchor="_Toc4175407" w:history="1">
            <w:r w:rsidR="008F0976" w:rsidRPr="00CE5939">
              <w:rPr>
                <w:rStyle w:val="Hyperlink"/>
              </w:rPr>
              <w:t>1.2</w:t>
            </w:r>
            <w:r w:rsidR="008F0976">
              <w:rPr>
                <w:rFonts w:eastAsiaTheme="minorEastAsia"/>
                <w:lang w:eastAsia="en-AU"/>
              </w:rPr>
              <w:tab/>
            </w:r>
            <w:r w:rsidR="008F0976" w:rsidRPr="00CE5939">
              <w:rPr>
                <w:rStyle w:val="Hyperlink"/>
              </w:rPr>
              <w:t>Policy Context</w:t>
            </w:r>
            <w:r w:rsidR="008F0976">
              <w:rPr>
                <w:webHidden/>
              </w:rPr>
              <w:tab/>
            </w:r>
            <w:r w:rsidR="008F0976">
              <w:rPr>
                <w:webHidden/>
              </w:rPr>
              <w:fldChar w:fldCharType="begin"/>
            </w:r>
            <w:r w:rsidR="008F0976">
              <w:rPr>
                <w:webHidden/>
              </w:rPr>
              <w:instrText xml:space="preserve"> PAGEREF _Toc4175407 \h </w:instrText>
            </w:r>
            <w:r w:rsidR="008F0976">
              <w:rPr>
                <w:webHidden/>
              </w:rPr>
            </w:r>
            <w:r w:rsidR="008F0976">
              <w:rPr>
                <w:webHidden/>
              </w:rPr>
              <w:fldChar w:fldCharType="separate"/>
            </w:r>
            <w:r w:rsidR="00B979F5">
              <w:rPr>
                <w:webHidden/>
              </w:rPr>
              <w:t>4</w:t>
            </w:r>
            <w:r w:rsidR="008F0976">
              <w:rPr>
                <w:webHidden/>
              </w:rPr>
              <w:fldChar w:fldCharType="end"/>
            </w:r>
          </w:hyperlink>
        </w:p>
        <w:p w14:paraId="57F98213" w14:textId="42D470A3" w:rsidR="008F0976" w:rsidRDefault="00EB3118">
          <w:pPr>
            <w:pStyle w:val="TOC2"/>
            <w:rPr>
              <w:rFonts w:eastAsiaTheme="minorEastAsia"/>
              <w:lang w:eastAsia="en-AU"/>
            </w:rPr>
          </w:pPr>
          <w:hyperlink w:anchor="_Toc4175408" w:history="1">
            <w:r w:rsidR="008F0976" w:rsidRPr="00CE5939">
              <w:rPr>
                <w:rStyle w:val="Hyperlink"/>
              </w:rPr>
              <w:t>1.3</w:t>
            </w:r>
            <w:r w:rsidR="008F0976">
              <w:rPr>
                <w:rFonts w:eastAsiaTheme="minorEastAsia"/>
                <w:lang w:eastAsia="en-AU"/>
              </w:rPr>
              <w:tab/>
            </w:r>
            <w:r w:rsidR="008F0976" w:rsidRPr="00CE5939">
              <w:rPr>
                <w:rStyle w:val="Hyperlink"/>
              </w:rPr>
              <w:t>Program Funding Type</w:t>
            </w:r>
            <w:r w:rsidR="008F0976">
              <w:rPr>
                <w:webHidden/>
              </w:rPr>
              <w:tab/>
            </w:r>
            <w:r w:rsidR="008F0976">
              <w:rPr>
                <w:webHidden/>
              </w:rPr>
              <w:fldChar w:fldCharType="begin"/>
            </w:r>
            <w:r w:rsidR="008F0976">
              <w:rPr>
                <w:webHidden/>
              </w:rPr>
              <w:instrText xml:space="preserve"> PAGEREF _Toc4175408 \h </w:instrText>
            </w:r>
            <w:r w:rsidR="008F0976">
              <w:rPr>
                <w:webHidden/>
              </w:rPr>
            </w:r>
            <w:r w:rsidR="008F0976">
              <w:rPr>
                <w:webHidden/>
              </w:rPr>
              <w:fldChar w:fldCharType="separate"/>
            </w:r>
            <w:r w:rsidR="00B979F5">
              <w:rPr>
                <w:webHidden/>
              </w:rPr>
              <w:t>4</w:t>
            </w:r>
            <w:r w:rsidR="008F0976">
              <w:rPr>
                <w:webHidden/>
              </w:rPr>
              <w:fldChar w:fldCharType="end"/>
            </w:r>
          </w:hyperlink>
        </w:p>
        <w:p w14:paraId="19FFFF67" w14:textId="60C7B86F" w:rsidR="008F0976" w:rsidRDefault="00EB3118">
          <w:pPr>
            <w:pStyle w:val="TOC2"/>
            <w:rPr>
              <w:rFonts w:eastAsiaTheme="minorEastAsia"/>
              <w:lang w:eastAsia="en-AU"/>
            </w:rPr>
          </w:pPr>
          <w:hyperlink w:anchor="_Toc4175409" w:history="1">
            <w:r w:rsidR="008F0976" w:rsidRPr="00CE5939">
              <w:rPr>
                <w:rStyle w:val="Hyperlink"/>
              </w:rPr>
              <w:t>1.4</w:t>
            </w:r>
            <w:r w:rsidR="008F0976">
              <w:rPr>
                <w:rFonts w:eastAsiaTheme="minorEastAsia"/>
                <w:lang w:eastAsia="en-AU"/>
              </w:rPr>
              <w:tab/>
            </w:r>
            <w:r w:rsidR="008F0976" w:rsidRPr="00CE5939">
              <w:rPr>
                <w:rStyle w:val="Hyperlink"/>
              </w:rPr>
              <w:t>Program Legislative Framework</w:t>
            </w:r>
            <w:r w:rsidR="008F0976">
              <w:rPr>
                <w:webHidden/>
              </w:rPr>
              <w:tab/>
            </w:r>
            <w:r w:rsidR="008F0976">
              <w:rPr>
                <w:webHidden/>
              </w:rPr>
              <w:fldChar w:fldCharType="begin"/>
            </w:r>
            <w:r w:rsidR="008F0976">
              <w:rPr>
                <w:webHidden/>
              </w:rPr>
              <w:instrText xml:space="preserve"> PAGEREF _Toc4175409 \h </w:instrText>
            </w:r>
            <w:r w:rsidR="008F0976">
              <w:rPr>
                <w:webHidden/>
              </w:rPr>
            </w:r>
            <w:r w:rsidR="008F0976">
              <w:rPr>
                <w:webHidden/>
              </w:rPr>
              <w:fldChar w:fldCharType="separate"/>
            </w:r>
            <w:r w:rsidR="00B979F5">
              <w:rPr>
                <w:webHidden/>
              </w:rPr>
              <w:t>4</w:t>
            </w:r>
            <w:r w:rsidR="008F0976">
              <w:rPr>
                <w:webHidden/>
              </w:rPr>
              <w:fldChar w:fldCharType="end"/>
            </w:r>
          </w:hyperlink>
        </w:p>
        <w:p w14:paraId="0CF5C67F" w14:textId="122B23A2" w:rsidR="008F0976" w:rsidRDefault="00EB3118">
          <w:pPr>
            <w:pStyle w:val="TOC2"/>
            <w:rPr>
              <w:rFonts w:eastAsiaTheme="minorEastAsia"/>
              <w:lang w:eastAsia="en-AU"/>
            </w:rPr>
          </w:pPr>
          <w:hyperlink w:anchor="_Toc4175410" w:history="1">
            <w:r w:rsidR="008F0976" w:rsidRPr="00CE5939">
              <w:rPr>
                <w:rStyle w:val="Hyperlink"/>
              </w:rPr>
              <w:t>1.5</w:t>
            </w:r>
            <w:r w:rsidR="008F0976">
              <w:rPr>
                <w:rFonts w:eastAsiaTheme="minorEastAsia"/>
                <w:lang w:eastAsia="en-AU"/>
              </w:rPr>
              <w:tab/>
            </w:r>
            <w:r w:rsidR="008F0976" w:rsidRPr="00CE5939">
              <w:rPr>
                <w:rStyle w:val="Hyperlink"/>
              </w:rPr>
              <w:t>Scope of the ILC Program Guidelines</w:t>
            </w:r>
            <w:r w:rsidR="008F0976">
              <w:rPr>
                <w:webHidden/>
              </w:rPr>
              <w:tab/>
            </w:r>
            <w:r w:rsidR="008F0976">
              <w:rPr>
                <w:webHidden/>
              </w:rPr>
              <w:fldChar w:fldCharType="begin"/>
            </w:r>
            <w:r w:rsidR="008F0976">
              <w:rPr>
                <w:webHidden/>
              </w:rPr>
              <w:instrText xml:space="preserve"> PAGEREF _Toc4175410 \h </w:instrText>
            </w:r>
            <w:r w:rsidR="008F0976">
              <w:rPr>
                <w:webHidden/>
              </w:rPr>
            </w:r>
            <w:r w:rsidR="008F0976">
              <w:rPr>
                <w:webHidden/>
              </w:rPr>
              <w:fldChar w:fldCharType="separate"/>
            </w:r>
            <w:r w:rsidR="00B979F5">
              <w:rPr>
                <w:webHidden/>
              </w:rPr>
              <w:t>5</w:t>
            </w:r>
            <w:r w:rsidR="008F0976">
              <w:rPr>
                <w:webHidden/>
              </w:rPr>
              <w:fldChar w:fldCharType="end"/>
            </w:r>
          </w:hyperlink>
        </w:p>
        <w:p w14:paraId="4BCCB2D4" w14:textId="2EC13088" w:rsidR="008F0976" w:rsidRDefault="00EB3118">
          <w:pPr>
            <w:pStyle w:val="TOC2"/>
            <w:rPr>
              <w:rFonts w:eastAsiaTheme="minorEastAsia"/>
              <w:lang w:eastAsia="en-AU"/>
            </w:rPr>
          </w:pPr>
          <w:hyperlink w:anchor="_Toc4175411" w:history="1">
            <w:r w:rsidR="008F0976" w:rsidRPr="00CE5939">
              <w:rPr>
                <w:rStyle w:val="Hyperlink"/>
                <w:rFonts w:eastAsia="Calibri"/>
              </w:rPr>
              <w:t>1.6</w:t>
            </w:r>
            <w:r w:rsidR="008F0976">
              <w:rPr>
                <w:rFonts w:eastAsiaTheme="minorEastAsia"/>
                <w:lang w:eastAsia="en-AU"/>
              </w:rPr>
              <w:tab/>
            </w:r>
            <w:r w:rsidR="008F0976" w:rsidRPr="00CE5939">
              <w:rPr>
                <w:rStyle w:val="Hyperlink"/>
                <w:rFonts w:eastAsia="Calibri"/>
              </w:rPr>
              <w:t>Changes to ILC Program Guidelines</w:t>
            </w:r>
            <w:r w:rsidR="008F0976">
              <w:rPr>
                <w:webHidden/>
              </w:rPr>
              <w:tab/>
            </w:r>
            <w:r w:rsidR="008F0976">
              <w:rPr>
                <w:webHidden/>
              </w:rPr>
              <w:fldChar w:fldCharType="begin"/>
            </w:r>
            <w:r w:rsidR="008F0976">
              <w:rPr>
                <w:webHidden/>
              </w:rPr>
              <w:instrText xml:space="preserve"> PAGEREF _Toc4175411 \h </w:instrText>
            </w:r>
            <w:r w:rsidR="008F0976">
              <w:rPr>
                <w:webHidden/>
              </w:rPr>
            </w:r>
            <w:r w:rsidR="008F0976">
              <w:rPr>
                <w:webHidden/>
              </w:rPr>
              <w:fldChar w:fldCharType="separate"/>
            </w:r>
            <w:r w:rsidR="00B979F5">
              <w:rPr>
                <w:webHidden/>
              </w:rPr>
              <w:t>5</w:t>
            </w:r>
            <w:r w:rsidR="008F0976">
              <w:rPr>
                <w:webHidden/>
              </w:rPr>
              <w:fldChar w:fldCharType="end"/>
            </w:r>
          </w:hyperlink>
        </w:p>
        <w:p w14:paraId="06F54DCE" w14:textId="0BBB998B" w:rsidR="008F0976" w:rsidRDefault="00EB3118">
          <w:pPr>
            <w:pStyle w:val="TOC1"/>
            <w:rPr>
              <w:rFonts w:eastAsiaTheme="minorEastAsia"/>
              <w:b w:val="0"/>
              <w:sz w:val="22"/>
              <w:lang w:eastAsia="en-AU"/>
            </w:rPr>
          </w:pPr>
          <w:hyperlink w:anchor="_Toc4175412" w:history="1">
            <w:r w:rsidR="008F0976" w:rsidRPr="00CE5939">
              <w:rPr>
                <w:rStyle w:val="Hyperlink"/>
              </w:rPr>
              <w:t>2</w:t>
            </w:r>
            <w:r w:rsidR="008F0976">
              <w:rPr>
                <w:rFonts w:eastAsiaTheme="minorEastAsia"/>
                <w:b w:val="0"/>
                <w:sz w:val="22"/>
                <w:lang w:eastAsia="en-AU"/>
              </w:rPr>
              <w:tab/>
            </w:r>
            <w:r w:rsidR="008F0976" w:rsidRPr="00CE5939">
              <w:rPr>
                <w:rStyle w:val="Hyperlink"/>
                <w:rFonts w:eastAsia="Calibri"/>
              </w:rPr>
              <w:t>Information, Linkages and Capacity Building</w:t>
            </w:r>
            <w:r w:rsidR="008F0976">
              <w:rPr>
                <w:webHidden/>
              </w:rPr>
              <w:tab/>
            </w:r>
            <w:r w:rsidR="008F0976">
              <w:rPr>
                <w:webHidden/>
              </w:rPr>
              <w:fldChar w:fldCharType="begin"/>
            </w:r>
            <w:r w:rsidR="008F0976">
              <w:rPr>
                <w:webHidden/>
              </w:rPr>
              <w:instrText xml:space="preserve"> PAGEREF _Toc4175412 \h </w:instrText>
            </w:r>
            <w:r w:rsidR="008F0976">
              <w:rPr>
                <w:webHidden/>
              </w:rPr>
            </w:r>
            <w:r w:rsidR="008F0976">
              <w:rPr>
                <w:webHidden/>
              </w:rPr>
              <w:fldChar w:fldCharType="separate"/>
            </w:r>
            <w:r w:rsidR="00B979F5">
              <w:rPr>
                <w:webHidden/>
              </w:rPr>
              <w:t>5</w:t>
            </w:r>
            <w:r w:rsidR="008F0976">
              <w:rPr>
                <w:webHidden/>
              </w:rPr>
              <w:fldChar w:fldCharType="end"/>
            </w:r>
          </w:hyperlink>
        </w:p>
        <w:p w14:paraId="0BB682B3" w14:textId="4F8D3867" w:rsidR="008F0976" w:rsidRDefault="00EB3118">
          <w:pPr>
            <w:pStyle w:val="TOC2"/>
            <w:rPr>
              <w:rFonts w:eastAsiaTheme="minorEastAsia"/>
              <w:lang w:eastAsia="en-AU"/>
            </w:rPr>
          </w:pPr>
          <w:hyperlink w:anchor="_Toc4175413" w:history="1">
            <w:r w:rsidR="008F0976" w:rsidRPr="00CE5939">
              <w:rPr>
                <w:rStyle w:val="Hyperlink"/>
              </w:rPr>
              <w:t>2.1</w:t>
            </w:r>
            <w:r w:rsidR="008F0976">
              <w:rPr>
                <w:rFonts w:eastAsiaTheme="minorEastAsia"/>
                <w:lang w:eastAsia="en-AU"/>
              </w:rPr>
              <w:tab/>
            </w:r>
            <w:r w:rsidR="008F0976" w:rsidRPr="00CE5939">
              <w:rPr>
                <w:rStyle w:val="Hyperlink"/>
              </w:rPr>
              <w:t>ILC in the context of the NDIS</w:t>
            </w:r>
            <w:r w:rsidR="008F0976">
              <w:rPr>
                <w:webHidden/>
              </w:rPr>
              <w:tab/>
            </w:r>
            <w:r w:rsidR="008F0976">
              <w:rPr>
                <w:webHidden/>
              </w:rPr>
              <w:fldChar w:fldCharType="begin"/>
            </w:r>
            <w:r w:rsidR="008F0976">
              <w:rPr>
                <w:webHidden/>
              </w:rPr>
              <w:instrText xml:space="preserve"> PAGEREF _Toc4175413 \h </w:instrText>
            </w:r>
            <w:r w:rsidR="008F0976">
              <w:rPr>
                <w:webHidden/>
              </w:rPr>
            </w:r>
            <w:r w:rsidR="008F0976">
              <w:rPr>
                <w:webHidden/>
              </w:rPr>
              <w:fldChar w:fldCharType="separate"/>
            </w:r>
            <w:r w:rsidR="00B979F5">
              <w:rPr>
                <w:webHidden/>
              </w:rPr>
              <w:t>5</w:t>
            </w:r>
            <w:r w:rsidR="008F0976">
              <w:rPr>
                <w:webHidden/>
              </w:rPr>
              <w:fldChar w:fldCharType="end"/>
            </w:r>
          </w:hyperlink>
        </w:p>
        <w:p w14:paraId="73C0BC9B" w14:textId="2715F688" w:rsidR="008F0976" w:rsidRDefault="00EB3118">
          <w:pPr>
            <w:pStyle w:val="TOC2"/>
            <w:rPr>
              <w:rFonts w:eastAsiaTheme="minorEastAsia"/>
              <w:lang w:eastAsia="en-AU"/>
            </w:rPr>
          </w:pPr>
          <w:hyperlink w:anchor="_Toc4175414" w:history="1">
            <w:r w:rsidR="008F0976" w:rsidRPr="00CE5939">
              <w:rPr>
                <w:rStyle w:val="Hyperlink"/>
              </w:rPr>
              <w:t>2.2</w:t>
            </w:r>
            <w:r w:rsidR="008F0976">
              <w:rPr>
                <w:rFonts w:eastAsiaTheme="minorEastAsia"/>
                <w:lang w:eastAsia="en-AU"/>
              </w:rPr>
              <w:tab/>
            </w:r>
            <w:r w:rsidR="008F0976" w:rsidRPr="00CE5939">
              <w:rPr>
                <w:rStyle w:val="Hyperlink"/>
              </w:rPr>
              <w:t>Objective of ILC</w:t>
            </w:r>
            <w:r w:rsidR="008F0976">
              <w:rPr>
                <w:webHidden/>
              </w:rPr>
              <w:tab/>
            </w:r>
            <w:r w:rsidR="008F0976">
              <w:rPr>
                <w:webHidden/>
              </w:rPr>
              <w:fldChar w:fldCharType="begin"/>
            </w:r>
            <w:r w:rsidR="008F0976">
              <w:rPr>
                <w:webHidden/>
              </w:rPr>
              <w:instrText xml:space="preserve"> PAGEREF _Toc4175414 \h </w:instrText>
            </w:r>
            <w:r w:rsidR="008F0976">
              <w:rPr>
                <w:webHidden/>
              </w:rPr>
            </w:r>
            <w:r w:rsidR="008F0976">
              <w:rPr>
                <w:webHidden/>
              </w:rPr>
              <w:fldChar w:fldCharType="separate"/>
            </w:r>
            <w:r w:rsidR="00B979F5">
              <w:rPr>
                <w:webHidden/>
              </w:rPr>
              <w:t>6</w:t>
            </w:r>
            <w:r w:rsidR="008F0976">
              <w:rPr>
                <w:webHidden/>
              </w:rPr>
              <w:fldChar w:fldCharType="end"/>
            </w:r>
          </w:hyperlink>
        </w:p>
        <w:p w14:paraId="44106D43" w14:textId="513D8BCE" w:rsidR="008F0976" w:rsidRDefault="00EB3118">
          <w:pPr>
            <w:pStyle w:val="TOC2"/>
            <w:rPr>
              <w:rFonts w:eastAsiaTheme="minorEastAsia"/>
              <w:lang w:eastAsia="en-AU"/>
            </w:rPr>
          </w:pPr>
          <w:hyperlink w:anchor="_Toc4175415" w:history="1">
            <w:r w:rsidR="008F0976" w:rsidRPr="00CE5939">
              <w:rPr>
                <w:rStyle w:val="Hyperlink"/>
              </w:rPr>
              <w:t>2.3</w:t>
            </w:r>
            <w:r w:rsidR="008F0976">
              <w:rPr>
                <w:rFonts w:eastAsiaTheme="minorEastAsia"/>
                <w:lang w:eastAsia="en-AU"/>
              </w:rPr>
              <w:tab/>
            </w:r>
            <w:r w:rsidR="008F0976" w:rsidRPr="00CE5939">
              <w:rPr>
                <w:rStyle w:val="Hyperlink"/>
                <w:rFonts w:eastAsia="Calibri"/>
              </w:rPr>
              <w:t>Implementation of ILC</w:t>
            </w:r>
            <w:r w:rsidR="008F0976">
              <w:rPr>
                <w:webHidden/>
              </w:rPr>
              <w:tab/>
            </w:r>
            <w:r w:rsidR="008F0976">
              <w:rPr>
                <w:webHidden/>
              </w:rPr>
              <w:fldChar w:fldCharType="begin"/>
            </w:r>
            <w:r w:rsidR="008F0976">
              <w:rPr>
                <w:webHidden/>
              </w:rPr>
              <w:instrText xml:space="preserve"> PAGEREF _Toc4175415 \h </w:instrText>
            </w:r>
            <w:r w:rsidR="008F0976">
              <w:rPr>
                <w:webHidden/>
              </w:rPr>
            </w:r>
            <w:r w:rsidR="008F0976">
              <w:rPr>
                <w:webHidden/>
              </w:rPr>
              <w:fldChar w:fldCharType="separate"/>
            </w:r>
            <w:r w:rsidR="00B979F5">
              <w:rPr>
                <w:webHidden/>
              </w:rPr>
              <w:t>6</w:t>
            </w:r>
            <w:r w:rsidR="008F0976">
              <w:rPr>
                <w:webHidden/>
              </w:rPr>
              <w:fldChar w:fldCharType="end"/>
            </w:r>
          </w:hyperlink>
        </w:p>
        <w:p w14:paraId="453C6CFF" w14:textId="6782DFE9" w:rsidR="008F0976" w:rsidRDefault="00EB3118">
          <w:pPr>
            <w:pStyle w:val="TOC2"/>
            <w:rPr>
              <w:rFonts w:eastAsiaTheme="minorEastAsia"/>
              <w:lang w:eastAsia="en-AU"/>
            </w:rPr>
          </w:pPr>
          <w:hyperlink w:anchor="_Toc4175416" w:history="1">
            <w:r w:rsidR="008F0976" w:rsidRPr="00CE5939">
              <w:rPr>
                <w:rStyle w:val="Hyperlink"/>
                <w:rFonts w:eastAsia="Calibri"/>
              </w:rPr>
              <w:t>2.4</w:t>
            </w:r>
            <w:r w:rsidR="008F0976">
              <w:rPr>
                <w:rFonts w:eastAsiaTheme="minorEastAsia"/>
                <w:lang w:eastAsia="en-AU"/>
              </w:rPr>
              <w:tab/>
            </w:r>
            <w:r w:rsidR="008F0976" w:rsidRPr="00CE5939">
              <w:rPr>
                <w:rStyle w:val="Hyperlink"/>
                <w:rFonts w:eastAsia="Calibri"/>
              </w:rPr>
              <w:t>Local Area Coordinators (LACs)</w:t>
            </w:r>
            <w:r w:rsidR="008F0976">
              <w:rPr>
                <w:webHidden/>
              </w:rPr>
              <w:tab/>
            </w:r>
            <w:r w:rsidR="008F0976">
              <w:rPr>
                <w:webHidden/>
              </w:rPr>
              <w:fldChar w:fldCharType="begin"/>
            </w:r>
            <w:r w:rsidR="008F0976">
              <w:rPr>
                <w:webHidden/>
              </w:rPr>
              <w:instrText xml:space="preserve"> PAGEREF _Toc4175416 \h </w:instrText>
            </w:r>
            <w:r w:rsidR="008F0976">
              <w:rPr>
                <w:webHidden/>
              </w:rPr>
            </w:r>
            <w:r w:rsidR="008F0976">
              <w:rPr>
                <w:webHidden/>
              </w:rPr>
              <w:fldChar w:fldCharType="separate"/>
            </w:r>
            <w:r w:rsidR="00B979F5">
              <w:rPr>
                <w:webHidden/>
              </w:rPr>
              <w:t>6</w:t>
            </w:r>
            <w:r w:rsidR="008F0976">
              <w:rPr>
                <w:webHidden/>
              </w:rPr>
              <w:fldChar w:fldCharType="end"/>
            </w:r>
          </w:hyperlink>
        </w:p>
        <w:p w14:paraId="3A2E3B51" w14:textId="5C178220" w:rsidR="008F0976" w:rsidRDefault="00EB3118">
          <w:pPr>
            <w:pStyle w:val="TOC2"/>
            <w:rPr>
              <w:rFonts w:eastAsiaTheme="minorEastAsia"/>
              <w:lang w:eastAsia="en-AU"/>
            </w:rPr>
          </w:pPr>
          <w:hyperlink w:anchor="_Toc4175417" w:history="1">
            <w:r w:rsidR="008F0976" w:rsidRPr="00CE5939">
              <w:rPr>
                <w:rStyle w:val="Hyperlink"/>
              </w:rPr>
              <w:t>2.5</w:t>
            </w:r>
            <w:r w:rsidR="008F0976">
              <w:rPr>
                <w:rFonts w:eastAsiaTheme="minorEastAsia"/>
                <w:lang w:eastAsia="en-AU"/>
              </w:rPr>
              <w:tab/>
            </w:r>
            <w:r w:rsidR="008F0976" w:rsidRPr="00CE5939">
              <w:rPr>
                <w:rStyle w:val="Hyperlink"/>
              </w:rPr>
              <w:t>ILC Investment Strategy 2018</w:t>
            </w:r>
            <w:r w:rsidR="008F0976">
              <w:rPr>
                <w:webHidden/>
              </w:rPr>
              <w:tab/>
            </w:r>
            <w:r w:rsidR="008F0976">
              <w:rPr>
                <w:webHidden/>
              </w:rPr>
              <w:fldChar w:fldCharType="begin"/>
            </w:r>
            <w:r w:rsidR="008F0976">
              <w:rPr>
                <w:webHidden/>
              </w:rPr>
              <w:instrText xml:space="preserve"> PAGEREF _Toc4175417 \h </w:instrText>
            </w:r>
            <w:r w:rsidR="008F0976">
              <w:rPr>
                <w:webHidden/>
              </w:rPr>
            </w:r>
            <w:r w:rsidR="008F0976">
              <w:rPr>
                <w:webHidden/>
              </w:rPr>
              <w:fldChar w:fldCharType="separate"/>
            </w:r>
            <w:r w:rsidR="00B979F5">
              <w:rPr>
                <w:webHidden/>
              </w:rPr>
              <w:t>6</w:t>
            </w:r>
            <w:r w:rsidR="008F0976">
              <w:rPr>
                <w:webHidden/>
              </w:rPr>
              <w:fldChar w:fldCharType="end"/>
            </w:r>
          </w:hyperlink>
        </w:p>
        <w:p w14:paraId="1AA6739C" w14:textId="39154BA4" w:rsidR="008F0976" w:rsidRDefault="00EB3118">
          <w:pPr>
            <w:pStyle w:val="TOC1"/>
            <w:rPr>
              <w:rFonts w:eastAsiaTheme="minorEastAsia"/>
              <w:b w:val="0"/>
              <w:sz w:val="22"/>
              <w:lang w:eastAsia="en-AU"/>
            </w:rPr>
          </w:pPr>
          <w:hyperlink w:anchor="_Toc4175418" w:history="1">
            <w:r w:rsidR="008F0976" w:rsidRPr="00CE5939">
              <w:rPr>
                <w:rStyle w:val="Hyperlink"/>
                <w:rFonts w:eastAsia="Calibri"/>
              </w:rPr>
              <w:t>3</w:t>
            </w:r>
            <w:r w:rsidR="008F0976">
              <w:rPr>
                <w:rFonts w:eastAsiaTheme="minorEastAsia"/>
                <w:b w:val="0"/>
                <w:sz w:val="22"/>
                <w:lang w:eastAsia="en-AU"/>
              </w:rPr>
              <w:tab/>
            </w:r>
            <w:r w:rsidR="008F0976" w:rsidRPr="00CE5939">
              <w:rPr>
                <w:rStyle w:val="Hyperlink"/>
                <w:rFonts w:eastAsia="Calibri"/>
              </w:rPr>
              <w:t>Program Overview</w:t>
            </w:r>
            <w:r w:rsidR="008F0976">
              <w:rPr>
                <w:webHidden/>
              </w:rPr>
              <w:tab/>
            </w:r>
            <w:r w:rsidR="008F0976">
              <w:rPr>
                <w:webHidden/>
              </w:rPr>
              <w:fldChar w:fldCharType="begin"/>
            </w:r>
            <w:r w:rsidR="008F0976">
              <w:rPr>
                <w:webHidden/>
              </w:rPr>
              <w:instrText xml:space="preserve"> PAGEREF _Toc4175418 \h </w:instrText>
            </w:r>
            <w:r w:rsidR="008F0976">
              <w:rPr>
                <w:webHidden/>
              </w:rPr>
            </w:r>
            <w:r w:rsidR="008F0976">
              <w:rPr>
                <w:webHidden/>
              </w:rPr>
              <w:fldChar w:fldCharType="separate"/>
            </w:r>
            <w:r w:rsidR="00B979F5">
              <w:rPr>
                <w:webHidden/>
              </w:rPr>
              <w:t>6</w:t>
            </w:r>
            <w:r w:rsidR="008F0976">
              <w:rPr>
                <w:webHidden/>
              </w:rPr>
              <w:fldChar w:fldCharType="end"/>
            </w:r>
          </w:hyperlink>
        </w:p>
        <w:p w14:paraId="7EADF1B3" w14:textId="041FE060" w:rsidR="008F0976" w:rsidRDefault="00EB3118">
          <w:pPr>
            <w:pStyle w:val="TOC2"/>
            <w:rPr>
              <w:rFonts w:eastAsiaTheme="minorEastAsia"/>
              <w:lang w:eastAsia="en-AU"/>
            </w:rPr>
          </w:pPr>
          <w:hyperlink w:anchor="_Toc4175419" w:history="1">
            <w:r w:rsidR="008F0976" w:rsidRPr="00CE5939">
              <w:rPr>
                <w:rStyle w:val="Hyperlink"/>
              </w:rPr>
              <w:t>3.1</w:t>
            </w:r>
            <w:r w:rsidR="008F0976">
              <w:rPr>
                <w:rFonts w:eastAsiaTheme="minorEastAsia"/>
                <w:lang w:eastAsia="en-AU"/>
              </w:rPr>
              <w:tab/>
            </w:r>
            <w:r w:rsidR="008F0976" w:rsidRPr="00CE5939">
              <w:rPr>
                <w:rStyle w:val="Hyperlink"/>
              </w:rPr>
              <w:t>Individual Capacity Building Program</w:t>
            </w:r>
            <w:r w:rsidR="008F0976">
              <w:rPr>
                <w:webHidden/>
              </w:rPr>
              <w:tab/>
            </w:r>
            <w:r w:rsidR="008F0976">
              <w:rPr>
                <w:webHidden/>
              </w:rPr>
              <w:fldChar w:fldCharType="begin"/>
            </w:r>
            <w:r w:rsidR="008F0976">
              <w:rPr>
                <w:webHidden/>
              </w:rPr>
              <w:instrText xml:space="preserve"> PAGEREF _Toc4175419 \h </w:instrText>
            </w:r>
            <w:r w:rsidR="008F0976">
              <w:rPr>
                <w:webHidden/>
              </w:rPr>
            </w:r>
            <w:r w:rsidR="008F0976">
              <w:rPr>
                <w:webHidden/>
              </w:rPr>
              <w:fldChar w:fldCharType="separate"/>
            </w:r>
            <w:r w:rsidR="00B979F5">
              <w:rPr>
                <w:webHidden/>
              </w:rPr>
              <w:t>7</w:t>
            </w:r>
            <w:r w:rsidR="008F0976">
              <w:rPr>
                <w:webHidden/>
              </w:rPr>
              <w:fldChar w:fldCharType="end"/>
            </w:r>
          </w:hyperlink>
        </w:p>
        <w:p w14:paraId="721E4B8C" w14:textId="5F7C6DC6" w:rsidR="008F0976" w:rsidRDefault="00EB3118">
          <w:pPr>
            <w:pStyle w:val="TOC2"/>
            <w:rPr>
              <w:rFonts w:eastAsiaTheme="minorEastAsia"/>
              <w:lang w:eastAsia="en-AU"/>
            </w:rPr>
          </w:pPr>
          <w:hyperlink w:anchor="_Toc4175420" w:history="1">
            <w:r w:rsidR="008F0976" w:rsidRPr="00CE5939">
              <w:rPr>
                <w:rStyle w:val="Hyperlink"/>
              </w:rPr>
              <w:t>3.2</w:t>
            </w:r>
            <w:r w:rsidR="008F0976">
              <w:rPr>
                <w:rFonts w:eastAsiaTheme="minorEastAsia"/>
                <w:lang w:eastAsia="en-AU"/>
              </w:rPr>
              <w:tab/>
            </w:r>
            <w:r w:rsidR="008F0976" w:rsidRPr="00CE5939">
              <w:rPr>
                <w:rStyle w:val="Hyperlink"/>
              </w:rPr>
              <w:t>National Information Program</w:t>
            </w:r>
            <w:r w:rsidR="008F0976">
              <w:rPr>
                <w:webHidden/>
              </w:rPr>
              <w:tab/>
            </w:r>
            <w:r w:rsidR="008F0976">
              <w:rPr>
                <w:webHidden/>
              </w:rPr>
              <w:fldChar w:fldCharType="begin"/>
            </w:r>
            <w:r w:rsidR="008F0976">
              <w:rPr>
                <w:webHidden/>
              </w:rPr>
              <w:instrText xml:space="preserve"> PAGEREF _Toc4175420 \h </w:instrText>
            </w:r>
            <w:r w:rsidR="008F0976">
              <w:rPr>
                <w:webHidden/>
              </w:rPr>
            </w:r>
            <w:r w:rsidR="008F0976">
              <w:rPr>
                <w:webHidden/>
              </w:rPr>
              <w:fldChar w:fldCharType="separate"/>
            </w:r>
            <w:r w:rsidR="00B979F5">
              <w:rPr>
                <w:webHidden/>
              </w:rPr>
              <w:t>8</w:t>
            </w:r>
            <w:r w:rsidR="008F0976">
              <w:rPr>
                <w:webHidden/>
              </w:rPr>
              <w:fldChar w:fldCharType="end"/>
            </w:r>
          </w:hyperlink>
        </w:p>
        <w:p w14:paraId="0F452CE1" w14:textId="761448BB" w:rsidR="008F0976" w:rsidRDefault="00EB3118">
          <w:pPr>
            <w:pStyle w:val="TOC2"/>
            <w:rPr>
              <w:rFonts w:eastAsiaTheme="minorEastAsia"/>
              <w:lang w:eastAsia="en-AU"/>
            </w:rPr>
          </w:pPr>
          <w:hyperlink w:anchor="_Toc4175421" w:history="1">
            <w:r w:rsidR="008F0976" w:rsidRPr="00CE5939">
              <w:rPr>
                <w:rStyle w:val="Hyperlink"/>
              </w:rPr>
              <w:t>3.3</w:t>
            </w:r>
            <w:r w:rsidR="008F0976">
              <w:rPr>
                <w:rFonts w:eastAsiaTheme="minorEastAsia"/>
                <w:lang w:eastAsia="en-AU"/>
              </w:rPr>
              <w:tab/>
            </w:r>
            <w:r w:rsidR="008F0976" w:rsidRPr="00CE5939">
              <w:rPr>
                <w:rStyle w:val="Hyperlink"/>
              </w:rPr>
              <w:t>Economic and Community Participation Program</w:t>
            </w:r>
            <w:r w:rsidR="008F0976">
              <w:rPr>
                <w:webHidden/>
              </w:rPr>
              <w:tab/>
            </w:r>
            <w:r w:rsidR="008F0976">
              <w:rPr>
                <w:webHidden/>
              </w:rPr>
              <w:fldChar w:fldCharType="begin"/>
            </w:r>
            <w:r w:rsidR="008F0976">
              <w:rPr>
                <w:webHidden/>
              </w:rPr>
              <w:instrText xml:space="preserve"> PAGEREF _Toc4175421 \h </w:instrText>
            </w:r>
            <w:r w:rsidR="008F0976">
              <w:rPr>
                <w:webHidden/>
              </w:rPr>
            </w:r>
            <w:r w:rsidR="008F0976">
              <w:rPr>
                <w:webHidden/>
              </w:rPr>
              <w:fldChar w:fldCharType="separate"/>
            </w:r>
            <w:r w:rsidR="00B979F5">
              <w:rPr>
                <w:webHidden/>
              </w:rPr>
              <w:t>8</w:t>
            </w:r>
            <w:r w:rsidR="008F0976">
              <w:rPr>
                <w:webHidden/>
              </w:rPr>
              <w:fldChar w:fldCharType="end"/>
            </w:r>
          </w:hyperlink>
        </w:p>
        <w:p w14:paraId="6BD76051" w14:textId="7359EFD8" w:rsidR="008F0976" w:rsidRDefault="00EB3118">
          <w:pPr>
            <w:pStyle w:val="TOC2"/>
            <w:rPr>
              <w:rFonts w:eastAsiaTheme="minorEastAsia"/>
              <w:lang w:eastAsia="en-AU"/>
            </w:rPr>
          </w:pPr>
          <w:hyperlink w:anchor="_Toc4175422" w:history="1">
            <w:r w:rsidR="008F0976" w:rsidRPr="00CE5939">
              <w:rPr>
                <w:rStyle w:val="Hyperlink"/>
              </w:rPr>
              <w:t>3.4</w:t>
            </w:r>
            <w:r w:rsidR="008F0976">
              <w:rPr>
                <w:rFonts w:eastAsiaTheme="minorEastAsia"/>
                <w:lang w:eastAsia="en-AU"/>
              </w:rPr>
              <w:tab/>
            </w:r>
            <w:r w:rsidR="008F0976" w:rsidRPr="00CE5939">
              <w:rPr>
                <w:rStyle w:val="Hyperlink"/>
              </w:rPr>
              <w:t>Mainstream Capacity Building Program</w:t>
            </w:r>
            <w:r w:rsidR="008F0976">
              <w:rPr>
                <w:webHidden/>
              </w:rPr>
              <w:tab/>
            </w:r>
            <w:r w:rsidR="008F0976">
              <w:rPr>
                <w:webHidden/>
              </w:rPr>
              <w:fldChar w:fldCharType="begin"/>
            </w:r>
            <w:r w:rsidR="008F0976">
              <w:rPr>
                <w:webHidden/>
              </w:rPr>
              <w:instrText xml:space="preserve"> PAGEREF _Toc4175422 \h </w:instrText>
            </w:r>
            <w:r w:rsidR="008F0976">
              <w:rPr>
                <w:webHidden/>
              </w:rPr>
            </w:r>
            <w:r w:rsidR="008F0976">
              <w:rPr>
                <w:webHidden/>
              </w:rPr>
              <w:fldChar w:fldCharType="separate"/>
            </w:r>
            <w:r w:rsidR="00B979F5">
              <w:rPr>
                <w:webHidden/>
              </w:rPr>
              <w:t>9</w:t>
            </w:r>
            <w:r w:rsidR="008F0976">
              <w:rPr>
                <w:webHidden/>
              </w:rPr>
              <w:fldChar w:fldCharType="end"/>
            </w:r>
          </w:hyperlink>
        </w:p>
        <w:p w14:paraId="4097068D" w14:textId="7C07BA5D" w:rsidR="008F0976" w:rsidRDefault="00EB3118">
          <w:pPr>
            <w:pStyle w:val="TOC2"/>
            <w:rPr>
              <w:rFonts w:eastAsiaTheme="minorEastAsia"/>
              <w:lang w:eastAsia="en-AU"/>
            </w:rPr>
          </w:pPr>
          <w:hyperlink w:anchor="_Toc4175423" w:history="1">
            <w:r w:rsidR="008F0976" w:rsidRPr="00CE5939">
              <w:rPr>
                <w:rStyle w:val="Hyperlink"/>
              </w:rPr>
              <w:t>3.5</w:t>
            </w:r>
            <w:r w:rsidR="008F0976">
              <w:rPr>
                <w:rFonts w:eastAsiaTheme="minorEastAsia"/>
                <w:lang w:eastAsia="en-AU"/>
              </w:rPr>
              <w:tab/>
            </w:r>
            <w:r w:rsidR="008F0976" w:rsidRPr="00CE5939">
              <w:rPr>
                <w:rStyle w:val="Hyperlink"/>
              </w:rPr>
              <w:t>Promising Practices</w:t>
            </w:r>
            <w:r w:rsidR="008F0976">
              <w:rPr>
                <w:webHidden/>
              </w:rPr>
              <w:tab/>
            </w:r>
            <w:r w:rsidR="008F0976">
              <w:rPr>
                <w:webHidden/>
              </w:rPr>
              <w:fldChar w:fldCharType="begin"/>
            </w:r>
            <w:r w:rsidR="008F0976">
              <w:rPr>
                <w:webHidden/>
              </w:rPr>
              <w:instrText xml:space="preserve"> PAGEREF _Toc4175423 \h </w:instrText>
            </w:r>
            <w:r w:rsidR="008F0976">
              <w:rPr>
                <w:webHidden/>
              </w:rPr>
            </w:r>
            <w:r w:rsidR="008F0976">
              <w:rPr>
                <w:webHidden/>
              </w:rPr>
              <w:fldChar w:fldCharType="separate"/>
            </w:r>
            <w:r w:rsidR="00B979F5">
              <w:rPr>
                <w:webHidden/>
              </w:rPr>
              <w:t>9</w:t>
            </w:r>
            <w:r w:rsidR="008F0976">
              <w:rPr>
                <w:webHidden/>
              </w:rPr>
              <w:fldChar w:fldCharType="end"/>
            </w:r>
          </w:hyperlink>
        </w:p>
        <w:p w14:paraId="7CE32443" w14:textId="4FA1FB0A" w:rsidR="008F0976" w:rsidRDefault="00EB3118">
          <w:pPr>
            <w:pStyle w:val="TOC2"/>
            <w:rPr>
              <w:rFonts w:eastAsiaTheme="minorEastAsia"/>
              <w:lang w:eastAsia="en-AU"/>
            </w:rPr>
          </w:pPr>
          <w:hyperlink w:anchor="_Toc4175424" w:history="1">
            <w:r w:rsidR="008F0976" w:rsidRPr="00CE5939">
              <w:rPr>
                <w:rStyle w:val="Hyperlink"/>
              </w:rPr>
              <w:t>3.6</w:t>
            </w:r>
            <w:r w:rsidR="008F0976">
              <w:rPr>
                <w:rFonts w:eastAsiaTheme="minorEastAsia"/>
                <w:lang w:eastAsia="en-AU"/>
              </w:rPr>
              <w:tab/>
            </w:r>
            <w:r w:rsidR="008F0976" w:rsidRPr="00CE5939">
              <w:rPr>
                <w:rStyle w:val="Hyperlink"/>
              </w:rPr>
              <w:t>Implementation Process</w:t>
            </w:r>
            <w:r w:rsidR="008F0976">
              <w:rPr>
                <w:webHidden/>
              </w:rPr>
              <w:tab/>
            </w:r>
            <w:r w:rsidR="008F0976">
              <w:rPr>
                <w:webHidden/>
              </w:rPr>
              <w:fldChar w:fldCharType="begin"/>
            </w:r>
            <w:r w:rsidR="008F0976">
              <w:rPr>
                <w:webHidden/>
              </w:rPr>
              <w:instrText xml:space="preserve"> PAGEREF _Toc4175424 \h </w:instrText>
            </w:r>
            <w:r w:rsidR="008F0976">
              <w:rPr>
                <w:webHidden/>
              </w:rPr>
            </w:r>
            <w:r w:rsidR="008F0976">
              <w:rPr>
                <w:webHidden/>
              </w:rPr>
              <w:fldChar w:fldCharType="separate"/>
            </w:r>
            <w:r w:rsidR="00B979F5">
              <w:rPr>
                <w:webHidden/>
              </w:rPr>
              <w:t>9</w:t>
            </w:r>
            <w:r w:rsidR="008F0976">
              <w:rPr>
                <w:webHidden/>
              </w:rPr>
              <w:fldChar w:fldCharType="end"/>
            </w:r>
          </w:hyperlink>
        </w:p>
        <w:p w14:paraId="30F324C3" w14:textId="723379B0" w:rsidR="008F0976" w:rsidRDefault="00EB3118">
          <w:pPr>
            <w:pStyle w:val="TOC1"/>
            <w:rPr>
              <w:rFonts w:eastAsiaTheme="minorEastAsia"/>
              <w:b w:val="0"/>
              <w:sz w:val="22"/>
              <w:lang w:eastAsia="en-AU"/>
            </w:rPr>
          </w:pPr>
          <w:hyperlink w:anchor="_Toc4175425" w:history="1">
            <w:r w:rsidR="008F0976" w:rsidRPr="00CE5939">
              <w:rPr>
                <w:rStyle w:val="Hyperlink"/>
              </w:rPr>
              <w:t>4</w:t>
            </w:r>
            <w:r w:rsidR="008F0976">
              <w:rPr>
                <w:rFonts w:eastAsiaTheme="minorEastAsia"/>
                <w:b w:val="0"/>
                <w:sz w:val="22"/>
                <w:lang w:eastAsia="en-AU"/>
              </w:rPr>
              <w:tab/>
            </w:r>
            <w:r w:rsidR="008F0976" w:rsidRPr="00CE5939">
              <w:rPr>
                <w:rStyle w:val="Hyperlink"/>
              </w:rPr>
              <w:t>Target group</w:t>
            </w:r>
            <w:r w:rsidR="008F0976">
              <w:rPr>
                <w:webHidden/>
              </w:rPr>
              <w:tab/>
            </w:r>
            <w:r w:rsidR="008F0976">
              <w:rPr>
                <w:webHidden/>
              </w:rPr>
              <w:fldChar w:fldCharType="begin"/>
            </w:r>
            <w:r w:rsidR="008F0976">
              <w:rPr>
                <w:webHidden/>
              </w:rPr>
              <w:instrText xml:space="preserve"> PAGEREF _Toc4175425 \h </w:instrText>
            </w:r>
            <w:r w:rsidR="008F0976">
              <w:rPr>
                <w:webHidden/>
              </w:rPr>
            </w:r>
            <w:r w:rsidR="008F0976">
              <w:rPr>
                <w:webHidden/>
              </w:rPr>
              <w:fldChar w:fldCharType="separate"/>
            </w:r>
            <w:r w:rsidR="00B979F5">
              <w:rPr>
                <w:webHidden/>
              </w:rPr>
              <w:t>9</w:t>
            </w:r>
            <w:r w:rsidR="008F0976">
              <w:rPr>
                <w:webHidden/>
              </w:rPr>
              <w:fldChar w:fldCharType="end"/>
            </w:r>
          </w:hyperlink>
        </w:p>
        <w:p w14:paraId="7AD62195" w14:textId="3ECA2101" w:rsidR="008F0976" w:rsidRDefault="00EB3118">
          <w:pPr>
            <w:pStyle w:val="TOC1"/>
            <w:rPr>
              <w:rFonts w:eastAsiaTheme="minorEastAsia"/>
              <w:b w:val="0"/>
              <w:sz w:val="22"/>
              <w:lang w:eastAsia="en-AU"/>
            </w:rPr>
          </w:pPr>
          <w:hyperlink w:anchor="_Toc4175426" w:history="1">
            <w:r w:rsidR="008F0976" w:rsidRPr="00CE5939">
              <w:rPr>
                <w:rStyle w:val="Hyperlink"/>
              </w:rPr>
              <w:t>5</w:t>
            </w:r>
            <w:r w:rsidR="008F0976">
              <w:rPr>
                <w:rFonts w:eastAsiaTheme="minorEastAsia"/>
                <w:b w:val="0"/>
                <w:sz w:val="22"/>
                <w:lang w:eastAsia="en-AU"/>
              </w:rPr>
              <w:tab/>
            </w:r>
            <w:r w:rsidR="008F0976" w:rsidRPr="00CE5939">
              <w:rPr>
                <w:rStyle w:val="Hyperlink"/>
              </w:rPr>
              <w:t>Eligibility</w:t>
            </w:r>
            <w:r w:rsidR="008F0976">
              <w:rPr>
                <w:webHidden/>
              </w:rPr>
              <w:tab/>
            </w:r>
            <w:r w:rsidR="008F0976">
              <w:rPr>
                <w:webHidden/>
              </w:rPr>
              <w:fldChar w:fldCharType="begin"/>
            </w:r>
            <w:r w:rsidR="008F0976">
              <w:rPr>
                <w:webHidden/>
              </w:rPr>
              <w:instrText xml:space="preserve"> PAGEREF _Toc4175426 \h </w:instrText>
            </w:r>
            <w:r w:rsidR="008F0976">
              <w:rPr>
                <w:webHidden/>
              </w:rPr>
            </w:r>
            <w:r w:rsidR="008F0976">
              <w:rPr>
                <w:webHidden/>
              </w:rPr>
              <w:fldChar w:fldCharType="separate"/>
            </w:r>
            <w:r w:rsidR="00B979F5">
              <w:rPr>
                <w:webHidden/>
              </w:rPr>
              <w:t>9</w:t>
            </w:r>
            <w:r w:rsidR="008F0976">
              <w:rPr>
                <w:webHidden/>
              </w:rPr>
              <w:fldChar w:fldCharType="end"/>
            </w:r>
          </w:hyperlink>
        </w:p>
        <w:p w14:paraId="03D33BAE" w14:textId="045714A0" w:rsidR="008F0976" w:rsidRDefault="00EB3118">
          <w:pPr>
            <w:pStyle w:val="TOC1"/>
            <w:rPr>
              <w:rFonts w:eastAsiaTheme="minorEastAsia"/>
              <w:b w:val="0"/>
              <w:sz w:val="22"/>
              <w:lang w:eastAsia="en-AU"/>
            </w:rPr>
          </w:pPr>
          <w:hyperlink w:anchor="_Toc4175427" w:history="1">
            <w:r w:rsidR="008F0976" w:rsidRPr="00CE5939">
              <w:rPr>
                <w:rStyle w:val="Hyperlink"/>
              </w:rPr>
              <w:t>6</w:t>
            </w:r>
            <w:r w:rsidR="008F0976">
              <w:rPr>
                <w:rFonts w:eastAsiaTheme="minorEastAsia"/>
                <w:b w:val="0"/>
                <w:sz w:val="22"/>
                <w:lang w:eastAsia="en-AU"/>
              </w:rPr>
              <w:tab/>
            </w:r>
            <w:r w:rsidR="008F0976" w:rsidRPr="00CE5939">
              <w:rPr>
                <w:rStyle w:val="Hyperlink"/>
              </w:rPr>
              <w:t>Available ILC Program Funds</w:t>
            </w:r>
            <w:r w:rsidR="008F0976">
              <w:rPr>
                <w:webHidden/>
              </w:rPr>
              <w:tab/>
            </w:r>
            <w:r w:rsidR="008F0976">
              <w:rPr>
                <w:webHidden/>
              </w:rPr>
              <w:fldChar w:fldCharType="begin"/>
            </w:r>
            <w:r w:rsidR="008F0976">
              <w:rPr>
                <w:webHidden/>
              </w:rPr>
              <w:instrText xml:space="preserve"> PAGEREF _Toc4175427 \h </w:instrText>
            </w:r>
            <w:r w:rsidR="008F0976">
              <w:rPr>
                <w:webHidden/>
              </w:rPr>
            </w:r>
            <w:r w:rsidR="008F0976">
              <w:rPr>
                <w:webHidden/>
              </w:rPr>
              <w:fldChar w:fldCharType="separate"/>
            </w:r>
            <w:r w:rsidR="00B979F5">
              <w:rPr>
                <w:webHidden/>
              </w:rPr>
              <w:t>10</w:t>
            </w:r>
            <w:r w:rsidR="008F0976">
              <w:rPr>
                <w:webHidden/>
              </w:rPr>
              <w:fldChar w:fldCharType="end"/>
            </w:r>
          </w:hyperlink>
        </w:p>
        <w:p w14:paraId="59A54113" w14:textId="06CEB80D" w:rsidR="008F0976" w:rsidRDefault="00EB3118">
          <w:pPr>
            <w:pStyle w:val="TOC1"/>
            <w:rPr>
              <w:rFonts w:eastAsiaTheme="minorEastAsia"/>
              <w:b w:val="0"/>
              <w:sz w:val="22"/>
              <w:lang w:eastAsia="en-AU"/>
            </w:rPr>
          </w:pPr>
          <w:hyperlink w:anchor="_Toc4175428" w:history="1">
            <w:r w:rsidR="008F0976" w:rsidRPr="00CE5939">
              <w:rPr>
                <w:rStyle w:val="Hyperlink"/>
              </w:rPr>
              <w:t>7</w:t>
            </w:r>
            <w:r w:rsidR="008F0976">
              <w:rPr>
                <w:rFonts w:eastAsiaTheme="minorEastAsia"/>
                <w:b w:val="0"/>
                <w:sz w:val="22"/>
                <w:lang w:eastAsia="en-AU"/>
              </w:rPr>
              <w:tab/>
            </w:r>
            <w:r w:rsidR="008F0976" w:rsidRPr="00CE5939">
              <w:rPr>
                <w:rStyle w:val="Hyperlink"/>
              </w:rPr>
              <w:t>Grant Round (Program Stream) Application Process</w:t>
            </w:r>
            <w:r w:rsidR="008F0976">
              <w:rPr>
                <w:webHidden/>
              </w:rPr>
              <w:tab/>
            </w:r>
            <w:r w:rsidR="008F0976">
              <w:rPr>
                <w:webHidden/>
              </w:rPr>
              <w:fldChar w:fldCharType="begin"/>
            </w:r>
            <w:r w:rsidR="008F0976">
              <w:rPr>
                <w:webHidden/>
              </w:rPr>
              <w:instrText xml:space="preserve"> PAGEREF _Toc4175428 \h </w:instrText>
            </w:r>
            <w:r w:rsidR="008F0976">
              <w:rPr>
                <w:webHidden/>
              </w:rPr>
            </w:r>
            <w:r w:rsidR="008F0976">
              <w:rPr>
                <w:webHidden/>
              </w:rPr>
              <w:fldChar w:fldCharType="separate"/>
            </w:r>
            <w:r w:rsidR="00B979F5">
              <w:rPr>
                <w:webHidden/>
              </w:rPr>
              <w:t>10</w:t>
            </w:r>
            <w:r w:rsidR="008F0976">
              <w:rPr>
                <w:webHidden/>
              </w:rPr>
              <w:fldChar w:fldCharType="end"/>
            </w:r>
          </w:hyperlink>
        </w:p>
        <w:p w14:paraId="33BE5EF4" w14:textId="5D111B17" w:rsidR="008F0976" w:rsidRDefault="00EB3118">
          <w:pPr>
            <w:pStyle w:val="TOC2"/>
            <w:rPr>
              <w:rFonts w:eastAsiaTheme="minorEastAsia"/>
              <w:lang w:eastAsia="en-AU"/>
            </w:rPr>
          </w:pPr>
          <w:hyperlink w:anchor="_Toc4175429" w:history="1">
            <w:r w:rsidR="008F0976" w:rsidRPr="00CE5939">
              <w:rPr>
                <w:rStyle w:val="Hyperlink"/>
              </w:rPr>
              <w:t>7.1</w:t>
            </w:r>
            <w:r w:rsidR="008F0976">
              <w:rPr>
                <w:rFonts w:eastAsiaTheme="minorEastAsia"/>
                <w:lang w:eastAsia="en-AU"/>
              </w:rPr>
              <w:tab/>
            </w:r>
            <w:r w:rsidR="008F0976" w:rsidRPr="00CE5939">
              <w:rPr>
                <w:rStyle w:val="Hyperlink"/>
              </w:rPr>
              <w:t>Overview of the application process</w:t>
            </w:r>
            <w:r w:rsidR="008F0976">
              <w:rPr>
                <w:webHidden/>
              </w:rPr>
              <w:tab/>
            </w:r>
            <w:r w:rsidR="008F0976">
              <w:rPr>
                <w:webHidden/>
              </w:rPr>
              <w:fldChar w:fldCharType="begin"/>
            </w:r>
            <w:r w:rsidR="008F0976">
              <w:rPr>
                <w:webHidden/>
              </w:rPr>
              <w:instrText xml:space="preserve"> PAGEREF _Toc4175429 \h </w:instrText>
            </w:r>
            <w:r w:rsidR="008F0976">
              <w:rPr>
                <w:webHidden/>
              </w:rPr>
            </w:r>
            <w:r w:rsidR="008F0976">
              <w:rPr>
                <w:webHidden/>
              </w:rPr>
              <w:fldChar w:fldCharType="separate"/>
            </w:r>
            <w:r w:rsidR="00B979F5">
              <w:rPr>
                <w:webHidden/>
              </w:rPr>
              <w:t>10</w:t>
            </w:r>
            <w:r w:rsidR="008F0976">
              <w:rPr>
                <w:webHidden/>
              </w:rPr>
              <w:fldChar w:fldCharType="end"/>
            </w:r>
          </w:hyperlink>
        </w:p>
        <w:p w14:paraId="294D8372" w14:textId="3673BE81" w:rsidR="008F0976" w:rsidRDefault="00EB3118">
          <w:pPr>
            <w:pStyle w:val="TOC2"/>
            <w:rPr>
              <w:rFonts w:eastAsiaTheme="minorEastAsia"/>
              <w:lang w:eastAsia="en-AU"/>
            </w:rPr>
          </w:pPr>
          <w:hyperlink w:anchor="_Toc4175430" w:history="1">
            <w:r w:rsidR="008F0976" w:rsidRPr="00CE5939">
              <w:rPr>
                <w:rStyle w:val="Hyperlink"/>
              </w:rPr>
              <w:t>7.2</w:t>
            </w:r>
            <w:r w:rsidR="008F0976">
              <w:rPr>
                <w:rFonts w:eastAsiaTheme="minorEastAsia"/>
                <w:lang w:eastAsia="en-AU"/>
              </w:rPr>
              <w:tab/>
            </w:r>
            <w:r w:rsidR="008F0976" w:rsidRPr="00CE5939">
              <w:rPr>
                <w:rStyle w:val="Hyperlink"/>
              </w:rPr>
              <w:t>Program Guidelines</w:t>
            </w:r>
            <w:r w:rsidR="008F0976">
              <w:rPr>
                <w:webHidden/>
              </w:rPr>
              <w:tab/>
            </w:r>
            <w:r w:rsidR="008F0976">
              <w:rPr>
                <w:webHidden/>
              </w:rPr>
              <w:fldChar w:fldCharType="begin"/>
            </w:r>
            <w:r w:rsidR="008F0976">
              <w:rPr>
                <w:webHidden/>
              </w:rPr>
              <w:instrText xml:space="preserve"> PAGEREF _Toc4175430 \h </w:instrText>
            </w:r>
            <w:r w:rsidR="008F0976">
              <w:rPr>
                <w:webHidden/>
              </w:rPr>
            </w:r>
            <w:r w:rsidR="008F0976">
              <w:rPr>
                <w:webHidden/>
              </w:rPr>
              <w:fldChar w:fldCharType="separate"/>
            </w:r>
            <w:r w:rsidR="00B979F5">
              <w:rPr>
                <w:webHidden/>
              </w:rPr>
              <w:t>10</w:t>
            </w:r>
            <w:r w:rsidR="008F0976">
              <w:rPr>
                <w:webHidden/>
              </w:rPr>
              <w:fldChar w:fldCharType="end"/>
            </w:r>
          </w:hyperlink>
        </w:p>
        <w:p w14:paraId="1DB866DC" w14:textId="33962645" w:rsidR="008F0976" w:rsidRDefault="00EB3118">
          <w:pPr>
            <w:pStyle w:val="TOC2"/>
            <w:rPr>
              <w:rFonts w:eastAsiaTheme="minorEastAsia"/>
              <w:lang w:eastAsia="en-AU"/>
            </w:rPr>
          </w:pPr>
          <w:hyperlink w:anchor="_Toc4175431" w:history="1">
            <w:r w:rsidR="008F0976" w:rsidRPr="00CE5939">
              <w:rPr>
                <w:rStyle w:val="Hyperlink"/>
              </w:rPr>
              <w:t>7.3</w:t>
            </w:r>
            <w:r w:rsidR="008F0976">
              <w:rPr>
                <w:rFonts w:eastAsiaTheme="minorEastAsia"/>
                <w:lang w:eastAsia="en-AU"/>
              </w:rPr>
              <w:tab/>
            </w:r>
            <w:r w:rsidR="008F0976" w:rsidRPr="00CE5939">
              <w:rPr>
                <w:rStyle w:val="Hyperlink"/>
              </w:rPr>
              <w:t>Grant Opportunity Guidelines (GOGs)</w:t>
            </w:r>
            <w:r w:rsidR="008F0976">
              <w:rPr>
                <w:webHidden/>
              </w:rPr>
              <w:tab/>
            </w:r>
            <w:r w:rsidR="008F0976">
              <w:rPr>
                <w:webHidden/>
              </w:rPr>
              <w:fldChar w:fldCharType="begin"/>
            </w:r>
            <w:r w:rsidR="008F0976">
              <w:rPr>
                <w:webHidden/>
              </w:rPr>
              <w:instrText xml:space="preserve"> PAGEREF _Toc4175431 \h </w:instrText>
            </w:r>
            <w:r w:rsidR="008F0976">
              <w:rPr>
                <w:webHidden/>
              </w:rPr>
            </w:r>
            <w:r w:rsidR="008F0976">
              <w:rPr>
                <w:webHidden/>
              </w:rPr>
              <w:fldChar w:fldCharType="separate"/>
            </w:r>
            <w:r w:rsidR="00B979F5">
              <w:rPr>
                <w:webHidden/>
              </w:rPr>
              <w:t>11</w:t>
            </w:r>
            <w:r w:rsidR="008F0976">
              <w:rPr>
                <w:webHidden/>
              </w:rPr>
              <w:fldChar w:fldCharType="end"/>
            </w:r>
          </w:hyperlink>
        </w:p>
        <w:p w14:paraId="464ED379" w14:textId="16DC30E8" w:rsidR="008F0976" w:rsidRDefault="00EB3118">
          <w:pPr>
            <w:pStyle w:val="TOC2"/>
            <w:rPr>
              <w:rFonts w:eastAsiaTheme="minorEastAsia"/>
              <w:lang w:eastAsia="en-AU"/>
            </w:rPr>
          </w:pPr>
          <w:hyperlink w:anchor="_Toc4175432" w:history="1">
            <w:r w:rsidR="008F0976" w:rsidRPr="00CE5939">
              <w:rPr>
                <w:rStyle w:val="Hyperlink"/>
              </w:rPr>
              <w:t>7.4</w:t>
            </w:r>
            <w:r w:rsidR="008F0976">
              <w:rPr>
                <w:rFonts w:eastAsiaTheme="minorEastAsia"/>
                <w:lang w:eastAsia="en-AU"/>
              </w:rPr>
              <w:tab/>
            </w:r>
            <w:r w:rsidR="008F0976" w:rsidRPr="00CE5939">
              <w:rPr>
                <w:rStyle w:val="Hyperlink"/>
              </w:rPr>
              <w:t>Advertisement of grant funding</w:t>
            </w:r>
            <w:r w:rsidR="008F0976">
              <w:rPr>
                <w:webHidden/>
              </w:rPr>
              <w:tab/>
            </w:r>
            <w:r w:rsidR="008F0976">
              <w:rPr>
                <w:webHidden/>
              </w:rPr>
              <w:fldChar w:fldCharType="begin"/>
            </w:r>
            <w:r w:rsidR="008F0976">
              <w:rPr>
                <w:webHidden/>
              </w:rPr>
              <w:instrText xml:space="preserve"> PAGEREF _Toc4175432 \h </w:instrText>
            </w:r>
            <w:r w:rsidR="008F0976">
              <w:rPr>
                <w:webHidden/>
              </w:rPr>
            </w:r>
            <w:r w:rsidR="008F0976">
              <w:rPr>
                <w:webHidden/>
              </w:rPr>
              <w:fldChar w:fldCharType="separate"/>
            </w:r>
            <w:r w:rsidR="00B979F5">
              <w:rPr>
                <w:webHidden/>
              </w:rPr>
              <w:t>11</w:t>
            </w:r>
            <w:r w:rsidR="008F0976">
              <w:rPr>
                <w:webHidden/>
              </w:rPr>
              <w:fldChar w:fldCharType="end"/>
            </w:r>
          </w:hyperlink>
        </w:p>
        <w:p w14:paraId="5913A2B8" w14:textId="5BA2B548" w:rsidR="008F0976" w:rsidRDefault="00EB3118">
          <w:pPr>
            <w:pStyle w:val="TOC2"/>
            <w:rPr>
              <w:rFonts w:eastAsiaTheme="minorEastAsia"/>
              <w:lang w:eastAsia="en-AU"/>
            </w:rPr>
          </w:pPr>
          <w:hyperlink w:anchor="_Toc4175433" w:history="1">
            <w:r w:rsidR="008F0976" w:rsidRPr="00CE5939">
              <w:rPr>
                <w:rStyle w:val="Hyperlink"/>
              </w:rPr>
              <w:t>7.5</w:t>
            </w:r>
            <w:r w:rsidR="008F0976">
              <w:rPr>
                <w:rFonts w:eastAsiaTheme="minorEastAsia"/>
                <w:lang w:eastAsia="en-AU"/>
              </w:rPr>
              <w:tab/>
            </w:r>
            <w:r w:rsidR="008F0976" w:rsidRPr="00CE5939">
              <w:rPr>
                <w:rStyle w:val="Hyperlink"/>
              </w:rPr>
              <w:t>Funding Round Suite of Documents</w:t>
            </w:r>
            <w:r w:rsidR="008F0976">
              <w:rPr>
                <w:webHidden/>
              </w:rPr>
              <w:tab/>
            </w:r>
            <w:r w:rsidR="008F0976">
              <w:rPr>
                <w:webHidden/>
              </w:rPr>
              <w:fldChar w:fldCharType="begin"/>
            </w:r>
            <w:r w:rsidR="008F0976">
              <w:rPr>
                <w:webHidden/>
              </w:rPr>
              <w:instrText xml:space="preserve"> PAGEREF _Toc4175433 \h </w:instrText>
            </w:r>
            <w:r w:rsidR="008F0976">
              <w:rPr>
                <w:webHidden/>
              </w:rPr>
            </w:r>
            <w:r w:rsidR="008F0976">
              <w:rPr>
                <w:webHidden/>
              </w:rPr>
              <w:fldChar w:fldCharType="separate"/>
            </w:r>
            <w:r w:rsidR="00B979F5">
              <w:rPr>
                <w:webHidden/>
              </w:rPr>
              <w:t>11</w:t>
            </w:r>
            <w:r w:rsidR="008F0976">
              <w:rPr>
                <w:webHidden/>
              </w:rPr>
              <w:fldChar w:fldCharType="end"/>
            </w:r>
          </w:hyperlink>
        </w:p>
        <w:p w14:paraId="61565DE9" w14:textId="1541FAF2" w:rsidR="008F0976" w:rsidRDefault="00EB3118">
          <w:pPr>
            <w:pStyle w:val="TOC2"/>
            <w:rPr>
              <w:rFonts w:eastAsiaTheme="minorEastAsia"/>
              <w:lang w:eastAsia="en-AU"/>
            </w:rPr>
          </w:pPr>
          <w:hyperlink w:anchor="_Toc4175434" w:history="1">
            <w:r w:rsidR="008F0976" w:rsidRPr="00CE5939">
              <w:rPr>
                <w:rStyle w:val="Hyperlink"/>
              </w:rPr>
              <w:t>7.6</w:t>
            </w:r>
            <w:r w:rsidR="008F0976">
              <w:rPr>
                <w:rFonts w:eastAsiaTheme="minorEastAsia"/>
                <w:lang w:eastAsia="en-AU"/>
              </w:rPr>
              <w:tab/>
            </w:r>
            <w:r w:rsidR="008F0976" w:rsidRPr="00CE5939">
              <w:rPr>
                <w:rStyle w:val="Hyperlink"/>
              </w:rPr>
              <w:t>Choice of selection process</w:t>
            </w:r>
            <w:r w:rsidR="008F0976">
              <w:rPr>
                <w:webHidden/>
              </w:rPr>
              <w:tab/>
            </w:r>
            <w:r w:rsidR="008F0976">
              <w:rPr>
                <w:webHidden/>
              </w:rPr>
              <w:fldChar w:fldCharType="begin"/>
            </w:r>
            <w:r w:rsidR="008F0976">
              <w:rPr>
                <w:webHidden/>
              </w:rPr>
              <w:instrText xml:space="preserve"> PAGEREF _Toc4175434 \h </w:instrText>
            </w:r>
            <w:r w:rsidR="008F0976">
              <w:rPr>
                <w:webHidden/>
              </w:rPr>
            </w:r>
            <w:r w:rsidR="008F0976">
              <w:rPr>
                <w:webHidden/>
              </w:rPr>
              <w:fldChar w:fldCharType="separate"/>
            </w:r>
            <w:r w:rsidR="00B979F5">
              <w:rPr>
                <w:webHidden/>
              </w:rPr>
              <w:t>11</w:t>
            </w:r>
            <w:r w:rsidR="008F0976">
              <w:rPr>
                <w:webHidden/>
              </w:rPr>
              <w:fldChar w:fldCharType="end"/>
            </w:r>
          </w:hyperlink>
        </w:p>
        <w:p w14:paraId="495D9128" w14:textId="2E8140E5" w:rsidR="008F0976" w:rsidRDefault="00EB3118">
          <w:pPr>
            <w:pStyle w:val="TOC2"/>
            <w:rPr>
              <w:rFonts w:eastAsiaTheme="minorEastAsia"/>
              <w:lang w:eastAsia="en-AU"/>
            </w:rPr>
          </w:pPr>
          <w:hyperlink w:anchor="_Toc4175435" w:history="1">
            <w:r w:rsidR="008F0976" w:rsidRPr="00CE5939">
              <w:rPr>
                <w:rStyle w:val="Hyperlink"/>
              </w:rPr>
              <w:t>7.7</w:t>
            </w:r>
            <w:r w:rsidR="008F0976">
              <w:rPr>
                <w:rFonts w:eastAsiaTheme="minorEastAsia"/>
                <w:lang w:eastAsia="en-AU"/>
              </w:rPr>
              <w:tab/>
            </w:r>
            <w:r w:rsidR="008F0976" w:rsidRPr="00CE5939">
              <w:rPr>
                <w:rStyle w:val="Hyperlink"/>
              </w:rPr>
              <w:t>Assessment Methodology</w:t>
            </w:r>
            <w:r w:rsidR="008F0976">
              <w:rPr>
                <w:webHidden/>
              </w:rPr>
              <w:tab/>
            </w:r>
            <w:r w:rsidR="008F0976">
              <w:rPr>
                <w:webHidden/>
              </w:rPr>
              <w:fldChar w:fldCharType="begin"/>
            </w:r>
            <w:r w:rsidR="008F0976">
              <w:rPr>
                <w:webHidden/>
              </w:rPr>
              <w:instrText xml:space="preserve"> PAGEREF _Toc4175435 \h </w:instrText>
            </w:r>
            <w:r w:rsidR="008F0976">
              <w:rPr>
                <w:webHidden/>
              </w:rPr>
            </w:r>
            <w:r w:rsidR="008F0976">
              <w:rPr>
                <w:webHidden/>
              </w:rPr>
              <w:fldChar w:fldCharType="separate"/>
            </w:r>
            <w:r w:rsidR="00B979F5">
              <w:rPr>
                <w:webHidden/>
              </w:rPr>
              <w:t>12</w:t>
            </w:r>
            <w:r w:rsidR="008F0976">
              <w:rPr>
                <w:webHidden/>
              </w:rPr>
              <w:fldChar w:fldCharType="end"/>
            </w:r>
          </w:hyperlink>
        </w:p>
        <w:p w14:paraId="25967962" w14:textId="2B0326F1" w:rsidR="008F0976" w:rsidRDefault="00EB3118">
          <w:pPr>
            <w:pStyle w:val="TOC2"/>
            <w:rPr>
              <w:rFonts w:eastAsiaTheme="minorEastAsia"/>
              <w:lang w:eastAsia="en-AU"/>
            </w:rPr>
          </w:pPr>
          <w:hyperlink w:anchor="_Toc4175436" w:history="1">
            <w:r w:rsidR="008F0976" w:rsidRPr="00CE5939">
              <w:rPr>
                <w:rStyle w:val="Hyperlink"/>
              </w:rPr>
              <w:t>7.8</w:t>
            </w:r>
            <w:r w:rsidR="008F0976">
              <w:rPr>
                <w:rFonts w:eastAsiaTheme="minorEastAsia"/>
                <w:lang w:eastAsia="en-AU"/>
              </w:rPr>
              <w:tab/>
            </w:r>
            <w:r w:rsidR="008F0976" w:rsidRPr="00CE5939">
              <w:rPr>
                <w:rStyle w:val="Hyperlink"/>
              </w:rPr>
              <w:t>Selection Criteria</w:t>
            </w:r>
            <w:r w:rsidR="008F0976">
              <w:rPr>
                <w:webHidden/>
              </w:rPr>
              <w:tab/>
            </w:r>
            <w:r w:rsidR="008F0976">
              <w:rPr>
                <w:webHidden/>
              </w:rPr>
              <w:fldChar w:fldCharType="begin"/>
            </w:r>
            <w:r w:rsidR="008F0976">
              <w:rPr>
                <w:webHidden/>
              </w:rPr>
              <w:instrText xml:space="preserve"> PAGEREF _Toc4175436 \h </w:instrText>
            </w:r>
            <w:r w:rsidR="008F0976">
              <w:rPr>
                <w:webHidden/>
              </w:rPr>
            </w:r>
            <w:r w:rsidR="008F0976">
              <w:rPr>
                <w:webHidden/>
              </w:rPr>
              <w:fldChar w:fldCharType="separate"/>
            </w:r>
            <w:r w:rsidR="00B979F5">
              <w:rPr>
                <w:webHidden/>
              </w:rPr>
              <w:t>12</w:t>
            </w:r>
            <w:r w:rsidR="008F0976">
              <w:rPr>
                <w:webHidden/>
              </w:rPr>
              <w:fldChar w:fldCharType="end"/>
            </w:r>
          </w:hyperlink>
        </w:p>
        <w:p w14:paraId="18BB73E1" w14:textId="31D46D7C" w:rsidR="008F0976" w:rsidRDefault="00EB3118">
          <w:pPr>
            <w:pStyle w:val="TOC2"/>
            <w:rPr>
              <w:rFonts w:eastAsiaTheme="minorEastAsia"/>
              <w:lang w:eastAsia="en-AU"/>
            </w:rPr>
          </w:pPr>
          <w:hyperlink w:anchor="_Toc4175437" w:history="1">
            <w:r w:rsidR="008F0976" w:rsidRPr="00CE5939">
              <w:rPr>
                <w:rStyle w:val="Hyperlink"/>
              </w:rPr>
              <w:t>7.9</w:t>
            </w:r>
            <w:r w:rsidR="008F0976">
              <w:rPr>
                <w:rFonts w:eastAsiaTheme="minorEastAsia"/>
                <w:lang w:eastAsia="en-AU"/>
              </w:rPr>
              <w:tab/>
            </w:r>
            <w:r w:rsidR="008F0976" w:rsidRPr="00CE5939">
              <w:rPr>
                <w:rStyle w:val="Hyperlink"/>
              </w:rPr>
              <w:t>Value for money</w:t>
            </w:r>
            <w:r w:rsidR="008F0976">
              <w:rPr>
                <w:webHidden/>
              </w:rPr>
              <w:tab/>
            </w:r>
            <w:r w:rsidR="008F0976">
              <w:rPr>
                <w:webHidden/>
              </w:rPr>
              <w:fldChar w:fldCharType="begin"/>
            </w:r>
            <w:r w:rsidR="008F0976">
              <w:rPr>
                <w:webHidden/>
              </w:rPr>
              <w:instrText xml:space="preserve"> PAGEREF _Toc4175437 \h </w:instrText>
            </w:r>
            <w:r w:rsidR="008F0976">
              <w:rPr>
                <w:webHidden/>
              </w:rPr>
            </w:r>
            <w:r w:rsidR="008F0976">
              <w:rPr>
                <w:webHidden/>
              </w:rPr>
              <w:fldChar w:fldCharType="separate"/>
            </w:r>
            <w:r w:rsidR="00B979F5">
              <w:rPr>
                <w:webHidden/>
              </w:rPr>
              <w:t>13</w:t>
            </w:r>
            <w:r w:rsidR="008F0976">
              <w:rPr>
                <w:webHidden/>
              </w:rPr>
              <w:fldChar w:fldCharType="end"/>
            </w:r>
          </w:hyperlink>
        </w:p>
        <w:p w14:paraId="6A5938F5" w14:textId="674D1FD7" w:rsidR="008F0976" w:rsidRDefault="00EB3118">
          <w:pPr>
            <w:pStyle w:val="TOC2"/>
            <w:rPr>
              <w:rFonts w:eastAsiaTheme="minorEastAsia"/>
              <w:lang w:eastAsia="en-AU"/>
            </w:rPr>
          </w:pPr>
          <w:hyperlink w:anchor="_Toc4175438" w:history="1">
            <w:r w:rsidR="008F0976" w:rsidRPr="00CE5939">
              <w:rPr>
                <w:rStyle w:val="Hyperlink"/>
                <w:rFonts w:eastAsia="Calibri"/>
              </w:rPr>
              <w:t>7.10</w:t>
            </w:r>
            <w:r w:rsidR="008F0976">
              <w:rPr>
                <w:rFonts w:eastAsiaTheme="minorEastAsia"/>
                <w:lang w:eastAsia="en-AU"/>
              </w:rPr>
              <w:tab/>
            </w:r>
            <w:r w:rsidR="008F0976" w:rsidRPr="00CE5939">
              <w:rPr>
                <w:rStyle w:val="Hyperlink"/>
                <w:rFonts w:eastAsia="Calibri"/>
              </w:rPr>
              <w:t>Preparing an Application</w:t>
            </w:r>
            <w:r w:rsidR="008F0976">
              <w:rPr>
                <w:webHidden/>
              </w:rPr>
              <w:tab/>
            </w:r>
            <w:r w:rsidR="008F0976">
              <w:rPr>
                <w:webHidden/>
              </w:rPr>
              <w:fldChar w:fldCharType="begin"/>
            </w:r>
            <w:r w:rsidR="008F0976">
              <w:rPr>
                <w:webHidden/>
              </w:rPr>
              <w:instrText xml:space="preserve"> PAGEREF _Toc4175438 \h </w:instrText>
            </w:r>
            <w:r w:rsidR="008F0976">
              <w:rPr>
                <w:webHidden/>
              </w:rPr>
            </w:r>
            <w:r w:rsidR="008F0976">
              <w:rPr>
                <w:webHidden/>
              </w:rPr>
              <w:fldChar w:fldCharType="separate"/>
            </w:r>
            <w:r w:rsidR="00B979F5">
              <w:rPr>
                <w:webHidden/>
              </w:rPr>
              <w:t>13</w:t>
            </w:r>
            <w:r w:rsidR="008F0976">
              <w:rPr>
                <w:webHidden/>
              </w:rPr>
              <w:fldChar w:fldCharType="end"/>
            </w:r>
          </w:hyperlink>
        </w:p>
        <w:p w14:paraId="7BEAEE02" w14:textId="5CC7DD0F" w:rsidR="008F0976" w:rsidRDefault="00EB3118">
          <w:pPr>
            <w:pStyle w:val="TOC2"/>
            <w:rPr>
              <w:rFonts w:eastAsiaTheme="minorEastAsia"/>
              <w:lang w:eastAsia="en-AU"/>
            </w:rPr>
          </w:pPr>
          <w:hyperlink w:anchor="_Toc4175439" w:history="1">
            <w:r w:rsidR="008F0976" w:rsidRPr="00CE5939">
              <w:rPr>
                <w:rStyle w:val="Hyperlink"/>
                <w:rFonts w:eastAsia="Calibri"/>
              </w:rPr>
              <w:t>7.11</w:t>
            </w:r>
            <w:r w:rsidR="008F0976">
              <w:rPr>
                <w:rFonts w:eastAsiaTheme="minorEastAsia"/>
                <w:lang w:eastAsia="en-AU"/>
              </w:rPr>
              <w:tab/>
            </w:r>
            <w:r w:rsidR="008F0976" w:rsidRPr="00CE5939">
              <w:rPr>
                <w:rStyle w:val="Hyperlink"/>
                <w:rFonts w:eastAsia="Calibri"/>
              </w:rPr>
              <w:t>How to Submit an Application</w:t>
            </w:r>
            <w:r w:rsidR="008F0976">
              <w:rPr>
                <w:webHidden/>
              </w:rPr>
              <w:tab/>
            </w:r>
            <w:r w:rsidR="008F0976">
              <w:rPr>
                <w:webHidden/>
              </w:rPr>
              <w:fldChar w:fldCharType="begin"/>
            </w:r>
            <w:r w:rsidR="008F0976">
              <w:rPr>
                <w:webHidden/>
              </w:rPr>
              <w:instrText xml:space="preserve"> PAGEREF _Toc4175439 \h </w:instrText>
            </w:r>
            <w:r w:rsidR="008F0976">
              <w:rPr>
                <w:webHidden/>
              </w:rPr>
            </w:r>
            <w:r w:rsidR="008F0976">
              <w:rPr>
                <w:webHidden/>
              </w:rPr>
              <w:fldChar w:fldCharType="separate"/>
            </w:r>
            <w:r w:rsidR="00B979F5">
              <w:rPr>
                <w:webHidden/>
              </w:rPr>
              <w:t>14</w:t>
            </w:r>
            <w:r w:rsidR="008F0976">
              <w:rPr>
                <w:webHidden/>
              </w:rPr>
              <w:fldChar w:fldCharType="end"/>
            </w:r>
          </w:hyperlink>
        </w:p>
        <w:p w14:paraId="7EB9CF37" w14:textId="7B7B9338" w:rsidR="008F0976" w:rsidRDefault="00EB3118">
          <w:pPr>
            <w:pStyle w:val="TOC2"/>
            <w:rPr>
              <w:rFonts w:eastAsiaTheme="minorEastAsia"/>
              <w:lang w:eastAsia="en-AU"/>
            </w:rPr>
          </w:pPr>
          <w:hyperlink w:anchor="_Toc4175440" w:history="1">
            <w:r w:rsidR="008F0976" w:rsidRPr="00CE5939">
              <w:rPr>
                <w:rStyle w:val="Hyperlink"/>
                <w:rFonts w:eastAsia="Calibri"/>
              </w:rPr>
              <w:t>7.12</w:t>
            </w:r>
            <w:r w:rsidR="008F0976">
              <w:rPr>
                <w:rFonts w:eastAsiaTheme="minorEastAsia"/>
                <w:lang w:eastAsia="en-AU"/>
              </w:rPr>
              <w:tab/>
            </w:r>
            <w:r w:rsidR="008F0976" w:rsidRPr="00CE5939">
              <w:rPr>
                <w:rStyle w:val="Hyperlink"/>
                <w:rFonts w:eastAsia="Calibri"/>
              </w:rPr>
              <w:t>Conflict of Interest Declaration</w:t>
            </w:r>
            <w:r w:rsidR="008F0976">
              <w:rPr>
                <w:webHidden/>
              </w:rPr>
              <w:tab/>
            </w:r>
            <w:r w:rsidR="008F0976">
              <w:rPr>
                <w:webHidden/>
              </w:rPr>
              <w:fldChar w:fldCharType="begin"/>
            </w:r>
            <w:r w:rsidR="008F0976">
              <w:rPr>
                <w:webHidden/>
              </w:rPr>
              <w:instrText xml:space="preserve"> PAGEREF _Toc4175440 \h </w:instrText>
            </w:r>
            <w:r w:rsidR="008F0976">
              <w:rPr>
                <w:webHidden/>
              </w:rPr>
            </w:r>
            <w:r w:rsidR="008F0976">
              <w:rPr>
                <w:webHidden/>
              </w:rPr>
              <w:fldChar w:fldCharType="separate"/>
            </w:r>
            <w:r w:rsidR="00B979F5">
              <w:rPr>
                <w:webHidden/>
              </w:rPr>
              <w:t>14</w:t>
            </w:r>
            <w:r w:rsidR="008F0976">
              <w:rPr>
                <w:webHidden/>
              </w:rPr>
              <w:fldChar w:fldCharType="end"/>
            </w:r>
          </w:hyperlink>
        </w:p>
        <w:p w14:paraId="394F6100" w14:textId="7969A154" w:rsidR="008F0976" w:rsidRDefault="00EB3118">
          <w:pPr>
            <w:pStyle w:val="TOC2"/>
            <w:rPr>
              <w:rFonts w:eastAsiaTheme="minorEastAsia"/>
              <w:lang w:eastAsia="en-AU"/>
            </w:rPr>
          </w:pPr>
          <w:hyperlink w:anchor="_Toc4175441" w:history="1">
            <w:r w:rsidR="008F0976" w:rsidRPr="00CE5939">
              <w:rPr>
                <w:rStyle w:val="Hyperlink"/>
              </w:rPr>
              <w:t>7.13</w:t>
            </w:r>
            <w:r w:rsidR="008F0976">
              <w:rPr>
                <w:rFonts w:eastAsiaTheme="minorEastAsia"/>
                <w:lang w:eastAsia="en-AU"/>
              </w:rPr>
              <w:tab/>
            </w:r>
            <w:r w:rsidR="008F0976" w:rsidRPr="00CE5939">
              <w:rPr>
                <w:rStyle w:val="Hyperlink"/>
              </w:rPr>
              <w:t>Improper Assistance</w:t>
            </w:r>
            <w:r w:rsidR="008F0976">
              <w:rPr>
                <w:webHidden/>
              </w:rPr>
              <w:tab/>
            </w:r>
            <w:r w:rsidR="008F0976">
              <w:rPr>
                <w:webHidden/>
              </w:rPr>
              <w:fldChar w:fldCharType="begin"/>
            </w:r>
            <w:r w:rsidR="008F0976">
              <w:rPr>
                <w:webHidden/>
              </w:rPr>
              <w:instrText xml:space="preserve"> PAGEREF _Toc4175441 \h </w:instrText>
            </w:r>
            <w:r w:rsidR="008F0976">
              <w:rPr>
                <w:webHidden/>
              </w:rPr>
            </w:r>
            <w:r w:rsidR="008F0976">
              <w:rPr>
                <w:webHidden/>
              </w:rPr>
              <w:fldChar w:fldCharType="separate"/>
            </w:r>
            <w:r w:rsidR="00B979F5">
              <w:rPr>
                <w:webHidden/>
              </w:rPr>
              <w:t>14</w:t>
            </w:r>
            <w:r w:rsidR="008F0976">
              <w:rPr>
                <w:webHidden/>
              </w:rPr>
              <w:fldChar w:fldCharType="end"/>
            </w:r>
          </w:hyperlink>
        </w:p>
        <w:p w14:paraId="354905C2" w14:textId="2FC35D50" w:rsidR="008F0976" w:rsidRDefault="00EB3118">
          <w:pPr>
            <w:pStyle w:val="TOC2"/>
            <w:rPr>
              <w:rFonts w:eastAsiaTheme="minorEastAsia"/>
              <w:lang w:eastAsia="en-AU"/>
            </w:rPr>
          </w:pPr>
          <w:hyperlink w:anchor="_Toc4175442" w:history="1">
            <w:r w:rsidR="008F0976" w:rsidRPr="00CE5939">
              <w:rPr>
                <w:rStyle w:val="Hyperlink"/>
                <w:rFonts w:eastAsia="Calibri"/>
              </w:rPr>
              <w:t>7.14</w:t>
            </w:r>
            <w:r w:rsidR="008F0976">
              <w:rPr>
                <w:rFonts w:eastAsiaTheme="minorEastAsia"/>
                <w:lang w:eastAsia="en-AU"/>
              </w:rPr>
              <w:tab/>
            </w:r>
            <w:r w:rsidR="008F0976" w:rsidRPr="00CE5939">
              <w:rPr>
                <w:rStyle w:val="Hyperlink"/>
                <w:rFonts w:eastAsia="Calibri"/>
              </w:rPr>
              <w:t>Applicant obligations</w:t>
            </w:r>
            <w:r w:rsidR="008F0976">
              <w:rPr>
                <w:webHidden/>
              </w:rPr>
              <w:tab/>
            </w:r>
            <w:r w:rsidR="008F0976">
              <w:rPr>
                <w:webHidden/>
              </w:rPr>
              <w:fldChar w:fldCharType="begin"/>
            </w:r>
            <w:r w:rsidR="008F0976">
              <w:rPr>
                <w:webHidden/>
              </w:rPr>
              <w:instrText xml:space="preserve"> PAGEREF _Toc4175442 \h </w:instrText>
            </w:r>
            <w:r w:rsidR="008F0976">
              <w:rPr>
                <w:webHidden/>
              </w:rPr>
            </w:r>
            <w:r w:rsidR="008F0976">
              <w:rPr>
                <w:webHidden/>
              </w:rPr>
              <w:fldChar w:fldCharType="separate"/>
            </w:r>
            <w:r w:rsidR="00B979F5">
              <w:rPr>
                <w:webHidden/>
              </w:rPr>
              <w:t>15</w:t>
            </w:r>
            <w:r w:rsidR="008F0976">
              <w:rPr>
                <w:webHidden/>
              </w:rPr>
              <w:fldChar w:fldCharType="end"/>
            </w:r>
          </w:hyperlink>
        </w:p>
        <w:p w14:paraId="4D6EA543" w14:textId="3EBBF87C" w:rsidR="008F0976" w:rsidRDefault="00EB3118">
          <w:pPr>
            <w:pStyle w:val="TOC2"/>
            <w:rPr>
              <w:rFonts w:eastAsiaTheme="minorEastAsia"/>
              <w:lang w:eastAsia="en-AU"/>
            </w:rPr>
          </w:pPr>
          <w:hyperlink w:anchor="_Toc4175443" w:history="1">
            <w:r w:rsidR="008F0976" w:rsidRPr="00CE5939">
              <w:rPr>
                <w:rStyle w:val="Hyperlink"/>
                <w:rFonts w:eastAsia="Calibri"/>
              </w:rPr>
              <w:t>7.15</w:t>
            </w:r>
            <w:r w:rsidR="008F0976">
              <w:rPr>
                <w:rFonts w:eastAsiaTheme="minorEastAsia"/>
                <w:lang w:eastAsia="en-AU"/>
              </w:rPr>
              <w:tab/>
            </w:r>
            <w:r w:rsidR="008F0976" w:rsidRPr="00CE5939">
              <w:rPr>
                <w:rStyle w:val="Hyperlink"/>
                <w:rFonts w:eastAsia="Calibri"/>
              </w:rPr>
              <w:t>Checks of Applicants and other enquiries</w:t>
            </w:r>
            <w:r w:rsidR="008F0976">
              <w:rPr>
                <w:webHidden/>
              </w:rPr>
              <w:tab/>
            </w:r>
            <w:r w:rsidR="008F0976">
              <w:rPr>
                <w:webHidden/>
              </w:rPr>
              <w:fldChar w:fldCharType="begin"/>
            </w:r>
            <w:r w:rsidR="008F0976">
              <w:rPr>
                <w:webHidden/>
              </w:rPr>
              <w:instrText xml:space="preserve"> PAGEREF _Toc4175443 \h </w:instrText>
            </w:r>
            <w:r w:rsidR="008F0976">
              <w:rPr>
                <w:webHidden/>
              </w:rPr>
            </w:r>
            <w:r w:rsidR="008F0976">
              <w:rPr>
                <w:webHidden/>
              </w:rPr>
              <w:fldChar w:fldCharType="separate"/>
            </w:r>
            <w:r w:rsidR="00B979F5">
              <w:rPr>
                <w:webHidden/>
              </w:rPr>
              <w:t>16</w:t>
            </w:r>
            <w:r w:rsidR="008F0976">
              <w:rPr>
                <w:webHidden/>
              </w:rPr>
              <w:fldChar w:fldCharType="end"/>
            </w:r>
          </w:hyperlink>
        </w:p>
        <w:p w14:paraId="28C6E79D" w14:textId="2C87E793" w:rsidR="008F0976" w:rsidRDefault="00EB3118">
          <w:pPr>
            <w:pStyle w:val="TOC1"/>
            <w:rPr>
              <w:rFonts w:eastAsiaTheme="minorEastAsia"/>
              <w:b w:val="0"/>
              <w:sz w:val="22"/>
              <w:lang w:eastAsia="en-AU"/>
            </w:rPr>
          </w:pPr>
          <w:hyperlink w:anchor="_Toc4175444" w:history="1">
            <w:r w:rsidR="008F0976" w:rsidRPr="00CE5939">
              <w:rPr>
                <w:rStyle w:val="Hyperlink"/>
                <w:rFonts w:eastAsia="Calibri"/>
              </w:rPr>
              <w:t>8</w:t>
            </w:r>
            <w:r w:rsidR="008F0976">
              <w:rPr>
                <w:rFonts w:eastAsiaTheme="minorEastAsia"/>
                <w:b w:val="0"/>
                <w:sz w:val="22"/>
                <w:lang w:eastAsia="en-AU"/>
              </w:rPr>
              <w:tab/>
            </w:r>
            <w:r w:rsidR="008F0976" w:rsidRPr="00CE5939">
              <w:rPr>
                <w:rStyle w:val="Hyperlink"/>
                <w:rFonts w:eastAsia="Calibri"/>
              </w:rPr>
              <w:t>Probity</w:t>
            </w:r>
            <w:r w:rsidR="008F0976">
              <w:rPr>
                <w:webHidden/>
              </w:rPr>
              <w:tab/>
            </w:r>
            <w:r w:rsidR="008F0976">
              <w:rPr>
                <w:webHidden/>
              </w:rPr>
              <w:fldChar w:fldCharType="begin"/>
            </w:r>
            <w:r w:rsidR="008F0976">
              <w:rPr>
                <w:webHidden/>
              </w:rPr>
              <w:instrText xml:space="preserve"> PAGEREF _Toc4175444 \h </w:instrText>
            </w:r>
            <w:r w:rsidR="008F0976">
              <w:rPr>
                <w:webHidden/>
              </w:rPr>
            </w:r>
            <w:r w:rsidR="008F0976">
              <w:rPr>
                <w:webHidden/>
              </w:rPr>
              <w:fldChar w:fldCharType="separate"/>
            </w:r>
            <w:r w:rsidR="00B979F5">
              <w:rPr>
                <w:webHidden/>
              </w:rPr>
              <w:t>16</w:t>
            </w:r>
            <w:r w:rsidR="008F0976">
              <w:rPr>
                <w:webHidden/>
              </w:rPr>
              <w:fldChar w:fldCharType="end"/>
            </w:r>
          </w:hyperlink>
        </w:p>
        <w:p w14:paraId="71B03791" w14:textId="46145E7A" w:rsidR="008F0976" w:rsidRDefault="00EB3118">
          <w:pPr>
            <w:pStyle w:val="TOC1"/>
            <w:rPr>
              <w:rFonts w:eastAsiaTheme="minorEastAsia"/>
              <w:b w:val="0"/>
              <w:sz w:val="22"/>
              <w:lang w:eastAsia="en-AU"/>
            </w:rPr>
          </w:pPr>
          <w:hyperlink w:anchor="_Toc4175445" w:history="1">
            <w:r w:rsidR="008F0976" w:rsidRPr="00CE5939">
              <w:rPr>
                <w:rStyle w:val="Hyperlink"/>
                <w:rFonts w:eastAsia="Calibri"/>
              </w:rPr>
              <w:t>9</w:t>
            </w:r>
            <w:r w:rsidR="008F0976">
              <w:rPr>
                <w:rFonts w:eastAsiaTheme="minorEastAsia"/>
                <w:b w:val="0"/>
                <w:sz w:val="22"/>
                <w:lang w:eastAsia="en-AU"/>
              </w:rPr>
              <w:tab/>
            </w:r>
            <w:r w:rsidR="008F0976" w:rsidRPr="00CE5939">
              <w:rPr>
                <w:rStyle w:val="Hyperlink"/>
                <w:rFonts w:eastAsia="Calibri"/>
              </w:rPr>
              <w:t>Program Reporting Requirements</w:t>
            </w:r>
            <w:r w:rsidR="008F0976">
              <w:rPr>
                <w:webHidden/>
              </w:rPr>
              <w:tab/>
            </w:r>
            <w:r w:rsidR="008F0976">
              <w:rPr>
                <w:webHidden/>
              </w:rPr>
              <w:fldChar w:fldCharType="begin"/>
            </w:r>
            <w:r w:rsidR="008F0976">
              <w:rPr>
                <w:webHidden/>
              </w:rPr>
              <w:instrText xml:space="preserve"> PAGEREF _Toc4175445 \h </w:instrText>
            </w:r>
            <w:r w:rsidR="008F0976">
              <w:rPr>
                <w:webHidden/>
              </w:rPr>
            </w:r>
            <w:r w:rsidR="008F0976">
              <w:rPr>
                <w:webHidden/>
              </w:rPr>
              <w:fldChar w:fldCharType="separate"/>
            </w:r>
            <w:r w:rsidR="00B979F5">
              <w:rPr>
                <w:webHidden/>
              </w:rPr>
              <w:t>17</w:t>
            </w:r>
            <w:r w:rsidR="008F0976">
              <w:rPr>
                <w:webHidden/>
              </w:rPr>
              <w:fldChar w:fldCharType="end"/>
            </w:r>
          </w:hyperlink>
        </w:p>
        <w:p w14:paraId="1050A519" w14:textId="449BAC89" w:rsidR="008F0976" w:rsidRDefault="00EB3118">
          <w:pPr>
            <w:pStyle w:val="TOC1"/>
            <w:rPr>
              <w:rFonts w:eastAsiaTheme="minorEastAsia"/>
              <w:b w:val="0"/>
              <w:sz w:val="22"/>
              <w:lang w:eastAsia="en-AU"/>
            </w:rPr>
          </w:pPr>
          <w:hyperlink w:anchor="_Toc4175446" w:history="1">
            <w:r w:rsidR="008F0976" w:rsidRPr="00CE5939">
              <w:rPr>
                <w:rStyle w:val="Hyperlink"/>
              </w:rPr>
              <w:t>10</w:t>
            </w:r>
            <w:r w:rsidR="008F0976">
              <w:rPr>
                <w:rFonts w:eastAsiaTheme="minorEastAsia"/>
                <w:b w:val="0"/>
                <w:sz w:val="22"/>
                <w:lang w:eastAsia="en-AU"/>
              </w:rPr>
              <w:tab/>
            </w:r>
            <w:r w:rsidR="008F0976" w:rsidRPr="00CE5939">
              <w:rPr>
                <w:rStyle w:val="Hyperlink"/>
              </w:rPr>
              <w:t>ILC Program Evaluation</w:t>
            </w:r>
            <w:r w:rsidR="008F0976">
              <w:rPr>
                <w:webHidden/>
              </w:rPr>
              <w:tab/>
            </w:r>
            <w:r w:rsidR="008F0976">
              <w:rPr>
                <w:webHidden/>
              </w:rPr>
              <w:fldChar w:fldCharType="begin"/>
            </w:r>
            <w:r w:rsidR="008F0976">
              <w:rPr>
                <w:webHidden/>
              </w:rPr>
              <w:instrText xml:space="preserve"> PAGEREF _Toc4175446 \h </w:instrText>
            </w:r>
            <w:r w:rsidR="008F0976">
              <w:rPr>
                <w:webHidden/>
              </w:rPr>
            </w:r>
            <w:r w:rsidR="008F0976">
              <w:rPr>
                <w:webHidden/>
              </w:rPr>
              <w:fldChar w:fldCharType="separate"/>
            </w:r>
            <w:r w:rsidR="00B979F5">
              <w:rPr>
                <w:webHidden/>
              </w:rPr>
              <w:t>17</w:t>
            </w:r>
            <w:r w:rsidR="008F0976">
              <w:rPr>
                <w:webHidden/>
              </w:rPr>
              <w:fldChar w:fldCharType="end"/>
            </w:r>
          </w:hyperlink>
        </w:p>
        <w:p w14:paraId="00DA6775" w14:textId="0884D681" w:rsidR="008F0976" w:rsidRDefault="00EB3118">
          <w:pPr>
            <w:pStyle w:val="TOC1"/>
            <w:rPr>
              <w:rFonts w:eastAsiaTheme="minorEastAsia"/>
              <w:b w:val="0"/>
              <w:sz w:val="22"/>
              <w:lang w:eastAsia="en-AU"/>
            </w:rPr>
          </w:pPr>
          <w:hyperlink w:anchor="_Toc4175447" w:history="1">
            <w:r w:rsidR="008F0976" w:rsidRPr="00CE5939">
              <w:rPr>
                <w:rStyle w:val="Hyperlink"/>
                <w:rFonts w:eastAsia="Calibri"/>
              </w:rPr>
              <w:t>11</w:t>
            </w:r>
            <w:r w:rsidR="008F0976">
              <w:rPr>
                <w:rFonts w:eastAsiaTheme="minorEastAsia"/>
                <w:b w:val="0"/>
                <w:sz w:val="22"/>
                <w:lang w:eastAsia="en-AU"/>
              </w:rPr>
              <w:tab/>
            </w:r>
            <w:r w:rsidR="008F0976" w:rsidRPr="00CE5939">
              <w:rPr>
                <w:rStyle w:val="Hyperlink"/>
                <w:rFonts w:eastAsia="Calibri"/>
              </w:rPr>
              <w:t>General</w:t>
            </w:r>
            <w:r w:rsidR="008F0976">
              <w:rPr>
                <w:webHidden/>
              </w:rPr>
              <w:tab/>
            </w:r>
            <w:r w:rsidR="008F0976">
              <w:rPr>
                <w:webHidden/>
              </w:rPr>
              <w:fldChar w:fldCharType="begin"/>
            </w:r>
            <w:r w:rsidR="008F0976">
              <w:rPr>
                <w:webHidden/>
              </w:rPr>
              <w:instrText xml:space="preserve"> PAGEREF _Toc4175447 \h </w:instrText>
            </w:r>
            <w:r w:rsidR="008F0976">
              <w:rPr>
                <w:webHidden/>
              </w:rPr>
            </w:r>
            <w:r w:rsidR="008F0976">
              <w:rPr>
                <w:webHidden/>
              </w:rPr>
              <w:fldChar w:fldCharType="separate"/>
            </w:r>
            <w:r w:rsidR="00B979F5">
              <w:rPr>
                <w:webHidden/>
              </w:rPr>
              <w:t>18</w:t>
            </w:r>
            <w:r w:rsidR="008F0976">
              <w:rPr>
                <w:webHidden/>
              </w:rPr>
              <w:fldChar w:fldCharType="end"/>
            </w:r>
          </w:hyperlink>
        </w:p>
        <w:p w14:paraId="55BFAFE5" w14:textId="265BA511" w:rsidR="008F0976" w:rsidRDefault="00EB3118">
          <w:pPr>
            <w:pStyle w:val="TOC2"/>
            <w:rPr>
              <w:rFonts w:eastAsiaTheme="minorEastAsia"/>
              <w:lang w:eastAsia="en-AU"/>
            </w:rPr>
          </w:pPr>
          <w:hyperlink w:anchor="_Toc4175448" w:history="1">
            <w:r w:rsidR="008F0976" w:rsidRPr="00CE5939">
              <w:rPr>
                <w:rStyle w:val="Hyperlink"/>
              </w:rPr>
              <w:t>11.1</w:t>
            </w:r>
            <w:r w:rsidR="008F0976">
              <w:rPr>
                <w:rFonts w:eastAsiaTheme="minorEastAsia"/>
                <w:lang w:eastAsia="en-AU"/>
              </w:rPr>
              <w:tab/>
            </w:r>
            <w:r w:rsidR="008F0976" w:rsidRPr="00CE5939">
              <w:rPr>
                <w:rStyle w:val="Hyperlink"/>
              </w:rPr>
              <w:t>Roles and Responsibilities</w:t>
            </w:r>
            <w:r w:rsidR="008F0976">
              <w:rPr>
                <w:webHidden/>
              </w:rPr>
              <w:tab/>
            </w:r>
            <w:r w:rsidR="008F0976">
              <w:rPr>
                <w:webHidden/>
              </w:rPr>
              <w:fldChar w:fldCharType="begin"/>
            </w:r>
            <w:r w:rsidR="008F0976">
              <w:rPr>
                <w:webHidden/>
              </w:rPr>
              <w:instrText xml:space="preserve"> PAGEREF _Toc4175448 \h </w:instrText>
            </w:r>
            <w:r w:rsidR="008F0976">
              <w:rPr>
                <w:webHidden/>
              </w:rPr>
            </w:r>
            <w:r w:rsidR="008F0976">
              <w:rPr>
                <w:webHidden/>
              </w:rPr>
              <w:fldChar w:fldCharType="separate"/>
            </w:r>
            <w:r w:rsidR="00B979F5">
              <w:rPr>
                <w:webHidden/>
              </w:rPr>
              <w:t>18</w:t>
            </w:r>
            <w:r w:rsidR="008F0976">
              <w:rPr>
                <w:webHidden/>
              </w:rPr>
              <w:fldChar w:fldCharType="end"/>
            </w:r>
          </w:hyperlink>
        </w:p>
        <w:p w14:paraId="35CBCD78" w14:textId="1A108BD1" w:rsidR="008F0976" w:rsidRDefault="00EB3118">
          <w:pPr>
            <w:pStyle w:val="TOC2"/>
            <w:rPr>
              <w:rFonts w:eastAsiaTheme="minorEastAsia"/>
              <w:lang w:eastAsia="en-AU"/>
            </w:rPr>
          </w:pPr>
          <w:hyperlink w:anchor="_Toc4175449" w:history="1">
            <w:r w:rsidR="008F0976" w:rsidRPr="00CE5939">
              <w:rPr>
                <w:rStyle w:val="Hyperlink"/>
                <w:lang w:val="en-GB" w:eastAsia="ja-JP"/>
              </w:rPr>
              <w:t>NDIA responsibilities and accountabilities</w:t>
            </w:r>
            <w:r w:rsidR="008F0976">
              <w:rPr>
                <w:webHidden/>
              </w:rPr>
              <w:tab/>
            </w:r>
            <w:r w:rsidR="008F0976">
              <w:rPr>
                <w:webHidden/>
              </w:rPr>
              <w:fldChar w:fldCharType="begin"/>
            </w:r>
            <w:r w:rsidR="008F0976">
              <w:rPr>
                <w:webHidden/>
              </w:rPr>
              <w:instrText xml:space="preserve"> PAGEREF _Toc4175449 \h </w:instrText>
            </w:r>
            <w:r w:rsidR="008F0976">
              <w:rPr>
                <w:webHidden/>
              </w:rPr>
            </w:r>
            <w:r w:rsidR="008F0976">
              <w:rPr>
                <w:webHidden/>
              </w:rPr>
              <w:fldChar w:fldCharType="separate"/>
            </w:r>
            <w:r w:rsidR="00B979F5">
              <w:rPr>
                <w:webHidden/>
              </w:rPr>
              <w:t>18</w:t>
            </w:r>
            <w:r w:rsidR="008F0976">
              <w:rPr>
                <w:webHidden/>
              </w:rPr>
              <w:fldChar w:fldCharType="end"/>
            </w:r>
          </w:hyperlink>
        </w:p>
        <w:p w14:paraId="66963B66" w14:textId="699045C1" w:rsidR="008F0976" w:rsidRDefault="00EB3118">
          <w:pPr>
            <w:pStyle w:val="TOC2"/>
            <w:rPr>
              <w:rFonts w:eastAsiaTheme="minorEastAsia"/>
              <w:lang w:eastAsia="en-AU"/>
            </w:rPr>
          </w:pPr>
          <w:hyperlink w:anchor="_Toc4175450" w:history="1">
            <w:r w:rsidR="008F0976" w:rsidRPr="00CE5939">
              <w:rPr>
                <w:rStyle w:val="Hyperlink"/>
              </w:rPr>
              <w:t>Grant Recipient’s responsibilities and accountabilities</w:t>
            </w:r>
            <w:r w:rsidR="008F0976">
              <w:rPr>
                <w:webHidden/>
              </w:rPr>
              <w:tab/>
            </w:r>
            <w:r w:rsidR="008F0976">
              <w:rPr>
                <w:webHidden/>
              </w:rPr>
              <w:fldChar w:fldCharType="begin"/>
            </w:r>
            <w:r w:rsidR="008F0976">
              <w:rPr>
                <w:webHidden/>
              </w:rPr>
              <w:instrText xml:space="preserve"> PAGEREF _Toc4175450 \h </w:instrText>
            </w:r>
            <w:r w:rsidR="008F0976">
              <w:rPr>
                <w:webHidden/>
              </w:rPr>
            </w:r>
            <w:r w:rsidR="008F0976">
              <w:rPr>
                <w:webHidden/>
              </w:rPr>
              <w:fldChar w:fldCharType="separate"/>
            </w:r>
            <w:r w:rsidR="00B979F5">
              <w:rPr>
                <w:webHidden/>
              </w:rPr>
              <w:t>18</w:t>
            </w:r>
            <w:r w:rsidR="008F0976">
              <w:rPr>
                <w:webHidden/>
              </w:rPr>
              <w:fldChar w:fldCharType="end"/>
            </w:r>
          </w:hyperlink>
        </w:p>
        <w:p w14:paraId="2C71AAD9" w14:textId="10AFF3D4" w:rsidR="008F0976" w:rsidRDefault="00EB3118">
          <w:pPr>
            <w:pStyle w:val="TOC2"/>
            <w:rPr>
              <w:rFonts w:eastAsiaTheme="minorEastAsia"/>
              <w:lang w:eastAsia="en-AU"/>
            </w:rPr>
          </w:pPr>
          <w:hyperlink w:anchor="_Toc4175451" w:history="1">
            <w:r w:rsidR="008F0976" w:rsidRPr="00CE5939">
              <w:rPr>
                <w:rStyle w:val="Hyperlink"/>
              </w:rPr>
              <w:t>11.2</w:t>
            </w:r>
            <w:r w:rsidR="008F0976">
              <w:rPr>
                <w:rFonts w:eastAsiaTheme="minorEastAsia"/>
                <w:lang w:eastAsia="en-AU"/>
              </w:rPr>
              <w:tab/>
            </w:r>
            <w:r w:rsidR="008F0976" w:rsidRPr="00CE5939">
              <w:rPr>
                <w:rStyle w:val="Hyperlink"/>
              </w:rPr>
              <w:t>Personal Information</w:t>
            </w:r>
            <w:r w:rsidR="008F0976">
              <w:rPr>
                <w:webHidden/>
              </w:rPr>
              <w:tab/>
            </w:r>
            <w:r w:rsidR="008F0976">
              <w:rPr>
                <w:webHidden/>
              </w:rPr>
              <w:fldChar w:fldCharType="begin"/>
            </w:r>
            <w:r w:rsidR="008F0976">
              <w:rPr>
                <w:webHidden/>
              </w:rPr>
              <w:instrText xml:space="preserve"> PAGEREF _Toc4175451 \h </w:instrText>
            </w:r>
            <w:r w:rsidR="008F0976">
              <w:rPr>
                <w:webHidden/>
              </w:rPr>
            </w:r>
            <w:r w:rsidR="008F0976">
              <w:rPr>
                <w:webHidden/>
              </w:rPr>
              <w:fldChar w:fldCharType="separate"/>
            </w:r>
            <w:r w:rsidR="00B979F5">
              <w:rPr>
                <w:webHidden/>
              </w:rPr>
              <w:t>19</w:t>
            </w:r>
            <w:r w:rsidR="008F0976">
              <w:rPr>
                <w:webHidden/>
              </w:rPr>
              <w:fldChar w:fldCharType="end"/>
            </w:r>
          </w:hyperlink>
        </w:p>
        <w:p w14:paraId="1FB404CD" w14:textId="61D7D41E" w:rsidR="008F0976" w:rsidRDefault="00EB3118">
          <w:pPr>
            <w:pStyle w:val="TOC2"/>
            <w:rPr>
              <w:rFonts w:eastAsiaTheme="minorEastAsia"/>
              <w:lang w:eastAsia="en-AU"/>
            </w:rPr>
          </w:pPr>
          <w:hyperlink w:anchor="_Toc4175452" w:history="1">
            <w:r w:rsidR="008F0976" w:rsidRPr="00CE5939">
              <w:rPr>
                <w:rStyle w:val="Hyperlink"/>
              </w:rPr>
              <w:t>11.3</w:t>
            </w:r>
            <w:r w:rsidR="008F0976">
              <w:rPr>
                <w:rFonts w:eastAsiaTheme="minorEastAsia"/>
                <w:lang w:eastAsia="en-AU"/>
              </w:rPr>
              <w:tab/>
            </w:r>
            <w:r w:rsidR="008F0976" w:rsidRPr="00CE5939">
              <w:rPr>
                <w:rStyle w:val="Hyperlink"/>
              </w:rPr>
              <w:t>Freedom of Information</w:t>
            </w:r>
            <w:r w:rsidR="008F0976">
              <w:rPr>
                <w:webHidden/>
              </w:rPr>
              <w:tab/>
            </w:r>
            <w:r w:rsidR="008F0976">
              <w:rPr>
                <w:webHidden/>
              </w:rPr>
              <w:fldChar w:fldCharType="begin"/>
            </w:r>
            <w:r w:rsidR="008F0976">
              <w:rPr>
                <w:webHidden/>
              </w:rPr>
              <w:instrText xml:space="preserve"> PAGEREF _Toc4175452 \h </w:instrText>
            </w:r>
            <w:r w:rsidR="008F0976">
              <w:rPr>
                <w:webHidden/>
              </w:rPr>
            </w:r>
            <w:r w:rsidR="008F0976">
              <w:rPr>
                <w:webHidden/>
              </w:rPr>
              <w:fldChar w:fldCharType="separate"/>
            </w:r>
            <w:r w:rsidR="00B979F5">
              <w:rPr>
                <w:webHidden/>
              </w:rPr>
              <w:t>19</w:t>
            </w:r>
            <w:r w:rsidR="008F0976">
              <w:rPr>
                <w:webHidden/>
              </w:rPr>
              <w:fldChar w:fldCharType="end"/>
            </w:r>
          </w:hyperlink>
        </w:p>
        <w:p w14:paraId="5828E844" w14:textId="59D00CB6" w:rsidR="008F0976" w:rsidRDefault="00EB3118">
          <w:pPr>
            <w:pStyle w:val="TOC2"/>
            <w:rPr>
              <w:rFonts w:eastAsiaTheme="minorEastAsia"/>
              <w:lang w:eastAsia="en-AU"/>
            </w:rPr>
          </w:pPr>
          <w:hyperlink w:anchor="_Toc4175453" w:history="1">
            <w:r w:rsidR="008F0976" w:rsidRPr="00CE5939">
              <w:rPr>
                <w:rStyle w:val="Hyperlink"/>
              </w:rPr>
              <w:t>11.4</w:t>
            </w:r>
            <w:r w:rsidR="008F0976">
              <w:rPr>
                <w:rFonts w:eastAsiaTheme="minorEastAsia"/>
                <w:lang w:eastAsia="en-AU"/>
              </w:rPr>
              <w:tab/>
            </w:r>
            <w:r w:rsidR="008F0976" w:rsidRPr="00CE5939">
              <w:rPr>
                <w:rStyle w:val="Hyperlink"/>
              </w:rPr>
              <w:t>Complaints</w:t>
            </w:r>
            <w:r w:rsidR="008F0976">
              <w:rPr>
                <w:webHidden/>
              </w:rPr>
              <w:tab/>
            </w:r>
            <w:r w:rsidR="008F0976">
              <w:rPr>
                <w:webHidden/>
              </w:rPr>
              <w:fldChar w:fldCharType="begin"/>
            </w:r>
            <w:r w:rsidR="008F0976">
              <w:rPr>
                <w:webHidden/>
              </w:rPr>
              <w:instrText xml:space="preserve"> PAGEREF _Toc4175453 \h </w:instrText>
            </w:r>
            <w:r w:rsidR="008F0976">
              <w:rPr>
                <w:webHidden/>
              </w:rPr>
            </w:r>
            <w:r w:rsidR="008F0976">
              <w:rPr>
                <w:webHidden/>
              </w:rPr>
              <w:fldChar w:fldCharType="separate"/>
            </w:r>
            <w:r w:rsidR="00B979F5">
              <w:rPr>
                <w:webHidden/>
              </w:rPr>
              <w:t>19</w:t>
            </w:r>
            <w:r w:rsidR="008F0976">
              <w:rPr>
                <w:webHidden/>
              </w:rPr>
              <w:fldChar w:fldCharType="end"/>
            </w:r>
          </w:hyperlink>
        </w:p>
        <w:p w14:paraId="34635098" w14:textId="7E7778F7" w:rsidR="008F0976" w:rsidRDefault="00EB3118">
          <w:pPr>
            <w:pStyle w:val="TOC2"/>
            <w:rPr>
              <w:rFonts w:eastAsiaTheme="minorEastAsia"/>
              <w:lang w:eastAsia="en-AU"/>
            </w:rPr>
          </w:pPr>
          <w:hyperlink w:anchor="_Toc4175454" w:history="1">
            <w:r w:rsidR="008F0976" w:rsidRPr="00CE5939">
              <w:rPr>
                <w:rStyle w:val="Hyperlink"/>
                <w:lang w:eastAsia="en-AU"/>
              </w:rPr>
              <w:t>11.5</w:t>
            </w:r>
            <w:r w:rsidR="008F0976">
              <w:rPr>
                <w:rFonts w:eastAsiaTheme="minorEastAsia"/>
                <w:lang w:eastAsia="en-AU"/>
              </w:rPr>
              <w:tab/>
            </w:r>
            <w:r w:rsidR="008F0976" w:rsidRPr="00CE5939">
              <w:rPr>
                <w:rStyle w:val="Hyperlink"/>
                <w:lang w:eastAsia="en-AU"/>
              </w:rPr>
              <w:t>Working with vulnerable persons</w:t>
            </w:r>
            <w:r w:rsidR="008F0976">
              <w:rPr>
                <w:webHidden/>
              </w:rPr>
              <w:tab/>
            </w:r>
            <w:r w:rsidR="008F0976">
              <w:rPr>
                <w:webHidden/>
              </w:rPr>
              <w:fldChar w:fldCharType="begin"/>
            </w:r>
            <w:r w:rsidR="008F0976">
              <w:rPr>
                <w:webHidden/>
              </w:rPr>
              <w:instrText xml:space="preserve"> PAGEREF _Toc4175454 \h </w:instrText>
            </w:r>
            <w:r w:rsidR="008F0976">
              <w:rPr>
                <w:webHidden/>
              </w:rPr>
            </w:r>
            <w:r w:rsidR="008F0976">
              <w:rPr>
                <w:webHidden/>
              </w:rPr>
              <w:fldChar w:fldCharType="separate"/>
            </w:r>
            <w:r w:rsidR="00B979F5">
              <w:rPr>
                <w:webHidden/>
              </w:rPr>
              <w:t>19</w:t>
            </w:r>
            <w:r w:rsidR="008F0976">
              <w:rPr>
                <w:webHidden/>
              </w:rPr>
              <w:fldChar w:fldCharType="end"/>
            </w:r>
          </w:hyperlink>
        </w:p>
        <w:p w14:paraId="6117B387" w14:textId="708EED6E" w:rsidR="008F0976" w:rsidRDefault="00EB3118">
          <w:pPr>
            <w:pStyle w:val="TOC1"/>
            <w:rPr>
              <w:rFonts w:eastAsiaTheme="minorEastAsia"/>
              <w:b w:val="0"/>
              <w:sz w:val="22"/>
              <w:lang w:eastAsia="en-AU"/>
            </w:rPr>
          </w:pPr>
          <w:hyperlink w:anchor="_Toc4175455" w:history="1">
            <w:r w:rsidR="008F0976" w:rsidRPr="00CE5939">
              <w:rPr>
                <w:rStyle w:val="Hyperlink"/>
              </w:rPr>
              <w:t>12</w:t>
            </w:r>
            <w:r w:rsidR="008F0976">
              <w:rPr>
                <w:rFonts w:eastAsiaTheme="minorEastAsia"/>
                <w:b w:val="0"/>
                <w:sz w:val="22"/>
                <w:lang w:eastAsia="en-AU"/>
              </w:rPr>
              <w:tab/>
            </w:r>
            <w:r w:rsidR="008F0976" w:rsidRPr="00CE5939">
              <w:rPr>
                <w:rStyle w:val="Hyperlink"/>
              </w:rPr>
              <w:t>Glossary</w:t>
            </w:r>
            <w:r w:rsidR="008F0976">
              <w:rPr>
                <w:webHidden/>
              </w:rPr>
              <w:tab/>
            </w:r>
            <w:r w:rsidR="008F0976">
              <w:rPr>
                <w:webHidden/>
              </w:rPr>
              <w:fldChar w:fldCharType="begin"/>
            </w:r>
            <w:r w:rsidR="008F0976">
              <w:rPr>
                <w:webHidden/>
              </w:rPr>
              <w:instrText xml:space="preserve"> PAGEREF _Toc4175455 \h </w:instrText>
            </w:r>
            <w:r w:rsidR="008F0976">
              <w:rPr>
                <w:webHidden/>
              </w:rPr>
            </w:r>
            <w:r w:rsidR="008F0976">
              <w:rPr>
                <w:webHidden/>
              </w:rPr>
              <w:fldChar w:fldCharType="separate"/>
            </w:r>
            <w:r w:rsidR="00B979F5">
              <w:rPr>
                <w:webHidden/>
              </w:rPr>
              <w:t>20</w:t>
            </w:r>
            <w:r w:rsidR="008F0976">
              <w:rPr>
                <w:webHidden/>
              </w:rPr>
              <w:fldChar w:fldCharType="end"/>
            </w:r>
          </w:hyperlink>
        </w:p>
        <w:p w14:paraId="654F39DA" w14:textId="77777777" w:rsidR="00F22AEA" w:rsidRDefault="00F22AEA" w:rsidP="00F22AEA">
          <w:pPr>
            <w:jc w:val="both"/>
            <w:rPr>
              <w:rFonts w:ascii="Arial" w:hAnsi="Arial" w:cs="Arial"/>
              <w:noProof/>
            </w:rPr>
          </w:pPr>
          <w:r>
            <w:rPr>
              <w:rFonts w:cs="Arial"/>
              <w:b/>
              <w:bCs/>
              <w:noProof/>
            </w:rPr>
            <w:fldChar w:fldCharType="end"/>
          </w:r>
        </w:p>
      </w:sdtContent>
    </w:sdt>
    <w:p w14:paraId="2B6B4B0B" w14:textId="77777777" w:rsidR="00F22AEA" w:rsidRDefault="00F22AEA">
      <w:pPr>
        <w:suppressAutoHyphens w:val="0"/>
        <w:spacing w:before="0" w:after="120" w:line="440" w:lineRule="atLeast"/>
        <w:rPr>
          <w:rFonts w:asciiTheme="majorHAnsi" w:eastAsiaTheme="majorEastAsia" w:hAnsiTheme="majorHAnsi" w:cstheme="majorBidi"/>
          <w:color w:val="1C1C1C" w:themeColor="text2"/>
          <w:sz w:val="40"/>
          <w:szCs w:val="32"/>
          <w:lang w:val="en-US"/>
        </w:rPr>
      </w:pPr>
      <w:r>
        <w:br w:type="page"/>
      </w:r>
    </w:p>
    <w:p w14:paraId="4E2ABF95" w14:textId="77777777" w:rsidR="000B6F57" w:rsidRDefault="000B6F57">
      <w:pPr>
        <w:pStyle w:val="TOCHeading"/>
      </w:pPr>
    </w:p>
    <w:p w14:paraId="5904A81F" w14:textId="77777777" w:rsidR="00412815" w:rsidRDefault="00412815" w:rsidP="00DC3750">
      <w:pPr>
        <w:pStyle w:val="CEOBrief-Heading1"/>
        <w:ind w:left="360"/>
      </w:pPr>
    </w:p>
    <w:p w14:paraId="22B283CE" w14:textId="77777777" w:rsidR="00A10BDB" w:rsidRPr="00412815" w:rsidRDefault="00A10BDB" w:rsidP="00DC3750">
      <w:pPr>
        <w:pStyle w:val="Heading1Numbered"/>
      </w:pPr>
      <w:bookmarkStart w:id="6" w:name="_Toc4175405"/>
      <w:bookmarkStart w:id="7" w:name="_Toc466630146"/>
      <w:r w:rsidRPr="00412815">
        <w:t>Purpose</w:t>
      </w:r>
      <w:bookmarkEnd w:id="6"/>
    </w:p>
    <w:p w14:paraId="357747CF" w14:textId="77777777" w:rsidR="00EB09C6" w:rsidRDefault="00CC0848" w:rsidP="00D44C77">
      <w:pPr>
        <w:spacing w:after="120" w:line="240" w:lineRule="auto"/>
        <w:jc w:val="both"/>
      </w:pPr>
      <w:r>
        <w:t xml:space="preserve">These </w:t>
      </w:r>
      <w:r w:rsidR="003D1346">
        <w:t>Program Guidelines</w:t>
      </w:r>
      <w:r w:rsidR="00A10BDB">
        <w:t xml:space="preserve"> establish the overarching</w:t>
      </w:r>
      <w:r>
        <w:t xml:space="preserve"> </w:t>
      </w:r>
      <w:r w:rsidR="003D1346">
        <w:t>governance</w:t>
      </w:r>
      <w:r>
        <w:t xml:space="preserve"> </w:t>
      </w:r>
      <w:r w:rsidR="00A10BDB">
        <w:t xml:space="preserve">policy for the </w:t>
      </w:r>
      <w:r w:rsidR="00D70A7F">
        <w:t xml:space="preserve">continued </w:t>
      </w:r>
      <w:r w:rsidR="003D1346">
        <w:t xml:space="preserve">implementation of the </w:t>
      </w:r>
      <w:r w:rsidR="00A10BDB">
        <w:t xml:space="preserve">Information, Linkages and Capacity </w:t>
      </w:r>
      <w:r w:rsidR="00D70A7F">
        <w:t xml:space="preserve">Building </w:t>
      </w:r>
      <w:r w:rsidR="00A10BDB">
        <w:t>(ILC)</w:t>
      </w:r>
      <w:r w:rsidR="00D70A7F">
        <w:t xml:space="preserve"> component of the National Disability Insurance Scheme (NDIS)</w:t>
      </w:r>
      <w:r w:rsidR="003D1346">
        <w:t>.</w:t>
      </w:r>
      <w:r w:rsidR="00D44C77" w:rsidRPr="00D44C77">
        <w:t xml:space="preserve"> </w:t>
      </w:r>
      <w:r w:rsidR="00745964">
        <w:t xml:space="preserve">These ILC Program Guidelines come into effect from </w:t>
      </w:r>
      <w:r w:rsidR="00F5379E">
        <w:t>April</w:t>
      </w:r>
      <w:r w:rsidR="008F0976">
        <w:t xml:space="preserve"> </w:t>
      </w:r>
      <w:r w:rsidR="00745964">
        <w:t>2019.</w:t>
      </w:r>
    </w:p>
    <w:p w14:paraId="3C0A9F19" w14:textId="77777777" w:rsidR="00F87750" w:rsidRDefault="00F87750" w:rsidP="00D44C77">
      <w:pPr>
        <w:spacing w:after="120" w:line="240" w:lineRule="auto"/>
        <w:jc w:val="both"/>
      </w:pPr>
      <w:r>
        <w:t xml:space="preserve">A Glossary of terms used in these Program Guidelines </w:t>
      </w:r>
      <w:r w:rsidR="00950A11">
        <w:t>is</w:t>
      </w:r>
      <w:r>
        <w:t xml:space="preserve"> at section 1</w:t>
      </w:r>
      <w:r w:rsidR="008F0976">
        <w:t>2</w:t>
      </w:r>
      <w:r>
        <w:t>.</w:t>
      </w:r>
    </w:p>
    <w:p w14:paraId="7E86662F" w14:textId="77777777" w:rsidR="00EB09C6" w:rsidRDefault="004408D0" w:rsidP="003E3C5E">
      <w:pPr>
        <w:pStyle w:val="Heading2Numbered"/>
        <w:ind w:left="576"/>
      </w:pPr>
      <w:bookmarkStart w:id="8" w:name="_Toc4175406"/>
      <w:r>
        <w:t xml:space="preserve">Administrative </w:t>
      </w:r>
      <w:r w:rsidR="00686639">
        <w:t>Context</w:t>
      </w:r>
      <w:bookmarkEnd w:id="8"/>
      <w:r w:rsidR="00686639">
        <w:t xml:space="preserve"> </w:t>
      </w:r>
    </w:p>
    <w:p w14:paraId="3922AD99" w14:textId="77777777" w:rsidR="003E3C5E" w:rsidRPr="003E3C5E" w:rsidRDefault="00686639" w:rsidP="003E3C5E">
      <w:pPr>
        <w:spacing w:after="120" w:line="240" w:lineRule="auto"/>
        <w:jc w:val="both"/>
      </w:pPr>
      <w:r w:rsidRPr="003545B0">
        <w:t>ILC is being implemented u</w:t>
      </w:r>
      <w:r w:rsidR="007D42A9">
        <w:t xml:space="preserve">sing </w:t>
      </w:r>
      <w:r w:rsidRPr="003545B0">
        <w:t>the Community Inclusion and Capacity Development (CICD) Program (NDIA Program 1.2)</w:t>
      </w:r>
      <w:r w:rsidR="007D42A9" w:rsidRPr="003E3C5E">
        <w:footnoteReference w:id="1"/>
      </w:r>
      <w:r>
        <w:t xml:space="preserve">. </w:t>
      </w:r>
      <w:r w:rsidRPr="003545B0">
        <w:t xml:space="preserve">The </w:t>
      </w:r>
      <w:r>
        <w:t xml:space="preserve">CICD </w:t>
      </w:r>
      <w:r w:rsidRPr="003545B0">
        <w:t>Program was established as part of the NDIS funding commitment in the 2013-14 Portfolio Budget Statement (PBS</w:t>
      </w:r>
      <w:bookmarkStart w:id="9" w:name="_Toc4175407"/>
      <w:r w:rsidR="003E3C5E" w:rsidRPr="003E3C5E">
        <w:t>)</w:t>
      </w:r>
    </w:p>
    <w:p w14:paraId="13F2A045" w14:textId="110CF514" w:rsidR="00EC45D7" w:rsidRPr="00EB09C6" w:rsidRDefault="00EC45D7" w:rsidP="003E3C5E">
      <w:pPr>
        <w:pStyle w:val="Heading2Numbered"/>
        <w:ind w:left="576"/>
      </w:pPr>
      <w:r>
        <w:t>Policy Context</w:t>
      </w:r>
      <w:bookmarkEnd w:id="9"/>
    </w:p>
    <w:p w14:paraId="5DFB32DC" w14:textId="77777777" w:rsidR="00686639" w:rsidRPr="006E403D" w:rsidRDefault="00686639" w:rsidP="006E403D">
      <w:pPr>
        <w:spacing w:after="120"/>
        <w:rPr>
          <w:rFonts w:cs="Arial"/>
        </w:rPr>
      </w:pPr>
      <w:r>
        <w:rPr>
          <w:rFonts w:cs="Arial"/>
        </w:rPr>
        <w:t>In 2015 the Disability Reform Council</w:t>
      </w:r>
      <w:r w:rsidR="005F452D">
        <w:rPr>
          <w:rFonts w:cs="Arial"/>
        </w:rPr>
        <w:t xml:space="preserve"> (DRC)</w:t>
      </w:r>
      <w:r>
        <w:rPr>
          <w:rFonts w:cs="Arial"/>
        </w:rPr>
        <w:t xml:space="preserve"> agreed to the ILC Policy and gave the NDIA responsibility for its implementation. </w:t>
      </w:r>
      <w:r w:rsidRPr="006A7028">
        <w:rPr>
          <w:rFonts w:cs="Arial"/>
        </w:rPr>
        <w:t xml:space="preserve">The </w:t>
      </w:r>
      <w:r>
        <w:rPr>
          <w:rFonts w:cs="Arial"/>
        </w:rPr>
        <w:t xml:space="preserve">ILC </w:t>
      </w:r>
      <w:r w:rsidRPr="006A7028">
        <w:rPr>
          <w:rFonts w:cs="Arial"/>
        </w:rPr>
        <w:t>Policy</w:t>
      </w:r>
      <w:r w:rsidR="006E403D">
        <w:rPr>
          <w:rFonts w:cs="Arial"/>
        </w:rPr>
        <w:t xml:space="preserve"> confirms that ILC is an important part of the NDIS because it can enable greater access to the social and economic life of the community for people with disability, their families and carers. The ILC Policy</w:t>
      </w:r>
      <w:r w:rsidRPr="006A7028">
        <w:rPr>
          <w:rFonts w:cs="Arial"/>
        </w:rPr>
        <w:t xml:space="preserve"> sets the scope</w:t>
      </w:r>
      <w:r>
        <w:rPr>
          <w:rFonts w:cs="Arial"/>
        </w:rPr>
        <w:t xml:space="preserve"> and purpose</w:t>
      </w:r>
      <w:r w:rsidRPr="006A7028">
        <w:rPr>
          <w:rFonts w:cs="Arial"/>
        </w:rPr>
        <w:t xml:space="preserve"> for ILC, including its focus on </w:t>
      </w:r>
      <w:r w:rsidRPr="006A7028">
        <w:rPr>
          <w:rFonts w:cs="Arial"/>
          <w:u w:val="single"/>
        </w:rPr>
        <w:t>all</w:t>
      </w:r>
      <w:r w:rsidRPr="006A7028">
        <w:rPr>
          <w:rFonts w:cs="Arial"/>
        </w:rPr>
        <w:t xml:space="preserve"> people with disability, their famili</w:t>
      </w:r>
      <w:r w:rsidR="005F452D">
        <w:rPr>
          <w:rFonts w:cs="Arial"/>
        </w:rPr>
        <w:t>es and carers.</w:t>
      </w:r>
      <w:r>
        <w:rPr>
          <w:rFonts w:cs="Arial"/>
        </w:rPr>
        <w:t xml:space="preserve"> </w:t>
      </w:r>
    </w:p>
    <w:p w14:paraId="08DAF9D1" w14:textId="77777777" w:rsidR="00EB09C6" w:rsidRDefault="00EB09C6" w:rsidP="00EB09C6">
      <w:pPr>
        <w:spacing w:after="120" w:line="240" w:lineRule="auto"/>
        <w:jc w:val="both"/>
      </w:pPr>
      <w:r>
        <w:t>The ILC Program Guidelines reflect the requirem</w:t>
      </w:r>
      <w:r w:rsidRPr="007E3ECF">
        <w:t xml:space="preserve">ents of </w:t>
      </w:r>
      <w:r w:rsidRPr="00EB09C6">
        <w:t xml:space="preserve">the </w:t>
      </w:r>
      <w:r w:rsidR="00C819C4">
        <w:t xml:space="preserve">agreed </w:t>
      </w:r>
      <w:r w:rsidRPr="00EB09C6">
        <w:t>ILC Policy</w:t>
      </w:r>
      <w:r w:rsidRPr="007E3ECF">
        <w:t xml:space="preserve">, and </w:t>
      </w:r>
      <w:r w:rsidRPr="00EB09C6">
        <w:t>the ILC Investment Strategy 2018</w:t>
      </w:r>
      <w:r w:rsidRPr="007E3ECF">
        <w:t xml:space="preserve">, and should be read alongside these documents. </w:t>
      </w:r>
      <w:r w:rsidRPr="00EB09C6">
        <w:t>Where there is an inconsistency between the ILC Policy, the ILC Investment Strategy</w:t>
      </w:r>
      <w:r w:rsidR="007D42A9">
        <w:t xml:space="preserve"> 2018</w:t>
      </w:r>
      <w:r w:rsidRPr="00EB09C6">
        <w:t xml:space="preserve"> and the ILC Program Guidelines, the ILC Program Guidelines will prevail.</w:t>
      </w:r>
    </w:p>
    <w:p w14:paraId="53AE7CE0" w14:textId="77777777" w:rsidR="007602E9" w:rsidRDefault="007602E9" w:rsidP="00DC3750">
      <w:pPr>
        <w:pStyle w:val="Heading2Numbered"/>
      </w:pPr>
      <w:bookmarkStart w:id="10" w:name="_Toc4175408"/>
      <w:r w:rsidRPr="00412815">
        <w:t>Program Funding Type</w:t>
      </w:r>
      <w:bookmarkEnd w:id="10"/>
    </w:p>
    <w:p w14:paraId="67F96ED2" w14:textId="234A4F59" w:rsidR="007E3ECF" w:rsidRPr="00F5379E" w:rsidRDefault="007E3ECF" w:rsidP="00F5379E">
      <w:pPr>
        <w:pStyle w:val="CommentText"/>
        <w:rPr>
          <w:rFonts w:ascii="Arial" w:hAnsi="Arial" w:cs="Arial"/>
        </w:rPr>
      </w:pPr>
      <w:r w:rsidRPr="00745964">
        <w:rPr>
          <w:rFonts w:ascii="Arial" w:hAnsi="Arial" w:cs="Arial"/>
          <w:sz w:val="22"/>
          <w:szCs w:val="22"/>
        </w:rPr>
        <w:t>The ILC Program is</w:t>
      </w:r>
      <w:r w:rsidR="00EB09C6" w:rsidRPr="00745964">
        <w:rPr>
          <w:rFonts w:ascii="Arial" w:hAnsi="Arial" w:cs="Arial"/>
          <w:sz w:val="22"/>
          <w:szCs w:val="22"/>
        </w:rPr>
        <w:t xml:space="preserve"> </w:t>
      </w:r>
      <w:r w:rsidR="00486C62">
        <w:rPr>
          <w:rFonts w:ascii="Arial" w:hAnsi="Arial" w:cs="Arial"/>
          <w:sz w:val="22"/>
          <w:szCs w:val="22"/>
        </w:rPr>
        <w:t xml:space="preserve">primarily </w:t>
      </w:r>
      <w:r w:rsidR="00EB09C6" w:rsidRPr="00745964">
        <w:rPr>
          <w:rFonts w:ascii="Arial" w:hAnsi="Arial" w:cs="Arial"/>
          <w:sz w:val="22"/>
          <w:szCs w:val="22"/>
        </w:rPr>
        <w:t xml:space="preserve">a </w:t>
      </w:r>
      <w:r w:rsidRPr="00745964">
        <w:rPr>
          <w:rFonts w:ascii="Arial" w:hAnsi="Arial" w:cs="Arial"/>
          <w:sz w:val="22"/>
          <w:szCs w:val="22"/>
        </w:rPr>
        <w:t>grants Program.</w:t>
      </w:r>
      <w:r w:rsidR="00CC0848" w:rsidRPr="00745964">
        <w:rPr>
          <w:rFonts w:ascii="Arial" w:hAnsi="Arial" w:cs="Arial"/>
          <w:sz w:val="22"/>
          <w:szCs w:val="22"/>
        </w:rPr>
        <w:t xml:space="preserve"> </w:t>
      </w:r>
      <w:r w:rsidRPr="00745964">
        <w:rPr>
          <w:rFonts w:ascii="Arial" w:hAnsi="Arial" w:cs="Arial"/>
          <w:sz w:val="22"/>
          <w:szCs w:val="22"/>
        </w:rPr>
        <w:t xml:space="preserve">The ILC Program Guidelines are aligned with the legislation, policy and procedural requirements for undertaking grants contained in the </w:t>
      </w:r>
      <w:r w:rsidR="00745964" w:rsidRPr="00745964">
        <w:rPr>
          <w:rFonts w:ascii="Arial" w:hAnsi="Arial" w:cs="Arial"/>
          <w:sz w:val="22"/>
          <w:szCs w:val="22"/>
        </w:rPr>
        <w:t>Public Governance, Performance and Accountability Act 2013 (PGPA Act) and Public Governance, Performance and Accountability Rule 2014 (PGPA Rule)</w:t>
      </w:r>
      <w:r w:rsidRPr="00F5379E">
        <w:rPr>
          <w:rFonts w:ascii="Arial" w:hAnsi="Arial" w:cs="Arial"/>
          <w:sz w:val="22"/>
          <w:szCs w:val="22"/>
        </w:rPr>
        <w:t xml:space="preserve">, the Commonwealth Grants Rules and Guidelines (CGRGs), the Department of Finance Resource Management Guidelines (RMGs) and </w:t>
      </w:r>
      <w:r w:rsidR="00F5379E">
        <w:rPr>
          <w:rFonts w:ascii="Arial" w:hAnsi="Arial" w:cs="Arial"/>
          <w:sz w:val="22"/>
          <w:szCs w:val="22"/>
        </w:rPr>
        <w:t>an</w:t>
      </w:r>
      <w:r w:rsidR="00D13478">
        <w:rPr>
          <w:rFonts w:ascii="Arial" w:hAnsi="Arial" w:cs="Arial"/>
          <w:sz w:val="22"/>
          <w:szCs w:val="22"/>
        </w:rPr>
        <w:t>y other relevant NDIA policies.</w:t>
      </w:r>
    </w:p>
    <w:p w14:paraId="671D5922" w14:textId="77777777" w:rsidR="00C00BCE" w:rsidRPr="00412815" w:rsidRDefault="00AB28ED" w:rsidP="00DC3750">
      <w:pPr>
        <w:pStyle w:val="Heading2Numbered"/>
      </w:pPr>
      <w:bookmarkStart w:id="11" w:name="_Toc4175409"/>
      <w:r>
        <w:t>P</w:t>
      </w:r>
      <w:r w:rsidR="00C00BCE" w:rsidRPr="00412815">
        <w:t>rogram Legislative Framework</w:t>
      </w:r>
      <w:bookmarkEnd w:id="11"/>
    </w:p>
    <w:p w14:paraId="6BF16E4D" w14:textId="77777777" w:rsidR="00C00BCE" w:rsidRDefault="00C00BCE" w:rsidP="00C00BCE">
      <w:r>
        <w:t xml:space="preserve">The ‘National Disability Insurance Scheme Launch Transition Agency’ (operating as the National Disability Insurance Agency) is a </w:t>
      </w:r>
      <w:r w:rsidR="00F5379E">
        <w:t xml:space="preserve">Corporate </w:t>
      </w:r>
      <w:r>
        <w:t xml:space="preserve">Commonwealth entity (CCE), established by section 117 (1) of the National Disability Insurance Scheme Act 2013 (the </w:t>
      </w:r>
      <w:r>
        <w:lastRenderedPageBreak/>
        <w:t xml:space="preserve">NDIS Act). The NDIS Act, </w:t>
      </w:r>
      <w:r w:rsidR="00745964">
        <w:t xml:space="preserve">together with </w:t>
      </w:r>
      <w:r w:rsidR="00F5379E">
        <w:t xml:space="preserve">any relevant NDIA policies </w:t>
      </w:r>
      <w:r w:rsidR="00745964">
        <w:t xml:space="preserve">establish the legislative and policy framework for grant sourcing and administration activity by the NDIA. </w:t>
      </w:r>
    </w:p>
    <w:p w14:paraId="282170F7" w14:textId="77777777" w:rsidR="003D1346" w:rsidRPr="00412815" w:rsidRDefault="003D1346" w:rsidP="00DC3750">
      <w:pPr>
        <w:pStyle w:val="Heading2Numbered"/>
      </w:pPr>
      <w:bookmarkStart w:id="12" w:name="_Toc466630148"/>
      <w:bookmarkStart w:id="13" w:name="_Toc4175410"/>
      <w:r w:rsidRPr="00412815">
        <w:t>Scope of the ILC Program Guidelines</w:t>
      </w:r>
      <w:bookmarkEnd w:id="12"/>
      <w:bookmarkEnd w:id="13"/>
    </w:p>
    <w:p w14:paraId="25F78A46" w14:textId="77777777" w:rsidR="003D1346" w:rsidRPr="008F2934" w:rsidRDefault="003D1346" w:rsidP="003D1346">
      <w:pPr>
        <w:spacing w:after="120" w:line="240" w:lineRule="auto"/>
        <w:jc w:val="both"/>
        <w:rPr>
          <w:rFonts w:eastAsia="Calibri" w:cs="Arial"/>
        </w:rPr>
      </w:pPr>
      <w:r w:rsidRPr="008F2934">
        <w:rPr>
          <w:rFonts w:eastAsia="Calibri" w:cs="Arial"/>
        </w:rPr>
        <w:t xml:space="preserve">The </w:t>
      </w:r>
      <w:r w:rsidRPr="001135C9">
        <w:rPr>
          <w:rFonts w:eastAsia="Calibri" w:cs="Arial"/>
        </w:rPr>
        <w:t>ILC</w:t>
      </w:r>
      <w:r w:rsidRPr="008F2934">
        <w:rPr>
          <w:rFonts w:eastAsia="Calibri" w:cs="Arial"/>
        </w:rPr>
        <w:t xml:space="preserve"> </w:t>
      </w:r>
      <w:r w:rsidRPr="00E35087">
        <w:rPr>
          <w:rFonts w:eastAsia="Calibri" w:cs="Arial"/>
        </w:rPr>
        <w:t>Program Guidelines are only applicable to the following four Activity Areas described in the ILC Policy</w:t>
      </w:r>
      <w:r w:rsidR="007D42A9">
        <w:rPr>
          <w:rFonts w:eastAsia="Calibri" w:cs="Arial"/>
        </w:rPr>
        <w:t xml:space="preserve">: </w:t>
      </w:r>
    </w:p>
    <w:p w14:paraId="2480716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Information, linkages and referrals </w:t>
      </w:r>
    </w:p>
    <w:p w14:paraId="6E8B4B51"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Capacity building for mainstream services </w:t>
      </w:r>
    </w:p>
    <w:p w14:paraId="70D54687"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Community awareness and capacity building </w:t>
      </w:r>
    </w:p>
    <w:p w14:paraId="40FF9CA8" w14:textId="77777777" w:rsidR="003D1346" w:rsidRPr="008F2934" w:rsidRDefault="003D1346" w:rsidP="007B02B6">
      <w:pPr>
        <w:pStyle w:val="ListParagraph"/>
        <w:numPr>
          <w:ilvl w:val="0"/>
          <w:numId w:val="22"/>
        </w:numPr>
        <w:spacing w:after="120" w:line="240" w:lineRule="auto"/>
        <w:contextualSpacing/>
        <w:jc w:val="both"/>
        <w:rPr>
          <w:rFonts w:eastAsia="Calibri" w:cs="Arial"/>
        </w:rPr>
      </w:pPr>
      <w:r w:rsidRPr="008F2934">
        <w:rPr>
          <w:rFonts w:eastAsia="Calibri" w:cs="Arial"/>
        </w:rPr>
        <w:t xml:space="preserve">Individual capacity building. </w:t>
      </w:r>
    </w:p>
    <w:p w14:paraId="2929BD5D" w14:textId="3D84D2B9" w:rsidR="00B713F0" w:rsidRDefault="003D1346" w:rsidP="00BC34D3">
      <w:pPr>
        <w:spacing w:after="120" w:line="240" w:lineRule="auto"/>
        <w:jc w:val="both"/>
      </w:pPr>
      <w:r>
        <w:rPr>
          <w:rFonts w:eastAsia="Calibri" w:cs="Arial"/>
        </w:rPr>
        <w:t>The remaining area, Local Area Co-ordination (LAC), is commissioned and funded separately through the NDIA’s Partners in the Community Program.</w:t>
      </w:r>
    </w:p>
    <w:p w14:paraId="41525494" w14:textId="77777777" w:rsidR="00B713F0" w:rsidRDefault="00B713F0" w:rsidP="00DC3750">
      <w:pPr>
        <w:pStyle w:val="Heading2Numbered"/>
        <w:rPr>
          <w:rFonts w:eastAsia="Calibri"/>
        </w:rPr>
      </w:pPr>
      <w:bookmarkStart w:id="14" w:name="_Toc4175411"/>
      <w:r>
        <w:rPr>
          <w:rFonts w:eastAsia="Calibri"/>
        </w:rPr>
        <w:t>Changes to ILC Program Guidelines</w:t>
      </w:r>
      <w:bookmarkEnd w:id="14"/>
    </w:p>
    <w:p w14:paraId="0E8389A9" w14:textId="755A13AB" w:rsidR="00B713F0" w:rsidRDefault="00B713F0" w:rsidP="00B713F0">
      <w:pPr>
        <w:spacing w:after="120" w:line="240" w:lineRule="auto"/>
        <w:jc w:val="both"/>
        <w:rPr>
          <w:rFonts w:eastAsia="Calibri" w:cs="Arial"/>
        </w:rPr>
      </w:pPr>
      <w:r w:rsidRPr="00FA33AB">
        <w:rPr>
          <w:rFonts w:eastAsia="Calibri" w:cs="Arial"/>
        </w:rPr>
        <w:t xml:space="preserve">Prioritisation of funding within the ILC Program </w:t>
      </w:r>
      <w:r w:rsidR="00FA33AB" w:rsidRPr="00FA33AB">
        <w:rPr>
          <w:rFonts w:eastAsia="Calibri" w:cs="Arial"/>
        </w:rPr>
        <w:t>may</w:t>
      </w:r>
      <w:r w:rsidRPr="00FA33AB">
        <w:rPr>
          <w:rFonts w:eastAsia="Calibri" w:cs="Arial"/>
        </w:rPr>
        <w:t xml:space="preserve"> change over time and across jurisdictions reflecting negotiations with jurisdictions and locally based need and opportunities as they arise. The NDIA therefore reserves the right to update the </w:t>
      </w:r>
      <w:r w:rsidRPr="007D42A9">
        <w:rPr>
          <w:rFonts w:eastAsia="Calibri" w:cs="Arial"/>
        </w:rPr>
        <w:t>ILC Program Guidelines</w:t>
      </w:r>
      <w:r w:rsidRPr="00FA33AB">
        <w:rPr>
          <w:rFonts w:eastAsia="Calibri" w:cs="Arial"/>
        </w:rPr>
        <w:t xml:space="preserve"> as required. Any such updates will be made available via the NDIA’s website and posted on Department of Finance’s grant site GrantConnect.</w:t>
      </w:r>
      <w:r w:rsidRPr="00C576B3">
        <w:rPr>
          <w:rFonts w:eastAsia="Calibri" w:cs="Arial"/>
        </w:rPr>
        <w:t xml:space="preserve"> </w:t>
      </w:r>
    </w:p>
    <w:p w14:paraId="6744CE57" w14:textId="77777777" w:rsidR="00594453" w:rsidRPr="00143C10" w:rsidRDefault="00594453" w:rsidP="00DC3750">
      <w:pPr>
        <w:pStyle w:val="Heading1Numbered"/>
      </w:pPr>
      <w:bookmarkStart w:id="15" w:name="_Toc4175412"/>
      <w:r>
        <w:rPr>
          <w:rFonts w:eastAsia="Calibri"/>
        </w:rPr>
        <w:t>Information, Linkag</w:t>
      </w:r>
      <w:r w:rsidR="00EC45D7">
        <w:rPr>
          <w:rFonts w:eastAsia="Calibri"/>
        </w:rPr>
        <w:t>es and Capacity Building</w:t>
      </w:r>
      <w:bookmarkEnd w:id="15"/>
      <w:r w:rsidR="00EC45D7">
        <w:rPr>
          <w:rFonts w:eastAsia="Calibri"/>
        </w:rPr>
        <w:t xml:space="preserve"> </w:t>
      </w:r>
      <w:bookmarkEnd w:id="7"/>
    </w:p>
    <w:p w14:paraId="55ACD76A" w14:textId="77777777" w:rsidR="00594453" w:rsidRPr="001135C9" w:rsidRDefault="004408D0" w:rsidP="00DC3750">
      <w:pPr>
        <w:pStyle w:val="Heading2Numbered"/>
      </w:pPr>
      <w:bookmarkStart w:id="16" w:name="_Toc4175413"/>
      <w:bookmarkStart w:id="17" w:name="_Toc466630147"/>
      <w:r>
        <w:t>ILC in the context of the NDIS</w:t>
      </w:r>
      <w:bookmarkEnd w:id="16"/>
      <w:r>
        <w:t xml:space="preserve"> </w:t>
      </w:r>
      <w:bookmarkEnd w:id="17"/>
    </w:p>
    <w:p w14:paraId="62D0E85B" w14:textId="53AA4D1B" w:rsidR="00594453" w:rsidRPr="00D42D7A" w:rsidRDefault="00594453" w:rsidP="00594453">
      <w:pPr>
        <w:rPr>
          <w:rFonts w:cs="Arial"/>
        </w:rPr>
      </w:pPr>
      <w:r w:rsidRPr="00D42D7A">
        <w:rPr>
          <w:rStyle w:val="hardreadability"/>
          <w:rFonts w:cs="Arial"/>
        </w:rPr>
        <w:t>The primary goal of the National Disability Insurance Scheme (NDIS) is to support people</w:t>
      </w:r>
      <w:r>
        <w:rPr>
          <w:rStyle w:val="hardreadability"/>
          <w:rFonts w:cs="Arial"/>
        </w:rPr>
        <w:t xml:space="preserve"> with disability</w:t>
      </w:r>
      <w:r w:rsidRPr="00D42D7A">
        <w:rPr>
          <w:rStyle w:val="hardreadability"/>
          <w:rFonts w:cs="Arial"/>
        </w:rPr>
        <w:t xml:space="preserve"> to live more accessible and connected lives and build their capacity to achieve their goals</w:t>
      </w:r>
      <w:r w:rsidRPr="00D42D7A">
        <w:rPr>
          <w:rFonts w:cs="Arial"/>
        </w:rPr>
        <w:t xml:space="preserve">. </w:t>
      </w:r>
      <w:r w:rsidRPr="00D42D7A">
        <w:rPr>
          <w:rStyle w:val="veryhardreadability"/>
          <w:rFonts w:cs="Arial"/>
        </w:rPr>
        <w:t xml:space="preserve">The NDIS </w:t>
      </w:r>
      <w:r w:rsidR="004808F2">
        <w:rPr>
          <w:rStyle w:val="veryhardreadability"/>
          <w:rFonts w:cs="Arial"/>
        </w:rPr>
        <w:t xml:space="preserve">is an insurance based Scheme that is designed to </w:t>
      </w:r>
      <w:r w:rsidRPr="00D42D7A">
        <w:rPr>
          <w:rStyle w:val="veryhardreadability"/>
          <w:rFonts w:cs="Arial"/>
        </w:rPr>
        <w:t>invest in people with disability early, to improve their outcomes later in life</w:t>
      </w:r>
      <w:r w:rsidRPr="00D42D7A">
        <w:rPr>
          <w:rFonts w:cs="Arial"/>
        </w:rPr>
        <w:t>.</w:t>
      </w:r>
      <w:r w:rsidR="00D13478">
        <w:rPr>
          <w:rFonts w:cs="Arial"/>
        </w:rPr>
        <w:t xml:space="preserve"> </w:t>
      </w:r>
      <w:r w:rsidR="004808F2">
        <w:rPr>
          <w:rFonts w:cs="Arial"/>
        </w:rPr>
        <w:t xml:space="preserve">It recognises that each person with a disability will have individual needs and puts choice and control into the hands of people with a disability and their families and carers. </w:t>
      </w:r>
      <w:r w:rsidRPr="00D42D7A">
        <w:rPr>
          <w:rFonts w:cs="Arial"/>
        </w:rPr>
        <w:t>Core functions of the NDIS include:</w:t>
      </w:r>
    </w:p>
    <w:p w14:paraId="036EC5A7" w14:textId="77777777" w:rsidR="00594453" w:rsidRPr="00D42D7A" w:rsidRDefault="00594453" w:rsidP="007B02B6">
      <w:pPr>
        <w:pStyle w:val="ListParagraph"/>
        <w:numPr>
          <w:ilvl w:val="0"/>
          <w:numId w:val="24"/>
        </w:numPr>
        <w:spacing w:line="288" w:lineRule="auto"/>
        <w:contextualSpacing/>
        <w:rPr>
          <w:rFonts w:cs="Arial"/>
        </w:rPr>
      </w:pPr>
      <w:r w:rsidRPr="00D42D7A">
        <w:rPr>
          <w:rFonts w:cs="Arial"/>
        </w:rPr>
        <w:t>Individual and tailored plans to support eligible people with a disability (around 460,000 people by 2020)</w:t>
      </w:r>
    </w:p>
    <w:p w14:paraId="4BA13BEF" w14:textId="77777777" w:rsidR="00594453" w:rsidRPr="00D42D7A" w:rsidRDefault="00594453" w:rsidP="007B02B6">
      <w:pPr>
        <w:pStyle w:val="ListParagraph"/>
        <w:numPr>
          <w:ilvl w:val="0"/>
          <w:numId w:val="24"/>
        </w:numPr>
        <w:spacing w:after="160" w:line="259" w:lineRule="auto"/>
        <w:contextualSpacing/>
        <w:rPr>
          <w:rFonts w:cs="Arial"/>
        </w:rPr>
      </w:pPr>
      <w:r w:rsidRPr="00D42D7A">
        <w:rPr>
          <w:rFonts w:cs="Arial"/>
        </w:rPr>
        <w:t>Targeted investment through the Information, Linkages and Capacity Building (ILC) program.</w:t>
      </w:r>
    </w:p>
    <w:p w14:paraId="0385165F" w14:textId="77777777" w:rsidR="00594453" w:rsidRDefault="00594453" w:rsidP="00594453">
      <w:pPr>
        <w:spacing w:after="120" w:line="240" w:lineRule="auto"/>
        <w:jc w:val="both"/>
        <w:rPr>
          <w:rFonts w:eastAsia="Calibri" w:cs="Arial"/>
        </w:rPr>
      </w:pPr>
      <w:r w:rsidRPr="0048446E">
        <w:rPr>
          <w:rFonts w:eastAsia="Calibri" w:cs="Arial"/>
        </w:rPr>
        <w:t xml:space="preserve">Both parts work together to support people with disability. </w:t>
      </w:r>
      <w:r w:rsidRPr="00D42D7A">
        <w:rPr>
          <w:rStyle w:val="veryhardreadability"/>
          <w:rFonts w:cs="Arial"/>
        </w:rPr>
        <w:t xml:space="preserve">ILC </w:t>
      </w:r>
      <w:r>
        <w:rPr>
          <w:rStyle w:val="veryhardreadability"/>
          <w:rFonts w:cs="Arial"/>
        </w:rPr>
        <w:t>helps to ensure</w:t>
      </w:r>
      <w:r w:rsidRPr="00D42D7A">
        <w:rPr>
          <w:rStyle w:val="veryhardreadability"/>
          <w:rFonts w:cs="Arial"/>
        </w:rPr>
        <w:t xml:space="preserve"> people </w:t>
      </w:r>
      <w:r w:rsidR="00486C62">
        <w:rPr>
          <w:rStyle w:val="veryhardreadability"/>
          <w:rFonts w:cs="Arial"/>
        </w:rPr>
        <w:t xml:space="preserve">with disability </w:t>
      </w:r>
      <w:r w:rsidRPr="00D42D7A">
        <w:rPr>
          <w:rStyle w:val="veryhardreadability"/>
          <w:rFonts w:cs="Arial"/>
        </w:rPr>
        <w:t xml:space="preserve">who are not eligible for an individual NDIS plan, </w:t>
      </w:r>
      <w:r w:rsidR="00486C62">
        <w:rPr>
          <w:rStyle w:val="veryhardreadability"/>
          <w:rFonts w:cs="Arial"/>
        </w:rPr>
        <w:t xml:space="preserve">along with families and carers of people with disability </w:t>
      </w:r>
      <w:r w:rsidRPr="00D42D7A">
        <w:rPr>
          <w:rStyle w:val="veryhardreadability"/>
          <w:rFonts w:cs="Arial"/>
        </w:rPr>
        <w:t xml:space="preserve">still </w:t>
      </w:r>
      <w:r w:rsidRPr="00D42D7A">
        <w:rPr>
          <w:rStyle w:val="complexword"/>
          <w:rFonts w:cs="Arial"/>
        </w:rPr>
        <w:t>benefit from</w:t>
      </w:r>
      <w:r w:rsidRPr="00D42D7A">
        <w:rPr>
          <w:rStyle w:val="veryhardreadability"/>
          <w:rFonts w:cs="Arial"/>
        </w:rPr>
        <w:t xml:space="preserve"> a more inclusive, accessible and connected Australia</w:t>
      </w:r>
      <w:r w:rsidRPr="00D42D7A">
        <w:rPr>
          <w:rFonts w:cs="Arial"/>
        </w:rPr>
        <w:t xml:space="preserve">. </w:t>
      </w:r>
      <w:r w:rsidRPr="0048446E">
        <w:rPr>
          <w:rFonts w:eastAsia="Calibri" w:cs="Arial"/>
        </w:rPr>
        <w:t>By providing appropriate support in the community, it will help make sure people only move into the</w:t>
      </w:r>
      <w:r w:rsidR="00745964">
        <w:rPr>
          <w:rFonts w:eastAsia="Calibri" w:cs="Arial"/>
        </w:rPr>
        <w:t xml:space="preserve"> NDIS </w:t>
      </w:r>
      <w:r w:rsidRPr="0048446E">
        <w:rPr>
          <w:rFonts w:eastAsia="Calibri" w:cs="Arial"/>
        </w:rPr>
        <w:t>when necessary</w:t>
      </w:r>
      <w:r w:rsidRPr="00402C1E">
        <w:rPr>
          <w:rFonts w:eastAsia="Calibri" w:cs="Arial"/>
        </w:rPr>
        <w:t>.</w:t>
      </w:r>
    </w:p>
    <w:p w14:paraId="23B7E61F" w14:textId="77777777" w:rsidR="004408D0" w:rsidRPr="00143C10" w:rsidRDefault="004408D0" w:rsidP="004408D0">
      <w:pPr>
        <w:pStyle w:val="Heading2Numbered"/>
      </w:pPr>
      <w:bookmarkStart w:id="18" w:name="_Toc466630149"/>
      <w:bookmarkStart w:id="19" w:name="_Toc4175414"/>
      <w:r w:rsidRPr="00143C10">
        <w:lastRenderedPageBreak/>
        <w:t>Objective</w:t>
      </w:r>
      <w:bookmarkEnd w:id="18"/>
      <w:r>
        <w:t xml:space="preserve"> of ILC</w:t>
      </w:r>
      <w:bookmarkEnd w:id="19"/>
      <w:r w:rsidRPr="00143C10">
        <w:t xml:space="preserve"> </w:t>
      </w:r>
    </w:p>
    <w:p w14:paraId="61040229" w14:textId="77777777" w:rsidR="004408D0" w:rsidRDefault="004408D0" w:rsidP="004408D0">
      <w:pPr>
        <w:rPr>
          <w:color w:val="000000" w:themeColor="text1"/>
          <w:lang w:val="en-US"/>
        </w:rPr>
      </w:pPr>
      <w:r w:rsidRPr="003545B0">
        <w:t xml:space="preserve">The objective of the Information, Linkages and Capacity Building (ILC) Program </w:t>
      </w:r>
      <w:bookmarkStart w:id="20" w:name="_Toc462835088"/>
      <w:bookmarkStart w:id="21" w:name="_Toc462845690"/>
      <w:bookmarkStart w:id="22" w:name="_Toc462846850"/>
      <w:bookmarkEnd w:id="20"/>
      <w:bookmarkEnd w:id="21"/>
      <w:bookmarkEnd w:id="22"/>
      <w:r w:rsidRPr="003545B0">
        <w:rPr>
          <w:color w:val="000000" w:themeColor="text1"/>
          <w:lang w:val="en-US"/>
        </w:rPr>
        <w:t>is to increase social and community participation for people with disability.</w:t>
      </w:r>
      <w:r>
        <w:rPr>
          <w:color w:val="000000" w:themeColor="text1"/>
          <w:lang w:val="en-US"/>
        </w:rPr>
        <w:t xml:space="preserve"> The ILC Program seeks to do this by:  </w:t>
      </w:r>
    </w:p>
    <w:p w14:paraId="71D3C2FF" w14:textId="77777777" w:rsidR="004408D0" w:rsidRPr="00DC3750" w:rsidRDefault="004408D0" w:rsidP="00051F0A">
      <w:pPr>
        <w:pStyle w:val="ListParagraph"/>
        <w:numPr>
          <w:ilvl w:val="0"/>
          <w:numId w:val="34"/>
        </w:numPr>
        <w:rPr>
          <w:color w:val="000000" w:themeColor="text1"/>
          <w:lang w:val="en-US"/>
        </w:rPr>
      </w:pPr>
      <w:r w:rsidRPr="00DC3750">
        <w:rPr>
          <w:color w:val="000000" w:themeColor="text1"/>
          <w:lang w:val="en-US"/>
        </w:rPr>
        <w:t>build</w:t>
      </w:r>
      <w:r>
        <w:rPr>
          <w:color w:val="000000" w:themeColor="text1"/>
          <w:lang w:val="en-US"/>
        </w:rPr>
        <w:t>ing</w:t>
      </w:r>
      <w:r w:rsidRPr="00DC3750">
        <w:rPr>
          <w:color w:val="000000" w:themeColor="text1"/>
          <w:lang w:val="en-US"/>
        </w:rPr>
        <w:t xml:space="preserve"> the capacity of people with disability to participate in their community; and </w:t>
      </w:r>
    </w:p>
    <w:p w14:paraId="63ECA440" w14:textId="77777777" w:rsidR="004408D0" w:rsidRPr="00DC3750" w:rsidRDefault="004408D0" w:rsidP="00051F0A">
      <w:pPr>
        <w:pStyle w:val="ListParagraph"/>
        <w:numPr>
          <w:ilvl w:val="0"/>
          <w:numId w:val="34"/>
        </w:numPr>
        <w:rPr>
          <w:color w:val="000000" w:themeColor="text1"/>
          <w:lang w:val="en-US"/>
        </w:rPr>
      </w:pPr>
      <w:r>
        <w:rPr>
          <w:color w:val="000000" w:themeColor="text1"/>
          <w:lang w:val="en-US"/>
        </w:rPr>
        <w:t>creating opportunities for people with disability to participate by creating more inclusive services and communities.</w:t>
      </w:r>
    </w:p>
    <w:p w14:paraId="08660F95" w14:textId="77777777" w:rsidR="009707AF" w:rsidRPr="001135C9" w:rsidRDefault="005D79A3" w:rsidP="00DC3750">
      <w:pPr>
        <w:pStyle w:val="Heading2Numbered"/>
      </w:pPr>
      <w:bookmarkStart w:id="23" w:name="_Toc4175415"/>
      <w:r>
        <w:rPr>
          <w:rFonts w:eastAsia="Calibri"/>
        </w:rPr>
        <w:t>Implementation of ILC</w:t>
      </w:r>
      <w:bookmarkEnd w:id="23"/>
    </w:p>
    <w:p w14:paraId="4E7082EC" w14:textId="69C6AF52" w:rsidR="006A59CE" w:rsidRDefault="009707AF" w:rsidP="00085E5A">
      <w:pPr>
        <w:spacing w:after="120" w:line="240" w:lineRule="auto"/>
        <w:jc w:val="both"/>
        <w:rPr>
          <w:rFonts w:cs="Arial"/>
        </w:rPr>
      </w:pPr>
      <w:r w:rsidRPr="00D42D7A">
        <w:rPr>
          <w:rFonts w:cs="Arial"/>
        </w:rPr>
        <w:t>ILC initially focused on a series of state based and national grant opportunities. These grant opportunities were designed to support the staged move to a national approach</w:t>
      </w:r>
      <w:r>
        <w:rPr>
          <w:rFonts w:cs="Arial"/>
        </w:rPr>
        <w:t xml:space="preserve"> in 2019-20</w:t>
      </w:r>
      <w:r w:rsidRPr="005731E2">
        <w:rPr>
          <w:rFonts w:cs="Arial"/>
        </w:rPr>
        <w:t xml:space="preserve">. So far, important foundations have been laid and many valuable projects have been funded. </w:t>
      </w:r>
      <w:r w:rsidRPr="005731E2">
        <w:t>From 1 July 2019 ILC will be</w:t>
      </w:r>
      <w:r w:rsidR="003545B0">
        <w:t xml:space="preserve"> available</w:t>
      </w:r>
      <w:r w:rsidRPr="005731E2">
        <w:t xml:space="preserve"> </w:t>
      </w:r>
      <w:r w:rsidR="00D13478">
        <w:t>nationally.</w:t>
      </w:r>
      <w:r>
        <w:t xml:space="preserve"> </w:t>
      </w:r>
      <w:r w:rsidR="006A59CE" w:rsidRPr="006A59CE">
        <w:rPr>
          <w:rFonts w:cs="Arial"/>
        </w:rPr>
        <w:t>The NDIA is resp</w:t>
      </w:r>
      <w:r w:rsidR="00DD67EA">
        <w:rPr>
          <w:rFonts w:cs="Arial"/>
        </w:rPr>
        <w:t>onsible for implementing the</w:t>
      </w:r>
      <w:r w:rsidR="002D599B">
        <w:rPr>
          <w:rFonts w:cs="Arial"/>
        </w:rPr>
        <w:t xml:space="preserve"> ILC</w:t>
      </w:r>
      <w:r w:rsidR="006A59CE" w:rsidRPr="006A59CE">
        <w:rPr>
          <w:rFonts w:cs="Arial"/>
        </w:rPr>
        <w:t xml:space="preserve"> Policy and for all related funding decisions.</w:t>
      </w:r>
    </w:p>
    <w:p w14:paraId="4D5B6FA0" w14:textId="77777777" w:rsidR="00CC1BC4" w:rsidRPr="001135C9" w:rsidRDefault="00CC1BC4" w:rsidP="00DC3750">
      <w:pPr>
        <w:pStyle w:val="Heading2Numbered"/>
        <w:rPr>
          <w:rFonts w:eastAsia="Calibri"/>
        </w:rPr>
      </w:pPr>
      <w:bookmarkStart w:id="24" w:name="_Toc4175416"/>
      <w:r>
        <w:rPr>
          <w:rFonts w:eastAsia="Calibri"/>
        </w:rPr>
        <w:t>Local Area Coordinators (LACs)</w:t>
      </w:r>
      <w:bookmarkEnd w:id="24"/>
    </w:p>
    <w:p w14:paraId="47D62970" w14:textId="3CF7C463" w:rsidR="00CC1BC4" w:rsidRPr="001135C9" w:rsidRDefault="00085E5A" w:rsidP="00CC1BC4">
      <w:pPr>
        <w:spacing w:after="120" w:line="240" w:lineRule="auto"/>
        <w:jc w:val="both"/>
        <w:rPr>
          <w:rFonts w:eastAsia="Calibri" w:cs="Arial"/>
        </w:rPr>
      </w:pPr>
      <w:r>
        <w:rPr>
          <w:rFonts w:eastAsia="Calibri" w:cs="Arial"/>
        </w:rPr>
        <w:t xml:space="preserve">Local Area Coordination (LAC) </w:t>
      </w:r>
      <w:r w:rsidR="00CC1BC4" w:rsidRPr="008F2934">
        <w:rPr>
          <w:rFonts w:eastAsia="Calibri" w:cs="Arial"/>
        </w:rPr>
        <w:t xml:space="preserve">is not in scope for the </w:t>
      </w:r>
      <w:r w:rsidR="00CC1BC4" w:rsidRPr="001135C9">
        <w:rPr>
          <w:rFonts w:eastAsia="Calibri" w:cs="Arial"/>
        </w:rPr>
        <w:t>ILC</w:t>
      </w:r>
      <w:r w:rsidR="00CC1BC4" w:rsidRPr="008F2934">
        <w:rPr>
          <w:rFonts w:eastAsia="Calibri" w:cs="Arial"/>
        </w:rPr>
        <w:t xml:space="preserve"> Program Guidelines nor in scope for </w:t>
      </w:r>
      <w:r w:rsidR="00CC1BC4" w:rsidRPr="001135C9">
        <w:rPr>
          <w:rFonts w:eastAsia="Calibri" w:cs="Arial"/>
        </w:rPr>
        <w:t>ILC</w:t>
      </w:r>
      <w:r w:rsidR="00CC1BC4" w:rsidRPr="008F2934">
        <w:rPr>
          <w:rFonts w:eastAsia="Calibri" w:cs="Arial"/>
        </w:rPr>
        <w:t xml:space="preserve"> Program Activities (outlined below). LAC is funded through the NDIS Partners in Community Program </w:t>
      </w:r>
      <w:r w:rsidR="000F1BC5">
        <w:rPr>
          <w:rFonts w:eastAsia="Calibri" w:cs="Arial"/>
        </w:rPr>
        <w:t>under NDIA Program 1.</w:t>
      </w:r>
      <w:r w:rsidR="00745964">
        <w:rPr>
          <w:rFonts w:eastAsia="Calibri" w:cs="Arial"/>
        </w:rPr>
        <w:t>3</w:t>
      </w:r>
      <w:r w:rsidR="007230BF">
        <w:rPr>
          <w:rFonts w:eastAsia="Calibri" w:cs="Arial"/>
        </w:rPr>
        <w:t xml:space="preserve"> Agency Costs</w:t>
      </w:r>
      <w:r w:rsidR="00CC1BC4" w:rsidRPr="008F2934">
        <w:rPr>
          <w:rFonts w:eastAsia="Calibri" w:cs="Arial"/>
        </w:rPr>
        <w:t>. The Partners in Community Program</w:t>
      </w:r>
      <w:r w:rsidR="00CC1BC4" w:rsidRPr="001135C9">
        <w:rPr>
          <w:rFonts w:eastAsia="Calibri" w:cs="Arial"/>
        </w:rPr>
        <w:t xml:space="preserve"> (PITC)</w:t>
      </w:r>
      <w:r w:rsidR="00CC1BC4" w:rsidRPr="008F2934">
        <w:rPr>
          <w:rFonts w:eastAsia="Calibri" w:cs="Arial"/>
        </w:rPr>
        <w:t xml:space="preserve"> has its own program guidelines and application process</w:t>
      </w:r>
      <w:r w:rsidR="00FB4EF0">
        <w:rPr>
          <w:rFonts w:eastAsia="Calibri" w:cs="Arial"/>
        </w:rPr>
        <w:t>, consistent with the agreed ILC Policy</w:t>
      </w:r>
      <w:r w:rsidR="00CC1BC4" w:rsidRPr="008F2934">
        <w:rPr>
          <w:rFonts w:eastAsia="Calibri" w:cs="Arial"/>
        </w:rPr>
        <w:t xml:space="preserve">. </w:t>
      </w:r>
      <w:r w:rsidR="00CC1BC4" w:rsidRPr="001135C9">
        <w:rPr>
          <w:rFonts w:eastAsia="Calibri" w:cs="Arial"/>
        </w:rPr>
        <w:t xml:space="preserve">Any reference in this document or the </w:t>
      </w:r>
      <w:r w:rsidR="00CC1BC4" w:rsidRPr="001135C9">
        <w:rPr>
          <w:rFonts w:eastAsia="Calibri" w:cs="Arial"/>
          <w:i/>
        </w:rPr>
        <w:t xml:space="preserve">ILC </w:t>
      </w:r>
      <w:r w:rsidR="000F1BC5">
        <w:rPr>
          <w:rFonts w:eastAsia="Calibri" w:cs="Arial"/>
          <w:i/>
        </w:rPr>
        <w:t>Investment Strategy</w:t>
      </w:r>
      <w:r w:rsidR="00CC1BC4" w:rsidRPr="001135C9">
        <w:rPr>
          <w:rFonts w:eastAsia="Calibri" w:cs="Arial"/>
        </w:rPr>
        <w:t xml:space="preserve"> referring to ILC f</w:t>
      </w:r>
      <w:r w:rsidR="00D13478">
        <w:rPr>
          <w:rFonts w:eastAsia="Calibri" w:cs="Arial"/>
        </w:rPr>
        <w:t>unding therefore excludes LAC.</w:t>
      </w:r>
    </w:p>
    <w:p w14:paraId="7E007F22" w14:textId="4CB272A2" w:rsidR="00CC1BC4" w:rsidRPr="00D42D7A" w:rsidRDefault="00CC1BC4" w:rsidP="00CC1BC4">
      <w:pPr>
        <w:rPr>
          <w:rFonts w:cs="Arial"/>
        </w:rPr>
      </w:pPr>
      <w:r w:rsidRPr="008F2934">
        <w:rPr>
          <w:rFonts w:cs="Arial"/>
        </w:rPr>
        <w:t xml:space="preserve">ILC grants are designed to complement the role of </w:t>
      </w:r>
      <w:r w:rsidR="000F1BC5">
        <w:rPr>
          <w:rStyle w:val="Hyperlink"/>
          <w:rFonts w:cs="Arial"/>
        </w:rPr>
        <w:t>LAC</w:t>
      </w:r>
      <w:r w:rsidRPr="008F2934">
        <w:rPr>
          <w:rFonts w:cs="Arial"/>
        </w:rPr>
        <w:t xml:space="preserve"> and Early Childhood Early Intervention (ECEI) Partners, who work closely with people in the community, </w:t>
      </w:r>
      <w:r w:rsidR="000F1BC5">
        <w:rPr>
          <w:rFonts w:cs="Arial"/>
        </w:rPr>
        <w:t>both those with and</w:t>
      </w:r>
      <w:r w:rsidR="00745964">
        <w:rPr>
          <w:rFonts w:cs="Arial"/>
        </w:rPr>
        <w:t xml:space="preserve"> without an NDIS</w:t>
      </w:r>
      <w:r w:rsidR="00D13478">
        <w:rPr>
          <w:rFonts w:cs="Arial"/>
        </w:rPr>
        <w:t xml:space="preserve"> plan. </w:t>
      </w:r>
      <w:r w:rsidR="001930FB">
        <w:rPr>
          <w:rFonts w:cs="Arial"/>
        </w:rPr>
        <w:t xml:space="preserve">Early Childhood Early Intervention Coordinators and </w:t>
      </w:r>
      <w:r w:rsidR="00486C62">
        <w:rPr>
          <w:rFonts w:cs="Arial"/>
        </w:rPr>
        <w:t>Local Area Coordinators</w:t>
      </w:r>
      <w:r w:rsidRPr="008F2934">
        <w:rPr>
          <w:rFonts w:cs="Arial"/>
        </w:rPr>
        <w:t xml:space="preserve"> are the local face of ILC, connecting people with disability in</w:t>
      </w:r>
      <w:r w:rsidR="000F1BC5">
        <w:rPr>
          <w:rFonts w:cs="Arial"/>
        </w:rPr>
        <w:t>to</w:t>
      </w:r>
      <w:r w:rsidRPr="008F2934">
        <w:rPr>
          <w:rFonts w:cs="Arial"/>
        </w:rPr>
        <w:t xml:space="preserve"> their local community </w:t>
      </w:r>
      <w:r w:rsidR="000F1BC5">
        <w:rPr>
          <w:rFonts w:cs="Arial"/>
        </w:rPr>
        <w:t xml:space="preserve">and supporting local </w:t>
      </w:r>
      <w:r w:rsidRPr="008F2934">
        <w:rPr>
          <w:rFonts w:cs="Arial"/>
        </w:rPr>
        <w:t xml:space="preserve">services and programs </w:t>
      </w:r>
      <w:r w:rsidR="000F1BC5">
        <w:rPr>
          <w:rFonts w:cs="Arial"/>
        </w:rPr>
        <w:t>to be more inclu</w:t>
      </w:r>
      <w:r w:rsidR="001930FB">
        <w:rPr>
          <w:rFonts w:cs="Arial"/>
        </w:rPr>
        <w:t>sive of people with disability.</w:t>
      </w:r>
    </w:p>
    <w:p w14:paraId="741A2632" w14:textId="77777777" w:rsidR="00594453" w:rsidRDefault="00594453" w:rsidP="00DC3750">
      <w:pPr>
        <w:pStyle w:val="Heading2Numbered"/>
      </w:pPr>
      <w:bookmarkStart w:id="25" w:name="_Toc4175417"/>
      <w:r w:rsidRPr="00143C10">
        <w:t>ILC Investment Strategy 2018</w:t>
      </w:r>
      <w:bookmarkEnd w:id="25"/>
    </w:p>
    <w:p w14:paraId="2A384D44" w14:textId="77777777" w:rsidR="003157DD" w:rsidRDefault="003157DD" w:rsidP="003157DD">
      <w:pPr>
        <w:rPr>
          <w:rFonts w:cs="Arial"/>
        </w:rPr>
      </w:pPr>
      <w:r>
        <w:rPr>
          <w:rFonts w:cs="Arial"/>
        </w:rPr>
        <w:t>The ILC Investment Strategy confirms that f</w:t>
      </w:r>
      <w:r w:rsidR="00CC1BC4">
        <w:rPr>
          <w:rFonts w:cs="Arial"/>
        </w:rPr>
        <w:t>rom 2019</w:t>
      </w:r>
      <w:r w:rsidR="008C7CAF">
        <w:rPr>
          <w:rFonts w:cs="Arial"/>
        </w:rPr>
        <w:t>-20</w:t>
      </w:r>
      <w:r w:rsidR="00CC1BC4">
        <w:rPr>
          <w:rFonts w:cs="Arial"/>
        </w:rPr>
        <w:t xml:space="preserve">, the NDIA will </w:t>
      </w:r>
      <w:r>
        <w:rPr>
          <w:rFonts w:cs="Arial"/>
        </w:rPr>
        <w:t xml:space="preserve">be </w:t>
      </w:r>
      <w:r w:rsidR="00CC1BC4">
        <w:rPr>
          <w:rFonts w:cs="Arial"/>
        </w:rPr>
        <w:t>implementing ILC</w:t>
      </w:r>
      <w:r>
        <w:rPr>
          <w:rFonts w:cs="Arial"/>
        </w:rPr>
        <w:t xml:space="preserve"> through four</w:t>
      </w:r>
      <w:r w:rsidR="00CC1BC4">
        <w:rPr>
          <w:rFonts w:cs="Arial"/>
        </w:rPr>
        <w:t xml:space="preserve"> </w:t>
      </w:r>
      <w:r w:rsidR="00CC1BC4" w:rsidRPr="00D42D7A">
        <w:rPr>
          <w:rFonts w:cs="Arial"/>
        </w:rPr>
        <w:t xml:space="preserve">nationally scalable programs </w:t>
      </w:r>
      <w:r w:rsidR="00CC1BC4">
        <w:rPr>
          <w:rFonts w:cs="Arial"/>
        </w:rPr>
        <w:t xml:space="preserve">that will deliver </w:t>
      </w:r>
      <w:r w:rsidR="00CC1BC4" w:rsidRPr="00D42D7A">
        <w:rPr>
          <w:rFonts w:cs="Arial"/>
        </w:rPr>
        <w:t>measurable outcomes for people with disability.</w:t>
      </w:r>
      <w:r>
        <w:rPr>
          <w:rFonts w:cs="Arial"/>
        </w:rPr>
        <w:t xml:space="preserve"> </w:t>
      </w:r>
      <w:r w:rsidR="00CC1BC4">
        <w:rPr>
          <w:rFonts w:cs="Arial"/>
        </w:rPr>
        <w:t xml:space="preserve">The Strategy provides for </w:t>
      </w:r>
      <w:r w:rsidR="00D76EE1">
        <w:rPr>
          <w:rFonts w:cs="Arial"/>
        </w:rPr>
        <w:t>a</w:t>
      </w:r>
      <w:r w:rsidR="00CC1BC4">
        <w:rPr>
          <w:rFonts w:cs="Arial"/>
        </w:rPr>
        <w:t xml:space="preserve"> shift from </w:t>
      </w:r>
      <w:r w:rsidR="00D76EE1">
        <w:rPr>
          <w:rFonts w:cs="Arial"/>
        </w:rPr>
        <w:t xml:space="preserve">1 and 2 year grants, to </w:t>
      </w:r>
      <w:r w:rsidR="00CC1BC4">
        <w:rPr>
          <w:rFonts w:cs="Arial"/>
        </w:rPr>
        <w:t xml:space="preserve">mostly 3-year </w:t>
      </w:r>
      <w:r w:rsidR="00CC1BC4" w:rsidRPr="00D42D7A">
        <w:rPr>
          <w:rFonts w:cs="Arial"/>
        </w:rPr>
        <w:t>investment</w:t>
      </w:r>
      <w:r w:rsidR="00CC1BC4">
        <w:rPr>
          <w:rFonts w:cs="Arial"/>
        </w:rPr>
        <w:t>s in delivering each program.</w:t>
      </w:r>
      <w:r w:rsidR="00CC1BC4" w:rsidRPr="00D42D7A">
        <w:rPr>
          <w:rFonts w:cs="Arial"/>
        </w:rPr>
        <w:t xml:space="preserve"> </w:t>
      </w:r>
      <w:bookmarkStart w:id="26" w:name="_Toc524955138"/>
    </w:p>
    <w:p w14:paraId="07DBBF3E" w14:textId="77777777" w:rsidR="009A68B1" w:rsidRDefault="009A68B1" w:rsidP="00DC3750">
      <w:pPr>
        <w:pStyle w:val="Heading1Numbered"/>
        <w:rPr>
          <w:rFonts w:eastAsia="Calibri"/>
        </w:rPr>
      </w:pPr>
      <w:bookmarkStart w:id="27" w:name="_Toc4175418"/>
      <w:bookmarkEnd w:id="26"/>
      <w:r>
        <w:rPr>
          <w:rFonts w:eastAsia="Calibri"/>
        </w:rPr>
        <w:t>Program Overview</w:t>
      </w:r>
      <w:bookmarkEnd w:id="27"/>
    </w:p>
    <w:p w14:paraId="144455C3" w14:textId="77777777" w:rsidR="009A68B1" w:rsidRDefault="00D32F81" w:rsidP="00420AEF">
      <w:pPr>
        <w:spacing w:after="120" w:line="240" w:lineRule="auto"/>
        <w:rPr>
          <w:rFonts w:eastAsia="Calibri" w:cs="Arial"/>
          <w:spacing w:val="5"/>
        </w:rPr>
      </w:pPr>
      <w:r>
        <w:rPr>
          <w:rFonts w:eastAsia="Calibri" w:cs="Arial"/>
          <w:spacing w:val="5"/>
        </w:rPr>
        <w:t xml:space="preserve">From 2019 </w:t>
      </w:r>
      <w:r w:rsidR="00093F51">
        <w:rPr>
          <w:rFonts w:eastAsia="Calibri" w:cs="Arial"/>
          <w:spacing w:val="5"/>
        </w:rPr>
        <w:t>the NDIA</w:t>
      </w:r>
      <w:r>
        <w:rPr>
          <w:rFonts w:eastAsia="Calibri" w:cs="Arial"/>
          <w:spacing w:val="5"/>
        </w:rPr>
        <w:t xml:space="preserve"> </w:t>
      </w:r>
      <w:r w:rsidR="009A68B1">
        <w:rPr>
          <w:rFonts w:eastAsia="Calibri" w:cs="Arial"/>
          <w:spacing w:val="5"/>
        </w:rPr>
        <w:t xml:space="preserve">will </w:t>
      </w:r>
      <w:r w:rsidR="003D1A03">
        <w:rPr>
          <w:rFonts w:eastAsia="Calibri" w:cs="Arial"/>
          <w:spacing w:val="5"/>
        </w:rPr>
        <w:t>implement</w:t>
      </w:r>
      <w:r w:rsidR="00420AEF">
        <w:rPr>
          <w:rFonts w:eastAsia="Calibri" w:cs="Arial"/>
          <w:spacing w:val="5"/>
        </w:rPr>
        <w:t xml:space="preserve"> the four specific, complementary </w:t>
      </w:r>
      <w:r w:rsidR="009A68B1">
        <w:rPr>
          <w:rFonts w:eastAsia="Calibri" w:cs="Arial"/>
          <w:spacing w:val="5"/>
        </w:rPr>
        <w:t xml:space="preserve">programs outlined </w:t>
      </w:r>
      <w:r w:rsidR="003157DD">
        <w:rPr>
          <w:rFonts w:eastAsia="Calibri" w:cs="Arial"/>
          <w:spacing w:val="5"/>
        </w:rPr>
        <w:t>in the ILC Investment Strategy</w:t>
      </w:r>
      <w:r w:rsidR="009A68B1">
        <w:rPr>
          <w:rFonts w:eastAsia="Calibri" w:cs="Arial"/>
          <w:spacing w:val="5"/>
        </w:rPr>
        <w:t>:</w:t>
      </w:r>
    </w:p>
    <w:p w14:paraId="1C9AE213" w14:textId="77777777" w:rsidR="009A68B1" w:rsidRPr="00420AEF" w:rsidRDefault="009A68B1" w:rsidP="00051F0A">
      <w:pPr>
        <w:numPr>
          <w:ilvl w:val="0"/>
          <w:numId w:val="39"/>
        </w:numPr>
        <w:suppressAutoHyphens w:val="0"/>
        <w:spacing w:before="360" w:after="240" w:line="259" w:lineRule="auto"/>
        <w:contextualSpacing/>
      </w:pPr>
      <w:r w:rsidRPr="00420AEF">
        <w:t xml:space="preserve">Individual Capacity Building Program; </w:t>
      </w:r>
    </w:p>
    <w:p w14:paraId="7CDFAA45" w14:textId="77777777" w:rsidR="009A68B1" w:rsidRPr="00420AEF" w:rsidRDefault="009A68B1" w:rsidP="00051F0A">
      <w:pPr>
        <w:numPr>
          <w:ilvl w:val="0"/>
          <w:numId w:val="39"/>
        </w:numPr>
        <w:suppressAutoHyphens w:val="0"/>
        <w:spacing w:before="360" w:after="240" w:line="259" w:lineRule="auto"/>
        <w:contextualSpacing/>
      </w:pPr>
      <w:r w:rsidRPr="00420AEF">
        <w:t>National Information Program;</w:t>
      </w:r>
    </w:p>
    <w:p w14:paraId="2B942230" w14:textId="77777777" w:rsidR="009A68B1" w:rsidRPr="00420AEF" w:rsidRDefault="009A68B1" w:rsidP="00051F0A">
      <w:pPr>
        <w:numPr>
          <w:ilvl w:val="0"/>
          <w:numId w:val="39"/>
        </w:numPr>
        <w:suppressAutoHyphens w:val="0"/>
        <w:spacing w:before="360" w:after="240" w:line="259" w:lineRule="auto"/>
        <w:contextualSpacing/>
      </w:pPr>
      <w:r w:rsidRPr="00420AEF">
        <w:t>Economic and Community Participation Program; and</w:t>
      </w:r>
    </w:p>
    <w:p w14:paraId="6CF04E7F" w14:textId="77777777" w:rsidR="009A68B1" w:rsidRDefault="009A68B1" w:rsidP="00051F0A">
      <w:pPr>
        <w:numPr>
          <w:ilvl w:val="0"/>
          <w:numId w:val="39"/>
        </w:numPr>
        <w:suppressAutoHyphens w:val="0"/>
        <w:spacing w:before="360" w:after="240" w:line="259" w:lineRule="auto"/>
        <w:contextualSpacing/>
      </w:pPr>
      <w:r w:rsidRPr="00420AEF">
        <w:t>Mainstream Capacity Building Program.</w:t>
      </w:r>
    </w:p>
    <w:p w14:paraId="5A004DC7" w14:textId="77777777" w:rsidR="006C050E" w:rsidRDefault="006C050E" w:rsidP="006C050E">
      <w:pPr>
        <w:suppressAutoHyphens w:val="0"/>
        <w:spacing w:before="360" w:after="240" w:line="259" w:lineRule="auto"/>
        <w:contextualSpacing/>
      </w:pPr>
    </w:p>
    <w:p w14:paraId="28EA3017" w14:textId="77777777" w:rsidR="006C050E" w:rsidRPr="00420AEF" w:rsidRDefault="006C050E" w:rsidP="006C050E">
      <w:pPr>
        <w:suppressAutoHyphens w:val="0"/>
        <w:spacing w:before="360" w:after="240" w:line="259" w:lineRule="auto"/>
        <w:contextualSpacing/>
      </w:pPr>
    </w:p>
    <w:p w14:paraId="3B43A245" w14:textId="77777777" w:rsidR="0096423A" w:rsidRPr="006507EE" w:rsidRDefault="006C702E" w:rsidP="00420AEF">
      <w:r>
        <w:t>These</w:t>
      </w:r>
      <w:r w:rsidR="003157DD">
        <w:t xml:space="preserve"> </w:t>
      </w:r>
      <w:r w:rsidR="00FB4EF0">
        <w:t xml:space="preserve">four </w:t>
      </w:r>
      <w:r w:rsidR="003157DD">
        <w:t>p</w:t>
      </w:r>
      <w:r w:rsidR="009A68B1">
        <w:t>rogram</w:t>
      </w:r>
      <w:r w:rsidR="003157DD">
        <w:t>s</w:t>
      </w:r>
      <w:r w:rsidR="009A68B1">
        <w:t xml:space="preserve"> </w:t>
      </w:r>
      <w:r w:rsidR="0096423A">
        <w:t>are designed to ensure:</w:t>
      </w:r>
    </w:p>
    <w:p w14:paraId="2CB50896" w14:textId="77777777" w:rsidR="0096423A" w:rsidRPr="004F24AC" w:rsidRDefault="00420AEF" w:rsidP="00420AEF">
      <w:pPr>
        <w:numPr>
          <w:ilvl w:val="0"/>
          <w:numId w:val="25"/>
        </w:numPr>
        <w:suppressAutoHyphens w:val="0"/>
        <w:spacing w:before="360" w:after="240" w:line="259" w:lineRule="auto"/>
        <w:ind w:left="714" w:hanging="357"/>
        <w:contextualSpacing/>
      </w:pPr>
      <w:r>
        <w:t>t</w:t>
      </w:r>
      <w:r w:rsidR="0096423A">
        <w:t xml:space="preserve">here </w:t>
      </w:r>
      <w:r w:rsidR="0096423A" w:rsidRPr="006507EE">
        <w:t>a</w:t>
      </w:r>
      <w:r w:rsidR="0096423A">
        <w:t>re</w:t>
      </w:r>
      <w:r w:rsidR="0096423A" w:rsidRPr="006507EE">
        <w:t xml:space="preserve"> alternative pathway</w:t>
      </w:r>
      <w:r w:rsidR="0096423A">
        <w:t>s</w:t>
      </w:r>
      <w:r w:rsidR="0096423A" w:rsidRPr="006507EE">
        <w:t xml:space="preserve"> to an ordinary life for people with a disability</w:t>
      </w:r>
      <w:r w:rsidR="0096423A">
        <w:t xml:space="preserve"> </w:t>
      </w:r>
      <w:r w:rsidR="0096423A" w:rsidRPr="004F24AC">
        <w:t>particularly by building the capacity of</w:t>
      </w:r>
      <w:r w:rsidR="00745964">
        <w:t xml:space="preserve"> individuals without a NDIS plan</w:t>
      </w:r>
      <w:r w:rsidR="0096423A" w:rsidRPr="004F24AC">
        <w:t xml:space="preserve"> to achieve their goals outside of specialist disability services</w:t>
      </w:r>
      <w:r>
        <w:t>;</w:t>
      </w:r>
    </w:p>
    <w:p w14:paraId="38171BF7"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eople with disability, their family and carers have greater access to information and supports</w:t>
      </w:r>
      <w:r>
        <w:t>;</w:t>
      </w:r>
    </w:p>
    <w:p w14:paraId="6998926B" w14:textId="77777777" w:rsidR="0096423A" w:rsidRPr="006507EE" w:rsidRDefault="00420AEF" w:rsidP="00420AEF">
      <w:pPr>
        <w:numPr>
          <w:ilvl w:val="0"/>
          <w:numId w:val="25"/>
        </w:numPr>
        <w:suppressAutoHyphens w:val="0"/>
        <w:spacing w:before="360" w:after="240" w:line="259" w:lineRule="auto"/>
        <w:ind w:left="714" w:hanging="357"/>
        <w:contextualSpacing/>
      </w:pPr>
      <w:r>
        <w:t>p</w:t>
      </w:r>
      <w:r w:rsidR="0096423A" w:rsidRPr="006507EE">
        <w:t xml:space="preserve">eople with disability, their family and carers build their knowledge, skills and confidence </w:t>
      </w:r>
      <w:r w:rsidR="0096423A">
        <w:t>to</w:t>
      </w:r>
      <w:r w:rsidR="0096423A" w:rsidRPr="006507EE">
        <w:t xml:space="preserve"> participate in social and economic </w:t>
      </w:r>
      <w:r>
        <w:t>life;</w:t>
      </w:r>
    </w:p>
    <w:p w14:paraId="1D35FBD9" w14:textId="77777777" w:rsidR="0096423A" w:rsidRPr="006507EE" w:rsidRDefault="00420AEF" w:rsidP="00420AEF">
      <w:pPr>
        <w:numPr>
          <w:ilvl w:val="0"/>
          <w:numId w:val="25"/>
        </w:numPr>
        <w:suppressAutoHyphens w:val="0"/>
        <w:spacing w:before="360" w:after="240" w:line="259" w:lineRule="auto"/>
        <w:ind w:left="714" w:hanging="357"/>
        <w:contextualSpacing/>
      </w:pPr>
      <w:r>
        <w:t>a</w:t>
      </w:r>
      <w:r w:rsidR="0096423A">
        <w:t xml:space="preserve"> </w:t>
      </w:r>
      <w:r w:rsidR="0096423A" w:rsidRPr="006507EE">
        <w:t xml:space="preserve">more aligned </w:t>
      </w:r>
      <w:r w:rsidR="0096423A">
        <w:t>service delivery system of</w:t>
      </w:r>
      <w:r w:rsidR="0096423A" w:rsidRPr="006507EE">
        <w:t xml:space="preserve"> ILC delivery, grounded in organisations run by and for people with disability and/or their families and carers</w:t>
      </w:r>
      <w:r>
        <w:t>; and</w:t>
      </w:r>
    </w:p>
    <w:p w14:paraId="3B0B79AA" w14:textId="77777777" w:rsidR="006C702E" w:rsidRDefault="00F5379E" w:rsidP="003042AA">
      <w:pPr>
        <w:numPr>
          <w:ilvl w:val="0"/>
          <w:numId w:val="25"/>
        </w:numPr>
        <w:suppressAutoHyphens w:val="0"/>
        <w:spacing w:before="360" w:after="240" w:line="259" w:lineRule="auto"/>
        <w:ind w:left="714" w:hanging="357"/>
        <w:contextualSpacing/>
      </w:pPr>
      <w:r>
        <w:t>s</w:t>
      </w:r>
      <w:r w:rsidR="0096423A" w:rsidRPr="006507EE">
        <w:t>trong collaboration across government and the sector that avoids duplication and maximises the NDIA’s investment in ILC.</w:t>
      </w:r>
    </w:p>
    <w:p w14:paraId="424753B0" w14:textId="77777777" w:rsidR="00745964" w:rsidRDefault="00745964" w:rsidP="00745964">
      <w:pPr>
        <w:suppressAutoHyphens w:val="0"/>
        <w:spacing w:before="360" w:after="240" w:line="259" w:lineRule="auto"/>
        <w:contextualSpacing/>
      </w:pPr>
    </w:p>
    <w:p w14:paraId="4562541D" w14:textId="77777777" w:rsidR="00745964" w:rsidRDefault="00745964" w:rsidP="00745964">
      <w:pPr>
        <w:suppressAutoHyphens w:val="0"/>
        <w:spacing w:before="360" w:after="240" w:line="259" w:lineRule="auto"/>
        <w:contextualSpacing/>
      </w:pPr>
      <w:r w:rsidRPr="00D70AC0">
        <w:t>The NDIA will commission</w:t>
      </w:r>
      <w:r w:rsidR="005C5F7A" w:rsidRPr="00D70AC0">
        <w:t xml:space="preserve"> each of</w:t>
      </w:r>
      <w:r w:rsidRPr="00D70AC0">
        <w:t xml:space="preserve"> the ILC Programs separately and will provide grants to organisations to deliver projects for a range of activities that align </w:t>
      </w:r>
      <w:r w:rsidR="00773B79" w:rsidRPr="00D70AC0">
        <w:t>with</w:t>
      </w:r>
      <w:r w:rsidRPr="00D70AC0">
        <w:t xml:space="preserve"> the </w:t>
      </w:r>
      <w:r w:rsidR="00773B79" w:rsidRPr="00D70AC0">
        <w:t xml:space="preserve">specified </w:t>
      </w:r>
      <w:r w:rsidRPr="00D70AC0">
        <w:t>ILC Program</w:t>
      </w:r>
      <w:r w:rsidR="00773B79" w:rsidRPr="00D70AC0">
        <w:t xml:space="preserve"> being commissioned</w:t>
      </w:r>
      <w:r w:rsidRPr="00D70AC0">
        <w:t>.</w:t>
      </w:r>
    </w:p>
    <w:p w14:paraId="6841B9D2" w14:textId="77777777" w:rsidR="009F64EE" w:rsidRDefault="009F64EE" w:rsidP="00745964">
      <w:pPr>
        <w:suppressAutoHyphens w:val="0"/>
        <w:spacing w:before="360" w:after="240" w:line="259" w:lineRule="auto"/>
        <w:contextualSpacing/>
      </w:pPr>
    </w:p>
    <w:p w14:paraId="3C828C99" w14:textId="77777777" w:rsidR="009F64EE" w:rsidRDefault="009F64EE" w:rsidP="009F64EE">
      <w:pPr>
        <w:spacing w:before="200" w:after="0"/>
        <w:contextualSpacing/>
        <w:rPr>
          <w:rFonts w:cs="Arial"/>
        </w:rPr>
      </w:pPr>
      <w:r>
        <w:rPr>
          <w:rFonts w:cs="Arial"/>
        </w:rPr>
        <w:t>A range of commissioning processes may be used to allocate funding for each of the ILC Programs including open, competitive grants</w:t>
      </w:r>
      <w:r w:rsidR="00393F71">
        <w:rPr>
          <w:rFonts w:cs="Arial"/>
        </w:rPr>
        <w:t>, targeted</w:t>
      </w:r>
      <w:r>
        <w:rPr>
          <w:rFonts w:cs="Arial"/>
        </w:rPr>
        <w:t xml:space="preserve"> and closed, non-competitive processes.</w:t>
      </w:r>
    </w:p>
    <w:p w14:paraId="7758A537" w14:textId="77777777" w:rsidR="005976A7" w:rsidRPr="004A4314" w:rsidRDefault="005976A7" w:rsidP="009F64EE">
      <w:pPr>
        <w:spacing w:before="200" w:after="0"/>
        <w:contextualSpacing/>
        <w:rPr>
          <w:rFonts w:cs="Arial"/>
        </w:rPr>
      </w:pPr>
    </w:p>
    <w:p w14:paraId="1EC734CE" w14:textId="77777777" w:rsidR="005976A7" w:rsidRDefault="005976A7" w:rsidP="005976A7">
      <w:pPr>
        <w:suppressAutoHyphens w:val="0"/>
        <w:spacing w:before="360" w:after="240" w:line="259" w:lineRule="auto"/>
        <w:contextualSpacing/>
      </w:pPr>
      <w:r>
        <w:t xml:space="preserve">The NDIA will also commission additional activities that promote promising practices within each of the ILC Programs. </w:t>
      </w:r>
    </w:p>
    <w:p w14:paraId="5B418632" w14:textId="77777777" w:rsidR="009F64EE" w:rsidRDefault="009F64EE" w:rsidP="00745964">
      <w:pPr>
        <w:suppressAutoHyphens w:val="0"/>
        <w:spacing w:before="360" w:after="240" w:line="259" w:lineRule="auto"/>
        <w:contextualSpacing/>
      </w:pPr>
    </w:p>
    <w:p w14:paraId="7BC61150" w14:textId="77777777" w:rsidR="00594453" w:rsidRDefault="009A68B1" w:rsidP="00DC3750">
      <w:pPr>
        <w:pStyle w:val="Heading2Numbered"/>
      </w:pPr>
      <w:bookmarkStart w:id="28" w:name="_Toc464760159"/>
      <w:bookmarkStart w:id="29" w:name="_Toc464804882"/>
      <w:bookmarkStart w:id="30" w:name="_Toc464805542"/>
      <w:bookmarkStart w:id="31" w:name="_Toc464805636"/>
      <w:bookmarkStart w:id="32" w:name="_Toc464760160"/>
      <w:bookmarkEnd w:id="28"/>
      <w:bookmarkEnd w:id="29"/>
      <w:bookmarkEnd w:id="30"/>
      <w:bookmarkEnd w:id="31"/>
      <w:bookmarkEnd w:id="32"/>
      <w:r>
        <w:t xml:space="preserve"> </w:t>
      </w:r>
      <w:bookmarkStart w:id="33" w:name="_Toc4175419"/>
      <w:r w:rsidR="00594453" w:rsidRPr="00710066">
        <w:t>Individual Capacity Building Program</w:t>
      </w:r>
      <w:bookmarkEnd w:id="33"/>
    </w:p>
    <w:p w14:paraId="78933281" w14:textId="77777777" w:rsidR="00420AEF"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The Individual Capacity Building Program is being established to enable </w:t>
      </w:r>
      <w:r w:rsidR="006C566E" w:rsidRPr="006C566E">
        <w:rPr>
          <w:rFonts w:asciiTheme="minorHAnsi" w:eastAsiaTheme="minorHAnsi" w:hAnsiTheme="minorHAnsi"/>
          <w:b w:val="0"/>
          <w:sz w:val="22"/>
        </w:rPr>
        <w:t xml:space="preserve">systematic, nationwide access to peer support, mentoring and other skills building for people with disability, carers and families. A national network of organisations run by and for people with disability, </w:t>
      </w:r>
      <w:r w:rsidR="007260D2">
        <w:rPr>
          <w:rFonts w:asciiTheme="minorHAnsi" w:eastAsiaTheme="minorHAnsi" w:hAnsiTheme="minorHAnsi"/>
          <w:b w:val="0"/>
          <w:sz w:val="22"/>
        </w:rPr>
        <w:t>or their families and carers</w:t>
      </w:r>
      <w:r w:rsidR="00D70AC0">
        <w:rPr>
          <w:rFonts w:asciiTheme="minorHAnsi" w:eastAsiaTheme="minorHAnsi" w:hAnsiTheme="minorHAnsi"/>
          <w:b w:val="0"/>
          <w:sz w:val="22"/>
        </w:rPr>
        <w:t xml:space="preserve">, </w:t>
      </w:r>
      <w:r w:rsidR="001930FB">
        <w:rPr>
          <w:rFonts w:asciiTheme="minorHAnsi" w:eastAsiaTheme="minorHAnsi" w:hAnsiTheme="minorHAnsi"/>
          <w:b w:val="0"/>
          <w:sz w:val="22"/>
        </w:rPr>
        <w:t xml:space="preserve">referred to </w:t>
      </w:r>
      <w:r w:rsidR="00D70AC0">
        <w:rPr>
          <w:rFonts w:asciiTheme="minorHAnsi" w:eastAsiaTheme="minorHAnsi" w:hAnsiTheme="minorHAnsi"/>
          <w:b w:val="0"/>
          <w:sz w:val="22"/>
        </w:rPr>
        <w:t>as</w:t>
      </w:r>
      <w:r w:rsidR="007260D2">
        <w:rPr>
          <w:rFonts w:asciiTheme="minorHAnsi" w:eastAsiaTheme="minorHAnsi" w:hAnsiTheme="minorHAnsi"/>
          <w:b w:val="0"/>
          <w:sz w:val="22"/>
        </w:rPr>
        <w:t xml:space="preserve"> </w:t>
      </w:r>
      <w:r w:rsidR="006C566E" w:rsidRPr="006C566E">
        <w:rPr>
          <w:rFonts w:asciiTheme="minorHAnsi" w:eastAsiaTheme="minorHAnsi" w:hAnsiTheme="minorHAnsi"/>
          <w:b w:val="0"/>
          <w:sz w:val="22"/>
        </w:rPr>
        <w:t xml:space="preserve">Disabled People Organisation and Families Organisations (DPOs/FOs), will be </w:t>
      </w:r>
      <w:r w:rsidR="007260D2">
        <w:rPr>
          <w:rFonts w:asciiTheme="minorHAnsi" w:eastAsiaTheme="minorHAnsi" w:hAnsiTheme="minorHAnsi"/>
          <w:b w:val="0"/>
          <w:sz w:val="22"/>
        </w:rPr>
        <w:t xml:space="preserve">supported </w:t>
      </w:r>
      <w:r>
        <w:rPr>
          <w:rFonts w:asciiTheme="minorHAnsi" w:eastAsiaTheme="minorHAnsi" w:hAnsiTheme="minorHAnsi"/>
          <w:b w:val="0"/>
          <w:sz w:val="22"/>
        </w:rPr>
        <w:t xml:space="preserve">as the primary delivery mechanism for </w:t>
      </w:r>
      <w:r w:rsidR="006C566E" w:rsidRPr="006C566E">
        <w:rPr>
          <w:rFonts w:asciiTheme="minorHAnsi" w:eastAsiaTheme="minorHAnsi" w:hAnsiTheme="minorHAnsi"/>
          <w:b w:val="0"/>
          <w:sz w:val="22"/>
        </w:rPr>
        <w:t xml:space="preserve">this program. </w:t>
      </w:r>
      <w:r>
        <w:rPr>
          <w:rFonts w:asciiTheme="minorHAnsi" w:eastAsiaTheme="minorHAnsi" w:hAnsiTheme="minorHAnsi"/>
          <w:b w:val="0"/>
          <w:sz w:val="22"/>
        </w:rPr>
        <w:t xml:space="preserve">Organisations that are not DPOs/FOs </w:t>
      </w:r>
      <w:r w:rsidR="007260D2">
        <w:rPr>
          <w:rFonts w:asciiTheme="minorHAnsi" w:eastAsiaTheme="minorHAnsi" w:hAnsiTheme="minorHAnsi"/>
          <w:b w:val="0"/>
          <w:sz w:val="22"/>
        </w:rPr>
        <w:t xml:space="preserve">may </w:t>
      </w:r>
      <w:r>
        <w:rPr>
          <w:rFonts w:asciiTheme="minorHAnsi" w:eastAsiaTheme="minorHAnsi" w:hAnsiTheme="minorHAnsi"/>
          <w:b w:val="0"/>
          <w:sz w:val="22"/>
        </w:rPr>
        <w:t>also be funded, however, they will be a secondary priority.</w:t>
      </w:r>
      <w:r w:rsidR="00420AEF">
        <w:rPr>
          <w:rFonts w:asciiTheme="minorHAnsi" w:eastAsiaTheme="minorHAnsi" w:hAnsiTheme="minorHAnsi"/>
          <w:b w:val="0"/>
          <w:sz w:val="22"/>
        </w:rPr>
        <w:t xml:space="preserve"> </w:t>
      </w:r>
      <w:r w:rsidR="007260D2">
        <w:rPr>
          <w:rFonts w:asciiTheme="minorHAnsi" w:eastAsiaTheme="minorHAnsi" w:hAnsiTheme="minorHAnsi"/>
          <w:b w:val="0"/>
          <w:sz w:val="22"/>
        </w:rPr>
        <w:t xml:space="preserve">Typically this occurs where there may not be a DPO/FO that can support a specific community of people, but there may be a support group established to work within that community, such as people from culturally and linguistically diverse backgrounds. </w:t>
      </w:r>
      <w:r w:rsidR="001930FB">
        <w:rPr>
          <w:rFonts w:asciiTheme="minorHAnsi" w:eastAsiaTheme="minorHAnsi" w:hAnsiTheme="minorHAnsi"/>
          <w:b w:val="0"/>
          <w:sz w:val="22"/>
        </w:rPr>
        <w:t xml:space="preserve">This may also apply for specific disability cohorts. </w:t>
      </w:r>
      <w:r w:rsidR="007260D2">
        <w:rPr>
          <w:rFonts w:asciiTheme="minorHAnsi" w:eastAsiaTheme="minorHAnsi" w:hAnsiTheme="minorHAnsi"/>
          <w:b w:val="0"/>
          <w:sz w:val="22"/>
        </w:rPr>
        <w:t xml:space="preserve">This program will </w:t>
      </w:r>
      <w:r w:rsidR="00D70AC0">
        <w:rPr>
          <w:rFonts w:asciiTheme="minorHAnsi" w:eastAsiaTheme="minorHAnsi" w:hAnsiTheme="minorHAnsi"/>
          <w:b w:val="0"/>
          <w:sz w:val="22"/>
        </w:rPr>
        <w:t xml:space="preserve">also </w:t>
      </w:r>
      <w:r w:rsidR="007260D2">
        <w:rPr>
          <w:rFonts w:asciiTheme="minorHAnsi" w:eastAsiaTheme="minorHAnsi" w:hAnsiTheme="minorHAnsi"/>
          <w:b w:val="0"/>
          <w:sz w:val="22"/>
        </w:rPr>
        <w:t xml:space="preserve">enable </w:t>
      </w:r>
      <w:r w:rsidR="00420AEF">
        <w:rPr>
          <w:rFonts w:asciiTheme="minorHAnsi" w:eastAsiaTheme="minorHAnsi" w:hAnsiTheme="minorHAnsi"/>
          <w:b w:val="0"/>
          <w:sz w:val="22"/>
        </w:rPr>
        <w:t>DPOs/FOs to apply for f</w:t>
      </w:r>
      <w:r w:rsidR="0077427D">
        <w:rPr>
          <w:rFonts w:asciiTheme="minorHAnsi" w:eastAsiaTheme="minorHAnsi" w:hAnsiTheme="minorHAnsi"/>
          <w:b w:val="0"/>
          <w:sz w:val="22"/>
        </w:rPr>
        <w:t>unding to support the</w:t>
      </w:r>
      <w:r w:rsidR="00420AEF">
        <w:rPr>
          <w:rFonts w:asciiTheme="minorHAnsi" w:eastAsiaTheme="minorHAnsi" w:hAnsiTheme="minorHAnsi"/>
          <w:b w:val="0"/>
          <w:sz w:val="22"/>
        </w:rPr>
        <w:t xml:space="preserve">m to </w:t>
      </w:r>
      <w:r w:rsidR="000257F8">
        <w:rPr>
          <w:rFonts w:asciiTheme="minorHAnsi" w:eastAsiaTheme="minorHAnsi" w:hAnsiTheme="minorHAnsi"/>
          <w:b w:val="0"/>
          <w:sz w:val="22"/>
        </w:rPr>
        <w:t>strengthe</w:t>
      </w:r>
      <w:r>
        <w:rPr>
          <w:rFonts w:asciiTheme="minorHAnsi" w:eastAsiaTheme="minorHAnsi" w:hAnsiTheme="minorHAnsi"/>
          <w:b w:val="0"/>
          <w:sz w:val="22"/>
        </w:rPr>
        <w:t xml:space="preserve">n their organisational capacity. </w:t>
      </w:r>
    </w:p>
    <w:p w14:paraId="42057639" w14:textId="77777777" w:rsidR="000257F8" w:rsidRDefault="004A4314" w:rsidP="006C566E">
      <w:pPr>
        <w:pStyle w:val="CEOBrief-Paragaph2"/>
        <w:numPr>
          <w:ilvl w:val="0"/>
          <w:numId w:val="0"/>
        </w:numPr>
        <w:rPr>
          <w:rFonts w:asciiTheme="minorHAnsi" w:eastAsiaTheme="minorHAnsi" w:hAnsiTheme="minorHAnsi"/>
          <w:b w:val="0"/>
          <w:sz w:val="22"/>
        </w:rPr>
      </w:pPr>
      <w:r>
        <w:rPr>
          <w:rFonts w:asciiTheme="minorHAnsi" w:eastAsiaTheme="minorHAnsi" w:hAnsiTheme="minorHAnsi"/>
          <w:b w:val="0"/>
          <w:sz w:val="22"/>
        </w:rPr>
        <w:t xml:space="preserve">In addition, the Individual Capacity Building Program will fund the establishment of a </w:t>
      </w:r>
      <w:r w:rsidR="00FB4EF0">
        <w:rPr>
          <w:rFonts w:asciiTheme="minorHAnsi" w:eastAsiaTheme="minorHAnsi" w:hAnsiTheme="minorHAnsi"/>
          <w:b w:val="0"/>
          <w:sz w:val="22"/>
        </w:rPr>
        <w:t xml:space="preserve">National </w:t>
      </w:r>
      <w:r>
        <w:rPr>
          <w:rFonts w:asciiTheme="minorHAnsi" w:eastAsiaTheme="minorHAnsi" w:hAnsiTheme="minorHAnsi"/>
          <w:b w:val="0"/>
          <w:sz w:val="22"/>
        </w:rPr>
        <w:t xml:space="preserve">Technical Support Hub </w:t>
      </w:r>
      <w:r w:rsidR="000257F8">
        <w:rPr>
          <w:rFonts w:asciiTheme="minorHAnsi" w:eastAsiaTheme="minorHAnsi" w:hAnsiTheme="minorHAnsi"/>
          <w:b w:val="0"/>
          <w:sz w:val="22"/>
        </w:rPr>
        <w:t xml:space="preserve">to </w:t>
      </w:r>
      <w:r w:rsidR="00E35087">
        <w:rPr>
          <w:rFonts w:asciiTheme="minorHAnsi" w:eastAsiaTheme="minorHAnsi" w:hAnsiTheme="minorHAnsi"/>
          <w:b w:val="0"/>
          <w:sz w:val="22"/>
        </w:rPr>
        <w:t xml:space="preserve">work directly with </w:t>
      </w:r>
      <w:r w:rsidR="000257F8">
        <w:rPr>
          <w:rFonts w:asciiTheme="minorHAnsi" w:eastAsiaTheme="minorHAnsi" w:hAnsiTheme="minorHAnsi"/>
          <w:b w:val="0"/>
          <w:sz w:val="22"/>
        </w:rPr>
        <w:t>DPOs/FOs to:</w:t>
      </w:r>
    </w:p>
    <w:p w14:paraId="6695502E"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Strengthen their capacity to sustainably serve their membership, and develop and extend empowering networks</w:t>
      </w:r>
    </w:p>
    <w:p w14:paraId="0931EEFF"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Develop a national network</w:t>
      </w:r>
    </w:p>
    <w:p w14:paraId="5BAA70E5" w14:textId="77777777" w:rsidR="00E35087" w:rsidRPr="004861F5" w:rsidRDefault="00E35087" w:rsidP="00051F0A">
      <w:pPr>
        <w:pStyle w:val="ListParagraph"/>
        <w:numPr>
          <w:ilvl w:val="0"/>
          <w:numId w:val="35"/>
        </w:numPr>
        <w:spacing w:before="200" w:after="0"/>
        <w:contextualSpacing/>
        <w:rPr>
          <w:rFonts w:cs="Arial"/>
        </w:rPr>
      </w:pPr>
      <w:r w:rsidRPr="004861F5">
        <w:rPr>
          <w:rFonts w:cs="Arial"/>
        </w:rPr>
        <w:t xml:space="preserve">Facilitate the use </w:t>
      </w:r>
      <w:r w:rsidRPr="005E6CBA">
        <w:rPr>
          <w:rFonts w:cs="Arial"/>
        </w:rPr>
        <w:t>of good practice</w:t>
      </w:r>
      <w:r w:rsidRPr="004861F5">
        <w:rPr>
          <w:rFonts w:cs="Arial"/>
        </w:rPr>
        <w:t xml:space="preserve"> </w:t>
      </w:r>
      <w:r>
        <w:rPr>
          <w:rFonts w:cs="Arial"/>
        </w:rPr>
        <w:t xml:space="preserve">individual capacity building </w:t>
      </w:r>
      <w:r w:rsidRPr="004861F5">
        <w:rPr>
          <w:rFonts w:cs="Arial"/>
        </w:rPr>
        <w:t xml:space="preserve">supports to: </w:t>
      </w:r>
    </w:p>
    <w:p w14:paraId="34B9ED3D" w14:textId="77777777" w:rsidR="00E35087" w:rsidRPr="004861F5" w:rsidRDefault="00E35087" w:rsidP="00051F0A">
      <w:pPr>
        <w:pStyle w:val="ListParagraph"/>
        <w:numPr>
          <w:ilvl w:val="1"/>
          <w:numId w:val="35"/>
        </w:numPr>
        <w:spacing w:before="200" w:after="0"/>
        <w:contextualSpacing/>
        <w:rPr>
          <w:rFonts w:cs="Arial"/>
        </w:rPr>
      </w:pPr>
      <w:r w:rsidRPr="004861F5">
        <w:rPr>
          <w:rFonts w:cs="Arial"/>
        </w:rPr>
        <w:t>empower people with disability to live ordinary lives as active citizens</w:t>
      </w:r>
    </w:p>
    <w:p w14:paraId="5BCF1427" w14:textId="77777777" w:rsidR="00E35087" w:rsidRDefault="00E35087" w:rsidP="00051F0A">
      <w:pPr>
        <w:pStyle w:val="ListParagraph"/>
        <w:numPr>
          <w:ilvl w:val="1"/>
          <w:numId w:val="35"/>
        </w:numPr>
        <w:spacing w:before="200" w:after="0"/>
        <w:contextualSpacing/>
        <w:rPr>
          <w:rFonts w:cs="Arial"/>
        </w:rPr>
      </w:pPr>
      <w:r w:rsidRPr="004861F5">
        <w:rPr>
          <w:rFonts w:cs="Arial"/>
        </w:rPr>
        <w:lastRenderedPageBreak/>
        <w:t xml:space="preserve">empower families and carers to support people with disability live to ordinary lives as active citizens. </w:t>
      </w:r>
    </w:p>
    <w:p w14:paraId="3244F196" w14:textId="77777777" w:rsidR="00710066" w:rsidRDefault="00710066" w:rsidP="00DC3750">
      <w:pPr>
        <w:pStyle w:val="Heading2Numbered"/>
      </w:pPr>
      <w:bookmarkStart w:id="34" w:name="_Toc4175420"/>
      <w:r w:rsidRPr="00710066">
        <w:t>National Information Program</w:t>
      </w:r>
      <w:bookmarkEnd w:id="34"/>
    </w:p>
    <w:p w14:paraId="19F4E408"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w:t>
      </w:r>
      <w:r>
        <w:rPr>
          <w:rFonts w:asciiTheme="minorHAnsi" w:eastAsiaTheme="minorHAnsi" w:hAnsiTheme="minorHAnsi"/>
          <w:b w:val="0"/>
          <w:sz w:val="22"/>
        </w:rPr>
        <w:t xml:space="preserve">e National Information Program </w:t>
      </w:r>
      <w:r w:rsidRPr="00420AEF">
        <w:rPr>
          <w:rFonts w:asciiTheme="minorHAnsi" w:eastAsiaTheme="minorHAnsi" w:hAnsiTheme="minorHAnsi"/>
          <w:b w:val="0"/>
          <w:sz w:val="22"/>
        </w:rPr>
        <w:t>will increase the accessibility, quality and consistency of information about disability types and service and support options available to people with a disability, carers and families. This will enable effective choice and decision making in regards to accessing supports and services.</w:t>
      </w:r>
    </w:p>
    <w:p w14:paraId="62DCC6E5" w14:textId="56F937DF"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 xml:space="preserve">The Program will commission products </w:t>
      </w:r>
      <w:r w:rsidR="00FB4EF0">
        <w:rPr>
          <w:rFonts w:asciiTheme="minorHAnsi" w:eastAsiaTheme="minorHAnsi" w:hAnsiTheme="minorHAnsi"/>
          <w:b w:val="0"/>
          <w:sz w:val="22"/>
        </w:rPr>
        <w:t xml:space="preserve">and </w:t>
      </w:r>
      <w:r w:rsidR="004B6939">
        <w:rPr>
          <w:rFonts w:asciiTheme="minorHAnsi" w:eastAsiaTheme="minorHAnsi" w:hAnsiTheme="minorHAnsi"/>
          <w:b w:val="0"/>
          <w:sz w:val="22"/>
        </w:rPr>
        <w:t>activities</w:t>
      </w:r>
      <w:r w:rsidR="00FB4EF0">
        <w:rPr>
          <w:rFonts w:asciiTheme="minorHAnsi" w:eastAsiaTheme="minorHAnsi" w:hAnsiTheme="minorHAnsi"/>
          <w:b w:val="0"/>
          <w:sz w:val="22"/>
        </w:rPr>
        <w:t xml:space="preserve"> </w:t>
      </w:r>
      <w:r w:rsidRPr="00420AEF">
        <w:rPr>
          <w:rFonts w:asciiTheme="minorHAnsi" w:eastAsiaTheme="minorHAnsi" w:hAnsiTheme="minorHAnsi"/>
          <w:b w:val="0"/>
          <w:sz w:val="22"/>
        </w:rPr>
        <w:t>that complement the NDIA’s own information provision, including through diagnostic-specific disability organisations and Peak Bodies with credibility and reach and for active dissemination through our LACs and the new network of DP</w:t>
      </w:r>
      <w:r w:rsidR="00E57DE8">
        <w:rPr>
          <w:rFonts w:asciiTheme="minorHAnsi" w:eastAsiaTheme="minorHAnsi" w:hAnsiTheme="minorHAnsi"/>
          <w:b w:val="0"/>
          <w:sz w:val="22"/>
        </w:rPr>
        <w:t>O/</w:t>
      </w:r>
      <w:r w:rsidRPr="00420AEF">
        <w:rPr>
          <w:rFonts w:asciiTheme="minorHAnsi" w:eastAsiaTheme="minorHAnsi" w:hAnsiTheme="minorHAnsi"/>
          <w:b w:val="0"/>
          <w:sz w:val="22"/>
        </w:rPr>
        <w:t>FOs.</w:t>
      </w:r>
    </w:p>
    <w:p w14:paraId="4AC71DAD" w14:textId="77777777" w:rsidR="00420AEF" w:rsidRPr="00420AEF" w:rsidRDefault="00420AEF" w:rsidP="00420AEF">
      <w:pPr>
        <w:pStyle w:val="CEOBrief-Paragaph2"/>
        <w:numPr>
          <w:ilvl w:val="0"/>
          <w:numId w:val="0"/>
        </w:numPr>
        <w:rPr>
          <w:rFonts w:asciiTheme="minorHAnsi" w:eastAsiaTheme="minorHAnsi" w:hAnsiTheme="minorHAnsi"/>
          <w:b w:val="0"/>
          <w:sz w:val="22"/>
        </w:rPr>
      </w:pPr>
      <w:r w:rsidRPr="00420AEF">
        <w:rPr>
          <w:rFonts w:asciiTheme="minorHAnsi" w:eastAsiaTheme="minorHAnsi" w:hAnsiTheme="minorHAnsi"/>
          <w:b w:val="0"/>
          <w:sz w:val="22"/>
        </w:rPr>
        <w:t>The National Information Program (NIP) will fund projects that:</w:t>
      </w:r>
    </w:p>
    <w:p w14:paraId="53CA518F"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eliver up to date, high quality information in a variety of formats about disability, supports and services available for individuals with disability, their families and carers which will increase individuals’ ability to exercise choice and control</w:t>
      </w:r>
      <w:r>
        <w:rPr>
          <w:rFonts w:asciiTheme="minorHAnsi" w:eastAsiaTheme="minorHAnsi" w:hAnsiTheme="minorHAnsi"/>
          <w:b w:val="0"/>
          <w:sz w:val="22"/>
        </w:rPr>
        <w:t>;</w:t>
      </w:r>
    </w:p>
    <w:p w14:paraId="13A7C161" w14:textId="77777777" w:rsidR="00420AEF" w:rsidRPr="00420AEF"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d</w:t>
      </w:r>
      <w:r w:rsidRPr="00420AEF">
        <w:rPr>
          <w:rFonts w:asciiTheme="minorHAnsi" w:eastAsiaTheme="minorHAnsi" w:hAnsiTheme="minorHAnsi"/>
          <w:b w:val="0"/>
          <w:sz w:val="22"/>
        </w:rPr>
        <w:t>evelop and disseminate information, which meets the needs of specific cohorts such as Culturally and Linguistically Diverse (CALD) communities, Aboriginal and Torres Strait Islander (A&amp;TSI) communities, LGBTQI+ communities and communities l</w:t>
      </w:r>
      <w:r>
        <w:rPr>
          <w:rFonts w:asciiTheme="minorHAnsi" w:eastAsiaTheme="minorHAnsi" w:hAnsiTheme="minorHAnsi"/>
          <w:b w:val="0"/>
          <w:sz w:val="22"/>
        </w:rPr>
        <w:t>iving in rural and remote areas; and</w:t>
      </w:r>
    </w:p>
    <w:p w14:paraId="25B26554" w14:textId="77777777" w:rsidR="007260D2" w:rsidRDefault="00420AEF" w:rsidP="00051F0A">
      <w:pPr>
        <w:pStyle w:val="CEOBrief-Paragaph2"/>
        <w:numPr>
          <w:ilvl w:val="0"/>
          <w:numId w:val="37"/>
        </w:numPr>
        <w:rPr>
          <w:rFonts w:asciiTheme="minorHAnsi" w:eastAsiaTheme="minorHAnsi" w:hAnsiTheme="minorHAnsi"/>
          <w:b w:val="0"/>
          <w:sz w:val="22"/>
        </w:rPr>
      </w:pPr>
      <w:r>
        <w:rPr>
          <w:rFonts w:asciiTheme="minorHAnsi" w:eastAsiaTheme="minorHAnsi" w:hAnsiTheme="minorHAnsi"/>
          <w:b w:val="0"/>
          <w:sz w:val="22"/>
        </w:rPr>
        <w:t>p</w:t>
      </w:r>
      <w:r w:rsidRPr="00420AEF">
        <w:rPr>
          <w:rFonts w:asciiTheme="minorHAnsi" w:eastAsiaTheme="minorHAnsi" w:hAnsiTheme="minorHAnsi"/>
          <w:b w:val="0"/>
          <w:sz w:val="22"/>
        </w:rPr>
        <w:t>rovide information about disability that is relevant for organisations and services systems</w:t>
      </w:r>
      <w:r w:rsidR="004B6939">
        <w:rPr>
          <w:rFonts w:asciiTheme="minorHAnsi" w:eastAsiaTheme="minorHAnsi" w:hAnsiTheme="minorHAnsi"/>
          <w:b w:val="0"/>
          <w:sz w:val="22"/>
        </w:rPr>
        <w:t>, including partners in the community</w:t>
      </w:r>
      <w:r w:rsidRPr="00420AEF">
        <w:rPr>
          <w:rFonts w:asciiTheme="minorHAnsi" w:eastAsiaTheme="minorHAnsi" w:hAnsiTheme="minorHAnsi"/>
          <w:b w:val="0"/>
          <w:sz w:val="22"/>
        </w:rPr>
        <w:t xml:space="preserve"> and increase the ability of supports and services to be relevant and responsive</w:t>
      </w:r>
      <w:r w:rsidR="001930FB">
        <w:rPr>
          <w:rFonts w:asciiTheme="minorHAnsi" w:eastAsiaTheme="minorHAnsi" w:hAnsiTheme="minorHAnsi"/>
          <w:b w:val="0"/>
          <w:sz w:val="22"/>
        </w:rPr>
        <w:t xml:space="preserve"> to people with disability</w:t>
      </w:r>
      <w:r w:rsidRPr="00420AEF">
        <w:rPr>
          <w:rFonts w:asciiTheme="minorHAnsi" w:eastAsiaTheme="minorHAnsi" w:hAnsiTheme="minorHAnsi"/>
          <w:b w:val="0"/>
          <w:sz w:val="22"/>
        </w:rPr>
        <w:t>.</w:t>
      </w:r>
    </w:p>
    <w:p w14:paraId="47E61F1B" w14:textId="77777777" w:rsidR="00BC0C01" w:rsidRPr="00BC0C01" w:rsidRDefault="00710066" w:rsidP="00DC3750">
      <w:pPr>
        <w:pStyle w:val="Heading2Numbered"/>
        <w:rPr>
          <w:rFonts w:eastAsiaTheme="minorHAnsi"/>
        </w:rPr>
      </w:pPr>
      <w:bookmarkStart w:id="35" w:name="_Toc4175421"/>
      <w:r w:rsidRPr="00BC0C01">
        <w:rPr>
          <w:rFonts w:eastAsiaTheme="minorHAnsi"/>
        </w:rPr>
        <w:t xml:space="preserve">Economic and </w:t>
      </w:r>
      <w:r w:rsidR="00BC0C01" w:rsidRPr="00BC0C01">
        <w:rPr>
          <w:rFonts w:eastAsiaTheme="minorHAnsi"/>
        </w:rPr>
        <w:t>Community Participation Program</w:t>
      </w:r>
      <w:bookmarkEnd w:id="35"/>
    </w:p>
    <w:p w14:paraId="6244359C" w14:textId="77777777" w:rsidR="00C3709B" w:rsidRPr="00BC47D7" w:rsidRDefault="00BC47D7" w:rsidP="00BC47D7">
      <w:pPr>
        <w:spacing w:after="160" w:line="259" w:lineRule="auto"/>
        <w:rPr>
          <w:rFonts w:cs="Arial"/>
        </w:rPr>
      </w:pPr>
      <w:r>
        <w:rPr>
          <w:rFonts w:cs="Arial"/>
        </w:rPr>
        <w:t>T</w:t>
      </w:r>
      <w:r w:rsidR="00C3709B" w:rsidRPr="00BC47D7">
        <w:rPr>
          <w:rFonts w:cs="Arial"/>
        </w:rPr>
        <w:t>he</w:t>
      </w:r>
      <w:r>
        <w:rPr>
          <w:rFonts w:cs="Arial"/>
        </w:rPr>
        <w:t xml:space="preserve"> Economic and Community Participation Program will </w:t>
      </w:r>
      <w:r w:rsidR="00C3709B" w:rsidRPr="00BC47D7">
        <w:rPr>
          <w:rFonts w:cs="Arial"/>
        </w:rPr>
        <w:t>build the capacity of the community to create opportunities for people with disability to contribute to community prosperity and participate in community life. The program will be implemented through three streams: Economic Participation, Social and Community Participation, and Activating Community Inclusion</w:t>
      </w:r>
      <w:r w:rsidR="006E61EA">
        <w:rPr>
          <w:rFonts w:cs="Arial"/>
        </w:rPr>
        <w:t>.</w:t>
      </w:r>
    </w:p>
    <w:p w14:paraId="6DC9839A" w14:textId="77777777" w:rsidR="00E35540" w:rsidRPr="00BC47D7" w:rsidRDefault="00BC47D7" w:rsidP="00E35540">
      <w:pPr>
        <w:spacing w:after="160" w:line="259" w:lineRule="auto"/>
        <w:rPr>
          <w:rFonts w:cs="Arial"/>
        </w:rPr>
      </w:pPr>
      <w:r>
        <w:rPr>
          <w:rFonts w:cs="Arial"/>
        </w:rPr>
        <w:t>The Economic P</w:t>
      </w:r>
      <w:r w:rsidR="00C3709B" w:rsidRPr="00BC47D7">
        <w:rPr>
          <w:rFonts w:cs="Arial"/>
        </w:rPr>
        <w:t xml:space="preserve">articipation stream will focus on initiatives that create pathways to employment and drive more inclusive practices by employers. </w:t>
      </w:r>
      <w:r w:rsidR="00E35540">
        <w:rPr>
          <w:rFonts w:cs="Arial"/>
        </w:rPr>
        <w:t xml:space="preserve">This also includes recognising the value of volunteering as providing a pathway to employment for people with disability, their families and carers. </w:t>
      </w:r>
    </w:p>
    <w:p w14:paraId="66CA944B" w14:textId="4A7F07DC" w:rsidR="00C3709B" w:rsidRPr="00BC47D7" w:rsidRDefault="00BC47D7" w:rsidP="00BC47D7">
      <w:pPr>
        <w:spacing w:after="160" w:line="259" w:lineRule="auto"/>
        <w:rPr>
          <w:rFonts w:cs="Arial"/>
        </w:rPr>
      </w:pPr>
      <w:r>
        <w:rPr>
          <w:rFonts w:cs="Arial"/>
        </w:rPr>
        <w:t>The Social and Community P</w:t>
      </w:r>
      <w:r w:rsidR="00C3709B" w:rsidRPr="00BC47D7">
        <w:rPr>
          <w:rFonts w:cs="Arial"/>
        </w:rPr>
        <w:t xml:space="preserve">articipation stream will drive more inclusive practices so people with disability can </w:t>
      </w:r>
      <w:r w:rsidR="00D13478">
        <w:rPr>
          <w:rFonts w:cs="Arial"/>
        </w:rPr>
        <w:t>participate in community life.</w:t>
      </w:r>
    </w:p>
    <w:p w14:paraId="04A7EA13" w14:textId="77777777" w:rsidR="001930FB" w:rsidRPr="00BC47D7" w:rsidRDefault="001930FB" w:rsidP="001930FB">
      <w:pPr>
        <w:spacing w:after="160" w:line="259" w:lineRule="auto"/>
        <w:rPr>
          <w:rFonts w:cs="Arial"/>
        </w:rPr>
      </w:pPr>
      <w:r>
        <w:rPr>
          <w:rFonts w:cs="Arial"/>
        </w:rPr>
        <w:t>The Activating Community Inclusion</w:t>
      </w:r>
      <w:r w:rsidRPr="00BC47D7">
        <w:rPr>
          <w:rFonts w:cs="Arial"/>
        </w:rPr>
        <w:t xml:space="preserve"> stream </w:t>
      </w:r>
      <w:r>
        <w:rPr>
          <w:rFonts w:cs="Arial"/>
        </w:rPr>
        <w:t xml:space="preserve">will provide </w:t>
      </w:r>
      <w:r w:rsidRPr="00BC47D7">
        <w:rPr>
          <w:rFonts w:cs="Arial"/>
        </w:rPr>
        <w:t xml:space="preserve">small grants </w:t>
      </w:r>
      <w:r>
        <w:rPr>
          <w:rFonts w:cs="Arial"/>
        </w:rPr>
        <w:t>to assist with</w:t>
      </w:r>
      <w:r w:rsidRPr="00BC47D7">
        <w:rPr>
          <w:rFonts w:cs="Arial"/>
        </w:rPr>
        <w:t xml:space="preserve"> improv</w:t>
      </w:r>
      <w:r>
        <w:rPr>
          <w:rFonts w:cs="Arial"/>
        </w:rPr>
        <w:t>ing</w:t>
      </w:r>
      <w:r w:rsidRPr="00BC47D7">
        <w:rPr>
          <w:rFonts w:cs="Arial"/>
        </w:rPr>
        <w:t xml:space="preserve"> community attitudes</w:t>
      </w:r>
      <w:r>
        <w:rPr>
          <w:rFonts w:cs="Arial"/>
        </w:rPr>
        <w:t xml:space="preserve"> towards disability</w:t>
      </w:r>
      <w:r w:rsidRPr="00BC47D7">
        <w:rPr>
          <w:rFonts w:cs="Arial"/>
        </w:rPr>
        <w:t xml:space="preserve"> and provide opportunities for people with disability to be included in everyday life</w:t>
      </w:r>
      <w:r>
        <w:rPr>
          <w:rFonts w:cs="Arial"/>
        </w:rPr>
        <w:t>.</w:t>
      </w:r>
      <w:r w:rsidR="00E35540">
        <w:rPr>
          <w:rFonts w:cs="Arial"/>
        </w:rPr>
        <w:t xml:space="preserve"> </w:t>
      </w:r>
    </w:p>
    <w:p w14:paraId="38CB92CD" w14:textId="77777777" w:rsidR="00E03F29" w:rsidRPr="00DC3750" w:rsidRDefault="00710066" w:rsidP="00DC3750">
      <w:pPr>
        <w:pStyle w:val="Heading2Numbered"/>
      </w:pPr>
      <w:bookmarkStart w:id="36" w:name="_Toc4175422"/>
      <w:r w:rsidRPr="00DC3750">
        <w:lastRenderedPageBreak/>
        <w:t>Mainstream Capacity Building Program</w:t>
      </w:r>
      <w:bookmarkEnd w:id="36"/>
    </w:p>
    <w:p w14:paraId="74CB8947" w14:textId="77777777" w:rsidR="00B02487" w:rsidRDefault="00D218E5" w:rsidP="00B02487">
      <w:pPr>
        <w:spacing w:after="160" w:line="259" w:lineRule="auto"/>
        <w:rPr>
          <w:b/>
        </w:rPr>
      </w:pPr>
      <w:r w:rsidRPr="00D218E5">
        <w:t xml:space="preserve">The Mainstream Capacity Building Program will </w:t>
      </w:r>
      <w:r>
        <w:rPr>
          <w:rFonts w:ascii="Arial" w:hAnsi="Arial" w:cs="Arial"/>
        </w:rPr>
        <w:t>d</w:t>
      </w:r>
      <w:r w:rsidRPr="00E51838">
        <w:rPr>
          <w:rFonts w:ascii="Arial" w:hAnsi="Arial" w:cs="Arial"/>
        </w:rPr>
        <w:t>rive practice change in the delivery of critical mainstream services through the development and trialling of best practice frameworks</w:t>
      </w:r>
      <w:r>
        <w:rPr>
          <w:rFonts w:ascii="Arial" w:hAnsi="Arial" w:cs="Arial"/>
        </w:rPr>
        <w:t xml:space="preserve">. The emphasis of these catalytic investments is to enable </w:t>
      </w:r>
      <w:r w:rsidRPr="00E05119">
        <w:rPr>
          <w:rFonts w:ascii="Arial" w:hAnsi="Arial" w:cs="Arial"/>
        </w:rPr>
        <w:t>other service systems to be more accessible and inclusive</w:t>
      </w:r>
      <w:r>
        <w:rPr>
          <w:rFonts w:ascii="Arial" w:hAnsi="Arial" w:cs="Arial"/>
        </w:rPr>
        <w:t>, building their capacity to more effectively meet their own oblig</w:t>
      </w:r>
      <w:r w:rsidR="00273472">
        <w:rPr>
          <w:rFonts w:ascii="Arial" w:hAnsi="Arial" w:cs="Arial"/>
        </w:rPr>
        <w:t>ations rather than replacing this</w:t>
      </w:r>
      <w:r>
        <w:rPr>
          <w:rFonts w:ascii="Arial" w:hAnsi="Arial" w:cs="Arial"/>
        </w:rPr>
        <w:t xml:space="preserve"> essential effort. The program outcome is that p</w:t>
      </w:r>
      <w:r w:rsidRPr="005B01A9">
        <w:rPr>
          <w:rFonts w:ascii="Arial" w:hAnsi="Arial" w:cs="Arial"/>
        </w:rPr>
        <w:t>eople with disability use and benefit from the same mainstream services as everyone else.</w:t>
      </w:r>
      <w:r>
        <w:rPr>
          <w:rFonts w:ascii="Arial" w:hAnsi="Arial" w:cs="Arial"/>
        </w:rPr>
        <w:t xml:space="preserve"> This program </w:t>
      </w:r>
      <w:r w:rsidR="00D70AC0">
        <w:rPr>
          <w:rFonts w:ascii="Arial" w:hAnsi="Arial" w:cs="Arial"/>
        </w:rPr>
        <w:t xml:space="preserve">also </w:t>
      </w:r>
      <w:r w:rsidRPr="005B01A9">
        <w:rPr>
          <w:rFonts w:ascii="Arial" w:hAnsi="Arial" w:cs="Arial"/>
        </w:rPr>
        <w:t xml:space="preserve">seeks to </w:t>
      </w:r>
      <w:r w:rsidRPr="00E05119">
        <w:rPr>
          <w:rFonts w:ascii="Arial" w:hAnsi="Arial" w:cs="Arial"/>
        </w:rPr>
        <w:t>prevent, reduce or delay the need for people with disabilities to access specialist disability services</w:t>
      </w:r>
      <w:r>
        <w:rPr>
          <w:rFonts w:ascii="Arial" w:hAnsi="Arial" w:cs="Arial"/>
        </w:rPr>
        <w:t xml:space="preserve"> by ensuring that they are able to access </w:t>
      </w:r>
      <w:r w:rsidR="00E52145">
        <w:rPr>
          <w:rFonts w:ascii="Arial" w:hAnsi="Arial" w:cs="Arial"/>
        </w:rPr>
        <w:t xml:space="preserve">the </w:t>
      </w:r>
      <w:r>
        <w:rPr>
          <w:rFonts w:ascii="Arial" w:hAnsi="Arial" w:cs="Arial"/>
        </w:rPr>
        <w:t xml:space="preserve">supports </w:t>
      </w:r>
      <w:r w:rsidR="00E52145">
        <w:rPr>
          <w:rFonts w:ascii="Arial" w:hAnsi="Arial" w:cs="Arial"/>
        </w:rPr>
        <w:t xml:space="preserve">they need </w:t>
      </w:r>
      <w:r>
        <w:rPr>
          <w:rFonts w:ascii="Arial" w:hAnsi="Arial" w:cs="Arial"/>
        </w:rPr>
        <w:t xml:space="preserve">from mainstream services </w:t>
      </w:r>
      <w:r w:rsidR="00E52145">
        <w:rPr>
          <w:rFonts w:ascii="Arial" w:hAnsi="Arial" w:cs="Arial"/>
        </w:rPr>
        <w:t>when they need it.</w:t>
      </w:r>
      <w:r w:rsidR="00B02487">
        <w:rPr>
          <w:rFonts w:ascii="Arial" w:hAnsi="Arial" w:cs="Arial"/>
        </w:rPr>
        <w:t xml:space="preserve"> The initial </w:t>
      </w:r>
      <w:r w:rsidR="00B02487" w:rsidRPr="00D218E5">
        <w:t xml:space="preserve">Mainstream Capacity Building Program </w:t>
      </w:r>
      <w:r w:rsidR="00B02487">
        <w:rPr>
          <w:rFonts w:ascii="Arial" w:hAnsi="Arial" w:cs="Arial"/>
        </w:rPr>
        <w:t xml:space="preserve">round will focus on the health sector. The NDIA will determine annual priorities for mainstream capacity building based upon evidence and the lived experiences of people with disability, their families and carers. </w:t>
      </w:r>
    </w:p>
    <w:p w14:paraId="3F5E5B95" w14:textId="77777777" w:rsidR="002F6C41" w:rsidRPr="002F6C41" w:rsidRDefault="002F6C41" w:rsidP="002F6C41">
      <w:pPr>
        <w:pStyle w:val="Heading2Numbered"/>
      </w:pPr>
      <w:bookmarkStart w:id="37" w:name="_Toc4175423"/>
      <w:r w:rsidRPr="002F6C41">
        <w:t>Promising Practice</w:t>
      </w:r>
      <w:r w:rsidR="006D26D8">
        <w:t>s</w:t>
      </w:r>
      <w:bookmarkEnd w:id="37"/>
      <w:r w:rsidRPr="002F6C41">
        <w:t xml:space="preserve"> </w:t>
      </w:r>
    </w:p>
    <w:p w14:paraId="21EC4776" w14:textId="77777777" w:rsidR="003D70D3" w:rsidRPr="002F6C41" w:rsidRDefault="00E35087" w:rsidP="003D70D3">
      <w:pPr>
        <w:pStyle w:val="CEOBrief-Paragaph2"/>
        <w:numPr>
          <w:ilvl w:val="0"/>
          <w:numId w:val="0"/>
        </w:numPr>
        <w:rPr>
          <w:rFonts w:asciiTheme="minorHAnsi" w:eastAsiaTheme="minorHAnsi" w:hAnsiTheme="minorHAnsi"/>
          <w:b w:val="0"/>
          <w:sz w:val="22"/>
        </w:rPr>
      </w:pPr>
      <w:r w:rsidRPr="00AB28ED">
        <w:rPr>
          <w:rFonts w:asciiTheme="minorHAnsi" w:eastAsiaTheme="minorHAnsi" w:hAnsiTheme="minorHAnsi"/>
          <w:b w:val="0"/>
          <w:sz w:val="22"/>
        </w:rPr>
        <w:t>Underpinning</w:t>
      </w:r>
      <w:r w:rsidR="002F6C41">
        <w:rPr>
          <w:rFonts w:asciiTheme="minorHAnsi" w:eastAsiaTheme="minorHAnsi" w:hAnsiTheme="minorHAnsi"/>
          <w:b w:val="0"/>
          <w:sz w:val="22"/>
        </w:rPr>
        <w:t xml:space="preserve"> all of the ILC Programs </w:t>
      </w:r>
      <w:r w:rsidRPr="00AB28ED">
        <w:rPr>
          <w:rFonts w:asciiTheme="minorHAnsi" w:eastAsiaTheme="minorHAnsi" w:hAnsiTheme="minorHAnsi"/>
          <w:b w:val="0"/>
          <w:sz w:val="22"/>
        </w:rPr>
        <w:t>is a commitment to building on promising practice</w:t>
      </w:r>
      <w:r w:rsidR="006D26D8">
        <w:rPr>
          <w:rFonts w:asciiTheme="minorHAnsi" w:eastAsiaTheme="minorHAnsi" w:hAnsiTheme="minorHAnsi"/>
          <w:b w:val="0"/>
          <w:sz w:val="22"/>
        </w:rPr>
        <w:t>s</w:t>
      </w:r>
      <w:r w:rsidRPr="00AB28ED">
        <w:rPr>
          <w:rFonts w:asciiTheme="minorHAnsi" w:eastAsiaTheme="minorHAnsi" w:hAnsiTheme="minorHAnsi"/>
          <w:b w:val="0"/>
          <w:sz w:val="22"/>
        </w:rPr>
        <w:t xml:space="preserve"> in the sector.</w:t>
      </w:r>
      <w:r w:rsidR="002F6C41">
        <w:rPr>
          <w:rFonts w:asciiTheme="minorHAnsi" w:eastAsiaTheme="minorHAnsi" w:hAnsiTheme="minorHAnsi"/>
          <w:b w:val="0"/>
          <w:sz w:val="22"/>
        </w:rPr>
        <w:t xml:space="preserve"> </w:t>
      </w:r>
      <w:r w:rsidR="009F64EE">
        <w:rPr>
          <w:rFonts w:asciiTheme="minorHAnsi" w:eastAsiaTheme="minorHAnsi" w:hAnsiTheme="minorHAnsi"/>
          <w:b w:val="0"/>
          <w:sz w:val="22"/>
        </w:rPr>
        <w:t>Grants will be provided t</w:t>
      </w:r>
      <w:r w:rsidR="003D70D3" w:rsidRPr="00AB28ED">
        <w:rPr>
          <w:rFonts w:asciiTheme="minorHAnsi" w:eastAsiaTheme="minorHAnsi" w:hAnsiTheme="minorHAnsi" w:cstheme="minorHAnsi"/>
          <w:b w:val="0"/>
          <w:sz w:val="22"/>
        </w:rPr>
        <w:t>o f</w:t>
      </w:r>
      <w:r w:rsidR="003D70D3" w:rsidRPr="00AB28ED">
        <w:rPr>
          <w:rFonts w:asciiTheme="minorHAnsi" w:eastAsiaTheme="minorEastAsia" w:hAnsiTheme="minorHAnsi" w:cstheme="minorHAnsi"/>
          <w:b w:val="0"/>
          <w:bCs/>
          <w:sz w:val="22"/>
        </w:rPr>
        <w:t>acilitate the identification, nurturing and promulgation of evidence based, scalable and transferable best practice.</w:t>
      </w:r>
    </w:p>
    <w:p w14:paraId="007E35AA" w14:textId="77777777" w:rsidR="009F64EE" w:rsidRPr="009F64EE" w:rsidRDefault="006C050E" w:rsidP="009F64EE">
      <w:pPr>
        <w:pStyle w:val="CEOBrief-Paragaph2"/>
        <w:tabs>
          <w:tab w:val="clear" w:pos="360"/>
          <w:tab w:val="left" w:pos="0"/>
        </w:tabs>
        <w:ind w:left="0" w:firstLine="0"/>
        <w:rPr>
          <w:rFonts w:asciiTheme="minorHAnsi" w:hAnsiTheme="minorHAnsi" w:cstheme="minorHAnsi"/>
          <w:b w:val="0"/>
          <w:sz w:val="22"/>
        </w:rPr>
      </w:pPr>
      <w:r w:rsidRPr="009F64EE">
        <w:rPr>
          <w:rFonts w:asciiTheme="minorHAnsi" w:hAnsiTheme="minorHAnsi" w:cstheme="minorHAnsi"/>
          <w:b w:val="0"/>
          <w:sz w:val="22"/>
        </w:rPr>
        <w:t>Activities to develop promising practice will be funded under each of the ILC Programs</w:t>
      </w:r>
      <w:r w:rsidR="009F64EE" w:rsidRPr="009F64EE">
        <w:rPr>
          <w:rFonts w:asciiTheme="minorHAnsi" w:hAnsiTheme="minorHAnsi" w:cstheme="minorHAnsi"/>
          <w:b w:val="0"/>
          <w:sz w:val="22"/>
        </w:rPr>
        <w:t>, initially funding will be provided to</w:t>
      </w:r>
      <w:r w:rsidR="009F64EE" w:rsidRPr="009F64EE">
        <w:rPr>
          <w:rFonts w:asciiTheme="minorHAnsi" w:eastAsiaTheme="minorEastAsia" w:hAnsiTheme="minorHAnsi" w:cstheme="minorHAnsi"/>
          <w:b w:val="0"/>
          <w:sz w:val="22"/>
        </w:rPr>
        <w:t xml:space="preserve"> promote promising practice in</w:t>
      </w:r>
      <w:r w:rsidR="009F64EE">
        <w:rPr>
          <w:rFonts w:asciiTheme="minorHAnsi" w:eastAsiaTheme="minorEastAsia" w:hAnsiTheme="minorHAnsi" w:cstheme="minorHAnsi"/>
          <w:b w:val="0"/>
          <w:sz w:val="22"/>
        </w:rPr>
        <w:t xml:space="preserve"> the areas of</w:t>
      </w:r>
      <w:r w:rsidR="009F64EE" w:rsidRPr="009F64EE">
        <w:rPr>
          <w:rFonts w:asciiTheme="minorHAnsi" w:eastAsiaTheme="minorEastAsia" w:hAnsiTheme="minorHAnsi" w:cstheme="minorHAnsi"/>
          <w:b w:val="0"/>
          <w:sz w:val="22"/>
        </w:rPr>
        <w:t>:</w:t>
      </w:r>
    </w:p>
    <w:p w14:paraId="04DD6C4A"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Mainstream service practice change towards disability inclusion</w:t>
      </w:r>
    </w:p>
    <w:p w14:paraId="3D9008D5" w14:textId="77777777" w:rsidR="009F64EE" w:rsidRPr="002F6C41" w:rsidRDefault="009F64EE" w:rsidP="009F64EE">
      <w:pPr>
        <w:pStyle w:val="ListParagraph"/>
        <w:numPr>
          <w:ilvl w:val="0"/>
          <w:numId w:val="35"/>
        </w:numPr>
        <w:spacing w:before="200" w:after="0"/>
        <w:contextualSpacing/>
        <w:rPr>
          <w:rFonts w:cs="Arial"/>
        </w:rPr>
      </w:pPr>
      <w:r w:rsidRPr="002F6C41">
        <w:rPr>
          <w:rFonts w:cs="Arial"/>
        </w:rPr>
        <w:t>Community capacity building to increase economic participation by people with disability</w:t>
      </w:r>
    </w:p>
    <w:p w14:paraId="59AFB052" w14:textId="77777777" w:rsidR="009F64EE" w:rsidRDefault="009F64EE" w:rsidP="009F64EE">
      <w:pPr>
        <w:pStyle w:val="ListParagraph"/>
        <w:numPr>
          <w:ilvl w:val="0"/>
          <w:numId w:val="35"/>
        </w:numPr>
        <w:spacing w:before="200" w:after="0"/>
        <w:contextualSpacing/>
        <w:rPr>
          <w:rFonts w:cs="Arial"/>
        </w:rPr>
      </w:pPr>
      <w:r w:rsidRPr="002F6C41">
        <w:rPr>
          <w:rFonts w:cs="Arial"/>
        </w:rPr>
        <w:t>Community capacity building to increase community participation by people with disability</w:t>
      </w:r>
    </w:p>
    <w:p w14:paraId="440C2BAE" w14:textId="77777777" w:rsidR="00594453" w:rsidRPr="002D599B" w:rsidRDefault="00880166" w:rsidP="00DC3750">
      <w:pPr>
        <w:pStyle w:val="Heading2Numbered"/>
      </w:pPr>
      <w:bookmarkStart w:id="38" w:name="_Toc4175424"/>
      <w:r w:rsidRPr="002D599B">
        <w:t xml:space="preserve">Implementation </w:t>
      </w:r>
      <w:r w:rsidR="00594453" w:rsidRPr="002D599B">
        <w:t>Process</w:t>
      </w:r>
      <w:bookmarkEnd w:id="38"/>
    </w:p>
    <w:p w14:paraId="21F48FA6" w14:textId="77777777" w:rsidR="00594453" w:rsidRDefault="00594453" w:rsidP="00AB28ED">
      <w:pPr>
        <w:spacing w:after="0"/>
        <w:rPr>
          <w:rFonts w:cs="Arial"/>
        </w:rPr>
      </w:pPr>
      <w:r w:rsidRPr="002D599B">
        <w:rPr>
          <w:rFonts w:cs="Arial"/>
          <w:bCs/>
        </w:rPr>
        <w:t xml:space="preserve">ILC Programs </w:t>
      </w:r>
      <w:r w:rsidR="00E353D3" w:rsidRPr="002D599B">
        <w:rPr>
          <w:rFonts w:cs="Arial"/>
          <w:bCs/>
        </w:rPr>
        <w:t xml:space="preserve">listed in </w:t>
      </w:r>
      <w:r w:rsidR="009E2017" w:rsidRPr="002D599B">
        <w:rPr>
          <w:rFonts w:cs="Arial"/>
          <w:b/>
          <w:bCs/>
        </w:rPr>
        <w:t>Section 3- Program Overview</w:t>
      </w:r>
      <w:r w:rsidR="00CC1BC4" w:rsidRPr="002D599B">
        <w:rPr>
          <w:rFonts w:cs="Arial"/>
          <w:bCs/>
        </w:rPr>
        <w:t xml:space="preserve"> </w:t>
      </w:r>
      <w:r w:rsidRPr="002D599B">
        <w:rPr>
          <w:rFonts w:cs="Arial"/>
          <w:bCs/>
        </w:rPr>
        <w:t>are t</w:t>
      </w:r>
      <w:r w:rsidR="00E77E8E">
        <w:rPr>
          <w:rFonts w:cs="Arial"/>
          <w:bCs/>
        </w:rPr>
        <w:t xml:space="preserve">he core areas of investment over 2019-20 to 2021-22. </w:t>
      </w:r>
      <w:r w:rsidR="00305116">
        <w:rPr>
          <w:rFonts w:cs="Arial"/>
        </w:rPr>
        <w:t>Specific details on</w:t>
      </w:r>
      <w:r w:rsidR="00983C41">
        <w:rPr>
          <w:rFonts w:cs="Arial"/>
        </w:rPr>
        <w:t>,</w:t>
      </w:r>
      <w:r w:rsidR="00305116">
        <w:rPr>
          <w:rFonts w:cs="Arial"/>
        </w:rPr>
        <w:t xml:space="preserve"> and approaches for commissioning</w:t>
      </w:r>
      <w:r w:rsidR="00983C41">
        <w:rPr>
          <w:rFonts w:cs="Arial"/>
        </w:rPr>
        <w:t>,</w:t>
      </w:r>
      <w:r w:rsidR="00305116">
        <w:rPr>
          <w:rFonts w:cs="Arial"/>
        </w:rPr>
        <w:t xml:space="preserve"> each </w:t>
      </w:r>
      <w:r w:rsidR="00B62417">
        <w:rPr>
          <w:rFonts w:cs="Arial"/>
        </w:rPr>
        <w:t>program will</w:t>
      </w:r>
      <w:r w:rsidR="00305116">
        <w:rPr>
          <w:rFonts w:cs="Arial"/>
        </w:rPr>
        <w:t xml:space="preserve"> be outlined in the Grant Opportunity Guidelines</w:t>
      </w:r>
      <w:r w:rsidR="00983C41">
        <w:rPr>
          <w:rFonts w:cs="Arial"/>
        </w:rPr>
        <w:t xml:space="preserve"> (GOGs)</w:t>
      </w:r>
      <w:r w:rsidR="00305116">
        <w:rPr>
          <w:rFonts w:cs="Arial"/>
        </w:rPr>
        <w:t xml:space="preserve"> for the respective grant round</w:t>
      </w:r>
      <w:r w:rsidR="006D26D8">
        <w:rPr>
          <w:rFonts w:cs="Arial"/>
        </w:rPr>
        <w:t>. The GOGs</w:t>
      </w:r>
      <w:r w:rsidR="00983C41">
        <w:rPr>
          <w:rFonts w:cs="Arial"/>
        </w:rPr>
        <w:t xml:space="preserve"> will be made publicly available via GrantsConnect and the NDIS website on the opening of a grant round</w:t>
      </w:r>
      <w:r w:rsidR="00305116">
        <w:rPr>
          <w:rFonts w:cs="Arial"/>
        </w:rPr>
        <w:t>.</w:t>
      </w:r>
      <w:r w:rsidRPr="002D599B">
        <w:rPr>
          <w:rFonts w:cs="Arial"/>
        </w:rPr>
        <w:t xml:space="preserve"> </w:t>
      </w:r>
    </w:p>
    <w:p w14:paraId="3E379A30" w14:textId="77777777" w:rsidR="00846798" w:rsidRPr="006C7EC8" w:rsidRDefault="00846798" w:rsidP="00846798">
      <w:pPr>
        <w:pStyle w:val="Heading1"/>
      </w:pPr>
      <w:bookmarkStart w:id="39" w:name="_Toc466630154"/>
      <w:bookmarkStart w:id="40" w:name="_Toc4175425"/>
      <w:r w:rsidRPr="006C7EC8">
        <w:t>Target group</w:t>
      </w:r>
      <w:bookmarkEnd w:id="39"/>
      <w:bookmarkEnd w:id="40"/>
    </w:p>
    <w:p w14:paraId="7622F6D4" w14:textId="388804FE" w:rsidR="00846798" w:rsidRPr="00FB71D5" w:rsidRDefault="00846798" w:rsidP="00B62417">
      <w:pPr>
        <w:spacing w:after="120" w:line="240" w:lineRule="auto"/>
        <w:rPr>
          <w:rFonts w:eastAsia="Calibri" w:cs="Arial"/>
        </w:rPr>
      </w:pPr>
      <w:r w:rsidRPr="00FB5DA7">
        <w:rPr>
          <w:rFonts w:eastAsia="Calibri" w:cs="Arial"/>
        </w:rPr>
        <w:t xml:space="preserve">Funded ILC </w:t>
      </w:r>
      <w:r w:rsidR="005C5F7A">
        <w:rPr>
          <w:rFonts w:eastAsia="Calibri" w:cs="Arial"/>
        </w:rPr>
        <w:t>Projects</w:t>
      </w:r>
      <w:r w:rsidRPr="00FB5DA7">
        <w:rPr>
          <w:rFonts w:eastAsia="Calibri" w:cs="Arial"/>
        </w:rPr>
        <w:t xml:space="preserve"> must be able to demonstrate benefit for people with disability including, where relevant, how this impacts families and carers.</w:t>
      </w:r>
      <w:r>
        <w:rPr>
          <w:rFonts w:eastAsia="Calibri" w:cs="Arial"/>
        </w:rPr>
        <w:t xml:space="preserve"> Specific Target/Cohort groups may be identif</w:t>
      </w:r>
      <w:r w:rsidR="00D13478">
        <w:rPr>
          <w:rFonts w:eastAsia="Calibri" w:cs="Arial"/>
        </w:rPr>
        <w:t xml:space="preserve">ied for specific grant rounds. </w:t>
      </w:r>
      <w:r>
        <w:rPr>
          <w:rFonts w:eastAsia="Calibri" w:cs="Arial"/>
        </w:rPr>
        <w:t>Where this is the case, definitions and details will be contained within the relevant Grant Opportunity Guidelines (GOGs).</w:t>
      </w:r>
    </w:p>
    <w:p w14:paraId="36642996" w14:textId="77777777" w:rsidR="00594453" w:rsidRPr="001135C9" w:rsidRDefault="00594453" w:rsidP="00DC3750">
      <w:pPr>
        <w:pStyle w:val="Heading1Numbered"/>
      </w:pPr>
      <w:bookmarkStart w:id="41" w:name="_Toc466031738"/>
      <w:bookmarkStart w:id="42" w:name="_Toc466032852"/>
      <w:bookmarkStart w:id="43" w:name="_Toc462835113"/>
      <w:bookmarkStart w:id="44" w:name="_Toc462845715"/>
      <w:bookmarkStart w:id="45" w:name="_Toc462846881"/>
      <w:bookmarkStart w:id="46" w:name="_Toc462906162"/>
      <w:bookmarkStart w:id="47" w:name="_Toc462911909"/>
      <w:bookmarkStart w:id="48" w:name="_Toc462912387"/>
      <w:bookmarkStart w:id="49" w:name="_Toc462912552"/>
      <w:bookmarkStart w:id="50" w:name="_Toc462913036"/>
      <w:bookmarkStart w:id="51" w:name="_Toc462918321"/>
      <w:bookmarkStart w:id="52" w:name="_Toc462918550"/>
      <w:bookmarkStart w:id="53" w:name="_Toc462918779"/>
      <w:bookmarkStart w:id="54" w:name="_Toc462919009"/>
      <w:bookmarkStart w:id="55" w:name="_Toc462835114"/>
      <w:bookmarkStart w:id="56" w:name="_Toc462845716"/>
      <w:bookmarkStart w:id="57" w:name="_Toc462846882"/>
      <w:bookmarkStart w:id="58" w:name="_Toc462906163"/>
      <w:bookmarkStart w:id="59" w:name="_Toc462911910"/>
      <w:bookmarkStart w:id="60" w:name="_Toc462912388"/>
      <w:bookmarkStart w:id="61" w:name="_Toc462912553"/>
      <w:bookmarkStart w:id="62" w:name="_Toc462913037"/>
      <w:bookmarkStart w:id="63" w:name="_Toc462918322"/>
      <w:bookmarkStart w:id="64" w:name="_Toc462918551"/>
      <w:bookmarkStart w:id="65" w:name="_Toc462918780"/>
      <w:bookmarkStart w:id="66" w:name="_Toc462919010"/>
      <w:bookmarkStart w:id="67" w:name="_Toc462835115"/>
      <w:bookmarkStart w:id="68" w:name="_Toc462845717"/>
      <w:bookmarkStart w:id="69" w:name="_Toc462846883"/>
      <w:bookmarkStart w:id="70" w:name="_Toc462906164"/>
      <w:bookmarkStart w:id="71" w:name="_Toc462911911"/>
      <w:bookmarkStart w:id="72" w:name="_Toc462912389"/>
      <w:bookmarkStart w:id="73" w:name="_Toc462912554"/>
      <w:bookmarkStart w:id="74" w:name="_Toc462913038"/>
      <w:bookmarkStart w:id="75" w:name="_Toc462918323"/>
      <w:bookmarkStart w:id="76" w:name="_Toc462918552"/>
      <w:bookmarkStart w:id="77" w:name="_Toc462918781"/>
      <w:bookmarkStart w:id="78" w:name="_Toc462919011"/>
      <w:bookmarkStart w:id="79" w:name="_Toc462835116"/>
      <w:bookmarkStart w:id="80" w:name="_Toc462845718"/>
      <w:bookmarkStart w:id="81" w:name="_Toc462846884"/>
      <w:bookmarkStart w:id="82" w:name="_Toc462906165"/>
      <w:bookmarkStart w:id="83" w:name="_Toc462911912"/>
      <w:bookmarkStart w:id="84" w:name="_Toc462912390"/>
      <w:bookmarkStart w:id="85" w:name="_Toc462912555"/>
      <w:bookmarkStart w:id="86" w:name="_Toc462913039"/>
      <w:bookmarkStart w:id="87" w:name="_Toc462918324"/>
      <w:bookmarkStart w:id="88" w:name="_Toc462918553"/>
      <w:bookmarkStart w:id="89" w:name="_Toc462918782"/>
      <w:bookmarkStart w:id="90" w:name="_Toc462919012"/>
      <w:bookmarkStart w:id="91" w:name="_Toc462835117"/>
      <w:bookmarkStart w:id="92" w:name="_Toc462845719"/>
      <w:bookmarkStart w:id="93" w:name="_Toc462846885"/>
      <w:bookmarkStart w:id="94" w:name="_Toc462906166"/>
      <w:bookmarkStart w:id="95" w:name="_Toc462911913"/>
      <w:bookmarkStart w:id="96" w:name="_Toc462912391"/>
      <w:bookmarkStart w:id="97" w:name="_Toc462912556"/>
      <w:bookmarkStart w:id="98" w:name="_Toc462913040"/>
      <w:bookmarkStart w:id="99" w:name="_Toc462918325"/>
      <w:bookmarkStart w:id="100" w:name="_Toc462918554"/>
      <w:bookmarkStart w:id="101" w:name="_Toc462918783"/>
      <w:bookmarkStart w:id="102" w:name="_Toc462919013"/>
      <w:bookmarkStart w:id="103" w:name="_Toc462835118"/>
      <w:bookmarkStart w:id="104" w:name="_Toc462845720"/>
      <w:bookmarkStart w:id="105" w:name="_Toc462846886"/>
      <w:bookmarkStart w:id="106" w:name="_Toc462906167"/>
      <w:bookmarkStart w:id="107" w:name="_Toc462911914"/>
      <w:bookmarkStart w:id="108" w:name="_Toc462912392"/>
      <w:bookmarkStart w:id="109" w:name="_Toc462912557"/>
      <w:bookmarkStart w:id="110" w:name="_Toc462913041"/>
      <w:bookmarkStart w:id="111" w:name="_Toc462918326"/>
      <w:bookmarkStart w:id="112" w:name="_Toc462918555"/>
      <w:bookmarkStart w:id="113" w:name="_Toc462918784"/>
      <w:bookmarkStart w:id="114" w:name="_Toc462919014"/>
      <w:bookmarkStart w:id="115" w:name="_Toc424822030"/>
      <w:bookmarkStart w:id="116" w:name="_Toc424822142"/>
      <w:bookmarkStart w:id="117" w:name="_Toc424822224"/>
      <w:bookmarkStart w:id="118" w:name="_Toc424822282"/>
      <w:bookmarkStart w:id="119" w:name="_Toc424822338"/>
      <w:bookmarkStart w:id="120" w:name="_Toc424822411"/>
      <w:bookmarkStart w:id="121" w:name="_Toc424822466"/>
      <w:bookmarkStart w:id="122" w:name="_Toc424822521"/>
      <w:bookmarkStart w:id="123" w:name="_Toc424811590"/>
      <w:bookmarkStart w:id="124" w:name="_Toc424822032"/>
      <w:bookmarkStart w:id="125" w:name="_Toc424822144"/>
      <w:bookmarkStart w:id="126" w:name="_Toc424822226"/>
      <w:bookmarkStart w:id="127" w:name="_Toc424822284"/>
      <w:bookmarkStart w:id="128" w:name="_Toc424822340"/>
      <w:bookmarkStart w:id="129" w:name="_Toc424822413"/>
      <w:bookmarkStart w:id="130" w:name="_Toc424822468"/>
      <w:bookmarkStart w:id="131" w:name="_Toc424822523"/>
      <w:bookmarkStart w:id="132" w:name="_Toc424811591"/>
      <w:bookmarkStart w:id="133" w:name="_Toc424822033"/>
      <w:bookmarkStart w:id="134" w:name="_Toc424822145"/>
      <w:bookmarkStart w:id="135" w:name="_Toc424822227"/>
      <w:bookmarkStart w:id="136" w:name="_Toc424822285"/>
      <w:bookmarkStart w:id="137" w:name="_Toc424822341"/>
      <w:bookmarkStart w:id="138" w:name="_Toc424822414"/>
      <w:bookmarkStart w:id="139" w:name="_Toc424822469"/>
      <w:bookmarkStart w:id="140" w:name="_Toc424822524"/>
      <w:bookmarkStart w:id="141" w:name="_Toc424811592"/>
      <w:bookmarkStart w:id="142" w:name="_Toc424822034"/>
      <w:bookmarkStart w:id="143" w:name="_Toc424822146"/>
      <w:bookmarkStart w:id="144" w:name="_Toc424822228"/>
      <w:bookmarkStart w:id="145" w:name="_Toc424822286"/>
      <w:bookmarkStart w:id="146" w:name="_Toc424822342"/>
      <w:bookmarkStart w:id="147" w:name="_Toc424822415"/>
      <w:bookmarkStart w:id="148" w:name="_Toc424822470"/>
      <w:bookmarkStart w:id="149" w:name="_Toc424822525"/>
      <w:bookmarkStart w:id="150" w:name="_Toc424811593"/>
      <w:bookmarkStart w:id="151" w:name="_Toc424822035"/>
      <w:bookmarkStart w:id="152" w:name="_Toc424822147"/>
      <w:bookmarkStart w:id="153" w:name="_Toc424822229"/>
      <w:bookmarkStart w:id="154" w:name="_Toc424822287"/>
      <w:bookmarkStart w:id="155" w:name="_Toc424822343"/>
      <w:bookmarkStart w:id="156" w:name="_Toc424822416"/>
      <w:bookmarkStart w:id="157" w:name="_Toc424822471"/>
      <w:bookmarkStart w:id="158" w:name="_Toc424822526"/>
      <w:bookmarkStart w:id="159" w:name="_Toc461198897"/>
      <w:bookmarkStart w:id="160" w:name="_Toc461198979"/>
      <w:bookmarkStart w:id="161" w:name="_Toc461199060"/>
      <w:bookmarkStart w:id="162" w:name="_Toc461198898"/>
      <w:bookmarkStart w:id="163" w:name="_Toc461198980"/>
      <w:bookmarkStart w:id="164" w:name="_Toc461199061"/>
      <w:bookmarkStart w:id="165" w:name="_Toc466630153"/>
      <w:bookmarkStart w:id="166" w:name="_Toc4175426"/>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t>Eligibility</w:t>
      </w:r>
      <w:bookmarkEnd w:id="165"/>
      <w:bookmarkEnd w:id="166"/>
    </w:p>
    <w:p w14:paraId="3B9C4206" w14:textId="77777777" w:rsidR="00594453" w:rsidRDefault="00594453" w:rsidP="00594453">
      <w:pPr>
        <w:spacing w:after="120" w:line="240" w:lineRule="auto"/>
        <w:jc w:val="both"/>
        <w:rPr>
          <w:rFonts w:eastAsia="Calibri" w:cs="Arial"/>
        </w:rPr>
      </w:pPr>
      <w:r w:rsidRPr="00FB71D5">
        <w:rPr>
          <w:rFonts w:eastAsia="Calibri" w:cs="Arial"/>
        </w:rPr>
        <w:t xml:space="preserve">The </w:t>
      </w:r>
      <w:r>
        <w:rPr>
          <w:rFonts w:eastAsia="Calibri" w:cs="Arial"/>
        </w:rPr>
        <w:t>ILC</w:t>
      </w:r>
      <w:r w:rsidRPr="00FB71D5">
        <w:rPr>
          <w:rFonts w:eastAsia="Calibri" w:cs="Arial"/>
        </w:rPr>
        <w:t xml:space="preserve"> Program provides </w:t>
      </w:r>
      <w:r w:rsidR="00880166">
        <w:rPr>
          <w:rFonts w:eastAsia="Calibri" w:cs="Arial"/>
        </w:rPr>
        <w:t>grant</w:t>
      </w:r>
      <w:r>
        <w:rPr>
          <w:rFonts w:eastAsia="Calibri" w:cs="Arial"/>
        </w:rPr>
        <w:t xml:space="preserve"> </w:t>
      </w:r>
      <w:r w:rsidR="00E353D3">
        <w:rPr>
          <w:rFonts w:eastAsia="Calibri" w:cs="Arial"/>
        </w:rPr>
        <w:t>opportunities</w:t>
      </w:r>
      <w:r w:rsidRPr="00FB71D5">
        <w:rPr>
          <w:rFonts w:eastAsia="Calibri" w:cs="Arial"/>
        </w:rPr>
        <w:t xml:space="preserve"> to </w:t>
      </w:r>
      <w:r w:rsidR="003B047E">
        <w:rPr>
          <w:rFonts w:eastAsia="Calibri" w:cs="Arial"/>
        </w:rPr>
        <w:t>organisation</w:t>
      </w:r>
      <w:r w:rsidR="0058025C">
        <w:rPr>
          <w:rFonts w:eastAsia="Calibri" w:cs="Arial"/>
        </w:rPr>
        <w:t>s</w:t>
      </w:r>
      <w:r w:rsidR="00400B71" w:rsidRPr="00FB71D5">
        <w:rPr>
          <w:rFonts w:eastAsia="Calibri" w:cs="Arial"/>
        </w:rPr>
        <w:t xml:space="preserve"> </w:t>
      </w:r>
      <w:r w:rsidRPr="00FB71D5">
        <w:rPr>
          <w:rFonts w:eastAsia="Calibri" w:cs="Arial"/>
        </w:rPr>
        <w:t xml:space="preserve">to assist them to increase social and community participation for people with disability. </w:t>
      </w:r>
      <w:r>
        <w:rPr>
          <w:rFonts w:eastAsia="Calibri" w:cs="Arial"/>
        </w:rPr>
        <w:t xml:space="preserve">Individual organisational </w:t>
      </w:r>
      <w:r>
        <w:rPr>
          <w:rFonts w:eastAsia="Calibri" w:cs="Arial"/>
        </w:rPr>
        <w:lastRenderedPageBreak/>
        <w:t>eligibility is specific to each grant round and will be dete</w:t>
      </w:r>
      <w:r w:rsidR="00FF0C80">
        <w:rPr>
          <w:rFonts w:eastAsia="Calibri" w:cs="Arial"/>
        </w:rPr>
        <w:t xml:space="preserve">rmined during the design of each </w:t>
      </w:r>
      <w:r>
        <w:rPr>
          <w:rFonts w:eastAsia="Calibri" w:cs="Arial"/>
        </w:rPr>
        <w:t>program to ensure it meets the specific aims and objectives required</w:t>
      </w:r>
      <w:r w:rsidR="00B813D7">
        <w:rPr>
          <w:rFonts w:eastAsia="Calibri" w:cs="Arial"/>
        </w:rPr>
        <w:t xml:space="preserve">. </w:t>
      </w:r>
    </w:p>
    <w:p w14:paraId="749DB48C" w14:textId="77777777" w:rsidR="00846798" w:rsidRDefault="00846798" w:rsidP="00846798">
      <w:pPr>
        <w:spacing w:after="120"/>
      </w:pPr>
      <w:r w:rsidRPr="00184DCA">
        <w:t xml:space="preserve">The NDIA can only provide funding to an organisation that is a legal entity. Non-legal entities, specifically Unincorporated Associations, may work with other organisations through a consortia or auspice arrangement to </w:t>
      </w:r>
      <w:r w:rsidR="00E77E8E">
        <w:t>submit an ILC grant application</w:t>
      </w:r>
      <w:r w:rsidRPr="00184DCA">
        <w:t xml:space="preserve">. Lead organisations of a consortium and Auspicors (in the case of Grant Rounds) must also be an eligible entity type. </w:t>
      </w:r>
    </w:p>
    <w:p w14:paraId="61244CED" w14:textId="77777777" w:rsidR="005C5F7A" w:rsidRDefault="005C5F7A" w:rsidP="00846798">
      <w:pPr>
        <w:spacing w:after="120"/>
      </w:pPr>
      <w:r>
        <w:t xml:space="preserve">The grant opportunity guidelines (GOGs) will set out the specific </w:t>
      </w:r>
      <w:r>
        <w:rPr>
          <w:rFonts w:eastAsia="Calibri" w:cs="Arial"/>
        </w:rPr>
        <w:t xml:space="preserve">eligibility requirements for each grant round. </w:t>
      </w:r>
    </w:p>
    <w:p w14:paraId="48A819DB" w14:textId="77777777" w:rsidR="00594453" w:rsidRPr="006C7EC8" w:rsidRDefault="00594453" w:rsidP="00DC3750">
      <w:pPr>
        <w:pStyle w:val="Heading1"/>
      </w:pPr>
      <w:bookmarkStart w:id="167" w:name="_Toc466630155"/>
      <w:bookmarkStart w:id="168" w:name="_Toc4175427"/>
      <w:r>
        <w:t xml:space="preserve">Available ILC Program </w:t>
      </w:r>
      <w:bookmarkEnd w:id="167"/>
      <w:r>
        <w:t>Funds</w:t>
      </w:r>
      <w:bookmarkEnd w:id="168"/>
    </w:p>
    <w:p w14:paraId="73F4C6C4" w14:textId="77777777" w:rsidR="00594453" w:rsidRPr="00347DCF" w:rsidRDefault="00594453" w:rsidP="00594453">
      <w:pPr>
        <w:spacing w:after="120" w:line="240" w:lineRule="auto"/>
        <w:jc w:val="both"/>
        <w:rPr>
          <w:rFonts w:eastAsia="Calibri" w:cs="Arial"/>
        </w:rPr>
      </w:pPr>
      <w:r w:rsidRPr="00347DCF">
        <w:rPr>
          <w:rFonts w:eastAsia="Calibri" w:cs="Arial"/>
        </w:rPr>
        <w:t xml:space="preserve">The </w:t>
      </w:r>
      <w:r>
        <w:rPr>
          <w:rFonts w:eastAsia="Calibri" w:cs="Arial"/>
        </w:rPr>
        <w:t>ILC</w:t>
      </w:r>
      <w:r w:rsidRPr="00347DCF">
        <w:rPr>
          <w:rFonts w:eastAsia="Calibri" w:cs="Arial"/>
        </w:rPr>
        <w:t xml:space="preserve"> </w:t>
      </w:r>
      <w:r>
        <w:rPr>
          <w:rFonts w:eastAsia="Calibri" w:cs="Arial"/>
        </w:rPr>
        <w:t>Program</w:t>
      </w:r>
      <w:r w:rsidRPr="00347DCF">
        <w:rPr>
          <w:rFonts w:eastAsia="Calibri" w:cs="Arial"/>
        </w:rPr>
        <w:t xml:space="preserve"> </w:t>
      </w:r>
      <w:r>
        <w:rPr>
          <w:rFonts w:eastAsia="Calibri" w:cs="Arial"/>
        </w:rPr>
        <w:t>has</w:t>
      </w:r>
      <w:r w:rsidRPr="00347DCF">
        <w:rPr>
          <w:rFonts w:eastAsia="Calibri" w:cs="Arial"/>
        </w:rPr>
        <w:t xml:space="preserve"> </w:t>
      </w:r>
      <w:r>
        <w:rPr>
          <w:rFonts w:eastAsia="Calibri" w:cs="Arial"/>
        </w:rPr>
        <w:t xml:space="preserve">a budget of </w:t>
      </w:r>
      <w:r w:rsidRPr="00347DCF">
        <w:rPr>
          <w:rFonts w:eastAsia="Calibri" w:cs="Arial"/>
        </w:rPr>
        <w:t>approximately $</w:t>
      </w:r>
      <w:r w:rsidR="00CE48D5">
        <w:rPr>
          <w:rFonts w:eastAsia="Calibri" w:cs="Arial"/>
        </w:rPr>
        <w:t xml:space="preserve">398.3 </w:t>
      </w:r>
      <w:r w:rsidRPr="00347DCF">
        <w:rPr>
          <w:rFonts w:eastAsia="Calibri" w:cs="Arial"/>
        </w:rPr>
        <w:t xml:space="preserve">million over </w:t>
      </w:r>
      <w:r w:rsidR="00CE48D5">
        <w:rPr>
          <w:rFonts w:eastAsia="Calibri" w:cs="Arial"/>
        </w:rPr>
        <w:t>three</w:t>
      </w:r>
      <w:r w:rsidRPr="00347DCF">
        <w:rPr>
          <w:rFonts w:eastAsia="Calibri" w:cs="Arial"/>
        </w:rPr>
        <w:t xml:space="preserve"> years, as per </w:t>
      </w:r>
      <w:r>
        <w:rPr>
          <w:rFonts w:eastAsia="Calibri" w:cs="Arial"/>
        </w:rPr>
        <w:t xml:space="preserve">the Portfolio Budget Statement </w:t>
      </w:r>
      <w:r w:rsidRPr="00347DCF">
        <w:rPr>
          <w:rFonts w:eastAsia="Calibri" w:cs="Arial"/>
        </w:rPr>
        <w:t>below:</w:t>
      </w:r>
    </w:p>
    <w:tbl>
      <w:tblPr>
        <w:tblStyle w:val="TableGrid"/>
        <w:tblW w:w="0" w:type="auto"/>
        <w:tblLook w:val="04A0" w:firstRow="1" w:lastRow="0" w:firstColumn="1" w:lastColumn="0" w:noHBand="0" w:noVBand="1"/>
        <w:tblCaption w:val="Program Funding per financial year"/>
        <w:tblDescription w:val="Includes information about funding from the PBS. Specifically lists funding per financial year. "/>
      </w:tblPr>
      <w:tblGrid>
        <w:gridCol w:w="4399"/>
        <w:gridCol w:w="4408"/>
      </w:tblGrid>
      <w:tr w:rsidR="00594453" w:rsidRPr="00347DCF" w14:paraId="44B02EB3" w14:textId="77777777" w:rsidTr="009B4147">
        <w:trPr>
          <w:tblHeader/>
        </w:trPr>
        <w:tc>
          <w:tcPr>
            <w:tcW w:w="4398" w:type="dxa"/>
          </w:tcPr>
          <w:p w14:paraId="107A2FBD" w14:textId="77777777" w:rsidR="00594453" w:rsidRPr="00347DCF" w:rsidRDefault="00594453" w:rsidP="00681ACF">
            <w:pPr>
              <w:spacing w:after="120"/>
              <w:jc w:val="both"/>
              <w:rPr>
                <w:rFonts w:eastAsia="Calibri" w:cs="Arial"/>
                <w:b/>
                <w:color w:val="000000" w:themeColor="text1"/>
              </w:rPr>
            </w:pPr>
            <w:r w:rsidRPr="00347DCF">
              <w:rPr>
                <w:rFonts w:eastAsia="Calibri" w:cs="Arial"/>
                <w:b/>
                <w:color w:val="000000" w:themeColor="text1"/>
              </w:rPr>
              <w:t>Financial Year</w:t>
            </w:r>
          </w:p>
        </w:tc>
        <w:tc>
          <w:tcPr>
            <w:tcW w:w="4409" w:type="dxa"/>
          </w:tcPr>
          <w:p w14:paraId="3A8613BE" w14:textId="77777777" w:rsidR="00594453" w:rsidRPr="00347DCF" w:rsidRDefault="00CE48D5" w:rsidP="00CE48D5">
            <w:pPr>
              <w:spacing w:after="120"/>
              <w:jc w:val="both"/>
              <w:rPr>
                <w:rFonts w:eastAsia="Calibri" w:cs="Arial"/>
                <w:b/>
                <w:color w:val="000000" w:themeColor="text1"/>
              </w:rPr>
            </w:pPr>
            <w:r>
              <w:rPr>
                <w:rFonts w:eastAsia="Calibri" w:cs="Arial"/>
                <w:b/>
                <w:color w:val="000000" w:themeColor="text1"/>
              </w:rPr>
              <w:t>Amount (</w:t>
            </w:r>
            <w:r w:rsidR="005674F2">
              <w:rPr>
                <w:rFonts w:eastAsia="Calibri" w:cs="Arial"/>
                <w:b/>
                <w:color w:val="000000" w:themeColor="text1"/>
              </w:rPr>
              <w:t>GST Exclusive</w:t>
            </w:r>
            <w:r>
              <w:rPr>
                <w:rFonts w:eastAsia="Calibri" w:cs="Arial"/>
                <w:b/>
                <w:color w:val="000000" w:themeColor="text1"/>
              </w:rPr>
              <w:t>)</w:t>
            </w:r>
          </w:p>
        </w:tc>
      </w:tr>
      <w:tr w:rsidR="00594453" w:rsidRPr="00347DCF" w14:paraId="7C8F56B3" w14:textId="77777777" w:rsidTr="00681ACF">
        <w:tc>
          <w:tcPr>
            <w:tcW w:w="4510" w:type="dxa"/>
          </w:tcPr>
          <w:p w14:paraId="35FC583A" w14:textId="77777777" w:rsidR="00594453" w:rsidRPr="00347DCF" w:rsidRDefault="00594453" w:rsidP="00681ACF">
            <w:pPr>
              <w:spacing w:after="120"/>
              <w:jc w:val="both"/>
              <w:rPr>
                <w:rFonts w:eastAsia="Calibri" w:cs="Arial"/>
              </w:rPr>
            </w:pPr>
            <w:r w:rsidRPr="00347DCF">
              <w:rPr>
                <w:rFonts w:eastAsia="Calibri" w:cs="Arial"/>
              </w:rPr>
              <w:t>2019-20</w:t>
            </w:r>
          </w:p>
        </w:tc>
        <w:tc>
          <w:tcPr>
            <w:tcW w:w="4506" w:type="dxa"/>
          </w:tcPr>
          <w:p w14:paraId="2CD182B0" w14:textId="77777777" w:rsidR="00594453" w:rsidRPr="006E7871" w:rsidRDefault="006E7871" w:rsidP="00681ACF">
            <w:pPr>
              <w:spacing w:after="120"/>
              <w:jc w:val="both"/>
              <w:rPr>
                <w:rFonts w:eastAsia="Calibri" w:cs="Arial"/>
              </w:rPr>
            </w:pPr>
            <w:r w:rsidRPr="006E7871">
              <w:rPr>
                <w:rFonts w:eastAsia="Calibri" w:cs="Arial"/>
              </w:rPr>
              <w:t>$131,436,000</w:t>
            </w:r>
          </w:p>
        </w:tc>
      </w:tr>
      <w:tr w:rsidR="009B4147" w:rsidRPr="00347DCF" w14:paraId="18CF278F" w14:textId="77777777" w:rsidTr="00681ACF">
        <w:tc>
          <w:tcPr>
            <w:tcW w:w="4510" w:type="dxa"/>
          </w:tcPr>
          <w:p w14:paraId="21FE1D25" w14:textId="77777777" w:rsidR="009B4147" w:rsidRPr="00347DCF" w:rsidRDefault="009B4147" w:rsidP="00681ACF">
            <w:pPr>
              <w:spacing w:after="120"/>
              <w:jc w:val="both"/>
              <w:rPr>
                <w:rFonts w:eastAsia="Calibri" w:cs="Arial"/>
              </w:rPr>
            </w:pPr>
            <w:r>
              <w:rPr>
                <w:rFonts w:eastAsia="Calibri" w:cs="Arial"/>
              </w:rPr>
              <w:t>2020-21</w:t>
            </w:r>
          </w:p>
        </w:tc>
        <w:tc>
          <w:tcPr>
            <w:tcW w:w="4506" w:type="dxa"/>
          </w:tcPr>
          <w:p w14:paraId="2CB0E1B2" w14:textId="77777777" w:rsidR="009B4147" w:rsidRPr="006E7871" w:rsidRDefault="006E7871" w:rsidP="00681ACF">
            <w:pPr>
              <w:spacing w:after="120"/>
              <w:jc w:val="both"/>
              <w:rPr>
                <w:rFonts w:eastAsia="Calibri" w:cs="Arial"/>
              </w:rPr>
            </w:pPr>
            <w:r w:rsidRPr="006E7871">
              <w:rPr>
                <w:rFonts w:eastAsia="Calibri" w:cs="Arial"/>
              </w:rPr>
              <w:t>$132,572,000</w:t>
            </w:r>
          </w:p>
        </w:tc>
      </w:tr>
      <w:tr w:rsidR="009B4147" w:rsidRPr="00347DCF" w14:paraId="2018797D" w14:textId="77777777" w:rsidTr="00681ACF">
        <w:tc>
          <w:tcPr>
            <w:tcW w:w="4510" w:type="dxa"/>
          </w:tcPr>
          <w:p w14:paraId="5E2D4DC6" w14:textId="77777777" w:rsidR="009B4147" w:rsidRDefault="009B4147" w:rsidP="00681ACF">
            <w:pPr>
              <w:spacing w:after="120"/>
              <w:jc w:val="both"/>
              <w:rPr>
                <w:rFonts w:eastAsia="Calibri" w:cs="Arial"/>
              </w:rPr>
            </w:pPr>
            <w:r>
              <w:rPr>
                <w:rFonts w:eastAsia="Calibri" w:cs="Arial"/>
              </w:rPr>
              <w:t>2021-2022</w:t>
            </w:r>
          </w:p>
        </w:tc>
        <w:tc>
          <w:tcPr>
            <w:tcW w:w="4506" w:type="dxa"/>
          </w:tcPr>
          <w:p w14:paraId="0B0D80F2" w14:textId="77777777" w:rsidR="009B4147" w:rsidRPr="006E7871" w:rsidRDefault="006E7871" w:rsidP="00681ACF">
            <w:pPr>
              <w:spacing w:after="120"/>
              <w:jc w:val="both"/>
              <w:rPr>
                <w:rFonts w:eastAsia="Calibri" w:cs="Arial"/>
              </w:rPr>
            </w:pPr>
            <w:r w:rsidRPr="006E7871">
              <w:rPr>
                <w:rFonts w:eastAsia="Calibri" w:cs="Arial"/>
              </w:rPr>
              <w:t>$134,295,000</w:t>
            </w:r>
          </w:p>
        </w:tc>
      </w:tr>
    </w:tbl>
    <w:p w14:paraId="65F98560" w14:textId="77777777" w:rsidR="00594453" w:rsidRDefault="00594453" w:rsidP="00594453">
      <w:pPr>
        <w:spacing w:after="120" w:line="240" w:lineRule="auto"/>
        <w:jc w:val="both"/>
        <w:rPr>
          <w:rFonts w:eastAsia="Calibri" w:cs="Arial"/>
        </w:rPr>
      </w:pPr>
      <w:r w:rsidRPr="00FB5DA7">
        <w:rPr>
          <w:rFonts w:eastAsia="Calibri" w:cs="Arial"/>
        </w:rPr>
        <w:t xml:space="preserve">The amount of ILC Program funding available for the implementation of ILC Programs will be specified in </w:t>
      </w:r>
      <w:r w:rsidRPr="00D710A8">
        <w:rPr>
          <w:rFonts w:eastAsia="Calibri" w:cs="Arial"/>
        </w:rPr>
        <w:t xml:space="preserve">the </w:t>
      </w:r>
      <w:r w:rsidR="00FB5DA7" w:rsidRPr="00D710A8">
        <w:rPr>
          <w:rFonts w:eastAsia="Calibri" w:cs="Arial"/>
        </w:rPr>
        <w:t>Grant Opportunity Guidelines</w:t>
      </w:r>
      <w:r w:rsidR="00FB5DA7" w:rsidRPr="00FB5DA7">
        <w:rPr>
          <w:rFonts w:eastAsia="Calibri" w:cs="Arial"/>
        </w:rPr>
        <w:t xml:space="preserve"> </w:t>
      </w:r>
      <w:r w:rsidRPr="00FB5DA7">
        <w:rPr>
          <w:rFonts w:eastAsia="Calibri" w:cs="Arial"/>
        </w:rPr>
        <w:t>for each funding round</w:t>
      </w:r>
      <w:r w:rsidRPr="00DB73B9">
        <w:rPr>
          <w:rFonts w:eastAsia="Calibri" w:cs="Arial"/>
        </w:rPr>
        <w:t xml:space="preserve"> which </w:t>
      </w:r>
      <w:r>
        <w:rPr>
          <w:rFonts w:eastAsia="Calibri" w:cs="Arial"/>
        </w:rPr>
        <w:t>will be</w:t>
      </w:r>
      <w:r w:rsidRPr="00DB73B9">
        <w:rPr>
          <w:rFonts w:eastAsia="Calibri" w:cs="Arial"/>
        </w:rPr>
        <w:t xml:space="preserve"> released at the </w:t>
      </w:r>
      <w:r>
        <w:rPr>
          <w:rFonts w:eastAsia="Calibri" w:cs="Arial"/>
        </w:rPr>
        <w:t>commencement</w:t>
      </w:r>
      <w:r w:rsidRPr="00DB73B9">
        <w:rPr>
          <w:rFonts w:eastAsia="Calibri" w:cs="Arial"/>
        </w:rPr>
        <w:t xml:space="preserve"> of each </w:t>
      </w:r>
      <w:r>
        <w:rPr>
          <w:rFonts w:eastAsia="Calibri" w:cs="Arial"/>
        </w:rPr>
        <w:t>funding</w:t>
      </w:r>
      <w:r w:rsidRPr="00DB73B9">
        <w:rPr>
          <w:rFonts w:eastAsia="Calibri" w:cs="Arial"/>
        </w:rPr>
        <w:t xml:space="preserve"> round</w:t>
      </w:r>
      <w:r>
        <w:rPr>
          <w:rFonts w:eastAsia="Calibri" w:cs="Arial"/>
        </w:rPr>
        <w:t>.</w:t>
      </w:r>
      <w:r w:rsidRPr="00DB73B9">
        <w:rPr>
          <w:rFonts w:eastAsia="Calibri" w:cs="Arial"/>
        </w:rPr>
        <w:t xml:space="preserve"> </w:t>
      </w:r>
    </w:p>
    <w:p w14:paraId="307EB354" w14:textId="77777777" w:rsidR="00594453" w:rsidRDefault="00594453" w:rsidP="00594453">
      <w:pPr>
        <w:spacing w:after="120" w:line="240" w:lineRule="auto"/>
        <w:jc w:val="both"/>
        <w:rPr>
          <w:rFonts w:eastAsia="Calibri" w:cs="Arial"/>
        </w:rPr>
      </w:pPr>
      <w:r w:rsidRPr="00FB5DA7">
        <w:rPr>
          <w:rFonts w:eastAsia="Calibri" w:cs="Arial"/>
        </w:rPr>
        <w:t xml:space="preserve">Funding for individual grants will be determined by activity, scope, reach and purpose and in accordance with these </w:t>
      </w:r>
      <w:r w:rsidRPr="0060226A">
        <w:rPr>
          <w:rFonts w:eastAsia="Calibri" w:cs="Arial"/>
        </w:rPr>
        <w:t>ILC Program Guidelines</w:t>
      </w:r>
      <w:r w:rsidRPr="00FB5DA7">
        <w:rPr>
          <w:rFonts w:eastAsia="Calibri" w:cs="Arial"/>
          <w:i/>
        </w:rPr>
        <w:t xml:space="preserve"> </w:t>
      </w:r>
      <w:r w:rsidRPr="00FB5DA7">
        <w:rPr>
          <w:rFonts w:eastAsia="Calibri" w:cs="Arial"/>
        </w:rPr>
        <w:t>and the value for money requirements of the C</w:t>
      </w:r>
      <w:r w:rsidR="005C5F7A">
        <w:rPr>
          <w:rFonts w:eastAsia="Calibri" w:cs="Arial"/>
        </w:rPr>
        <w:t>G</w:t>
      </w:r>
      <w:r w:rsidRPr="00FB5DA7">
        <w:rPr>
          <w:rFonts w:eastAsia="Calibri" w:cs="Arial"/>
        </w:rPr>
        <w:t>RGs.</w:t>
      </w:r>
    </w:p>
    <w:p w14:paraId="07B2763C" w14:textId="77777777" w:rsidR="00594453" w:rsidRPr="001D6E6E" w:rsidRDefault="00594453" w:rsidP="00DC3750">
      <w:pPr>
        <w:pStyle w:val="Heading1Numbered"/>
      </w:pPr>
      <w:bookmarkStart w:id="169" w:name="_Toc462912560"/>
      <w:bookmarkStart w:id="170" w:name="_Toc462913044"/>
      <w:bookmarkStart w:id="171" w:name="_Toc462918329"/>
      <w:bookmarkStart w:id="172" w:name="_Toc462918558"/>
      <w:bookmarkStart w:id="173" w:name="_Toc462918787"/>
      <w:bookmarkStart w:id="174" w:name="_Toc462919017"/>
      <w:bookmarkStart w:id="175" w:name="_Toc462845722"/>
      <w:bookmarkStart w:id="176" w:name="_Toc462846888"/>
      <w:bookmarkStart w:id="177" w:name="_Toc462906169"/>
      <w:bookmarkStart w:id="178" w:name="_Toc462911916"/>
      <w:bookmarkStart w:id="179" w:name="_Toc462912394"/>
      <w:bookmarkStart w:id="180" w:name="_Toc462912561"/>
      <w:bookmarkStart w:id="181" w:name="_Toc462913045"/>
      <w:bookmarkStart w:id="182" w:name="_Toc462918330"/>
      <w:bookmarkStart w:id="183" w:name="_Toc462918559"/>
      <w:bookmarkStart w:id="184" w:name="_Toc462918788"/>
      <w:bookmarkStart w:id="185" w:name="_Toc462919018"/>
      <w:bookmarkStart w:id="186" w:name="_Toc461198900"/>
      <w:bookmarkStart w:id="187" w:name="_Toc461198982"/>
      <w:bookmarkStart w:id="188" w:name="_Toc461199063"/>
      <w:bookmarkStart w:id="189" w:name="_Toc461198901"/>
      <w:bookmarkStart w:id="190" w:name="_Toc461198983"/>
      <w:bookmarkStart w:id="191" w:name="_Toc461199064"/>
      <w:bookmarkStart w:id="192" w:name="_Toc461198902"/>
      <w:bookmarkStart w:id="193" w:name="_Toc461198984"/>
      <w:bookmarkStart w:id="194" w:name="_Toc461199065"/>
      <w:bookmarkStart w:id="195" w:name="_Toc461198903"/>
      <w:bookmarkStart w:id="196" w:name="_Toc461198985"/>
      <w:bookmarkStart w:id="197" w:name="_Toc461199066"/>
      <w:bookmarkStart w:id="198" w:name="_Toc461198904"/>
      <w:bookmarkStart w:id="199" w:name="_Toc461198986"/>
      <w:bookmarkStart w:id="200" w:name="_Toc461199067"/>
      <w:bookmarkStart w:id="201" w:name="_Toc461198905"/>
      <w:bookmarkStart w:id="202" w:name="_Toc461198987"/>
      <w:bookmarkStart w:id="203" w:name="_Toc461199068"/>
      <w:bookmarkStart w:id="204" w:name="_Toc461198906"/>
      <w:bookmarkStart w:id="205" w:name="_Toc461198988"/>
      <w:bookmarkStart w:id="206" w:name="_Toc461199069"/>
      <w:bookmarkStart w:id="207" w:name="_Toc461198907"/>
      <w:bookmarkStart w:id="208" w:name="_Toc461198989"/>
      <w:bookmarkStart w:id="209" w:name="_Toc461199070"/>
      <w:bookmarkStart w:id="210" w:name="_Toc461198908"/>
      <w:bookmarkStart w:id="211" w:name="_Toc461198990"/>
      <w:bookmarkStart w:id="212" w:name="_Toc461199071"/>
      <w:bookmarkStart w:id="213" w:name="_Toc461198909"/>
      <w:bookmarkStart w:id="214" w:name="_Toc461198991"/>
      <w:bookmarkStart w:id="215" w:name="_Toc461199072"/>
      <w:bookmarkStart w:id="216" w:name="_Toc461198910"/>
      <w:bookmarkStart w:id="217" w:name="_Toc461198992"/>
      <w:bookmarkStart w:id="218" w:name="_Toc461199073"/>
      <w:bookmarkStart w:id="219" w:name="_Toc466630158"/>
      <w:bookmarkStart w:id="220" w:name="_Toc417542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t xml:space="preserve">Grant Round (Program Stream) </w:t>
      </w:r>
      <w:r w:rsidRPr="001D6E6E">
        <w:t>Application Process</w:t>
      </w:r>
      <w:bookmarkEnd w:id="219"/>
      <w:bookmarkEnd w:id="220"/>
    </w:p>
    <w:p w14:paraId="646E91AB" w14:textId="77777777" w:rsidR="00594453" w:rsidRPr="00111075" w:rsidRDefault="00594453" w:rsidP="00DC3750">
      <w:pPr>
        <w:pStyle w:val="Heading2Numbered"/>
      </w:pPr>
      <w:bookmarkStart w:id="221" w:name="_Toc466630159"/>
      <w:bookmarkStart w:id="222" w:name="_Toc4175429"/>
      <w:r w:rsidRPr="00111075">
        <w:t>Overview of the application process</w:t>
      </w:r>
      <w:bookmarkEnd w:id="221"/>
      <w:bookmarkEnd w:id="222"/>
    </w:p>
    <w:p w14:paraId="00D73DF8" w14:textId="77777777" w:rsidR="00594453" w:rsidRPr="006E1A0F" w:rsidRDefault="00594453" w:rsidP="00594453">
      <w:pPr>
        <w:spacing w:after="120" w:line="240" w:lineRule="auto"/>
        <w:jc w:val="both"/>
        <w:rPr>
          <w:rFonts w:eastAsia="Calibri" w:cs="Arial"/>
        </w:rPr>
      </w:pPr>
      <w:r w:rsidRPr="006E1A0F">
        <w:rPr>
          <w:rFonts w:eastAsia="Calibri" w:cs="Arial"/>
        </w:rPr>
        <w:t xml:space="preserve">All grant processes will be undertaken in accordance with the requirements of the Commonwealth Grant Rules </w:t>
      </w:r>
      <w:r>
        <w:rPr>
          <w:rFonts w:eastAsia="Calibri" w:cs="Arial"/>
        </w:rPr>
        <w:t>and Guidelines, these ILC Program Guidelines and the relevant GOGs</w:t>
      </w:r>
      <w:r w:rsidRPr="006E1A0F">
        <w:rPr>
          <w:rFonts w:eastAsia="Calibri" w:cs="Arial"/>
        </w:rPr>
        <w:t>.</w:t>
      </w:r>
      <w:r>
        <w:rPr>
          <w:rFonts w:eastAsia="Calibri" w:cs="Arial"/>
        </w:rPr>
        <w:t xml:space="preserve"> The opening and closing dates for each funding round will be</w:t>
      </w:r>
      <w:r w:rsidR="00636C62">
        <w:rPr>
          <w:rFonts w:eastAsia="Calibri" w:cs="Arial"/>
        </w:rPr>
        <w:t xml:space="preserve"> outlined in the GOGs and</w:t>
      </w:r>
      <w:r>
        <w:rPr>
          <w:rFonts w:eastAsia="Calibri" w:cs="Arial"/>
        </w:rPr>
        <w:t xml:space="preserve"> included in the Application Pack.</w:t>
      </w:r>
    </w:p>
    <w:p w14:paraId="5C70F556" w14:textId="77777777" w:rsidR="00594453" w:rsidRPr="008052D3" w:rsidRDefault="00594453" w:rsidP="00DC3750">
      <w:pPr>
        <w:pStyle w:val="Heading2Numbered"/>
      </w:pPr>
      <w:bookmarkStart w:id="223" w:name="_Toc466630160"/>
      <w:bookmarkStart w:id="224" w:name="_Toc4175430"/>
      <w:r w:rsidRPr="008052D3">
        <w:t>Program Guidelines</w:t>
      </w:r>
      <w:bookmarkEnd w:id="223"/>
      <w:bookmarkEnd w:id="224"/>
    </w:p>
    <w:p w14:paraId="7480BE74" w14:textId="77777777" w:rsidR="00594453" w:rsidRPr="0060226A" w:rsidRDefault="00594453" w:rsidP="00594453">
      <w:pPr>
        <w:spacing w:after="120" w:line="240" w:lineRule="auto"/>
        <w:jc w:val="both"/>
        <w:rPr>
          <w:rFonts w:eastAsia="Calibri" w:cs="Arial"/>
          <w:highlight w:val="yellow"/>
        </w:rPr>
      </w:pPr>
      <w:r w:rsidRPr="008052D3">
        <w:rPr>
          <w:rFonts w:eastAsia="Calibri" w:cs="Arial"/>
        </w:rPr>
        <w:t>The</w:t>
      </w:r>
      <w:r w:rsidRPr="0060226A">
        <w:rPr>
          <w:rFonts w:eastAsia="Calibri" w:cs="Arial"/>
          <w:i/>
        </w:rPr>
        <w:t xml:space="preserve"> </w:t>
      </w:r>
      <w:r w:rsidR="0060226A" w:rsidRPr="0060226A">
        <w:rPr>
          <w:rFonts w:eastAsia="Calibri" w:cs="Arial"/>
          <w:i/>
        </w:rPr>
        <w:t>ILC</w:t>
      </w:r>
      <w:r w:rsidR="0060226A">
        <w:rPr>
          <w:rFonts w:eastAsia="Calibri" w:cs="Arial"/>
        </w:rPr>
        <w:t xml:space="preserve"> </w:t>
      </w:r>
      <w:r w:rsidRPr="0060226A">
        <w:rPr>
          <w:rFonts w:eastAsia="Calibri" w:cs="Arial"/>
          <w:i/>
        </w:rPr>
        <w:t>Program Guidelines</w:t>
      </w:r>
      <w:r w:rsidRPr="008052D3">
        <w:rPr>
          <w:rFonts w:eastAsia="Calibri" w:cs="Arial"/>
        </w:rPr>
        <w:t xml:space="preserve"> detail the rules for administration of the funds that </w:t>
      </w:r>
      <w:r w:rsidR="006B3CDB" w:rsidRPr="008052D3">
        <w:rPr>
          <w:rFonts w:eastAsia="Calibri" w:cs="Arial"/>
        </w:rPr>
        <w:t>h</w:t>
      </w:r>
      <w:r w:rsidR="006B3CDB">
        <w:rPr>
          <w:rFonts w:eastAsia="Calibri" w:cs="Arial"/>
        </w:rPr>
        <w:t>ave</w:t>
      </w:r>
      <w:r w:rsidR="006B3CDB" w:rsidRPr="008052D3">
        <w:rPr>
          <w:rFonts w:eastAsia="Calibri" w:cs="Arial"/>
        </w:rPr>
        <w:t xml:space="preserve"> been</w:t>
      </w:r>
      <w:r w:rsidRPr="008052D3">
        <w:rPr>
          <w:rFonts w:eastAsia="Calibri" w:cs="Arial"/>
        </w:rPr>
        <w:t xml:space="preserve"> </w:t>
      </w:r>
      <w:r w:rsidRPr="0060226A">
        <w:rPr>
          <w:rFonts w:eastAsia="Calibri" w:cs="Arial"/>
        </w:rPr>
        <w:t xml:space="preserve">allocated to the NDIA under the ILC Program. Each funding round will allow for investment in activities that build a robust, coherent, connected capability within the priority area of </w:t>
      </w:r>
      <w:r w:rsidRPr="0060226A">
        <w:rPr>
          <w:rFonts w:eastAsia="Calibri" w:cs="Arial"/>
        </w:rPr>
        <w:lastRenderedPageBreak/>
        <w:t xml:space="preserve">activity. The Program Guidelines detail </w:t>
      </w:r>
      <w:r w:rsidR="008052D3" w:rsidRPr="0060226A">
        <w:rPr>
          <w:rFonts w:eastAsia="Calibri" w:cs="Arial"/>
        </w:rPr>
        <w:t xml:space="preserve">high level </w:t>
      </w:r>
      <w:r w:rsidRPr="0060226A">
        <w:rPr>
          <w:rFonts w:eastAsia="Calibri" w:cs="Arial"/>
        </w:rPr>
        <w:t xml:space="preserve">selection criteria </w:t>
      </w:r>
      <w:r w:rsidR="005103E7" w:rsidRPr="0060226A">
        <w:rPr>
          <w:rFonts w:eastAsia="Calibri" w:cs="Arial"/>
          <w:u w:val="single"/>
        </w:rPr>
        <w:t>which may be used in part or in full</w:t>
      </w:r>
      <w:r w:rsidR="008052D3" w:rsidRPr="0060226A">
        <w:rPr>
          <w:rFonts w:eastAsia="Calibri" w:cs="Arial"/>
          <w:u w:val="single"/>
        </w:rPr>
        <w:t>, or be adapted</w:t>
      </w:r>
      <w:r w:rsidR="005103E7" w:rsidRPr="0060226A">
        <w:rPr>
          <w:rFonts w:eastAsia="Calibri" w:cs="Arial"/>
          <w:u w:val="single"/>
        </w:rPr>
        <w:t xml:space="preserve"> for a particular Funding Round (Program Stream)</w:t>
      </w:r>
      <w:r w:rsidRPr="0060226A">
        <w:rPr>
          <w:rFonts w:eastAsia="Calibri" w:cs="Arial"/>
        </w:rPr>
        <w:t xml:space="preserve">. </w:t>
      </w:r>
    </w:p>
    <w:p w14:paraId="0A17681F" w14:textId="73CDB699" w:rsidR="00594453" w:rsidRDefault="00594453" w:rsidP="00594453">
      <w:pPr>
        <w:spacing w:after="120" w:line="240" w:lineRule="auto"/>
        <w:jc w:val="both"/>
        <w:rPr>
          <w:rFonts w:eastAsia="Calibri" w:cs="Arial"/>
        </w:rPr>
      </w:pPr>
      <w:r w:rsidRPr="0060226A">
        <w:rPr>
          <w:rFonts w:eastAsia="Calibri" w:cs="Arial"/>
        </w:rPr>
        <w:t xml:space="preserve">Whilst the ILC Program Guidelines contain the overarching policy and approach for </w:t>
      </w:r>
      <w:r w:rsidR="00E77E8E" w:rsidRPr="0060226A">
        <w:rPr>
          <w:rFonts w:eastAsia="Calibri" w:cs="Arial"/>
        </w:rPr>
        <w:t>the ILC Program, e</w:t>
      </w:r>
      <w:r w:rsidRPr="0060226A">
        <w:rPr>
          <w:rFonts w:eastAsia="Calibri" w:cs="Arial"/>
        </w:rPr>
        <w:t>ach funding round will have specific</w:t>
      </w:r>
      <w:r w:rsidRPr="00D710A8">
        <w:rPr>
          <w:rFonts w:eastAsia="Calibri" w:cs="Arial"/>
        </w:rPr>
        <w:t xml:space="preserve"> details about eligible organisations, selection criteria and a separate application form.</w:t>
      </w:r>
    </w:p>
    <w:p w14:paraId="3F022A07" w14:textId="77777777" w:rsidR="00D710A8" w:rsidRPr="00111075" w:rsidRDefault="00D710A8" w:rsidP="00D710A8">
      <w:pPr>
        <w:pStyle w:val="Heading2Numbered"/>
      </w:pPr>
      <w:bookmarkStart w:id="225" w:name="_Toc4175431"/>
      <w:r>
        <w:t xml:space="preserve">Grant Opportunity </w:t>
      </w:r>
      <w:r w:rsidRPr="00111075">
        <w:t>Guidelines</w:t>
      </w:r>
      <w:r>
        <w:t xml:space="preserve"> (GOGs)</w:t>
      </w:r>
      <w:bookmarkEnd w:id="225"/>
    </w:p>
    <w:p w14:paraId="5113344B" w14:textId="6C5F9BD5" w:rsidR="00D710A8" w:rsidRDefault="00D710A8" w:rsidP="00D710A8">
      <w:pPr>
        <w:spacing w:after="120" w:line="240" w:lineRule="auto"/>
        <w:jc w:val="both"/>
        <w:rPr>
          <w:rFonts w:eastAsia="Calibri" w:cs="Arial"/>
        </w:rPr>
      </w:pPr>
      <w:r>
        <w:rPr>
          <w:rFonts w:eastAsia="Calibri" w:cs="Arial"/>
        </w:rPr>
        <w:t xml:space="preserve">Whilst </w:t>
      </w:r>
      <w:r w:rsidRPr="0060226A">
        <w:rPr>
          <w:rFonts w:eastAsia="Calibri" w:cs="Arial"/>
        </w:rPr>
        <w:t>the ILC Program Guidelines</w:t>
      </w:r>
      <w:r>
        <w:rPr>
          <w:rFonts w:eastAsia="Calibri" w:cs="Arial"/>
        </w:rPr>
        <w:t xml:space="preserve"> set the high level policy for the imple</w:t>
      </w:r>
      <w:r w:rsidR="00E77E8E">
        <w:rPr>
          <w:rFonts w:eastAsia="Calibri" w:cs="Arial"/>
        </w:rPr>
        <w:t xml:space="preserve">mentation of the ILC </w:t>
      </w:r>
      <w:r>
        <w:rPr>
          <w:rFonts w:eastAsia="Calibri" w:cs="Arial"/>
        </w:rPr>
        <w:t xml:space="preserve">Program, the </w:t>
      </w:r>
      <w:r w:rsidRPr="0060226A">
        <w:rPr>
          <w:rFonts w:eastAsia="Calibri" w:cs="Arial"/>
        </w:rPr>
        <w:t>Grant Opportunity Guidelines (GOGs)</w:t>
      </w:r>
      <w:r>
        <w:rPr>
          <w:rFonts w:eastAsia="Calibri" w:cs="Arial"/>
        </w:rPr>
        <w:t xml:space="preserve"> outline the specific processes and procedures for conducting and administering each specific ILC grant round (program), including any specific requirements and/or policies rel</w:t>
      </w:r>
      <w:r w:rsidR="00D13478">
        <w:rPr>
          <w:rFonts w:eastAsia="Calibri" w:cs="Arial"/>
        </w:rPr>
        <w:t xml:space="preserve">ated to each particular round. </w:t>
      </w:r>
      <w:r>
        <w:rPr>
          <w:rFonts w:eastAsia="Calibri" w:cs="Arial"/>
        </w:rPr>
        <w:t>The GOGs must be consistent with the</w:t>
      </w:r>
      <w:r w:rsidR="0058025C">
        <w:rPr>
          <w:rFonts w:eastAsia="Calibri" w:cs="Arial"/>
        </w:rPr>
        <w:t xml:space="preserve"> </w:t>
      </w:r>
      <w:r>
        <w:rPr>
          <w:rFonts w:eastAsia="Calibri" w:cs="Arial"/>
        </w:rPr>
        <w:t xml:space="preserve">policy and requirements outlined in </w:t>
      </w:r>
      <w:r w:rsidR="003305B0">
        <w:rPr>
          <w:rFonts w:eastAsia="Calibri" w:cs="Arial"/>
        </w:rPr>
        <w:t xml:space="preserve">these </w:t>
      </w:r>
      <w:r>
        <w:rPr>
          <w:rFonts w:eastAsia="Calibri" w:cs="Arial"/>
        </w:rPr>
        <w:t xml:space="preserve">overarching </w:t>
      </w:r>
      <w:r w:rsidRPr="0060226A">
        <w:rPr>
          <w:rFonts w:eastAsia="Calibri" w:cs="Arial"/>
        </w:rPr>
        <w:t>ILC Program Guidelines.</w:t>
      </w:r>
    </w:p>
    <w:p w14:paraId="68CA14B5" w14:textId="77777777" w:rsidR="009141A8" w:rsidRPr="00F51AC7" w:rsidRDefault="009141A8" w:rsidP="009141A8">
      <w:pPr>
        <w:pStyle w:val="Heading2Numbered"/>
      </w:pPr>
      <w:bookmarkStart w:id="226" w:name="_Toc466630162"/>
      <w:bookmarkStart w:id="227" w:name="_Toc4175432"/>
      <w:r w:rsidRPr="00F51AC7">
        <w:t>Advertisement of grant funding</w:t>
      </w:r>
      <w:bookmarkEnd w:id="226"/>
      <w:bookmarkEnd w:id="227"/>
    </w:p>
    <w:p w14:paraId="2B896070" w14:textId="77777777" w:rsidR="009141A8" w:rsidRPr="00CC5A8B" w:rsidRDefault="009141A8" w:rsidP="009141A8">
      <w:pPr>
        <w:spacing w:after="120" w:line="240" w:lineRule="auto"/>
        <w:jc w:val="both"/>
        <w:rPr>
          <w:rFonts w:eastAsia="Calibri" w:cs="Arial"/>
          <w:color w:val="000000" w:themeColor="text1"/>
        </w:rPr>
      </w:pPr>
      <w:r w:rsidRPr="00CC5A8B">
        <w:rPr>
          <w:rFonts w:eastAsia="Calibri" w:cs="Arial"/>
          <w:color w:val="000000" w:themeColor="text1"/>
        </w:rPr>
        <w:t>The NDIA may elect to advertise funding opportunities or rounds:</w:t>
      </w:r>
    </w:p>
    <w:p w14:paraId="504565C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in major national newspapers and other selected newspapers;</w:t>
      </w:r>
    </w:p>
    <w:p w14:paraId="115D7861" w14:textId="77777777" w:rsidR="009141A8" w:rsidRPr="00242E35"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sidRPr="00242E35">
        <w:rPr>
          <w:rFonts w:eastAsia="Times New Roman" w:cs="Arial"/>
          <w:lang w:eastAsia="en-AU"/>
        </w:rPr>
        <w:t xml:space="preserve">on the </w:t>
      </w:r>
      <w:hyperlink r:id="rId13" w:history="1">
        <w:r w:rsidRPr="00242E35">
          <w:rPr>
            <w:rFonts w:eastAsia="Times New Roman" w:cs="Arial"/>
            <w:lang w:eastAsia="en-AU"/>
          </w:rPr>
          <w:t>NDIS website</w:t>
        </w:r>
      </w:hyperlink>
      <w:r w:rsidRPr="00242E35">
        <w:rPr>
          <w:rFonts w:eastAsia="Times New Roman" w:cs="Arial"/>
          <w:lang w:eastAsia="en-AU"/>
        </w:rPr>
        <w:t xml:space="preserve">; </w:t>
      </w:r>
    </w:p>
    <w:p w14:paraId="49DFDDDB" w14:textId="77777777" w:rsidR="009141A8" w:rsidRDefault="009141A8" w:rsidP="009141A8">
      <w:pPr>
        <w:numPr>
          <w:ilvl w:val="0"/>
          <w:numId w:val="15"/>
        </w:numPr>
        <w:suppressAutoHyphens w:val="0"/>
        <w:spacing w:before="0" w:after="0" w:line="240" w:lineRule="auto"/>
        <w:ind w:left="568" w:hanging="284"/>
        <w:jc w:val="both"/>
        <w:rPr>
          <w:rFonts w:eastAsia="Times New Roman" w:cs="Arial"/>
          <w:lang w:eastAsia="en-AU"/>
        </w:rPr>
      </w:pPr>
      <w:r>
        <w:rPr>
          <w:rFonts w:eastAsia="Times New Roman" w:cs="Arial"/>
          <w:lang w:eastAsia="en-AU"/>
        </w:rPr>
        <w:t xml:space="preserve">via relevant third party providers (e.g. Grant Connect, </w:t>
      </w:r>
      <w:r w:rsidRPr="00242E35">
        <w:rPr>
          <w:rFonts w:eastAsia="Times New Roman" w:cs="Arial"/>
          <w:lang w:eastAsia="en-AU"/>
        </w:rPr>
        <w:t xml:space="preserve">the </w:t>
      </w:r>
      <w:hyperlink r:id="rId14" w:history="1">
        <w:r>
          <w:rPr>
            <w:rFonts w:eastAsia="Times New Roman" w:cs="Arial"/>
            <w:lang w:eastAsia="en-AU"/>
          </w:rPr>
          <w:t>Community Grants</w:t>
        </w:r>
        <w:r w:rsidRPr="00242E35">
          <w:rPr>
            <w:rFonts w:eastAsia="Times New Roman" w:cs="Arial"/>
            <w:lang w:eastAsia="en-AU"/>
          </w:rPr>
          <w:t xml:space="preserve"> </w:t>
        </w:r>
        <w:r>
          <w:rPr>
            <w:rFonts w:eastAsia="Times New Roman" w:cs="Arial"/>
            <w:lang w:eastAsia="en-AU"/>
          </w:rPr>
          <w:t>Hub</w:t>
        </w:r>
        <w:r w:rsidRPr="00242E35">
          <w:rPr>
            <w:rFonts w:eastAsia="Times New Roman" w:cs="Arial"/>
            <w:lang w:eastAsia="en-AU"/>
          </w:rPr>
          <w:t xml:space="preserve"> website</w:t>
        </w:r>
      </w:hyperlink>
      <w:r>
        <w:rPr>
          <w:rFonts w:eastAsia="Times New Roman" w:cs="Arial"/>
          <w:lang w:eastAsia="en-AU"/>
        </w:rPr>
        <w:t>); and/or</w:t>
      </w:r>
    </w:p>
    <w:p w14:paraId="2C4EF260" w14:textId="77777777" w:rsidR="009141A8" w:rsidRPr="00242E35" w:rsidRDefault="009141A8" w:rsidP="009141A8">
      <w:pPr>
        <w:numPr>
          <w:ilvl w:val="0"/>
          <w:numId w:val="15"/>
        </w:numPr>
        <w:suppressAutoHyphens w:val="0"/>
        <w:spacing w:before="0" w:after="120" w:line="240" w:lineRule="auto"/>
        <w:ind w:left="568" w:hanging="284"/>
        <w:jc w:val="both"/>
        <w:rPr>
          <w:rFonts w:eastAsia="Times New Roman" w:cs="Arial"/>
          <w:lang w:eastAsia="en-AU"/>
        </w:rPr>
      </w:pPr>
      <w:r>
        <w:rPr>
          <w:rFonts w:eastAsia="Times New Roman" w:cs="Arial"/>
          <w:lang w:eastAsia="en-AU"/>
        </w:rPr>
        <w:t>any other mechanism as determined by the NDIA.</w:t>
      </w:r>
    </w:p>
    <w:p w14:paraId="6BB52237" w14:textId="77777777" w:rsidR="009141A8" w:rsidRDefault="009141A8" w:rsidP="00594453">
      <w:pPr>
        <w:spacing w:after="120" w:line="240" w:lineRule="auto"/>
        <w:jc w:val="both"/>
        <w:rPr>
          <w:rFonts w:eastAsia="Calibri" w:cs="Arial"/>
        </w:rPr>
      </w:pPr>
      <w:r w:rsidRPr="00FB71D5">
        <w:rPr>
          <w:rFonts w:eastAsia="Calibri" w:cs="Arial"/>
        </w:rPr>
        <w:t xml:space="preserve">Any advertisement will </w:t>
      </w:r>
      <w:r w:rsidR="00E677C2">
        <w:rPr>
          <w:rFonts w:eastAsia="Calibri" w:cs="Arial"/>
        </w:rPr>
        <w:t xml:space="preserve">provide information on </w:t>
      </w:r>
      <w:r w:rsidRPr="00FB71D5">
        <w:rPr>
          <w:rFonts w:eastAsia="Calibri" w:cs="Arial"/>
        </w:rPr>
        <w:t>how to obtain the Application Pack for the relevant funding round. Specific funding round details and processes will be provided via any, or a combination of, the mechanisms identified above.</w:t>
      </w:r>
    </w:p>
    <w:p w14:paraId="1EEE93EA" w14:textId="77777777" w:rsidR="00594453" w:rsidRPr="00111075" w:rsidRDefault="00594453" w:rsidP="00DC3750">
      <w:pPr>
        <w:pStyle w:val="Heading2Numbered"/>
      </w:pPr>
      <w:bookmarkStart w:id="228" w:name="_Toc4175433"/>
      <w:r>
        <w:t>Funding Round Suite of Documents</w:t>
      </w:r>
      <w:bookmarkEnd w:id="228"/>
    </w:p>
    <w:p w14:paraId="41AD3C45" w14:textId="77777777" w:rsidR="00594453" w:rsidRPr="00FB71D5" w:rsidRDefault="00594453" w:rsidP="00594453">
      <w:pPr>
        <w:spacing w:after="120" w:line="240" w:lineRule="auto"/>
        <w:jc w:val="both"/>
        <w:rPr>
          <w:rFonts w:eastAsia="Calibri" w:cs="Arial"/>
        </w:rPr>
      </w:pPr>
      <w:r w:rsidRPr="00FB71D5">
        <w:rPr>
          <w:rFonts w:eastAsia="Calibri" w:cs="Arial"/>
        </w:rPr>
        <w:t>The following documentation will be available at the opening of each funding round:</w:t>
      </w:r>
    </w:p>
    <w:p w14:paraId="2DEDE8C0" w14:textId="77777777" w:rsidR="0059445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the </w:t>
      </w:r>
      <w:r>
        <w:rPr>
          <w:rFonts w:cs="Arial"/>
        </w:rPr>
        <w:t>ILC</w:t>
      </w:r>
      <w:r w:rsidRPr="00C576B3">
        <w:rPr>
          <w:rFonts w:cs="Arial"/>
        </w:rPr>
        <w:t xml:space="preserve"> Program Guidelines; </w:t>
      </w:r>
    </w:p>
    <w:p w14:paraId="1B06E4BF" w14:textId="77777777" w:rsidR="00594453" w:rsidRPr="00C576B3" w:rsidRDefault="00594453" w:rsidP="007B02B6">
      <w:pPr>
        <w:pStyle w:val="ListParagraph"/>
        <w:numPr>
          <w:ilvl w:val="0"/>
          <w:numId w:val="20"/>
        </w:numPr>
        <w:spacing w:after="160" w:line="259" w:lineRule="auto"/>
        <w:contextualSpacing/>
        <w:jc w:val="both"/>
        <w:rPr>
          <w:rFonts w:cs="Arial"/>
        </w:rPr>
      </w:pPr>
      <w:r>
        <w:rPr>
          <w:rFonts w:cs="Arial"/>
        </w:rPr>
        <w:t xml:space="preserve">the Grant Opportunity Guidelines (GOGs); </w:t>
      </w:r>
      <w:r w:rsidRPr="00C576B3">
        <w:rPr>
          <w:rFonts w:cs="Arial"/>
        </w:rPr>
        <w:t>and</w:t>
      </w:r>
    </w:p>
    <w:p w14:paraId="72822270"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an Application Pack – a suite of documents with information specific to each funding round, including an Application Form</w:t>
      </w:r>
      <w:r w:rsidR="0058025C">
        <w:rPr>
          <w:rFonts w:cs="Arial"/>
        </w:rPr>
        <w:t>,</w:t>
      </w:r>
      <w:r>
        <w:rPr>
          <w:rFonts w:cs="Arial"/>
        </w:rPr>
        <w:t xml:space="preserve"> F</w:t>
      </w:r>
      <w:r w:rsidR="0058025C">
        <w:rPr>
          <w:rFonts w:cs="Arial"/>
        </w:rPr>
        <w:t xml:space="preserve">requently </w:t>
      </w:r>
      <w:r>
        <w:rPr>
          <w:rFonts w:cs="Arial"/>
        </w:rPr>
        <w:t>A</w:t>
      </w:r>
      <w:r w:rsidR="0058025C">
        <w:rPr>
          <w:rFonts w:cs="Arial"/>
        </w:rPr>
        <w:t xml:space="preserve">sked </w:t>
      </w:r>
      <w:r>
        <w:rPr>
          <w:rFonts w:cs="Arial"/>
        </w:rPr>
        <w:t>Q</w:t>
      </w:r>
      <w:r w:rsidR="0058025C">
        <w:rPr>
          <w:rFonts w:cs="Arial"/>
        </w:rPr>
        <w:t>uestion</w:t>
      </w:r>
      <w:r>
        <w:rPr>
          <w:rFonts w:cs="Arial"/>
        </w:rPr>
        <w:t>s</w:t>
      </w:r>
      <w:r w:rsidR="0058025C">
        <w:rPr>
          <w:rFonts w:cs="Arial"/>
        </w:rPr>
        <w:t xml:space="preserve"> (FAQs)</w:t>
      </w:r>
      <w:r w:rsidR="00E1677F">
        <w:rPr>
          <w:rFonts w:cs="Arial"/>
        </w:rPr>
        <w:t xml:space="preserve"> about the grant round, Grant Agreement</w:t>
      </w:r>
      <w:r>
        <w:rPr>
          <w:rFonts w:cs="Arial"/>
        </w:rPr>
        <w:t xml:space="preserve"> General Terms and Conditions, </w:t>
      </w:r>
      <w:r w:rsidR="00E1677F">
        <w:rPr>
          <w:rFonts w:cs="Arial"/>
        </w:rPr>
        <w:t xml:space="preserve">Grant Agreement Supplementary Terms and Conditions </w:t>
      </w:r>
      <w:r>
        <w:rPr>
          <w:rFonts w:cs="Arial"/>
        </w:rPr>
        <w:t>and any required proformas needed to complete the application</w:t>
      </w:r>
      <w:r w:rsidRPr="00C576B3">
        <w:rPr>
          <w:rFonts w:cs="Arial"/>
        </w:rPr>
        <w:t>.</w:t>
      </w:r>
    </w:p>
    <w:p w14:paraId="05702597" w14:textId="77777777" w:rsidR="00594453" w:rsidRPr="00F51AC7" w:rsidRDefault="00594453" w:rsidP="00DC3750">
      <w:pPr>
        <w:pStyle w:val="Heading2Numbered"/>
      </w:pPr>
      <w:bookmarkStart w:id="229" w:name="_Toc466630161"/>
      <w:bookmarkStart w:id="230" w:name="_Toc4175434"/>
      <w:r w:rsidRPr="00F51AC7">
        <w:t>Choice of selection proce</w:t>
      </w:r>
      <w:bookmarkEnd w:id="229"/>
      <w:bookmarkEnd w:id="230"/>
      <w:r w:rsidR="00E1677F">
        <w:t>ss</w:t>
      </w:r>
    </w:p>
    <w:p w14:paraId="3A5ED1EB" w14:textId="77777777" w:rsidR="00594453" w:rsidRDefault="00594453" w:rsidP="00594453">
      <w:pPr>
        <w:pStyle w:val="ListParagraph"/>
        <w:widowControl w:val="0"/>
        <w:suppressAutoHyphens/>
        <w:autoSpaceDE w:val="0"/>
        <w:autoSpaceDN w:val="0"/>
        <w:adjustRightInd w:val="0"/>
        <w:spacing w:after="0" w:line="240" w:lineRule="auto"/>
        <w:ind w:left="0"/>
        <w:jc w:val="both"/>
        <w:textAlignment w:val="center"/>
        <w:rPr>
          <w:rFonts w:eastAsia="Calibri" w:cs="Arial"/>
          <w:lang w:val="en-GB" w:eastAsia="ja-JP"/>
        </w:rPr>
      </w:pPr>
      <w:r w:rsidRPr="000F5497">
        <w:rPr>
          <w:rFonts w:eastAsia="Calibri" w:cs="Arial"/>
          <w:color w:val="000000"/>
          <w:lang w:val="en-GB" w:eastAsia="ja-JP"/>
        </w:rPr>
        <w:t xml:space="preserve">The </w:t>
      </w:r>
      <w:r>
        <w:rPr>
          <w:rFonts w:eastAsia="Calibri" w:cs="Arial"/>
          <w:color w:val="000000"/>
          <w:lang w:val="en-GB" w:eastAsia="ja-JP"/>
        </w:rPr>
        <w:t>ILC</w:t>
      </w:r>
      <w:r w:rsidRPr="000F5497">
        <w:rPr>
          <w:rFonts w:eastAsia="Calibri" w:cs="Arial"/>
          <w:color w:val="000000"/>
          <w:lang w:val="en-GB" w:eastAsia="ja-JP"/>
        </w:rPr>
        <w:t xml:space="preserve"> Program </w:t>
      </w:r>
      <w:r w:rsidRPr="000F5497">
        <w:rPr>
          <w:rFonts w:eastAsia="Calibri" w:cs="Arial"/>
          <w:lang w:val="en-GB" w:eastAsia="ja-JP"/>
        </w:rPr>
        <w:t>will utilise a range</w:t>
      </w:r>
      <w:r>
        <w:rPr>
          <w:rFonts w:eastAsia="Calibri" w:cs="Arial"/>
          <w:lang w:val="en-GB" w:eastAsia="ja-JP"/>
        </w:rPr>
        <w:t xml:space="preserve"> and combination</w:t>
      </w:r>
      <w:r w:rsidRPr="000F5497">
        <w:rPr>
          <w:rFonts w:eastAsia="Calibri" w:cs="Arial"/>
          <w:lang w:val="en-GB" w:eastAsia="ja-JP"/>
        </w:rPr>
        <w:t xml:space="preserve"> of selection processes</w:t>
      </w:r>
      <w:r>
        <w:rPr>
          <w:rFonts w:eastAsia="Calibri" w:cs="Arial"/>
          <w:lang w:val="en-GB" w:eastAsia="ja-JP"/>
        </w:rPr>
        <w:t xml:space="preserve"> </w:t>
      </w:r>
      <w:r w:rsidRPr="000F5497">
        <w:rPr>
          <w:rFonts w:eastAsia="Calibri" w:cs="Arial"/>
          <w:lang w:val="en-GB" w:eastAsia="ja-JP"/>
        </w:rPr>
        <w:t>to select successful Applicants</w:t>
      </w:r>
      <w:r w:rsidRPr="003042AA">
        <w:rPr>
          <w:rFonts w:eastAsia="Calibri" w:cs="Arial"/>
          <w:lang w:val="en-GB" w:eastAsia="ja-JP"/>
        </w:rPr>
        <w:t>. These may include:</w:t>
      </w:r>
    </w:p>
    <w:p w14:paraId="62A809D2"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Open, competitive processes involving a two stage process in which:</w:t>
      </w:r>
    </w:p>
    <w:p w14:paraId="638DBB3E" w14:textId="7C2E478A"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first stage is comprised of an expression of inte</w:t>
      </w:r>
      <w:r w:rsidR="00D13478">
        <w:rPr>
          <w:rFonts w:cs="Arial"/>
        </w:rPr>
        <w:t xml:space="preserve">rest </w:t>
      </w:r>
      <w:r w:rsidRPr="00C576B3">
        <w:rPr>
          <w:rFonts w:cs="Arial"/>
        </w:rPr>
        <w:t>with a shortlist of applications assessed as suitable being developed and short-listed organisations proceeding to the next stage; and</w:t>
      </w:r>
    </w:p>
    <w:p w14:paraId="4F552053" w14:textId="77777777" w:rsidR="00594453" w:rsidRPr="00C576B3" w:rsidRDefault="00594453" w:rsidP="007B02B6">
      <w:pPr>
        <w:pStyle w:val="ListParagraph"/>
        <w:numPr>
          <w:ilvl w:val="1"/>
          <w:numId w:val="20"/>
        </w:numPr>
        <w:spacing w:after="160" w:line="259" w:lineRule="auto"/>
        <w:contextualSpacing/>
        <w:jc w:val="both"/>
        <w:rPr>
          <w:rFonts w:cs="Arial"/>
        </w:rPr>
      </w:pPr>
      <w:r w:rsidRPr="00C576B3">
        <w:rPr>
          <w:rFonts w:cs="Arial"/>
        </w:rPr>
        <w:t>the second stage is comprised of short-listed organisations submitting a more detailed application.</w:t>
      </w:r>
    </w:p>
    <w:p w14:paraId="0FC5F216"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lastRenderedPageBreak/>
        <w:t xml:space="preserve">open, competitive one stage processes; </w:t>
      </w:r>
    </w:p>
    <w:p w14:paraId="37E4F8FB"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restricted processes, where a small number of Applicants based on specialised requirements are invited to submit an application; and</w:t>
      </w:r>
    </w:p>
    <w:p w14:paraId="6630777E" w14:textId="77777777" w:rsidR="00594453" w:rsidRPr="00C576B3" w:rsidRDefault="00594453" w:rsidP="007B02B6">
      <w:pPr>
        <w:pStyle w:val="ListParagraph"/>
        <w:numPr>
          <w:ilvl w:val="0"/>
          <w:numId w:val="20"/>
        </w:numPr>
        <w:spacing w:after="160" w:line="259" w:lineRule="auto"/>
        <w:contextualSpacing/>
        <w:jc w:val="both"/>
        <w:rPr>
          <w:rFonts w:cs="Arial"/>
        </w:rPr>
      </w:pPr>
      <w:r w:rsidRPr="00C576B3">
        <w:rPr>
          <w:rFonts w:cs="Arial"/>
        </w:rPr>
        <w:t xml:space="preserve">closed selection by invitation (direct process). </w:t>
      </w:r>
    </w:p>
    <w:p w14:paraId="6C651375" w14:textId="77777777" w:rsidR="006768CC" w:rsidRPr="00F51AC7" w:rsidRDefault="006768CC" w:rsidP="00DC3750">
      <w:pPr>
        <w:pStyle w:val="Heading2Numbered"/>
      </w:pPr>
      <w:bookmarkStart w:id="231" w:name="_Toc4175435"/>
      <w:r>
        <w:t>Assessment Methodology</w:t>
      </w:r>
      <w:bookmarkEnd w:id="231"/>
    </w:p>
    <w:p w14:paraId="7CA864EA" w14:textId="77777777" w:rsidR="00594453" w:rsidRPr="00FB71D5" w:rsidRDefault="00594453" w:rsidP="00594453">
      <w:pPr>
        <w:spacing w:after="120" w:line="240" w:lineRule="auto"/>
        <w:jc w:val="both"/>
        <w:rPr>
          <w:rFonts w:eastAsia="Calibri" w:cs="Arial"/>
        </w:rPr>
      </w:pPr>
      <w:r w:rsidRPr="00FB71D5">
        <w:rPr>
          <w:rFonts w:eastAsia="Calibri" w:cs="Arial"/>
        </w:rPr>
        <w:t>Activity proposals will be accepted at set periods determined by the NDIA, with eligible applications being assessed against the nominated selection criteria.</w:t>
      </w:r>
    </w:p>
    <w:p w14:paraId="6334571F" w14:textId="77777777" w:rsidR="00594453" w:rsidRPr="00CC5A8B" w:rsidRDefault="00594453" w:rsidP="00594453">
      <w:pPr>
        <w:spacing w:after="120" w:line="240" w:lineRule="auto"/>
        <w:jc w:val="both"/>
        <w:rPr>
          <w:rFonts w:eastAsia="Calibri" w:cs="Arial"/>
        </w:rPr>
      </w:pPr>
      <w:r w:rsidRPr="00CC5A8B">
        <w:rPr>
          <w:rFonts w:eastAsia="Calibri" w:cs="Arial"/>
        </w:rPr>
        <w:t>Applications will be assessed on their merit against the</w:t>
      </w:r>
      <w:r>
        <w:rPr>
          <w:rFonts w:eastAsia="Calibri" w:cs="Arial"/>
        </w:rPr>
        <w:t xml:space="preserve"> nominated</w:t>
      </w:r>
      <w:r w:rsidRPr="00CC5A8B">
        <w:rPr>
          <w:rFonts w:eastAsia="Calibri" w:cs="Arial"/>
        </w:rPr>
        <w:t xml:space="preserve"> selection criteria</w:t>
      </w:r>
      <w:r>
        <w:rPr>
          <w:rFonts w:eastAsia="Calibri" w:cs="Arial"/>
        </w:rPr>
        <w:t xml:space="preserve"> and are likely to undergo </w:t>
      </w:r>
      <w:r w:rsidRPr="00CC5A8B">
        <w:rPr>
          <w:rFonts w:eastAsia="Calibri" w:cs="Arial"/>
        </w:rPr>
        <w:t>a comparative assessment and ranking against other applications</w:t>
      </w:r>
      <w:r>
        <w:rPr>
          <w:rFonts w:eastAsia="Calibri" w:cs="Arial"/>
        </w:rPr>
        <w:t xml:space="preserve"> (depending on the nature of the selection process used)</w:t>
      </w:r>
      <w:r w:rsidRPr="00CC5A8B">
        <w:rPr>
          <w:rFonts w:eastAsia="Calibri" w:cs="Arial"/>
        </w:rPr>
        <w:t>.</w:t>
      </w:r>
    </w:p>
    <w:p w14:paraId="69FF32AD" w14:textId="77777777" w:rsidR="00594453" w:rsidRDefault="00594453" w:rsidP="00594453">
      <w:pPr>
        <w:spacing w:after="120" w:line="240" w:lineRule="auto"/>
        <w:jc w:val="both"/>
        <w:rPr>
          <w:rFonts w:eastAsia="Calibri" w:cs="Arial"/>
        </w:rPr>
      </w:pPr>
      <w:r w:rsidRPr="00CC5A8B">
        <w:rPr>
          <w:rFonts w:eastAsia="Calibri" w:cs="Arial"/>
        </w:rPr>
        <w:t xml:space="preserve">Before the </w:t>
      </w:r>
      <w:r>
        <w:rPr>
          <w:rFonts w:eastAsia="Calibri" w:cs="Arial"/>
        </w:rPr>
        <w:t>NDIA</w:t>
      </w:r>
      <w:r w:rsidRPr="00CC5A8B">
        <w:rPr>
          <w:rFonts w:eastAsia="Calibri" w:cs="Arial"/>
        </w:rPr>
        <w:t xml:space="preserve"> identifies a particular selection process, the principle of ‘proportionality’ will be used to assess the scale, nature, funding amount, complexity and ongoing requirements of the grant, against the risks involved in the exercise for the bene</w:t>
      </w:r>
      <w:r>
        <w:rPr>
          <w:rFonts w:eastAsia="Calibri" w:cs="Arial"/>
        </w:rPr>
        <w:t>ficiaries and the</w:t>
      </w:r>
      <w:r w:rsidR="005C5F7A">
        <w:rPr>
          <w:rFonts w:eastAsia="Calibri" w:cs="Arial"/>
        </w:rPr>
        <w:t xml:space="preserve"> NDIA</w:t>
      </w:r>
      <w:r>
        <w:rPr>
          <w:rFonts w:eastAsia="Calibri" w:cs="Arial"/>
        </w:rPr>
        <w:t xml:space="preserve">. </w:t>
      </w:r>
      <w:r w:rsidRPr="00CC5A8B">
        <w:rPr>
          <w:rFonts w:eastAsia="Calibri" w:cs="Arial"/>
        </w:rPr>
        <w:t xml:space="preserve">These considerations will also assist the </w:t>
      </w:r>
      <w:r>
        <w:rPr>
          <w:rFonts w:eastAsia="Calibri" w:cs="Arial"/>
        </w:rPr>
        <w:t>NDIA</w:t>
      </w:r>
      <w:r w:rsidRPr="00CC5A8B">
        <w:rPr>
          <w:rFonts w:eastAsia="Calibri" w:cs="Arial"/>
        </w:rPr>
        <w:t xml:space="preserve"> to determine which approach will be most likely to elicit strong, viable responses from any eligible </w:t>
      </w:r>
      <w:r>
        <w:rPr>
          <w:rFonts w:eastAsia="Calibri" w:cs="Arial"/>
        </w:rPr>
        <w:t>A</w:t>
      </w:r>
      <w:r w:rsidRPr="00CC5A8B">
        <w:rPr>
          <w:rFonts w:eastAsia="Calibri" w:cs="Arial"/>
        </w:rPr>
        <w:t xml:space="preserve">pplicants. </w:t>
      </w:r>
    </w:p>
    <w:p w14:paraId="7E47FEB2"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may </w:t>
      </w:r>
      <w:r w:rsidR="005C5F7A">
        <w:rPr>
          <w:rFonts w:eastAsia="Calibri" w:cs="Arial"/>
        </w:rPr>
        <w:t xml:space="preserve">engage </w:t>
      </w:r>
      <w:r w:rsidRPr="00FB71D5">
        <w:rPr>
          <w:rFonts w:eastAsia="Calibri" w:cs="Arial"/>
        </w:rPr>
        <w:t xml:space="preserve">a third party provider (e.g. the Community Grants Hub (supported by the Australian Government Department of Social Services)) to implement grant processes under the </w:t>
      </w:r>
      <w:r>
        <w:rPr>
          <w:rFonts w:eastAsia="Calibri" w:cs="Arial"/>
        </w:rPr>
        <w:t>ILC</w:t>
      </w:r>
      <w:r w:rsidRPr="00FB71D5">
        <w:rPr>
          <w:rFonts w:eastAsia="Calibri" w:cs="Arial"/>
        </w:rPr>
        <w:t xml:space="preserve"> Program.</w:t>
      </w:r>
    </w:p>
    <w:p w14:paraId="2B02E96D" w14:textId="77777777" w:rsidR="00594453" w:rsidRPr="00FB71D5" w:rsidRDefault="00594453" w:rsidP="00594453">
      <w:pPr>
        <w:spacing w:after="120" w:line="240" w:lineRule="auto"/>
        <w:jc w:val="both"/>
        <w:rPr>
          <w:rFonts w:eastAsia="Calibri" w:cs="Arial"/>
        </w:rPr>
      </w:pPr>
      <w:r w:rsidRPr="00FB71D5">
        <w:rPr>
          <w:rFonts w:eastAsia="Calibri" w:cs="Arial"/>
        </w:rPr>
        <w:t xml:space="preserve">The NDIA is not under any obligation to fund every application that meets the </w:t>
      </w:r>
      <w:r>
        <w:rPr>
          <w:rFonts w:eastAsia="Calibri" w:cs="Arial"/>
        </w:rPr>
        <w:t>ILC</w:t>
      </w:r>
      <w:r w:rsidRPr="00FB71D5">
        <w:rPr>
          <w:rFonts w:eastAsia="Calibri" w:cs="Arial"/>
        </w:rPr>
        <w:t xml:space="preserve"> Program objective and selection criteria. During a competitive selection process, applications that are found to be suitable will be subject to a comparative assessment. Regardless of the selection process adopted, if the NDIA considers that the applications received through a funding round are unlikely to:</w:t>
      </w:r>
    </w:p>
    <w:p w14:paraId="29C1D0B1" w14:textId="77777777" w:rsidR="00594453" w:rsidRPr="00AE14C1"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meet the NDIA and </w:t>
      </w:r>
      <w:r>
        <w:rPr>
          <w:rFonts w:eastAsia="Calibri" w:cs="Arial"/>
        </w:rPr>
        <w:t>ILC</w:t>
      </w:r>
      <w:r w:rsidRPr="00AE14C1">
        <w:rPr>
          <w:rFonts w:eastAsia="Calibri" w:cs="Arial"/>
        </w:rPr>
        <w:t xml:space="preserve"> Program objectives;</w:t>
      </w:r>
      <w:r>
        <w:rPr>
          <w:rFonts w:eastAsia="Calibri" w:cs="Arial"/>
        </w:rPr>
        <w:t xml:space="preserve"> or</w:t>
      </w:r>
    </w:p>
    <w:p w14:paraId="0B6FE4D4" w14:textId="77777777" w:rsidR="00594453" w:rsidRDefault="00594453" w:rsidP="007B02B6">
      <w:pPr>
        <w:pStyle w:val="ListParagraph"/>
        <w:numPr>
          <w:ilvl w:val="0"/>
          <w:numId w:val="21"/>
        </w:numPr>
        <w:spacing w:before="240" w:after="120" w:line="240" w:lineRule="auto"/>
        <w:contextualSpacing/>
        <w:jc w:val="both"/>
        <w:rPr>
          <w:rFonts w:eastAsia="Calibri" w:cs="Arial"/>
        </w:rPr>
      </w:pPr>
      <w:r w:rsidRPr="00AE14C1">
        <w:rPr>
          <w:rFonts w:eastAsia="Calibri" w:cs="Arial"/>
        </w:rPr>
        <w:t xml:space="preserve">deliver a satisfactory result for the community </w:t>
      </w:r>
    </w:p>
    <w:p w14:paraId="5EAA5A47" w14:textId="77777777" w:rsidR="00594453" w:rsidRDefault="00EC1B08" w:rsidP="00594453">
      <w:pPr>
        <w:spacing w:after="120" w:line="240" w:lineRule="auto"/>
        <w:jc w:val="both"/>
        <w:rPr>
          <w:rFonts w:eastAsia="Calibri" w:cs="Arial"/>
        </w:rPr>
      </w:pPr>
      <w:r>
        <w:rPr>
          <w:rFonts w:eastAsia="Calibri" w:cs="Arial"/>
        </w:rPr>
        <w:t xml:space="preserve">then </w:t>
      </w:r>
      <w:r w:rsidR="00594453">
        <w:rPr>
          <w:rFonts w:eastAsia="Calibri" w:cs="Arial"/>
        </w:rPr>
        <w:t xml:space="preserve">all or part of </w:t>
      </w:r>
      <w:r w:rsidR="00594453" w:rsidRPr="00AE14C1">
        <w:rPr>
          <w:rFonts w:eastAsia="Calibri" w:cs="Arial"/>
        </w:rPr>
        <w:t>the funding round may be withdrawn or readvertised at the NDIA’s discretion</w:t>
      </w:r>
      <w:r w:rsidR="00594453">
        <w:rPr>
          <w:rFonts w:eastAsia="Calibri" w:cs="Arial"/>
        </w:rPr>
        <w:t>; or the NDIA may decide to conduct a new and/or different selection process for that funding round.</w:t>
      </w:r>
      <w:r w:rsidR="00594453" w:rsidRPr="00AE14C1">
        <w:rPr>
          <w:rFonts w:eastAsia="Calibri" w:cs="Arial"/>
        </w:rPr>
        <w:t xml:space="preserve"> For all funding rounds or opportunities, the NDIA </w:t>
      </w:r>
      <w:r w:rsidR="00594453">
        <w:rPr>
          <w:rFonts w:eastAsia="Calibri" w:cs="Arial"/>
        </w:rPr>
        <w:t>d</w:t>
      </w:r>
      <w:r w:rsidR="00594453" w:rsidRPr="00AE14C1">
        <w:rPr>
          <w:rFonts w:eastAsia="Calibri" w:cs="Arial"/>
        </w:rPr>
        <w:t>elegate will ultimately determine whether an application will receive funding</w:t>
      </w:r>
      <w:r>
        <w:rPr>
          <w:rFonts w:eastAsia="Calibri" w:cs="Arial"/>
        </w:rPr>
        <w:t>, the amount of funding to be allocated</w:t>
      </w:r>
      <w:r w:rsidR="00594453" w:rsidRPr="00AE14C1">
        <w:rPr>
          <w:rFonts w:eastAsia="Calibri" w:cs="Arial"/>
        </w:rPr>
        <w:t xml:space="preserve"> </w:t>
      </w:r>
      <w:r w:rsidR="00594453">
        <w:rPr>
          <w:rFonts w:eastAsia="Calibri" w:cs="Arial"/>
        </w:rPr>
        <w:t>and/or whether the allocated budget for the funding round is fully expended</w:t>
      </w:r>
      <w:r w:rsidR="00594453" w:rsidRPr="00AE14C1">
        <w:rPr>
          <w:rFonts w:eastAsia="Calibri" w:cs="Arial"/>
        </w:rPr>
        <w:t>.</w:t>
      </w:r>
    </w:p>
    <w:p w14:paraId="485637A6" w14:textId="77777777" w:rsidR="00594453" w:rsidRPr="00FB71D5" w:rsidRDefault="00594453" w:rsidP="00594453">
      <w:pPr>
        <w:spacing w:after="120" w:line="240" w:lineRule="auto"/>
        <w:jc w:val="both"/>
        <w:rPr>
          <w:rFonts w:eastAsia="Calibri" w:cs="Arial"/>
        </w:rPr>
      </w:pPr>
    </w:p>
    <w:p w14:paraId="2EA1BDB0" w14:textId="77777777" w:rsidR="00594453" w:rsidRPr="00F51AC7" w:rsidRDefault="00594453" w:rsidP="00DC3750">
      <w:pPr>
        <w:pStyle w:val="Heading2Numbered"/>
      </w:pPr>
      <w:bookmarkStart w:id="232" w:name="_Toc462912563"/>
      <w:bookmarkStart w:id="233" w:name="_Toc462913047"/>
      <w:bookmarkStart w:id="234" w:name="_Toc462918363"/>
      <w:bookmarkStart w:id="235" w:name="_Toc462918592"/>
      <w:bookmarkStart w:id="236" w:name="_Toc462918821"/>
      <w:bookmarkStart w:id="237" w:name="_Toc462919051"/>
      <w:bookmarkStart w:id="238" w:name="_Toc462912564"/>
      <w:bookmarkStart w:id="239" w:name="_Toc462913048"/>
      <w:bookmarkStart w:id="240" w:name="_Toc462918364"/>
      <w:bookmarkStart w:id="241" w:name="_Toc462918593"/>
      <w:bookmarkStart w:id="242" w:name="_Toc462918822"/>
      <w:bookmarkStart w:id="243" w:name="_Toc462919052"/>
      <w:bookmarkStart w:id="244" w:name="_Toc462912565"/>
      <w:bookmarkStart w:id="245" w:name="_Toc462913049"/>
      <w:bookmarkStart w:id="246" w:name="_Toc462918365"/>
      <w:bookmarkStart w:id="247" w:name="_Toc462918594"/>
      <w:bookmarkStart w:id="248" w:name="_Toc462918823"/>
      <w:bookmarkStart w:id="249" w:name="_Toc462919053"/>
      <w:bookmarkStart w:id="250" w:name="_Toc462912566"/>
      <w:bookmarkStart w:id="251" w:name="_Toc462913050"/>
      <w:bookmarkStart w:id="252" w:name="_Toc462918366"/>
      <w:bookmarkStart w:id="253" w:name="_Toc462918595"/>
      <w:bookmarkStart w:id="254" w:name="_Toc462918824"/>
      <w:bookmarkStart w:id="255" w:name="_Toc462919054"/>
      <w:bookmarkStart w:id="256" w:name="_Toc462912567"/>
      <w:bookmarkStart w:id="257" w:name="_Toc462913051"/>
      <w:bookmarkStart w:id="258" w:name="_Toc462918367"/>
      <w:bookmarkStart w:id="259" w:name="_Toc462918596"/>
      <w:bookmarkStart w:id="260" w:name="_Toc462918825"/>
      <w:bookmarkStart w:id="261" w:name="_Toc462919055"/>
      <w:bookmarkStart w:id="262" w:name="_Toc462912568"/>
      <w:bookmarkStart w:id="263" w:name="_Toc462913052"/>
      <w:bookmarkStart w:id="264" w:name="_Toc462918368"/>
      <w:bookmarkStart w:id="265" w:name="_Toc462918597"/>
      <w:bookmarkStart w:id="266" w:name="_Toc462918826"/>
      <w:bookmarkStart w:id="267" w:name="_Toc462919056"/>
      <w:bookmarkStart w:id="268" w:name="_Toc462912569"/>
      <w:bookmarkStart w:id="269" w:name="_Toc462913053"/>
      <w:bookmarkStart w:id="270" w:name="_Toc462918369"/>
      <w:bookmarkStart w:id="271" w:name="_Toc462918598"/>
      <w:bookmarkStart w:id="272" w:name="_Toc462918827"/>
      <w:bookmarkStart w:id="273" w:name="_Toc462919057"/>
      <w:bookmarkStart w:id="274" w:name="_Toc462835123"/>
      <w:bookmarkStart w:id="275" w:name="_Toc462845727"/>
      <w:bookmarkStart w:id="276" w:name="_Toc462846893"/>
      <w:bookmarkStart w:id="277" w:name="_Toc462906173"/>
      <w:bookmarkStart w:id="278" w:name="_Toc462911920"/>
      <w:bookmarkStart w:id="279" w:name="_Toc462912398"/>
      <w:bookmarkStart w:id="280" w:name="_Toc462912570"/>
      <w:bookmarkStart w:id="281" w:name="_Toc462913054"/>
      <w:bookmarkStart w:id="282" w:name="_Toc462918370"/>
      <w:bookmarkStart w:id="283" w:name="_Toc462918599"/>
      <w:bookmarkStart w:id="284" w:name="_Toc462918828"/>
      <w:bookmarkStart w:id="285" w:name="_Toc462919058"/>
      <w:bookmarkStart w:id="286" w:name="_Toc389125641"/>
      <w:bookmarkStart w:id="287" w:name="_Ref420931064"/>
      <w:bookmarkStart w:id="288" w:name="_Ref420931067"/>
      <w:bookmarkStart w:id="289" w:name="_Toc466630163"/>
      <w:bookmarkStart w:id="290" w:name="_Toc4175436"/>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Pr="00F51AC7">
        <w:t>Selection Criteria</w:t>
      </w:r>
      <w:bookmarkEnd w:id="286"/>
      <w:bookmarkEnd w:id="287"/>
      <w:bookmarkEnd w:id="288"/>
      <w:bookmarkEnd w:id="289"/>
      <w:bookmarkEnd w:id="290"/>
    </w:p>
    <w:p w14:paraId="0DF6CF60" w14:textId="683C7C7D" w:rsidR="005C5F7A" w:rsidRPr="009141A8" w:rsidRDefault="005C5F7A" w:rsidP="008F0976">
      <w:pPr>
        <w:suppressAutoHyphens w:val="0"/>
        <w:spacing w:before="360" w:after="240" w:line="259" w:lineRule="auto"/>
        <w:contextualSpacing/>
        <w:rPr>
          <w:rFonts w:eastAsia="Calibri" w:cs="Arial"/>
          <w:highlight w:val="yellow"/>
        </w:rPr>
      </w:pPr>
      <w:r w:rsidRPr="005C5F7A">
        <w:rPr>
          <w:rFonts w:eastAsia="Calibri" w:cs="Arial"/>
        </w:rPr>
        <w:t xml:space="preserve">The Program Guidelines detail high level selection criteria </w:t>
      </w:r>
      <w:r w:rsidRPr="005C5F7A">
        <w:rPr>
          <w:rFonts w:eastAsia="Calibri" w:cs="Arial"/>
          <w:u w:val="single"/>
        </w:rPr>
        <w:t xml:space="preserve">which may be used in part or in full, or be adapted for a particular </w:t>
      </w:r>
      <w:r>
        <w:rPr>
          <w:rFonts w:eastAsia="Calibri" w:cs="Arial"/>
          <w:u w:val="single"/>
        </w:rPr>
        <w:t xml:space="preserve">grant round. </w:t>
      </w:r>
      <w:r w:rsidRPr="003042AA">
        <w:rPr>
          <w:rFonts w:eastAsia="Calibri" w:cs="Arial"/>
        </w:rPr>
        <w:t>Depending on the ILC Program being commissioned</w:t>
      </w:r>
      <w:r w:rsidR="003B047E">
        <w:rPr>
          <w:rFonts w:eastAsia="Calibri" w:cs="Arial"/>
        </w:rPr>
        <w:t xml:space="preserve"> (see section 3)</w:t>
      </w:r>
      <w:r w:rsidR="0058025C">
        <w:rPr>
          <w:rFonts w:eastAsia="Calibri" w:cs="Arial"/>
        </w:rPr>
        <w:t xml:space="preserve"> </w:t>
      </w:r>
      <w:r w:rsidRPr="003042AA">
        <w:rPr>
          <w:rFonts w:eastAsia="Calibri" w:cs="Arial"/>
        </w:rPr>
        <w:t xml:space="preserve">and type of funding process, a reduced set of selection criteria may be set by the relevant delegate exercising their ability to waive certain criteria. </w:t>
      </w:r>
    </w:p>
    <w:p w14:paraId="507E3F76" w14:textId="77777777" w:rsidR="005C5F7A" w:rsidRDefault="005C5F7A" w:rsidP="005C5F7A">
      <w:pPr>
        <w:spacing w:after="120" w:line="240" w:lineRule="auto"/>
        <w:jc w:val="both"/>
        <w:rPr>
          <w:rFonts w:eastAsia="Calibri" w:cs="Arial"/>
        </w:rPr>
      </w:pPr>
      <w:r>
        <w:rPr>
          <w:rFonts w:eastAsia="Calibri" w:cs="Arial"/>
        </w:rPr>
        <w:t>The GOGs for each grant round will detail the specific selection criteria for that grant round. A</w:t>
      </w:r>
      <w:r w:rsidR="00707E72" w:rsidRPr="001C7F17">
        <w:rPr>
          <w:rFonts w:eastAsia="Calibri" w:cs="Arial"/>
        </w:rPr>
        <w:t xml:space="preserve">pplications for funding will be assessed against the selection criteria outlined </w:t>
      </w:r>
      <w:r>
        <w:rPr>
          <w:rFonts w:eastAsia="Calibri" w:cs="Arial"/>
        </w:rPr>
        <w:t xml:space="preserve">in the GOGs for that grant round. </w:t>
      </w:r>
      <w:r w:rsidRPr="003042AA">
        <w:rPr>
          <w:rFonts w:eastAsia="Calibri" w:cs="Arial"/>
        </w:rPr>
        <w:t>All potential Applicants should carefully review the information for each funding round.</w:t>
      </w:r>
    </w:p>
    <w:p w14:paraId="16556471" w14:textId="59C4802A" w:rsidR="008F0976" w:rsidRDefault="00573AE6" w:rsidP="008F0976">
      <w:pPr>
        <w:spacing w:after="120" w:line="240" w:lineRule="auto"/>
        <w:jc w:val="both"/>
        <w:rPr>
          <w:rFonts w:eastAsia="Calibri" w:cs="Arial"/>
        </w:rPr>
      </w:pPr>
      <w:r>
        <w:rPr>
          <w:rFonts w:eastAsia="Calibri" w:cs="Arial"/>
        </w:rPr>
        <w:lastRenderedPageBreak/>
        <w:t>Dep</w:t>
      </w:r>
      <w:r w:rsidR="005C5F7A">
        <w:rPr>
          <w:rFonts w:eastAsia="Calibri" w:cs="Arial"/>
        </w:rPr>
        <w:t>ending on the requirements of the</w:t>
      </w:r>
      <w:r w:rsidR="007C742E">
        <w:rPr>
          <w:rFonts w:eastAsia="Calibri" w:cs="Arial"/>
        </w:rPr>
        <w:t xml:space="preserve"> particular</w:t>
      </w:r>
      <w:r w:rsidR="005C5F7A">
        <w:rPr>
          <w:rFonts w:eastAsia="Calibri" w:cs="Arial"/>
        </w:rPr>
        <w:t xml:space="preserve"> ILC </w:t>
      </w:r>
      <w:r>
        <w:rPr>
          <w:rFonts w:eastAsia="Calibri" w:cs="Arial"/>
        </w:rPr>
        <w:t xml:space="preserve">Program </w:t>
      </w:r>
      <w:r w:rsidR="005C5F7A">
        <w:rPr>
          <w:rFonts w:eastAsia="Calibri" w:cs="Arial"/>
        </w:rPr>
        <w:t xml:space="preserve">Grant Round, </w:t>
      </w:r>
      <w:r w:rsidR="007C742E">
        <w:rPr>
          <w:rFonts w:eastAsia="Calibri" w:cs="Arial"/>
        </w:rPr>
        <w:t>s</w:t>
      </w:r>
      <w:r>
        <w:rPr>
          <w:rFonts w:eastAsia="Calibri" w:cs="Arial"/>
        </w:rPr>
        <w:t xml:space="preserve">election </w:t>
      </w:r>
      <w:r w:rsidR="007C742E">
        <w:rPr>
          <w:rFonts w:eastAsia="Calibri" w:cs="Arial"/>
        </w:rPr>
        <w:t xml:space="preserve">criteria </w:t>
      </w:r>
      <w:r w:rsidR="00D13478">
        <w:rPr>
          <w:rFonts w:eastAsia="Calibri" w:cs="Arial"/>
        </w:rPr>
        <w:t xml:space="preserve">may be weighted or unweighted. </w:t>
      </w:r>
      <w:r>
        <w:rPr>
          <w:rFonts w:eastAsia="Calibri" w:cs="Arial"/>
        </w:rPr>
        <w:t>This will be determined during the de</w:t>
      </w:r>
      <w:r w:rsidR="00D13478">
        <w:rPr>
          <w:rFonts w:eastAsia="Calibri" w:cs="Arial"/>
        </w:rPr>
        <w:t xml:space="preserve">velopment of each grant round. </w:t>
      </w:r>
      <w:r w:rsidR="008F0976">
        <w:rPr>
          <w:rFonts w:eastAsia="Calibri" w:cs="Arial"/>
        </w:rPr>
        <w:t>The high level Selection Criteria for the ILC Program is as follow</w:t>
      </w:r>
      <w:r w:rsidR="008F0976" w:rsidRPr="00A12A24">
        <w:rPr>
          <w:rFonts w:eastAsia="Calibri" w:cs="Arial"/>
        </w:rPr>
        <w:t>s:</w:t>
      </w:r>
    </w:p>
    <w:p w14:paraId="64FAFCF8" w14:textId="77777777" w:rsidR="008F0976" w:rsidRPr="00A12A24" w:rsidRDefault="008F0976" w:rsidP="008F0976">
      <w:pPr>
        <w:rPr>
          <w:rFonts w:cstheme="minorHAnsi"/>
          <w:lang w:val="en-US"/>
        </w:rPr>
      </w:pPr>
      <w:r w:rsidRPr="00A12A24">
        <w:rPr>
          <w:rFonts w:cstheme="minorHAnsi"/>
          <w:lang w:val="en-US"/>
        </w:rPr>
        <w:t xml:space="preserve">Criteria 1: </w:t>
      </w:r>
      <w:r>
        <w:rPr>
          <w:rFonts w:cstheme="minorHAnsi"/>
          <w:lang w:val="en-US"/>
        </w:rPr>
        <w:t>Need and suitability of the Activity</w:t>
      </w:r>
    </w:p>
    <w:p w14:paraId="0BC79F99" w14:textId="77777777" w:rsidR="008F0976" w:rsidRPr="00A12A24" w:rsidRDefault="008F0976" w:rsidP="008F0976">
      <w:pPr>
        <w:rPr>
          <w:rFonts w:cstheme="minorHAnsi"/>
          <w:lang w:val="en-US"/>
        </w:rPr>
      </w:pPr>
      <w:r w:rsidRPr="00A12A24">
        <w:rPr>
          <w:rFonts w:cstheme="minorHAnsi"/>
          <w:lang w:val="en-US"/>
        </w:rPr>
        <w:t>Criteria 2:</w:t>
      </w:r>
      <w:r>
        <w:rPr>
          <w:rFonts w:cstheme="minorHAnsi"/>
          <w:lang w:val="en-US"/>
        </w:rPr>
        <w:t xml:space="preserve"> Contribution</w:t>
      </w:r>
      <w:r w:rsidRPr="00A12A24">
        <w:rPr>
          <w:rFonts w:cstheme="minorHAnsi"/>
          <w:lang w:val="en-US"/>
        </w:rPr>
        <w:t xml:space="preserve"> to ILC outcomes</w:t>
      </w:r>
    </w:p>
    <w:p w14:paraId="04425A79" w14:textId="77777777" w:rsidR="008F0976" w:rsidRDefault="008F0976" w:rsidP="008F0976">
      <w:pPr>
        <w:rPr>
          <w:rFonts w:cstheme="minorHAnsi"/>
          <w:lang w:val="en-US"/>
        </w:rPr>
      </w:pPr>
      <w:r w:rsidRPr="00A12A24">
        <w:rPr>
          <w:rFonts w:cstheme="minorHAnsi"/>
          <w:lang w:val="en-US"/>
        </w:rPr>
        <w:t xml:space="preserve">Criteria 3: Capability </w:t>
      </w:r>
      <w:r>
        <w:rPr>
          <w:rFonts w:cstheme="minorHAnsi"/>
          <w:lang w:val="en-US"/>
        </w:rPr>
        <w:t>of the organisation</w:t>
      </w:r>
    </w:p>
    <w:p w14:paraId="009575AE" w14:textId="77777777" w:rsidR="008F0976" w:rsidRDefault="008F0976" w:rsidP="008F0976">
      <w:pPr>
        <w:rPr>
          <w:rFonts w:cstheme="minorHAnsi"/>
          <w:lang w:val="en-US"/>
        </w:rPr>
      </w:pPr>
      <w:r>
        <w:rPr>
          <w:rFonts w:cstheme="minorHAnsi"/>
          <w:lang w:val="en-US"/>
        </w:rPr>
        <w:t>Criteria 4: Sustainability of the Activity</w:t>
      </w:r>
    </w:p>
    <w:p w14:paraId="00D03DA7" w14:textId="77777777" w:rsidR="008F0976" w:rsidRPr="00A12A24" w:rsidRDefault="008F0976" w:rsidP="008F0976">
      <w:pPr>
        <w:rPr>
          <w:rFonts w:cstheme="minorHAnsi"/>
        </w:rPr>
      </w:pPr>
      <w:r>
        <w:rPr>
          <w:rFonts w:cstheme="minorHAnsi"/>
          <w:lang w:val="en-US"/>
        </w:rPr>
        <w:t xml:space="preserve">Criteria 5: Geographic reach of the Activity </w:t>
      </w:r>
    </w:p>
    <w:p w14:paraId="4FD9CDF1" w14:textId="77777777" w:rsidR="008F0976" w:rsidRDefault="008F0976" w:rsidP="000772F4">
      <w:pPr>
        <w:pStyle w:val="Bullet1"/>
        <w:numPr>
          <w:ilvl w:val="0"/>
          <w:numId w:val="0"/>
        </w:numPr>
        <w:spacing w:after="120" w:line="276" w:lineRule="auto"/>
      </w:pPr>
    </w:p>
    <w:p w14:paraId="71BE6435" w14:textId="77777777" w:rsidR="000772F4" w:rsidRPr="004632E3" w:rsidRDefault="000772F4" w:rsidP="000772F4">
      <w:pPr>
        <w:pStyle w:val="Bullet1"/>
        <w:numPr>
          <w:ilvl w:val="0"/>
          <w:numId w:val="0"/>
        </w:numPr>
        <w:spacing w:after="120" w:line="276" w:lineRule="auto"/>
      </w:pPr>
      <w:r>
        <w:t>Applicants</w:t>
      </w:r>
      <w:r w:rsidRPr="004632E3">
        <w:t xml:space="preserve"> will need to address all of the </w:t>
      </w:r>
      <w:r w:rsidR="007C742E">
        <w:t>selection</w:t>
      </w:r>
      <w:r w:rsidR="007C742E" w:rsidRPr="004632E3">
        <w:t xml:space="preserve"> </w:t>
      </w:r>
      <w:r w:rsidR="007C742E">
        <w:t>c</w:t>
      </w:r>
      <w:r w:rsidR="007C742E" w:rsidRPr="004632E3">
        <w:t xml:space="preserve">riteria </w:t>
      </w:r>
      <w:r w:rsidR="000623A5">
        <w:t>for a particular ILC Program Grant Round</w:t>
      </w:r>
      <w:r w:rsidR="0058025C">
        <w:t xml:space="preserve"> </w:t>
      </w:r>
      <w:r w:rsidRPr="004632E3">
        <w:t xml:space="preserve">in </w:t>
      </w:r>
      <w:r>
        <w:t>the</w:t>
      </w:r>
      <w:r w:rsidR="007C742E">
        <w:t>ir</w:t>
      </w:r>
      <w:r w:rsidRPr="004632E3">
        <w:t xml:space="preserve"> application. </w:t>
      </w:r>
      <w:r>
        <w:t>The NDIA</w:t>
      </w:r>
      <w:r w:rsidRPr="004632E3">
        <w:t xml:space="preserve"> will </w:t>
      </w:r>
      <w:r>
        <w:t>assess</w:t>
      </w:r>
      <w:r w:rsidRPr="004632E3">
        <w:t xml:space="preserve"> </w:t>
      </w:r>
      <w:r>
        <w:t>each</w:t>
      </w:r>
      <w:r w:rsidRPr="004632E3">
        <w:t xml:space="preserve"> application based on the </w:t>
      </w:r>
      <w:r>
        <w:t>responses provided</w:t>
      </w:r>
      <w:r w:rsidRPr="004632E3">
        <w:t xml:space="preserve"> to each criterion. </w:t>
      </w:r>
    </w:p>
    <w:p w14:paraId="30174C0D" w14:textId="77777777" w:rsidR="000772F4" w:rsidRPr="004632E3" w:rsidRDefault="000772F4" w:rsidP="000772F4">
      <w:pPr>
        <w:pStyle w:val="Bullet1"/>
        <w:numPr>
          <w:ilvl w:val="0"/>
          <w:numId w:val="0"/>
        </w:numPr>
        <w:spacing w:before="180" w:after="120" w:line="276" w:lineRule="auto"/>
      </w:pPr>
      <w:r w:rsidRPr="004632E3">
        <w:t xml:space="preserve">Each criterion </w:t>
      </w:r>
      <w:r w:rsidR="007C742E">
        <w:t>will have</w:t>
      </w:r>
      <w:r w:rsidR="007C742E" w:rsidRPr="004632E3">
        <w:t xml:space="preserve"> </w:t>
      </w:r>
      <w:r w:rsidRPr="004632E3">
        <w:t>a word limit. When assessing applications, the</w:t>
      </w:r>
      <w:r w:rsidR="006B3CDB">
        <w:t xml:space="preserve"> NDIA or contracted third party</w:t>
      </w:r>
      <w:r w:rsidR="00A401B6">
        <w:t xml:space="preserve"> </w:t>
      </w:r>
      <w:r w:rsidRPr="004632E3">
        <w:t>reserves the right to not take into account any words in excess of this limit</w:t>
      </w:r>
      <w:r>
        <w:t>.</w:t>
      </w:r>
    </w:p>
    <w:p w14:paraId="08CD5FE0" w14:textId="77777777" w:rsidR="00594453" w:rsidRPr="00F51AC7" w:rsidRDefault="00594453" w:rsidP="00DC3750">
      <w:pPr>
        <w:pStyle w:val="Heading2Numbered"/>
      </w:pPr>
      <w:bookmarkStart w:id="291" w:name="_Toc466630164"/>
      <w:bookmarkStart w:id="292" w:name="_Toc4175437"/>
      <w:r w:rsidRPr="00F51AC7">
        <w:t>Value for money</w:t>
      </w:r>
      <w:bookmarkEnd w:id="291"/>
      <w:bookmarkEnd w:id="292"/>
    </w:p>
    <w:p w14:paraId="49E3BCFC" w14:textId="77777777" w:rsidR="00594453" w:rsidRPr="00B61265" w:rsidRDefault="00594453" w:rsidP="00594453">
      <w:pPr>
        <w:spacing w:after="120" w:line="240" w:lineRule="auto"/>
        <w:jc w:val="both"/>
        <w:rPr>
          <w:rFonts w:eastAsia="Calibri" w:cs="Arial"/>
        </w:rPr>
      </w:pPr>
      <w:r w:rsidRPr="00CC5A8B">
        <w:rPr>
          <w:rFonts w:eastAsia="Calibri" w:cs="Arial"/>
        </w:rPr>
        <w:t xml:space="preserve">An overarching </w:t>
      </w:r>
      <w:r>
        <w:rPr>
          <w:rFonts w:eastAsia="Calibri" w:cs="Arial"/>
        </w:rPr>
        <w:t>consideration to be made</w:t>
      </w:r>
      <w:r w:rsidRPr="00CC5A8B">
        <w:rPr>
          <w:rFonts w:eastAsia="Calibri" w:cs="Arial"/>
        </w:rPr>
        <w:t xml:space="preserve"> once </w:t>
      </w:r>
      <w:r>
        <w:rPr>
          <w:rFonts w:eastAsia="Calibri" w:cs="Arial"/>
        </w:rPr>
        <w:t xml:space="preserve">each application has been evaluated against the selection criteria, </w:t>
      </w:r>
      <w:r w:rsidRPr="00CC5A8B">
        <w:rPr>
          <w:rFonts w:eastAsia="Calibri" w:cs="Arial"/>
        </w:rPr>
        <w:t>is the extent to which the application represents value for money</w:t>
      </w:r>
      <w:r>
        <w:rPr>
          <w:rFonts w:eastAsia="Calibri" w:cs="Arial"/>
        </w:rPr>
        <w:t>. In terms of value for money, Applicants</w:t>
      </w:r>
      <w:r w:rsidRPr="00B61265">
        <w:rPr>
          <w:rFonts w:eastAsia="Calibri" w:cs="Arial"/>
        </w:rPr>
        <w:t xml:space="preserve"> </w:t>
      </w:r>
      <w:r w:rsidR="006B3CDB">
        <w:rPr>
          <w:rFonts w:eastAsia="Calibri" w:cs="Arial"/>
        </w:rPr>
        <w:t xml:space="preserve">need to </w:t>
      </w:r>
      <w:r>
        <w:rPr>
          <w:rFonts w:eastAsia="Calibri" w:cs="Arial"/>
        </w:rPr>
        <w:t xml:space="preserve">demonstrate </w:t>
      </w:r>
      <w:r w:rsidRPr="00B61265">
        <w:rPr>
          <w:rFonts w:eastAsia="Calibri" w:cs="Arial"/>
        </w:rPr>
        <w:t xml:space="preserve">value </w:t>
      </w:r>
      <w:r>
        <w:rPr>
          <w:rFonts w:eastAsia="Calibri" w:cs="Arial"/>
        </w:rPr>
        <w:t>for</w:t>
      </w:r>
      <w:r w:rsidRPr="00B61265">
        <w:rPr>
          <w:rFonts w:eastAsia="Calibri" w:cs="Arial"/>
        </w:rPr>
        <w:t xml:space="preserve"> money by: </w:t>
      </w:r>
    </w:p>
    <w:p w14:paraId="40D5FA9F"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when developing their proposals, how best to deliver the activities to target groups or individuals. This may involve using existing processes and technologies or professional standards, or it may involve innovation and performance improvement by the Applicant;</w:t>
      </w:r>
    </w:p>
    <w:p w14:paraId="6BFC6EE4" w14:textId="77777777" w:rsidR="00594453" w:rsidRPr="00C576B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having in place an effective risk management approach that will minimise potential waste of grant money;</w:t>
      </w:r>
    </w:p>
    <w:p w14:paraId="4E370575" w14:textId="77777777" w:rsidR="00594453" w:rsidRPr="001B748D" w:rsidRDefault="00594453" w:rsidP="007B02B6">
      <w:pPr>
        <w:pStyle w:val="ListParagraph"/>
        <w:numPr>
          <w:ilvl w:val="1"/>
          <w:numId w:val="18"/>
        </w:numPr>
        <w:spacing w:before="120" w:after="120" w:line="240" w:lineRule="auto"/>
        <w:ind w:left="652" w:hanging="357"/>
        <w:contextualSpacing/>
        <w:jc w:val="both"/>
        <w:rPr>
          <w:rFonts w:cs="Arial"/>
          <w:lang w:eastAsia="en-AU"/>
        </w:rPr>
      </w:pPr>
      <w:r>
        <w:rPr>
          <w:rFonts w:cs="Arial"/>
          <w:lang w:eastAsia="en-AU"/>
        </w:rPr>
        <w:t xml:space="preserve">having processes in place for </w:t>
      </w:r>
      <w:r w:rsidRPr="00481500">
        <w:rPr>
          <w:rFonts w:cs="Arial"/>
          <w:lang w:eastAsia="en-AU"/>
        </w:rPr>
        <w:t>ongoing monitoring and management of the project/task/services funded by the grant, as appropriate. This may involve the effective use of organisational processes, procedures and systems to produce the required reporting information</w:t>
      </w:r>
      <w:r>
        <w:rPr>
          <w:rFonts w:cs="Arial"/>
          <w:lang w:eastAsia="en-AU"/>
        </w:rPr>
        <w:t>; and</w:t>
      </w:r>
      <w:r w:rsidRPr="00C576B3">
        <w:rPr>
          <w:rFonts w:cs="Arial"/>
          <w:lang w:eastAsia="en-AU"/>
        </w:rPr>
        <w:t xml:space="preserve"> </w:t>
      </w:r>
    </w:p>
    <w:p w14:paraId="2FD9313F" w14:textId="77777777" w:rsidR="00594453" w:rsidRDefault="00594453" w:rsidP="007B02B6">
      <w:pPr>
        <w:pStyle w:val="ListParagraph"/>
        <w:numPr>
          <w:ilvl w:val="1"/>
          <w:numId w:val="18"/>
        </w:numPr>
        <w:spacing w:before="120" w:after="120" w:line="240" w:lineRule="auto"/>
        <w:ind w:left="652" w:hanging="357"/>
        <w:contextualSpacing/>
        <w:jc w:val="both"/>
        <w:rPr>
          <w:rFonts w:cs="Arial"/>
          <w:lang w:eastAsia="en-AU"/>
        </w:rPr>
      </w:pPr>
      <w:r w:rsidRPr="00C576B3">
        <w:rPr>
          <w:rFonts w:cs="Arial"/>
          <w:lang w:eastAsia="en-AU"/>
        </w:rPr>
        <w:t>considering both the financial and non-financial costs and benefits of each activity proposal throughout the whole grant cycle.</w:t>
      </w:r>
    </w:p>
    <w:p w14:paraId="3A430C43" w14:textId="77777777" w:rsidR="00F302F9" w:rsidRPr="005859CB" w:rsidRDefault="00F302F9" w:rsidP="00F302F9">
      <w:pPr>
        <w:pStyle w:val="ListParagraph"/>
        <w:spacing w:before="120" w:after="120" w:line="240" w:lineRule="auto"/>
        <w:ind w:left="652"/>
        <w:contextualSpacing/>
        <w:jc w:val="both"/>
        <w:rPr>
          <w:rFonts w:cs="Arial"/>
          <w:lang w:eastAsia="en-AU"/>
        </w:rPr>
      </w:pPr>
    </w:p>
    <w:p w14:paraId="393A4008" w14:textId="77777777" w:rsidR="0033239B" w:rsidRPr="00F302F9" w:rsidRDefault="0033239B" w:rsidP="00F302F9">
      <w:pPr>
        <w:pStyle w:val="Heading2Numbered"/>
        <w:rPr>
          <w:rFonts w:eastAsia="Calibri"/>
        </w:rPr>
      </w:pPr>
      <w:bookmarkStart w:id="293" w:name="_Toc462845729"/>
      <w:bookmarkStart w:id="294" w:name="_Toc462846895"/>
      <w:bookmarkStart w:id="295" w:name="_Toc462906175"/>
      <w:bookmarkStart w:id="296" w:name="_Toc462911922"/>
      <w:bookmarkStart w:id="297" w:name="_Toc462912400"/>
      <w:bookmarkStart w:id="298" w:name="_Toc462912572"/>
      <w:bookmarkStart w:id="299" w:name="_Toc462913056"/>
      <w:bookmarkStart w:id="300" w:name="_Toc462918372"/>
      <w:bookmarkStart w:id="301" w:name="_Toc462918601"/>
      <w:bookmarkStart w:id="302" w:name="_Toc462918830"/>
      <w:bookmarkStart w:id="303" w:name="_Toc462919060"/>
      <w:bookmarkStart w:id="304" w:name="_Toc462835125"/>
      <w:bookmarkStart w:id="305" w:name="_Toc462845730"/>
      <w:bookmarkStart w:id="306" w:name="_Toc462846896"/>
      <w:bookmarkStart w:id="307" w:name="_Toc462906176"/>
      <w:bookmarkStart w:id="308" w:name="_Toc462911923"/>
      <w:bookmarkStart w:id="309" w:name="_Toc462912401"/>
      <w:bookmarkStart w:id="310" w:name="_Toc462912573"/>
      <w:bookmarkStart w:id="311" w:name="_Toc462913057"/>
      <w:bookmarkStart w:id="312" w:name="_Toc462918373"/>
      <w:bookmarkStart w:id="313" w:name="_Toc462918602"/>
      <w:bookmarkStart w:id="314" w:name="_Toc462918831"/>
      <w:bookmarkStart w:id="315" w:name="_Toc462919061"/>
      <w:bookmarkStart w:id="316" w:name="_Toc462835133"/>
      <w:bookmarkStart w:id="317" w:name="_Toc462845738"/>
      <w:bookmarkStart w:id="318" w:name="_Toc462846904"/>
      <w:bookmarkStart w:id="319" w:name="_Toc462906181"/>
      <w:bookmarkStart w:id="320" w:name="_Toc462911929"/>
      <w:bookmarkStart w:id="321" w:name="_Toc462912407"/>
      <w:bookmarkStart w:id="322" w:name="_Toc462912579"/>
      <w:bookmarkStart w:id="323" w:name="_Toc462913063"/>
      <w:bookmarkStart w:id="324" w:name="_Toc462918379"/>
      <w:bookmarkStart w:id="325" w:name="_Toc462918608"/>
      <w:bookmarkStart w:id="326" w:name="_Toc462918837"/>
      <w:bookmarkStart w:id="327" w:name="_Toc462919067"/>
      <w:bookmarkStart w:id="328" w:name="_Toc462835134"/>
      <w:bookmarkStart w:id="329" w:name="_Toc462845739"/>
      <w:bookmarkStart w:id="330" w:name="_Toc462846905"/>
      <w:bookmarkStart w:id="331" w:name="_Toc462906182"/>
      <w:bookmarkStart w:id="332" w:name="_Toc462911930"/>
      <w:bookmarkStart w:id="333" w:name="_Toc462912408"/>
      <w:bookmarkStart w:id="334" w:name="_Toc462912580"/>
      <w:bookmarkStart w:id="335" w:name="_Toc462913064"/>
      <w:bookmarkStart w:id="336" w:name="_Toc462918380"/>
      <w:bookmarkStart w:id="337" w:name="_Toc462918609"/>
      <w:bookmarkStart w:id="338" w:name="_Toc462918838"/>
      <w:bookmarkStart w:id="339" w:name="_Toc462919068"/>
      <w:bookmarkStart w:id="340" w:name="_Toc466031757"/>
      <w:bookmarkStart w:id="341" w:name="_Toc466032867"/>
      <w:bookmarkStart w:id="342" w:name="_Toc466032869"/>
      <w:bookmarkStart w:id="343" w:name="_Toc466032870"/>
      <w:bookmarkStart w:id="344" w:name="_Toc466032871"/>
      <w:bookmarkStart w:id="345" w:name="_Toc466031759"/>
      <w:bookmarkStart w:id="346" w:name="_Toc466032872"/>
      <w:bookmarkStart w:id="347" w:name="_Toc462912414"/>
      <w:bookmarkStart w:id="348" w:name="_Toc462912586"/>
      <w:bookmarkStart w:id="349" w:name="_Toc462913071"/>
      <w:bookmarkStart w:id="350" w:name="_Toc462918387"/>
      <w:bookmarkStart w:id="351" w:name="_Toc462918616"/>
      <w:bookmarkStart w:id="352" w:name="_Toc462918845"/>
      <w:bookmarkStart w:id="353" w:name="_Toc462919075"/>
      <w:bookmarkStart w:id="354" w:name="_Toc462912415"/>
      <w:bookmarkStart w:id="355" w:name="_Toc462912587"/>
      <w:bookmarkStart w:id="356" w:name="_Toc462913072"/>
      <w:bookmarkStart w:id="357" w:name="_Toc462918388"/>
      <w:bookmarkStart w:id="358" w:name="_Toc462918617"/>
      <w:bookmarkStart w:id="359" w:name="_Toc462918846"/>
      <w:bookmarkStart w:id="360" w:name="_Toc462919076"/>
      <w:bookmarkStart w:id="361" w:name="_Toc462912416"/>
      <w:bookmarkStart w:id="362" w:name="_Toc462912588"/>
      <w:bookmarkStart w:id="363" w:name="_Toc462913073"/>
      <w:bookmarkStart w:id="364" w:name="_Toc462918389"/>
      <w:bookmarkStart w:id="365" w:name="_Toc462918618"/>
      <w:bookmarkStart w:id="366" w:name="_Toc462918847"/>
      <w:bookmarkStart w:id="367" w:name="_Toc462919077"/>
      <w:bookmarkStart w:id="368" w:name="_Toc462912417"/>
      <w:bookmarkStart w:id="369" w:name="_Toc462912589"/>
      <w:bookmarkStart w:id="370" w:name="_Toc462913074"/>
      <w:bookmarkStart w:id="371" w:name="_Toc462918390"/>
      <w:bookmarkStart w:id="372" w:name="_Toc462918619"/>
      <w:bookmarkStart w:id="373" w:name="_Toc462918848"/>
      <w:bookmarkStart w:id="374" w:name="_Toc462919078"/>
      <w:bookmarkStart w:id="375" w:name="_Toc462912418"/>
      <w:bookmarkStart w:id="376" w:name="_Toc462912590"/>
      <w:bookmarkStart w:id="377" w:name="_Toc462913075"/>
      <w:bookmarkStart w:id="378" w:name="_Toc462918391"/>
      <w:bookmarkStart w:id="379" w:name="_Toc462918620"/>
      <w:bookmarkStart w:id="380" w:name="_Toc462918849"/>
      <w:bookmarkStart w:id="381" w:name="_Toc462919079"/>
      <w:bookmarkStart w:id="382" w:name="_Toc462912419"/>
      <w:bookmarkStart w:id="383" w:name="_Toc462912591"/>
      <w:bookmarkStart w:id="384" w:name="_Toc462913076"/>
      <w:bookmarkStart w:id="385" w:name="_Toc462918392"/>
      <w:bookmarkStart w:id="386" w:name="_Toc462918621"/>
      <w:bookmarkStart w:id="387" w:name="_Toc462918850"/>
      <w:bookmarkStart w:id="388" w:name="_Toc462919080"/>
      <w:bookmarkStart w:id="389" w:name="_Toc462912420"/>
      <w:bookmarkStart w:id="390" w:name="_Toc462912592"/>
      <w:bookmarkStart w:id="391" w:name="_Toc462913077"/>
      <w:bookmarkStart w:id="392" w:name="_Toc462918393"/>
      <w:bookmarkStart w:id="393" w:name="_Toc462918622"/>
      <w:bookmarkStart w:id="394" w:name="_Toc462918851"/>
      <w:bookmarkStart w:id="395" w:name="_Toc462919081"/>
      <w:bookmarkStart w:id="396" w:name="_Toc462912421"/>
      <w:bookmarkStart w:id="397" w:name="_Toc462912593"/>
      <w:bookmarkStart w:id="398" w:name="_Toc462913078"/>
      <w:bookmarkStart w:id="399" w:name="_Toc462918394"/>
      <w:bookmarkStart w:id="400" w:name="_Toc462918623"/>
      <w:bookmarkStart w:id="401" w:name="_Toc462918852"/>
      <w:bookmarkStart w:id="402" w:name="_Toc462919082"/>
      <w:bookmarkStart w:id="403" w:name="_Toc462912422"/>
      <w:bookmarkStart w:id="404" w:name="_Toc462912594"/>
      <w:bookmarkStart w:id="405" w:name="_Toc462913079"/>
      <w:bookmarkStart w:id="406" w:name="_Toc462918395"/>
      <w:bookmarkStart w:id="407" w:name="_Toc462918624"/>
      <w:bookmarkStart w:id="408" w:name="_Toc462918853"/>
      <w:bookmarkStart w:id="409" w:name="_Toc462919083"/>
      <w:bookmarkStart w:id="410" w:name="_Toc462912423"/>
      <w:bookmarkStart w:id="411" w:name="_Toc462912595"/>
      <w:bookmarkStart w:id="412" w:name="_Toc462913080"/>
      <w:bookmarkStart w:id="413" w:name="_Toc462918396"/>
      <w:bookmarkStart w:id="414" w:name="_Toc462918625"/>
      <w:bookmarkStart w:id="415" w:name="_Toc462918854"/>
      <w:bookmarkStart w:id="416" w:name="_Toc462919084"/>
      <w:bookmarkStart w:id="417" w:name="_Toc462912424"/>
      <w:bookmarkStart w:id="418" w:name="_Toc462912596"/>
      <w:bookmarkStart w:id="419" w:name="_Toc462913081"/>
      <w:bookmarkStart w:id="420" w:name="_Toc462918397"/>
      <w:bookmarkStart w:id="421" w:name="_Toc462918626"/>
      <w:bookmarkStart w:id="422" w:name="_Toc462918855"/>
      <w:bookmarkStart w:id="423" w:name="_Toc462919085"/>
      <w:bookmarkStart w:id="424" w:name="_Toc462912425"/>
      <w:bookmarkStart w:id="425" w:name="_Toc462912597"/>
      <w:bookmarkStart w:id="426" w:name="_Toc462913082"/>
      <w:bookmarkStart w:id="427" w:name="_Toc462918398"/>
      <w:bookmarkStart w:id="428" w:name="_Toc462918627"/>
      <w:bookmarkStart w:id="429" w:name="_Toc462918856"/>
      <w:bookmarkStart w:id="430" w:name="_Toc462919086"/>
      <w:bookmarkStart w:id="431" w:name="_Toc462912426"/>
      <w:bookmarkStart w:id="432" w:name="_Toc462912598"/>
      <w:bookmarkStart w:id="433" w:name="_Toc462913083"/>
      <w:bookmarkStart w:id="434" w:name="_Toc462918399"/>
      <w:bookmarkStart w:id="435" w:name="_Toc462918628"/>
      <w:bookmarkStart w:id="436" w:name="_Toc462918857"/>
      <w:bookmarkStart w:id="437" w:name="_Toc462919087"/>
      <w:bookmarkStart w:id="438" w:name="_Toc462846911"/>
      <w:bookmarkStart w:id="439" w:name="_Toc462906188"/>
      <w:bookmarkStart w:id="440" w:name="_Toc462911940"/>
      <w:bookmarkStart w:id="441" w:name="_Toc462912427"/>
      <w:bookmarkStart w:id="442" w:name="_Toc462912599"/>
      <w:bookmarkStart w:id="443" w:name="_Toc462913084"/>
      <w:bookmarkStart w:id="444" w:name="_Toc462918400"/>
      <w:bookmarkStart w:id="445" w:name="_Toc462918629"/>
      <w:bookmarkStart w:id="446" w:name="_Toc462918858"/>
      <w:bookmarkStart w:id="447" w:name="_Toc462919088"/>
      <w:bookmarkStart w:id="448" w:name="_Toc462835138"/>
      <w:bookmarkStart w:id="449" w:name="_Toc462845743"/>
      <w:bookmarkStart w:id="450" w:name="_Toc462846912"/>
      <w:bookmarkStart w:id="451" w:name="_Toc462906189"/>
      <w:bookmarkStart w:id="452" w:name="_Toc462911941"/>
      <w:bookmarkStart w:id="453" w:name="_Toc462912428"/>
      <w:bookmarkStart w:id="454" w:name="_Toc462912600"/>
      <w:bookmarkStart w:id="455" w:name="_Toc462913085"/>
      <w:bookmarkStart w:id="456" w:name="_Toc462918401"/>
      <w:bookmarkStart w:id="457" w:name="_Toc462918630"/>
      <w:bookmarkStart w:id="458" w:name="_Toc462918859"/>
      <w:bookmarkStart w:id="459" w:name="_Toc462919089"/>
      <w:bookmarkStart w:id="460" w:name="_Toc462835139"/>
      <w:bookmarkStart w:id="461" w:name="_Toc462845744"/>
      <w:bookmarkStart w:id="462" w:name="_Toc462846913"/>
      <w:bookmarkStart w:id="463" w:name="_Toc462906190"/>
      <w:bookmarkStart w:id="464" w:name="_Toc462911942"/>
      <w:bookmarkStart w:id="465" w:name="_Toc462912429"/>
      <w:bookmarkStart w:id="466" w:name="_Toc462912601"/>
      <w:bookmarkStart w:id="467" w:name="_Toc462913086"/>
      <w:bookmarkStart w:id="468" w:name="_Toc462918402"/>
      <w:bookmarkStart w:id="469" w:name="_Toc462918631"/>
      <w:bookmarkStart w:id="470" w:name="_Toc462918860"/>
      <w:bookmarkStart w:id="471" w:name="_Toc462919090"/>
      <w:bookmarkStart w:id="472" w:name="_Toc462911943"/>
      <w:bookmarkStart w:id="473" w:name="_Toc462912430"/>
      <w:bookmarkStart w:id="474" w:name="_Toc462912602"/>
      <w:bookmarkStart w:id="475" w:name="_Toc462913087"/>
      <w:bookmarkStart w:id="476" w:name="_Toc462918403"/>
      <w:bookmarkStart w:id="477" w:name="_Toc462918632"/>
      <w:bookmarkStart w:id="478" w:name="_Toc462918861"/>
      <w:bookmarkStart w:id="479" w:name="_Toc462919091"/>
      <w:bookmarkStart w:id="480" w:name="_Toc462911944"/>
      <w:bookmarkStart w:id="481" w:name="_Toc462912431"/>
      <w:bookmarkStart w:id="482" w:name="_Toc462912603"/>
      <w:bookmarkStart w:id="483" w:name="_Toc462913088"/>
      <w:bookmarkStart w:id="484" w:name="_Toc462918404"/>
      <w:bookmarkStart w:id="485" w:name="_Toc462918633"/>
      <w:bookmarkStart w:id="486" w:name="_Toc462918862"/>
      <w:bookmarkStart w:id="487" w:name="_Toc462919092"/>
      <w:bookmarkStart w:id="488" w:name="_Toc462911945"/>
      <w:bookmarkStart w:id="489" w:name="_Toc462912432"/>
      <w:bookmarkStart w:id="490" w:name="_Toc462912604"/>
      <w:bookmarkStart w:id="491" w:name="_Toc462913089"/>
      <w:bookmarkStart w:id="492" w:name="_Toc462918405"/>
      <w:bookmarkStart w:id="493" w:name="_Toc462918634"/>
      <w:bookmarkStart w:id="494" w:name="_Toc462918863"/>
      <w:bookmarkStart w:id="495" w:name="_Toc462919093"/>
      <w:bookmarkStart w:id="496" w:name="_Toc462911946"/>
      <w:bookmarkStart w:id="497" w:name="_Toc462912433"/>
      <w:bookmarkStart w:id="498" w:name="_Toc462912605"/>
      <w:bookmarkStart w:id="499" w:name="_Toc462913090"/>
      <w:bookmarkStart w:id="500" w:name="_Toc462918406"/>
      <w:bookmarkStart w:id="501" w:name="_Toc462918635"/>
      <w:bookmarkStart w:id="502" w:name="_Toc462918864"/>
      <w:bookmarkStart w:id="503" w:name="_Toc462919094"/>
      <w:bookmarkStart w:id="504" w:name="_Toc462911947"/>
      <w:bookmarkStart w:id="505" w:name="_Toc462912434"/>
      <w:bookmarkStart w:id="506" w:name="_Toc462912606"/>
      <w:bookmarkStart w:id="507" w:name="_Toc462913091"/>
      <w:bookmarkStart w:id="508" w:name="_Toc462918407"/>
      <w:bookmarkStart w:id="509" w:name="_Toc462918636"/>
      <w:bookmarkStart w:id="510" w:name="_Toc462918865"/>
      <w:bookmarkStart w:id="511" w:name="_Toc462919095"/>
      <w:bookmarkStart w:id="512" w:name="_Toc462835141"/>
      <w:bookmarkStart w:id="513" w:name="_Toc462845746"/>
      <w:bookmarkStart w:id="514" w:name="_Toc462846915"/>
      <w:bookmarkStart w:id="515" w:name="_Toc462906192"/>
      <w:bookmarkStart w:id="516" w:name="_Toc462911948"/>
      <w:bookmarkStart w:id="517" w:name="_Toc462912435"/>
      <w:bookmarkStart w:id="518" w:name="_Toc462912607"/>
      <w:bookmarkStart w:id="519" w:name="_Toc462913092"/>
      <w:bookmarkStart w:id="520" w:name="_Toc462918408"/>
      <w:bookmarkStart w:id="521" w:name="_Toc462918637"/>
      <w:bookmarkStart w:id="522" w:name="_Toc462918866"/>
      <w:bookmarkStart w:id="523" w:name="_Toc462919096"/>
      <w:bookmarkStart w:id="524" w:name="_Toc462835142"/>
      <w:bookmarkStart w:id="525" w:name="_Toc462845747"/>
      <w:bookmarkStart w:id="526" w:name="_Toc462846916"/>
      <w:bookmarkStart w:id="527" w:name="_Toc462906193"/>
      <w:bookmarkStart w:id="528" w:name="_Toc462911949"/>
      <w:bookmarkStart w:id="529" w:name="_Toc462912436"/>
      <w:bookmarkStart w:id="530" w:name="_Toc462912608"/>
      <w:bookmarkStart w:id="531" w:name="_Toc462913093"/>
      <w:bookmarkStart w:id="532" w:name="_Toc462918409"/>
      <w:bookmarkStart w:id="533" w:name="_Toc462918638"/>
      <w:bookmarkStart w:id="534" w:name="_Toc462918867"/>
      <w:bookmarkStart w:id="535" w:name="_Toc462919097"/>
      <w:bookmarkStart w:id="536" w:name="_Toc462835143"/>
      <w:bookmarkStart w:id="537" w:name="_Toc462845748"/>
      <w:bookmarkStart w:id="538" w:name="_Toc462846917"/>
      <w:bookmarkStart w:id="539" w:name="_Toc462906194"/>
      <w:bookmarkStart w:id="540" w:name="_Toc462911950"/>
      <w:bookmarkStart w:id="541" w:name="_Toc462912437"/>
      <w:bookmarkStart w:id="542" w:name="_Toc462912609"/>
      <w:bookmarkStart w:id="543" w:name="_Toc462913094"/>
      <w:bookmarkStart w:id="544" w:name="_Toc462918410"/>
      <w:bookmarkStart w:id="545" w:name="_Toc462918639"/>
      <w:bookmarkStart w:id="546" w:name="_Toc462918868"/>
      <w:bookmarkStart w:id="547" w:name="_Toc462919098"/>
      <w:bookmarkStart w:id="548" w:name="_Toc462835144"/>
      <w:bookmarkStart w:id="549" w:name="_Toc462845749"/>
      <w:bookmarkStart w:id="550" w:name="_Toc462846918"/>
      <w:bookmarkStart w:id="551" w:name="_Toc462906195"/>
      <w:bookmarkStart w:id="552" w:name="_Toc462911951"/>
      <w:bookmarkStart w:id="553" w:name="_Toc462912438"/>
      <w:bookmarkStart w:id="554" w:name="_Toc462912610"/>
      <w:bookmarkStart w:id="555" w:name="_Toc462913095"/>
      <w:bookmarkStart w:id="556" w:name="_Toc462918411"/>
      <w:bookmarkStart w:id="557" w:name="_Toc462918640"/>
      <w:bookmarkStart w:id="558" w:name="_Toc462918869"/>
      <w:bookmarkStart w:id="559" w:name="_Toc462919099"/>
      <w:bookmarkStart w:id="560" w:name="_Toc462835145"/>
      <w:bookmarkStart w:id="561" w:name="_Toc462845750"/>
      <w:bookmarkStart w:id="562" w:name="_Toc462846919"/>
      <w:bookmarkStart w:id="563" w:name="_Toc462906196"/>
      <w:bookmarkStart w:id="564" w:name="_Toc462911952"/>
      <w:bookmarkStart w:id="565" w:name="_Toc462912439"/>
      <w:bookmarkStart w:id="566" w:name="_Toc462912611"/>
      <w:bookmarkStart w:id="567" w:name="_Toc462913096"/>
      <w:bookmarkStart w:id="568" w:name="_Toc462918412"/>
      <w:bookmarkStart w:id="569" w:name="_Toc462918641"/>
      <w:bookmarkStart w:id="570" w:name="_Toc462918870"/>
      <w:bookmarkStart w:id="571" w:name="_Toc462919100"/>
      <w:bookmarkStart w:id="572" w:name="_Toc462835146"/>
      <w:bookmarkStart w:id="573" w:name="_Toc462845751"/>
      <w:bookmarkStart w:id="574" w:name="_Toc462846920"/>
      <w:bookmarkStart w:id="575" w:name="_Toc462906197"/>
      <w:bookmarkStart w:id="576" w:name="_Toc462911953"/>
      <w:bookmarkStart w:id="577" w:name="_Toc462912440"/>
      <w:bookmarkStart w:id="578" w:name="_Toc462912612"/>
      <w:bookmarkStart w:id="579" w:name="_Toc462913097"/>
      <w:bookmarkStart w:id="580" w:name="_Toc462918413"/>
      <w:bookmarkStart w:id="581" w:name="_Toc462918642"/>
      <w:bookmarkStart w:id="582" w:name="_Toc462918871"/>
      <w:bookmarkStart w:id="583" w:name="_Toc462919101"/>
      <w:bookmarkStart w:id="584" w:name="_Toc462835147"/>
      <w:bookmarkStart w:id="585" w:name="_Toc462845752"/>
      <w:bookmarkStart w:id="586" w:name="_Toc462846921"/>
      <w:bookmarkStart w:id="587" w:name="_Toc462906198"/>
      <w:bookmarkStart w:id="588" w:name="_Toc462911954"/>
      <w:bookmarkStart w:id="589" w:name="_Toc462912441"/>
      <w:bookmarkStart w:id="590" w:name="_Toc462912613"/>
      <w:bookmarkStart w:id="591" w:name="_Toc462913098"/>
      <w:bookmarkStart w:id="592" w:name="_Toc462918414"/>
      <w:bookmarkStart w:id="593" w:name="_Toc462918643"/>
      <w:bookmarkStart w:id="594" w:name="_Toc462918872"/>
      <w:bookmarkStart w:id="595" w:name="_Toc462919102"/>
      <w:bookmarkStart w:id="596" w:name="_Toc462911955"/>
      <w:bookmarkStart w:id="597" w:name="_Toc462912442"/>
      <w:bookmarkStart w:id="598" w:name="_Toc462912614"/>
      <w:bookmarkStart w:id="599" w:name="_Toc462913099"/>
      <w:bookmarkStart w:id="600" w:name="_Toc462918415"/>
      <w:bookmarkStart w:id="601" w:name="_Toc462918644"/>
      <w:bookmarkStart w:id="602" w:name="_Toc462918873"/>
      <w:bookmarkStart w:id="603" w:name="_Toc462919103"/>
      <w:bookmarkStart w:id="604" w:name="_Toc462911956"/>
      <w:bookmarkStart w:id="605" w:name="_Toc462912443"/>
      <w:bookmarkStart w:id="606" w:name="_Toc462912615"/>
      <w:bookmarkStart w:id="607" w:name="_Toc462913100"/>
      <w:bookmarkStart w:id="608" w:name="_Toc462918416"/>
      <w:bookmarkStart w:id="609" w:name="_Toc462918645"/>
      <w:bookmarkStart w:id="610" w:name="_Toc462918874"/>
      <w:bookmarkStart w:id="611" w:name="_Toc462919104"/>
      <w:bookmarkStart w:id="612" w:name="_Toc462911957"/>
      <w:bookmarkStart w:id="613" w:name="_Toc462912444"/>
      <w:bookmarkStart w:id="614" w:name="_Toc462912616"/>
      <w:bookmarkStart w:id="615" w:name="_Toc462913101"/>
      <w:bookmarkStart w:id="616" w:name="_Toc462918417"/>
      <w:bookmarkStart w:id="617" w:name="_Toc462918646"/>
      <w:bookmarkStart w:id="618" w:name="_Toc462918875"/>
      <w:bookmarkStart w:id="619" w:name="_Toc462919105"/>
      <w:bookmarkStart w:id="620" w:name="_Toc462911958"/>
      <w:bookmarkStart w:id="621" w:name="_Toc462912445"/>
      <w:bookmarkStart w:id="622" w:name="_Toc462912617"/>
      <w:bookmarkStart w:id="623" w:name="_Toc462913102"/>
      <w:bookmarkStart w:id="624" w:name="_Toc462918418"/>
      <w:bookmarkStart w:id="625" w:name="_Toc462918647"/>
      <w:bookmarkStart w:id="626" w:name="_Toc462918876"/>
      <w:bookmarkStart w:id="627" w:name="_Toc462919106"/>
      <w:bookmarkStart w:id="628" w:name="_Toc462911959"/>
      <w:bookmarkStart w:id="629" w:name="_Toc462912446"/>
      <w:bookmarkStart w:id="630" w:name="_Toc462912618"/>
      <w:bookmarkStart w:id="631" w:name="_Toc462913103"/>
      <w:bookmarkStart w:id="632" w:name="_Toc462918419"/>
      <w:bookmarkStart w:id="633" w:name="_Toc462918648"/>
      <w:bookmarkStart w:id="634" w:name="_Toc462918877"/>
      <w:bookmarkStart w:id="635" w:name="_Toc462919107"/>
      <w:bookmarkStart w:id="636" w:name="_Toc462911960"/>
      <w:bookmarkStart w:id="637" w:name="_Toc462912447"/>
      <w:bookmarkStart w:id="638" w:name="_Toc462912619"/>
      <w:bookmarkStart w:id="639" w:name="_Toc462913104"/>
      <w:bookmarkStart w:id="640" w:name="_Toc462918420"/>
      <w:bookmarkStart w:id="641" w:name="_Toc462918649"/>
      <w:bookmarkStart w:id="642" w:name="_Toc462918878"/>
      <w:bookmarkStart w:id="643" w:name="_Toc462919108"/>
      <w:bookmarkStart w:id="644" w:name="_Toc462911961"/>
      <w:bookmarkStart w:id="645" w:name="_Toc462912448"/>
      <w:bookmarkStart w:id="646" w:name="_Toc462912620"/>
      <w:bookmarkStart w:id="647" w:name="_Toc462913105"/>
      <w:bookmarkStart w:id="648" w:name="_Toc462918421"/>
      <w:bookmarkStart w:id="649" w:name="_Toc462918650"/>
      <w:bookmarkStart w:id="650" w:name="_Toc462918879"/>
      <w:bookmarkStart w:id="651" w:name="_Toc462919109"/>
      <w:bookmarkStart w:id="652" w:name="_Toc462911962"/>
      <w:bookmarkStart w:id="653" w:name="_Toc462912449"/>
      <w:bookmarkStart w:id="654" w:name="_Toc462912621"/>
      <w:bookmarkStart w:id="655" w:name="_Toc462913106"/>
      <w:bookmarkStart w:id="656" w:name="_Toc462918422"/>
      <w:bookmarkStart w:id="657" w:name="_Toc462918651"/>
      <w:bookmarkStart w:id="658" w:name="_Toc462918880"/>
      <w:bookmarkStart w:id="659" w:name="_Toc462919110"/>
      <w:bookmarkStart w:id="660" w:name="_Toc462911963"/>
      <w:bookmarkStart w:id="661" w:name="_Toc462912450"/>
      <w:bookmarkStart w:id="662" w:name="_Toc462912622"/>
      <w:bookmarkStart w:id="663" w:name="_Toc462913107"/>
      <w:bookmarkStart w:id="664" w:name="_Toc462918423"/>
      <w:bookmarkStart w:id="665" w:name="_Toc462918652"/>
      <w:bookmarkStart w:id="666" w:name="_Toc462918881"/>
      <w:bookmarkStart w:id="667" w:name="_Toc462919111"/>
      <w:bookmarkStart w:id="668" w:name="_Toc462911964"/>
      <w:bookmarkStart w:id="669" w:name="_Toc462912451"/>
      <w:bookmarkStart w:id="670" w:name="_Toc462912623"/>
      <w:bookmarkStart w:id="671" w:name="_Toc462913108"/>
      <w:bookmarkStart w:id="672" w:name="_Toc462918424"/>
      <w:bookmarkStart w:id="673" w:name="_Toc462918653"/>
      <w:bookmarkStart w:id="674" w:name="_Toc462918882"/>
      <w:bookmarkStart w:id="675" w:name="_Toc462919112"/>
      <w:bookmarkStart w:id="676" w:name="_Toc462911965"/>
      <w:bookmarkStart w:id="677" w:name="_Toc462912452"/>
      <w:bookmarkStart w:id="678" w:name="_Toc462912624"/>
      <w:bookmarkStart w:id="679" w:name="_Toc462913109"/>
      <w:bookmarkStart w:id="680" w:name="_Toc462918425"/>
      <w:bookmarkStart w:id="681" w:name="_Toc462918654"/>
      <w:bookmarkStart w:id="682" w:name="_Toc462918883"/>
      <w:bookmarkStart w:id="683" w:name="_Toc462919113"/>
      <w:bookmarkStart w:id="684" w:name="_Toc462911966"/>
      <w:bookmarkStart w:id="685" w:name="_Toc462912453"/>
      <w:bookmarkStart w:id="686" w:name="_Toc462912625"/>
      <w:bookmarkStart w:id="687" w:name="_Toc462913110"/>
      <w:bookmarkStart w:id="688" w:name="_Toc462918426"/>
      <w:bookmarkStart w:id="689" w:name="_Toc462918655"/>
      <w:bookmarkStart w:id="690" w:name="_Toc462918884"/>
      <w:bookmarkStart w:id="691" w:name="_Toc462919114"/>
      <w:bookmarkStart w:id="692" w:name="_Toc462911967"/>
      <w:bookmarkStart w:id="693" w:name="_Toc462912454"/>
      <w:bookmarkStart w:id="694" w:name="_Toc462912626"/>
      <w:bookmarkStart w:id="695" w:name="_Toc462913111"/>
      <w:bookmarkStart w:id="696" w:name="_Toc462918427"/>
      <w:bookmarkStart w:id="697" w:name="_Toc462918656"/>
      <w:bookmarkStart w:id="698" w:name="_Toc462918885"/>
      <w:bookmarkStart w:id="699" w:name="_Toc462919115"/>
      <w:bookmarkStart w:id="700" w:name="_Toc462911968"/>
      <w:bookmarkStart w:id="701" w:name="_Toc462912455"/>
      <w:bookmarkStart w:id="702" w:name="_Toc462912627"/>
      <w:bookmarkStart w:id="703" w:name="_Toc462913112"/>
      <w:bookmarkStart w:id="704" w:name="_Toc462918428"/>
      <w:bookmarkStart w:id="705" w:name="_Toc462918657"/>
      <w:bookmarkStart w:id="706" w:name="_Toc462918886"/>
      <w:bookmarkStart w:id="707" w:name="_Toc462919116"/>
      <w:bookmarkStart w:id="708" w:name="_Toc462911969"/>
      <w:bookmarkStart w:id="709" w:name="_Toc462912456"/>
      <w:bookmarkStart w:id="710" w:name="_Toc462912628"/>
      <w:bookmarkStart w:id="711" w:name="_Toc462913113"/>
      <w:bookmarkStart w:id="712" w:name="_Toc462918429"/>
      <w:bookmarkStart w:id="713" w:name="_Toc462918658"/>
      <w:bookmarkStart w:id="714" w:name="_Toc462918887"/>
      <w:bookmarkStart w:id="715" w:name="_Toc462919117"/>
      <w:bookmarkStart w:id="716" w:name="_Toc462911970"/>
      <w:bookmarkStart w:id="717" w:name="_Toc462912457"/>
      <w:bookmarkStart w:id="718" w:name="_Toc462912629"/>
      <w:bookmarkStart w:id="719" w:name="_Toc462913114"/>
      <w:bookmarkStart w:id="720" w:name="_Toc462918430"/>
      <w:bookmarkStart w:id="721" w:name="_Toc462918659"/>
      <w:bookmarkStart w:id="722" w:name="_Toc462918888"/>
      <w:bookmarkStart w:id="723" w:name="_Toc462919118"/>
      <w:bookmarkStart w:id="724" w:name="_Toc462911971"/>
      <w:bookmarkStart w:id="725" w:name="_Toc462912458"/>
      <w:bookmarkStart w:id="726" w:name="_Toc462912630"/>
      <w:bookmarkStart w:id="727" w:name="_Toc462913115"/>
      <w:bookmarkStart w:id="728" w:name="_Toc462918431"/>
      <w:bookmarkStart w:id="729" w:name="_Toc462918660"/>
      <w:bookmarkStart w:id="730" w:name="_Toc462918889"/>
      <w:bookmarkStart w:id="731" w:name="_Toc462919119"/>
      <w:bookmarkStart w:id="732" w:name="_Toc462911972"/>
      <w:bookmarkStart w:id="733" w:name="_Toc462912459"/>
      <w:bookmarkStart w:id="734" w:name="_Toc462912631"/>
      <w:bookmarkStart w:id="735" w:name="_Toc462913116"/>
      <w:bookmarkStart w:id="736" w:name="_Toc462918432"/>
      <w:bookmarkStart w:id="737" w:name="_Toc462918661"/>
      <w:bookmarkStart w:id="738" w:name="_Toc462918890"/>
      <w:bookmarkStart w:id="739" w:name="_Toc462919120"/>
      <w:bookmarkStart w:id="740" w:name="_Toc462911973"/>
      <w:bookmarkStart w:id="741" w:name="_Toc462912460"/>
      <w:bookmarkStart w:id="742" w:name="_Toc462912632"/>
      <w:bookmarkStart w:id="743" w:name="_Toc462913117"/>
      <w:bookmarkStart w:id="744" w:name="_Toc462918433"/>
      <w:bookmarkStart w:id="745" w:name="_Toc462918662"/>
      <w:bookmarkStart w:id="746" w:name="_Toc462918891"/>
      <w:bookmarkStart w:id="747" w:name="_Toc462919121"/>
      <w:bookmarkStart w:id="748" w:name="_Toc462911974"/>
      <w:bookmarkStart w:id="749" w:name="_Toc462912461"/>
      <w:bookmarkStart w:id="750" w:name="_Toc462912633"/>
      <w:bookmarkStart w:id="751" w:name="_Toc462913118"/>
      <w:bookmarkStart w:id="752" w:name="_Toc462918434"/>
      <w:bookmarkStart w:id="753" w:name="_Toc462918663"/>
      <w:bookmarkStart w:id="754" w:name="_Toc462918892"/>
      <w:bookmarkStart w:id="755" w:name="_Toc462919122"/>
      <w:bookmarkStart w:id="756" w:name="_Toc462911975"/>
      <w:bookmarkStart w:id="757" w:name="_Toc462912462"/>
      <w:bookmarkStart w:id="758" w:name="_Toc462912634"/>
      <w:bookmarkStart w:id="759" w:name="_Toc462913119"/>
      <w:bookmarkStart w:id="760" w:name="_Toc462918435"/>
      <w:bookmarkStart w:id="761" w:name="_Toc462918664"/>
      <w:bookmarkStart w:id="762" w:name="_Toc462918893"/>
      <w:bookmarkStart w:id="763" w:name="_Toc462919123"/>
      <w:bookmarkStart w:id="764" w:name="_Toc462911976"/>
      <w:bookmarkStart w:id="765" w:name="_Toc462912463"/>
      <w:bookmarkStart w:id="766" w:name="_Toc462912635"/>
      <w:bookmarkStart w:id="767" w:name="_Toc462913120"/>
      <w:bookmarkStart w:id="768" w:name="_Toc462918436"/>
      <w:bookmarkStart w:id="769" w:name="_Toc462918665"/>
      <w:bookmarkStart w:id="770" w:name="_Toc462918894"/>
      <w:bookmarkStart w:id="771" w:name="_Toc462919124"/>
      <w:bookmarkStart w:id="772" w:name="_Toc462911977"/>
      <w:bookmarkStart w:id="773" w:name="_Toc462912464"/>
      <w:bookmarkStart w:id="774" w:name="_Toc462912636"/>
      <w:bookmarkStart w:id="775" w:name="_Toc462913121"/>
      <w:bookmarkStart w:id="776" w:name="_Toc462918437"/>
      <w:bookmarkStart w:id="777" w:name="_Toc462918666"/>
      <w:bookmarkStart w:id="778" w:name="_Toc462918895"/>
      <w:bookmarkStart w:id="779" w:name="_Toc462919125"/>
      <w:bookmarkStart w:id="780" w:name="_Toc462911978"/>
      <w:bookmarkStart w:id="781" w:name="_Toc462912465"/>
      <w:bookmarkStart w:id="782" w:name="_Toc462912637"/>
      <w:bookmarkStart w:id="783" w:name="_Toc462913122"/>
      <w:bookmarkStart w:id="784" w:name="_Toc462918438"/>
      <w:bookmarkStart w:id="785" w:name="_Toc462918667"/>
      <w:bookmarkStart w:id="786" w:name="_Toc462918896"/>
      <w:bookmarkStart w:id="787" w:name="_Toc462919126"/>
      <w:bookmarkStart w:id="788" w:name="_Toc462911979"/>
      <w:bookmarkStart w:id="789" w:name="_Toc462912466"/>
      <w:bookmarkStart w:id="790" w:name="_Toc462912638"/>
      <w:bookmarkStart w:id="791" w:name="_Toc462913123"/>
      <w:bookmarkStart w:id="792" w:name="_Toc462918439"/>
      <w:bookmarkStart w:id="793" w:name="_Toc462918668"/>
      <w:bookmarkStart w:id="794" w:name="_Toc462918897"/>
      <w:bookmarkStart w:id="795" w:name="_Toc462919127"/>
      <w:bookmarkStart w:id="796" w:name="_Toc462911980"/>
      <w:bookmarkStart w:id="797" w:name="_Toc462912467"/>
      <w:bookmarkStart w:id="798" w:name="_Toc462912639"/>
      <w:bookmarkStart w:id="799" w:name="_Toc462913124"/>
      <w:bookmarkStart w:id="800" w:name="_Toc462918440"/>
      <w:bookmarkStart w:id="801" w:name="_Toc462918669"/>
      <w:bookmarkStart w:id="802" w:name="_Toc462918898"/>
      <w:bookmarkStart w:id="803" w:name="_Toc462919128"/>
      <w:bookmarkStart w:id="804" w:name="_Toc462911981"/>
      <w:bookmarkStart w:id="805" w:name="_Toc462912468"/>
      <w:bookmarkStart w:id="806" w:name="_Toc462912640"/>
      <w:bookmarkStart w:id="807" w:name="_Toc462913125"/>
      <w:bookmarkStart w:id="808" w:name="_Toc462918441"/>
      <w:bookmarkStart w:id="809" w:name="_Toc462918670"/>
      <w:bookmarkStart w:id="810" w:name="_Toc462918899"/>
      <w:bookmarkStart w:id="811" w:name="_Toc462919129"/>
      <w:bookmarkStart w:id="812" w:name="_Toc462911982"/>
      <w:bookmarkStart w:id="813" w:name="_Toc462912469"/>
      <w:bookmarkStart w:id="814" w:name="_Toc462912641"/>
      <w:bookmarkStart w:id="815" w:name="_Toc462913126"/>
      <w:bookmarkStart w:id="816" w:name="_Toc462918442"/>
      <w:bookmarkStart w:id="817" w:name="_Toc462918671"/>
      <w:bookmarkStart w:id="818" w:name="_Toc462918900"/>
      <w:bookmarkStart w:id="819" w:name="_Toc462919130"/>
      <w:bookmarkStart w:id="820" w:name="_Toc462835149"/>
      <w:bookmarkStart w:id="821" w:name="_Toc462845754"/>
      <w:bookmarkStart w:id="822" w:name="_Toc462846923"/>
      <w:bookmarkStart w:id="823" w:name="_Toc462906200"/>
      <w:bookmarkStart w:id="824" w:name="_Toc462911983"/>
      <w:bookmarkStart w:id="825" w:name="_Toc462912470"/>
      <w:bookmarkStart w:id="826" w:name="_Toc462912642"/>
      <w:bookmarkStart w:id="827" w:name="_Toc462913127"/>
      <w:bookmarkStart w:id="828" w:name="_Toc462918443"/>
      <w:bookmarkStart w:id="829" w:name="_Toc462918672"/>
      <w:bookmarkStart w:id="830" w:name="_Toc462918901"/>
      <w:bookmarkStart w:id="831" w:name="_Toc462919131"/>
      <w:bookmarkStart w:id="832" w:name="_Toc462835150"/>
      <w:bookmarkStart w:id="833" w:name="_Toc462845755"/>
      <w:bookmarkStart w:id="834" w:name="_Toc462846924"/>
      <w:bookmarkStart w:id="835" w:name="_Toc462906201"/>
      <w:bookmarkStart w:id="836" w:name="_Toc462911984"/>
      <w:bookmarkStart w:id="837" w:name="_Toc462912471"/>
      <w:bookmarkStart w:id="838" w:name="_Toc462912643"/>
      <w:bookmarkStart w:id="839" w:name="_Toc462913128"/>
      <w:bookmarkStart w:id="840" w:name="_Toc462918444"/>
      <w:bookmarkStart w:id="841" w:name="_Toc462918673"/>
      <w:bookmarkStart w:id="842" w:name="_Toc462918902"/>
      <w:bookmarkStart w:id="843" w:name="_Toc462919132"/>
      <w:bookmarkStart w:id="844" w:name="_Toc462835151"/>
      <w:bookmarkStart w:id="845" w:name="_Toc462845756"/>
      <w:bookmarkStart w:id="846" w:name="_Toc462846925"/>
      <w:bookmarkStart w:id="847" w:name="_Toc462906202"/>
      <w:bookmarkStart w:id="848" w:name="_Toc462911985"/>
      <w:bookmarkStart w:id="849" w:name="_Toc462912472"/>
      <w:bookmarkStart w:id="850" w:name="_Toc462912644"/>
      <w:bookmarkStart w:id="851" w:name="_Toc462913129"/>
      <w:bookmarkStart w:id="852" w:name="_Toc462918445"/>
      <w:bookmarkStart w:id="853" w:name="_Toc462918674"/>
      <w:bookmarkStart w:id="854" w:name="_Toc462918903"/>
      <w:bookmarkStart w:id="855" w:name="_Toc462919133"/>
      <w:bookmarkStart w:id="856" w:name="_Toc462911986"/>
      <w:bookmarkStart w:id="857" w:name="_Toc462912473"/>
      <w:bookmarkStart w:id="858" w:name="_Toc462912645"/>
      <w:bookmarkStart w:id="859" w:name="_Toc462913130"/>
      <w:bookmarkStart w:id="860" w:name="_Toc462918446"/>
      <w:bookmarkStart w:id="861" w:name="_Toc462918675"/>
      <w:bookmarkStart w:id="862" w:name="_Toc462918904"/>
      <w:bookmarkStart w:id="863" w:name="_Toc462919134"/>
      <w:bookmarkStart w:id="864" w:name="_Toc462911987"/>
      <w:bookmarkStart w:id="865" w:name="_Toc462912474"/>
      <w:bookmarkStart w:id="866" w:name="_Toc462912646"/>
      <w:bookmarkStart w:id="867" w:name="_Toc462913131"/>
      <w:bookmarkStart w:id="868" w:name="_Toc462918447"/>
      <w:bookmarkStart w:id="869" w:name="_Toc462918676"/>
      <w:bookmarkStart w:id="870" w:name="_Toc462918905"/>
      <w:bookmarkStart w:id="871" w:name="_Toc462919135"/>
      <w:bookmarkStart w:id="872" w:name="_Toc462911988"/>
      <w:bookmarkStart w:id="873" w:name="_Toc462912475"/>
      <w:bookmarkStart w:id="874" w:name="_Toc462912647"/>
      <w:bookmarkStart w:id="875" w:name="_Toc462913132"/>
      <w:bookmarkStart w:id="876" w:name="_Toc462918448"/>
      <w:bookmarkStart w:id="877" w:name="_Toc462918677"/>
      <w:bookmarkStart w:id="878" w:name="_Toc462918906"/>
      <w:bookmarkStart w:id="879" w:name="_Toc462919136"/>
      <w:bookmarkStart w:id="880" w:name="_Toc462911989"/>
      <w:bookmarkStart w:id="881" w:name="_Toc462912476"/>
      <w:bookmarkStart w:id="882" w:name="_Toc462912648"/>
      <w:bookmarkStart w:id="883" w:name="_Toc462913133"/>
      <w:bookmarkStart w:id="884" w:name="_Toc462918449"/>
      <w:bookmarkStart w:id="885" w:name="_Toc462918678"/>
      <w:bookmarkStart w:id="886" w:name="_Toc462918907"/>
      <w:bookmarkStart w:id="887" w:name="_Toc462919137"/>
      <w:bookmarkStart w:id="888" w:name="_Toc462911990"/>
      <w:bookmarkStart w:id="889" w:name="_Toc462912477"/>
      <w:bookmarkStart w:id="890" w:name="_Toc462912649"/>
      <w:bookmarkStart w:id="891" w:name="_Toc462913134"/>
      <w:bookmarkStart w:id="892" w:name="_Toc462918450"/>
      <w:bookmarkStart w:id="893" w:name="_Toc462918679"/>
      <w:bookmarkStart w:id="894" w:name="_Toc462918908"/>
      <w:bookmarkStart w:id="895" w:name="_Toc462919138"/>
      <w:bookmarkStart w:id="896" w:name="_Toc462911991"/>
      <w:bookmarkStart w:id="897" w:name="_Toc462912478"/>
      <w:bookmarkStart w:id="898" w:name="_Toc462912650"/>
      <w:bookmarkStart w:id="899" w:name="_Toc462913135"/>
      <w:bookmarkStart w:id="900" w:name="_Toc462918451"/>
      <w:bookmarkStart w:id="901" w:name="_Toc462918680"/>
      <w:bookmarkStart w:id="902" w:name="_Toc462918909"/>
      <w:bookmarkStart w:id="903" w:name="_Toc462919139"/>
      <w:bookmarkStart w:id="904" w:name="_Toc462911992"/>
      <w:bookmarkStart w:id="905" w:name="_Toc462912479"/>
      <w:bookmarkStart w:id="906" w:name="_Toc462912651"/>
      <w:bookmarkStart w:id="907" w:name="_Toc462913136"/>
      <w:bookmarkStart w:id="908" w:name="_Toc462918452"/>
      <w:bookmarkStart w:id="909" w:name="_Toc462918681"/>
      <w:bookmarkStart w:id="910" w:name="_Toc462918910"/>
      <w:bookmarkStart w:id="911" w:name="_Toc462919140"/>
      <w:bookmarkStart w:id="912" w:name="_Toc462911993"/>
      <w:bookmarkStart w:id="913" w:name="_Toc462912480"/>
      <w:bookmarkStart w:id="914" w:name="_Toc462912652"/>
      <w:bookmarkStart w:id="915" w:name="_Toc462913137"/>
      <w:bookmarkStart w:id="916" w:name="_Toc462918453"/>
      <w:bookmarkStart w:id="917" w:name="_Toc462918682"/>
      <w:bookmarkStart w:id="918" w:name="_Toc462918911"/>
      <w:bookmarkStart w:id="919" w:name="_Toc462919141"/>
      <w:bookmarkStart w:id="920" w:name="_Toc462911994"/>
      <w:bookmarkStart w:id="921" w:name="_Toc462912481"/>
      <w:bookmarkStart w:id="922" w:name="_Toc462912653"/>
      <w:bookmarkStart w:id="923" w:name="_Toc462913138"/>
      <w:bookmarkStart w:id="924" w:name="_Toc462918454"/>
      <w:bookmarkStart w:id="925" w:name="_Toc462918683"/>
      <w:bookmarkStart w:id="926" w:name="_Toc462918912"/>
      <w:bookmarkStart w:id="927" w:name="_Toc462919142"/>
      <w:bookmarkStart w:id="928" w:name="_Toc462911995"/>
      <w:bookmarkStart w:id="929" w:name="_Toc462912482"/>
      <w:bookmarkStart w:id="930" w:name="_Toc462912654"/>
      <w:bookmarkStart w:id="931" w:name="_Toc462913139"/>
      <w:bookmarkStart w:id="932" w:name="_Toc462918455"/>
      <w:bookmarkStart w:id="933" w:name="_Toc462918684"/>
      <w:bookmarkStart w:id="934" w:name="_Toc462918913"/>
      <w:bookmarkStart w:id="935" w:name="_Toc462919143"/>
      <w:bookmarkStart w:id="936" w:name="_Toc462911996"/>
      <w:bookmarkStart w:id="937" w:name="_Toc462912483"/>
      <w:bookmarkStart w:id="938" w:name="_Toc462912655"/>
      <w:bookmarkStart w:id="939" w:name="_Toc462913140"/>
      <w:bookmarkStart w:id="940" w:name="_Toc462918456"/>
      <w:bookmarkStart w:id="941" w:name="_Toc462918685"/>
      <w:bookmarkStart w:id="942" w:name="_Toc462918914"/>
      <w:bookmarkStart w:id="943" w:name="_Toc462919144"/>
      <w:bookmarkStart w:id="944" w:name="_Toc462911997"/>
      <w:bookmarkStart w:id="945" w:name="_Toc462912484"/>
      <w:bookmarkStart w:id="946" w:name="_Toc462912656"/>
      <w:bookmarkStart w:id="947" w:name="_Toc462913141"/>
      <w:bookmarkStart w:id="948" w:name="_Toc462918457"/>
      <w:bookmarkStart w:id="949" w:name="_Toc462918686"/>
      <w:bookmarkStart w:id="950" w:name="_Toc462918915"/>
      <w:bookmarkStart w:id="951" w:name="_Toc462919145"/>
      <w:bookmarkStart w:id="952" w:name="_Toc424822065"/>
      <w:bookmarkStart w:id="953" w:name="_Toc424822175"/>
      <w:bookmarkStart w:id="954" w:name="_Toc424822254"/>
      <w:bookmarkStart w:id="955" w:name="_Toc424822311"/>
      <w:bookmarkStart w:id="956" w:name="_Toc424822367"/>
      <w:bookmarkStart w:id="957" w:name="_Toc424822440"/>
      <w:bookmarkStart w:id="958" w:name="_Toc424822495"/>
      <w:bookmarkStart w:id="959" w:name="_Toc424822550"/>
      <w:bookmarkStart w:id="960" w:name="_Toc462912001"/>
      <w:bookmarkStart w:id="961" w:name="_Toc462912488"/>
      <w:bookmarkStart w:id="962" w:name="_Toc462912660"/>
      <w:bookmarkStart w:id="963" w:name="_Toc462913145"/>
      <w:bookmarkStart w:id="964" w:name="_Toc462918461"/>
      <w:bookmarkStart w:id="965" w:name="_Toc462918690"/>
      <w:bookmarkStart w:id="966" w:name="_Toc462918919"/>
      <w:bookmarkStart w:id="967" w:name="_Toc462919149"/>
      <w:bookmarkStart w:id="968" w:name="_Toc462835157"/>
      <w:bookmarkStart w:id="969" w:name="_Toc462845762"/>
      <w:bookmarkStart w:id="970" w:name="_Toc462846931"/>
      <w:bookmarkStart w:id="971" w:name="_Toc462906208"/>
      <w:bookmarkStart w:id="972" w:name="_Toc462912002"/>
      <w:bookmarkStart w:id="973" w:name="_Toc462912489"/>
      <w:bookmarkStart w:id="974" w:name="_Toc462912661"/>
      <w:bookmarkStart w:id="975" w:name="_Toc462913146"/>
      <w:bookmarkStart w:id="976" w:name="_Toc462918462"/>
      <w:bookmarkStart w:id="977" w:name="_Toc462918691"/>
      <w:bookmarkStart w:id="978" w:name="_Toc462918920"/>
      <w:bookmarkStart w:id="979" w:name="_Toc462919150"/>
      <w:bookmarkStart w:id="980" w:name="_Toc462835158"/>
      <w:bookmarkStart w:id="981" w:name="_Toc462845763"/>
      <w:bookmarkStart w:id="982" w:name="_Toc462846932"/>
      <w:bookmarkStart w:id="983" w:name="_Toc462906209"/>
      <w:bookmarkStart w:id="984" w:name="_Toc462912003"/>
      <w:bookmarkStart w:id="985" w:name="_Toc462912490"/>
      <w:bookmarkStart w:id="986" w:name="_Toc462912662"/>
      <w:bookmarkStart w:id="987" w:name="_Toc462913147"/>
      <w:bookmarkStart w:id="988" w:name="_Toc462918463"/>
      <w:bookmarkStart w:id="989" w:name="_Toc462918692"/>
      <w:bookmarkStart w:id="990" w:name="_Toc462918921"/>
      <w:bookmarkStart w:id="991" w:name="_Toc462919151"/>
      <w:bookmarkStart w:id="992" w:name="_Toc462835160"/>
      <w:bookmarkStart w:id="993" w:name="_Toc462845765"/>
      <w:bookmarkStart w:id="994" w:name="_Toc462846934"/>
      <w:bookmarkStart w:id="995" w:name="_Toc462906211"/>
      <w:bookmarkStart w:id="996" w:name="_Toc462912005"/>
      <w:bookmarkStart w:id="997" w:name="_Toc462912492"/>
      <w:bookmarkStart w:id="998" w:name="_Toc462912664"/>
      <w:bookmarkStart w:id="999" w:name="_Toc462913149"/>
      <w:bookmarkStart w:id="1000" w:name="_Toc462918465"/>
      <w:bookmarkStart w:id="1001" w:name="_Toc462918694"/>
      <w:bookmarkStart w:id="1002" w:name="_Toc462918923"/>
      <w:bookmarkStart w:id="1003" w:name="_Toc462919153"/>
      <w:bookmarkStart w:id="1004" w:name="_Toc462835161"/>
      <w:bookmarkStart w:id="1005" w:name="_Toc462845766"/>
      <w:bookmarkStart w:id="1006" w:name="_Toc462846935"/>
      <w:bookmarkStart w:id="1007" w:name="_Toc462906212"/>
      <w:bookmarkStart w:id="1008" w:name="_Toc462912006"/>
      <w:bookmarkStart w:id="1009" w:name="_Toc462912493"/>
      <w:bookmarkStart w:id="1010" w:name="_Toc462912665"/>
      <w:bookmarkStart w:id="1011" w:name="_Toc462913150"/>
      <w:bookmarkStart w:id="1012" w:name="_Toc462918466"/>
      <w:bookmarkStart w:id="1013" w:name="_Toc462918695"/>
      <w:bookmarkStart w:id="1014" w:name="_Toc462918924"/>
      <w:bookmarkStart w:id="1015" w:name="_Toc462919154"/>
      <w:bookmarkStart w:id="1016" w:name="_Toc462835162"/>
      <w:bookmarkStart w:id="1017" w:name="_Toc462845767"/>
      <w:bookmarkStart w:id="1018" w:name="_Toc462846936"/>
      <w:bookmarkStart w:id="1019" w:name="_Toc462906213"/>
      <w:bookmarkStart w:id="1020" w:name="_Toc462912007"/>
      <w:bookmarkStart w:id="1021" w:name="_Toc462912494"/>
      <w:bookmarkStart w:id="1022" w:name="_Toc462912666"/>
      <w:bookmarkStart w:id="1023" w:name="_Toc462913151"/>
      <w:bookmarkStart w:id="1024" w:name="_Toc462918467"/>
      <w:bookmarkStart w:id="1025" w:name="_Toc462918696"/>
      <w:bookmarkStart w:id="1026" w:name="_Toc462918925"/>
      <w:bookmarkStart w:id="1027" w:name="_Toc462919155"/>
      <w:bookmarkStart w:id="1028" w:name="_Toc462835163"/>
      <w:bookmarkStart w:id="1029" w:name="_Toc462845768"/>
      <w:bookmarkStart w:id="1030" w:name="_Toc462846937"/>
      <w:bookmarkStart w:id="1031" w:name="_Toc462906214"/>
      <w:bookmarkStart w:id="1032" w:name="_Toc462912008"/>
      <w:bookmarkStart w:id="1033" w:name="_Toc462912495"/>
      <w:bookmarkStart w:id="1034" w:name="_Toc462912667"/>
      <w:bookmarkStart w:id="1035" w:name="_Toc462913152"/>
      <w:bookmarkStart w:id="1036" w:name="_Toc462918468"/>
      <w:bookmarkStart w:id="1037" w:name="_Toc462918697"/>
      <w:bookmarkStart w:id="1038" w:name="_Toc462918926"/>
      <w:bookmarkStart w:id="1039" w:name="_Toc462919156"/>
      <w:bookmarkStart w:id="1040" w:name="_Toc462835164"/>
      <w:bookmarkStart w:id="1041" w:name="_Toc462845769"/>
      <w:bookmarkStart w:id="1042" w:name="_Toc462846938"/>
      <w:bookmarkStart w:id="1043" w:name="_Toc462906215"/>
      <w:bookmarkStart w:id="1044" w:name="_Toc462912009"/>
      <w:bookmarkStart w:id="1045" w:name="_Toc462912496"/>
      <w:bookmarkStart w:id="1046" w:name="_Toc462912668"/>
      <w:bookmarkStart w:id="1047" w:name="_Toc462913153"/>
      <w:bookmarkStart w:id="1048" w:name="_Toc462918469"/>
      <w:bookmarkStart w:id="1049" w:name="_Toc462918698"/>
      <w:bookmarkStart w:id="1050" w:name="_Toc462918927"/>
      <w:bookmarkStart w:id="1051" w:name="_Toc462919157"/>
      <w:bookmarkStart w:id="1052" w:name="_Toc462835168"/>
      <w:bookmarkStart w:id="1053" w:name="_Toc462845773"/>
      <w:bookmarkStart w:id="1054" w:name="_Toc462846942"/>
      <w:bookmarkStart w:id="1055" w:name="_Toc462906219"/>
      <w:bookmarkStart w:id="1056" w:name="_Toc462912013"/>
      <w:bookmarkStart w:id="1057" w:name="_Toc462912500"/>
      <w:bookmarkStart w:id="1058" w:name="_Toc462912672"/>
      <w:bookmarkStart w:id="1059" w:name="_Toc462913157"/>
      <w:bookmarkStart w:id="1060" w:name="_Toc462918473"/>
      <w:bookmarkStart w:id="1061" w:name="_Toc462918702"/>
      <w:bookmarkStart w:id="1062" w:name="_Toc462918931"/>
      <w:bookmarkStart w:id="1063" w:name="_Toc462919161"/>
      <w:bookmarkStart w:id="1064" w:name="_Toc358796645"/>
      <w:bookmarkStart w:id="1065" w:name="_Toc358796705"/>
      <w:bookmarkStart w:id="1066" w:name="_Toc358815949"/>
      <w:bookmarkStart w:id="1067" w:name="_Toc358816095"/>
      <w:bookmarkStart w:id="1068" w:name="_Toc358884521"/>
      <w:bookmarkStart w:id="1069" w:name="_Toc358884781"/>
      <w:bookmarkStart w:id="1070" w:name="_Toc358885873"/>
      <w:bookmarkStart w:id="1071" w:name="_Toc358886104"/>
      <w:bookmarkStart w:id="1072" w:name="_Toc358886269"/>
      <w:bookmarkStart w:id="1073" w:name="_Toc358886473"/>
      <w:bookmarkStart w:id="1074" w:name="_Toc466031771"/>
      <w:bookmarkStart w:id="1075" w:name="_Toc466032884"/>
      <w:bookmarkStart w:id="1076" w:name="_Toc4175438"/>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r w:rsidRPr="00F302F9">
        <w:rPr>
          <w:rFonts w:eastAsia="Calibri"/>
        </w:rPr>
        <w:t>Preparing an Application</w:t>
      </w:r>
      <w:bookmarkEnd w:id="1076"/>
      <w:r w:rsidRPr="00F302F9">
        <w:rPr>
          <w:rFonts w:eastAsia="Calibri"/>
        </w:rPr>
        <w:t xml:space="preserve"> </w:t>
      </w:r>
    </w:p>
    <w:p w14:paraId="0AB736A5"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on the approved Application Form and include all required attachments as specified in the advertisement for individual funding rounds. </w:t>
      </w:r>
    </w:p>
    <w:p w14:paraId="31B81336" w14:textId="77777777" w:rsidR="0033239B" w:rsidRDefault="0033239B" w:rsidP="00F302F9">
      <w:pPr>
        <w:pStyle w:val="ListParagraph"/>
        <w:spacing w:after="120" w:line="240" w:lineRule="auto"/>
        <w:ind w:left="0"/>
        <w:contextualSpacing/>
        <w:jc w:val="both"/>
        <w:rPr>
          <w:rFonts w:eastAsia="Calibri" w:cs="Arial"/>
        </w:rPr>
      </w:pPr>
    </w:p>
    <w:p w14:paraId="7DC5CC17" w14:textId="77777777" w:rsidR="0033239B" w:rsidRDefault="0033239B" w:rsidP="00F302F9">
      <w:pPr>
        <w:pStyle w:val="ListParagraph"/>
        <w:spacing w:after="120" w:line="240" w:lineRule="auto"/>
        <w:ind w:left="0"/>
        <w:contextualSpacing/>
        <w:jc w:val="both"/>
        <w:rPr>
          <w:rFonts w:eastAsia="Calibri" w:cs="Arial"/>
        </w:rPr>
      </w:pPr>
      <w:r w:rsidRPr="0033239B">
        <w:rPr>
          <w:rFonts w:eastAsia="Calibri" w:cs="Arial"/>
        </w:rPr>
        <w:t xml:space="preserve">All Applicants should be aware of the following: </w:t>
      </w:r>
    </w:p>
    <w:p w14:paraId="28338784" w14:textId="63F68EC4"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where an advertisement for an individual funding round specifies a two-stage process (e.g. EOI and full application), the NDIA will decide which Applicants proceed to the sec</w:t>
      </w:r>
      <w:r w:rsidR="00D13478">
        <w:rPr>
          <w:rFonts w:eastAsia="Calibri" w:cs="Arial"/>
        </w:rPr>
        <w:t>ond stage ;</w:t>
      </w:r>
    </w:p>
    <w:p w14:paraId="5BE2A1DA"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Applicants must respond to all the selection criteria in the Application Form to the extent specified and in the format specified and provide any associated documents </w:t>
      </w:r>
      <w:r w:rsidRPr="0033239B">
        <w:rPr>
          <w:rFonts w:eastAsia="Calibri" w:cs="Arial"/>
        </w:rPr>
        <w:lastRenderedPageBreak/>
        <w:t xml:space="preserve">required in the Application Pack for the relevant funding round, to enable their application to be fully considered; </w:t>
      </w:r>
    </w:p>
    <w:p w14:paraId="20680C4D"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a favourable evaluation of the application against the selection criteria does not guarantee funding. Funding is limited and, where relevant, applications will be assessed and prioritised according to the extent to which they meet the selection criteria, represent value for money and meet the overall objectives of the Program; </w:t>
      </w:r>
    </w:p>
    <w:p w14:paraId="52ACB339" w14:textId="77777777" w:rsidR="0033239B" w:rsidRDefault="0033239B" w:rsidP="0033239B">
      <w:pPr>
        <w:pStyle w:val="ListParagraph"/>
        <w:numPr>
          <w:ilvl w:val="0"/>
          <w:numId w:val="23"/>
        </w:numPr>
        <w:spacing w:after="120" w:line="240" w:lineRule="auto"/>
        <w:contextualSpacing/>
        <w:jc w:val="both"/>
        <w:rPr>
          <w:rFonts w:eastAsia="Calibri" w:cs="Arial"/>
        </w:rPr>
      </w:pPr>
      <w:r w:rsidRPr="0033239B">
        <w:rPr>
          <w:rFonts w:eastAsia="Calibri" w:cs="Arial"/>
        </w:rPr>
        <w:t xml:space="preserve">if seeking $100,000 or more (GST exclusive), Applicants should include a copy of their organisation’s most recently audited financial statements (or accepted alternative documentation, if audited financial statements are not available. Please refer to the Application Pack for details). </w:t>
      </w:r>
    </w:p>
    <w:p w14:paraId="466475F6" w14:textId="77777777" w:rsidR="0033239B" w:rsidRPr="0033239B" w:rsidRDefault="0033239B" w:rsidP="0033239B">
      <w:pPr>
        <w:pStyle w:val="ListParagraph"/>
        <w:spacing w:after="120" w:line="240" w:lineRule="auto"/>
        <w:contextualSpacing/>
        <w:jc w:val="both"/>
        <w:rPr>
          <w:rFonts w:eastAsia="Calibri" w:cs="Arial"/>
        </w:rPr>
      </w:pPr>
    </w:p>
    <w:p w14:paraId="170E398F" w14:textId="38192503" w:rsidR="0033239B" w:rsidRDefault="0033239B" w:rsidP="0033239B">
      <w:pPr>
        <w:pStyle w:val="Heading2Numbered"/>
        <w:rPr>
          <w:rFonts w:eastAsia="Calibri"/>
        </w:rPr>
      </w:pPr>
      <w:bookmarkStart w:id="1077" w:name="_Toc4175439"/>
      <w:r w:rsidRPr="0033239B">
        <w:rPr>
          <w:rFonts w:eastAsia="Calibri"/>
        </w:rPr>
        <w:t>How to Submit an Application</w:t>
      </w:r>
      <w:bookmarkEnd w:id="1077"/>
    </w:p>
    <w:p w14:paraId="17C2D89A"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Applications must be submitted according to the instructions in the advertisement for individual </w:t>
      </w:r>
      <w:r>
        <w:rPr>
          <w:rFonts w:eastAsia="Calibri" w:cs="Arial"/>
        </w:rPr>
        <w:t>ILC</w:t>
      </w:r>
      <w:r w:rsidRPr="0033239B">
        <w:rPr>
          <w:rFonts w:eastAsia="Calibri" w:cs="Arial"/>
        </w:rPr>
        <w:t xml:space="preserve"> Program funding rounds. An application that is lodged other than in accordance with the advertisement</w:t>
      </w:r>
      <w:r>
        <w:rPr>
          <w:rFonts w:eastAsia="Calibri" w:cs="Arial"/>
        </w:rPr>
        <w:t>, Grant Opportunity Guidelines</w:t>
      </w:r>
      <w:r w:rsidRPr="0033239B">
        <w:rPr>
          <w:rFonts w:eastAsia="Calibri" w:cs="Arial"/>
        </w:rPr>
        <w:t xml:space="preserve"> and Application Pack and the instructions for the respective funding round may be deemed a Late Application and may not proceed to assessment. </w:t>
      </w:r>
    </w:p>
    <w:p w14:paraId="28FC4185" w14:textId="77777777" w:rsidR="0033239B" w:rsidRDefault="0033239B" w:rsidP="00D26EC4">
      <w:pPr>
        <w:pStyle w:val="ListParagraph"/>
        <w:spacing w:after="120" w:line="240" w:lineRule="auto"/>
        <w:ind w:left="0"/>
        <w:contextualSpacing/>
        <w:jc w:val="both"/>
        <w:rPr>
          <w:rFonts w:eastAsia="Calibri" w:cs="Arial"/>
        </w:rPr>
      </w:pPr>
    </w:p>
    <w:p w14:paraId="706A6048"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NDIA will not be liable for any loss, damage, costs or expenses incurred by the Applicant or any other person if, for any reason an application or any other material or communication relevant to a specific funding round: </w:t>
      </w:r>
    </w:p>
    <w:p w14:paraId="3BFCA99C"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not received on time; </w:t>
      </w:r>
    </w:p>
    <w:p w14:paraId="67039E76"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is corrupted or altered or otherwise is not received as sent; </w:t>
      </w:r>
    </w:p>
    <w:p w14:paraId="10E2F813"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cannot be read or decrypted; or </w:t>
      </w:r>
    </w:p>
    <w:p w14:paraId="6E53B742" w14:textId="77777777" w:rsidR="0033239B" w:rsidRPr="00D26EC4" w:rsidRDefault="0033239B" w:rsidP="00051F0A">
      <w:pPr>
        <w:pStyle w:val="ListParagraph"/>
        <w:numPr>
          <w:ilvl w:val="0"/>
          <w:numId w:val="36"/>
        </w:numPr>
        <w:spacing w:after="120" w:line="240" w:lineRule="auto"/>
        <w:ind w:left="709" w:hanging="425"/>
        <w:contextualSpacing/>
        <w:jc w:val="both"/>
        <w:rPr>
          <w:rFonts w:eastAsia="Calibri" w:cs="Arial"/>
        </w:rPr>
      </w:pPr>
      <w:r w:rsidRPr="00D26EC4">
        <w:rPr>
          <w:rFonts w:eastAsia="Calibri" w:cs="Arial"/>
        </w:rPr>
        <w:t xml:space="preserve">has its security or integrity compromised. </w:t>
      </w:r>
    </w:p>
    <w:p w14:paraId="1CAA4E53" w14:textId="77777777" w:rsidR="0033239B" w:rsidRDefault="0033239B" w:rsidP="0033239B">
      <w:pPr>
        <w:pStyle w:val="ListParagraph"/>
        <w:spacing w:after="120" w:line="240" w:lineRule="auto"/>
        <w:contextualSpacing/>
        <w:jc w:val="both"/>
        <w:rPr>
          <w:rFonts w:eastAsia="Calibri" w:cs="Arial"/>
        </w:rPr>
      </w:pPr>
    </w:p>
    <w:p w14:paraId="4C8B76A1" w14:textId="0F4775A4"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An application will not be considered lodged</w:t>
      </w:r>
      <w:r w:rsidR="00D13478">
        <w:rPr>
          <w:rFonts w:eastAsia="Calibri" w:cs="Arial"/>
        </w:rPr>
        <w:t xml:space="preserve"> until it is received in full. </w:t>
      </w:r>
      <w:r w:rsidRPr="0033239B">
        <w:rPr>
          <w:rFonts w:eastAsia="Calibri" w:cs="Arial"/>
        </w:rPr>
        <w:t xml:space="preserve">Please note that the NDIA will accept no responsibility for late applications. In order to avoid potential disappointment, it is suggested that Applicants leave sufficient time between the submission of completed applications and the deadline for lodgement, so that any technical issues with the submission may be addressed and corrected where possible. </w:t>
      </w:r>
    </w:p>
    <w:p w14:paraId="1D52EC56" w14:textId="77777777" w:rsidR="0033239B" w:rsidRDefault="0033239B" w:rsidP="00D26EC4">
      <w:pPr>
        <w:pStyle w:val="ListParagraph"/>
        <w:spacing w:after="120" w:line="240" w:lineRule="auto"/>
        <w:ind w:left="0"/>
        <w:contextualSpacing/>
        <w:jc w:val="both"/>
        <w:rPr>
          <w:rFonts w:eastAsia="Calibri" w:cs="Arial"/>
        </w:rPr>
      </w:pPr>
    </w:p>
    <w:p w14:paraId="11415DA9"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 xml:space="preserve">The correct and timely lodgement of applications is the sole responsibility of the Applicant. </w:t>
      </w:r>
    </w:p>
    <w:p w14:paraId="13B2DBA3" w14:textId="77777777" w:rsidR="0033239B" w:rsidRDefault="0033239B" w:rsidP="00D26EC4">
      <w:pPr>
        <w:pStyle w:val="ListParagraph"/>
        <w:spacing w:after="120" w:line="240" w:lineRule="auto"/>
        <w:ind w:left="0"/>
        <w:contextualSpacing/>
        <w:jc w:val="both"/>
        <w:rPr>
          <w:rFonts w:eastAsia="Calibri" w:cs="Arial"/>
        </w:rPr>
      </w:pPr>
    </w:p>
    <w:p w14:paraId="4FA0BB61" w14:textId="77777777" w:rsidR="0033239B" w:rsidRDefault="0033239B" w:rsidP="00D26EC4">
      <w:pPr>
        <w:pStyle w:val="ListParagraph"/>
        <w:spacing w:after="120" w:line="240" w:lineRule="auto"/>
        <w:ind w:left="0"/>
        <w:contextualSpacing/>
        <w:jc w:val="both"/>
        <w:rPr>
          <w:rFonts w:eastAsia="Calibri" w:cs="Arial"/>
        </w:rPr>
      </w:pPr>
      <w:r w:rsidRPr="0033239B">
        <w:rPr>
          <w:rFonts w:eastAsia="Calibri" w:cs="Arial"/>
        </w:rPr>
        <w:t>Applicants should retain a copy of their application and any supporting papers, either electronically or in hard copy, for their own records.</w:t>
      </w:r>
    </w:p>
    <w:p w14:paraId="644156CC" w14:textId="77777777" w:rsidR="00465C81" w:rsidRDefault="00465C81" w:rsidP="00465C81">
      <w:pPr>
        <w:pStyle w:val="Heading2Numbered"/>
        <w:rPr>
          <w:rFonts w:eastAsia="Calibri"/>
        </w:rPr>
      </w:pPr>
      <w:bookmarkStart w:id="1078" w:name="_Toc4175440"/>
      <w:r>
        <w:rPr>
          <w:rFonts w:eastAsia="Calibri"/>
        </w:rPr>
        <w:t>Conflict of Interest Declaration</w:t>
      </w:r>
      <w:bookmarkEnd w:id="1078"/>
    </w:p>
    <w:p w14:paraId="39ABB2CA" w14:textId="622CAA64" w:rsidR="00465C81" w:rsidRPr="00F062D1" w:rsidRDefault="00465C81" w:rsidP="00465C81">
      <w:r w:rsidRPr="00F062D1">
        <w:t>Applicants will be required to declare as part of their Application, actual, potential or perceived conflicts of interest or that to the best of their knowledge there is no conflict of interest that would impact on or prevent the Applicant from proceeding with the Activity or any Grant Agreement it may enter into wit</w:t>
      </w:r>
      <w:r w:rsidR="00D13478">
        <w:t>h the Agency.</w:t>
      </w:r>
    </w:p>
    <w:p w14:paraId="0AF6D1B1" w14:textId="77777777" w:rsidR="00465C81" w:rsidRPr="007766C2" w:rsidRDefault="00465C81" w:rsidP="00465C81">
      <w:pPr>
        <w:pStyle w:val="Heading2"/>
      </w:pPr>
      <w:bookmarkStart w:id="1079" w:name="_Toc4175441"/>
      <w:r>
        <w:t>Improper Assistance</w:t>
      </w:r>
      <w:bookmarkEnd w:id="1079"/>
    </w:p>
    <w:p w14:paraId="39D732C4" w14:textId="77777777" w:rsidR="00465C81" w:rsidRPr="007766C2" w:rsidRDefault="00465C81" w:rsidP="00465C81">
      <w:pPr>
        <w:spacing w:after="120" w:line="240" w:lineRule="auto"/>
        <w:jc w:val="both"/>
        <w:rPr>
          <w:rFonts w:eastAsia="Calibri" w:cs="Arial"/>
        </w:rPr>
      </w:pPr>
      <w:r w:rsidRPr="007766C2">
        <w:rPr>
          <w:rFonts w:eastAsia="Calibri" w:cs="Arial"/>
        </w:rPr>
        <w:t xml:space="preserve">It is considered improper for an Applicant to prepare an Application with the assistance of an NDIA employee, Commonwealth official, employee or contractor (including the members of the Board of the NDIA), or with improperly obtained information. Any Applications which the NDIA considers were developed with improper assistance by a current or former </w:t>
      </w:r>
      <w:r w:rsidR="004A54CB">
        <w:rPr>
          <w:rFonts w:eastAsia="Calibri" w:cs="Arial"/>
        </w:rPr>
        <w:t xml:space="preserve">NDIA </w:t>
      </w:r>
      <w:r w:rsidR="004A54CB">
        <w:rPr>
          <w:rFonts w:eastAsia="Calibri" w:cs="Arial"/>
        </w:rPr>
        <w:lastRenderedPageBreak/>
        <w:t>employee</w:t>
      </w:r>
      <w:r w:rsidRPr="007766C2">
        <w:rPr>
          <w:rFonts w:eastAsia="Calibri" w:cs="Arial"/>
        </w:rPr>
        <w:t xml:space="preserve"> or contractor (including the members of the Board of the NDIA)</w:t>
      </w:r>
      <w:r w:rsidR="0058025C">
        <w:rPr>
          <w:rFonts w:eastAsia="Calibri" w:cs="Arial"/>
        </w:rPr>
        <w:t xml:space="preserve">, or other </w:t>
      </w:r>
      <w:r w:rsidR="0058025C" w:rsidRPr="007766C2">
        <w:rPr>
          <w:rFonts w:eastAsia="Calibri" w:cs="Arial"/>
        </w:rPr>
        <w:t>Commonwealth official</w:t>
      </w:r>
      <w:r w:rsidRPr="007766C2">
        <w:rPr>
          <w:rFonts w:eastAsia="Calibri" w:cs="Arial"/>
        </w:rPr>
        <w:t xml:space="preserve"> will be excluded from further consideration. Improper assistance may include (but is not limited to) using information or assistance obtained: a) in circumstances that are contrary to the communications requirements set out in these Program Guidelines; b) in circumstances that constitute a breach of the </w:t>
      </w:r>
      <w:r w:rsidRPr="004A54CB">
        <w:rPr>
          <w:rFonts w:eastAsia="Calibri" w:cs="Arial"/>
        </w:rPr>
        <w:t>Crimes Act 1914</w:t>
      </w:r>
      <w:r w:rsidRPr="007766C2">
        <w:rPr>
          <w:rFonts w:eastAsia="Calibri" w:cs="Arial"/>
        </w:rPr>
        <w:t xml:space="preserve"> (Cth), the National Disability Insurance Scheme Act 2013, the Public Service Act 1999 (Cth), the Public Service Regulations 1999 (Cth) or the Parliamentary Service Act 1999 (Cth); or c) in breach of an obligation of confidentiality or fidelity. </w:t>
      </w:r>
    </w:p>
    <w:p w14:paraId="0FC35D47" w14:textId="77777777" w:rsidR="00465C81" w:rsidRDefault="00465C81" w:rsidP="00465C81">
      <w:pPr>
        <w:spacing w:after="120" w:line="240" w:lineRule="auto"/>
        <w:jc w:val="both"/>
        <w:rPr>
          <w:rFonts w:eastAsia="Calibri" w:cs="Arial"/>
        </w:rPr>
      </w:pPr>
      <w:r w:rsidRPr="007766C2">
        <w:rPr>
          <w:rFonts w:eastAsia="Calibri" w:cs="Arial"/>
        </w:rPr>
        <w:t xml:space="preserve">The NDIA reserves the right from time to time to organise for an independent body to be available to assist organisations to engage with the </w:t>
      </w:r>
      <w:r>
        <w:rPr>
          <w:rFonts w:eastAsia="Calibri" w:cs="Arial"/>
        </w:rPr>
        <w:t>ILC</w:t>
      </w:r>
      <w:r w:rsidRPr="007766C2">
        <w:rPr>
          <w:rFonts w:eastAsia="Calibri" w:cs="Arial"/>
        </w:rPr>
        <w:t xml:space="preserve"> Program. Where applicable, details of this support will be made available separately.</w:t>
      </w:r>
    </w:p>
    <w:p w14:paraId="54DE18A0" w14:textId="77777777" w:rsidR="00465C81" w:rsidRDefault="00465C81" w:rsidP="006567AF">
      <w:pPr>
        <w:pStyle w:val="Heading2Numbered"/>
        <w:numPr>
          <w:ilvl w:val="0"/>
          <w:numId w:val="0"/>
        </w:numPr>
        <w:rPr>
          <w:rFonts w:eastAsia="Calibri"/>
        </w:rPr>
      </w:pPr>
    </w:p>
    <w:p w14:paraId="676395ED" w14:textId="77777777" w:rsidR="007661A1" w:rsidRDefault="0019420E" w:rsidP="00465C81">
      <w:pPr>
        <w:pStyle w:val="Heading2Numbered"/>
        <w:rPr>
          <w:rFonts w:eastAsia="Calibri"/>
        </w:rPr>
      </w:pPr>
      <w:bookmarkStart w:id="1080" w:name="_Toc4175442"/>
      <w:r w:rsidRPr="007661A1">
        <w:rPr>
          <w:rFonts w:eastAsia="Calibri"/>
        </w:rPr>
        <w:t>Applicant obligations</w:t>
      </w:r>
      <w:bookmarkEnd w:id="1080"/>
      <w:r w:rsidRPr="007661A1">
        <w:rPr>
          <w:rFonts w:eastAsia="Calibri"/>
        </w:rPr>
        <w:t xml:space="preserve"> </w:t>
      </w:r>
    </w:p>
    <w:p w14:paraId="727BA333" w14:textId="77777777" w:rsidR="0016260C" w:rsidRDefault="0019420E" w:rsidP="00BA7FB9">
      <w:pPr>
        <w:spacing w:after="120" w:line="240" w:lineRule="auto"/>
        <w:contextualSpacing/>
        <w:jc w:val="both"/>
        <w:rPr>
          <w:rFonts w:eastAsia="Calibri" w:cs="Arial"/>
        </w:rPr>
      </w:pPr>
      <w:r w:rsidRPr="007661A1">
        <w:rPr>
          <w:rFonts w:eastAsia="Calibri" w:cs="Arial"/>
        </w:rPr>
        <w:t xml:space="preserve">By submitting an Application, the Applicant acknowledges that the NDIA makes no representations or warranties that any information communicated or provided to the Applicant during the Application process, is or will be accurate, current or complete. </w:t>
      </w:r>
    </w:p>
    <w:p w14:paraId="0C30D045" w14:textId="77777777" w:rsidR="0016260C" w:rsidRDefault="0016260C" w:rsidP="00BA7FB9">
      <w:pPr>
        <w:spacing w:after="120" w:line="240" w:lineRule="auto"/>
        <w:contextualSpacing/>
        <w:jc w:val="both"/>
        <w:rPr>
          <w:rFonts w:eastAsia="Calibri" w:cs="Arial"/>
        </w:rPr>
      </w:pPr>
    </w:p>
    <w:p w14:paraId="47B29A8B" w14:textId="3A0927C2" w:rsidR="0016260C" w:rsidRDefault="0019420E" w:rsidP="00BA7FB9">
      <w:pPr>
        <w:spacing w:after="120" w:line="240" w:lineRule="auto"/>
        <w:contextualSpacing/>
        <w:jc w:val="both"/>
        <w:rPr>
          <w:rFonts w:eastAsia="Calibri" w:cs="Arial"/>
        </w:rPr>
      </w:pPr>
      <w:r w:rsidRPr="007661A1">
        <w:rPr>
          <w:rFonts w:eastAsia="Calibri" w:cs="Arial"/>
        </w:rPr>
        <w:t>By submitting an Application, the Ap</w:t>
      </w:r>
      <w:r w:rsidR="00D13478">
        <w:rPr>
          <w:rFonts w:eastAsia="Calibri" w:cs="Arial"/>
        </w:rPr>
        <w:t>plicant will be deemed to have:</w:t>
      </w:r>
    </w:p>
    <w:p w14:paraId="29DF982B" w14:textId="5189BD59"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examined the Application Pack and any other documents referenced or referred to the Application Pack, and any other information made available in writing by the NDIA to Applicants for the purposes</w:t>
      </w:r>
      <w:r w:rsidR="00D13478">
        <w:rPr>
          <w:rFonts w:eastAsia="Calibri" w:cs="Arial"/>
        </w:rPr>
        <w:t xml:space="preserve"> of submitting an Application;</w:t>
      </w:r>
    </w:p>
    <w:p w14:paraId="01DD8304"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examined all other information which is obtainable by the making of reasonable and timely inquiries </w:t>
      </w:r>
    </w:p>
    <w:p w14:paraId="29F7D851" w14:textId="77777777" w:rsidR="0016260C"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terms and conditions of the relevant Grant Agreement and its ability to comply with those terms and conditions; </w:t>
      </w:r>
    </w:p>
    <w:p w14:paraId="2432672F" w14:textId="77777777" w:rsidR="0019420E" w:rsidRDefault="0019420E" w:rsidP="00051F0A">
      <w:pPr>
        <w:pStyle w:val="ListParagraph"/>
        <w:numPr>
          <w:ilvl w:val="0"/>
          <w:numId w:val="40"/>
        </w:numPr>
        <w:spacing w:after="120" w:line="240" w:lineRule="auto"/>
        <w:contextualSpacing/>
        <w:jc w:val="both"/>
        <w:rPr>
          <w:rFonts w:eastAsia="Calibri" w:cs="Arial"/>
        </w:rPr>
      </w:pPr>
      <w:r w:rsidRPr="0016260C">
        <w:rPr>
          <w:rFonts w:eastAsia="Calibri" w:cs="Arial"/>
        </w:rPr>
        <w:t xml:space="preserve">satisfied itself as to the correctness and completeness of its Application, including its budget which is deemed to cover the cost of all matters necessary for the due and proper performance and delivery of the funded activity in accordance with the Grant Agreement. </w:t>
      </w:r>
    </w:p>
    <w:p w14:paraId="3CAD32B1" w14:textId="77777777" w:rsidR="0016260C" w:rsidRPr="0016260C" w:rsidRDefault="0016260C" w:rsidP="0016260C">
      <w:pPr>
        <w:pStyle w:val="ListParagraph"/>
        <w:spacing w:after="120" w:line="240" w:lineRule="auto"/>
        <w:contextualSpacing/>
        <w:jc w:val="both"/>
        <w:rPr>
          <w:rFonts w:eastAsia="Calibri" w:cs="Arial"/>
        </w:rPr>
      </w:pPr>
    </w:p>
    <w:p w14:paraId="5B7E881E"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It is the responsibility of the Applicant to obtain all information necessary or convenient for the preparation of its Application. </w:t>
      </w:r>
    </w:p>
    <w:p w14:paraId="2038BC3E" w14:textId="77777777" w:rsidR="0016260C" w:rsidRDefault="0016260C" w:rsidP="0016260C">
      <w:pPr>
        <w:spacing w:after="120" w:line="240" w:lineRule="auto"/>
        <w:contextualSpacing/>
        <w:jc w:val="both"/>
        <w:rPr>
          <w:rFonts w:eastAsia="Calibri" w:cs="Arial"/>
        </w:rPr>
      </w:pPr>
    </w:p>
    <w:p w14:paraId="3B9A6C18" w14:textId="35EE9A7B" w:rsidR="0016260C" w:rsidRDefault="0019420E" w:rsidP="0016260C">
      <w:pPr>
        <w:spacing w:after="120" w:line="240" w:lineRule="auto"/>
        <w:contextualSpacing/>
        <w:jc w:val="both"/>
        <w:rPr>
          <w:rFonts w:eastAsia="Calibri" w:cs="Arial"/>
        </w:rPr>
      </w:pPr>
      <w:r w:rsidRPr="0016260C">
        <w:rPr>
          <w:rFonts w:eastAsia="Calibri" w:cs="Arial"/>
        </w:rPr>
        <w:t>Without limiting any other provision of</w:t>
      </w:r>
      <w:r w:rsidR="0058025C">
        <w:rPr>
          <w:rFonts w:eastAsia="Calibri" w:cs="Arial"/>
        </w:rPr>
        <w:t xml:space="preserve"> any grant documentation, including the GOGs and Application Pack </w:t>
      </w:r>
      <w:r w:rsidRPr="0016260C">
        <w:rPr>
          <w:rFonts w:eastAsia="Calibri" w:cs="Arial"/>
        </w:rPr>
        <w:t>no payment will be made to the Applicant or any other entity for any costs, expenses, losses or damages incurred or suffered by the Applicant or any other entity arising</w:t>
      </w:r>
      <w:r w:rsidR="00D13478">
        <w:rPr>
          <w:rFonts w:eastAsia="Calibri" w:cs="Arial"/>
        </w:rPr>
        <w:t xml:space="preserve"> out of or in connection with:</w:t>
      </w:r>
    </w:p>
    <w:p w14:paraId="2E3198D4"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preparing an Application;</w:t>
      </w:r>
    </w:p>
    <w:p w14:paraId="3FC0DB20" w14:textId="1C60F764"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the Application process (including any industry briefing, i</w:t>
      </w:r>
      <w:r w:rsidR="0016260C">
        <w:rPr>
          <w:rFonts w:eastAsia="Calibri" w:cs="Arial"/>
        </w:rPr>
        <w:t xml:space="preserve">nformation sessions, debrief </w:t>
      </w:r>
      <w:r w:rsidRPr="0016260C">
        <w:rPr>
          <w:rFonts w:eastAsia="Calibri" w:cs="Arial"/>
        </w:rPr>
        <w:t>or any discussions, negotiations or enquiries or any work undertaken by the Applicant after su</w:t>
      </w:r>
      <w:r w:rsidR="00D13478">
        <w:rPr>
          <w:rFonts w:eastAsia="Calibri" w:cs="Arial"/>
        </w:rPr>
        <w:t>bmission of its Application);</w:t>
      </w:r>
    </w:p>
    <w:p w14:paraId="64A339DB" w14:textId="77777777" w:rsid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participation in the relevant funding round; </w:t>
      </w:r>
    </w:p>
    <w:p w14:paraId="64EF8197" w14:textId="77777777" w:rsidR="0019420E" w:rsidRPr="0016260C" w:rsidRDefault="0019420E" w:rsidP="00051F0A">
      <w:pPr>
        <w:pStyle w:val="ListParagraph"/>
        <w:numPr>
          <w:ilvl w:val="0"/>
          <w:numId w:val="41"/>
        </w:numPr>
        <w:spacing w:after="120" w:line="240" w:lineRule="auto"/>
        <w:contextualSpacing/>
        <w:jc w:val="both"/>
        <w:rPr>
          <w:rFonts w:eastAsia="Calibri" w:cs="Arial"/>
        </w:rPr>
      </w:pPr>
      <w:r w:rsidRPr="0016260C">
        <w:rPr>
          <w:rFonts w:eastAsia="Calibri" w:cs="Arial"/>
        </w:rPr>
        <w:t xml:space="preserve">any failure to comply with the Application Pack. </w:t>
      </w:r>
    </w:p>
    <w:p w14:paraId="534B616F" w14:textId="2660AFC3" w:rsidR="0016260C" w:rsidRDefault="0019420E" w:rsidP="0016260C">
      <w:pPr>
        <w:spacing w:after="120" w:line="240" w:lineRule="auto"/>
        <w:contextualSpacing/>
        <w:jc w:val="both"/>
        <w:rPr>
          <w:rFonts w:eastAsia="Calibri" w:cs="Arial"/>
        </w:rPr>
      </w:pPr>
      <w:r w:rsidRPr="0016260C">
        <w:rPr>
          <w:rFonts w:eastAsia="Calibri" w:cs="Arial"/>
        </w:rPr>
        <w:t xml:space="preserve">The Applicant must not, and must ensure that its officers, employees, subcontractors, agents and advisers do not, in relation to the preparation, lodgement </w:t>
      </w:r>
      <w:r w:rsidR="00D13478">
        <w:rPr>
          <w:rFonts w:eastAsia="Calibri" w:cs="Arial"/>
        </w:rPr>
        <w:t>or assessment of Applications:</w:t>
      </w:r>
    </w:p>
    <w:p w14:paraId="0DE5C887"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make any false, misleading or deceptive claim or statement; </w:t>
      </w:r>
    </w:p>
    <w:p w14:paraId="434A976B"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lastRenderedPageBreak/>
        <w:t>use information obtained unlawfully or in breach of an obligation of confidentiality to the NDIA, or the Commonwealth in preparing its Application;</w:t>
      </w:r>
    </w:p>
    <w:p w14:paraId="1F9FBC70"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receive improper assistance from any existing or former NDIA or Commonwealth official, employee, or contractor (including the memb</w:t>
      </w:r>
      <w:r w:rsidR="0016260C">
        <w:rPr>
          <w:rFonts w:eastAsia="Calibri" w:cs="Arial"/>
        </w:rPr>
        <w:t>ers of the Board of the NDIA);</w:t>
      </w:r>
    </w:p>
    <w:p w14:paraId="4E0CE2FD" w14:textId="77777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engage in collusive conduct, anti-competitive conduct, unlawful, unethical or other similar conduct with any other Applicant or other person;</w:t>
      </w:r>
    </w:p>
    <w:p w14:paraId="5F6CD6A1" w14:textId="1BF09777" w:rsid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attempt to improperly influence an NDIA or Commonwealth official, e</w:t>
      </w:r>
      <w:r w:rsidR="00D13478">
        <w:rPr>
          <w:rFonts w:eastAsia="Calibri" w:cs="Arial"/>
        </w:rPr>
        <w:t xml:space="preserve">mployee, or </w:t>
      </w:r>
      <w:r w:rsidRPr="0016260C">
        <w:rPr>
          <w:rFonts w:eastAsia="Calibri" w:cs="Arial"/>
        </w:rPr>
        <w:t xml:space="preserve">contractor (including the members of the Board of the NDIA), or violate any applicable laws regarding the offering of inducements; </w:t>
      </w:r>
    </w:p>
    <w:p w14:paraId="6D72CCB5" w14:textId="59577731" w:rsidR="0019420E" w:rsidRPr="0016260C" w:rsidRDefault="0019420E" w:rsidP="00051F0A">
      <w:pPr>
        <w:pStyle w:val="ListParagraph"/>
        <w:numPr>
          <w:ilvl w:val="0"/>
          <w:numId w:val="42"/>
        </w:numPr>
        <w:spacing w:after="120" w:line="240" w:lineRule="auto"/>
        <w:contextualSpacing/>
        <w:jc w:val="both"/>
        <w:rPr>
          <w:rFonts w:eastAsia="Calibri" w:cs="Arial"/>
        </w:rPr>
      </w:pPr>
      <w:r w:rsidRPr="0016260C">
        <w:rPr>
          <w:rFonts w:eastAsia="Calibri" w:cs="Arial"/>
        </w:rPr>
        <w:t xml:space="preserve">approach any NDIA or Commonwealth official, employee, or contractor (including the members of the Board of the NDIA) in relation to the Applicant other than in the manner set out in the </w:t>
      </w:r>
      <w:r w:rsidR="0016260C">
        <w:rPr>
          <w:rFonts w:eastAsia="Calibri" w:cs="Arial"/>
        </w:rPr>
        <w:t>ILC</w:t>
      </w:r>
      <w:r w:rsidRPr="0016260C">
        <w:rPr>
          <w:rFonts w:eastAsia="Calibri" w:cs="Arial"/>
        </w:rPr>
        <w:t xml:space="preserve"> Program Guidelines</w:t>
      </w:r>
      <w:r w:rsidR="00B10A0A">
        <w:rPr>
          <w:rFonts w:eastAsia="Calibri" w:cs="Arial"/>
        </w:rPr>
        <w:t xml:space="preserve"> or the relevant GOGs</w:t>
      </w:r>
      <w:r w:rsidR="00D13478">
        <w:rPr>
          <w:rFonts w:eastAsia="Calibri" w:cs="Arial"/>
        </w:rPr>
        <w:t>.</w:t>
      </w:r>
    </w:p>
    <w:p w14:paraId="68241D02" w14:textId="77777777" w:rsidR="0019420E" w:rsidRPr="0016260C" w:rsidRDefault="0019420E" w:rsidP="0016260C">
      <w:pPr>
        <w:spacing w:after="120" w:line="240" w:lineRule="auto"/>
        <w:contextualSpacing/>
        <w:jc w:val="both"/>
        <w:rPr>
          <w:rFonts w:eastAsia="Calibri" w:cs="Arial"/>
        </w:rPr>
      </w:pPr>
      <w:r w:rsidRPr="0016260C">
        <w:rPr>
          <w:rFonts w:eastAsia="Calibri" w:cs="Arial"/>
        </w:rPr>
        <w:t xml:space="preserve">If any of these provisions are breached the NDIA may exclude the Application from consideration. </w:t>
      </w:r>
    </w:p>
    <w:p w14:paraId="4C79CD3D" w14:textId="77777777" w:rsidR="0033239B" w:rsidRDefault="0019420E" w:rsidP="0033239B">
      <w:pPr>
        <w:pStyle w:val="Heading2Numbered"/>
        <w:rPr>
          <w:rFonts w:eastAsia="Calibri"/>
        </w:rPr>
      </w:pPr>
      <w:bookmarkStart w:id="1081" w:name="_Toc4175443"/>
      <w:r w:rsidRPr="0033239B">
        <w:rPr>
          <w:rFonts w:eastAsia="Calibri"/>
        </w:rPr>
        <w:t>Checks of Applicants and other enquiries</w:t>
      </w:r>
      <w:bookmarkEnd w:id="1081"/>
    </w:p>
    <w:p w14:paraId="77C36C22"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 As a part of the selection process further checks of Applicants, or the Applicant’s nominated personnel (if any) may be made with respect to the Application. </w:t>
      </w:r>
    </w:p>
    <w:p w14:paraId="1F183F6D" w14:textId="77777777" w:rsidR="0033239B" w:rsidRDefault="0033239B" w:rsidP="00BA7FB9">
      <w:pPr>
        <w:spacing w:after="120" w:line="240" w:lineRule="auto"/>
        <w:contextualSpacing/>
        <w:jc w:val="both"/>
        <w:rPr>
          <w:rFonts w:eastAsia="Calibri" w:cs="Arial"/>
        </w:rPr>
      </w:pPr>
    </w:p>
    <w:p w14:paraId="004601CF"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may also conduct checks for non-disclosure of any relevant information. In addition, any debts that the Applicant has accrued to the NDIA or other Australian Government agencies may be taken into account when making a decision to offer funding. </w:t>
      </w:r>
    </w:p>
    <w:p w14:paraId="18C00113" w14:textId="77777777" w:rsidR="0033239B" w:rsidRDefault="0019420E" w:rsidP="00BA7FB9">
      <w:pPr>
        <w:spacing w:after="120" w:line="240" w:lineRule="auto"/>
        <w:contextualSpacing/>
        <w:jc w:val="both"/>
        <w:rPr>
          <w:rFonts w:eastAsia="Calibri" w:cs="Arial"/>
        </w:rPr>
      </w:pPr>
      <w:r w:rsidRPr="0033239B">
        <w:rPr>
          <w:rFonts w:eastAsia="Calibri" w:cs="Arial"/>
        </w:rPr>
        <w:t xml:space="preserve">The NDIA reserves the right to use information from: </w:t>
      </w:r>
    </w:p>
    <w:p w14:paraId="18F5E317"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the NDIA databases; </w:t>
      </w:r>
    </w:p>
    <w:p w14:paraId="2C1599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other Australian Government agencies, such as the Australian Taxation Office and Australian Securities and Investments Commission; </w:t>
      </w:r>
    </w:p>
    <w:p w14:paraId="53A0D76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state or territory agencies; </w:t>
      </w:r>
    </w:p>
    <w:p w14:paraId="5C75120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law enforcement agencies; </w:t>
      </w:r>
    </w:p>
    <w:p w14:paraId="1240FDBF"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credit reference agencies; </w:t>
      </w:r>
    </w:p>
    <w:p w14:paraId="62533724"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 xml:space="preserve">courts or tribunals; or </w:t>
      </w:r>
    </w:p>
    <w:p w14:paraId="2D77471B" w14:textId="77777777" w:rsidR="0033239B" w:rsidRPr="0033239B" w:rsidRDefault="0019420E" w:rsidP="001C7F17">
      <w:pPr>
        <w:pStyle w:val="ListParagraph"/>
        <w:numPr>
          <w:ilvl w:val="0"/>
          <w:numId w:val="23"/>
        </w:numPr>
        <w:spacing w:after="120" w:line="240" w:lineRule="auto"/>
        <w:ind w:hanging="578"/>
        <w:contextualSpacing/>
        <w:jc w:val="both"/>
        <w:rPr>
          <w:rFonts w:eastAsia="Calibri" w:cs="Arial"/>
        </w:rPr>
      </w:pPr>
      <w:r w:rsidRPr="0033239B">
        <w:rPr>
          <w:rFonts w:eastAsia="Calibri" w:cs="Arial"/>
        </w:rPr>
        <w:t>any other appropriate organisation or person reasonably required as part of these checks,</w:t>
      </w:r>
    </w:p>
    <w:p w14:paraId="53EFA748" w14:textId="48B606D0" w:rsidR="0019420E" w:rsidRDefault="0019420E" w:rsidP="00BA7FB9">
      <w:pPr>
        <w:spacing w:after="120" w:line="240" w:lineRule="auto"/>
        <w:contextualSpacing/>
        <w:jc w:val="both"/>
        <w:rPr>
          <w:rFonts w:eastAsia="Calibri" w:cs="Arial"/>
        </w:rPr>
      </w:pPr>
      <w:r w:rsidRPr="0033239B">
        <w:rPr>
          <w:rFonts w:eastAsia="Calibri" w:cs="Arial"/>
        </w:rPr>
        <w:t>and take this information into account during the assessment of Applications or in making the final decision wi</w:t>
      </w:r>
      <w:r w:rsidR="00D13478">
        <w:rPr>
          <w:rFonts w:eastAsia="Calibri" w:cs="Arial"/>
        </w:rPr>
        <w:t xml:space="preserve">th respect to the Application. </w:t>
      </w:r>
      <w:r w:rsidRPr="0033239B">
        <w:rPr>
          <w:rFonts w:eastAsia="Calibri" w:cs="Arial"/>
        </w:rPr>
        <w:t>NDIA may seek further information or evidence of claims from Applicants, or make any other enquiries it deems necessary to verify those claims, during the assessment of applications</w:t>
      </w:r>
    </w:p>
    <w:p w14:paraId="2BF15225" w14:textId="77777777" w:rsidR="006567AF" w:rsidRPr="0033239B" w:rsidRDefault="006567AF" w:rsidP="00BA7FB9">
      <w:pPr>
        <w:spacing w:after="120" w:line="240" w:lineRule="auto"/>
        <w:contextualSpacing/>
        <w:jc w:val="both"/>
        <w:rPr>
          <w:rFonts w:eastAsia="Calibri" w:cs="Arial"/>
        </w:rPr>
      </w:pPr>
    </w:p>
    <w:p w14:paraId="63E918E0" w14:textId="77777777" w:rsidR="006567AF" w:rsidRPr="00681ACF" w:rsidRDefault="006567AF" w:rsidP="006567AF">
      <w:pPr>
        <w:pStyle w:val="Heading1"/>
        <w:rPr>
          <w:rFonts w:eastAsia="Calibri"/>
        </w:rPr>
      </w:pPr>
      <w:bookmarkStart w:id="1082" w:name="_Toc4175444"/>
      <w:r w:rsidRPr="00681ACF">
        <w:rPr>
          <w:rFonts w:eastAsia="Calibri"/>
        </w:rPr>
        <w:t>Probity</w:t>
      </w:r>
      <w:bookmarkEnd w:id="1082"/>
    </w:p>
    <w:p w14:paraId="006C3580" w14:textId="4A70B2E6" w:rsidR="006567AF" w:rsidRDefault="006567AF" w:rsidP="006567AF">
      <w:pPr>
        <w:pStyle w:val="covBodyText"/>
        <w:ind w:left="0"/>
      </w:pPr>
      <w:r w:rsidRPr="00681ACF">
        <w:rPr>
          <w:rFonts w:eastAsia="Calibri" w:cs="Arial"/>
        </w:rPr>
        <w:t xml:space="preserve">The overall probity strategy for the ILC Program is contained in the </w:t>
      </w:r>
      <w:r w:rsidRPr="00681ACF">
        <w:rPr>
          <w:rFonts w:eastAsia="Calibri" w:cs="Arial"/>
          <w:i/>
        </w:rPr>
        <w:t xml:space="preserve">Probity Framework for </w:t>
      </w:r>
      <w:r w:rsidRPr="00681ACF">
        <w:rPr>
          <w:i/>
        </w:rPr>
        <w:t>Community Inclusion and Capacity Development (CICD) Program – Implementing Information, Linkages and Capacity Building (ILC), 2016-17 to 2019-20</w:t>
      </w:r>
      <w:r>
        <w:rPr>
          <w:i/>
        </w:rPr>
        <w:t xml:space="preserve"> - </w:t>
      </w:r>
      <w:r w:rsidRPr="00681ACF">
        <w:rPr>
          <w:i/>
        </w:rPr>
        <w:t>24 January 2017</w:t>
      </w:r>
      <w:r w:rsidRPr="00681ACF">
        <w:t>.</w:t>
      </w:r>
      <w:r w:rsidR="00D13478">
        <w:t xml:space="preserve"> </w:t>
      </w:r>
      <w:r>
        <w:t xml:space="preserve">All Grant Rounds and Procurement activities conducted under ILC, regardless of whether undertaken in-house or via </w:t>
      </w:r>
      <w:r w:rsidR="00E05DA6">
        <w:t>an alternative</w:t>
      </w:r>
      <w:r>
        <w:t xml:space="preserve"> arrangement must make reference to this document and used the proforma templates contained within it when developing the probity approach.</w:t>
      </w:r>
    </w:p>
    <w:p w14:paraId="524D2719" w14:textId="77777777" w:rsidR="00B10A0A" w:rsidRDefault="00B10A0A" w:rsidP="006567AF">
      <w:pPr>
        <w:pStyle w:val="covBodyText"/>
        <w:ind w:left="0"/>
      </w:pPr>
    </w:p>
    <w:p w14:paraId="74E1BB61"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bookmarkStart w:id="1083" w:name="_Toc466630184"/>
      <w:r w:rsidRPr="004A54CB">
        <w:rPr>
          <w:rFonts w:ascii="Arial" w:hAnsi="Arial" w:cs="Arial"/>
          <w:color w:val="000000"/>
        </w:rPr>
        <w:t xml:space="preserve">The selection of </w:t>
      </w:r>
      <w:r w:rsidR="0072013D">
        <w:rPr>
          <w:rFonts w:ascii="Arial" w:hAnsi="Arial" w:cs="Arial"/>
          <w:color w:val="000000"/>
        </w:rPr>
        <w:t>Grant</w:t>
      </w:r>
      <w:r w:rsidRPr="004A54CB">
        <w:rPr>
          <w:rFonts w:ascii="Arial" w:hAnsi="Arial" w:cs="Arial"/>
          <w:color w:val="000000"/>
        </w:rPr>
        <w:t xml:space="preserve"> </w:t>
      </w:r>
      <w:r w:rsidR="0072013D">
        <w:rPr>
          <w:rFonts w:ascii="Arial" w:hAnsi="Arial" w:cs="Arial"/>
          <w:color w:val="000000"/>
        </w:rPr>
        <w:t>R</w:t>
      </w:r>
      <w:r w:rsidRPr="004A54CB">
        <w:rPr>
          <w:rFonts w:ascii="Arial" w:hAnsi="Arial" w:cs="Arial"/>
          <w:color w:val="000000"/>
        </w:rPr>
        <w:t xml:space="preserve">ecipients must be fair, open and demonstrate the highest level of integrity. </w:t>
      </w:r>
    </w:p>
    <w:p w14:paraId="12DE609E" w14:textId="77777777" w:rsidR="008B54D7" w:rsidRDefault="008B54D7" w:rsidP="004A54CB">
      <w:pPr>
        <w:suppressAutoHyphens w:val="0"/>
        <w:autoSpaceDE w:val="0"/>
        <w:autoSpaceDN w:val="0"/>
        <w:adjustRightInd w:val="0"/>
        <w:spacing w:before="0" w:after="0" w:line="240" w:lineRule="auto"/>
        <w:rPr>
          <w:rFonts w:ascii="Arial" w:hAnsi="Arial" w:cs="Arial"/>
          <w:color w:val="000000"/>
        </w:rPr>
      </w:pPr>
    </w:p>
    <w:p w14:paraId="782D41EC" w14:textId="77777777" w:rsidR="004A54CB" w:rsidRPr="004A54CB" w:rsidRDefault="004A54CB" w:rsidP="004A54CB">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The following principles will be applied throughout the selection process: </w:t>
      </w:r>
    </w:p>
    <w:p w14:paraId="7B46E13C"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a. fairness and impartiality; </w:t>
      </w:r>
    </w:p>
    <w:p w14:paraId="693BA737"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b. consistency, accountability and transparency of process; </w:t>
      </w:r>
    </w:p>
    <w:p w14:paraId="308AE2E4" w14:textId="77777777" w:rsidR="004A54CB" w:rsidRPr="004A54CB" w:rsidRDefault="004A54CB" w:rsidP="004A54CB">
      <w:pPr>
        <w:suppressAutoHyphens w:val="0"/>
        <w:autoSpaceDE w:val="0"/>
        <w:autoSpaceDN w:val="0"/>
        <w:adjustRightInd w:val="0"/>
        <w:spacing w:before="0" w:after="14" w:line="240" w:lineRule="auto"/>
        <w:rPr>
          <w:rFonts w:ascii="Arial" w:hAnsi="Arial" w:cs="Arial"/>
          <w:color w:val="000000"/>
        </w:rPr>
      </w:pPr>
      <w:r w:rsidRPr="004A54CB">
        <w:rPr>
          <w:rFonts w:ascii="Arial" w:hAnsi="Arial" w:cs="Arial"/>
          <w:color w:val="000000"/>
        </w:rPr>
        <w:t xml:space="preserve">c. security and confidentiality of information; </w:t>
      </w:r>
    </w:p>
    <w:p w14:paraId="5B2F0C9C" w14:textId="77777777" w:rsidR="008B54D7" w:rsidRDefault="004A54CB" w:rsidP="008B54D7">
      <w:pPr>
        <w:suppressAutoHyphens w:val="0"/>
        <w:autoSpaceDE w:val="0"/>
        <w:autoSpaceDN w:val="0"/>
        <w:adjustRightInd w:val="0"/>
        <w:spacing w:before="0" w:after="0" w:line="240" w:lineRule="auto"/>
        <w:rPr>
          <w:rFonts w:ascii="Arial" w:hAnsi="Arial" w:cs="Arial"/>
          <w:color w:val="000000"/>
        </w:rPr>
      </w:pPr>
      <w:r w:rsidRPr="004A54CB">
        <w:rPr>
          <w:rFonts w:ascii="Arial" w:hAnsi="Arial" w:cs="Arial"/>
          <w:color w:val="000000"/>
        </w:rPr>
        <w:t xml:space="preserve">d. identification and resolution of conflicts of interest; and </w:t>
      </w:r>
    </w:p>
    <w:p w14:paraId="370396F6"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Pr>
          <w:rFonts w:ascii="Arial" w:hAnsi="Arial" w:cs="Arial"/>
          <w:color w:val="000000"/>
        </w:rPr>
        <w:t xml:space="preserve">e. </w:t>
      </w:r>
      <w:r w:rsidRPr="008B54D7">
        <w:rPr>
          <w:rFonts w:ascii="Arial" w:hAnsi="Arial" w:cs="Arial"/>
          <w:color w:val="000000"/>
        </w:rPr>
        <w:t xml:space="preserve">compliance with legislative obligations and government policy. </w:t>
      </w:r>
    </w:p>
    <w:p w14:paraId="1FC3307D"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1E27EC13" w14:textId="77777777" w:rsidR="008B54D7" w:rsidRPr="008B54D7" w:rsidRDefault="008B54D7" w:rsidP="008B54D7">
      <w:pPr>
        <w:suppressAutoHyphens w:val="0"/>
        <w:autoSpaceDE w:val="0"/>
        <w:autoSpaceDN w:val="0"/>
        <w:adjustRightInd w:val="0"/>
        <w:spacing w:before="0" w:after="0" w:line="240" w:lineRule="auto"/>
        <w:rPr>
          <w:rFonts w:ascii="Arial" w:hAnsi="Arial" w:cs="Arial"/>
          <w:color w:val="000000"/>
        </w:rPr>
      </w:pPr>
      <w:r w:rsidRPr="008B54D7">
        <w:rPr>
          <w:rFonts w:ascii="Arial" w:hAnsi="Arial" w:cs="Arial"/>
          <w:color w:val="000000"/>
        </w:rPr>
        <w:t xml:space="preserve">These principles are intended to achieve an equitable, justifiable and sound process. </w:t>
      </w:r>
    </w:p>
    <w:p w14:paraId="7C98655F" w14:textId="77777777" w:rsidR="008B54D7" w:rsidRDefault="008B54D7" w:rsidP="008B54D7">
      <w:pPr>
        <w:suppressAutoHyphens w:val="0"/>
        <w:autoSpaceDE w:val="0"/>
        <w:autoSpaceDN w:val="0"/>
        <w:adjustRightInd w:val="0"/>
        <w:spacing w:before="0" w:after="0" w:line="240" w:lineRule="auto"/>
        <w:rPr>
          <w:rFonts w:ascii="Arial" w:hAnsi="Arial" w:cs="Arial"/>
          <w:color w:val="000000"/>
        </w:rPr>
      </w:pPr>
    </w:p>
    <w:p w14:paraId="7D75F0DC" w14:textId="315F1A45" w:rsidR="008B54D7" w:rsidRPr="004A54CB" w:rsidRDefault="008B54D7" w:rsidP="008B54D7">
      <w:pPr>
        <w:suppressAutoHyphens w:val="0"/>
        <w:autoSpaceDE w:val="0"/>
        <w:autoSpaceDN w:val="0"/>
        <w:adjustRightInd w:val="0"/>
        <w:spacing w:before="0" w:after="0" w:line="240" w:lineRule="auto"/>
        <w:rPr>
          <w:rFonts w:ascii="Arial" w:hAnsi="Arial" w:cs="Arial"/>
          <w:color w:val="000000"/>
        </w:rPr>
      </w:pPr>
      <w:r w:rsidRPr="00B10A0A">
        <w:rPr>
          <w:rFonts w:ascii="Arial" w:hAnsi="Arial" w:cs="Arial"/>
          <w:color w:val="000000"/>
        </w:rPr>
        <w:t>Funding rounds must be conducted in accordance with any probity frameworks and protocols put in place.</w:t>
      </w:r>
      <w:r w:rsidR="00D13478">
        <w:rPr>
          <w:rFonts w:ascii="Arial" w:hAnsi="Arial" w:cs="Arial"/>
          <w:color w:val="000000"/>
        </w:rPr>
        <w:t xml:space="preserve"> </w:t>
      </w:r>
      <w:r>
        <w:rPr>
          <w:rFonts w:ascii="Arial" w:hAnsi="Arial" w:cs="Arial"/>
          <w:color w:val="000000"/>
        </w:rPr>
        <w:t>The ND</w:t>
      </w:r>
      <w:r w:rsidR="00B10A0A">
        <w:rPr>
          <w:rFonts w:ascii="Arial" w:hAnsi="Arial" w:cs="Arial"/>
          <w:color w:val="000000"/>
        </w:rPr>
        <w:t>I</w:t>
      </w:r>
      <w:r>
        <w:rPr>
          <w:rFonts w:ascii="Arial" w:hAnsi="Arial" w:cs="Arial"/>
          <w:color w:val="000000"/>
        </w:rPr>
        <w:t>A, or a relevant third party provider, may</w:t>
      </w:r>
      <w:r w:rsidRPr="008B54D7">
        <w:rPr>
          <w:rFonts w:ascii="Arial" w:hAnsi="Arial" w:cs="Arial"/>
          <w:color w:val="000000"/>
        </w:rPr>
        <w:t xml:space="preserve"> engage a Probity Advisor to help meet its obligations to </w:t>
      </w:r>
      <w:r w:rsidR="0072013D">
        <w:rPr>
          <w:rFonts w:ascii="Arial" w:hAnsi="Arial" w:cs="Arial"/>
          <w:color w:val="000000"/>
        </w:rPr>
        <w:t>ensure</w:t>
      </w:r>
      <w:r w:rsidRPr="008B54D7">
        <w:rPr>
          <w:rFonts w:ascii="Arial" w:hAnsi="Arial" w:cs="Arial"/>
          <w:color w:val="000000"/>
        </w:rPr>
        <w:t xml:space="preserve"> selection processes </w:t>
      </w:r>
      <w:r w:rsidR="0072013D">
        <w:rPr>
          <w:rFonts w:ascii="Arial" w:hAnsi="Arial" w:cs="Arial"/>
          <w:color w:val="000000"/>
        </w:rPr>
        <w:t xml:space="preserve">are </w:t>
      </w:r>
      <w:r w:rsidRPr="008B54D7">
        <w:rPr>
          <w:rFonts w:ascii="Arial" w:hAnsi="Arial" w:cs="Arial"/>
          <w:color w:val="000000"/>
        </w:rPr>
        <w:t>defensible and able to stand up to external and internal scrutiny. The Probity Advisor plays no part in the assessment of applications.</w:t>
      </w:r>
    </w:p>
    <w:p w14:paraId="30A611CC" w14:textId="77777777" w:rsidR="006567AF" w:rsidRPr="00EC1B08" w:rsidRDefault="006567AF" w:rsidP="006567AF">
      <w:pPr>
        <w:spacing w:after="120" w:line="240" w:lineRule="auto"/>
        <w:contextualSpacing/>
        <w:jc w:val="both"/>
        <w:rPr>
          <w:rFonts w:cs="Arial"/>
        </w:rPr>
      </w:pPr>
    </w:p>
    <w:p w14:paraId="6E058BE9" w14:textId="77777777" w:rsidR="006567AF" w:rsidRDefault="006567AF" w:rsidP="006567AF">
      <w:pPr>
        <w:pStyle w:val="Heading1Numbered"/>
        <w:rPr>
          <w:rFonts w:eastAsia="Calibri"/>
        </w:rPr>
      </w:pPr>
      <w:bookmarkStart w:id="1084" w:name="_Toc4175445"/>
      <w:bookmarkEnd w:id="1083"/>
      <w:r>
        <w:rPr>
          <w:rFonts w:eastAsia="Calibri"/>
        </w:rPr>
        <w:t>Program Reporting Requirements</w:t>
      </w:r>
      <w:bookmarkEnd w:id="1084"/>
    </w:p>
    <w:p w14:paraId="65D54A73" w14:textId="5C2CB5A8" w:rsidR="006567AF" w:rsidRDefault="006567AF" w:rsidP="006567AF">
      <w:pPr>
        <w:pStyle w:val="NormalIndented"/>
        <w:ind w:left="0"/>
      </w:pPr>
      <w:r>
        <w:t xml:space="preserve">There are several reporting requirements </w:t>
      </w:r>
      <w:r w:rsidR="00DD406C">
        <w:t xml:space="preserve">on the NDIA </w:t>
      </w:r>
      <w:r>
        <w:t>for the ILC Program ranging from internal man</w:t>
      </w:r>
      <w:r w:rsidR="00D13478">
        <w:t xml:space="preserve">agement to internal Assurance. </w:t>
      </w:r>
      <w:r>
        <w:t xml:space="preserve">The Program also has external reporting obligations in order to meet financial, parliamentary and other </w:t>
      </w:r>
      <w:r w:rsidR="00D13478">
        <w:t>public reporting requirements.</w:t>
      </w:r>
    </w:p>
    <w:p w14:paraId="429611B1" w14:textId="77777777" w:rsidR="00B10A0A" w:rsidRDefault="00B10A0A" w:rsidP="006567AF">
      <w:pPr>
        <w:pStyle w:val="NormalIndented"/>
        <w:ind w:left="0"/>
      </w:pPr>
      <w:r>
        <w:t>The NDIA also requires ILC Grant Recipients to report on their Activity, these requirements will be outlined in the GOGs and Application Pack for the relevant ILC Grant Program Round.</w:t>
      </w:r>
    </w:p>
    <w:p w14:paraId="12318D11" w14:textId="77777777" w:rsidR="006567AF" w:rsidRPr="00681ACF" w:rsidRDefault="006567AF" w:rsidP="006567AF">
      <w:pPr>
        <w:pStyle w:val="NormalIndented"/>
        <w:ind w:left="0"/>
      </w:pPr>
    </w:p>
    <w:p w14:paraId="11FD8FE2" w14:textId="77777777" w:rsidR="006567AF" w:rsidRPr="002D7D46" w:rsidRDefault="006567AF" w:rsidP="006567AF">
      <w:pPr>
        <w:pStyle w:val="Heading1Numbered"/>
      </w:pPr>
      <w:bookmarkStart w:id="1085" w:name="_Toc466630181"/>
      <w:bookmarkStart w:id="1086" w:name="_Toc4175446"/>
      <w:r>
        <w:t>ILC</w:t>
      </w:r>
      <w:r w:rsidRPr="002D7D46">
        <w:t xml:space="preserve"> Program Evaluation</w:t>
      </w:r>
      <w:bookmarkEnd w:id="1085"/>
      <w:bookmarkEnd w:id="1086"/>
    </w:p>
    <w:p w14:paraId="47858840" w14:textId="77777777" w:rsidR="006567AF" w:rsidRDefault="006567AF" w:rsidP="006567AF">
      <w:pPr>
        <w:spacing w:after="120" w:line="240" w:lineRule="auto"/>
        <w:jc w:val="both"/>
        <w:rPr>
          <w:rFonts w:eastAsia="Calibri" w:cs="Arial"/>
        </w:rPr>
      </w:pPr>
      <w:r w:rsidRPr="000B6105">
        <w:rPr>
          <w:rFonts w:eastAsia="Calibri" w:cs="Arial"/>
        </w:rPr>
        <w:t xml:space="preserve">The NDIA monitors and evaluates program performance to ensure </w:t>
      </w:r>
      <w:r>
        <w:rPr>
          <w:rFonts w:eastAsia="Calibri" w:cs="Arial"/>
        </w:rPr>
        <w:t xml:space="preserve">grant </w:t>
      </w:r>
      <w:r w:rsidRPr="000B6105">
        <w:rPr>
          <w:rFonts w:eastAsia="Calibri" w:cs="Arial"/>
        </w:rPr>
        <w:t xml:space="preserve">activities and Grant Recipients deliver outcomes for people with disability and have a focus on NDIA objectives through effective and efficient use of funds and resources. </w:t>
      </w:r>
    </w:p>
    <w:p w14:paraId="68C8CD19"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who receive </w:t>
      </w:r>
      <w:r>
        <w:rPr>
          <w:rFonts w:eastAsia="Calibri" w:cs="Arial"/>
        </w:rPr>
        <w:t>ILC</w:t>
      </w:r>
      <w:r w:rsidRPr="000B6105">
        <w:rPr>
          <w:rFonts w:eastAsia="Calibri" w:cs="Arial"/>
        </w:rPr>
        <w:t xml:space="preserve"> Program </w:t>
      </w:r>
      <w:r w:rsidR="001C7F17">
        <w:rPr>
          <w:rFonts w:eastAsia="Calibri" w:cs="Arial"/>
        </w:rPr>
        <w:t>funding</w:t>
      </w:r>
      <w:r w:rsidRPr="000B6105">
        <w:rPr>
          <w:rFonts w:eastAsia="Calibri" w:cs="Arial"/>
        </w:rPr>
        <w:t xml:space="preserve"> will be required to participate in, and cooperate with, any evaluation activities the NDIA may establish. This requirement will be outlined in respective Grant Agreements and participation in an evaluation process </w:t>
      </w:r>
      <w:r w:rsidRPr="00A12A24">
        <w:rPr>
          <w:rFonts w:eastAsia="Calibri" w:cs="Arial"/>
        </w:rPr>
        <w:t xml:space="preserve">may </w:t>
      </w:r>
      <w:r w:rsidR="001C7F17" w:rsidRPr="00A12A24">
        <w:rPr>
          <w:rFonts w:eastAsia="Calibri" w:cs="Arial"/>
        </w:rPr>
        <w:t xml:space="preserve">be at the </w:t>
      </w:r>
      <w:r w:rsidRPr="00A12A24">
        <w:rPr>
          <w:rFonts w:eastAsia="Calibri" w:cs="Arial"/>
        </w:rPr>
        <w:t>Grant Recipient’s expense.</w:t>
      </w:r>
      <w:r w:rsidR="001C7F17">
        <w:rPr>
          <w:rFonts w:eastAsia="Calibri" w:cs="Arial"/>
        </w:rPr>
        <w:t xml:space="preserve"> The ND</w:t>
      </w:r>
      <w:r w:rsidR="00E77E8E">
        <w:rPr>
          <w:rFonts w:eastAsia="Calibri" w:cs="Arial"/>
        </w:rPr>
        <w:t>I</w:t>
      </w:r>
      <w:r w:rsidR="001C7F17">
        <w:rPr>
          <w:rFonts w:eastAsia="Calibri" w:cs="Arial"/>
        </w:rPr>
        <w:t xml:space="preserve">A recommends that applicants allow for the cost of monitoring and evaluation within their proposed project budget. </w:t>
      </w:r>
    </w:p>
    <w:p w14:paraId="7A712DB7"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w:t>
      </w:r>
      <w:r>
        <w:rPr>
          <w:rFonts w:eastAsia="Calibri" w:cs="Arial"/>
        </w:rPr>
        <w:t>ILC</w:t>
      </w:r>
      <w:r w:rsidRPr="000B6105">
        <w:rPr>
          <w:rFonts w:eastAsia="Calibri" w:cs="Arial"/>
        </w:rPr>
        <w:t xml:space="preserve"> Program is expected to contribute to the overall goal of the NDIS to increase the social and economic participation of people with disability. The NDIA expresses this goal as increasing the opportunities </w:t>
      </w:r>
      <w:r w:rsidRPr="00B10A0A">
        <w:rPr>
          <w:rFonts w:eastAsia="Calibri" w:cs="Arial"/>
        </w:rPr>
        <w:t>for people with disability to live an ordinary life.</w:t>
      </w:r>
      <w:r w:rsidRPr="000B6105">
        <w:rPr>
          <w:rFonts w:eastAsia="Calibri" w:cs="Arial"/>
        </w:rPr>
        <w:t xml:space="preserve"> Measuring the impact of </w:t>
      </w:r>
      <w:r>
        <w:rPr>
          <w:rFonts w:eastAsia="Calibri" w:cs="Arial"/>
        </w:rPr>
        <w:t>ILC</w:t>
      </w:r>
      <w:r w:rsidRPr="000B6105">
        <w:rPr>
          <w:rFonts w:eastAsia="Calibri" w:cs="Arial"/>
        </w:rPr>
        <w:t xml:space="preserve"> Program activities, at both the individual and community level, will be important to demonstrating the contribution of the </w:t>
      </w:r>
      <w:r>
        <w:rPr>
          <w:rFonts w:eastAsia="Calibri" w:cs="Arial"/>
        </w:rPr>
        <w:t>ILC</w:t>
      </w:r>
      <w:r w:rsidRPr="000B6105">
        <w:rPr>
          <w:rFonts w:eastAsia="Calibri" w:cs="Arial"/>
        </w:rPr>
        <w:t xml:space="preserve"> Program to closing the gap in life outcomes for people with disability compared to those without disability and in reducing the need for formal supports over time. In particular it will be important to measure how equitably and successfully the Program supports people with disability who do not have an NDIS plan. Both of these things are expected to have an impact on the long term sustainability of the scheme. The NDIA will therefore look to measure the overall contribution of the Program to the sustainability of the NDIS over time. </w:t>
      </w:r>
    </w:p>
    <w:p w14:paraId="62F3CC6D" w14:textId="77777777" w:rsidR="006567AF" w:rsidRPr="000B6105" w:rsidRDefault="006567AF" w:rsidP="006567AF">
      <w:pPr>
        <w:spacing w:after="120" w:line="240" w:lineRule="auto"/>
        <w:jc w:val="both"/>
        <w:rPr>
          <w:rFonts w:eastAsia="Calibri" w:cs="Arial"/>
        </w:rPr>
      </w:pPr>
      <w:r w:rsidRPr="000B6105">
        <w:rPr>
          <w:rFonts w:eastAsia="Calibri" w:cs="Arial"/>
        </w:rPr>
        <w:lastRenderedPageBreak/>
        <w:t xml:space="preserve">The NDIA will track progress in achievement of outcomes both at an individual activity level but also at the program level to monitor the impact of the </w:t>
      </w:r>
      <w:r>
        <w:rPr>
          <w:rFonts w:eastAsia="Calibri" w:cs="Arial"/>
        </w:rPr>
        <w:t>ILC</w:t>
      </w:r>
      <w:r w:rsidRPr="000B6105">
        <w:rPr>
          <w:rFonts w:eastAsia="Calibri" w:cs="Arial"/>
        </w:rPr>
        <w:t xml:space="preserve"> Program overall, including the effectiveness of the collaborative effort with other key programs such as the NDIS Partners in the Community Program (Local Area Coordination and/or Early Childhood Early Intervention). </w:t>
      </w:r>
    </w:p>
    <w:p w14:paraId="3DF650AF" w14:textId="77777777" w:rsidR="006567AF" w:rsidRDefault="006567AF" w:rsidP="006567AF">
      <w:pPr>
        <w:pStyle w:val="CEOBrief-Heading1"/>
        <w:ind w:left="360"/>
      </w:pPr>
      <w:bookmarkStart w:id="1087" w:name="_Toc462918333"/>
      <w:bookmarkStart w:id="1088" w:name="_Toc462918562"/>
      <w:bookmarkStart w:id="1089" w:name="_Toc462918791"/>
      <w:bookmarkStart w:id="1090" w:name="_Toc462919021"/>
      <w:bookmarkStart w:id="1091" w:name="_Toc380656472"/>
      <w:bookmarkEnd w:id="1087"/>
      <w:bookmarkEnd w:id="1088"/>
      <w:bookmarkEnd w:id="1089"/>
      <w:bookmarkEnd w:id="1090"/>
      <w:bookmarkEnd w:id="1091"/>
    </w:p>
    <w:p w14:paraId="2D82104F" w14:textId="77777777" w:rsidR="00594453" w:rsidRDefault="006567AF" w:rsidP="006567AF">
      <w:pPr>
        <w:pStyle w:val="Heading1Numbered"/>
        <w:rPr>
          <w:rFonts w:eastAsia="Calibri"/>
        </w:rPr>
      </w:pPr>
      <w:bookmarkStart w:id="1092" w:name="_Toc4175447"/>
      <w:r>
        <w:rPr>
          <w:rFonts w:eastAsia="Calibri"/>
        </w:rPr>
        <w:t>General</w:t>
      </w:r>
      <w:bookmarkEnd w:id="1092"/>
      <w:r>
        <w:rPr>
          <w:rFonts w:eastAsia="Calibri"/>
        </w:rPr>
        <w:t xml:space="preserve"> </w:t>
      </w:r>
    </w:p>
    <w:p w14:paraId="71B86C28" w14:textId="77777777" w:rsidR="006567AF" w:rsidRPr="008E6704" w:rsidRDefault="006567AF" w:rsidP="006567AF">
      <w:pPr>
        <w:pStyle w:val="Heading2Numbered"/>
      </w:pPr>
      <w:bookmarkStart w:id="1093" w:name="_Toc466630183"/>
      <w:bookmarkStart w:id="1094" w:name="_Toc4175448"/>
      <w:bookmarkStart w:id="1095" w:name="_Toc358725046"/>
      <w:r w:rsidRPr="008E6704">
        <w:t>Roles and Responsibilities</w:t>
      </w:r>
      <w:bookmarkEnd w:id="1093"/>
      <w:bookmarkEnd w:id="1094"/>
    </w:p>
    <w:p w14:paraId="4B1A22FB" w14:textId="77777777" w:rsidR="006567AF" w:rsidRDefault="006567AF" w:rsidP="006567AF">
      <w:pPr>
        <w:pStyle w:val="Heading2Numbered"/>
        <w:numPr>
          <w:ilvl w:val="0"/>
          <w:numId w:val="0"/>
        </w:numPr>
        <w:rPr>
          <w:rFonts w:eastAsiaTheme="minorEastAsia"/>
          <w:lang w:val="en-GB" w:eastAsia="ja-JP"/>
        </w:rPr>
      </w:pPr>
    </w:p>
    <w:p w14:paraId="44BCD91D" w14:textId="77777777" w:rsidR="006567AF" w:rsidRPr="006567AF" w:rsidRDefault="006567AF" w:rsidP="006567AF">
      <w:pPr>
        <w:pStyle w:val="Heading2Numbered"/>
        <w:numPr>
          <w:ilvl w:val="0"/>
          <w:numId w:val="0"/>
        </w:numPr>
        <w:rPr>
          <w:rFonts w:eastAsiaTheme="minorEastAsia"/>
          <w:sz w:val="28"/>
          <w:szCs w:val="28"/>
          <w:lang w:val="en-GB" w:eastAsia="ja-JP"/>
        </w:rPr>
      </w:pPr>
      <w:bookmarkStart w:id="1096" w:name="_Toc4175449"/>
      <w:r w:rsidRPr="006567AF">
        <w:rPr>
          <w:rFonts w:eastAsiaTheme="minorEastAsia"/>
          <w:sz w:val="28"/>
          <w:szCs w:val="28"/>
          <w:lang w:val="en-GB" w:eastAsia="ja-JP"/>
        </w:rPr>
        <w:t>NDIA responsibilities and accountabilities</w:t>
      </w:r>
      <w:bookmarkEnd w:id="1096"/>
    </w:p>
    <w:p w14:paraId="1BE216E3" w14:textId="77777777" w:rsidR="006567AF" w:rsidRPr="00B82C74" w:rsidRDefault="006567AF" w:rsidP="006567AF">
      <w:pPr>
        <w:widowControl w:val="0"/>
        <w:autoSpaceDE w:val="0"/>
        <w:autoSpaceDN w:val="0"/>
        <w:adjustRightInd w:val="0"/>
        <w:spacing w:after="113" w:line="240" w:lineRule="auto"/>
        <w:jc w:val="both"/>
        <w:textAlignment w:val="center"/>
        <w:rPr>
          <w:rFonts w:eastAsiaTheme="minorEastAsia" w:cs="Arial"/>
          <w:lang w:val="en-GB" w:eastAsia="ja-JP"/>
        </w:rPr>
      </w:pPr>
      <w:r w:rsidRPr="00DB73B9">
        <w:rPr>
          <w:rFonts w:eastAsiaTheme="minorEastAsia" w:cs="Arial"/>
          <w:lang w:val="en-GB" w:eastAsia="ja-JP"/>
        </w:rPr>
        <w:t xml:space="preserve">The NDIA has responsibility for the day to day oversight of the </w:t>
      </w:r>
      <w:r>
        <w:rPr>
          <w:rFonts w:eastAsiaTheme="minorEastAsia" w:cs="Arial"/>
          <w:lang w:val="en-GB" w:eastAsia="ja-JP"/>
        </w:rPr>
        <w:t>ILC</w:t>
      </w:r>
      <w:r w:rsidRPr="00DB73B9">
        <w:rPr>
          <w:rFonts w:eastAsiaTheme="minorEastAsia" w:cs="Arial"/>
          <w:lang w:val="en-GB" w:eastAsia="ja-JP"/>
        </w:rPr>
        <w:t xml:space="preserve"> Program</w:t>
      </w:r>
      <w:r>
        <w:rPr>
          <w:rFonts w:eastAsiaTheme="minorEastAsia" w:cs="Arial"/>
          <w:lang w:val="en-GB" w:eastAsia="ja-JP"/>
        </w:rPr>
        <w:t xml:space="preserve">. </w:t>
      </w:r>
      <w:r w:rsidRPr="00DB73B9">
        <w:rPr>
          <w:rFonts w:eastAsia="Calibri" w:cs="Arial"/>
        </w:rPr>
        <w:t xml:space="preserve">The NDIA will: </w:t>
      </w:r>
    </w:p>
    <w:p w14:paraId="4B94C4C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identify suitable Applicants to deliver the activities required as per the </w:t>
      </w:r>
      <w:r>
        <w:rPr>
          <w:rFonts w:eastAsia="Calibri" w:cs="Arial"/>
        </w:rPr>
        <w:t>ILC</w:t>
      </w:r>
      <w:r w:rsidRPr="000B6105">
        <w:rPr>
          <w:rFonts w:eastAsia="Calibri" w:cs="Arial"/>
        </w:rPr>
        <w:t xml:space="preserve"> Program Guidelines;</w:t>
      </w:r>
    </w:p>
    <w:p w14:paraId="254DD69E"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meet all those terms and conditions applicable to the NDIA for any Grant Agreement established between the NDIA and the Grant Recipient; </w:t>
      </w:r>
    </w:p>
    <w:p w14:paraId="362F3A73"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administer the </w:t>
      </w:r>
      <w:r>
        <w:rPr>
          <w:rFonts w:eastAsia="Calibri" w:cs="Arial"/>
        </w:rPr>
        <w:t>ILC</w:t>
      </w:r>
      <w:r w:rsidRPr="000B6105">
        <w:rPr>
          <w:rFonts w:eastAsia="Calibri" w:cs="Arial"/>
        </w:rPr>
        <w:t xml:space="preserve"> Program in a professional and effective manner, and in accordance with applicable legislation (</w:t>
      </w:r>
      <w:r w:rsidR="00A12A24">
        <w:t>NDIS Act, NDIA AAIs, any relevant NDIA policy together with the ILC Program Guidelines and any GOGs</w:t>
      </w:r>
      <w:r w:rsidRPr="000B6105">
        <w:rPr>
          <w:rFonts w:eastAsia="Calibri" w:cs="Arial"/>
        </w:rPr>
        <w:t>);</w:t>
      </w:r>
    </w:p>
    <w:p w14:paraId="4CE2197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with Grant Recipients to ensure the </w:t>
      </w:r>
      <w:r>
        <w:rPr>
          <w:rFonts w:eastAsia="Calibri" w:cs="Arial"/>
        </w:rPr>
        <w:t>ILC</w:t>
      </w:r>
      <w:r w:rsidRPr="000B6105">
        <w:rPr>
          <w:rFonts w:eastAsia="Calibri" w:cs="Arial"/>
        </w:rPr>
        <w:t xml:space="preserve"> Program is implemented to agreed standards and within the approved budget and timeframe; </w:t>
      </w:r>
    </w:p>
    <w:p w14:paraId="18F76284"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in approving activities for funding, ensure that relevant outcomes expressed within the </w:t>
      </w:r>
      <w:r>
        <w:rPr>
          <w:rFonts w:eastAsia="Calibri" w:cs="Arial"/>
        </w:rPr>
        <w:t>ILC</w:t>
      </w:r>
      <w:r w:rsidRPr="000B6105">
        <w:rPr>
          <w:rFonts w:eastAsia="Calibri" w:cs="Arial"/>
        </w:rPr>
        <w:t xml:space="preserve"> Program Guidelines are achieved;</w:t>
      </w:r>
    </w:p>
    <w:p w14:paraId="658B209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work to ensure that the outcomes contained within the </w:t>
      </w:r>
      <w:r>
        <w:rPr>
          <w:rFonts w:eastAsia="Calibri" w:cs="Arial"/>
        </w:rPr>
        <w:t>ILC</w:t>
      </w:r>
      <w:r w:rsidRPr="000B6105">
        <w:rPr>
          <w:rFonts w:eastAsia="Calibri" w:cs="Arial"/>
        </w:rPr>
        <w:t xml:space="preserve"> Program Guidelines are being met and evaluate the organisation’s performance against the Activity outcomes; and</w:t>
      </w:r>
    </w:p>
    <w:p w14:paraId="256E3B5D"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publish information on the successful grants on the NDIA.</w:t>
      </w:r>
    </w:p>
    <w:p w14:paraId="10E837F4" w14:textId="77777777" w:rsidR="006567AF" w:rsidRPr="006567AF" w:rsidRDefault="006567AF" w:rsidP="006567AF">
      <w:pPr>
        <w:pStyle w:val="Heading2Numbered"/>
        <w:numPr>
          <w:ilvl w:val="0"/>
          <w:numId w:val="0"/>
        </w:numPr>
        <w:ind w:left="576" w:hanging="576"/>
        <w:rPr>
          <w:sz w:val="28"/>
          <w:szCs w:val="28"/>
        </w:rPr>
      </w:pPr>
      <w:bookmarkStart w:id="1097" w:name="_Toc4175450"/>
      <w:r w:rsidRPr="006567AF">
        <w:rPr>
          <w:sz w:val="28"/>
          <w:szCs w:val="28"/>
        </w:rPr>
        <w:t>Grant Recipient’s responsibilities and accountabilities</w:t>
      </w:r>
      <w:bookmarkEnd w:id="1097"/>
    </w:p>
    <w:p w14:paraId="37B744F6" w14:textId="77777777" w:rsidR="006567AF" w:rsidRPr="00F35A6F" w:rsidRDefault="003C40EF" w:rsidP="006567AF">
      <w:pPr>
        <w:spacing w:after="120" w:line="240" w:lineRule="auto"/>
        <w:jc w:val="both"/>
        <w:rPr>
          <w:rFonts w:eastAsia="Calibri" w:cs="Arial"/>
        </w:rPr>
      </w:pPr>
      <w:r>
        <w:rPr>
          <w:rFonts w:eastAsia="Calibri" w:cs="Arial"/>
        </w:rPr>
        <w:t>T</w:t>
      </w:r>
      <w:r w:rsidR="006567AF" w:rsidRPr="00F35A6F">
        <w:rPr>
          <w:rFonts w:eastAsia="Calibri" w:cs="Arial"/>
        </w:rPr>
        <w:t xml:space="preserve">he </w:t>
      </w:r>
      <w:r w:rsidR="006567AF">
        <w:rPr>
          <w:rFonts w:eastAsia="Calibri" w:cs="Arial"/>
        </w:rPr>
        <w:t>G</w:t>
      </w:r>
      <w:r w:rsidR="006567AF" w:rsidRPr="00F35A6F">
        <w:rPr>
          <w:rFonts w:eastAsia="Calibri" w:cs="Arial"/>
        </w:rPr>
        <w:t xml:space="preserve">rant </w:t>
      </w:r>
      <w:r w:rsidR="006567AF">
        <w:rPr>
          <w:rFonts w:eastAsia="Calibri" w:cs="Arial"/>
        </w:rPr>
        <w:t>R</w:t>
      </w:r>
      <w:r w:rsidR="006567AF" w:rsidRPr="00F35A6F">
        <w:rPr>
          <w:rFonts w:eastAsia="Calibri" w:cs="Arial"/>
        </w:rPr>
        <w:t xml:space="preserve">ecipient must comply with all requirements </w:t>
      </w:r>
      <w:r>
        <w:rPr>
          <w:rFonts w:eastAsia="Calibri" w:cs="Arial"/>
        </w:rPr>
        <w:t xml:space="preserve">of the </w:t>
      </w:r>
      <w:r w:rsidR="006567AF">
        <w:rPr>
          <w:rFonts w:eastAsia="Calibri" w:cs="Arial"/>
        </w:rPr>
        <w:t>G</w:t>
      </w:r>
      <w:r w:rsidR="006567AF" w:rsidRPr="00F35A6F">
        <w:rPr>
          <w:rFonts w:eastAsia="Calibri" w:cs="Arial"/>
        </w:rPr>
        <w:t xml:space="preserve">rant </w:t>
      </w:r>
      <w:r w:rsidR="006567AF">
        <w:rPr>
          <w:rFonts w:eastAsia="Calibri" w:cs="Arial"/>
        </w:rPr>
        <w:t>A</w:t>
      </w:r>
      <w:r w:rsidR="006567AF" w:rsidRPr="00F35A6F">
        <w:rPr>
          <w:rFonts w:eastAsia="Calibri" w:cs="Arial"/>
        </w:rPr>
        <w:t>greemen</w:t>
      </w:r>
      <w:r>
        <w:rPr>
          <w:rFonts w:eastAsia="Calibri" w:cs="Arial"/>
        </w:rPr>
        <w:t>t entered into</w:t>
      </w:r>
      <w:r w:rsidR="006567AF" w:rsidRPr="00F35A6F">
        <w:rPr>
          <w:rFonts w:eastAsia="Calibri" w:cs="Arial"/>
        </w:rPr>
        <w:t xml:space="preserve">. </w:t>
      </w:r>
    </w:p>
    <w:p w14:paraId="0CDD697C"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Grant Recipients are responsible for ensuring that: </w:t>
      </w:r>
    </w:p>
    <w:p w14:paraId="252484E7"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terms and conditions of the Grant Agreement are met;</w:t>
      </w:r>
    </w:p>
    <w:p w14:paraId="050B5701"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project or service is effective, efficient, and appropriately targeted;</w:t>
      </w:r>
    </w:p>
    <w:p w14:paraId="1F1586F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the highest ethical standards and duty of care are applied;</w:t>
      </w:r>
    </w:p>
    <w:p w14:paraId="17E7CE7C" w14:textId="4F4A0094"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services comply with the requirements as set out within all applicable State, Territory and Commonwealt</w:t>
      </w:r>
      <w:r w:rsidR="00D13478">
        <w:rPr>
          <w:rFonts w:eastAsia="Calibri" w:cs="Arial"/>
        </w:rPr>
        <w:t>h legislation and regulations;</w:t>
      </w:r>
    </w:p>
    <w:p w14:paraId="32E91E39"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Indigenous Australians have equal and equitable access to services;</w:t>
      </w:r>
    </w:p>
    <w:p w14:paraId="34394CDF"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work collaboratively </w:t>
      </w:r>
      <w:r w:rsidR="003C40EF">
        <w:rPr>
          <w:rFonts w:eastAsia="Calibri" w:cs="Arial"/>
        </w:rPr>
        <w:t xml:space="preserve">with relevant stakeholders </w:t>
      </w:r>
      <w:r w:rsidRPr="000B6105">
        <w:rPr>
          <w:rFonts w:eastAsia="Calibri" w:cs="Arial"/>
        </w:rPr>
        <w:t xml:space="preserve">to deliver the </w:t>
      </w:r>
      <w:r>
        <w:rPr>
          <w:rFonts w:eastAsia="Calibri" w:cs="Arial"/>
        </w:rPr>
        <w:t>ILC</w:t>
      </w:r>
      <w:r w:rsidRPr="000B6105">
        <w:rPr>
          <w:rFonts w:eastAsia="Calibri" w:cs="Arial"/>
        </w:rPr>
        <w:t xml:space="preserve"> Program; </w:t>
      </w:r>
    </w:p>
    <w:p w14:paraId="1546CA86"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give false or misleading information to NDIA (as this is a serious offence); </w:t>
      </w:r>
    </w:p>
    <w:p w14:paraId="57D44368" w14:textId="77777777" w:rsidR="006567AF" w:rsidRPr="000B6105" w:rsidRDefault="006567AF" w:rsidP="006567AF">
      <w:pPr>
        <w:pStyle w:val="ListParagraph"/>
        <w:numPr>
          <w:ilvl w:val="0"/>
          <w:numId w:val="23"/>
        </w:numPr>
        <w:spacing w:after="120" w:line="240" w:lineRule="auto"/>
        <w:contextualSpacing/>
        <w:jc w:val="both"/>
        <w:rPr>
          <w:rFonts w:eastAsia="Calibri" w:cs="Arial"/>
        </w:rPr>
      </w:pPr>
      <w:r w:rsidRPr="000B6105">
        <w:rPr>
          <w:rFonts w:eastAsia="Calibri" w:cs="Arial"/>
        </w:rPr>
        <w:t xml:space="preserve">they do not do any act or engage in any practice in relation to </w:t>
      </w:r>
      <w:r w:rsidR="003C40EF">
        <w:rPr>
          <w:rFonts w:eastAsia="Calibri" w:cs="Arial"/>
        </w:rPr>
        <w:t>p</w:t>
      </w:r>
      <w:r w:rsidRPr="000B6105">
        <w:rPr>
          <w:rFonts w:eastAsia="Calibri" w:cs="Arial"/>
        </w:rPr>
        <w:t xml:space="preserve">rotected </w:t>
      </w:r>
      <w:r w:rsidR="00A12A24">
        <w:rPr>
          <w:rFonts w:eastAsia="Calibri" w:cs="Arial"/>
        </w:rPr>
        <w:t xml:space="preserve">Agency </w:t>
      </w:r>
      <w:r w:rsidRPr="000B6105">
        <w:rPr>
          <w:rFonts w:eastAsia="Calibri" w:cs="Arial"/>
        </w:rPr>
        <w:t>Information that is a breach of, or an offence under the National Disability Insurance Scheme Act 2013 (Cth); and</w:t>
      </w:r>
    </w:p>
    <w:p w14:paraId="052AC6A0" w14:textId="77777777" w:rsidR="006567AF" w:rsidRDefault="006567AF" w:rsidP="006567AF">
      <w:pPr>
        <w:pStyle w:val="ListParagraph"/>
        <w:numPr>
          <w:ilvl w:val="0"/>
          <w:numId w:val="23"/>
        </w:numPr>
        <w:spacing w:after="120" w:line="240" w:lineRule="auto"/>
        <w:jc w:val="both"/>
        <w:rPr>
          <w:rFonts w:eastAsia="Calibri" w:cs="Arial"/>
        </w:rPr>
      </w:pPr>
      <w:r w:rsidRPr="00B82C74">
        <w:rPr>
          <w:rFonts w:eastAsia="Calibri" w:cs="Arial"/>
        </w:rPr>
        <w:lastRenderedPageBreak/>
        <w:t>they contribute to the overall development and improvement of the ILC Program, such as through sharing best practice, or cooperating in any evaluation activities as directed.</w:t>
      </w:r>
      <w:bookmarkEnd w:id="1095"/>
    </w:p>
    <w:p w14:paraId="5512936F" w14:textId="77777777" w:rsidR="006567AF" w:rsidRPr="00B82C74" w:rsidRDefault="006567AF" w:rsidP="006567AF">
      <w:pPr>
        <w:pStyle w:val="Heading2Numbered"/>
      </w:pPr>
      <w:bookmarkStart w:id="1098" w:name="_Toc4175451"/>
      <w:r w:rsidRPr="00B82C74">
        <w:t>Personal Information</w:t>
      </w:r>
      <w:bookmarkEnd w:id="1098"/>
    </w:p>
    <w:p w14:paraId="44AEE2B7" w14:textId="1B49272F" w:rsidR="006567AF" w:rsidRPr="00CC5A8B" w:rsidRDefault="006567AF" w:rsidP="006567AF">
      <w:pPr>
        <w:jc w:val="both"/>
        <w:rPr>
          <w:rFonts w:eastAsia="Calibri" w:cs="Arial"/>
        </w:rPr>
      </w:pPr>
      <w:r w:rsidRPr="00A37FDD">
        <w:t xml:space="preserve">Any personal information an Applicant provides </w:t>
      </w:r>
      <w:r>
        <w:t xml:space="preserve">as part of its Application </w:t>
      </w:r>
      <w:r w:rsidRPr="00A37FDD">
        <w:t xml:space="preserve">is protected under the </w:t>
      </w:r>
      <w:r w:rsidRPr="00A37FDD">
        <w:rPr>
          <w:i/>
        </w:rPr>
        <w:t>Privacy Act 1988</w:t>
      </w:r>
      <w:r w:rsidRPr="00A37FDD">
        <w:t xml:space="preserve"> (Cth). It can only be disclosed to someone else in the circumstances permitted in the </w:t>
      </w:r>
      <w:r w:rsidRPr="00A37FDD">
        <w:rPr>
          <w:i/>
        </w:rPr>
        <w:t xml:space="preserve">Privacy Act 1988 </w:t>
      </w:r>
      <w:r w:rsidR="00D13478">
        <w:t>(Cth).</w:t>
      </w:r>
    </w:p>
    <w:p w14:paraId="043C54B6" w14:textId="77777777" w:rsidR="006567AF" w:rsidRPr="00CC5A8B" w:rsidRDefault="006567AF" w:rsidP="006567AF">
      <w:pPr>
        <w:spacing w:after="120" w:line="240" w:lineRule="auto"/>
        <w:jc w:val="both"/>
        <w:rPr>
          <w:rFonts w:eastAsia="Calibri" w:cs="Arial"/>
        </w:rPr>
      </w:pPr>
      <w:r w:rsidRPr="00CC5A8B">
        <w:rPr>
          <w:rFonts w:eastAsia="Calibri" w:cs="Arial"/>
        </w:rPr>
        <w:t xml:space="preserve">If you have questions or concerns about how your personal information is handled you can contact the Privacy Officer at NDIA at </w:t>
      </w:r>
      <w:hyperlink r:id="rId15" w:history="1">
        <w:r w:rsidRPr="00CC5A8B">
          <w:rPr>
            <w:rFonts w:eastAsia="Calibri" w:cs="Arial"/>
            <w:color w:val="0000FF"/>
            <w:u w:val="single"/>
          </w:rPr>
          <w:t>privacy@ndis.gov.au</w:t>
        </w:r>
      </w:hyperlink>
      <w:r w:rsidRPr="00CC5A8B">
        <w:rPr>
          <w:rFonts w:eastAsia="Calibri" w:cs="Arial"/>
        </w:rPr>
        <w:t xml:space="preserve">, the Privacy Commissioner on 1300 363 992 (local call cost, but calls from mobile and pay phones may incur higher charges) or the Australian Government Privacy Officer by emailing: </w:t>
      </w:r>
      <w:hyperlink r:id="rId16" w:tooltip="mailto:privacy@privacy.gov.au" w:history="1">
        <w:r w:rsidRPr="00CC5A8B">
          <w:rPr>
            <w:rFonts w:eastAsia="Calibri" w:cs="Arial"/>
            <w:color w:val="0000FF"/>
            <w:u w:val="single"/>
          </w:rPr>
          <w:t>privacy@privacy.gov.au</w:t>
        </w:r>
      </w:hyperlink>
      <w:r w:rsidRPr="00CC5A8B">
        <w:rPr>
          <w:rFonts w:eastAsia="Calibri" w:cs="Arial"/>
        </w:rPr>
        <w:t>.</w:t>
      </w:r>
      <w:bookmarkStart w:id="1099" w:name="_Toc358886266"/>
      <w:bookmarkStart w:id="1100" w:name="_Toc358886470"/>
      <w:bookmarkEnd w:id="1099"/>
      <w:bookmarkEnd w:id="1100"/>
    </w:p>
    <w:p w14:paraId="198A6F82" w14:textId="77777777" w:rsidR="006567AF" w:rsidRPr="00573AE6" w:rsidRDefault="006567AF" w:rsidP="006567AF">
      <w:pPr>
        <w:spacing w:after="120" w:line="240" w:lineRule="auto"/>
        <w:jc w:val="both"/>
        <w:rPr>
          <w:rFonts w:eastAsia="Calibri" w:cs="Arial"/>
        </w:rPr>
      </w:pPr>
    </w:p>
    <w:p w14:paraId="6EE49A34" w14:textId="77777777" w:rsidR="006567AF" w:rsidRPr="00692E9E" w:rsidRDefault="006567AF" w:rsidP="006567AF">
      <w:pPr>
        <w:pStyle w:val="Heading2Numbered"/>
      </w:pPr>
      <w:bookmarkStart w:id="1101" w:name="_Toc466630185"/>
      <w:bookmarkStart w:id="1102" w:name="_Toc4175452"/>
      <w:bookmarkStart w:id="1103" w:name="_Toc389125659"/>
      <w:bookmarkStart w:id="1104" w:name="_Toc389125662"/>
      <w:r>
        <w:t>Freedom of Information</w:t>
      </w:r>
      <w:bookmarkEnd w:id="1101"/>
      <w:bookmarkEnd w:id="1102"/>
    </w:p>
    <w:bookmarkEnd w:id="1103"/>
    <w:p w14:paraId="52FC9DC6" w14:textId="77777777" w:rsidR="006567AF" w:rsidRPr="00A37FDD" w:rsidRDefault="006567AF" w:rsidP="006567AF">
      <w:pPr>
        <w:jc w:val="both"/>
      </w:pPr>
      <w:r w:rsidRPr="00A37FDD">
        <w:t xml:space="preserve">All documents in the possession of </w:t>
      </w:r>
      <w:r>
        <w:t xml:space="preserve">the </w:t>
      </w:r>
      <w:r w:rsidRPr="00A37FDD">
        <w:t>NDIA</w:t>
      </w:r>
      <w:r>
        <w:t xml:space="preserve"> </w:t>
      </w:r>
      <w:r w:rsidRPr="00A37FDD">
        <w:t xml:space="preserve">are subject to the </w:t>
      </w:r>
      <w:r w:rsidRPr="00A37FDD">
        <w:rPr>
          <w:i/>
        </w:rPr>
        <w:t>Freedom of Information Act 1982</w:t>
      </w:r>
      <w:r w:rsidRPr="00A37FDD">
        <w:t xml:space="preserve"> (Cth) (</w:t>
      </w:r>
      <w:r w:rsidRPr="00A37FDD">
        <w:rPr>
          <w:b/>
        </w:rPr>
        <w:t>FOI Act</w:t>
      </w:r>
      <w:r w:rsidRPr="00A37FDD">
        <w:t>).</w:t>
      </w:r>
    </w:p>
    <w:p w14:paraId="403D8986" w14:textId="77777777" w:rsidR="006567AF" w:rsidRPr="000B6105" w:rsidRDefault="006567AF" w:rsidP="006567AF">
      <w:pPr>
        <w:spacing w:after="120" w:line="240" w:lineRule="auto"/>
        <w:jc w:val="both"/>
        <w:rPr>
          <w:rFonts w:eastAsia="Calibri" w:cs="Arial"/>
        </w:rPr>
      </w:pPr>
      <w:r w:rsidRPr="000B6105">
        <w:rPr>
          <w:rFonts w:eastAsia="Calibri" w:cs="Arial"/>
        </w:rPr>
        <w:t xml:space="preserve">The FOI Act creates a general right of access to documents in the possession of the NDIA and this right of access is limited only by the exceptions and exemptions necessary for the protection of essential public interests and private and business affairs of persons in respect of whom the information relates. </w:t>
      </w:r>
    </w:p>
    <w:p w14:paraId="13D1B64B" w14:textId="77777777" w:rsidR="006567AF" w:rsidRDefault="006567AF" w:rsidP="006567AF">
      <w:pPr>
        <w:spacing w:after="120" w:line="240" w:lineRule="auto"/>
        <w:jc w:val="both"/>
        <w:rPr>
          <w:rFonts w:eastAsia="Calibri" w:cs="Arial"/>
        </w:rPr>
      </w:pPr>
      <w:r w:rsidRPr="000B6105">
        <w:rPr>
          <w:rFonts w:eastAsia="Calibri" w:cs="Arial"/>
        </w:rPr>
        <w:t>Decisions regarding requests for access under the FOI Act will be made by an authorised decision</w:t>
      </w:r>
      <w:r w:rsidRPr="000B6105">
        <w:rPr>
          <w:rFonts w:ascii="Cambria Math" w:eastAsia="Calibri" w:hAnsi="Cambria Math" w:cs="Cambria Math"/>
        </w:rPr>
        <w:t>‐</w:t>
      </w:r>
      <w:r w:rsidRPr="000B6105">
        <w:rPr>
          <w:rFonts w:eastAsia="Calibri" w:cs="Arial"/>
        </w:rPr>
        <w:t>maker in accordance with the requirements of the FOI Act.</w:t>
      </w:r>
    </w:p>
    <w:p w14:paraId="6F4B2233" w14:textId="77777777" w:rsidR="006567AF" w:rsidRPr="00692E9E" w:rsidRDefault="006567AF" w:rsidP="006567AF">
      <w:pPr>
        <w:pStyle w:val="Heading2Numbered"/>
      </w:pPr>
      <w:bookmarkStart w:id="1105" w:name="_Toc466630186"/>
      <w:bookmarkStart w:id="1106" w:name="_Toc4175453"/>
      <w:bookmarkStart w:id="1107" w:name="_Toc168733374"/>
      <w:bookmarkStart w:id="1108" w:name="_Toc168133738"/>
      <w:r>
        <w:t>Complaints</w:t>
      </w:r>
      <w:bookmarkEnd w:id="1105"/>
      <w:bookmarkEnd w:id="1106"/>
    </w:p>
    <w:p w14:paraId="306BFF41" w14:textId="77777777" w:rsidR="006567AF" w:rsidRPr="00A37FDD" w:rsidRDefault="001C7F17" w:rsidP="006567AF">
      <w:pPr>
        <w:jc w:val="both"/>
      </w:pPr>
      <w:r>
        <w:t xml:space="preserve">Individuals and/or organisations </w:t>
      </w:r>
      <w:r w:rsidR="006567AF" w:rsidRPr="00A37FDD">
        <w:t xml:space="preserve">can lodge a complaint </w:t>
      </w:r>
      <w:r>
        <w:t xml:space="preserve">about the ILC Program </w:t>
      </w:r>
      <w:r w:rsidR="006567AF" w:rsidRPr="00A37FDD">
        <w:t xml:space="preserve">using the complaints form on the NDIA </w:t>
      </w:r>
      <w:hyperlink r:id="rId17" w:history="1">
        <w:r w:rsidR="006567AF" w:rsidRPr="00D95C08">
          <w:rPr>
            <w:rStyle w:val="Hyperlink"/>
          </w:rPr>
          <w:t>website</w:t>
        </w:r>
      </w:hyperlink>
      <w:r w:rsidR="006567AF">
        <w:t>.</w:t>
      </w:r>
    </w:p>
    <w:p w14:paraId="3A2C3CDA" w14:textId="77777777" w:rsidR="006567AF" w:rsidRPr="000A682E" w:rsidRDefault="006567AF" w:rsidP="006567AF">
      <w:pPr>
        <w:jc w:val="both"/>
        <w:rPr>
          <w:lang w:eastAsia="en-AU"/>
        </w:rPr>
      </w:pPr>
      <w:r w:rsidRPr="00F97E83">
        <w:rPr>
          <w:rFonts w:eastAsia="Calibri" w:cs="Arial"/>
        </w:rPr>
        <w:t xml:space="preserve">If an </w:t>
      </w:r>
      <w:r w:rsidR="001C7F17">
        <w:rPr>
          <w:rFonts w:eastAsia="Calibri" w:cs="Arial"/>
        </w:rPr>
        <w:t>individual and/or organisations</w:t>
      </w:r>
      <w:r w:rsidRPr="00F97E83">
        <w:rPr>
          <w:rFonts w:eastAsia="Calibri" w:cs="Arial"/>
        </w:rPr>
        <w:t xml:space="preserve"> is at any time dissatisfied with the NDIA’s handling of a complaint, they can contact the Commonwealth Ombudsman at the ombudsman’s</w:t>
      </w:r>
      <w:r w:rsidRPr="00A37FDD">
        <w:t xml:space="preserve"> </w:t>
      </w:r>
      <w:hyperlink r:id="rId18" w:history="1">
        <w:r w:rsidRPr="00D95C08">
          <w:rPr>
            <w:rStyle w:val="Hyperlink"/>
          </w:rPr>
          <w:t>website</w:t>
        </w:r>
      </w:hyperlink>
      <w:r w:rsidRPr="00A37FDD">
        <w:t xml:space="preserve"> or by phone: 1300 362 072.</w:t>
      </w:r>
    </w:p>
    <w:bookmarkEnd w:id="1107"/>
    <w:bookmarkEnd w:id="1108"/>
    <w:p w14:paraId="4E2741AC" w14:textId="77777777" w:rsidR="006567AF" w:rsidRPr="000B6105" w:rsidRDefault="006567AF" w:rsidP="006567AF">
      <w:pPr>
        <w:spacing w:after="120" w:line="240" w:lineRule="auto"/>
        <w:jc w:val="both"/>
        <w:rPr>
          <w:rFonts w:eastAsia="Calibri" w:cs="Arial"/>
        </w:rPr>
      </w:pPr>
    </w:p>
    <w:p w14:paraId="530F5274" w14:textId="77777777" w:rsidR="006567AF" w:rsidRDefault="006567AF" w:rsidP="006567AF">
      <w:pPr>
        <w:pStyle w:val="Heading2Numbered"/>
        <w:rPr>
          <w:lang w:eastAsia="en-AU"/>
        </w:rPr>
      </w:pPr>
      <w:bookmarkStart w:id="1109" w:name="_Toc462835172"/>
      <w:bookmarkStart w:id="1110" w:name="_Toc462845777"/>
      <w:bookmarkStart w:id="1111" w:name="_Toc462846946"/>
      <w:bookmarkStart w:id="1112" w:name="_Toc462906223"/>
      <w:bookmarkStart w:id="1113" w:name="_Toc462912017"/>
      <w:bookmarkStart w:id="1114" w:name="_Toc462912509"/>
      <w:bookmarkStart w:id="1115" w:name="_Toc462912681"/>
      <w:bookmarkStart w:id="1116" w:name="_Toc462913168"/>
      <w:bookmarkStart w:id="1117" w:name="_Toc462918484"/>
      <w:bookmarkStart w:id="1118" w:name="_Toc462918713"/>
      <w:bookmarkStart w:id="1119" w:name="_Toc462918942"/>
      <w:bookmarkStart w:id="1120" w:name="_Toc462919172"/>
      <w:bookmarkStart w:id="1121" w:name="_Toc462835173"/>
      <w:bookmarkStart w:id="1122" w:name="_Toc462845778"/>
      <w:bookmarkStart w:id="1123" w:name="_Toc462846947"/>
      <w:bookmarkStart w:id="1124" w:name="_Toc462906224"/>
      <w:bookmarkStart w:id="1125" w:name="_Toc462912018"/>
      <w:bookmarkStart w:id="1126" w:name="_Toc462912510"/>
      <w:bookmarkStart w:id="1127" w:name="_Toc462912682"/>
      <w:bookmarkStart w:id="1128" w:name="_Toc462913169"/>
      <w:bookmarkStart w:id="1129" w:name="_Toc462918485"/>
      <w:bookmarkStart w:id="1130" w:name="_Toc462918714"/>
      <w:bookmarkStart w:id="1131" w:name="_Toc462918943"/>
      <w:bookmarkStart w:id="1132" w:name="_Toc462919173"/>
      <w:bookmarkStart w:id="1133" w:name="_Toc462835174"/>
      <w:bookmarkStart w:id="1134" w:name="_Toc462845779"/>
      <w:bookmarkStart w:id="1135" w:name="_Toc462846948"/>
      <w:bookmarkStart w:id="1136" w:name="_Toc462906225"/>
      <w:bookmarkStart w:id="1137" w:name="_Toc462912019"/>
      <w:bookmarkStart w:id="1138" w:name="_Toc462912511"/>
      <w:bookmarkStart w:id="1139" w:name="_Toc462912683"/>
      <w:bookmarkStart w:id="1140" w:name="_Toc462913170"/>
      <w:bookmarkStart w:id="1141" w:name="_Toc462918486"/>
      <w:bookmarkStart w:id="1142" w:name="_Toc462918715"/>
      <w:bookmarkStart w:id="1143" w:name="_Toc462918944"/>
      <w:bookmarkStart w:id="1144" w:name="_Toc462919174"/>
      <w:bookmarkStart w:id="1145" w:name="_Toc462835175"/>
      <w:bookmarkStart w:id="1146" w:name="_Toc462845780"/>
      <w:bookmarkStart w:id="1147" w:name="_Toc462846949"/>
      <w:bookmarkStart w:id="1148" w:name="_Toc462906226"/>
      <w:bookmarkStart w:id="1149" w:name="_Toc462912020"/>
      <w:bookmarkStart w:id="1150" w:name="_Toc462912512"/>
      <w:bookmarkStart w:id="1151" w:name="_Toc462912684"/>
      <w:bookmarkStart w:id="1152" w:name="_Toc462913171"/>
      <w:bookmarkStart w:id="1153" w:name="_Toc462918487"/>
      <w:bookmarkStart w:id="1154" w:name="_Toc462918716"/>
      <w:bookmarkStart w:id="1155" w:name="_Toc462918945"/>
      <w:bookmarkStart w:id="1156" w:name="_Toc462919175"/>
      <w:bookmarkStart w:id="1157" w:name="_Toc462835176"/>
      <w:bookmarkStart w:id="1158" w:name="_Toc462845781"/>
      <w:bookmarkStart w:id="1159" w:name="_Toc462846950"/>
      <w:bookmarkStart w:id="1160" w:name="_Toc462906227"/>
      <w:bookmarkStart w:id="1161" w:name="_Toc462912021"/>
      <w:bookmarkStart w:id="1162" w:name="_Toc462912513"/>
      <w:bookmarkStart w:id="1163" w:name="_Toc462912685"/>
      <w:bookmarkStart w:id="1164" w:name="_Toc462913172"/>
      <w:bookmarkStart w:id="1165" w:name="_Toc462918488"/>
      <w:bookmarkStart w:id="1166" w:name="_Toc462918717"/>
      <w:bookmarkStart w:id="1167" w:name="_Toc462918946"/>
      <w:bookmarkStart w:id="1168" w:name="_Toc462919176"/>
      <w:bookmarkStart w:id="1169" w:name="_Toc462835177"/>
      <w:bookmarkStart w:id="1170" w:name="_Toc462845782"/>
      <w:bookmarkStart w:id="1171" w:name="_Toc462846951"/>
      <w:bookmarkStart w:id="1172" w:name="_Toc462906228"/>
      <w:bookmarkStart w:id="1173" w:name="_Toc462912022"/>
      <w:bookmarkStart w:id="1174" w:name="_Toc462912514"/>
      <w:bookmarkStart w:id="1175" w:name="_Toc462912686"/>
      <w:bookmarkStart w:id="1176" w:name="_Toc462913173"/>
      <w:bookmarkStart w:id="1177" w:name="_Toc462918489"/>
      <w:bookmarkStart w:id="1178" w:name="_Toc462918718"/>
      <w:bookmarkStart w:id="1179" w:name="_Toc462918947"/>
      <w:bookmarkStart w:id="1180" w:name="_Toc462919177"/>
      <w:bookmarkStart w:id="1181" w:name="_Toc462835178"/>
      <w:bookmarkStart w:id="1182" w:name="_Toc462845783"/>
      <w:bookmarkStart w:id="1183" w:name="_Toc462846952"/>
      <w:bookmarkStart w:id="1184" w:name="_Toc462906229"/>
      <w:bookmarkStart w:id="1185" w:name="_Toc462912023"/>
      <w:bookmarkStart w:id="1186" w:name="_Toc462912515"/>
      <w:bookmarkStart w:id="1187" w:name="_Toc462912687"/>
      <w:bookmarkStart w:id="1188" w:name="_Toc462913174"/>
      <w:bookmarkStart w:id="1189" w:name="_Toc462918490"/>
      <w:bookmarkStart w:id="1190" w:name="_Toc462918719"/>
      <w:bookmarkStart w:id="1191" w:name="_Toc462918948"/>
      <w:bookmarkStart w:id="1192" w:name="_Toc462919178"/>
      <w:bookmarkStart w:id="1193" w:name="_Toc462835179"/>
      <w:bookmarkStart w:id="1194" w:name="_Toc462845784"/>
      <w:bookmarkStart w:id="1195" w:name="_Toc462846953"/>
      <w:bookmarkStart w:id="1196" w:name="_Toc462906230"/>
      <w:bookmarkStart w:id="1197" w:name="_Toc462912024"/>
      <w:bookmarkStart w:id="1198" w:name="_Toc462912516"/>
      <w:bookmarkStart w:id="1199" w:name="_Toc462912688"/>
      <w:bookmarkStart w:id="1200" w:name="_Toc462913175"/>
      <w:bookmarkStart w:id="1201" w:name="_Toc462918491"/>
      <w:bookmarkStart w:id="1202" w:name="_Toc462918720"/>
      <w:bookmarkStart w:id="1203" w:name="_Toc462918949"/>
      <w:bookmarkStart w:id="1204" w:name="_Toc462919179"/>
      <w:bookmarkStart w:id="1205" w:name="_Toc462835180"/>
      <w:bookmarkStart w:id="1206" w:name="_Toc462845785"/>
      <w:bookmarkStart w:id="1207" w:name="_Toc462846954"/>
      <w:bookmarkStart w:id="1208" w:name="_Toc462906231"/>
      <w:bookmarkStart w:id="1209" w:name="_Toc462912025"/>
      <w:bookmarkStart w:id="1210" w:name="_Toc462912517"/>
      <w:bookmarkStart w:id="1211" w:name="_Toc462912689"/>
      <w:bookmarkStart w:id="1212" w:name="_Toc462913176"/>
      <w:bookmarkStart w:id="1213" w:name="_Toc462918492"/>
      <w:bookmarkStart w:id="1214" w:name="_Toc462918721"/>
      <w:bookmarkStart w:id="1215" w:name="_Toc462918950"/>
      <w:bookmarkStart w:id="1216" w:name="_Toc462919180"/>
      <w:bookmarkStart w:id="1217" w:name="_Toc462835181"/>
      <w:bookmarkStart w:id="1218" w:name="_Toc462845786"/>
      <w:bookmarkStart w:id="1219" w:name="_Toc462846955"/>
      <w:bookmarkStart w:id="1220" w:name="_Toc462906232"/>
      <w:bookmarkStart w:id="1221" w:name="_Toc462912026"/>
      <w:bookmarkStart w:id="1222" w:name="_Toc462912518"/>
      <w:bookmarkStart w:id="1223" w:name="_Toc462912690"/>
      <w:bookmarkStart w:id="1224" w:name="_Toc462913177"/>
      <w:bookmarkStart w:id="1225" w:name="_Toc462918493"/>
      <w:bookmarkStart w:id="1226" w:name="_Toc462918722"/>
      <w:bookmarkStart w:id="1227" w:name="_Toc462918951"/>
      <w:bookmarkStart w:id="1228" w:name="_Toc462919181"/>
      <w:bookmarkStart w:id="1229" w:name="_Toc466630187"/>
      <w:bookmarkStart w:id="1230" w:name="_Toc4175454"/>
      <w:bookmarkEnd w:id="1104"/>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r>
        <w:rPr>
          <w:lang w:eastAsia="en-AU"/>
        </w:rPr>
        <w:t>Working with vulnerable persons</w:t>
      </w:r>
      <w:bookmarkEnd w:id="1229"/>
      <w:bookmarkEnd w:id="1230"/>
    </w:p>
    <w:p w14:paraId="0DDB065C" w14:textId="77777777" w:rsidR="006567AF" w:rsidRDefault="006567AF" w:rsidP="006567AF">
      <w:pPr>
        <w:spacing w:after="120" w:line="240" w:lineRule="auto"/>
        <w:jc w:val="both"/>
        <w:rPr>
          <w:rFonts w:eastAsia="Calibri" w:cs="Arial"/>
        </w:rPr>
      </w:pPr>
      <w:r w:rsidRPr="000B6105">
        <w:rPr>
          <w:rFonts w:eastAsia="Calibri" w:cs="Arial"/>
        </w:rPr>
        <w:t>It is a matter of law that organisations and individuals who are involved in the administering of any Activity must</w:t>
      </w:r>
      <w:r w:rsidR="006B3CDB">
        <w:rPr>
          <w:rFonts w:eastAsia="Calibri" w:cs="Arial"/>
        </w:rPr>
        <w:t>,</w:t>
      </w:r>
      <w:r w:rsidRPr="000B6105">
        <w:rPr>
          <w:rFonts w:eastAsia="Calibri" w:cs="Arial"/>
        </w:rPr>
        <w:t xml:space="preserve"> if they will be working </w:t>
      </w:r>
      <w:r w:rsidR="00167412">
        <w:rPr>
          <w:rFonts w:eastAsia="Calibri" w:cs="Arial"/>
        </w:rPr>
        <w:t xml:space="preserve">with </w:t>
      </w:r>
      <w:r w:rsidRPr="000B6105">
        <w:rPr>
          <w:rFonts w:eastAsia="Calibri" w:cs="Arial"/>
        </w:rPr>
        <w:t xml:space="preserve">or have contact with vulnerable persons, comply with the relevant legislative working with vulnerable person check requirements of the jurisdiction in which they will be working. </w:t>
      </w:r>
    </w:p>
    <w:p w14:paraId="268F9F36" w14:textId="77777777" w:rsidR="006567AF" w:rsidRPr="006567AF" w:rsidRDefault="006567AF" w:rsidP="006567AF"/>
    <w:p w14:paraId="6EDB9F66" w14:textId="77777777" w:rsidR="006567AF" w:rsidRDefault="006567AF" w:rsidP="00594453">
      <w:pPr>
        <w:spacing w:after="120" w:line="240" w:lineRule="auto"/>
        <w:jc w:val="both"/>
        <w:rPr>
          <w:rFonts w:eastAsia="Calibri" w:cs="Arial"/>
        </w:rPr>
      </w:pPr>
    </w:p>
    <w:p w14:paraId="702A985D" w14:textId="77777777" w:rsidR="00847681" w:rsidRPr="007908EB" w:rsidRDefault="00847681" w:rsidP="00DC3750">
      <w:pPr>
        <w:pStyle w:val="Heading1Numbered"/>
      </w:pPr>
      <w:bookmarkStart w:id="1231" w:name="_Toc466630188"/>
      <w:bookmarkStart w:id="1232" w:name="_Toc4175455"/>
      <w:r w:rsidRPr="007908EB">
        <w:lastRenderedPageBreak/>
        <w:t>Glossary</w:t>
      </w:r>
      <w:bookmarkEnd w:id="1231"/>
      <w:bookmarkEnd w:id="1232"/>
    </w:p>
    <w:tbl>
      <w:tblPr>
        <w:tblStyle w:val="TableGrid"/>
        <w:tblW w:w="10206" w:type="dxa"/>
        <w:tblInd w:w="-1139" w:type="dxa"/>
        <w:tblCellMar>
          <w:top w:w="113" w:type="dxa"/>
          <w:bottom w:w="113" w:type="dxa"/>
        </w:tblCellMar>
        <w:tblLook w:val="04A0" w:firstRow="1" w:lastRow="0" w:firstColumn="1" w:lastColumn="0" w:noHBand="0" w:noVBand="1"/>
        <w:tblCaption w:val="Glossary"/>
        <w:tblDescription w:val="Term and definition"/>
      </w:tblPr>
      <w:tblGrid>
        <w:gridCol w:w="2359"/>
        <w:gridCol w:w="7847"/>
      </w:tblGrid>
      <w:tr w:rsidR="00A401B6" w:rsidRPr="00A06521" w14:paraId="2444B117" w14:textId="77777777" w:rsidTr="00D368C5">
        <w:trPr>
          <w:tblHeader/>
        </w:trPr>
        <w:tc>
          <w:tcPr>
            <w:tcW w:w="2359" w:type="dxa"/>
            <w:shd w:val="clear" w:color="auto" w:fill="D9D9D9" w:themeFill="background1" w:themeFillShade="D9"/>
          </w:tcPr>
          <w:p w14:paraId="2D241A94" w14:textId="77777777" w:rsidR="00A401B6" w:rsidRPr="005E2941" w:rsidRDefault="00A401B6" w:rsidP="00D368C5">
            <w:pPr>
              <w:jc w:val="center"/>
              <w:rPr>
                <w:rFonts w:cstheme="minorHAnsi"/>
                <w:b/>
              </w:rPr>
            </w:pPr>
            <w:r w:rsidRPr="005E2941">
              <w:rPr>
                <w:rFonts w:cstheme="minorHAnsi"/>
                <w:b/>
              </w:rPr>
              <w:t>Term</w:t>
            </w:r>
          </w:p>
        </w:tc>
        <w:tc>
          <w:tcPr>
            <w:tcW w:w="7847" w:type="dxa"/>
            <w:shd w:val="clear" w:color="auto" w:fill="D9D9D9" w:themeFill="background1" w:themeFillShade="D9"/>
          </w:tcPr>
          <w:p w14:paraId="5D1C5DBB" w14:textId="77777777" w:rsidR="00A401B6" w:rsidRPr="00A06521" w:rsidRDefault="00A401B6" w:rsidP="00D368C5">
            <w:pPr>
              <w:jc w:val="center"/>
              <w:rPr>
                <w:rFonts w:cstheme="minorHAnsi"/>
                <w:b/>
              </w:rPr>
            </w:pPr>
            <w:r w:rsidRPr="00A06521">
              <w:rPr>
                <w:rFonts w:cstheme="minorHAnsi"/>
                <w:b/>
              </w:rPr>
              <w:t>Description</w:t>
            </w:r>
          </w:p>
        </w:tc>
      </w:tr>
      <w:tr w:rsidR="00A401B6" w:rsidRPr="00A06521" w14:paraId="00A7FDFB" w14:textId="77777777" w:rsidTr="00D368C5">
        <w:tc>
          <w:tcPr>
            <w:tcW w:w="2359" w:type="dxa"/>
          </w:tcPr>
          <w:p w14:paraId="7A4A973E"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Accountable Authority</w:t>
            </w:r>
          </w:p>
        </w:tc>
        <w:tc>
          <w:tcPr>
            <w:tcW w:w="7847" w:type="dxa"/>
          </w:tcPr>
          <w:p w14:paraId="1A992833"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person or group of persons responsible for governing the Commonwealth entity.</w:t>
            </w:r>
          </w:p>
        </w:tc>
      </w:tr>
      <w:tr w:rsidR="00A401B6" w:rsidRPr="00A06521" w14:paraId="5485C030" w14:textId="77777777" w:rsidTr="00D368C5">
        <w:tc>
          <w:tcPr>
            <w:tcW w:w="2359" w:type="dxa"/>
          </w:tcPr>
          <w:p w14:paraId="47C7244E" w14:textId="77777777" w:rsidR="00A401B6" w:rsidRPr="005E2941" w:rsidRDefault="00A401B6" w:rsidP="00D368C5">
            <w:pPr>
              <w:rPr>
                <w:rFonts w:cstheme="minorHAnsi"/>
                <w:b/>
              </w:rPr>
            </w:pPr>
            <w:r w:rsidRPr="005E2941">
              <w:rPr>
                <w:rFonts w:cstheme="minorHAnsi"/>
                <w:b/>
              </w:rPr>
              <w:t>Activity</w:t>
            </w:r>
          </w:p>
        </w:tc>
        <w:tc>
          <w:tcPr>
            <w:tcW w:w="7847" w:type="dxa"/>
          </w:tcPr>
          <w:p w14:paraId="3DC89EED" w14:textId="77777777" w:rsidR="00A401B6" w:rsidRPr="00A06521" w:rsidRDefault="00E97B4F" w:rsidP="00D368C5">
            <w:pPr>
              <w:rPr>
                <w:rFonts w:cstheme="minorHAnsi"/>
              </w:rPr>
            </w:pPr>
            <w:r>
              <w:rPr>
                <w:rFonts w:cstheme="minorHAnsi"/>
              </w:rPr>
              <w:t>T</w:t>
            </w:r>
            <w:r w:rsidR="00A401B6" w:rsidRPr="00A06521">
              <w:rPr>
                <w:rFonts w:cstheme="minorHAnsi"/>
              </w:rPr>
              <w:t xml:space="preserve">he activities described in the NDIA Streamlined Grant Agreement. </w:t>
            </w:r>
          </w:p>
        </w:tc>
      </w:tr>
      <w:tr w:rsidR="00A401B6" w:rsidRPr="00A06521" w14:paraId="17C5E527" w14:textId="77777777" w:rsidTr="00D368C5">
        <w:tc>
          <w:tcPr>
            <w:tcW w:w="2359" w:type="dxa"/>
          </w:tcPr>
          <w:p w14:paraId="2A2AE654" w14:textId="77777777" w:rsidR="00A401B6" w:rsidRPr="005E2941" w:rsidRDefault="00A401B6" w:rsidP="00D368C5">
            <w:pPr>
              <w:rPr>
                <w:rFonts w:cstheme="minorHAnsi"/>
                <w:b/>
              </w:rPr>
            </w:pPr>
            <w:r w:rsidRPr="005E2941">
              <w:rPr>
                <w:rFonts w:cstheme="minorHAnsi"/>
                <w:b/>
              </w:rPr>
              <w:t>Agreement</w:t>
            </w:r>
          </w:p>
        </w:tc>
        <w:tc>
          <w:tcPr>
            <w:tcW w:w="7847" w:type="dxa"/>
          </w:tcPr>
          <w:p w14:paraId="4AD2E5C7" w14:textId="77777777" w:rsidR="00A401B6" w:rsidRPr="00A06521" w:rsidRDefault="00E97B4F" w:rsidP="00D368C5">
            <w:pPr>
              <w:rPr>
                <w:rFonts w:cstheme="minorHAnsi"/>
              </w:rPr>
            </w:pPr>
            <w:r>
              <w:rPr>
                <w:rFonts w:cstheme="minorHAnsi"/>
              </w:rPr>
              <w:t>T</w:t>
            </w:r>
            <w:r w:rsidR="00A401B6" w:rsidRPr="00A06521">
              <w:rPr>
                <w:rFonts w:cstheme="minorHAnsi"/>
              </w:rPr>
              <w:t xml:space="preserve">he Grant Details, Supplementary Terms (if any), the General Grant Conditions and any other document referenced or incorporated in the NDIA Streamlined Grant Agreement. </w:t>
            </w:r>
          </w:p>
        </w:tc>
      </w:tr>
      <w:tr w:rsidR="00A401B6" w:rsidRPr="00A06521" w14:paraId="1DB8A2F6" w14:textId="77777777" w:rsidTr="00D368C5">
        <w:tc>
          <w:tcPr>
            <w:tcW w:w="2359" w:type="dxa"/>
          </w:tcPr>
          <w:p w14:paraId="1DF4C530" w14:textId="77777777" w:rsidR="00A401B6" w:rsidRPr="005E2941" w:rsidRDefault="00A401B6" w:rsidP="00D368C5">
            <w:pPr>
              <w:rPr>
                <w:rFonts w:cstheme="minorHAnsi"/>
                <w:b/>
              </w:rPr>
            </w:pPr>
            <w:r w:rsidRPr="005E2941">
              <w:rPr>
                <w:rFonts w:eastAsia="Times New Roman" w:cstheme="minorHAnsi"/>
                <w:b/>
                <w:lang w:eastAsia="en-AU"/>
              </w:rPr>
              <w:t>Capacity building</w:t>
            </w:r>
          </w:p>
        </w:tc>
        <w:tc>
          <w:tcPr>
            <w:tcW w:w="7847" w:type="dxa"/>
          </w:tcPr>
          <w:p w14:paraId="523D88DF" w14:textId="77777777" w:rsidR="00A401B6" w:rsidRPr="00A06521" w:rsidRDefault="00A401B6" w:rsidP="00D368C5">
            <w:pPr>
              <w:rPr>
                <w:rFonts w:cstheme="minorHAnsi"/>
              </w:rPr>
            </w:pPr>
            <w:r w:rsidRPr="00A06521">
              <w:rPr>
                <w:rFonts w:eastAsia="Times New Roman" w:cstheme="minorHAnsi"/>
                <w:lang w:eastAsia="en-AU"/>
              </w:rPr>
              <w:t>Increasing people’s skills and independence. This might apply to an individual – perhaps developing their skills in a certain area that then allows them to live more independently. Or it might apply to the community as a whole – for example, building the capacity of organisations to be more inclusive benefits the whole community</w:t>
            </w:r>
          </w:p>
        </w:tc>
      </w:tr>
      <w:tr w:rsidR="00A401B6" w:rsidRPr="00A06521" w14:paraId="2E279118" w14:textId="77777777" w:rsidTr="00D368C5">
        <w:tc>
          <w:tcPr>
            <w:tcW w:w="2359" w:type="dxa"/>
          </w:tcPr>
          <w:p w14:paraId="4F5089F0" w14:textId="77777777" w:rsidR="00A401B6" w:rsidRPr="005E2941" w:rsidRDefault="00A401B6" w:rsidP="005E2941">
            <w:pPr>
              <w:rPr>
                <w:rFonts w:eastAsia="Times New Roman" w:cstheme="minorHAnsi"/>
                <w:b/>
                <w:lang w:val="en" w:eastAsia="en-AU"/>
              </w:rPr>
            </w:pPr>
            <w:r w:rsidRPr="005E2941">
              <w:rPr>
                <w:rFonts w:cstheme="minorHAnsi"/>
                <w:b/>
              </w:rPr>
              <w:t xml:space="preserve">Choice and </w:t>
            </w:r>
            <w:r w:rsidR="005E2941">
              <w:rPr>
                <w:rFonts w:cstheme="minorHAnsi"/>
                <w:b/>
              </w:rPr>
              <w:t>c</w:t>
            </w:r>
            <w:r w:rsidRPr="005E2941">
              <w:rPr>
                <w:rFonts w:cstheme="minorHAnsi"/>
                <w:b/>
              </w:rPr>
              <w:t>ontrol</w:t>
            </w:r>
          </w:p>
        </w:tc>
        <w:tc>
          <w:tcPr>
            <w:tcW w:w="7847" w:type="dxa"/>
          </w:tcPr>
          <w:p w14:paraId="5FC89C78" w14:textId="77777777" w:rsidR="00A401B6" w:rsidRPr="00A06521" w:rsidRDefault="00A401B6" w:rsidP="00D368C5">
            <w:pPr>
              <w:rPr>
                <w:rFonts w:eastAsia="Times New Roman" w:cstheme="minorHAnsi"/>
                <w:lang w:val="en" w:eastAsia="en-AU"/>
              </w:rPr>
            </w:pPr>
            <w:r w:rsidRPr="00A06521">
              <w:rPr>
                <w:rFonts w:cstheme="minorHAnsi"/>
              </w:rPr>
              <w:t>The NDIA principle which outlines a participant’s right to determine who, how and when their supports are delivered</w:t>
            </w:r>
          </w:p>
        </w:tc>
      </w:tr>
      <w:tr w:rsidR="00A401B6" w:rsidRPr="00A06521" w14:paraId="2DDBF526" w14:textId="77777777" w:rsidTr="00D368C5">
        <w:tc>
          <w:tcPr>
            <w:tcW w:w="2359" w:type="dxa"/>
          </w:tcPr>
          <w:p w14:paraId="3EF615F8" w14:textId="77777777" w:rsidR="00A401B6" w:rsidRPr="005E2941" w:rsidRDefault="00A401B6" w:rsidP="00D368C5">
            <w:pPr>
              <w:rPr>
                <w:rFonts w:cstheme="minorHAnsi"/>
                <w:b/>
              </w:rPr>
            </w:pPr>
            <w:r w:rsidRPr="005E2941">
              <w:rPr>
                <w:rFonts w:eastAsia="Times New Roman" w:cstheme="minorHAnsi"/>
                <w:b/>
                <w:lang w:eastAsia="en-AU"/>
              </w:rPr>
              <w:t>Commissioning</w:t>
            </w:r>
          </w:p>
        </w:tc>
        <w:tc>
          <w:tcPr>
            <w:tcW w:w="7847" w:type="dxa"/>
          </w:tcPr>
          <w:p w14:paraId="01B5932E" w14:textId="77777777" w:rsidR="00A401B6" w:rsidRPr="00A06521" w:rsidRDefault="00A401B6" w:rsidP="00D368C5">
            <w:pPr>
              <w:rPr>
                <w:rFonts w:cstheme="minorHAnsi"/>
              </w:rPr>
            </w:pPr>
            <w:r w:rsidRPr="00A06521">
              <w:rPr>
                <w:rFonts w:eastAsia="Times New Roman" w:cstheme="minorHAnsi"/>
                <w:lang w:eastAsia="en-AU"/>
              </w:rPr>
              <w:t>A strategic approach to the identification and funding of services and activities that benefit individuals and communities. The Consultation Draft outlines the proposed methods for commissioning a range of activities that will deliver the intended outcomes for ILC.</w:t>
            </w:r>
          </w:p>
        </w:tc>
      </w:tr>
      <w:tr w:rsidR="00A401B6" w:rsidRPr="00A06521" w14:paraId="78E734A9" w14:textId="77777777" w:rsidTr="00D368C5">
        <w:tc>
          <w:tcPr>
            <w:tcW w:w="2359" w:type="dxa"/>
          </w:tcPr>
          <w:p w14:paraId="6A587770"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Competitive s</w:t>
            </w:r>
            <w:r w:rsidR="00A401B6" w:rsidRPr="005E2941">
              <w:rPr>
                <w:rFonts w:eastAsia="Times New Roman" w:cstheme="minorHAnsi"/>
                <w:b/>
                <w:lang w:val="en" w:eastAsia="en-AU"/>
              </w:rPr>
              <w:t>election</w:t>
            </w:r>
          </w:p>
        </w:tc>
        <w:tc>
          <w:tcPr>
            <w:tcW w:w="7847" w:type="dxa"/>
          </w:tcPr>
          <w:p w14:paraId="5EEB0337"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selection process for a Grant Funding Round in which applications close on a specified date and applicants are assessed against Selection Criteria and ranked in order of merit.</w:t>
            </w:r>
          </w:p>
        </w:tc>
      </w:tr>
      <w:tr w:rsidR="00A401B6" w:rsidRPr="00A06521" w14:paraId="3F9BA585" w14:textId="77777777" w:rsidTr="00D368C5">
        <w:tc>
          <w:tcPr>
            <w:tcW w:w="2359" w:type="dxa"/>
          </w:tcPr>
          <w:p w14:paraId="58DC35DF"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Delegate</w:t>
            </w:r>
            <w:r w:rsidRPr="005E2941">
              <w:rPr>
                <w:rFonts w:asciiTheme="minorHAnsi" w:hAnsiTheme="minorHAnsi" w:cstheme="minorHAnsi"/>
                <w:sz w:val="22"/>
                <w:szCs w:val="22"/>
              </w:rPr>
              <w:t> </w:t>
            </w:r>
          </w:p>
        </w:tc>
        <w:tc>
          <w:tcPr>
            <w:tcW w:w="7847" w:type="dxa"/>
          </w:tcPr>
          <w:p w14:paraId="130B9D3B"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n official who has been given statutory authority, by an instrument of delegation from the accountable authority, to make particular decisions or perform particular functions. A delegate is constrained by any limitations expressed in the delegation instrument</w:t>
            </w:r>
          </w:p>
        </w:tc>
      </w:tr>
      <w:tr w:rsidR="00A401B6" w:rsidRPr="00A06521" w14:paraId="7BDDC6CC" w14:textId="77777777" w:rsidTr="00D368C5">
        <w:tc>
          <w:tcPr>
            <w:tcW w:w="2359" w:type="dxa"/>
          </w:tcPr>
          <w:p w14:paraId="5129A4ED" w14:textId="77777777" w:rsidR="00A401B6" w:rsidRPr="005E2941" w:rsidRDefault="00A401B6" w:rsidP="00D368C5">
            <w:pPr>
              <w:rPr>
                <w:rFonts w:cstheme="minorHAnsi"/>
                <w:b/>
              </w:rPr>
            </w:pPr>
            <w:r w:rsidRPr="005E2941">
              <w:rPr>
                <w:rFonts w:cstheme="minorHAnsi"/>
                <w:b/>
              </w:rPr>
              <w:t>Disability</w:t>
            </w:r>
          </w:p>
        </w:tc>
        <w:tc>
          <w:tcPr>
            <w:tcW w:w="7847" w:type="dxa"/>
          </w:tcPr>
          <w:p w14:paraId="45A8E81F" w14:textId="6026F8E2" w:rsidR="00A401B6" w:rsidRPr="00A06521" w:rsidRDefault="00A401B6" w:rsidP="00D368C5">
            <w:pPr>
              <w:rPr>
                <w:rFonts w:cstheme="minorHAnsi"/>
              </w:rPr>
            </w:pPr>
            <w:r w:rsidRPr="00A06521">
              <w:rPr>
                <w:rFonts w:cstheme="minorHAnsi"/>
              </w:rPr>
              <w:t>The umbrella term for any or all of: an impairment of body structure or function, a limitation in activities, or a</w:t>
            </w:r>
            <w:r w:rsidR="00D13478">
              <w:rPr>
                <w:rFonts w:cstheme="minorHAnsi"/>
              </w:rPr>
              <w:t xml:space="preserve"> restriction in participation. </w:t>
            </w:r>
            <w:r w:rsidRPr="00A06521">
              <w:rPr>
                <w:rFonts w:cstheme="minorHAnsi"/>
              </w:rPr>
              <w:t>Disability is a multidimensional and complex concept and is conceived as a dynamic interaction between health conditions and environmental and personal factors</w:t>
            </w:r>
          </w:p>
        </w:tc>
      </w:tr>
      <w:tr w:rsidR="00A401B6" w:rsidRPr="00A06521" w14:paraId="4A50EE0A" w14:textId="77777777" w:rsidTr="00D368C5">
        <w:tc>
          <w:tcPr>
            <w:tcW w:w="2359" w:type="dxa"/>
          </w:tcPr>
          <w:p w14:paraId="062082A3" w14:textId="77777777" w:rsidR="00A401B6" w:rsidRPr="005E2941" w:rsidRDefault="00A401B6" w:rsidP="00D368C5">
            <w:pPr>
              <w:pStyle w:val="BodyText1"/>
              <w:rPr>
                <w:rFonts w:asciiTheme="minorHAnsi" w:hAnsiTheme="minorHAnsi" w:cstheme="minorHAnsi"/>
                <w:b/>
                <w:bCs/>
                <w:szCs w:val="22"/>
                <w:lang w:val="en" w:eastAsia="en-AU"/>
              </w:rPr>
            </w:pPr>
            <w:r w:rsidRPr="005E2941">
              <w:rPr>
                <w:rFonts w:asciiTheme="minorHAnsi" w:hAnsiTheme="minorHAnsi" w:cstheme="minorHAnsi"/>
                <w:b/>
                <w:szCs w:val="22"/>
                <w:lang w:val="en" w:eastAsia="en-AU"/>
              </w:rPr>
              <w:lastRenderedPageBreak/>
              <w:t>Early Childhood Early Intervention (ECEI) services</w:t>
            </w:r>
          </w:p>
        </w:tc>
        <w:tc>
          <w:tcPr>
            <w:tcW w:w="7847" w:type="dxa"/>
          </w:tcPr>
          <w:p w14:paraId="28406AE0"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delivers outcomes for children and their families through best-practice and family-</w:t>
            </w:r>
            <w:r w:rsidR="00E97B4F" w:rsidRPr="00A06521">
              <w:rPr>
                <w:rFonts w:eastAsia="Times New Roman" w:cstheme="minorHAnsi"/>
                <w:lang w:val="en" w:eastAsia="en-AU"/>
              </w:rPr>
              <w:t>centered</w:t>
            </w:r>
            <w:r w:rsidRPr="00A06521">
              <w:rPr>
                <w:rFonts w:eastAsia="Times New Roman" w:cstheme="minorHAnsi"/>
                <w:lang w:val="en" w:eastAsia="en-AU"/>
              </w:rPr>
              <w:t xml:space="preserve"> approaches with a focus on children with developmental delay or disability aged 0 to 6 years (children), their families and carers</w:t>
            </w:r>
          </w:p>
        </w:tc>
      </w:tr>
      <w:tr w:rsidR="00A401B6" w:rsidRPr="00A06521" w14:paraId="3FB147E8" w14:textId="77777777" w:rsidTr="00D368C5">
        <w:tc>
          <w:tcPr>
            <w:tcW w:w="2359" w:type="dxa"/>
          </w:tcPr>
          <w:p w14:paraId="1DC8C73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Early intervention</w:t>
            </w:r>
            <w:r w:rsidRPr="005E2941">
              <w:rPr>
                <w:rFonts w:cstheme="minorHAnsi"/>
                <w:sz w:val="22"/>
                <w:szCs w:val="22"/>
              </w:rPr>
              <w:t xml:space="preserve"> </w:t>
            </w:r>
          </w:p>
        </w:tc>
        <w:tc>
          <w:tcPr>
            <w:tcW w:w="7847" w:type="dxa"/>
          </w:tcPr>
          <w:p w14:paraId="3A8FF4D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providing support early in a child’s life or post-onset of disability to reduce the effects of disability and to improve functional capacity</w:t>
            </w:r>
          </w:p>
        </w:tc>
      </w:tr>
      <w:tr w:rsidR="00A401B6" w:rsidRPr="00A06521" w14:paraId="09EE2452" w14:textId="77777777" w:rsidTr="00D368C5">
        <w:tc>
          <w:tcPr>
            <w:tcW w:w="2359" w:type="dxa"/>
          </w:tcPr>
          <w:p w14:paraId="0F205AA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Event</w:t>
            </w:r>
          </w:p>
        </w:tc>
        <w:tc>
          <w:tcPr>
            <w:tcW w:w="7847" w:type="dxa"/>
          </w:tcPr>
          <w:p w14:paraId="6742D4E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activities that occurred during a business transaction. Event data records the activity that occurred, who did it, when it was done and the result. An event records an instance of a workflow.</w:t>
            </w:r>
          </w:p>
        </w:tc>
      </w:tr>
      <w:tr w:rsidR="00A401B6" w:rsidRPr="00A06521" w14:paraId="688999C2" w14:textId="77777777" w:rsidTr="00D368C5">
        <w:tc>
          <w:tcPr>
            <w:tcW w:w="2359" w:type="dxa"/>
          </w:tcPr>
          <w:p w14:paraId="0FF40A13"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Formal supports</w:t>
            </w:r>
            <w:r w:rsidRPr="005E2941">
              <w:rPr>
                <w:rFonts w:cstheme="minorHAnsi"/>
                <w:sz w:val="22"/>
                <w:szCs w:val="22"/>
              </w:rPr>
              <w:t xml:space="preserve"> </w:t>
            </w:r>
          </w:p>
        </w:tc>
        <w:tc>
          <w:tcPr>
            <w:tcW w:w="7847" w:type="dxa"/>
          </w:tcPr>
          <w:p w14:paraId="20333BCB"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see reasonable and necessary supports</w:t>
            </w:r>
          </w:p>
        </w:tc>
      </w:tr>
      <w:tr w:rsidR="00A401B6" w:rsidRPr="00A06521" w14:paraId="38DCC9F1" w14:textId="77777777" w:rsidTr="00D368C5">
        <w:tc>
          <w:tcPr>
            <w:tcW w:w="2359" w:type="dxa"/>
          </w:tcPr>
          <w:p w14:paraId="01DC9E78"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Goal</w:t>
            </w:r>
          </w:p>
        </w:tc>
        <w:tc>
          <w:tcPr>
            <w:tcW w:w="7847" w:type="dxa"/>
          </w:tcPr>
          <w:p w14:paraId="07B7FFCB" w14:textId="77777777" w:rsidR="00A401B6" w:rsidRPr="00A06521" w:rsidRDefault="00A401B6" w:rsidP="00D368C5">
            <w:pPr>
              <w:pStyle w:val="tablelistbullet"/>
              <w:numPr>
                <w:ilvl w:val="0"/>
                <w:numId w:val="0"/>
              </w:numPr>
              <w:rPr>
                <w:rFonts w:cstheme="minorHAnsi"/>
              </w:rPr>
            </w:pPr>
            <w:r w:rsidRPr="00A06521">
              <w:rPr>
                <w:rFonts w:cstheme="minorHAnsi"/>
              </w:rPr>
              <w:t>The aspirational outcome which a participant has set for themselves</w:t>
            </w:r>
          </w:p>
        </w:tc>
      </w:tr>
      <w:tr w:rsidR="00A401B6" w:rsidRPr="00A06521" w14:paraId="6423C478" w14:textId="77777777" w:rsidTr="00D368C5">
        <w:tc>
          <w:tcPr>
            <w:tcW w:w="2359" w:type="dxa"/>
          </w:tcPr>
          <w:p w14:paraId="093C000E" w14:textId="77777777" w:rsidR="00A401B6" w:rsidRPr="005E2941" w:rsidRDefault="00A401B6" w:rsidP="00D368C5">
            <w:pPr>
              <w:rPr>
                <w:b/>
                <w:lang w:val="en" w:eastAsia="en-AU"/>
              </w:rPr>
            </w:pPr>
            <w:r w:rsidRPr="005E2941">
              <w:rPr>
                <w:b/>
                <w:lang w:val="en" w:eastAsia="en-AU"/>
              </w:rPr>
              <w:t>Grant</w:t>
            </w:r>
          </w:p>
        </w:tc>
        <w:tc>
          <w:tcPr>
            <w:tcW w:w="7847" w:type="dxa"/>
          </w:tcPr>
          <w:p w14:paraId="5DDAD7A6"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 xml:space="preserve">An arrangement for the provision of financial assistance by the Commonwealth or on behalf of the Commonwealth: </w:t>
            </w:r>
          </w:p>
          <w:p w14:paraId="2F8FEED8"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relevant money or other Consolidated Revenue Fund money is to be paid to a recipient other than the Commonwealth; and</w:t>
            </w:r>
          </w:p>
          <w:p w14:paraId="3FCAB1C1"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assist the recipient achieve its goals; and</w:t>
            </w:r>
          </w:p>
          <w:p w14:paraId="5E12186C" w14:textId="77777777" w:rsidR="00A401B6" w:rsidRPr="00A06521" w:rsidRDefault="00A401B6" w:rsidP="00D368C5">
            <w:pPr>
              <w:pStyle w:val="ListParagraph"/>
              <w:numPr>
                <w:ilvl w:val="0"/>
                <w:numId w:val="31"/>
              </w:numPr>
              <w:shd w:val="clear" w:color="auto" w:fill="FFFFFF"/>
              <w:spacing w:before="120" w:after="120"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which is intended to help address one or more of the Australian Government’s policy objectives; and</w:t>
            </w:r>
          </w:p>
          <w:p w14:paraId="773FC2DE" w14:textId="77777777" w:rsidR="00A401B6" w:rsidRPr="00A06521" w:rsidRDefault="00A401B6" w:rsidP="00D368C5">
            <w:pPr>
              <w:pStyle w:val="ListParagraph"/>
              <w:numPr>
                <w:ilvl w:val="0"/>
                <w:numId w:val="31"/>
              </w:numPr>
              <w:shd w:val="clear" w:color="auto" w:fill="FFFFFF"/>
              <w:spacing w:after="72" w:line="240" w:lineRule="auto"/>
              <w:contextualSpacing/>
              <w:rPr>
                <w:rFonts w:asciiTheme="minorHAnsi" w:hAnsiTheme="minorHAnsi" w:cstheme="minorHAnsi"/>
                <w:lang w:val="en" w:eastAsia="en-AU"/>
              </w:rPr>
            </w:pPr>
            <w:r w:rsidRPr="00A06521">
              <w:rPr>
                <w:rFonts w:asciiTheme="minorHAnsi" w:hAnsiTheme="minorHAnsi" w:cstheme="minorHAnsi"/>
                <w:lang w:val="en" w:eastAsia="en-AU"/>
              </w:rPr>
              <w:t>under which the recipient may be required to act in accordance with specified terms or conditions.</w:t>
            </w:r>
          </w:p>
        </w:tc>
      </w:tr>
      <w:tr w:rsidR="00A401B6" w:rsidRPr="00A06521" w14:paraId="119098DA" w14:textId="77777777" w:rsidTr="00D368C5">
        <w:tc>
          <w:tcPr>
            <w:tcW w:w="2359" w:type="dxa"/>
          </w:tcPr>
          <w:p w14:paraId="4B351951" w14:textId="77777777" w:rsidR="00A401B6" w:rsidRPr="005E2941" w:rsidRDefault="00A401B6" w:rsidP="00D368C5">
            <w:pPr>
              <w:pStyle w:val="Bullet"/>
              <w:jc w:val="left"/>
            </w:pPr>
            <w:r w:rsidRPr="005E2941">
              <w:rPr>
                <w:rStyle w:val="Strong"/>
                <w:rFonts w:asciiTheme="minorHAnsi" w:hAnsiTheme="minorHAnsi" w:cstheme="minorHAnsi"/>
              </w:rPr>
              <w:t>Grant agreement</w:t>
            </w:r>
            <w:r w:rsidRPr="005E2941">
              <w:t> </w:t>
            </w:r>
          </w:p>
        </w:tc>
        <w:tc>
          <w:tcPr>
            <w:tcW w:w="7847" w:type="dxa"/>
          </w:tcPr>
          <w:p w14:paraId="4F191D9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A</w:t>
            </w:r>
            <w:r w:rsidR="00A401B6" w:rsidRPr="00A06521">
              <w:rPr>
                <w:rFonts w:asciiTheme="minorHAnsi" w:hAnsiTheme="minorHAnsi" w:cstheme="minorHAnsi"/>
                <w:sz w:val="22"/>
                <w:szCs w:val="22"/>
              </w:rPr>
              <w:t xml:space="preserve"> legally binding agreement setting out the terms and conditions of a grant between the NDIA and a grant recipient for the provision of funding. The form of a Grant Agreement must be an approved NDIA template.</w:t>
            </w:r>
            <w:r w:rsidR="00A401B6" w:rsidRPr="00A06521">
              <w:rPr>
                <w:rFonts w:asciiTheme="minorHAnsi" w:hAnsiTheme="minorHAnsi" w:cstheme="minorHAnsi"/>
                <w:sz w:val="22"/>
                <w:szCs w:val="22"/>
                <w:lang w:val="en"/>
              </w:rPr>
              <w:t xml:space="preserve"> It is also used as a collective noun for Grant Agreement, Schedule and Activities.</w:t>
            </w:r>
          </w:p>
        </w:tc>
      </w:tr>
      <w:tr w:rsidR="00A401B6" w:rsidRPr="00A06521" w14:paraId="7D849D01" w14:textId="77777777" w:rsidTr="00D368C5">
        <w:tc>
          <w:tcPr>
            <w:tcW w:w="2359" w:type="dxa"/>
          </w:tcPr>
          <w:p w14:paraId="73448DC0" w14:textId="77777777" w:rsidR="00A401B6" w:rsidRPr="005E2941" w:rsidRDefault="005E2941" w:rsidP="00D368C5">
            <w:pPr>
              <w:pStyle w:val="Bullet"/>
              <w:jc w:val="left"/>
              <w:rPr>
                <w:b/>
                <w:lang w:val="en"/>
              </w:rPr>
            </w:pPr>
            <w:r>
              <w:rPr>
                <w:b/>
                <w:lang w:val="en"/>
              </w:rPr>
              <w:t>Grant m</w:t>
            </w:r>
            <w:r w:rsidR="00A401B6" w:rsidRPr="005E2941">
              <w:rPr>
                <w:b/>
                <w:lang w:val="en"/>
              </w:rPr>
              <w:t>oney</w:t>
            </w:r>
          </w:p>
        </w:tc>
        <w:tc>
          <w:tcPr>
            <w:tcW w:w="7847" w:type="dxa"/>
          </w:tcPr>
          <w:p w14:paraId="27FF058C" w14:textId="77777777" w:rsidR="00A401B6" w:rsidRPr="00A06521" w:rsidRDefault="00A401B6" w:rsidP="00D368C5">
            <w:pPr>
              <w:rPr>
                <w:rFonts w:cstheme="minorHAnsi"/>
                <w:lang w:val="en"/>
              </w:rPr>
            </w:pPr>
            <w:r w:rsidRPr="00A06521">
              <w:rPr>
                <w:rFonts w:cstheme="minorHAnsi"/>
                <w:lang w:val="en"/>
              </w:rPr>
              <w:t>Means the money, or any part of it, payable by us to you as specified in the Grant Schedule</w:t>
            </w:r>
          </w:p>
        </w:tc>
      </w:tr>
      <w:tr w:rsidR="00A401B6" w:rsidRPr="00A06521" w14:paraId="6332B851" w14:textId="77777777" w:rsidTr="00D368C5">
        <w:tc>
          <w:tcPr>
            <w:tcW w:w="2359" w:type="dxa"/>
          </w:tcPr>
          <w:p w14:paraId="638824B3" w14:textId="77777777" w:rsidR="00A401B6" w:rsidRPr="005E2941" w:rsidRDefault="005E2941" w:rsidP="00D368C5">
            <w:pPr>
              <w:pStyle w:val="Bullet"/>
              <w:jc w:val="left"/>
              <w:rPr>
                <w:b/>
              </w:rPr>
            </w:pPr>
            <w:r>
              <w:rPr>
                <w:b/>
              </w:rPr>
              <w:t>Grant o</w:t>
            </w:r>
            <w:r w:rsidR="00A401B6" w:rsidRPr="005E2941">
              <w:rPr>
                <w:b/>
              </w:rPr>
              <w:t>pportunity</w:t>
            </w:r>
          </w:p>
        </w:tc>
        <w:tc>
          <w:tcPr>
            <w:tcW w:w="7847" w:type="dxa"/>
          </w:tcPr>
          <w:p w14:paraId="78F4D23F" w14:textId="77777777" w:rsidR="00A401B6" w:rsidRPr="00A06521" w:rsidRDefault="00E97B4F" w:rsidP="00D368C5">
            <w:pPr>
              <w:rPr>
                <w:rFonts w:cstheme="minorHAnsi"/>
              </w:rPr>
            </w:pPr>
            <w:r>
              <w:rPr>
                <w:rFonts w:cstheme="minorHAnsi"/>
              </w:rPr>
              <w:t>A</w:t>
            </w:r>
            <w:r w:rsidR="00A401B6" w:rsidRPr="00A06521">
              <w:rPr>
                <w:rFonts w:cstheme="minorHAnsi"/>
              </w:rPr>
              <w:t xml:space="preserve"> term used to describe the specific grant round or process where a Commonwealth grant is made available</w:t>
            </w:r>
            <w:r w:rsidR="005E2941">
              <w:rPr>
                <w:rFonts w:cstheme="minorHAnsi"/>
              </w:rPr>
              <w:t xml:space="preserve"> to eligible applicants. Grant o</w:t>
            </w:r>
            <w:r w:rsidR="00A401B6" w:rsidRPr="00A06521">
              <w:rPr>
                <w:rFonts w:cstheme="minorHAnsi"/>
              </w:rPr>
              <w:t>pportunities may be open or restricted, and will reflect the relevant grant selection process, as defined in the CGRGs.</w:t>
            </w:r>
          </w:p>
        </w:tc>
      </w:tr>
      <w:tr w:rsidR="00A401B6" w:rsidRPr="00A06521" w14:paraId="12CF1755" w14:textId="77777777" w:rsidTr="00D368C5">
        <w:tc>
          <w:tcPr>
            <w:tcW w:w="2359" w:type="dxa"/>
          </w:tcPr>
          <w:p w14:paraId="2BD5D7F7" w14:textId="77777777" w:rsidR="00A401B6" w:rsidRPr="005E2941" w:rsidRDefault="00A401B6" w:rsidP="00D368C5">
            <w:pPr>
              <w:pStyle w:val="Bullet"/>
              <w:jc w:val="left"/>
              <w:rPr>
                <w:b/>
              </w:rPr>
            </w:pPr>
            <w:r w:rsidRPr="005E2941">
              <w:rPr>
                <w:b/>
              </w:rPr>
              <w:t>Grant Opportunity Guidelines</w:t>
            </w:r>
          </w:p>
        </w:tc>
        <w:tc>
          <w:tcPr>
            <w:tcW w:w="7847" w:type="dxa"/>
          </w:tcPr>
          <w:p w14:paraId="45CADEB8" w14:textId="77777777" w:rsidR="00A401B6" w:rsidRPr="00A06521" w:rsidRDefault="00E97B4F" w:rsidP="00D368C5">
            <w:pPr>
              <w:rPr>
                <w:rFonts w:cstheme="minorHAnsi"/>
              </w:rPr>
            </w:pPr>
            <w:r>
              <w:rPr>
                <w:rFonts w:cstheme="minorHAnsi"/>
              </w:rPr>
              <w:t>A</w:t>
            </w:r>
            <w:r w:rsidR="00A401B6" w:rsidRPr="00A06521">
              <w:rPr>
                <w:rFonts w:cstheme="minorHAnsi"/>
              </w:rPr>
              <w:t xml:space="preserve"> Grant Opportunity Guideline provides all the relevant program and opportunity information required for potential applicants to understand: the </w:t>
            </w:r>
            <w:r w:rsidR="00A401B6" w:rsidRPr="00A06521">
              <w:rPr>
                <w:rFonts w:cstheme="minorHAnsi"/>
              </w:rPr>
              <w:lastRenderedPageBreak/>
              <w:t>purpose, outcomes and objectives of a grant; the application and assessment process; the governance arrangements (including roles and responsibilities); and the operation of the grant. Grant Opportunity Guidelines can include related documents, such as the application guidelines, application forms, invitations to apply, supporting documentation, frequently asked questions, draft grant agreements, and any templates for reporting or acquittals.</w:t>
            </w:r>
          </w:p>
        </w:tc>
      </w:tr>
      <w:tr w:rsidR="00A401B6" w:rsidRPr="00A06521" w14:paraId="6189BD97" w14:textId="77777777" w:rsidTr="00D368C5">
        <w:tc>
          <w:tcPr>
            <w:tcW w:w="2359" w:type="dxa"/>
          </w:tcPr>
          <w:p w14:paraId="2DBECD3B" w14:textId="77777777" w:rsidR="00A401B6" w:rsidRPr="005E2941" w:rsidRDefault="005E2941" w:rsidP="00D368C5">
            <w:pPr>
              <w:pStyle w:val="Bullet"/>
              <w:jc w:val="left"/>
              <w:rPr>
                <w:b/>
                <w:lang w:val="en" w:eastAsia="en-AU"/>
              </w:rPr>
            </w:pPr>
            <w:r>
              <w:rPr>
                <w:b/>
                <w:lang w:val="en" w:eastAsia="en-AU"/>
              </w:rPr>
              <w:lastRenderedPageBreak/>
              <w:t xml:space="preserve"> Grant r</w:t>
            </w:r>
            <w:r w:rsidR="00A401B6" w:rsidRPr="005E2941">
              <w:rPr>
                <w:b/>
                <w:lang w:val="en" w:eastAsia="en-AU"/>
              </w:rPr>
              <w:t>ecipient</w:t>
            </w:r>
          </w:p>
        </w:tc>
        <w:tc>
          <w:tcPr>
            <w:tcW w:w="7847" w:type="dxa"/>
          </w:tcPr>
          <w:p w14:paraId="0BD41080"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An individual or organisation that has entered into a grant agreement with a Commonwealth entity.</w:t>
            </w:r>
          </w:p>
        </w:tc>
      </w:tr>
      <w:tr w:rsidR="00A401B6" w:rsidRPr="00A06521" w14:paraId="392B94EA" w14:textId="77777777" w:rsidTr="00D368C5">
        <w:tc>
          <w:tcPr>
            <w:tcW w:w="2359" w:type="dxa"/>
          </w:tcPr>
          <w:p w14:paraId="7C3B2171" w14:textId="77777777" w:rsidR="00A401B6" w:rsidRPr="005E2941" w:rsidRDefault="00A401B6" w:rsidP="00D368C5">
            <w:pPr>
              <w:pStyle w:val="Bullet"/>
              <w:jc w:val="left"/>
              <w:rPr>
                <w:b/>
                <w:bCs/>
                <w:lang w:val="en" w:eastAsia="en-AU"/>
              </w:rPr>
            </w:pPr>
            <w:r w:rsidRPr="005E2941">
              <w:rPr>
                <w:b/>
                <w:bCs/>
                <w:lang w:val="en" w:eastAsia="en-AU"/>
              </w:rPr>
              <w:t>GrantConnect</w:t>
            </w:r>
          </w:p>
        </w:tc>
        <w:tc>
          <w:tcPr>
            <w:tcW w:w="7847" w:type="dxa"/>
          </w:tcPr>
          <w:p w14:paraId="037EF938" w14:textId="77777777" w:rsidR="00A401B6" w:rsidRPr="00A06521" w:rsidRDefault="00A401B6" w:rsidP="00D368C5">
            <w:pPr>
              <w:rPr>
                <w:rFonts w:eastAsia="Times New Roman" w:cstheme="minorHAnsi"/>
                <w:lang w:val="en" w:eastAsia="en-AU"/>
              </w:rPr>
            </w:pPr>
            <w:r w:rsidRPr="00A06521">
              <w:rPr>
                <w:rFonts w:eastAsia="Times New Roman" w:cstheme="minorHAnsi"/>
                <w:lang w:val="en" w:eastAsia="en-AU"/>
              </w:rPr>
              <w:t>The Commonwealth Government’s whole-of-government grant information system for publishing grants information on potential opportunities and current grant rounds. Managed by the Department of Finance (DoF)</w:t>
            </w:r>
          </w:p>
        </w:tc>
      </w:tr>
      <w:tr w:rsidR="00A401B6" w:rsidRPr="00A06521" w14:paraId="4752E19A" w14:textId="77777777" w:rsidTr="00D368C5">
        <w:tc>
          <w:tcPr>
            <w:tcW w:w="2359" w:type="dxa"/>
          </w:tcPr>
          <w:p w14:paraId="57FC97FE" w14:textId="77777777" w:rsidR="00A401B6" w:rsidRPr="005E2941" w:rsidRDefault="00A401B6" w:rsidP="00D368C5">
            <w:pPr>
              <w:pStyle w:val="Bullet"/>
              <w:jc w:val="left"/>
              <w:rPr>
                <w:b/>
              </w:rPr>
            </w:pPr>
            <w:r w:rsidRPr="005E2941">
              <w:rPr>
                <w:b/>
              </w:rPr>
              <w:t>GST</w:t>
            </w:r>
          </w:p>
        </w:tc>
        <w:tc>
          <w:tcPr>
            <w:tcW w:w="7847" w:type="dxa"/>
          </w:tcPr>
          <w:p w14:paraId="105FD3F4" w14:textId="77777777" w:rsidR="00A401B6" w:rsidRPr="00A06521" w:rsidRDefault="00A401B6" w:rsidP="00D368C5">
            <w:pPr>
              <w:pStyle w:val="BodyText1"/>
              <w:rPr>
                <w:rFonts w:asciiTheme="minorHAnsi" w:hAnsiTheme="minorHAnsi" w:cstheme="minorHAnsi"/>
                <w:szCs w:val="22"/>
              </w:rPr>
            </w:pPr>
            <w:r w:rsidRPr="00A06521">
              <w:rPr>
                <w:rFonts w:asciiTheme="minorHAnsi" w:hAnsiTheme="minorHAnsi" w:cstheme="minorHAnsi"/>
                <w:szCs w:val="22"/>
                <w:lang w:val="en"/>
              </w:rPr>
              <w:t xml:space="preserve">The </w:t>
            </w:r>
            <w:r w:rsidRPr="005E2941">
              <w:rPr>
                <w:rFonts w:asciiTheme="minorHAnsi" w:hAnsiTheme="minorHAnsi" w:cstheme="minorHAnsi"/>
                <w:bCs/>
                <w:szCs w:val="22"/>
                <w:lang w:val="en"/>
              </w:rPr>
              <w:t>goods and services tax</w:t>
            </w:r>
            <w:r w:rsidRPr="00A06521">
              <w:rPr>
                <w:rFonts w:asciiTheme="minorHAnsi" w:hAnsiTheme="minorHAnsi" w:cstheme="minorHAnsi"/>
                <w:szCs w:val="22"/>
                <w:lang w:val="en"/>
              </w:rPr>
              <w:t xml:space="preserve"> (GST) in Australia is a value added tax of 10% on most goods and services sales. GST is levied on most transactions in the production process, but is refunded to all parties in the chain of production other than the final consumer.</w:t>
            </w:r>
          </w:p>
        </w:tc>
      </w:tr>
      <w:tr w:rsidR="00A401B6" w:rsidRPr="00A06521" w14:paraId="11597970" w14:textId="77777777" w:rsidTr="00D368C5">
        <w:tc>
          <w:tcPr>
            <w:tcW w:w="2359" w:type="dxa"/>
          </w:tcPr>
          <w:p w14:paraId="51A59FFE" w14:textId="77777777" w:rsidR="00A401B6" w:rsidRPr="005E2941" w:rsidRDefault="005E2941" w:rsidP="00D368C5">
            <w:pPr>
              <w:rPr>
                <w:rFonts w:eastAsia="Times New Roman" w:cstheme="minorHAnsi"/>
                <w:b/>
                <w:lang w:val="en" w:eastAsia="en-AU"/>
              </w:rPr>
            </w:pPr>
            <w:r>
              <w:rPr>
                <w:rFonts w:eastAsia="Times New Roman" w:cstheme="minorHAnsi"/>
                <w:b/>
                <w:lang w:val="en" w:eastAsia="en-AU"/>
              </w:rPr>
              <w:t>ILC f</w:t>
            </w:r>
            <w:r w:rsidR="00A401B6" w:rsidRPr="005E2941">
              <w:rPr>
                <w:rFonts w:eastAsia="Times New Roman" w:cstheme="minorHAnsi"/>
                <w:b/>
                <w:lang w:val="en" w:eastAsia="en-AU"/>
              </w:rPr>
              <w:t>unding</w:t>
            </w:r>
          </w:p>
        </w:tc>
        <w:tc>
          <w:tcPr>
            <w:tcW w:w="7847" w:type="dxa"/>
          </w:tcPr>
          <w:p w14:paraId="59F7C550" w14:textId="77777777" w:rsidR="00A401B6" w:rsidRPr="00A06521" w:rsidRDefault="00A401B6" w:rsidP="00D368C5">
            <w:pPr>
              <w:shd w:val="clear" w:color="auto" w:fill="FFFFFF"/>
              <w:spacing w:before="240" w:after="240"/>
              <w:rPr>
                <w:rFonts w:eastAsia="Times New Roman" w:cstheme="minorHAnsi"/>
                <w:lang w:val="en" w:eastAsia="en-AU"/>
              </w:rPr>
            </w:pPr>
            <w:r w:rsidRPr="00A06521">
              <w:rPr>
                <w:rFonts w:eastAsia="Times New Roman" w:cstheme="minorHAnsi"/>
                <w:lang w:val="en" w:eastAsia="en-AU"/>
              </w:rPr>
              <w:t>NDIA can fund persons or entities to deliver ILC activities through Chapter 2, Section 14 of the NDIS Act</w:t>
            </w:r>
            <w:r w:rsidRPr="00A06521">
              <w:rPr>
                <w:rFonts w:cstheme="minorHAnsi"/>
                <w:lang w:val="en"/>
              </w:rPr>
              <w:t>. ILC only funds activities that fit into one of the four ILC Activity Streams.  This means, for example, that ILC funding will not be provided to organisations to help people with daily living activities such as assistance with shopping or cooking because these types of activity do not fit within any of the four activity streams.</w:t>
            </w:r>
          </w:p>
        </w:tc>
      </w:tr>
      <w:tr w:rsidR="00A401B6" w:rsidRPr="00A06521" w14:paraId="013F0A90" w14:textId="77777777" w:rsidTr="00D368C5">
        <w:tc>
          <w:tcPr>
            <w:tcW w:w="2359" w:type="dxa"/>
          </w:tcPr>
          <w:p w14:paraId="30947C54"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Information, Linkages and Capacity building</w:t>
            </w:r>
            <w:r w:rsidRPr="005E2941">
              <w:rPr>
                <w:rFonts w:cstheme="minorHAnsi"/>
                <w:sz w:val="22"/>
                <w:szCs w:val="22"/>
              </w:rPr>
              <w:t xml:space="preserve"> </w:t>
            </w:r>
            <w:r w:rsidRPr="005E128E">
              <w:rPr>
                <w:rFonts w:cstheme="minorHAnsi"/>
                <w:b/>
                <w:sz w:val="22"/>
                <w:szCs w:val="22"/>
              </w:rPr>
              <w:t>(ILC)</w:t>
            </w:r>
          </w:p>
        </w:tc>
        <w:tc>
          <w:tcPr>
            <w:tcW w:w="7847" w:type="dxa"/>
          </w:tcPr>
          <w:p w14:paraId="4B7276A9"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T</w:t>
            </w:r>
            <w:r w:rsidR="00A401B6" w:rsidRPr="00A06521">
              <w:rPr>
                <w:rFonts w:cstheme="minorHAnsi"/>
                <w:sz w:val="22"/>
                <w:szCs w:val="22"/>
              </w:rPr>
              <w:t>he term used by governments to describe the activities that will be supported by the NDIS to promote the social and economic inclusion of people with a disability including people not receiving individualised funded support from the NDIS (formally known as ‘Tier 2’). The activities include providing information and making linkages and referral to community or mainstream services, building the capacity of people with a disability, families and carers, building community capacity, building mainstream service provider capacity, and local area coordination</w:t>
            </w:r>
          </w:p>
        </w:tc>
      </w:tr>
      <w:tr w:rsidR="00A401B6" w:rsidRPr="00A06521" w14:paraId="11F48D6A" w14:textId="77777777" w:rsidTr="00D368C5">
        <w:tc>
          <w:tcPr>
            <w:tcW w:w="2359" w:type="dxa"/>
          </w:tcPr>
          <w:p w14:paraId="6A84EFA1" w14:textId="77777777" w:rsidR="00A401B6" w:rsidRPr="005E2941" w:rsidRDefault="00A401B6" w:rsidP="00D368C5">
            <w:pPr>
              <w:pStyle w:val="Bullet"/>
              <w:rPr>
                <w:b/>
              </w:rPr>
            </w:pPr>
            <w:r w:rsidRPr="005E2941">
              <w:rPr>
                <w:b/>
              </w:rPr>
              <w:t>Material</w:t>
            </w:r>
          </w:p>
        </w:tc>
        <w:tc>
          <w:tcPr>
            <w:tcW w:w="7847" w:type="dxa"/>
          </w:tcPr>
          <w:p w14:paraId="08E9F1F9" w14:textId="77777777" w:rsidR="00A401B6" w:rsidRPr="00A06521" w:rsidRDefault="00E97B4F" w:rsidP="00D368C5">
            <w:pPr>
              <w:rPr>
                <w:rFonts w:cstheme="minorHAnsi"/>
              </w:rPr>
            </w:pPr>
            <w:r>
              <w:rPr>
                <w:rFonts w:cstheme="minorHAnsi"/>
              </w:rPr>
              <w:t>I</w:t>
            </w:r>
            <w:r w:rsidR="00A401B6" w:rsidRPr="00A06521">
              <w:rPr>
                <w:rFonts w:cstheme="minorHAnsi"/>
              </w:rPr>
              <w:t xml:space="preserve">ncludes documents, equipment, software (including source code and object code versions), goods, information and data stored by any means including all copies and extracts of them. </w:t>
            </w:r>
          </w:p>
        </w:tc>
      </w:tr>
      <w:tr w:rsidR="00A401B6" w:rsidRPr="00A06521" w14:paraId="5A6E3172" w14:textId="77777777" w:rsidTr="00D368C5">
        <w:tc>
          <w:tcPr>
            <w:tcW w:w="2359" w:type="dxa"/>
          </w:tcPr>
          <w:p w14:paraId="6DE1D892"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National Disability Insurance Scheme (NDIS)</w:t>
            </w:r>
          </w:p>
        </w:tc>
        <w:tc>
          <w:tcPr>
            <w:tcW w:w="7847" w:type="dxa"/>
          </w:tcPr>
          <w:p w14:paraId="0C3E5AAB" w14:textId="77777777" w:rsidR="00A401B6" w:rsidRPr="00A06521" w:rsidRDefault="00A401B6" w:rsidP="00D368C5">
            <w:pPr>
              <w:rPr>
                <w:rFonts w:cstheme="minorHAnsi"/>
                <w:lang w:val="en"/>
              </w:rPr>
            </w:pPr>
            <w:r w:rsidRPr="00A06521">
              <w:rPr>
                <w:rFonts w:eastAsia="Times New Roman" w:cstheme="minorHAnsi"/>
                <w:lang w:eastAsia="en-AU"/>
              </w:rPr>
              <w:t xml:space="preserve">The National Disability Insurance Scheme is a new way of providing support to people with disability in Australia. It gives people with a disability more </w:t>
            </w:r>
            <w:r w:rsidRPr="00A06521">
              <w:rPr>
                <w:rFonts w:eastAsia="Times New Roman" w:cstheme="minorHAnsi"/>
                <w:lang w:eastAsia="en-AU"/>
              </w:rPr>
              <w:lastRenderedPageBreak/>
              <w:t>choice and control over the supports they access.</w:t>
            </w:r>
            <w:r w:rsidRPr="00A06521">
              <w:rPr>
                <w:rFonts w:cstheme="minorHAnsi"/>
                <w:lang w:val="en"/>
              </w:rPr>
              <w:t xml:space="preserve"> It consists of two parts – NDIS plans for eligible people with disability and ILC.</w:t>
            </w:r>
          </w:p>
          <w:p w14:paraId="4F290EE3" w14:textId="77777777" w:rsidR="00A401B6" w:rsidRPr="00A06521" w:rsidRDefault="00A401B6" w:rsidP="00D368C5">
            <w:pPr>
              <w:rPr>
                <w:rFonts w:eastAsia="Times New Roman" w:cstheme="minorHAnsi"/>
                <w:lang w:eastAsia="en-AU"/>
              </w:rPr>
            </w:pPr>
          </w:p>
          <w:p w14:paraId="752D0037"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NDIS will provide all Australians under the age of 65 with a permanent and significant disability with the reasonable and necessary supports they need to live an ordinary life. The NDIS helps people with disability achieve their goals, including independence, community involvement, education, employment and health and wellbeing. As an insurance scheme, the NDIS takes a lifetime approach, investing in people with disability early to improve their outcomes later in life.</w:t>
            </w:r>
            <w:r w:rsidRPr="00A06521">
              <w:rPr>
                <w:rFonts w:cstheme="minorHAnsi"/>
                <w:lang w:val="en"/>
              </w:rPr>
              <w:t xml:space="preserve"> </w:t>
            </w:r>
          </w:p>
        </w:tc>
      </w:tr>
      <w:tr w:rsidR="00A401B6" w:rsidRPr="00A06521" w14:paraId="6D3F51F0" w14:textId="77777777" w:rsidTr="00D368C5">
        <w:tc>
          <w:tcPr>
            <w:tcW w:w="2359" w:type="dxa"/>
          </w:tcPr>
          <w:p w14:paraId="506BB8CE" w14:textId="77777777" w:rsidR="00A401B6" w:rsidRPr="005E2941" w:rsidRDefault="00A401B6" w:rsidP="00D368C5">
            <w:pPr>
              <w:pStyle w:val="Bullet"/>
              <w:rPr>
                <w:b/>
                <w:lang w:val="en"/>
              </w:rPr>
            </w:pPr>
            <w:r w:rsidRPr="005E2941">
              <w:rPr>
                <w:b/>
                <w:lang w:val="en"/>
              </w:rPr>
              <w:lastRenderedPageBreak/>
              <w:t>Opportunity</w:t>
            </w:r>
          </w:p>
        </w:tc>
        <w:tc>
          <w:tcPr>
            <w:tcW w:w="7847" w:type="dxa"/>
          </w:tcPr>
          <w:p w14:paraId="4F9DA13C"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opportunity is the situation, possibility or chance to do something you would like to do.</w:t>
            </w:r>
          </w:p>
        </w:tc>
      </w:tr>
      <w:tr w:rsidR="00A401B6" w:rsidRPr="00A06521" w14:paraId="622CB339" w14:textId="77777777" w:rsidTr="00D368C5">
        <w:tc>
          <w:tcPr>
            <w:tcW w:w="2359" w:type="dxa"/>
          </w:tcPr>
          <w:p w14:paraId="3137478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Ordinary lives</w:t>
            </w:r>
            <w:r w:rsidRPr="005E2941">
              <w:rPr>
                <w:rFonts w:cstheme="minorHAnsi"/>
                <w:sz w:val="22"/>
                <w:szCs w:val="22"/>
              </w:rPr>
              <w:t xml:space="preserve"> </w:t>
            </w:r>
          </w:p>
        </w:tc>
        <w:tc>
          <w:tcPr>
            <w:tcW w:w="7847" w:type="dxa"/>
          </w:tcPr>
          <w:p w14:paraId="30C073F1" w14:textId="77777777" w:rsidR="00A401B6" w:rsidRPr="00A06521" w:rsidRDefault="00A401B6" w:rsidP="00D368C5">
            <w:pPr>
              <w:pStyle w:val="BodyCopy"/>
              <w:spacing w:line="240" w:lineRule="auto"/>
              <w:rPr>
                <w:rFonts w:cstheme="minorHAnsi"/>
                <w:sz w:val="22"/>
                <w:szCs w:val="22"/>
              </w:rPr>
            </w:pPr>
            <w:r w:rsidRPr="00A06521">
              <w:rPr>
                <w:rFonts w:cstheme="minorHAnsi"/>
                <w:sz w:val="22"/>
                <w:szCs w:val="22"/>
              </w:rPr>
              <w:t xml:space="preserve"> lives that include positive relationships, a sense of belonging, autonomy, active involvement in decision-making, and opportunities for challenge and contribution</w:t>
            </w:r>
          </w:p>
        </w:tc>
      </w:tr>
      <w:tr w:rsidR="00A401B6" w:rsidRPr="00A06521" w14:paraId="66CC6557" w14:textId="77777777" w:rsidTr="00D368C5">
        <w:tc>
          <w:tcPr>
            <w:tcW w:w="2359" w:type="dxa"/>
          </w:tcPr>
          <w:p w14:paraId="67E48744" w14:textId="77777777" w:rsidR="00A401B6" w:rsidRPr="005E2941" w:rsidRDefault="00A401B6" w:rsidP="00D368C5">
            <w:pPr>
              <w:pStyle w:val="BodyText1"/>
              <w:rPr>
                <w:rFonts w:ascii="Arial" w:hAnsi="Arial" w:cs="Arial"/>
                <w:b/>
                <w:lang w:val="en"/>
              </w:rPr>
            </w:pPr>
            <w:r w:rsidRPr="005E2941">
              <w:rPr>
                <w:rFonts w:ascii="Arial" w:hAnsi="Arial" w:cs="Arial"/>
                <w:b/>
                <w:lang w:val="en"/>
              </w:rPr>
              <w:t>Outcomes</w:t>
            </w:r>
          </w:p>
        </w:tc>
        <w:tc>
          <w:tcPr>
            <w:tcW w:w="7847" w:type="dxa"/>
          </w:tcPr>
          <w:p w14:paraId="45263BAE" w14:textId="77777777" w:rsidR="00A401B6" w:rsidRPr="00A06521" w:rsidRDefault="00A401B6" w:rsidP="00D368C5">
            <w:pPr>
              <w:shd w:val="clear" w:color="auto" w:fill="FFFFFF"/>
              <w:spacing w:before="240"/>
              <w:rPr>
                <w:rFonts w:cstheme="minorHAnsi"/>
                <w:lang w:val="en"/>
              </w:rPr>
            </w:pPr>
            <w:r w:rsidRPr="00A06521">
              <w:rPr>
                <w:rFonts w:cstheme="minorHAnsi"/>
                <w:lang w:val="en"/>
              </w:rPr>
              <w:t>An outcome is the result of an action. In the case of ILC, it is the change or difference made to a person’s life which results from an activity or support or service they have used. We also expect to see changes at the community level as a result of ILC activities.</w:t>
            </w:r>
          </w:p>
        </w:tc>
      </w:tr>
      <w:tr w:rsidR="00A401B6" w:rsidRPr="00A06521" w14:paraId="13C30900" w14:textId="77777777" w:rsidTr="00D368C5">
        <w:tc>
          <w:tcPr>
            <w:tcW w:w="2359" w:type="dxa"/>
          </w:tcPr>
          <w:p w14:paraId="4A58A05C" w14:textId="77777777" w:rsidR="00A401B6" w:rsidRPr="005E2941" w:rsidRDefault="00A401B6" w:rsidP="00D368C5">
            <w:pPr>
              <w:rPr>
                <w:rFonts w:eastAsia="Times New Roman" w:cstheme="minorHAnsi"/>
                <w:b/>
                <w:lang w:val="en" w:eastAsia="en-AU"/>
              </w:rPr>
            </w:pPr>
            <w:r w:rsidRPr="00B22504">
              <w:rPr>
                <w:rFonts w:eastAsia="Times New Roman" w:cstheme="minorHAnsi"/>
                <w:b/>
                <w:lang w:val="en" w:eastAsia="en-AU"/>
              </w:rPr>
              <w:t>Partners</w:t>
            </w:r>
            <w:r w:rsidR="001930DB" w:rsidRPr="00B22504">
              <w:rPr>
                <w:rFonts w:eastAsia="Times New Roman" w:cstheme="minorHAnsi"/>
                <w:b/>
                <w:lang w:val="en" w:eastAsia="en-AU"/>
              </w:rPr>
              <w:t xml:space="preserve"> in the Community</w:t>
            </w:r>
          </w:p>
        </w:tc>
        <w:tc>
          <w:tcPr>
            <w:tcW w:w="7847" w:type="dxa"/>
          </w:tcPr>
          <w:p w14:paraId="450CB686" w14:textId="77777777" w:rsidR="00A401B6" w:rsidRPr="00B22504" w:rsidRDefault="006964B5" w:rsidP="00B22504">
            <w:pPr>
              <w:autoSpaceDE w:val="0"/>
              <w:autoSpaceDN w:val="0"/>
              <w:spacing w:before="40" w:after="40" w:line="240" w:lineRule="auto"/>
              <w:rPr>
                <w:rFonts w:eastAsia="Times New Roman" w:cstheme="minorHAnsi"/>
                <w:lang w:val="en" w:eastAsia="en-AU"/>
              </w:rPr>
            </w:pPr>
            <w:r w:rsidRPr="00B22504">
              <w:rPr>
                <w:rFonts w:cstheme="minorHAnsi"/>
                <w:color w:val="000000"/>
              </w:rPr>
              <w:t>Partners in the Community deliver Early Childhood Early Intervention (ECEI) and Local Area Coordination (LAC) services</w:t>
            </w:r>
            <w:r w:rsidR="00B22504" w:rsidRPr="00B22504">
              <w:rPr>
                <w:rFonts w:cstheme="minorHAnsi"/>
                <w:color w:val="000000"/>
              </w:rPr>
              <w:t>.</w:t>
            </w:r>
            <w:r w:rsidRPr="00B22504">
              <w:rPr>
                <w:rFonts w:cstheme="minorHAnsi"/>
                <w:color w:val="000000"/>
              </w:rPr>
              <w:t xml:space="preserve"> </w:t>
            </w:r>
            <w:r w:rsidR="00B22504" w:rsidRPr="00B22504">
              <w:rPr>
                <w:rFonts w:cstheme="minorHAnsi"/>
                <w:color w:val="000000"/>
              </w:rPr>
              <w:t>There are now 25</w:t>
            </w:r>
            <w:r w:rsidRPr="00B22504">
              <w:rPr>
                <w:rFonts w:cstheme="minorHAnsi"/>
                <w:color w:val="000000"/>
              </w:rPr>
              <w:t xml:space="preserve"> Partners in the Community delivering ECEI and LAC Services across </w:t>
            </w:r>
            <w:r w:rsidR="00B22504" w:rsidRPr="00B22504">
              <w:rPr>
                <w:rFonts w:cstheme="minorHAnsi"/>
                <w:color w:val="000000"/>
              </w:rPr>
              <w:t>71</w:t>
            </w:r>
            <w:r w:rsidRPr="00B22504">
              <w:rPr>
                <w:rFonts w:cstheme="minorHAnsi"/>
                <w:color w:val="000000"/>
              </w:rPr>
              <w:t xml:space="preserve"> service delivery areas</w:t>
            </w:r>
            <w:r w:rsidR="00B22504" w:rsidRPr="00B22504">
              <w:rPr>
                <w:rFonts w:cstheme="minorHAnsi"/>
                <w:color w:val="000000"/>
              </w:rPr>
              <w:t xml:space="preserve"> across all states and territories. </w:t>
            </w:r>
            <w:r w:rsidRPr="00B22504">
              <w:rPr>
                <w:rFonts w:cstheme="minorHAnsi"/>
                <w:color w:val="000000"/>
              </w:rPr>
              <w:t xml:space="preserve">They ensure children with developmental delay and people with disability are engaged with the supports they need and the Scheme. They also support participants in getting ready for their NDIS planning conversations and putting their plans into place. </w:t>
            </w:r>
          </w:p>
        </w:tc>
      </w:tr>
      <w:tr w:rsidR="00A401B6" w:rsidRPr="00A06521" w14:paraId="0D60A8AC" w14:textId="77777777" w:rsidTr="00D368C5">
        <w:tc>
          <w:tcPr>
            <w:tcW w:w="2359" w:type="dxa"/>
          </w:tcPr>
          <w:p w14:paraId="3C3D0211"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Party</w:t>
            </w:r>
          </w:p>
        </w:tc>
        <w:tc>
          <w:tcPr>
            <w:tcW w:w="7847" w:type="dxa"/>
          </w:tcPr>
          <w:p w14:paraId="0B85217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Person or Organisation that has a relationship with Grants. The existence and details of the Party are managed independently of their role with the Grants Hub.</w:t>
            </w:r>
          </w:p>
        </w:tc>
      </w:tr>
      <w:tr w:rsidR="00A401B6" w:rsidRPr="00A06521" w14:paraId="785509F9" w14:textId="77777777" w:rsidTr="00D368C5">
        <w:tc>
          <w:tcPr>
            <w:tcW w:w="2359" w:type="dxa"/>
          </w:tcPr>
          <w:p w14:paraId="50337FF0" w14:textId="77777777" w:rsidR="00A401B6" w:rsidRPr="005E2941" w:rsidRDefault="00A401B6" w:rsidP="00D368C5">
            <w:pPr>
              <w:rPr>
                <w:rFonts w:cstheme="minorHAnsi"/>
                <w:b/>
              </w:rPr>
            </w:pPr>
            <w:r w:rsidRPr="005E2941">
              <w:rPr>
                <w:rFonts w:cstheme="minorHAnsi"/>
                <w:b/>
              </w:rPr>
              <w:t>Party</w:t>
            </w:r>
          </w:p>
        </w:tc>
        <w:tc>
          <w:tcPr>
            <w:tcW w:w="7847" w:type="dxa"/>
          </w:tcPr>
          <w:p w14:paraId="62BFEF87" w14:textId="77777777" w:rsidR="00A401B6" w:rsidRPr="00A06521" w:rsidRDefault="00E97B4F" w:rsidP="00D368C5">
            <w:pPr>
              <w:rPr>
                <w:rFonts w:cstheme="minorHAnsi"/>
              </w:rPr>
            </w:pPr>
            <w:r>
              <w:rPr>
                <w:rFonts w:cstheme="minorHAnsi"/>
              </w:rPr>
              <w:t>M</w:t>
            </w:r>
            <w:r w:rsidR="00A401B6" w:rsidRPr="00A06521">
              <w:rPr>
                <w:rFonts w:cstheme="minorHAnsi"/>
              </w:rPr>
              <w:t xml:space="preserve">eans the you or us noted in the NDIA Streamlined Grant Agreement. </w:t>
            </w:r>
          </w:p>
        </w:tc>
      </w:tr>
      <w:tr w:rsidR="00A401B6" w:rsidRPr="00A06521" w14:paraId="18E9BF39" w14:textId="77777777" w:rsidTr="00D368C5">
        <w:tc>
          <w:tcPr>
            <w:tcW w:w="2359" w:type="dxa"/>
          </w:tcPr>
          <w:p w14:paraId="716C7FED"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People with disability</w:t>
            </w:r>
            <w:r w:rsidRPr="005E2941">
              <w:rPr>
                <w:rFonts w:cstheme="minorHAnsi"/>
                <w:sz w:val="22"/>
                <w:szCs w:val="22"/>
              </w:rPr>
              <w:t xml:space="preserve"> </w:t>
            </w:r>
          </w:p>
        </w:tc>
        <w:tc>
          <w:tcPr>
            <w:tcW w:w="7847" w:type="dxa"/>
          </w:tcPr>
          <w:p w14:paraId="6A74ABA5"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 xml:space="preserve"> person who experiences any or all of the following: impairments (abnormalities or changes in body function or structure); activity limitations (difficulties in carrying out usual age-appropriate activities); participation </w:t>
            </w:r>
            <w:r w:rsidR="00A401B6" w:rsidRPr="00A06521">
              <w:rPr>
                <w:rFonts w:cstheme="minorHAnsi"/>
                <w:sz w:val="22"/>
                <w:szCs w:val="22"/>
              </w:rPr>
              <w:lastRenderedPageBreak/>
              <w:t>restrictions (problems an individual may experience engaging in community, social and family life)</w:t>
            </w:r>
          </w:p>
        </w:tc>
      </w:tr>
      <w:tr w:rsidR="00A401B6" w:rsidRPr="00A06521" w14:paraId="44BDFB2A" w14:textId="77777777" w:rsidTr="00D368C5">
        <w:tc>
          <w:tcPr>
            <w:tcW w:w="2359" w:type="dxa"/>
          </w:tcPr>
          <w:p w14:paraId="5A599EDC" w14:textId="77777777" w:rsidR="00A401B6" w:rsidRPr="005E2941" w:rsidRDefault="005E2941" w:rsidP="00D368C5">
            <w:pPr>
              <w:rPr>
                <w:rFonts w:cstheme="minorHAnsi"/>
                <w:b/>
                <w:lang w:val="en"/>
              </w:rPr>
            </w:pPr>
            <w:r>
              <w:rPr>
                <w:rFonts w:cstheme="minorHAnsi"/>
                <w:b/>
                <w:lang w:val="en"/>
              </w:rPr>
              <w:lastRenderedPageBreak/>
              <w:t>Personal i</w:t>
            </w:r>
            <w:r w:rsidR="00A401B6" w:rsidRPr="005E2941">
              <w:rPr>
                <w:rFonts w:cstheme="minorHAnsi"/>
                <w:b/>
                <w:lang w:val="en"/>
              </w:rPr>
              <w:t>nformation</w:t>
            </w:r>
          </w:p>
        </w:tc>
        <w:tc>
          <w:tcPr>
            <w:tcW w:w="7847" w:type="dxa"/>
          </w:tcPr>
          <w:p w14:paraId="3B303DC1" w14:textId="77777777" w:rsidR="00A401B6" w:rsidRPr="00A06521" w:rsidRDefault="00A401B6" w:rsidP="00D368C5">
            <w:pPr>
              <w:rPr>
                <w:rFonts w:cstheme="minorHAnsi"/>
                <w:lang w:val="en"/>
              </w:rPr>
            </w:pPr>
            <w:r w:rsidRPr="00A06521">
              <w:rPr>
                <w:rFonts w:cstheme="minorHAnsi"/>
                <w:lang w:val="en"/>
              </w:rPr>
              <w:t>Has the same meaning as in the Privacy Act 1988</w:t>
            </w:r>
          </w:p>
        </w:tc>
      </w:tr>
      <w:tr w:rsidR="00A401B6" w:rsidRPr="00A06521" w14:paraId="0D44976C" w14:textId="77777777" w:rsidTr="00D368C5">
        <w:tc>
          <w:tcPr>
            <w:tcW w:w="2359" w:type="dxa"/>
          </w:tcPr>
          <w:p w14:paraId="4759633B"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Policy</w:t>
            </w:r>
          </w:p>
        </w:tc>
        <w:tc>
          <w:tcPr>
            <w:tcW w:w="7847" w:type="dxa"/>
          </w:tcPr>
          <w:p w14:paraId="4B40BAA1"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statement of intent to achieve change of a situation. Government uses policy to tackle a wide range of issues affecting community members. Policies may be implemented as programs.</w:t>
            </w:r>
          </w:p>
        </w:tc>
      </w:tr>
      <w:tr w:rsidR="00A401B6" w:rsidRPr="00A06521" w14:paraId="277FF741" w14:textId="77777777" w:rsidTr="00D368C5">
        <w:tc>
          <w:tcPr>
            <w:tcW w:w="2359" w:type="dxa"/>
          </w:tcPr>
          <w:p w14:paraId="1B71B10D"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Procedures</w:t>
            </w:r>
            <w:r w:rsidRPr="005E2941">
              <w:rPr>
                <w:rFonts w:asciiTheme="minorHAnsi" w:hAnsiTheme="minorHAnsi" w:cstheme="minorHAnsi"/>
                <w:sz w:val="22"/>
                <w:szCs w:val="22"/>
              </w:rPr>
              <w:t> </w:t>
            </w:r>
          </w:p>
        </w:tc>
        <w:tc>
          <w:tcPr>
            <w:tcW w:w="7847" w:type="dxa"/>
          </w:tcPr>
          <w:p w14:paraId="73A1F6A4"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T</w:t>
            </w:r>
            <w:r w:rsidR="00A401B6" w:rsidRPr="00A06521">
              <w:rPr>
                <w:rFonts w:asciiTheme="minorHAnsi" w:hAnsiTheme="minorHAnsi" w:cstheme="minorHAnsi"/>
                <w:sz w:val="22"/>
                <w:szCs w:val="22"/>
              </w:rPr>
              <w:t>he document that outlines the rules, systems, processes and resources available to support NDIA staff in establishing, awarding and managing grants</w:t>
            </w:r>
          </w:p>
        </w:tc>
      </w:tr>
      <w:tr w:rsidR="00A401B6" w:rsidRPr="00A06521" w14:paraId="292C1376" w14:textId="77777777" w:rsidTr="00D368C5">
        <w:tc>
          <w:tcPr>
            <w:tcW w:w="2359" w:type="dxa"/>
          </w:tcPr>
          <w:p w14:paraId="733D2DE2"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Procurement</w:t>
            </w:r>
          </w:p>
        </w:tc>
        <w:tc>
          <w:tcPr>
            <w:tcW w:w="7847" w:type="dxa"/>
          </w:tcPr>
          <w:p w14:paraId="0D163CE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Encompasses the whole process of procuring goods and services. It begins when a need has been identified and a decision has been made on the purchasing requirement. Procurement continues through the processes of risk assessment, seeking and evaluating alternative solutions, the awarding of a contract, the delivery of and payment for the goods and services and, where relevant, the ongoing management of the contract and consideration of disposal of goods. In addition to the acquisition of goods and services by a relevant entity for its own use, procurement includes the acquisition of goods and services on behalf of another relevant entity or a third party.</w:t>
            </w:r>
          </w:p>
        </w:tc>
      </w:tr>
      <w:tr w:rsidR="00A401B6" w:rsidRPr="00A06521" w14:paraId="182F9076" w14:textId="77777777" w:rsidTr="00D368C5">
        <w:tc>
          <w:tcPr>
            <w:tcW w:w="2359" w:type="dxa"/>
          </w:tcPr>
          <w:p w14:paraId="1AF354A9"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w:t>
            </w:r>
          </w:p>
        </w:tc>
        <w:tc>
          <w:tcPr>
            <w:tcW w:w="7847" w:type="dxa"/>
          </w:tcPr>
          <w:p w14:paraId="0403931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administrative instruments established to deliver outcomes that execute government policy. Programs may use a number of different strategies to achieve their objectives, including grants, subsidies, payments and services.</w:t>
            </w:r>
          </w:p>
        </w:tc>
      </w:tr>
      <w:tr w:rsidR="00A401B6" w:rsidRPr="00A06521" w14:paraId="6094F27E" w14:textId="77777777" w:rsidTr="00D368C5">
        <w:tc>
          <w:tcPr>
            <w:tcW w:w="2359" w:type="dxa"/>
          </w:tcPr>
          <w:p w14:paraId="73C5B8E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Program Guidelines</w:t>
            </w:r>
          </w:p>
        </w:tc>
        <w:tc>
          <w:tcPr>
            <w:tcW w:w="7847" w:type="dxa"/>
          </w:tcPr>
          <w:p w14:paraId="0354A04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Set the overall implementation policy for a program.  They sit over the top of specific grant round guidelines (Grant Opportunity Guidelines (GOGS)</w:t>
            </w:r>
          </w:p>
        </w:tc>
      </w:tr>
      <w:tr w:rsidR="00A401B6" w:rsidRPr="00A06521" w14:paraId="375CC8F2" w14:textId="77777777" w:rsidTr="00D368C5">
        <w:tc>
          <w:tcPr>
            <w:tcW w:w="2359" w:type="dxa"/>
          </w:tcPr>
          <w:p w14:paraId="4D27C8E8" w14:textId="77777777" w:rsidR="00A401B6" w:rsidRPr="005E2941" w:rsidRDefault="005E2941" w:rsidP="00D368C5">
            <w:pPr>
              <w:shd w:val="clear" w:color="auto" w:fill="FFFFFF"/>
              <w:spacing w:before="72"/>
              <w:rPr>
                <w:rFonts w:eastAsia="Times New Roman" w:cstheme="minorHAnsi"/>
                <w:b/>
                <w:lang w:val="en" w:eastAsia="en-AU"/>
              </w:rPr>
            </w:pPr>
            <w:r>
              <w:rPr>
                <w:rFonts w:eastAsia="Times New Roman" w:cstheme="minorHAnsi"/>
                <w:b/>
                <w:lang w:val="en" w:eastAsia="en-AU"/>
              </w:rPr>
              <w:t>Program s</w:t>
            </w:r>
            <w:r w:rsidR="00A401B6" w:rsidRPr="005E2941">
              <w:rPr>
                <w:rFonts w:eastAsia="Times New Roman" w:cstheme="minorHAnsi"/>
                <w:b/>
                <w:lang w:val="en" w:eastAsia="en-AU"/>
              </w:rPr>
              <w:t>tream</w:t>
            </w:r>
          </w:p>
        </w:tc>
        <w:tc>
          <w:tcPr>
            <w:tcW w:w="7847" w:type="dxa"/>
          </w:tcPr>
          <w:p w14:paraId="0A5343CD"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publically visible component of a program. All grants rounds are linked to the stream, which then links to the program.</w:t>
            </w:r>
          </w:p>
        </w:tc>
      </w:tr>
      <w:tr w:rsidR="00A401B6" w:rsidRPr="00A06521" w14:paraId="7D6CF2A4" w14:textId="77777777" w:rsidTr="00D368C5">
        <w:tc>
          <w:tcPr>
            <w:tcW w:w="2359" w:type="dxa"/>
          </w:tcPr>
          <w:p w14:paraId="7D95AB9A" w14:textId="77777777" w:rsidR="00A401B6" w:rsidRPr="005E2941" w:rsidRDefault="00A401B6" w:rsidP="00D368C5">
            <w:pPr>
              <w:pStyle w:val="tablelistbullet"/>
              <w:numPr>
                <w:ilvl w:val="0"/>
                <w:numId w:val="0"/>
              </w:numPr>
              <w:rPr>
                <w:rFonts w:eastAsia="MS Mincho" w:cstheme="minorHAnsi"/>
                <w:b/>
                <w:spacing w:val="-2"/>
              </w:rPr>
            </w:pPr>
            <w:r w:rsidRPr="005E2941">
              <w:rPr>
                <w:rFonts w:cstheme="minorHAnsi"/>
                <w:b/>
              </w:rPr>
              <w:t>Provider</w:t>
            </w:r>
          </w:p>
        </w:tc>
        <w:tc>
          <w:tcPr>
            <w:tcW w:w="7847" w:type="dxa"/>
          </w:tcPr>
          <w:p w14:paraId="71E51BEB" w14:textId="77777777" w:rsidR="00A401B6" w:rsidRPr="00A06521" w:rsidRDefault="00A401B6" w:rsidP="00D368C5">
            <w:pPr>
              <w:pStyle w:val="tablelistbullet"/>
              <w:numPr>
                <w:ilvl w:val="0"/>
                <w:numId w:val="0"/>
              </w:numPr>
              <w:rPr>
                <w:rFonts w:cstheme="minorHAnsi"/>
              </w:rPr>
            </w:pPr>
            <w:r w:rsidRPr="00A06521">
              <w:rPr>
                <w:rFonts w:cstheme="minorHAnsi"/>
              </w:rPr>
              <w:t>A provider is an individual or organisation delivering a support or a product to a participant of the NDIS</w:t>
            </w:r>
          </w:p>
        </w:tc>
      </w:tr>
      <w:tr w:rsidR="00A401B6" w:rsidRPr="00A06521" w14:paraId="4698284C" w14:textId="77777777" w:rsidTr="00D368C5">
        <w:tc>
          <w:tcPr>
            <w:tcW w:w="2359" w:type="dxa"/>
          </w:tcPr>
          <w:p w14:paraId="57A5698C" w14:textId="77777777" w:rsidR="00A401B6" w:rsidRPr="005E2941" w:rsidRDefault="00A401B6" w:rsidP="00D368C5">
            <w:pPr>
              <w:pStyle w:val="BodyCopy"/>
              <w:spacing w:line="240" w:lineRule="auto"/>
              <w:rPr>
                <w:rStyle w:val="Bold"/>
                <w:rFonts w:cstheme="minorHAnsi"/>
                <w:sz w:val="22"/>
                <w:szCs w:val="22"/>
              </w:rPr>
            </w:pPr>
            <w:r w:rsidRPr="005E2941">
              <w:rPr>
                <w:rStyle w:val="Bold"/>
                <w:rFonts w:cstheme="minorHAnsi"/>
                <w:sz w:val="22"/>
                <w:szCs w:val="22"/>
              </w:rPr>
              <w:t>Rural</w:t>
            </w:r>
          </w:p>
        </w:tc>
        <w:tc>
          <w:tcPr>
            <w:tcW w:w="7847" w:type="dxa"/>
          </w:tcPr>
          <w:p w14:paraId="7FCF1651" w14:textId="77777777" w:rsidR="00A401B6" w:rsidRPr="00A06521" w:rsidRDefault="00A401B6" w:rsidP="00D368C5">
            <w:pPr>
              <w:rPr>
                <w:rFonts w:cstheme="minorHAnsi"/>
              </w:rPr>
            </w:pPr>
            <w:r w:rsidRPr="00A06521">
              <w:rPr>
                <w:rFonts w:cstheme="minorHAnsi"/>
              </w:rPr>
              <w:t xml:space="preserve">The NDIA uses the Modified Monash Model to define rural and remote areas, this is further explained in the </w:t>
            </w:r>
            <w:hyperlink r:id="rId19" w:history="1">
              <w:r w:rsidRPr="00A06521">
                <w:rPr>
                  <w:rStyle w:val="Hyperlink"/>
                  <w:rFonts w:cstheme="minorHAnsi"/>
                </w:rPr>
                <w:t>NDIA Rural and Remote Strategy 2016-2019</w:t>
              </w:r>
            </w:hyperlink>
            <w:r w:rsidRPr="00A06521">
              <w:rPr>
                <w:rFonts w:cstheme="minorHAnsi"/>
              </w:rPr>
              <w:t>.</w:t>
            </w:r>
          </w:p>
        </w:tc>
      </w:tr>
      <w:tr w:rsidR="00A401B6" w:rsidRPr="00A06521" w14:paraId="7AA68DCA" w14:textId="77777777" w:rsidTr="00D368C5">
        <w:tc>
          <w:tcPr>
            <w:tcW w:w="2359" w:type="dxa"/>
          </w:tcPr>
          <w:p w14:paraId="564EC3A6"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lastRenderedPageBreak/>
              <w:t xml:space="preserve">Selection </w:t>
            </w:r>
            <w:r w:rsidR="003C40EF" w:rsidRPr="005E2941">
              <w:rPr>
                <w:rFonts w:eastAsia="Times New Roman" w:cstheme="minorHAnsi"/>
                <w:b/>
                <w:lang w:val="en" w:eastAsia="en-AU"/>
              </w:rPr>
              <w:t>c</w:t>
            </w:r>
            <w:r w:rsidRPr="005E2941">
              <w:rPr>
                <w:rFonts w:eastAsia="Times New Roman" w:cstheme="minorHAnsi"/>
                <w:b/>
                <w:lang w:val="en" w:eastAsia="en-AU"/>
              </w:rPr>
              <w:t>riteria</w:t>
            </w:r>
          </w:p>
        </w:tc>
        <w:tc>
          <w:tcPr>
            <w:tcW w:w="7847" w:type="dxa"/>
          </w:tcPr>
          <w:p w14:paraId="26B4A18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requirements against which grant applications will be determined. They comprise eligibility criteria and assessment criteria</w:t>
            </w:r>
          </w:p>
        </w:tc>
      </w:tr>
      <w:tr w:rsidR="00A401B6" w:rsidRPr="00A06521" w14:paraId="3ADCEEB7" w14:textId="77777777" w:rsidTr="00D368C5">
        <w:tc>
          <w:tcPr>
            <w:tcW w:w="2359" w:type="dxa"/>
          </w:tcPr>
          <w:p w14:paraId="629A69FA"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 xml:space="preserve">Selection </w:t>
            </w:r>
            <w:r w:rsidR="003C40EF" w:rsidRPr="005E2941">
              <w:rPr>
                <w:rFonts w:eastAsia="Times New Roman" w:cstheme="minorHAnsi"/>
                <w:b/>
                <w:lang w:val="en" w:eastAsia="en-AU"/>
              </w:rPr>
              <w:t>p</w:t>
            </w:r>
            <w:r w:rsidRPr="005E2941">
              <w:rPr>
                <w:rFonts w:eastAsia="Times New Roman" w:cstheme="minorHAnsi"/>
                <w:b/>
                <w:lang w:val="en" w:eastAsia="en-AU"/>
              </w:rPr>
              <w:t>rocess</w:t>
            </w:r>
          </w:p>
        </w:tc>
        <w:tc>
          <w:tcPr>
            <w:tcW w:w="7847" w:type="dxa"/>
          </w:tcPr>
          <w:p w14:paraId="58E095BA"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The method used to select potential grant recipients. This process may involve comparative assessment of applications, or the assessment of applications against the eligibility criteria and/or the assessment criteria.</w:t>
            </w:r>
          </w:p>
        </w:tc>
      </w:tr>
      <w:tr w:rsidR="00A401B6" w:rsidRPr="00A06521" w14:paraId="75736E99" w14:textId="77777777" w:rsidTr="00D368C5">
        <w:tc>
          <w:tcPr>
            <w:tcW w:w="2359" w:type="dxa"/>
          </w:tcPr>
          <w:p w14:paraId="48BEBCC5" w14:textId="77777777" w:rsidR="00A401B6" w:rsidRPr="005E2941" w:rsidRDefault="00A401B6" w:rsidP="00D368C5">
            <w:pPr>
              <w:rPr>
                <w:rFonts w:eastAsia="Times New Roman" w:cstheme="minorHAnsi"/>
                <w:b/>
                <w:lang w:eastAsia="en-AU"/>
              </w:rPr>
            </w:pPr>
            <w:r w:rsidRPr="005E2941">
              <w:rPr>
                <w:rFonts w:eastAsia="Times New Roman" w:cstheme="minorHAnsi"/>
                <w:b/>
                <w:lang w:eastAsia="en-AU"/>
              </w:rPr>
              <w:t>Sourcing</w:t>
            </w:r>
          </w:p>
        </w:tc>
        <w:tc>
          <w:tcPr>
            <w:tcW w:w="7847" w:type="dxa"/>
          </w:tcPr>
          <w:p w14:paraId="585CA6AF" w14:textId="77777777" w:rsidR="00A401B6" w:rsidRPr="00A06521" w:rsidRDefault="00A401B6" w:rsidP="00D368C5">
            <w:pPr>
              <w:rPr>
                <w:rFonts w:eastAsia="Times New Roman" w:cstheme="minorHAnsi"/>
                <w:lang w:eastAsia="en-AU"/>
              </w:rPr>
            </w:pPr>
            <w:r w:rsidRPr="00A06521">
              <w:rPr>
                <w:rFonts w:eastAsia="Times New Roman" w:cstheme="minorHAnsi"/>
                <w:lang w:eastAsia="en-AU"/>
              </w:rPr>
              <w:t>The selection of successful applicants from a competitive grants process who will deliver funded services and activities, such as ILC.</w:t>
            </w:r>
          </w:p>
        </w:tc>
      </w:tr>
      <w:tr w:rsidR="00A401B6" w:rsidRPr="00A06521" w14:paraId="4C63D619" w14:textId="77777777" w:rsidTr="00D368C5">
        <w:tc>
          <w:tcPr>
            <w:tcW w:w="2359" w:type="dxa"/>
          </w:tcPr>
          <w:p w14:paraId="6866DA6B" w14:textId="77777777" w:rsidR="00A401B6" w:rsidRPr="005E2941" w:rsidRDefault="00A401B6" w:rsidP="00D368C5">
            <w:pPr>
              <w:pStyle w:val="BodyCopy"/>
              <w:spacing w:line="240" w:lineRule="auto"/>
              <w:rPr>
                <w:rFonts w:cstheme="minorHAnsi"/>
                <w:sz w:val="22"/>
                <w:szCs w:val="22"/>
              </w:rPr>
            </w:pPr>
            <w:r w:rsidRPr="005E2941">
              <w:rPr>
                <w:rStyle w:val="Bold"/>
                <w:rFonts w:cstheme="minorHAnsi"/>
                <w:sz w:val="22"/>
                <w:szCs w:val="22"/>
              </w:rPr>
              <w:t>Supports</w:t>
            </w:r>
            <w:r w:rsidRPr="005E2941">
              <w:rPr>
                <w:rFonts w:cstheme="minorHAnsi"/>
                <w:sz w:val="22"/>
                <w:szCs w:val="22"/>
              </w:rPr>
              <w:t xml:space="preserve"> </w:t>
            </w:r>
          </w:p>
        </w:tc>
        <w:tc>
          <w:tcPr>
            <w:tcW w:w="7847" w:type="dxa"/>
          </w:tcPr>
          <w:p w14:paraId="4CD61802" w14:textId="77777777" w:rsidR="00A401B6" w:rsidRPr="00A06521" w:rsidRDefault="00E97B4F" w:rsidP="00D368C5">
            <w:pPr>
              <w:pStyle w:val="BodyCopy"/>
              <w:spacing w:line="240" w:lineRule="auto"/>
              <w:rPr>
                <w:rFonts w:cstheme="minorHAnsi"/>
                <w:sz w:val="22"/>
                <w:szCs w:val="22"/>
              </w:rPr>
            </w:pPr>
            <w:r>
              <w:rPr>
                <w:rFonts w:cstheme="minorHAnsi"/>
                <w:sz w:val="22"/>
                <w:szCs w:val="22"/>
              </w:rPr>
              <w:t xml:space="preserve"> A</w:t>
            </w:r>
            <w:r w:rsidR="00A401B6" w:rsidRPr="00A06521">
              <w:rPr>
                <w:rFonts w:cstheme="minorHAnsi"/>
                <w:sz w:val="22"/>
                <w:szCs w:val="22"/>
              </w:rPr>
              <w:t>ssistance that helps a participant to reach their goals, objectives and aspirations, and to undertake activities to enable their social and economic participation</w:t>
            </w:r>
          </w:p>
        </w:tc>
      </w:tr>
      <w:tr w:rsidR="00A401B6" w:rsidRPr="00A06521" w14:paraId="22D57586" w14:textId="77777777" w:rsidTr="00D368C5">
        <w:tc>
          <w:tcPr>
            <w:tcW w:w="2359" w:type="dxa"/>
          </w:tcPr>
          <w:p w14:paraId="2D1960F7"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Task</w:t>
            </w:r>
          </w:p>
        </w:tc>
        <w:tc>
          <w:tcPr>
            <w:tcW w:w="7847" w:type="dxa"/>
          </w:tcPr>
          <w:p w14:paraId="41A99C14"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step in an event that is usually performed as a contiguous piece of work, by one person (or a machine) through to completion.</w:t>
            </w:r>
          </w:p>
        </w:tc>
      </w:tr>
      <w:tr w:rsidR="00A401B6" w:rsidRPr="00A06521" w14:paraId="1F95C308" w14:textId="77777777" w:rsidTr="00D368C5">
        <w:tc>
          <w:tcPr>
            <w:tcW w:w="2359" w:type="dxa"/>
          </w:tcPr>
          <w:p w14:paraId="720A4961" w14:textId="77777777" w:rsidR="00A401B6" w:rsidRPr="005E2941" w:rsidRDefault="00A401B6" w:rsidP="00D368C5">
            <w:pPr>
              <w:rPr>
                <w:rFonts w:eastAsia="Times New Roman" w:cstheme="minorHAnsi"/>
                <w:b/>
                <w:lang w:val="en" w:eastAsia="en-AU"/>
              </w:rPr>
            </w:pPr>
            <w:r w:rsidRPr="005E2941">
              <w:rPr>
                <w:rFonts w:cstheme="minorHAnsi"/>
                <w:b/>
                <w:lang w:val="en"/>
              </w:rPr>
              <w:t>The Disability Reform Council (DRC)</w:t>
            </w:r>
          </w:p>
        </w:tc>
        <w:tc>
          <w:tcPr>
            <w:tcW w:w="7847" w:type="dxa"/>
          </w:tcPr>
          <w:p w14:paraId="0FADF4D2" w14:textId="77777777" w:rsidR="00A401B6" w:rsidRPr="00A06521" w:rsidRDefault="00E97B4F" w:rsidP="00D368C5">
            <w:pPr>
              <w:rPr>
                <w:rFonts w:cstheme="minorHAnsi"/>
                <w:lang w:val="en"/>
              </w:rPr>
            </w:pPr>
            <w:r>
              <w:rPr>
                <w:rFonts w:cstheme="minorHAnsi"/>
                <w:lang w:val="en"/>
              </w:rPr>
              <w:t>I</w:t>
            </w:r>
            <w:r w:rsidR="00A401B6" w:rsidRPr="00A06521">
              <w:rPr>
                <w:rFonts w:cstheme="minorHAnsi"/>
                <w:lang w:val="en"/>
              </w:rPr>
              <w:t>s made up of disability ministers from the Commonwealth and states and territories</w:t>
            </w:r>
          </w:p>
        </w:tc>
      </w:tr>
      <w:tr w:rsidR="00A401B6" w:rsidRPr="00A06521" w14:paraId="3C4A27F5" w14:textId="77777777" w:rsidTr="00D368C5">
        <w:tc>
          <w:tcPr>
            <w:tcW w:w="2359" w:type="dxa"/>
          </w:tcPr>
          <w:p w14:paraId="4F67B9DC" w14:textId="77777777" w:rsidR="00A401B6" w:rsidRPr="005E2941" w:rsidRDefault="00A401B6" w:rsidP="00D368C5">
            <w:pPr>
              <w:pStyle w:val="NormalWeb"/>
              <w:textAlignment w:val="top"/>
              <w:rPr>
                <w:rFonts w:asciiTheme="minorHAnsi" w:hAnsiTheme="minorHAnsi" w:cstheme="minorHAnsi"/>
                <w:sz w:val="22"/>
                <w:szCs w:val="22"/>
              </w:rPr>
            </w:pPr>
            <w:r w:rsidRPr="005E2941">
              <w:rPr>
                <w:rStyle w:val="Strong"/>
                <w:rFonts w:asciiTheme="minorHAnsi" w:hAnsiTheme="minorHAnsi" w:cstheme="minorHAnsi"/>
                <w:sz w:val="22"/>
                <w:szCs w:val="22"/>
              </w:rPr>
              <w:t>Value for money </w:t>
            </w:r>
          </w:p>
        </w:tc>
        <w:tc>
          <w:tcPr>
            <w:tcW w:w="7847" w:type="dxa"/>
          </w:tcPr>
          <w:p w14:paraId="5952105A" w14:textId="77777777" w:rsidR="00A401B6" w:rsidRPr="00A06521" w:rsidRDefault="00E97B4F" w:rsidP="00D368C5">
            <w:pPr>
              <w:pStyle w:val="NormalWeb"/>
              <w:textAlignment w:val="top"/>
              <w:rPr>
                <w:rFonts w:asciiTheme="minorHAnsi" w:hAnsiTheme="minorHAnsi" w:cstheme="minorHAnsi"/>
                <w:sz w:val="22"/>
                <w:szCs w:val="22"/>
              </w:rPr>
            </w:pPr>
            <w:r>
              <w:rPr>
                <w:rFonts w:asciiTheme="minorHAnsi" w:hAnsiTheme="minorHAnsi" w:cstheme="minorHAnsi"/>
                <w:sz w:val="22"/>
                <w:szCs w:val="22"/>
              </w:rPr>
              <w:t xml:space="preserve"> R</w:t>
            </w:r>
            <w:r w:rsidR="00A401B6" w:rsidRPr="00A06521">
              <w:rPr>
                <w:rFonts w:asciiTheme="minorHAnsi" w:hAnsiTheme="minorHAnsi" w:cstheme="minorHAnsi"/>
                <w:sz w:val="22"/>
                <w:szCs w:val="22"/>
              </w:rPr>
              <w:t xml:space="preserve">efers to "Value with relevant public money definition"; see the </w:t>
            </w:r>
            <w:hyperlink r:id="rId20" w:history="1">
              <w:r w:rsidR="00A401B6" w:rsidRPr="00A06521">
                <w:rPr>
                  <w:rStyle w:val="Hyperlink"/>
                  <w:rFonts w:cstheme="minorHAnsi"/>
                  <w:sz w:val="22"/>
                  <w:szCs w:val="22"/>
                </w:rPr>
                <w:t>ANAO Implementing Better Practice Grants Administration (external link)</w:t>
              </w:r>
            </w:hyperlink>
            <w:r w:rsidR="00A401B6" w:rsidRPr="00A06521">
              <w:rPr>
                <w:rFonts w:asciiTheme="minorHAnsi" w:hAnsiTheme="minorHAnsi" w:cstheme="minorHAnsi"/>
                <w:sz w:val="22"/>
                <w:szCs w:val="22"/>
              </w:rPr>
              <w:t xml:space="preserve"> guide</w:t>
            </w:r>
          </w:p>
        </w:tc>
      </w:tr>
      <w:tr w:rsidR="00A401B6" w:rsidRPr="00A06521" w14:paraId="5F4FF820" w14:textId="77777777" w:rsidTr="00D368C5">
        <w:tc>
          <w:tcPr>
            <w:tcW w:w="2359" w:type="dxa"/>
          </w:tcPr>
          <w:p w14:paraId="03EBC4FD" w14:textId="77777777" w:rsidR="00A401B6" w:rsidRPr="005E2941" w:rsidRDefault="00A401B6" w:rsidP="00D368C5">
            <w:pPr>
              <w:rPr>
                <w:rFonts w:cstheme="minorHAnsi"/>
                <w:b/>
              </w:rPr>
            </w:pPr>
            <w:r w:rsidRPr="005E2941">
              <w:rPr>
                <w:rFonts w:cstheme="minorHAnsi"/>
                <w:b/>
              </w:rPr>
              <w:t>Vulnerable Person</w:t>
            </w:r>
          </w:p>
        </w:tc>
        <w:tc>
          <w:tcPr>
            <w:tcW w:w="7847" w:type="dxa"/>
          </w:tcPr>
          <w:p w14:paraId="06F0CF5E" w14:textId="77777777" w:rsidR="00A401B6" w:rsidRPr="00A06521" w:rsidRDefault="00A401B6" w:rsidP="00D368C5">
            <w:pPr>
              <w:rPr>
                <w:rFonts w:cstheme="minorHAnsi"/>
              </w:rPr>
            </w:pPr>
            <w:r w:rsidRPr="00A06521">
              <w:rPr>
                <w:rFonts w:cstheme="minorHAnsi"/>
              </w:rPr>
              <w:t xml:space="preserve">(a) a child, being an individual under the age of 18; or (b) an individual aged 18 years and above who is or may be unable to take care of themselves against harm or exploitation by reason of age, illness, trauma or disability, or any other reason. </w:t>
            </w:r>
          </w:p>
        </w:tc>
      </w:tr>
      <w:tr w:rsidR="00A401B6" w:rsidRPr="00A06521" w14:paraId="22175E90" w14:textId="77777777" w:rsidTr="00D368C5">
        <w:tc>
          <w:tcPr>
            <w:tcW w:w="2359" w:type="dxa"/>
          </w:tcPr>
          <w:p w14:paraId="19EEDF8F" w14:textId="77777777" w:rsidR="00A401B6" w:rsidRPr="005E2941" w:rsidRDefault="00A401B6" w:rsidP="00D368C5">
            <w:pPr>
              <w:shd w:val="clear" w:color="auto" w:fill="FFFFFF"/>
              <w:spacing w:before="72"/>
              <w:rPr>
                <w:rFonts w:eastAsia="Times New Roman" w:cstheme="minorHAnsi"/>
                <w:b/>
                <w:lang w:val="en" w:eastAsia="en-AU"/>
              </w:rPr>
            </w:pPr>
            <w:r w:rsidRPr="005E2941">
              <w:rPr>
                <w:rFonts w:eastAsia="Times New Roman" w:cstheme="minorHAnsi"/>
                <w:b/>
                <w:lang w:val="en" w:eastAsia="en-AU"/>
              </w:rPr>
              <w:t>Workflow</w:t>
            </w:r>
          </w:p>
        </w:tc>
        <w:tc>
          <w:tcPr>
            <w:tcW w:w="7847" w:type="dxa"/>
          </w:tcPr>
          <w:p w14:paraId="7C03350E" w14:textId="77777777" w:rsidR="00A401B6" w:rsidRPr="00A06521" w:rsidRDefault="00A401B6" w:rsidP="00D368C5">
            <w:pPr>
              <w:shd w:val="clear" w:color="auto" w:fill="FFFFFF"/>
              <w:spacing w:after="72"/>
              <w:rPr>
                <w:rFonts w:eastAsia="Times New Roman" w:cstheme="minorHAnsi"/>
                <w:lang w:val="en" w:eastAsia="en-AU"/>
              </w:rPr>
            </w:pPr>
            <w:r w:rsidRPr="00A06521">
              <w:rPr>
                <w:rFonts w:eastAsia="Times New Roman" w:cstheme="minorHAnsi"/>
                <w:lang w:val="en" w:eastAsia="en-AU"/>
              </w:rPr>
              <w:t>A repeatable pattern of business activity, organised into a sequence of tasks.</w:t>
            </w:r>
          </w:p>
        </w:tc>
      </w:tr>
    </w:tbl>
    <w:p w14:paraId="7593732E" w14:textId="77777777" w:rsidR="00A401B6" w:rsidRPr="00A06521" w:rsidRDefault="00A401B6" w:rsidP="00A401B6">
      <w:pPr>
        <w:rPr>
          <w:rFonts w:cstheme="minorHAnsi"/>
        </w:rPr>
      </w:pPr>
    </w:p>
    <w:p w14:paraId="34B6A6BF" w14:textId="77777777" w:rsidR="00847681" w:rsidRDefault="00847681" w:rsidP="00847681"/>
    <w:p w14:paraId="5E27AAC0" w14:textId="77777777" w:rsidR="00847681" w:rsidRPr="005C3AA9" w:rsidRDefault="00847681" w:rsidP="00847681">
      <w:pPr>
        <w:pStyle w:val="Normal24"/>
        <w:spacing w:after="0"/>
        <w:rPr>
          <w:rStyle w:val="BookTitle1"/>
          <w:i w:val="0"/>
          <w:iCs w:val="0"/>
          <w:smallCaps w:val="0"/>
        </w:rPr>
        <w:sectPr w:rsidR="00847681" w:rsidRPr="005C3AA9" w:rsidSect="00573AE6">
          <w:headerReference w:type="even" r:id="rId21"/>
          <w:headerReference w:type="default" r:id="rId22"/>
          <w:footerReference w:type="even" r:id="rId23"/>
          <w:footerReference w:type="default" r:id="rId24"/>
          <w:pgSz w:w="11906" w:h="16838"/>
          <w:pgMar w:top="1418" w:right="991" w:bottom="1418" w:left="2098" w:header="851" w:footer="735" w:gutter="0"/>
          <w:pgBorders>
            <w:top w:val="nil"/>
            <w:left w:val="nil"/>
            <w:bottom w:val="nil"/>
            <w:right w:val="nil"/>
          </w:pgBorders>
          <w:cols w:space="720"/>
          <w:docGrid w:linePitch="360"/>
        </w:sectPr>
      </w:pPr>
    </w:p>
    <w:p w14:paraId="32CE7EE3" w14:textId="77777777" w:rsidR="00847681" w:rsidRPr="00760423" w:rsidRDefault="00847681" w:rsidP="00847681"/>
    <w:p w14:paraId="36E69CF6" w14:textId="77777777" w:rsidR="00847681" w:rsidRPr="00594453" w:rsidRDefault="00847681" w:rsidP="00594453"/>
    <w:sectPr w:rsidR="00847681" w:rsidRPr="00594453" w:rsidSect="00DC2B9B">
      <w:headerReference w:type="even" r:id="rId25"/>
      <w:headerReference w:type="default" r:id="rId26"/>
      <w:footerReference w:type="even" r:id="rId27"/>
      <w:footerReference w:type="default" r:id="rId28"/>
      <w:headerReference w:type="first" r:id="rId29"/>
      <w:pgSz w:w="11906" w:h="16838" w:code="9"/>
      <w:pgMar w:top="2268" w:right="1418" w:bottom="1135" w:left="1418" w:header="567" w:footer="624"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3F8202" w16cid:durableId="203D448E"/>
  <w16cid:commentId w16cid:paraId="11A1EA9F" w16cid:durableId="203D590E"/>
  <w16cid:commentId w16cid:paraId="7E764675" w16cid:durableId="203D46A7"/>
  <w16cid:commentId w16cid:paraId="51EF596B" w16cid:durableId="203D4666"/>
  <w16cid:commentId w16cid:paraId="0373297C" w16cid:durableId="203D46ED"/>
  <w16cid:commentId w16cid:paraId="3E92165F" w16cid:durableId="203D47FE"/>
  <w16cid:commentId w16cid:paraId="56257975" w16cid:durableId="203D43E2"/>
  <w16cid:commentId w16cid:paraId="4C0EAD60" w16cid:durableId="203D48D7"/>
  <w16cid:commentId w16cid:paraId="552BF166" w16cid:durableId="203D4A2D"/>
  <w16cid:commentId w16cid:paraId="4A096B8D" w16cid:durableId="203D4A91"/>
  <w16cid:commentId w16cid:paraId="47A7EE8B" w16cid:durableId="203D4B30"/>
  <w16cid:commentId w16cid:paraId="6D12085B" w16cid:durableId="203D4BF1"/>
  <w16cid:commentId w16cid:paraId="7959AEC9" w16cid:durableId="203D4CB2"/>
  <w16cid:commentId w16cid:paraId="48E7B751" w16cid:durableId="203D4CF4"/>
  <w16cid:commentId w16cid:paraId="3CD83E50" w16cid:durableId="203D57C1"/>
  <w16cid:commentId w16cid:paraId="78E4A6A2" w16cid:durableId="203D4EF3"/>
  <w16cid:commentId w16cid:paraId="37243442" w16cid:durableId="203D4F5F"/>
  <w16cid:commentId w16cid:paraId="5E40E1FE" w16cid:durableId="203D5018"/>
  <w16cid:commentId w16cid:paraId="5943E78D" w16cid:durableId="203D50D7"/>
  <w16cid:commentId w16cid:paraId="336D5051" w16cid:durableId="203D5207"/>
  <w16cid:commentId w16cid:paraId="76B17370" w16cid:durableId="203D43E3"/>
  <w16cid:commentId w16cid:paraId="31C18E1B" w16cid:durableId="203D5312"/>
  <w16cid:commentId w16cid:paraId="62E0A38A" w16cid:durableId="203D55B0"/>
  <w16cid:commentId w16cid:paraId="10A68C26" w16cid:durableId="203D43E4"/>
  <w16cid:commentId w16cid:paraId="238F59CC" w16cid:durableId="203D5673"/>
  <w16cid:commentId w16cid:paraId="2F19A4FA" w16cid:durableId="203D8655"/>
  <w16cid:commentId w16cid:paraId="605B360A" w16cid:durableId="203D43E5"/>
  <w16cid:commentId w16cid:paraId="26350C3B" w16cid:durableId="203D43E6"/>
  <w16cid:commentId w16cid:paraId="5C22EACE" w16cid:durableId="203D43E7"/>
  <w16cid:commentId w16cid:paraId="7F210B1A" w16cid:durableId="203D58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A39CC" w14:textId="77777777" w:rsidR="00AB631B" w:rsidRDefault="00AB631B" w:rsidP="00EF4574">
      <w:pPr>
        <w:spacing w:before="0" w:after="0" w:line="240" w:lineRule="auto"/>
      </w:pPr>
      <w:r>
        <w:separator/>
      </w:r>
    </w:p>
    <w:p w14:paraId="72082691" w14:textId="77777777" w:rsidR="00AB631B" w:rsidRDefault="00AB631B"/>
  </w:endnote>
  <w:endnote w:type="continuationSeparator" w:id="0">
    <w:p w14:paraId="0177D88C" w14:textId="77777777" w:rsidR="00AB631B" w:rsidRDefault="00AB631B" w:rsidP="00EF4574">
      <w:pPr>
        <w:spacing w:before="0" w:after="0" w:line="240" w:lineRule="auto"/>
      </w:pPr>
      <w:r>
        <w:continuationSeparator/>
      </w:r>
    </w:p>
    <w:p w14:paraId="6DBB176C" w14:textId="77777777" w:rsidR="00AB631B" w:rsidRDefault="00AB63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MetaPlusNormal-">
    <w:altName w:val="Times New Roman"/>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SMePro-Bold">
    <w:altName w:val="Times New Roman"/>
    <w:charset w:val="00"/>
    <w:family w:val="auto"/>
    <w:pitch w:val="variable"/>
    <w:sig w:usb0="00000001" w:usb1="4000606A" w:usb2="00000000" w:usb3="00000000" w:csb0="0000009F" w:csb1="00000000"/>
  </w:font>
  <w:font w:name="FSMePro-Ligh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25E35" w14:textId="77777777" w:rsidR="005976A7" w:rsidRDefault="005976A7" w:rsidP="00847681">
    <w:pPr>
      <w:pStyle w:val="Footer24"/>
      <w:pBdr>
        <w:top w:val="nil"/>
        <w:left w:val="nil"/>
        <w:bottom w:val="nil"/>
        <w:right w:val="nil"/>
        <w:between w:val="nil"/>
        <w:bar w:val="nil"/>
      </w:pBdr>
      <w:rPr>
        <w:bdr w:val="nil"/>
      </w:rPr>
    </w:pPr>
    <w:r>
      <w:rPr>
        <w:bdr w:val="nil"/>
      </w:rPr>
      <w:fldChar w:fldCharType="begin"/>
    </w:r>
    <w:r>
      <w:rPr>
        <w:bdr w:val="nil"/>
      </w:rPr>
      <w:instrText xml:space="preserve"> PAGE   \* MERGEFORMAT </w:instrText>
    </w:r>
    <w:r>
      <w:rPr>
        <w:bdr w:val="nil"/>
      </w:rPr>
      <w:fldChar w:fldCharType="separate"/>
    </w:r>
    <w:r>
      <w:rPr>
        <w:noProof/>
        <w:bdr w:val="nil"/>
      </w:rPr>
      <w:t>164</w:t>
    </w:r>
    <w:r>
      <w:rPr>
        <w:noProof/>
        <w:bdr w:val="ni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306DB" w14:textId="5D22EF4E" w:rsidR="005976A7" w:rsidRDefault="005976A7" w:rsidP="00B22CC8">
    <w:pPr>
      <w:pStyle w:val="Footer24"/>
      <w:pBdr>
        <w:top w:val="nil"/>
        <w:left w:val="nil"/>
        <w:bottom w:val="nil"/>
        <w:right w:val="nil"/>
        <w:between w:val="nil"/>
        <w:bar w:val="nil"/>
      </w:pBdr>
      <w:tabs>
        <w:tab w:val="center" w:pos="4408"/>
      </w:tabs>
      <w:jc w:val="left"/>
      <w:rPr>
        <w:bdr w:val="nil"/>
      </w:rPr>
    </w:pPr>
    <w:r>
      <w:rPr>
        <w:bdr w:val="nil"/>
      </w:rPr>
      <w:tab/>
    </w:r>
    <w:r>
      <w:rPr>
        <w:bdr w:val="nil"/>
      </w:rPr>
      <w:tab/>
    </w:r>
    <w:r>
      <w:rPr>
        <w:bdr w:val="nil"/>
      </w:rPr>
      <w:fldChar w:fldCharType="begin"/>
    </w:r>
    <w:r>
      <w:rPr>
        <w:bdr w:val="nil"/>
      </w:rPr>
      <w:instrText xml:space="preserve"> PAGE   \* MERGEFORMAT </w:instrText>
    </w:r>
    <w:r>
      <w:rPr>
        <w:bdr w:val="nil"/>
      </w:rPr>
      <w:fldChar w:fldCharType="separate"/>
    </w:r>
    <w:r w:rsidR="00EB3118">
      <w:rPr>
        <w:noProof/>
        <w:bdr w:val="nil"/>
      </w:rPr>
      <w:t>5</w:t>
    </w:r>
    <w:r>
      <w:rPr>
        <w:noProof/>
        <w:bdr w:val="ni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57598" w14:textId="77777777" w:rsidR="005976A7" w:rsidRDefault="005976A7">
    <w:pPr>
      <w:pStyle w:val="Footer"/>
    </w:pPr>
  </w:p>
  <w:p w14:paraId="58FD34B7" w14:textId="77777777" w:rsidR="005976A7" w:rsidRPr="00345382" w:rsidRDefault="005976A7">
    <w:pPr>
      <w:pStyle w:val="Footer"/>
      <w:rPr>
        <w:rFonts w:ascii="Arial" w:hAnsi="Arial" w:cs="Arial"/>
      </w:rPr>
    </w:pPr>
    <w:r w:rsidRPr="00345382">
      <w:rPr>
        <w:rFonts w:ascii="Arial" w:hAnsi="Arial" w:cs="Arial"/>
      </w:rPr>
      <w:t>[7652024: 22517169_1]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75C6E" w14:textId="77777777" w:rsidR="005976A7" w:rsidRDefault="005976A7" w:rsidP="005970EA">
    <w:pPr>
      <w:pStyle w:val="Footer"/>
      <w:rPr>
        <w:noProof/>
      </w:rPr>
    </w:pPr>
    <w:r>
      <w:rPr>
        <w:noProof/>
      </w:rPr>
      <w:tab/>
    </w:r>
    <w:r>
      <w:tab/>
    </w:r>
    <w:r>
      <w:fldChar w:fldCharType="begin"/>
    </w:r>
    <w:r>
      <w:instrText xml:space="preserve"> PAGE   \* MERGEFORMAT </w:instrText>
    </w:r>
    <w:r>
      <w:fldChar w:fldCharType="separate"/>
    </w:r>
    <w:r>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DC9EA1" w14:textId="77777777" w:rsidR="00AB631B" w:rsidRDefault="00AB631B" w:rsidP="0020122A">
      <w:pPr>
        <w:pStyle w:val="FootnoteSeparator"/>
      </w:pPr>
    </w:p>
  </w:footnote>
  <w:footnote w:type="continuationSeparator" w:id="0">
    <w:p w14:paraId="7BE42F4C" w14:textId="77777777" w:rsidR="00AB631B" w:rsidRDefault="00AB631B" w:rsidP="00EF4574">
      <w:pPr>
        <w:spacing w:before="0" w:after="0" w:line="240" w:lineRule="auto"/>
      </w:pPr>
      <w:r>
        <w:continuationSeparator/>
      </w:r>
    </w:p>
    <w:p w14:paraId="7BF772D6" w14:textId="77777777" w:rsidR="00AB631B" w:rsidRDefault="00AB631B"/>
  </w:footnote>
  <w:footnote w:id="1">
    <w:p w14:paraId="36A41285" w14:textId="77777777" w:rsidR="005976A7" w:rsidRDefault="005976A7">
      <w:pPr>
        <w:pStyle w:val="FootnoteText"/>
      </w:pPr>
      <w:r>
        <w:rPr>
          <w:rStyle w:val="FootnoteReference"/>
        </w:rPr>
        <w:footnoteRef/>
      </w:r>
      <w:r>
        <w:t xml:space="preserve"> From 2019-20 the NDIA will refer to the CICD Program 1.2 as the ILC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8FB16" w14:textId="77777777" w:rsidR="005976A7" w:rsidRPr="00C85B69" w:rsidRDefault="005976A7" w:rsidP="00847681">
    <w:pPr>
      <w:pStyle w:val="Normal24"/>
      <w:pBdr>
        <w:top w:val="nil"/>
        <w:left w:val="nil"/>
        <w:bottom w:val="nil"/>
        <w:right w:val="nil"/>
        <w:between w:val="nil"/>
        <w:bar w:val="nil"/>
      </w:pBdr>
      <w:spacing w:after="0"/>
      <w:jc w:val="left"/>
      <w:rPr>
        <w:rStyle w:val="BookTitle1"/>
        <w:iCs w:val="0"/>
        <w:smallCaps w:val="0"/>
        <w:bdr w:val="nil"/>
      </w:rPr>
    </w:pPr>
    <w:r>
      <w:rPr>
        <w:rStyle w:val="BookTitle1"/>
        <w:bdr w:val="nil"/>
      </w:rPr>
      <w:t>Glossary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32743" w14:textId="1E7BA548" w:rsidR="005976A7" w:rsidRPr="00370B43" w:rsidRDefault="005976A7" w:rsidP="00847681">
    <w:pPr>
      <w:pStyle w:val="Normal24"/>
      <w:pBdr>
        <w:top w:val="nil"/>
        <w:left w:val="nil"/>
        <w:bottom w:val="nil"/>
        <w:right w:val="nil"/>
        <w:between w:val="nil"/>
        <w:bar w:val="nil"/>
      </w:pBdr>
      <w:spacing w:after="0"/>
      <w:jc w:val="right"/>
      <w:rPr>
        <w:rStyle w:val="BookTitle1"/>
        <w:iCs w:val="0"/>
        <w:smallCaps w:val="0"/>
        <w:bdr w:val="ni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1B6A8" w14:textId="77777777" w:rsidR="005976A7" w:rsidRDefault="005976A7">
    <w:pPr>
      <w:pStyle w:val="Header"/>
    </w:pPr>
    <w:r>
      <w:rPr>
        <w:noProof/>
        <w:lang w:eastAsia="en-AU"/>
      </w:rPr>
      <mc:AlternateContent>
        <mc:Choice Requires="wps">
          <w:drawing>
            <wp:anchor distT="0" distB="0" distL="114300" distR="114300" simplePos="0" relativeHeight="251657216" behindDoc="1" locked="0" layoutInCell="0" allowOverlap="1" wp14:anchorId="548C5B84" wp14:editId="279FC061">
              <wp:simplePos x="0" y="0"/>
              <wp:positionH relativeFrom="margin">
                <wp:align>center</wp:align>
              </wp:positionH>
              <wp:positionV relativeFrom="margin">
                <wp:align>center</wp:align>
              </wp:positionV>
              <wp:extent cx="4871720" cy="3248025"/>
              <wp:effectExtent l="266700" t="752475" r="0" b="2190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871720" cy="324802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48C5B84" id="_x0000_t202" coordsize="21600,21600" o:spt="202" path="m,l,21600r21600,l21600,xe">
              <v:stroke joinstyle="miter"/>
              <v:path gradientshapeok="t" o:connecttype="rect"/>
            </v:shapetype>
            <v:shape id="Text Box 3" o:spid="_x0000_s1026" type="#_x0000_t202" style="position:absolute;left:0;text-align:left;margin-left:0;margin-top:0;width:383.6pt;height:255.7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" o:allowincell="f" filled="f" stroked="f">
              <v:stroke joinstyle="round"/>
              <o:lock v:ext="edit" shapetype="t"/>
              <v:textbox style="mso-fit-shape-to-text:t">
                <w:txbxContent>
                  <w:p w14:paraId="47BC71BE" w14:textId="77777777" w:rsidR="005976A7" w:rsidRDefault="005976A7" w:rsidP="00847681">
                    <w:pPr>
                      <w:pStyle w:val="NormalWeb"/>
                      <w:spacing w:before="0" w:after="0"/>
                      <w:jc w:val="center"/>
                    </w:pPr>
                    <w:r>
                      <w:rPr>
                        <w:rFonts w:ascii="Arial" w:hAnsi="Arial" w:cs="Arial"/>
                        <w:color w:val="C0C0C0"/>
                        <w:sz w:val="2"/>
                        <w:szCs w:val="2"/>
                        <w14:textFill>
                          <w14:solidFill>
                            <w14:srgbClr w14:val="C0C0C0">
                              <w14:alpha w14:val="50000"/>
                            </w14:srgbClr>
                          </w14:solidFill>
                        </w14:textFill>
                      </w:rPr>
                      <w:t>V12</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2DD90" w14:textId="77777777" w:rsidR="005976A7" w:rsidRPr="000A6A8B" w:rsidRDefault="005976A7" w:rsidP="000A6A8B">
    <w:pPr>
      <w:pStyle w:val="Header"/>
      <w:jc w:val="center"/>
      <w:rPr>
        <w:rStyle w:val="Classification"/>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2A0D3" w14:textId="77777777" w:rsidR="005976A7" w:rsidRDefault="005976A7" w:rsidP="000A6A8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D6D4970"/>
    <w:multiLevelType w:val="hybridMultilevel"/>
    <w:tmpl w:val="0AFA9ABA"/>
    <w:lvl w:ilvl="0" w:tplc="18B09848">
      <w:start w:val="1"/>
      <w:numFmt w:val="lowerLetter"/>
      <w:pStyle w:val="Levela"/>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3460759"/>
    <w:multiLevelType w:val="hybridMultilevel"/>
    <w:tmpl w:val="49640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9F0AD4"/>
    <w:multiLevelType w:val="hybridMultilevel"/>
    <w:tmpl w:val="270A1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32A1F"/>
    <w:multiLevelType w:val="hybridMultilevel"/>
    <w:tmpl w:val="3DB4A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B214EE"/>
    <w:multiLevelType w:val="multilevel"/>
    <w:tmpl w:val="C6FAFD14"/>
    <w:styleLink w:val="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568"/>
        </w:tabs>
        <w:ind w:left="568" w:hanging="284"/>
      </w:pPr>
      <w:rPr>
        <w:rFonts w:ascii="Calibri" w:hAnsi="Calibri" w:hint="default"/>
      </w:rPr>
    </w:lvl>
    <w:lvl w:ilvl="2">
      <w:start w:val="1"/>
      <w:numFmt w:val="bullet"/>
      <w:lvlRestart w:val="0"/>
      <w:lvlText w:val=":"/>
      <w:lvlJc w:val="left"/>
      <w:pPr>
        <w:tabs>
          <w:tab w:val="num" w:pos="852"/>
        </w:tabs>
        <w:ind w:left="852" w:hanging="284"/>
      </w:pPr>
      <w:rPr>
        <w:rFonts w:ascii="Calibri" w:hAnsi="Calibri" w:hint="default"/>
      </w:rPr>
    </w:lvl>
    <w:lvl w:ilvl="3">
      <w:start w:val="1"/>
      <w:numFmt w:val="none"/>
      <w:lvlText w:val="%4"/>
      <w:lvlJc w:val="left"/>
      <w:pPr>
        <w:tabs>
          <w:tab w:val="num" w:pos="1136"/>
        </w:tabs>
        <w:ind w:left="1136" w:hanging="284"/>
      </w:pPr>
      <w:rPr>
        <w:rFonts w:ascii="Times New Roman" w:hAnsi="Times New Roman" w:hint="default"/>
      </w:rPr>
    </w:lvl>
    <w:lvl w:ilvl="4">
      <w:start w:val="1"/>
      <w:numFmt w:val="none"/>
      <w:lvlText w:val=""/>
      <w:lvlJc w:val="left"/>
      <w:pPr>
        <w:tabs>
          <w:tab w:val="num" w:pos="1420"/>
        </w:tabs>
        <w:ind w:left="1420" w:hanging="284"/>
      </w:pPr>
      <w:rPr>
        <w:rFonts w:hint="default"/>
      </w:rPr>
    </w:lvl>
    <w:lvl w:ilvl="5">
      <w:start w:val="1"/>
      <w:numFmt w:val="none"/>
      <w:lvlText w:val=""/>
      <w:lvlJc w:val="left"/>
      <w:pPr>
        <w:tabs>
          <w:tab w:val="num" w:pos="1701"/>
        </w:tabs>
        <w:ind w:left="1701" w:hanging="281"/>
      </w:pPr>
      <w:rPr>
        <w:rFonts w:hint="default"/>
      </w:rPr>
    </w:lvl>
    <w:lvl w:ilvl="6">
      <w:start w:val="1"/>
      <w:numFmt w:val="none"/>
      <w:lvlText w:val=""/>
      <w:lvlJc w:val="left"/>
      <w:pPr>
        <w:tabs>
          <w:tab w:val="num" w:pos="1985"/>
        </w:tabs>
        <w:ind w:left="1985" w:hanging="281"/>
      </w:pPr>
      <w:rPr>
        <w:rFonts w:hint="default"/>
      </w:rPr>
    </w:lvl>
    <w:lvl w:ilvl="7">
      <w:start w:val="1"/>
      <w:numFmt w:val="none"/>
      <w:lvlText w:val=""/>
      <w:lvlJc w:val="left"/>
      <w:pPr>
        <w:tabs>
          <w:tab w:val="num" w:pos="2268"/>
        </w:tabs>
        <w:ind w:left="2268" w:hanging="280"/>
      </w:pPr>
      <w:rPr>
        <w:rFonts w:hint="default"/>
      </w:rPr>
    </w:lvl>
    <w:lvl w:ilvl="8">
      <w:start w:val="1"/>
      <w:numFmt w:val="none"/>
      <w:lvlRestart w:val="0"/>
      <w:lvlText w:val=""/>
      <w:lvlJc w:val="left"/>
      <w:pPr>
        <w:tabs>
          <w:tab w:val="num" w:pos="2552"/>
        </w:tabs>
        <w:ind w:left="2552" w:hanging="280"/>
      </w:pPr>
      <w:rPr>
        <w:rFonts w:hint="default"/>
      </w:rPr>
    </w:lvl>
  </w:abstractNum>
  <w:abstractNum w:abstractNumId="6" w15:restartNumberingAfterBreak="0">
    <w:nsid w:val="19BD12E7"/>
    <w:multiLevelType w:val="multilevel"/>
    <w:tmpl w:val="95D2349A"/>
    <w:lvl w:ilvl="0">
      <w:start w:val="1"/>
      <w:numFmt w:val="bullet"/>
      <w:pStyle w:val="ListBullet"/>
      <w:lvlText w:val=""/>
      <w:lvlJc w:val="left"/>
      <w:pPr>
        <w:ind w:left="360" w:hanging="360"/>
      </w:pPr>
      <w:rPr>
        <w:rFonts w:ascii="Wingdings" w:hAnsi="Wingdings" w:hint="default"/>
        <w:color w:val="auto"/>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2AB2502"/>
    <w:multiLevelType w:val="hybridMultilevel"/>
    <w:tmpl w:val="F07C8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642D1"/>
    <w:multiLevelType w:val="hybridMultilevel"/>
    <w:tmpl w:val="A1920C9A"/>
    <w:lvl w:ilvl="0" w:tplc="6C3A8340">
      <w:start w:val="1"/>
      <w:numFmt w:val="decimal"/>
      <w:pStyle w:val="Head1"/>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F46F46"/>
    <w:multiLevelType w:val="multilevel"/>
    <w:tmpl w:val="3B208C44"/>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863140E"/>
    <w:multiLevelType w:val="multilevel"/>
    <w:tmpl w:val="A64AE402"/>
    <w:styleLink w:val="Heading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Restart w:val="0"/>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4214C9"/>
    <w:multiLevelType w:val="multilevel"/>
    <w:tmpl w:val="CB4E17A4"/>
    <w:styleLink w:val="Bullets"/>
    <w:lvl w:ilvl="0">
      <w:start w:val="1"/>
      <w:numFmt w:val="bullet"/>
      <w:pStyle w:val="Bullets1stindent"/>
      <w:lvlText w:val=""/>
      <w:lvlJc w:val="left"/>
      <w:pPr>
        <w:ind w:left="360" w:hanging="360"/>
      </w:pPr>
      <w:rPr>
        <w:rFonts w:ascii="Symbol" w:hAnsi="Symbol" w:hint="default"/>
        <w:color w:val="14708E"/>
      </w:rPr>
    </w:lvl>
    <w:lvl w:ilvl="1">
      <w:start w:val="1"/>
      <w:numFmt w:val="bullet"/>
      <w:pStyle w:val="Bullets2ndindent"/>
      <w:lvlText w:val=""/>
      <w:lvlJc w:val="left"/>
      <w:pPr>
        <w:tabs>
          <w:tab w:val="num" w:pos="567"/>
        </w:tabs>
        <w:ind w:left="567" w:hanging="283"/>
      </w:pPr>
      <w:rPr>
        <w:rFonts w:ascii="Symbol" w:hAnsi="Symbol" w:hint="default"/>
        <w:color w:val="14708E"/>
      </w:rPr>
    </w:lvl>
    <w:lvl w:ilvl="2">
      <w:start w:val="1"/>
      <w:numFmt w:val="bullet"/>
      <w:pStyle w:val="Bulletslast1stindent"/>
      <w:lvlText w:val="•"/>
      <w:lvlJc w:val="left"/>
      <w:pPr>
        <w:tabs>
          <w:tab w:val="num" w:pos="284"/>
        </w:tabs>
        <w:ind w:left="284" w:hanging="284"/>
      </w:pPr>
      <w:rPr>
        <w:rFonts w:ascii="Cambria" w:hAnsi="Cambria" w:hint="default"/>
        <w:color w:val="5BC6E8"/>
      </w:rPr>
    </w:lvl>
    <w:lvl w:ilvl="3">
      <w:start w:val="1"/>
      <w:numFmt w:val="bullet"/>
      <w:pStyle w:val="Bulletslast2ndindent"/>
      <w:lvlText w:val="•"/>
      <w:lvlJc w:val="left"/>
      <w:pPr>
        <w:tabs>
          <w:tab w:val="num" w:pos="567"/>
        </w:tabs>
        <w:ind w:left="567" w:hanging="283"/>
      </w:pPr>
      <w:rPr>
        <w:rFonts w:ascii="Cambria" w:hAnsi="Cambria" w:hint="default"/>
        <w:color w:val="5BC6E8"/>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Symbol" w:hAnsi="Symbol" w:hint="default"/>
        <w:color w:val="14708E"/>
        <w:sz w:val="16"/>
      </w:rPr>
    </w:lvl>
    <w:lvl w:ilvl="6">
      <w:start w:val="1"/>
      <w:numFmt w:val="bullet"/>
      <w:pStyle w:val="Tablebullets2ndindent"/>
      <w:lvlText w:val=""/>
      <w:lvlJc w:val="left"/>
      <w:pPr>
        <w:tabs>
          <w:tab w:val="num" w:pos="437"/>
        </w:tabs>
        <w:ind w:left="437" w:hanging="171"/>
      </w:pPr>
      <w:rPr>
        <w:rFonts w:ascii="Symbol" w:hAnsi="Symbol" w:hint="default"/>
        <w:color w:val="14708E"/>
        <w:sz w:val="16"/>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2B9B159F"/>
    <w:multiLevelType w:val="multilevel"/>
    <w:tmpl w:val="1F38FDB4"/>
    <w:styleLink w:val="HeadingsList"/>
    <w:lvl w:ilvl="0">
      <w:start w:val="1"/>
      <w:numFmt w:val="decimal"/>
      <w:lvlText w:val="%1."/>
      <w:lvlJc w:val="left"/>
      <w:pPr>
        <w:ind w:left="567" w:hanging="567"/>
      </w:pPr>
      <w:rPr>
        <w:rFonts w:hint="default"/>
      </w:rPr>
    </w:lvl>
    <w:lvl w:ilvl="1">
      <w:start w:val="1"/>
      <w:numFmt w:val="decimal"/>
      <w:lvlText w:val="%1.%2"/>
      <w:lvlJc w:val="left"/>
      <w:pPr>
        <w:ind w:left="1702"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2DDB7550"/>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22168"/>
    <w:multiLevelType w:val="hybridMultilevel"/>
    <w:tmpl w:val="C7D267E2"/>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654" w:hanging="360"/>
      </w:pPr>
      <w:rPr>
        <w:rFonts w:ascii="Symbol" w:hAnsi="Symbol" w:hint="default"/>
      </w:rPr>
    </w:lvl>
    <w:lvl w:ilvl="2" w:tplc="0C090003">
      <w:start w:val="1"/>
      <w:numFmt w:val="bullet"/>
      <w:lvlText w:val="o"/>
      <w:lvlJc w:val="left"/>
      <w:pPr>
        <w:ind w:left="1374" w:hanging="360"/>
      </w:pPr>
      <w:rPr>
        <w:rFonts w:ascii="Courier New" w:hAnsi="Courier New" w:cs="Courier New" w:hint="default"/>
      </w:rPr>
    </w:lvl>
    <w:lvl w:ilvl="3" w:tplc="0C090001">
      <w:start w:val="1"/>
      <w:numFmt w:val="bullet"/>
      <w:lvlText w:val=""/>
      <w:lvlJc w:val="left"/>
      <w:pPr>
        <w:ind w:left="2094" w:hanging="360"/>
      </w:pPr>
      <w:rPr>
        <w:rFonts w:ascii="Symbol" w:hAnsi="Symbol" w:hint="default"/>
      </w:rPr>
    </w:lvl>
    <w:lvl w:ilvl="4" w:tplc="0C090003" w:tentative="1">
      <w:start w:val="1"/>
      <w:numFmt w:val="bullet"/>
      <w:lvlText w:val="o"/>
      <w:lvlJc w:val="left"/>
      <w:pPr>
        <w:ind w:left="2814" w:hanging="360"/>
      </w:pPr>
      <w:rPr>
        <w:rFonts w:ascii="Courier New" w:hAnsi="Courier New" w:cs="Courier New" w:hint="default"/>
      </w:rPr>
    </w:lvl>
    <w:lvl w:ilvl="5" w:tplc="0C090005" w:tentative="1">
      <w:start w:val="1"/>
      <w:numFmt w:val="bullet"/>
      <w:lvlText w:val=""/>
      <w:lvlJc w:val="left"/>
      <w:pPr>
        <w:ind w:left="3534" w:hanging="360"/>
      </w:pPr>
      <w:rPr>
        <w:rFonts w:ascii="Wingdings" w:hAnsi="Wingdings" w:hint="default"/>
      </w:rPr>
    </w:lvl>
    <w:lvl w:ilvl="6" w:tplc="0C090001" w:tentative="1">
      <w:start w:val="1"/>
      <w:numFmt w:val="bullet"/>
      <w:lvlText w:val=""/>
      <w:lvlJc w:val="left"/>
      <w:pPr>
        <w:ind w:left="4254" w:hanging="360"/>
      </w:pPr>
      <w:rPr>
        <w:rFonts w:ascii="Symbol" w:hAnsi="Symbol" w:hint="default"/>
      </w:rPr>
    </w:lvl>
    <w:lvl w:ilvl="7" w:tplc="0C090003" w:tentative="1">
      <w:start w:val="1"/>
      <w:numFmt w:val="bullet"/>
      <w:lvlText w:val="o"/>
      <w:lvlJc w:val="left"/>
      <w:pPr>
        <w:ind w:left="4974" w:hanging="360"/>
      </w:pPr>
      <w:rPr>
        <w:rFonts w:ascii="Courier New" w:hAnsi="Courier New" w:cs="Courier New" w:hint="default"/>
      </w:rPr>
    </w:lvl>
    <w:lvl w:ilvl="8" w:tplc="0C090005" w:tentative="1">
      <w:start w:val="1"/>
      <w:numFmt w:val="bullet"/>
      <w:lvlText w:val=""/>
      <w:lvlJc w:val="left"/>
      <w:pPr>
        <w:ind w:left="5694" w:hanging="360"/>
      </w:pPr>
      <w:rPr>
        <w:rFonts w:ascii="Wingdings" w:hAnsi="Wingdings" w:hint="default"/>
      </w:rPr>
    </w:lvl>
  </w:abstractNum>
  <w:abstractNum w:abstractNumId="15"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A5F1E62"/>
    <w:multiLevelType w:val="hybridMultilevel"/>
    <w:tmpl w:val="5D9C8D4A"/>
    <w:lvl w:ilvl="0" w:tplc="E6CE1C5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BB83A56"/>
    <w:multiLevelType w:val="hybridMultilevel"/>
    <w:tmpl w:val="4D2C2986"/>
    <w:lvl w:ilvl="0" w:tplc="88721718">
      <w:start w:val="1"/>
      <w:numFmt w:val="bullet"/>
      <w:lvlText w:val=""/>
      <w:lvlJc w:val="left"/>
      <w:pPr>
        <w:tabs>
          <w:tab w:val="num" w:pos="-285"/>
        </w:tabs>
        <w:ind w:left="-285" w:hanging="567"/>
      </w:pPr>
      <w:rPr>
        <w:rFonts w:ascii="Symbol" w:hAnsi="Symbol" w:hint="default"/>
      </w:rPr>
    </w:lvl>
    <w:lvl w:ilvl="1" w:tplc="0C090003">
      <w:start w:val="1"/>
      <w:numFmt w:val="bullet"/>
      <w:lvlText w:val="o"/>
      <w:lvlJc w:val="left"/>
      <w:pPr>
        <w:tabs>
          <w:tab w:val="num" w:pos="588"/>
        </w:tabs>
        <w:ind w:left="588" w:hanging="360"/>
      </w:pPr>
      <w:rPr>
        <w:rFonts w:ascii="Courier New" w:hAnsi="Courier New" w:cs="Courier New" w:hint="default"/>
      </w:rPr>
    </w:lvl>
    <w:lvl w:ilvl="2" w:tplc="0C090005" w:tentative="1">
      <w:start w:val="1"/>
      <w:numFmt w:val="bullet"/>
      <w:lvlText w:val=""/>
      <w:lvlJc w:val="left"/>
      <w:pPr>
        <w:tabs>
          <w:tab w:val="num" w:pos="1308"/>
        </w:tabs>
        <w:ind w:left="1308" w:hanging="360"/>
      </w:pPr>
      <w:rPr>
        <w:rFonts w:ascii="Wingdings" w:hAnsi="Wingdings" w:hint="default"/>
      </w:rPr>
    </w:lvl>
    <w:lvl w:ilvl="3" w:tplc="0C090001" w:tentative="1">
      <w:start w:val="1"/>
      <w:numFmt w:val="bullet"/>
      <w:lvlText w:val=""/>
      <w:lvlJc w:val="left"/>
      <w:pPr>
        <w:tabs>
          <w:tab w:val="num" w:pos="2028"/>
        </w:tabs>
        <w:ind w:left="2028" w:hanging="360"/>
      </w:pPr>
      <w:rPr>
        <w:rFonts w:ascii="Symbol" w:hAnsi="Symbol" w:hint="default"/>
      </w:rPr>
    </w:lvl>
    <w:lvl w:ilvl="4" w:tplc="0C090003" w:tentative="1">
      <w:start w:val="1"/>
      <w:numFmt w:val="bullet"/>
      <w:lvlText w:val="o"/>
      <w:lvlJc w:val="left"/>
      <w:pPr>
        <w:tabs>
          <w:tab w:val="num" w:pos="2748"/>
        </w:tabs>
        <w:ind w:left="2748" w:hanging="360"/>
      </w:pPr>
      <w:rPr>
        <w:rFonts w:ascii="Courier New" w:hAnsi="Courier New" w:cs="Courier New" w:hint="default"/>
      </w:rPr>
    </w:lvl>
    <w:lvl w:ilvl="5" w:tplc="0C090005" w:tentative="1">
      <w:start w:val="1"/>
      <w:numFmt w:val="bullet"/>
      <w:lvlText w:val=""/>
      <w:lvlJc w:val="left"/>
      <w:pPr>
        <w:tabs>
          <w:tab w:val="num" w:pos="3468"/>
        </w:tabs>
        <w:ind w:left="3468" w:hanging="360"/>
      </w:pPr>
      <w:rPr>
        <w:rFonts w:ascii="Wingdings" w:hAnsi="Wingdings" w:hint="default"/>
      </w:rPr>
    </w:lvl>
    <w:lvl w:ilvl="6" w:tplc="0C090001" w:tentative="1">
      <w:start w:val="1"/>
      <w:numFmt w:val="bullet"/>
      <w:lvlText w:val=""/>
      <w:lvlJc w:val="left"/>
      <w:pPr>
        <w:tabs>
          <w:tab w:val="num" w:pos="4188"/>
        </w:tabs>
        <w:ind w:left="4188" w:hanging="360"/>
      </w:pPr>
      <w:rPr>
        <w:rFonts w:ascii="Symbol" w:hAnsi="Symbol" w:hint="default"/>
      </w:rPr>
    </w:lvl>
    <w:lvl w:ilvl="7" w:tplc="0C090003" w:tentative="1">
      <w:start w:val="1"/>
      <w:numFmt w:val="bullet"/>
      <w:lvlText w:val="o"/>
      <w:lvlJc w:val="left"/>
      <w:pPr>
        <w:tabs>
          <w:tab w:val="num" w:pos="4908"/>
        </w:tabs>
        <w:ind w:left="4908" w:hanging="360"/>
      </w:pPr>
      <w:rPr>
        <w:rFonts w:ascii="Courier New" w:hAnsi="Courier New" w:cs="Courier New" w:hint="default"/>
      </w:rPr>
    </w:lvl>
    <w:lvl w:ilvl="8" w:tplc="0C090005" w:tentative="1">
      <w:start w:val="1"/>
      <w:numFmt w:val="bullet"/>
      <w:lvlText w:val=""/>
      <w:lvlJc w:val="left"/>
      <w:pPr>
        <w:tabs>
          <w:tab w:val="num" w:pos="5628"/>
        </w:tabs>
        <w:ind w:left="5628" w:hanging="360"/>
      </w:pPr>
      <w:rPr>
        <w:rFonts w:ascii="Wingdings" w:hAnsi="Wingdings" w:hint="default"/>
      </w:rPr>
    </w:lvl>
  </w:abstractNum>
  <w:abstractNum w:abstractNumId="18" w15:restartNumberingAfterBreak="0">
    <w:nsid w:val="42503D6E"/>
    <w:multiLevelType w:val="hybridMultilevel"/>
    <w:tmpl w:val="F320ABB8"/>
    <w:lvl w:ilvl="0" w:tplc="CB6214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9B6A35"/>
    <w:multiLevelType w:val="multilevel"/>
    <w:tmpl w:val="E0629E6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rPr>
        <w:b w:val="0"/>
        <w:bCs w:val="0"/>
      </w:rPr>
    </w:lvl>
    <w:lvl w:ilvl="3">
      <w:start w:val="1"/>
      <w:numFmt w:val="lowerRoman"/>
      <w:pStyle w:val="MELegal4"/>
      <w:lvlText w:val="(%4)"/>
      <w:lvlJc w:val="left"/>
      <w:pPr>
        <w:tabs>
          <w:tab w:val="num" w:pos="204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02"/>
        </w:tabs>
        <w:ind w:left="3402" w:hanging="68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0" w15:restartNumberingAfterBreak="0">
    <w:nsid w:val="4AAB3BB1"/>
    <w:multiLevelType w:val="hybridMultilevel"/>
    <w:tmpl w:val="7220D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F1523F7"/>
    <w:multiLevelType w:val="multilevel"/>
    <w:tmpl w:val="6BC6F2D0"/>
    <w:styleLink w:val="Number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737"/>
        </w:tabs>
        <w:ind w:left="737" w:hanging="737"/>
      </w:pPr>
      <w:rPr>
        <w:rFonts w:hint="default"/>
      </w:rPr>
    </w:lvl>
    <w:lvl w:ilvl="3">
      <w:start w:val="1"/>
      <w:numFmt w:val="decimal"/>
      <w:lvlRestart w:val="1"/>
      <w:pStyle w:val="Numberedpara1stindent"/>
      <w:lvlText w:val="%1.%4"/>
      <w:lvlJc w:val="left"/>
      <w:pPr>
        <w:tabs>
          <w:tab w:val="num" w:pos="567"/>
        </w:tabs>
        <w:ind w:left="567" w:hanging="567"/>
      </w:pPr>
      <w:rPr>
        <w:rFonts w:hint="default"/>
        <w:b/>
        <w:i w:val="0"/>
      </w:rPr>
    </w:lvl>
    <w:lvl w:ilvl="4">
      <w:start w:val="1"/>
      <w:numFmt w:val="lowerLetter"/>
      <w:pStyle w:val="Numberedpara2ndindent"/>
      <w:lvlText w:val="%5."/>
      <w:lvlJc w:val="left"/>
      <w:pPr>
        <w:tabs>
          <w:tab w:val="num" w:pos="851"/>
        </w:tabs>
        <w:ind w:left="851" w:hanging="284"/>
      </w:pPr>
      <w:rPr>
        <w:rFonts w:hint="default"/>
      </w:rPr>
    </w:lvl>
    <w:lvl w:ilvl="5">
      <w:start w:val="1"/>
      <w:numFmt w:val="lowerRoman"/>
      <w:pStyle w:val="Numberedpara3rdindent"/>
      <w:lvlText w:val="%6."/>
      <w:lvlJc w:val="left"/>
      <w:pPr>
        <w:tabs>
          <w:tab w:val="num" w:pos="1134"/>
        </w:tabs>
        <w:ind w:left="1134" w:hanging="283"/>
      </w:pPr>
      <w:rPr>
        <w:rFonts w:hint="default"/>
      </w:rPr>
    </w:lvl>
    <w:lvl w:ilvl="6">
      <w:start w:val="1"/>
      <w:numFmt w:val="decimal"/>
      <w:lvlRestart w:val="0"/>
      <w:pStyle w:val="Figuretitle"/>
      <w:suff w:val="space"/>
      <w:lvlText w:val="Figure %7:"/>
      <w:lvlJc w:val="left"/>
      <w:pPr>
        <w:ind w:left="0" w:firstLine="0"/>
      </w:pPr>
      <w:rPr>
        <w:rFonts w:hint="default"/>
      </w:rPr>
    </w:lvl>
    <w:lvl w:ilvl="7">
      <w:start w:val="1"/>
      <w:numFmt w:val="decimal"/>
      <w:lvlRestart w:val="0"/>
      <w:pStyle w:val="Notetitle"/>
      <w:suff w:val="space"/>
      <w:lvlText w:val="Note %8:"/>
      <w:lvlJc w:val="left"/>
      <w:pPr>
        <w:ind w:left="0" w:firstLine="0"/>
      </w:pPr>
      <w:rPr>
        <w:rFonts w:hint="default"/>
      </w:rPr>
    </w:lvl>
    <w:lvl w:ilvl="8">
      <w:start w:val="1"/>
      <w:numFmt w:val="decimal"/>
      <w:lvlRestart w:val="1"/>
      <w:pStyle w:val="Tabletitle"/>
      <w:suff w:val="space"/>
      <w:lvlText w:val="Table %1.%9:"/>
      <w:lvlJc w:val="left"/>
      <w:pPr>
        <w:ind w:left="0" w:firstLine="0"/>
      </w:pPr>
      <w:rPr>
        <w:rFonts w:hint="default"/>
      </w:rPr>
    </w:lvl>
  </w:abstractNum>
  <w:abstractNum w:abstractNumId="22" w15:restartNumberingAfterBreak="0">
    <w:nsid w:val="4F164480"/>
    <w:multiLevelType w:val="hybridMultilevel"/>
    <w:tmpl w:val="06B47378"/>
    <w:lvl w:ilvl="0" w:tplc="1F847220">
      <w:start w:val="1"/>
      <w:numFmt w:val="bullet"/>
      <w:pStyle w:val="Chrissie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FA22EAB"/>
    <w:multiLevelType w:val="hybridMultilevel"/>
    <w:tmpl w:val="FFE8E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269600E"/>
    <w:multiLevelType w:val="hybridMultilevel"/>
    <w:tmpl w:val="72EEB17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3F11459"/>
    <w:multiLevelType w:val="hybridMultilevel"/>
    <w:tmpl w:val="8BBAF510"/>
    <w:lvl w:ilvl="0" w:tplc="2BDCFC7C">
      <w:start w:val="1"/>
      <w:numFmt w:val="bullet"/>
      <w:pStyle w:val="BodyBullets-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E402E2"/>
    <w:multiLevelType w:val="multilevel"/>
    <w:tmpl w:val="2D86CE9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852" w:hanging="576"/>
      </w:pPr>
      <w:rPr>
        <w:rFonts w:hint="default"/>
        <w:sz w:val="34"/>
        <w:szCs w:val="34"/>
      </w:rPr>
    </w:lvl>
    <w:lvl w:ilvl="2">
      <w:start w:val="1"/>
      <w:numFmt w:val="decimal"/>
      <w:pStyle w:val="Heading3"/>
      <w:lvlText w:val="%1.%2.%3"/>
      <w:lvlJc w:val="left"/>
      <w:pPr>
        <w:ind w:left="862"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56F07AD6"/>
    <w:multiLevelType w:val="hybridMultilevel"/>
    <w:tmpl w:val="521A4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B92EC3"/>
    <w:multiLevelType w:val="hybridMultilevel"/>
    <w:tmpl w:val="48126B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0" w15:restartNumberingAfterBreak="0">
    <w:nsid w:val="5A8146D4"/>
    <w:multiLevelType w:val="hybridMultilevel"/>
    <w:tmpl w:val="0A4A1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C15EE"/>
    <w:multiLevelType w:val="hybridMultilevel"/>
    <w:tmpl w:val="0F50C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FC0214E"/>
    <w:multiLevelType w:val="hybridMultilevel"/>
    <w:tmpl w:val="B8AAC6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235C22"/>
    <w:multiLevelType w:val="hybridMultilevel"/>
    <w:tmpl w:val="91B42E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DE4C15"/>
    <w:multiLevelType w:val="multilevel"/>
    <w:tmpl w:val="0172B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057438"/>
    <w:multiLevelType w:val="multilevel"/>
    <w:tmpl w:val="01740CA0"/>
    <w:lvl w:ilvl="0">
      <w:start w:val="1"/>
      <w:numFmt w:val="decimal"/>
      <w:pStyle w:val="ListNumber"/>
      <w:lvlText w:val="%1."/>
      <w:lvlJc w:val="left"/>
      <w:pPr>
        <w:ind w:left="714" w:hanging="357"/>
      </w:pPr>
      <w:rPr>
        <w:rFonts w:hint="default"/>
        <w:color w:val="auto"/>
      </w:rPr>
    </w:lvl>
    <w:lvl w:ilvl="1">
      <w:start w:val="1"/>
      <w:numFmt w:val="lowerLetter"/>
      <w:lvlText w:val="%2"/>
      <w:lvlJc w:val="left"/>
      <w:pPr>
        <w:ind w:left="1077" w:hanging="363"/>
      </w:pPr>
      <w:rPr>
        <w:rFonts w:hint="default"/>
      </w:rPr>
    </w:lvl>
    <w:lvl w:ilvl="2">
      <w:start w:val="1"/>
      <w:numFmt w:val="lowerRoman"/>
      <w:lvlText w:val="%3"/>
      <w:lvlJc w:val="left"/>
      <w:pPr>
        <w:ind w:left="1437" w:hanging="360"/>
      </w:pPr>
      <w:rPr>
        <w:rFonts w:hint="default"/>
      </w:rPr>
    </w:lvl>
    <w:lvl w:ilvl="3">
      <w:start w:val="1"/>
      <w:numFmt w:val="decimal"/>
      <w:lvlText w:val="%1.%2.%3.%4"/>
      <w:lvlJc w:val="left"/>
      <w:pPr>
        <w:ind w:left="1797" w:hanging="306"/>
      </w:pPr>
      <w:rPr>
        <w:rFonts w:hint="default"/>
        <w:b w:val="0"/>
        <w:i w:val="0"/>
        <w:color w:val="auto"/>
        <w:sz w:val="20"/>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37" w15:restartNumberingAfterBreak="0">
    <w:nsid w:val="6B1420C2"/>
    <w:multiLevelType w:val="multilevel"/>
    <w:tmpl w:val="71A8BBE0"/>
    <w:lvl w:ilvl="0">
      <w:start w:val="1"/>
      <w:numFmt w:val="upperLetter"/>
      <w:lvlText w:val="Attachment %1"/>
      <w:lvlJc w:val="left"/>
      <w:pPr>
        <w:ind w:left="0" w:firstLine="0"/>
      </w:pPr>
      <w:rPr>
        <w:b w:val="0"/>
        <w:i w:val="0"/>
        <w:sz w:val="48"/>
        <w:szCs w:val="48"/>
      </w:rPr>
    </w:lvl>
    <w:lvl w:ilvl="1">
      <w:start w:val="1"/>
      <w:numFmt w:val="decimal"/>
      <w:pStyle w:val="ScheduleL2"/>
      <w:lvlText w:val="%2."/>
      <w:lvlJc w:val="left"/>
      <w:pPr>
        <w:tabs>
          <w:tab w:val="num" w:pos="680"/>
        </w:tabs>
        <w:ind w:left="680" w:hanging="680"/>
      </w:pPr>
    </w:lvl>
    <w:lvl w:ilvl="2">
      <w:start w:val="1"/>
      <w:numFmt w:val="decimal"/>
      <w:pStyle w:val="ScheduleL3"/>
      <w:lvlText w:val="%2.%3"/>
      <w:lvlJc w:val="left"/>
      <w:pPr>
        <w:tabs>
          <w:tab w:val="num" w:pos="680"/>
        </w:tabs>
        <w:ind w:left="680" w:hanging="680"/>
      </w:pPr>
    </w:lvl>
    <w:lvl w:ilvl="3">
      <w:start w:val="1"/>
      <w:numFmt w:val="lowerLetter"/>
      <w:pStyle w:val="ScheduleL4"/>
      <w:lvlText w:val="(%4)"/>
      <w:lvlJc w:val="left"/>
      <w:pPr>
        <w:tabs>
          <w:tab w:val="num" w:pos="1361"/>
        </w:tabs>
        <w:ind w:left="1361" w:hanging="681"/>
      </w:pPr>
      <w:rPr>
        <w:rFonts w:ascii="Arial" w:hAnsi="Arial" w:cs="Arial" w:hint="default"/>
        <w:sz w:val="20"/>
        <w:szCs w:val="20"/>
      </w:rPr>
    </w:lvl>
    <w:lvl w:ilvl="4">
      <w:start w:val="1"/>
      <w:numFmt w:val="lowerRoman"/>
      <w:pStyle w:val="ScheduleL5"/>
      <w:lvlText w:val="(%5)"/>
      <w:lvlJc w:val="left"/>
      <w:pPr>
        <w:tabs>
          <w:tab w:val="num" w:pos="2041"/>
        </w:tabs>
        <w:ind w:left="2041" w:hanging="680"/>
      </w:pPr>
    </w:lvl>
    <w:lvl w:ilvl="5">
      <w:start w:val="1"/>
      <w:numFmt w:val="upperLetter"/>
      <w:pStyle w:val="ScheduleL6"/>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38" w15:restartNumberingAfterBreak="0">
    <w:nsid w:val="726A2B6F"/>
    <w:multiLevelType w:val="hybridMultilevel"/>
    <w:tmpl w:val="632E51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107305"/>
    <w:multiLevelType w:val="multilevel"/>
    <w:tmpl w:val="79262C7A"/>
    <w:styleLink w:val="BulletsList"/>
    <w:lvl w:ilvl="0">
      <w:start w:val="1"/>
      <w:numFmt w:val="bullet"/>
      <w:pStyle w:val="Bullet1"/>
      <w:lvlText w:val=""/>
      <w:lvlJc w:val="left"/>
      <w:pPr>
        <w:ind w:left="568" w:hanging="284"/>
      </w:pPr>
      <w:rPr>
        <w:rFonts w:ascii="Symbol" w:hAnsi="Symbol" w:hint="default"/>
      </w:rPr>
    </w:lvl>
    <w:lvl w:ilvl="1">
      <w:start w:val="1"/>
      <w:numFmt w:val="bullet"/>
      <w:pStyle w:val="Bullet2"/>
      <w:lvlText w:val="–"/>
      <w:lvlJc w:val="left"/>
      <w:pPr>
        <w:ind w:left="852" w:hanging="284"/>
      </w:pPr>
      <w:rPr>
        <w:rFonts w:ascii="Arial" w:hAnsi="Arial" w:hint="default"/>
      </w:rPr>
    </w:lvl>
    <w:lvl w:ilvl="2">
      <w:start w:val="1"/>
      <w:numFmt w:val="bullet"/>
      <w:pStyle w:val="Bullet3"/>
      <w:lvlText w:val="»"/>
      <w:lvlJc w:val="left"/>
      <w:pPr>
        <w:ind w:left="1136" w:hanging="284"/>
      </w:pPr>
      <w:rPr>
        <w:rFonts w:ascii="Arial" w:hAnsi="Arial" w:hint="default"/>
      </w:rPr>
    </w:lvl>
    <w:lvl w:ilvl="3">
      <w:start w:val="1"/>
      <w:numFmt w:val="decimal"/>
      <w:lvlText w:val="(%4)"/>
      <w:lvlJc w:val="left"/>
      <w:pPr>
        <w:ind w:left="1420" w:hanging="284"/>
      </w:pPr>
      <w:rPr>
        <w:rFonts w:hint="default"/>
      </w:rPr>
    </w:lvl>
    <w:lvl w:ilvl="4">
      <w:start w:val="1"/>
      <w:numFmt w:val="lowerLetter"/>
      <w:lvlText w:val="(%5)"/>
      <w:lvlJc w:val="left"/>
      <w:pPr>
        <w:ind w:left="1704" w:hanging="284"/>
      </w:pPr>
      <w:rPr>
        <w:rFonts w:hint="default"/>
      </w:rPr>
    </w:lvl>
    <w:lvl w:ilvl="5">
      <w:start w:val="1"/>
      <w:numFmt w:val="lowerRoman"/>
      <w:lvlText w:val="(%6)"/>
      <w:lvlJc w:val="left"/>
      <w:pPr>
        <w:ind w:left="1988" w:hanging="284"/>
      </w:pPr>
      <w:rPr>
        <w:rFonts w:hint="default"/>
      </w:rPr>
    </w:lvl>
    <w:lvl w:ilvl="6">
      <w:start w:val="1"/>
      <w:numFmt w:val="decimal"/>
      <w:lvlText w:val="%7."/>
      <w:lvlJc w:val="left"/>
      <w:pPr>
        <w:ind w:left="2272" w:hanging="284"/>
      </w:pPr>
      <w:rPr>
        <w:rFonts w:hint="default"/>
      </w:rPr>
    </w:lvl>
    <w:lvl w:ilvl="7">
      <w:start w:val="1"/>
      <w:numFmt w:val="lowerLetter"/>
      <w:lvlText w:val="%8."/>
      <w:lvlJc w:val="left"/>
      <w:pPr>
        <w:ind w:left="2556" w:hanging="284"/>
      </w:pPr>
      <w:rPr>
        <w:rFonts w:hint="default"/>
      </w:rPr>
    </w:lvl>
    <w:lvl w:ilvl="8">
      <w:start w:val="1"/>
      <w:numFmt w:val="lowerRoman"/>
      <w:lvlText w:val="%9."/>
      <w:lvlJc w:val="left"/>
      <w:pPr>
        <w:ind w:left="2840" w:hanging="284"/>
      </w:pPr>
      <w:rPr>
        <w:rFonts w:hint="default"/>
      </w:rPr>
    </w:lvl>
  </w:abstractNum>
  <w:abstractNum w:abstractNumId="40" w15:restartNumberingAfterBreak="0">
    <w:nsid w:val="77AD0A8C"/>
    <w:multiLevelType w:val="hybridMultilevel"/>
    <w:tmpl w:val="A9D8447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1" w15:restartNumberingAfterBreak="0">
    <w:nsid w:val="7D9636A2"/>
    <w:multiLevelType w:val="hybridMultilevel"/>
    <w:tmpl w:val="253264FA"/>
    <w:lvl w:ilvl="0" w:tplc="516AA074">
      <w:start w:val="1"/>
      <w:numFmt w:val="decimal"/>
      <w:pStyle w:val="Head2"/>
      <w:lvlText w:val="%1."/>
      <w:lvlJc w:val="left"/>
      <w:pPr>
        <w:ind w:left="720" w:hanging="360"/>
      </w:pPr>
    </w:lvl>
    <w:lvl w:ilvl="1" w:tplc="0C090019" w:tentative="1">
      <w:start w:val="1"/>
      <w:numFmt w:val="lowerLetter"/>
      <w:pStyle w:val="Head2"/>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9"/>
  </w:num>
  <w:num w:numId="2">
    <w:abstractNumId w:val="0"/>
  </w:num>
  <w:num w:numId="3">
    <w:abstractNumId w:val="29"/>
  </w:num>
  <w:num w:numId="4">
    <w:abstractNumId w:val="32"/>
  </w:num>
  <w:num w:numId="5">
    <w:abstractNumId w:val="5"/>
  </w:num>
  <w:num w:numId="6">
    <w:abstractNumId w:val="6"/>
  </w:num>
  <w:num w:numId="7">
    <w:abstractNumId w:val="10"/>
  </w:num>
  <w:num w:numId="8">
    <w:abstractNumId w:val="22"/>
  </w:num>
  <w:num w:numId="9">
    <w:abstractNumId w:val="36"/>
  </w:num>
  <w:num w:numId="10">
    <w:abstractNumId w:val="21"/>
    <w:lvlOverride w:ilvl="0">
      <w:lvl w:ilvl="0">
        <w:numFmt w:val="decimal"/>
        <w:lvlText w:val=""/>
        <w:lvlJc w:val="left"/>
      </w:lvl>
    </w:lvlOverride>
    <w:lvlOverride w:ilvl="1">
      <w:lvl w:ilvl="1">
        <w:start w:val="1"/>
        <w:numFmt w:val="decimal"/>
        <w:lvlText w:val="%1.%2"/>
        <w:lvlJc w:val="left"/>
        <w:pPr>
          <w:tabs>
            <w:tab w:val="num" w:pos="1134"/>
          </w:tabs>
          <w:ind w:left="1134" w:hanging="1134"/>
        </w:pPr>
        <w:rPr>
          <w:rFonts w:cs="Times New Roman"/>
          <w:b/>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num>
  <w:num w:numId="11">
    <w:abstractNumId w:val="11"/>
  </w:num>
  <w:num w:numId="12">
    <w:abstractNumId w:val="21"/>
  </w:num>
  <w:num w:numId="13">
    <w:abstractNumId w:val="12"/>
  </w:num>
  <w:num w:numId="14">
    <w:abstractNumId w:val="39"/>
  </w:num>
  <w:num w:numId="15">
    <w:abstractNumId w:val="17"/>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
  </w:num>
  <w:num w:numId="20">
    <w:abstractNumId w:val="31"/>
  </w:num>
  <w:num w:numId="21">
    <w:abstractNumId w:val="16"/>
  </w:num>
  <w:num w:numId="22">
    <w:abstractNumId w:val="34"/>
  </w:num>
  <w:num w:numId="23">
    <w:abstractNumId w:val="33"/>
  </w:num>
  <w:num w:numId="24">
    <w:abstractNumId w:val="38"/>
  </w:num>
  <w:num w:numId="25">
    <w:abstractNumId w:val="7"/>
  </w:num>
  <w:num w:numId="26">
    <w:abstractNumId w:val="8"/>
  </w:num>
  <w:num w:numId="27">
    <w:abstractNumId w:val="41"/>
  </w:num>
  <w:num w:numId="28">
    <w:abstractNumId w:val="35"/>
  </w:num>
  <w:num w:numId="29">
    <w:abstractNumId w:val="4"/>
  </w:num>
  <w:num w:numId="30">
    <w:abstractNumId w:val="15"/>
  </w:num>
  <w:num w:numId="31">
    <w:abstractNumId w:val="23"/>
  </w:num>
  <w:num w:numId="32">
    <w:abstractNumId w:val="25"/>
  </w:num>
  <w:num w:numId="33">
    <w:abstractNumId w:val="26"/>
  </w:num>
  <w:num w:numId="34">
    <w:abstractNumId w:val="18"/>
  </w:num>
  <w:num w:numId="35">
    <w:abstractNumId w:val="3"/>
  </w:num>
  <w:num w:numId="36">
    <w:abstractNumId w:val="40"/>
  </w:num>
  <w:num w:numId="37">
    <w:abstractNumId w:val="28"/>
  </w:num>
  <w:num w:numId="38">
    <w:abstractNumId w:val="20"/>
  </w:num>
  <w:num w:numId="39">
    <w:abstractNumId w:val="24"/>
  </w:num>
  <w:num w:numId="40">
    <w:abstractNumId w:val="2"/>
  </w:num>
  <w:num w:numId="41">
    <w:abstractNumId w:val="27"/>
  </w:num>
  <w:num w:numId="42">
    <w:abstractNumId w:val="30"/>
  </w:num>
  <w:num w:numId="43">
    <w:abstractNumId w:val="9"/>
  </w:num>
  <w:num w:numId="44">
    <w:abstractNumId w:val="13"/>
  </w:num>
  <w:num w:numId="45">
    <w:abstractNumId w:val="26"/>
  </w:num>
  <w:num w:numId="46">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96C"/>
    <w:rsid w:val="0000183C"/>
    <w:rsid w:val="00002630"/>
    <w:rsid w:val="000048E2"/>
    <w:rsid w:val="00004DB2"/>
    <w:rsid w:val="00005611"/>
    <w:rsid w:val="00005E51"/>
    <w:rsid w:val="00006537"/>
    <w:rsid w:val="000102C3"/>
    <w:rsid w:val="00010DD1"/>
    <w:rsid w:val="00010FC3"/>
    <w:rsid w:val="0001310D"/>
    <w:rsid w:val="00013B60"/>
    <w:rsid w:val="0001454E"/>
    <w:rsid w:val="00016E2E"/>
    <w:rsid w:val="000178D9"/>
    <w:rsid w:val="00023327"/>
    <w:rsid w:val="000257F8"/>
    <w:rsid w:val="00026D48"/>
    <w:rsid w:val="0002782F"/>
    <w:rsid w:val="00031305"/>
    <w:rsid w:val="0003279F"/>
    <w:rsid w:val="000328DE"/>
    <w:rsid w:val="00032A9A"/>
    <w:rsid w:val="00032AF6"/>
    <w:rsid w:val="000342BD"/>
    <w:rsid w:val="0003659C"/>
    <w:rsid w:val="00036BFE"/>
    <w:rsid w:val="0003700C"/>
    <w:rsid w:val="00041913"/>
    <w:rsid w:val="0004209F"/>
    <w:rsid w:val="00043B4D"/>
    <w:rsid w:val="00043EBE"/>
    <w:rsid w:val="00045933"/>
    <w:rsid w:val="0004691D"/>
    <w:rsid w:val="00050BAA"/>
    <w:rsid w:val="00050D65"/>
    <w:rsid w:val="000510F7"/>
    <w:rsid w:val="00051F0A"/>
    <w:rsid w:val="00052221"/>
    <w:rsid w:val="000539AF"/>
    <w:rsid w:val="00054E4D"/>
    <w:rsid w:val="000562A2"/>
    <w:rsid w:val="00056305"/>
    <w:rsid w:val="000565BD"/>
    <w:rsid w:val="00057D81"/>
    <w:rsid w:val="00060073"/>
    <w:rsid w:val="000603C7"/>
    <w:rsid w:val="00060AF5"/>
    <w:rsid w:val="00061A22"/>
    <w:rsid w:val="000623A2"/>
    <w:rsid w:val="000623A5"/>
    <w:rsid w:val="0006243E"/>
    <w:rsid w:val="00064124"/>
    <w:rsid w:val="00066946"/>
    <w:rsid w:val="000703DB"/>
    <w:rsid w:val="00070C19"/>
    <w:rsid w:val="00074446"/>
    <w:rsid w:val="00074B2F"/>
    <w:rsid w:val="00074D4A"/>
    <w:rsid w:val="0007599F"/>
    <w:rsid w:val="0007602A"/>
    <w:rsid w:val="000772F4"/>
    <w:rsid w:val="00077DAC"/>
    <w:rsid w:val="000829F4"/>
    <w:rsid w:val="00085E5A"/>
    <w:rsid w:val="000860F3"/>
    <w:rsid w:val="00087CBA"/>
    <w:rsid w:val="00093F51"/>
    <w:rsid w:val="00096839"/>
    <w:rsid w:val="000969FA"/>
    <w:rsid w:val="00097840"/>
    <w:rsid w:val="000A08CD"/>
    <w:rsid w:val="000A209E"/>
    <w:rsid w:val="000A271A"/>
    <w:rsid w:val="000A4B30"/>
    <w:rsid w:val="000A6A8B"/>
    <w:rsid w:val="000B0F49"/>
    <w:rsid w:val="000B2A9D"/>
    <w:rsid w:val="000B3859"/>
    <w:rsid w:val="000B521A"/>
    <w:rsid w:val="000B5FC2"/>
    <w:rsid w:val="000B6BA1"/>
    <w:rsid w:val="000B6F57"/>
    <w:rsid w:val="000B7724"/>
    <w:rsid w:val="000C1399"/>
    <w:rsid w:val="000C2A48"/>
    <w:rsid w:val="000C2A8F"/>
    <w:rsid w:val="000C5ED7"/>
    <w:rsid w:val="000C5F75"/>
    <w:rsid w:val="000C7357"/>
    <w:rsid w:val="000C74F1"/>
    <w:rsid w:val="000D26B2"/>
    <w:rsid w:val="000D4328"/>
    <w:rsid w:val="000D53EA"/>
    <w:rsid w:val="000D5589"/>
    <w:rsid w:val="000D5686"/>
    <w:rsid w:val="000D60B1"/>
    <w:rsid w:val="000E1AD1"/>
    <w:rsid w:val="000E3182"/>
    <w:rsid w:val="000E3772"/>
    <w:rsid w:val="000E6214"/>
    <w:rsid w:val="000E6ABA"/>
    <w:rsid w:val="000F00DD"/>
    <w:rsid w:val="000F1419"/>
    <w:rsid w:val="000F1BC5"/>
    <w:rsid w:val="000F3482"/>
    <w:rsid w:val="000F60F9"/>
    <w:rsid w:val="000F79F0"/>
    <w:rsid w:val="00100176"/>
    <w:rsid w:val="00100BAD"/>
    <w:rsid w:val="00101205"/>
    <w:rsid w:val="001029C7"/>
    <w:rsid w:val="00103A95"/>
    <w:rsid w:val="00104AF2"/>
    <w:rsid w:val="0010674F"/>
    <w:rsid w:val="00106F32"/>
    <w:rsid w:val="001101CB"/>
    <w:rsid w:val="0011101F"/>
    <w:rsid w:val="00113574"/>
    <w:rsid w:val="00115880"/>
    <w:rsid w:val="0011633A"/>
    <w:rsid w:val="00116E7E"/>
    <w:rsid w:val="001200E3"/>
    <w:rsid w:val="00120A25"/>
    <w:rsid w:val="001213AB"/>
    <w:rsid w:val="00121E0D"/>
    <w:rsid w:val="001231D9"/>
    <w:rsid w:val="001234B6"/>
    <w:rsid w:val="00123A7F"/>
    <w:rsid w:val="001274AF"/>
    <w:rsid w:val="00131145"/>
    <w:rsid w:val="00131C22"/>
    <w:rsid w:val="00133B67"/>
    <w:rsid w:val="00135427"/>
    <w:rsid w:val="00136530"/>
    <w:rsid w:val="00140374"/>
    <w:rsid w:val="001403F1"/>
    <w:rsid w:val="001408EF"/>
    <w:rsid w:val="00143C10"/>
    <w:rsid w:val="00145941"/>
    <w:rsid w:val="001459AB"/>
    <w:rsid w:val="001462CE"/>
    <w:rsid w:val="00150549"/>
    <w:rsid w:val="001512C5"/>
    <w:rsid w:val="00153B8F"/>
    <w:rsid w:val="00153E13"/>
    <w:rsid w:val="001541EA"/>
    <w:rsid w:val="001554FB"/>
    <w:rsid w:val="00155903"/>
    <w:rsid w:val="00155C8D"/>
    <w:rsid w:val="00157662"/>
    <w:rsid w:val="00157BE7"/>
    <w:rsid w:val="001612A4"/>
    <w:rsid w:val="001619F7"/>
    <w:rsid w:val="0016260C"/>
    <w:rsid w:val="00164EE7"/>
    <w:rsid w:val="00167412"/>
    <w:rsid w:val="00167E4E"/>
    <w:rsid w:val="0017002F"/>
    <w:rsid w:val="001711E0"/>
    <w:rsid w:val="00171F5A"/>
    <w:rsid w:val="0017309C"/>
    <w:rsid w:val="00173BFD"/>
    <w:rsid w:val="00173FA3"/>
    <w:rsid w:val="001777FE"/>
    <w:rsid w:val="00181073"/>
    <w:rsid w:val="00181172"/>
    <w:rsid w:val="00182594"/>
    <w:rsid w:val="001837BC"/>
    <w:rsid w:val="00184DCA"/>
    <w:rsid w:val="00185526"/>
    <w:rsid w:val="00186E42"/>
    <w:rsid w:val="00186F07"/>
    <w:rsid w:val="00186F45"/>
    <w:rsid w:val="00190651"/>
    <w:rsid w:val="00190BDC"/>
    <w:rsid w:val="001918FC"/>
    <w:rsid w:val="001928C1"/>
    <w:rsid w:val="00192CC4"/>
    <w:rsid w:val="00192E36"/>
    <w:rsid w:val="001930DB"/>
    <w:rsid w:val="001930FB"/>
    <w:rsid w:val="0019394C"/>
    <w:rsid w:val="0019420E"/>
    <w:rsid w:val="0019642D"/>
    <w:rsid w:val="00196F53"/>
    <w:rsid w:val="001A0777"/>
    <w:rsid w:val="001A1861"/>
    <w:rsid w:val="001A576C"/>
    <w:rsid w:val="001A6585"/>
    <w:rsid w:val="001A65DF"/>
    <w:rsid w:val="001B13D0"/>
    <w:rsid w:val="001B1C7A"/>
    <w:rsid w:val="001B1EE8"/>
    <w:rsid w:val="001B21F1"/>
    <w:rsid w:val="001B2AA5"/>
    <w:rsid w:val="001B4A86"/>
    <w:rsid w:val="001C022C"/>
    <w:rsid w:val="001C1B82"/>
    <w:rsid w:val="001C1D4B"/>
    <w:rsid w:val="001C3A7F"/>
    <w:rsid w:val="001C4088"/>
    <w:rsid w:val="001C5431"/>
    <w:rsid w:val="001C5BF9"/>
    <w:rsid w:val="001C6804"/>
    <w:rsid w:val="001C6E9E"/>
    <w:rsid w:val="001C71EB"/>
    <w:rsid w:val="001C7F17"/>
    <w:rsid w:val="001D0BB1"/>
    <w:rsid w:val="001D22E7"/>
    <w:rsid w:val="001D26F3"/>
    <w:rsid w:val="001D33EB"/>
    <w:rsid w:val="001D39D9"/>
    <w:rsid w:val="001D412E"/>
    <w:rsid w:val="001D5020"/>
    <w:rsid w:val="001D685D"/>
    <w:rsid w:val="001D6E37"/>
    <w:rsid w:val="001D7EB4"/>
    <w:rsid w:val="001E049F"/>
    <w:rsid w:val="001E1021"/>
    <w:rsid w:val="001E1DC0"/>
    <w:rsid w:val="001E272B"/>
    <w:rsid w:val="001E3767"/>
    <w:rsid w:val="001E50D1"/>
    <w:rsid w:val="001E5459"/>
    <w:rsid w:val="001E69F9"/>
    <w:rsid w:val="001E77B7"/>
    <w:rsid w:val="001F00BC"/>
    <w:rsid w:val="001F04B7"/>
    <w:rsid w:val="001F36DB"/>
    <w:rsid w:val="001F43CF"/>
    <w:rsid w:val="001F6504"/>
    <w:rsid w:val="001F6517"/>
    <w:rsid w:val="00200637"/>
    <w:rsid w:val="002007D9"/>
    <w:rsid w:val="0020122A"/>
    <w:rsid w:val="00202BE5"/>
    <w:rsid w:val="00203F99"/>
    <w:rsid w:val="00205977"/>
    <w:rsid w:val="002113B6"/>
    <w:rsid w:val="00211471"/>
    <w:rsid w:val="0021211D"/>
    <w:rsid w:val="00216EC4"/>
    <w:rsid w:val="00217806"/>
    <w:rsid w:val="00217DC4"/>
    <w:rsid w:val="002205CF"/>
    <w:rsid w:val="00223B5B"/>
    <w:rsid w:val="00224901"/>
    <w:rsid w:val="002270C3"/>
    <w:rsid w:val="00227548"/>
    <w:rsid w:val="002334DF"/>
    <w:rsid w:val="002342E2"/>
    <w:rsid w:val="00234B2E"/>
    <w:rsid w:val="00235012"/>
    <w:rsid w:val="00235AF7"/>
    <w:rsid w:val="00235C6C"/>
    <w:rsid w:val="00236CAD"/>
    <w:rsid w:val="00241945"/>
    <w:rsid w:val="0024300B"/>
    <w:rsid w:val="00243D70"/>
    <w:rsid w:val="00244E37"/>
    <w:rsid w:val="002458E1"/>
    <w:rsid w:val="00247F52"/>
    <w:rsid w:val="00250AEF"/>
    <w:rsid w:val="0025763F"/>
    <w:rsid w:val="00257697"/>
    <w:rsid w:val="002608A6"/>
    <w:rsid w:val="002619D1"/>
    <w:rsid w:val="00261BD5"/>
    <w:rsid w:val="00261EC5"/>
    <w:rsid w:val="00262B5B"/>
    <w:rsid w:val="00263AD9"/>
    <w:rsid w:val="002653E6"/>
    <w:rsid w:val="0026564C"/>
    <w:rsid w:val="002665EA"/>
    <w:rsid w:val="00266686"/>
    <w:rsid w:val="00267BC6"/>
    <w:rsid w:val="00271ADE"/>
    <w:rsid w:val="00272313"/>
    <w:rsid w:val="00273472"/>
    <w:rsid w:val="002758D6"/>
    <w:rsid w:val="00277287"/>
    <w:rsid w:val="00277F9C"/>
    <w:rsid w:val="002803F8"/>
    <w:rsid w:val="00282960"/>
    <w:rsid w:val="00284151"/>
    <w:rsid w:val="0028602A"/>
    <w:rsid w:val="0028668D"/>
    <w:rsid w:val="00290F96"/>
    <w:rsid w:val="00291A4A"/>
    <w:rsid w:val="002920E1"/>
    <w:rsid w:val="00292F8D"/>
    <w:rsid w:val="00297626"/>
    <w:rsid w:val="002A0C7B"/>
    <w:rsid w:val="002A1FC0"/>
    <w:rsid w:val="002A230C"/>
    <w:rsid w:val="002A4438"/>
    <w:rsid w:val="002A6FD6"/>
    <w:rsid w:val="002B017E"/>
    <w:rsid w:val="002B0C2A"/>
    <w:rsid w:val="002B28E7"/>
    <w:rsid w:val="002B2F5E"/>
    <w:rsid w:val="002B2FDB"/>
    <w:rsid w:val="002B38F1"/>
    <w:rsid w:val="002B46AD"/>
    <w:rsid w:val="002B602E"/>
    <w:rsid w:val="002B785E"/>
    <w:rsid w:val="002B7B3C"/>
    <w:rsid w:val="002B7ED9"/>
    <w:rsid w:val="002C085A"/>
    <w:rsid w:val="002C2526"/>
    <w:rsid w:val="002C76A9"/>
    <w:rsid w:val="002C7BB1"/>
    <w:rsid w:val="002D00FD"/>
    <w:rsid w:val="002D36EA"/>
    <w:rsid w:val="002D599B"/>
    <w:rsid w:val="002D5D80"/>
    <w:rsid w:val="002D7762"/>
    <w:rsid w:val="002D7831"/>
    <w:rsid w:val="002E01B3"/>
    <w:rsid w:val="002E03C9"/>
    <w:rsid w:val="002E10BE"/>
    <w:rsid w:val="002E2271"/>
    <w:rsid w:val="002E34E4"/>
    <w:rsid w:val="002F04C1"/>
    <w:rsid w:val="002F4423"/>
    <w:rsid w:val="002F4D2F"/>
    <w:rsid w:val="002F544F"/>
    <w:rsid w:val="002F5639"/>
    <w:rsid w:val="002F5738"/>
    <w:rsid w:val="002F6C41"/>
    <w:rsid w:val="00300D06"/>
    <w:rsid w:val="00301144"/>
    <w:rsid w:val="003024B5"/>
    <w:rsid w:val="00302DEE"/>
    <w:rsid w:val="00302FBB"/>
    <w:rsid w:val="003042AA"/>
    <w:rsid w:val="00305116"/>
    <w:rsid w:val="00305665"/>
    <w:rsid w:val="00306F1F"/>
    <w:rsid w:val="00312412"/>
    <w:rsid w:val="003125CA"/>
    <w:rsid w:val="003129ED"/>
    <w:rsid w:val="00312B9C"/>
    <w:rsid w:val="00314292"/>
    <w:rsid w:val="003142DD"/>
    <w:rsid w:val="003148B7"/>
    <w:rsid w:val="00315464"/>
    <w:rsid w:val="003157DD"/>
    <w:rsid w:val="003158C3"/>
    <w:rsid w:val="003165AC"/>
    <w:rsid w:val="00316682"/>
    <w:rsid w:val="00316B27"/>
    <w:rsid w:val="00316E96"/>
    <w:rsid w:val="00317293"/>
    <w:rsid w:val="003216A1"/>
    <w:rsid w:val="00323DE6"/>
    <w:rsid w:val="00325A29"/>
    <w:rsid w:val="003274CD"/>
    <w:rsid w:val="003305B0"/>
    <w:rsid w:val="0033079D"/>
    <w:rsid w:val="00330C51"/>
    <w:rsid w:val="0033239B"/>
    <w:rsid w:val="003357B0"/>
    <w:rsid w:val="00335D2B"/>
    <w:rsid w:val="00340616"/>
    <w:rsid w:val="00341A4F"/>
    <w:rsid w:val="003426F4"/>
    <w:rsid w:val="00342D4B"/>
    <w:rsid w:val="00343D20"/>
    <w:rsid w:val="00344F9F"/>
    <w:rsid w:val="00344FAC"/>
    <w:rsid w:val="00345382"/>
    <w:rsid w:val="003507EA"/>
    <w:rsid w:val="0035119D"/>
    <w:rsid w:val="00353B54"/>
    <w:rsid w:val="003545B0"/>
    <w:rsid w:val="003546EC"/>
    <w:rsid w:val="003564F7"/>
    <w:rsid w:val="0036362B"/>
    <w:rsid w:val="00364287"/>
    <w:rsid w:val="00365797"/>
    <w:rsid w:val="00366011"/>
    <w:rsid w:val="0036655A"/>
    <w:rsid w:val="0036664E"/>
    <w:rsid w:val="00367A67"/>
    <w:rsid w:val="003703E8"/>
    <w:rsid w:val="003717CD"/>
    <w:rsid w:val="0037265E"/>
    <w:rsid w:val="00372AA6"/>
    <w:rsid w:val="00372D2A"/>
    <w:rsid w:val="00374F74"/>
    <w:rsid w:val="0037513B"/>
    <w:rsid w:val="00375F50"/>
    <w:rsid w:val="00376A81"/>
    <w:rsid w:val="00376B7C"/>
    <w:rsid w:val="00376BA4"/>
    <w:rsid w:val="00382456"/>
    <w:rsid w:val="003826E5"/>
    <w:rsid w:val="00383FEB"/>
    <w:rsid w:val="00386168"/>
    <w:rsid w:val="003866F5"/>
    <w:rsid w:val="00393F71"/>
    <w:rsid w:val="003954C1"/>
    <w:rsid w:val="00395CF6"/>
    <w:rsid w:val="00395D4F"/>
    <w:rsid w:val="0039625D"/>
    <w:rsid w:val="00396FF1"/>
    <w:rsid w:val="00397B61"/>
    <w:rsid w:val="003A0849"/>
    <w:rsid w:val="003A0BC0"/>
    <w:rsid w:val="003A0D7C"/>
    <w:rsid w:val="003A1B46"/>
    <w:rsid w:val="003A1F50"/>
    <w:rsid w:val="003A2A56"/>
    <w:rsid w:val="003A3823"/>
    <w:rsid w:val="003A4403"/>
    <w:rsid w:val="003A53D3"/>
    <w:rsid w:val="003A6BAB"/>
    <w:rsid w:val="003A7138"/>
    <w:rsid w:val="003A71C5"/>
    <w:rsid w:val="003B047E"/>
    <w:rsid w:val="003B1562"/>
    <w:rsid w:val="003B1EA8"/>
    <w:rsid w:val="003B437A"/>
    <w:rsid w:val="003B43F6"/>
    <w:rsid w:val="003B4911"/>
    <w:rsid w:val="003B4C5C"/>
    <w:rsid w:val="003B4F12"/>
    <w:rsid w:val="003B5437"/>
    <w:rsid w:val="003B5540"/>
    <w:rsid w:val="003B709A"/>
    <w:rsid w:val="003C0D18"/>
    <w:rsid w:val="003C1687"/>
    <w:rsid w:val="003C371F"/>
    <w:rsid w:val="003C40EF"/>
    <w:rsid w:val="003C74C7"/>
    <w:rsid w:val="003D016A"/>
    <w:rsid w:val="003D0DB2"/>
    <w:rsid w:val="003D1346"/>
    <w:rsid w:val="003D1805"/>
    <w:rsid w:val="003D1A03"/>
    <w:rsid w:val="003D29CC"/>
    <w:rsid w:val="003D5744"/>
    <w:rsid w:val="003D620F"/>
    <w:rsid w:val="003D70D3"/>
    <w:rsid w:val="003E202F"/>
    <w:rsid w:val="003E3111"/>
    <w:rsid w:val="003E3C5E"/>
    <w:rsid w:val="003E4358"/>
    <w:rsid w:val="003E5947"/>
    <w:rsid w:val="003E5DB0"/>
    <w:rsid w:val="003E60A5"/>
    <w:rsid w:val="003F3468"/>
    <w:rsid w:val="003F3786"/>
    <w:rsid w:val="003F4716"/>
    <w:rsid w:val="003F5594"/>
    <w:rsid w:val="003F6452"/>
    <w:rsid w:val="003F6C38"/>
    <w:rsid w:val="003F7833"/>
    <w:rsid w:val="003F7E60"/>
    <w:rsid w:val="004003E2"/>
    <w:rsid w:val="00400B71"/>
    <w:rsid w:val="00400F21"/>
    <w:rsid w:val="0040225D"/>
    <w:rsid w:val="00403687"/>
    <w:rsid w:val="004040B3"/>
    <w:rsid w:val="004047BD"/>
    <w:rsid w:val="004049B0"/>
    <w:rsid w:val="00410CE6"/>
    <w:rsid w:val="0041258A"/>
    <w:rsid w:val="00412815"/>
    <w:rsid w:val="00414C25"/>
    <w:rsid w:val="004156A6"/>
    <w:rsid w:val="00417072"/>
    <w:rsid w:val="00420AEF"/>
    <w:rsid w:val="00421828"/>
    <w:rsid w:val="004218A6"/>
    <w:rsid w:val="0042281F"/>
    <w:rsid w:val="00423350"/>
    <w:rsid w:val="0042398C"/>
    <w:rsid w:val="00423A32"/>
    <w:rsid w:val="00423C8F"/>
    <w:rsid w:val="00423F1D"/>
    <w:rsid w:val="00423F31"/>
    <w:rsid w:val="004245EB"/>
    <w:rsid w:val="00426E36"/>
    <w:rsid w:val="00427131"/>
    <w:rsid w:val="00427C5D"/>
    <w:rsid w:val="004311AD"/>
    <w:rsid w:val="00431899"/>
    <w:rsid w:val="00434787"/>
    <w:rsid w:val="00434E60"/>
    <w:rsid w:val="0044009D"/>
    <w:rsid w:val="004408D0"/>
    <w:rsid w:val="004421B2"/>
    <w:rsid w:val="00442B5D"/>
    <w:rsid w:val="00443602"/>
    <w:rsid w:val="0044378A"/>
    <w:rsid w:val="004437F4"/>
    <w:rsid w:val="004444B7"/>
    <w:rsid w:val="00445206"/>
    <w:rsid w:val="00445418"/>
    <w:rsid w:val="004475DB"/>
    <w:rsid w:val="00451EF3"/>
    <w:rsid w:val="004542B4"/>
    <w:rsid w:val="0045446B"/>
    <w:rsid w:val="0045577C"/>
    <w:rsid w:val="00455A86"/>
    <w:rsid w:val="004563ED"/>
    <w:rsid w:val="00456515"/>
    <w:rsid w:val="004570DB"/>
    <w:rsid w:val="004579D6"/>
    <w:rsid w:val="004601FF"/>
    <w:rsid w:val="004602F5"/>
    <w:rsid w:val="0046143A"/>
    <w:rsid w:val="004632E3"/>
    <w:rsid w:val="00464949"/>
    <w:rsid w:val="00465BCE"/>
    <w:rsid w:val="00465C81"/>
    <w:rsid w:val="0046717E"/>
    <w:rsid w:val="0046724F"/>
    <w:rsid w:val="0046745D"/>
    <w:rsid w:val="00467BFD"/>
    <w:rsid w:val="00467C11"/>
    <w:rsid w:val="0047010D"/>
    <w:rsid w:val="00470ACD"/>
    <w:rsid w:val="00473AEA"/>
    <w:rsid w:val="00473FBD"/>
    <w:rsid w:val="00477450"/>
    <w:rsid w:val="004775EC"/>
    <w:rsid w:val="004802B3"/>
    <w:rsid w:val="004808F2"/>
    <w:rsid w:val="004811C3"/>
    <w:rsid w:val="00483DD3"/>
    <w:rsid w:val="00484A81"/>
    <w:rsid w:val="004858E7"/>
    <w:rsid w:val="00485E0D"/>
    <w:rsid w:val="004867C9"/>
    <w:rsid w:val="00486804"/>
    <w:rsid w:val="00486C62"/>
    <w:rsid w:val="00487FDE"/>
    <w:rsid w:val="00490011"/>
    <w:rsid w:val="00491225"/>
    <w:rsid w:val="004915C2"/>
    <w:rsid w:val="0049210D"/>
    <w:rsid w:val="00494F99"/>
    <w:rsid w:val="004957A3"/>
    <w:rsid w:val="004A4314"/>
    <w:rsid w:val="004A50CA"/>
    <w:rsid w:val="004A54CB"/>
    <w:rsid w:val="004A5EDD"/>
    <w:rsid w:val="004A6700"/>
    <w:rsid w:val="004A7687"/>
    <w:rsid w:val="004B0CA2"/>
    <w:rsid w:val="004B14D9"/>
    <w:rsid w:val="004B1949"/>
    <w:rsid w:val="004B3775"/>
    <w:rsid w:val="004B4413"/>
    <w:rsid w:val="004B4AFC"/>
    <w:rsid w:val="004B4DA6"/>
    <w:rsid w:val="004B53C4"/>
    <w:rsid w:val="004B6280"/>
    <w:rsid w:val="004B6939"/>
    <w:rsid w:val="004C27DB"/>
    <w:rsid w:val="004C2A06"/>
    <w:rsid w:val="004C3B58"/>
    <w:rsid w:val="004C5106"/>
    <w:rsid w:val="004C51B7"/>
    <w:rsid w:val="004C5FB0"/>
    <w:rsid w:val="004C5FC0"/>
    <w:rsid w:val="004C68FC"/>
    <w:rsid w:val="004C6DC1"/>
    <w:rsid w:val="004D0B78"/>
    <w:rsid w:val="004D156E"/>
    <w:rsid w:val="004D1728"/>
    <w:rsid w:val="004D59CE"/>
    <w:rsid w:val="004D71F3"/>
    <w:rsid w:val="004E058F"/>
    <w:rsid w:val="004E0AEB"/>
    <w:rsid w:val="004E0D14"/>
    <w:rsid w:val="004E149B"/>
    <w:rsid w:val="004E20DA"/>
    <w:rsid w:val="004E38A1"/>
    <w:rsid w:val="004E3B87"/>
    <w:rsid w:val="004E408F"/>
    <w:rsid w:val="004E6060"/>
    <w:rsid w:val="004E7A6C"/>
    <w:rsid w:val="004F2E3A"/>
    <w:rsid w:val="004F3C11"/>
    <w:rsid w:val="004F6159"/>
    <w:rsid w:val="004F61C3"/>
    <w:rsid w:val="004F6682"/>
    <w:rsid w:val="004F6992"/>
    <w:rsid w:val="004F7227"/>
    <w:rsid w:val="004F7B54"/>
    <w:rsid w:val="00500F38"/>
    <w:rsid w:val="005016BB"/>
    <w:rsid w:val="00501C77"/>
    <w:rsid w:val="00502B97"/>
    <w:rsid w:val="005064A0"/>
    <w:rsid w:val="005103E7"/>
    <w:rsid w:val="00510921"/>
    <w:rsid w:val="005109D5"/>
    <w:rsid w:val="00510AD3"/>
    <w:rsid w:val="00511337"/>
    <w:rsid w:val="00511DD6"/>
    <w:rsid w:val="00513348"/>
    <w:rsid w:val="00514857"/>
    <w:rsid w:val="00516F84"/>
    <w:rsid w:val="00517B9D"/>
    <w:rsid w:val="005208CB"/>
    <w:rsid w:val="00521A5F"/>
    <w:rsid w:val="00522106"/>
    <w:rsid w:val="00522C4D"/>
    <w:rsid w:val="00522CE3"/>
    <w:rsid w:val="00533B5D"/>
    <w:rsid w:val="00533BCE"/>
    <w:rsid w:val="0054078D"/>
    <w:rsid w:val="00540B72"/>
    <w:rsid w:val="00541075"/>
    <w:rsid w:val="00542CD5"/>
    <w:rsid w:val="00542F86"/>
    <w:rsid w:val="00550156"/>
    <w:rsid w:val="00550340"/>
    <w:rsid w:val="00552798"/>
    <w:rsid w:val="005539BD"/>
    <w:rsid w:val="005570E8"/>
    <w:rsid w:val="00560903"/>
    <w:rsid w:val="00561ED6"/>
    <w:rsid w:val="00563281"/>
    <w:rsid w:val="00564EE9"/>
    <w:rsid w:val="00566242"/>
    <w:rsid w:val="005674F2"/>
    <w:rsid w:val="00571065"/>
    <w:rsid w:val="00571135"/>
    <w:rsid w:val="005731E2"/>
    <w:rsid w:val="005734AE"/>
    <w:rsid w:val="00573AE6"/>
    <w:rsid w:val="0057469B"/>
    <w:rsid w:val="005764C9"/>
    <w:rsid w:val="00576845"/>
    <w:rsid w:val="00576C34"/>
    <w:rsid w:val="0058025C"/>
    <w:rsid w:val="005824DC"/>
    <w:rsid w:val="00582EFD"/>
    <w:rsid w:val="005851F3"/>
    <w:rsid w:val="0058694B"/>
    <w:rsid w:val="00587F4E"/>
    <w:rsid w:val="005911E0"/>
    <w:rsid w:val="00591906"/>
    <w:rsid w:val="005940AD"/>
    <w:rsid w:val="00594453"/>
    <w:rsid w:val="00595C16"/>
    <w:rsid w:val="005970EA"/>
    <w:rsid w:val="005976A7"/>
    <w:rsid w:val="005A0062"/>
    <w:rsid w:val="005A06F1"/>
    <w:rsid w:val="005A0D97"/>
    <w:rsid w:val="005A2003"/>
    <w:rsid w:val="005A35F8"/>
    <w:rsid w:val="005A41E0"/>
    <w:rsid w:val="005A556B"/>
    <w:rsid w:val="005A6BEE"/>
    <w:rsid w:val="005A6DFF"/>
    <w:rsid w:val="005A6F6C"/>
    <w:rsid w:val="005A7ED9"/>
    <w:rsid w:val="005B0DCD"/>
    <w:rsid w:val="005B5C39"/>
    <w:rsid w:val="005B632B"/>
    <w:rsid w:val="005C0929"/>
    <w:rsid w:val="005C37F0"/>
    <w:rsid w:val="005C4F02"/>
    <w:rsid w:val="005C5F7A"/>
    <w:rsid w:val="005C7E8D"/>
    <w:rsid w:val="005C7ED5"/>
    <w:rsid w:val="005D00E1"/>
    <w:rsid w:val="005D1BD1"/>
    <w:rsid w:val="005D2D36"/>
    <w:rsid w:val="005D3519"/>
    <w:rsid w:val="005D79A3"/>
    <w:rsid w:val="005D7B34"/>
    <w:rsid w:val="005E0682"/>
    <w:rsid w:val="005E128E"/>
    <w:rsid w:val="005E2941"/>
    <w:rsid w:val="005E7F40"/>
    <w:rsid w:val="005F0481"/>
    <w:rsid w:val="005F0AE1"/>
    <w:rsid w:val="005F3DD0"/>
    <w:rsid w:val="005F421E"/>
    <w:rsid w:val="005F452D"/>
    <w:rsid w:val="005F7C47"/>
    <w:rsid w:val="00601E84"/>
    <w:rsid w:val="0060226A"/>
    <w:rsid w:val="00602416"/>
    <w:rsid w:val="00602965"/>
    <w:rsid w:val="006062F8"/>
    <w:rsid w:val="00606FF5"/>
    <w:rsid w:val="006074EA"/>
    <w:rsid w:val="00607D92"/>
    <w:rsid w:val="006102EF"/>
    <w:rsid w:val="00610AC6"/>
    <w:rsid w:val="0061170F"/>
    <w:rsid w:val="00615F38"/>
    <w:rsid w:val="00623B6F"/>
    <w:rsid w:val="00623BA1"/>
    <w:rsid w:val="006248AF"/>
    <w:rsid w:val="00625819"/>
    <w:rsid w:val="006262E8"/>
    <w:rsid w:val="00627375"/>
    <w:rsid w:val="006313D1"/>
    <w:rsid w:val="00631BC1"/>
    <w:rsid w:val="006330A1"/>
    <w:rsid w:val="006338CC"/>
    <w:rsid w:val="006346BC"/>
    <w:rsid w:val="00635D1C"/>
    <w:rsid w:val="00636C62"/>
    <w:rsid w:val="00636F59"/>
    <w:rsid w:val="00637E21"/>
    <w:rsid w:val="00640BEC"/>
    <w:rsid w:val="006417DE"/>
    <w:rsid w:val="00641E9F"/>
    <w:rsid w:val="00647384"/>
    <w:rsid w:val="00647810"/>
    <w:rsid w:val="00647D91"/>
    <w:rsid w:val="00647F41"/>
    <w:rsid w:val="00650117"/>
    <w:rsid w:val="006530F4"/>
    <w:rsid w:val="0065364D"/>
    <w:rsid w:val="006539C9"/>
    <w:rsid w:val="006567AF"/>
    <w:rsid w:val="00661C44"/>
    <w:rsid w:val="00661C4A"/>
    <w:rsid w:val="00664CEA"/>
    <w:rsid w:val="00666291"/>
    <w:rsid w:val="0066652A"/>
    <w:rsid w:val="00667B2A"/>
    <w:rsid w:val="006700F3"/>
    <w:rsid w:val="00670A8E"/>
    <w:rsid w:val="00674971"/>
    <w:rsid w:val="00675ABD"/>
    <w:rsid w:val="00676560"/>
    <w:rsid w:val="006768CC"/>
    <w:rsid w:val="006771EE"/>
    <w:rsid w:val="006777B5"/>
    <w:rsid w:val="00681ACF"/>
    <w:rsid w:val="00681C88"/>
    <w:rsid w:val="00682167"/>
    <w:rsid w:val="00682B86"/>
    <w:rsid w:val="00682DCF"/>
    <w:rsid w:val="00683D4D"/>
    <w:rsid w:val="00685380"/>
    <w:rsid w:val="006854D8"/>
    <w:rsid w:val="0068573F"/>
    <w:rsid w:val="00685ACF"/>
    <w:rsid w:val="00686639"/>
    <w:rsid w:val="00687BAA"/>
    <w:rsid w:val="00690BE3"/>
    <w:rsid w:val="00691A3A"/>
    <w:rsid w:val="00694704"/>
    <w:rsid w:val="00694DF9"/>
    <w:rsid w:val="00695D7C"/>
    <w:rsid w:val="006962DE"/>
    <w:rsid w:val="006964B5"/>
    <w:rsid w:val="006A000E"/>
    <w:rsid w:val="006A3125"/>
    <w:rsid w:val="006A31BC"/>
    <w:rsid w:val="006A3FFD"/>
    <w:rsid w:val="006A44EE"/>
    <w:rsid w:val="006A5355"/>
    <w:rsid w:val="006A54A2"/>
    <w:rsid w:val="006A59CE"/>
    <w:rsid w:val="006A6E2E"/>
    <w:rsid w:val="006A7028"/>
    <w:rsid w:val="006A7DF5"/>
    <w:rsid w:val="006B070B"/>
    <w:rsid w:val="006B0E1F"/>
    <w:rsid w:val="006B11FB"/>
    <w:rsid w:val="006B205E"/>
    <w:rsid w:val="006B2761"/>
    <w:rsid w:val="006B2E5A"/>
    <w:rsid w:val="006B3CDB"/>
    <w:rsid w:val="006B4392"/>
    <w:rsid w:val="006B5D03"/>
    <w:rsid w:val="006C0184"/>
    <w:rsid w:val="006C050E"/>
    <w:rsid w:val="006C07BB"/>
    <w:rsid w:val="006C3F13"/>
    <w:rsid w:val="006C4222"/>
    <w:rsid w:val="006C42AF"/>
    <w:rsid w:val="006C4C23"/>
    <w:rsid w:val="006C4DD1"/>
    <w:rsid w:val="006C5650"/>
    <w:rsid w:val="006C566E"/>
    <w:rsid w:val="006C5997"/>
    <w:rsid w:val="006C5D2B"/>
    <w:rsid w:val="006C60C7"/>
    <w:rsid w:val="006C6E91"/>
    <w:rsid w:val="006C702E"/>
    <w:rsid w:val="006C7938"/>
    <w:rsid w:val="006C7B46"/>
    <w:rsid w:val="006C7CCF"/>
    <w:rsid w:val="006D079F"/>
    <w:rsid w:val="006D09F8"/>
    <w:rsid w:val="006D194D"/>
    <w:rsid w:val="006D1CAD"/>
    <w:rsid w:val="006D26D8"/>
    <w:rsid w:val="006D7444"/>
    <w:rsid w:val="006E0A9D"/>
    <w:rsid w:val="006E403D"/>
    <w:rsid w:val="006E56CD"/>
    <w:rsid w:val="006E61EA"/>
    <w:rsid w:val="006E6DA9"/>
    <w:rsid w:val="006E7871"/>
    <w:rsid w:val="006F1109"/>
    <w:rsid w:val="006F1CA2"/>
    <w:rsid w:val="006F1E28"/>
    <w:rsid w:val="006F39F3"/>
    <w:rsid w:val="006F6CA2"/>
    <w:rsid w:val="006F7B66"/>
    <w:rsid w:val="0070128D"/>
    <w:rsid w:val="0070162F"/>
    <w:rsid w:val="00704535"/>
    <w:rsid w:val="00704BE2"/>
    <w:rsid w:val="00704DFE"/>
    <w:rsid w:val="007052BC"/>
    <w:rsid w:val="00705AE5"/>
    <w:rsid w:val="0070737F"/>
    <w:rsid w:val="00707E72"/>
    <w:rsid w:val="00710066"/>
    <w:rsid w:val="007119DE"/>
    <w:rsid w:val="00711D6F"/>
    <w:rsid w:val="00711D8E"/>
    <w:rsid w:val="00712672"/>
    <w:rsid w:val="007130AA"/>
    <w:rsid w:val="00713260"/>
    <w:rsid w:val="0071502A"/>
    <w:rsid w:val="007176CA"/>
    <w:rsid w:val="0072013D"/>
    <w:rsid w:val="0072057C"/>
    <w:rsid w:val="0072248D"/>
    <w:rsid w:val="007230BF"/>
    <w:rsid w:val="00723F52"/>
    <w:rsid w:val="007260D2"/>
    <w:rsid w:val="00726710"/>
    <w:rsid w:val="00726D7C"/>
    <w:rsid w:val="00726FEC"/>
    <w:rsid w:val="007310EF"/>
    <w:rsid w:val="00731989"/>
    <w:rsid w:val="007337B5"/>
    <w:rsid w:val="007338DE"/>
    <w:rsid w:val="00734E3F"/>
    <w:rsid w:val="00736985"/>
    <w:rsid w:val="0073707E"/>
    <w:rsid w:val="00737A13"/>
    <w:rsid w:val="00745964"/>
    <w:rsid w:val="00746E9B"/>
    <w:rsid w:val="00752104"/>
    <w:rsid w:val="0075240A"/>
    <w:rsid w:val="007602E9"/>
    <w:rsid w:val="0076186A"/>
    <w:rsid w:val="007622A0"/>
    <w:rsid w:val="00763C30"/>
    <w:rsid w:val="007641EF"/>
    <w:rsid w:val="007661A1"/>
    <w:rsid w:val="00771C5D"/>
    <w:rsid w:val="0077274D"/>
    <w:rsid w:val="00773B79"/>
    <w:rsid w:val="0077427D"/>
    <w:rsid w:val="00774449"/>
    <w:rsid w:val="007766C2"/>
    <w:rsid w:val="0078035A"/>
    <w:rsid w:val="0078111F"/>
    <w:rsid w:val="007812A0"/>
    <w:rsid w:val="00781DEB"/>
    <w:rsid w:val="00781DF7"/>
    <w:rsid w:val="00782057"/>
    <w:rsid w:val="007822E4"/>
    <w:rsid w:val="00782589"/>
    <w:rsid w:val="00785055"/>
    <w:rsid w:val="00794773"/>
    <w:rsid w:val="007954E3"/>
    <w:rsid w:val="007955D8"/>
    <w:rsid w:val="00795751"/>
    <w:rsid w:val="00796274"/>
    <w:rsid w:val="007A0CD6"/>
    <w:rsid w:val="007A25F0"/>
    <w:rsid w:val="007A5027"/>
    <w:rsid w:val="007A6532"/>
    <w:rsid w:val="007B02B6"/>
    <w:rsid w:val="007B1A1A"/>
    <w:rsid w:val="007B2085"/>
    <w:rsid w:val="007B4C91"/>
    <w:rsid w:val="007B6200"/>
    <w:rsid w:val="007B7590"/>
    <w:rsid w:val="007C0464"/>
    <w:rsid w:val="007C24EA"/>
    <w:rsid w:val="007C2EA2"/>
    <w:rsid w:val="007C34E6"/>
    <w:rsid w:val="007C5D0F"/>
    <w:rsid w:val="007C6E0F"/>
    <w:rsid w:val="007C742E"/>
    <w:rsid w:val="007D0EA2"/>
    <w:rsid w:val="007D16AB"/>
    <w:rsid w:val="007D19D5"/>
    <w:rsid w:val="007D1C9C"/>
    <w:rsid w:val="007D275C"/>
    <w:rsid w:val="007D3F1F"/>
    <w:rsid w:val="007D42A9"/>
    <w:rsid w:val="007D585C"/>
    <w:rsid w:val="007D6319"/>
    <w:rsid w:val="007D6CA5"/>
    <w:rsid w:val="007E0724"/>
    <w:rsid w:val="007E1C17"/>
    <w:rsid w:val="007E1D53"/>
    <w:rsid w:val="007E3ECF"/>
    <w:rsid w:val="007E58A6"/>
    <w:rsid w:val="007E6129"/>
    <w:rsid w:val="007E7655"/>
    <w:rsid w:val="007F016C"/>
    <w:rsid w:val="007F4654"/>
    <w:rsid w:val="007F4E97"/>
    <w:rsid w:val="007F4EE0"/>
    <w:rsid w:val="007F5F85"/>
    <w:rsid w:val="0080124A"/>
    <w:rsid w:val="00801B9F"/>
    <w:rsid w:val="00802C77"/>
    <w:rsid w:val="008052D3"/>
    <w:rsid w:val="00805462"/>
    <w:rsid w:val="0080578C"/>
    <w:rsid w:val="0081036D"/>
    <w:rsid w:val="00811B69"/>
    <w:rsid w:val="008125A9"/>
    <w:rsid w:val="00814C38"/>
    <w:rsid w:val="00821F0D"/>
    <w:rsid w:val="00821F10"/>
    <w:rsid w:val="0082288B"/>
    <w:rsid w:val="00822DD4"/>
    <w:rsid w:val="00824376"/>
    <w:rsid w:val="0082468B"/>
    <w:rsid w:val="0082514F"/>
    <w:rsid w:val="008257A9"/>
    <w:rsid w:val="00825FA1"/>
    <w:rsid w:val="0082687C"/>
    <w:rsid w:val="00826A32"/>
    <w:rsid w:val="00831521"/>
    <w:rsid w:val="00833B56"/>
    <w:rsid w:val="00835B4E"/>
    <w:rsid w:val="0083759C"/>
    <w:rsid w:val="0084196F"/>
    <w:rsid w:val="00844B2F"/>
    <w:rsid w:val="00846435"/>
    <w:rsid w:val="00846798"/>
    <w:rsid w:val="00846AE6"/>
    <w:rsid w:val="00847681"/>
    <w:rsid w:val="0085253B"/>
    <w:rsid w:val="00855437"/>
    <w:rsid w:val="0085694B"/>
    <w:rsid w:val="008570B7"/>
    <w:rsid w:val="00857604"/>
    <w:rsid w:val="008606D3"/>
    <w:rsid w:val="00860AC6"/>
    <w:rsid w:val="00864275"/>
    <w:rsid w:val="00866E8F"/>
    <w:rsid w:val="00867A81"/>
    <w:rsid w:val="008709D3"/>
    <w:rsid w:val="00872BFB"/>
    <w:rsid w:val="00873504"/>
    <w:rsid w:val="00873511"/>
    <w:rsid w:val="00873C4C"/>
    <w:rsid w:val="008746D1"/>
    <w:rsid w:val="00874BBC"/>
    <w:rsid w:val="00875A16"/>
    <w:rsid w:val="00875C6E"/>
    <w:rsid w:val="00875C70"/>
    <w:rsid w:val="00876CDB"/>
    <w:rsid w:val="00880166"/>
    <w:rsid w:val="00880B3F"/>
    <w:rsid w:val="00881BCE"/>
    <w:rsid w:val="00882CDC"/>
    <w:rsid w:val="00882ED3"/>
    <w:rsid w:val="008841EB"/>
    <w:rsid w:val="00884D3E"/>
    <w:rsid w:val="00885C1E"/>
    <w:rsid w:val="00886CDB"/>
    <w:rsid w:val="00886E97"/>
    <w:rsid w:val="008873D4"/>
    <w:rsid w:val="0088785B"/>
    <w:rsid w:val="00890F81"/>
    <w:rsid w:val="00892C8B"/>
    <w:rsid w:val="0089311E"/>
    <w:rsid w:val="00896961"/>
    <w:rsid w:val="008969C6"/>
    <w:rsid w:val="0089786A"/>
    <w:rsid w:val="00897CF6"/>
    <w:rsid w:val="008A2A46"/>
    <w:rsid w:val="008A2BAE"/>
    <w:rsid w:val="008A5208"/>
    <w:rsid w:val="008B1CE6"/>
    <w:rsid w:val="008B212B"/>
    <w:rsid w:val="008B2D42"/>
    <w:rsid w:val="008B3B22"/>
    <w:rsid w:val="008B54D7"/>
    <w:rsid w:val="008B62C7"/>
    <w:rsid w:val="008B7BD8"/>
    <w:rsid w:val="008C1654"/>
    <w:rsid w:val="008C3D3C"/>
    <w:rsid w:val="008C3E92"/>
    <w:rsid w:val="008C5516"/>
    <w:rsid w:val="008C5636"/>
    <w:rsid w:val="008C6C60"/>
    <w:rsid w:val="008C756F"/>
    <w:rsid w:val="008C7CAF"/>
    <w:rsid w:val="008D0FA8"/>
    <w:rsid w:val="008D1648"/>
    <w:rsid w:val="008D1B9B"/>
    <w:rsid w:val="008D3C9A"/>
    <w:rsid w:val="008D3D60"/>
    <w:rsid w:val="008D429B"/>
    <w:rsid w:val="008D4A99"/>
    <w:rsid w:val="008D57A4"/>
    <w:rsid w:val="008D6853"/>
    <w:rsid w:val="008D6E02"/>
    <w:rsid w:val="008D7977"/>
    <w:rsid w:val="008E0826"/>
    <w:rsid w:val="008E1D2C"/>
    <w:rsid w:val="008E1F11"/>
    <w:rsid w:val="008E2331"/>
    <w:rsid w:val="008E3993"/>
    <w:rsid w:val="008E3FE0"/>
    <w:rsid w:val="008E4EE5"/>
    <w:rsid w:val="008E5306"/>
    <w:rsid w:val="008E7D41"/>
    <w:rsid w:val="008F0976"/>
    <w:rsid w:val="008F0C79"/>
    <w:rsid w:val="008F2667"/>
    <w:rsid w:val="008F32B0"/>
    <w:rsid w:val="008F4C2E"/>
    <w:rsid w:val="008F6CAF"/>
    <w:rsid w:val="008F7DE1"/>
    <w:rsid w:val="00901993"/>
    <w:rsid w:val="009045D9"/>
    <w:rsid w:val="00905422"/>
    <w:rsid w:val="0090794D"/>
    <w:rsid w:val="00907CB5"/>
    <w:rsid w:val="00910FD2"/>
    <w:rsid w:val="00911585"/>
    <w:rsid w:val="0091182B"/>
    <w:rsid w:val="00911AC6"/>
    <w:rsid w:val="00913358"/>
    <w:rsid w:val="009140F6"/>
    <w:rsid w:val="009141A8"/>
    <w:rsid w:val="0091452D"/>
    <w:rsid w:val="00914792"/>
    <w:rsid w:val="00914E9D"/>
    <w:rsid w:val="00916165"/>
    <w:rsid w:val="009178EF"/>
    <w:rsid w:val="00921D03"/>
    <w:rsid w:val="009223B6"/>
    <w:rsid w:val="00924D64"/>
    <w:rsid w:val="0092531F"/>
    <w:rsid w:val="00925ECE"/>
    <w:rsid w:val="009277D3"/>
    <w:rsid w:val="0093172F"/>
    <w:rsid w:val="009322CA"/>
    <w:rsid w:val="00934587"/>
    <w:rsid w:val="0093505F"/>
    <w:rsid w:val="00935E45"/>
    <w:rsid w:val="00936520"/>
    <w:rsid w:val="00937BDA"/>
    <w:rsid w:val="00940F40"/>
    <w:rsid w:val="009420F6"/>
    <w:rsid w:val="0094272B"/>
    <w:rsid w:val="009427E6"/>
    <w:rsid w:val="00943028"/>
    <w:rsid w:val="00943A9C"/>
    <w:rsid w:val="00944AC6"/>
    <w:rsid w:val="00945C11"/>
    <w:rsid w:val="0094684C"/>
    <w:rsid w:val="00946FCC"/>
    <w:rsid w:val="00947C2E"/>
    <w:rsid w:val="00950336"/>
    <w:rsid w:val="00950A11"/>
    <w:rsid w:val="009525F4"/>
    <w:rsid w:val="00952FF5"/>
    <w:rsid w:val="00953123"/>
    <w:rsid w:val="00953324"/>
    <w:rsid w:val="00954ABA"/>
    <w:rsid w:val="00957622"/>
    <w:rsid w:val="00957D11"/>
    <w:rsid w:val="009601ED"/>
    <w:rsid w:val="009625B7"/>
    <w:rsid w:val="009637BC"/>
    <w:rsid w:val="0096423A"/>
    <w:rsid w:val="00965D80"/>
    <w:rsid w:val="00966462"/>
    <w:rsid w:val="009707AF"/>
    <w:rsid w:val="0097147D"/>
    <w:rsid w:val="00971FF6"/>
    <w:rsid w:val="00972BBF"/>
    <w:rsid w:val="009735C2"/>
    <w:rsid w:val="00973BA2"/>
    <w:rsid w:val="00974315"/>
    <w:rsid w:val="00974DF0"/>
    <w:rsid w:val="0097577D"/>
    <w:rsid w:val="0097700A"/>
    <w:rsid w:val="00981D41"/>
    <w:rsid w:val="0098217D"/>
    <w:rsid w:val="009821FA"/>
    <w:rsid w:val="00983B6E"/>
    <w:rsid w:val="00983C41"/>
    <w:rsid w:val="00983EA6"/>
    <w:rsid w:val="009842BD"/>
    <w:rsid w:val="009848CD"/>
    <w:rsid w:val="00984B3C"/>
    <w:rsid w:val="00985A26"/>
    <w:rsid w:val="00986962"/>
    <w:rsid w:val="009917A6"/>
    <w:rsid w:val="00992ECF"/>
    <w:rsid w:val="0099310C"/>
    <w:rsid w:val="00994D5C"/>
    <w:rsid w:val="0099503F"/>
    <w:rsid w:val="00996188"/>
    <w:rsid w:val="009964B4"/>
    <w:rsid w:val="0099681C"/>
    <w:rsid w:val="009A05FF"/>
    <w:rsid w:val="009A25F8"/>
    <w:rsid w:val="009A29AF"/>
    <w:rsid w:val="009A2DA7"/>
    <w:rsid w:val="009A68B1"/>
    <w:rsid w:val="009B0D8D"/>
    <w:rsid w:val="009B0FA4"/>
    <w:rsid w:val="009B4147"/>
    <w:rsid w:val="009B4D3B"/>
    <w:rsid w:val="009B5356"/>
    <w:rsid w:val="009B5C5A"/>
    <w:rsid w:val="009B6FEA"/>
    <w:rsid w:val="009B78EB"/>
    <w:rsid w:val="009C18C5"/>
    <w:rsid w:val="009C1DC5"/>
    <w:rsid w:val="009C4265"/>
    <w:rsid w:val="009C5872"/>
    <w:rsid w:val="009C5AEC"/>
    <w:rsid w:val="009C6943"/>
    <w:rsid w:val="009C6F5C"/>
    <w:rsid w:val="009D03AC"/>
    <w:rsid w:val="009D7407"/>
    <w:rsid w:val="009E0866"/>
    <w:rsid w:val="009E2017"/>
    <w:rsid w:val="009E2A50"/>
    <w:rsid w:val="009E54FA"/>
    <w:rsid w:val="009E5AF9"/>
    <w:rsid w:val="009E676B"/>
    <w:rsid w:val="009E683B"/>
    <w:rsid w:val="009E7E95"/>
    <w:rsid w:val="009F2369"/>
    <w:rsid w:val="009F42FC"/>
    <w:rsid w:val="009F598A"/>
    <w:rsid w:val="009F5A46"/>
    <w:rsid w:val="009F5D11"/>
    <w:rsid w:val="009F64EE"/>
    <w:rsid w:val="009F7D0C"/>
    <w:rsid w:val="00A0005C"/>
    <w:rsid w:val="00A013F1"/>
    <w:rsid w:val="00A03228"/>
    <w:rsid w:val="00A04A84"/>
    <w:rsid w:val="00A04EDE"/>
    <w:rsid w:val="00A054E6"/>
    <w:rsid w:val="00A0651C"/>
    <w:rsid w:val="00A06521"/>
    <w:rsid w:val="00A10BDB"/>
    <w:rsid w:val="00A12A24"/>
    <w:rsid w:val="00A12DCA"/>
    <w:rsid w:val="00A152D9"/>
    <w:rsid w:val="00A15B8A"/>
    <w:rsid w:val="00A209C2"/>
    <w:rsid w:val="00A20E8E"/>
    <w:rsid w:val="00A21F95"/>
    <w:rsid w:val="00A22DDB"/>
    <w:rsid w:val="00A23BD4"/>
    <w:rsid w:val="00A23F8D"/>
    <w:rsid w:val="00A24647"/>
    <w:rsid w:val="00A24A62"/>
    <w:rsid w:val="00A256BF"/>
    <w:rsid w:val="00A25C32"/>
    <w:rsid w:val="00A26612"/>
    <w:rsid w:val="00A26BDC"/>
    <w:rsid w:val="00A275FD"/>
    <w:rsid w:val="00A27756"/>
    <w:rsid w:val="00A31242"/>
    <w:rsid w:val="00A31308"/>
    <w:rsid w:val="00A31C9F"/>
    <w:rsid w:val="00A31CA5"/>
    <w:rsid w:val="00A31E73"/>
    <w:rsid w:val="00A34264"/>
    <w:rsid w:val="00A353FF"/>
    <w:rsid w:val="00A35BEB"/>
    <w:rsid w:val="00A35DDC"/>
    <w:rsid w:val="00A401B6"/>
    <w:rsid w:val="00A40A3B"/>
    <w:rsid w:val="00A452FD"/>
    <w:rsid w:val="00A45D97"/>
    <w:rsid w:val="00A4747E"/>
    <w:rsid w:val="00A54B66"/>
    <w:rsid w:val="00A577E9"/>
    <w:rsid w:val="00A631D7"/>
    <w:rsid w:val="00A632E3"/>
    <w:rsid w:val="00A6373E"/>
    <w:rsid w:val="00A63C7B"/>
    <w:rsid w:val="00A668C8"/>
    <w:rsid w:val="00A668F2"/>
    <w:rsid w:val="00A67314"/>
    <w:rsid w:val="00A70770"/>
    <w:rsid w:val="00A70BEC"/>
    <w:rsid w:val="00A72B50"/>
    <w:rsid w:val="00A7368D"/>
    <w:rsid w:val="00A75639"/>
    <w:rsid w:val="00A75BF8"/>
    <w:rsid w:val="00A76EC7"/>
    <w:rsid w:val="00A82732"/>
    <w:rsid w:val="00A83D21"/>
    <w:rsid w:val="00A84B76"/>
    <w:rsid w:val="00A879A8"/>
    <w:rsid w:val="00A90610"/>
    <w:rsid w:val="00A90EFA"/>
    <w:rsid w:val="00A916BA"/>
    <w:rsid w:val="00A91D66"/>
    <w:rsid w:val="00A92A2E"/>
    <w:rsid w:val="00A93517"/>
    <w:rsid w:val="00A938C0"/>
    <w:rsid w:val="00A93A48"/>
    <w:rsid w:val="00A94970"/>
    <w:rsid w:val="00A94D04"/>
    <w:rsid w:val="00A9798A"/>
    <w:rsid w:val="00A97B04"/>
    <w:rsid w:val="00A97C9C"/>
    <w:rsid w:val="00A97E00"/>
    <w:rsid w:val="00AA0B00"/>
    <w:rsid w:val="00AA0EAA"/>
    <w:rsid w:val="00AA2EF4"/>
    <w:rsid w:val="00AA3B51"/>
    <w:rsid w:val="00AB0DFE"/>
    <w:rsid w:val="00AB13D2"/>
    <w:rsid w:val="00AB1749"/>
    <w:rsid w:val="00AB19CF"/>
    <w:rsid w:val="00AB28ED"/>
    <w:rsid w:val="00AB2F67"/>
    <w:rsid w:val="00AB631B"/>
    <w:rsid w:val="00AB6D2D"/>
    <w:rsid w:val="00AC164A"/>
    <w:rsid w:val="00AC240E"/>
    <w:rsid w:val="00AC3F0C"/>
    <w:rsid w:val="00AC7275"/>
    <w:rsid w:val="00AD16EC"/>
    <w:rsid w:val="00AD1DC7"/>
    <w:rsid w:val="00AD31FC"/>
    <w:rsid w:val="00AD3E03"/>
    <w:rsid w:val="00AD6D8C"/>
    <w:rsid w:val="00AD7008"/>
    <w:rsid w:val="00AD7633"/>
    <w:rsid w:val="00AE2FB4"/>
    <w:rsid w:val="00AE3F30"/>
    <w:rsid w:val="00AE4821"/>
    <w:rsid w:val="00AE5A5C"/>
    <w:rsid w:val="00AF0773"/>
    <w:rsid w:val="00AF16AC"/>
    <w:rsid w:val="00AF2050"/>
    <w:rsid w:val="00AF23B9"/>
    <w:rsid w:val="00AF4A7A"/>
    <w:rsid w:val="00AF50C0"/>
    <w:rsid w:val="00AF6BE9"/>
    <w:rsid w:val="00B02487"/>
    <w:rsid w:val="00B02504"/>
    <w:rsid w:val="00B05A0C"/>
    <w:rsid w:val="00B06608"/>
    <w:rsid w:val="00B06B39"/>
    <w:rsid w:val="00B07F07"/>
    <w:rsid w:val="00B1027F"/>
    <w:rsid w:val="00B10A0A"/>
    <w:rsid w:val="00B13259"/>
    <w:rsid w:val="00B136A1"/>
    <w:rsid w:val="00B1387A"/>
    <w:rsid w:val="00B17478"/>
    <w:rsid w:val="00B20674"/>
    <w:rsid w:val="00B22504"/>
    <w:rsid w:val="00B22860"/>
    <w:rsid w:val="00B22CC8"/>
    <w:rsid w:val="00B2373E"/>
    <w:rsid w:val="00B2495B"/>
    <w:rsid w:val="00B24A51"/>
    <w:rsid w:val="00B24D41"/>
    <w:rsid w:val="00B25400"/>
    <w:rsid w:val="00B25421"/>
    <w:rsid w:val="00B267D7"/>
    <w:rsid w:val="00B26851"/>
    <w:rsid w:val="00B27A14"/>
    <w:rsid w:val="00B30D3E"/>
    <w:rsid w:val="00B328B0"/>
    <w:rsid w:val="00B34B33"/>
    <w:rsid w:val="00B36582"/>
    <w:rsid w:val="00B3665D"/>
    <w:rsid w:val="00B424E7"/>
    <w:rsid w:val="00B44A24"/>
    <w:rsid w:val="00B45A00"/>
    <w:rsid w:val="00B51177"/>
    <w:rsid w:val="00B522E9"/>
    <w:rsid w:val="00B523A9"/>
    <w:rsid w:val="00B52B12"/>
    <w:rsid w:val="00B53957"/>
    <w:rsid w:val="00B5407B"/>
    <w:rsid w:val="00B5524D"/>
    <w:rsid w:val="00B5689E"/>
    <w:rsid w:val="00B578CF"/>
    <w:rsid w:val="00B60396"/>
    <w:rsid w:val="00B62417"/>
    <w:rsid w:val="00B6629B"/>
    <w:rsid w:val="00B6687E"/>
    <w:rsid w:val="00B713F0"/>
    <w:rsid w:val="00B71790"/>
    <w:rsid w:val="00B73656"/>
    <w:rsid w:val="00B74055"/>
    <w:rsid w:val="00B74EDA"/>
    <w:rsid w:val="00B755C5"/>
    <w:rsid w:val="00B76558"/>
    <w:rsid w:val="00B76C75"/>
    <w:rsid w:val="00B813A0"/>
    <w:rsid w:val="00B813D7"/>
    <w:rsid w:val="00B82540"/>
    <w:rsid w:val="00B82C74"/>
    <w:rsid w:val="00B82CE5"/>
    <w:rsid w:val="00B842B0"/>
    <w:rsid w:val="00B85F02"/>
    <w:rsid w:val="00B872BD"/>
    <w:rsid w:val="00B87658"/>
    <w:rsid w:val="00B90A32"/>
    <w:rsid w:val="00B91358"/>
    <w:rsid w:val="00B9151F"/>
    <w:rsid w:val="00B91CCA"/>
    <w:rsid w:val="00B93837"/>
    <w:rsid w:val="00B979F5"/>
    <w:rsid w:val="00BA1EF5"/>
    <w:rsid w:val="00BA2AAA"/>
    <w:rsid w:val="00BA38AB"/>
    <w:rsid w:val="00BA67DA"/>
    <w:rsid w:val="00BA6FD8"/>
    <w:rsid w:val="00BA7FB9"/>
    <w:rsid w:val="00BB269E"/>
    <w:rsid w:val="00BB26C5"/>
    <w:rsid w:val="00BB2A4F"/>
    <w:rsid w:val="00BB5938"/>
    <w:rsid w:val="00BB5B57"/>
    <w:rsid w:val="00BB74F2"/>
    <w:rsid w:val="00BB7BA0"/>
    <w:rsid w:val="00BC0C01"/>
    <w:rsid w:val="00BC0C62"/>
    <w:rsid w:val="00BC34D3"/>
    <w:rsid w:val="00BC47D7"/>
    <w:rsid w:val="00BC725F"/>
    <w:rsid w:val="00BC79B3"/>
    <w:rsid w:val="00BC7CCC"/>
    <w:rsid w:val="00BC7D8E"/>
    <w:rsid w:val="00BD1389"/>
    <w:rsid w:val="00BD1DD2"/>
    <w:rsid w:val="00BD4F9E"/>
    <w:rsid w:val="00BD5EF5"/>
    <w:rsid w:val="00BD66E8"/>
    <w:rsid w:val="00BE0AE7"/>
    <w:rsid w:val="00BE0F17"/>
    <w:rsid w:val="00BE2361"/>
    <w:rsid w:val="00BE263C"/>
    <w:rsid w:val="00BE31DF"/>
    <w:rsid w:val="00BE3282"/>
    <w:rsid w:val="00BE5BBD"/>
    <w:rsid w:val="00BE6A1D"/>
    <w:rsid w:val="00BE78B1"/>
    <w:rsid w:val="00BF18F9"/>
    <w:rsid w:val="00BF2C8F"/>
    <w:rsid w:val="00BF3941"/>
    <w:rsid w:val="00BF4DE6"/>
    <w:rsid w:val="00BF581B"/>
    <w:rsid w:val="00BF6B7F"/>
    <w:rsid w:val="00BF6D18"/>
    <w:rsid w:val="00C00BCE"/>
    <w:rsid w:val="00C0117F"/>
    <w:rsid w:val="00C058F8"/>
    <w:rsid w:val="00C0603F"/>
    <w:rsid w:val="00C10A41"/>
    <w:rsid w:val="00C117FC"/>
    <w:rsid w:val="00C118EE"/>
    <w:rsid w:val="00C12A05"/>
    <w:rsid w:val="00C13514"/>
    <w:rsid w:val="00C20006"/>
    <w:rsid w:val="00C20139"/>
    <w:rsid w:val="00C2123E"/>
    <w:rsid w:val="00C2239B"/>
    <w:rsid w:val="00C22686"/>
    <w:rsid w:val="00C22B25"/>
    <w:rsid w:val="00C22C69"/>
    <w:rsid w:val="00C245B0"/>
    <w:rsid w:val="00C25A62"/>
    <w:rsid w:val="00C26150"/>
    <w:rsid w:val="00C265F8"/>
    <w:rsid w:val="00C26C7E"/>
    <w:rsid w:val="00C300C3"/>
    <w:rsid w:val="00C30AE8"/>
    <w:rsid w:val="00C30E3F"/>
    <w:rsid w:val="00C31FEE"/>
    <w:rsid w:val="00C32C86"/>
    <w:rsid w:val="00C3709B"/>
    <w:rsid w:val="00C37D4B"/>
    <w:rsid w:val="00C402A5"/>
    <w:rsid w:val="00C40842"/>
    <w:rsid w:val="00C41D2A"/>
    <w:rsid w:val="00C42CDE"/>
    <w:rsid w:val="00C43F2D"/>
    <w:rsid w:val="00C46191"/>
    <w:rsid w:val="00C47598"/>
    <w:rsid w:val="00C50ADB"/>
    <w:rsid w:val="00C51A5A"/>
    <w:rsid w:val="00C5394B"/>
    <w:rsid w:val="00C55EBF"/>
    <w:rsid w:val="00C56D3C"/>
    <w:rsid w:val="00C57130"/>
    <w:rsid w:val="00C57FB5"/>
    <w:rsid w:val="00C617DB"/>
    <w:rsid w:val="00C6287C"/>
    <w:rsid w:val="00C62D4C"/>
    <w:rsid w:val="00C64AC2"/>
    <w:rsid w:val="00C64F76"/>
    <w:rsid w:val="00C66084"/>
    <w:rsid w:val="00C66118"/>
    <w:rsid w:val="00C675D3"/>
    <w:rsid w:val="00C71811"/>
    <w:rsid w:val="00C72271"/>
    <w:rsid w:val="00C72A90"/>
    <w:rsid w:val="00C74CF6"/>
    <w:rsid w:val="00C76D22"/>
    <w:rsid w:val="00C7765E"/>
    <w:rsid w:val="00C77BE4"/>
    <w:rsid w:val="00C8071E"/>
    <w:rsid w:val="00C80E36"/>
    <w:rsid w:val="00C81501"/>
    <w:rsid w:val="00C819C4"/>
    <w:rsid w:val="00C82871"/>
    <w:rsid w:val="00C82998"/>
    <w:rsid w:val="00C836BC"/>
    <w:rsid w:val="00C83ECD"/>
    <w:rsid w:val="00C84ADF"/>
    <w:rsid w:val="00C85AA5"/>
    <w:rsid w:val="00C86119"/>
    <w:rsid w:val="00C91A85"/>
    <w:rsid w:val="00C92C75"/>
    <w:rsid w:val="00C9382B"/>
    <w:rsid w:val="00C93D87"/>
    <w:rsid w:val="00C966CD"/>
    <w:rsid w:val="00C97323"/>
    <w:rsid w:val="00CA1FE2"/>
    <w:rsid w:val="00CA21FB"/>
    <w:rsid w:val="00CA37B1"/>
    <w:rsid w:val="00CA5F3B"/>
    <w:rsid w:val="00CA602F"/>
    <w:rsid w:val="00CA7C2C"/>
    <w:rsid w:val="00CB1959"/>
    <w:rsid w:val="00CB2233"/>
    <w:rsid w:val="00CB452E"/>
    <w:rsid w:val="00CB7D7B"/>
    <w:rsid w:val="00CB7DAF"/>
    <w:rsid w:val="00CC0848"/>
    <w:rsid w:val="00CC133D"/>
    <w:rsid w:val="00CC1BC4"/>
    <w:rsid w:val="00CC2AA4"/>
    <w:rsid w:val="00CC3C8E"/>
    <w:rsid w:val="00CC5F4E"/>
    <w:rsid w:val="00CC7E8D"/>
    <w:rsid w:val="00CD19E3"/>
    <w:rsid w:val="00CD2516"/>
    <w:rsid w:val="00CD46E8"/>
    <w:rsid w:val="00CD4F23"/>
    <w:rsid w:val="00CD6C5D"/>
    <w:rsid w:val="00CE0F11"/>
    <w:rsid w:val="00CE251D"/>
    <w:rsid w:val="00CE2BEE"/>
    <w:rsid w:val="00CE48D5"/>
    <w:rsid w:val="00CE57D5"/>
    <w:rsid w:val="00CE6855"/>
    <w:rsid w:val="00CE7251"/>
    <w:rsid w:val="00CF0B01"/>
    <w:rsid w:val="00CF0CF0"/>
    <w:rsid w:val="00CF159E"/>
    <w:rsid w:val="00CF5AA1"/>
    <w:rsid w:val="00CF7568"/>
    <w:rsid w:val="00D020A7"/>
    <w:rsid w:val="00D02102"/>
    <w:rsid w:val="00D0296C"/>
    <w:rsid w:val="00D04C49"/>
    <w:rsid w:val="00D05E82"/>
    <w:rsid w:val="00D05EB4"/>
    <w:rsid w:val="00D060B5"/>
    <w:rsid w:val="00D13478"/>
    <w:rsid w:val="00D13A82"/>
    <w:rsid w:val="00D14978"/>
    <w:rsid w:val="00D14E4C"/>
    <w:rsid w:val="00D16324"/>
    <w:rsid w:val="00D16416"/>
    <w:rsid w:val="00D16D19"/>
    <w:rsid w:val="00D200CE"/>
    <w:rsid w:val="00D2028C"/>
    <w:rsid w:val="00D218E5"/>
    <w:rsid w:val="00D22869"/>
    <w:rsid w:val="00D256C4"/>
    <w:rsid w:val="00D25C4D"/>
    <w:rsid w:val="00D268E6"/>
    <w:rsid w:val="00D26EC4"/>
    <w:rsid w:val="00D314C8"/>
    <w:rsid w:val="00D32F81"/>
    <w:rsid w:val="00D3524B"/>
    <w:rsid w:val="00D35527"/>
    <w:rsid w:val="00D3569B"/>
    <w:rsid w:val="00D356B0"/>
    <w:rsid w:val="00D368C5"/>
    <w:rsid w:val="00D37BAB"/>
    <w:rsid w:val="00D403B0"/>
    <w:rsid w:val="00D41D9C"/>
    <w:rsid w:val="00D43003"/>
    <w:rsid w:val="00D445BF"/>
    <w:rsid w:val="00D44C77"/>
    <w:rsid w:val="00D452A8"/>
    <w:rsid w:val="00D45B3A"/>
    <w:rsid w:val="00D46D82"/>
    <w:rsid w:val="00D5014A"/>
    <w:rsid w:val="00D50975"/>
    <w:rsid w:val="00D51628"/>
    <w:rsid w:val="00D553C0"/>
    <w:rsid w:val="00D55622"/>
    <w:rsid w:val="00D5602F"/>
    <w:rsid w:val="00D56674"/>
    <w:rsid w:val="00D57101"/>
    <w:rsid w:val="00D57345"/>
    <w:rsid w:val="00D579B3"/>
    <w:rsid w:val="00D601F8"/>
    <w:rsid w:val="00D60A29"/>
    <w:rsid w:val="00D6158E"/>
    <w:rsid w:val="00D61A03"/>
    <w:rsid w:val="00D643F3"/>
    <w:rsid w:val="00D6692F"/>
    <w:rsid w:val="00D66938"/>
    <w:rsid w:val="00D6788C"/>
    <w:rsid w:val="00D70A7F"/>
    <w:rsid w:val="00D70AC0"/>
    <w:rsid w:val="00D70CE7"/>
    <w:rsid w:val="00D70FFB"/>
    <w:rsid w:val="00D710A8"/>
    <w:rsid w:val="00D71DEE"/>
    <w:rsid w:val="00D72278"/>
    <w:rsid w:val="00D72910"/>
    <w:rsid w:val="00D7390C"/>
    <w:rsid w:val="00D75BBF"/>
    <w:rsid w:val="00D76EE1"/>
    <w:rsid w:val="00D8574E"/>
    <w:rsid w:val="00D878BB"/>
    <w:rsid w:val="00D90B13"/>
    <w:rsid w:val="00D93208"/>
    <w:rsid w:val="00D95E30"/>
    <w:rsid w:val="00D96E26"/>
    <w:rsid w:val="00DA130D"/>
    <w:rsid w:val="00DA53AE"/>
    <w:rsid w:val="00DA60CF"/>
    <w:rsid w:val="00DA6F7D"/>
    <w:rsid w:val="00DA7563"/>
    <w:rsid w:val="00DB0937"/>
    <w:rsid w:val="00DB0D27"/>
    <w:rsid w:val="00DB2761"/>
    <w:rsid w:val="00DB3432"/>
    <w:rsid w:val="00DB356D"/>
    <w:rsid w:val="00DB3A54"/>
    <w:rsid w:val="00DB4883"/>
    <w:rsid w:val="00DB5244"/>
    <w:rsid w:val="00DB5CC9"/>
    <w:rsid w:val="00DB5D11"/>
    <w:rsid w:val="00DB5D1B"/>
    <w:rsid w:val="00DB6D69"/>
    <w:rsid w:val="00DB6EDA"/>
    <w:rsid w:val="00DC04D0"/>
    <w:rsid w:val="00DC0F0C"/>
    <w:rsid w:val="00DC1682"/>
    <w:rsid w:val="00DC2B9B"/>
    <w:rsid w:val="00DC2ECB"/>
    <w:rsid w:val="00DC322C"/>
    <w:rsid w:val="00DC36A5"/>
    <w:rsid w:val="00DC3750"/>
    <w:rsid w:val="00DC3840"/>
    <w:rsid w:val="00DC408F"/>
    <w:rsid w:val="00DC430B"/>
    <w:rsid w:val="00DC54A0"/>
    <w:rsid w:val="00DC6728"/>
    <w:rsid w:val="00DD1B6C"/>
    <w:rsid w:val="00DD2AFA"/>
    <w:rsid w:val="00DD406C"/>
    <w:rsid w:val="00DD509A"/>
    <w:rsid w:val="00DD52C8"/>
    <w:rsid w:val="00DD67EA"/>
    <w:rsid w:val="00DD7636"/>
    <w:rsid w:val="00DE1EB4"/>
    <w:rsid w:val="00DE2C6D"/>
    <w:rsid w:val="00DE3074"/>
    <w:rsid w:val="00DE3434"/>
    <w:rsid w:val="00DE3536"/>
    <w:rsid w:val="00DE3BFB"/>
    <w:rsid w:val="00DE3E90"/>
    <w:rsid w:val="00DE6EF8"/>
    <w:rsid w:val="00DE7725"/>
    <w:rsid w:val="00DF1951"/>
    <w:rsid w:val="00DF2364"/>
    <w:rsid w:val="00DF25F7"/>
    <w:rsid w:val="00DF3D9D"/>
    <w:rsid w:val="00DF536E"/>
    <w:rsid w:val="00DF5691"/>
    <w:rsid w:val="00E026D8"/>
    <w:rsid w:val="00E03F29"/>
    <w:rsid w:val="00E0447A"/>
    <w:rsid w:val="00E05DA6"/>
    <w:rsid w:val="00E10256"/>
    <w:rsid w:val="00E12954"/>
    <w:rsid w:val="00E13A8B"/>
    <w:rsid w:val="00E14A90"/>
    <w:rsid w:val="00E14F0A"/>
    <w:rsid w:val="00E14F21"/>
    <w:rsid w:val="00E166AD"/>
    <w:rsid w:val="00E1677F"/>
    <w:rsid w:val="00E16BD5"/>
    <w:rsid w:val="00E17504"/>
    <w:rsid w:val="00E21A30"/>
    <w:rsid w:val="00E21AF8"/>
    <w:rsid w:val="00E21B2A"/>
    <w:rsid w:val="00E24BB3"/>
    <w:rsid w:val="00E255D2"/>
    <w:rsid w:val="00E262D1"/>
    <w:rsid w:val="00E26329"/>
    <w:rsid w:val="00E30131"/>
    <w:rsid w:val="00E31303"/>
    <w:rsid w:val="00E35087"/>
    <w:rsid w:val="00E353D3"/>
    <w:rsid w:val="00E35540"/>
    <w:rsid w:val="00E357B7"/>
    <w:rsid w:val="00E3720E"/>
    <w:rsid w:val="00E37B5B"/>
    <w:rsid w:val="00E42162"/>
    <w:rsid w:val="00E44659"/>
    <w:rsid w:val="00E44E21"/>
    <w:rsid w:val="00E452BE"/>
    <w:rsid w:val="00E460B1"/>
    <w:rsid w:val="00E472B4"/>
    <w:rsid w:val="00E4742A"/>
    <w:rsid w:val="00E4745D"/>
    <w:rsid w:val="00E50A2D"/>
    <w:rsid w:val="00E52145"/>
    <w:rsid w:val="00E52C74"/>
    <w:rsid w:val="00E53800"/>
    <w:rsid w:val="00E54637"/>
    <w:rsid w:val="00E560FE"/>
    <w:rsid w:val="00E576D7"/>
    <w:rsid w:val="00E57DE8"/>
    <w:rsid w:val="00E6081F"/>
    <w:rsid w:val="00E60953"/>
    <w:rsid w:val="00E610A7"/>
    <w:rsid w:val="00E62579"/>
    <w:rsid w:val="00E64493"/>
    <w:rsid w:val="00E65F4A"/>
    <w:rsid w:val="00E677C2"/>
    <w:rsid w:val="00E67963"/>
    <w:rsid w:val="00E70568"/>
    <w:rsid w:val="00E70FBA"/>
    <w:rsid w:val="00E711DD"/>
    <w:rsid w:val="00E71B07"/>
    <w:rsid w:val="00E7283E"/>
    <w:rsid w:val="00E7384A"/>
    <w:rsid w:val="00E747C7"/>
    <w:rsid w:val="00E75674"/>
    <w:rsid w:val="00E76E58"/>
    <w:rsid w:val="00E778A2"/>
    <w:rsid w:val="00E77E8E"/>
    <w:rsid w:val="00E81B06"/>
    <w:rsid w:val="00E81BE8"/>
    <w:rsid w:val="00E81FE4"/>
    <w:rsid w:val="00E820E2"/>
    <w:rsid w:val="00E82646"/>
    <w:rsid w:val="00E826C8"/>
    <w:rsid w:val="00E84C48"/>
    <w:rsid w:val="00E90BD7"/>
    <w:rsid w:val="00E93F8A"/>
    <w:rsid w:val="00E944AB"/>
    <w:rsid w:val="00E949E4"/>
    <w:rsid w:val="00E95846"/>
    <w:rsid w:val="00E959F4"/>
    <w:rsid w:val="00E960EF"/>
    <w:rsid w:val="00E963D2"/>
    <w:rsid w:val="00E96706"/>
    <w:rsid w:val="00E97B4F"/>
    <w:rsid w:val="00EA04B2"/>
    <w:rsid w:val="00EA1863"/>
    <w:rsid w:val="00EA191B"/>
    <w:rsid w:val="00EA20F3"/>
    <w:rsid w:val="00EA3B0E"/>
    <w:rsid w:val="00EA4635"/>
    <w:rsid w:val="00EA4A01"/>
    <w:rsid w:val="00EA4F52"/>
    <w:rsid w:val="00EA66BB"/>
    <w:rsid w:val="00EA75C1"/>
    <w:rsid w:val="00EB09C6"/>
    <w:rsid w:val="00EB2CBB"/>
    <w:rsid w:val="00EB3118"/>
    <w:rsid w:val="00EB35B8"/>
    <w:rsid w:val="00EB401F"/>
    <w:rsid w:val="00EB4889"/>
    <w:rsid w:val="00EB4EBC"/>
    <w:rsid w:val="00EB571B"/>
    <w:rsid w:val="00EB62EB"/>
    <w:rsid w:val="00EC1163"/>
    <w:rsid w:val="00EC1464"/>
    <w:rsid w:val="00EC169C"/>
    <w:rsid w:val="00EC1B08"/>
    <w:rsid w:val="00EC2939"/>
    <w:rsid w:val="00EC3661"/>
    <w:rsid w:val="00EC45D7"/>
    <w:rsid w:val="00EC7AF3"/>
    <w:rsid w:val="00ED3093"/>
    <w:rsid w:val="00ED43D1"/>
    <w:rsid w:val="00ED4A65"/>
    <w:rsid w:val="00ED558C"/>
    <w:rsid w:val="00ED58F1"/>
    <w:rsid w:val="00ED748E"/>
    <w:rsid w:val="00ED78BB"/>
    <w:rsid w:val="00EE1195"/>
    <w:rsid w:val="00EE1DF9"/>
    <w:rsid w:val="00EE271D"/>
    <w:rsid w:val="00EE2B1C"/>
    <w:rsid w:val="00EE36B3"/>
    <w:rsid w:val="00EE4267"/>
    <w:rsid w:val="00EE496F"/>
    <w:rsid w:val="00EE4EE1"/>
    <w:rsid w:val="00EE55FE"/>
    <w:rsid w:val="00EE5FBF"/>
    <w:rsid w:val="00EE7B58"/>
    <w:rsid w:val="00EF3483"/>
    <w:rsid w:val="00EF4574"/>
    <w:rsid w:val="00EF5AF2"/>
    <w:rsid w:val="00EF7300"/>
    <w:rsid w:val="00EF7B34"/>
    <w:rsid w:val="00F00CFE"/>
    <w:rsid w:val="00F029DA"/>
    <w:rsid w:val="00F0340B"/>
    <w:rsid w:val="00F041C0"/>
    <w:rsid w:val="00F0557F"/>
    <w:rsid w:val="00F05652"/>
    <w:rsid w:val="00F062D1"/>
    <w:rsid w:val="00F07425"/>
    <w:rsid w:val="00F123E4"/>
    <w:rsid w:val="00F13559"/>
    <w:rsid w:val="00F14348"/>
    <w:rsid w:val="00F17094"/>
    <w:rsid w:val="00F203DC"/>
    <w:rsid w:val="00F21756"/>
    <w:rsid w:val="00F217FA"/>
    <w:rsid w:val="00F21E83"/>
    <w:rsid w:val="00F22AEA"/>
    <w:rsid w:val="00F2506D"/>
    <w:rsid w:val="00F2684E"/>
    <w:rsid w:val="00F272A4"/>
    <w:rsid w:val="00F273E0"/>
    <w:rsid w:val="00F302F9"/>
    <w:rsid w:val="00F32686"/>
    <w:rsid w:val="00F33D6C"/>
    <w:rsid w:val="00F371A1"/>
    <w:rsid w:val="00F4062C"/>
    <w:rsid w:val="00F41037"/>
    <w:rsid w:val="00F43EFC"/>
    <w:rsid w:val="00F46C1C"/>
    <w:rsid w:val="00F5379E"/>
    <w:rsid w:val="00F544F2"/>
    <w:rsid w:val="00F6046F"/>
    <w:rsid w:val="00F61589"/>
    <w:rsid w:val="00F61FEC"/>
    <w:rsid w:val="00F62015"/>
    <w:rsid w:val="00F62873"/>
    <w:rsid w:val="00F62FD6"/>
    <w:rsid w:val="00F63373"/>
    <w:rsid w:val="00F63AC4"/>
    <w:rsid w:val="00F646D6"/>
    <w:rsid w:val="00F64AC7"/>
    <w:rsid w:val="00F64B37"/>
    <w:rsid w:val="00F65762"/>
    <w:rsid w:val="00F65EB9"/>
    <w:rsid w:val="00F70B2C"/>
    <w:rsid w:val="00F70C3D"/>
    <w:rsid w:val="00F71C95"/>
    <w:rsid w:val="00F729EF"/>
    <w:rsid w:val="00F75616"/>
    <w:rsid w:val="00F75805"/>
    <w:rsid w:val="00F7774C"/>
    <w:rsid w:val="00F77CAE"/>
    <w:rsid w:val="00F80DDB"/>
    <w:rsid w:val="00F8139C"/>
    <w:rsid w:val="00F8296D"/>
    <w:rsid w:val="00F83241"/>
    <w:rsid w:val="00F8430E"/>
    <w:rsid w:val="00F85AB7"/>
    <w:rsid w:val="00F87728"/>
    <w:rsid w:val="00F87750"/>
    <w:rsid w:val="00F87AEE"/>
    <w:rsid w:val="00F9058D"/>
    <w:rsid w:val="00F9163E"/>
    <w:rsid w:val="00F925EB"/>
    <w:rsid w:val="00F94A67"/>
    <w:rsid w:val="00F96643"/>
    <w:rsid w:val="00F96BB9"/>
    <w:rsid w:val="00F96E58"/>
    <w:rsid w:val="00FA15EB"/>
    <w:rsid w:val="00FA255A"/>
    <w:rsid w:val="00FA33AB"/>
    <w:rsid w:val="00FA3BB2"/>
    <w:rsid w:val="00FB17C7"/>
    <w:rsid w:val="00FB44AA"/>
    <w:rsid w:val="00FB4EF0"/>
    <w:rsid w:val="00FB5DA7"/>
    <w:rsid w:val="00FB697E"/>
    <w:rsid w:val="00FB77EF"/>
    <w:rsid w:val="00FC0741"/>
    <w:rsid w:val="00FC1156"/>
    <w:rsid w:val="00FC1730"/>
    <w:rsid w:val="00FC2AB2"/>
    <w:rsid w:val="00FC4351"/>
    <w:rsid w:val="00FC538F"/>
    <w:rsid w:val="00FC5DB9"/>
    <w:rsid w:val="00FC6F69"/>
    <w:rsid w:val="00FD0550"/>
    <w:rsid w:val="00FD0F3A"/>
    <w:rsid w:val="00FD63DE"/>
    <w:rsid w:val="00FD6E9E"/>
    <w:rsid w:val="00FE3CE4"/>
    <w:rsid w:val="00FE4808"/>
    <w:rsid w:val="00FE5F27"/>
    <w:rsid w:val="00FE6D51"/>
    <w:rsid w:val="00FE6DAE"/>
    <w:rsid w:val="00FE72D5"/>
    <w:rsid w:val="00FF0C80"/>
    <w:rsid w:val="00FF507B"/>
    <w:rsid w:val="00FF69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79C283"/>
  <w15:docId w15:val="{1462590E-EB09-48E8-B2D3-F9282B63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4AA"/>
    <w:pPr>
      <w:suppressAutoHyphens/>
      <w:spacing w:before="180" w:after="60" w:line="280" w:lineRule="atLeast"/>
    </w:pPr>
  </w:style>
  <w:style w:type="paragraph" w:styleId="Heading1">
    <w:name w:val="heading 1"/>
    <w:aliases w:val="- Section,- Chapter,1,1.,Section Heading,Section,h1,Para1,h11,h12,2,3,Main Heading,A MAJOR/BOLD,EOI - Heading 1 (Low),Heading 1 (low),Part,H1,Schedheading,Heading 1(Report Only),Head1,Heading apps,Main Heading1,H11,11,h13,A MAJOR/BOLD1,Head11"/>
    <w:basedOn w:val="Normal"/>
    <w:next w:val="Normal"/>
    <w:link w:val="Heading1Char"/>
    <w:qFormat/>
    <w:rsid w:val="001612A4"/>
    <w:pPr>
      <w:keepNext/>
      <w:keepLines/>
      <w:numPr>
        <w:numId w:val="33"/>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aliases w:val="h2"/>
    <w:basedOn w:val="Heading1"/>
    <w:next w:val="Normal"/>
    <w:link w:val="Heading2Char"/>
    <w:uiPriority w:val="9"/>
    <w:unhideWhenUsed/>
    <w:qFormat/>
    <w:rsid w:val="001612A4"/>
    <w:pPr>
      <w:numPr>
        <w:ilvl w:val="1"/>
      </w:numPr>
      <w:spacing w:line="400" w:lineRule="atLeast"/>
      <w:ind w:left="576"/>
      <w:outlineLvl w:val="1"/>
    </w:pPr>
    <w:rPr>
      <w:bCs w:val="0"/>
      <w:sz w:val="34"/>
      <w:szCs w:val="26"/>
    </w:rPr>
  </w:style>
  <w:style w:type="paragraph" w:styleId="Heading3">
    <w:name w:val="heading 3"/>
    <w:aliases w:val="EOI - Heading 3,h3 sub heading,Para3,h3,Paragraph (heading 3),Normal + num,h31,h32,1st sub-clause,Head 3,heading 3,C Sub-Sub/Italic,Head 31,Head 32,C Sub-Sub/Italic1,Head 33,C Sub-Sub/Italic2,Head 311,Head 321,C Sub-Sub/Italic11"/>
    <w:basedOn w:val="Heading2"/>
    <w:next w:val="Normal"/>
    <w:link w:val="Heading3Char"/>
    <w:uiPriority w:val="9"/>
    <w:unhideWhenUsed/>
    <w:qFormat/>
    <w:rsid w:val="00D46D82"/>
    <w:pPr>
      <w:numPr>
        <w:ilvl w:val="2"/>
      </w:numPr>
      <w:spacing w:line="340" w:lineRule="atLeast"/>
      <w:ind w:left="720"/>
      <w:outlineLvl w:val="2"/>
    </w:pPr>
    <w:rPr>
      <w:bCs/>
      <w:sz w:val="30"/>
    </w:rPr>
  </w:style>
  <w:style w:type="paragraph" w:styleId="Heading4">
    <w:name w:val="heading 4"/>
    <w:basedOn w:val="Heading3"/>
    <w:next w:val="Normal"/>
    <w:link w:val="Heading4Char"/>
    <w:unhideWhenUsed/>
    <w:qFormat/>
    <w:rsid w:val="00D46D82"/>
    <w:pPr>
      <w:numPr>
        <w:ilvl w:val="3"/>
      </w:numPr>
      <w:spacing w:before="240" w:line="300" w:lineRule="atLeast"/>
      <w:outlineLvl w:val="3"/>
    </w:pPr>
    <w:rPr>
      <w:iCs/>
      <w:sz w:val="26"/>
    </w:rPr>
  </w:style>
  <w:style w:type="paragraph" w:styleId="Heading5">
    <w:name w:val="heading 5"/>
    <w:basedOn w:val="Heading4"/>
    <w:next w:val="Normal"/>
    <w:link w:val="Heading5Char"/>
    <w:unhideWhenUsed/>
    <w:qFormat/>
    <w:rsid w:val="00623BA1"/>
    <w:pPr>
      <w:numPr>
        <w:ilvl w:val="4"/>
      </w:numPr>
      <w:outlineLvl w:val="4"/>
    </w:pPr>
    <w:rPr>
      <w:i/>
      <w:color w:val="FFE827" w:themeColor="accent1" w:themeShade="BF"/>
      <w:sz w:val="22"/>
    </w:rPr>
  </w:style>
  <w:style w:type="paragraph" w:styleId="Heading6">
    <w:name w:val="heading 6"/>
    <w:basedOn w:val="Heading5"/>
    <w:next w:val="Normal"/>
    <w:link w:val="Heading6Char"/>
    <w:unhideWhenUsed/>
    <w:qFormat/>
    <w:rsid w:val="00486804"/>
    <w:pPr>
      <w:numPr>
        <w:ilvl w:val="5"/>
      </w:numPr>
      <w:spacing w:before="40"/>
      <w:outlineLvl w:val="5"/>
    </w:pPr>
    <w:rPr>
      <w:color w:val="C3AE00" w:themeColor="accent1" w:themeShade="7F"/>
    </w:rPr>
  </w:style>
  <w:style w:type="paragraph" w:styleId="Heading7">
    <w:name w:val="heading 7"/>
    <w:basedOn w:val="Heading6"/>
    <w:next w:val="Normal"/>
    <w:link w:val="Heading7Char"/>
    <w:unhideWhenUsed/>
    <w:qFormat/>
    <w:rsid w:val="00486804"/>
    <w:pPr>
      <w:numPr>
        <w:ilvl w:val="6"/>
      </w:numPr>
      <w:outlineLvl w:val="6"/>
    </w:pPr>
    <w:rPr>
      <w:i w:val="0"/>
      <w:iCs w:val="0"/>
    </w:rPr>
  </w:style>
  <w:style w:type="paragraph" w:styleId="Heading8">
    <w:name w:val="heading 8"/>
    <w:basedOn w:val="Heading7"/>
    <w:next w:val="Normal"/>
    <w:link w:val="Heading8Char"/>
    <w:unhideWhenUsed/>
    <w:qFormat/>
    <w:rsid w:val="00486804"/>
    <w:pPr>
      <w:numPr>
        <w:ilvl w:val="7"/>
      </w:numPr>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Section Char,- Chapter Char,1 Char,1. Char,Section Heading Char,Section Char,h1 Char,Para1 Char,h11 Char,h12 Char,2 Char,3 Char,Main Heading Char,A MAJOR/BOLD Char,EOI - Heading 1 (Low) Char,Heading 1 (low) Char,Part Char,H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aliases w:val="h2 Char"/>
    <w:basedOn w:val="DefaultParagraphFont"/>
    <w:link w:val="Heading2"/>
    <w:uiPriority w:val="9"/>
    <w:rsid w:val="001612A4"/>
    <w:rPr>
      <w:rFonts w:asciiTheme="majorHAnsi" w:eastAsiaTheme="majorEastAsia" w:hAnsiTheme="majorHAnsi" w:cstheme="majorBidi"/>
      <w:color w:val="1C1C1C" w:themeColor="text2"/>
      <w:sz w:val="34"/>
      <w:szCs w:val="26"/>
    </w:rPr>
  </w:style>
  <w:style w:type="character" w:customStyle="1" w:styleId="Heading3Char">
    <w:name w:val="Heading 3 Char"/>
    <w:aliases w:val="EOI - Heading 3 Char,h3 sub heading Char,Para3 Char,h3 Char,Paragraph (heading 3) Char,Normal + num Char,h31 Char,h32 Char,1st sub-clause Char,Head 3 Char,heading 3 Char,C Sub-Sub/Italic Char,Head 31 Char,Head 32 Char,Head 33 Char"/>
    <w:basedOn w:val="DefaultParagraphFont"/>
    <w:link w:val="Heading3"/>
    <w:uiPriority w:val="9"/>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99"/>
    <w:qFormat/>
    <w:rsid w:val="00DB6D69"/>
    <w:pPr>
      <w:keepNext w:val="0"/>
      <w:numPr>
        <w:numId w:val="0"/>
      </w:numPr>
      <w:spacing w:before="8400" w:line="480" w:lineRule="atLeast"/>
      <w:jc w:val="right"/>
    </w:pPr>
    <w:rPr>
      <w:kern w:val="28"/>
      <w:szCs w:val="52"/>
    </w:rPr>
  </w:style>
  <w:style w:type="character" w:customStyle="1" w:styleId="TitleChar">
    <w:name w:val="Title Char"/>
    <w:basedOn w:val="DefaultParagraphFont"/>
    <w:link w:val="Title"/>
    <w:uiPriority w:val="99"/>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uiPriority w:val="11"/>
    <w:qFormat/>
    <w:rsid w:val="00DB6D69"/>
    <w:pPr>
      <w:numPr>
        <w:ilvl w:val="1"/>
      </w:numPr>
      <w:spacing w:before="360" w:line="260" w:lineRule="atLeast"/>
    </w:pPr>
    <w:rPr>
      <w:b/>
      <w:iCs/>
      <w:sz w:val="20"/>
      <w:szCs w:val="24"/>
    </w:rPr>
  </w:style>
  <w:style w:type="character" w:customStyle="1" w:styleId="SubtitleChar">
    <w:name w:val="Subtitle Char"/>
    <w:basedOn w:val="DefaultParagraphFont"/>
    <w:link w:val="Subtitle"/>
    <w:uiPriority w:val="11"/>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4"/>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B44AA"/>
    <w:pPr>
      <w:numPr>
        <w:numId w:val="2"/>
      </w:numPr>
    </w:pPr>
  </w:style>
  <w:style w:type="paragraph" w:customStyle="1" w:styleId="NumberedList2">
    <w:name w:val="Numbered List 2"/>
    <w:basedOn w:val="NumberedList1"/>
    <w:qFormat/>
    <w:rsid w:val="00FB44AA"/>
    <w:pPr>
      <w:numPr>
        <w:ilvl w:val="1"/>
      </w:numPr>
      <w:spacing w:before="120"/>
    </w:pPr>
  </w:style>
  <w:style w:type="paragraph" w:customStyle="1" w:styleId="NumberedList3">
    <w:name w:val="Numbered List 3"/>
    <w:basedOn w:val="NumberedList2"/>
    <w:uiPriority w:val="99"/>
    <w:qFormat/>
    <w:rsid w:val="00FB44AA"/>
    <w:pPr>
      <w:numPr>
        <w:ilvl w:val="2"/>
      </w:numPr>
      <w:ind w:left="851"/>
    </w:pPr>
  </w:style>
  <w:style w:type="paragraph" w:customStyle="1" w:styleId="Heading1Numbered">
    <w:name w:val="Heading 1 Numbered"/>
    <w:basedOn w:val="Heading1"/>
    <w:next w:val="Normal"/>
    <w:qFormat/>
    <w:rsid w:val="001E1DC0"/>
  </w:style>
  <w:style w:type="paragraph" w:customStyle="1" w:styleId="Heading2Numbered">
    <w:name w:val="Heading 2 Numbered"/>
    <w:basedOn w:val="Heading2"/>
    <w:next w:val="Normal"/>
    <w:qFormat/>
    <w:rsid w:val="00D46D82"/>
    <w:pPr>
      <w:ind w:left="1852"/>
    </w:pPr>
    <w:rPr>
      <w:bCs/>
    </w:rPr>
  </w:style>
  <w:style w:type="paragraph" w:customStyle="1" w:styleId="Heading3Numbered">
    <w:name w:val="Heading 3 Numbered"/>
    <w:basedOn w:val="Heading3"/>
    <w:next w:val="Normal"/>
    <w:qFormat/>
    <w:rsid w:val="001D7EB4"/>
    <w:pPr>
      <w:numPr>
        <w:ilvl w:val="0"/>
        <w:numId w:val="0"/>
      </w:numPr>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13"/>
      </w:numPr>
    </w:pPr>
  </w:style>
  <w:style w:type="table" w:customStyle="1" w:styleId="PlainTable21">
    <w:name w:val="Plain Table 21"/>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numPr>
        <w:numId w:val="0"/>
      </w:num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qFormat/>
    <w:rsid w:val="0077427D"/>
    <w:pPr>
      <w:tabs>
        <w:tab w:val="left" w:pos="454"/>
        <w:tab w:val="right" w:pos="9072"/>
      </w:tabs>
      <w:spacing w:after="180" w:line="230" w:lineRule="atLeast"/>
    </w:pPr>
    <w:rPr>
      <w:b/>
      <w:noProof/>
      <w:sz w:val="23"/>
    </w:rPr>
  </w:style>
  <w:style w:type="paragraph" w:styleId="TOC2">
    <w:name w:val="toc 2"/>
    <w:basedOn w:val="Normal"/>
    <w:next w:val="Normal"/>
    <w:autoRedefine/>
    <w:uiPriority w:val="39"/>
    <w:unhideWhenUsed/>
    <w:qFormat/>
    <w:rsid w:val="0077427D"/>
    <w:pPr>
      <w:tabs>
        <w:tab w:val="left" w:pos="454"/>
        <w:tab w:val="right" w:pos="9072"/>
      </w:tabs>
      <w:spacing w:after="180" w:line="230" w:lineRule="atLeast"/>
      <w:ind w:left="454" w:hanging="454"/>
    </w:pPr>
    <w:rPr>
      <w:noProof/>
    </w:rPr>
  </w:style>
  <w:style w:type="paragraph" w:styleId="TOC3">
    <w:name w:val="toc 3"/>
    <w:basedOn w:val="Normal"/>
    <w:next w:val="Normal"/>
    <w:autoRedefine/>
    <w:uiPriority w:val="39"/>
    <w:unhideWhenUsed/>
    <w:qFormat/>
    <w:rsid w:val="00880B3F"/>
    <w:pPr>
      <w:tabs>
        <w:tab w:val="left" w:pos="1134"/>
        <w:tab w:val="right" w:pos="9072"/>
      </w:tabs>
      <w:spacing w:before="60"/>
      <w:ind w:left="1134" w:hanging="680"/>
    </w:pPr>
  </w:style>
  <w:style w:type="paragraph" w:styleId="Header">
    <w:name w:val="header"/>
    <w:basedOn w:val="Normal"/>
    <w:link w:val="HeaderChar"/>
    <w:uiPriority w:val="99"/>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3"/>
      </w:numPr>
    </w:pPr>
  </w:style>
  <w:style w:type="paragraph" w:styleId="TOC8">
    <w:name w:val="toc 8"/>
    <w:basedOn w:val="Normal"/>
    <w:next w:val="Normal"/>
    <w:autoRedefine/>
    <w:uiPriority w:val="39"/>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1612A4"/>
    <w:pPr>
      <w:pBdr>
        <w:bottom w:val="single" w:sz="4" w:space="6" w:color="FFF38A" w:themeColor="accent1"/>
      </w:pBdr>
    </w:pPr>
    <w:rPr>
      <w:sz w:val="24"/>
    </w:rPr>
  </w:style>
  <w:style w:type="table" w:styleId="TableGrid">
    <w:name w:val="Table Grid"/>
    <w:basedOn w:val="TableNormal"/>
    <w:uiPriority w:val="59"/>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B6D69"/>
    <w:rPr>
      <w:sz w:val="14"/>
    </w:rPr>
  </w:style>
  <w:style w:type="numbering" w:customStyle="1" w:styleId="FigureTitles">
    <w:name w:val="Figure Titles"/>
    <w:uiPriority w:val="99"/>
    <w:rsid w:val="006346BC"/>
    <w:pPr>
      <w:numPr>
        <w:numId w:val="4"/>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rsid w:val="00486804"/>
    <w:rPr>
      <w:rFonts w:asciiTheme="majorHAnsi" w:eastAsiaTheme="majorEastAsia" w:hAnsiTheme="majorHAnsi" w:cstheme="majorBidi"/>
      <w:bCs/>
      <w:i/>
      <w:iCs/>
      <w:color w:val="FFE827" w:themeColor="accent1" w:themeShade="BF"/>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iPriority w:val="99"/>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uiPriority w:val="99"/>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C3AE00"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C3AE00"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486804"/>
    <w:pPr>
      <w:pBdr>
        <w:top w:val="single" w:sz="4" w:space="14" w:color="FFFCE7" w:themeColor="accent1" w:themeTint="33"/>
        <w:left w:val="single" w:sz="4" w:space="14" w:color="FFFCE7" w:themeColor="accent1" w:themeTint="33"/>
        <w:bottom w:val="single" w:sz="4" w:space="14" w:color="FFFCE7" w:themeColor="accent1" w:themeTint="33"/>
        <w:right w:val="single" w:sz="4" w:space="14" w:color="FFFCE7" w:themeColor="accent1" w:themeTint="33"/>
      </w:pBdr>
      <w:shd w:val="clear" w:color="auto" w:fill="FFFCE7" w:themeFill="accent1" w:themeFillTint="33"/>
      <w:ind w:left="284" w:right="284"/>
    </w:pPr>
  </w:style>
  <w:style w:type="paragraph" w:customStyle="1" w:styleId="Boxed1Heading">
    <w:name w:val="Boxed 1 Heading"/>
    <w:basedOn w:val="Boxed1Text"/>
    <w:qFormat/>
    <w:rsid w:val="00486804"/>
    <w:rPr>
      <w:b/>
      <w:sz w:val="24"/>
    </w:rPr>
  </w:style>
  <w:style w:type="paragraph" w:customStyle="1" w:styleId="Boxed2Text">
    <w:name w:val="Boxed 2 Text"/>
    <w:basedOn w:val="Boxed1Text"/>
    <w:qFormat/>
    <w:rsid w:val="000C2A48"/>
    <w:pPr>
      <w:pBdr>
        <w:top w:val="single" w:sz="4" w:space="14" w:color="FFF38A" w:themeColor="accent1"/>
        <w:left w:val="single" w:sz="4" w:space="14" w:color="FFF38A" w:themeColor="accent1"/>
        <w:bottom w:val="single" w:sz="4" w:space="14" w:color="FFF38A" w:themeColor="accent1"/>
        <w:right w:val="single" w:sz="4" w:space="14" w:color="FFF38A" w:themeColor="accent1"/>
      </w:pBdr>
      <w:shd w:val="clear" w:color="auto" w:fill="FFF38A" w:themeFill="accent1"/>
    </w:pPr>
  </w:style>
  <w:style w:type="paragraph" w:customStyle="1" w:styleId="Boxed2Heading">
    <w:name w:val="Boxed 2 Heading"/>
    <w:basedOn w:val="Boxed2Text"/>
    <w:qFormat/>
    <w:rsid w:val="000C2A48"/>
    <w:rPr>
      <w:b/>
      <w:sz w:val="24"/>
    </w:rPr>
  </w:style>
  <w:style w:type="character" w:styleId="PageNumber">
    <w:name w:val="page number"/>
    <w:basedOn w:val="DefaultParagraphFont"/>
    <w:uiPriority w:val="99"/>
    <w:unhideWhenUsed/>
    <w:rsid w:val="00DB6D69"/>
  </w:style>
  <w:style w:type="table" w:customStyle="1" w:styleId="TableGridLight1">
    <w:name w:val="Table Grid Light1"/>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uiPriority w:val="99"/>
    <w:unhideWhenUsed/>
    <w:qFormat/>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uiPriority w:val="99"/>
    <w:rsid w:val="00AB19CF"/>
    <w:rPr>
      <w:sz w:val="16"/>
      <w:szCs w:val="20"/>
    </w:rPr>
  </w:style>
  <w:style w:type="character" w:styleId="FootnoteReference">
    <w:name w:val="footnote reference"/>
    <w:basedOn w:val="DefaultParagraphFont"/>
    <w:uiPriority w:val="99"/>
    <w:unhideWhenUsed/>
    <w:rsid w:val="0020122A"/>
    <w:rPr>
      <w:vertAlign w:val="superscript"/>
    </w:rPr>
  </w:style>
  <w:style w:type="paragraph" w:customStyle="1" w:styleId="FootnoteSeparator">
    <w:name w:val="Footnote Separator"/>
    <w:basedOn w:val="Normal"/>
    <w:qFormat/>
    <w:rsid w:val="0020122A"/>
    <w:pPr>
      <w:pBdr>
        <w:top w:val="single" w:sz="2" w:space="1" w:color="auto"/>
      </w:pBdr>
      <w:spacing w:before="0" w:after="0" w:line="240" w:lineRule="auto"/>
    </w:p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customStyle="1" w:styleId="inputcomment">
    <w:name w:val="input comment"/>
    <w:basedOn w:val="Normal"/>
    <w:qFormat/>
    <w:rsid w:val="002C7BB1"/>
    <w:pPr>
      <w:spacing w:line="240" w:lineRule="auto"/>
    </w:pPr>
    <w:rPr>
      <w:b/>
      <w:color w:val="AD8800" w:themeColor="accent3" w:themeShade="BF"/>
    </w:rPr>
  </w:style>
  <w:style w:type="paragraph" w:styleId="ListParagraph">
    <w:name w:val="List Paragraph"/>
    <w:aliases w:val="Recommendation,List Paragraph1,List Paragraph11,Bullet point,#List Paragraph,List Paragraph*,Dot Point,L,Bullet Points,NFP GP Bulleted List,First level bullet point,List Paragraph Number,Figure_name,Bullet- First level,Listenabsatz1"/>
    <w:basedOn w:val="Normal"/>
    <w:link w:val="ListParagraphChar"/>
    <w:uiPriority w:val="34"/>
    <w:qFormat/>
    <w:rsid w:val="00594453"/>
    <w:pPr>
      <w:suppressAutoHyphens w:val="0"/>
      <w:spacing w:before="0" w:after="200" w:line="276" w:lineRule="auto"/>
      <w:ind w:left="720"/>
    </w:pPr>
    <w:rPr>
      <w:rFonts w:ascii="Arial" w:eastAsia="Times New Roman" w:hAnsi="Arial" w:cs="Times New Roman"/>
    </w:rPr>
  </w:style>
  <w:style w:type="character" w:customStyle="1" w:styleId="ListParagraphChar">
    <w:name w:val="List Paragraph Char"/>
    <w:aliases w:val="Recommendation Char,List Paragraph1 Char,List Paragraph11 Char,Bullet point Char,#List Paragraph Char,List Paragraph* Char,Dot Point Char,L Char,Bullet Points Char,NFP GP Bulleted List Char,First level bullet point Char"/>
    <w:basedOn w:val="DefaultParagraphFont"/>
    <w:link w:val="ListParagraph"/>
    <w:uiPriority w:val="34"/>
    <w:qFormat/>
    <w:locked/>
    <w:rsid w:val="00594453"/>
    <w:rPr>
      <w:rFonts w:ascii="Arial" w:eastAsia="Times New Roman" w:hAnsi="Arial" w:cs="Times New Roman"/>
    </w:rPr>
  </w:style>
  <w:style w:type="paragraph" w:customStyle="1" w:styleId="BodyText1">
    <w:name w:val="Body Text1"/>
    <w:basedOn w:val="Normal"/>
    <w:qFormat/>
    <w:rsid w:val="007A25F0"/>
    <w:pPr>
      <w:suppressAutoHyphens w:val="0"/>
      <w:spacing w:before="0" w:after="120" w:line="240" w:lineRule="auto"/>
    </w:pPr>
    <w:rPr>
      <w:rFonts w:ascii="Cambria" w:eastAsia="Times New Roman" w:hAnsi="Cambria" w:cs="Times New Roman"/>
      <w:szCs w:val="24"/>
    </w:rPr>
  </w:style>
  <w:style w:type="paragraph" w:customStyle="1" w:styleId="highlightedtext">
    <w:name w:val="highlighted text"/>
    <w:basedOn w:val="Normal"/>
    <w:link w:val="highlightedtextChar"/>
    <w:qFormat/>
    <w:rsid w:val="00EE2B1C"/>
    <w:pPr>
      <w:pBdr>
        <w:top w:val="single" w:sz="4" w:space="1" w:color="auto"/>
        <w:left w:val="single" w:sz="4" w:space="4" w:color="auto"/>
        <w:bottom w:val="single" w:sz="4" w:space="1" w:color="auto"/>
        <w:right w:val="single" w:sz="4" w:space="4" w:color="auto"/>
      </w:pBdr>
      <w:spacing w:after="0"/>
      <w:jc w:val="center"/>
    </w:pPr>
    <w:rPr>
      <w:b/>
      <w:color w:val="745B00" w:themeColor="accent3" w:themeShade="80"/>
    </w:rPr>
  </w:style>
  <w:style w:type="paragraph" w:styleId="NoSpacing">
    <w:name w:val="No Spacing"/>
    <w:link w:val="NoSpacingChar"/>
    <w:uiPriority w:val="1"/>
    <w:qFormat/>
    <w:rsid w:val="00045933"/>
    <w:pPr>
      <w:spacing w:after="0" w:line="240" w:lineRule="auto"/>
    </w:pPr>
    <w:rPr>
      <w:rFonts w:ascii="Calibri" w:eastAsia="Times New Roman" w:hAnsi="Calibri" w:cs="Times New Roman"/>
    </w:rPr>
  </w:style>
  <w:style w:type="character" w:customStyle="1" w:styleId="highlightedtextChar">
    <w:name w:val="highlighted text Char"/>
    <w:basedOn w:val="DefaultParagraphFont"/>
    <w:link w:val="highlightedtext"/>
    <w:rsid w:val="00EE2B1C"/>
    <w:rPr>
      <w:b/>
      <w:color w:val="745B00" w:themeColor="accent3" w:themeShade="80"/>
    </w:rPr>
  </w:style>
  <w:style w:type="character" w:customStyle="1" w:styleId="NoSpacingChar">
    <w:name w:val="No Spacing Char"/>
    <w:basedOn w:val="DefaultParagraphFont"/>
    <w:link w:val="NoSpacing"/>
    <w:uiPriority w:val="1"/>
    <w:rsid w:val="00045933"/>
    <w:rPr>
      <w:rFonts w:ascii="Calibri" w:eastAsia="Times New Roman" w:hAnsi="Calibri" w:cs="Times New Roman"/>
    </w:rPr>
  </w:style>
  <w:style w:type="paragraph" w:styleId="BalloonText">
    <w:name w:val="Balloon Text"/>
    <w:basedOn w:val="Normal"/>
    <w:link w:val="BalloonTextChar"/>
    <w:uiPriority w:val="99"/>
    <w:semiHidden/>
    <w:rsid w:val="00340616"/>
    <w:pPr>
      <w:suppressAutoHyphens w:val="0"/>
      <w:spacing w:before="0"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340616"/>
    <w:rPr>
      <w:rFonts w:ascii="Tahoma" w:eastAsia="Times New Roman" w:hAnsi="Tahoma" w:cs="Tahoma"/>
      <w:sz w:val="16"/>
      <w:szCs w:val="16"/>
    </w:rPr>
  </w:style>
  <w:style w:type="paragraph" w:customStyle="1" w:styleId="FCHeader">
    <w:name w:val="FC_Header"/>
    <w:basedOn w:val="Heading8"/>
    <w:uiPriority w:val="99"/>
    <w:rsid w:val="00340616"/>
    <w:pPr>
      <w:keepLines w:val="0"/>
      <w:tabs>
        <w:tab w:val="num" w:pos="1440"/>
      </w:tabs>
      <w:suppressAutoHyphens w:val="0"/>
      <w:spacing w:before="240" w:after="360" w:line="240" w:lineRule="auto"/>
      <w:ind w:hanging="432"/>
      <w:contextualSpacing w:val="0"/>
    </w:pPr>
    <w:rPr>
      <w:rFonts w:ascii="Arial" w:eastAsia="Times New Roman" w:hAnsi="Arial" w:cs="Times New Roman"/>
      <w:b/>
      <w:color w:val="auto"/>
      <w:spacing w:val="-5"/>
      <w:sz w:val="36"/>
      <w:szCs w:val="20"/>
      <w:lang w:val="en-US"/>
    </w:rPr>
  </w:style>
  <w:style w:type="paragraph" w:styleId="CommentText">
    <w:name w:val="annotation text"/>
    <w:basedOn w:val="Normal"/>
    <w:link w:val="CommentTextChar"/>
    <w:uiPriority w:val="99"/>
    <w:rsid w:val="00340616"/>
    <w:pPr>
      <w:suppressAutoHyphens w:val="0"/>
      <w:spacing w:before="0" w:after="20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340616"/>
    <w:rPr>
      <w:rFonts w:ascii="Calibri" w:eastAsia="Times New Roman" w:hAnsi="Calibri" w:cs="Times New Roman"/>
      <w:sz w:val="20"/>
      <w:szCs w:val="20"/>
    </w:rPr>
  </w:style>
  <w:style w:type="paragraph" w:customStyle="1" w:styleId="notetext">
    <w:name w:val="notetext"/>
    <w:basedOn w:val="Normal"/>
    <w:uiPriority w:val="99"/>
    <w:rsid w:val="00340616"/>
    <w:pPr>
      <w:suppressAutoHyphens w:val="0"/>
      <w:spacing w:before="122" w:after="0" w:line="198" w:lineRule="atLeast"/>
      <w:ind w:left="1985" w:hanging="851"/>
    </w:pPr>
    <w:rPr>
      <w:rFonts w:ascii="Times New Roman" w:eastAsia="Times New Roman" w:hAnsi="Times New Roman" w:cs="Times New Roman"/>
      <w:sz w:val="18"/>
      <w:szCs w:val="18"/>
      <w:lang w:eastAsia="en-AU"/>
    </w:rPr>
  </w:style>
  <w:style w:type="paragraph" w:customStyle="1" w:styleId="subsection">
    <w:name w:val="subsection"/>
    <w:aliases w:val="ss"/>
    <w:basedOn w:val="Normal"/>
    <w:uiPriority w:val="99"/>
    <w:rsid w:val="00340616"/>
    <w:pPr>
      <w:suppressAutoHyphens w:val="0"/>
      <w:spacing w:after="0" w:line="240" w:lineRule="auto"/>
      <w:ind w:left="1134" w:hanging="1134"/>
    </w:pPr>
    <w:rPr>
      <w:rFonts w:ascii="Times New Roman" w:eastAsia="Times New Roman" w:hAnsi="Times New Roman" w:cs="Times New Roman"/>
      <w:lang w:eastAsia="en-AU"/>
    </w:rPr>
  </w:style>
  <w:style w:type="paragraph" w:customStyle="1" w:styleId="definition">
    <w:name w:val="definition"/>
    <w:basedOn w:val="Normal"/>
    <w:uiPriority w:val="99"/>
    <w:rsid w:val="00340616"/>
    <w:pPr>
      <w:suppressAutoHyphens w:val="0"/>
      <w:spacing w:after="0" w:line="240" w:lineRule="auto"/>
      <w:ind w:left="1134"/>
    </w:pPr>
    <w:rPr>
      <w:rFonts w:ascii="Times New Roman" w:eastAsia="Times New Roman" w:hAnsi="Times New Roman" w:cs="Times New Roman"/>
      <w:lang w:eastAsia="en-AU"/>
    </w:rPr>
  </w:style>
  <w:style w:type="paragraph" w:customStyle="1" w:styleId="FCList">
    <w:name w:val="FC_List"/>
    <w:basedOn w:val="Header"/>
    <w:uiPriority w:val="99"/>
    <w:rsid w:val="00340616"/>
    <w:pPr>
      <w:tabs>
        <w:tab w:val="clear" w:pos="4513"/>
        <w:tab w:val="clear" w:pos="9026"/>
      </w:tabs>
      <w:suppressAutoHyphens w:val="0"/>
      <w:spacing w:before="60" w:after="60" w:line="240" w:lineRule="auto"/>
      <w:jc w:val="left"/>
    </w:pPr>
    <w:rPr>
      <w:rFonts w:ascii="Times New Roman" w:eastAsia="Times New Roman" w:hAnsi="Times New Roman" w:cs="Times New Roman"/>
      <w:sz w:val="24"/>
      <w:szCs w:val="24"/>
    </w:rPr>
  </w:style>
  <w:style w:type="paragraph" w:customStyle="1" w:styleId="FCTitle">
    <w:name w:val="FC_Title"/>
    <w:basedOn w:val="Normal"/>
    <w:uiPriority w:val="99"/>
    <w:rsid w:val="00340616"/>
    <w:pPr>
      <w:suppressAutoHyphens w:val="0"/>
      <w:spacing w:before="240" w:after="360" w:line="240" w:lineRule="auto"/>
    </w:pPr>
    <w:rPr>
      <w:rFonts w:ascii="Arial" w:eastAsia="Times New Roman" w:hAnsi="Arial" w:cs="Arial"/>
      <w:b/>
      <w:bCs/>
      <w:sz w:val="32"/>
      <w:szCs w:val="24"/>
    </w:rPr>
  </w:style>
  <w:style w:type="paragraph" w:styleId="BodyTextIndent2">
    <w:name w:val="Body Text Indent 2"/>
    <w:basedOn w:val="Normal"/>
    <w:link w:val="BodyTextIndent2Char"/>
    <w:uiPriority w:val="99"/>
    <w:rsid w:val="00340616"/>
    <w:pPr>
      <w:suppressAutoHyphens w:val="0"/>
      <w:spacing w:before="0" w:after="120" w:line="480" w:lineRule="auto"/>
      <w:ind w:left="283"/>
    </w:pPr>
    <w:rPr>
      <w:rFonts w:ascii="Times New Roman" w:eastAsia="Times New Roman" w:hAnsi="Times New Roman" w:cs="Times New Roman"/>
      <w:sz w:val="24"/>
      <w:szCs w:val="24"/>
      <w:lang w:eastAsia="en-AU"/>
    </w:rPr>
  </w:style>
  <w:style w:type="character" w:customStyle="1" w:styleId="BodyTextIndent2Char">
    <w:name w:val="Body Text Indent 2 Char"/>
    <w:basedOn w:val="DefaultParagraphFont"/>
    <w:link w:val="BodyTextIndent2"/>
    <w:uiPriority w:val="99"/>
    <w:rsid w:val="00340616"/>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rsid w:val="00340616"/>
    <w:rPr>
      <w:rFonts w:cs="Times New Roman"/>
      <w:color w:val="800080"/>
      <w:u w:val="single"/>
    </w:rPr>
  </w:style>
  <w:style w:type="character" w:styleId="CommentReference">
    <w:name w:val="annotation reference"/>
    <w:basedOn w:val="DefaultParagraphFont"/>
    <w:uiPriority w:val="99"/>
    <w:rsid w:val="00340616"/>
    <w:rPr>
      <w:rFonts w:cs="Times New Roman"/>
      <w:sz w:val="16"/>
      <w:szCs w:val="16"/>
    </w:rPr>
  </w:style>
  <w:style w:type="paragraph" w:styleId="CommentSubject">
    <w:name w:val="annotation subject"/>
    <w:basedOn w:val="CommentText"/>
    <w:next w:val="CommentText"/>
    <w:link w:val="CommentSubjectChar"/>
    <w:uiPriority w:val="99"/>
    <w:semiHidden/>
    <w:rsid w:val="00340616"/>
    <w:rPr>
      <w:b/>
      <w:bCs/>
    </w:rPr>
  </w:style>
  <w:style w:type="character" w:customStyle="1" w:styleId="CommentSubjectChar">
    <w:name w:val="Comment Subject Char"/>
    <w:basedOn w:val="CommentTextChar"/>
    <w:link w:val="CommentSubject"/>
    <w:uiPriority w:val="99"/>
    <w:semiHidden/>
    <w:rsid w:val="00340616"/>
    <w:rPr>
      <w:rFonts w:ascii="Calibri" w:eastAsia="Times New Roman" w:hAnsi="Calibri" w:cs="Times New Roman"/>
      <w:b/>
      <w:bCs/>
      <w:sz w:val="20"/>
      <w:szCs w:val="20"/>
    </w:rPr>
  </w:style>
  <w:style w:type="paragraph" w:styleId="Revision">
    <w:name w:val="Revision"/>
    <w:hidden/>
    <w:uiPriority w:val="99"/>
    <w:semiHidden/>
    <w:rsid w:val="00340616"/>
    <w:pPr>
      <w:spacing w:after="0" w:line="240" w:lineRule="auto"/>
    </w:pPr>
    <w:rPr>
      <w:rFonts w:ascii="Calibri" w:eastAsia="Times New Roman" w:hAnsi="Calibri" w:cs="Times New Roman"/>
    </w:rPr>
  </w:style>
  <w:style w:type="paragraph" w:customStyle="1" w:styleId="bodybodytext">
    <w:name w:val="body: body text"/>
    <w:basedOn w:val="Normal"/>
    <w:uiPriority w:val="99"/>
    <w:rsid w:val="00340616"/>
    <w:pPr>
      <w:widowControl w:val="0"/>
      <w:autoSpaceDE w:val="0"/>
      <w:autoSpaceDN w:val="0"/>
      <w:adjustRightInd w:val="0"/>
      <w:spacing w:before="170" w:after="0" w:line="250" w:lineRule="atLeast"/>
      <w:textAlignment w:val="center"/>
    </w:pPr>
    <w:rPr>
      <w:rFonts w:ascii="TheSansLight-Plain" w:eastAsia="Times New Roma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340616"/>
    <w:rPr>
      <w:rFonts w:ascii="Symbol" w:hAnsi="Symbol"/>
      <w:w w:val="100"/>
    </w:rPr>
  </w:style>
  <w:style w:type="paragraph" w:customStyle="1" w:styleId="Guidelinesbodytext">
    <w:name w:val="Guidelines body text"/>
    <w:basedOn w:val="NoSpacing"/>
    <w:qFormat/>
    <w:rsid w:val="00340616"/>
    <w:rPr>
      <w:color w:val="000000"/>
      <w:szCs w:val="20"/>
      <w:lang w:val="en-US" w:bidi="en-US"/>
    </w:rPr>
  </w:style>
  <w:style w:type="paragraph" w:styleId="ListBullet">
    <w:name w:val="List Bullet"/>
    <w:basedOn w:val="Normal"/>
    <w:uiPriority w:val="99"/>
    <w:rsid w:val="00340616"/>
    <w:pPr>
      <w:numPr>
        <w:numId w:val="6"/>
      </w:numPr>
      <w:suppressAutoHyphens w:val="0"/>
      <w:spacing w:before="200" w:after="200" w:line="276" w:lineRule="auto"/>
      <w:contextualSpacing/>
    </w:pPr>
    <w:rPr>
      <w:rFonts w:ascii="Calibri" w:eastAsia="Times New Roman" w:hAnsi="Calibri" w:cs="Times New Roman"/>
      <w:sz w:val="20"/>
      <w:szCs w:val="20"/>
      <w:lang w:val="en-US" w:bidi="en-US"/>
    </w:rPr>
  </w:style>
  <w:style w:type="paragraph" w:customStyle="1" w:styleId="GuidelinesInstructions">
    <w:name w:val="Guidelines Instructions"/>
    <w:basedOn w:val="NoSpacing"/>
    <w:autoRedefine/>
    <w:qFormat/>
    <w:rsid w:val="00340616"/>
    <w:rPr>
      <w:i/>
      <w:color w:val="FF0000"/>
      <w:sz w:val="20"/>
      <w:szCs w:val="20"/>
      <w:lang w:val="en-US" w:bidi="en-US"/>
    </w:rPr>
  </w:style>
  <w:style w:type="paragraph" w:customStyle="1" w:styleId="Default">
    <w:name w:val="Default"/>
    <w:rsid w:val="00340616"/>
    <w:pPr>
      <w:autoSpaceDE w:val="0"/>
      <w:autoSpaceDN w:val="0"/>
      <w:adjustRightInd w:val="0"/>
      <w:spacing w:after="0" w:line="240" w:lineRule="auto"/>
    </w:pPr>
    <w:rPr>
      <w:rFonts w:ascii="Arial" w:eastAsia="Calibri" w:hAnsi="Arial" w:cs="Arial"/>
      <w:color w:val="000000"/>
      <w:sz w:val="24"/>
      <w:szCs w:val="24"/>
    </w:rPr>
  </w:style>
  <w:style w:type="numbering" w:customStyle="1" w:styleId="Bulletlist">
    <w:name w:val="Bullet list"/>
    <w:uiPriority w:val="99"/>
    <w:rsid w:val="00340616"/>
    <w:pPr>
      <w:numPr>
        <w:numId w:val="5"/>
      </w:numPr>
    </w:pPr>
  </w:style>
  <w:style w:type="paragraph" w:customStyle="1" w:styleId="Bullet">
    <w:name w:val="Bullet"/>
    <w:aliases w:val="b"/>
    <w:basedOn w:val="Normal"/>
    <w:qFormat/>
    <w:rsid w:val="00340616"/>
    <w:pPr>
      <w:tabs>
        <w:tab w:val="num" w:pos="284"/>
      </w:tabs>
      <w:suppressAutoHyphens w:val="0"/>
      <w:spacing w:before="240" w:after="120" w:line="240" w:lineRule="auto"/>
      <w:ind w:left="284" w:hanging="284"/>
      <w:jc w:val="both"/>
    </w:pPr>
    <w:rPr>
      <w:rFonts w:ascii="Arial" w:eastAsia="Calibri" w:hAnsi="Arial" w:cs="Arial"/>
    </w:rPr>
  </w:style>
  <w:style w:type="paragraph" w:customStyle="1" w:styleId="GuidelinesSubheading">
    <w:name w:val="Guidelines Subheading"/>
    <w:basedOn w:val="NoSpacing"/>
    <w:autoRedefine/>
    <w:qFormat/>
    <w:rsid w:val="00340616"/>
    <w:pPr>
      <w:pBdr>
        <w:bottom w:val="single" w:sz="8" w:space="1" w:color="000000"/>
      </w:pBdr>
      <w:spacing w:before="107"/>
      <w:ind w:right="-74"/>
      <w:textboxTightWrap w:val="allLines"/>
      <w:outlineLvl w:val="1"/>
    </w:pPr>
    <w:rPr>
      <w:rFonts w:ascii="Arial" w:hAnsi="Arial" w:cs="Arial"/>
      <w:b/>
      <w:color w:val="000000"/>
      <w:szCs w:val="24"/>
      <w:u w:color="000000"/>
      <w:lang w:val="en-US" w:bidi="en-US"/>
    </w:rPr>
  </w:style>
  <w:style w:type="paragraph" w:customStyle="1" w:styleId="footnote">
    <w:name w:val="footnote"/>
    <w:basedOn w:val="Normal"/>
    <w:uiPriority w:val="99"/>
    <w:rsid w:val="00340616"/>
    <w:pPr>
      <w:widowControl w:val="0"/>
      <w:tabs>
        <w:tab w:val="left" w:pos="283"/>
      </w:tabs>
      <w:autoSpaceDE w:val="0"/>
      <w:autoSpaceDN w:val="0"/>
      <w:adjustRightInd w:val="0"/>
      <w:spacing w:before="170" w:after="0" w:line="160" w:lineRule="atLeast"/>
      <w:textAlignment w:val="center"/>
    </w:pPr>
    <w:rPr>
      <w:rFonts w:ascii="TheSansLight-Plain" w:eastAsia="Times New Roman" w:hAnsi="TheSansLight-Plain" w:cs="TheSansLight-Plain"/>
      <w:color w:val="000000"/>
      <w:spacing w:val="-1"/>
      <w:sz w:val="14"/>
      <w:szCs w:val="14"/>
      <w:lang w:val="en-US"/>
    </w:rPr>
  </w:style>
  <w:style w:type="character" w:customStyle="1" w:styleId="apple-converted-space">
    <w:name w:val="apple-converted-space"/>
    <w:basedOn w:val="DefaultParagraphFont"/>
    <w:rsid w:val="00340616"/>
  </w:style>
  <w:style w:type="paragraph" w:customStyle="1" w:styleId="Heading2flowchart">
    <w:name w:val="Heading 2 flowchart"/>
    <w:basedOn w:val="Normal"/>
    <w:qFormat/>
    <w:rsid w:val="00340616"/>
    <w:pPr>
      <w:keepNext/>
      <w:pBdr>
        <w:top w:val="single" w:sz="2" w:space="1" w:color="auto"/>
        <w:left w:val="single" w:sz="2" w:space="4" w:color="auto"/>
        <w:bottom w:val="single" w:sz="2" w:space="1" w:color="auto"/>
        <w:right w:val="single" w:sz="2" w:space="4" w:color="auto"/>
      </w:pBdr>
      <w:suppressAutoHyphens w:val="0"/>
      <w:spacing w:before="60" w:line="240" w:lineRule="auto"/>
      <w:jc w:val="center"/>
      <w:outlineLvl w:val="1"/>
    </w:pPr>
    <w:rPr>
      <w:rFonts w:ascii="Arial" w:eastAsia="Times New Roman" w:hAnsi="Arial" w:cstheme="minorHAnsi"/>
      <w:b/>
      <w:bCs/>
      <w:sz w:val="20"/>
      <w:szCs w:val="32"/>
    </w:rPr>
  </w:style>
  <w:style w:type="numbering" w:customStyle="1" w:styleId="Headings">
    <w:name w:val="Headings"/>
    <w:uiPriority w:val="99"/>
    <w:rsid w:val="00340616"/>
    <w:pPr>
      <w:numPr>
        <w:numId w:val="7"/>
      </w:numPr>
    </w:pPr>
  </w:style>
  <w:style w:type="paragraph" w:customStyle="1" w:styleId="Tabletext0">
    <w:name w:val="Tabletext"/>
    <w:aliases w:val="tt"/>
    <w:basedOn w:val="Normal"/>
    <w:uiPriority w:val="99"/>
    <w:rsid w:val="00340616"/>
    <w:pPr>
      <w:suppressAutoHyphens w:val="0"/>
      <w:spacing w:before="60" w:after="0" w:line="240" w:lineRule="atLeast"/>
    </w:pPr>
    <w:rPr>
      <w:rFonts w:ascii="Times New Roman" w:hAnsi="Times New Roman" w:cs="Times New Roman"/>
      <w:sz w:val="20"/>
      <w:szCs w:val="20"/>
      <w:lang w:eastAsia="en-AU"/>
    </w:rPr>
  </w:style>
  <w:style w:type="paragraph" w:customStyle="1" w:styleId="Chrissie1">
    <w:name w:val="Chrissie1"/>
    <w:basedOn w:val="ListParagraph"/>
    <w:link w:val="Chrissie1Char"/>
    <w:qFormat/>
    <w:rsid w:val="00340616"/>
    <w:pPr>
      <w:numPr>
        <w:numId w:val="8"/>
      </w:numPr>
      <w:spacing w:after="0" w:line="240" w:lineRule="auto"/>
      <w:ind w:left="567" w:hanging="357"/>
      <w:contextualSpacing/>
    </w:pPr>
    <w:rPr>
      <w:rFonts w:eastAsia="Calibri" w:cs="Arial"/>
      <w:sz w:val="20"/>
    </w:rPr>
  </w:style>
  <w:style w:type="character" w:customStyle="1" w:styleId="Chrissie1Char">
    <w:name w:val="Chrissie1 Char"/>
    <w:basedOn w:val="ListParagraphChar"/>
    <w:link w:val="Chrissie1"/>
    <w:rsid w:val="00340616"/>
    <w:rPr>
      <w:rFonts w:ascii="Arial" w:eastAsia="Calibri" w:hAnsi="Arial" w:cs="Arial"/>
      <w:sz w:val="20"/>
    </w:rPr>
  </w:style>
  <w:style w:type="paragraph" w:styleId="ListNumber">
    <w:name w:val="List Number"/>
    <w:basedOn w:val="Normal"/>
    <w:rsid w:val="00340616"/>
    <w:pPr>
      <w:numPr>
        <w:numId w:val="9"/>
      </w:numPr>
      <w:suppressAutoHyphens w:val="0"/>
      <w:spacing w:before="40" w:after="120"/>
    </w:pPr>
    <w:rPr>
      <w:rFonts w:ascii="Arial" w:eastAsia="Times New Roman" w:hAnsi="Arial" w:cs="Times New Roman"/>
      <w:iCs/>
      <w:sz w:val="20"/>
      <w:szCs w:val="24"/>
    </w:rPr>
  </w:style>
  <w:style w:type="paragraph" w:customStyle="1" w:styleId="Bullets1stindent">
    <w:name w:val="Bullets (1st indent)"/>
    <w:basedOn w:val="BodyText1"/>
    <w:link w:val="Bullets1stindentChar"/>
    <w:uiPriority w:val="99"/>
    <w:rsid w:val="00340616"/>
    <w:pPr>
      <w:numPr>
        <w:numId w:val="11"/>
      </w:numPr>
    </w:pPr>
  </w:style>
  <w:style w:type="paragraph" w:customStyle="1" w:styleId="Bullets2ndindent">
    <w:name w:val="Bullets (2nd indent)"/>
    <w:basedOn w:val="BodyText1"/>
    <w:rsid w:val="00340616"/>
    <w:pPr>
      <w:numPr>
        <w:ilvl w:val="1"/>
        <w:numId w:val="11"/>
      </w:numPr>
    </w:pPr>
  </w:style>
  <w:style w:type="numbering" w:customStyle="1" w:styleId="Bullets">
    <w:name w:val="Bullets"/>
    <w:basedOn w:val="NoList"/>
    <w:uiPriority w:val="99"/>
    <w:rsid w:val="00340616"/>
    <w:pPr>
      <w:numPr>
        <w:numId w:val="11"/>
      </w:numPr>
    </w:pPr>
  </w:style>
  <w:style w:type="paragraph" w:customStyle="1" w:styleId="Figuretitle">
    <w:name w:val="Figure title"/>
    <w:basedOn w:val="Heading2"/>
    <w:next w:val="BodyText1"/>
    <w:rsid w:val="00340616"/>
    <w:pPr>
      <w:keepNext w:val="0"/>
      <w:keepLines w:val="0"/>
      <w:numPr>
        <w:ilvl w:val="6"/>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Bulletslast1stindent">
    <w:name w:val="Bullets last (1st indent)"/>
    <w:basedOn w:val="BodyText1"/>
    <w:rsid w:val="00340616"/>
    <w:pPr>
      <w:numPr>
        <w:ilvl w:val="2"/>
        <w:numId w:val="11"/>
      </w:numPr>
    </w:pPr>
  </w:style>
  <w:style w:type="numbering" w:customStyle="1" w:styleId="Numbers">
    <w:name w:val="Numbers"/>
    <w:basedOn w:val="NoList"/>
    <w:rsid w:val="00340616"/>
    <w:pPr>
      <w:numPr>
        <w:numId w:val="12"/>
      </w:numPr>
    </w:pPr>
  </w:style>
  <w:style w:type="paragraph" w:customStyle="1" w:styleId="Bulletslast2ndindent">
    <w:name w:val="Bullets last (2nd indent)"/>
    <w:basedOn w:val="BodyText1"/>
    <w:rsid w:val="00340616"/>
    <w:pPr>
      <w:numPr>
        <w:ilvl w:val="3"/>
        <w:numId w:val="11"/>
      </w:numPr>
      <w:spacing w:after="57"/>
    </w:pPr>
  </w:style>
  <w:style w:type="paragraph" w:customStyle="1" w:styleId="Tablebodytext">
    <w:name w:val="Table body text"/>
    <w:qFormat/>
    <w:rsid w:val="00340616"/>
    <w:pPr>
      <w:spacing w:before="57" w:after="57" w:line="220" w:lineRule="atLeast"/>
      <w:ind w:left="96" w:right="96"/>
    </w:pPr>
    <w:rPr>
      <w:rFonts w:ascii="Arial" w:eastAsia="Times New Roman" w:hAnsi="Arial" w:cs="Times New Roman"/>
      <w:sz w:val="17"/>
      <w:szCs w:val="24"/>
    </w:rPr>
  </w:style>
  <w:style w:type="paragraph" w:customStyle="1" w:styleId="Tablebullets2ndindent">
    <w:name w:val="Table bullets (2nd indent)"/>
    <w:basedOn w:val="Tablebodytext"/>
    <w:qFormat/>
    <w:rsid w:val="00340616"/>
    <w:pPr>
      <w:numPr>
        <w:ilvl w:val="6"/>
        <w:numId w:val="11"/>
      </w:numPr>
    </w:pPr>
  </w:style>
  <w:style w:type="paragraph" w:customStyle="1" w:styleId="Tablebullets1stindent">
    <w:name w:val="Table bullets (1st indent)"/>
    <w:basedOn w:val="Tablebodytext"/>
    <w:qFormat/>
    <w:rsid w:val="00340616"/>
    <w:pPr>
      <w:numPr>
        <w:ilvl w:val="5"/>
        <w:numId w:val="11"/>
      </w:numPr>
    </w:pPr>
  </w:style>
  <w:style w:type="paragraph" w:customStyle="1" w:styleId="Tablecolumnheading">
    <w:name w:val="Table column heading"/>
    <w:basedOn w:val="Tablebodytext"/>
    <w:qFormat/>
    <w:rsid w:val="00340616"/>
    <w:pPr>
      <w:keepNext/>
    </w:pPr>
    <w:rPr>
      <w:b/>
    </w:rPr>
  </w:style>
  <w:style w:type="paragraph" w:customStyle="1" w:styleId="Tabletitle">
    <w:name w:val="Table title"/>
    <w:basedOn w:val="Heading2"/>
    <w:next w:val="BodyText1"/>
    <w:rsid w:val="00340616"/>
    <w:pPr>
      <w:keepNext w:val="0"/>
      <w:keepLines w:val="0"/>
      <w:numPr>
        <w:ilvl w:val="8"/>
        <w:numId w:val="10"/>
      </w:numPr>
      <w:suppressAutoHyphens w:val="0"/>
      <w:spacing w:before="0" w:line="240" w:lineRule="auto"/>
      <w:contextualSpacing w:val="0"/>
    </w:pPr>
    <w:rPr>
      <w:rFonts w:ascii="Arial" w:eastAsia="Times New Roman" w:hAnsi="Arial" w:cs="Times New Roman"/>
      <w:b/>
      <w:color w:val="auto"/>
      <w:spacing w:val="-6"/>
      <w:sz w:val="26"/>
      <w:szCs w:val="24"/>
    </w:rPr>
  </w:style>
  <w:style w:type="paragraph" w:customStyle="1" w:styleId="Notetitle">
    <w:name w:val="Note title"/>
    <w:basedOn w:val="Heading2"/>
    <w:rsid w:val="00340616"/>
    <w:pPr>
      <w:keepNext w:val="0"/>
      <w:keepLines w:val="0"/>
      <w:numPr>
        <w:ilvl w:val="7"/>
        <w:numId w:val="10"/>
      </w:numPr>
      <w:suppressAutoHyphens w:val="0"/>
      <w:spacing w:before="0" w:line="240" w:lineRule="auto"/>
      <w:contextualSpacing w:val="0"/>
    </w:pPr>
    <w:rPr>
      <w:rFonts w:ascii="Arial" w:eastAsia="Times New Roman" w:hAnsi="Arial" w:cs="Times New Roman"/>
      <w:b/>
      <w:color w:val="auto"/>
      <w:spacing w:val="-6"/>
      <w:sz w:val="26"/>
    </w:rPr>
  </w:style>
  <w:style w:type="paragraph" w:customStyle="1" w:styleId="Numberedpara1stindent">
    <w:name w:val="Numbered para (1st indent)"/>
    <w:basedOn w:val="BodyText1"/>
    <w:rsid w:val="00340616"/>
    <w:pPr>
      <w:numPr>
        <w:ilvl w:val="3"/>
        <w:numId w:val="10"/>
      </w:numPr>
    </w:pPr>
  </w:style>
  <w:style w:type="paragraph" w:customStyle="1" w:styleId="Numberedpara2ndindent">
    <w:name w:val="Numbered para (2nd indent)"/>
    <w:basedOn w:val="BodyText1"/>
    <w:rsid w:val="00340616"/>
    <w:pPr>
      <w:numPr>
        <w:ilvl w:val="4"/>
        <w:numId w:val="10"/>
      </w:numPr>
    </w:pPr>
  </w:style>
  <w:style w:type="paragraph" w:customStyle="1" w:styleId="Numberedpara3rdindent">
    <w:name w:val="Numbered para (3rd indent)"/>
    <w:basedOn w:val="BodyText1"/>
    <w:rsid w:val="00340616"/>
    <w:pPr>
      <w:numPr>
        <w:ilvl w:val="5"/>
        <w:numId w:val="10"/>
      </w:numPr>
    </w:pPr>
  </w:style>
  <w:style w:type="paragraph" w:customStyle="1" w:styleId="Sourcenotetext">
    <w:name w:val="Source/note text"/>
    <w:qFormat/>
    <w:rsid w:val="00340616"/>
    <w:pPr>
      <w:spacing w:before="85" w:after="85" w:line="240" w:lineRule="auto"/>
    </w:pPr>
    <w:rPr>
      <w:rFonts w:ascii="Arial" w:eastAsia="Times New Roman" w:hAnsi="Arial" w:cs="Arial"/>
      <w:i/>
      <w:sz w:val="12"/>
      <w:szCs w:val="12"/>
    </w:rPr>
  </w:style>
  <w:style w:type="character" w:customStyle="1" w:styleId="CABNETParagraphAttChar">
    <w:name w:val="CABNET Paragraph Att Char"/>
    <w:basedOn w:val="DefaultParagraphFont"/>
    <w:link w:val="CABNETParagraphAtt"/>
    <w:locked/>
    <w:rsid w:val="00DC1682"/>
  </w:style>
  <w:style w:type="paragraph" w:customStyle="1" w:styleId="CABNETParagraphAtt">
    <w:name w:val="CABNET Paragraph Att"/>
    <w:basedOn w:val="Normal"/>
    <w:link w:val="CABNETParagraphAttChar"/>
    <w:rsid w:val="00DC1682"/>
    <w:pPr>
      <w:suppressAutoHyphens w:val="0"/>
      <w:spacing w:before="120" w:after="120" w:line="240" w:lineRule="auto"/>
    </w:pPr>
  </w:style>
  <w:style w:type="character" w:styleId="BookTitle">
    <w:name w:val="Book Title"/>
    <w:uiPriority w:val="33"/>
    <w:qFormat/>
    <w:rsid w:val="00E95846"/>
    <w:rPr>
      <w:i/>
      <w:iCs/>
      <w:smallCaps/>
      <w:spacing w:val="5"/>
    </w:rPr>
  </w:style>
  <w:style w:type="table" w:styleId="LightList">
    <w:name w:val="Light List"/>
    <w:basedOn w:val="TableNormal"/>
    <w:uiPriority w:val="61"/>
    <w:rsid w:val="00E9584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BulletsList1">
    <w:name w:val="Bullets List1"/>
    <w:uiPriority w:val="99"/>
    <w:rsid w:val="00A67314"/>
  </w:style>
  <w:style w:type="paragraph" w:styleId="BodyText">
    <w:name w:val="Body Text"/>
    <w:basedOn w:val="Normal"/>
    <w:link w:val="BodyTextChar"/>
    <w:unhideWhenUsed/>
    <w:rsid w:val="001200E3"/>
    <w:pPr>
      <w:spacing w:after="120"/>
    </w:pPr>
  </w:style>
  <w:style w:type="character" w:customStyle="1" w:styleId="BodyTextChar">
    <w:name w:val="Body Text Char"/>
    <w:basedOn w:val="DefaultParagraphFont"/>
    <w:link w:val="BodyText"/>
    <w:rsid w:val="001200E3"/>
  </w:style>
  <w:style w:type="paragraph" w:customStyle="1" w:styleId="CEOBrief-Heading1">
    <w:name w:val="CEO Brief - Heading 1"/>
    <w:basedOn w:val="ListParagraph"/>
    <w:link w:val="CEOBrief-Heading1Char"/>
    <w:qFormat/>
    <w:rsid w:val="00DC2B9B"/>
    <w:pPr>
      <w:spacing w:before="120" w:after="120" w:line="240" w:lineRule="auto"/>
      <w:ind w:left="0"/>
    </w:pPr>
    <w:rPr>
      <w:rFonts w:cs="Arial"/>
      <w:b/>
      <w:sz w:val="32"/>
    </w:rPr>
  </w:style>
  <w:style w:type="paragraph" w:customStyle="1" w:styleId="CEOBrief-Paragraph1">
    <w:name w:val="CEO Brief - Paragraph 1"/>
    <w:basedOn w:val="ListParagraph"/>
    <w:qFormat/>
    <w:rsid w:val="00DC2B9B"/>
    <w:pPr>
      <w:spacing w:before="120" w:after="120" w:line="240" w:lineRule="auto"/>
      <w:ind w:left="0"/>
    </w:pPr>
    <w:rPr>
      <w:rFonts w:cs="Arial"/>
      <w:b/>
      <w:sz w:val="28"/>
    </w:rPr>
  </w:style>
  <w:style w:type="paragraph" w:customStyle="1" w:styleId="CEOBrief-Paragaph2">
    <w:name w:val="CEO Brief - Paragaph 2"/>
    <w:basedOn w:val="CEOBrief-Paragraph1"/>
    <w:qFormat/>
    <w:rsid w:val="00143C10"/>
    <w:pPr>
      <w:numPr>
        <w:ilvl w:val="2"/>
      </w:numPr>
      <w:tabs>
        <w:tab w:val="num" w:pos="360"/>
      </w:tabs>
      <w:ind w:left="397" w:hanging="113"/>
    </w:pPr>
    <w:rPr>
      <w:sz w:val="24"/>
    </w:rPr>
  </w:style>
  <w:style w:type="character" w:customStyle="1" w:styleId="CEOBrief-Heading1Char">
    <w:name w:val="CEO Brief - Heading 1 Char"/>
    <w:basedOn w:val="DefaultParagraphFont"/>
    <w:link w:val="CEOBrief-Heading1"/>
    <w:rsid w:val="00DC2B9B"/>
    <w:rPr>
      <w:rFonts w:ascii="Arial" w:eastAsia="Times New Roman" w:hAnsi="Arial" w:cs="Arial"/>
      <w:b/>
      <w:sz w:val="32"/>
    </w:rPr>
  </w:style>
  <w:style w:type="paragraph" w:styleId="NormalWeb">
    <w:name w:val="Normal (Web)"/>
    <w:basedOn w:val="Normal"/>
    <w:uiPriority w:val="99"/>
    <w:unhideWhenUsed/>
    <w:rsid w:val="00B523A9"/>
    <w:pPr>
      <w:suppressAutoHyphens w:val="0"/>
      <w:spacing w:before="168" w:after="168" w:line="240" w:lineRule="auto"/>
    </w:pPr>
    <w:rPr>
      <w:rFonts w:ascii="Times New Roman" w:hAnsi="Times New Roman" w:cs="Times New Roman"/>
      <w:sz w:val="24"/>
      <w:szCs w:val="24"/>
      <w:lang w:eastAsia="en-AU"/>
    </w:rPr>
  </w:style>
  <w:style w:type="character" w:customStyle="1" w:styleId="ilfuvd">
    <w:name w:val="ilfuvd"/>
    <w:basedOn w:val="DefaultParagraphFont"/>
    <w:rsid w:val="002920E1"/>
  </w:style>
  <w:style w:type="character" w:customStyle="1" w:styleId="UnresolvedMention1">
    <w:name w:val="Unresolved Mention1"/>
    <w:basedOn w:val="DefaultParagraphFont"/>
    <w:uiPriority w:val="99"/>
    <w:semiHidden/>
    <w:unhideWhenUsed/>
    <w:rsid w:val="00D71DEE"/>
    <w:rPr>
      <w:color w:val="808080"/>
      <w:shd w:val="clear" w:color="auto" w:fill="E6E6E6"/>
    </w:rPr>
  </w:style>
  <w:style w:type="character" w:styleId="SubtleEmphasis">
    <w:name w:val="Subtle Emphasis"/>
    <w:uiPriority w:val="19"/>
    <w:qFormat/>
    <w:rsid w:val="00594453"/>
    <w:rPr>
      <w:i/>
      <w:iCs/>
    </w:rPr>
  </w:style>
  <w:style w:type="paragraph" w:styleId="Quote">
    <w:name w:val="Quote"/>
    <w:basedOn w:val="Normal"/>
    <w:next w:val="Normal"/>
    <w:link w:val="QuoteChar"/>
    <w:uiPriority w:val="29"/>
    <w:qFormat/>
    <w:rsid w:val="00594453"/>
    <w:pPr>
      <w:suppressAutoHyphens w:val="0"/>
      <w:spacing w:before="200" w:after="0" w:line="276" w:lineRule="auto"/>
      <w:ind w:left="360" w:right="360"/>
    </w:pPr>
    <w:rPr>
      <w:rFonts w:ascii="Arial" w:hAnsi="Arial"/>
      <w:i/>
      <w:iCs/>
    </w:rPr>
  </w:style>
  <w:style w:type="character" w:customStyle="1" w:styleId="QuoteChar">
    <w:name w:val="Quote Char"/>
    <w:basedOn w:val="DefaultParagraphFont"/>
    <w:link w:val="Quote"/>
    <w:uiPriority w:val="29"/>
    <w:rsid w:val="00594453"/>
    <w:rPr>
      <w:rFonts w:ascii="Arial" w:hAnsi="Arial"/>
      <w:i/>
      <w:iCs/>
    </w:rPr>
  </w:style>
  <w:style w:type="paragraph" w:styleId="IntenseQuote">
    <w:name w:val="Intense Quote"/>
    <w:basedOn w:val="Normal"/>
    <w:next w:val="Normal"/>
    <w:link w:val="IntenseQuoteChar"/>
    <w:uiPriority w:val="30"/>
    <w:qFormat/>
    <w:rsid w:val="00594453"/>
    <w:pPr>
      <w:pBdr>
        <w:bottom w:val="single" w:sz="4" w:space="1" w:color="auto"/>
      </w:pBdr>
      <w:suppressAutoHyphens w:val="0"/>
      <w:spacing w:before="200" w:after="280" w:line="276" w:lineRule="auto"/>
      <w:ind w:left="1008" w:right="1152"/>
      <w:jc w:val="both"/>
    </w:pPr>
    <w:rPr>
      <w:rFonts w:ascii="Arial" w:hAnsi="Arial"/>
      <w:b/>
      <w:bCs/>
      <w:i/>
      <w:iCs/>
    </w:rPr>
  </w:style>
  <w:style w:type="character" w:customStyle="1" w:styleId="IntenseQuoteChar">
    <w:name w:val="Intense Quote Char"/>
    <w:basedOn w:val="DefaultParagraphFont"/>
    <w:link w:val="IntenseQuote"/>
    <w:uiPriority w:val="30"/>
    <w:rsid w:val="00594453"/>
    <w:rPr>
      <w:rFonts w:ascii="Arial" w:hAnsi="Arial"/>
      <w:b/>
      <w:bCs/>
      <w:i/>
      <w:iCs/>
    </w:rPr>
  </w:style>
  <w:style w:type="character" w:styleId="SubtleReference">
    <w:name w:val="Subtle Reference"/>
    <w:uiPriority w:val="31"/>
    <w:qFormat/>
    <w:rsid w:val="00594453"/>
    <w:rPr>
      <w:smallCaps/>
    </w:rPr>
  </w:style>
  <w:style w:type="character" w:styleId="IntenseReference">
    <w:name w:val="Intense Reference"/>
    <w:uiPriority w:val="32"/>
    <w:qFormat/>
    <w:rsid w:val="00594453"/>
    <w:rPr>
      <w:smallCaps/>
      <w:spacing w:val="5"/>
      <w:u w:val="single"/>
    </w:rPr>
  </w:style>
  <w:style w:type="table" w:styleId="LightList-Accent1">
    <w:name w:val="Light List Accent 1"/>
    <w:basedOn w:val="TableNormal"/>
    <w:uiPriority w:val="61"/>
    <w:rsid w:val="00594453"/>
    <w:pPr>
      <w:spacing w:after="0" w:line="240" w:lineRule="auto"/>
    </w:pPr>
    <w:rPr>
      <w:rFonts w:eastAsiaTheme="minorEastAsia"/>
      <w:sz w:val="24"/>
      <w:szCs w:val="24"/>
      <w:lang w:val="en-US" w:eastAsia="ja-JP"/>
    </w:r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FFF38A" w:themeFill="accent1"/>
      </w:tcPr>
    </w:tblStylePr>
    <w:tblStylePr w:type="lastRow">
      <w:pPr>
        <w:spacing w:beforeLines="0" w:before="0" w:beforeAutospacing="0" w:afterLines="0" w:after="0" w:afterAutospacing="0" w:line="240" w:lineRule="auto"/>
      </w:pPr>
      <w:rPr>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tcBorders>
      </w:tcPr>
    </w:tblStylePr>
    <w:tblStylePr w:type="firstCol">
      <w:rPr>
        <w:b/>
        <w:bCs/>
      </w:rPr>
    </w:tblStylePr>
    <w:tblStylePr w:type="lastCol">
      <w:rPr>
        <w:b/>
        <w:bCs/>
      </w:r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style>
  <w:style w:type="paragraph" w:customStyle="1" w:styleId="FACT-bodytext">
    <w:name w:val="FACT - body text"/>
    <w:basedOn w:val="Normal"/>
    <w:rsid w:val="00594453"/>
    <w:pPr>
      <w:widowControl w:val="0"/>
      <w:suppressAutoHyphens w:val="0"/>
      <w:autoSpaceDE w:val="0"/>
      <w:autoSpaceDN w:val="0"/>
      <w:adjustRightInd w:val="0"/>
      <w:spacing w:before="0" w:after="113" w:line="300" w:lineRule="atLeast"/>
      <w:textAlignment w:val="baseline"/>
    </w:pPr>
    <w:rPr>
      <w:rFonts w:ascii="MetaPlusNormal-" w:eastAsia="Times New Roman" w:hAnsi="MetaPlusNormal-" w:cs="Times New Roman"/>
      <w:color w:val="000000"/>
      <w:spacing w:val="-3"/>
      <w:szCs w:val="20"/>
      <w:lang w:val="en-US"/>
    </w:rPr>
  </w:style>
  <w:style w:type="paragraph" w:customStyle="1" w:styleId="DepartmentalNormal">
    <w:name w:val="Departmental Normal"/>
    <w:basedOn w:val="Normal"/>
    <w:rsid w:val="00594453"/>
    <w:pPr>
      <w:suppressAutoHyphens w:val="0"/>
      <w:spacing w:before="0" w:after="0" w:line="240" w:lineRule="auto"/>
    </w:pPr>
    <w:rPr>
      <w:rFonts w:ascii="Arial" w:eastAsia="Times New Roman" w:hAnsi="Arial" w:cs="Times New Roman"/>
      <w:sz w:val="24"/>
      <w:szCs w:val="20"/>
    </w:rPr>
  </w:style>
  <w:style w:type="paragraph" w:customStyle="1" w:styleId="ScheduleL2">
    <w:name w:val="Schedule L2"/>
    <w:basedOn w:val="Normal"/>
    <w:rsid w:val="00594453"/>
    <w:pPr>
      <w:keepNext/>
      <w:numPr>
        <w:ilvl w:val="1"/>
        <w:numId w:val="16"/>
      </w:numPr>
      <w:suppressAutoHyphens w:val="0"/>
      <w:spacing w:before="280" w:after="140"/>
    </w:pPr>
    <w:rPr>
      <w:rFonts w:ascii="Arial" w:hAnsi="Arial" w:cs="Arial"/>
      <w:spacing w:val="-10"/>
      <w:sz w:val="32"/>
      <w:szCs w:val="32"/>
      <w:lang w:eastAsia="zh-CN"/>
    </w:rPr>
  </w:style>
  <w:style w:type="paragraph" w:customStyle="1" w:styleId="ScheduleL3">
    <w:name w:val="Schedule L3"/>
    <w:basedOn w:val="Normal"/>
    <w:rsid w:val="00594453"/>
    <w:pPr>
      <w:keepNext/>
      <w:numPr>
        <w:ilvl w:val="2"/>
        <w:numId w:val="16"/>
      </w:numPr>
      <w:suppressAutoHyphens w:val="0"/>
      <w:spacing w:before="60"/>
    </w:pPr>
    <w:rPr>
      <w:rFonts w:ascii="Arial" w:hAnsi="Arial" w:cs="Arial"/>
      <w:b/>
      <w:bCs/>
      <w:sz w:val="24"/>
      <w:szCs w:val="24"/>
      <w:lang w:eastAsia="zh-CN"/>
    </w:rPr>
  </w:style>
  <w:style w:type="paragraph" w:customStyle="1" w:styleId="ScheduleL4">
    <w:name w:val="Schedule L4"/>
    <w:basedOn w:val="Normal"/>
    <w:rsid w:val="00594453"/>
    <w:pPr>
      <w:numPr>
        <w:ilvl w:val="3"/>
        <w:numId w:val="16"/>
      </w:numPr>
      <w:suppressAutoHyphens w:val="0"/>
      <w:spacing w:before="0" w:after="140"/>
    </w:pPr>
    <w:rPr>
      <w:rFonts w:ascii="Times New Roman" w:hAnsi="Times New Roman" w:cs="Times New Roman"/>
      <w:lang w:eastAsia="zh-CN"/>
    </w:rPr>
  </w:style>
  <w:style w:type="paragraph" w:customStyle="1" w:styleId="ScheduleL5">
    <w:name w:val="Schedule L5"/>
    <w:basedOn w:val="Normal"/>
    <w:rsid w:val="00594453"/>
    <w:pPr>
      <w:numPr>
        <w:ilvl w:val="4"/>
        <w:numId w:val="16"/>
      </w:numPr>
      <w:suppressAutoHyphens w:val="0"/>
      <w:spacing w:before="0" w:after="140"/>
    </w:pPr>
    <w:rPr>
      <w:rFonts w:ascii="Times New Roman" w:hAnsi="Times New Roman" w:cs="Times New Roman"/>
      <w:lang w:eastAsia="zh-CN"/>
    </w:rPr>
  </w:style>
  <w:style w:type="paragraph" w:customStyle="1" w:styleId="ScheduleL6">
    <w:name w:val="Schedule L6"/>
    <w:basedOn w:val="Normal"/>
    <w:rsid w:val="00594453"/>
    <w:pPr>
      <w:numPr>
        <w:ilvl w:val="5"/>
        <w:numId w:val="16"/>
      </w:numPr>
      <w:suppressAutoHyphens w:val="0"/>
      <w:spacing w:before="0" w:after="140"/>
    </w:pPr>
    <w:rPr>
      <w:rFonts w:ascii="Times New Roman" w:hAnsi="Times New Roman" w:cs="Times New Roman"/>
      <w:lang w:eastAsia="zh-CN"/>
    </w:rPr>
  </w:style>
  <w:style w:type="paragraph" w:customStyle="1" w:styleId="MELegal4">
    <w:name w:val="ME Legal 4"/>
    <w:aliases w:val="l4"/>
    <w:basedOn w:val="Normal"/>
    <w:rsid w:val="00594453"/>
    <w:pPr>
      <w:numPr>
        <w:ilvl w:val="3"/>
        <w:numId w:val="17"/>
      </w:numPr>
      <w:suppressAutoHyphens w:val="0"/>
      <w:spacing w:before="120" w:after="120" w:line="240" w:lineRule="auto"/>
    </w:pPr>
    <w:rPr>
      <w:rFonts w:ascii="Times New Roman" w:hAnsi="Times New Roman" w:cs="Times New Roman"/>
      <w:lang w:eastAsia="zh-CN"/>
    </w:rPr>
  </w:style>
  <w:style w:type="paragraph" w:styleId="EndnoteText">
    <w:name w:val="endnote text"/>
    <w:basedOn w:val="Normal"/>
    <w:link w:val="EndnoteTextChar"/>
    <w:uiPriority w:val="99"/>
    <w:semiHidden/>
    <w:unhideWhenUsed/>
    <w:rsid w:val="00594453"/>
    <w:pPr>
      <w:suppressAutoHyphens w:val="0"/>
      <w:spacing w:before="0" w:after="0" w:line="240" w:lineRule="auto"/>
    </w:pPr>
    <w:rPr>
      <w:rFonts w:ascii="Arial" w:hAnsi="Arial"/>
      <w:sz w:val="20"/>
      <w:szCs w:val="20"/>
    </w:rPr>
  </w:style>
  <w:style w:type="character" w:customStyle="1" w:styleId="EndnoteTextChar">
    <w:name w:val="Endnote Text Char"/>
    <w:basedOn w:val="DefaultParagraphFont"/>
    <w:link w:val="EndnoteText"/>
    <w:uiPriority w:val="99"/>
    <w:semiHidden/>
    <w:rsid w:val="00594453"/>
    <w:rPr>
      <w:rFonts w:ascii="Arial" w:hAnsi="Arial"/>
      <w:sz w:val="20"/>
      <w:szCs w:val="20"/>
    </w:rPr>
  </w:style>
  <w:style w:type="character" w:styleId="EndnoteReference">
    <w:name w:val="endnote reference"/>
    <w:basedOn w:val="DefaultParagraphFont"/>
    <w:uiPriority w:val="99"/>
    <w:semiHidden/>
    <w:unhideWhenUsed/>
    <w:rsid w:val="00594453"/>
    <w:rPr>
      <w:vertAlign w:val="superscript"/>
    </w:rPr>
  </w:style>
  <w:style w:type="table" w:styleId="LightGrid-Accent1">
    <w:name w:val="Light Grid Accent 1"/>
    <w:basedOn w:val="TableNormal"/>
    <w:uiPriority w:val="62"/>
    <w:rsid w:val="00594453"/>
    <w:pPr>
      <w:spacing w:after="0" w:line="240" w:lineRule="auto"/>
    </w:pPr>
    <w:tblPr>
      <w:tblStyleRowBandSize w:val="1"/>
      <w:tblStyleColBandSize w:val="1"/>
      <w:tblBorders>
        <w:top w:val="single" w:sz="8" w:space="0" w:color="FFF38A" w:themeColor="accent1"/>
        <w:left w:val="single" w:sz="8" w:space="0" w:color="FFF38A" w:themeColor="accent1"/>
        <w:bottom w:val="single" w:sz="8" w:space="0" w:color="FFF38A" w:themeColor="accent1"/>
        <w:right w:val="single" w:sz="8" w:space="0" w:color="FFF38A" w:themeColor="accent1"/>
        <w:insideH w:val="single" w:sz="8" w:space="0" w:color="FFF38A" w:themeColor="accent1"/>
        <w:insideV w:val="single" w:sz="8" w:space="0" w:color="FFF38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18" w:space="0" w:color="FFF38A" w:themeColor="accent1"/>
          <w:right w:val="single" w:sz="8" w:space="0" w:color="FFF38A" w:themeColor="accent1"/>
          <w:insideH w:val="nil"/>
          <w:insideV w:val="single" w:sz="8" w:space="0" w:color="FFF38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38A" w:themeColor="accent1"/>
          <w:left w:val="single" w:sz="8" w:space="0" w:color="FFF38A" w:themeColor="accent1"/>
          <w:bottom w:val="single" w:sz="8" w:space="0" w:color="FFF38A" w:themeColor="accent1"/>
          <w:right w:val="single" w:sz="8" w:space="0" w:color="FFF38A" w:themeColor="accent1"/>
          <w:insideH w:val="nil"/>
          <w:insideV w:val="single" w:sz="8" w:space="0" w:color="FFF38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tcPr>
    </w:tblStylePr>
    <w:tblStylePr w:type="band1Vert">
      <w:tblPr/>
      <w:tcPr>
        <w:tcBorders>
          <w:top w:val="single" w:sz="8" w:space="0" w:color="FFF38A" w:themeColor="accent1"/>
          <w:left w:val="single" w:sz="8" w:space="0" w:color="FFF38A" w:themeColor="accent1"/>
          <w:bottom w:val="single" w:sz="8" w:space="0" w:color="FFF38A" w:themeColor="accent1"/>
          <w:right w:val="single" w:sz="8" w:space="0" w:color="FFF38A" w:themeColor="accent1"/>
        </w:tcBorders>
        <w:shd w:val="clear" w:color="auto" w:fill="FFFBE2" w:themeFill="accent1" w:themeFillTint="3F"/>
      </w:tcPr>
    </w:tblStylePr>
    <w:tblStylePr w:type="band1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shd w:val="clear" w:color="auto" w:fill="FFFBE2" w:themeFill="accent1" w:themeFillTint="3F"/>
      </w:tcPr>
    </w:tblStylePr>
    <w:tblStylePr w:type="band2Horz">
      <w:tblPr/>
      <w:tcPr>
        <w:tcBorders>
          <w:top w:val="single" w:sz="8" w:space="0" w:color="FFF38A" w:themeColor="accent1"/>
          <w:left w:val="single" w:sz="8" w:space="0" w:color="FFF38A" w:themeColor="accent1"/>
          <w:bottom w:val="single" w:sz="8" w:space="0" w:color="FFF38A" w:themeColor="accent1"/>
          <w:right w:val="single" w:sz="8" w:space="0" w:color="FFF38A" w:themeColor="accent1"/>
          <w:insideV w:val="single" w:sz="8" w:space="0" w:color="FFF38A" w:themeColor="accent1"/>
        </w:tcBorders>
      </w:tcPr>
    </w:tblStylePr>
  </w:style>
  <w:style w:type="table" w:styleId="LightGrid">
    <w:name w:val="Light Grid"/>
    <w:basedOn w:val="TableNormal"/>
    <w:uiPriority w:val="62"/>
    <w:rsid w:val="00594453"/>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wisbullets">
    <w:name w:val="wis_bullets"/>
    <w:basedOn w:val="FACT-bodytext"/>
    <w:rsid w:val="00594453"/>
    <w:pPr>
      <w:ind w:left="283" w:hanging="283"/>
    </w:pPr>
  </w:style>
  <w:style w:type="paragraph" w:customStyle="1" w:styleId="Normal22">
    <w:name w:val="Normal_22"/>
    <w:basedOn w:val="Normal"/>
    <w:rsid w:val="00594453"/>
    <w:pPr>
      <w:suppressAutoHyphens w:val="0"/>
      <w:spacing w:before="0" w:after="200" w:line="276" w:lineRule="auto"/>
    </w:pPr>
    <w:rPr>
      <w:rFonts w:ascii="Book Antiqua" w:hAnsi="Book Antiqua" w:cs="Times New Roman"/>
      <w:sz w:val="20"/>
      <w:szCs w:val="20"/>
    </w:rPr>
  </w:style>
  <w:style w:type="paragraph" w:customStyle="1" w:styleId="Levela">
    <w:name w:val="Level (a)"/>
    <w:basedOn w:val="ListParagraph"/>
    <w:next w:val="ListParagraph"/>
    <w:link w:val="LevelaChar"/>
    <w:uiPriority w:val="6"/>
    <w:qFormat/>
    <w:rsid w:val="00594453"/>
    <w:pPr>
      <w:numPr>
        <w:numId w:val="19"/>
      </w:numPr>
      <w:spacing w:before="100" w:beforeAutospacing="1" w:after="100" w:afterAutospacing="1" w:line="240" w:lineRule="auto"/>
    </w:pPr>
    <w:rPr>
      <w:rFonts w:eastAsiaTheme="minorHAnsi" w:cstheme="minorBidi"/>
      <w:szCs w:val="18"/>
    </w:rPr>
  </w:style>
  <w:style w:type="character" w:customStyle="1" w:styleId="LevelaChar">
    <w:name w:val="Level (a) Char"/>
    <w:link w:val="Levela"/>
    <w:uiPriority w:val="6"/>
    <w:locked/>
    <w:rsid w:val="00594453"/>
    <w:rPr>
      <w:rFonts w:ascii="Arial" w:hAnsi="Arial"/>
      <w:szCs w:val="18"/>
    </w:rPr>
  </w:style>
  <w:style w:type="character" w:customStyle="1" w:styleId="veryhardreadability">
    <w:name w:val="veryhardreadability"/>
    <w:basedOn w:val="DefaultParagraphFont"/>
    <w:rsid w:val="00594453"/>
  </w:style>
  <w:style w:type="character" w:customStyle="1" w:styleId="hardreadability">
    <w:name w:val="hardreadability"/>
    <w:basedOn w:val="DefaultParagraphFont"/>
    <w:rsid w:val="00594453"/>
  </w:style>
  <w:style w:type="character" w:customStyle="1" w:styleId="complexword">
    <w:name w:val="complexword"/>
    <w:basedOn w:val="DefaultParagraphFont"/>
    <w:rsid w:val="00594453"/>
  </w:style>
  <w:style w:type="paragraph" w:customStyle="1" w:styleId="Normal91">
    <w:name w:val="Normal_91"/>
    <w:qFormat/>
    <w:rsid w:val="00594453"/>
    <w:pPr>
      <w:tabs>
        <w:tab w:val="left" w:pos="709"/>
      </w:tabs>
      <w:spacing w:after="200" w:line="276" w:lineRule="auto"/>
    </w:pPr>
    <w:rPr>
      <w:rFonts w:ascii="Book Antiqua" w:hAnsi="Book Antiqua"/>
      <w:sz w:val="20"/>
      <w:szCs w:val="20"/>
    </w:rPr>
  </w:style>
  <w:style w:type="paragraph" w:customStyle="1" w:styleId="Head1">
    <w:name w:val="Head_1"/>
    <w:basedOn w:val="Heading1"/>
    <w:link w:val="Head1Char"/>
    <w:qFormat/>
    <w:rsid w:val="00594453"/>
    <w:pPr>
      <w:keepNext w:val="0"/>
      <w:keepLines w:val="0"/>
      <w:numPr>
        <w:numId w:val="26"/>
      </w:numPr>
      <w:suppressAutoHyphens w:val="0"/>
      <w:spacing w:before="480" w:after="0" w:line="276" w:lineRule="auto"/>
    </w:pPr>
    <w:rPr>
      <w:rFonts w:ascii="Arial" w:hAnsi="Arial"/>
      <w:b/>
      <w:sz w:val="32"/>
    </w:rPr>
  </w:style>
  <w:style w:type="paragraph" w:customStyle="1" w:styleId="Head2">
    <w:name w:val="Head_2"/>
    <w:basedOn w:val="Heading2"/>
    <w:link w:val="Head2Char"/>
    <w:qFormat/>
    <w:rsid w:val="00594453"/>
    <w:pPr>
      <w:keepNext w:val="0"/>
      <w:keepLines w:val="0"/>
      <w:numPr>
        <w:numId w:val="27"/>
      </w:numPr>
      <w:suppressAutoHyphens w:val="0"/>
      <w:spacing w:before="200" w:after="0" w:line="276" w:lineRule="auto"/>
      <w:contextualSpacing w:val="0"/>
      <w:jc w:val="both"/>
    </w:pPr>
    <w:rPr>
      <w:rFonts w:ascii="Arial" w:hAnsi="Arial" w:cs="Arial"/>
      <w:b/>
      <w:bCs/>
      <w:sz w:val="26"/>
    </w:rPr>
  </w:style>
  <w:style w:type="character" w:customStyle="1" w:styleId="Head1Char">
    <w:name w:val="Head_1 Char"/>
    <w:basedOn w:val="Heading1Char"/>
    <w:link w:val="Head1"/>
    <w:rsid w:val="00594453"/>
    <w:rPr>
      <w:rFonts w:ascii="Arial" w:eastAsiaTheme="majorEastAsia" w:hAnsi="Arial" w:cstheme="majorBidi"/>
      <w:b/>
      <w:bCs/>
      <w:color w:val="1C1C1C" w:themeColor="text2"/>
      <w:sz w:val="32"/>
      <w:szCs w:val="28"/>
    </w:rPr>
  </w:style>
  <w:style w:type="character" w:customStyle="1" w:styleId="Head2Char">
    <w:name w:val="Head_2 Char"/>
    <w:basedOn w:val="Heading2Char"/>
    <w:link w:val="Head2"/>
    <w:rsid w:val="00594453"/>
    <w:rPr>
      <w:rFonts w:ascii="Arial" w:eastAsiaTheme="majorEastAsia" w:hAnsi="Arial" w:cs="Arial"/>
      <w:b/>
      <w:bCs/>
      <w:color w:val="1C1C1C" w:themeColor="text2"/>
      <w:sz w:val="26"/>
      <w:szCs w:val="26"/>
    </w:rPr>
  </w:style>
  <w:style w:type="paragraph" w:customStyle="1" w:styleId="covBodyText">
    <w:name w:val="covBodyText"/>
    <w:basedOn w:val="Normal"/>
    <w:qFormat/>
    <w:rsid w:val="00681ACF"/>
    <w:pPr>
      <w:suppressAutoHyphens w:val="0"/>
      <w:spacing w:before="0" w:after="0" w:line="240" w:lineRule="auto"/>
      <w:ind w:left="397"/>
    </w:pPr>
    <w:rPr>
      <w:rFonts w:ascii="Arial" w:eastAsia="Times New Roman" w:hAnsi="Arial" w:cs="Times New Roman"/>
      <w:szCs w:val="20"/>
      <w:lang w:eastAsia="en-AU"/>
    </w:rPr>
  </w:style>
  <w:style w:type="paragraph" w:customStyle="1" w:styleId="tablelistbullet">
    <w:name w:val="table list bullet"/>
    <w:basedOn w:val="ListParagraph"/>
    <w:qFormat/>
    <w:rsid w:val="00847681"/>
    <w:pPr>
      <w:numPr>
        <w:numId w:val="30"/>
      </w:numPr>
      <w:spacing w:after="80" w:line="240" w:lineRule="auto"/>
      <w:ind w:firstLine="0"/>
      <w:contextualSpacing/>
    </w:pPr>
    <w:rPr>
      <w:rFonts w:asciiTheme="minorHAnsi" w:eastAsiaTheme="minorHAnsi" w:hAnsiTheme="minorHAnsi" w:cstheme="minorBidi"/>
    </w:rPr>
  </w:style>
  <w:style w:type="table" w:styleId="LightShading-Accent4">
    <w:name w:val="Light Shading Accent 4"/>
    <w:basedOn w:val="TableNormal"/>
    <w:uiPriority w:val="60"/>
    <w:rsid w:val="00847681"/>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19806D" w:themeColor="accent4"/>
        <w:bottom w:val="single" w:sz="8" w:space="0" w:color="19806D"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19806D" w:themeColor="accent4"/>
          <w:left w:val="nil"/>
          <w:bottom w:val="single" w:sz="8" w:space="0" w:color="19806D"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B5F0E5" w:themeFill="accent4" w:themeFillTint="3F"/>
      </w:tcPr>
    </w:tblStylePr>
    <w:tblStylePr w:type="band1Horz">
      <w:rPr>
        <w:color w:val="auto"/>
      </w:rPr>
      <w:tblPr/>
      <w:tcPr>
        <w:shd w:val="clear" w:color="auto" w:fill="F7EEF7"/>
      </w:tcPr>
    </w:tblStylePr>
    <w:tblStylePr w:type="band2Horz">
      <w:rPr>
        <w:color w:val="auto"/>
      </w:rPr>
    </w:tblStylePr>
  </w:style>
  <w:style w:type="character" w:customStyle="1" w:styleId="Bold">
    <w:name w:val="Bold"/>
    <w:uiPriority w:val="99"/>
    <w:rsid w:val="00847681"/>
    <w:rPr>
      <w:rFonts w:asciiTheme="minorHAnsi" w:hAnsiTheme="minorHAnsi" w:cs="FSMePro-Bold"/>
      <w:b/>
      <w:bCs/>
    </w:rPr>
  </w:style>
  <w:style w:type="paragraph" w:customStyle="1" w:styleId="BodyCopy">
    <w:name w:val="Body Copy"/>
    <w:basedOn w:val="Normal"/>
    <w:uiPriority w:val="99"/>
    <w:rsid w:val="00847681"/>
    <w:pPr>
      <w:suppressAutoHyphens w:val="0"/>
      <w:spacing w:before="120" w:after="120" w:line="288" w:lineRule="auto"/>
    </w:pPr>
    <w:rPr>
      <w:sz w:val="20"/>
      <w:szCs w:val="24"/>
      <w:lang w:val="en-US"/>
    </w:rPr>
  </w:style>
  <w:style w:type="paragraph" w:customStyle="1" w:styleId="BodyBullets-last">
    <w:name w:val="Body Bullets - last"/>
    <w:basedOn w:val="Normal"/>
    <w:uiPriority w:val="99"/>
    <w:rsid w:val="00847681"/>
    <w:pPr>
      <w:numPr>
        <w:numId w:val="32"/>
      </w:numPr>
      <w:tabs>
        <w:tab w:val="left" w:pos="227"/>
        <w:tab w:val="left" w:pos="680"/>
      </w:tabs>
      <w:spacing w:before="240" w:after="360" w:line="288" w:lineRule="auto"/>
    </w:pPr>
    <w:rPr>
      <w:rFonts w:cs="FSMePro-Light"/>
      <w:sz w:val="20"/>
      <w:szCs w:val="18"/>
      <w:lang w:val="en-US"/>
    </w:rPr>
  </w:style>
  <w:style w:type="paragraph" w:customStyle="1" w:styleId="Normal23">
    <w:name w:val="Normal_23"/>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Header21">
    <w:name w:val="Header_21"/>
    <w:basedOn w:val="Normal23"/>
    <w:link w:val="HeaderChar21"/>
    <w:uiPriority w:val="99"/>
    <w:rsid w:val="00847681"/>
    <w:pPr>
      <w:tabs>
        <w:tab w:val="center" w:pos="4153"/>
        <w:tab w:val="right" w:pos="8306"/>
      </w:tabs>
      <w:spacing w:after="0" w:line="240" w:lineRule="auto"/>
      <w:jc w:val="left"/>
    </w:pPr>
    <w:rPr>
      <w:i/>
    </w:rPr>
  </w:style>
  <w:style w:type="character" w:customStyle="1" w:styleId="HeaderChar21">
    <w:name w:val="Header Char_21"/>
    <w:link w:val="Header21"/>
    <w:uiPriority w:val="99"/>
    <w:rsid w:val="00847681"/>
    <w:rPr>
      <w:rFonts w:ascii="Book Antiqua" w:eastAsia="Times New Roman" w:hAnsi="Book Antiqua" w:cs="Times New Roman"/>
      <w:i/>
      <w:sz w:val="20"/>
      <w:szCs w:val="20"/>
      <w:lang w:eastAsia="en-AU"/>
    </w:rPr>
  </w:style>
  <w:style w:type="paragraph" w:customStyle="1" w:styleId="Footer23">
    <w:name w:val="Footer_23"/>
    <w:basedOn w:val="Normal23"/>
    <w:link w:val="FooterChar23"/>
    <w:uiPriority w:val="99"/>
    <w:rsid w:val="00847681"/>
    <w:pPr>
      <w:tabs>
        <w:tab w:val="center" w:pos="4153"/>
        <w:tab w:val="right" w:pos="8306"/>
      </w:tabs>
      <w:spacing w:after="0" w:line="240" w:lineRule="auto"/>
      <w:jc w:val="center"/>
    </w:pPr>
    <w:rPr>
      <w:rFonts w:ascii="Arial" w:hAnsi="Arial"/>
    </w:rPr>
  </w:style>
  <w:style w:type="character" w:customStyle="1" w:styleId="FooterChar23">
    <w:name w:val="Footer Char_23"/>
    <w:link w:val="Footer23"/>
    <w:uiPriority w:val="99"/>
    <w:rsid w:val="00847681"/>
    <w:rPr>
      <w:rFonts w:ascii="Arial" w:eastAsia="Times New Roman" w:hAnsi="Arial" w:cs="Times New Roman"/>
      <w:sz w:val="20"/>
      <w:szCs w:val="20"/>
      <w:lang w:eastAsia="en-AU"/>
    </w:rPr>
  </w:style>
  <w:style w:type="paragraph" w:customStyle="1" w:styleId="Normal24">
    <w:name w:val="Normal_24"/>
    <w:qFormat/>
    <w:rsid w:val="00847681"/>
    <w:pPr>
      <w:keepLines/>
      <w:spacing w:after="240" w:line="260" w:lineRule="exact"/>
      <w:jc w:val="both"/>
    </w:pPr>
    <w:rPr>
      <w:rFonts w:ascii="Book Antiqua" w:eastAsia="Times New Roman" w:hAnsi="Book Antiqua" w:cs="Times New Roman"/>
      <w:sz w:val="20"/>
      <w:szCs w:val="20"/>
      <w:lang w:eastAsia="en-AU"/>
    </w:rPr>
  </w:style>
  <w:style w:type="paragraph" w:customStyle="1" w:styleId="Normal10">
    <w:name w:val="Normal_1_0"/>
    <w:qFormat/>
    <w:rsid w:val="00847681"/>
    <w:pPr>
      <w:keepLines/>
      <w:spacing w:after="240" w:line="260" w:lineRule="exact"/>
      <w:jc w:val="both"/>
    </w:pPr>
    <w:rPr>
      <w:rFonts w:ascii="Book Antiqua" w:eastAsia="Times New Roman" w:hAnsi="Book Antiqua" w:cs="Times New Roman"/>
      <w:sz w:val="20"/>
      <w:szCs w:val="20"/>
      <w:lang w:eastAsia="en-AU"/>
    </w:rPr>
  </w:style>
  <w:style w:type="character" w:customStyle="1" w:styleId="BookTitle1">
    <w:name w:val="Book Title_1"/>
    <w:uiPriority w:val="33"/>
    <w:qFormat/>
    <w:rsid w:val="00847681"/>
    <w:rPr>
      <w:rFonts w:ascii="Book Antiqua" w:eastAsia="Times New Roman" w:hAnsi="Book Antiqua" w:cs="Times New Roman"/>
      <w:i/>
      <w:iCs/>
      <w:smallCaps/>
      <w:spacing w:val="5"/>
      <w:sz w:val="20"/>
      <w:szCs w:val="20"/>
      <w:lang w:val="en-AU" w:eastAsia="en-AU"/>
    </w:rPr>
  </w:style>
  <w:style w:type="paragraph" w:customStyle="1" w:styleId="Footer24">
    <w:name w:val="Footer_24"/>
    <w:basedOn w:val="Normal24"/>
    <w:link w:val="FooterChar24"/>
    <w:uiPriority w:val="99"/>
    <w:rsid w:val="00847681"/>
    <w:pPr>
      <w:tabs>
        <w:tab w:val="center" w:pos="4153"/>
        <w:tab w:val="right" w:pos="8306"/>
      </w:tabs>
      <w:spacing w:after="0" w:line="240" w:lineRule="auto"/>
      <w:jc w:val="center"/>
    </w:pPr>
    <w:rPr>
      <w:rFonts w:ascii="Arial" w:hAnsi="Arial"/>
    </w:rPr>
  </w:style>
  <w:style w:type="character" w:customStyle="1" w:styleId="FooterChar24">
    <w:name w:val="Footer Char_24"/>
    <w:link w:val="Footer24"/>
    <w:uiPriority w:val="99"/>
    <w:rsid w:val="00847681"/>
    <w:rPr>
      <w:rFonts w:ascii="Arial" w:eastAsia="Times New Roman" w:hAnsi="Arial" w:cs="Times New Roman"/>
      <w:sz w:val="20"/>
      <w:szCs w:val="20"/>
      <w:lang w:eastAsia="en-AU"/>
    </w:rPr>
  </w:style>
  <w:style w:type="character" w:customStyle="1" w:styleId="tgc">
    <w:name w:val="_tgc"/>
    <w:basedOn w:val="DefaultParagraphFont"/>
    <w:rsid w:val="00847681"/>
  </w:style>
  <w:style w:type="character" w:customStyle="1" w:styleId="Bullets1stindentChar">
    <w:name w:val="Bullets (1st indent) Char"/>
    <w:basedOn w:val="DefaultParagraphFont"/>
    <w:link w:val="Bullets1stindent"/>
    <w:uiPriority w:val="99"/>
    <w:locked/>
    <w:rsid w:val="007602E9"/>
    <w:rPr>
      <w:rFonts w:ascii="Cambria" w:eastAsia="Times New Roman" w:hAnsi="Cambria" w:cs="Times New Roman"/>
      <w:szCs w:val="24"/>
    </w:rPr>
  </w:style>
  <w:style w:type="character" w:customStyle="1" w:styleId="BulletsChar">
    <w:name w:val="Bullets Char"/>
    <w:basedOn w:val="DefaultParagraphFont"/>
    <w:rsid w:val="00E03F29"/>
    <w:rPr>
      <w:rFonts w:ascii="Arial" w:hAnsi="Arial" w:cs="Arial"/>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0514">
      <w:bodyDiv w:val="1"/>
      <w:marLeft w:val="0"/>
      <w:marRight w:val="0"/>
      <w:marTop w:val="0"/>
      <w:marBottom w:val="0"/>
      <w:divBdr>
        <w:top w:val="none" w:sz="0" w:space="0" w:color="auto"/>
        <w:left w:val="none" w:sz="0" w:space="0" w:color="auto"/>
        <w:bottom w:val="none" w:sz="0" w:space="0" w:color="auto"/>
        <w:right w:val="none" w:sz="0" w:space="0" w:color="auto"/>
      </w:divBdr>
    </w:div>
    <w:div w:id="118304166">
      <w:bodyDiv w:val="1"/>
      <w:marLeft w:val="0"/>
      <w:marRight w:val="0"/>
      <w:marTop w:val="0"/>
      <w:marBottom w:val="0"/>
      <w:divBdr>
        <w:top w:val="none" w:sz="0" w:space="0" w:color="auto"/>
        <w:left w:val="none" w:sz="0" w:space="0" w:color="auto"/>
        <w:bottom w:val="none" w:sz="0" w:space="0" w:color="auto"/>
        <w:right w:val="none" w:sz="0" w:space="0" w:color="auto"/>
      </w:divBdr>
    </w:div>
    <w:div w:id="403382365">
      <w:bodyDiv w:val="1"/>
      <w:marLeft w:val="0"/>
      <w:marRight w:val="0"/>
      <w:marTop w:val="0"/>
      <w:marBottom w:val="0"/>
      <w:divBdr>
        <w:top w:val="none" w:sz="0" w:space="0" w:color="auto"/>
        <w:left w:val="none" w:sz="0" w:space="0" w:color="auto"/>
        <w:bottom w:val="none" w:sz="0" w:space="0" w:color="auto"/>
        <w:right w:val="none" w:sz="0" w:space="0" w:color="auto"/>
      </w:divBdr>
    </w:div>
    <w:div w:id="421952089">
      <w:bodyDiv w:val="1"/>
      <w:marLeft w:val="0"/>
      <w:marRight w:val="0"/>
      <w:marTop w:val="0"/>
      <w:marBottom w:val="0"/>
      <w:divBdr>
        <w:top w:val="none" w:sz="0" w:space="0" w:color="auto"/>
        <w:left w:val="none" w:sz="0" w:space="0" w:color="auto"/>
        <w:bottom w:val="none" w:sz="0" w:space="0" w:color="auto"/>
        <w:right w:val="none" w:sz="0" w:space="0" w:color="auto"/>
      </w:divBdr>
    </w:div>
    <w:div w:id="472675483">
      <w:bodyDiv w:val="1"/>
      <w:marLeft w:val="0"/>
      <w:marRight w:val="0"/>
      <w:marTop w:val="0"/>
      <w:marBottom w:val="0"/>
      <w:divBdr>
        <w:top w:val="none" w:sz="0" w:space="0" w:color="auto"/>
        <w:left w:val="none" w:sz="0" w:space="0" w:color="auto"/>
        <w:bottom w:val="none" w:sz="0" w:space="0" w:color="auto"/>
        <w:right w:val="none" w:sz="0" w:space="0" w:color="auto"/>
      </w:divBdr>
    </w:div>
    <w:div w:id="558059074">
      <w:bodyDiv w:val="1"/>
      <w:marLeft w:val="0"/>
      <w:marRight w:val="0"/>
      <w:marTop w:val="0"/>
      <w:marBottom w:val="0"/>
      <w:divBdr>
        <w:top w:val="none" w:sz="0" w:space="0" w:color="auto"/>
        <w:left w:val="none" w:sz="0" w:space="0" w:color="auto"/>
        <w:bottom w:val="none" w:sz="0" w:space="0" w:color="auto"/>
        <w:right w:val="none" w:sz="0" w:space="0" w:color="auto"/>
      </w:divBdr>
    </w:div>
    <w:div w:id="569773277">
      <w:bodyDiv w:val="1"/>
      <w:marLeft w:val="0"/>
      <w:marRight w:val="0"/>
      <w:marTop w:val="0"/>
      <w:marBottom w:val="0"/>
      <w:divBdr>
        <w:top w:val="none" w:sz="0" w:space="0" w:color="auto"/>
        <w:left w:val="none" w:sz="0" w:space="0" w:color="auto"/>
        <w:bottom w:val="none" w:sz="0" w:space="0" w:color="auto"/>
        <w:right w:val="none" w:sz="0" w:space="0" w:color="auto"/>
      </w:divBdr>
    </w:div>
    <w:div w:id="588345155">
      <w:bodyDiv w:val="1"/>
      <w:marLeft w:val="0"/>
      <w:marRight w:val="0"/>
      <w:marTop w:val="0"/>
      <w:marBottom w:val="0"/>
      <w:divBdr>
        <w:top w:val="none" w:sz="0" w:space="0" w:color="auto"/>
        <w:left w:val="none" w:sz="0" w:space="0" w:color="auto"/>
        <w:bottom w:val="none" w:sz="0" w:space="0" w:color="auto"/>
        <w:right w:val="none" w:sz="0" w:space="0" w:color="auto"/>
      </w:divBdr>
    </w:div>
    <w:div w:id="601107014">
      <w:bodyDiv w:val="1"/>
      <w:marLeft w:val="0"/>
      <w:marRight w:val="0"/>
      <w:marTop w:val="0"/>
      <w:marBottom w:val="0"/>
      <w:divBdr>
        <w:top w:val="none" w:sz="0" w:space="0" w:color="auto"/>
        <w:left w:val="none" w:sz="0" w:space="0" w:color="auto"/>
        <w:bottom w:val="none" w:sz="0" w:space="0" w:color="auto"/>
        <w:right w:val="none" w:sz="0" w:space="0" w:color="auto"/>
      </w:divBdr>
    </w:div>
    <w:div w:id="619454088">
      <w:bodyDiv w:val="1"/>
      <w:marLeft w:val="0"/>
      <w:marRight w:val="0"/>
      <w:marTop w:val="0"/>
      <w:marBottom w:val="0"/>
      <w:divBdr>
        <w:top w:val="none" w:sz="0" w:space="0" w:color="auto"/>
        <w:left w:val="none" w:sz="0" w:space="0" w:color="auto"/>
        <w:bottom w:val="none" w:sz="0" w:space="0" w:color="auto"/>
        <w:right w:val="none" w:sz="0" w:space="0" w:color="auto"/>
      </w:divBdr>
    </w:div>
    <w:div w:id="680934319">
      <w:bodyDiv w:val="1"/>
      <w:marLeft w:val="0"/>
      <w:marRight w:val="0"/>
      <w:marTop w:val="0"/>
      <w:marBottom w:val="0"/>
      <w:divBdr>
        <w:top w:val="none" w:sz="0" w:space="0" w:color="auto"/>
        <w:left w:val="none" w:sz="0" w:space="0" w:color="auto"/>
        <w:bottom w:val="none" w:sz="0" w:space="0" w:color="auto"/>
        <w:right w:val="none" w:sz="0" w:space="0" w:color="auto"/>
      </w:divBdr>
    </w:div>
    <w:div w:id="750198959">
      <w:bodyDiv w:val="1"/>
      <w:marLeft w:val="0"/>
      <w:marRight w:val="0"/>
      <w:marTop w:val="0"/>
      <w:marBottom w:val="0"/>
      <w:divBdr>
        <w:top w:val="none" w:sz="0" w:space="0" w:color="auto"/>
        <w:left w:val="none" w:sz="0" w:space="0" w:color="auto"/>
        <w:bottom w:val="none" w:sz="0" w:space="0" w:color="auto"/>
        <w:right w:val="none" w:sz="0" w:space="0" w:color="auto"/>
      </w:divBdr>
    </w:div>
    <w:div w:id="810099633">
      <w:bodyDiv w:val="1"/>
      <w:marLeft w:val="0"/>
      <w:marRight w:val="0"/>
      <w:marTop w:val="0"/>
      <w:marBottom w:val="0"/>
      <w:divBdr>
        <w:top w:val="none" w:sz="0" w:space="0" w:color="auto"/>
        <w:left w:val="none" w:sz="0" w:space="0" w:color="auto"/>
        <w:bottom w:val="none" w:sz="0" w:space="0" w:color="auto"/>
        <w:right w:val="none" w:sz="0" w:space="0" w:color="auto"/>
      </w:divBdr>
    </w:div>
    <w:div w:id="906039715">
      <w:bodyDiv w:val="1"/>
      <w:marLeft w:val="0"/>
      <w:marRight w:val="0"/>
      <w:marTop w:val="0"/>
      <w:marBottom w:val="0"/>
      <w:divBdr>
        <w:top w:val="none" w:sz="0" w:space="0" w:color="auto"/>
        <w:left w:val="none" w:sz="0" w:space="0" w:color="auto"/>
        <w:bottom w:val="none" w:sz="0" w:space="0" w:color="auto"/>
        <w:right w:val="none" w:sz="0" w:space="0" w:color="auto"/>
      </w:divBdr>
    </w:div>
    <w:div w:id="920874881">
      <w:bodyDiv w:val="1"/>
      <w:marLeft w:val="0"/>
      <w:marRight w:val="0"/>
      <w:marTop w:val="0"/>
      <w:marBottom w:val="0"/>
      <w:divBdr>
        <w:top w:val="none" w:sz="0" w:space="0" w:color="auto"/>
        <w:left w:val="none" w:sz="0" w:space="0" w:color="auto"/>
        <w:bottom w:val="none" w:sz="0" w:space="0" w:color="auto"/>
        <w:right w:val="none" w:sz="0" w:space="0" w:color="auto"/>
      </w:divBdr>
    </w:div>
    <w:div w:id="1032265556">
      <w:bodyDiv w:val="1"/>
      <w:marLeft w:val="0"/>
      <w:marRight w:val="0"/>
      <w:marTop w:val="0"/>
      <w:marBottom w:val="0"/>
      <w:divBdr>
        <w:top w:val="none" w:sz="0" w:space="0" w:color="auto"/>
        <w:left w:val="none" w:sz="0" w:space="0" w:color="auto"/>
        <w:bottom w:val="none" w:sz="0" w:space="0" w:color="auto"/>
        <w:right w:val="none" w:sz="0" w:space="0" w:color="auto"/>
      </w:divBdr>
    </w:div>
    <w:div w:id="1033308572">
      <w:bodyDiv w:val="1"/>
      <w:marLeft w:val="0"/>
      <w:marRight w:val="0"/>
      <w:marTop w:val="0"/>
      <w:marBottom w:val="0"/>
      <w:divBdr>
        <w:top w:val="none" w:sz="0" w:space="0" w:color="auto"/>
        <w:left w:val="none" w:sz="0" w:space="0" w:color="auto"/>
        <w:bottom w:val="none" w:sz="0" w:space="0" w:color="auto"/>
        <w:right w:val="none" w:sz="0" w:space="0" w:color="auto"/>
      </w:divBdr>
    </w:div>
    <w:div w:id="1096558757">
      <w:bodyDiv w:val="1"/>
      <w:marLeft w:val="0"/>
      <w:marRight w:val="0"/>
      <w:marTop w:val="0"/>
      <w:marBottom w:val="0"/>
      <w:divBdr>
        <w:top w:val="none" w:sz="0" w:space="0" w:color="auto"/>
        <w:left w:val="none" w:sz="0" w:space="0" w:color="auto"/>
        <w:bottom w:val="none" w:sz="0" w:space="0" w:color="auto"/>
        <w:right w:val="none" w:sz="0" w:space="0" w:color="auto"/>
      </w:divBdr>
    </w:div>
    <w:div w:id="1174229145">
      <w:bodyDiv w:val="1"/>
      <w:marLeft w:val="0"/>
      <w:marRight w:val="0"/>
      <w:marTop w:val="0"/>
      <w:marBottom w:val="0"/>
      <w:divBdr>
        <w:top w:val="none" w:sz="0" w:space="0" w:color="auto"/>
        <w:left w:val="none" w:sz="0" w:space="0" w:color="auto"/>
        <w:bottom w:val="none" w:sz="0" w:space="0" w:color="auto"/>
        <w:right w:val="none" w:sz="0" w:space="0" w:color="auto"/>
      </w:divBdr>
    </w:div>
    <w:div w:id="1307931780">
      <w:bodyDiv w:val="1"/>
      <w:marLeft w:val="0"/>
      <w:marRight w:val="0"/>
      <w:marTop w:val="0"/>
      <w:marBottom w:val="0"/>
      <w:divBdr>
        <w:top w:val="none" w:sz="0" w:space="0" w:color="auto"/>
        <w:left w:val="none" w:sz="0" w:space="0" w:color="auto"/>
        <w:bottom w:val="none" w:sz="0" w:space="0" w:color="auto"/>
        <w:right w:val="none" w:sz="0" w:space="0" w:color="auto"/>
      </w:divBdr>
    </w:div>
    <w:div w:id="1334799919">
      <w:bodyDiv w:val="1"/>
      <w:marLeft w:val="0"/>
      <w:marRight w:val="0"/>
      <w:marTop w:val="0"/>
      <w:marBottom w:val="0"/>
      <w:divBdr>
        <w:top w:val="none" w:sz="0" w:space="0" w:color="auto"/>
        <w:left w:val="none" w:sz="0" w:space="0" w:color="auto"/>
        <w:bottom w:val="none" w:sz="0" w:space="0" w:color="auto"/>
        <w:right w:val="none" w:sz="0" w:space="0" w:color="auto"/>
      </w:divBdr>
    </w:div>
    <w:div w:id="1378896466">
      <w:bodyDiv w:val="1"/>
      <w:marLeft w:val="0"/>
      <w:marRight w:val="0"/>
      <w:marTop w:val="0"/>
      <w:marBottom w:val="0"/>
      <w:divBdr>
        <w:top w:val="none" w:sz="0" w:space="0" w:color="auto"/>
        <w:left w:val="none" w:sz="0" w:space="0" w:color="auto"/>
        <w:bottom w:val="none" w:sz="0" w:space="0" w:color="auto"/>
        <w:right w:val="none" w:sz="0" w:space="0" w:color="auto"/>
      </w:divBdr>
    </w:div>
    <w:div w:id="1405371886">
      <w:bodyDiv w:val="1"/>
      <w:marLeft w:val="0"/>
      <w:marRight w:val="0"/>
      <w:marTop w:val="0"/>
      <w:marBottom w:val="0"/>
      <w:divBdr>
        <w:top w:val="none" w:sz="0" w:space="0" w:color="auto"/>
        <w:left w:val="none" w:sz="0" w:space="0" w:color="auto"/>
        <w:bottom w:val="none" w:sz="0" w:space="0" w:color="auto"/>
        <w:right w:val="none" w:sz="0" w:space="0" w:color="auto"/>
      </w:divBdr>
    </w:div>
    <w:div w:id="1414083706">
      <w:bodyDiv w:val="1"/>
      <w:marLeft w:val="0"/>
      <w:marRight w:val="0"/>
      <w:marTop w:val="0"/>
      <w:marBottom w:val="0"/>
      <w:divBdr>
        <w:top w:val="none" w:sz="0" w:space="0" w:color="auto"/>
        <w:left w:val="none" w:sz="0" w:space="0" w:color="auto"/>
        <w:bottom w:val="none" w:sz="0" w:space="0" w:color="auto"/>
        <w:right w:val="none" w:sz="0" w:space="0" w:color="auto"/>
      </w:divBdr>
    </w:div>
    <w:div w:id="1414277060">
      <w:bodyDiv w:val="1"/>
      <w:marLeft w:val="0"/>
      <w:marRight w:val="0"/>
      <w:marTop w:val="0"/>
      <w:marBottom w:val="0"/>
      <w:divBdr>
        <w:top w:val="none" w:sz="0" w:space="0" w:color="auto"/>
        <w:left w:val="none" w:sz="0" w:space="0" w:color="auto"/>
        <w:bottom w:val="none" w:sz="0" w:space="0" w:color="auto"/>
        <w:right w:val="none" w:sz="0" w:space="0" w:color="auto"/>
      </w:divBdr>
    </w:div>
    <w:div w:id="1414398624">
      <w:bodyDiv w:val="1"/>
      <w:marLeft w:val="0"/>
      <w:marRight w:val="0"/>
      <w:marTop w:val="0"/>
      <w:marBottom w:val="0"/>
      <w:divBdr>
        <w:top w:val="none" w:sz="0" w:space="0" w:color="auto"/>
        <w:left w:val="none" w:sz="0" w:space="0" w:color="auto"/>
        <w:bottom w:val="none" w:sz="0" w:space="0" w:color="auto"/>
        <w:right w:val="none" w:sz="0" w:space="0" w:color="auto"/>
      </w:divBdr>
      <w:divsChild>
        <w:div w:id="933896483">
          <w:marLeft w:val="274"/>
          <w:marRight w:val="0"/>
          <w:marTop w:val="0"/>
          <w:marBottom w:val="0"/>
          <w:divBdr>
            <w:top w:val="none" w:sz="0" w:space="0" w:color="auto"/>
            <w:left w:val="none" w:sz="0" w:space="0" w:color="auto"/>
            <w:bottom w:val="none" w:sz="0" w:space="0" w:color="auto"/>
            <w:right w:val="none" w:sz="0" w:space="0" w:color="auto"/>
          </w:divBdr>
        </w:div>
        <w:div w:id="343173854">
          <w:marLeft w:val="274"/>
          <w:marRight w:val="0"/>
          <w:marTop w:val="0"/>
          <w:marBottom w:val="0"/>
          <w:divBdr>
            <w:top w:val="none" w:sz="0" w:space="0" w:color="auto"/>
            <w:left w:val="none" w:sz="0" w:space="0" w:color="auto"/>
            <w:bottom w:val="none" w:sz="0" w:space="0" w:color="auto"/>
            <w:right w:val="none" w:sz="0" w:space="0" w:color="auto"/>
          </w:divBdr>
        </w:div>
        <w:div w:id="1666668303">
          <w:marLeft w:val="274"/>
          <w:marRight w:val="0"/>
          <w:marTop w:val="0"/>
          <w:marBottom w:val="0"/>
          <w:divBdr>
            <w:top w:val="none" w:sz="0" w:space="0" w:color="auto"/>
            <w:left w:val="none" w:sz="0" w:space="0" w:color="auto"/>
            <w:bottom w:val="none" w:sz="0" w:space="0" w:color="auto"/>
            <w:right w:val="none" w:sz="0" w:space="0" w:color="auto"/>
          </w:divBdr>
        </w:div>
        <w:div w:id="1043098894">
          <w:marLeft w:val="274"/>
          <w:marRight w:val="0"/>
          <w:marTop w:val="0"/>
          <w:marBottom w:val="0"/>
          <w:divBdr>
            <w:top w:val="none" w:sz="0" w:space="0" w:color="auto"/>
            <w:left w:val="none" w:sz="0" w:space="0" w:color="auto"/>
            <w:bottom w:val="none" w:sz="0" w:space="0" w:color="auto"/>
            <w:right w:val="none" w:sz="0" w:space="0" w:color="auto"/>
          </w:divBdr>
        </w:div>
      </w:divsChild>
    </w:div>
    <w:div w:id="1424299208">
      <w:bodyDiv w:val="1"/>
      <w:marLeft w:val="0"/>
      <w:marRight w:val="0"/>
      <w:marTop w:val="0"/>
      <w:marBottom w:val="0"/>
      <w:divBdr>
        <w:top w:val="none" w:sz="0" w:space="0" w:color="auto"/>
        <w:left w:val="none" w:sz="0" w:space="0" w:color="auto"/>
        <w:bottom w:val="none" w:sz="0" w:space="0" w:color="auto"/>
        <w:right w:val="none" w:sz="0" w:space="0" w:color="auto"/>
      </w:divBdr>
    </w:div>
    <w:div w:id="1521895378">
      <w:bodyDiv w:val="1"/>
      <w:marLeft w:val="0"/>
      <w:marRight w:val="0"/>
      <w:marTop w:val="0"/>
      <w:marBottom w:val="0"/>
      <w:divBdr>
        <w:top w:val="none" w:sz="0" w:space="0" w:color="auto"/>
        <w:left w:val="none" w:sz="0" w:space="0" w:color="auto"/>
        <w:bottom w:val="none" w:sz="0" w:space="0" w:color="auto"/>
        <w:right w:val="none" w:sz="0" w:space="0" w:color="auto"/>
      </w:divBdr>
    </w:div>
    <w:div w:id="1532375838">
      <w:bodyDiv w:val="1"/>
      <w:marLeft w:val="0"/>
      <w:marRight w:val="0"/>
      <w:marTop w:val="0"/>
      <w:marBottom w:val="0"/>
      <w:divBdr>
        <w:top w:val="none" w:sz="0" w:space="0" w:color="auto"/>
        <w:left w:val="none" w:sz="0" w:space="0" w:color="auto"/>
        <w:bottom w:val="none" w:sz="0" w:space="0" w:color="auto"/>
        <w:right w:val="none" w:sz="0" w:space="0" w:color="auto"/>
      </w:divBdr>
    </w:div>
    <w:div w:id="1534808338">
      <w:bodyDiv w:val="1"/>
      <w:marLeft w:val="0"/>
      <w:marRight w:val="0"/>
      <w:marTop w:val="0"/>
      <w:marBottom w:val="0"/>
      <w:divBdr>
        <w:top w:val="none" w:sz="0" w:space="0" w:color="auto"/>
        <w:left w:val="none" w:sz="0" w:space="0" w:color="auto"/>
        <w:bottom w:val="none" w:sz="0" w:space="0" w:color="auto"/>
        <w:right w:val="none" w:sz="0" w:space="0" w:color="auto"/>
      </w:divBdr>
    </w:div>
    <w:div w:id="1539775924">
      <w:bodyDiv w:val="1"/>
      <w:marLeft w:val="0"/>
      <w:marRight w:val="0"/>
      <w:marTop w:val="0"/>
      <w:marBottom w:val="0"/>
      <w:divBdr>
        <w:top w:val="none" w:sz="0" w:space="0" w:color="auto"/>
        <w:left w:val="none" w:sz="0" w:space="0" w:color="auto"/>
        <w:bottom w:val="none" w:sz="0" w:space="0" w:color="auto"/>
        <w:right w:val="none" w:sz="0" w:space="0" w:color="auto"/>
      </w:divBdr>
    </w:div>
    <w:div w:id="1555895373">
      <w:bodyDiv w:val="1"/>
      <w:marLeft w:val="0"/>
      <w:marRight w:val="0"/>
      <w:marTop w:val="0"/>
      <w:marBottom w:val="0"/>
      <w:divBdr>
        <w:top w:val="none" w:sz="0" w:space="0" w:color="auto"/>
        <w:left w:val="none" w:sz="0" w:space="0" w:color="auto"/>
        <w:bottom w:val="none" w:sz="0" w:space="0" w:color="auto"/>
        <w:right w:val="none" w:sz="0" w:space="0" w:color="auto"/>
      </w:divBdr>
    </w:div>
    <w:div w:id="1584412735">
      <w:bodyDiv w:val="1"/>
      <w:marLeft w:val="0"/>
      <w:marRight w:val="0"/>
      <w:marTop w:val="0"/>
      <w:marBottom w:val="0"/>
      <w:divBdr>
        <w:top w:val="none" w:sz="0" w:space="0" w:color="auto"/>
        <w:left w:val="none" w:sz="0" w:space="0" w:color="auto"/>
        <w:bottom w:val="none" w:sz="0" w:space="0" w:color="auto"/>
        <w:right w:val="none" w:sz="0" w:space="0" w:color="auto"/>
      </w:divBdr>
    </w:div>
    <w:div w:id="1589801522">
      <w:bodyDiv w:val="1"/>
      <w:marLeft w:val="0"/>
      <w:marRight w:val="0"/>
      <w:marTop w:val="0"/>
      <w:marBottom w:val="0"/>
      <w:divBdr>
        <w:top w:val="none" w:sz="0" w:space="0" w:color="auto"/>
        <w:left w:val="none" w:sz="0" w:space="0" w:color="auto"/>
        <w:bottom w:val="none" w:sz="0" w:space="0" w:color="auto"/>
        <w:right w:val="none" w:sz="0" w:space="0" w:color="auto"/>
      </w:divBdr>
      <w:divsChild>
        <w:div w:id="1416631513">
          <w:marLeft w:val="1800"/>
          <w:marRight w:val="1800"/>
          <w:marTop w:val="0"/>
          <w:marBottom w:val="0"/>
          <w:divBdr>
            <w:top w:val="none" w:sz="0" w:space="0" w:color="auto"/>
            <w:left w:val="none" w:sz="0" w:space="0" w:color="auto"/>
            <w:bottom w:val="none" w:sz="0" w:space="0" w:color="auto"/>
            <w:right w:val="none" w:sz="0" w:space="0" w:color="auto"/>
          </w:divBdr>
          <w:divsChild>
            <w:div w:id="177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8863">
      <w:bodyDiv w:val="1"/>
      <w:marLeft w:val="0"/>
      <w:marRight w:val="0"/>
      <w:marTop w:val="0"/>
      <w:marBottom w:val="0"/>
      <w:divBdr>
        <w:top w:val="none" w:sz="0" w:space="0" w:color="auto"/>
        <w:left w:val="none" w:sz="0" w:space="0" w:color="auto"/>
        <w:bottom w:val="none" w:sz="0" w:space="0" w:color="auto"/>
        <w:right w:val="none" w:sz="0" w:space="0" w:color="auto"/>
      </w:divBdr>
    </w:div>
    <w:div w:id="1610745401">
      <w:bodyDiv w:val="1"/>
      <w:marLeft w:val="0"/>
      <w:marRight w:val="0"/>
      <w:marTop w:val="0"/>
      <w:marBottom w:val="0"/>
      <w:divBdr>
        <w:top w:val="none" w:sz="0" w:space="0" w:color="auto"/>
        <w:left w:val="none" w:sz="0" w:space="0" w:color="auto"/>
        <w:bottom w:val="none" w:sz="0" w:space="0" w:color="auto"/>
        <w:right w:val="none" w:sz="0" w:space="0" w:color="auto"/>
      </w:divBdr>
    </w:div>
    <w:div w:id="1671519972">
      <w:bodyDiv w:val="1"/>
      <w:marLeft w:val="0"/>
      <w:marRight w:val="0"/>
      <w:marTop w:val="0"/>
      <w:marBottom w:val="0"/>
      <w:divBdr>
        <w:top w:val="none" w:sz="0" w:space="0" w:color="auto"/>
        <w:left w:val="none" w:sz="0" w:space="0" w:color="auto"/>
        <w:bottom w:val="none" w:sz="0" w:space="0" w:color="auto"/>
        <w:right w:val="none" w:sz="0" w:space="0" w:color="auto"/>
      </w:divBdr>
    </w:div>
    <w:div w:id="1715695392">
      <w:bodyDiv w:val="1"/>
      <w:marLeft w:val="0"/>
      <w:marRight w:val="0"/>
      <w:marTop w:val="0"/>
      <w:marBottom w:val="0"/>
      <w:divBdr>
        <w:top w:val="none" w:sz="0" w:space="0" w:color="auto"/>
        <w:left w:val="none" w:sz="0" w:space="0" w:color="auto"/>
        <w:bottom w:val="none" w:sz="0" w:space="0" w:color="auto"/>
        <w:right w:val="none" w:sz="0" w:space="0" w:color="auto"/>
      </w:divBdr>
    </w:div>
    <w:div w:id="1761873494">
      <w:bodyDiv w:val="1"/>
      <w:marLeft w:val="0"/>
      <w:marRight w:val="0"/>
      <w:marTop w:val="0"/>
      <w:marBottom w:val="0"/>
      <w:divBdr>
        <w:top w:val="none" w:sz="0" w:space="0" w:color="auto"/>
        <w:left w:val="none" w:sz="0" w:space="0" w:color="auto"/>
        <w:bottom w:val="none" w:sz="0" w:space="0" w:color="auto"/>
        <w:right w:val="none" w:sz="0" w:space="0" w:color="auto"/>
      </w:divBdr>
    </w:div>
    <w:div w:id="1835998381">
      <w:bodyDiv w:val="1"/>
      <w:marLeft w:val="0"/>
      <w:marRight w:val="0"/>
      <w:marTop w:val="0"/>
      <w:marBottom w:val="0"/>
      <w:divBdr>
        <w:top w:val="none" w:sz="0" w:space="0" w:color="auto"/>
        <w:left w:val="none" w:sz="0" w:space="0" w:color="auto"/>
        <w:bottom w:val="none" w:sz="0" w:space="0" w:color="auto"/>
        <w:right w:val="none" w:sz="0" w:space="0" w:color="auto"/>
      </w:divBdr>
      <w:divsChild>
        <w:div w:id="1202981520">
          <w:marLeft w:val="605"/>
          <w:marRight w:val="0"/>
          <w:marTop w:val="0"/>
          <w:marBottom w:val="0"/>
          <w:divBdr>
            <w:top w:val="none" w:sz="0" w:space="0" w:color="auto"/>
            <w:left w:val="none" w:sz="0" w:space="0" w:color="auto"/>
            <w:bottom w:val="none" w:sz="0" w:space="0" w:color="auto"/>
            <w:right w:val="none" w:sz="0" w:space="0" w:color="auto"/>
          </w:divBdr>
        </w:div>
        <w:div w:id="1801459518">
          <w:marLeft w:val="605"/>
          <w:marRight w:val="0"/>
          <w:marTop w:val="0"/>
          <w:marBottom w:val="0"/>
          <w:divBdr>
            <w:top w:val="none" w:sz="0" w:space="0" w:color="auto"/>
            <w:left w:val="none" w:sz="0" w:space="0" w:color="auto"/>
            <w:bottom w:val="none" w:sz="0" w:space="0" w:color="auto"/>
            <w:right w:val="none" w:sz="0" w:space="0" w:color="auto"/>
          </w:divBdr>
        </w:div>
        <w:div w:id="1728532632">
          <w:marLeft w:val="605"/>
          <w:marRight w:val="0"/>
          <w:marTop w:val="0"/>
          <w:marBottom w:val="0"/>
          <w:divBdr>
            <w:top w:val="none" w:sz="0" w:space="0" w:color="auto"/>
            <w:left w:val="none" w:sz="0" w:space="0" w:color="auto"/>
            <w:bottom w:val="none" w:sz="0" w:space="0" w:color="auto"/>
            <w:right w:val="none" w:sz="0" w:space="0" w:color="auto"/>
          </w:divBdr>
        </w:div>
      </w:divsChild>
    </w:div>
    <w:div w:id="1884171079">
      <w:bodyDiv w:val="1"/>
      <w:marLeft w:val="0"/>
      <w:marRight w:val="0"/>
      <w:marTop w:val="0"/>
      <w:marBottom w:val="0"/>
      <w:divBdr>
        <w:top w:val="none" w:sz="0" w:space="0" w:color="auto"/>
        <w:left w:val="none" w:sz="0" w:space="0" w:color="auto"/>
        <w:bottom w:val="none" w:sz="0" w:space="0" w:color="auto"/>
        <w:right w:val="none" w:sz="0" w:space="0" w:color="auto"/>
      </w:divBdr>
    </w:div>
    <w:div w:id="1918395439">
      <w:bodyDiv w:val="1"/>
      <w:marLeft w:val="0"/>
      <w:marRight w:val="0"/>
      <w:marTop w:val="0"/>
      <w:marBottom w:val="0"/>
      <w:divBdr>
        <w:top w:val="none" w:sz="0" w:space="0" w:color="auto"/>
        <w:left w:val="none" w:sz="0" w:space="0" w:color="auto"/>
        <w:bottom w:val="none" w:sz="0" w:space="0" w:color="auto"/>
        <w:right w:val="none" w:sz="0" w:space="0" w:color="auto"/>
      </w:divBdr>
    </w:div>
    <w:div w:id="2002809171">
      <w:bodyDiv w:val="1"/>
      <w:marLeft w:val="0"/>
      <w:marRight w:val="0"/>
      <w:marTop w:val="0"/>
      <w:marBottom w:val="0"/>
      <w:divBdr>
        <w:top w:val="none" w:sz="0" w:space="0" w:color="auto"/>
        <w:left w:val="none" w:sz="0" w:space="0" w:color="auto"/>
        <w:bottom w:val="none" w:sz="0" w:space="0" w:color="auto"/>
        <w:right w:val="none" w:sz="0" w:space="0" w:color="auto"/>
      </w:divBdr>
    </w:div>
    <w:div w:id="2095933932">
      <w:bodyDiv w:val="1"/>
      <w:marLeft w:val="0"/>
      <w:marRight w:val="0"/>
      <w:marTop w:val="0"/>
      <w:marBottom w:val="0"/>
      <w:divBdr>
        <w:top w:val="none" w:sz="0" w:space="0" w:color="auto"/>
        <w:left w:val="none" w:sz="0" w:space="0" w:color="auto"/>
        <w:bottom w:val="none" w:sz="0" w:space="0" w:color="auto"/>
        <w:right w:val="none" w:sz="0" w:space="0" w:color="auto"/>
      </w:divBdr>
      <w:divsChild>
        <w:div w:id="564335200">
          <w:marLeft w:val="792"/>
          <w:marRight w:val="0"/>
          <w:marTop w:val="0"/>
          <w:marBottom w:val="0"/>
          <w:divBdr>
            <w:top w:val="none" w:sz="0" w:space="0" w:color="auto"/>
            <w:left w:val="none" w:sz="0" w:space="0" w:color="auto"/>
            <w:bottom w:val="none" w:sz="0" w:space="0" w:color="auto"/>
            <w:right w:val="none" w:sz="0" w:space="0" w:color="auto"/>
          </w:divBdr>
        </w:div>
        <w:div w:id="2090734466">
          <w:marLeft w:val="792"/>
          <w:marRight w:val="0"/>
          <w:marTop w:val="0"/>
          <w:marBottom w:val="0"/>
          <w:divBdr>
            <w:top w:val="none" w:sz="0" w:space="0" w:color="auto"/>
            <w:left w:val="none" w:sz="0" w:space="0" w:color="auto"/>
            <w:bottom w:val="none" w:sz="0" w:space="0" w:color="auto"/>
            <w:right w:val="none" w:sz="0" w:space="0" w:color="auto"/>
          </w:divBdr>
        </w:div>
      </w:divsChild>
    </w:div>
    <w:div w:id="2104688922">
      <w:bodyDiv w:val="1"/>
      <w:marLeft w:val="0"/>
      <w:marRight w:val="0"/>
      <w:marTop w:val="0"/>
      <w:marBottom w:val="0"/>
      <w:divBdr>
        <w:top w:val="none" w:sz="0" w:space="0" w:color="auto"/>
        <w:left w:val="none" w:sz="0" w:space="0" w:color="auto"/>
        <w:bottom w:val="none" w:sz="0" w:space="0" w:color="auto"/>
        <w:right w:val="none" w:sz="0" w:space="0" w:color="auto"/>
      </w:divBdr>
    </w:div>
    <w:div w:id="21199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ss.gov.au/" TargetMode="External"/><Relationship Id="rId18" Type="http://schemas.openxmlformats.org/officeDocument/2006/relationships/hyperlink" Target="http://www.ombudsman.gov.au/"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cid:image003.png@01D1542C.47AF2590" TargetMode="External"/><Relationship Id="rId17" Type="http://schemas.openxmlformats.org/officeDocument/2006/relationships/hyperlink" Target="https://myplace.ndis.gov.au/ndisstorefront/about/contact-us/feedback-complaints/complaint-form.html"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privacy@privacy.gov.au" TargetMode="External"/><Relationship Id="rId20" Type="http://schemas.openxmlformats.org/officeDocument/2006/relationships/hyperlink" Target="http://anao.gov.au/Publications/Better-Practice-Guides/2013-2014/Implementing-Better-Practice-Grants-Administration"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mailto:privacy@ndis.gov.au"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ndis.gov.au/medias/documents/h2c/hb0/8800389824542/Rural-and-Remote-Strategy-991-KB-PDF-.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grantslink.gov.au/" TargetMode="External"/><Relationship Id="rId22" Type="http://schemas.openxmlformats.org/officeDocument/2006/relationships/header" Target="header2.xml"/><Relationship Id="rId27" Type="http://schemas.openxmlformats.org/officeDocument/2006/relationships/footer" Target="footer3.xml"/><Relationship Id="rId30" Type="http://schemas.openxmlformats.org/officeDocument/2006/relationships/fontTable" Target="fontTable.xml"/></Relationships>
</file>

<file path=word/theme/theme1.xml><?xml version="1.0" encoding="utf-8"?>
<a:theme xmlns:a="http://schemas.openxmlformats.org/drawingml/2006/main" name="Finance 3 Yellow">
  <a:themeElements>
    <a:clrScheme name="Finance - Yellow">
      <a:dk1>
        <a:sysClr val="windowText" lastClr="000000"/>
      </a:dk1>
      <a:lt1>
        <a:sysClr val="window" lastClr="FFFFFF"/>
      </a:lt1>
      <a:dk2>
        <a:srgbClr val="1C1C1C"/>
      </a:dk2>
      <a:lt2>
        <a:srgbClr val="E2E3E2"/>
      </a:lt2>
      <a:accent1>
        <a:srgbClr val="FFF38A"/>
      </a:accent1>
      <a:accent2>
        <a:srgbClr val="F8DD00"/>
      </a:accent2>
      <a:accent3>
        <a:srgbClr val="E8B600"/>
      </a:accent3>
      <a:accent4>
        <a:srgbClr val="19806D"/>
      </a:accent4>
      <a:accent5>
        <a:srgbClr val="C94A2C"/>
      </a:accent5>
      <a:accent6>
        <a:srgbClr val="645493"/>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3 Yellow" id="{B9EA25B3-17DD-4FD3-A0D3-E4911F1B5539}" vid="{0B6E4290-9791-402B-A8FB-3646B0021F6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4940E0A389E214693D1F6A55DED2952" ma:contentTypeVersion="" ma:contentTypeDescription="PDMS Document Site Content Type" ma:contentTypeScope="" ma:versionID="6a7bcf90881b0227c34be1b22b967350">
  <xsd:schema xmlns:xsd="http://www.w3.org/2001/XMLSchema" xmlns:xs="http://www.w3.org/2001/XMLSchema" xmlns:p="http://schemas.microsoft.com/office/2006/metadata/properties" xmlns:ns2="1AE816B6-8BD2-4A91-97DA-3CD5028BD478" targetNamespace="http://schemas.microsoft.com/office/2006/metadata/properties" ma:root="true" ma:fieldsID="ea44213f27c09adcdbac243d57a06969" ns2:_="">
    <xsd:import namespace="1AE816B6-8BD2-4A91-97DA-3CD5028BD47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816B6-8BD2-4A91-97DA-3CD5028BD47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1AE816B6-8BD2-4A91-97DA-3CD5028BD4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55EB-128D-4048-8D61-09242BDDF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816B6-8BD2-4A91-97DA-3CD5028BD4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24179D-F148-4930-9F32-630C78C80F4E}">
  <ds:schemaRefs>
    <ds:schemaRef ds:uri="http://schemas.microsoft.com/office/2006/documentManagement/types"/>
    <ds:schemaRef ds:uri="http://schemas.microsoft.com/office/infopath/2007/PartnerControls"/>
    <ds:schemaRef ds:uri="1AE816B6-8BD2-4A91-97DA-3CD5028BD478"/>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88166CA0-B80E-431D-9964-498D2C00DBED}">
  <ds:schemaRefs>
    <ds:schemaRef ds:uri="http://schemas.microsoft.com/sharepoint/v3/contenttype/forms"/>
  </ds:schemaRefs>
</ds:datastoreItem>
</file>

<file path=customXml/itemProps4.xml><?xml version="1.0" encoding="utf-8"?>
<ds:datastoreItem xmlns:ds="http://schemas.openxmlformats.org/officeDocument/2006/customXml" ds:itemID="{95E22E50-F2B4-48F8-8737-BC9EAFE97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8830</Words>
  <Characters>50335</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Rankin, Karen</dc:creator>
  <cp:keywords/>
  <dc:description/>
  <cp:lastModifiedBy>KEMP, Zoe</cp:lastModifiedBy>
  <cp:revision>2</cp:revision>
  <cp:lastPrinted>2019-04-05T02:44:00Z</cp:lastPrinted>
  <dcterms:created xsi:type="dcterms:W3CDTF">2019-08-26T23:56:00Z</dcterms:created>
  <dcterms:modified xsi:type="dcterms:W3CDTF">2019-08-26T23:56:00Z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0x010100266966F133664895A6EE3632470D45F50034940E0A389E214693D1F6A55DED2952</vt:lpwstr>
  </property>
</Properties>
</file>