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E6100" w14:textId="7A4D5C5C" w:rsidR="00267C03" w:rsidRPr="00DE3E36" w:rsidRDefault="0093619D" w:rsidP="00244880">
      <w:pPr>
        <w:pStyle w:val="Heading1"/>
        <w:tabs>
          <w:tab w:val="left" w:pos="6849"/>
        </w:tabs>
        <w:spacing w:after="120"/>
      </w:pPr>
      <w:r>
        <w:tab/>
      </w:r>
      <w:r w:rsidR="00267C03" w:rsidRPr="00624853">
        <w:br/>
      </w:r>
      <w:r w:rsidR="004E74C9">
        <w:br/>
      </w:r>
      <w:r w:rsidR="00081FDE">
        <w:rPr>
          <w:i/>
        </w:rPr>
        <w:t>Individual</w:t>
      </w:r>
      <w:r w:rsidR="00081FDE" w:rsidRPr="007C16E2">
        <w:rPr>
          <w:i/>
        </w:rPr>
        <w:t xml:space="preserve"> </w:t>
      </w:r>
      <w:r w:rsidR="00D412EA" w:rsidRPr="007C16E2">
        <w:rPr>
          <w:i/>
        </w:rPr>
        <w:t>Capacity Building (ICB)</w:t>
      </w:r>
      <w:r w:rsidR="00C3599A">
        <w:rPr>
          <w:i/>
        </w:rPr>
        <w:t xml:space="preserve"> Program</w:t>
      </w:r>
      <w:r w:rsidR="00E47175">
        <w:rPr>
          <w:i/>
        </w:rPr>
        <w:t xml:space="preserve"> </w:t>
      </w:r>
      <w:r w:rsidR="00D412EA" w:rsidRPr="007C16E2">
        <w:rPr>
          <w:i/>
        </w:rPr>
        <w:t xml:space="preserve">Grant </w:t>
      </w:r>
      <w:r w:rsidR="00E47175">
        <w:rPr>
          <w:i/>
        </w:rPr>
        <w:t>Opportunity</w:t>
      </w:r>
      <w:r w:rsidR="00D412EA" w:rsidRPr="007C16E2">
        <w:rPr>
          <w:i/>
        </w:rPr>
        <w:t xml:space="preserve"> 2019-2020</w:t>
      </w:r>
      <w:r w:rsidR="00244880">
        <w:rPr>
          <w:i/>
        </w:rPr>
        <w:br/>
      </w:r>
      <w:r w:rsidR="00267C03">
        <w:t>Grant Opportunity Guidelines</w:t>
      </w:r>
    </w:p>
    <w:p w14:paraId="74EC1CAF" w14:textId="77777777" w:rsidR="00267C03" w:rsidRDefault="00267C03" w:rsidP="00267C0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378AF1EC" w14:textId="77777777" w:rsidTr="00D82C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211554B2" w14:textId="77777777" w:rsidR="00B1460B" w:rsidRPr="0004098F" w:rsidRDefault="00B1460B" w:rsidP="00624853">
            <w:pPr>
              <w:rPr>
                <w:color w:val="264F90"/>
              </w:rPr>
            </w:pPr>
            <w:r w:rsidRPr="0004098F">
              <w:rPr>
                <w:color w:val="264F90"/>
              </w:rPr>
              <w:t>Opening date:</w:t>
            </w:r>
          </w:p>
        </w:tc>
        <w:tc>
          <w:tcPr>
            <w:tcW w:w="5983" w:type="dxa"/>
          </w:tcPr>
          <w:p w14:paraId="4A5EF287" w14:textId="77777777" w:rsidR="00B1460B" w:rsidRPr="00EE31E7" w:rsidRDefault="00CD0BAE" w:rsidP="00A773EE">
            <w:pPr>
              <w:cnfStyle w:val="100000000000" w:firstRow="1" w:lastRow="0" w:firstColumn="0" w:lastColumn="0" w:oddVBand="0" w:evenVBand="0" w:oddHBand="0" w:evenHBand="0" w:firstRowFirstColumn="0" w:firstRowLastColumn="0" w:lastRowFirstColumn="0" w:lastRowLastColumn="0"/>
              <w:rPr>
                <w:b w:val="0"/>
              </w:rPr>
            </w:pPr>
            <w:r w:rsidRPr="00EE31E7">
              <w:rPr>
                <w:b w:val="0"/>
              </w:rPr>
              <w:t xml:space="preserve">19 </w:t>
            </w:r>
            <w:r w:rsidR="00A773EE" w:rsidRPr="00EE31E7">
              <w:rPr>
                <w:b w:val="0"/>
              </w:rPr>
              <w:t>August 2019</w:t>
            </w:r>
          </w:p>
        </w:tc>
      </w:tr>
      <w:tr w:rsidR="00B1460B" w:rsidRPr="007040EB" w14:paraId="74B892EF" w14:textId="77777777" w:rsidTr="00D82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86FAC25"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1F2BF73D" w14:textId="77777777" w:rsidR="00B1460B" w:rsidRPr="00EE31E7" w:rsidRDefault="00D6320A" w:rsidP="00E2398E">
            <w:pPr>
              <w:cnfStyle w:val="000000100000" w:firstRow="0" w:lastRow="0" w:firstColumn="0" w:lastColumn="0" w:oddVBand="0" w:evenVBand="0" w:oddHBand="1" w:evenHBand="0" w:firstRowFirstColumn="0" w:firstRowLastColumn="0" w:lastRowFirstColumn="0" w:lastRowLastColumn="0"/>
            </w:pPr>
            <w:r>
              <w:t>11.00</w:t>
            </w:r>
            <w:r w:rsidRPr="00EE31E7">
              <w:t xml:space="preserve">PM </w:t>
            </w:r>
            <w:r w:rsidR="00B1460B" w:rsidRPr="00EE31E7">
              <w:t>AEST</w:t>
            </w:r>
            <w:r w:rsidR="00344221" w:rsidRPr="00EE31E7">
              <w:t xml:space="preserve"> </w:t>
            </w:r>
            <w:r w:rsidR="00B1460B" w:rsidRPr="00EE31E7">
              <w:t xml:space="preserve">on </w:t>
            </w:r>
            <w:r w:rsidR="00E2398E">
              <w:t>Monday 30</w:t>
            </w:r>
            <w:r w:rsidR="00B62CA1" w:rsidRPr="00EE31E7">
              <w:t xml:space="preserve"> </w:t>
            </w:r>
            <w:r w:rsidR="00344221" w:rsidRPr="00EE31E7">
              <w:t>September 2019</w:t>
            </w:r>
          </w:p>
        </w:tc>
      </w:tr>
      <w:tr w:rsidR="00B1460B" w:rsidRPr="007040EB" w14:paraId="5DE77156" w14:textId="77777777" w:rsidTr="00D82C4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7E9C85E"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0EB8AD92" w14:textId="77777777" w:rsidR="00B1460B" w:rsidRPr="00EE31E7" w:rsidRDefault="00D82C41" w:rsidP="00624853">
            <w:pPr>
              <w:cnfStyle w:val="000000000000" w:firstRow="0" w:lastRow="0" w:firstColumn="0" w:lastColumn="0" w:oddVBand="0" w:evenVBand="0" w:oddHBand="0" w:evenHBand="0" w:firstRowFirstColumn="0" w:firstRowLastColumn="0" w:lastRowFirstColumn="0" w:lastRowLastColumn="0"/>
            </w:pPr>
            <w:r w:rsidRPr="00EE31E7">
              <w:t>National Disability Insurance Agency (NDIA)</w:t>
            </w:r>
          </w:p>
        </w:tc>
      </w:tr>
      <w:tr w:rsidR="0077121A" w:rsidRPr="007040EB" w14:paraId="15417986" w14:textId="77777777" w:rsidTr="00D82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2F3CC08"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2DE715F1"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2D64A72F" w14:textId="77777777" w:rsidTr="00D82C4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BDFBB49"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21209C70"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7B1E4203"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52D75850"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p>
          <w:p w14:paraId="2A63CC35"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p w14:paraId="519DCA3F" w14:textId="77777777" w:rsidR="0077121A" w:rsidRPr="00F65C53" w:rsidRDefault="0077121A" w:rsidP="00E2398E">
            <w:pPr>
              <w:cnfStyle w:val="000000000000" w:firstRow="0" w:lastRow="0" w:firstColumn="0" w:lastColumn="0" w:oddVBand="0" w:evenVBand="0" w:oddHBand="0" w:evenHBand="0" w:firstRowFirstColumn="0" w:firstRowLastColumn="0" w:lastRowFirstColumn="0" w:lastRowLastColumn="0"/>
            </w:pPr>
            <w:r w:rsidRPr="00EE31E7">
              <w:t>Questions should be sent no later than</w:t>
            </w:r>
            <w:r w:rsidR="00DC4010" w:rsidRPr="00EE31E7">
              <w:t xml:space="preserve"> 5.00PM AEST on</w:t>
            </w:r>
            <w:r w:rsidRPr="00EE31E7">
              <w:t xml:space="preserve"> </w:t>
            </w:r>
            <w:r w:rsidR="00E2398E">
              <w:t>Monday 23</w:t>
            </w:r>
            <w:r w:rsidR="00B62CA1" w:rsidRPr="00EE31E7">
              <w:t xml:space="preserve"> </w:t>
            </w:r>
            <w:r w:rsidR="00D82C41" w:rsidRPr="00EE31E7">
              <w:t>September 2019</w:t>
            </w:r>
          </w:p>
        </w:tc>
      </w:tr>
      <w:tr w:rsidR="0077121A" w:rsidRPr="007040EB" w14:paraId="0154BC3B" w14:textId="77777777" w:rsidTr="00D82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96E76D1"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6DD0E100" w14:textId="77777777" w:rsidR="0077121A" w:rsidRPr="00DF5F3B" w:rsidRDefault="00DF5F3B" w:rsidP="00DF0789">
            <w:pPr>
              <w:cnfStyle w:val="000000100000" w:firstRow="0" w:lastRow="0" w:firstColumn="0" w:lastColumn="0" w:oddVBand="0" w:evenVBand="0" w:oddHBand="1" w:evenHBand="0" w:firstRowFirstColumn="0" w:firstRowLastColumn="0" w:lastRowFirstColumn="0" w:lastRowLastColumn="0"/>
              <w:rPr>
                <w:highlight w:val="yellow"/>
              </w:rPr>
            </w:pPr>
            <w:r w:rsidRPr="00DF5F3B">
              <w:t>19 August 2019</w:t>
            </w:r>
          </w:p>
        </w:tc>
      </w:tr>
      <w:tr w:rsidR="0077121A" w14:paraId="242E5A44" w14:textId="77777777" w:rsidTr="00D82C4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AC5E765"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054ADDDF" w14:textId="77777777" w:rsidR="0077121A" w:rsidRPr="00EE31E7" w:rsidRDefault="0077121A" w:rsidP="00D82C41">
            <w:pPr>
              <w:cnfStyle w:val="000000000000" w:firstRow="0" w:lastRow="0" w:firstColumn="0" w:lastColumn="0" w:oddVBand="0" w:evenVBand="0" w:oddHBand="0" w:evenHBand="0" w:firstRowFirstColumn="0" w:firstRowLastColumn="0" w:lastRowFirstColumn="0" w:lastRowLastColumn="0"/>
            </w:pPr>
            <w:r w:rsidRPr="00EE31E7">
              <w:t>Open competitive</w:t>
            </w:r>
          </w:p>
        </w:tc>
      </w:tr>
    </w:tbl>
    <w:p w14:paraId="21499EE9" w14:textId="77777777" w:rsidR="00FC5223" w:rsidRDefault="00FC5223" w:rsidP="00077C3D"/>
    <w:p w14:paraId="20621552" w14:textId="77777777" w:rsidR="00FC5223" w:rsidRDefault="00FC5223">
      <w:pPr>
        <w:spacing w:before="0" w:after="0" w:line="240" w:lineRule="auto"/>
      </w:pPr>
      <w:r>
        <w:br w:type="page"/>
      </w:r>
    </w:p>
    <w:p w14:paraId="6DD89D40" w14:textId="77777777" w:rsidR="00227D98" w:rsidRDefault="00E31F9B" w:rsidP="00B34AEF">
      <w:pPr>
        <w:pStyle w:val="TOCHeading"/>
      </w:pPr>
      <w:r>
        <w:lastRenderedPageBreak/>
        <w:t>Contents</w:t>
      </w:r>
    </w:p>
    <w:p w14:paraId="4D0F6EA8" w14:textId="29E084CB" w:rsidR="005631EB"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5631EB">
        <w:rPr>
          <w:noProof/>
        </w:rPr>
        <w:t>1</w:t>
      </w:r>
      <w:r w:rsidR="005631EB">
        <w:rPr>
          <w:rFonts w:asciiTheme="minorHAnsi" w:eastAsiaTheme="minorEastAsia" w:hAnsiTheme="minorHAnsi" w:cstheme="minorBidi"/>
          <w:b w:val="0"/>
          <w:noProof/>
          <w:sz w:val="22"/>
          <w:lang w:val="en-AU" w:eastAsia="en-AU"/>
        </w:rPr>
        <w:tab/>
      </w:r>
      <w:r w:rsidR="005631EB">
        <w:rPr>
          <w:noProof/>
        </w:rPr>
        <w:t>Information, Linkages and Capacity Building (ILC): Individual Capacity Building (ICB) Grant Round 2019-2020</w:t>
      </w:r>
      <w:r w:rsidR="005631EB">
        <w:rPr>
          <w:noProof/>
        </w:rPr>
        <w:tab/>
      </w:r>
      <w:r w:rsidR="005631EB">
        <w:rPr>
          <w:noProof/>
        </w:rPr>
        <w:fldChar w:fldCharType="begin"/>
      </w:r>
      <w:r w:rsidR="005631EB">
        <w:rPr>
          <w:noProof/>
        </w:rPr>
        <w:instrText xml:space="preserve"> PAGEREF _Toc16774058 \h </w:instrText>
      </w:r>
      <w:r w:rsidR="005631EB">
        <w:rPr>
          <w:noProof/>
        </w:rPr>
      </w:r>
      <w:r w:rsidR="005631EB">
        <w:rPr>
          <w:noProof/>
        </w:rPr>
        <w:fldChar w:fldCharType="separate"/>
      </w:r>
      <w:r w:rsidR="006230C3">
        <w:rPr>
          <w:noProof/>
        </w:rPr>
        <w:t>4</w:t>
      </w:r>
      <w:r w:rsidR="005631EB">
        <w:rPr>
          <w:noProof/>
        </w:rPr>
        <w:fldChar w:fldCharType="end"/>
      </w:r>
    </w:p>
    <w:p w14:paraId="6414F05B" w14:textId="0384B04D" w:rsidR="005631EB" w:rsidRDefault="005631EB">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_Toc16774059 \h </w:instrText>
      </w:r>
      <w:r>
        <w:rPr>
          <w:noProof/>
        </w:rPr>
      </w:r>
      <w:r>
        <w:rPr>
          <w:noProof/>
        </w:rPr>
        <w:fldChar w:fldCharType="separate"/>
      </w:r>
      <w:r w:rsidR="006230C3">
        <w:rPr>
          <w:noProof/>
        </w:rPr>
        <w:t>5</w:t>
      </w:r>
      <w:r>
        <w:rPr>
          <w:noProof/>
        </w:rPr>
        <w:fldChar w:fldCharType="end"/>
      </w:r>
    </w:p>
    <w:p w14:paraId="1255BE49" w14:textId="128BE3CF" w:rsidR="005631EB" w:rsidRDefault="005631EB">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ILC Program</w:t>
      </w:r>
      <w:r>
        <w:rPr>
          <w:noProof/>
        </w:rPr>
        <w:tab/>
      </w:r>
      <w:r>
        <w:rPr>
          <w:noProof/>
        </w:rPr>
        <w:fldChar w:fldCharType="begin"/>
      </w:r>
      <w:r>
        <w:rPr>
          <w:noProof/>
        </w:rPr>
        <w:instrText xml:space="preserve"> PAGEREF _Toc16774060 \h </w:instrText>
      </w:r>
      <w:r>
        <w:rPr>
          <w:noProof/>
        </w:rPr>
      </w:r>
      <w:r>
        <w:rPr>
          <w:noProof/>
        </w:rPr>
        <w:fldChar w:fldCharType="separate"/>
      </w:r>
      <w:r w:rsidR="006230C3">
        <w:rPr>
          <w:noProof/>
        </w:rPr>
        <w:t>5</w:t>
      </w:r>
      <w:r>
        <w:rPr>
          <w:noProof/>
        </w:rPr>
        <w:fldChar w:fldCharType="end"/>
      </w:r>
    </w:p>
    <w:p w14:paraId="7E71A738" w14:textId="2CE9D8D2" w:rsidR="005631EB" w:rsidRDefault="005631EB">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Individual Capacity Building (ICB) Program grant opportunity</w:t>
      </w:r>
      <w:r>
        <w:rPr>
          <w:noProof/>
        </w:rPr>
        <w:tab/>
      </w:r>
      <w:r>
        <w:rPr>
          <w:noProof/>
        </w:rPr>
        <w:fldChar w:fldCharType="begin"/>
      </w:r>
      <w:r>
        <w:rPr>
          <w:noProof/>
        </w:rPr>
        <w:instrText xml:space="preserve"> PAGEREF _Toc16774061 \h </w:instrText>
      </w:r>
      <w:r>
        <w:rPr>
          <w:noProof/>
        </w:rPr>
      </w:r>
      <w:r>
        <w:rPr>
          <w:noProof/>
        </w:rPr>
        <w:fldChar w:fldCharType="separate"/>
      </w:r>
      <w:r w:rsidR="006230C3">
        <w:rPr>
          <w:noProof/>
        </w:rPr>
        <w:t>6</w:t>
      </w:r>
      <w:r>
        <w:rPr>
          <w:noProof/>
        </w:rPr>
        <w:fldChar w:fldCharType="end"/>
      </w:r>
    </w:p>
    <w:p w14:paraId="69291217" w14:textId="1B5F28B6" w:rsidR="005631EB" w:rsidRDefault="005631EB">
      <w:pPr>
        <w:pStyle w:val="TOC4"/>
        <w:rPr>
          <w:rFonts w:asciiTheme="minorHAnsi" w:eastAsiaTheme="minorEastAsia" w:hAnsiTheme="minorHAnsi" w:cstheme="minorBidi"/>
          <w:sz w:val="22"/>
          <w:szCs w:val="22"/>
          <w:lang w:eastAsia="en-AU"/>
        </w:rPr>
      </w:pPr>
      <w:r>
        <w:t>2.1.1</w:t>
      </w:r>
      <w:r>
        <w:rPr>
          <w:rFonts w:asciiTheme="minorHAnsi" w:eastAsiaTheme="minorEastAsia" w:hAnsiTheme="minorHAnsi" w:cstheme="minorBidi"/>
          <w:sz w:val="22"/>
          <w:szCs w:val="22"/>
          <w:lang w:eastAsia="en-AU"/>
        </w:rPr>
        <w:tab/>
      </w:r>
      <w:r>
        <w:t>Grant activity categories</w:t>
      </w:r>
      <w:r>
        <w:tab/>
      </w:r>
      <w:r>
        <w:fldChar w:fldCharType="begin"/>
      </w:r>
      <w:r>
        <w:instrText xml:space="preserve"> PAGEREF _Toc16774062 \h </w:instrText>
      </w:r>
      <w:r>
        <w:fldChar w:fldCharType="separate"/>
      </w:r>
      <w:r w:rsidR="006230C3">
        <w:t>6</w:t>
      </w:r>
      <w:r>
        <w:fldChar w:fldCharType="end"/>
      </w:r>
    </w:p>
    <w:p w14:paraId="67A7FB35" w14:textId="7E700F4B" w:rsidR="005631EB" w:rsidRDefault="005631EB">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Grant period, amounts and funding available</w:t>
      </w:r>
      <w:r>
        <w:rPr>
          <w:noProof/>
        </w:rPr>
        <w:tab/>
      </w:r>
      <w:r>
        <w:rPr>
          <w:noProof/>
        </w:rPr>
        <w:fldChar w:fldCharType="begin"/>
      </w:r>
      <w:r>
        <w:rPr>
          <w:noProof/>
        </w:rPr>
        <w:instrText xml:space="preserve"> PAGEREF _Toc16774063 \h </w:instrText>
      </w:r>
      <w:r>
        <w:rPr>
          <w:noProof/>
        </w:rPr>
      </w:r>
      <w:r>
        <w:rPr>
          <w:noProof/>
        </w:rPr>
        <w:fldChar w:fldCharType="separate"/>
      </w:r>
      <w:r w:rsidR="006230C3">
        <w:rPr>
          <w:noProof/>
        </w:rPr>
        <w:t>7</w:t>
      </w:r>
      <w:r>
        <w:rPr>
          <w:noProof/>
        </w:rPr>
        <w:fldChar w:fldCharType="end"/>
      </w:r>
    </w:p>
    <w:p w14:paraId="325D0DF3" w14:textId="3B377DE9" w:rsidR="005631EB" w:rsidRDefault="005631EB">
      <w:pPr>
        <w:pStyle w:val="TOC3"/>
        <w:rPr>
          <w:rFonts w:asciiTheme="minorHAnsi" w:eastAsiaTheme="minorEastAsia" w:hAnsiTheme="minorHAnsi" w:cstheme="minorBidi"/>
          <w:noProof/>
          <w:sz w:val="22"/>
          <w:lang w:val="en-AU" w:eastAsia="en-AU"/>
        </w:rPr>
      </w:pPr>
      <w:r>
        <w:rPr>
          <w:noProof/>
        </w:rPr>
        <w:t>2.3</w:t>
      </w:r>
      <w:r>
        <w:rPr>
          <w:rFonts w:asciiTheme="minorHAnsi" w:eastAsiaTheme="minorEastAsia" w:hAnsiTheme="minorHAnsi" w:cstheme="minorBidi"/>
          <w:noProof/>
          <w:sz w:val="22"/>
          <w:lang w:val="en-AU" w:eastAsia="en-AU"/>
        </w:rPr>
        <w:tab/>
      </w:r>
      <w:r>
        <w:rPr>
          <w:noProof/>
        </w:rPr>
        <w:t>Applications for funding under $90,000 over total grant period</w:t>
      </w:r>
      <w:r>
        <w:rPr>
          <w:noProof/>
        </w:rPr>
        <w:tab/>
      </w:r>
      <w:r>
        <w:rPr>
          <w:noProof/>
        </w:rPr>
        <w:fldChar w:fldCharType="begin"/>
      </w:r>
      <w:r>
        <w:rPr>
          <w:noProof/>
        </w:rPr>
        <w:instrText xml:space="preserve"> PAGEREF _Toc16774064 \h </w:instrText>
      </w:r>
      <w:r>
        <w:rPr>
          <w:noProof/>
        </w:rPr>
      </w:r>
      <w:r>
        <w:rPr>
          <w:noProof/>
        </w:rPr>
        <w:fldChar w:fldCharType="separate"/>
      </w:r>
      <w:r w:rsidR="006230C3">
        <w:rPr>
          <w:noProof/>
        </w:rPr>
        <w:t>9</w:t>
      </w:r>
      <w:r>
        <w:rPr>
          <w:noProof/>
        </w:rPr>
        <w:fldChar w:fldCharType="end"/>
      </w:r>
    </w:p>
    <w:p w14:paraId="36ECFA1F" w14:textId="4B23E2F4" w:rsidR="005631EB" w:rsidRDefault="005631EB">
      <w:pPr>
        <w:pStyle w:val="TOC3"/>
        <w:rPr>
          <w:rFonts w:asciiTheme="minorHAnsi" w:eastAsiaTheme="minorEastAsia" w:hAnsiTheme="minorHAnsi" w:cstheme="minorBidi"/>
          <w:noProof/>
          <w:sz w:val="22"/>
          <w:lang w:val="en-AU" w:eastAsia="en-AU"/>
        </w:rPr>
      </w:pPr>
      <w:r>
        <w:rPr>
          <w:noProof/>
        </w:rPr>
        <w:t>2.4</w:t>
      </w:r>
      <w:r>
        <w:rPr>
          <w:rFonts w:asciiTheme="minorHAnsi" w:eastAsiaTheme="minorEastAsia" w:hAnsiTheme="minorHAnsi" w:cstheme="minorBidi"/>
          <w:noProof/>
          <w:sz w:val="22"/>
          <w:lang w:val="en-AU" w:eastAsia="en-AU"/>
        </w:rPr>
        <w:tab/>
      </w:r>
      <w:r>
        <w:rPr>
          <w:noProof/>
        </w:rPr>
        <w:t>Other considerations</w:t>
      </w:r>
      <w:r>
        <w:rPr>
          <w:noProof/>
        </w:rPr>
        <w:tab/>
      </w:r>
      <w:r>
        <w:rPr>
          <w:noProof/>
        </w:rPr>
        <w:fldChar w:fldCharType="begin"/>
      </w:r>
      <w:r>
        <w:rPr>
          <w:noProof/>
        </w:rPr>
        <w:instrText xml:space="preserve"> PAGEREF _Toc16774065 \h </w:instrText>
      </w:r>
      <w:r>
        <w:rPr>
          <w:noProof/>
        </w:rPr>
      </w:r>
      <w:r>
        <w:rPr>
          <w:noProof/>
        </w:rPr>
        <w:fldChar w:fldCharType="separate"/>
      </w:r>
      <w:r w:rsidR="006230C3">
        <w:rPr>
          <w:noProof/>
        </w:rPr>
        <w:t>9</w:t>
      </w:r>
      <w:r>
        <w:rPr>
          <w:noProof/>
        </w:rPr>
        <w:fldChar w:fldCharType="end"/>
      </w:r>
    </w:p>
    <w:p w14:paraId="3C443EBE" w14:textId="6AF529F3" w:rsidR="005631EB" w:rsidRDefault="005631EB">
      <w:pPr>
        <w:pStyle w:val="TOC3"/>
        <w:rPr>
          <w:rFonts w:asciiTheme="minorHAnsi" w:eastAsiaTheme="minorEastAsia" w:hAnsiTheme="minorHAnsi" w:cstheme="minorBidi"/>
          <w:noProof/>
          <w:sz w:val="22"/>
          <w:lang w:val="en-AU" w:eastAsia="en-AU"/>
        </w:rPr>
      </w:pPr>
      <w:r>
        <w:rPr>
          <w:noProof/>
        </w:rPr>
        <w:t>2.5</w:t>
      </w:r>
      <w:r>
        <w:rPr>
          <w:rFonts w:asciiTheme="minorHAnsi" w:eastAsiaTheme="minorEastAsia" w:hAnsiTheme="minorHAnsi" w:cstheme="minorBidi"/>
          <w:noProof/>
          <w:sz w:val="22"/>
          <w:lang w:val="en-AU" w:eastAsia="en-AU"/>
        </w:rPr>
        <w:tab/>
      </w:r>
      <w:r>
        <w:rPr>
          <w:noProof/>
        </w:rPr>
        <w:t>Geographical location</w:t>
      </w:r>
      <w:r>
        <w:rPr>
          <w:noProof/>
        </w:rPr>
        <w:tab/>
      </w:r>
      <w:r>
        <w:rPr>
          <w:noProof/>
        </w:rPr>
        <w:fldChar w:fldCharType="begin"/>
      </w:r>
      <w:r>
        <w:rPr>
          <w:noProof/>
        </w:rPr>
        <w:instrText xml:space="preserve"> PAGEREF _Toc16774066 \h </w:instrText>
      </w:r>
      <w:r>
        <w:rPr>
          <w:noProof/>
        </w:rPr>
      </w:r>
      <w:r>
        <w:rPr>
          <w:noProof/>
        </w:rPr>
        <w:fldChar w:fldCharType="separate"/>
      </w:r>
      <w:r w:rsidR="006230C3">
        <w:rPr>
          <w:noProof/>
        </w:rPr>
        <w:t>9</w:t>
      </w:r>
      <w:r>
        <w:rPr>
          <w:noProof/>
        </w:rPr>
        <w:fldChar w:fldCharType="end"/>
      </w:r>
    </w:p>
    <w:p w14:paraId="2127E3CE" w14:textId="6226984A" w:rsidR="005631EB" w:rsidRDefault="005631EB">
      <w:pPr>
        <w:pStyle w:val="TOC3"/>
        <w:rPr>
          <w:rFonts w:asciiTheme="minorHAnsi" w:eastAsiaTheme="minorEastAsia" w:hAnsiTheme="minorHAnsi" w:cstheme="minorBidi"/>
          <w:noProof/>
          <w:sz w:val="22"/>
          <w:lang w:val="en-AU" w:eastAsia="en-AU"/>
        </w:rPr>
      </w:pPr>
      <w:r>
        <w:rPr>
          <w:noProof/>
        </w:rPr>
        <w:t>2.6</w:t>
      </w:r>
      <w:r>
        <w:rPr>
          <w:rFonts w:asciiTheme="minorHAnsi" w:eastAsiaTheme="minorEastAsia" w:hAnsiTheme="minorHAnsi" w:cstheme="minorBidi"/>
          <w:noProof/>
          <w:sz w:val="22"/>
          <w:lang w:val="en-AU" w:eastAsia="en-AU"/>
        </w:rPr>
        <w:tab/>
      </w:r>
      <w:r>
        <w:rPr>
          <w:noProof/>
        </w:rPr>
        <w:t>Outcomes and performance indicators</w:t>
      </w:r>
      <w:r>
        <w:rPr>
          <w:noProof/>
        </w:rPr>
        <w:tab/>
      </w:r>
      <w:r>
        <w:rPr>
          <w:noProof/>
        </w:rPr>
        <w:fldChar w:fldCharType="begin"/>
      </w:r>
      <w:r>
        <w:rPr>
          <w:noProof/>
        </w:rPr>
        <w:instrText xml:space="preserve"> PAGEREF _Toc16774067 \h </w:instrText>
      </w:r>
      <w:r>
        <w:rPr>
          <w:noProof/>
        </w:rPr>
      </w:r>
      <w:r>
        <w:rPr>
          <w:noProof/>
        </w:rPr>
        <w:fldChar w:fldCharType="separate"/>
      </w:r>
      <w:r w:rsidR="006230C3">
        <w:rPr>
          <w:noProof/>
        </w:rPr>
        <w:t>9</w:t>
      </w:r>
      <w:r>
        <w:rPr>
          <w:noProof/>
        </w:rPr>
        <w:fldChar w:fldCharType="end"/>
      </w:r>
    </w:p>
    <w:p w14:paraId="125B1514" w14:textId="78E01D47" w:rsidR="005631EB" w:rsidRDefault="005631EB">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_Toc16774068 \h </w:instrText>
      </w:r>
      <w:r>
        <w:rPr>
          <w:noProof/>
        </w:rPr>
      </w:r>
      <w:r>
        <w:rPr>
          <w:noProof/>
        </w:rPr>
        <w:fldChar w:fldCharType="separate"/>
      </w:r>
      <w:r w:rsidR="006230C3">
        <w:rPr>
          <w:noProof/>
        </w:rPr>
        <w:t>10</w:t>
      </w:r>
      <w:r>
        <w:rPr>
          <w:noProof/>
        </w:rPr>
        <w:fldChar w:fldCharType="end"/>
      </w:r>
    </w:p>
    <w:p w14:paraId="4B445F6E" w14:textId="75A5C105" w:rsidR="005631EB" w:rsidRDefault="005631EB">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DPO/FOs and PCL criteria</w:t>
      </w:r>
      <w:r>
        <w:rPr>
          <w:noProof/>
        </w:rPr>
        <w:tab/>
      </w:r>
      <w:r>
        <w:rPr>
          <w:noProof/>
        </w:rPr>
        <w:fldChar w:fldCharType="begin"/>
      </w:r>
      <w:r>
        <w:rPr>
          <w:noProof/>
        </w:rPr>
        <w:instrText xml:space="preserve"> PAGEREF _Toc16774069 \h </w:instrText>
      </w:r>
      <w:r>
        <w:rPr>
          <w:noProof/>
        </w:rPr>
      </w:r>
      <w:r>
        <w:rPr>
          <w:noProof/>
        </w:rPr>
        <w:fldChar w:fldCharType="separate"/>
      </w:r>
      <w:r w:rsidR="006230C3">
        <w:rPr>
          <w:noProof/>
        </w:rPr>
        <w:t>10</w:t>
      </w:r>
      <w:r>
        <w:rPr>
          <w:noProof/>
        </w:rPr>
        <w:fldChar w:fldCharType="end"/>
      </w:r>
    </w:p>
    <w:p w14:paraId="190DDD86" w14:textId="3398E3BF" w:rsidR="005631EB" w:rsidRDefault="005631EB">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Eligible entity types</w:t>
      </w:r>
      <w:r>
        <w:rPr>
          <w:noProof/>
        </w:rPr>
        <w:tab/>
      </w:r>
      <w:r>
        <w:rPr>
          <w:noProof/>
        </w:rPr>
        <w:fldChar w:fldCharType="begin"/>
      </w:r>
      <w:r>
        <w:rPr>
          <w:noProof/>
        </w:rPr>
        <w:instrText xml:space="preserve"> PAGEREF _Toc16774070 \h </w:instrText>
      </w:r>
      <w:r>
        <w:rPr>
          <w:noProof/>
        </w:rPr>
      </w:r>
      <w:r>
        <w:rPr>
          <w:noProof/>
        </w:rPr>
        <w:fldChar w:fldCharType="separate"/>
      </w:r>
      <w:r w:rsidR="006230C3">
        <w:rPr>
          <w:noProof/>
        </w:rPr>
        <w:t>11</w:t>
      </w:r>
      <w:r>
        <w:rPr>
          <w:noProof/>
        </w:rPr>
        <w:fldChar w:fldCharType="end"/>
      </w:r>
    </w:p>
    <w:p w14:paraId="43F819FF" w14:textId="5C7963E2" w:rsidR="005631EB" w:rsidRDefault="005631EB">
      <w:pPr>
        <w:pStyle w:val="TOC3"/>
        <w:rPr>
          <w:rFonts w:asciiTheme="minorHAnsi" w:eastAsiaTheme="minorEastAsia" w:hAnsiTheme="minorHAnsi" w:cstheme="minorBidi"/>
          <w:noProof/>
          <w:sz w:val="22"/>
          <w:lang w:val="en-AU" w:eastAsia="en-AU"/>
        </w:rPr>
      </w:pPr>
      <w:r>
        <w:rPr>
          <w:noProof/>
        </w:rPr>
        <w:t>3.3</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_Toc16774071 \h </w:instrText>
      </w:r>
      <w:r>
        <w:rPr>
          <w:noProof/>
        </w:rPr>
      </w:r>
      <w:r>
        <w:rPr>
          <w:noProof/>
        </w:rPr>
        <w:fldChar w:fldCharType="separate"/>
      </w:r>
      <w:r w:rsidR="006230C3">
        <w:rPr>
          <w:noProof/>
        </w:rPr>
        <w:t>12</w:t>
      </w:r>
      <w:r>
        <w:rPr>
          <w:noProof/>
        </w:rPr>
        <w:fldChar w:fldCharType="end"/>
      </w:r>
    </w:p>
    <w:p w14:paraId="200A2DF2" w14:textId="055F2FB0" w:rsidR="005631EB" w:rsidRDefault="005631EB">
      <w:pPr>
        <w:pStyle w:val="TOC3"/>
        <w:rPr>
          <w:rFonts w:asciiTheme="minorHAnsi" w:eastAsiaTheme="minorEastAsia" w:hAnsiTheme="minorHAnsi" w:cstheme="minorBidi"/>
          <w:noProof/>
          <w:sz w:val="22"/>
          <w:lang w:val="en-AU" w:eastAsia="en-AU"/>
        </w:rPr>
      </w:pPr>
      <w:r>
        <w:rPr>
          <w:noProof/>
        </w:rPr>
        <w:t>3.4</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_Toc16774072 \h </w:instrText>
      </w:r>
      <w:r>
        <w:rPr>
          <w:noProof/>
        </w:rPr>
      </w:r>
      <w:r>
        <w:rPr>
          <w:noProof/>
        </w:rPr>
        <w:fldChar w:fldCharType="separate"/>
      </w:r>
      <w:r w:rsidR="006230C3">
        <w:rPr>
          <w:noProof/>
        </w:rPr>
        <w:t>13</w:t>
      </w:r>
      <w:r>
        <w:rPr>
          <w:noProof/>
        </w:rPr>
        <w:fldChar w:fldCharType="end"/>
      </w:r>
    </w:p>
    <w:p w14:paraId="41915C61" w14:textId="50C6A240" w:rsidR="005631EB" w:rsidRDefault="005631EB">
      <w:pPr>
        <w:pStyle w:val="TOC3"/>
        <w:rPr>
          <w:rFonts w:asciiTheme="minorHAnsi" w:eastAsiaTheme="minorEastAsia" w:hAnsiTheme="minorHAnsi" w:cstheme="minorBidi"/>
          <w:noProof/>
          <w:sz w:val="22"/>
          <w:lang w:val="en-AU" w:eastAsia="en-AU"/>
        </w:rPr>
      </w:pPr>
      <w:r>
        <w:rPr>
          <w:noProof/>
        </w:rPr>
        <w:t>3.5</w:t>
      </w:r>
      <w:r>
        <w:rPr>
          <w:rFonts w:asciiTheme="minorHAnsi" w:eastAsiaTheme="minorEastAsia" w:hAnsiTheme="minorHAnsi" w:cstheme="minorBidi"/>
          <w:noProof/>
          <w:sz w:val="22"/>
          <w:lang w:val="en-AU" w:eastAsia="en-AU"/>
        </w:rPr>
        <w:tab/>
      </w:r>
      <w:r>
        <w:rPr>
          <w:noProof/>
        </w:rPr>
        <w:t>Applications from a consortium</w:t>
      </w:r>
      <w:r>
        <w:rPr>
          <w:noProof/>
        </w:rPr>
        <w:tab/>
      </w:r>
      <w:r>
        <w:rPr>
          <w:noProof/>
        </w:rPr>
        <w:fldChar w:fldCharType="begin"/>
      </w:r>
      <w:r>
        <w:rPr>
          <w:noProof/>
        </w:rPr>
        <w:instrText xml:space="preserve"> PAGEREF _Toc16774073 \h </w:instrText>
      </w:r>
      <w:r>
        <w:rPr>
          <w:noProof/>
        </w:rPr>
      </w:r>
      <w:r>
        <w:rPr>
          <w:noProof/>
        </w:rPr>
        <w:fldChar w:fldCharType="separate"/>
      </w:r>
      <w:r w:rsidR="006230C3">
        <w:rPr>
          <w:noProof/>
        </w:rPr>
        <w:t>13</w:t>
      </w:r>
      <w:r>
        <w:rPr>
          <w:noProof/>
        </w:rPr>
        <w:fldChar w:fldCharType="end"/>
      </w:r>
    </w:p>
    <w:p w14:paraId="0091C950" w14:textId="3A2A1963" w:rsidR="005631EB" w:rsidRDefault="005631EB">
      <w:pPr>
        <w:pStyle w:val="TOC3"/>
        <w:rPr>
          <w:rFonts w:asciiTheme="minorHAnsi" w:eastAsiaTheme="minorEastAsia" w:hAnsiTheme="minorHAnsi" w:cstheme="minorBidi"/>
          <w:noProof/>
          <w:sz w:val="22"/>
          <w:lang w:val="en-AU" w:eastAsia="en-AU"/>
        </w:rPr>
      </w:pPr>
      <w:r>
        <w:rPr>
          <w:noProof/>
        </w:rPr>
        <w:t>3.6</w:t>
      </w:r>
      <w:r>
        <w:rPr>
          <w:rFonts w:asciiTheme="minorHAnsi" w:eastAsiaTheme="minorEastAsia" w:hAnsiTheme="minorHAnsi" w:cstheme="minorBidi"/>
          <w:noProof/>
          <w:sz w:val="22"/>
          <w:lang w:val="en-AU" w:eastAsia="en-AU"/>
        </w:rPr>
        <w:tab/>
      </w:r>
      <w:r>
        <w:rPr>
          <w:noProof/>
        </w:rPr>
        <w:t>Auspice arrangements</w:t>
      </w:r>
      <w:r>
        <w:rPr>
          <w:noProof/>
        </w:rPr>
        <w:tab/>
      </w:r>
      <w:r>
        <w:rPr>
          <w:noProof/>
        </w:rPr>
        <w:fldChar w:fldCharType="begin"/>
      </w:r>
      <w:r>
        <w:rPr>
          <w:noProof/>
        </w:rPr>
        <w:instrText xml:space="preserve"> PAGEREF _Toc16774074 \h </w:instrText>
      </w:r>
      <w:r>
        <w:rPr>
          <w:noProof/>
        </w:rPr>
      </w:r>
      <w:r>
        <w:rPr>
          <w:noProof/>
        </w:rPr>
        <w:fldChar w:fldCharType="separate"/>
      </w:r>
      <w:r w:rsidR="006230C3">
        <w:rPr>
          <w:noProof/>
        </w:rPr>
        <w:t>13</w:t>
      </w:r>
      <w:r>
        <w:rPr>
          <w:noProof/>
        </w:rPr>
        <w:fldChar w:fldCharType="end"/>
      </w:r>
    </w:p>
    <w:p w14:paraId="73E4ADE5" w14:textId="73418C56" w:rsidR="005631EB" w:rsidRDefault="005631EB">
      <w:pPr>
        <w:pStyle w:val="TOC3"/>
        <w:rPr>
          <w:rFonts w:asciiTheme="minorHAnsi" w:eastAsiaTheme="minorEastAsia" w:hAnsiTheme="minorHAnsi" w:cstheme="minorBidi"/>
          <w:noProof/>
          <w:sz w:val="22"/>
          <w:lang w:val="en-AU" w:eastAsia="en-AU"/>
        </w:rPr>
      </w:pPr>
      <w:r>
        <w:rPr>
          <w:noProof/>
        </w:rPr>
        <w:t>3.7</w:t>
      </w:r>
      <w:r>
        <w:rPr>
          <w:rFonts w:asciiTheme="minorHAnsi" w:eastAsiaTheme="minorEastAsia" w:hAnsiTheme="minorHAnsi" w:cstheme="minorBidi"/>
          <w:noProof/>
          <w:sz w:val="22"/>
          <w:lang w:val="en-AU" w:eastAsia="en-AU"/>
        </w:rPr>
        <w:tab/>
      </w:r>
      <w:r>
        <w:rPr>
          <w:noProof/>
        </w:rPr>
        <w:t>Applicants currently in receipt of NDIA ILC funding</w:t>
      </w:r>
      <w:r>
        <w:rPr>
          <w:noProof/>
        </w:rPr>
        <w:tab/>
      </w:r>
      <w:r>
        <w:rPr>
          <w:noProof/>
        </w:rPr>
        <w:fldChar w:fldCharType="begin"/>
      </w:r>
      <w:r>
        <w:rPr>
          <w:noProof/>
        </w:rPr>
        <w:instrText xml:space="preserve"> PAGEREF _Toc16774075 \h </w:instrText>
      </w:r>
      <w:r>
        <w:rPr>
          <w:noProof/>
        </w:rPr>
      </w:r>
      <w:r>
        <w:rPr>
          <w:noProof/>
        </w:rPr>
        <w:fldChar w:fldCharType="separate"/>
      </w:r>
      <w:r w:rsidR="006230C3">
        <w:rPr>
          <w:noProof/>
        </w:rPr>
        <w:t>14</w:t>
      </w:r>
      <w:r>
        <w:rPr>
          <w:noProof/>
        </w:rPr>
        <w:fldChar w:fldCharType="end"/>
      </w:r>
    </w:p>
    <w:p w14:paraId="26F00E00" w14:textId="227D44FD" w:rsidR="005631EB" w:rsidRDefault="005631EB">
      <w:pPr>
        <w:pStyle w:val="TOC3"/>
        <w:rPr>
          <w:rFonts w:asciiTheme="minorHAnsi" w:eastAsiaTheme="minorEastAsia" w:hAnsiTheme="minorHAnsi" w:cstheme="minorBidi"/>
          <w:noProof/>
          <w:sz w:val="22"/>
          <w:lang w:val="en-AU" w:eastAsia="en-AU"/>
        </w:rPr>
      </w:pPr>
      <w:r>
        <w:rPr>
          <w:noProof/>
        </w:rPr>
        <w:t>3.8</w:t>
      </w:r>
      <w:r>
        <w:rPr>
          <w:rFonts w:asciiTheme="minorHAnsi" w:eastAsiaTheme="minorEastAsia" w:hAnsiTheme="minorHAnsi" w:cstheme="minorBidi"/>
          <w:noProof/>
          <w:sz w:val="22"/>
          <w:lang w:val="en-AU" w:eastAsia="en-AU"/>
        </w:rPr>
        <w:tab/>
      </w:r>
      <w:r>
        <w:rPr>
          <w:noProof/>
        </w:rPr>
        <w:t>Applicants that are applying for funding under separate NDIA ILC grants</w:t>
      </w:r>
      <w:r>
        <w:rPr>
          <w:noProof/>
        </w:rPr>
        <w:tab/>
      </w:r>
      <w:r>
        <w:rPr>
          <w:noProof/>
        </w:rPr>
        <w:fldChar w:fldCharType="begin"/>
      </w:r>
      <w:r>
        <w:rPr>
          <w:noProof/>
        </w:rPr>
        <w:instrText xml:space="preserve"> PAGEREF _Toc16774076 \h </w:instrText>
      </w:r>
      <w:r>
        <w:rPr>
          <w:noProof/>
        </w:rPr>
      </w:r>
      <w:r>
        <w:rPr>
          <w:noProof/>
        </w:rPr>
        <w:fldChar w:fldCharType="separate"/>
      </w:r>
      <w:r w:rsidR="006230C3">
        <w:rPr>
          <w:noProof/>
        </w:rPr>
        <w:t>14</w:t>
      </w:r>
      <w:r>
        <w:rPr>
          <w:noProof/>
        </w:rPr>
        <w:fldChar w:fldCharType="end"/>
      </w:r>
    </w:p>
    <w:p w14:paraId="6255D2EA" w14:textId="505FFAD4" w:rsidR="005631EB" w:rsidRDefault="005631EB">
      <w:pPr>
        <w:pStyle w:val="TOC3"/>
        <w:rPr>
          <w:rFonts w:asciiTheme="minorHAnsi" w:eastAsiaTheme="minorEastAsia" w:hAnsiTheme="minorHAnsi" w:cstheme="minorBidi"/>
          <w:noProof/>
          <w:sz w:val="22"/>
          <w:lang w:val="en-AU" w:eastAsia="en-AU"/>
        </w:rPr>
      </w:pPr>
      <w:r>
        <w:rPr>
          <w:noProof/>
        </w:rPr>
        <w:t>3.9</w:t>
      </w:r>
      <w:r>
        <w:rPr>
          <w:rFonts w:asciiTheme="minorHAnsi" w:eastAsiaTheme="minorEastAsia" w:hAnsiTheme="minorHAnsi" w:cstheme="minorBidi"/>
          <w:noProof/>
          <w:sz w:val="22"/>
          <w:lang w:val="en-AU" w:eastAsia="en-AU"/>
        </w:rPr>
        <w:tab/>
      </w:r>
      <w:r>
        <w:rPr>
          <w:noProof/>
        </w:rPr>
        <w:t>Applicants that are sibling and carer-led organisations</w:t>
      </w:r>
      <w:r>
        <w:rPr>
          <w:noProof/>
        </w:rPr>
        <w:tab/>
      </w:r>
      <w:r>
        <w:rPr>
          <w:noProof/>
        </w:rPr>
        <w:fldChar w:fldCharType="begin"/>
      </w:r>
      <w:r>
        <w:rPr>
          <w:noProof/>
        </w:rPr>
        <w:instrText xml:space="preserve"> PAGEREF _Toc16774077 \h </w:instrText>
      </w:r>
      <w:r>
        <w:rPr>
          <w:noProof/>
        </w:rPr>
      </w:r>
      <w:r>
        <w:rPr>
          <w:noProof/>
        </w:rPr>
        <w:fldChar w:fldCharType="separate"/>
      </w:r>
      <w:r w:rsidR="006230C3">
        <w:rPr>
          <w:noProof/>
        </w:rPr>
        <w:t>14</w:t>
      </w:r>
      <w:r>
        <w:rPr>
          <w:noProof/>
        </w:rPr>
        <w:fldChar w:fldCharType="end"/>
      </w:r>
    </w:p>
    <w:p w14:paraId="11894EB3" w14:textId="1699352C" w:rsidR="005631EB" w:rsidRDefault="005631EB">
      <w:pPr>
        <w:pStyle w:val="TOC3"/>
        <w:tabs>
          <w:tab w:val="left" w:pos="1077"/>
        </w:tabs>
        <w:rPr>
          <w:rFonts w:asciiTheme="minorHAnsi" w:eastAsiaTheme="minorEastAsia" w:hAnsiTheme="minorHAnsi" w:cstheme="minorBidi"/>
          <w:noProof/>
          <w:sz w:val="22"/>
          <w:lang w:val="en-AU" w:eastAsia="en-AU"/>
        </w:rPr>
      </w:pPr>
      <w:r>
        <w:rPr>
          <w:noProof/>
        </w:rPr>
        <w:t>3.10</w:t>
      </w:r>
      <w:r>
        <w:rPr>
          <w:rFonts w:asciiTheme="minorHAnsi" w:eastAsiaTheme="minorEastAsia" w:hAnsiTheme="minorHAnsi" w:cstheme="minorBidi"/>
          <w:noProof/>
          <w:sz w:val="22"/>
          <w:lang w:val="en-AU" w:eastAsia="en-AU"/>
        </w:rPr>
        <w:tab/>
      </w:r>
      <w:r>
        <w:rPr>
          <w:noProof/>
        </w:rPr>
        <w:t>Applicants that are NDIA registered providers of support</w:t>
      </w:r>
      <w:r>
        <w:rPr>
          <w:noProof/>
        </w:rPr>
        <w:tab/>
      </w:r>
      <w:r>
        <w:rPr>
          <w:noProof/>
        </w:rPr>
        <w:fldChar w:fldCharType="begin"/>
      </w:r>
      <w:r>
        <w:rPr>
          <w:noProof/>
        </w:rPr>
        <w:instrText xml:space="preserve"> PAGEREF _Toc16774078 \h </w:instrText>
      </w:r>
      <w:r>
        <w:rPr>
          <w:noProof/>
        </w:rPr>
      </w:r>
      <w:r>
        <w:rPr>
          <w:noProof/>
        </w:rPr>
        <w:fldChar w:fldCharType="separate"/>
      </w:r>
      <w:r w:rsidR="006230C3">
        <w:rPr>
          <w:noProof/>
        </w:rPr>
        <w:t>14</w:t>
      </w:r>
      <w:r>
        <w:rPr>
          <w:noProof/>
        </w:rPr>
        <w:fldChar w:fldCharType="end"/>
      </w:r>
    </w:p>
    <w:p w14:paraId="5B9CEDE3" w14:textId="3720D4D6" w:rsidR="005631EB" w:rsidRDefault="005631EB">
      <w:pPr>
        <w:pStyle w:val="TOC3"/>
        <w:tabs>
          <w:tab w:val="left" w:pos="1077"/>
        </w:tabs>
        <w:rPr>
          <w:rFonts w:asciiTheme="minorHAnsi" w:eastAsiaTheme="minorEastAsia" w:hAnsiTheme="minorHAnsi" w:cstheme="minorBidi"/>
          <w:noProof/>
          <w:sz w:val="22"/>
          <w:lang w:val="en-AU" w:eastAsia="en-AU"/>
        </w:rPr>
      </w:pPr>
      <w:r>
        <w:rPr>
          <w:noProof/>
        </w:rPr>
        <w:t>3.11</w:t>
      </w:r>
      <w:r>
        <w:rPr>
          <w:rFonts w:asciiTheme="minorHAnsi" w:eastAsiaTheme="minorEastAsia" w:hAnsiTheme="minorHAnsi" w:cstheme="minorBidi"/>
          <w:noProof/>
          <w:sz w:val="22"/>
          <w:lang w:val="en-AU" w:eastAsia="en-AU"/>
        </w:rPr>
        <w:tab/>
      </w:r>
      <w:r>
        <w:rPr>
          <w:noProof/>
        </w:rPr>
        <w:t>Partners in the Community (Local Area Coordination and/or Early Childhood Early Intervention Partners)</w:t>
      </w:r>
      <w:r>
        <w:rPr>
          <w:noProof/>
        </w:rPr>
        <w:tab/>
      </w:r>
      <w:r>
        <w:rPr>
          <w:noProof/>
        </w:rPr>
        <w:fldChar w:fldCharType="begin"/>
      </w:r>
      <w:r>
        <w:rPr>
          <w:noProof/>
        </w:rPr>
        <w:instrText xml:space="preserve"> PAGEREF _Toc16774079 \h </w:instrText>
      </w:r>
      <w:r>
        <w:rPr>
          <w:noProof/>
        </w:rPr>
      </w:r>
      <w:r>
        <w:rPr>
          <w:noProof/>
        </w:rPr>
        <w:fldChar w:fldCharType="separate"/>
      </w:r>
      <w:r w:rsidR="006230C3">
        <w:rPr>
          <w:noProof/>
        </w:rPr>
        <w:t>14</w:t>
      </w:r>
      <w:r>
        <w:rPr>
          <w:noProof/>
        </w:rPr>
        <w:fldChar w:fldCharType="end"/>
      </w:r>
    </w:p>
    <w:p w14:paraId="2E5EF488" w14:textId="56AF5827" w:rsidR="005631EB" w:rsidRDefault="005631EB">
      <w:pPr>
        <w:pStyle w:val="TOC3"/>
        <w:tabs>
          <w:tab w:val="left" w:pos="1077"/>
        </w:tabs>
        <w:rPr>
          <w:rFonts w:asciiTheme="minorHAnsi" w:eastAsiaTheme="minorEastAsia" w:hAnsiTheme="minorHAnsi" w:cstheme="minorBidi"/>
          <w:noProof/>
          <w:sz w:val="22"/>
          <w:lang w:val="en-AU" w:eastAsia="en-AU"/>
        </w:rPr>
      </w:pPr>
      <w:r>
        <w:rPr>
          <w:noProof/>
        </w:rPr>
        <w:t>3.12</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_Toc16774080 \h </w:instrText>
      </w:r>
      <w:r>
        <w:rPr>
          <w:noProof/>
        </w:rPr>
      </w:r>
      <w:r>
        <w:rPr>
          <w:noProof/>
        </w:rPr>
        <w:fldChar w:fldCharType="separate"/>
      </w:r>
      <w:r w:rsidR="006230C3">
        <w:rPr>
          <w:noProof/>
        </w:rPr>
        <w:t>14</w:t>
      </w:r>
      <w:r>
        <w:rPr>
          <w:noProof/>
        </w:rPr>
        <w:fldChar w:fldCharType="end"/>
      </w:r>
    </w:p>
    <w:p w14:paraId="0BD7E1CC" w14:textId="657FEDFC" w:rsidR="005631EB" w:rsidRDefault="005631EB">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_Toc16774081 \h </w:instrText>
      </w:r>
      <w:r>
        <w:rPr>
          <w:noProof/>
        </w:rPr>
      </w:r>
      <w:r>
        <w:rPr>
          <w:noProof/>
        </w:rPr>
        <w:fldChar w:fldCharType="separate"/>
      </w:r>
      <w:r w:rsidR="006230C3">
        <w:rPr>
          <w:noProof/>
        </w:rPr>
        <w:t>15</w:t>
      </w:r>
      <w:r>
        <w:rPr>
          <w:noProof/>
        </w:rPr>
        <w:fldChar w:fldCharType="end"/>
      </w:r>
    </w:p>
    <w:p w14:paraId="73FE0129" w14:textId="7BC2C5BF" w:rsidR="005631EB" w:rsidRDefault="005631EB">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_Toc16774082 \h </w:instrText>
      </w:r>
      <w:r>
        <w:rPr>
          <w:noProof/>
        </w:rPr>
      </w:r>
      <w:r>
        <w:rPr>
          <w:noProof/>
        </w:rPr>
        <w:fldChar w:fldCharType="separate"/>
      </w:r>
      <w:r w:rsidR="006230C3">
        <w:rPr>
          <w:noProof/>
        </w:rPr>
        <w:t>15</w:t>
      </w:r>
      <w:r>
        <w:rPr>
          <w:noProof/>
        </w:rPr>
        <w:fldChar w:fldCharType="end"/>
      </w:r>
    </w:p>
    <w:p w14:paraId="727F689E" w14:textId="18C6E7C7" w:rsidR="005631EB" w:rsidRDefault="005631EB">
      <w:pPr>
        <w:pStyle w:val="TOC4"/>
        <w:rPr>
          <w:rFonts w:asciiTheme="minorHAnsi" w:eastAsiaTheme="minorEastAsia" w:hAnsiTheme="minorHAnsi" w:cstheme="minorBidi"/>
          <w:sz w:val="22"/>
          <w:szCs w:val="22"/>
          <w:lang w:eastAsia="en-AU"/>
        </w:rPr>
      </w:pPr>
      <w:r>
        <w:t>4.1.1</w:t>
      </w:r>
      <w:r>
        <w:rPr>
          <w:rFonts w:asciiTheme="minorHAnsi" w:eastAsiaTheme="minorEastAsia" w:hAnsiTheme="minorHAnsi" w:cstheme="minorBidi"/>
          <w:sz w:val="22"/>
          <w:szCs w:val="22"/>
          <w:lang w:eastAsia="en-AU"/>
        </w:rPr>
        <w:tab/>
      </w:r>
      <w:r>
        <w:t>Activity category 1 - Individual Capacity Building (ICB)</w:t>
      </w:r>
      <w:r>
        <w:tab/>
      </w:r>
      <w:r>
        <w:fldChar w:fldCharType="begin"/>
      </w:r>
      <w:r>
        <w:instrText xml:space="preserve"> PAGEREF _Toc16774083 \h </w:instrText>
      </w:r>
      <w:r>
        <w:fldChar w:fldCharType="separate"/>
      </w:r>
      <w:r w:rsidR="006230C3">
        <w:t>15</w:t>
      </w:r>
      <w:r>
        <w:fldChar w:fldCharType="end"/>
      </w:r>
    </w:p>
    <w:p w14:paraId="1CDD76CD" w14:textId="71C2E833" w:rsidR="005631EB" w:rsidRDefault="005631EB">
      <w:pPr>
        <w:pStyle w:val="TOC4"/>
        <w:rPr>
          <w:rFonts w:asciiTheme="minorHAnsi" w:eastAsiaTheme="minorEastAsia" w:hAnsiTheme="minorHAnsi" w:cstheme="minorBidi"/>
          <w:sz w:val="22"/>
          <w:szCs w:val="22"/>
          <w:lang w:eastAsia="en-AU"/>
        </w:rPr>
      </w:pPr>
      <w:r>
        <w:t>4.1.2</w:t>
      </w:r>
      <w:r>
        <w:rPr>
          <w:rFonts w:asciiTheme="minorHAnsi" w:eastAsiaTheme="minorEastAsia" w:hAnsiTheme="minorHAnsi" w:cstheme="minorBidi"/>
          <w:sz w:val="22"/>
          <w:szCs w:val="22"/>
          <w:lang w:eastAsia="en-AU"/>
        </w:rPr>
        <w:tab/>
      </w:r>
      <w:r>
        <w:t>Activity category 2 - Organisational Capacity Building (OCB)</w:t>
      </w:r>
      <w:r>
        <w:tab/>
      </w:r>
      <w:r>
        <w:fldChar w:fldCharType="begin"/>
      </w:r>
      <w:r>
        <w:instrText xml:space="preserve"> PAGEREF _Toc16774084 \h </w:instrText>
      </w:r>
      <w:r>
        <w:fldChar w:fldCharType="separate"/>
      </w:r>
      <w:r w:rsidR="006230C3">
        <w:t>16</w:t>
      </w:r>
      <w:r>
        <w:fldChar w:fldCharType="end"/>
      </w:r>
    </w:p>
    <w:p w14:paraId="7723649F" w14:textId="4CC18830" w:rsidR="005631EB" w:rsidRDefault="005631EB">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_Toc16774085 \h </w:instrText>
      </w:r>
      <w:r>
        <w:rPr>
          <w:noProof/>
        </w:rPr>
      </w:r>
      <w:r>
        <w:rPr>
          <w:noProof/>
        </w:rPr>
        <w:fldChar w:fldCharType="separate"/>
      </w:r>
      <w:r w:rsidR="006230C3">
        <w:rPr>
          <w:noProof/>
        </w:rPr>
        <w:t>16</w:t>
      </w:r>
      <w:r>
        <w:rPr>
          <w:noProof/>
        </w:rPr>
        <w:fldChar w:fldCharType="end"/>
      </w:r>
    </w:p>
    <w:p w14:paraId="23D812E9" w14:textId="071E2AD3" w:rsidR="005631EB" w:rsidRDefault="005631EB">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_Toc16774086 \h </w:instrText>
      </w:r>
      <w:r>
        <w:rPr>
          <w:noProof/>
        </w:rPr>
      </w:r>
      <w:r>
        <w:rPr>
          <w:noProof/>
        </w:rPr>
        <w:fldChar w:fldCharType="separate"/>
      </w:r>
      <w:r w:rsidR="006230C3">
        <w:rPr>
          <w:noProof/>
        </w:rPr>
        <w:t>17</w:t>
      </w:r>
      <w:r>
        <w:rPr>
          <w:noProof/>
        </w:rPr>
        <w:fldChar w:fldCharType="end"/>
      </w:r>
    </w:p>
    <w:p w14:paraId="335A44E5" w14:textId="3F872D7B" w:rsidR="005631EB" w:rsidRDefault="005631EB">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Accessibility</w:t>
      </w:r>
      <w:r>
        <w:rPr>
          <w:noProof/>
        </w:rPr>
        <w:tab/>
      </w:r>
      <w:r>
        <w:rPr>
          <w:noProof/>
        </w:rPr>
        <w:fldChar w:fldCharType="begin"/>
      </w:r>
      <w:r>
        <w:rPr>
          <w:noProof/>
        </w:rPr>
        <w:instrText xml:space="preserve"> PAGEREF _Toc16774087 \h </w:instrText>
      </w:r>
      <w:r>
        <w:rPr>
          <w:noProof/>
        </w:rPr>
      </w:r>
      <w:r>
        <w:rPr>
          <w:noProof/>
        </w:rPr>
        <w:fldChar w:fldCharType="separate"/>
      </w:r>
      <w:r w:rsidR="006230C3">
        <w:rPr>
          <w:noProof/>
        </w:rPr>
        <w:t>19</w:t>
      </w:r>
      <w:r>
        <w:rPr>
          <w:noProof/>
        </w:rPr>
        <w:fldChar w:fldCharType="end"/>
      </w:r>
    </w:p>
    <w:p w14:paraId="2911CD46" w14:textId="5983CF1E" w:rsidR="005631EB" w:rsidRDefault="005631EB">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Assessment criteria</w:t>
      </w:r>
      <w:r>
        <w:rPr>
          <w:noProof/>
        </w:rPr>
        <w:tab/>
      </w:r>
      <w:r>
        <w:rPr>
          <w:noProof/>
        </w:rPr>
        <w:fldChar w:fldCharType="begin"/>
      </w:r>
      <w:r>
        <w:rPr>
          <w:noProof/>
        </w:rPr>
        <w:instrText xml:space="preserve"> PAGEREF _Toc16774088 \h </w:instrText>
      </w:r>
      <w:r>
        <w:rPr>
          <w:noProof/>
        </w:rPr>
      </w:r>
      <w:r>
        <w:rPr>
          <w:noProof/>
        </w:rPr>
        <w:fldChar w:fldCharType="separate"/>
      </w:r>
      <w:r w:rsidR="006230C3">
        <w:rPr>
          <w:noProof/>
        </w:rPr>
        <w:t>19</w:t>
      </w:r>
      <w:r>
        <w:rPr>
          <w:noProof/>
        </w:rPr>
        <w:fldChar w:fldCharType="end"/>
      </w:r>
    </w:p>
    <w:p w14:paraId="2AFCC63B" w14:textId="113A90C5" w:rsidR="005631EB" w:rsidRDefault="005631EB">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_Toc16774089 \h </w:instrText>
      </w:r>
      <w:r>
        <w:rPr>
          <w:noProof/>
        </w:rPr>
      </w:r>
      <w:r>
        <w:rPr>
          <w:noProof/>
        </w:rPr>
        <w:fldChar w:fldCharType="separate"/>
      </w:r>
      <w:r w:rsidR="006230C3">
        <w:rPr>
          <w:noProof/>
        </w:rPr>
        <w:t>20</w:t>
      </w:r>
      <w:r>
        <w:rPr>
          <w:noProof/>
        </w:rPr>
        <w:fldChar w:fldCharType="end"/>
      </w:r>
    </w:p>
    <w:p w14:paraId="3E4D8A11" w14:textId="5333EC39" w:rsidR="005631EB" w:rsidRDefault="005631EB">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Number of applications</w:t>
      </w:r>
      <w:r>
        <w:rPr>
          <w:noProof/>
        </w:rPr>
        <w:tab/>
      </w:r>
      <w:r>
        <w:rPr>
          <w:noProof/>
        </w:rPr>
        <w:fldChar w:fldCharType="begin"/>
      </w:r>
      <w:r>
        <w:rPr>
          <w:noProof/>
        </w:rPr>
        <w:instrText xml:space="preserve"> PAGEREF _Toc16774090 \h </w:instrText>
      </w:r>
      <w:r>
        <w:rPr>
          <w:noProof/>
        </w:rPr>
      </w:r>
      <w:r>
        <w:rPr>
          <w:noProof/>
        </w:rPr>
        <w:fldChar w:fldCharType="separate"/>
      </w:r>
      <w:r w:rsidR="006230C3">
        <w:rPr>
          <w:noProof/>
        </w:rPr>
        <w:t>20</w:t>
      </w:r>
      <w:r>
        <w:rPr>
          <w:noProof/>
        </w:rPr>
        <w:fldChar w:fldCharType="end"/>
      </w:r>
    </w:p>
    <w:p w14:paraId="3FB696B3" w14:textId="5F056046" w:rsidR="005631EB" w:rsidRDefault="005631EB">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Consortia</w:t>
      </w:r>
      <w:r>
        <w:rPr>
          <w:noProof/>
        </w:rPr>
        <w:tab/>
      </w:r>
      <w:r>
        <w:rPr>
          <w:noProof/>
        </w:rPr>
        <w:fldChar w:fldCharType="begin"/>
      </w:r>
      <w:r>
        <w:rPr>
          <w:noProof/>
        </w:rPr>
        <w:instrText xml:space="preserve"> PAGEREF _Toc16774091 \h </w:instrText>
      </w:r>
      <w:r>
        <w:rPr>
          <w:noProof/>
        </w:rPr>
      </w:r>
      <w:r>
        <w:rPr>
          <w:noProof/>
        </w:rPr>
        <w:fldChar w:fldCharType="separate"/>
      </w:r>
      <w:r w:rsidR="006230C3">
        <w:rPr>
          <w:noProof/>
        </w:rPr>
        <w:t>21</w:t>
      </w:r>
      <w:r>
        <w:rPr>
          <w:noProof/>
        </w:rPr>
        <w:fldChar w:fldCharType="end"/>
      </w:r>
    </w:p>
    <w:p w14:paraId="5AC039C7" w14:textId="203779D7" w:rsidR="005631EB" w:rsidRDefault="005631EB">
      <w:pPr>
        <w:pStyle w:val="TOC3"/>
        <w:rPr>
          <w:rFonts w:asciiTheme="minorHAnsi" w:eastAsiaTheme="minorEastAsia" w:hAnsiTheme="minorHAnsi" w:cstheme="minorBidi"/>
          <w:noProof/>
          <w:sz w:val="22"/>
          <w:lang w:val="en-AU" w:eastAsia="en-AU"/>
        </w:rPr>
      </w:pPr>
      <w:r>
        <w:rPr>
          <w:noProof/>
        </w:rPr>
        <w:t>6.3</w:t>
      </w:r>
      <w:r>
        <w:rPr>
          <w:rFonts w:asciiTheme="minorHAnsi" w:eastAsiaTheme="minorEastAsia" w:hAnsiTheme="minorHAnsi" w:cstheme="minorBidi"/>
          <w:noProof/>
          <w:sz w:val="22"/>
          <w:lang w:val="en-AU" w:eastAsia="en-AU"/>
        </w:rPr>
        <w:tab/>
      </w:r>
      <w:r>
        <w:rPr>
          <w:noProof/>
        </w:rPr>
        <w:t>Multiple applications</w:t>
      </w:r>
      <w:r>
        <w:rPr>
          <w:noProof/>
        </w:rPr>
        <w:tab/>
      </w:r>
      <w:r>
        <w:rPr>
          <w:noProof/>
        </w:rPr>
        <w:fldChar w:fldCharType="begin"/>
      </w:r>
      <w:r>
        <w:rPr>
          <w:noProof/>
        </w:rPr>
        <w:instrText xml:space="preserve"> PAGEREF _Toc16774092 \h </w:instrText>
      </w:r>
      <w:r>
        <w:rPr>
          <w:noProof/>
        </w:rPr>
      </w:r>
      <w:r>
        <w:rPr>
          <w:noProof/>
        </w:rPr>
        <w:fldChar w:fldCharType="separate"/>
      </w:r>
      <w:r w:rsidR="006230C3">
        <w:rPr>
          <w:noProof/>
        </w:rPr>
        <w:t>21</w:t>
      </w:r>
      <w:r>
        <w:rPr>
          <w:noProof/>
        </w:rPr>
        <w:fldChar w:fldCharType="end"/>
      </w:r>
    </w:p>
    <w:p w14:paraId="1B755E96" w14:textId="2D4D7963" w:rsidR="005631EB" w:rsidRDefault="005631EB">
      <w:pPr>
        <w:pStyle w:val="TOC3"/>
        <w:rPr>
          <w:rFonts w:asciiTheme="minorHAnsi" w:eastAsiaTheme="minorEastAsia" w:hAnsiTheme="minorHAnsi" w:cstheme="minorBidi"/>
          <w:noProof/>
          <w:sz w:val="22"/>
          <w:lang w:val="en-AU" w:eastAsia="en-AU"/>
        </w:rPr>
      </w:pPr>
      <w:r>
        <w:rPr>
          <w:noProof/>
        </w:rPr>
        <w:t>6.4</w:t>
      </w:r>
      <w:r>
        <w:rPr>
          <w:rFonts w:asciiTheme="minorHAnsi" w:eastAsiaTheme="minorEastAsia" w:hAnsiTheme="minorHAnsi" w:cstheme="minorBidi"/>
          <w:noProof/>
          <w:sz w:val="22"/>
          <w:lang w:val="en-AU" w:eastAsia="en-AU"/>
        </w:rPr>
        <w:tab/>
      </w:r>
      <w:r>
        <w:rPr>
          <w:noProof/>
        </w:rPr>
        <w:t>Application requirements</w:t>
      </w:r>
      <w:r>
        <w:rPr>
          <w:noProof/>
        </w:rPr>
        <w:tab/>
      </w:r>
      <w:r>
        <w:rPr>
          <w:noProof/>
        </w:rPr>
        <w:fldChar w:fldCharType="begin"/>
      </w:r>
      <w:r>
        <w:rPr>
          <w:noProof/>
        </w:rPr>
        <w:instrText xml:space="preserve"> PAGEREF _Toc16774093 \h </w:instrText>
      </w:r>
      <w:r>
        <w:rPr>
          <w:noProof/>
        </w:rPr>
      </w:r>
      <w:r>
        <w:rPr>
          <w:noProof/>
        </w:rPr>
        <w:fldChar w:fldCharType="separate"/>
      </w:r>
      <w:r w:rsidR="006230C3">
        <w:rPr>
          <w:noProof/>
        </w:rPr>
        <w:t>21</w:t>
      </w:r>
      <w:r>
        <w:rPr>
          <w:noProof/>
        </w:rPr>
        <w:fldChar w:fldCharType="end"/>
      </w:r>
    </w:p>
    <w:p w14:paraId="00BA6B6D" w14:textId="198019FB" w:rsidR="005631EB" w:rsidRDefault="005631EB">
      <w:pPr>
        <w:pStyle w:val="TOC3"/>
        <w:rPr>
          <w:rFonts w:asciiTheme="minorHAnsi" w:eastAsiaTheme="minorEastAsia" w:hAnsiTheme="minorHAnsi" w:cstheme="minorBidi"/>
          <w:noProof/>
          <w:sz w:val="22"/>
          <w:lang w:val="en-AU" w:eastAsia="en-AU"/>
        </w:rPr>
      </w:pPr>
      <w:r>
        <w:rPr>
          <w:noProof/>
        </w:rPr>
        <w:t>6.5</w:t>
      </w:r>
      <w:r>
        <w:rPr>
          <w:rFonts w:asciiTheme="minorHAnsi" w:eastAsiaTheme="minorEastAsia" w:hAnsiTheme="minorHAnsi" w:cstheme="minorBidi"/>
          <w:noProof/>
          <w:sz w:val="22"/>
          <w:lang w:val="en-AU" w:eastAsia="en-AU"/>
        </w:rPr>
        <w:tab/>
      </w:r>
      <w:r>
        <w:rPr>
          <w:noProof/>
        </w:rPr>
        <w:t>Request for assistance in submitting application</w:t>
      </w:r>
      <w:r>
        <w:rPr>
          <w:noProof/>
        </w:rPr>
        <w:tab/>
      </w:r>
      <w:r>
        <w:rPr>
          <w:noProof/>
        </w:rPr>
        <w:fldChar w:fldCharType="begin"/>
      </w:r>
      <w:r>
        <w:rPr>
          <w:noProof/>
        </w:rPr>
        <w:instrText xml:space="preserve"> PAGEREF _Toc16774094 \h </w:instrText>
      </w:r>
      <w:r>
        <w:rPr>
          <w:noProof/>
        </w:rPr>
      </w:r>
      <w:r>
        <w:rPr>
          <w:noProof/>
        </w:rPr>
        <w:fldChar w:fldCharType="separate"/>
      </w:r>
      <w:r w:rsidR="006230C3">
        <w:rPr>
          <w:noProof/>
        </w:rPr>
        <w:t>22</w:t>
      </w:r>
      <w:r>
        <w:rPr>
          <w:noProof/>
        </w:rPr>
        <w:fldChar w:fldCharType="end"/>
      </w:r>
    </w:p>
    <w:p w14:paraId="0AB7DA4A" w14:textId="324D61F7" w:rsidR="005631EB" w:rsidRDefault="005631EB">
      <w:pPr>
        <w:pStyle w:val="TOC3"/>
        <w:rPr>
          <w:rFonts w:asciiTheme="minorHAnsi" w:eastAsiaTheme="minorEastAsia" w:hAnsiTheme="minorHAnsi" w:cstheme="minorBidi"/>
          <w:noProof/>
          <w:sz w:val="22"/>
          <w:lang w:val="en-AU" w:eastAsia="en-AU"/>
        </w:rPr>
      </w:pPr>
      <w:r>
        <w:rPr>
          <w:noProof/>
        </w:rPr>
        <w:lastRenderedPageBreak/>
        <w:t>6.6</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_Toc16774095 \h </w:instrText>
      </w:r>
      <w:r>
        <w:rPr>
          <w:noProof/>
        </w:rPr>
      </w:r>
      <w:r>
        <w:rPr>
          <w:noProof/>
        </w:rPr>
        <w:fldChar w:fldCharType="separate"/>
      </w:r>
      <w:r w:rsidR="006230C3">
        <w:rPr>
          <w:noProof/>
        </w:rPr>
        <w:t>22</w:t>
      </w:r>
      <w:r>
        <w:rPr>
          <w:noProof/>
        </w:rPr>
        <w:fldChar w:fldCharType="end"/>
      </w:r>
    </w:p>
    <w:p w14:paraId="4A3E0A5F" w14:textId="60AE6D3F" w:rsidR="005631EB" w:rsidRDefault="005631EB">
      <w:pPr>
        <w:pStyle w:val="TOC3"/>
        <w:rPr>
          <w:rFonts w:asciiTheme="minorHAnsi" w:eastAsiaTheme="minorEastAsia" w:hAnsiTheme="minorHAnsi" w:cstheme="minorBidi"/>
          <w:noProof/>
          <w:sz w:val="22"/>
          <w:lang w:val="en-AU" w:eastAsia="en-AU"/>
        </w:rPr>
      </w:pPr>
      <w:r>
        <w:rPr>
          <w:noProof/>
        </w:rPr>
        <w:t>6.7</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_Toc16774096 \h </w:instrText>
      </w:r>
      <w:r>
        <w:rPr>
          <w:noProof/>
        </w:rPr>
      </w:r>
      <w:r>
        <w:rPr>
          <w:noProof/>
        </w:rPr>
        <w:fldChar w:fldCharType="separate"/>
      </w:r>
      <w:r w:rsidR="006230C3">
        <w:rPr>
          <w:noProof/>
        </w:rPr>
        <w:t>23</w:t>
      </w:r>
      <w:r>
        <w:rPr>
          <w:noProof/>
        </w:rPr>
        <w:fldChar w:fldCharType="end"/>
      </w:r>
    </w:p>
    <w:p w14:paraId="4920BA69" w14:textId="441D2312" w:rsidR="005631EB" w:rsidRDefault="005631EB">
      <w:pPr>
        <w:pStyle w:val="TOC3"/>
        <w:rPr>
          <w:rFonts w:asciiTheme="minorHAnsi" w:eastAsiaTheme="minorEastAsia" w:hAnsiTheme="minorHAnsi" w:cstheme="minorBidi"/>
          <w:noProof/>
          <w:sz w:val="22"/>
          <w:lang w:val="en-AU" w:eastAsia="en-AU"/>
        </w:rPr>
      </w:pPr>
      <w:r>
        <w:rPr>
          <w:noProof/>
        </w:rPr>
        <w:t>6.8</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_Toc16774097 \h </w:instrText>
      </w:r>
      <w:r>
        <w:rPr>
          <w:noProof/>
        </w:rPr>
      </w:r>
      <w:r>
        <w:rPr>
          <w:noProof/>
        </w:rPr>
        <w:fldChar w:fldCharType="separate"/>
      </w:r>
      <w:r w:rsidR="006230C3">
        <w:rPr>
          <w:noProof/>
        </w:rPr>
        <w:t>24</w:t>
      </w:r>
      <w:r>
        <w:rPr>
          <w:noProof/>
        </w:rPr>
        <w:fldChar w:fldCharType="end"/>
      </w:r>
    </w:p>
    <w:p w14:paraId="079C32DA" w14:textId="577A8658" w:rsidR="005631EB" w:rsidRDefault="005631EB">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_Toc16774098 \h </w:instrText>
      </w:r>
      <w:r>
        <w:rPr>
          <w:noProof/>
        </w:rPr>
      </w:r>
      <w:r>
        <w:rPr>
          <w:noProof/>
        </w:rPr>
        <w:fldChar w:fldCharType="separate"/>
      </w:r>
      <w:r w:rsidR="006230C3">
        <w:rPr>
          <w:noProof/>
        </w:rPr>
        <w:t>24</w:t>
      </w:r>
      <w:r>
        <w:rPr>
          <w:noProof/>
        </w:rPr>
        <w:fldChar w:fldCharType="end"/>
      </w:r>
    </w:p>
    <w:p w14:paraId="0E578D78" w14:textId="6EDED474" w:rsidR="005631EB" w:rsidRDefault="005631EB">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_Toc16774099 \h </w:instrText>
      </w:r>
      <w:r>
        <w:rPr>
          <w:noProof/>
        </w:rPr>
      </w:r>
      <w:r>
        <w:rPr>
          <w:noProof/>
        </w:rPr>
        <w:fldChar w:fldCharType="separate"/>
      </w:r>
      <w:r w:rsidR="006230C3">
        <w:rPr>
          <w:noProof/>
        </w:rPr>
        <w:t>24</w:t>
      </w:r>
      <w:r>
        <w:rPr>
          <w:noProof/>
        </w:rPr>
        <w:fldChar w:fldCharType="end"/>
      </w:r>
    </w:p>
    <w:p w14:paraId="4FDAF7E1" w14:textId="33F146AA" w:rsidR="005631EB" w:rsidRDefault="005631EB">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_Toc16774100 \h </w:instrText>
      </w:r>
      <w:r>
        <w:rPr>
          <w:noProof/>
        </w:rPr>
      </w:r>
      <w:r>
        <w:rPr>
          <w:noProof/>
        </w:rPr>
        <w:fldChar w:fldCharType="separate"/>
      </w:r>
      <w:r w:rsidR="006230C3">
        <w:rPr>
          <w:noProof/>
        </w:rPr>
        <w:t>25</w:t>
      </w:r>
      <w:r>
        <w:rPr>
          <w:noProof/>
        </w:rPr>
        <w:fldChar w:fldCharType="end"/>
      </w:r>
    </w:p>
    <w:p w14:paraId="1E6450ED" w14:textId="49803346" w:rsidR="005631EB" w:rsidRDefault="005631EB">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_Toc16774101 \h </w:instrText>
      </w:r>
      <w:r>
        <w:rPr>
          <w:noProof/>
        </w:rPr>
      </w:r>
      <w:r>
        <w:rPr>
          <w:noProof/>
        </w:rPr>
        <w:fldChar w:fldCharType="separate"/>
      </w:r>
      <w:r w:rsidR="006230C3">
        <w:rPr>
          <w:noProof/>
        </w:rPr>
        <w:t>25</w:t>
      </w:r>
      <w:r>
        <w:rPr>
          <w:noProof/>
        </w:rPr>
        <w:fldChar w:fldCharType="end"/>
      </w:r>
    </w:p>
    <w:p w14:paraId="098153F1" w14:textId="526BC77F" w:rsidR="005631EB" w:rsidRDefault="005631EB">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_Toc16774102 \h </w:instrText>
      </w:r>
      <w:r>
        <w:rPr>
          <w:noProof/>
        </w:rPr>
      </w:r>
      <w:r>
        <w:rPr>
          <w:noProof/>
        </w:rPr>
        <w:fldChar w:fldCharType="separate"/>
      </w:r>
      <w:r w:rsidR="006230C3">
        <w:rPr>
          <w:noProof/>
        </w:rPr>
        <w:t>26</w:t>
      </w:r>
      <w:r>
        <w:rPr>
          <w:noProof/>
        </w:rPr>
        <w:fldChar w:fldCharType="end"/>
      </w:r>
    </w:p>
    <w:p w14:paraId="417DEEBC" w14:textId="728F064D" w:rsidR="005631EB" w:rsidRDefault="005631EB">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_Toc16774103 \h </w:instrText>
      </w:r>
      <w:r>
        <w:rPr>
          <w:noProof/>
        </w:rPr>
      </w:r>
      <w:r>
        <w:rPr>
          <w:noProof/>
        </w:rPr>
        <w:fldChar w:fldCharType="separate"/>
      </w:r>
      <w:r w:rsidR="006230C3">
        <w:rPr>
          <w:noProof/>
        </w:rPr>
        <w:t>26</w:t>
      </w:r>
      <w:r>
        <w:rPr>
          <w:noProof/>
        </w:rPr>
        <w:fldChar w:fldCharType="end"/>
      </w:r>
    </w:p>
    <w:p w14:paraId="173C8641" w14:textId="184809B9" w:rsidR="005631EB" w:rsidRDefault="005631EB">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_Toc16774104 \h </w:instrText>
      </w:r>
      <w:r>
        <w:rPr>
          <w:noProof/>
        </w:rPr>
      </w:r>
      <w:r>
        <w:rPr>
          <w:noProof/>
        </w:rPr>
        <w:fldChar w:fldCharType="separate"/>
      </w:r>
      <w:r w:rsidR="006230C3">
        <w:rPr>
          <w:noProof/>
        </w:rPr>
        <w:t>26</w:t>
      </w:r>
      <w:r>
        <w:rPr>
          <w:noProof/>
        </w:rPr>
        <w:fldChar w:fldCharType="end"/>
      </w:r>
    </w:p>
    <w:p w14:paraId="07F72AEE" w14:textId="6FA7D185" w:rsidR="005631EB" w:rsidRDefault="005631EB">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_Toc16774105 \h </w:instrText>
      </w:r>
      <w:r>
        <w:rPr>
          <w:noProof/>
        </w:rPr>
      </w:r>
      <w:r>
        <w:rPr>
          <w:noProof/>
        </w:rPr>
        <w:fldChar w:fldCharType="separate"/>
      </w:r>
      <w:r w:rsidR="006230C3">
        <w:rPr>
          <w:noProof/>
        </w:rPr>
        <w:t>26</w:t>
      </w:r>
      <w:r>
        <w:rPr>
          <w:noProof/>
        </w:rPr>
        <w:fldChar w:fldCharType="end"/>
      </w:r>
    </w:p>
    <w:p w14:paraId="3036B298" w14:textId="550BB6A3" w:rsidR="005631EB" w:rsidRDefault="005631EB">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_Toc16774106 \h </w:instrText>
      </w:r>
      <w:r>
        <w:rPr>
          <w:noProof/>
        </w:rPr>
      </w:r>
      <w:r>
        <w:rPr>
          <w:noProof/>
        </w:rPr>
        <w:fldChar w:fldCharType="separate"/>
      </w:r>
      <w:r w:rsidR="006230C3">
        <w:rPr>
          <w:noProof/>
        </w:rPr>
        <w:t>26</w:t>
      </w:r>
      <w:r>
        <w:rPr>
          <w:noProof/>
        </w:rPr>
        <w:fldChar w:fldCharType="end"/>
      </w:r>
    </w:p>
    <w:p w14:paraId="3D6E4BA8" w14:textId="35EFF90B" w:rsidR="005631EB" w:rsidRDefault="005631EB">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_Toc16774107 \h </w:instrText>
      </w:r>
      <w:r>
        <w:rPr>
          <w:noProof/>
        </w:rPr>
      </w:r>
      <w:r>
        <w:rPr>
          <w:noProof/>
        </w:rPr>
        <w:fldChar w:fldCharType="separate"/>
      </w:r>
      <w:r w:rsidR="006230C3">
        <w:rPr>
          <w:noProof/>
        </w:rPr>
        <w:t>26</w:t>
      </w:r>
      <w:r>
        <w:rPr>
          <w:noProof/>
        </w:rPr>
        <w:fldChar w:fldCharType="end"/>
      </w:r>
    </w:p>
    <w:p w14:paraId="4B594F16" w14:textId="6000B921" w:rsidR="005631EB" w:rsidRDefault="005631EB">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_Toc16774108 \h </w:instrText>
      </w:r>
      <w:r>
        <w:rPr>
          <w:noProof/>
        </w:rPr>
      </w:r>
      <w:r>
        <w:rPr>
          <w:noProof/>
        </w:rPr>
        <w:fldChar w:fldCharType="separate"/>
      </w:r>
      <w:r w:rsidR="006230C3">
        <w:rPr>
          <w:noProof/>
        </w:rPr>
        <w:t>27</w:t>
      </w:r>
      <w:r>
        <w:rPr>
          <w:noProof/>
        </w:rPr>
        <w:fldChar w:fldCharType="end"/>
      </w:r>
    </w:p>
    <w:p w14:paraId="3C3BDDC7" w14:textId="08F94801" w:rsidR="005631EB" w:rsidRDefault="005631EB">
      <w:pPr>
        <w:pStyle w:val="TOC3"/>
        <w:rPr>
          <w:rFonts w:asciiTheme="minorHAnsi" w:eastAsiaTheme="minorEastAsia" w:hAnsiTheme="minorHAnsi" w:cstheme="minorBidi"/>
          <w:noProof/>
          <w:sz w:val="22"/>
          <w:lang w:val="en-AU" w:eastAsia="en-AU"/>
        </w:rPr>
      </w:pPr>
      <w:r>
        <w:rPr>
          <w:noProof/>
        </w:rPr>
        <w:t>9.3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_Toc16774109 \h </w:instrText>
      </w:r>
      <w:r>
        <w:rPr>
          <w:noProof/>
        </w:rPr>
      </w:r>
      <w:r>
        <w:rPr>
          <w:noProof/>
        </w:rPr>
        <w:fldChar w:fldCharType="separate"/>
      </w:r>
      <w:r w:rsidR="006230C3">
        <w:rPr>
          <w:noProof/>
        </w:rPr>
        <w:t>27</w:t>
      </w:r>
      <w:r>
        <w:rPr>
          <w:noProof/>
        </w:rPr>
        <w:fldChar w:fldCharType="end"/>
      </w:r>
    </w:p>
    <w:p w14:paraId="5FB7EC83" w14:textId="2622F8F1" w:rsidR="005631EB" w:rsidRDefault="005631EB">
      <w:pPr>
        <w:pStyle w:val="TOC3"/>
        <w:rPr>
          <w:rFonts w:asciiTheme="minorHAnsi" w:eastAsiaTheme="minorEastAsia" w:hAnsiTheme="minorHAnsi" w:cstheme="minorBidi"/>
          <w:noProof/>
          <w:sz w:val="22"/>
          <w:lang w:val="en-AU" w:eastAsia="en-AU"/>
        </w:rPr>
      </w:pPr>
      <w:r>
        <w:rPr>
          <w:noProof/>
        </w:rPr>
        <w:t>9.4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_Toc16774110 \h </w:instrText>
      </w:r>
      <w:r>
        <w:rPr>
          <w:noProof/>
        </w:rPr>
      </w:r>
      <w:r>
        <w:rPr>
          <w:noProof/>
        </w:rPr>
        <w:fldChar w:fldCharType="separate"/>
      </w:r>
      <w:r w:rsidR="006230C3">
        <w:rPr>
          <w:noProof/>
        </w:rPr>
        <w:t>28</w:t>
      </w:r>
      <w:r>
        <w:rPr>
          <w:noProof/>
        </w:rPr>
        <w:fldChar w:fldCharType="end"/>
      </w:r>
    </w:p>
    <w:p w14:paraId="2DF959E6" w14:textId="0833C280" w:rsidR="005631EB" w:rsidRDefault="005631EB">
      <w:pPr>
        <w:pStyle w:val="TOC3"/>
        <w:rPr>
          <w:rFonts w:asciiTheme="minorHAnsi" w:eastAsiaTheme="minorEastAsia" w:hAnsiTheme="minorHAnsi" w:cstheme="minorBidi"/>
          <w:noProof/>
          <w:sz w:val="22"/>
          <w:lang w:val="en-AU" w:eastAsia="en-AU"/>
        </w:rPr>
      </w:pPr>
      <w:r>
        <w:rPr>
          <w:noProof/>
        </w:rPr>
        <w:t>9.5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_Toc16774111 \h </w:instrText>
      </w:r>
      <w:r>
        <w:rPr>
          <w:noProof/>
        </w:rPr>
      </w:r>
      <w:r>
        <w:rPr>
          <w:noProof/>
        </w:rPr>
        <w:fldChar w:fldCharType="separate"/>
      </w:r>
      <w:r w:rsidR="006230C3">
        <w:rPr>
          <w:noProof/>
        </w:rPr>
        <w:t>28</w:t>
      </w:r>
      <w:r>
        <w:rPr>
          <w:noProof/>
        </w:rPr>
        <w:fldChar w:fldCharType="end"/>
      </w:r>
    </w:p>
    <w:p w14:paraId="51FA8D24" w14:textId="14F3840A" w:rsidR="005631EB" w:rsidRDefault="005631EB">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_Toc16774112 \h </w:instrText>
      </w:r>
      <w:r>
        <w:rPr>
          <w:noProof/>
        </w:rPr>
      </w:r>
      <w:r>
        <w:rPr>
          <w:noProof/>
        </w:rPr>
        <w:fldChar w:fldCharType="separate"/>
      </w:r>
      <w:r w:rsidR="006230C3">
        <w:rPr>
          <w:noProof/>
        </w:rPr>
        <w:t>28</w:t>
      </w:r>
      <w:r>
        <w:rPr>
          <w:noProof/>
        </w:rPr>
        <w:fldChar w:fldCharType="end"/>
      </w:r>
    </w:p>
    <w:p w14:paraId="14058DF3" w14:textId="44CAF3D1" w:rsidR="005631EB" w:rsidRDefault="005631EB">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_Toc16774113 \h </w:instrText>
      </w:r>
      <w:r>
        <w:rPr>
          <w:noProof/>
        </w:rPr>
      </w:r>
      <w:r>
        <w:rPr>
          <w:noProof/>
        </w:rPr>
        <w:fldChar w:fldCharType="separate"/>
      </w:r>
      <w:r w:rsidR="006230C3">
        <w:rPr>
          <w:noProof/>
        </w:rPr>
        <w:t>28</w:t>
      </w:r>
      <w:r>
        <w:rPr>
          <w:noProof/>
        </w:rPr>
        <w:fldChar w:fldCharType="end"/>
      </w:r>
    </w:p>
    <w:p w14:paraId="34235E06" w14:textId="2BAE5987" w:rsidR="005631EB" w:rsidRDefault="005631EB">
      <w:pPr>
        <w:pStyle w:val="TOC3"/>
        <w:tabs>
          <w:tab w:val="left" w:pos="1077"/>
        </w:tabs>
        <w:rPr>
          <w:rFonts w:asciiTheme="minorHAnsi" w:eastAsiaTheme="minorEastAsia" w:hAnsiTheme="minorHAnsi" w:cstheme="minorBidi"/>
          <w:noProof/>
          <w:sz w:val="22"/>
          <w:lang w:val="en-AU" w:eastAsia="en-AU"/>
        </w:rPr>
      </w:pPr>
      <w:r>
        <w:rPr>
          <w:noProof/>
        </w:rPr>
        <w:t>11.1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_Toc16774114 \h </w:instrText>
      </w:r>
      <w:r>
        <w:rPr>
          <w:noProof/>
        </w:rPr>
      </w:r>
      <w:r>
        <w:rPr>
          <w:noProof/>
        </w:rPr>
        <w:fldChar w:fldCharType="separate"/>
      </w:r>
      <w:r w:rsidR="006230C3">
        <w:rPr>
          <w:noProof/>
        </w:rPr>
        <w:t>29</w:t>
      </w:r>
      <w:r>
        <w:rPr>
          <w:noProof/>
        </w:rPr>
        <w:fldChar w:fldCharType="end"/>
      </w:r>
    </w:p>
    <w:p w14:paraId="4BDACF3D" w14:textId="4696595F" w:rsidR="005631EB" w:rsidRDefault="005631EB">
      <w:pPr>
        <w:pStyle w:val="TOC3"/>
        <w:tabs>
          <w:tab w:val="left" w:pos="1077"/>
        </w:tabs>
        <w:rPr>
          <w:rFonts w:asciiTheme="minorHAnsi" w:eastAsiaTheme="minorEastAsia" w:hAnsiTheme="minorHAnsi" w:cstheme="minorBidi"/>
          <w:noProof/>
          <w:sz w:val="22"/>
          <w:lang w:val="en-AU" w:eastAsia="en-AU"/>
        </w:rPr>
      </w:pPr>
      <w:r>
        <w:rPr>
          <w:noProof/>
        </w:rPr>
        <w:t>11.2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_Toc16774115 \h </w:instrText>
      </w:r>
      <w:r>
        <w:rPr>
          <w:noProof/>
        </w:rPr>
      </w:r>
      <w:r>
        <w:rPr>
          <w:noProof/>
        </w:rPr>
        <w:fldChar w:fldCharType="separate"/>
      </w:r>
      <w:r w:rsidR="006230C3">
        <w:rPr>
          <w:noProof/>
        </w:rPr>
        <w:t>29</w:t>
      </w:r>
      <w:r>
        <w:rPr>
          <w:noProof/>
        </w:rPr>
        <w:fldChar w:fldCharType="end"/>
      </w:r>
    </w:p>
    <w:p w14:paraId="244D46CE" w14:textId="4E3233A1" w:rsidR="005631EB" w:rsidRDefault="005631EB">
      <w:pPr>
        <w:pStyle w:val="TOC3"/>
        <w:tabs>
          <w:tab w:val="left" w:pos="1077"/>
        </w:tabs>
        <w:rPr>
          <w:rFonts w:asciiTheme="minorHAnsi" w:eastAsiaTheme="minorEastAsia" w:hAnsiTheme="minorHAnsi" w:cstheme="minorBidi"/>
          <w:noProof/>
          <w:sz w:val="22"/>
          <w:lang w:val="en-AU" w:eastAsia="en-AU"/>
        </w:rPr>
      </w:pPr>
      <w:r>
        <w:rPr>
          <w:noProof/>
        </w:rPr>
        <w:t>11.3</w:t>
      </w:r>
      <w:r>
        <w:rPr>
          <w:rFonts w:asciiTheme="minorHAnsi" w:eastAsiaTheme="minorEastAsia" w:hAnsiTheme="minorHAnsi" w:cstheme="minorBidi"/>
          <w:noProof/>
          <w:sz w:val="22"/>
          <w:lang w:val="en-AU" w:eastAsia="en-AU"/>
        </w:rPr>
        <w:tab/>
      </w:r>
      <w:r>
        <w:rPr>
          <w:noProof/>
        </w:rPr>
        <w:t>Performance indicators</w:t>
      </w:r>
      <w:r>
        <w:rPr>
          <w:noProof/>
        </w:rPr>
        <w:tab/>
      </w:r>
      <w:r>
        <w:rPr>
          <w:noProof/>
        </w:rPr>
        <w:fldChar w:fldCharType="begin"/>
      </w:r>
      <w:r>
        <w:rPr>
          <w:noProof/>
        </w:rPr>
        <w:instrText xml:space="preserve"> PAGEREF _Toc16774116 \h </w:instrText>
      </w:r>
      <w:r>
        <w:rPr>
          <w:noProof/>
        </w:rPr>
      </w:r>
      <w:r>
        <w:rPr>
          <w:noProof/>
        </w:rPr>
        <w:fldChar w:fldCharType="separate"/>
      </w:r>
      <w:r w:rsidR="006230C3">
        <w:rPr>
          <w:noProof/>
        </w:rPr>
        <w:t>30</w:t>
      </w:r>
      <w:r>
        <w:rPr>
          <w:noProof/>
        </w:rPr>
        <w:fldChar w:fldCharType="end"/>
      </w:r>
    </w:p>
    <w:p w14:paraId="43A2190A" w14:textId="7A38FCB5" w:rsidR="005631EB" w:rsidRDefault="005631EB">
      <w:pPr>
        <w:pStyle w:val="TOC3"/>
        <w:tabs>
          <w:tab w:val="left" w:pos="1077"/>
        </w:tabs>
        <w:rPr>
          <w:rFonts w:asciiTheme="minorHAnsi" w:eastAsiaTheme="minorEastAsia" w:hAnsiTheme="minorHAnsi" w:cstheme="minorBidi"/>
          <w:noProof/>
          <w:sz w:val="22"/>
          <w:lang w:val="en-AU" w:eastAsia="en-AU"/>
        </w:rPr>
      </w:pPr>
      <w:r>
        <w:rPr>
          <w:noProof/>
        </w:rPr>
        <w:t>11.4</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_Toc16774117 \h </w:instrText>
      </w:r>
      <w:r>
        <w:rPr>
          <w:noProof/>
        </w:rPr>
      </w:r>
      <w:r>
        <w:rPr>
          <w:noProof/>
        </w:rPr>
        <w:fldChar w:fldCharType="separate"/>
      </w:r>
      <w:r w:rsidR="006230C3">
        <w:rPr>
          <w:noProof/>
        </w:rPr>
        <w:t>30</w:t>
      </w:r>
      <w:r>
        <w:rPr>
          <w:noProof/>
        </w:rPr>
        <w:fldChar w:fldCharType="end"/>
      </w:r>
    </w:p>
    <w:p w14:paraId="3CA7640F" w14:textId="768551A6" w:rsidR="005631EB" w:rsidRDefault="005631EB">
      <w:pPr>
        <w:pStyle w:val="TOC3"/>
        <w:tabs>
          <w:tab w:val="left" w:pos="1077"/>
        </w:tabs>
        <w:rPr>
          <w:rFonts w:asciiTheme="minorHAnsi" w:eastAsiaTheme="minorEastAsia" w:hAnsiTheme="minorHAnsi" w:cstheme="minorBidi"/>
          <w:noProof/>
          <w:sz w:val="22"/>
          <w:lang w:val="en-AU" w:eastAsia="en-AU"/>
        </w:rPr>
      </w:pPr>
      <w:r>
        <w:rPr>
          <w:noProof/>
        </w:rPr>
        <w:t>11.5</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_Toc16774118 \h </w:instrText>
      </w:r>
      <w:r>
        <w:rPr>
          <w:noProof/>
        </w:rPr>
      </w:r>
      <w:r>
        <w:rPr>
          <w:noProof/>
        </w:rPr>
        <w:fldChar w:fldCharType="separate"/>
      </w:r>
      <w:r w:rsidR="006230C3">
        <w:rPr>
          <w:noProof/>
        </w:rPr>
        <w:t>30</w:t>
      </w:r>
      <w:r>
        <w:rPr>
          <w:noProof/>
        </w:rPr>
        <w:fldChar w:fldCharType="end"/>
      </w:r>
    </w:p>
    <w:p w14:paraId="7CB65B9A" w14:textId="0179C788" w:rsidR="005631EB" w:rsidRDefault="005631EB">
      <w:pPr>
        <w:pStyle w:val="TOC3"/>
        <w:tabs>
          <w:tab w:val="left" w:pos="1077"/>
        </w:tabs>
        <w:rPr>
          <w:rFonts w:asciiTheme="minorHAnsi" w:eastAsiaTheme="minorEastAsia" w:hAnsiTheme="minorHAnsi" w:cstheme="minorBidi"/>
          <w:noProof/>
          <w:sz w:val="22"/>
          <w:lang w:val="en-AU" w:eastAsia="en-AU"/>
        </w:rPr>
      </w:pPr>
      <w:r>
        <w:rPr>
          <w:noProof/>
        </w:rPr>
        <w:t>11.6</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_Toc16774119 \h </w:instrText>
      </w:r>
      <w:r>
        <w:rPr>
          <w:noProof/>
        </w:rPr>
      </w:r>
      <w:r>
        <w:rPr>
          <w:noProof/>
        </w:rPr>
        <w:fldChar w:fldCharType="separate"/>
      </w:r>
      <w:r w:rsidR="006230C3">
        <w:rPr>
          <w:noProof/>
        </w:rPr>
        <w:t>30</w:t>
      </w:r>
      <w:r>
        <w:rPr>
          <w:noProof/>
        </w:rPr>
        <w:fldChar w:fldCharType="end"/>
      </w:r>
    </w:p>
    <w:p w14:paraId="7AE52013" w14:textId="6599D677" w:rsidR="005631EB" w:rsidRDefault="005631EB">
      <w:pPr>
        <w:pStyle w:val="TOC3"/>
        <w:tabs>
          <w:tab w:val="left" w:pos="1077"/>
        </w:tabs>
        <w:rPr>
          <w:rFonts w:asciiTheme="minorHAnsi" w:eastAsiaTheme="minorEastAsia" w:hAnsiTheme="minorHAnsi" w:cstheme="minorBidi"/>
          <w:noProof/>
          <w:sz w:val="22"/>
          <w:lang w:val="en-AU" w:eastAsia="en-AU"/>
        </w:rPr>
      </w:pPr>
      <w:r>
        <w:rPr>
          <w:noProof/>
        </w:rPr>
        <w:t>11.7</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_Toc16774120 \h </w:instrText>
      </w:r>
      <w:r>
        <w:rPr>
          <w:noProof/>
        </w:rPr>
      </w:r>
      <w:r>
        <w:rPr>
          <w:noProof/>
        </w:rPr>
        <w:fldChar w:fldCharType="separate"/>
      </w:r>
      <w:r w:rsidR="006230C3">
        <w:rPr>
          <w:noProof/>
        </w:rPr>
        <w:t>30</w:t>
      </w:r>
      <w:r>
        <w:rPr>
          <w:noProof/>
        </w:rPr>
        <w:fldChar w:fldCharType="end"/>
      </w:r>
    </w:p>
    <w:p w14:paraId="430C5FEE" w14:textId="0B56FF44" w:rsidR="005631EB" w:rsidRDefault="005631EB">
      <w:pPr>
        <w:pStyle w:val="TOC3"/>
        <w:tabs>
          <w:tab w:val="left" w:pos="1077"/>
        </w:tabs>
        <w:rPr>
          <w:rFonts w:asciiTheme="minorHAnsi" w:eastAsiaTheme="minorEastAsia" w:hAnsiTheme="minorHAnsi" w:cstheme="minorBidi"/>
          <w:noProof/>
          <w:sz w:val="22"/>
          <w:lang w:val="en-AU" w:eastAsia="en-AU"/>
        </w:rPr>
      </w:pPr>
      <w:r>
        <w:rPr>
          <w:noProof/>
        </w:rPr>
        <w:t>11.8</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_Toc16774121 \h </w:instrText>
      </w:r>
      <w:r>
        <w:rPr>
          <w:noProof/>
        </w:rPr>
      </w:r>
      <w:r>
        <w:rPr>
          <w:noProof/>
        </w:rPr>
        <w:fldChar w:fldCharType="separate"/>
      </w:r>
      <w:r w:rsidR="006230C3">
        <w:rPr>
          <w:noProof/>
        </w:rPr>
        <w:t>30</w:t>
      </w:r>
      <w:r>
        <w:rPr>
          <w:noProof/>
        </w:rPr>
        <w:fldChar w:fldCharType="end"/>
      </w:r>
    </w:p>
    <w:p w14:paraId="4CC8FE02" w14:textId="3DDE7E14" w:rsidR="005631EB" w:rsidRDefault="005631EB">
      <w:pPr>
        <w:pStyle w:val="TOC3"/>
        <w:tabs>
          <w:tab w:val="left" w:pos="1077"/>
        </w:tabs>
        <w:rPr>
          <w:rFonts w:asciiTheme="minorHAnsi" w:eastAsiaTheme="minorEastAsia" w:hAnsiTheme="minorHAnsi" w:cstheme="minorBidi"/>
          <w:noProof/>
          <w:sz w:val="22"/>
          <w:lang w:val="en-AU" w:eastAsia="en-AU"/>
        </w:rPr>
      </w:pPr>
      <w:r>
        <w:rPr>
          <w:noProof/>
        </w:rPr>
        <w:t>11.9</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_Toc16774122 \h </w:instrText>
      </w:r>
      <w:r>
        <w:rPr>
          <w:noProof/>
        </w:rPr>
      </w:r>
      <w:r>
        <w:rPr>
          <w:noProof/>
        </w:rPr>
        <w:fldChar w:fldCharType="separate"/>
      </w:r>
      <w:r w:rsidR="006230C3">
        <w:rPr>
          <w:noProof/>
        </w:rPr>
        <w:t>31</w:t>
      </w:r>
      <w:r>
        <w:rPr>
          <w:noProof/>
        </w:rPr>
        <w:fldChar w:fldCharType="end"/>
      </w:r>
    </w:p>
    <w:p w14:paraId="55C576AE" w14:textId="20CE56DB" w:rsidR="005631EB" w:rsidRDefault="005631EB">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_Toc16774123 \h </w:instrText>
      </w:r>
      <w:r>
        <w:rPr>
          <w:noProof/>
        </w:rPr>
      </w:r>
      <w:r>
        <w:rPr>
          <w:noProof/>
        </w:rPr>
        <w:fldChar w:fldCharType="separate"/>
      </w:r>
      <w:r w:rsidR="006230C3">
        <w:rPr>
          <w:noProof/>
        </w:rPr>
        <w:t>32</w:t>
      </w:r>
      <w:r>
        <w:rPr>
          <w:noProof/>
        </w:rPr>
        <w:fldChar w:fldCharType="end"/>
      </w:r>
    </w:p>
    <w:p w14:paraId="1366D6E4" w14:textId="011F3C0E" w:rsidR="005631EB" w:rsidRDefault="005631EB">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_Toc16774124 \h </w:instrText>
      </w:r>
      <w:r>
        <w:rPr>
          <w:noProof/>
        </w:rPr>
      </w:r>
      <w:r>
        <w:rPr>
          <w:noProof/>
        </w:rPr>
        <w:fldChar w:fldCharType="separate"/>
      </w:r>
      <w:r w:rsidR="006230C3">
        <w:rPr>
          <w:noProof/>
        </w:rPr>
        <w:t>32</w:t>
      </w:r>
      <w:r>
        <w:rPr>
          <w:noProof/>
        </w:rPr>
        <w:fldChar w:fldCharType="end"/>
      </w:r>
    </w:p>
    <w:p w14:paraId="6B4EAEF5" w14:textId="53D0DE30" w:rsidR="005631EB" w:rsidRDefault="005631EB">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_Toc16774125 \h </w:instrText>
      </w:r>
      <w:r>
        <w:rPr>
          <w:noProof/>
        </w:rPr>
      </w:r>
      <w:r>
        <w:rPr>
          <w:noProof/>
        </w:rPr>
        <w:fldChar w:fldCharType="separate"/>
      </w:r>
      <w:r w:rsidR="006230C3">
        <w:rPr>
          <w:noProof/>
        </w:rPr>
        <w:t>32</w:t>
      </w:r>
      <w:r>
        <w:rPr>
          <w:noProof/>
        </w:rPr>
        <w:fldChar w:fldCharType="end"/>
      </w:r>
    </w:p>
    <w:p w14:paraId="449AEDCE" w14:textId="101AF00A" w:rsidR="005631EB" w:rsidRDefault="005631EB">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Privacy: confidentiality and protection of personal information</w:t>
      </w:r>
      <w:r>
        <w:rPr>
          <w:noProof/>
        </w:rPr>
        <w:tab/>
      </w:r>
      <w:r>
        <w:rPr>
          <w:noProof/>
        </w:rPr>
        <w:fldChar w:fldCharType="begin"/>
      </w:r>
      <w:r>
        <w:rPr>
          <w:noProof/>
        </w:rPr>
        <w:instrText xml:space="preserve"> PAGEREF _Toc16774126 \h </w:instrText>
      </w:r>
      <w:r>
        <w:rPr>
          <w:noProof/>
        </w:rPr>
      </w:r>
      <w:r>
        <w:rPr>
          <w:noProof/>
        </w:rPr>
        <w:fldChar w:fldCharType="separate"/>
      </w:r>
      <w:r w:rsidR="006230C3">
        <w:rPr>
          <w:noProof/>
        </w:rPr>
        <w:t>33</w:t>
      </w:r>
      <w:r>
        <w:rPr>
          <w:noProof/>
        </w:rPr>
        <w:fldChar w:fldCharType="end"/>
      </w:r>
    </w:p>
    <w:p w14:paraId="06A1DAF8" w14:textId="229DC0CB" w:rsidR="005631EB" w:rsidRDefault="005631EB">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_Toc16774127 \h </w:instrText>
      </w:r>
      <w:r>
        <w:rPr>
          <w:noProof/>
        </w:rPr>
      </w:r>
      <w:r>
        <w:rPr>
          <w:noProof/>
        </w:rPr>
        <w:fldChar w:fldCharType="separate"/>
      </w:r>
      <w:r w:rsidR="006230C3">
        <w:rPr>
          <w:noProof/>
        </w:rPr>
        <w:t>34</w:t>
      </w:r>
      <w:r>
        <w:rPr>
          <w:noProof/>
        </w:rPr>
        <w:fldChar w:fldCharType="end"/>
      </w:r>
    </w:p>
    <w:p w14:paraId="0A5A1B7D" w14:textId="4A4DA1D2" w:rsidR="005631EB" w:rsidRDefault="005631EB">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_Toc16774128 \h </w:instrText>
      </w:r>
      <w:r>
        <w:rPr>
          <w:noProof/>
        </w:rPr>
      </w:r>
      <w:r>
        <w:rPr>
          <w:noProof/>
        </w:rPr>
        <w:fldChar w:fldCharType="separate"/>
      </w:r>
      <w:r w:rsidR="006230C3">
        <w:rPr>
          <w:noProof/>
        </w:rPr>
        <w:t>35</w:t>
      </w:r>
      <w:r>
        <w:rPr>
          <w:noProof/>
        </w:rPr>
        <w:fldChar w:fldCharType="end"/>
      </w:r>
    </w:p>
    <w:p w14:paraId="4AF2EB17" w14:textId="2E2142E1" w:rsidR="00DD3C0D" w:rsidRDefault="004A238A" w:rsidP="00DD3C0D">
      <w:pPr>
        <w:sectPr w:rsidR="00DD3C0D" w:rsidSect="009D08CB">
          <w:headerReference w:type="default" r:id="rId14"/>
          <w:footerReference w:type="default" r:id="rId15"/>
          <w:headerReference w:type="first" r:id="rId16"/>
          <w:pgSz w:w="11907" w:h="16840" w:code="9"/>
          <w:pgMar w:top="1701" w:right="1418" w:bottom="1077" w:left="1701" w:header="709" w:footer="709" w:gutter="0"/>
          <w:cols w:space="720"/>
          <w:titlePg/>
          <w:docGrid w:linePitch="360"/>
        </w:sectPr>
      </w:pPr>
      <w:r>
        <w:rPr>
          <w:rFonts w:eastAsia="Calibri"/>
          <w:szCs w:val="28"/>
          <w:lang w:val="en-US"/>
        </w:rPr>
        <w:fldChar w:fldCharType="end"/>
      </w:r>
    </w:p>
    <w:p w14:paraId="6431ABF1" w14:textId="77777777" w:rsidR="00D00456" w:rsidRDefault="000A5F63" w:rsidP="001505F4">
      <w:pPr>
        <w:pStyle w:val="Heading2"/>
      </w:pPr>
      <w:bookmarkStart w:id="0" w:name="_[Program_name]:_[Grant"/>
      <w:bookmarkStart w:id="1" w:name="_Toc16774058"/>
      <w:bookmarkStart w:id="2" w:name="_Toc458420391"/>
      <w:bookmarkStart w:id="3" w:name="_Toc462824846"/>
      <w:bookmarkEnd w:id="0"/>
      <w:r>
        <w:lastRenderedPageBreak/>
        <w:t>Information, Linkages and Capacity Building (ILC)</w:t>
      </w:r>
      <w:r w:rsidR="0028198A">
        <w:t xml:space="preserve">: </w:t>
      </w:r>
      <w:r w:rsidR="00081FDE">
        <w:t>Individual</w:t>
      </w:r>
      <w:r w:rsidR="00081FDE" w:rsidRPr="004F1733">
        <w:t xml:space="preserve"> </w:t>
      </w:r>
      <w:r w:rsidRPr="004F1733">
        <w:t xml:space="preserve">Capacity Building (ICB) Grant Round </w:t>
      </w:r>
      <w:r w:rsidR="009F5837">
        <w:br/>
      </w:r>
      <w:r w:rsidRPr="004F1733">
        <w:t>2019-2020</w:t>
      </w:r>
      <w:bookmarkEnd w:id="1"/>
      <w:r w:rsidR="00D14A4E">
        <w:t xml:space="preserve"> </w:t>
      </w:r>
    </w:p>
    <w:bookmarkEnd w:id="2"/>
    <w:bookmarkEnd w:id="3"/>
    <w:p w14:paraId="609E2D8A" w14:textId="77777777" w:rsidR="007B66CA" w:rsidRDefault="007B66CA" w:rsidP="00DF5F3B">
      <w:pPr>
        <w:pBdr>
          <w:top w:val="single" w:sz="4" w:space="1" w:color="auto"/>
          <w:left w:val="single" w:sz="4" w:space="4" w:color="auto"/>
          <w:bottom w:val="single" w:sz="4" w:space="1" w:color="auto"/>
          <w:right w:val="single" w:sz="4" w:space="4" w:color="auto"/>
        </w:pBdr>
        <w:spacing w:after="0" w:line="240" w:lineRule="auto"/>
        <w:jc w:val="center"/>
        <w:rPr>
          <w:lang w:val="en-US" w:eastAsia="en-AU"/>
        </w:rPr>
      </w:pPr>
      <w:r w:rsidRPr="00EA4C2B">
        <w:t xml:space="preserve">The </w:t>
      </w:r>
      <w:r>
        <w:t xml:space="preserve">objective of the </w:t>
      </w:r>
      <w:r w:rsidRPr="00186989">
        <w:rPr>
          <w:b/>
          <w:lang w:val="en-US" w:eastAsia="en-AU"/>
        </w:rPr>
        <w:t xml:space="preserve">Individual Capacity Building </w:t>
      </w:r>
      <w:r>
        <w:rPr>
          <w:b/>
          <w:lang w:val="en-US" w:eastAsia="en-AU"/>
        </w:rPr>
        <w:t xml:space="preserve">(ICB) </w:t>
      </w:r>
      <w:r w:rsidRPr="00186989">
        <w:rPr>
          <w:b/>
          <w:lang w:val="en-US" w:eastAsia="en-AU"/>
        </w:rPr>
        <w:t>Program</w:t>
      </w:r>
      <w:r>
        <w:rPr>
          <w:lang w:val="en-US" w:eastAsia="en-AU"/>
        </w:rPr>
        <w:t xml:space="preserve"> – is to enable systematic, nationwide access to peer support, mentoring and other skills building for people with disability, </w:t>
      </w:r>
      <w:proofErr w:type="spellStart"/>
      <w:r>
        <w:rPr>
          <w:lang w:val="en-US" w:eastAsia="en-AU"/>
        </w:rPr>
        <w:t>carers</w:t>
      </w:r>
      <w:proofErr w:type="spellEnd"/>
      <w:r>
        <w:rPr>
          <w:lang w:val="en-US" w:eastAsia="en-AU"/>
        </w:rPr>
        <w:t xml:space="preserve"> and families, primarily delivered through a national network of Disabled Peoples </w:t>
      </w:r>
      <w:proofErr w:type="spellStart"/>
      <w:r w:rsidR="00577905">
        <w:rPr>
          <w:lang w:val="en-US" w:eastAsia="en-AU"/>
        </w:rPr>
        <w:t>Organisations</w:t>
      </w:r>
      <w:proofErr w:type="spellEnd"/>
      <w:r w:rsidR="00577905">
        <w:rPr>
          <w:lang w:val="en-US" w:eastAsia="en-AU"/>
        </w:rPr>
        <w:t xml:space="preserve"> </w:t>
      </w:r>
      <w:r>
        <w:rPr>
          <w:lang w:val="en-US" w:eastAsia="en-AU"/>
        </w:rPr>
        <w:t xml:space="preserve">/ Families </w:t>
      </w:r>
      <w:proofErr w:type="spellStart"/>
      <w:r>
        <w:rPr>
          <w:lang w:val="en-US" w:eastAsia="en-AU"/>
        </w:rPr>
        <w:t>Organisations</w:t>
      </w:r>
      <w:proofErr w:type="spellEnd"/>
      <w:r>
        <w:rPr>
          <w:lang w:val="en-US" w:eastAsia="en-AU"/>
        </w:rPr>
        <w:t xml:space="preserve"> (DPO/FOs) and Priority Cohort Led (PCL) </w:t>
      </w:r>
      <w:proofErr w:type="spellStart"/>
      <w:r>
        <w:rPr>
          <w:lang w:val="en-US" w:eastAsia="en-AU"/>
        </w:rPr>
        <w:t>Organisations</w:t>
      </w:r>
      <w:proofErr w:type="spellEnd"/>
      <w:r>
        <w:rPr>
          <w:lang w:val="en-US" w:eastAsia="en-AU"/>
        </w:rPr>
        <w:t>.</w:t>
      </w:r>
    </w:p>
    <w:p w14:paraId="2F46040A" w14:textId="77777777" w:rsidR="007B66CA" w:rsidRPr="00EA4C2B" w:rsidRDefault="007B66CA" w:rsidP="00DF5F3B">
      <w:pPr>
        <w:pBdr>
          <w:top w:val="single" w:sz="4" w:space="1" w:color="auto"/>
          <w:left w:val="single" w:sz="4" w:space="4" w:color="auto"/>
          <w:bottom w:val="single" w:sz="4" w:space="1" w:color="auto"/>
          <w:right w:val="single" w:sz="4" w:space="4" w:color="auto"/>
        </w:pBdr>
        <w:spacing w:after="0" w:line="240" w:lineRule="auto"/>
        <w:jc w:val="center"/>
      </w:pPr>
    </w:p>
    <w:p w14:paraId="2C15C59B" w14:textId="77777777" w:rsidR="00155A4F" w:rsidRPr="00EA4C2B" w:rsidRDefault="00155A4F" w:rsidP="00DF5F3B">
      <w:pPr>
        <w:pBdr>
          <w:top w:val="single" w:sz="4" w:space="1" w:color="auto"/>
          <w:left w:val="single" w:sz="4" w:space="4" w:color="auto"/>
          <w:bottom w:val="single" w:sz="4" w:space="1" w:color="auto"/>
          <w:right w:val="single" w:sz="4" w:space="4" w:color="auto"/>
        </w:pBdr>
        <w:spacing w:before="0" w:after="0" w:line="240" w:lineRule="auto"/>
        <w:jc w:val="center"/>
      </w:pPr>
      <w:r w:rsidRPr="00EA4C2B">
        <w:t xml:space="preserve">This grant opportunity is part of the above grant </w:t>
      </w:r>
      <w:proofErr w:type="gramStart"/>
      <w:r w:rsidRPr="00EA4C2B">
        <w:t>program which</w:t>
      </w:r>
      <w:proofErr w:type="gramEnd"/>
      <w:r w:rsidRPr="00EA4C2B">
        <w:t xml:space="preserve"> contributes to the National Disability Insurance Agency’s (NDIA’s) Outcome 1</w:t>
      </w:r>
      <w:r w:rsidRPr="00EA4C2B">
        <w:rPr>
          <w:rFonts w:cs="Arial"/>
        </w:rPr>
        <w:t xml:space="preserve">.2 – Community Inclusion </w:t>
      </w:r>
      <w:r>
        <w:rPr>
          <w:rFonts w:cs="Arial"/>
        </w:rPr>
        <w:t>and</w:t>
      </w:r>
      <w:r w:rsidRPr="00EA4C2B">
        <w:rPr>
          <w:rFonts w:cs="Arial"/>
        </w:rPr>
        <w:t xml:space="preserve"> Capacity Development </w:t>
      </w:r>
      <w:r>
        <w:rPr>
          <w:rFonts w:cs="Arial"/>
        </w:rPr>
        <w:t xml:space="preserve">(CICD) </w:t>
      </w:r>
      <w:r w:rsidRPr="00EA4C2B">
        <w:rPr>
          <w:rFonts w:cs="Arial"/>
        </w:rPr>
        <w:t>Grants</w:t>
      </w:r>
      <w:r w:rsidRPr="00EA4C2B">
        <w:t>. The NDIA works with stakeholders to plan and design the grant program according to the</w:t>
      </w:r>
    </w:p>
    <w:p w14:paraId="5A4A9A35" w14:textId="77777777" w:rsidR="00155A4F" w:rsidRDefault="00155A4F" w:rsidP="00DF5F3B">
      <w:pPr>
        <w:pBdr>
          <w:top w:val="single" w:sz="4" w:space="1" w:color="auto"/>
          <w:left w:val="single" w:sz="4" w:space="4" w:color="auto"/>
          <w:bottom w:val="single" w:sz="4" w:space="1" w:color="auto"/>
          <w:right w:val="single" w:sz="4" w:space="4" w:color="auto"/>
        </w:pBdr>
        <w:spacing w:before="0" w:after="0" w:line="240" w:lineRule="auto"/>
        <w:jc w:val="center"/>
        <w:rPr>
          <w:rStyle w:val="Hyperlink"/>
          <w:i/>
        </w:rPr>
      </w:pPr>
      <w:r>
        <w:t xml:space="preserve"> </w:t>
      </w:r>
      <w:hyperlink r:id="rId17" w:history="1">
        <w:r w:rsidRPr="006F145A">
          <w:rPr>
            <w:rStyle w:val="Hyperlink"/>
            <w:i/>
          </w:rPr>
          <w:t>Commonwealth Grants Rules and Guidelines</w:t>
        </w:r>
        <w:r>
          <w:rPr>
            <w:rStyle w:val="Hyperlink"/>
            <w:i/>
          </w:rPr>
          <w:t xml:space="preserve"> 2017</w:t>
        </w:r>
        <w:r w:rsidRPr="00B359CF">
          <w:rPr>
            <w:rStyle w:val="Hyperlink"/>
            <w:i/>
          </w:rPr>
          <w:t xml:space="preserve"> (CGRGs)</w:t>
        </w:r>
        <w:r w:rsidRPr="006F145A">
          <w:rPr>
            <w:rStyle w:val="Hyperlink"/>
            <w:i/>
          </w:rPr>
          <w:t>.</w:t>
        </w:r>
      </w:hyperlink>
    </w:p>
    <w:p w14:paraId="7B0AC75B" w14:textId="77777777" w:rsidR="00155A4F" w:rsidRDefault="00155A4F" w:rsidP="00DF5F3B">
      <w:pPr>
        <w:pBdr>
          <w:top w:val="single" w:sz="4" w:space="1" w:color="auto"/>
          <w:left w:val="single" w:sz="4" w:space="4" w:color="auto"/>
          <w:bottom w:val="single" w:sz="4" w:space="1" w:color="auto"/>
          <w:right w:val="single" w:sz="4" w:space="4" w:color="auto"/>
        </w:pBdr>
        <w:spacing w:before="0" w:after="0" w:line="240" w:lineRule="auto"/>
        <w:jc w:val="center"/>
        <w:rPr>
          <w:rStyle w:val="Hyperlink"/>
          <w:i/>
        </w:rPr>
      </w:pPr>
    </w:p>
    <w:p w14:paraId="678EE1AC" w14:textId="77777777" w:rsidR="00155A4F" w:rsidRPr="0062594A" w:rsidRDefault="00155A4F" w:rsidP="00DF5F3B">
      <w:pPr>
        <w:pBdr>
          <w:top w:val="single" w:sz="4" w:space="1" w:color="auto"/>
          <w:left w:val="single" w:sz="4" w:space="4" w:color="auto"/>
          <w:bottom w:val="single" w:sz="4" w:space="1" w:color="auto"/>
          <w:right w:val="single" w:sz="4" w:space="4" w:color="auto"/>
        </w:pBdr>
        <w:spacing w:before="0" w:after="0" w:line="240" w:lineRule="auto"/>
        <w:jc w:val="center"/>
        <w:rPr>
          <w:i/>
          <w:color w:val="3366CC"/>
          <w:u w:val="single"/>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t>
      </w:r>
      <w:proofErr w:type="gramStart"/>
      <w:r w:rsidRPr="00D3694B">
        <w:rPr>
          <w:rStyle w:val="highlightedtextChar"/>
          <w:rFonts w:ascii="Arial" w:hAnsi="Arial" w:cs="Arial"/>
          <w:b w:val="0"/>
          <w:color w:val="auto"/>
          <w:sz w:val="20"/>
          <w:szCs w:val="20"/>
        </w:rPr>
        <w:t>will be administered</w:t>
      </w:r>
      <w:proofErr w:type="gramEnd"/>
      <w:r w:rsidRPr="00D3694B">
        <w:rPr>
          <w:rStyle w:val="highlightedtextChar"/>
          <w:rFonts w:ascii="Arial" w:hAnsi="Arial" w:cs="Arial"/>
          <w:b w:val="0"/>
          <w:color w:val="auto"/>
          <w:sz w:val="20"/>
          <w:szCs w:val="20"/>
        </w:rPr>
        <w:t xml:space="preserve"> </w:t>
      </w:r>
      <w:r>
        <w:rPr>
          <w:rStyle w:val="highlightedtextChar"/>
          <w:rFonts w:ascii="Arial" w:hAnsi="Arial" w:cs="Arial"/>
          <w:b w:val="0"/>
          <w:color w:val="auto"/>
          <w:sz w:val="20"/>
          <w:szCs w:val="20"/>
        </w:rPr>
        <w:t>in partnership between the Department of Social Services (DSS)</w:t>
      </w:r>
      <w:r w:rsidRPr="00D3694B">
        <w:rPr>
          <w:rStyle w:val="highlightedtextChar"/>
          <w:rFonts w:ascii="Arial" w:hAnsi="Arial" w:cs="Arial"/>
          <w:b w:val="0"/>
          <w:color w:val="auto"/>
          <w:sz w:val="20"/>
          <w:szCs w:val="20"/>
        </w:rPr>
        <w:t xml:space="preserve"> Community Grants Hub </w:t>
      </w:r>
      <w:r>
        <w:rPr>
          <w:rStyle w:val="highlightedtextChar"/>
          <w:rFonts w:ascii="Arial" w:hAnsi="Arial" w:cs="Arial"/>
          <w:b w:val="0"/>
          <w:color w:val="auto"/>
          <w:sz w:val="20"/>
          <w:szCs w:val="20"/>
        </w:rPr>
        <w:t>and</w:t>
      </w:r>
      <w:r w:rsidRPr="00D3694B">
        <w:rPr>
          <w:rStyle w:val="highlightedtextChar"/>
          <w:rFonts w:ascii="Arial" w:hAnsi="Arial" w:cs="Arial"/>
          <w:b w:val="0"/>
          <w:color w:val="auto"/>
          <w:sz w:val="20"/>
          <w:szCs w:val="20"/>
        </w:rPr>
        <w:t xml:space="preserve"> </w:t>
      </w:r>
      <w:r w:rsidRPr="00DF5F3B">
        <w:rPr>
          <w:rStyle w:val="highlightedtextChar"/>
          <w:rFonts w:ascii="Arial" w:hAnsi="Arial" w:cs="Arial"/>
          <w:b w:val="0"/>
          <w:color w:val="auto"/>
          <w:sz w:val="20"/>
          <w:szCs w:val="20"/>
        </w:rPr>
        <w:t>the NDIA.</w:t>
      </w:r>
    </w:p>
    <w:p w14:paraId="6F7467D0" w14:textId="77777777" w:rsidR="009F5837" w:rsidRPr="00F40BDA" w:rsidRDefault="009F5837" w:rsidP="009F5837">
      <w:pPr>
        <w:spacing w:after="0"/>
        <w:jc w:val="center"/>
        <w:rPr>
          <w:rFonts w:ascii="Wingdings" w:hAnsi="Wingdings"/>
        </w:rPr>
      </w:pPr>
      <w:r w:rsidRPr="00F40BDA">
        <w:rPr>
          <w:rFonts w:ascii="Wingdings" w:hAnsi="Wingdings"/>
        </w:rPr>
        <w:t></w:t>
      </w:r>
    </w:p>
    <w:p w14:paraId="5FBF78B8"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F8702E2" w14:textId="77777777"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grant guidelines on </w:t>
      </w:r>
      <w:hyperlink r:id="rId18" w:history="1">
        <w:r w:rsidR="008D123A" w:rsidRPr="00452C26">
          <w:rPr>
            <w:rStyle w:val="Hyperlink"/>
          </w:rPr>
          <w:t>GrantConnect</w:t>
        </w:r>
      </w:hyperlink>
      <w:r w:rsidR="00C70C37" w:rsidRPr="009E283B">
        <w:t xml:space="preserve"> </w:t>
      </w:r>
      <w:r w:rsidR="00A7274E">
        <w:t xml:space="preserve">and </w:t>
      </w:r>
      <w:hyperlink r:id="rId19" w:history="1">
        <w:r w:rsidR="00A7274E" w:rsidRPr="00A7274E">
          <w:rPr>
            <w:rStyle w:val="Hyperlink"/>
          </w:rPr>
          <w:t>Community Grants Hub</w:t>
        </w:r>
      </w:hyperlink>
      <w:r w:rsidR="00A7274E">
        <w:t xml:space="preserve"> websites.</w:t>
      </w:r>
    </w:p>
    <w:p w14:paraId="0986825B" w14:textId="77777777" w:rsidR="00CE6D9D" w:rsidRPr="00F40BDA" w:rsidRDefault="00CE6D9D" w:rsidP="00CE6D9D">
      <w:pPr>
        <w:spacing w:after="0"/>
        <w:jc w:val="center"/>
        <w:rPr>
          <w:rFonts w:ascii="Wingdings" w:hAnsi="Wingdings"/>
        </w:rPr>
      </w:pPr>
      <w:r w:rsidRPr="00F40BDA">
        <w:rPr>
          <w:rFonts w:ascii="Wingdings" w:hAnsi="Wingdings"/>
        </w:rPr>
        <w:t></w:t>
      </w:r>
    </w:p>
    <w:p w14:paraId="08437FE7"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08E8627"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to </w:t>
      </w:r>
      <w:proofErr w:type="gramStart"/>
      <w:r w:rsidRPr="00EF2B08">
        <w:t>be considered</w:t>
      </w:r>
      <w:proofErr w:type="gramEnd"/>
      <w:r w:rsidRPr="00EF2B08">
        <w:t xml:space="preserve"> for a grant.</w:t>
      </w:r>
    </w:p>
    <w:p w14:paraId="16BD59B7" w14:textId="77777777" w:rsidR="00CE6D9D" w:rsidRPr="00F40BDA" w:rsidRDefault="00CE6D9D" w:rsidP="00CE6D9D">
      <w:pPr>
        <w:spacing w:after="0"/>
        <w:jc w:val="center"/>
        <w:rPr>
          <w:rFonts w:ascii="Wingdings" w:hAnsi="Wingdings"/>
        </w:rPr>
      </w:pPr>
      <w:r w:rsidRPr="00F40BDA">
        <w:rPr>
          <w:rFonts w:ascii="Wingdings" w:hAnsi="Wingdings"/>
        </w:rPr>
        <w:t></w:t>
      </w:r>
    </w:p>
    <w:p w14:paraId="79278942" w14:textId="77777777" w:rsidR="00CE6D9D" w:rsidRDefault="00293465" w:rsidP="00DF5F3B">
      <w:pPr>
        <w:pBdr>
          <w:top w:val="single" w:sz="4" w:space="1" w:color="auto"/>
          <w:left w:val="single" w:sz="4" w:space="4" w:color="auto"/>
          <w:bottom w:val="single" w:sz="4" w:space="1" w:color="auto"/>
          <w:right w:val="single" w:sz="4"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7CC9A9A0" w14:textId="77777777" w:rsidR="006840D8" w:rsidRPr="005E08F7" w:rsidRDefault="00293465" w:rsidP="00DF5F3B">
      <w:pPr>
        <w:pBdr>
          <w:top w:val="single" w:sz="4" w:space="1" w:color="auto"/>
          <w:left w:val="single" w:sz="4" w:space="4" w:color="auto"/>
          <w:bottom w:val="single" w:sz="4" w:space="1" w:color="auto"/>
          <w:right w:val="single" w:sz="4"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w:t>
      </w:r>
    </w:p>
    <w:p w14:paraId="5F7D5AAE" w14:textId="77777777" w:rsidR="006840D8" w:rsidRPr="005E08F7" w:rsidRDefault="006840D8" w:rsidP="00DF5F3B">
      <w:pPr>
        <w:pBdr>
          <w:top w:val="single" w:sz="4" w:space="1" w:color="auto"/>
          <w:left w:val="single" w:sz="4" w:space="4" w:color="auto"/>
          <w:bottom w:val="single" w:sz="4" w:space="1" w:color="auto"/>
          <w:right w:val="single" w:sz="4" w:space="4" w:color="auto"/>
        </w:pBdr>
        <w:spacing w:after="0"/>
        <w:jc w:val="center"/>
      </w:pPr>
      <w:proofErr w:type="gramStart"/>
      <w:r w:rsidRPr="005E08F7">
        <w:t>overall</w:t>
      </w:r>
      <w:proofErr w:type="gramEnd"/>
      <w:r w:rsidRPr="005E08F7">
        <w:t xml:space="preserve"> consideration of value with</w:t>
      </w:r>
      <w:r w:rsidR="00F27807">
        <w:t xml:space="preserve"> relevant</w:t>
      </w:r>
      <w:r w:rsidRPr="005E08F7">
        <w:t xml:space="preserve"> money </w:t>
      </w:r>
      <w:r w:rsidRPr="00EE0C10">
        <w:t>and compare it to other applications.</w:t>
      </w:r>
    </w:p>
    <w:p w14:paraId="670CB347" w14:textId="77777777" w:rsidR="00CE6D9D" w:rsidRPr="00C659C4" w:rsidRDefault="00CE6D9D" w:rsidP="00DF5F3B">
      <w:pPr>
        <w:spacing w:after="0"/>
        <w:jc w:val="center"/>
        <w:rPr>
          <w:rFonts w:ascii="Wingdings" w:hAnsi="Wingdings"/>
        </w:rPr>
      </w:pPr>
      <w:r w:rsidRPr="00C659C4">
        <w:rPr>
          <w:rFonts w:ascii="Wingdings" w:hAnsi="Wingdings"/>
        </w:rPr>
        <w:t></w:t>
      </w:r>
    </w:p>
    <w:p w14:paraId="6D46A479" w14:textId="77777777" w:rsidR="00CE6D9D" w:rsidRPr="00DB796E" w:rsidRDefault="00293465" w:rsidP="00DF5F3B">
      <w:pPr>
        <w:pBdr>
          <w:top w:val="single" w:sz="4" w:space="1" w:color="auto"/>
          <w:left w:val="single" w:sz="4" w:space="4" w:color="auto"/>
          <w:bottom w:val="single" w:sz="4" w:space="1" w:color="auto"/>
          <w:right w:val="single" w:sz="4" w:space="4" w:color="auto"/>
        </w:pBdr>
        <w:spacing w:after="0"/>
        <w:jc w:val="center"/>
        <w:rPr>
          <w:b/>
        </w:rPr>
      </w:pPr>
      <w:r>
        <w:rPr>
          <w:b/>
        </w:rPr>
        <w:t xml:space="preserve">We </w:t>
      </w:r>
      <w:r w:rsidR="00CE6D9D" w:rsidRPr="00DB796E">
        <w:rPr>
          <w:b/>
        </w:rPr>
        <w:t>make grant recommendations</w:t>
      </w:r>
    </w:p>
    <w:p w14:paraId="4A20B58F" w14:textId="77777777" w:rsidR="00CE6D9D" w:rsidRPr="00C659C4" w:rsidRDefault="00293465" w:rsidP="00DF5F3B">
      <w:pPr>
        <w:pBdr>
          <w:top w:val="single" w:sz="4" w:space="1" w:color="auto"/>
          <w:left w:val="single" w:sz="4" w:space="4" w:color="auto"/>
          <w:bottom w:val="single" w:sz="4" w:space="1" w:color="auto"/>
          <w:right w:val="single" w:sz="4" w:space="4" w:color="auto"/>
        </w:pBdr>
        <w:spacing w:after="0"/>
        <w:jc w:val="center"/>
      </w:pPr>
      <w:r w:rsidRPr="003416C1">
        <w:t>We</w:t>
      </w:r>
      <w:r w:rsidR="00543A99" w:rsidRPr="003416C1">
        <w:t xml:space="preserve"> </w:t>
      </w:r>
      <w:r w:rsidR="00CE6D9D" w:rsidRPr="003416C1">
        <w:t>provide advice</w:t>
      </w:r>
      <w:r w:rsidR="00543A99" w:rsidRPr="003416C1">
        <w:t>, through the</w:t>
      </w:r>
      <w:r w:rsidR="00DF5F3B">
        <w:t xml:space="preserve"> S</w:t>
      </w:r>
      <w:r w:rsidR="00543A99" w:rsidRPr="003416C1">
        <w:t xml:space="preserve">election </w:t>
      </w:r>
      <w:r w:rsidR="00DF5F3B">
        <w:t>A</w:t>
      </w:r>
      <w:r w:rsidR="00543A99" w:rsidRPr="003416C1">
        <w:t xml:space="preserve">dvisory </w:t>
      </w:r>
      <w:r w:rsidR="00DF5F3B">
        <w:t>P</w:t>
      </w:r>
      <w:r w:rsidR="00543A99" w:rsidRPr="003416C1">
        <w:t>anel</w:t>
      </w:r>
      <w:r w:rsidR="00CE6D9D" w:rsidRPr="003416C1">
        <w:t xml:space="preserve"> to the decision maker on the merits of each application.</w:t>
      </w:r>
    </w:p>
    <w:p w14:paraId="63E215AD" w14:textId="77777777" w:rsidR="00CE6D9D" w:rsidRPr="00C659C4" w:rsidRDefault="00CE6D9D" w:rsidP="00CE6D9D">
      <w:pPr>
        <w:spacing w:after="0"/>
        <w:jc w:val="center"/>
        <w:rPr>
          <w:rFonts w:ascii="Wingdings" w:hAnsi="Wingdings"/>
        </w:rPr>
      </w:pPr>
      <w:r w:rsidRPr="00C659C4">
        <w:rPr>
          <w:rFonts w:ascii="Wingdings" w:hAnsi="Wingdings"/>
        </w:rPr>
        <w:t></w:t>
      </w:r>
    </w:p>
    <w:p w14:paraId="736668CF"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 xml:space="preserve">ecisions </w:t>
      </w:r>
      <w:proofErr w:type="gramStart"/>
      <w:r w:rsidRPr="00C659C4">
        <w:rPr>
          <w:b/>
        </w:rPr>
        <w:t>are made</w:t>
      </w:r>
      <w:proofErr w:type="gramEnd"/>
    </w:p>
    <w:p w14:paraId="3ACFBAAC"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4E391A7F" w14:textId="77777777" w:rsidR="00CE6D9D" w:rsidRPr="00C659C4" w:rsidRDefault="00CE6D9D" w:rsidP="00CE6D9D">
      <w:pPr>
        <w:spacing w:after="0"/>
        <w:jc w:val="center"/>
        <w:rPr>
          <w:rFonts w:ascii="Wingdings" w:hAnsi="Wingdings"/>
        </w:rPr>
      </w:pPr>
      <w:r w:rsidRPr="00C659C4">
        <w:rPr>
          <w:rFonts w:ascii="Wingdings" w:hAnsi="Wingdings"/>
        </w:rPr>
        <w:t></w:t>
      </w:r>
    </w:p>
    <w:p w14:paraId="7FBA54F2"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2A59CDD0" w14:textId="77777777" w:rsidR="00EE31E7" w:rsidRPr="00C659C4" w:rsidRDefault="00293465" w:rsidP="009F5837">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t>
      </w:r>
    </w:p>
    <w:p w14:paraId="52396ED1" w14:textId="77777777" w:rsidR="00CE6D9D" w:rsidRPr="00C659C4" w:rsidRDefault="00CE6D9D" w:rsidP="00CE6D9D">
      <w:pPr>
        <w:spacing w:after="0"/>
        <w:jc w:val="center"/>
        <w:rPr>
          <w:rFonts w:ascii="Wingdings" w:hAnsi="Wingdings"/>
        </w:rPr>
      </w:pPr>
      <w:r w:rsidRPr="00C659C4">
        <w:rPr>
          <w:rFonts w:ascii="Wingdings" w:hAnsi="Wingdings"/>
        </w:rPr>
        <w:t></w:t>
      </w:r>
    </w:p>
    <w:p w14:paraId="005D21FE"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0FEDCD7E" w14:textId="77777777" w:rsidR="00AA4E6E" w:rsidRPr="009F5837" w:rsidRDefault="004F1733" w:rsidP="009F5837">
      <w:pPr>
        <w:pBdr>
          <w:top w:val="single" w:sz="2" w:space="1" w:color="auto"/>
          <w:left w:val="single" w:sz="2" w:space="4" w:color="auto"/>
          <w:bottom w:val="single" w:sz="2" w:space="1" w:color="auto"/>
          <w:right w:val="single" w:sz="2" w:space="4" w:color="auto"/>
        </w:pBdr>
        <w:spacing w:after="0"/>
        <w:jc w:val="center"/>
      </w:pPr>
      <w:r>
        <w:t>The NDIA</w:t>
      </w:r>
      <w:r w:rsidR="00CE6D9D" w:rsidRPr="00C659C4">
        <w:t xml:space="preserve"> enter</w:t>
      </w:r>
      <w:r w:rsidR="009F5837">
        <w:t>s</w:t>
      </w:r>
      <w:r w:rsidR="00CE6D9D" w:rsidRPr="00C659C4">
        <w:t xml:space="preserve"> into a grant agreement with</w:t>
      </w:r>
      <w:r w:rsidR="00D676ED">
        <w:t xml:space="preserve"> you if successful.</w:t>
      </w:r>
      <w:r w:rsidR="00CE6D9D" w:rsidRPr="00C659C4">
        <w:t xml:space="preserve"> The type of grant agreement </w:t>
      </w:r>
      <w:proofErr w:type="gramStart"/>
      <w:r w:rsidR="00CE6D9D" w:rsidRPr="00C659C4">
        <w:t>is based</w:t>
      </w:r>
      <w:proofErr w:type="gramEnd"/>
      <w:r w:rsidR="00CE6D9D" w:rsidRPr="00C659C4">
        <w:t xml:space="preserve">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30F10170" w14:textId="77777777" w:rsidR="00CE6D9D" w:rsidRDefault="00CE6D9D" w:rsidP="00CE6D9D">
      <w:pPr>
        <w:spacing w:after="0"/>
        <w:jc w:val="center"/>
        <w:rPr>
          <w:rFonts w:ascii="Wingdings" w:hAnsi="Wingdings"/>
        </w:rPr>
      </w:pPr>
      <w:r w:rsidRPr="00C659C4">
        <w:rPr>
          <w:rFonts w:ascii="Wingdings" w:hAnsi="Wingdings"/>
        </w:rPr>
        <w:t></w:t>
      </w:r>
    </w:p>
    <w:p w14:paraId="28D10368" w14:textId="77777777" w:rsidR="009F5837" w:rsidRDefault="009F5837" w:rsidP="00CE6D9D">
      <w:pPr>
        <w:spacing w:after="0"/>
        <w:jc w:val="center"/>
        <w:rPr>
          <w:rFonts w:ascii="Wingdings" w:hAnsi="Wingdings"/>
        </w:rPr>
      </w:pPr>
    </w:p>
    <w:p w14:paraId="757C710A" w14:textId="77777777" w:rsidR="009F5837" w:rsidRPr="00C659C4" w:rsidRDefault="009F5837" w:rsidP="00CE6D9D">
      <w:pPr>
        <w:spacing w:after="0"/>
        <w:jc w:val="center"/>
        <w:rPr>
          <w:rFonts w:ascii="Wingdings" w:hAnsi="Wingdings"/>
        </w:rPr>
      </w:pPr>
    </w:p>
    <w:p w14:paraId="420978AE"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lastRenderedPageBreak/>
        <w:t>Delivery of grant</w:t>
      </w:r>
    </w:p>
    <w:p w14:paraId="0067825B"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4F1733">
        <w:rPr>
          <w:bCs/>
        </w:rPr>
        <w:t>The NDIA</w:t>
      </w:r>
      <w:r w:rsidR="00827752">
        <w:rPr>
          <w:bCs/>
        </w:rPr>
        <w:t xml:space="preserve"> </w:t>
      </w:r>
      <w:r w:rsidRPr="00C659C4">
        <w:rPr>
          <w:bCs/>
        </w:rPr>
        <w:t>manage</w:t>
      </w:r>
      <w:r w:rsidR="009F5837">
        <w:rPr>
          <w:bCs/>
        </w:rPr>
        <w:t>s</w:t>
      </w:r>
      <w:r w:rsidRPr="00C659C4">
        <w:rPr>
          <w:bCs/>
        </w:rPr>
        <w:t xml:space="preserve"> the grant by working with you, monitoring your progress and making payments.</w:t>
      </w:r>
    </w:p>
    <w:p w14:paraId="1E009A0D" w14:textId="77777777" w:rsidR="00CE6D9D" w:rsidRPr="00C659C4" w:rsidRDefault="00CE6D9D" w:rsidP="00CE6D9D">
      <w:pPr>
        <w:spacing w:after="0"/>
        <w:jc w:val="center"/>
        <w:rPr>
          <w:rFonts w:ascii="Wingdings" w:hAnsi="Wingdings"/>
        </w:rPr>
      </w:pPr>
      <w:r w:rsidRPr="00C659C4">
        <w:rPr>
          <w:rFonts w:ascii="Wingdings" w:hAnsi="Wingdings"/>
        </w:rPr>
        <w:t></w:t>
      </w:r>
    </w:p>
    <w:p w14:paraId="1822B905" w14:textId="77777777" w:rsidR="000A5E87" w:rsidRPr="000A5F63" w:rsidRDefault="000A5E87" w:rsidP="000A5E87">
      <w:pPr>
        <w:pBdr>
          <w:top w:val="single" w:sz="2" w:space="1" w:color="auto"/>
          <w:left w:val="single" w:sz="2" w:space="4" w:color="auto"/>
          <w:bottom w:val="single" w:sz="2" w:space="1" w:color="auto"/>
          <w:right w:val="single" w:sz="2" w:space="4" w:color="auto"/>
        </w:pBdr>
        <w:spacing w:after="0"/>
        <w:jc w:val="center"/>
        <w:rPr>
          <w:b/>
        </w:rPr>
      </w:pPr>
      <w:r w:rsidRPr="000A5F63">
        <w:rPr>
          <w:b/>
        </w:rPr>
        <w:t xml:space="preserve">Evaluation of the </w:t>
      </w:r>
      <w:r w:rsidRPr="000A5F63">
        <w:rPr>
          <w:rFonts w:cs="Arial"/>
          <w:b/>
        </w:rPr>
        <w:t>Information, Linka</w:t>
      </w:r>
      <w:r>
        <w:rPr>
          <w:rFonts w:cs="Arial"/>
          <w:b/>
        </w:rPr>
        <w:t xml:space="preserve">ges and Capacity Building (ILC) - </w:t>
      </w:r>
      <w:r w:rsidRPr="004F1733">
        <w:rPr>
          <w:rFonts w:cs="Arial"/>
          <w:b/>
          <w:i/>
        </w:rPr>
        <w:t>Individual Capacity Building (ICB) Grant Round 2019-2020</w:t>
      </w:r>
    </w:p>
    <w:p w14:paraId="0720C3F2" w14:textId="77777777" w:rsidR="000A5E87" w:rsidRDefault="000A5E87" w:rsidP="000A5E87">
      <w:pPr>
        <w:pBdr>
          <w:top w:val="single" w:sz="2" w:space="1" w:color="auto"/>
          <w:left w:val="single" w:sz="2" w:space="4" w:color="auto"/>
          <w:bottom w:val="single" w:sz="2" w:space="1" w:color="auto"/>
          <w:right w:val="single" w:sz="2" w:space="4" w:color="auto"/>
        </w:pBdr>
        <w:spacing w:after="0"/>
        <w:jc w:val="center"/>
      </w:pPr>
      <w:r>
        <w:t>The NDIA</w:t>
      </w:r>
      <w:r>
        <w:rPr>
          <w:color w:val="0070C0"/>
        </w:rPr>
        <w:t xml:space="preserve"> </w:t>
      </w:r>
      <w:r w:rsidRPr="00C659C4">
        <w:t>evaluate</w:t>
      </w:r>
      <w:r w:rsidR="009F5837">
        <w:t>s</w:t>
      </w:r>
      <w:r w:rsidRPr="00C659C4">
        <w:t xml:space="preserve"> </w:t>
      </w:r>
      <w:r>
        <w:t>your</w:t>
      </w:r>
      <w:r w:rsidRPr="00C659C4">
        <w:t xml:space="preserve"> specific grant activity and </w:t>
      </w:r>
      <w:r w:rsidRPr="007F25C5">
        <w:rPr>
          <w:i/>
        </w:rPr>
        <w:t xml:space="preserve">the </w:t>
      </w:r>
      <w:r w:rsidRPr="007F25C5">
        <w:rPr>
          <w:rFonts w:cs="Arial"/>
          <w:i/>
        </w:rPr>
        <w:t>Information, Linkages and Capacity Building (ILC) Individual Capacity Building (ICB) Grant Round 2019-2020</w:t>
      </w:r>
      <w:r>
        <w:rPr>
          <w:rFonts w:cs="Arial"/>
        </w:rPr>
        <w:t xml:space="preserve"> </w:t>
      </w:r>
      <w:r w:rsidRPr="00C659C4">
        <w:t xml:space="preserve">as a whole. We base this on </w:t>
      </w:r>
      <w:r>
        <w:t xml:space="preserve">information you provide </w:t>
      </w:r>
      <w:proofErr w:type="gramStart"/>
      <w:r>
        <w:t>us and w</w:t>
      </w:r>
      <w:r w:rsidRPr="00C659C4">
        <w:t>hat we collect from various sources</w:t>
      </w:r>
      <w:proofErr w:type="gramEnd"/>
      <w:r w:rsidRPr="00C659C4">
        <w:t>.</w:t>
      </w:r>
    </w:p>
    <w:p w14:paraId="0F09C733" w14:textId="77777777" w:rsidR="00AA4E6E" w:rsidRDefault="00AA4E6E" w:rsidP="007C21EF">
      <w:pPr>
        <w:pBdr>
          <w:top w:val="single" w:sz="2" w:space="1" w:color="auto"/>
          <w:left w:val="single" w:sz="2" w:space="4" w:color="auto"/>
          <w:bottom w:val="single" w:sz="2" w:space="1" w:color="auto"/>
          <w:right w:val="single" w:sz="2" w:space="4" w:color="auto"/>
        </w:pBdr>
        <w:spacing w:after="0"/>
        <w:jc w:val="center"/>
      </w:pPr>
    </w:p>
    <w:p w14:paraId="052BB06B" w14:textId="77777777" w:rsidR="00AA4E6E" w:rsidRPr="006358BB" w:rsidRDefault="00052DA1" w:rsidP="007C21EF">
      <w:pPr>
        <w:pBdr>
          <w:top w:val="single" w:sz="2" w:space="1" w:color="auto"/>
          <w:left w:val="single" w:sz="2" w:space="4" w:color="auto"/>
          <w:bottom w:val="single" w:sz="2" w:space="1" w:color="auto"/>
          <w:right w:val="single" w:sz="2" w:space="4" w:color="auto"/>
        </w:pBdr>
        <w:spacing w:after="0" w:line="276" w:lineRule="auto"/>
        <w:jc w:val="center"/>
      </w:pPr>
      <w:r>
        <w:t>The NDIA</w:t>
      </w:r>
      <w:r w:rsidR="00AA4E6E" w:rsidRPr="006358BB">
        <w:t xml:space="preserve"> require</w:t>
      </w:r>
      <w:r w:rsidR="009F5837">
        <w:t>s</w:t>
      </w:r>
      <w:r w:rsidR="00AA4E6E" w:rsidRPr="006358BB">
        <w:t xml:space="preserve"> you to provide specified data about your project and organisation, access to participants of your project for surveys and other information gathering and we may engage in deeper evaluation activities. We </w:t>
      </w:r>
      <w:r w:rsidR="00AA4E6E">
        <w:t>aim</w:t>
      </w:r>
      <w:r w:rsidR="00AA4E6E" w:rsidRPr="006358BB">
        <w:t xml:space="preserve"> to share this data with you to provide you with an understanding of the relevant status and success of your project.</w:t>
      </w:r>
    </w:p>
    <w:p w14:paraId="781BB7E2" w14:textId="77777777" w:rsidR="00AA4E6E" w:rsidRDefault="00AA4E6E" w:rsidP="007C21EF">
      <w:pPr>
        <w:pBdr>
          <w:top w:val="single" w:sz="2" w:space="1" w:color="auto"/>
          <w:left w:val="single" w:sz="2" w:space="4" w:color="auto"/>
          <w:bottom w:val="single" w:sz="2" w:space="1" w:color="auto"/>
          <w:right w:val="single" w:sz="2" w:space="4" w:color="auto"/>
        </w:pBdr>
        <w:spacing w:after="0"/>
        <w:jc w:val="center"/>
      </w:pPr>
    </w:p>
    <w:p w14:paraId="5A6A5016" w14:textId="77777777" w:rsidR="00E00BAF" w:rsidRPr="00181A24" w:rsidRDefault="00E00BAF" w:rsidP="001505F4">
      <w:pPr>
        <w:pStyle w:val="Heading3"/>
      </w:pPr>
      <w:bookmarkStart w:id="4" w:name="_Toc16774059"/>
      <w:r w:rsidRPr="00181A24">
        <w:t>Introduction</w:t>
      </w:r>
      <w:bookmarkEnd w:id="4"/>
    </w:p>
    <w:p w14:paraId="3B8F46EA" w14:textId="77777777" w:rsidR="007472DC" w:rsidRPr="00E22673" w:rsidRDefault="00D3694B" w:rsidP="00E22673">
      <w:pPr>
        <w:rPr>
          <w:rFonts w:cs="Arial"/>
          <w:b/>
        </w:rPr>
      </w:pPr>
      <w:r w:rsidRPr="00E22673">
        <w:rPr>
          <w:rFonts w:cs="Arial"/>
        </w:rPr>
        <w:t xml:space="preserve">These </w:t>
      </w:r>
      <w:r w:rsidR="00052DA1" w:rsidRPr="00E22673">
        <w:rPr>
          <w:rFonts w:cs="Arial"/>
        </w:rPr>
        <w:t>Grant Opportunity Guidelines</w:t>
      </w:r>
      <w:r w:rsidRPr="00E22673">
        <w:rPr>
          <w:rFonts w:cs="Arial"/>
        </w:rPr>
        <w:t xml:space="preserve"> contain information for the</w:t>
      </w:r>
      <w:r w:rsidR="00FB77E3" w:rsidRPr="00E22673">
        <w:rPr>
          <w:rFonts w:cs="Arial"/>
        </w:rPr>
        <w:t xml:space="preserve"> first grant round under the</w:t>
      </w:r>
      <w:r w:rsidRPr="00E22673">
        <w:rPr>
          <w:rFonts w:cs="Arial"/>
        </w:rPr>
        <w:t xml:space="preserve"> </w:t>
      </w:r>
      <w:r w:rsidR="00B0570C" w:rsidRPr="00E22673">
        <w:rPr>
          <w:rFonts w:cs="Arial"/>
          <w:i/>
        </w:rPr>
        <w:t xml:space="preserve">Individual </w:t>
      </w:r>
      <w:r w:rsidR="00522DA5" w:rsidRPr="00E22673">
        <w:rPr>
          <w:rFonts w:cs="Arial"/>
          <w:i/>
        </w:rPr>
        <w:t xml:space="preserve">Capacity Building (ICB) </w:t>
      </w:r>
      <w:r w:rsidR="00FB77E3" w:rsidRPr="00E22673">
        <w:rPr>
          <w:rFonts w:cs="Arial"/>
          <w:i/>
        </w:rPr>
        <w:t>Program</w:t>
      </w:r>
      <w:r w:rsidR="009B11C8" w:rsidRPr="00E22673">
        <w:rPr>
          <w:rFonts w:cs="Arial"/>
        </w:rPr>
        <w:t xml:space="preserve">. Applicants </w:t>
      </w:r>
      <w:r w:rsidR="009B11C8" w:rsidRPr="00E22673">
        <w:rPr>
          <w:rFonts w:cs="Arial"/>
          <w:b/>
        </w:rPr>
        <w:t>must</w:t>
      </w:r>
      <w:r w:rsidR="009B11C8" w:rsidRPr="00E22673">
        <w:rPr>
          <w:rFonts w:cs="Arial"/>
        </w:rPr>
        <w:t xml:space="preserve"> read this document before filling out an application</w:t>
      </w:r>
      <w:r w:rsidR="009B11C8" w:rsidRPr="00E22673">
        <w:rPr>
          <w:rFonts w:cs="Arial"/>
          <w:b/>
        </w:rPr>
        <w:t xml:space="preserve">. </w:t>
      </w:r>
    </w:p>
    <w:p w14:paraId="02A06092" w14:textId="0062FD93" w:rsidR="009B11C8" w:rsidRPr="00E22673" w:rsidRDefault="009B11C8" w:rsidP="00E22673">
      <w:pPr>
        <w:rPr>
          <w:rFonts w:cs="Arial"/>
        </w:rPr>
      </w:pPr>
      <w:r w:rsidRPr="00E22673">
        <w:rPr>
          <w:rFonts w:cs="Arial"/>
        </w:rPr>
        <w:t>Applicants</w:t>
      </w:r>
      <w:r w:rsidRPr="00E22673">
        <w:rPr>
          <w:rFonts w:cs="Arial"/>
          <w:b/>
        </w:rPr>
        <w:t xml:space="preserve"> should </w:t>
      </w:r>
      <w:r w:rsidRPr="00E22673">
        <w:rPr>
          <w:rFonts w:cs="Arial"/>
        </w:rPr>
        <w:t xml:space="preserve">also read </w:t>
      </w:r>
      <w:r w:rsidR="007472DC" w:rsidRPr="00E22673">
        <w:rPr>
          <w:rFonts w:cs="Arial"/>
        </w:rPr>
        <w:t xml:space="preserve">both the </w:t>
      </w:r>
      <w:r w:rsidR="007472DC" w:rsidRPr="00E22673">
        <w:rPr>
          <w:rFonts w:cs="Arial"/>
          <w:lang w:val="en-US" w:eastAsia="en-AU"/>
        </w:rPr>
        <w:t>new</w:t>
      </w:r>
      <w:r w:rsidR="007472DC" w:rsidRPr="00E22673">
        <w:rPr>
          <w:rFonts w:cs="Arial"/>
          <w:i/>
          <w:lang w:val="en-US" w:eastAsia="en-AU"/>
        </w:rPr>
        <w:t xml:space="preserve"> </w:t>
      </w:r>
      <w:hyperlink r:id="rId20" w:history="1">
        <w:r w:rsidR="007472DC" w:rsidRPr="00E22673">
          <w:rPr>
            <w:rStyle w:val="Hyperlink"/>
            <w:rFonts w:cs="Arial"/>
            <w:i/>
            <w:lang w:val="en-US" w:eastAsia="en-AU"/>
          </w:rPr>
          <w:t>Information Linkages and Capacity Building (ILC) Investment Strategy (ILC Strategy)</w:t>
        </w:r>
      </w:hyperlink>
      <w:r w:rsidR="007472DC" w:rsidRPr="00E22673">
        <w:rPr>
          <w:rFonts w:cs="Arial"/>
          <w:lang w:val="en-US" w:eastAsia="en-AU"/>
        </w:rPr>
        <w:t xml:space="preserve">, and </w:t>
      </w:r>
      <w:r w:rsidRPr="00E22673">
        <w:rPr>
          <w:rFonts w:cs="Arial"/>
        </w:rPr>
        <w:t xml:space="preserve">the </w:t>
      </w:r>
      <w:r w:rsidR="00D6320A" w:rsidRPr="00E22673">
        <w:rPr>
          <w:rFonts w:eastAsia="Calibri" w:cs="Arial"/>
          <w:i/>
        </w:rPr>
        <w:t>Information, Linkages and Capacity Building Program (ILC)</w:t>
      </w:r>
      <w:r w:rsidR="00D6320A" w:rsidRPr="00E22673">
        <w:rPr>
          <w:rFonts w:cs="Arial"/>
          <w:i/>
        </w:rPr>
        <w:t xml:space="preserve"> </w:t>
      </w:r>
      <w:hyperlink r:id="rId21" w:history="1">
        <w:r w:rsidR="00D6320A" w:rsidRPr="00E22673">
          <w:rPr>
            <w:rStyle w:val="Hyperlink"/>
            <w:rFonts w:cs="Arial"/>
            <w:i/>
          </w:rPr>
          <w:t>Program Guidelines</w:t>
        </w:r>
      </w:hyperlink>
      <w:r w:rsidR="00D6320A" w:rsidRPr="00E22673">
        <w:rPr>
          <w:rFonts w:cs="Arial"/>
          <w:b/>
          <w:i/>
        </w:rPr>
        <w:t xml:space="preserve"> </w:t>
      </w:r>
      <w:r w:rsidR="00D6320A" w:rsidRPr="00E22673">
        <w:rPr>
          <w:rFonts w:cs="Arial"/>
          <w:i/>
        </w:rPr>
        <w:t>2019-20 to 2021-22</w:t>
      </w:r>
      <w:r w:rsidR="00D6320A" w:rsidRPr="00E22673">
        <w:rPr>
          <w:rFonts w:cs="Arial"/>
        </w:rPr>
        <w:t xml:space="preserve">, </w:t>
      </w:r>
      <w:r w:rsidR="007F25C5" w:rsidRPr="00E22673">
        <w:rPr>
          <w:rFonts w:cs="Arial"/>
        </w:rPr>
        <w:t>which set the policy context for this grant round.</w:t>
      </w:r>
    </w:p>
    <w:p w14:paraId="5DA5612F" w14:textId="77777777" w:rsidR="00E00BAF" w:rsidRPr="00E22673" w:rsidRDefault="00E00BAF" w:rsidP="00E22673">
      <w:pPr>
        <w:rPr>
          <w:rFonts w:cs="Arial"/>
        </w:rPr>
      </w:pPr>
      <w:r w:rsidRPr="00E22673">
        <w:rPr>
          <w:rFonts w:cs="Arial"/>
        </w:rPr>
        <w:t>This document sets out:</w:t>
      </w:r>
    </w:p>
    <w:p w14:paraId="2C8E1EFF" w14:textId="77777777" w:rsidR="00E00BAF" w:rsidRPr="00E22673" w:rsidRDefault="00E00BAF" w:rsidP="00E22673">
      <w:pPr>
        <w:pStyle w:val="ListBullet"/>
        <w:spacing w:after="120"/>
        <w:rPr>
          <w:rStyle w:val="highlightedtextChar"/>
          <w:rFonts w:ascii="Arial" w:hAnsi="Arial" w:cs="Arial"/>
          <w:b w:val="0"/>
          <w:color w:val="auto"/>
          <w:sz w:val="20"/>
          <w:szCs w:val="20"/>
        </w:rPr>
      </w:pPr>
      <w:r w:rsidRPr="00E22673">
        <w:rPr>
          <w:rStyle w:val="highlightedtextChar"/>
          <w:rFonts w:ascii="Arial" w:hAnsi="Arial" w:cs="Arial"/>
          <w:b w:val="0"/>
          <w:color w:val="auto"/>
          <w:sz w:val="20"/>
          <w:szCs w:val="20"/>
        </w:rPr>
        <w:t>t</w:t>
      </w:r>
      <w:r w:rsidR="00052DA1" w:rsidRPr="00E22673">
        <w:rPr>
          <w:rStyle w:val="highlightedtextChar"/>
          <w:rFonts w:ascii="Arial" w:hAnsi="Arial" w:cs="Arial"/>
          <w:b w:val="0"/>
          <w:color w:val="auto"/>
          <w:sz w:val="20"/>
          <w:szCs w:val="20"/>
        </w:rPr>
        <w:t xml:space="preserve">he purpose of the program and </w:t>
      </w:r>
      <w:r w:rsidRPr="00E22673">
        <w:rPr>
          <w:rStyle w:val="highlightedtextChar"/>
          <w:rFonts w:ascii="Arial" w:hAnsi="Arial" w:cs="Arial"/>
          <w:b w:val="0"/>
          <w:color w:val="auto"/>
          <w:sz w:val="20"/>
          <w:szCs w:val="20"/>
        </w:rPr>
        <w:t>grant opportunity</w:t>
      </w:r>
    </w:p>
    <w:p w14:paraId="6347DBB9" w14:textId="77777777" w:rsidR="00E00BAF" w:rsidRPr="00E22673" w:rsidRDefault="00E00BAF" w:rsidP="00E22673">
      <w:pPr>
        <w:pStyle w:val="ListBullet"/>
        <w:spacing w:after="120"/>
        <w:rPr>
          <w:rStyle w:val="highlightedtextChar"/>
          <w:rFonts w:ascii="Arial" w:hAnsi="Arial" w:cs="Arial"/>
          <w:b w:val="0"/>
          <w:color w:val="auto"/>
          <w:sz w:val="20"/>
          <w:szCs w:val="20"/>
        </w:rPr>
      </w:pPr>
      <w:r w:rsidRPr="00E22673">
        <w:rPr>
          <w:rStyle w:val="highlightedtextChar"/>
          <w:rFonts w:ascii="Arial" w:hAnsi="Arial" w:cs="Arial"/>
          <w:b w:val="0"/>
          <w:color w:val="auto"/>
          <w:sz w:val="20"/>
          <w:szCs w:val="20"/>
        </w:rPr>
        <w:t>the eligibility and assessment criteria</w:t>
      </w:r>
    </w:p>
    <w:p w14:paraId="56C54629" w14:textId="77777777" w:rsidR="00E00BAF" w:rsidRPr="00E22673" w:rsidRDefault="00E00BAF" w:rsidP="00E22673">
      <w:pPr>
        <w:pStyle w:val="ListBullet"/>
        <w:spacing w:after="120"/>
        <w:rPr>
          <w:rStyle w:val="highlightedtextChar"/>
          <w:rFonts w:ascii="Arial" w:hAnsi="Arial" w:cs="Arial"/>
          <w:b w:val="0"/>
          <w:color w:val="auto"/>
          <w:sz w:val="20"/>
          <w:szCs w:val="20"/>
        </w:rPr>
      </w:pPr>
      <w:r w:rsidRPr="00E22673">
        <w:rPr>
          <w:rStyle w:val="highlightedtextChar"/>
          <w:rFonts w:ascii="Arial" w:hAnsi="Arial" w:cs="Arial"/>
          <w:b w:val="0"/>
          <w:color w:val="auto"/>
          <w:sz w:val="20"/>
          <w:szCs w:val="20"/>
        </w:rPr>
        <w:t>how grant applications are considered and selected</w:t>
      </w:r>
    </w:p>
    <w:p w14:paraId="692179B2" w14:textId="77777777" w:rsidR="00E00BAF" w:rsidRPr="00E22673" w:rsidRDefault="00E00BAF" w:rsidP="00E22673">
      <w:pPr>
        <w:pStyle w:val="ListBullet"/>
        <w:spacing w:after="120"/>
        <w:rPr>
          <w:rStyle w:val="highlightedtextChar"/>
          <w:rFonts w:ascii="Arial" w:hAnsi="Arial" w:cs="Arial"/>
          <w:b w:val="0"/>
          <w:color w:val="auto"/>
          <w:sz w:val="20"/>
          <w:szCs w:val="20"/>
        </w:rPr>
      </w:pPr>
      <w:r w:rsidRPr="00E22673">
        <w:rPr>
          <w:rStyle w:val="highlightedtextChar"/>
          <w:rFonts w:ascii="Arial" w:hAnsi="Arial" w:cs="Arial"/>
          <w:b w:val="0"/>
          <w:color w:val="auto"/>
          <w:sz w:val="20"/>
          <w:szCs w:val="20"/>
        </w:rPr>
        <w:t>how grantee</w:t>
      </w:r>
      <w:r w:rsidR="007114A2" w:rsidRPr="00E22673">
        <w:rPr>
          <w:rStyle w:val="highlightedtextChar"/>
          <w:rFonts w:ascii="Arial" w:hAnsi="Arial" w:cs="Arial"/>
          <w:b w:val="0"/>
          <w:color w:val="auto"/>
          <w:sz w:val="20"/>
          <w:szCs w:val="20"/>
        </w:rPr>
        <w:t>s</w:t>
      </w:r>
      <w:r w:rsidRPr="00E22673">
        <w:rPr>
          <w:rStyle w:val="highlightedtextChar"/>
          <w:rFonts w:ascii="Arial" w:hAnsi="Arial" w:cs="Arial"/>
          <w:b w:val="0"/>
          <w:color w:val="auto"/>
          <w:sz w:val="20"/>
          <w:szCs w:val="20"/>
        </w:rPr>
        <w:t xml:space="preserve"> are notified and receive grant payments</w:t>
      </w:r>
    </w:p>
    <w:p w14:paraId="44468398" w14:textId="77777777" w:rsidR="00E00BAF" w:rsidRPr="00E22673" w:rsidRDefault="00E00BAF" w:rsidP="00E22673">
      <w:pPr>
        <w:pStyle w:val="ListBullet"/>
        <w:spacing w:after="120"/>
        <w:rPr>
          <w:rStyle w:val="highlightedtextChar"/>
          <w:rFonts w:ascii="Arial" w:hAnsi="Arial" w:cs="Arial"/>
          <w:b w:val="0"/>
          <w:color w:val="auto"/>
          <w:sz w:val="20"/>
          <w:szCs w:val="20"/>
        </w:rPr>
      </w:pPr>
      <w:r w:rsidRPr="00E22673">
        <w:rPr>
          <w:rStyle w:val="highlightedtextChar"/>
          <w:rFonts w:ascii="Arial" w:hAnsi="Arial" w:cs="Arial"/>
          <w:b w:val="0"/>
          <w:color w:val="auto"/>
          <w:sz w:val="20"/>
          <w:szCs w:val="20"/>
        </w:rPr>
        <w:t>how grantees will be monitored and evaluated</w:t>
      </w:r>
    </w:p>
    <w:p w14:paraId="60334791" w14:textId="77777777" w:rsidR="00E00BAF" w:rsidRPr="00E22673" w:rsidRDefault="00E00BAF" w:rsidP="00E22673">
      <w:pPr>
        <w:pStyle w:val="ListBullet"/>
        <w:spacing w:after="120"/>
        <w:rPr>
          <w:rStyle w:val="highlightedtextChar"/>
          <w:rFonts w:ascii="Arial" w:hAnsi="Arial" w:cs="Arial"/>
          <w:b w:val="0"/>
          <w:color w:val="auto"/>
          <w:sz w:val="20"/>
          <w:szCs w:val="20"/>
        </w:rPr>
      </w:pPr>
      <w:proofErr w:type="gramStart"/>
      <w:r w:rsidRPr="00E22673">
        <w:rPr>
          <w:rStyle w:val="highlightedtextChar"/>
          <w:rFonts w:ascii="Arial" w:hAnsi="Arial" w:cs="Arial"/>
          <w:b w:val="0"/>
          <w:color w:val="auto"/>
          <w:sz w:val="20"/>
          <w:szCs w:val="20"/>
        </w:rPr>
        <w:t>responsibilities</w:t>
      </w:r>
      <w:proofErr w:type="gramEnd"/>
      <w:r w:rsidRPr="00E22673">
        <w:rPr>
          <w:rStyle w:val="highlightedtextChar"/>
          <w:rFonts w:ascii="Arial" w:hAnsi="Arial" w:cs="Arial"/>
          <w:b w:val="0"/>
          <w:color w:val="auto"/>
          <w:sz w:val="20"/>
          <w:szCs w:val="20"/>
        </w:rPr>
        <w:t xml:space="preserve"> and expectations in relation to the opportunity.</w:t>
      </w:r>
    </w:p>
    <w:p w14:paraId="2A4D6E5A" w14:textId="37CA041D" w:rsidR="004A343A" w:rsidRPr="00E22673" w:rsidRDefault="004A343A" w:rsidP="00E22673">
      <w:pPr>
        <w:pStyle w:val="ListBullet"/>
        <w:numPr>
          <w:ilvl w:val="0"/>
          <w:numId w:val="0"/>
        </w:numPr>
        <w:spacing w:after="120"/>
        <w:rPr>
          <w:rStyle w:val="highlightedtextChar"/>
          <w:rFonts w:ascii="Arial" w:hAnsi="Arial" w:cs="Arial"/>
          <w:b w:val="0"/>
          <w:color w:val="auto"/>
          <w:sz w:val="20"/>
          <w:szCs w:val="20"/>
        </w:rPr>
      </w:pPr>
      <w:r w:rsidRPr="00E22673">
        <w:rPr>
          <w:rFonts w:cs="Arial"/>
        </w:rPr>
        <w:t>An Easy English version of these Grant Opportunity Guidelines will be available on the</w:t>
      </w:r>
      <w:r w:rsidR="006D1639">
        <w:rPr>
          <w:rFonts w:cs="Arial"/>
        </w:rPr>
        <w:t xml:space="preserve"> Community Grants Hub website.</w:t>
      </w:r>
    </w:p>
    <w:p w14:paraId="778F4304" w14:textId="77777777" w:rsidR="00907078" w:rsidRPr="00F40BDA" w:rsidRDefault="005C7B4A" w:rsidP="001505F4">
      <w:pPr>
        <w:pStyle w:val="Heading2"/>
      </w:pPr>
      <w:bookmarkStart w:id="5" w:name="_Toc16774060"/>
      <w:r>
        <w:t xml:space="preserve">About the </w:t>
      </w:r>
      <w:r w:rsidR="008A14AB">
        <w:t>ILC</w:t>
      </w:r>
      <w:r>
        <w:t xml:space="preserve"> </w:t>
      </w:r>
      <w:r w:rsidR="008A14AB">
        <w:t>P</w:t>
      </w:r>
      <w:r w:rsidR="00EB5DA7">
        <w:t>rogram</w:t>
      </w:r>
      <w:bookmarkEnd w:id="5"/>
    </w:p>
    <w:p w14:paraId="4E0AE5DD" w14:textId="77777777" w:rsidR="00EC6EC1" w:rsidRPr="00E22673" w:rsidRDefault="004A343A" w:rsidP="00E22673">
      <w:pPr>
        <w:rPr>
          <w:rFonts w:cs="Arial"/>
          <w:lang w:val="en-US" w:eastAsia="en-AU"/>
        </w:rPr>
      </w:pPr>
      <w:r w:rsidRPr="00E22673">
        <w:rPr>
          <w:rFonts w:cs="Arial"/>
          <w:lang w:val="en-US" w:eastAsia="en-AU"/>
        </w:rPr>
        <w:t xml:space="preserve">The National Disability Insurance Agency (NDIA) </w:t>
      </w:r>
      <w:r w:rsidR="00EC6EC1" w:rsidRPr="00E22673">
        <w:rPr>
          <w:rFonts w:cs="Arial"/>
          <w:lang w:val="en-US" w:eastAsia="en-AU"/>
        </w:rPr>
        <w:t>delivers its Information, Linkages and Capacity Building (ILC)</w:t>
      </w:r>
      <w:r w:rsidR="0062594A" w:rsidRPr="00E22673">
        <w:rPr>
          <w:rFonts w:cs="Arial"/>
          <w:lang w:val="en-US" w:eastAsia="en-AU"/>
        </w:rPr>
        <w:t xml:space="preserve"> P</w:t>
      </w:r>
      <w:r w:rsidR="00EC6EC1" w:rsidRPr="00E22673">
        <w:rPr>
          <w:rFonts w:cs="Arial"/>
          <w:lang w:val="en-US" w:eastAsia="en-AU"/>
        </w:rPr>
        <w:t xml:space="preserve">rogram under </w:t>
      </w:r>
      <w:r w:rsidRPr="00E22673">
        <w:rPr>
          <w:rFonts w:cs="Arial"/>
          <w:i/>
          <w:color w:val="000000" w:themeColor="text1"/>
        </w:rPr>
        <w:t xml:space="preserve">Program 1.2 – </w:t>
      </w:r>
      <w:r w:rsidR="00EC6EC1" w:rsidRPr="00E22673">
        <w:rPr>
          <w:rFonts w:cs="Arial"/>
          <w:i/>
          <w:color w:val="000000" w:themeColor="text1"/>
        </w:rPr>
        <w:t>Community Inclusion and Capacity Development</w:t>
      </w:r>
      <w:r w:rsidRPr="00E22673">
        <w:rPr>
          <w:rFonts w:cs="Arial"/>
          <w:i/>
          <w:color w:val="000000" w:themeColor="text1"/>
        </w:rPr>
        <w:t xml:space="preserve"> </w:t>
      </w:r>
      <w:r w:rsidR="00EC6EC1" w:rsidRPr="00E22673">
        <w:rPr>
          <w:rFonts w:cs="Arial"/>
          <w:i/>
          <w:color w:val="000000" w:themeColor="text1"/>
        </w:rPr>
        <w:t>(CICD)</w:t>
      </w:r>
      <w:r w:rsidR="00EC6EC1" w:rsidRPr="00E22673">
        <w:rPr>
          <w:rFonts w:cs="Arial"/>
          <w:color w:val="000000" w:themeColor="text1"/>
        </w:rPr>
        <w:t xml:space="preserve"> </w:t>
      </w:r>
      <w:r w:rsidRPr="00E22673">
        <w:rPr>
          <w:rFonts w:cs="Arial"/>
          <w:color w:val="000000" w:themeColor="text1"/>
        </w:rPr>
        <w:t>grants</w:t>
      </w:r>
      <w:r w:rsidRPr="00E22673">
        <w:rPr>
          <w:rFonts w:cs="Arial"/>
          <w:lang w:val="en-US" w:eastAsia="en-AU"/>
        </w:rPr>
        <w:t xml:space="preserve"> (Refer </w:t>
      </w:r>
      <w:r w:rsidR="008E545A" w:rsidRPr="00E22673">
        <w:rPr>
          <w:rFonts w:cs="Arial"/>
          <w:lang w:val="en-US" w:eastAsia="en-AU"/>
        </w:rPr>
        <w:t>Department of Social Services (DSS)</w:t>
      </w:r>
      <w:r w:rsidRPr="00E22673">
        <w:rPr>
          <w:rFonts w:cs="Arial"/>
          <w:lang w:val="en-US" w:eastAsia="en-AU"/>
        </w:rPr>
        <w:t xml:space="preserve"> </w:t>
      </w:r>
      <w:hyperlink r:id="rId22" w:history="1">
        <w:r w:rsidR="00EC6EC1" w:rsidRPr="00E22673">
          <w:rPr>
            <w:rStyle w:val="Hyperlink"/>
            <w:rFonts w:cs="Arial"/>
          </w:rPr>
          <w:t>Portfolio Budget Statement</w:t>
        </w:r>
      </w:hyperlink>
      <w:r w:rsidR="00EC6EC1" w:rsidRPr="00E22673">
        <w:rPr>
          <w:rStyle w:val="Hyperlink"/>
          <w:rFonts w:cs="Arial"/>
        </w:rPr>
        <w:t>s</w:t>
      </w:r>
      <w:r w:rsidR="00EC6EC1" w:rsidRPr="00E22673">
        <w:rPr>
          <w:rFonts w:cs="Arial"/>
        </w:rPr>
        <w:t xml:space="preserve"> (PBS)</w:t>
      </w:r>
      <w:r w:rsidRPr="00E22673">
        <w:rPr>
          <w:rFonts w:cs="Arial"/>
          <w:lang w:val="en-US" w:eastAsia="en-AU"/>
        </w:rPr>
        <w:t xml:space="preserve">). </w:t>
      </w:r>
    </w:p>
    <w:p w14:paraId="13214167" w14:textId="77777777" w:rsidR="0062594A" w:rsidRPr="00E22673" w:rsidRDefault="0062594A" w:rsidP="00E22673">
      <w:pPr>
        <w:rPr>
          <w:rFonts w:cs="Arial"/>
          <w:lang w:val="en-US" w:eastAsia="en-AU"/>
        </w:rPr>
      </w:pPr>
      <w:r w:rsidRPr="00E22673">
        <w:rPr>
          <w:rFonts w:cs="Arial"/>
        </w:rPr>
        <w:t xml:space="preserve">The Australian Government has announced a total </w:t>
      </w:r>
      <w:r w:rsidRPr="00E22673">
        <w:rPr>
          <w:rFonts w:cs="Arial"/>
          <w:lang w:val="en-US" w:eastAsia="en-AU"/>
        </w:rPr>
        <w:t xml:space="preserve">budget allocation (all GST exclusive figures) for the ILC Program </w:t>
      </w:r>
      <w:proofErr w:type="gramStart"/>
      <w:r w:rsidRPr="00E22673">
        <w:rPr>
          <w:rFonts w:cs="Arial"/>
          <w:lang w:val="en-US" w:eastAsia="en-AU"/>
        </w:rPr>
        <w:t>of</w:t>
      </w:r>
      <w:proofErr w:type="gramEnd"/>
      <w:r w:rsidRPr="00E22673">
        <w:rPr>
          <w:rFonts w:cs="Arial"/>
          <w:lang w:val="en-US" w:eastAsia="en-AU"/>
        </w:rPr>
        <w:t>:</w:t>
      </w:r>
    </w:p>
    <w:tbl>
      <w:tblPr>
        <w:tblStyle w:val="TableGrid"/>
        <w:tblW w:w="0" w:type="auto"/>
        <w:tblLook w:val="04A0" w:firstRow="1" w:lastRow="0" w:firstColumn="1" w:lastColumn="0" w:noHBand="0" w:noVBand="1"/>
        <w:tblCaption w:val="Budget allocation for ILC program"/>
        <w:tblDescription w:val="The table includes a total budget allocation (all GST exclusive figures) for the ILC Program."/>
      </w:tblPr>
      <w:tblGrid>
        <w:gridCol w:w="2194"/>
        <w:gridCol w:w="2194"/>
        <w:gridCol w:w="2195"/>
      </w:tblGrid>
      <w:tr w:rsidR="00EC3F4D" w14:paraId="2D863540" w14:textId="77777777" w:rsidTr="003E428A">
        <w:trPr>
          <w:tblHeader/>
        </w:trPr>
        <w:tc>
          <w:tcPr>
            <w:tcW w:w="2194" w:type="dxa"/>
            <w:hideMark/>
          </w:tcPr>
          <w:p w14:paraId="7DD6D864" w14:textId="77777777" w:rsidR="00EC3F4D" w:rsidRDefault="00EC3F4D">
            <w:pPr>
              <w:jc w:val="center"/>
              <w:rPr>
                <w:rFonts w:cs="Arial"/>
                <w:b/>
                <w:bCs/>
                <w:lang w:val="en-US" w:eastAsia="en-AU"/>
              </w:rPr>
            </w:pPr>
            <w:r>
              <w:rPr>
                <w:rFonts w:cs="Arial"/>
                <w:b/>
                <w:bCs/>
                <w:lang w:val="en-US" w:eastAsia="en-AU"/>
              </w:rPr>
              <w:t>FY 2019-20</w:t>
            </w:r>
          </w:p>
        </w:tc>
        <w:tc>
          <w:tcPr>
            <w:tcW w:w="2194" w:type="dxa"/>
            <w:hideMark/>
          </w:tcPr>
          <w:p w14:paraId="36387B93" w14:textId="77777777" w:rsidR="00EC3F4D" w:rsidRDefault="00EC3F4D">
            <w:pPr>
              <w:jc w:val="center"/>
              <w:rPr>
                <w:rFonts w:cs="Arial"/>
                <w:b/>
                <w:bCs/>
                <w:lang w:val="en-US" w:eastAsia="en-AU"/>
              </w:rPr>
            </w:pPr>
            <w:r>
              <w:rPr>
                <w:rFonts w:cs="Arial"/>
                <w:b/>
                <w:bCs/>
                <w:lang w:val="en-US" w:eastAsia="en-AU"/>
              </w:rPr>
              <w:t>FY 2020-21</w:t>
            </w:r>
          </w:p>
        </w:tc>
        <w:tc>
          <w:tcPr>
            <w:tcW w:w="2195" w:type="dxa"/>
            <w:hideMark/>
          </w:tcPr>
          <w:p w14:paraId="2FE98AFF" w14:textId="77777777" w:rsidR="00EC3F4D" w:rsidRDefault="00EC3F4D">
            <w:pPr>
              <w:jc w:val="center"/>
              <w:rPr>
                <w:rFonts w:cs="Arial"/>
                <w:b/>
                <w:bCs/>
                <w:lang w:val="en-US" w:eastAsia="en-AU"/>
              </w:rPr>
            </w:pPr>
            <w:r>
              <w:rPr>
                <w:rFonts w:cs="Arial"/>
                <w:b/>
                <w:bCs/>
                <w:lang w:val="en-US" w:eastAsia="en-AU"/>
              </w:rPr>
              <w:t>FY 2021-22</w:t>
            </w:r>
          </w:p>
        </w:tc>
      </w:tr>
      <w:tr w:rsidR="00EC3F4D" w14:paraId="3AB1BAF4" w14:textId="77777777" w:rsidTr="00EC3F4D">
        <w:tc>
          <w:tcPr>
            <w:tcW w:w="2194" w:type="dxa"/>
            <w:hideMark/>
          </w:tcPr>
          <w:p w14:paraId="10B59F36" w14:textId="77777777" w:rsidR="00EC3F4D" w:rsidRDefault="00EC3F4D">
            <w:pPr>
              <w:rPr>
                <w:rFonts w:cs="Arial"/>
                <w:lang w:val="en-US" w:eastAsia="en-AU"/>
              </w:rPr>
            </w:pPr>
            <w:r>
              <w:rPr>
                <w:rFonts w:cs="Arial"/>
                <w:lang w:val="en-US" w:eastAsia="en-AU"/>
              </w:rPr>
              <w:t>$131.615 million</w:t>
            </w:r>
          </w:p>
        </w:tc>
        <w:tc>
          <w:tcPr>
            <w:tcW w:w="2194" w:type="dxa"/>
            <w:hideMark/>
          </w:tcPr>
          <w:p w14:paraId="22A98E9F" w14:textId="77777777" w:rsidR="00EC3F4D" w:rsidRDefault="00EC3F4D">
            <w:pPr>
              <w:rPr>
                <w:rFonts w:cs="Arial"/>
                <w:lang w:val="en-US" w:eastAsia="en-AU"/>
              </w:rPr>
            </w:pPr>
            <w:r>
              <w:rPr>
                <w:rFonts w:cs="Arial"/>
                <w:lang w:val="en-US" w:eastAsia="en-AU"/>
              </w:rPr>
              <w:t>$ 132.835 million</w:t>
            </w:r>
          </w:p>
        </w:tc>
        <w:tc>
          <w:tcPr>
            <w:tcW w:w="2195" w:type="dxa"/>
            <w:hideMark/>
          </w:tcPr>
          <w:p w14:paraId="5DD11F7C" w14:textId="77777777" w:rsidR="00EC3F4D" w:rsidRDefault="00EC3F4D">
            <w:pPr>
              <w:rPr>
                <w:rFonts w:cs="Arial"/>
                <w:lang w:val="en-US" w:eastAsia="en-AU"/>
              </w:rPr>
            </w:pPr>
            <w:r>
              <w:rPr>
                <w:rFonts w:cs="Arial"/>
                <w:lang w:val="en-US" w:eastAsia="en-AU"/>
              </w:rPr>
              <w:t>$ 134.694 million</w:t>
            </w:r>
          </w:p>
        </w:tc>
      </w:tr>
    </w:tbl>
    <w:p w14:paraId="4F5DF37D" w14:textId="61AD06BA" w:rsidR="00D56AC3" w:rsidRPr="00E22673" w:rsidRDefault="00D56AC3" w:rsidP="00E22673">
      <w:pPr>
        <w:pStyle w:val="Boxed2Text"/>
        <w:numPr>
          <w:ilvl w:val="0"/>
          <w:numId w:val="0"/>
        </w:numPr>
        <w:pBdr>
          <w:top w:val="none" w:sz="0" w:space="0" w:color="auto"/>
          <w:left w:val="none" w:sz="0" w:space="0" w:color="auto"/>
          <w:bottom w:val="none" w:sz="0" w:space="0" w:color="auto"/>
          <w:right w:val="none" w:sz="0" w:space="0" w:color="auto"/>
        </w:pBdr>
        <w:shd w:val="clear" w:color="auto" w:fill="auto"/>
        <w:spacing w:before="40" w:after="120"/>
        <w:rPr>
          <w:rFonts w:cs="Arial"/>
          <w:lang w:val="en-US" w:eastAsia="en-AU"/>
        </w:rPr>
      </w:pPr>
      <w:r w:rsidRPr="00E22673">
        <w:rPr>
          <w:rFonts w:cs="Arial"/>
          <w:szCs w:val="20"/>
          <w:lang w:val="en-US" w:eastAsia="en-AU"/>
        </w:rPr>
        <w:lastRenderedPageBreak/>
        <w:t xml:space="preserve">In December 2018, the then Minister for </w:t>
      </w:r>
      <w:r w:rsidRPr="00E22673">
        <w:rPr>
          <w:rFonts w:cs="Arial"/>
          <w:color w:val="222222"/>
          <w:szCs w:val="20"/>
        </w:rPr>
        <w:t xml:space="preserve">Families and Social Services announced the </w:t>
      </w:r>
      <w:r w:rsidRPr="00E22673">
        <w:rPr>
          <w:rFonts w:cs="Arial"/>
          <w:szCs w:val="20"/>
          <w:lang w:val="en-US" w:eastAsia="en-AU"/>
        </w:rPr>
        <w:t>implementation of a new</w:t>
      </w:r>
      <w:r w:rsidRPr="00E22673">
        <w:rPr>
          <w:rFonts w:cs="Arial"/>
          <w:i/>
          <w:szCs w:val="20"/>
          <w:lang w:val="en-US" w:eastAsia="en-AU"/>
        </w:rPr>
        <w:t xml:space="preserve"> </w:t>
      </w:r>
      <w:hyperlink r:id="rId23" w:history="1">
        <w:r w:rsidR="008A6B1D" w:rsidRPr="00E22673">
          <w:rPr>
            <w:rStyle w:val="Hyperlink"/>
            <w:rFonts w:cs="Arial"/>
            <w:i/>
            <w:lang w:val="en-US" w:eastAsia="en-AU"/>
          </w:rPr>
          <w:t>Information Linkages and Capacity Building (ILC) Investment Strategy (ILC Strategy)</w:t>
        </w:r>
      </w:hyperlink>
      <w:r w:rsidR="008A6B1D" w:rsidRPr="008A6B1D">
        <w:rPr>
          <w:rStyle w:val="Hyperlink"/>
          <w:rFonts w:cs="Arial"/>
          <w:color w:val="auto"/>
          <w:u w:val="none"/>
          <w:lang w:val="en-US" w:eastAsia="en-AU"/>
        </w:rPr>
        <w:t>.</w:t>
      </w:r>
    </w:p>
    <w:p w14:paraId="6252DBDF" w14:textId="77777777" w:rsidR="000F3E01" w:rsidRPr="00E22673" w:rsidRDefault="00D56AC3" w:rsidP="00E22673">
      <w:pPr>
        <w:rPr>
          <w:rFonts w:cs="Arial"/>
          <w:lang w:val="en-US" w:eastAsia="en-AU"/>
        </w:rPr>
      </w:pPr>
      <w:r w:rsidRPr="00E22673">
        <w:rPr>
          <w:rFonts w:cs="Arial"/>
          <w:lang w:val="en-US" w:eastAsia="en-AU"/>
        </w:rPr>
        <w:t xml:space="preserve">The new </w:t>
      </w:r>
      <w:r w:rsidRPr="00E22673">
        <w:rPr>
          <w:rFonts w:cs="Arial"/>
          <w:i/>
          <w:lang w:val="en-US" w:eastAsia="en-AU"/>
        </w:rPr>
        <w:t>ILC Strategy</w:t>
      </w:r>
      <w:r w:rsidRPr="00E22673">
        <w:rPr>
          <w:rFonts w:cs="Arial"/>
          <w:lang w:val="en-US" w:eastAsia="en-AU"/>
        </w:rPr>
        <w:t xml:space="preserve"> is funded </w:t>
      </w:r>
      <w:r w:rsidR="00052DA1" w:rsidRPr="00E22673">
        <w:rPr>
          <w:rFonts w:cs="Arial"/>
          <w:lang w:val="en-US" w:eastAsia="en-AU"/>
        </w:rPr>
        <w:t>under the CICD Program</w:t>
      </w:r>
      <w:r w:rsidRPr="00E22673">
        <w:rPr>
          <w:rFonts w:cs="Arial"/>
          <w:lang w:val="en-US" w:eastAsia="en-AU"/>
        </w:rPr>
        <w:t xml:space="preserve"> and has </w:t>
      </w:r>
      <w:r w:rsidR="000F3E01" w:rsidRPr="00E22673">
        <w:rPr>
          <w:rFonts w:cs="Arial"/>
          <w:lang w:val="en-US" w:eastAsia="en-AU"/>
        </w:rPr>
        <w:t xml:space="preserve">four </w:t>
      </w:r>
      <w:proofErr w:type="gramStart"/>
      <w:r w:rsidR="000F3E01" w:rsidRPr="00E22673">
        <w:rPr>
          <w:rFonts w:cs="Arial"/>
          <w:lang w:val="en-US" w:eastAsia="en-AU"/>
        </w:rPr>
        <w:t>disc</w:t>
      </w:r>
      <w:r w:rsidRPr="00E22673">
        <w:rPr>
          <w:rFonts w:cs="Arial"/>
          <w:lang w:val="en-US" w:eastAsia="en-AU"/>
        </w:rPr>
        <w:t>rete,</w:t>
      </w:r>
      <w:proofErr w:type="gramEnd"/>
      <w:r w:rsidRPr="00E22673">
        <w:rPr>
          <w:rFonts w:cs="Arial"/>
          <w:lang w:val="en-US" w:eastAsia="en-AU"/>
        </w:rPr>
        <w:t xml:space="preserve"> </w:t>
      </w:r>
      <w:r w:rsidR="00FB77E3" w:rsidRPr="00E22673">
        <w:rPr>
          <w:rFonts w:cs="Arial"/>
          <w:lang w:val="en-US" w:eastAsia="en-AU"/>
        </w:rPr>
        <w:t>and</w:t>
      </w:r>
      <w:r w:rsidRPr="00E22673">
        <w:rPr>
          <w:rFonts w:cs="Arial"/>
          <w:lang w:val="en-US" w:eastAsia="en-AU"/>
        </w:rPr>
        <w:t xml:space="preserve"> complementary</w:t>
      </w:r>
      <w:r w:rsidR="00AA4E6E" w:rsidRPr="00E22673">
        <w:rPr>
          <w:rFonts w:cs="Arial"/>
          <w:lang w:val="en-US" w:eastAsia="en-AU"/>
        </w:rPr>
        <w:t xml:space="preserve"> sub-</w:t>
      </w:r>
      <w:r w:rsidRPr="00E22673">
        <w:rPr>
          <w:rFonts w:cs="Arial"/>
          <w:lang w:val="en-US" w:eastAsia="en-AU"/>
        </w:rPr>
        <w:t>program</w:t>
      </w:r>
      <w:r w:rsidR="00AA4E6E" w:rsidRPr="00E22673">
        <w:rPr>
          <w:rFonts w:cs="Arial"/>
          <w:lang w:val="en-US" w:eastAsia="en-AU"/>
        </w:rPr>
        <w:t>s</w:t>
      </w:r>
      <w:r w:rsidR="00FB77E3" w:rsidRPr="00E22673">
        <w:rPr>
          <w:rFonts w:cs="Arial"/>
          <w:lang w:val="en-US" w:eastAsia="en-AU"/>
        </w:rPr>
        <w:t xml:space="preserve"> which are being commissioned progressively during 2019</w:t>
      </w:r>
      <w:r w:rsidR="00AA4E6E" w:rsidRPr="00E22673">
        <w:rPr>
          <w:rFonts w:cs="Arial"/>
          <w:lang w:val="en-US" w:eastAsia="en-AU"/>
        </w:rPr>
        <w:t>:</w:t>
      </w:r>
    </w:p>
    <w:p w14:paraId="1FC9F592" w14:textId="77777777" w:rsidR="000C4DA6" w:rsidRPr="00E22673" w:rsidRDefault="000C4DA6" w:rsidP="00E22673">
      <w:pPr>
        <w:pStyle w:val="Boxed2Text"/>
        <w:numPr>
          <w:ilvl w:val="0"/>
          <w:numId w:val="19"/>
        </w:numPr>
        <w:pBdr>
          <w:top w:val="none" w:sz="0" w:space="0" w:color="auto"/>
          <w:left w:val="none" w:sz="0" w:space="0" w:color="auto"/>
          <w:bottom w:val="none" w:sz="0" w:space="0" w:color="auto"/>
          <w:right w:val="none" w:sz="0" w:space="0" w:color="auto"/>
        </w:pBdr>
        <w:shd w:val="clear" w:color="auto" w:fill="auto"/>
        <w:spacing w:before="40" w:after="120"/>
        <w:ind w:left="1134" w:hanging="567"/>
        <w:rPr>
          <w:rFonts w:cs="Arial"/>
          <w:lang w:val="en-US" w:eastAsia="en-AU"/>
        </w:rPr>
      </w:pPr>
      <w:r w:rsidRPr="00E22673">
        <w:rPr>
          <w:rFonts w:cs="Arial"/>
          <w:b/>
          <w:lang w:val="en-US" w:eastAsia="en-AU"/>
        </w:rPr>
        <w:t xml:space="preserve">National Information Program </w:t>
      </w:r>
      <w:r w:rsidRPr="00E22673">
        <w:rPr>
          <w:rFonts w:cs="Arial"/>
          <w:lang w:val="en-US" w:eastAsia="en-AU"/>
        </w:rPr>
        <w:t>– providing accessible, quality and consistent information about disability types and services and support options (community and mainstream).</w:t>
      </w:r>
    </w:p>
    <w:p w14:paraId="21DEA9AC" w14:textId="77777777" w:rsidR="000F3E01" w:rsidRPr="00E22673" w:rsidRDefault="000F3E01" w:rsidP="00E22673">
      <w:pPr>
        <w:pStyle w:val="Boxed2Text"/>
        <w:numPr>
          <w:ilvl w:val="0"/>
          <w:numId w:val="19"/>
        </w:numPr>
        <w:pBdr>
          <w:top w:val="none" w:sz="0" w:space="0" w:color="auto"/>
          <w:left w:val="none" w:sz="0" w:space="0" w:color="auto"/>
          <w:bottom w:val="none" w:sz="0" w:space="0" w:color="auto"/>
          <w:right w:val="none" w:sz="0" w:space="0" w:color="auto"/>
        </w:pBdr>
        <w:shd w:val="clear" w:color="auto" w:fill="auto"/>
        <w:spacing w:before="40" w:after="120"/>
        <w:ind w:left="1134" w:hanging="567"/>
        <w:rPr>
          <w:rFonts w:cs="Arial"/>
          <w:lang w:val="en-US" w:eastAsia="en-AU"/>
        </w:rPr>
      </w:pPr>
      <w:r w:rsidRPr="00E22673">
        <w:rPr>
          <w:rFonts w:cs="Arial"/>
          <w:b/>
          <w:lang w:val="en-US" w:eastAsia="en-AU"/>
        </w:rPr>
        <w:t>Individual Capacity Building Program</w:t>
      </w:r>
      <w:r w:rsidRPr="00E22673">
        <w:rPr>
          <w:rFonts w:cs="Arial"/>
          <w:lang w:val="en-US" w:eastAsia="en-AU"/>
        </w:rPr>
        <w:t xml:space="preserve"> – </w:t>
      </w:r>
      <w:r w:rsidR="0047643D" w:rsidRPr="00E22673">
        <w:rPr>
          <w:rFonts w:cs="Arial"/>
        </w:rPr>
        <w:t xml:space="preserve">enabling systematic, nationwide access to peer support, mentoring and other skills building for people with disability, carers and families, </w:t>
      </w:r>
      <w:r w:rsidRPr="00E22673">
        <w:rPr>
          <w:rFonts w:cs="Arial"/>
          <w:lang w:val="en-US" w:eastAsia="en-AU"/>
        </w:rPr>
        <w:t xml:space="preserve">delivered through a national network of Disabled Peoples </w:t>
      </w:r>
      <w:proofErr w:type="spellStart"/>
      <w:r w:rsidR="00FB77E3" w:rsidRPr="00E22673">
        <w:rPr>
          <w:rFonts w:cs="Arial"/>
          <w:lang w:val="en-US" w:eastAsia="en-AU"/>
        </w:rPr>
        <w:t>Organisations</w:t>
      </w:r>
      <w:proofErr w:type="spellEnd"/>
      <w:r w:rsidR="00FB77E3" w:rsidRPr="00E22673">
        <w:rPr>
          <w:rFonts w:cs="Arial"/>
          <w:lang w:val="en-US" w:eastAsia="en-AU"/>
        </w:rPr>
        <w:t xml:space="preserve"> </w:t>
      </w:r>
      <w:r w:rsidRPr="00E22673">
        <w:rPr>
          <w:rFonts w:cs="Arial"/>
          <w:lang w:val="en-US" w:eastAsia="en-AU"/>
        </w:rPr>
        <w:t xml:space="preserve">and Families </w:t>
      </w:r>
      <w:proofErr w:type="spellStart"/>
      <w:r w:rsidRPr="00E22673">
        <w:rPr>
          <w:rFonts w:cs="Arial"/>
          <w:lang w:val="en-US" w:eastAsia="en-AU"/>
        </w:rPr>
        <w:t>Organisation</w:t>
      </w:r>
      <w:r w:rsidR="00AF533F" w:rsidRPr="00E22673">
        <w:rPr>
          <w:rFonts w:cs="Arial"/>
          <w:lang w:val="en-US" w:eastAsia="en-AU"/>
        </w:rPr>
        <w:t>s</w:t>
      </w:r>
      <w:proofErr w:type="spellEnd"/>
      <w:r w:rsidRPr="00E22673">
        <w:rPr>
          <w:rFonts w:cs="Arial"/>
          <w:lang w:val="en-US" w:eastAsia="en-AU"/>
        </w:rPr>
        <w:t xml:space="preserve"> (DP</w:t>
      </w:r>
      <w:r w:rsidR="00FB77E3" w:rsidRPr="00E22673">
        <w:rPr>
          <w:rFonts w:cs="Arial"/>
          <w:lang w:val="en-US" w:eastAsia="en-AU"/>
        </w:rPr>
        <w:t>O/</w:t>
      </w:r>
      <w:r w:rsidRPr="00E22673">
        <w:rPr>
          <w:rFonts w:cs="Arial"/>
          <w:lang w:val="en-US" w:eastAsia="en-AU"/>
        </w:rPr>
        <w:t>FO</w:t>
      </w:r>
      <w:r w:rsidR="00AF533F" w:rsidRPr="00E22673">
        <w:rPr>
          <w:rFonts w:cs="Arial"/>
          <w:lang w:val="en-US" w:eastAsia="en-AU"/>
        </w:rPr>
        <w:t>s</w:t>
      </w:r>
      <w:r w:rsidRPr="00E22673">
        <w:rPr>
          <w:rFonts w:cs="Arial"/>
          <w:lang w:val="en-US" w:eastAsia="en-AU"/>
        </w:rPr>
        <w:t>).</w:t>
      </w:r>
    </w:p>
    <w:p w14:paraId="761FF7D5" w14:textId="77777777" w:rsidR="00052DA1" w:rsidRPr="00E22673" w:rsidRDefault="00052DA1" w:rsidP="00E22673">
      <w:pPr>
        <w:pStyle w:val="Boxed2Text"/>
        <w:numPr>
          <w:ilvl w:val="0"/>
          <w:numId w:val="19"/>
        </w:numPr>
        <w:pBdr>
          <w:top w:val="none" w:sz="0" w:space="0" w:color="auto"/>
          <w:left w:val="none" w:sz="0" w:space="0" w:color="auto"/>
          <w:bottom w:val="none" w:sz="0" w:space="0" w:color="auto"/>
          <w:right w:val="none" w:sz="0" w:space="0" w:color="auto"/>
        </w:pBdr>
        <w:shd w:val="clear" w:color="auto" w:fill="auto"/>
        <w:spacing w:before="40" w:after="120"/>
        <w:ind w:left="1134" w:hanging="567"/>
        <w:rPr>
          <w:rFonts w:cs="Arial"/>
          <w:lang w:val="en-US" w:eastAsia="en-AU"/>
        </w:rPr>
      </w:pPr>
      <w:r w:rsidRPr="00E22673">
        <w:rPr>
          <w:rFonts w:cs="Arial"/>
          <w:b/>
          <w:lang w:val="en-US" w:eastAsia="en-AU"/>
        </w:rPr>
        <w:t xml:space="preserve">Economic and Community Participation Program </w:t>
      </w:r>
      <w:r w:rsidRPr="00E22673">
        <w:rPr>
          <w:rFonts w:cs="Arial"/>
          <w:lang w:val="en-US" w:eastAsia="en-AU"/>
        </w:rPr>
        <w:t>– increas</w:t>
      </w:r>
      <w:r w:rsidR="00FB77E3" w:rsidRPr="00E22673">
        <w:rPr>
          <w:rFonts w:cs="Arial"/>
          <w:lang w:val="en-US" w:eastAsia="en-AU"/>
        </w:rPr>
        <w:t>ing</w:t>
      </w:r>
      <w:r w:rsidRPr="00E22673">
        <w:rPr>
          <w:rFonts w:cs="Arial"/>
          <w:lang w:val="en-US" w:eastAsia="en-AU"/>
        </w:rPr>
        <w:t xml:space="preserve"> the social and economic participation, including employment outcomes, of people with disability.</w:t>
      </w:r>
    </w:p>
    <w:p w14:paraId="4373AA1A" w14:textId="77777777" w:rsidR="000F3E01" w:rsidRPr="00E22673" w:rsidRDefault="000F3E01" w:rsidP="00E22673">
      <w:pPr>
        <w:pStyle w:val="Boxed2Text"/>
        <w:numPr>
          <w:ilvl w:val="0"/>
          <w:numId w:val="19"/>
        </w:numPr>
        <w:pBdr>
          <w:top w:val="none" w:sz="0" w:space="0" w:color="auto"/>
          <w:left w:val="none" w:sz="0" w:space="0" w:color="auto"/>
          <w:bottom w:val="none" w:sz="0" w:space="0" w:color="auto"/>
          <w:right w:val="none" w:sz="0" w:space="0" w:color="auto"/>
        </w:pBdr>
        <w:shd w:val="clear" w:color="auto" w:fill="auto"/>
        <w:spacing w:before="40" w:after="120"/>
        <w:ind w:left="1134" w:hanging="567"/>
        <w:rPr>
          <w:rFonts w:cs="Arial"/>
          <w:lang w:val="en-US" w:eastAsia="en-AU"/>
        </w:rPr>
      </w:pPr>
      <w:r w:rsidRPr="00E22673">
        <w:rPr>
          <w:rFonts w:cs="Arial"/>
          <w:b/>
          <w:lang w:val="en-US" w:eastAsia="en-AU"/>
        </w:rPr>
        <w:t xml:space="preserve">Mainstream Capacity Building Program </w:t>
      </w:r>
      <w:r w:rsidRPr="00E22673">
        <w:rPr>
          <w:rFonts w:cs="Arial"/>
          <w:lang w:val="en-US" w:eastAsia="en-AU"/>
        </w:rPr>
        <w:t>– ensuring equity of access to and increase inclusion of people with disability in mainstream services.</w:t>
      </w:r>
    </w:p>
    <w:p w14:paraId="47518DDF" w14:textId="77777777" w:rsidR="000A5E87" w:rsidRDefault="000A5E87" w:rsidP="000A5E87">
      <w:pPr>
        <w:pStyle w:val="Heading3"/>
        <w:numPr>
          <w:ilvl w:val="1"/>
          <w:numId w:val="57"/>
        </w:numPr>
      </w:pPr>
      <w:bookmarkStart w:id="6" w:name="_Toc16774061"/>
      <w:r w:rsidRPr="00257FB2">
        <w:t>About the Individual Capacity Building (ICB) Program grant o</w:t>
      </w:r>
      <w:bookmarkStart w:id="7" w:name="_Toc13743140"/>
      <w:r w:rsidRPr="00257FB2">
        <w:t>pportunity</w:t>
      </w:r>
      <w:bookmarkEnd w:id="6"/>
      <w:bookmarkEnd w:id="7"/>
    </w:p>
    <w:p w14:paraId="1EBC8978" w14:textId="77777777" w:rsidR="000A5E87" w:rsidRPr="00E22673" w:rsidRDefault="000A5E87" w:rsidP="00E22673">
      <w:pPr>
        <w:rPr>
          <w:rFonts w:cs="Arial"/>
        </w:rPr>
      </w:pPr>
      <w:r w:rsidRPr="00E22673">
        <w:rPr>
          <w:rFonts w:cs="Arial"/>
          <w:lang w:val="en-US" w:eastAsia="en-AU"/>
        </w:rPr>
        <w:t>The aim of the ICB Program is to provide people with disability the skills and confidence to participate and contribute to the community and protect their rights.</w:t>
      </w:r>
      <w:r w:rsidRPr="00E22673">
        <w:rPr>
          <w:rFonts w:cs="Arial"/>
          <w:lang w:eastAsia="en-AU"/>
        </w:rPr>
        <w:t xml:space="preserve"> </w:t>
      </w:r>
      <w:r w:rsidRPr="00E22673">
        <w:rPr>
          <w:rFonts w:cs="Arial"/>
        </w:rPr>
        <w:t>The ICB Program will achieve this by enabling systematic access to peer support, mentoring and other skills building for people with disability, carers and families, to develop their individual capacity. This could include activities that empower a person to be independent and to engage in social, economic and community life.</w:t>
      </w:r>
    </w:p>
    <w:p w14:paraId="41F271D2" w14:textId="6B0C467B" w:rsidR="000A5E87" w:rsidRPr="00E22673" w:rsidRDefault="00BA39E2" w:rsidP="00E22673">
      <w:pPr>
        <w:rPr>
          <w:rFonts w:cs="Arial"/>
        </w:rPr>
      </w:pPr>
      <w:r w:rsidRPr="00E22673">
        <w:rPr>
          <w:rFonts w:cs="Arial"/>
        </w:rPr>
        <w:t xml:space="preserve">Building off the interim </w:t>
      </w:r>
      <w:r w:rsidRPr="00E22673">
        <w:rPr>
          <w:rFonts w:cs="Arial"/>
          <w:color w:val="000000" w:themeColor="text1"/>
        </w:rPr>
        <w:t xml:space="preserve">Disabled Peoples and Families Organisations (DPO/FO) – ILC Readiness Grant Round 2018-19 announced earlier in 2019, the </w:t>
      </w:r>
      <w:r w:rsidR="000A5E87" w:rsidRPr="00E22673">
        <w:rPr>
          <w:rFonts w:cs="Arial"/>
        </w:rPr>
        <w:t xml:space="preserve">ICB Program will also continue to strengthen and build the capacity of </w:t>
      </w:r>
      <w:r w:rsidR="009B6CD4" w:rsidRPr="00E22673">
        <w:rPr>
          <w:rFonts w:cs="Arial"/>
          <w:bCs/>
        </w:rPr>
        <w:t xml:space="preserve">Disabled Peoples and Families Organisations (DPO/FOs) </w:t>
      </w:r>
      <w:r w:rsidR="000A5E87" w:rsidRPr="00E22673">
        <w:rPr>
          <w:rFonts w:cs="Arial"/>
        </w:rPr>
        <w:t>across Australia through funding organisationa</w:t>
      </w:r>
      <w:r w:rsidR="004112A6">
        <w:rPr>
          <w:rFonts w:cs="Arial"/>
        </w:rPr>
        <w:t>l capacity building activities.</w:t>
      </w:r>
    </w:p>
    <w:p w14:paraId="0D056C18" w14:textId="73A46A5C" w:rsidR="000A5E87" w:rsidRPr="00E22673" w:rsidRDefault="000A5E87" w:rsidP="00E22673">
      <w:pPr>
        <w:rPr>
          <w:rFonts w:cs="Arial"/>
        </w:rPr>
      </w:pPr>
      <w:r w:rsidRPr="00E22673">
        <w:rPr>
          <w:rFonts w:cs="Arial"/>
        </w:rPr>
        <w:t xml:space="preserve">This grant opportunity is an open, competitive selection process, for eligible organisations. </w:t>
      </w:r>
      <w:r w:rsidRPr="00E22673">
        <w:rPr>
          <w:rFonts w:cs="Arial"/>
          <w:b/>
        </w:rPr>
        <w:t xml:space="preserve">Only organisations that meet the definition of a DPO/FO and/or </w:t>
      </w:r>
      <w:r w:rsidR="00767B44" w:rsidRPr="00E22673">
        <w:rPr>
          <w:rFonts w:cs="Arial"/>
          <w:b/>
        </w:rPr>
        <w:t xml:space="preserve">a </w:t>
      </w:r>
      <w:r w:rsidRPr="00E22673">
        <w:rPr>
          <w:rFonts w:cs="Arial"/>
          <w:b/>
        </w:rPr>
        <w:t>Priority Cohort Led</w:t>
      </w:r>
      <w:r w:rsidR="00767B44" w:rsidRPr="00E22673">
        <w:rPr>
          <w:rFonts w:cs="Arial"/>
          <w:b/>
        </w:rPr>
        <w:t xml:space="preserve"> Organisation</w:t>
      </w:r>
      <w:r w:rsidRPr="00E22673">
        <w:rPr>
          <w:rFonts w:cs="Arial"/>
          <w:b/>
        </w:rPr>
        <w:t xml:space="preserve"> (PCL) are eligible to apply (</w:t>
      </w:r>
      <w:r w:rsidR="003A339F" w:rsidRPr="00E22673">
        <w:rPr>
          <w:rFonts w:cs="Arial"/>
          <w:b/>
        </w:rPr>
        <w:t>Section 3</w:t>
      </w:r>
      <w:r w:rsidRPr="00E22673">
        <w:rPr>
          <w:rFonts w:cs="Arial"/>
          <w:b/>
        </w:rPr>
        <w:t>).</w:t>
      </w:r>
    </w:p>
    <w:p w14:paraId="2410904A" w14:textId="7F3F55AA" w:rsidR="000A5E87" w:rsidRPr="009B6CD4" w:rsidRDefault="009F5837" w:rsidP="00D60210">
      <w:pPr>
        <w:pStyle w:val="Heading4"/>
      </w:pPr>
      <w:bookmarkStart w:id="8" w:name="_Toc13743141"/>
      <w:bookmarkStart w:id="9" w:name="_Toc16774062"/>
      <w:r>
        <w:t>Grant activity c</w:t>
      </w:r>
      <w:r w:rsidR="000A5E87" w:rsidRPr="009B6CD4">
        <w:t>ategories</w:t>
      </w:r>
      <w:bookmarkEnd w:id="8"/>
      <w:bookmarkEnd w:id="9"/>
    </w:p>
    <w:p w14:paraId="2A7C29DF" w14:textId="77777777" w:rsidR="000A5E87" w:rsidRPr="00E22673" w:rsidRDefault="000A5E87" w:rsidP="00D60210">
      <w:pPr>
        <w:pStyle w:val="Bullet1"/>
        <w:numPr>
          <w:ilvl w:val="0"/>
          <w:numId w:val="0"/>
        </w:numPr>
        <w:spacing w:before="40" w:after="120"/>
        <w:rPr>
          <w:rFonts w:cs="Arial"/>
        </w:rPr>
      </w:pPr>
      <w:r w:rsidRPr="00E22673">
        <w:rPr>
          <w:rFonts w:cs="Arial"/>
        </w:rPr>
        <w:t>The grant opportunity can fund activities that align with the following</w:t>
      </w:r>
      <w:r w:rsidRPr="00E22673">
        <w:rPr>
          <w:rFonts w:cs="Arial"/>
          <w:u w:val="single"/>
        </w:rPr>
        <w:t xml:space="preserve"> </w:t>
      </w:r>
      <w:r w:rsidRPr="00E22673">
        <w:rPr>
          <w:rFonts w:cs="Arial"/>
          <w:b/>
          <w:u w:val="single"/>
        </w:rPr>
        <w:t>two activity types</w:t>
      </w:r>
      <w:r w:rsidRPr="00E22673">
        <w:rPr>
          <w:rFonts w:cs="Arial"/>
        </w:rPr>
        <w:t>:</w:t>
      </w:r>
    </w:p>
    <w:p w14:paraId="785F1252" w14:textId="77777777" w:rsidR="00706068" w:rsidRPr="00E22673" w:rsidRDefault="00706068" w:rsidP="00E22673">
      <w:pPr>
        <w:ind w:left="720"/>
        <w:rPr>
          <w:rFonts w:cs="Arial"/>
        </w:rPr>
      </w:pPr>
      <w:r w:rsidRPr="00E22673">
        <w:rPr>
          <w:rFonts w:cs="Arial"/>
          <w:b/>
        </w:rPr>
        <w:t>Activity type 1: Individual Capacity Building (ICB),</w:t>
      </w:r>
      <w:r w:rsidRPr="00E22673">
        <w:rPr>
          <w:rFonts w:cs="Arial"/>
        </w:rPr>
        <w:t xml:space="preserve"> which are activities that build the capacity of people with disability by ensuring that they have the knowledge, skills and confidence they need to set and achieve their goals. Proposed activities </w:t>
      </w:r>
      <w:r w:rsidRPr="00E22673">
        <w:rPr>
          <w:rFonts w:cs="Arial"/>
          <w:b/>
        </w:rPr>
        <w:t>must</w:t>
      </w:r>
      <w:r w:rsidRPr="00E22673">
        <w:rPr>
          <w:rFonts w:cs="Arial"/>
        </w:rPr>
        <w:t xml:space="preserve"> be for the primary and direct benefit of people with disability, and developed and delivered in collaboration with people with disability.</w:t>
      </w:r>
    </w:p>
    <w:p w14:paraId="724ECA79" w14:textId="053F284F" w:rsidR="00706068" w:rsidRPr="00E22673" w:rsidRDefault="00706068" w:rsidP="00E22673">
      <w:pPr>
        <w:pStyle w:val="Bullet1"/>
        <w:numPr>
          <w:ilvl w:val="0"/>
          <w:numId w:val="0"/>
        </w:numPr>
        <w:spacing w:before="40" w:after="120"/>
        <w:ind w:left="720"/>
        <w:rPr>
          <w:rFonts w:cs="Arial"/>
          <w:b/>
        </w:rPr>
      </w:pPr>
      <w:r w:rsidRPr="00E22673">
        <w:rPr>
          <w:rFonts w:cs="Arial"/>
          <w:b/>
        </w:rPr>
        <w:t xml:space="preserve">Activity type 2: </w:t>
      </w:r>
      <w:r w:rsidRPr="00E22673">
        <w:rPr>
          <w:rFonts w:cs="Arial"/>
          <w:b/>
          <w:szCs w:val="20"/>
        </w:rPr>
        <w:t>Organisational Capacity Building (OCB</w:t>
      </w:r>
      <w:r w:rsidRPr="00E22673">
        <w:rPr>
          <w:rFonts w:cs="Arial"/>
          <w:szCs w:val="20"/>
        </w:rPr>
        <w:t xml:space="preserve">), </w:t>
      </w:r>
      <w:r w:rsidR="00F4311E" w:rsidRPr="00E22673">
        <w:rPr>
          <w:rFonts w:cs="Arial"/>
          <w:szCs w:val="20"/>
        </w:rPr>
        <w:t xml:space="preserve">which are </w:t>
      </w:r>
      <w:r w:rsidRPr="00E22673">
        <w:rPr>
          <w:rFonts w:cs="Arial"/>
          <w:szCs w:val="20"/>
        </w:rPr>
        <w:t xml:space="preserve">activities </w:t>
      </w:r>
      <w:r w:rsidR="00F4311E" w:rsidRPr="00E22673">
        <w:rPr>
          <w:rFonts w:cs="Arial"/>
          <w:szCs w:val="20"/>
        </w:rPr>
        <w:t xml:space="preserve">that </w:t>
      </w:r>
      <w:r w:rsidRPr="00E22673">
        <w:rPr>
          <w:rFonts w:cs="Arial"/>
          <w:szCs w:val="20"/>
        </w:rPr>
        <w:t>improv</w:t>
      </w:r>
      <w:r w:rsidR="00F4311E" w:rsidRPr="00E22673">
        <w:rPr>
          <w:rFonts w:cs="Arial"/>
          <w:szCs w:val="20"/>
        </w:rPr>
        <w:t xml:space="preserve">e </w:t>
      </w:r>
      <w:r w:rsidRPr="00E22673">
        <w:rPr>
          <w:rFonts w:cs="Arial"/>
          <w:szCs w:val="20"/>
        </w:rPr>
        <w:t xml:space="preserve">the ability of DPO/FOs to deliver their organisational </w:t>
      </w:r>
      <w:r w:rsidR="00F4311E" w:rsidRPr="00E22673">
        <w:rPr>
          <w:rFonts w:cs="Arial"/>
          <w:szCs w:val="20"/>
        </w:rPr>
        <w:t xml:space="preserve">mission </w:t>
      </w:r>
      <w:r w:rsidRPr="00E22673">
        <w:rPr>
          <w:rFonts w:cs="Arial"/>
          <w:szCs w:val="20"/>
        </w:rPr>
        <w:t>and t</w:t>
      </w:r>
      <w:r w:rsidR="004112A6">
        <w:rPr>
          <w:rFonts w:cs="Arial"/>
          <w:szCs w:val="20"/>
        </w:rPr>
        <w:t>o deliver ILC in the community.</w:t>
      </w:r>
    </w:p>
    <w:p w14:paraId="53BA795E" w14:textId="4D872C25" w:rsidR="00706068" w:rsidRPr="00E22673" w:rsidRDefault="00706068" w:rsidP="00D60210">
      <w:pPr>
        <w:pStyle w:val="Bullet1"/>
        <w:numPr>
          <w:ilvl w:val="0"/>
          <w:numId w:val="0"/>
        </w:numPr>
        <w:spacing w:before="40" w:after="120"/>
        <w:rPr>
          <w:rFonts w:cs="Arial"/>
          <w:szCs w:val="20"/>
        </w:rPr>
      </w:pPr>
      <w:r w:rsidRPr="00E22673">
        <w:rPr>
          <w:rFonts w:cs="Arial"/>
          <w:b/>
        </w:rPr>
        <w:t xml:space="preserve">Only applicants that meet the DPO/FO criteria can apply to deliver OCB activities. Further, DPO/FO applicants cannot apply to deliver </w:t>
      </w:r>
      <w:r w:rsidR="00F4311E" w:rsidRPr="00E22673">
        <w:rPr>
          <w:rFonts w:cs="Arial"/>
          <w:b/>
        </w:rPr>
        <w:t xml:space="preserve">only </w:t>
      </w:r>
      <w:r w:rsidRPr="00E22673">
        <w:rPr>
          <w:rFonts w:cs="Arial"/>
          <w:b/>
        </w:rPr>
        <w:t xml:space="preserve">OCB activities. DPO/FO </w:t>
      </w:r>
      <w:r w:rsidR="00F4311E" w:rsidRPr="00E22673">
        <w:rPr>
          <w:rFonts w:cs="Arial"/>
          <w:b/>
        </w:rPr>
        <w:t>applicants must</w:t>
      </w:r>
      <w:r w:rsidRPr="00E22673">
        <w:rPr>
          <w:rFonts w:cs="Arial"/>
          <w:b/>
        </w:rPr>
        <w:t xml:space="preserve"> also apply to deliver ICB activities.</w:t>
      </w:r>
    </w:p>
    <w:p w14:paraId="4139DE3D" w14:textId="77777777" w:rsidR="00825079" w:rsidRPr="009F5837" w:rsidRDefault="00B35873" w:rsidP="009F5837">
      <w:pPr>
        <w:pStyle w:val="Heading3"/>
        <w:numPr>
          <w:ilvl w:val="1"/>
          <w:numId w:val="57"/>
        </w:numPr>
      </w:pPr>
      <w:bookmarkStart w:id="10" w:name="_Toc494290488"/>
      <w:bookmarkStart w:id="11" w:name="_Toc16774063"/>
      <w:bookmarkEnd w:id="10"/>
      <w:r w:rsidRPr="009F5837">
        <w:lastRenderedPageBreak/>
        <w:t>G</w:t>
      </w:r>
      <w:r w:rsidR="009C0662" w:rsidRPr="009F5837">
        <w:t xml:space="preserve">rant </w:t>
      </w:r>
      <w:r w:rsidR="009F5837">
        <w:t>p</w:t>
      </w:r>
      <w:r w:rsidR="00D450B6" w:rsidRPr="009B6CD4">
        <w:t>eriod</w:t>
      </w:r>
      <w:r w:rsidR="009F5837">
        <w:t>, a</w:t>
      </w:r>
      <w:r w:rsidRPr="009B6CD4">
        <w:t xml:space="preserve">mounts and </w:t>
      </w:r>
      <w:r w:rsidR="009F5837">
        <w:t>funding a</w:t>
      </w:r>
      <w:r w:rsidR="009C0662" w:rsidRPr="009B6CD4">
        <w:t>vailable</w:t>
      </w:r>
      <w:bookmarkEnd w:id="11"/>
    </w:p>
    <w:p w14:paraId="640F9FCD" w14:textId="59E8FF91" w:rsidR="00317D97" w:rsidRPr="00E22673" w:rsidRDefault="00706068" w:rsidP="00E22673">
      <w:pPr>
        <w:rPr>
          <w:rFonts w:cs="Arial"/>
        </w:rPr>
      </w:pPr>
      <w:r w:rsidRPr="00E22673">
        <w:rPr>
          <w:rFonts w:cs="Arial"/>
        </w:rPr>
        <w:t xml:space="preserve">The ICB Program </w:t>
      </w:r>
      <w:r w:rsidR="00977091">
        <w:rPr>
          <w:rFonts w:cs="Arial"/>
        </w:rPr>
        <w:t>g</w:t>
      </w:r>
      <w:r w:rsidRPr="00E22673">
        <w:rPr>
          <w:rFonts w:cs="Arial"/>
        </w:rPr>
        <w:t xml:space="preserve">rant </w:t>
      </w:r>
      <w:r w:rsidR="00977091">
        <w:rPr>
          <w:rFonts w:cs="Arial"/>
        </w:rPr>
        <w:t>o</w:t>
      </w:r>
      <w:r w:rsidRPr="00E22673">
        <w:rPr>
          <w:rFonts w:cs="Arial"/>
        </w:rPr>
        <w:t xml:space="preserve">pportunity be </w:t>
      </w:r>
      <w:r w:rsidR="00F4311E" w:rsidRPr="00E22673">
        <w:rPr>
          <w:rFonts w:cs="Arial"/>
        </w:rPr>
        <w:t>open from</w:t>
      </w:r>
      <w:r w:rsidR="00317D97" w:rsidRPr="00E22673">
        <w:rPr>
          <w:rFonts w:cs="Arial"/>
        </w:rPr>
        <w:t xml:space="preserve"> 19 August 2019 to 11.00PM AEST on </w:t>
      </w:r>
      <w:r w:rsidR="00677FCB" w:rsidRPr="00E22673">
        <w:rPr>
          <w:rFonts w:cs="Arial"/>
        </w:rPr>
        <w:t xml:space="preserve">Monday </w:t>
      </w:r>
      <w:r w:rsidR="00262D77">
        <w:rPr>
          <w:rFonts w:cs="Arial"/>
        </w:rPr>
        <w:br/>
      </w:r>
      <w:r w:rsidR="00677FCB" w:rsidRPr="00E22673">
        <w:rPr>
          <w:rFonts w:cs="Arial"/>
        </w:rPr>
        <w:t>30</w:t>
      </w:r>
      <w:r w:rsidR="00E373CB" w:rsidRPr="00E22673">
        <w:rPr>
          <w:rFonts w:cs="Arial"/>
        </w:rPr>
        <w:t xml:space="preserve"> </w:t>
      </w:r>
      <w:r w:rsidR="00317D97" w:rsidRPr="00E22673">
        <w:rPr>
          <w:rFonts w:cs="Arial"/>
        </w:rPr>
        <w:t>September 2019.</w:t>
      </w:r>
    </w:p>
    <w:p w14:paraId="46726CEA" w14:textId="614A6D12" w:rsidR="00317D97" w:rsidRPr="00E22673" w:rsidRDefault="00317D97" w:rsidP="00E22673">
      <w:pPr>
        <w:rPr>
          <w:rFonts w:cs="Arial"/>
        </w:rPr>
      </w:pPr>
      <w:r w:rsidRPr="00E22673">
        <w:rPr>
          <w:rFonts w:cs="Arial"/>
        </w:rPr>
        <w:t>A total of $1</w:t>
      </w:r>
      <w:r w:rsidRPr="00E22673">
        <w:rPr>
          <w:rFonts w:cs="Arial"/>
          <w:lang w:eastAsia="en-AU"/>
        </w:rPr>
        <w:t>00 million (GST Excl</w:t>
      </w:r>
      <w:r w:rsidR="009B6CD4" w:rsidRPr="00E22673">
        <w:rPr>
          <w:rFonts w:cs="Arial"/>
          <w:lang w:eastAsia="en-AU"/>
        </w:rPr>
        <w:t>.</w:t>
      </w:r>
      <w:r w:rsidRPr="00E22673">
        <w:rPr>
          <w:rFonts w:cs="Arial"/>
          <w:lang w:eastAsia="en-AU"/>
        </w:rPr>
        <w:t>)</w:t>
      </w:r>
      <w:r w:rsidR="005B1229" w:rsidRPr="00E22673">
        <w:rPr>
          <w:rFonts w:cs="Arial"/>
          <w:lang w:eastAsia="en-AU"/>
        </w:rPr>
        <w:t xml:space="preserve"> or $110 million (GST Incl</w:t>
      </w:r>
      <w:r w:rsidR="009B6CD4" w:rsidRPr="00E22673">
        <w:rPr>
          <w:rFonts w:cs="Arial"/>
          <w:lang w:eastAsia="en-AU"/>
        </w:rPr>
        <w:t>.</w:t>
      </w:r>
      <w:r w:rsidR="005B1229" w:rsidRPr="00E22673">
        <w:rPr>
          <w:rFonts w:cs="Arial"/>
          <w:lang w:eastAsia="en-AU"/>
        </w:rPr>
        <w:t>)</w:t>
      </w:r>
      <w:r w:rsidRPr="00E22673">
        <w:rPr>
          <w:rFonts w:cs="Arial"/>
          <w:lang w:eastAsia="en-AU"/>
        </w:rPr>
        <w:t xml:space="preserve"> </w:t>
      </w:r>
      <w:r w:rsidRPr="00E22673">
        <w:rPr>
          <w:rFonts w:cs="Arial"/>
        </w:rPr>
        <w:t xml:space="preserve">is available for up to three years for this Individual Capacity Building </w:t>
      </w:r>
      <w:r w:rsidR="00262D77">
        <w:rPr>
          <w:rFonts w:cs="Arial"/>
        </w:rPr>
        <w:t>g</w:t>
      </w:r>
      <w:r w:rsidRPr="00E22673">
        <w:rPr>
          <w:rFonts w:cs="Arial"/>
        </w:rPr>
        <w:t xml:space="preserve">rant </w:t>
      </w:r>
      <w:r w:rsidR="00262D77">
        <w:rPr>
          <w:rFonts w:cs="Arial"/>
        </w:rPr>
        <w:t>o</w:t>
      </w:r>
      <w:r w:rsidRPr="00E22673">
        <w:rPr>
          <w:rFonts w:cs="Arial"/>
        </w:rPr>
        <w:t xml:space="preserve">pportunity. </w:t>
      </w:r>
    </w:p>
    <w:p w14:paraId="2EC92700" w14:textId="5CE8A77A" w:rsidR="00317D97" w:rsidRPr="00E22673" w:rsidRDefault="00317D97" w:rsidP="00E22673">
      <w:pPr>
        <w:rPr>
          <w:rFonts w:cs="Arial"/>
        </w:rPr>
      </w:pPr>
      <w:r w:rsidRPr="00E22673">
        <w:rPr>
          <w:rFonts w:cs="Arial"/>
        </w:rPr>
        <w:t>The below table outlines how much is available and the duration of the grants for the different org</w:t>
      </w:r>
      <w:r w:rsidR="002C466B">
        <w:rPr>
          <w:rFonts w:cs="Arial"/>
        </w:rPr>
        <w:t>anisation types that can apply.</w:t>
      </w:r>
    </w:p>
    <w:p w14:paraId="75E9E43E" w14:textId="77777777" w:rsidR="00317D97" w:rsidRDefault="00317D97" w:rsidP="00317D97"/>
    <w:tbl>
      <w:tblPr>
        <w:tblW w:w="9923" w:type="dxa"/>
        <w:tblInd w:w="-719" w:type="dxa"/>
        <w:tblCellMar>
          <w:left w:w="0" w:type="dxa"/>
          <w:right w:w="0" w:type="dxa"/>
        </w:tblCellMar>
        <w:tblLook w:val="04A0" w:firstRow="1" w:lastRow="0" w:firstColumn="1" w:lastColumn="0" w:noHBand="0" w:noVBand="1"/>
      </w:tblPr>
      <w:tblGrid>
        <w:gridCol w:w="1597"/>
        <w:gridCol w:w="1379"/>
        <w:gridCol w:w="1159"/>
        <w:gridCol w:w="1394"/>
        <w:gridCol w:w="2126"/>
        <w:gridCol w:w="2268"/>
      </w:tblGrid>
      <w:tr w:rsidR="00317D97" w14:paraId="432AC34A" w14:textId="77777777" w:rsidTr="004B6C3D">
        <w:trPr>
          <w:tblHeader/>
        </w:trPr>
        <w:tc>
          <w:tcPr>
            <w:tcW w:w="159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8E61609" w14:textId="379E9204" w:rsidR="00317D97" w:rsidRDefault="00317D97" w:rsidP="00262D77">
            <w:pPr>
              <w:spacing w:line="320" w:lineRule="atLeast"/>
              <w:rPr>
                <w:rFonts w:cs="Arial"/>
                <w:b/>
                <w:bCs/>
              </w:rPr>
            </w:pPr>
            <w:r>
              <w:rPr>
                <w:rFonts w:cs="Arial"/>
                <w:b/>
                <w:bCs/>
              </w:rPr>
              <w:t xml:space="preserve">Organisation </w:t>
            </w:r>
            <w:r w:rsidR="00262D77">
              <w:rPr>
                <w:rFonts w:cs="Arial"/>
                <w:b/>
                <w:bCs/>
              </w:rPr>
              <w:t>t</w:t>
            </w:r>
            <w:r>
              <w:rPr>
                <w:rFonts w:cs="Arial"/>
                <w:b/>
                <w:bCs/>
              </w:rPr>
              <w:t>ype</w:t>
            </w:r>
          </w:p>
        </w:tc>
        <w:tc>
          <w:tcPr>
            <w:tcW w:w="137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DE82652" w14:textId="77777777" w:rsidR="00317D97" w:rsidRDefault="00317D97" w:rsidP="00FE61AE">
            <w:pPr>
              <w:spacing w:line="320" w:lineRule="atLeast"/>
              <w:rPr>
                <w:rFonts w:cs="Arial"/>
                <w:b/>
                <w:bCs/>
              </w:rPr>
            </w:pPr>
            <w:r>
              <w:rPr>
                <w:rFonts w:cs="Arial"/>
                <w:b/>
                <w:bCs/>
              </w:rPr>
              <w:t>Indicative total funding amount available (GST Excl.)</w:t>
            </w:r>
          </w:p>
        </w:tc>
        <w:tc>
          <w:tcPr>
            <w:tcW w:w="115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12E377" w14:textId="77777777" w:rsidR="00317D97" w:rsidRDefault="00317D97" w:rsidP="00FE61AE">
            <w:pPr>
              <w:spacing w:line="320" w:lineRule="atLeast"/>
              <w:rPr>
                <w:rFonts w:cs="Arial"/>
                <w:b/>
                <w:bCs/>
              </w:rPr>
            </w:pPr>
            <w:r>
              <w:rPr>
                <w:rFonts w:cs="Arial"/>
                <w:b/>
                <w:bCs/>
              </w:rPr>
              <w:t>Duration of grants</w:t>
            </w:r>
          </w:p>
        </w:tc>
        <w:tc>
          <w:tcPr>
            <w:tcW w:w="139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5AD379A" w14:textId="77777777" w:rsidR="00317D97" w:rsidRDefault="00317D97" w:rsidP="00FE61AE">
            <w:pPr>
              <w:spacing w:line="320" w:lineRule="atLeast"/>
              <w:rPr>
                <w:rFonts w:cs="Arial"/>
                <w:b/>
                <w:bCs/>
              </w:rPr>
            </w:pPr>
            <w:r>
              <w:rPr>
                <w:rFonts w:cs="Arial"/>
                <w:b/>
                <w:bCs/>
              </w:rPr>
              <w:t>Activity types that can be applied for</w:t>
            </w:r>
          </w:p>
        </w:tc>
        <w:tc>
          <w:tcPr>
            <w:tcW w:w="212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13AF406" w14:textId="77777777" w:rsidR="00317D97" w:rsidRDefault="00317D97" w:rsidP="00FE61AE">
            <w:pPr>
              <w:spacing w:line="320" w:lineRule="atLeast"/>
              <w:rPr>
                <w:rFonts w:cs="Arial"/>
                <w:b/>
                <w:bCs/>
              </w:rPr>
            </w:pPr>
            <w:r>
              <w:rPr>
                <w:rFonts w:cs="Arial"/>
                <w:b/>
                <w:bCs/>
              </w:rPr>
              <w:t xml:space="preserve">Maximum funding that </w:t>
            </w:r>
            <w:proofErr w:type="gramStart"/>
            <w:r>
              <w:rPr>
                <w:rFonts w:cs="Arial"/>
                <w:b/>
                <w:bCs/>
              </w:rPr>
              <w:t>can</w:t>
            </w:r>
            <w:r w:rsidR="004B6C3D">
              <w:rPr>
                <w:rFonts w:cs="Arial"/>
                <w:b/>
                <w:bCs/>
              </w:rPr>
              <w:t xml:space="preserve"> </w:t>
            </w:r>
            <w:r>
              <w:rPr>
                <w:rFonts w:cs="Arial"/>
                <w:b/>
                <w:bCs/>
              </w:rPr>
              <w:t>be applied</w:t>
            </w:r>
            <w:proofErr w:type="gramEnd"/>
            <w:r>
              <w:rPr>
                <w:rFonts w:cs="Arial"/>
                <w:b/>
                <w:bCs/>
              </w:rPr>
              <w:t xml:space="preserve"> per application </w:t>
            </w:r>
            <w:r w:rsidR="00AA4F34">
              <w:rPr>
                <w:rFonts w:cs="Arial"/>
                <w:b/>
                <w:bCs/>
              </w:rPr>
              <w:t>(GST Excl.)</w:t>
            </w:r>
          </w:p>
        </w:tc>
        <w:tc>
          <w:tcPr>
            <w:tcW w:w="226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DB0654C" w14:textId="77777777" w:rsidR="00317D97" w:rsidRDefault="00317D97" w:rsidP="00FE61AE">
            <w:pPr>
              <w:spacing w:line="320" w:lineRule="atLeast"/>
              <w:rPr>
                <w:rFonts w:cs="Arial"/>
                <w:b/>
                <w:bCs/>
              </w:rPr>
            </w:pPr>
            <w:r>
              <w:rPr>
                <w:rFonts w:cs="Arial"/>
                <w:b/>
                <w:bCs/>
              </w:rPr>
              <w:t>Selection</w:t>
            </w:r>
            <w:r w:rsidR="003A339F">
              <w:rPr>
                <w:rFonts w:cs="Arial"/>
                <w:b/>
                <w:bCs/>
              </w:rPr>
              <w:t xml:space="preserve"> (aka Assessment)</w:t>
            </w:r>
            <w:r>
              <w:rPr>
                <w:rFonts w:cs="Arial"/>
                <w:b/>
                <w:bCs/>
              </w:rPr>
              <w:t xml:space="preserve"> criteria to address</w:t>
            </w:r>
          </w:p>
        </w:tc>
      </w:tr>
      <w:tr w:rsidR="00317D97" w:rsidRPr="001505F4" w14:paraId="438CC48F" w14:textId="77777777" w:rsidTr="004B6C3D">
        <w:tc>
          <w:tcPr>
            <w:tcW w:w="1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2CDF1" w14:textId="77777777" w:rsidR="00317D97" w:rsidRDefault="00940953" w:rsidP="00FE61AE">
            <w:pPr>
              <w:spacing w:line="320" w:lineRule="atLeast"/>
              <w:rPr>
                <w:rFonts w:cs="Arial"/>
                <w:b/>
                <w:bCs/>
              </w:rPr>
            </w:pPr>
            <w:r>
              <w:rPr>
                <w:rFonts w:cs="Arial"/>
                <w:b/>
                <w:bCs/>
              </w:rPr>
              <w:t>Disabled Peoples and Families Organisations (DPO/FO</w:t>
            </w:r>
            <w:r w:rsidR="00D40FF3">
              <w:rPr>
                <w:rFonts w:cs="Arial"/>
                <w:b/>
                <w:bCs/>
              </w:rPr>
              <w:t>s</w:t>
            </w:r>
            <w:r>
              <w:rPr>
                <w:rFonts w:cs="Arial"/>
                <w:b/>
                <w:bCs/>
              </w:rPr>
              <w:t>)</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14:paraId="4CF36B25" w14:textId="77777777" w:rsidR="00317D97" w:rsidRDefault="00317D97" w:rsidP="00FE61AE">
            <w:pPr>
              <w:spacing w:line="320" w:lineRule="atLeast"/>
              <w:rPr>
                <w:rFonts w:cs="Arial"/>
              </w:rPr>
            </w:pPr>
            <w:r>
              <w:rPr>
                <w:rFonts w:cs="Arial"/>
              </w:rPr>
              <w:t>$80 million</w:t>
            </w:r>
          </w:p>
        </w:tc>
        <w:tc>
          <w:tcPr>
            <w:tcW w:w="1159" w:type="dxa"/>
            <w:tcBorders>
              <w:top w:val="nil"/>
              <w:left w:val="nil"/>
              <w:bottom w:val="single" w:sz="8" w:space="0" w:color="auto"/>
              <w:right w:val="single" w:sz="8" w:space="0" w:color="auto"/>
            </w:tcBorders>
            <w:tcMar>
              <w:top w:w="0" w:type="dxa"/>
              <w:left w:w="108" w:type="dxa"/>
              <w:bottom w:w="0" w:type="dxa"/>
              <w:right w:w="108" w:type="dxa"/>
            </w:tcMar>
            <w:hideMark/>
          </w:tcPr>
          <w:p w14:paraId="3162470E" w14:textId="77777777" w:rsidR="00317D97" w:rsidRDefault="00317D97" w:rsidP="00FE61AE">
            <w:pPr>
              <w:spacing w:line="320" w:lineRule="atLeast"/>
              <w:rPr>
                <w:rFonts w:cs="Arial"/>
              </w:rPr>
            </w:pPr>
            <w:r>
              <w:rPr>
                <w:rFonts w:cs="Arial"/>
              </w:rPr>
              <w:t>Up to 3 years</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14:paraId="224CAB0C" w14:textId="4F1C49BD" w:rsidR="00D40FF3" w:rsidRDefault="00934797" w:rsidP="00FE61AE">
            <w:pPr>
              <w:spacing w:line="320" w:lineRule="atLeast"/>
              <w:rPr>
                <w:rFonts w:cs="Arial"/>
              </w:rPr>
            </w:pPr>
            <w:r>
              <w:rPr>
                <w:rFonts w:cs="Arial"/>
              </w:rPr>
              <w:t xml:space="preserve">ICB </w:t>
            </w:r>
            <w:r w:rsidR="00D40FF3">
              <w:rPr>
                <w:rFonts w:cs="Arial"/>
              </w:rPr>
              <w:t>only</w:t>
            </w:r>
          </w:p>
          <w:p w14:paraId="0B45A5D0" w14:textId="77777777" w:rsidR="00647170" w:rsidRDefault="00647170" w:rsidP="00FE61AE">
            <w:pPr>
              <w:spacing w:line="320" w:lineRule="atLeast"/>
              <w:rPr>
                <w:rFonts w:cs="Arial"/>
              </w:rPr>
            </w:pPr>
          </w:p>
          <w:p w14:paraId="724A9F5B" w14:textId="4A1D1683" w:rsidR="00D40FF3" w:rsidRDefault="00D40FF3" w:rsidP="00FE61AE">
            <w:pPr>
              <w:spacing w:line="320" w:lineRule="atLeast"/>
              <w:rPr>
                <w:rFonts w:cs="Arial"/>
                <w:b/>
              </w:rPr>
            </w:pPr>
            <w:r w:rsidRPr="00D40FF3">
              <w:rPr>
                <w:rFonts w:cs="Arial"/>
                <w:b/>
              </w:rPr>
              <w:t>OR</w:t>
            </w:r>
          </w:p>
          <w:p w14:paraId="58F579F4" w14:textId="77777777" w:rsidR="00647170" w:rsidRPr="00D40FF3" w:rsidRDefault="00647170" w:rsidP="00FE61AE">
            <w:pPr>
              <w:spacing w:line="320" w:lineRule="atLeast"/>
              <w:rPr>
                <w:rFonts w:cs="Arial"/>
                <w:b/>
              </w:rPr>
            </w:pPr>
          </w:p>
          <w:p w14:paraId="33D06883" w14:textId="77777777" w:rsidR="00317D97" w:rsidRDefault="00934797" w:rsidP="00D40FF3">
            <w:pPr>
              <w:spacing w:line="320" w:lineRule="atLeast"/>
              <w:rPr>
                <w:rFonts w:cs="Arial"/>
              </w:rPr>
            </w:pPr>
            <w:r>
              <w:rPr>
                <w:rFonts w:cs="Arial"/>
              </w:rPr>
              <w:t xml:space="preserve">OCB </w:t>
            </w:r>
            <w:r w:rsidR="00D40FF3" w:rsidRPr="00D40FF3">
              <w:rPr>
                <w:rFonts w:cs="Arial"/>
                <w:b/>
                <w:u w:val="single"/>
              </w:rPr>
              <w:t>AND</w:t>
            </w:r>
            <w:r w:rsidR="00D40FF3">
              <w:rPr>
                <w:rFonts w:cs="Arial"/>
              </w:rPr>
              <w:t xml:space="preserve"> </w:t>
            </w:r>
            <w:r>
              <w:rPr>
                <w:rFonts w:cs="Arial"/>
              </w:rPr>
              <w:t>ICB</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D462635" w14:textId="72F52662" w:rsidR="00317D97" w:rsidRDefault="00262D77" w:rsidP="00FE61AE">
            <w:pPr>
              <w:rPr>
                <w:rFonts w:cs="Arial"/>
              </w:rPr>
            </w:pPr>
            <w:r>
              <w:rPr>
                <w:rFonts w:cs="Arial"/>
              </w:rPr>
              <w:t>ICB: $600,000</w:t>
            </w:r>
            <w:r w:rsidR="00317D97">
              <w:rPr>
                <w:rFonts w:cs="Arial"/>
              </w:rPr>
              <w:t xml:space="preserve"> per year (maximum of $1.8 million over three years)</w:t>
            </w:r>
            <w:r w:rsidR="009A41F2">
              <w:rPr>
                <w:rFonts w:cs="Arial"/>
              </w:rPr>
              <w:t xml:space="preserve"> </w:t>
            </w:r>
          </w:p>
          <w:p w14:paraId="3083775E" w14:textId="77777777" w:rsidR="00647170" w:rsidRDefault="00317D97" w:rsidP="00FE61AE">
            <w:pPr>
              <w:spacing w:line="320" w:lineRule="atLeast"/>
              <w:rPr>
                <w:rFonts w:cs="Arial"/>
              </w:rPr>
            </w:pPr>
            <w:r>
              <w:rPr>
                <w:rFonts w:cs="Arial"/>
              </w:rPr>
              <w:t xml:space="preserve">OCB: $50,000 per year (maximum of $150,000 over 3 years) </w:t>
            </w:r>
          </w:p>
          <w:p w14:paraId="67349711" w14:textId="4985E3DD" w:rsidR="00317D97" w:rsidRDefault="00317D97" w:rsidP="00FE61AE">
            <w:pPr>
              <w:spacing w:line="320" w:lineRule="atLeast"/>
              <w:rPr>
                <w:rFonts w:cs="Arial"/>
              </w:rPr>
            </w:pPr>
            <w:r>
              <w:rPr>
                <w:rFonts w:cs="Arial"/>
              </w:rPr>
              <w:t>Total: $1.95 million over 3 years if appl</w:t>
            </w:r>
            <w:r w:rsidR="00F4311E">
              <w:rPr>
                <w:rFonts w:cs="Arial"/>
              </w:rPr>
              <w:t xml:space="preserve">ying </w:t>
            </w:r>
            <w:r>
              <w:rPr>
                <w:rFonts w:cs="Arial"/>
              </w:rPr>
              <w:t>for ICB and OCB</w:t>
            </w:r>
          </w:p>
          <w:p w14:paraId="679462E1" w14:textId="77777777" w:rsidR="00317D97" w:rsidRDefault="00317D97" w:rsidP="00FE61AE">
            <w:pPr>
              <w:spacing w:line="320" w:lineRule="atLeast"/>
              <w:rPr>
                <w:rFonts w:cs="Arial"/>
              </w:rPr>
            </w:pPr>
          </w:p>
          <w:p w14:paraId="42A24DAB" w14:textId="77777777" w:rsidR="00317D97" w:rsidRDefault="00317D97" w:rsidP="00FE61AE">
            <w:pPr>
              <w:spacing w:line="320" w:lineRule="atLeast"/>
              <w:rPr>
                <w:rFonts w:cs="Arial"/>
              </w:rPr>
            </w:pPr>
          </w:p>
          <w:p w14:paraId="678A8398" w14:textId="77777777" w:rsidR="00317D97" w:rsidRDefault="00317D97" w:rsidP="00FE61AE">
            <w:pPr>
              <w:spacing w:line="320" w:lineRule="atLeast"/>
              <w:rPr>
                <w:rFonts w:cs="Arial"/>
              </w:rPr>
            </w:pPr>
          </w:p>
          <w:p w14:paraId="47E73C54" w14:textId="77777777" w:rsidR="00317D97" w:rsidRDefault="00317D97" w:rsidP="00FE61AE">
            <w:pPr>
              <w:spacing w:line="320" w:lineRule="atLeast"/>
              <w:rPr>
                <w:rFonts w:cs="Arial"/>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0D0241C1" w14:textId="77777777" w:rsidR="00317D97" w:rsidRDefault="00317D97" w:rsidP="00FE61AE">
            <w:pPr>
              <w:spacing w:line="320" w:lineRule="atLeast"/>
              <w:rPr>
                <w:rFonts w:cs="Arial"/>
              </w:rPr>
            </w:pPr>
            <w:r>
              <w:rPr>
                <w:rFonts w:cs="Arial"/>
              </w:rPr>
              <w:t>3 x criteria:</w:t>
            </w:r>
          </w:p>
          <w:p w14:paraId="2AA1376C" w14:textId="77777777" w:rsidR="00317D97" w:rsidRDefault="00317D97" w:rsidP="00317D97">
            <w:pPr>
              <w:pStyle w:val="ListParagraph"/>
              <w:numPr>
                <w:ilvl w:val="0"/>
                <w:numId w:val="36"/>
              </w:numPr>
            </w:pPr>
            <w:r>
              <w:t>Individual Capacity Building</w:t>
            </w:r>
            <w:r w:rsidR="00FC44E5">
              <w:t xml:space="preserve"> </w:t>
            </w:r>
          </w:p>
          <w:p w14:paraId="05D7E774" w14:textId="77C9C5B3" w:rsidR="00317D97" w:rsidRDefault="00317D97" w:rsidP="00317D97">
            <w:pPr>
              <w:pStyle w:val="ListParagraph"/>
              <w:numPr>
                <w:ilvl w:val="0"/>
                <w:numId w:val="36"/>
              </w:numPr>
            </w:pPr>
            <w:r>
              <w:t xml:space="preserve">Expected </w:t>
            </w:r>
            <w:r w:rsidR="00262D77">
              <w:t>o</w:t>
            </w:r>
            <w:r>
              <w:t>utcomes</w:t>
            </w:r>
            <w:r w:rsidR="00FC44E5">
              <w:t xml:space="preserve"> </w:t>
            </w:r>
          </w:p>
          <w:p w14:paraId="46D70FFA" w14:textId="16816B00" w:rsidR="00317D97" w:rsidRPr="001505F4" w:rsidRDefault="00940953" w:rsidP="00262D77">
            <w:pPr>
              <w:pStyle w:val="ListParagraph"/>
              <w:numPr>
                <w:ilvl w:val="0"/>
                <w:numId w:val="36"/>
              </w:numPr>
            </w:pPr>
            <w:r>
              <w:t xml:space="preserve">Your </w:t>
            </w:r>
            <w:r w:rsidR="00262D77">
              <w:t>o</w:t>
            </w:r>
            <w:r>
              <w:t xml:space="preserve">rganisation’s </w:t>
            </w:r>
            <w:r w:rsidR="00262D77">
              <w:t>c</w:t>
            </w:r>
            <w:r>
              <w:t>apability</w:t>
            </w:r>
            <w:r w:rsidR="00FC44E5">
              <w:t xml:space="preserve"> </w:t>
            </w:r>
          </w:p>
        </w:tc>
      </w:tr>
      <w:tr w:rsidR="00317D97" w14:paraId="493F6522" w14:textId="77777777" w:rsidTr="004B6C3D">
        <w:trPr>
          <w:trHeight w:val="4262"/>
        </w:trPr>
        <w:tc>
          <w:tcPr>
            <w:tcW w:w="15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D7A85" w14:textId="77777777" w:rsidR="00317D97" w:rsidRDefault="003A339F" w:rsidP="00FE61AE">
            <w:pPr>
              <w:spacing w:line="320" w:lineRule="atLeast"/>
              <w:rPr>
                <w:rFonts w:cs="Arial"/>
                <w:b/>
                <w:bCs/>
              </w:rPr>
            </w:pPr>
            <w:r>
              <w:rPr>
                <w:rFonts w:cs="Arial"/>
                <w:b/>
                <w:bCs/>
              </w:rPr>
              <w:lastRenderedPageBreak/>
              <w:t>Priority Cohort Led organisations (PCLs)</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14:paraId="3F31E841" w14:textId="77777777" w:rsidR="00317D97" w:rsidRDefault="00317D97" w:rsidP="00FE61AE">
            <w:pPr>
              <w:spacing w:line="320" w:lineRule="atLeast"/>
              <w:rPr>
                <w:rFonts w:cs="Arial"/>
              </w:rPr>
            </w:pPr>
            <w:r>
              <w:rPr>
                <w:rFonts w:cs="Arial"/>
              </w:rPr>
              <w:t>$20 million</w:t>
            </w:r>
          </w:p>
        </w:tc>
        <w:tc>
          <w:tcPr>
            <w:tcW w:w="1159" w:type="dxa"/>
            <w:tcBorders>
              <w:top w:val="nil"/>
              <w:left w:val="nil"/>
              <w:bottom w:val="single" w:sz="8" w:space="0" w:color="auto"/>
              <w:right w:val="single" w:sz="8" w:space="0" w:color="auto"/>
            </w:tcBorders>
            <w:tcMar>
              <w:top w:w="0" w:type="dxa"/>
              <w:left w:w="108" w:type="dxa"/>
              <w:bottom w:w="0" w:type="dxa"/>
              <w:right w:w="108" w:type="dxa"/>
            </w:tcMar>
            <w:hideMark/>
          </w:tcPr>
          <w:p w14:paraId="78A7D855" w14:textId="77777777" w:rsidR="00317D97" w:rsidRDefault="00317D97" w:rsidP="00FE61AE">
            <w:pPr>
              <w:spacing w:line="320" w:lineRule="atLeast"/>
              <w:rPr>
                <w:rFonts w:cs="Arial"/>
              </w:rPr>
            </w:pPr>
            <w:r>
              <w:rPr>
                <w:rFonts w:cs="Arial"/>
              </w:rPr>
              <w:t>Up to 3 years</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14:paraId="5A232319" w14:textId="77777777" w:rsidR="00317D97" w:rsidRDefault="00317D97" w:rsidP="00FE61AE">
            <w:pPr>
              <w:spacing w:line="320" w:lineRule="atLeast"/>
              <w:rPr>
                <w:rFonts w:cs="Arial"/>
              </w:rPr>
            </w:pPr>
            <w:r>
              <w:rPr>
                <w:rFonts w:cs="Arial"/>
              </w:rPr>
              <w:t>ICB only</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106576B" w14:textId="0ACC5005" w:rsidR="00317D97" w:rsidRDefault="00262D77" w:rsidP="00FE61AE">
            <w:pPr>
              <w:spacing w:line="320" w:lineRule="atLeast"/>
              <w:rPr>
                <w:rFonts w:cs="Arial"/>
              </w:rPr>
            </w:pPr>
            <w:r>
              <w:rPr>
                <w:rFonts w:cs="Arial"/>
              </w:rPr>
              <w:t>$600,000</w:t>
            </w:r>
            <w:r w:rsidR="00317D97">
              <w:rPr>
                <w:rFonts w:cs="Arial"/>
              </w:rPr>
              <w:t xml:space="preserve"> per year (maximum of $1.8 million over three years)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B545579" w14:textId="77777777" w:rsidR="00317D97" w:rsidRDefault="00317D97" w:rsidP="00FE61AE">
            <w:pPr>
              <w:spacing w:line="320" w:lineRule="atLeast"/>
              <w:rPr>
                <w:rFonts w:cs="Arial"/>
              </w:rPr>
            </w:pPr>
            <w:r>
              <w:rPr>
                <w:rFonts w:cs="Arial"/>
              </w:rPr>
              <w:t>3 x criteria:</w:t>
            </w:r>
          </w:p>
          <w:p w14:paraId="2D5FE63D" w14:textId="77777777" w:rsidR="00317D97" w:rsidRDefault="00317D97" w:rsidP="00317D97">
            <w:pPr>
              <w:pStyle w:val="ListParagraph"/>
              <w:numPr>
                <w:ilvl w:val="0"/>
                <w:numId w:val="58"/>
              </w:numPr>
            </w:pPr>
            <w:r>
              <w:t>Individual Capacity Building</w:t>
            </w:r>
            <w:r w:rsidR="00FC44E5">
              <w:t xml:space="preserve"> </w:t>
            </w:r>
          </w:p>
          <w:p w14:paraId="53107F7C" w14:textId="66F7399E" w:rsidR="00317D97" w:rsidRDefault="00317D97" w:rsidP="00317D97">
            <w:pPr>
              <w:pStyle w:val="ListParagraph"/>
              <w:numPr>
                <w:ilvl w:val="0"/>
                <w:numId w:val="58"/>
              </w:numPr>
            </w:pPr>
            <w:r>
              <w:t xml:space="preserve">Expected </w:t>
            </w:r>
            <w:r w:rsidR="00262D77">
              <w:t>o</w:t>
            </w:r>
            <w:r>
              <w:t>utcomes</w:t>
            </w:r>
            <w:r w:rsidR="00FC44E5">
              <w:t xml:space="preserve"> </w:t>
            </w:r>
          </w:p>
          <w:p w14:paraId="3AF7A345" w14:textId="6991BDDE" w:rsidR="00317D97" w:rsidRDefault="00317D97" w:rsidP="00262D77">
            <w:pPr>
              <w:pStyle w:val="ListParagraph"/>
              <w:numPr>
                <w:ilvl w:val="0"/>
                <w:numId w:val="58"/>
              </w:numPr>
              <w:rPr>
                <w:rFonts w:cs="Arial"/>
              </w:rPr>
            </w:pPr>
            <w:r>
              <w:t xml:space="preserve">Organisational </w:t>
            </w:r>
            <w:r w:rsidR="00262D77">
              <w:t>c</w:t>
            </w:r>
            <w:r>
              <w:t>apability</w:t>
            </w:r>
            <w:r w:rsidR="00FC44E5">
              <w:t xml:space="preserve"> </w:t>
            </w:r>
          </w:p>
        </w:tc>
      </w:tr>
      <w:tr w:rsidR="00317D97" w14:paraId="463E1C13" w14:textId="77777777" w:rsidTr="004B6C3D">
        <w:tc>
          <w:tcPr>
            <w:tcW w:w="9923" w:type="dxa"/>
            <w:gridSpan w:val="6"/>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017A5BE" w14:textId="13E62E64" w:rsidR="00317D97" w:rsidRDefault="00317D97" w:rsidP="00262D77">
            <w:pPr>
              <w:spacing w:line="320" w:lineRule="atLeast"/>
              <w:rPr>
                <w:rFonts w:cs="Arial"/>
              </w:rPr>
            </w:pPr>
            <w:r>
              <w:rPr>
                <w:rFonts w:cs="Arial"/>
                <w:b/>
                <w:bCs/>
              </w:rPr>
              <w:t xml:space="preserve">Small grants </w:t>
            </w:r>
            <w:r w:rsidR="00F4311E">
              <w:rPr>
                <w:rFonts w:cs="Arial"/>
                <w:b/>
                <w:bCs/>
              </w:rPr>
              <w:t xml:space="preserve">for smaller organisations </w:t>
            </w:r>
            <w:r>
              <w:rPr>
                <w:rFonts w:cs="Arial"/>
                <w:b/>
                <w:bCs/>
              </w:rPr>
              <w:t xml:space="preserve">using </w:t>
            </w:r>
            <w:r w:rsidR="00F4311E">
              <w:rPr>
                <w:rFonts w:cs="Arial"/>
                <w:b/>
                <w:bCs/>
              </w:rPr>
              <w:t xml:space="preserve">a </w:t>
            </w:r>
            <w:r>
              <w:rPr>
                <w:rFonts w:cs="Arial"/>
                <w:b/>
                <w:bCs/>
              </w:rPr>
              <w:t xml:space="preserve">streamlined application </w:t>
            </w:r>
            <w:r w:rsidR="00F4311E">
              <w:rPr>
                <w:rFonts w:cs="Arial"/>
                <w:b/>
                <w:bCs/>
              </w:rPr>
              <w:t>process</w:t>
            </w:r>
            <w:r w:rsidR="00262D77">
              <w:rPr>
                <w:rFonts w:cs="Arial"/>
                <w:b/>
                <w:bCs/>
              </w:rPr>
              <w:t xml:space="preserve"> – under $90,000</w:t>
            </w:r>
            <w:r>
              <w:rPr>
                <w:rFonts w:cs="Arial"/>
                <w:b/>
                <w:bCs/>
              </w:rPr>
              <w:t xml:space="preserve"> </w:t>
            </w:r>
            <w:r w:rsidR="009B6CD4">
              <w:rPr>
                <w:rFonts w:cs="Arial"/>
                <w:b/>
                <w:bCs/>
              </w:rPr>
              <w:t xml:space="preserve">(GST excl.) </w:t>
            </w:r>
            <w:r>
              <w:rPr>
                <w:rFonts w:cs="Arial"/>
                <w:b/>
                <w:bCs/>
              </w:rPr>
              <w:t>for life of grant</w:t>
            </w:r>
          </w:p>
        </w:tc>
      </w:tr>
      <w:tr w:rsidR="00317D97" w14:paraId="4F0D9422" w14:textId="77777777" w:rsidTr="004B6C3D">
        <w:tc>
          <w:tcPr>
            <w:tcW w:w="1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7EBA1" w14:textId="77777777" w:rsidR="00317D97" w:rsidRDefault="00317D97" w:rsidP="003A339F">
            <w:pPr>
              <w:spacing w:line="320" w:lineRule="atLeast"/>
              <w:rPr>
                <w:rFonts w:cs="Arial"/>
                <w:b/>
                <w:bCs/>
              </w:rPr>
            </w:pPr>
            <w:r>
              <w:rPr>
                <w:rFonts w:cs="Arial"/>
                <w:b/>
                <w:bCs/>
              </w:rPr>
              <w:t>Disabled Peoples and Families Organisations (DP</w:t>
            </w:r>
            <w:r w:rsidR="00D40FF3">
              <w:rPr>
                <w:rFonts w:cs="Arial"/>
                <w:b/>
                <w:bCs/>
              </w:rPr>
              <w:t>O/</w:t>
            </w:r>
            <w:r w:rsidR="003A339F">
              <w:rPr>
                <w:rFonts w:cs="Arial"/>
                <w:b/>
                <w:bCs/>
              </w:rPr>
              <w:t>FOs</w:t>
            </w:r>
            <w:r>
              <w:rPr>
                <w:rFonts w:cs="Arial"/>
                <w:b/>
                <w:bCs/>
              </w:rPr>
              <w:t>)</w:t>
            </w:r>
          </w:p>
        </w:tc>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75A74" w14:textId="77777777" w:rsidR="00317D97" w:rsidRDefault="00317D97" w:rsidP="00FE61AE">
            <w:pPr>
              <w:spacing w:line="320" w:lineRule="atLeast"/>
              <w:rPr>
                <w:rFonts w:cs="Arial"/>
              </w:rPr>
            </w:pPr>
            <w:r>
              <w:rPr>
                <w:rFonts w:cs="Arial"/>
              </w:rPr>
              <w:t>Funded from DP</w:t>
            </w:r>
            <w:r w:rsidR="00D40FF3">
              <w:rPr>
                <w:rFonts w:cs="Arial"/>
              </w:rPr>
              <w:t>O/</w:t>
            </w:r>
            <w:r>
              <w:rPr>
                <w:rFonts w:cs="Arial"/>
              </w:rPr>
              <w:t>FO allocation detailed above</w:t>
            </w:r>
          </w:p>
        </w:tc>
        <w:tc>
          <w:tcPr>
            <w:tcW w:w="1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5DB3F" w14:textId="77777777" w:rsidR="00317D97" w:rsidRDefault="00317D97" w:rsidP="00FE61AE">
            <w:pPr>
              <w:spacing w:line="320" w:lineRule="atLeast"/>
              <w:rPr>
                <w:rFonts w:cs="Arial"/>
              </w:rPr>
            </w:pPr>
            <w:r>
              <w:rPr>
                <w:rFonts w:cs="Arial"/>
              </w:rPr>
              <w:t>Up to 3 years</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E82F" w14:textId="15C8F374" w:rsidR="00D40FF3" w:rsidRDefault="00D40FF3" w:rsidP="00D40FF3">
            <w:pPr>
              <w:spacing w:line="320" w:lineRule="atLeast"/>
              <w:rPr>
                <w:rFonts w:cs="Arial"/>
              </w:rPr>
            </w:pPr>
            <w:r>
              <w:rPr>
                <w:rFonts w:cs="Arial"/>
              </w:rPr>
              <w:t>ICB only</w:t>
            </w:r>
          </w:p>
          <w:p w14:paraId="5930611C" w14:textId="77777777" w:rsidR="00262D77" w:rsidRDefault="00262D77" w:rsidP="00D40FF3">
            <w:pPr>
              <w:spacing w:line="320" w:lineRule="atLeast"/>
              <w:rPr>
                <w:rFonts w:cs="Arial"/>
              </w:rPr>
            </w:pPr>
          </w:p>
          <w:p w14:paraId="2FF04D49" w14:textId="036EB4C2" w:rsidR="00D40FF3" w:rsidRDefault="00D40FF3" w:rsidP="00D40FF3">
            <w:pPr>
              <w:spacing w:line="320" w:lineRule="atLeast"/>
              <w:rPr>
                <w:rFonts w:cs="Arial"/>
                <w:b/>
              </w:rPr>
            </w:pPr>
            <w:r w:rsidRPr="00D40FF3">
              <w:rPr>
                <w:rFonts w:cs="Arial"/>
                <w:b/>
              </w:rPr>
              <w:t>OR</w:t>
            </w:r>
          </w:p>
          <w:p w14:paraId="49193797" w14:textId="77777777" w:rsidR="00262D77" w:rsidRPr="00D40FF3" w:rsidRDefault="00262D77" w:rsidP="00D40FF3">
            <w:pPr>
              <w:spacing w:line="320" w:lineRule="atLeast"/>
              <w:rPr>
                <w:rFonts w:cs="Arial"/>
                <w:b/>
              </w:rPr>
            </w:pPr>
          </w:p>
          <w:p w14:paraId="30D1A6D0" w14:textId="77777777" w:rsidR="00317D97" w:rsidRDefault="00D40FF3" w:rsidP="00FE61AE">
            <w:pPr>
              <w:spacing w:line="320" w:lineRule="atLeast"/>
              <w:rPr>
                <w:rFonts w:cs="Arial"/>
              </w:rPr>
            </w:pPr>
            <w:r>
              <w:rPr>
                <w:rFonts w:cs="Arial"/>
              </w:rPr>
              <w:t xml:space="preserve">OCB </w:t>
            </w:r>
            <w:r w:rsidRPr="00D40FF3">
              <w:rPr>
                <w:rFonts w:cs="Arial"/>
                <w:b/>
                <w:u w:val="single"/>
              </w:rPr>
              <w:t>AND</w:t>
            </w:r>
            <w:r>
              <w:rPr>
                <w:rFonts w:cs="Arial"/>
              </w:rPr>
              <w:t xml:space="preserve"> ICB</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9435D" w14:textId="7E50F7F2" w:rsidR="00317D97" w:rsidRDefault="00262D77" w:rsidP="00FE61AE">
            <w:pPr>
              <w:spacing w:line="320" w:lineRule="atLeast"/>
              <w:rPr>
                <w:rFonts w:cs="Arial"/>
              </w:rPr>
            </w:pPr>
            <w:r>
              <w:rPr>
                <w:rFonts w:cs="Arial"/>
              </w:rPr>
              <w:t xml:space="preserve">$30,000 per </w:t>
            </w:r>
            <w:r w:rsidR="00647170">
              <w:rPr>
                <w:rFonts w:cs="Arial"/>
              </w:rPr>
              <w:t>year</w:t>
            </w:r>
            <w:r>
              <w:rPr>
                <w:rFonts w:cs="Arial"/>
              </w:rPr>
              <w:t>, therefore $90,000</w:t>
            </w:r>
            <w:r w:rsidR="00317D97">
              <w:rPr>
                <w:rFonts w:cs="Arial"/>
              </w:rPr>
              <w:t xml:space="preserve"> in total over 3 years</w:t>
            </w:r>
          </w:p>
          <w:p w14:paraId="17268F25" w14:textId="347DDFCB" w:rsidR="00317D97" w:rsidRDefault="00317D97" w:rsidP="00FE61AE">
            <w:pPr>
              <w:spacing w:line="320" w:lineRule="atLeast"/>
              <w:rPr>
                <w:rFonts w:cs="Arial"/>
              </w:rPr>
            </w:pPr>
          </w:p>
          <w:p w14:paraId="3D4E494C" w14:textId="02F8373E" w:rsidR="00317D97" w:rsidRDefault="00262D77" w:rsidP="00647170">
            <w:pPr>
              <w:spacing w:line="320" w:lineRule="atLeast"/>
              <w:rPr>
                <w:rFonts w:cs="Arial"/>
              </w:rPr>
            </w:pPr>
            <w:r>
              <w:rPr>
                <w:rFonts w:cs="Arial"/>
              </w:rPr>
              <w:t>$30,000</w:t>
            </w:r>
            <w:r w:rsidR="00317D97">
              <w:rPr>
                <w:rFonts w:cs="Arial"/>
              </w:rPr>
              <w:t xml:space="preserve"> per </w:t>
            </w:r>
            <w:r w:rsidR="00647170">
              <w:rPr>
                <w:rFonts w:cs="Arial"/>
              </w:rPr>
              <w:t>year</w:t>
            </w:r>
            <w:r w:rsidR="00317D97">
              <w:rPr>
                <w:rFonts w:cs="Arial"/>
              </w:rPr>
              <w:t>, combined for both activities in total over 3 years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EADB1" w14:textId="77777777" w:rsidR="00317D97" w:rsidRDefault="00317D97" w:rsidP="00FE61AE">
            <w:pPr>
              <w:spacing w:line="320" w:lineRule="atLeast"/>
              <w:rPr>
                <w:rFonts w:cs="Arial"/>
              </w:rPr>
            </w:pPr>
            <w:r>
              <w:rPr>
                <w:rFonts w:cs="Arial"/>
              </w:rPr>
              <w:t>2 x criteria</w:t>
            </w:r>
            <w:r w:rsidR="00FC44E5">
              <w:rPr>
                <w:rFonts w:cs="Arial"/>
              </w:rPr>
              <w:t xml:space="preserve"> </w:t>
            </w:r>
          </w:p>
          <w:p w14:paraId="6E3A4B45" w14:textId="77777777" w:rsidR="00317D97" w:rsidRDefault="00317D97" w:rsidP="00317D97">
            <w:pPr>
              <w:pStyle w:val="ListParagraph"/>
              <w:numPr>
                <w:ilvl w:val="0"/>
                <w:numId w:val="59"/>
              </w:numPr>
            </w:pPr>
            <w:r>
              <w:t>Individual Capacity Building</w:t>
            </w:r>
          </w:p>
          <w:p w14:paraId="4D668C87" w14:textId="6BC705BF" w:rsidR="00317D97" w:rsidRPr="00761882" w:rsidRDefault="00317D97" w:rsidP="00317D97">
            <w:pPr>
              <w:pStyle w:val="ListParagraph"/>
              <w:numPr>
                <w:ilvl w:val="0"/>
                <w:numId w:val="59"/>
              </w:numPr>
              <w:rPr>
                <w:rFonts w:cs="Arial"/>
              </w:rPr>
            </w:pPr>
            <w:r>
              <w:t xml:space="preserve">Expected </w:t>
            </w:r>
            <w:r w:rsidR="00262D77">
              <w:t>o</w:t>
            </w:r>
            <w:r>
              <w:t>utcomes</w:t>
            </w:r>
          </w:p>
          <w:p w14:paraId="7229F79F" w14:textId="77777777" w:rsidR="00317D97" w:rsidRDefault="00317D97" w:rsidP="00FE61AE">
            <w:pPr>
              <w:spacing w:line="320" w:lineRule="atLeast"/>
              <w:rPr>
                <w:rFonts w:cs="Arial"/>
              </w:rPr>
            </w:pPr>
          </w:p>
        </w:tc>
      </w:tr>
      <w:tr w:rsidR="00317D97" w:rsidRPr="00C06F7A" w14:paraId="2C666092" w14:textId="77777777" w:rsidTr="004B6C3D">
        <w:tc>
          <w:tcPr>
            <w:tcW w:w="1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8C27A" w14:textId="77777777" w:rsidR="00317D97" w:rsidRDefault="00317D97" w:rsidP="003A339F">
            <w:pPr>
              <w:spacing w:line="320" w:lineRule="atLeast"/>
              <w:rPr>
                <w:rFonts w:cs="Arial"/>
                <w:b/>
                <w:bCs/>
              </w:rPr>
            </w:pPr>
            <w:r>
              <w:rPr>
                <w:rFonts w:cs="Arial"/>
                <w:b/>
                <w:bCs/>
              </w:rPr>
              <w:t>Priority Cohort Led organisations</w:t>
            </w:r>
            <w:r w:rsidR="003A339F">
              <w:rPr>
                <w:rFonts w:cs="Arial"/>
                <w:b/>
                <w:bCs/>
              </w:rPr>
              <w:t xml:space="preserve"> (PCLs)</w:t>
            </w:r>
          </w:p>
        </w:tc>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9B244" w14:textId="77777777" w:rsidR="00317D97" w:rsidRDefault="00317D97" w:rsidP="00FE61AE">
            <w:pPr>
              <w:spacing w:line="320" w:lineRule="atLeast"/>
              <w:rPr>
                <w:rFonts w:cs="Arial"/>
              </w:rPr>
            </w:pPr>
            <w:r>
              <w:rPr>
                <w:rFonts w:cs="Arial"/>
              </w:rPr>
              <w:t>Funded from PCL allocation detailed above</w:t>
            </w:r>
          </w:p>
        </w:tc>
        <w:tc>
          <w:tcPr>
            <w:tcW w:w="1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89C6A" w14:textId="77777777" w:rsidR="00317D97" w:rsidRDefault="00317D97" w:rsidP="00FE61AE">
            <w:pPr>
              <w:spacing w:line="320" w:lineRule="atLeast"/>
              <w:rPr>
                <w:rFonts w:cs="Arial"/>
              </w:rPr>
            </w:pPr>
            <w:r>
              <w:rPr>
                <w:rFonts w:cs="Arial"/>
              </w:rPr>
              <w:t>Up to 3 years</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573CF" w14:textId="77777777" w:rsidR="00317D97" w:rsidRDefault="00317D97" w:rsidP="00FE61AE">
            <w:pPr>
              <w:spacing w:line="320" w:lineRule="atLeast"/>
              <w:rPr>
                <w:rFonts w:cs="Arial"/>
              </w:rPr>
            </w:pPr>
            <w:r>
              <w:rPr>
                <w:rFonts w:cs="Arial"/>
              </w:rPr>
              <w:t>ICB only</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8BC37" w14:textId="189E3158" w:rsidR="00317D97" w:rsidRDefault="00262D77" w:rsidP="00647170">
            <w:pPr>
              <w:spacing w:line="320" w:lineRule="atLeast"/>
              <w:rPr>
                <w:rFonts w:cs="Arial"/>
              </w:rPr>
            </w:pPr>
            <w:r>
              <w:rPr>
                <w:rFonts w:cs="Arial"/>
              </w:rPr>
              <w:t xml:space="preserve">$30,000 per </w:t>
            </w:r>
            <w:r w:rsidR="00647170">
              <w:rPr>
                <w:rFonts w:cs="Arial"/>
              </w:rPr>
              <w:t>year</w:t>
            </w:r>
            <w:r>
              <w:rPr>
                <w:rFonts w:cs="Arial"/>
              </w:rPr>
              <w:t>, therefore $90,000</w:t>
            </w:r>
            <w:r w:rsidR="00317D97">
              <w:rPr>
                <w:rFonts w:cs="Arial"/>
              </w:rPr>
              <w:t xml:space="preserve"> in total over 3 years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97907" w14:textId="77777777" w:rsidR="00317D97" w:rsidRDefault="00317D97" w:rsidP="00FE61AE">
            <w:pPr>
              <w:spacing w:line="320" w:lineRule="atLeast"/>
              <w:rPr>
                <w:rFonts w:cs="Arial"/>
              </w:rPr>
            </w:pPr>
            <w:r>
              <w:rPr>
                <w:rFonts w:cs="Arial"/>
              </w:rPr>
              <w:t>2 x criteria</w:t>
            </w:r>
            <w:r w:rsidR="00FC44E5">
              <w:rPr>
                <w:rFonts w:cs="Arial"/>
              </w:rPr>
              <w:t xml:space="preserve"> </w:t>
            </w:r>
          </w:p>
          <w:p w14:paraId="4AE4BC5D" w14:textId="77777777" w:rsidR="00D40FF3" w:rsidRDefault="00D40FF3" w:rsidP="00D40FF3">
            <w:pPr>
              <w:pStyle w:val="ListParagraph"/>
              <w:numPr>
                <w:ilvl w:val="0"/>
                <w:numId w:val="66"/>
              </w:numPr>
            </w:pPr>
            <w:r>
              <w:t>Individual Capacity Building</w:t>
            </w:r>
          </w:p>
          <w:p w14:paraId="441B05D0" w14:textId="3CCC726D" w:rsidR="00D40FF3" w:rsidRPr="00761882" w:rsidRDefault="00D40FF3" w:rsidP="00D40FF3">
            <w:pPr>
              <w:pStyle w:val="ListParagraph"/>
              <w:numPr>
                <w:ilvl w:val="0"/>
                <w:numId w:val="66"/>
              </w:numPr>
              <w:rPr>
                <w:rFonts w:cs="Arial"/>
              </w:rPr>
            </w:pPr>
            <w:r>
              <w:t xml:space="preserve">Expected </w:t>
            </w:r>
            <w:r w:rsidR="00262D77">
              <w:t>o</w:t>
            </w:r>
            <w:r>
              <w:t>utcomes</w:t>
            </w:r>
          </w:p>
          <w:p w14:paraId="5BBAE815" w14:textId="77777777" w:rsidR="00317D97" w:rsidRPr="00577905" w:rsidRDefault="00317D97" w:rsidP="00D40FF3">
            <w:pPr>
              <w:pStyle w:val="ListParagraph"/>
              <w:rPr>
                <w:rFonts w:cs="Arial"/>
              </w:rPr>
            </w:pPr>
          </w:p>
        </w:tc>
      </w:tr>
    </w:tbl>
    <w:p w14:paraId="78C62463" w14:textId="77777777" w:rsidR="00262D77" w:rsidRDefault="00262D77" w:rsidP="00E22673">
      <w:pPr>
        <w:rPr>
          <w:rFonts w:cs="Arial"/>
        </w:rPr>
      </w:pPr>
    </w:p>
    <w:p w14:paraId="6E938CF0" w14:textId="2F01F2A3" w:rsidR="009C0662" w:rsidRPr="00E22673" w:rsidRDefault="009F5837" w:rsidP="00E22673">
      <w:pPr>
        <w:rPr>
          <w:rFonts w:cs="Arial"/>
        </w:rPr>
      </w:pPr>
      <w:r w:rsidRPr="00E22673">
        <w:rPr>
          <w:rFonts w:cs="Arial"/>
        </w:rPr>
        <w:t xml:space="preserve">The </w:t>
      </w:r>
      <w:r w:rsidR="009C0662" w:rsidRPr="00E22673">
        <w:rPr>
          <w:rFonts w:cs="Arial"/>
        </w:rPr>
        <w:t xml:space="preserve">NDIA reserves the right to </w:t>
      </w:r>
      <w:r w:rsidR="009C0662" w:rsidRPr="00E22673">
        <w:rPr>
          <w:rFonts w:cs="Arial"/>
          <w:color w:val="000000" w:themeColor="text1"/>
        </w:rPr>
        <w:t xml:space="preserve">increase or decrease </w:t>
      </w:r>
      <w:r w:rsidR="009C0662" w:rsidRPr="00E22673">
        <w:rPr>
          <w:rFonts w:cs="Arial"/>
        </w:rPr>
        <w:t xml:space="preserve">the overall amount of funding </w:t>
      </w:r>
      <w:r w:rsidR="00FA34E7" w:rsidRPr="00E22673">
        <w:rPr>
          <w:rFonts w:cs="Arial"/>
        </w:rPr>
        <w:t>available in this funding round and change the funding split</w:t>
      </w:r>
      <w:r w:rsidR="000F36F6" w:rsidRPr="00E22673">
        <w:rPr>
          <w:rFonts w:cs="Arial"/>
        </w:rPr>
        <w:t xml:space="preserve"> between organisation types</w:t>
      </w:r>
      <w:r w:rsidR="00FA34E7" w:rsidRPr="00E22673">
        <w:rPr>
          <w:rFonts w:cs="Arial"/>
        </w:rPr>
        <w:t xml:space="preserve"> in the above table</w:t>
      </w:r>
      <w:r w:rsidR="000F36F6" w:rsidRPr="00E22673">
        <w:rPr>
          <w:rFonts w:cs="Arial"/>
        </w:rPr>
        <w:t xml:space="preserve"> based on the quantity and quality of application</w:t>
      </w:r>
      <w:r w:rsidR="00F4311E" w:rsidRPr="00E22673">
        <w:rPr>
          <w:rFonts w:cs="Arial"/>
        </w:rPr>
        <w:t>s</w:t>
      </w:r>
      <w:r w:rsidR="000F36F6" w:rsidRPr="00E22673">
        <w:rPr>
          <w:rFonts w:cs="Arial"/>
        </w:rPr>
        <w:t xml:space="preserve"> received</w:t>
      </w:r>
      <w:r w:rsidR="00FA34E7" w:rsidRPr="00E22673">
        <w:rPr>
          <w:rFonts w:cs="Arial"/>
        </w:rPr>
        <w:t>.</w:t>
      </w:r>
    </w:p>
    <w:p w14:paraId="2D92D377" w14:textId="77777777" w:rsidR="006840D8" w:rsidRPr="00E22673" w:rsidRDefault="006840D8" w:rsidP="00E22673">
      <w:pPr>
        <w:rPr>
          <w:rFonts w:cs="Arial"/>
        </w:rPr>
      </w:pPr>
      <w:r w:rsidRPr="00E22673">
        <w:rPr>
          <w:rFonts w:cs="Arial"/>
        </w:rPr>
        <w:lastRenderedPageBreak/>
        <w:t xml:space="preserve">Applicants should be aware that the amount of funding applied for </w:t>
      </w:r>
      <w:proofErr w:type="gramStart"/>
      <w:r w:rsidRPr="00E22673">
        <w:rPr>
          <w:rFonts w:cs="Arial"/>
        </w:rPr>
        <w:t>will</w:t>
      </w:r>
      <w:proofErr w:type="gramEnd"/>
      <w:r w:rsidRPr="00E22673">
        <w:rPr>
          <w:rFonts w:cs="Arial"/>
        </w:rPr>
        <w:t xml:space="preserve"> be taken into account when determining whether or not an individual application represents value </w:t>
      </w:r>
      <w:r w:rsidR="00D40FF3" w:rsidRPr="00E22673">
        <w:rPr>
          <w:rFonts w:cs="Arial"/>
        </w:rPr>
        <w:t xml:space="preserve">with relevant </w:t>
      </w:r>
      <w:r w:rsidRPr="00E22673">
        <w:rPr>
          <w:rFonts w:cs="Arial"/>
        </w:rPr>
        <w:t>money.</w:t>
      </w:r>
    </w:p>
    <w:p w14:paraId="74C754DE" w14:textId="77777777" w:rsidR="00317D97" w:rsidRDefault="00317D97" w:rsidP="00317D97">
      <w:pPr>
        <w:pStyle w:val="Heading3"/>
      </w:pPr>
      <w:bookmarkStart w:id="12" w:name="_Toc13743143"/>
      <w:bookmarkStart w:id="13" w:name="_Toc16774064"/>
      <w:r>
        <w:t>Applications for funding under $90,000 over total grant period</w:t>
      </w:r>
      <w:bookmarkEnd w:id="12"/>
      <w:bookmarkEnd w:id="13"/>
    </w:p>
    <w:p w14:paraId="1E0FC448" w14:textId="38FE4149" w:rsidR="00317D97" w:rsidRPr="00E22673" w:rsidRDefault="00317D97" w:rsidP="00E22673">
      <w:pPr>
        <w:rPr>
          <w:rFonts w:cs="Arial"/>
        </w:rPr>
      </w:pPr>
      <w:r w:rsidRPr="00E22673">
        <w:rPr>
          <w:rFonts w:cs="Arial"/>
        </w:rPr>
        <w:t>Applicants who apply for total funding under $90,000 (GST Excl</w:t>
      </w:r>
      <w:r w:rsidR="003A339F" w:rsidRPr="00E22673">
        <w:rPr>
          <w:rFonts w:cs="Arial"/>
        </w:rPr>
        <w:t>.</w:t>
      </w:r>
      <w:r w:rsidRPr="00E22673">
        <w:rPr>
          <w:rFonts w:cs="Arial"/>
        </w:rPr>
        <w:t>) over the tot</w:t>
      </w:r>
      <w:r w:rsidR="006810D3">
        <w:rPr>
          <w:rFonts w:cs="Arial"/>
        </w:rPr>
        <w:t>al life of the grant</w:t>
      </w:r>
      <w:r w:rsidRPr="00E22673">
        <w:rPr>
          <w:rFonts w:cs="Arial"/>
        </w:rPr>
        <w:t xml:space="preserve"> do not need to respond to </w:t>
      </w:r>
      <w:r w:rsidR="00E02430">
        <w:rPr>
          <w:rFonts w:cs="Arial"/>
        </w:rPr>
        <w:t>s</w:t>
      </w:r>
      <w:r w:rsidR="00127273">
        <w:rPr>
          <w:rFonts w:cs="Arial"/>
        </w:rPr>
        <w:t>election</w:t>
      </w:r>
      <w:r w:rsidRPr="00E22673">
        <w:rPr>
          <w:rFonts w:cs="Arial"/>
        </w:rPr>
        <w:t xml:space="preserve"> </w:t>
      </w:r>
      <w:r w:rsidR="00E02430">
        <w:rPr>
          <w:rFonts w:cs="Arial"/>
        </w:rPr>
        <w:t>c</w:t>
      </w:r>
      <w:r w:rsidRPr="00E22673">
        <w:rPr>
          <w:rFonts w:cs="Arial"/>
        </w:rPr>
        <w:t xml:space="preserve">riterion 3 in the application form. These projects are likely to </w:t>
      </w:r>
      <w:proofErr w:type="gramStart"/>
      <w:r w:rsidRPr="00E22673">
        <w:rPr>
          <w:rFonts w:cs="Arial"/>
        </w:rPr>
        <w:t>be based</w:t>
      </w:r>
      <w:proofErr w:type="gramEnd"/>
      <w:r w:rsidRPr="00E22673">
        <w:rPr>
          <w:rFonts w:cs="Arial"/>
        </w:rPr>
        <w:t xml:space="preserve"> in local communities. Below are some examples of projects under $90,000:</w:t>
      </w:r>
    </w:p>
    <w:p w14:paraId="5DE9CCE8" w14:textId="77777777" w:rsidR="00317D97" w:rsidRPr="00E22673" w:rsidRDefault="00317D97" w:rsidP="00E22673">
      <w:pPr>
        <w:pStyle w:val="ListParagraph"/>
        <w:numPr>
          <w:ilvl w:val="0"/>
          <w:numId w:val="60"/>
        </w:numPr>
        <w:contextualSpacing w:val="0"/>
        <w:rPr>
          <w:rFonts w:cs="Arial"/>
        </w:rPr>
      </w:pPr>
      <w:r w:rsidRPr="00E22673">
        <w:rPr>
          <w:rFonts w:cs="Arial"/>
        </w:rPr>
        <w:t xml:space="preserve">Supporting </w:t>
      </w:r>
      <w:r w:rsidRPr="00E22673">
        <w:rPr>
          <w:rFonts w:cs="Arial"/>
          <w:b/>
        </w:rPr>
        <w:t xml:space="preserve">existing peer led groups </w:t>
      </w:r>
      <w:r w:rsidRPr="00E22673">
        <w:rPr>
          <w:rFonts w:cs="Arial"/>
        </w:rPr>
        <w:t>for the maintenance and support of the group such as venue hire, assistance with interpreting, and other costs associated with running the group.</w:t>
      </w:r>
    </w:p>
    <w:p w14:paraId="6D66B672" w14:textId="77777777" w:rsidR="00317D97" w:rsidRPr="00E22673" w:rsidRDefault="00317D97" w:rsidP="00E22673">
      <w:pPr>
        <w:pStyle w:val="ListParagraph"/>
        <w:numPr>
          <w:ilvl w:val="0"/>
          <w:numId w:val="60"/>
        </w:numPr>
        <w:contextualSpacing w:val="0"/>
        <w:rPr>
          <w:rFonts w:cs="Arial"/>
        </w:rPr>
      </w:pPr>
      <w:proofErr w:type="gramStart"/>
      <w:r w:rsidRPr="00E22673">
        <w:rPr>
          <w:rFonts w:cs="Arial"/>
        </w:rPr>
        <w:t>Small scale</w:t>
      </w:r>
      <w:proofErr w:type="gramEnd"/>
      <w:r w:rsidRPr="00E22673">
        <w:rPr>
          <w:rFonts w:cs="Arial"/>
        </w:rPr>
        <w:t xml:space="preserve"> projects </w:t>
      </w:r>
      <w:r w:rsidR="00F4311E" w:rsidRPr="00E22673">
        <w:rPr>
          <w:rFonts w:cs="Arial"/>
        </w:rPr>
        <w:t xml:space="preserve">or pilot projects </w:t>
      </w:r>
      <w:r w:rsidRPr="00E22673">
        <w:rPr>
          <w:rFonts w:cs="Arial"/>
        </w:rPr>
        <w:t>that contribute to building the capacity of people with disability in the local community.</w:t>
      </w:r>
    </w:p>
    <w:p w14:paraId="18722F46" w14:textId="4937C325" w:rsidR="00F4311E" w:rsidRPr="00E22673" w:rsidRDefault="00F4311E" w:rsidP="00E22673">
      <w:pPr>
        <w:pStyle w:val="ListParagraph"/>
        <w:numPr>
          <w:ilvl w:val="0"/>
          <w:numId w:val="60"/>
        </w:numPr>
        <w:contextualSpacing w:val="0"/>
        <w:rPr>
          <w:rFonts w:cs="Arial"/>
        </w:rPr>
      </w:pPr>
      <w:r w:rsidRPr="00E22673">
        <w:rPr>
          <w:rFonts w:cs="Arial"/>
        </w:rPr>
        <w:t>Building capacity of a place</w:t>
      </w:r>
      <w:r w:rsidR="006810D3">
        <w:rPr>
          <w:rFonts w:cs="Arial"/>
        </w:rPr>
        <w:t>-</w:t>
      </w:r>
      <w:r w:rsidRPr="00E22673">
        <w:rPr>
          <w:rFonts w:cs="Arial"/>
        </w:rPr>
        <w:t>ba</w:t>
      </w:r>
      <w:r w:rsidR="00720E07" w:rsidRPr="00E22673">
        <w:rPr>
          <w:rFonts w:cs="Arial"/>
        </w:rPr>
        <w:t>s</w:t>
      </w:r>
      <w:r w:rsidRPr="00E22673">
        <w:rPr>
          <w:rFonts w:cs="Arial"/>
        </w:rPr>
        <w:t xml:space="preserve">ed </w:t>
      </w:r>
      <w:r w:rsidR="00720E07" w:rsidRPr="00E22673">
        <w:rPr>
          <w:rFonts w:cs="Arial"/>
        </w:rPr>
        <w:t>community or community of interest while also strengthening the infrastructure of the group to further its mission</w:t>
      </w:r>
      <w:r w:rsidR="009F5837" w:rsidRPr="00E22673">
        <w:rPr>
          <w:rFonts w:cs="Arial"/>
        </w:rPr>
        <w:t>.</w:t>
      </w:r>
    </w:p>
    <w:p w14:paraId="6F8C4DA5" w14:textId="77777777" w:rsidR="00FE3F18" w:rsidRDefault="00FE3F18" w:rsidP="001505F4">
      <w:pPr>
        <w:pStyle w:val="Heading3"/>
      </w:pPr>
      <w:bookmarkStart w:id="14" w:name="_Toc16774065"/>
      <w:r>
        <w:t>Other considerations</w:t>
      </w:r>
      <w:bookmarkEnd w:id="14"/>
    </w:p>
    <w:p w14:paraId="748B9C23" w14:textId="77777777" w:rsidR="00AC400F" w:rsidRPr="00E22673" w:rsidRDefault="00AC400F" w:rsidP="00E22673">
      <w:pPr>
        <w:rPr>
          <w:rFonts w:eastAsia="Calibri" w:cs="Arial"/>
        </w:rPr>
      </w:pPr>
      <w:r w:rsidRPr="00E22673">
        <w:rPr>
          <w:rFonts w:eastAsia="Calibri" w:cs="Arial"/>
        </w:rPr>
        <w:t xml:space="preserve">During a competitive selection process, applications that </w:t>
      </w:r>
      <w:proofErr w:type="gramStart"/>
      <w:r w:rsidRPr="00E22673">
        <w:rPr>
          <w:rFonts w:eastAsia="Calibri" w:cs="Arial"/>
        </w:rPr>
        <w:t>are found</w:t>
      </w:r>
      <w:proofErr w:type="gramEnd"/>
      <w:r w:rsidRPr="00E22673">
        <w:rPr>
          <w:rFonts w:eastAsia="Calibri" w:cs="Arial"/>
        </w:rPr>
        <w:t xml:space="preserve"> to be suitable will be subject to a comparative assessment. Regardless of the selection process adopted, if the NDIA considers that the applications received through a funding round are unlikely to:</w:t>
      </w:r>
    </w:p>
    <w:p w14:paraId="2AF1EBD1" w14:textId="5D0C0CA0" w:rsidR="00AC400F" w:rsidRPr="00E22673" w:rsidRDefault="00AC400F" w:rsidP="00E22673">
      <w:pPr>
        <w:pStyle w:val="Bullet1"/>
        <w:spacing w:before="40" w:after="120"/>
        <w:rPr>
          <w:rFonts w:cs="Arial"/>
        </w:rPr>
      </w:pPr>
      <w:r w:rsidRPr="00E22673">
        <w:rPr>
          <w:rFonts w:cs="Arial"/>
        </w:rPr>
        <w:t>meet the NDIA and ILC Program objectives</w:t>
      </w:r>
    </w:p>
    <w:p w14:paraId="1DF08991" w14:textId="73F84F2E" w:rsidR="00AC400F" w:rsidRPr="00E22673" w:rsidRDefault="00AC400F" w:rsidP="00E22673">
      <w:pPr>
        <w:pStyle w:val="Bullet1"/>
        <w:spacing w:before="40" w:after="120"/>
        <w:rPr>
          <w:rFonts w:cs="Arial"/>
        </w:rPr>
      </w:pPr>
      <w:r w:rsidRPr="00E22673">
        <w:rPr>
          <w:rFonts w:cs="Arial"/>
        </w:rPr>
        <w:t>deliver a satisf</w:t>
      </w:r>
      <w:r w:rsidR="002C466B">
        <w:rPr>
          <w:rFonts w:cs="Arial"/>
        </w:rPr>
        <w:t>actory result for the community</w:t>
      </w:r>
    </w:p>
    <w:p w14:paraId="2FDA54F2" w14:textId="77777777" w:rsidR="00AC400F" w:rsidRPr="00E22673" w:rsidRDefault="00AC400F" w:rsidP="00E22673">
      <w:pPr>
        <w:rPr>
          <w:rFonts w:eastAsia="Calibri" w:cs="Arial"/>
        </w:rPr>
      </w:pPr>
      <w:proofErr w:type="gramStart"/>
      <w:r w:rsidRPr="00E22673">
        <w:rPr>
          <w:rFonts w:eastAsia="Calibri" w:cs="Arial"/>
        </w:rPr>
        <w:t>then</w:t>
      </w:r>
      <w:proofErr w:type="gramEnd"/>
      <w:r w:rsidRPr="00E22673">
        <w:rPr>
          <w:rFonts w:eastAsia="Calibri" w:cs="Arial"/>
        </w:rPr>
        <w:t xml:space="preserve"> all or part of the funding round may be withdrawn or readvertised at the NDIA’s discretion; or the NDIA may decide to conduct a new and/or different selection process for that funding round. For all funding rounds or opportunities, the NDIA delegate will ultimately determine whether an application will receive funding, the amount of funding to </w:t>
      </w:r>
      <w:proofErr w:type="gramStart"/>
      <w:r w:rsidRPr="00E22673">
        <w:rPr>
          <w:rFonts w:eastAsia="Calibri" w:cs="Arial"/>
        </w:rPr>
        <w:t>be allocated</w:t>
      </w:r>
      <w:proofErr w:type="gramEnd"/>
      <w:r w:rsidRPr="00E22673">
        <w:rPr>
          <w:rFonts w:eastAsia="Calibri" w:cs="Arial"/>
        </w:rPr>
        <w:t xml:space="preserve"> and/or whether the allocated budget for the funding round is fully expended.</w:t>
      </w:r>
    </w:p>
    <w:p w14:paraId="65F99683" w14:textId="78F162F1" w:rsidR="009C0662" w:rsidRPr="00E22673" w:rsidRDefault="009F5837" w:rsidP="00E22673">
      <w:pPr>
        <w:rPr>
          <w:rFonts w:cs="Arial"/>
        </w:rPr>
      </w:pPr>
      <w:r w:rsidRPr="00E22673">
        <w:rPr>
          <w:rFonts w:cs="Arial"/>
        </w:rPr>
        <w:t xml:space="preserve">The </w:t>
      </w:r>
      <w:r w:rsidR="008345ED" w:rsidRPr="00E22673">
        <w:rPr>
          <w:rFonts w:cs="Arial"/>
        </w:rPr>
        <w:t>NDIA anticipate</w:t>
      </w:r>
      <w:r w:rsidR="006810D3">
        <w:rPr>
          <w:rFonts w:cs="Arial"/>
        </w:rPr>
        <w:t>s</w:t>
      </w:r>
      <w:r w:rsidR="008345ED" w:rsidRPr="00E22673">
        <w:rPr>
          <w:rFonts w:cs="Arial"/>
        </w:rPr>
        <w:t xml:space="preserve"> further </w:t>
      </w:r>
      <w:r w:rsidR="009C0662" w:rsidRPr="00E22673">
        <w:rPr>
          <w:rFonts w:cs="Arial"/>
        </w:rPr>
        <w:t>grant opportunities for</w:t>
      </w:r>
      <w:r w:rsidR="00D40FF3" w:rsidRPr="00E22673">
        <w:rPr>
          <w:rFonts w:cs="Arial"/>
        </w:rPr>
        <w:t xml:space="preserve"> Individual </w:t>
      </w:r>
      <w:r w:rsidR="009C0662" w:rsidRPr="00E22673">
        <w:rPr>
          <w:rFonts w:cs="Arial"/>
        </w:rPr>
        <w:t>Capacity Building Program will be available in subsequent financial years.</w:t>
      </w:r>
    </w:p>
    <w:p w14:paraId="33100E2F" w14:textId="77777777" w:rsidR="00F87000" w:rsidRDefault="009F5837" w:rsidP="001505F4">
      <w:pPr>
        <w:pStyle w:val="Heading3"/>
      </w:pPr>
      <w:bookmarkStart w:id="15" w:name="_Toc16774066"/>
      <w:r>
        <w:t>Geographical l</w:t>
      </w:r>
      <w:r w:rsidR="00F87000">
        <w:t>ocation</w:t>
      </w:r>
      <w:bookmarkEnd w:id="15"/>
    </w:p>
    <w:p w14:paraId="09FCFED0" w14:textId="77777777" w:rsidR="0088319C" w:rsidRPr="00E22673" w:rsidRDefault="00577905" w:rsidP="00E22673">
      <w:pPr>
        <w:rPr>
          <w:rFonts w:cs="Arial"/>
        </w:rPr>
      </w:pPr>
      <w:r w:rsidRPr="00E22673">
        <w:rPr>
          <w:rFonts w:cs="Arial"/>
        </w:rPr>
        <w:t xml:space="preserve">This </w:t>
      </w:r>
      <w:r w:rsidR="0088319C" w:rsidRPr="00E22673">
        <w:rPr>
          <w:rFonts w:cs="Arial"/>
        </w:rPr>
        <w:t xml:space="preserve">grant round will be a national round with a spread of grants across all jurisdictions. Applicants can apply to deliver activities nationally, across multiple jurisdictions, state-based or in particular regions or local areas. </w:t>
      </w:r>
    </w:p>
    <w:p w14:paraId="49C82DF4" w14:textId="77777777" w:rsidR="00B35873" w:rsidRDefault="00B35873" w:rsidP="001505F4">
      <w:pPr>
        <w:pStyle w:val="Heading3"/>
      </w:pPr>
      <w:bookmarkStart w:id="16" w:name="_Toc16774067"/>
      <w:r>
        <w:t xml:space="preserve">Outcomes </w:t>
      </w:r>
      <w:r w:rsidR="008E4C28">
        <w:t>and performance indicators</w:t>
      </w:r>
      <w:bookmarkEnd w:id="16"/>
    </w:p>
    <w:p w14:paraId="1F97D2EB" w14:textId="77777777" w:rsidR="00CB5B34" w:rsidRPr="00E22673" w:rsidRDefault="00CB5B34" w:rsidP="00E22673">
      <w:pPr>
        <w:rPr>
          <w:rFonts w:cs="Arial"/>
        </w:rPr>
      </w:pPr>
      <w:r w:rsidRPr="00E22673">
        <w:rPr>
          <w:rFonts w:cs="Arial"/>
        </w:rPr>
        <w:t>The intended outcomes of the ICB activities are:</w:t>
      </w:r>
    </w:p>
    <w:p w14:paraId="1E833CB7" w14:textId="77777777" w:rsidR="00577905" w:rsidRPr="00E22673" w:rsidRDefault="009F5837" w:rsidP="00E22673">
      <w:pPr>
        <w:pStyle w:val="Bullet1"/>
        <w:numPr>
          <w:ilvl w:val="0"/>
          <w:numId w:val="67"/>
        </w:numPr>
        <w:suppressAutoHyphens w:val="0"/>
        <w:spacing w:before="40" w:after="120"/>
        <w:rPr>
          <w:rFonts w:cs="Arial"/>
          <w:lang w:eastAsia="en-AU"/>
        </w:rPr>
      </w:pPr>
      <w:r w:rsidRPr="00E22673">
        <w:rPr>
          <w:rFonts w:cs="Arial"/>
          <w:lang w:eastAsia="en-AU"/>
        </w:rPr>
        <w:t>i</w:t>
      </w:r>
      <w:r w:rsidR="00CB5B34" w:rsidRPr="00E22673">
        <w:rPr>
          <w:rFonts w:cs="Arial"/>
          <w:lang w:eastAsia="en-AU"/>
        </w:rPr>
        <w:t xml:space="preserve">ncreased skills and capacity of </w:t>
      </w:r>
      <w:r w:rsidR="00577905" w:rsidRPr="00E22673">
        <w:rPr>
          <w:rFonts w:cs="Arial"/>
          <w:lang w:eastAsia="en-AU"/>
        </w:rPr>
        <w:t>individuals</w:t>
      </w:r>
    </w:p>
    <w:p w14:paraId="2BBD0CED" w14:textId="77777777" w:rsidR="00CB5B34" w:rsidRPr="00E22673" w:rsidRDefault="009F5837" w:rsidP="00E22673">
      <w:pPr>
        <w:pStyle w:val="Bullet1"/>
        <w:numPr>
          <w:ilvl w:val="0"/>
          <w:numId w:val="67"/>
        </w:numPr>
        <w:suppressAutoHyphens w:val="0"/>
        <w:spacing w:before="40" w:after="120"/>
        <w:rPr>
          <w:rFonts w:cs="Arial"/>
          <w:lang w:eastAsia="en-AU"/>
        </w:rPr>
      </w:pPr>
      <w:r w:rsidRPr="00E22673">
        <w:rPr>
          <w:rFonts w:cs="Arial"/>
          <w:lang w:eastAsia="en-AU"/>
        </w:rPr>
        <w:t>i</w:t>
      </w:r>
      <w:r w:rsidR="00CB5B34" w:rsidRPr="00E22673">
        <w:rPr>
          <w:rFonts w:cs="Arial"/>
          <w:lang w:eastAsia="en-AU"/>
        </w:rPr>
        <w:t>ncreased motivation, confidence and empowerment to act</w:t>
      </w:r>
    </w:p>
    <w:p w14:paraId="0EA5AEC7" w14:textId="77777777" w:rsidR="00CB5B34" w:rsidRPr="00E22673" w:rsidRDefault="009F5837" w:rsidP="00E22673">
      <w:pPr>
        <w:pStyle w:val="Bullet1"/>
        <w:numPr>
          <w:ilvl w:val="0"/>
          <w:numId w:val="67"/>
        </w:numPr>
        <w:suppressAutoHyphens w:val="0"/>
        <w:spacing w:before="40" w:after="120"/>
        <w:rPr>
          <w:rFonts w:cs="Arial"/>
          <w:lang w:eastAsia="en-AU"/>
        </w:rPr>
      </w:pPr>
      <w:proofErr w:type="gramStart"/>
      <w:r w:rsidRPr="00E22673">
        <w:rPr>
          <w:rFonts w:cs="Arial"/>
          <w:lang w:eastAsia="en-AU"/>
        </w:rPr>
        <w:t>i</w:t>
      </w:r>
      <w:r w:rsidR="00CB5B34" w:rsidRPr="00E22673">
        <w:rPr>
          <w:rFonts w:cs="Arial"/>
          <w:lang w:eastAsia="en-AU"/>
        </w:rPr>
        <w:t>ncreased</w:t>
      </w:r>
      <w:proofErr w:type="gramEnd"/>
      <w:r w:rsidR="00CB5B34" w:rsidRPr="00E22673">
        <w:rPr>
          <w:rFonts w:cs="Arial"/>
          <w:lang w:eastAsia="en-AU"/>
        </w:rPr>
        <w:t xml:space="preserve"> participation in and contribution to community</w:t>
      </w:r>
      <w:r w:rsidRPr="00E22673">
        <w:rPr>
          <w:rFonts w:cs="Arial"/>
          <w:lang w:eastAsia="en-AU"/>
        </w:rPr>
        <w:t>.</w:t>
      </w:r>
    </w:p>
    <w:p w14:paraId="052EB122" w14:textId="76A2B786" w:rsidR="00CB5B34" w:rsidRPr="00E22673" w:rsidRDefault="00CB5B34" w:rsidP="00E22673">
      <w:pPr>
        <w:rPr>
          <w:rFonts w:cs="Arial"/>
        </w:rPr>
      </w:pPr>
      <w:r w:rsidRPr="00E22673">
        <w:rPr>
          <w:rFonts w:cs="Arial"/>
          <w:lang w:eastAsia="en-AU"/>
        </w:rPr>
        <w:t xml:space="preserve">The intended outcome for the OCB activities </w:t>
      </w:r>
      <w:r w:rsidR="006810D3">
        <w:rPr>
          <w:rFonts w:cs="Arial"/>
          <w:lang w:eastAsia="en-AU"/>
        </w:rPr>
        <w:t>is</w:t>
      </w:r>
      <w:r w:rsidRPr="00E22673">
        <w:rPr>
          <w:rFonts w:cs="Arial"/>
          <w:lang w:eastAsia="en-AU"/>
        </w:rPr>
        <w:t xml:space="preserve"> to </w:t>
      </w:r>
      <w:r w:rsidRPr="00E22673">
        <w:rPr>
          <w:rFonts w:cs="Arial"/>
        </w:rPr>
        <w:t>build the capability of Disabled Peoples and Families Organisations (</w:t>
      </w:r>
      <w:r w:rsidR="00577905" w:rsidRPr="00E22673">
        <w:rPr>
          <w:rFonts w:cs="Arial"/>
        </w:rPr>
        <w:t>DPO/FOs</w:t>
      </w:r>
      <w:r w:rsidRPr="00E22673">
        <w:rPr>
          <w:rFonts w:cs="Arial"/>
        </w:rPr>
        <w:t xml:space="preserve">) to </w:t>
      </w:r>
      <w:r w:rsidR="00720E07" w:rsidRPr="00E22673">
        <w:rPr>
          <w:rFonts w:cs="Arial"/>
        </w:rPr>
        <w:t xml:space="preserve">improve their </w:t>
      </w:r>
      <w:r w:rsidRPr="00E22673">
        <w:rPr>
          <w:rFonts w:cs="Arial"/>
        </w:rPr>
        <w:t>deliver</w:t>
      </w:r>
      <w:r w:rsidR="00720E07" w:rsidRPr="00E22673">
        <w:rPr>
          <w:rFonts w:cs="Arial"/>
        </w:rPr>
        <w:t>y</w:t>
      </w:r>
      <w:r w:rsidRPr="00E22673">
        <w:rPr>
          <w:rFonts w:cs="Arial"/>
        </w:rPr>
        <w:t xml:space="preserve"> </w:t>
      </w:r>
      <w:r w:rsidR="00720E07" w:rsidRPr="00E22673">
        <w:rPr>
          <w:rFonts w:cs="Arial"/>
        </w:rPr>
        <w:t xml:space="preserve">of current and future </w:t>
      </w:r>
      <w:r w:rsidRPr="00E22673">
        <w:rPr>
          <w:rFonts w:cs="Arial"/>
        </w:rPr>
        <w:t>ILC activities.</w:t>
      </w:r>
      <w:r w:rsidR="006D1639">
        <w:rPr>
          <w:rFonts w:cs="Arial"/>
        </w:rPr>
        <w:t xml:space="preserve"> </w:t>
      </w:r>
    </w:p>
    <w:p w14:paraId="6B4E189A" w14:textId="77777777" w:rsidR="008345ED" w:rsidRPr="00E22673" w:rsidRDefault="008E4C28" w:rsidP="00E22673">
      <w:pPr>
        <w:rPr>
          <w:rFonts w:cs="Arial"/>
        </w:rPr>
      </w:pPr>
      <w:r w:rsidRPr="00E22673">
        <w:rPr>
          <w:rFonts w:cs="Arial"/>
        </w:rPr>
        <w:t xml:space="preserve">Grant Recipients will be required to report </w:t>
      </w:r>
      <w:r w:rsidR="00720E07" w:rsidRPr="00E22673">
        <w:rPr>
          <w:rFonts w:cs="Arial"/>
        </w:rPr>
        <w:t>on both outputs and outcomes</w:t>
      </w:r>
      <w:r w:rsidRPr="00E22673">
        <w:rPr>
          <w:rFonts w:cs="Arial"/>
        </w:rPr>
        <w:t xml:space="preserve"> that </w:t>
      </w:r>
      <w:proofErr w:type="gramStart"/>
      <w:r w:rsidRPr="00E22673">
        <w:rPr>
          <w:rFonts w:cs="Arial"/>
        </w:rPr>
        <w:t xml:space="preserve">have been documented and agreed </w:t>
      </w:r>
      <w:r w:rsidR="00720E07" w:rsidRPr="00E22673">
        <w:rPr>
          <w:rFonts w:cs="Arial"/>
        </w:rPr>
        <w:t xml:space="preserve">to in </w:t>
      </w:r>
      <w:r w:rsidRPr="00E22673">
        <w:rPr>
          <w:rFonts w:cs="Arial"/>
        </w:rPr>
        <w:t>the Activity Work Plan</w:t>
      </w:r>
      <w:proofErr w:type="gramEnd"/>
      <w:r w:rsidRPr="00E22673">
        <w:rPr>
          <w:rFonts w:cs="Arial"/>
        </w:rPr>
        <w:t xml:space="preserve">. </w:t>
      </w:r>
    </w:p>
    <w:p w14:paraId="2E12AF14" w14:textId="77777777" w:rsidR="008345ED" w:rsidRPr="00E22673" w:rsidRDefault="008345ED" w:rsidP="00E22673">
      <w:pPr>
        <w:rPr>
          <w:rFonts w:cs="Arial"/>
        </w:rPr>
      </w:pPr>
      <w:r w:rsidRPr="00E22673">
        <w:rPr>
          <w:rFonts w:cs="Arial"/>
        </w:rPr>
        <w:lastRenderedPageBreak/>
        <w:t xml:space="preserve">Further information and guidance </w:t>
      </w:r>
      <w:proofErr w:type="gramStart"/>
      <w:r w:rsidRPr="00E22673">
        <w:rPr>
          <w:rFonts w:cs="Arial"/>
        </w:rPr>
        <w:t>will be provided</w:t>
      </w:r>
      <w:proofErr w:type="gramEnd"/>
      <w:r w:rsidRPr="00E22673">
        <w:rPr>
          <w:rFonts w:cs="Arial"/>
        </w:rPr>
        <w:t xml:space="preserve"> to </w:t>
      </w:r>
      <w:r w:rsidR="00720E07" w:rsidRPr="00E22673">
        <w:rPr>
          <w:rFonts w:cs="Arial"/>
        </w:rPr>
        <w:t xml:space="preserve">successful </w:t>
      </w:r>
      <w:r w:rsidRPr="00E22673">
        <w:rPr>
          <w:rFonts w:cs="Arial"/>
        </w:rPr>
        <w:t xml:space="preserve">grant applicants regarding suitable indicators. </w:t>
      </w:r>
    </w:p>
    <w:p w14:paraId="1DD351BB" w14:textId="14247E9D" w:rsidR="008E4C28" w:rsidRPr="00E22673" w:rsidRDefault="00720E07" w:rsidP="00E22673">
      <w:pPr>
        <w:rPr>
          <w:rFonts w:cs="Arial"/>
        </w:rPr>
      </w:pPr>
      <w:r w:rsidRPr="00E22673">
        <w:rPr>
          <w:rFonts w:cs="Arial"/>
        </w:rPr>
        <w:t>Agreed p</w:t>
      </w:r>
      <w:r w:rsidR="008E4C28" w:rsidRPr="00E22673">
        <w:rPr>
          <w:rFonts w:cs="Arial"/>
        </w:rPr>
        <w:t xml:space="preserve">erformance indicators </w:t>
      </w:r>
      <w:proofErr w:type="gramStart"/>
      <w:r w:rsidR="008E4C28" w:rsidRPr="00E22673">
        <w:rPr>
          <w:rFonts w:cs="Arial"/>
        </w:rPr>
        <w:t>will be documented</w:t>
      </w:r>
      <w:proofErr w:type="gramEnd"/>
      <w:r w:rsidR="008E4C28" w:rsidRPr="00E22673">
        <w:rPr>
          <w:rFonts w:cs="Arial"/>
        </w:rPr>
        <w:t xml:space="preserve"> in </w:t>
      </w:r>
      <w:r w:rsidR="006810D3">
        <w:rPr>
          <w:rFonts w:cs="Arial"/>
        </w:rPr>
        <w:t>g</w:t>
      </w:r>
      <w:r w:rsidR="008E4C28" w:rsidRPr="00E22673">
        <w:rPr>
          <w:rFonts w:cs="Arial"/>
        </w:rPr>
        <w:t xml:space="preserve">rant </w:t>
      </w:r>
      <w:r w:rsidR="006810D3">
        <w:rPr>
          <w:rFonts w:cs="Arial"/>
        </w:rPr>
        <w:t>a</w:t>
      </w:r>
      <w:r w:rsidR="008E4C28" w:rsidRPr="00E22673">
        <w:rPr>
          <w:rFonts w:cs="Arial"/>
        </w:rPr>
        <w:t>greements and the Activity Work Plan. This will enable the impact of individual activities funded through the CICD Program as well as the impact of the CICD Program overall to be tracked.</w:t>
      </w:r>
    </w:p>
    <w:p w14:paraId="4EF34701" w14:textId="77777777" w:rsidR="008E4C28" w:rsidRPr="00E22673" w:rsidRDefault="008E4C28" w:rsidP="00E22673">
      <w:pPr>
        <w:rPr>
          <w:rFonts w:cs="Arial"/>
        </w:rPr>
      </w:pPr>
      <w:r w:rsidRPr="00E22673">
        <w:rPr>
          <w:rFonts w:cs="Arial"/>
        </w:rPr>
        <w:t xml:space="preserve">Some projects may require specific reporting which </w:t>
      </w:r>
      <w:proofErr w:type="gramStart"/>
      <w:r w:rsidRPr="00E22673">
        <w:rPr>
          <w:rFonts w:cs="Arial"/>
        </w:rPr>
        <w:t>will be defined</w:t>
      </w:r>
      <w:proofErr w:type="gramEnd"/>
      <w:r w:rsidRPr="00E22673">
        <w:rPr>
          <w:rFonts w:cs="Arial"/>
        </w:rPr>
        <w:t xml:space="preserve"> on an individual project basis. </w:t>
      </w:r>
      <w:r w:rsidR="00720E07" w:rsidRPr="00E22673">
        <w:rPr>
          <w:rFonts w:cs="Arial"/>
        </w:rPr>
        <w:t xml:space="preserve">The </w:t>
      </w:r>
      <w:r w:rsidRPr="00E22673">
        <w:rPr>
          <w:rFonts w:cs="Arial"/>
        </w:rPr>
        <w:t xml:space="preserve">NDIA will provide templates </w:t>
      </w:r>
      <w:r w:rsidR="00720E07" w:rsidRPr="00E22673">
        <w:rPr>
          <w:rFonts w:cs="Arial"/>
        </w:rPr>
        <w:t xml:space="preserve">that grant recipients are to use </w:t>
      </w:r>
      <w:r w:rsidRPr="00E22673">
        <w:rPr>
          <w:rFonts w:cs="Arial"/>
        </w:rPr>
        <w:t>for reporting.</w:t>
      </w:r>
    </w:p>
    <w:p w14:paraId="65F7C38F" w14:textId="77777777" w:rsidR="0088319C" w:rsidRDefault="0088319C" w:rsidP="0088319C">
      <w:pPr>
        <w:pStyle w:val="Heading2"/>
      </w:pPr>
      <w:bookmarkStart w:id="17" w:name="_Toc16774068"/>
      <w:r>
        <w:t>Eligibility criteria</w:t>
      </w:r>
      <w:bookmarkEnd w:id="17"/>
    </w:p>
    <w:p w14:paraId="6D1628C0" w14:textId="1D231BC6" w:rsidR="00CB5B34" w:rsidRDefault="00CB5B34" w:rsidP="00CB5B34">
      <w:pPr>
        <w:pStyle w:val="Heading3"/>
      </w:pPr>
      <w:bookmarkStart w:id="18" w:name="_Toc13743148"/>
      <w:bookmarkStart w:id="19" w:name="_Toc16774069"/>
      <w:r>
        <w:t>DP</w:t>
      </w:r>
      <w:r w:rsidR="00577905">
        <w:t>O/</w:t>
      </w:r>
      <w:r>
        <w:t>FO</w:t>
      </w:r>
      <w:r w:rsidR="00577905">
        <w:t>s</w:t>
      </w:r>
      <w:r w:rsidR="006810D3">
        <w:t xml:space="preserve"> and PCL c</w:t>
      </w:r>
      <w:r>
        <w:t>riteria</w:t>
      </w:r>
      <w:bookmarkEnd w:id="18"/>
      <w:bookmarkEnd w:id="19"/>
    </w:p>
    <w:p w14:paraId="0638DF03" w14:textId="0E454127" w:rsidR="00CB5B34" w:rsidRPr="00E22673" w:rsidRDefault="00CB5B34" w:rsidP="00E22673">
      <w:pPr>
        <w:pStyle w:val="BodyTextnospace"/>
        <w:spacing w:before="40" w:after="120"/>
        <w:rPr>
          <w:rFonts w:cs="Arial"/>
          <w:sz w:val="20"/>
        </w:rPr>
      </w:pPr>
      <w:r w:rsidRPr="00E22673">
        <w:rPr>
          <w:rFonts w:cs="Arial"/>
          <w:sz w:val="20"/>
        </w:rPr>
        <w:t xml:space="preserve">The following organisation types can apply for this grant opportunity. Applications from the types of organisations defined below </w:t>
      </w:r>
      <w:proofErr w:type="gramStart"/>
      <w:r w:rsidRPr="00E22673">
        <w:rPr>
          <w:rFonts w:cs="Arial"/>
          <w:sz w:val="20"/>
        </w:rPr>
        <w:t>will be considered and compared to other applications submitted by the same applicant type</w:t>
      </w:r>
      <w:proofErr w:type="gramEnd"/>
      <w:r w:rsidRPr="00E22673">
        <w:rPr>
          <w:rFonts w:cs="Arial"/>
          <w:sz w:val="20"/>
        </w:rPr>
        <w:t xml:space="preserve">. For example, applicants that meet the DPO/FO criteria </w:t>
      </w:r>
      <w:proofErr w:type="gramStart"/>
      <w:r w:rsidRPr="00E22673">
        <w:rPr>
          <w:rFonts w:cs="Arial"/>
          <w:sz w:val="20"/>
        </w:rPr>
        <w:t>will be assessed and compared w</w:t>
      </w:r>
      <w:r w:rsidR="006D1639">
        <w:rPr>
          <w:rFonts w:cs="Arial"/>
          <w:sz w:val="20"/>
        </w:rPr>
        <w:t>ith other DPO/FO applications</w:t>
      </w:r>
      <w:proofErr w:type="gramEnd"/>
      <w:r w:rsidR="006D1639">
        <w:rPr>
          <w:rFonts w:cs="Arial"/>
          <w:sz w:val="20"/>
        </w:rPr>
        <w:t xml:space="preserve">. </w:t>
      </w:r>
    </w:p>
    <w:p w14:paraId="4ED03062" w14:textId="77777777" w:rsidR="00CB5B34" w:rsidRPr="00E22673" w:rsidRDefault="00CB5B34" w:rsidP="00E22673">
      <w:pPr>
        <w:pStyle w:val="BodyTextnospace"/>
        <w:spacing w:before="40" w:after="120"/>
        <w:rPr>
          <w:rFonts w:cs="Arial"/>
          <w:sz w:val="20"/>
        </w:rPr>
      </w:pPr>
      <w:proofErr w:type="gramStart"/>
      <w:r w:rsidRPr="00E22673">
        <w:rPr>
          <w:rFonts w:cs="Arial"/>
          <w:b/>
          <w:sz w:val="20"/>
        </w:rPr>
        <w:t>1.a</w:t>
      </w:r>
      <w:proofErr w:type="gramEnd"/>
      <w:r w:rsidRPr="00E22673">
        <w:rPr>
          <w:rFonts w:cs="Arial"/>
          <w:b/>
          <w:sz w:val="20"/>
        </w:rPr>
        <w:t>) Disabled Peoples Organisations and Family Organisations (DPO/FOs)</w:t>
      </w:r>
      <w:r w:rsidRPr="00E22673">
        <w:rPr>
          <w:rFonts w:cs="Arial"/>
          <w:sz w:val="20"/>
        </w:rPr>
        <w:t xml:space="preserve"> with paid staff and a Board, who </w:t>
      </w:r>
      <w:r w:rsidRPr="00E22673">
        <w:rPr>
          <w:rFonts w:cs="Arial"/>
          <w:b/>
          <w:sz w:val="20"/>
          <w:u w:val="single"/>
        </w:rPr>
        <w:t>meet both</w:t>
      </w:r>
      <w:r w:rsidRPr="00E22673">
        <w:rPr>
          <w:rFonts w:cs="Arial"/>
          <w:sz w:val="20"/>
        </w:rPr>
        <w:t xml:space="preserve"> of the eligibility criteria outlined below:</w:t>
      </w:r>
    </w:p>
    <w:p w14:paraId="23DD0595" w14:textId="77777777" w:rsidR="00CB5B34" w:rsidRPr="00E22673" w:rsidRDefault="00CB5B34" w:rsidP="00E22673">
      <w:pPr>
        <w:pStyle w:val="BodyTextnospace"/>
        <w:numPr>
          <w:ilvl w:val="0"/>
          <w:numId w:val="61"/>
        </w:numPr>
        <w:spacing w:before="40" w:after="120"/>
        <w:rPr>
          <w:rFonts w:cs="Arial"/>
          <w:sz w:val="20"/>
        </w:rPr>
      </w:pPr>
      <w:r w:rsidRPr="00E22673">
        <w:rPr>
          <w:rFonts w:cs="Arial"/>
          <w:sz w:val="20"/>
        </w:rPr>
        <w:t xml:space="preserve">Actively </w:t>
      </w:r>
      <w:r w:rsidR="00720E07" w:rsidRPr="00E22673">
        <w:rPr>
          <w:rFonts w:cs="Arial"/>
          <w:sz w:val="20"/>
        </w:rPr>
        <w:t xml:space="preserve">evidence and </w:t>
      </w:r>
      <w:r w:rsidRPr="00E22673">
        <w:rPr>
          <w:rFonts w:cs="Arial"/>
          <w:sz w:val="20"/>
        </w:rPr>
        <w:t xml:space="preserve">demonstrate their commitment to the </w:t>
      </w:r>
      <w:r w:rsidR="00577905" w:rsidRPr="00E22673">
        <w:rPr>
          <w:rFonts w:cs="Arial"/>
          <w:sz w:val="20"/>
        </w:rPr>
        <w:t>Social Model of Disability</w:t>
      </w:r>
      <w:r w:rsidR="00AD5123" w:rsidRPr="00E22673">
        <w:rPr>
          <w:rStyle w:val="FootnoteReference"/>
          <w:rFonts w:cs="Arial"/>
          <w:sz w:val="20"/>
        </w:rPr>
        <w:footnoteReference w:id="2"/>
      </w:r>
      <w:r w:rsidR="00577905" w:rsidRPr="00E22673">
        <w:rPr>
          <w:rFonts w:cs="Arial"/>
          <w:sz w:val="20"/>
        </w:rPr>
        <w:t>,</w:t>
      </w:r>
      <w:r w:rsidRPr="00E22673">
        <w:rPr>
          <w:rFonts w:cs="Arial"/>
          <w:sz w:val="20"/>
        </w:rPr>
        <w:t xml:space="preserve"> which seeks to remove barriers for people with disability to access mainstream services and live an ordinary life; </w:t>
      </w:r>
      <w:r w:rsidRPr="00B242AC">
        <w:rPr>
          <w:rFonts w:cs="Arial"/>
          <w:b/>
          <w:sz w:val="20"/>
        </w:rPr>
        <w:t>and</w:t>
      </w:r>
    </w:p>
    <w:p w14:paraId="3B5AD5E2" w14:textId="11FC6477" w:rsidR="00CB5B34" w:rsidRPr="006D1639" w:rsidRDefault="00CB5B34" w:rsidP="00E22673">
      <w:pPr>
        <w:pStyle w:val="BodyTextnospace"/>
        <w:numPr>
          <w:ilvl w:val="0"/>
          <w:numId w:val="61"/>
        </w:numPr>
        <w:spacing w:before="40" w:after="120"/>
        <w:rPr>
          <w:rFonts w:cs="Arial"/>
          <w:sz w:val="20"/>
        </w:rPr>
      </w:pPr>
      <w:r w:rsidRPr="00E22673">
        <w:rPr>
          <w:rFonts w:cs="Arial"/>
          <w:sz w:val="20"/>
        </w:rPr>
        <w:t xml:space="preserve">Are run by and for people with disability and/or their </w:t>
      </w:r>
      <w:proofErr w:type="gramStart"/>
      <w:r w:rsidRPr="00E22673">
        <w:rPr>
          <w:rFonts w:cs="Arial"/>
          <w:sz w:val="20"/>
        </w:rPr>
        <w:t>families which is supported by evidence of a minimum of 50% of people with a disability</w:t>
      </w:r>
      <w:proofErr w:type="gramEnd"/>
      <w:r w:rsidRPr="00E22673">
        <w:rPr>
          <w:rFonts w:cs="Arial"/>
          <w:sz w:val="20"/>
        </w:rPr>
        <w:t xml:space="preserve"> and/or their families making up the organisation’s board or staff (or both).</w:t>
      </w:r>
    </w:p>
    <w:p w14:paraId="26CC23BB" w14:textId="77777777" w:rsidR="00CB5B34" w:rsidRPr="00E22673" w:rsidRDefault="00CB5B34" w:rsidP="00E22673">
      <w:pPr>
        <w:pStyle w:val="BodyTextnospace"/>
        <w:spacing w:before="40" w:after="120"/>
        <w:rPr>
          <w:rFonts w:cs="Arial"/>
          <w:sz w:val="20"/>
        </w:rPr>
      </w:pPr>
      <w:proofErr w:type="gramStart"/>
      <w:r w:rsidRPr="00E22673">
        <w:rPr>
          <w:rFonts w:cs="Arial"/>
          <w:b/>
          <w:sz w:val="20"/>
        </w:rPr>
        <w:t>1.b</w:t>
      </w:r>
      <w:proofErr w:type="gramEnd"/>
      <w:r w:rsidRPr="00E22673">
        <w:rPr>
          <w:rFonts w:cs="Arial"/>
          <w:b/>
          <w:sz w:val="20"/>
        </w:rPr>
        <w:t>) Disabled Peoples Organisations and Family Organisations (DPO/FOs)</w:t>
      </w:r>
      <w:r w:rsidRPr="00E22673">
        <w:rPr>
          <w:rFonts w:cs="Arial"/>
          <w:sz w:val="20"/>
        </w:rPr>
        <w:t xml:space="preserve"> with no paid staff, that meet both of the</w:t>
      </w:r>
      <w:r w:rsidRPr="00E22673">
        <w:rPr>
          <w:rFonts w:cs="Arial"/>
          <w:b/>
          <w:bCs/>
          <w:sz w:val="20"/>
          <w:u w:val="single"/>
        </w:rPr>
        <w:t xml:space="preserve"> criteria</w:t>
      </w:r>
      <w:r w:rsidRPr="00E22673">
        <w:rPr>
          <w:rFonts w:cs="Arial"/>
          <w:sz w:val="20"/>
        </w:rPr>
        <w:t xml:space="preserve"> outlined below: </w:t>
      </w:r>
    </w:p>
    <w:p w14:paraId="0083949B" w14:textId="77777777" w:rsidR="00CB5B34" w:rsidRPr="00E22673" w:rsidRDefault="00CB5B34" w:rsidP="00E22673">
      <w:pPr>
        <w:pStyle w:val="BodyTextnospace"/>
        <w:numPr>
          <w:ilvl w:val="0"/>
          <w:numId w:val="62"/>
        </w:numPr>
        <w:spacing w:before="40" w:after="120"/>
        <w:rPr>
          <w:rFonts w:cs="Arial"/>
          <w:sz w:val="20"/>
        </w:rPr>
      </w:pPr>
      <w:r w:rsidRPr="00E22673">
        <w:rPr>
          <w:rFonts w:cs="Arial"/>
          <w:sz w:val="20"/>
        </w:rPr>
        <w:t xml:space="preserve">Actively demonstrate their commitment to the Social Model of Disability, which seeks to remove barriers for people with disability to access mainstream services and live an ordinary life; </w:t>
      </w:r>
      <w:r w:rsidRPr="00D04110">
        <w:rPr>
          <w:rFonts w:cs="Arial"/>
          <w:b/>
          <w:sz w:val="20"/>
        </w:rPr>
        <w:t>and</w:t>
      </w:r>
    </w:p>
    <w:p w14:paraId="41361D82" w14:textId="7AE8DB44" w:rsidR="00CB5B34" w:rsidRPr="006D1639" w:rsidRDefault="00CB5B34" w:rsidP="00E22673">
      <w:pPr>
        <w:pStyle w:val="BodyTextnospace"/>
        <w:numPr>
          <w:ilvl w:val="0"/>
          <w:numId w:val="62"/>
        </w:numPr>
        <w:spacing w:before="40" w:after="120"/>
        <w:rPr>
          <w:rFonts w:cs="Arial"/>
          <w:sz w:val="20"/>
        </w:rPr>
      </w:pPr>
      <w:proofErr w:type="gramStart"/>
      <w:r w:rsidRPr="00E22673">
        <w:rPr>
          <w:rFonts w:cs="Arial"/>
          <w:sz w:val="20"/>
        </w:rPr>
        <w:t>Are run</w:t>
      </w:r>
      <w:proofErr w:type="gramEnd"/>
      <w:r w:rsidRPr="00E22673">
        <w:rPr>
          <w:rFonts w:cs="Arial"/>
          <w:sz w:val="20"/>
        </w:rPr>
        <w:t xml:space="preserve"> by and for people with disability and/or their families, which is supported by a minimum membership of 50% of people with a disability and/or their families making up the organisation’s volunteers.</w:t>
      </w:r>
    </w:p>
    <w:p w14:paraId="5416D30D" w14:textId="4F05EB4D" w:rsidR="00577905" w:rsidRPr="00E22673" w:rsidRDefault="00577905" w:rsidP="00E22673">
      <w:pPr>
        <w:pStyle w:val="BodyTextnospace"/>
        <w:spacing w:before="40" w:after="120"/>
        <w:rPr>
          <w:rFonts w:cs="Arial"/>
          <w:sz w:val="20"/>
        </w:rPr>
      </w:pPr>
      <w:r w:rsidRPr="006D1639">
        <w:rPr>
          <w:rFonts w:cs="Arial"/>
          <w:b/>
          <w:sz w:val="20"/>
        </w:rPr>
        <w:t>2</w:t>
      </w:r>
      <w:r w:rsidRPr="00E22673">
        <w:rPr>
          <w:rFonts w:cs="Arial"/>
          <w:sz w:val="20"/>
        </w:rPr>
        <w:t xml:space="preserve">. </w:t>
      </w:r>
      <w:r w:rsidRPr="00E22673">
        <w:rPr>
          <w:rFonts w:cs="Arial"/>
          <w:b/>
          <w:sz w:val="20"/>
        </w:rPr>
        <w:t xml:space="preserve">Priority Cohort Led </w:t>
      </w:r>
      <w:r w:rsidR="00720E07" w:rsidRPr="00E22673">
        <w:rPr>
          <w:rFonts w:cs="Arial"/>
          <w:b/>
          <w:sz w:val="20"/>
        </w:rPr>
        <w:t xml:space="preserve">Organisations </w:t>
      </w:r>
      <w:r w:rsidRPr="00E22673">
        <w:rPr>
          <w:rFonts w:cs="Arial"/>
          <w:b/>
          <w:sz w:val="20"/>
        </w:rPr>
        <w:t>(PCLs)</w:t>
      </w:r>
      <w:r w:rsidRPr="00E22673">
        <w:rPr>
          <w:rFonts w:cs="Arial"/>
          <w:sz w:val="20"/>
        </w:rPr>
        <w:t xml:space="preserve"> - these organisations </w:t>
      </w:r>
      <w:r w:rsidRPr="00E22673">
        <w:rPr>
          <w:rFonts w:cs="Arial"/>
          <w:b/>
          <w:sz w:val="20"/>
        </w:rPr>
        <w:t>must</w:t>
      </w:r>
      <w:r w:rsidRPr="00E22673">
        <w:rPr>
          <w:rFonts w:cs="Arial"/>
          <w:sz w:val="20"/>
        </w:rPr>
        <w:t xml:space="preserve"> have a minimum of 50% representation </w:t>
      </w:r>
      <w:r w:rsidR="00CE5214" w:rsidRPr="00E22673">
        <w:rPr>
          <w:rFonts w:cs="Arial"/>
          <w:sz w:val="20"/>
        </w:rPr>
        <w:t xml:space="preserve">of the </w:t>
      </w:r>
      <w:r w:rsidR="00720E07" w:rsidRPr="00E22673">
        <w:rPr>
          <w:rFonts w:cs="Arial"/>
          <w:sz w:val="20"/>
        </w:rPr>
        <w:t xml:space="preserve">relevant </w:t>
      </w:r>
      <w:r w:rsidR="00CE5214" w:rsidRPr="00E22673">
        <w:rPr>
          <w:rFonts w:cs="Arial"/>
          <w:sz w:val="20"/>
        </w:rPr>
        <w:t>cohort group on their board or staff and represent one or more of the following</w:t>
      </w:r>
      <w:r w:rsidR="00720E07" w:rsidRPr="00E22673">
        <w:rPr>
          <w:rFonts w:cs="Arial"/>
          <w:sz w:val="20"/>
        </w:rPr>
        <w:t xml:space="preserve"> cohorts</w:t>
      </w:r>
      <w:r w:rsidR="00CE5214" w:rsidRPr="00E22673">
        <w:rPr>
          <w:rFonts w:cs="Arial"/>
          <w:sz w:val="20"/>
        </w:rPr>
        <w:t>:</w:t>
      </w:r>
      <w:r w:rsidRPr="00E22673">
        <w:rPr>
          <w:rFonts w:cs="Arial"/>
          <w:sz w:val="20"/>
        </w:rPr>
        <w:t xml:space="preserve"> </w:t>
      </w:r>
    </w:p>
    <w:p w14:paraId="0AAB76DD" w14:textId="057DBEBE" w:rsidR="00577905" w:rsidRPr="00E22673" w:rsidRDefault="00577905" w:rsidP="00E22673">
      <w:pPr>
        <w:pStyle w:val="BodyTextnospace"/>
        <w:numPr>
          <w:ilvl w:val="0"/>
          <w:numId w:val="68"/>
        </w:numPr>
        <w:spacing w:before="40" w:after="120"/>
        <w:rPr>
          <w:rFonts w:cs="Arial"/>
          <w:sz w:val="20"/>
          <w:lang w:eastAsia="en-AU"/>
        </w:rPr>
      </w:pPr>
      <w:r w:rsidRPr="00E22673">
        <w:rPr>
          <w:rFonts w:cs="Arial"/>
          <w:sz w:val="20"/>
          <w:lang w:eastAsia="en-AU"/>
        </w:rPr>
        <w:t xml:space="preserve">Aboriginal and Torres Strait Islander </w:t>
      </w:r>
      <w:r w:rsidR="00720E07" w:rsidRPr="00E22673">
        <w:rPr>
          <w:rFonts w:cs="Arial"/>
          <w:sz w:val="20"/>
          <w:lang w:eastAsia="en-AU"/>
        </w:rPr>
        <w:t>communities</w:t>
      </w:r>
      <w:r w:rsidR="00540CC3" w:rsidRPr="00E22673">
        <w:rPr>
          <w:rFonts w:cs="Arial"/>
          <w:sz w:val="20"/>
          <w:lang w:eastAsia="en-AU"/>
        </w:rPr>
        <w:t>; and/or</w:t>
      </w:r>
      <w:r w:rsidR="00720E07" w:rsidRPr="00E22673">
        <w:rPr>
          <w:rFonts w:cs="Arial"/>
          <w:sz w:val="20"/>
          <w:lang w:eastAsia="en-AU"/>
        </w:rPr>
        <w:t xml:space="preserve"> </w:t>
      </w:r>
      <w:r w:rsidR="00AD5123" w:rsidRPr="00E22673">
        <w:rPr>
          <w:rFonts w:cs="Arial"/>
          <w:sz w:val="20"/>
          <w:lang w:eastAsia="en-AU"/>
        </w:rPr>
        <w:t xml:space="preserve">organisations </w:t>
      </w:r>
      <w:r w:rsidR="00DD3E9E" w:rsidRPr="00EA2B99">
        <w:rPr>
          <w:rFonts w:cs="Arial"/>
          <w:sz w:val="20"/>
          <w:lang w:eastAsia="en-AU"/>
        </w:rPr>
        <w:t>that are eligible to be registered with the Office of the Registrar of Indigenous Corporations (ORIC)</w:t>
      </w:r>
      <w:r w:rsidRPr="00E22673">
        <w:rPr>
          <w:rFonts w:cs="Arial"/>
          <w:sz w:val="20"/>
          <w:lang w:eastAsia="en-AU"/>
        </w:rPr>
        <w:t xml:space="preserve">; </w:t>
      </w:r>
      <w:r w:rsidRPr="00D04110">
        <w:rPr>
          <w:rFonts w:cs="Arial"/>
          <w:b/>
          <w:sz w:val="20"/>
          <w:lang w:eastAsia="en-AU"/>
        </w:rPr>
        <w:t>and/or</w:t>
      </w:r>
    </w:p>
    <w:p w14:paraId="6EFBA74B" w14:textId="77777777" w:rsidR="00577905" w:rsidRPr="00E22673" w:rsidRDefault="00577905" w:rsidP="00E22673">
      <w:pPr>
        <w:pStyle w:val="BodyTextnospace"/>
        <w:numPr>
          <w:ilvl w:val="0"/>
          <w:numId w:val="51"/>
        </w:numPr>
        <w:spacing w:before="40" w:after="120"/>
        <w:rPr>
          <w:rFonts w:cs="Arial"/>
          <w:sz w:val="20"/>
          <w:lang w:eastAsia="en-AU"/>
        </w:rPr>
      </w:pPr>
      <w:r w:rsidRPr="00E22673">
        <w:rPr>
          <w:rFonts w:cs="Arial"/>
          <w:sz w:val="20"/>
          <w:lang w:eastAsia="en-AU"/>
        </w:rPr>
        <w:t xml:space="preserve">Culturally and Linguistically Diverse (CALD) communities; </w:t>
      </w:r>
      <w:r w:rsidRPr="00D04110">
        <w:rPr>
          <w:rFonts w:cs="Arial"/>
          <w:b/>
          <w:sz w:val="20"/>
          <w:lang w:eastAsia="en-AU"/>
        </w:rPr>
        <w:t>and/or</w:t>
      </w:r>
    </w:p>
    <w:p w14:paraId="0E9CC66A" w14:textId="5BF6158C" w:rsidR="00893C35" w:rsidRPr="006D1639" w:rsidRDefault="00CB5B34" w:rsidP="006D1639">
      <w:pPr>
        <w:pStyle w:val="ListParagraph"/>
        <w:numPr>
          <w:ilvl w:val="0"/>
          <w:numId w:val="51"/>
        </w:numPr>
        <w:contextualSpacing w:val="0"/>
        <w:rPr>
          <w:rFonts w:cs="Arial"/>
        </w:rPr>
      </w:pPr>
      <w:r w:rsidRPr="00E22673">
        <w:rPr>
          <w:rFonts w:cs="Arial"/>
          <w:color w:val="242424"/>
        </w:rPr>
        <w:t>Lesbian, Gay, Bisexual, Transgender, Intersex, Queer/Questioning, Asexual and Plus Cohort</w:t>
      </w:r>
      <w:r w:rsidR="006D1639">
        <w:rPr>
          <w:rFonts w:cs="Arial"/>
          <w:color w:val="242424"/>
        </w:rPr>
        <w:t xml:space="preserve"> </w:t>
      </w:r>
      <w:r w:rsidRPr="00E22673">
        <w:rPr>
          <w:rFonts w:cs="Arial"/>
          <w:color w:val="242424"/>
        </w:rPr>
        <w:t>(LGBTIQA+)</w:t>
      </w:r>
      <w:r w:rsidRPr="00E22673">
        <w:rPr>
          <w:rStyle w:val="FootnoteReference"/>
          <w:rFonts w:cs="Arial"/>
        </w:rPr>
        <w:footnoteReference w:id="3"/>
      </w:r>
      <w:r w:rsidR="006D1639">
        <w:rPr>
          <w:rFonts w:cs="Arial"/>
        </w:rPr>
        <w:t>.</w:t>
      </w:r>
    </w:p>
    <w:p w14:paraId="2F747B5E" w14:textId="77777777" w:rsidR="00A35F51" w:rsidRDefault="009F5837" w:rsidP="001505F4">
      <w:pPr>
        <w:pStyle w:val="Heading3"/>
      </w:pPr>
      <w:bookmarkStart w:id="20" w:name="_Toc16774070"/>
      <w:r>
        <w:lastRenderedPageBreak/>
        <w:t>Eligible entity t</w:t>
      </w:r>
      <w:r w:rsidR="000A2A4C">
        <w:t>ypes</w:t>
      </w:r>
      <w:bookmarkEnd w:id="20"/>
    </w:p>
    <w:p w14:paraId="22AD9B18" w14:textId="277FA77F" w:rsidR="003271A6" w:rsidRPr="00E22673" w:rsidRDefault="00AC400F" w:rsidP="00E22673">
      <w:pPr>
        <w:rPr>
          <w:rFonts w:cs="Arial"/>
        </w:rPr>
      </w:pPr>
      <w:r w:rsidRPr="00E22673">
        <w:rPr>
          <w:rFonts w:cs="Arial"/>
        </w:rPr>
        <w:t xml:space="preserve">The NDIA can only provide funding to an organisation that is a legal entity. Non-legal entities, specifically Unincorporated Associations, may work with other organisations through a consortia or auspice arrangement to submit an ILC grant application. Lead organisations of a consortium and </w:t>
      </w:r>
      <w:proofErr w:type="spellStart"/>
      <w:r w:rsidR="00FF309C">
        <w:rPr>
          <w:rFonts w:cs="Arial"/>
        </w:rPr>
        <w:t>a</w:t>
      </w:r>
      <w:r w:rsidRPr="00E22673">
        <w:rPr>
          <w:rFonts w:cs="Arial"/>
        </w:rPr>
        <w:t>usp</w:t>
      </w:r>
      <w:r w:rsidR="006D1639">
        <w:rPr>
          <w:rFonts w:cs="Arial"/>
        </w:rPr>
        <w:t>icors</w:t>
      </w:r>
      <w:proofErr w:type="spellEnd"/>
      <w:r w:rsidR="006D1639">
        <w:rPr>
          <w:rFonts w:cs="Arial"/>
        </w:rPr>
        <w:t xml:space="preserve"> (in the case of g</w:t>
      </w:r>
      <w:r w:rsidRPr="00E22673">
        <w:rPr>
          <w:rFonts w:cs="Arial"/>
        </w:rPr>
        <w:t xml:space="preserve">rant </w:t>
      </w:r>
      <w:r w:rsidR="006D1639">
        <w:rPr>
          <w:rFonts w:cs="Arial"/>
        </w:rPr>
        <w:t>r</w:t>
      </w:r>
      <w:r w:rsidRPr="00E22673">
        <w:rPr>
          <w:rFonts w:cs="Arial"/>
        </w:rPr>
        <w:t xml:space="preserve">ounds) must also be an eligible entity type. </w:t>
      </w:r>
      <w:r w:rsidR="008B647C" w:rsidRPr="00E22673">
        <w:rPr>
          <w:rFonts w:cs="Arial"/>
        </w:rPr>
        <w:t xml:space="preserve">To be eligible you must </w:t>
      </w:r>
      <w:r w:rsidR="003271A6" w:rsidRPr="00E22673">
        <w:rPr>
          <w:rFonts w:cs="Arial"/>
        </w:rPr>
        <w:t>be one of the following entity types:</w:t>
      </w:r>
    </w:p>
    <w:tbl>
      <w:tblPr>
        <w:tblW w:w="5000" w:type="pct"/>
        <w:tblLayout w:type="fixed"/>
        <w:tblCellMar>
          <w:left w:w="0" w:type="dxa"/>
          <w:right w:w="0" w:type="dxa"/>
        </w:tblCellMar>
        <w:tblLook w:val="04A0" w:firstRow="1" w:lastRow="0" w:firstColumn="1" w:lastColumn="0" w:noHBand="0" w:noVBand="1"/>
      </w:tblPr>
      <w:tblGrid>
        <w:gridCol w:w="1785"/>
        <w:gridCol w:w="6993"/>
      </w:tblGrid>
      <w:tr w:rsidR="00EE4B30" w:rsidRPr="00F9058D" w14:paraId="62CDB412" w14:textId="77777777" w:rsidTr="0004232C">
        <w:trPr>
          <w:tblHeader/>
        </w:trPr>
        <w:tc>
          <w:tcPr>
            <w:tcW w:w="1017" w:type="pct"/>
            <w:tcBorders>
              <w:top w:val="nil"/>
              <w:left w:val="nil"/>
              <w:bottom w:val="single" w:sz="18" w:space="0" w:color="FFFFFF" w:themeColor="background1"/>
              <w:right w:val="single" w:sz="8" w:space="0" w:color="FFFFFF"/>
            </w:tcBorders>
            <w:shd w:val="clear" w:color="auto" w:fill="6B2976"/>
            <w:vAlign w:val="center"/>
            <w:hideMark/>
          </w:tcPr>
          <w:p w14:paraId="7923A84E" w14:textId="77777777" w:rsidR="00EE4B30" w:rsidRPr="00F9058D" w:rsidRDefault="00EE4B30" w:rsidP="0004232C">
            <w:pPr>
              <w:keepNext/>
              <w:spacing w:before="80" w:after="80" w:line="276" w:lineRule="auto"/>
              <w:ind w:left="113" w:right="113"/>
              <w:rPr>
                <w:b/>
                <w:bCs/>
                <w:color w:val="FFFFFF" w:themeColor="background1"/>
                <w:sz w:val="24"/>
                <w:szCs w:val="24"/>
              </w:rPr>
            </w:pPr>
            <w:r>
              <w:rPr>
                <w:b/>
                <w:bCs/>
                <w:color w:val="FFFFFF" w:themeColor="background1"/>
                <w:sz w:val="24"/>
                <w:szCs w:val="24"/>
              </w:rPr>
              <w:t xml:space="preserve">Entity </w:t>
            </w:r>
            <w:r w:rsidRPr="00F9058D">
              <w:rPr>
                <w:b/>
                <w:bCs/>
                <w:color w:val="FFFFFF" w:themeColor="background1"/>
                <w:sz w:val="24"/>
                <w:szCs w:val="24"/>
              </w:rPr>
              <w:t xml:space="preserve">Type </w:t>
            </w:r>
          </w:p>
        </w:tc>
        <w:tc>
          <w:tcPr>
            <w:tcW w:w="3983" w:type="pct"/>
            <w:tcBorders>
              <w:top w:val="nil"/>
              <w:left w:val="nil"/>
              <w:bottom w:val="single" w:sz="18" w:space="0" w:color="FFFFFF" w:themeColor="background1"/>
              <w:right w:val="single" w:sz="8" w:space="0" w:color="FFFFFF"/>
            </w:tcBorders>
            <w:shd w:val="clear" w:color="auto" w:fill="6B2976"/>
            <w:vAlign w:val="center"/>
            <w:hideMark/>
          </w:tcPr>
          <w:p w14:paraId="67FCA834" w14:textId="77777777" w:rsidR="00EE4B30" w:rsidRPr="00F9058D" w:rsidRDefault="00EE4B30" w:rsidP="0004232C">
            <w:pPr>
              <w:keepNext/>
              <w:spacing w:before="80" w:after="80" w:line="276" w:lineRule="auto"/>
              <w:ind w:left="113" w:right="113"/>
              <w:rPr>
                <w:b/>
                <w:bCs/>
                <w:color w:val="FFFFFF" w:themeColor="background1"/>
                <w:sz w:val="24"/>
                <w:szCs w:val="24"/>
              </w:rPr>
            </w:pPr>
            <w:r w:rsidRPr="00F9058D">
              <w:rPr>
                <w:b/>
                <w:bCs/>
                <w:color w:val="FFFFFF" w:themeColor="background1"/>
                <w:sz w:val="24"/>
                <w:szCs w:val="24"/>
              </w:rPr>
              <w:t>Description</w:t>
            </w:r>
          </w:p>
        </w:tc>
      </w:tr>
      <w:tr w:rsidR="001930CD" w14:paraId="587B671F"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088206EF" w14:textId="77777777" w:rsidR="001930CD" w:rsidRDefault="001930CD" w:rsidP="001930CD">
            <w:pPr>
              <w:spacing w:before="60" w:line="276" w:lineRule="auto"/>
              <w:ind w:left="113" w:right="113"/>
              <w:rPr>
                <w:color w:val="000000"/>
              </w:rPr>
            </w:pPr>
            <w:r>
              <w:rPr>
                <w:color w:val="000000"/>
              </w:rPr>
              <w:t>Indigenous Corporation</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7F50C3FB" w14:textId="77777777" w:rsidR="001930CD" w:rsidRDefault="001930CD" w:rsidP="001930CD">
            <w:pPr>
              <w:spacing w:before="60" w:line="276" w:lineRule="auto"/>
              <w:ind w:left="113" w:right="113"/>
              <w:rPr>
                <w:color w:val="000000"/>
              </w:rPr>
            </w:pPr>
            <w:r>
              <w:rPr>
                <w:color w:val="000000"/>
              </w:rPr>
              <w:t>A Corporation incorporated under the Corporations (Aboriginal and Torres Strait Islander) Act 2006 – CATSI Act.</w:t>
            </w:r>
          </w:p>
        </w:tc>
      </w:tr>
      <w:tr w:rsidR="001930CD" w14:paraId="29E6396D"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113002AE" w14:textId="77777777" w:rsidR="001930CD" w:rsidRDefault="001930CD" w:rsidP="001930CD">
            <w:pPr>
              <w:spacing w:before="60" w:line="276" w:lineRule="auto"/>
              <w:ind w:left="113" w:right="113"/>
              <w:rPr>
                <w:color w:val="000000"/>
              </w:rPr>
            </w:pPr>
            <w:r>
              <w:t>Corporate Commonwealth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79E38EB2" w14:textId="77777777" w:rsidR="001930CD" w:rsidRDefault="001930CD" w:rsidP="001930CD">
            <w:pPr>
              <w:spacing w:before="60" w:line="276" w:lineRule="auto"/>
              <w:ind w:left="113" w:right="113"/>
              <w:rPr>
                <w:color w:val="000000"/>
              </w:rPr>
            </w:pPr>
            <w:r>
              <w:rPr>
                <w:color w:val="000000"/>
              </w:rPr>
              <w:t>A Corporate Commonwealth Entity is a Commonwealth entity that is a body corporate. It is legally separate to the Commonwealth and has the capacity to enter into contracts in its own right. It is a body corporate established under Commonwealth legislation.</w:t>
            </w:r>
          </w:p>
        </w:tc>
      </w:tr>
      <w:tr w:rsidR="001930CD" w14:paraId="5F9AEA47"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0035E0B2" w14:textId="77777777" w:rsidR="001930CD" w:rsidRDefault="001930CD" w:rsidP="001930CD">
            <w:pPr>
              <w:spacing w:before="60" w:line="276" w:lineRule="auto"/>
              <w:ind w:left="113" w:right="113"/>
              <w:rPr>
                <w:color w:val="000000"/>
              </w:rPr>
            </w:pPr>
            <w:r>
              <w:t>Non-corporate Commonwealth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2DF9B4D4" w14:textId="77777777" w:rsidR="001930CD" w:rsidRDefault="001930CD" w:rsidP="001930CD">
            <w:pPr>
              <w:spacing w:before="60" w:line="276" w:lineRule="auto"/>
              <w:ind w:left="113" w:right="113"/>
              <w:rPr>
                <w:color w:val="000000"/>
              </w:rPr>
            </w:pPr>
            <w:r>
              <w:rPr>
                <w:color w:val="000000"/>
              </w:rPr>
              <w:t>A Non-corporate Commonwealth Entity is a Commonwealth entity that is part of the Commonwealth and which represents and acts on behalf of the Commonwealth. They are Commonwealth Departments i.e. a Department of State, as recognised by the Administrative Arrangements Orders, or a Parliamentary Department.</w:t>
            </w:r>
          </w:p>
        </w:tc>
      </w:tr>
      <w:tr w:rsidR="001930CD" w14:paraId="67F90A60"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551A9609" w14:textId="77777777" w:rsidR="001930CD" w:rsidRDefault="001930CD" w:rsidP="001930CD">
            <w:pPr>
              <w:spacing w:before="60" w:line="276" w:lineRule="auto"/>
              <w:ind w:left="113" w:right="113"/>
              <w:rPr>
                <w:color w:val="000000"/>
              </w:rPr>
            </w:pPr>
            <w:r>
              <w:t>Non-corporate Commonwealth Statutory Authority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77FAB4DA" w14:textId="77777777" w:rsidR="001930CD" w:rsidRDefault="001930CD" w:rsidP="001930CD">
            <w:pPr>
              <w:spacing w:before="60" w:line="276" w:lineRule="auto"/>
              <w:ind w:left="113" w:right="113"/>
              <w:rPr>
                <w:color w:val="000000"/>
              </w:rPr>
            </w:pPr>
            <w:r>
              <w:rPr>
                <w:color w:val="000000"/>
              </w:rPr>
              <w:t xml:space="preserve">A Commonwealth Non-corporate Statutory Authority is an entity that is separate to the Commonwealth but is not strictly a body corporate for example it may be a commission, a commissioner, an authority, or other statutory position to which a person or persons may be appointed. It </w:t>
            </w:r>
            <w:proofErr w:type="gramStart"/>
            <w:r>
              <w:rPr>
                <w:color w:val="000000"/>
              </w:rPr>
              <w:t>is established</w:t>
            </w:r>
            <w:proofErr w:type="gramEnd"/>
            <w:r>
              <w:rPr>
                <w:color w:val="000000"/>
              </w:rPr>
              <w:t xml:space="preserve"> by Commonwealth legislation.</w:t>
            </w:r>
          </w:p>
        </w:tc>
      </w:tr>
      <w:tr w:rsidR="001930CD" w14:paraId="0E2B3B03"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580FF664" w14:textId="77777777" w:rsidR="001930CD" w:rsidRDefault="001930CD" w:rsidP="001930CD">
            <w:pPr>
              <w:spacing w:before="60" w:line="276" w:lineRule="auto"/>
              <w:ind w:left="113" w:right="113"/>
              <w:rPr>
                <w:color w:val="000000"/>
              </w:rPr>
            </w:pPr>
            <w:r>
              <w:t>Commonwealth Company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776C3B48" w14:textId="77777777" w:rsidR="001930CD" w:rsidRDefault="001930CD" w:rsidP="001930CD">
            <w:pPr>
              <w:spacing w:before="60" w:line="276" w:lineRule="auto"/>
              <w:ind w:left="113" w:right="113"/>
              <w:rPr>
                <w:color w:val="000000"/>
              </w:rPr>
            </w:pPr>
            <w:r>
              <w:rPr>
                <w:color w:val="000000"/>
              </w:rPr>
              <w:t>A Commonwealth Company is a company incorporated under the Corporations Act 2001, owned or controlled by the Commonwealth.</w:t>
            </w:r>
          </w:p>
        </w:tc>
      </w:tr>
      <w:tr w:rsidR="001930CD" w14:paraId="2F7E88C0"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2B838D53" w14:textId="77777777" w:rsidR="001930CD" w:rsidRDefault="001930CD" w:rsidP="001930CD">
            <w:pPr>
              <w:spacing w:before="60" w:line="276" w:lineRule="auto"/>
              <w:ind w:left="113" w:right="113"/>
              <w:rPr>
                <w:color w:val="000000"/>
              </w:rPr>
            </w:pPr>
            <w:r>
              <w:t>Corporate State or Territory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70D17B92" w14:textId="77777777" w:rsidR="001930CD" w:rsidRDefault="001930CD" w:rsidP="001930CD">
            <w:pPr>
              <w:spacing w:before="60" w:line="276" w:lineRule="auto"/>
              <w:ind w:left="113" w:right="113"/>
              <w:rPr>
                <w:color w:val="000000"/>
              </w:rPr>
            </w:pPr>
            <w:r>
              <w:rPr>
                <w:color w:val="000000"/>
              </w:rPr>
              <w:t>Corporate State or Territory Entities are State or Territory entities that are a body corporate. They are legally separate to the relevant State or Territory and have the capacity to enter into contracts in their own right. They are body corporates established under State or Territory legislation.</w:t>
            </w:r>
          </w:p>
        </w:tc>
      </w:tr>
      <w:tr w:rsidR="001930CD" w14:paraId="13E7926E"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2450F934" w14:textId="77777777" w:rsidR="001930CD" w:rsidRDefault="001930CD" w:rsidP="001930CD">
            <w:pPr>
              <w:spacing w:before="60" w:line="276" w:lineRule="auto"/>
              <w:ind w:left="113" w:right="113"/>
              <w:rPr>
                <w:color w:val="000000"/>
              </w:rPr>
            </w:pPr>
            <w:r>
              <w:t>Non-corporate State or Territory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5175165B" w14:textId="77777777" w:rsidR="001930CD" w:rsidRDefault="001930CD" w:rsidP="001930CD">
            <w:pPr>
              <w:spacing w:before="60" w:line="276" w:lineRule="auto"/>
              <w:ind w:left="113" w:right="113"/>
              <w:rPr>
                <w:color w:val="000000"/>
              </w:rPr>
            </w:pPr>
            <w:r>
              <w:rPr>
                <w:color w:val="000000"/>
              </w:rPr>
              <w:t>A Non-corporate State or Territory Entity is a State or Territory entity that is part of the State or Territory. It represents and acts on behalf of the State or Territory. It is not legally separate to the State or Territory. Known as Departments of State in South Australia and Directorates in the ACT.</w:t>
            </w:r>
          </w:p>
        </w:tc>
      </w:tr>
      <w:tr w:rsidR="001930CD" w14:paraId="30E2B1C3"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35E9329F" w14:textId="77777777" w:rsidR="001930CD" w:rsidRDefault="001930CD" w:rsidP="001930CD">
            <w:pPr>
              <w:spacing w:before="60" w:line="276" w:lineRule="auto"/>
              <w:ind w:left="113" w:right="113"/>
              <w:rPr>
                <w:color w:val="000000"/>
              </w:rPr>
            </w:pPr>
            <w:r>
              <w:t>Non-corporate State or Territory Statutory Authority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4E47BB21" w14:textId="77777777" w:rsidR="001930CD" w:rsidRDefault="001930CD" w:rsidP="001930CD">
            <w:pPr>
              <w:spacing w:before="60" w:line="276" w:lineRule="auto"/>
              <w:ind w:left="113" w:right="113"/>
              <w:rPr>
                <w:color w:val="000000"/>
              </w:rPr>
            </w:pPr>
            <w:r>
              <w:rPr>
                <w:color w:val="000000"/>
              </w:rPr>
              <w:t xml:space="preserve">A State or Territory Non-corporate Statutory Authority is an entity that is separate to the State or Territory but is not strictly a body corporate, for </w:t>
            </w:r>
            <w:proofErr w:type="gramStart"/>
            <w:r>
              <w:rPr>
                <w:color w:val="000000"/>
              </w:rPr>
              <w:t>example</w:t>
            </w:r>
            <w:proofErr w:type="gramEnd"/>
            <w:r>
              <w:rPr>
                <w:color w:val="000000"/>
              </w:rPr>
              <w:t xml:space="preserve"> it may be a commission, a commissioner, an authority, or other statutory position to which a person or persons may be appointed. It </w:t>
            </w:r>
            <w:proofErr w:type="gramStart"/>
            <w:r>
              <w:rPr>
                <w:color w:val="000000"/>
              </w:rPr>
              <w:t>is established</w:t>
            </w:r>
            <w:proofErr w:type="gramEnd"/>
            <w:r>
              <w:rPr>
                <w:color w:val="000000"/>
              </w:rPr>
              <w:t xml:space="preserve"> by State or Territory legislation.</w:t>
            </w:r>
          </w:p>
        </w:tc>
      </w:tr>
      <w:tr w:rsidR="001930CD" w14:paraId="4A3A9935"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03CA5857" w14:textId="77777777" w:rsidR="001930CD" w:rsidRDefault="001930CD" w:rsidP="001930CD">
            <w:pPr>
              <w:spacing w:before="60" w:line="276" w:lineRule="auto"/>
              <w:ind w:left="113" w:right="113"/>
              <w:rPr>
                <w:color w:val="000000"/>
              </w:rPr>
            </w:pPr>
            <w:r>
              <w:rPr>
                <w:color w:val="000000"/>
              </w:rPr>
              <w:t>Cooperative</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04ABB490" w14:textId="77777777" w:rsidR="001930CD" w:rsidRDefault="001930CD" w:rsidP="001930CD">
            <w:pPr>
              <w:spacing w:before="60" w:line="276" w:lineRule="auto"/>
              <w:ind w:left="113" w:right="113"/>
              <w:rPr>
                <w:color w:val="000000"/>
              </w:rPr>
            </w:pPr>
            <w:r>
              <w:rPr>
                <w:color w:val="000000"/>
              </w:rPr>
              <w:t>A Cooperative is an entity of that name which has been established and/or registered as a cooperative under the relevant legislation in the State or Territory in which they formed. Sometimes this is under the incorporated associations’ legislation.</w:t>
            </w:r>
          </w:p>
        </w:tc>
      </w:tr>
      <w:tr w:rsidR="001930CD" w14:paraId="7D18B442"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45145621" w14:textId="77777777" w:rsidR="001930CD" w:rsidRDefault="001930CD" w:rsidP="001930CD">
            <w:pPr>
              <w:spacing w:before="60" w:line="276" w:lineRule="auto"/>
              <w:ind w:left="113" w:right="113"/>
              <w:rPr>
                <w:color w:val="000000"/>
              </w:rPr>
            </w:pPr>
            <w:r>
              <w:rPr>
                <w:color w:val="000000"/>
              </w:rPr>
              <w:lastRenderedPageBreak/>
              <w:t>Incorporated Association</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3838FB97" w14:textId="77777777" w:rsidR="001930CD" w:rsidRDefault="001930CD" w:rsidP="001930CD">
            <w:pPr>
              <w:spacing w:before="60" w:line="276" w:lineRule="auto"/>
              <w:ind w:left="113" w:right="113"/>
              <w:rPr>
                <w:color w:val="000000"/>
              </w:rPr>
            </w:pPr>
            <w:r>
              <w:rPr>
                <w:color w:val="000000"/>
              </w:rPr>
              <w:t xml:space="preserve">An Incorporated Association is an association that has been incorporated or registered as an incorporated association under the relevant incorporated associations’ legislation in the State or Territory in which they </w:t>
            </w:r>
            <w:proofErr w:type="gramStart"/>
            <w:r>
              <w:rPr>
                <w:color w:val="000000"/>
              </w:rPr>
              <w:t>were formed</w:t>
            </w:r>
            <w:proofErr w:type="gramEnd"/>
            <w:r>
              <w:rPr>
                <w:color w:val="000000"/>
              </w:rPr>
              <w:t>.</w:t>
            </w:r>
          </w:p>
        </w:tc>
      </w:tr>
      <w:tr w:rsidR="001930CD" w14:paraId="12FCA88A"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37C8311A" w14:textId="77777777" w:rsidR="001930CD" w:rsidRDefault="001930CD" w:rsidP="00540CC3">
            <w:pPr>
              <w:pStyle w:val="ListBullet"/>
              <w:numPr>
                <w:ilvl w:val="0"/>
                <w:numId w:val="0"/>
              </w:numPr>
              <w:ind w:left="123"/>
              <w:rPr>
                <w:color w:val="000000"/>
              </w:rPr>
            </w:pPr>
            <w:r>
              <w:rPr>
                <w:color w:val="000000"/>
              </w:rPr>
              <w:t>Statutory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1610864B" w14:textId="77777777" w:rsidR="001930CD" w:rsidRDefault="001930CD" w:rsidP="001930CD">
            <w:pPr>
              <w:spacing w:before="60" w:line="276" w:lineRule="auto"/>
              <w:ind w:left="113" w:right="113"/>
              <w:rPr>
                <w:color w:val="000000"/>
              </w:rPr>
            </w:pPr>
            <w:r>
              <w:rPr>
                <w:color w:val="000000"/>
              </w:rPr>
              <w:t xml:space="preserve">Some statutory entities are not Government entities, but have been created by, or at least recognised by Commonwealth or State/Territory legislation. Often these </w:t>
            </w:r>
            <w:proofErr w:type="gramStart"/>
            <w:r>
              <w:rPr>
                <w:color w:val="000000"/>
              </w:rPr>
              <w:t>are religious or educational institutions that</w:t>
            </w:r>
            <w:proofErr w:type="gramEnd"/>
            <w:r>
              <w:rPr>
                <w:color w:val="000000"/>
              </w:rPr>
              <w:t xml:space="preserve"> pre-date the current forms of legal entities. For example, the Anglican Church to the extent that it holds and administers property, </w:t>
            </w:r>
            <w:proofErr w:type="gramStart"/>
            <w:r>
              <w:rPr>
                <w:color w:val="000000"/>
              </w:rPr>
              <w:t>is recognised</w:t>
            </w:r>
            <w:proofErr w:type="gramEnd"/>
            <w:r>
              <w:rPr>
                <w:color w:val="000000"/>
              </w:rPr>
              <w:t xml:space="preserve"> as a distinct type of corporation under various different Acts in each State.</w:t>
            </w:r>
          </w:p>
        </w:tc>
      </w:tr>
      <w:tr w:rsidR="001930CD" w14:paraId="345C9F13"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01DA7FF1" w14:textId="77777777" w:rsidR="001930CD" w:rsidRPr="000A271A" w:rsidRDefault="001930CD" w:rsidP="001930CD">
            <w:pPr>
              <w:pStyle w:val="ListBullet"/>
              <w:numPr>
                <w:ilvl w:val="0"/>
                <w:numId w:val="0"/>
              </w:numPr>
            </w:pPr>
            <w:r>
              <w:t xml:space="preserve"> P</w:t>
            </w:r>
            <w:r w:rsidRPr="000A271A">
              <w:t>artnership</w:t>
            </w:r>
            <w:r>
              <w:rPr>
                <w:rStyle w:val="FootnoteReference"/>
              </w:rPr>
              <w:footnoteReference w:id="4"/>
            </w:r>
          </w:p>
          <w:p w14:paraId="366AF0CE" w14:textId="77777777" w:rsidR="001930CD" w:rsidRDefault="001930CD" w:rsidP="001930CD">
            <w:pPr>
              <w:spacing w:before="60" w:line="276" w:lineRule="auto"/>
              <w:ind w:left="113" w:right="113"/>
              <w:rPr>
                <w:color w:val="000000"/>
              </w:rPr>
            </w:pP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3FA4E7C7" w14:textId="77777777" w:rsidR="001930CD" w:rsidRDefault="006840D8" w:rsidP="001D49F8">
            <w:pPr>
              <w:spacing w:before="60" w:line="276" w:lineRule="auto"/>
              <w:ind w:left="113" w:right="113"/>
              <w:rPr>
                <w:color w:val="000000"/>
              </w:rPr>
            </w:pPr>
            <w:r>
              <w:rPr>
                <w:color w:val="000000"/>
              </w:rPr>
              <w:t xml:space="preserve">A Partnership is an agreement by legal persons to share responsibility for debts, losses and </w:t>
            </w:r>
            <w:proofErr w:type="gramStart"/>
            <w:r>
              <w:rPr>
                <w:color w:val="000000"/>
              </w:rPr>
              <w:t>obligations which</w:t>
            </w:r>
            <w:proofErr w:type="gramEnd"/>
            <w:r>
              <w:rPr>
                <w:color w:val="000000"/>
              </w:rPr>
              <w:t xml:space="preserve"> any individual Partner may take on in the course of conducting the business or activities of the Partnership. In order to be eligible, each individual partner of the partnership must be one of the types of legal entities described in this ‘Eligible Entity Types’ table. A Partnership may consist of both Government and private partners. </w:t>
            </w:r>
          </w:p>
        </w:tc>
      </w:tr>
      <w:tr w:rsidR="001930CD" w14:paraId="04938C93"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604F7750" w14:textId="77777777" w:rsidR="001930CD" w:rsidRDefault="001930CD" w:rsidP="001930CD">
            <w:pPr>
              <w:pStyle w:val="ListBullet"/>
              <w:numPr>
                <w:ilvl w:val="0"/>
                <w:numId w:val="0"/>
              </w:numPr>
            </w:pPr>
            <w:r>
              <w:t>Trustee on behalf of a Trust</w:t>
            </w:r>
            <w:r>
              <w:rPr>
                <w:rStyle w:val="FootnoteReference"/>
              </w:rPr>
              <w:footnoteReference w:id="5"/>
            </w:r>
            <w:r w:rsidRPr="000A271A">
              <w:t xml:space="preserve"> </w:t>
            </w:r>
          </w:p>
          <w:p w14:paraId="63A128FA" w14:textId="77777777" w:rsidR="001930CD" w:rsidRPr="008D1648" w:rsidRDefault="001930CD" w:rsidP="001930CD">
            <w:pPr>
              <w:spacing w:before="60" w:line="276" w:lineRule="auto"/>
              <w:ind w:left="113" w:right="113"/>
              <w:rPr>
                <w:color w:val="000000" w:themeColor="text1"/>
              </w:rPr>
            </w:pP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38ADF4C2" w14:textId="77777777" w:rsidR="001930CD" w:rsidRDefault="006840D8" w:rsidP="001930CD">
            <w:pPr>
              <w:spacing w:before="60" w:line="276" w:lineRule="auto"/>
              <w:ind w:left="113" w:right="113"/>
              <w:rPr>
                <w:color w:val="000000"/>
              </w:rPr>
            </w:pPr>
            <w:r>
              <w:rPr>
                <w:color w:val="000000"/>
              </w:rPr>
              <w:t xml:space="preserve">A trust is a set of relationships between legal entities. A trust, per se, cannot enter into an </w:t>
            </w:r>
            <w:r w:rsidRPr="001D5020">
              <w:rPr>
                <w:color w:val="000000"/>
              </w:rPr>
              <w:t>agreement</w:t>
            </w:r>
            <w:r>
              <w:rPr>
                <w:color w:val="000000"/>
              </w:rPr>
              <w:t xml:space="preserve">. The trustee of a Trust is a legal entity that can enter into </w:t>
            </w:r>
            <w:r w:rsidRPr="001D5020">
              <w:rPr>
                <w:color w:val="000000"/>
              </w:rPr>
              <w:t>agreements</w:t>
            </w:r>
            <w:r>
              <w:rPr>
                <w:color w:val="000000"/>
              </w:rPr>
              <w:t xml:space="preserve"> on behalf of the Trust (provided the terms of the trust permit it to do so). In order to be eligible, the trustee must be one of the types of legal entities described in this ‘Eligible Entity Types’ table.</w:t>
            </w:r>
          </w:p>
        </w:tc>
      </w:tr>
      <w:tr w:rsidR="001930CD" w14:paraId="4FA9AB0B"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2B848B91" w14:textId="77777777" w:rsidR="001930CD" w:rsidRPr="001E2CE0" w:rsidRDefault="001930CD" w:rsidP="001930CD">
            <w:pPr>
              <w:spacing w:before="60" w:line="276" w:lineRule="auto"/>
              <w:ind w:left="113" w:right="113"/>
            </w:pPr>
            <w:r w:rsidRPr="001E2CE0">
              <w:rPr>
                <w:color w:val="000000"/>
              </w:rPr>
              <w:t xml:space="preserve">Local Government </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16EAFAF1" w14:textId="77777777" w:rsidR="001930CD" w:rsidRPr="001E2CE0" w:rsidRDefault="001930CD" w:rsidP="001930CD">
            <w:pPr>
              <w:spacing w:before="60" w:line="276" w:lineRule="auto"/>
              <w:ind w:left="113" w:right="113"/>
              <w:rPr>
                <w:color w:val="000000"/>
              </w:rPr>
            </w:pPr>
            <w:r w:rsidRPr="001E2CE0">
              <w:rPr>
                <w:color w:val="000000"/>
              </w:rPr>
              <w:t xml:space="preserve">A Local Government Entity is an entity established under State or Territory local government legislation, for the purposes of governing local areas within the State or Territory. In States, they </w:t>
            </w:r>
            <w:proofErr w:type="gramStart"/>
            <w:r w:rsidRPr="001E2CE0">
              <w:rPr>
                <w:color w:val="000000"/>
              </w:rPr>
              <w:t>are generally referred</w:t>
            </w:r>
            <w:proofErr w:type="gramEnd"/>
            <w:r w:rsidRPr="001E2CE0">
              <w:rPr>
                <w:color w:val="000000"/>
              </w:rPr>
              <w:t xml:space="preserve"> to as local councils.</w:t>
            </w:r>
          </w:p>
        </w:tc>
      </w:tr>
      <w:tr w:rsidR="001930CD" w14:paraId="3C043CF8"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3B13A761" w14:textId="77777777" w:rsidR="001930CD" w:rsidRPr="001E2CE0" w:rsidRDefault="001930CD" w:rsidP="001930CD">
            <w:pPr>
              <w:pStyle w:val="ListBullet"/>
              <w:numPr>
                <w:ilvl w:val="0"/>
                <w:numId w:val="0"/>
              </w:numPr>
            </w:pPr>
            <w:r w:rsidRPr="001E2CE0">
              <w:t xml:space="preserve"> Company</w:t>
            </w:r>
          </w:p>
          <w:p w14:paraId="7C08FAAB" w14:textId="77777777" w:rsidR="001930CD" w:rsidRPr="001E2CE0" w:rsidRDefault="001930CD" w:rsidP="001930CD">
            <w:pPr>
              <w:spacing w:before="60" w:line="276" w:lineRule="auto"/>
              <w:ind w:left="113" w:right="113"/>
              <w:rPr>
                <w:color w:val="000000"/>
              </w:rPr>
            </w:pP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7F85686E" w14:textId="77777777" w:rsidR="001930CD" w:rsidRPr="001E2CE0" w:rsidRDefault="006840D8" w:rsidP="001930CD">
            <w:pPr>
              <w:spacing w:before="60" w:line="276" w:lineRule="auto"/>
              <w:ind w:left="113" w:right="113"/>
              <w:rPr>
                <w:color w:val="000000"/>
              </w:rPr>
            </w:pPr>
            <w:r w:rsidRPr="001E2CE0">
              <w:rPr>
                <w:color w:val="000000"/>
              </w:rPr>
              <w:t xml:space="preserve">A Company is a company incorporated under the Corporations Act 2001 </w:t>
            </w:r>
            <w:r>
              <w:rPr>
                <w:color w:val="000000"/>
              </w:rPr>
              <w:t>(</w:t>
            </w:r>
            <w:proofErr w:type="spellStart"/>
            <w:r>
              <w:rPr>
                <w:color w:val="000000"/>
              </w:rPr>
              <w:t>Cth</w:t>
            </w:r>
            <w:proofErr w:type="spellEnd"/>
            <w:r>
              <w:rPr>
                <w:color w:val="000000"/>
              </w:rPr>
              <w:t>)</w:t>
            </w:r>
            <w:r w:rsidR="00037AC1">
              <w:rPr>
                <w:color w:val="000000"/>
              </w:rPr>
              <w:t>.</w:t>
            </w:r>
          </w:p>
        </w:tc>
      </w:tr>
    </w:tbl>
    <w:p w14:paraId="09A3DD6C" w14:textId="77777777" w:rsidR="000A2A4C" w:rsidRPr="005E5DCD" w:rsidRDefault="000A2A4C" w:rsidP="001505F4">
      <w:pPr>
        <w:pStyle w:val="Heading3"/>
      </w:pPr>
      <w:bookmarkStart w:id="21" w:name="_Toc5355998"/>
      <w:bookmarkStart w:id="22" w:name="_Toc16774071"/>
      <w:bookmarkStart w:id="23" w:name="_Toc5355993"/>
      <w:r>
        <w:t>Additional eligibility requirements</w:t>
      </w:r>
      <w:bookmarkEnd w:id="21"/>
      <w:bookmarkEnd w:id="22"/>
      <w:r>
        <w:t xml:space="preserve"> </w:t>
      </w:r>
    </w:p>
    <w:p w14:paraId="6E723E37" w14:textId="77777777" w:rsidR="00CE5214" w:rsidRPr="00E22673" w:rsidRDefault="00CE5214" w:rsidP="00E22673">
      <w:pPr>
        <w:pStyle w:val="ListBullet"/>
        <w:numPr>
          <w:ilvl w:val="0"/>
          <w:numId w:val="0"/>
        </w:numPr>
        <w:spacing w:after="120"/>
        <w:rPr>
          <w:rFonts w:cs="Arial"/>
        </w:rPr>
      </w:pPr>
      <w:r w:rsidRPr="00E22673">
        <w:rPr>
          <w:rFonts w:cs="Arial"/>
        </w:rPr>
        <w:t>Applications will only be accepted from applicants that:</w:t>
      </w:r>
    </w:p>
    <w:p w14:paraId="687867D7" w14:textId="77777777" w:rsidR="008C6868" w:rsidRPr="00E22673" w:rsidRDefault="008C6868" w:rsidP="00E22673">
      <w:pPr>
        <w:pStyle w:val="Bullet1"/>
        <w:numPr>
          <w:ilvl w:val="0"/>
          <w:numId w:val="69"/>
        </w:numPr>
        <w:spacing w:before="40" w:after="120"/>
        <w:rPr>
          <w:rFonts w:cs="Arial"/>
          <w:szCs w:val="20"/>
        </w:rPr>
      </w:pPr>
      <w:r w:rsidRPr="00E22673">
        <w:rPr>
          <w:rFonts w:cs="Arial"/>
          <w:szCs w:val="20"/>
        </w:rPr>
        <w:t>have an Australian Business Number (ABN) or be willing to obtain one prior to the execution of the grant agreement</w:t>
      </w:r>
    </w:p>
    <w:p w14:paraId="6E34881B" w14:textId="77777777" w:rsidR="008C6868" w:rsidRPr="00E22673" w:rsidRDefault="008C6868" w:rsidP="00E22673">
      <w:pPr>
        <w:pStyle w:val="Bullet1"/>
        <w:numPr>
          <w:ilvl w:val="0"/>
          <w:numId w:val="69"/>
        </w:numPr>
        <w:spacing w:before="40" w:after="120"/>
        <w:rPr>
          <w:rFonts w:cs="Arial"/>
          <w:szCs w:val="20"/>
        </w:rPr>
      </w:pPr>
      <w:r w:rsidRPr="00E22673">
        <w:rPr>
          <w:rFonts w:cs="Arial"/>
          <w:szCs w:val="20"/>
        </w:rPr>
        <w:t xml:space="preserve">are registered, or willing to register for the purposes of GST if their income turnover, as a result of a successful grant, will exceed the thresholds defined by the Australian Tax Office </w:t>
      </w:r>
    </w:p>
    <w:p w14:paraId="70566E50" w14:textId="77777777" w:rsidR="006840D8" w:rsidRPr="00E22673" w:rsidRDefault="006840D8" w:rsidP="00E22673">
      <w:pPr>
        <w:pStyle w:val="Bullet1"/>
        <w:numPr>
          <w:ilvl w:val="0"/>
          <w:numId w:val="69"/>
        </w:numPr>
        <w:spacing w:before="40" w:after="120"/>
        <w:rPr>
          <w:rFonts w:cs="Arial"/>
          <w:szCs w:val="20"/>
        </w:rPr>
      </w:pPr>
      <w:r w:rsidRPr="00E22673">
        <w:rPr>
          <w:rFonts w:cs="Arial"/>
          <w:szCs w:val="20"/>
        </w:rPr>
        <w:t>have an account with an Australian financial institution; and</w:t>
      </w:r>
    </w:p>
    <w:p w14:paraId="3ED2F2AA" w14:textId="4E67C030" w:rsidR="008C6868" w:rsidRPr="00E22673" w:rsidRDefault="006840D8" w:rsidP="00E22673">
      <w:pPr>
        <w:pStyle w:val="Bullet1"/>
        <w:numPr>
          <w:ilvl w:val="0"/>
          <w:numId w:val="69"/>
        </w:numPr>
        <w:spacing w:before="40" w:after="120"/>
        <w:rPr>
          <w:rFonts w:cs="Arial"/>
        </w:rPr>
      </w:pPr>
      <w:proofErr w:type="gramStart"/>
      <w:r w:rsidRPr="00E22673">
        <w:rPr>
          <w:rFonts w:cs="Arial"/>
        </w:rPr>
        <w:t>have</w:t>
      </w:r>
      <w:proofErr w:type="gramEnd"/>
      <w:r w:rsidRPr="00E22673">
        <w:rPr>
          <w:rFonts w:cs="Arial"/>
        </w:rPr>
        <w:t xml:space="preserve"> Public Liability Insurance</w:t>
      </w:r>
      <w:r w:rsidR="006D1639">
        <w:rPr>
          <w:rFonts w:cs="Arial"/>
        </w:rPr>
        <w:t xml:space="preserve"> </w:t>
      </w:r>
      <w:r w:rsidR="008C6868" w:rsidRPr="00E22673">
        <w:rPr>
          <w:rFonts w:cs="Arial"/>
        </w:rPr>
        <w:t xml:space="preserve">coverage </w:t>
      </w:r>
      <w:r w:rsidR="00FF309C">
        <w:rPr>
          <w:rFonts w:cs="Arial"/>
        </w:rPr>
        <w:t>for the duration of the project</w:t>
      </w:r>
      <w:r w:rsidR="008C6868" w:rsidRPr="00E22673">
        <w:rPr>
          <w:rFonts w:cs="Arial"/>
        </w:rPr>
        <w:br/>
        <w:t xml:space="preserve">[Note: applicants may be asked for a copy of their </w:t>
      </w:r>
      <w:r w:rsidR="008345ED" w:rsidRPr="00E22673">
        <w:rPr>
          <w:rFonts w:cs="Arial"/>
          <w:szCs w:val="20"/>
        </w:rPr>
        <w:t>Public Liability Insurance</w:t>
      </w:r>
      <w:r w:rsidR="008C6868" w:rsidRPr="00E22673">
        <w:rPr>
          <w:rFonts w:cs="Arial"/>
        </w:rPr>
        <w:t>].</w:t>
      </w:r>
    </w:p>
    <w:p w14:paraId="3DB44A7C" w14:textId="77777777" w:rsidR="000A2A4C" w:rsidRDefault="000A2A4C" w:rsidP="001505F4">
      <w:pPr>
        <w:pStyle w:val="Heading3"/>
      </w:pPr>
      <w:bookmarkStart w:id="24" w:name="_Toc16774072"/>
      <w:r>
        <w:lastRenderedPageBreak/>
        <w:t>Who is not eligible to apply for a grant?</w:t>
      </w:r>
      <w:bookmarkEnd w:id="24"/>
    </w:p>
    <w:p w14:paraId="489A5202" w14:textId="77777777" w:rsidR="000A2A4C" w:rsidRPr="00E22673" w:rsidRDefault="000A2A4C" w:rsidP="00E22673">
      <w:pPr>
        <w:rPr>
          <w:rFonts w:cs="Arial"/>
        </w:rPr>
      </w:pPr>
      <w:r w:rsidRPr="00E22673">
        <w:rPr>
          <w:rFonts w:cs="Arial"/>
        </w:rPr>
        <w:t xml:space="preserve">You are not eligible to apply if you are: </w:t>
      </w:r>
    </w:p>
    <w:tbl>
      <w:tblPr>
        <w:tblW w:w="5000" w:type="pct"/>
        <w:tblLayout w:type="fixed"/>
        <w:tblCellMar>
          <w:left w:w="0" w:type="dxa"/>
          <w:right w:w="0" w:type="dxa"/>
        </w:tblCellMar>
        <w:tblLook w:val="04A0" w:firstRow="1" w:lastRow="0" w:firstColumn="1" w:lastColumn="0" w:noHBand="0" w:noVBand="1"/>
      </w:tblPr>
      <w:tblGrid>
        <w:gridCol w:w="2198"/>
        <w:gridCol w:w="6580"/>
      </w:tblGrid>
      <w:tr w:rsidR="000A2A4C" w:rsidRPr="00E42162" w14:paraId="50F3DB13" w14:textId="77777777" w:rsidTr="00DF132F">
        <w:trPr>
          <w:tblHeader/>
        </w:trPr>
        <w:tc>
          <w:tcPr>
            <w:tcW w:w="1252" w:type="pct"/>
            <w:tcBorders>
              <w:top w:val="nil"/>
              <w:left w:val="nil"/>
              <w:bottom w:val="single" w:sz="18" w:space="0" w:color="FFFFFF"/>
              <w:right w:val="single" w:sz="8" w:space="0" w:color="FFFFFF"/>
            </w:tcBorders>
            <w:shd w:val="clear" w:color="auto" w:fill="6B2976"/>
          </w:tcPr>
          <w:p w14:paraId="63490432" w14:textId="1DA5A481" w:rsidR="000A2A4C" w:rsidRPr="00E42162" w:rsidRDefault="0000579C" w:rsidP="0000579C">
            <w:pPr>
              <w:spacing w:after="100" w:line="276" w:lineRule="auto"/>
              <w:ind w:left="113" w:right="113"/>
              <w:rPr>
                <w:strike/>
                <w:color w:val="FFFFFF" w:themeColor="background1"/>
              </w:rPr>
            </w:pPr>
            <w:r>
              <w:rPr>
                <w:b/>
                <w:bCs/>
                <w:color w:val="FFFFFF" w:themeColor="background1"/>
                <w:sz w:val="24"/>
                <w:szCs w:val="24"/>
              </w:rPr>
              <w:t>Entity</w:t>
            </w:r>
            <w:r w:rsidR="000A2A4C" w:rsidRPr="00E42162">
              <w:rPr>
                <w:b/>
                <w:bCs/>
                <w:color w:val="FFFFFF" w:themeColor="background1"/>
                <w:sz w:val="24"/>
                <w:szCs w:val="24"/>
              </w:rPr>
              <w:t xml:space="preserve"> Type </w:t>
            </w:r>
          </w:p>
        </w:tc>
        <w:tc>
          <w:tcPr>
            <w:tcW w:w="3748" w:type="pct"/>
            <w:tcBorders>
              <w:top w:val="nil"/>
              <w:left w:val="nil"/>
              <w:bottom w:val="single" w:sz="18" w:space="0" w:color="FFFFFF"/>
              <w:right w:val="single" w:sz="8" w:space="0" w:color="FFFFFF"/>
            </w:tcBorders>
            <w:shd w:val="clear" w:color="auto" w:fill="6B2976"/>
          </w:tcPr>
          <w:p w14:paraId="0332DA78" w14:textId="77777777" w:rsidR="000A2A4C" w:rsidRPr="00E42162" w:rsidRDefault="000A2A4C" w:rsidP="00DF132F">
            <w:pPr>
              <w:spacing w:after="100" w:line="276" w:lineRule="auto"/>
              <w:ind w:left="113" w:right="113"/>
              <w:rPr>
                <w:strike/>
                <w:color w:val="FFFFFF" w:themeColor="background1"/>
              </w:rPr>
            </w:pPr>
            <w:r w:rsidRPr="00E42162">
              <w:rPr>
                <w:b/>
                <w:bCs/>
                <w:color w:val="FFFFFF" w:themeColor="background1"/>
                <w:sz w:val="24"/>
                <w:szCs w:val="24"/>
              </w:rPr>
              <w:t>Description</w:t>
            </w:r>
          </w:p>
        </w:tc>
      </w:tr>
      <w:tr w:rsidR="000A2A4C" w:rsidRPr="0047496C" w14:paraId="48361907" w14:textId="77777777" w:rsidTr="00DF132F">
        <w:tc>
          <w:tcPr>
            <w:tcW w:w="1252" w:type="pct"/>
            <w:tcBorders>
              <w:top w:val="single" w:sz="18" w:space="0" w:color="FFFFFF"/>
              <w:left w:val="single" w:sz="18" w:space="0" w:color="FFFFFF"/>
              <w:bottom w:val="single" w:sz="18" w:space="0" w:color="FFFFFF"/>
              <w:right w:val="single" w:sz="18" w:space="0" w:color="FFFFFF"/>
            </w:tcBorders>
            <w:shd w:val="clear" w:color="auto" w:fill="EEE8F0"/>
            <w:hideMark/>
          </w:tcPr>
          <w:p w14:paraId="36284B8F" w14:textId="77777777" w:rsidR="000A2A4C" w:rsidRPr="00591906" w:rsidRDefault="000A2A4C" w:rsidP="00DF132F">
            <w:pPr>
              <w:spacing w:before="120" w:line="276" w:lineRule="auto"/>
              <w:ind w:left="113" w:right="113"/>
              <w:rPr>
                <w:color w:val="000000"/>
              </w:rPr>
            </w:pPr>
            <w:r w:rsidRPr="00591906">
              <w:rPr>
                <w:color w:val="000000"/>
              </w:rPr>
              <w:t>Person</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hideMark/>
          </w:tcPr>
          <w:p w14:paraId="42E78DC2" w14:textId="77777777" w:rsidR="000A2A4C" w:rsidRPr="00591906" w:rsidRDefault="000A2A4C" w:rsidP="00DF132F">
            <w:pPr>
              <w:spacing w:before="120" w:line="276" w:lineRule="auto"/>
              <w:ind w:left="113" w:right="113"/>
              <w:rPr>
                <w:color w:val="000000"/>
              </w:rPr>
            </w:pPr>
            <w:r w:rsidRPr="00591906">
              <w:rPr>
                <w:color w:val="000000"/>
              </w:rPr>
              <w:t>A Person is a natural person, an individual, a human being.</w:t>
            </w:r>
          </w:p>
        </w:tc>
      </w:tr>
      <w:tr w:rsidR="000A2A4C" w:rsidRPr="0047496C" w14:paraId="09226451" w14:textId="77777777" w:rsidTr="00DF132F">
        <w:tc>
          <w:tcPr>
            <w:tcW w:w="1252" w:type="pct"/>
            <w:tcBorders>
              <w:top w:val="single" w:sz="18" w:space="0" w:color="FFFFFF"/>
              <w:left w:val="single" w:sz="18" w:space="0" w:color="FFFFFF"/>
              <w:bottom w:val="single" w:sz="18" w:space="0" w:color="FFFFFF"/>
              <w:right w:val="single" w:sz="18" w:space="0" w:color="FFFFFF"/>
            </w:tcBorders>
            <w:shd w:val="clear" w:color="auto" w:fill="EEE8F0"/>
            <w:hideMark/>
          </w:tcPr>
          <w:p w14:paraId="5E6AFB4E" w14:textId="77777777" w:rsidR="000A2A4C" w:rsidRPr="00591906" w:rsidRDefault="000A2A4C" w:rsidP="00DF132F">
            <w:pPr>
              <w:spacing w:before="120" w:line="276" w:lineRule="auto"/>
              <w:ind w:left="113" w:right="113"/>
              <w:rPr>
                <w:color w:val="000000"/>
              </w:rPr>
            </w:pPr>
            <w:r w:rsidRPr="00591906">
              <w:rPr>
                <w:color w:val="000000"/>
              </w:rPr>
              <w:t>Sole Trader</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hideMark/>
          </w:tcPr>
          <w:p w14:paraId="4937D067" w14:textId="77777777" w:rsidR="000A2A4C" w:rsidRPr="00591906" w:rsidRDefault="000A2A4C" w:rsidP="00DF132F">
            <w:pPr>
              <w:spacing w:before="120" w:line="276" w:lineRule="auto"/>
              <w:ind w:left="113" w:right="113"/>
              <w:rPr>
                <w:color w:val="000000"/>
              </w:rPr>
            </w:pPr>
            <w:r w:rsidRPr="00591906">
              <w:rPr>
                <w:color w:val="000000"/>
              </w:rPr>
              <w:t>A Sole Trader is a Person who trades in their own right, and controls and manages their business. They are legally responsible for all aspects of the business, and personally responsible for debts and losses incurred in carrying on their business.</w:t>
            </w:r>
          </w:p>
          <w:p w14:paraId="7D42DCED" w14:textId="77777777" w:rsidR="000A2A4C" w:rsidRPr="00591906" w:rsidRDefault="000A2A4C" w:rsidP="00DF132F">
            <w:pPr>
              <w:spacing w:before="120" w:line="276" w:lineRule="auto"/>
              <w:ind w:left="113" w:right="113"/>
              <w:rPr>
                <w:color w:val="000000"/>
              </w:rPr>
            </w:pPr>
            <w:r w:rsidRPr="00591906">
              <w:rPr>
                <w:color w:val="000000"/>
              </w:rPr>
              <w:t>They may trade under their own name, or they may operate under a separate registered Business Name. The legal contracting entity is the Person.</w:t>
            </w:r>
          </w:p>
        </w:tc>
      </w:tr>
      <w:tr w:rsidR="000A2A4C" w:rsidRPr="0047496C" w14:paraId="75A0DE8D" w14:textId="77777777" w:rsidTr="00DF132F">
        <w:tc>
          <w:tcPr>
            <w:tcW w:w="1252" w:type="pct"/>
            <w:tcBorders>
              <w:top w:val="single" w:sz="18" w:space="0" w:color="FFFFFF"/>
              <w:left w:val="single" w:sz="18" w:space="0" w:color="FFFFFF"/>
              <w:bottom w:val="single" w:sz="18" w:space="0" w:color="FFFFFF"/>
              <w:right w:val="single" w:sz="18" w:space="0" w:color="FFFFFF"/>
            </w:tcBorders>
            <w:shd w:val="clear" w:color="auto" w:fill="EEE8F0"/>
          </w:tcPr>
          <w:p w14:paraId="076F206A" w14:textId="77777777" w:rsidR="000A2A4C" w:rsidRPr="00B74EDA" w:rsidRDefault="000A2A4C" w:rsidP="00DF132F">
            <w:pPr>
              <w:spacing w:before="120" w:line="276" w:lineRule="auto"/>
              <w:ind w:left="113" w:right="113"/>
              <w:rPr>
                <w:color w:val="000000"/>
              </w:rPr>
            </w:pPr>
            <w:r w:rsidRPr="00591906">
              <w:rPr>
                <w:color w:val="000000"/>
              </w:rPr>
              <w:t>International Entity</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tcPr>
          <w:p w14:paraId="4D3B43B2" w14:textId="77777777" w:rsidR="000A2A4C" w:rsidRPr="00B74EDA" w:rsidRDefault="000A2A4C" w:rsidP="00DF132F">
            <w:pPr>
              <w:spacing w:before="120" w:line="276" w:lineRule="auto"/>
              <w:ind w:left="113" w:right="113"/>
              <w:rPr>
                <w:color w:val="000000"/>
              </w:rPr>
            </w:pPr>
            <w:r w:rsidRPr="00591906">
              <w:rPr>
                <w:color w:val="000000"/>
              </w:rPr>
              <w:t xml:space="preserve">An International Entity is a foreign party that </w:t>
            </w:r>
            <w:proofErr w:type="gramStart"/>
            <w:r w:rsidRPr="00591906">
              <w:rPr>
                <w:color w:val="000000"/>
              </w:rPr>
              <w:t>is not registered</w:t>
            </w:r>
            <w:proofErr w:type="gramEnd"/>
            <w:r w:rsidRPr="00591906">
              <w:rPr>
                <w:color w:val="000000"/>
              </w:rPr>
              <w:t xml:space="preserve"> for business in Australia.</w:t>
            </w:r>
          </w:p>
        </w:tc>
      </w:tr>
      <w:tr w:rsidR="000A2A4C" w:rsidRPr="0047496C" w14:paraId="1ADDB9F6" w14:textId="77777777" w:rsidTr="00DF132F">
        <w:tc>
          <w:tcPr>
            <w:tcW w:w="1252" w:type="pct"/>
            <w:tcBorders>
              <w:top w:val="single" w:sz="18" w:space="0" w:color="FFFFFF"/>
              <w:left w:val="single" w:sz="18" w:space="0" w:color="FFFFFF"/>
              <w:bottom w:val="single" w:sz="18" w:space="0" w:color="FFFFFF"/>
              <w:right w:val="single" w:sz="18" w:space="0" w:color="FFFFFF"/>
            </w:tcBorders>
            <w:shd w:val="clear" w:color="auto" w:fill="EEE8F0"/>
          </w:tcPr>
          <w:p w14:paraId="3786ADBA" w14:textId="77777777" w:rsidR="000A2A4C" w:rsidRPr="00591906" w:rsidRDefault="000A2A4C" w:rsidP="00DF132F">
            <w:pPr>
              <w:spacing w:before="120" w:line="276" w:lineRule="auto"/>
              <w:ind w:left="113" w:right="113"/>
              <w:rPr>
                <w:color w:val="000000"/>
              </w:rPr>
            </w:pPr>
            <w:r>
              <w:rPr>
                <w:color w:val="000000"/>
              </w:rPr>
              <w:t>Unincorporated Association</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tcPr>
          <w:p w14:paraId="44C37EA1" w14:textId="77777777" w:rsidR="000A2A4C" w:rsidRPr="00663B2A" w:rsidRDefault="000A2A4C" w:rsidP="00DF132F">
            <w:pPr>
              <w:spacing w:before="120" w:line="276" w:lineRule="auto"/>
              <w:ind w:left="113" w:right="113"/>
            </w:pPr>
            <w:r>
              <w:rPr>
                <w:color w:val="000000"/>
              </w:rPr>
              <w:t xml:space="preserve">Groups or organisations not legally formed or registered are not eligible to apply in </w:t>
            </w:r>
            <w:r w:rsidRPr="00A73F65">
              <w:t>their own right.</w:t>
            </w:r>
          </w:p>
        </w:tc>
      </w:tr>
    </w:tbl>
    <w:p w14:paraId="4733D32E" w14:textId="77777777" w:rsidR="006840D8" w:rsidRPr="00037AC1" w:rsidRDefault="006840D8" w:rsidP="00037AC1">
      <w:pPr>
        <w:pStyle w:val="Heading3"/>
      </w:pPr>
      <w:bookmarkStart w:id="25" w:name="_Toc16774073"/>
      <w:r w:rsidRPr="00037AC1">
        <w:t>Applications from a consortium</w:t>
      </w:r>
      <w:bookmarkEnd w:id="25"/>
    </w:p>
    <w:p w14:paraId="2A396A1F" w14:textId="77777777" w:rsidR="002714E9" w:rsidRPr="00E22673" w:rsidRDefault="002714E9" w:rsidP="00E22673">
      <w:pPr>
        <w:pStyle w:val="ListBullet"/>
        <w:numPr>
          <w:ilvl w:val="0"/>
          <w:numId w:val="0"/>
        </w:numPr>
        <w:spacing w:after="120"/>
        <w:rPr>
          <w:rFonts w:cs="Arial"/>
        </w:rPr>
      </w:pPr>
      <w:r w:rsidRPr="00E22673">
        <w:rPr>
          <w:rFonts w:cs="Arial"/>
        </w:rPr>
        <w:t xml:space="preserve">Applications from consortia </w:t>
      </w:r>
      <w:proofErr w:type="gramStart"/>
      <w:r w:rsidRPr="00E22673">
        <w:rPr>
          <w:rFonts w:cs="Arial"/>
        </w:rPr>
        <w:t>will be accepted</w:t>
      </w:r>
      <w:proofErr w:type="gramEnd"/>
      <w:r w:rsidRPr="00E22673">
        <w:rPr>
          <w:rFonts w:cs="Arial"/>
        </w:rPr>
        <w:t xml:space="preserve">, as long as they have a lead applicant who is solely accountable to the NDIA for the delivery of grant activities and is an eligible entity as per </w:t>
      </w:r>
      <w:r w:rsidR="009C6DAB" w:rsidRPr="00E22673">
        <w:rPr>
          <w:rFonts w:cs="Arial"/>
        </w:rPr>
        <w:t>Section 3.2</w:t>
      </w:r>
      <w:r w:rsidRPr="00E22673">
        <w:rPr>
          <w:rFonts w:cs="Arial"/>
        </w:rPr>
        <w:t xml:space="preserve"> and </w:t>
      </w:r>
      <w:r w:rsidR="009C6DAB" w:rsidRPr="00E22673">
        <w:rPr>
          <w:rFonts w:cs="Arial"/>
        </w:rPr>
        <w:t xml:space="preserve">Section 3.3 </w:t>
      </w:r>
      <w:r w:rsidRPr="00E22673">
        <w:rPr>
          <w:rFonts w:cs="Arial"/>
        </w:rPr>
        <w:t xml:space="preserve">(additional requirements). Non-lead members of the consortium </w:t>
      </w:r>
      <w:r w:rsidRPr="00E22673">
        <w:rPr>
          <w:rFonts w:cs="Arial"/>
          <w:b/>
        </w:rPr>
        <w:t>do not</w:t>
      </w:r>
      <w:r w:rsidRPr="00E22673">
        <w:rPr>
          <w:rFonts w:cs="Arial"/>
        </w:rPr>
        <w:t xml:space="preserve"> need to be an eligible entity</w:t>
      </w:r>
      <w:r w:rsidRPr="00E22673">
        <w:rPr>
          <w:rFonts w:cs="Arial"/>
          <w:iCs w:val="0"/>
        </w:rPr>
        <w:t>.</w:t>
      </w:r>
    </w:p>
    <w:p w14:paraId="77A8FC01" w14:textId="77777777" w:rsidR="002714E9" w:rsidRPr="00E22673" w:rsidRDefault="002714E9" w:rsidP="00E22673">
      <w:pPr>
        <w:rPr>
          <w:rFonts w:cs="Arial"/>
        </w:rPr>
      </w:pPr>
      <w:r w:rsidRPr="00E22673">
        <w:rPr>
          <w:rFonts w:cs="Arial"/>
        </w:rPr>
        <w:t>The lead organisation must complete and submit the application on behalf of the consortium members. The lead organisation must identify all other members of the proposed consortium in the application. Only the lead organisation will enter into a grant agreement with the NDIA, but the lead organisation must have the authority to do so on behalf of the consortium members.</w:t>
      </w:r>
    </w:p>
    <w:p w14:paraId="28D89CEA" w14:textId="22F64264" w:rsidR="006840D8" w:rsidRPr="00E22673" w:rsidRDefault="002714E9" w:rsidP="00E22673">
      <w:pPr>
        <w:rPr>
          <w:rFonts w:cs="Arial"/>
        </w:rPr>
      </w:pPr>
      <w:r w:rsidRPr="00E22673">
        <w:rPr>
          <w:rFonts w:cs="Arial"/>
        </w:rPr>
        <w:t>A formal agreement must be in place between all consortium members</w:t>
      </w:r>
      <w:r w:rsidR="001D49F8" w:rsidRPr="00E22673">
        <w:rPr>
          <w:rFonts w:cs="Arial"/>
        </w:rPr>
        <w:t xml:space="preserve"> and be provided to the NDIA if requested,</w:t>
      </w:r>
      <w:r w:rsidRPr="00E22673">
        <w:rPr>
          <w:rFonts w:cs="Arial"/>
        </w:rPr>
        <w:t xml:space="preserve"> prior to execution of the grant agreement.</w:t>
      </w:r>
    </w:p>
    <w:p w14:paraId="19087BE0" w14:textId="77777777" w:rsidR="00236E43" w:rsidRPr="00236E43" w:rsidRDefault="00236E43" w:rsidP="001505F4">
      <w:pPr>
        <w:pStyle w:val="Heading3"/>
      </w:pPr>
      <w:bookmarkStart w:id="26" w:name="_Toc16774074"/>
      <w:bookmarkEnd w:id="23"/>
      <w:r w:rsidRPr="00236E43">
        <w:t xml:space="preserve">Auspice </w:t>
      </w:r>
      <w:r w:rsidR="009F5837">
        <w:t>a</w:t>
      </w:r>
      <w:r w:rsidRPr="00236E43">
        <w:t>rrangements</w:t>
      </w:r>
      <w:bookmarkEnd w:id="26"/>
    </w:p>
    <w:p w14:paraId="7585030F" w14:textId="2D002B29" w:rsidR="00CB5B34" w:rsidRPr="00E22673" w:rsidRDefault="009F5837" w:rsidP="00E22673">
      <w:pPr>
        <w:rPr>
          <w:rFonts w:cs="Arial"/>
          <w:lang w:val="en-US"/>
        </w:rPr>
      </w:pPr>
      <w:r w:rsidRPr="00E22673">
        <w:rPr>
          <w:rFonts w:cs="Arial"/>
          <w:lang w:val="en-US"/>
        </w:rPr>
        <w:t xml:space="preserve">The </w:t>
      </w:r>
      <w:r w:rsidR="00CB5B34" w:rsidRPr="00E22673">
        <w:rPr>
          <w:rFonts w:cs="Arial"/>
          <w:lang w:val="en-US"/>
        </w:rPr>
        <w:t xml:space="preserve">NDIA can only award grants to an </w:t>
      </w:r>
      <w:proofErr w:type="spellStart"/>
      <w:r w:rsidR="00CB5B34" w:rsidRPr="00E22673">
        <w:rPr>
          <w:rFonts w:cs="Arial"/>
          <w:lang w:val="en-US"/>
        </w:rPr>
        <w:t>organisation</w:t>
      </w:r>
      <w:proofErr w:type="spellEnd"/>
      <w:r w:rsidR="00CB5B34" w:rsidRPr="00E22673">
        <w:rPr>
          <w:rFonts w:cs="Arial"/>
          <w:lang w:val="en-US"/>
        </w:rPr>
        <w:t xml:space="preserve"> that is a legal entity to ensure that the </w:t>
      </w:r>
      <w:proofErr w:type="spellStart"/>
      <w:r w:rsidR="00CB5B34" w:rsidRPr="00E22673">
        <w:rPr>
          <w:rFonts w:cs="Arial"/>
          <w:lang w:val="en-US"/>
        </w:rPr>
        <w:t>organisation</w:t>
      </w:r>
      <w:proofErr w:type="spellEnd"/>
      <w:r w:rsidR="00CB5B34" w:rsidRPr="00E22673">
        <w:rPr>
          <w:rFonts w:cs="Arial"/>
          <w:lang w:val="en-US"/>
        </w:rPr>
        <w:t xml:space="preserve"> </w:t>
      </w:r>
      <w:proofErr w:type="gramStart"/>
      <w:r w:rsidR="00CB5B34" w:rsidRPr="00E22673">
        <w:rPr>
          <w:rFonts w:cs="Arial"/>
          <w:lang w:val="en-US"/>
        </w:rPr>
        <w:t>can be held</w:t>
      </w:r>
      <w:proofErr w:type="gramEnd"/>
      <w:r w:rsidR="00CB5B34" w:rsidRPr="00E22673">
        <w:rPr>
          <w:rFonts w:cs="Arial"/>
          <w:lang w:val="en-US"/>
        </w:rPr>
        <w:t xml:space="preserve"> legally responsible for meeting the contractual obligations of the grant. However, those </w:t>
      </w:r>
      <w:proofErr w:type="spellStart"/>
      <w:r w:rsidR="00CB5B34" w:rsidRPr="00E22673">
        <w:rPr>
          <w:rFonts w:cs="Arial"/>
          <w:lang w:val="en-US"/>
        </w:rPr>
        <w:t>organisations</w:t>
      </w:r>
      <w:proofErr w:type="spellEnd"/>
      <w:r w:rsidR="00CB5B34" w:rsidRPr="00E22673">
        <w:rPr>
          <w:rFonts w:cs="Arial"/>
          <w:lang w:val="en-US"/>
        </w:rPr>
        <w:t xml:space="preserve"> that meet the DP</w:t>
      </w:r>
      <w:r w:rsidR="00CE5214" w:rsidRPr="00E22673">
        <w:rPr>
          <w:rFonts w:cs="Arial"/>
          <w:lang w:val="en-US"/>
        </w:rPr>
        <w:t>O/</w:t>
      </w:r>
      <w:r w:rsidR="00CB5B34" w:rsidRPr="00E22673">
        <w:rPr>
          <w:rFonts w:cs="Arial"/>
          <w:lang w:val="en-US"/>
        </w:rPr>
        <w:t xml:space="preserve">FO eligibility criteria at Section </w:t>
      </w:r>
      <w:r w:rsidR="00FF309C">
        <w:rPr>
          <w:rFonts w:cs="Arial"/>
          <w:lang w:val="en-US"/>
        </w:rPr>
        <w:t xml:space="preserve">3.1 </w:t>
      </w:r>
      <w:r w:rsidR="00CB5B34" w:rsidRPr="00E22673">
        <w:rPr>
          <w:rFonts w:cs="Arial"/>
          <w:lang w:val="en-US"/>
        </w:rPr>
        <w:t>may still be able to participate in the grant round if they are able to es</w:t>
      </w:r>
      <w:r w:rsidR="002C466B">
        <w:rPr>
          <w:rFonts w:cs="Arial"/>
          <w:lang w:val="en-US"/>
        </w:rPr>
        <w:t>tablish an auspice arrangement.</w:t>
      </w:r>
    </w:p>
    <w:p w14:paraId="0AD3499E" w14:textId="7F5B837D" w:rsidR="002714E9" w:rsidRPr="00E22673" w:rsidRDefault="00CB5B34" w:rsidP="00E22673">
      <w:pPr>
        <w:rPr>
          <w:rFonts w:cs="Arial"/>
        </w:rPr>
      </w:pPr>
      <w:r w:rsidRPr="00E22673">
        <w:rPr>
          <w:rFonts w:cs="Arial"/>
          <w:lang w:val="en-US"/>
        </w:rPr>
        <w:t xml:space="preserve">An auspice arrangement </w:t>
      </w:r>
      <w:proofErr w:type="gramStart"/>
      <w:r w:rsidRPr="00E22673">
        <w:rPr>
          <w:rFonts w:cs="Arial"/>
          <w:lang w:val="en-US"/>
        </w:rPr>
        <w:t>can also be used</w:t>
      </w:r>
      <w:proofErr w:type="gramEnd"/>
      <w:r w:rsidRPr="00E22673">
        <w:rPr>
          <w:rFonts w:cs="Arial"/>
          <w:lang w:val="en-US"/>
        </w:rPr>
        <w:t xml:space="preserve"> by DP</w:t>
      </w:r>
      <w:r w:rsidR="00CE5214" w:rsidRPr="00E22673">
        <w:rPr>
          <w:rFonts w:cs="Arial"/>
          <w:lang w:val="en-US"/>
        </w:rPr>
        <w:t>O/</w:t>
      </w:r>
      <w:r w:rsidRPr="00E22673">
        <w:rPr>
          <w:rFonts w:cs="Arial"/>
          <w:lang w:val="en-US"/>
        </w:rPr>
        <w:t xml:space="preserve">FOs unwilling or unable to take on the responsibilities of grant management. </w:t>
      </w:r>
      <w:r w:rsidR="002714E9" w:rsidRPr="00E22673">
        <w:rPr>
          <w:rFonts w:cs="Arial"/>
          <w:lang w:val="en-US"/>
        </w:rPr>
        <w:t>The proposed</w:t>
      </w:r>
      <w:r w:rsidR="002714E9" w:rsidRPr="00E22673">
        <w:rPr>
          <w:rFonts w:cs="Arial"/>
        </w:rPr>
        <w:t xml:space="preserve"> </w:t>
      </w:r>
      <w:r w:rsidR="00FF309C">
        <w:rPr>
          <w:rFonts w:cs="Arial"/>
        </w:rPr>
        <w:t>budget to be included with the a</w:t>
      </w:r>
      <w:r w:rsidR="002714E9" w:rsidRPr="00E22673">
        <w:rPr>
          <w:rFonts w:cs="Arial"/>
        </w:rPr>
        <w:t xml:space="preserve">pplication should clearly indicate any </w:t>
      </w:r>
      <w:proofErr w:type="spellStart"/>
      <w:r w:rsidR="002714E9" w:rsidRPr="00E22673">
        <w:rPr>
          <w:rFonts w:cs="Arial"/>
        </w:rPr>
        <w:t>auspicing</w:t>
      </w:r>
      <w:proofErr w:type="spellEnd"/>
      <w:r w:rsidR="002714E9" w:rsidRPr="00E22673">
        <w:rPr>
          <w:rFonts w:cs="Arial"/>
        </w:rPr>
        <w:t xml:space="preserve"> or management fees that </w:t>
      </w:r>
      <w:proofErr w:type="gramStart"/>
      <w:r w:rsidR="002714E9" w:rsidRPr="00E22673">
        <w:rPr>
          <w:rFonts w:cs="Arial"/>
        </w:rPr>
        <w:t>will be charged</w:t>
      </w:r>
      <w:proofErr w:type="gramEnd"/>
      <w:r w:rsidR="002714E9" w:rsidRPr="00E22673">
        <w:rPr>
          <w:rFonts w:cs="Arial"/>
        </w:rPr>
        <w:t xml:space="preserve"> by the </w:t>
      </w:r>
      <w:proofErr w:type="spellStart"/>
      <w:r w:rsidR="002714E9" w:rsidRPr="00E22673">
        <w:rPr>
          <w:rFonts w:cs="Arial"/>
        </w:rPr>
        <w:t>auspicor</w:t>
      </w:r>
      <w:proofErr w:type="spellEnd"/>
      <w:r w:rsidR="002714E9" w:rsidRPr="00E22673">
        <w:rPr>
          <w:rFonts w:cs="Arial"/>
        </w:rPr>
        <w:t>.</w:t>
      </w:r>
    </w:p>
    <w:p w14:paraId="66BBECEA" w14:textId="77777777" w:rsidR="003C0787" w:rsidRPr="00E22673" w:rsidRDefault="003C0787" w:rsidP="00E22673">
      <w:pPr>
        <w:rPr>
          <w:rFonts w:cs="Arial"/>
        </w:rPr>
      </w:pPr>
      <w:r w:rsidRPr="00E22673">
        <w:rPr>
          <w:rFonts w:cs="Arial"/>
          <w:lang w:val="en-US"/>
        </w:rPr>
        <w:t xml:space="preserve">The </w:t>
      </w:r>
      <w:proofErr w:type="spellStart"/>
      <w:r w:rsidRPr="00E22673">
        <w:rPr>
          <w:rFonts w:cs="Arial"/>
        </w:rPr>
        <w:t>auspicor</w:t>
      </w:r>
      <w:proofErr w:type="spellEnd"/>
      <w:r w:rsidRPr="00E22673">
        <w:rPr>
          <w:rFonts w:cs="Arial"/>
        </w:rPr>
        <w:t xml:space="preserve"> can be any organisation that is </w:t>
      </w:r>
      <w:r w:rsidRPr="00E22673">
        <w:rPr>
          <w:rFonts w:cs="Arial"/>
          <w:lang w:val="en-US"/>
        </w:rPr>
        <w:t xml:space="preserve">a legal entity (Section </w:t>
      </w:r>
      <w:r w:rsidR="009C6DAB" w:rsidRPr="00E22673">
        <w:rPr>
          <w:rFonts w:cs="Arial"/>
          <w:lang w:val="en-US"/>
        </w:rPr>
        <w:t>3.2</w:t>
      </w:r>
      <w:r w:rsidRPr="00E22673">
        <w:rPr>
          <w:rFonts w:cs="Arial"/>
          <w:lang w:val="en-US"/>
        </w:rPr>
        <w:t xml:space="preserve">) and </w:t>
      </w:r>
      <w:r w:rsidRPr="00E22673">
        <w:rPr>
          <w:rFonts w:cs="Arial"/>
        </w:rPr>
        <w:t xml:space="preserve">capable of satisfying the additional requirements outlined in Section </w:t>
      </w:r>
      <w:r w:rsidR="009C6DAB" w:rsidRPr="00E22673">
        <w:rPr>
          <w:rFonts w:cs="Arial"/>
        </w:rPr>
        <w:t>3.3</w:t>
      </w:r>
      <w:r w:rsidRPr="00E22673">
        <w:rPr>
          <w:rFonts w:cs="Arial"/>
        </w:rPr>
        <w:t>.</w:t>
      </w:r>
    </w:p>
    <w:p w14:paraId="527CC7E4" w14:textId="2F76EB3A" w:rsidR="003C0787" w:rsidRPr="00E22673" w:rsidRDefault="003C0787" w:rsidP="00E22673">
      <w:pPr>
        <w:rPr>
          <w:rFonts w:cs="Arial"/>
          <w:lang w:val="en-US"/>
        </w:rPr>
      </w:pPr>
      <w:r w:rsidRPr="00E22673">
        <w:rPr>
          <w:rFonts w:cs="Arial"/>
          <w:lang w:val="en-US"/>
        </w:rPr>
        <w:t xml:space="preserve">The </w:t>
      </w:r>
      <w:proofErr w:type="spellStart"/>
      <w:r w:rsidRPr="00E22673">
        <w:rPr>
          <w:rFonts w:cs="Arial"/>
          <w:lang w:val="en-US"/>
        </w:rPr>
        <w:t>auspicee</w:t>
      </w:r>
      <w:proofErr w:type="spellEnd"/>
      <w:r w:rsidRPr="00E22673">
        <w:rPr>
          <w:rFonts w:cs="Arial"/>
          <w:lang w:val="en-US"/>
        </w:rPr>
        <w:t xml:space="preserve"> must complete the template provided on the </w:t>
      </w:r>
      <w:r w:rsidR="00C423C0" w:rsidRPr="00E22673">
        <w:rPr>
          <w:rFonts w:cs="Arial"/>
          <w:lang w:val="en-US"/>
        </w:rPr>
        <w:t>Community Grants Hub website</w:t>
      </w:r>
      <w:r w:rsidRPr="00E22673">
        <w:rPr>
          <w:rFonts w:cs="Arial"/>
          <w:lang w:val="en-US"/>
        </w:rPr>
        <w:t xml:space="preserve"> </w:t>
      </w:r>
      <w:proofErr w:type="spellStart"/>
      <w:r w:rsidRPr="00E22673">
        <w:rPr>
          <w:rFonts w:cs="Arial"/>
          <w:lang w:val="en-US"/>
        </w:rPr>
        <w:t>authorising</w:t>
      </w:r>
      <w:proofErr w:type="spellEnd"/>
      <w:r w:rsidRPr="00E22673">
        <w:rPr>
          <w:rFonts w:cs="Arial"/>
          <w:lang w:val="en-US"/>
        </w:rPr>
        <w:t xml:space="preserve"> the </w:t>
      </w:r>
      <w:proofErr w:type="spellStart"/>
      <w:r w:rsidRPr="00E22673">
        <w:rPr>
          <w:rFonts w:cs="Arial"/>
        </w:rPr>
        <w:t>auspicor</w:t>
      </w:r>
      <w:proofErr w:type="spellEnd"/>
      <w:r w:rsidRPr="00E22673">
        <w:rPr>
          <w:rFonts w:cs="Arial"/>
        </w:rPr>
        <w:t xml:space="preserve"> </w:t>
      </w:r>
      <w:r w:rsidRPr="00E22673">
        <w:rPr>
          <w:rFonts w:cs="Arial"/>
          <w:lang w:val="en-US"/>
        </w:rPr>
        <w:t xml:space="preserve">to apply on their behalf. The </w:t>
      </w:r>
      <w:r w:rsidR="00FF309C">
        <w:rPr>
          <w:rFonts w:cs="Arial"/>
          <w:lang w:val="en-US"/>
        </w:rPr>
        <w:t>a</w:t>
      </w:r>
      <w:r w:rsidRPr="00E22673">
        <w:rPr>
          <w:rFonts w:cs="Arial"/>
          <w:lang w:val="en-US"/>
        </w:rPr>
        <w:t xml:space="preserve">pplicant </w:t>
      </w:r>
      <w:proofErr w:type="gramStart"/>
      <w:r w:rsidRPr="00E22673">
        <w:rPr>
          <w:rFonts w:cs="Arial"/>
          <w:lang w:val="en-US"/>
        </w:rPr>
        <w:t>will be prompted</w:t>
      </w:r>
      <w:proofErr w:type="gramEnd"/>
      <w:r w:rsidRPr="00E22673">
        <w:rPr>
          <w:rFonts w:cs="Arial"/>
          <w:lang w:val="en-US"/>
        </w:rPr>
        <w:t xml:space="preserve"> to include this template as part of the application process.</w:t>
      </w:r>
    </w:p>
    <w:p w14:paraId="180D4B79" w14:textId="7B09040E" w:rsidR="00236E43" w:rsidRPr="00E22673" w:rsidRDefault="00236E43" w:rsidP="00E22673">
      <w:pPr>
        <w:rPr>
          <w:rFonts w:cs="Arial"/>
        </w:rPr>
      </w:pPr>
      <w:r w:rsidRPr="00E22673">
        <w:rPr>
          <w:rFonts w:cs="Arial"/>
        </w:rPr>
        <w:lastRenderedPageBreak/>
        <w:t xml:space="preserve">The application must detail why the auspice organisation is the appropriate body to be </w:t>
      </w:r>
      <w:proofErr w:type="spellStart"/>
      <w:r w:rsidRPr="00E22673">
        <w:rPr>
          <w:rFonts w:cs="Arial"/>
        </w:rPr>
        <w:t>auspicing</w:t>
      </w:r>
      <w:proofErr w:type="spellEnd"/>
      <w:r w:rsidRPr="00E22673">
        <w:rPr>
          <w:rFonts w:cs="Arial"/>
        </w:rPr>
        <w:t xml:space="preserve"> the application.</w:t>
      </w:r>
    </w:p>
    <w:p w14:paraId="51152C09" w14:textId="031BA3F3" w:rsidR="002714E9" w:rsidRPr="00E22673" w:rsidRDefault="002714E9" w:rsidP="00E22673">
      <w:pPr>
        <w:rPr>
          <w:rFonts w:cs="Arial"/>
        </w:rPr>
      </w:pPr>
      <w:r w:rsidRPr="00E22673">
        <w:rPr>
          <w:rFonts w:cs="Arial"/>
        </w:rPr>
        <w:t xml:space="preserve">If the grant is </w:t>
      </w:r>
      <w:proofErr w:type="gramStart"/>
      <w:r w:rsidRPr="00E22673">
        <w:rPr>
          <w:rFonts w:cs="Arial"/>
        </w:rPr>
        <w:t>successful</w:t>
      </w:r>
      <w:proofErr w:type="gramEnd"/>
      <w:r w:rsidRPr="00E22673">
        <w:rPr>
          <w:rFonts w:cs="Arial"/>
        </w:rPr>
        <w:t xml:space="preserve"> the </w:t>
      </w:r>
      <w:proofErr w:type="spellStart"/>
      <w:r w:rsidR="00FF309C">
        <w:rPr>
          <w:rFonts w:cs="Arial"/>
        </w:rPr>
        <w:t>a</w:t>
      </w:r>
      <w:r w:rsidRPr="00E22673">
        <w:rPr>
          <w:rFonts w:cs="Arial"/>
        </w:rPr>
        <w:t>uspicor</w:t>
      </w:r>
      <w:proofErr w:type="spellEnd"/>
      <w:r w:rsidRPr="00E22673">
        <w:rPr>
          <w:rFonts w:cs="Arial"/>
        </w:rPr>
        <w:t xml:space="preserve"> and </w:t>
      </w:r>
      <w:proofErr w:type="spellStart"/>
      <w:r w:rsidR="00FF309C">
        <w:rPr>
          <w:rFonts w:cs="Arial"/>
        </w:rPr>
        <w:t>a</w:t>
      </w:r>
      <w:r w:rsidRPr="00E22673">
        <w:rPr>
          <w:rFonts w:cs="Arial"/>
        </w:rPr>
        <w:t>uspicee</w:t>
      </w:r>
      <w:proofErr w:type="spellEnd"/>
      <w:r w:rsidRPr="00E22673">
        <w:rPr>
          <w:rFonts w:cs="Arial"/>
        </w:rPr>
        <w:t xml:space="preserve"> must enter into an Auspice Agreement and provide a copy to the NDIA upon request. An Auspice Agreement is a legally binding document. </w:t>
      </w:r>
      <w:hyperlink r:id="rId24" w:history="1">
        <w:r w:rsidRPr="00E22673">
          <w:rPr>
            <w:rStyle w:val="Hyperlink"/>
            <w:rFonts w:cs="Arial"/>
          </w:rPr>
          <w:t>Not-for-profit Law</w:t>
        </w:r>
      </w:hyperlink>
      <w:r w:rsidRPr="00E22673">
        <w:rPr>
          <w:rFonts w:cs="Arial"/>
        </w:rPr>
        <w:t xml:space="preserve"> has information about </w:t>
      </w:r>
      <w:proofErr w:type="spellStart"/>
      <w:r w:rsidRPr="00E22673">
        <w:rPr>
          <w:rFonts w:cs="Arial"/>
        </w:rPr>
        <w:t>auspicing</w:t>
      </w:r>
      <w:proofErr w:type="spellEnd"/>
      <w:r w:rsidRPr="00E22673">
        <w:rPr>
          <w:rFonts w:cs="Arial"/>
        </w:rPr>
        <w:t>, including a template Auspice Agreement.</w:t>
      </w:r>
    </w:p>
    <w:p w14:paraId="34472F42" w14:textId="77777777" w:rsidR="00995ECB" w:rsidRPr="00037AC1" w:rsidRDefault="00995ECB" w:rsidP="00037AC1">
      <w:pPr>
        <w:pStyle w:val="Heading3"/>
      </w:pPr>
      <w:bookmarkStart w:id="27" w:name="_Toc866192"/>
      <w:bookmarkStart w:id="28" w:name="_Toc16774075"/>
      <w:bookmarkStart w:id="29" w:name="_Toc12615035"/>
      <w:bookmarkStart w:id="30" w:name="_Toc5355995"/>
      <w:bookmarkEnd w:id="27"/>
      <w:r w:rsidRPr="00037AC1">
        <w:t>Applicants currently in receipt of NDIA ILC funding</w:t>
      </w:r>
      <w:bookmarkEnd w:id="28"/>
    </w:p>
    <w:bookmarkEnd w:id="29"/>
    <w:p w14:paraId="29ECD696" w14:textId="47E3B3CA" w:rsidR="002714E9" w:rsidRPr="00E22673" w:rsidRDefault="002714E9" w:rsidP="00E22673">
      <w:pPr>
        <w:rPr>
          <w:rFonts w:cs="Arial"/>
          <w:color w:val="000000" w:themeColor="text1"/>
        </w:rPr>
      </w:pPr>
      <w:r w:rsidRPr="00E22673">
        <w:rPr>
          <w:rFonts w:cs="Arial"/>
        </w:rPr>
        <w:t>Applicants that are currently receiving ILC funding through a previous ILC grant round</w:t>
      </w:r>
      <w:r w:rsidRPr="00E22673">
        <w:rPr>
          <w:rFonts w:eastAsia="Calibri" w:cs="Arial"/>
        </w:rPr>
        <w:t xml:space="preserve"> </w:t>
      </w:r>
      <w:r w:rsidRPr="00E22673">
        <w:rPr>
          <w:rFonts w:cs="Arial"/>
        </w:rPr>
        <w:t>may apply</w:t>
      </w:r>
      <w:r w:rsidR="001D49F8" w:rsidRPr="00E22673">
        <w:rPr>
          <w:rFonts w:cs="Arial"/>
        </w:rPr>
        <w:t xml:space="preserve"> under this grant. However, </w:t>
      </w:r>
      <w:r w:rsidR="00FF309C">
        <w:rPr>
          <w:rFonts w:cs="Arial"/>
          <w:color w:val="000000" w:themeColor="text1"/>
        </w:rPr>
        <w:t>a</w:t>
      </w:r>
      <w:r w:rsidRPr="00E22673">
        <w:rPr>
          <w:rFonts w:cs="Arial"/>
          <w:color w:val="000000" w:themeColor="text1"/>
        </w:rPr>
        <w:t>pplicants cannot apply for funding that duplicates activities/projects they have already received ILC funding to deliver. Further</w:t>
      </w:r>
      <w:r w:rsidR="00756630" w:rsidRPr="00E22673">
        <w:rPr>
          <w:rFonts w:cs="Arial"/>
          <w:color w:val="000000" w:themeColor="text1"/>
        </w:rPr>
        <w:t xml:space="preserve">, </w:t>
      </w:r>
      <w:r w:rsidRPr="00E22673">
        <w:rPr>
          <w:rFonts w:cs="Arial"/>
        </w:rPr>
        <w:t>the current level of ILC funding</w:t>
      </w:r>
      <w:r w:rsidR="00EB36ED" w:rsidRPr="00E22673">
        <w:rPr>
          <w:rFonts w:cs="Arial"/>
        </w:rPr>
        <w:t xml:space="preserve"> and performance against the grant agreement </w:t>
      </w:r>
      <w:proofErr w:type="gramStart"/>
      <w:r w:rsidR="00EB36ED" w:rsidRPr="00E22673">
        <w:rPr>
          <w:rFonts w:cs="Arial"/>
        </w:rPr>
        <w:t xml:space="preserve">may </w:t>
      </w:r>
      <w:r w:rsidRPr="00E22673">
        <w:rPr>
          <w:rFonts w:cs="Arial"/>
          <w:color w:val="000000" w:themeColor="text1"/>
        </w:rPr>
        <w:t>be considered</w:t>
      </w:r>
      <w:proofErr w:type="gramEnd"/>
      <w:r w:rsidRPr="00E22673">
        <w:rPr>
          <w:rFonts w:cs="Arial"/>
          <w:color w:val="000000" w:themeColor="text1"/>
        </w:rPr>
        <w:t xml:space="preserve"> during </w:t>
      </w:r>
      <w:r w:rsidR="00EB36ED" w:rsidRPr="00E22673">
        <w:rPr>
          <w:rFonts w:cs="Arial"/>
          <w:color w:val="000000" w:themeColor="text1"/>
        </w:rPr>
        <w:t xml:space="preserve">Selection Advisory Panel deliberation. </w:t>
      </w:r>
    </w:p>
    <w:p w14:paraId="7DF109A3" w14:textId="1F0416F8" w:rsidR="002714E9" w:rsidRPr="00037AC1" w:rsidRDefault="002714E9" w:rsidP="00037AC1">
      <w:pPr>
        <w:pStyle w:val="Heading3"/>
      </w:pPr>
      <w:bookmarkStart w:id="31" w:name="_Toc16774076"/>
      <w:r w:rsidRPr="00037AC1">
        <w:t xml:space="preserve">Applicants that are applying for funding under separate NDIA ILC </w:t>
      </w:r>
      <w:r w:rsidR="006D1639">
        <w:t>g</w:t>
      </w:r>
      <w:r w:rsidRPr="00037AC1">
        <w:t>rants</w:t>
      </w:r>
      <w:bookmarkEnd w:id="31"/>
    </w:p>
    <w:p w14:paraId="230BA78E" w14:textId="7AE7B31E" w:rsidR="002714E9" w:rsidRPr="00E22673" w:rsidRDefault="002714E9" w:rsidP="00E22673">
      <w:pPr>
        <w:rPr>
          <w:rFonts w:cs="Arial"/>
        </w:rPr>
      </w:pPr>
      <w:r w:rsidRPr="00E22673">
        <w:rPr>
          <w:rFonts w:cs="Arial"/>
        </w:rPr>
        <w:t xml:space="preserve">Applicants are able to apply for separate ILC grant programs that may be open concurrently with this ICB </w:t>
      </w:r>
      <w:r w:rsidR="00FF309C">
        <w:rPr>
          <w:rFonts w:cs="Arial"/>
        </w:rPr>
        <w:t>g</w:t>
      </w:r>
      <w:r w:rsidRPr="00E22673">
        <w:rPr>
          <w:rFonts w:cs="Arial"/>
        </w:rPr>
        <w:t xml:space="preserve">rant </w:t>
      </w:r>
      <w:r w:rsidR="00FF309C">
        <w:rPr>
          <w:rFonts w:cs="Arial"/>
        </w:rPr>
        <w:t>r</w:t>
      </w:r>
      <w:r w:rsidRPr="00E22673">
        <w:rPr>
          <w:rFonts w:cs="Arial"/>
        </w:rPr>
        <w:t>ound. However</w:t>
      </w:r>
      <w:r w:rsidR="008C4956" w:rsidRPr="00E22673">
        <w:rPr>
          <w:rFonts w:cs="Arial"/>
        </w:rPr>
        <w:t>,</w:t>
      </w:r>
      <w:r w:rsidRPr="00E22673">
        <w:rPr>
          <w:rFonts w:cs="Arial"/>
        </w:rPr>
        <w:t xml:space="preserve"> should applicants apply for funding under separate ILC grant rounds</w:t>
      </w:r>
      <w:r w:rsidR="008C4956" w:rsidRPr="00E22673">
        <w:rPr>
          <w:rFonts w:cs="Arial"/>
        </w:rPr>
        <w:t xml:space="preserve"> for the same activities,</w:t>
      </w:r>
      <w:r w:rsidRPr="00E22673">
        <w:rPr>
          <w:rFonts w:cs="Arial"/>
        </w:rPr>
        <w:t xml:space="preserve"> the applicant will only be eligible to receive funding under </w:t>
      </w:r>
      <w:r w:rsidRPr="00E22673">
        <w:rPr>
          <w:rFonts w:cs="Arial"/>
          <w:b/>
        </w:rPr>
        <w:t>one</w:t>
      </w:r>
      <w:r w:rsidRPr="00E22673">
        <w:rPr>
          <w:rFonts w:cs="Arial"/>
        </w:rPr>
        <w:t xml:space="preserve"> </w:t>
      </w:r>
      <w:proofErr w:type="gramStart"/>
      <w:r w:rsidRPr="00E22673">
        <w:rPr>
          <w:rFonts w:cs="Arial"/>
        </w:rPr>
        <w:t>program.</w:t>
      </w:r>
      <w:proofErr w:type="gramEnd"/>
      <w:r w:rsidRPr="00E22673">
        <w:rPr>
          <w:rFonts w:cs="Arial"/>
        </w:rPr>
        <w:t xml:space="preserve"> </w:t>
      </w:r>
    </w:p>
    <w:p w14:paraId="1127B773" w14:textId="77777777" w:rsidR="008A2782" w:rsidRPr="00037AC1" w:rsidRDefault="000A2A4C" w:rsidP="001505F4">
      <w:pPr>
        <w:pStyle w:val="Heading3"/>
      </w:pPr>
      <w:bookmarkStart w:id="32" w:name="_Toc16774077"/>
      <w:bookmarkEnd w:id="30"/>
      <w:r w:rsidRPr="00037AC1">
        <w:t>Applicants that are</w:t>
      </w:r>
      <w:r w:rsidR="008A2782" w:rsidRPr="00037AC1">
        <w:t xml:space="preserve"> sibling and carer</w:t>
      </w:r>
      <w:r w:rsidRPr="00037AC1">
        <w:t>-led</w:t>
      </w:r>
      <w:r w:rsidR="008A2782" w:rsidRPr="00037AC1">
        <w:t xml:space="preserve"> organisations</w:t>
      </w:r>
      <w:bookmarkEnd w:id="32"/>
    </w:p>
    <w:p w14:paraId="3BB5677B" w14:textId="77777777" w:rsidR="008A2782" w:rsidRPr="00E22673" w:rsidRDefault="008A2782" w:rsidP="00E22673">
      <w:pPr>
        <w:rPr>
          <w:rFonts w:cs="Arial"/>
          <w:color w:val="000000" w:themeColor="text1"/>
        </w:rPr>
      </w:pPr>
      <w:r w:rsidRPr="00E22673">
        <w:rPr>
          <w:rFonts w:cs="Arial"/>
          <w:color w:val="000000" w:themeColor="text1"/>
        </w:rPr>
        <w:t>Organisations established to primarily support siblings and carers of people with disability are eligible to apply. Applications from these organisations must demonstrate a direct benefit to people with disability, not as a secondary outcome achieved through carer/sibling wellbeing.</w:t>
      </w:r>
    </w:p>
    <w:p w14:paraId="394FB612" w14:textId="77777777" w:rsidR="003C0787" w:rsidRPr="00037AC1" w:rsidRDefault="000A2A4C" w:rsidP="001505F4">
      <w:pPr>
        <w:pStyle w:val="Heading3"/>
      </w:pPr>
      <w:bookmarkStart w:id="33" w:name="_Toc531005177"/>
      <w:bookmarkStart w:id="34" w:name="_Toc5355996"/>
      <w:bookmarkStart w:id="35" w:name="_Toc16774078"/>
      <w:r w:rsidRPr="00037AC1">
        <w:t>Applicants</w:t>
      </w:r>
      <w:r w:rsidR="003C0787" w:rsidRPr="00037AC1">
        <w:t xml:space="preserve"> that are NDIA registered providers of support</w:t>
      </w:r>
      <w:bookmarkEnd w:id="33"/>
      <w:bookmarkEnd w:id="34"/>
      <w:bookmarkEnd w:id="35"/>
      <w:r w:rsidR="003C0787" w:rsidRPr="00037AC1">
        <w:t xml:space="preserve"> </w:t>
      </w:r>
    </w:p>
    <w:p w14:paraId="4208A8F4" w14:textId="05C9DAEF" w:rsidR="00933255" w:rsidRPr="00E22673" w:rsidRDefault="00CB5B34" w:rsidP="00E22673">
      <w:pPr>
        <w:rPr>
          <w:rFonts w:cs="Arial"/>
        </w:rPr>
      </w:pPr>
      <w:r w:rsidRPr="00E22673">
        <w:rPr>
          <w:rFonts w:cs="Arial"/>
        </w:rPr>
        <w:t xml:space="preserve">If an applicant meets the definition of a </w:t>
      </w:r>
      <w:r w:rsidR="00934797" w:rsidRPr="00E22673">
        <w:rPr>
          <w:rFonts w:cs="Arial"/>
        </w:rPr>
        <w:t>DPO/FO</w:t>
      </w:r>
      <w:r w:rsidR="00756630" w:rsidRPr="00E22673">
        <w:rPr>
          <w:rFonts w:cs="Arial"/>
        </w:rPr>
        <w:t xml:space="preserve"> or </w:t>
      </w:r>
      <w:r w:rsidR="00540CC3" w:rsidRPr="00E22673">
        <w:rPr>
          <w:rFonts w:cs="Arial"/>
        </w:rPr>
        <w:t>PCL and is</w:t>
      </w:r>
      <w:r w:rsidRPr="00E22673">
        <w:rPr>
          <w:rFonts w:cs="Arial"/>
        </w:rPr>
        <w:t xml:space="preserve"> a registered provider of support under the NDIS, they can apply for a grant under this ILC funding opportunity.</w:t>
      </w:r>
      <w:r w:rsidR="006D1639">
        <w:rPr>
          <w:rFonts w:cs="Arial"/>
        </w:rPr>
        <w:t xml:space="preserve"> </w:t>
      </w:r>
      <w:r w:rsidR="00933255" w:rsidRPr="00E22673">
        <w:rPr>
          <w:rFonts w:cs="Arial"/>
        </w:rPr>
        <w:t xml:space="preserve">The NDIA recognises that, in a small number of cases, this may result in actual or potential conflicts of interest. Organisations intending to apply for funding should refer to the Conflict of Interest Section (Section </w:t>
      </w:r>
      <w:r w:rsidR="00FC44E5" w:rsidRPr="00E22673">
        <w:rPr>
          <w:rFonts w:cs="Arial"/>
        </w:rPr>
        <w:t>12.2</w:t>
      </w:r>
      <w:r w:rsidR="00933255" w:rsidRPr="00E22673">
        <w:rPr>
          <w:rFonts w:cs="Arial"/>
        </w:rPr>
        <w:t>) in these Grant Opportunity Guidelines.</w:t>
      </w:r>
    </w:p>
    <w:p w14:paraId="61467F5E" w14:textId="77777777" w:rsidR="003C0787" w:rsidRPr="00037AC1" w:rsidRDefault="000A2A4C" w:rsidP="001505F4">
      <w:pPr>
        <w:pStyle w:val="Heading3"/>
      </w:pPr>
      <w:bookmarkStart w:id="36" w:name="_Toc496539155"/>
      <w:bookmarkStart w:id="37" w:name="_Toc531005178"/>
      <w:bookmarkStart w:id="38" w:name="_Toc5355997"/>
      <w:bookmarkStart w:id="39" w:name="_Toc16774079"/>
      <w:r w:rsidRPr="00037AC1">
        <w:t>Partners in the Community</w:t>
      </w:r>
      <w:r w:rsidR="00AB72DF" w:rsidRPr="00037AC1">
        <w:t xml:space="preserve"> </w:t>
      </w:r>
      <w:r w:rsidR="003C0787" w:rsidRPr="00037AC1">
        <w:t>(Local Area Coordination and/or Early Childhood Early Intervention Partners</w:t>
      </w:r>
      <w:bookmarkEnd w:id="36"/>
      <w:r w:rsidR="003C0787" w:rsidRPr="00037AC1">
        <w:t>)</w:t>
      </w:r>
      <w:bookmarkEnd w:id="37"/>
      <w:bookmarkEnd w:id="38"/>
      <w:bookmarkEnd w:id="39"/>
    </w:p>
    <w:p w14:paraId="6891141C" w14:textId="77777777" w:rsidR="00934797" w:rsidRPr="00E22673" w:rsidRDefault="00EA797B" w:rsidP="00E22673">
      <w:pPr>
        <w:rPr>
          <w:rFonts w:cs="Arial"/>
        </w:rPr>
      </w:pPr>
      <w:r w:rsidRPr="00E22673">
        <w:rPr>
          <w:rFonts w:cs="Arial"/>
        </w:rPr>
        <w:t xml:space="preserve">Organisations </w:t>
      </w:r>
      <w:proofErr w:type="gramStart"/>
      <w:r w:rsidRPr="00E22673">
        <w:rPr>
          <w:rFonts w:cs="Arial"/>
        </w:rPr>
        <w:t>partnering</w:t>
      </w:r>
      <w:proofErr w:type="gramEnd"/>
      <w:r w:rsidRPr="00E22673">
        <w:rPr>
          <w:rFonts w:cs="Arial"/>
        </w:rPr>
        <w:t xml:space="preserve"> with the NDIA to provide Local Area Coordination (LAC) and/or Early Childhood Early Intervention (ECEI) services through the NDIS Partners in the Community Program are </w:t>
      </w:r>
      <w:r w:rsidRPr="00E22673">
        <w:rPr>
          <w:rFonts w:cs="Arial"/>
          <w:b/>
        </w:rPr>
        <w:t>not</w:t>
      </w:r>
      <w:r w:rsidRPr="00E22673">
        <w:rPr>
          <w:rFonts w:cs="Arial"/>
        </w:rPr>
        <w:t xml:space="preserve"> eligible to apply in their own right or as a lead organisation of a consortium. </w:t>
      </w:r>
      <w:r w:rsidR="00934797" w:rsidRPr="00E22673">
        <w:rPr>
          <w:rFonts w:cs="Arial"/>
        </w:rPr>
        <w:t xml:space="preserve">They can apply as an </w:t>
      </w:r>
      <w:proofErr w:type="spellStart"/>
      <w:r w:rsidR="00934797" w:rsidRPr="00E22673">
        <w:rPr>
          <w:rFonts w:cs="Arial"/>
        </w:rPr>
        <w:t>auspicor</w:t>
      </w:r>
      <w:proofErr w:type="spellEnd"/>
      <w:r w:rsidR="00934797" w:rsidRPr="00E22673">
        <w:rPr>
          <w:rFonts w:cs="Arial"/>
        </w:rPr>
        <w:t xml:space="preserve"> of an organisation.</w:t>
      </w:r>
    </w:p>
    <w:p w14:paraId="20BD63A5" w14:textId="77777777" w:rsidR="00995ECB" w:rsidRPr="00037AC1" w:rsidRDefault="00995ECB" w:rsidP="00885BE4">
      <w:pPr>
        <w:pStyle w:val="Heading3"/>
      </w:pPr>
      <w:bookmarkStart w:id="40" w:name="_Toc529276511"/>
      <w:bookmarkStart w:id="41" w:name="_Toc529276512"/>
      <w:bookmarkStart w:id="42" w:name="_Toc529276513"/>
      <w:bookmarkStart w:id="43" w:name="_Toc494290495"/>
      <w:bookmarkStart w:id="44" w:name="_Toc12615042"/>
      <w:bookmarkStart w:id="45" w:name="_Toc16774080"/>
      <w:bookmarkStart w:id="46" w:name="_Toc164844264"/>
      <w:bookmarkStart w:id="47" w:name="_Toc383003257"/>
      <w:bookmarkEnd w:id="40"/>
      <w:bookmarkEnd w:id="41"/>
      <w:bookmarkEnd w:id="42"/>
      <w:bookmarkEnd w:id="43"/>
      <w:r w:rsidRPr="00037AC1">
        <w:t>What qualifications, skills or checks are required?</w:t>
      </w:r>
      <w:bookmarkEnd w:id="44"/>
      <w:bookmarkEnd w:id="45"/>
      <w:r w:rsidRPr="00037AC1">
        <w:t xml:space="preserve"> </w:t>
      </w:r>
    </w:p>
    <w:p w14:paraId="1CA472E1" w14:textId="77777777" w:rsidR="00995ECB" w:rsidRPr="00E22673" w:rsidRDefault="00995ECB" w:rsidP="00E22673">
      <w:pPr>
        <w:rPr>
          <w:rFonts w:cs="Arial"/>
        </w:rPr>
      </w:pPr>
      <w:r w:rsidRPr="00E22673">
        <w:rPr>
          <w:rFonts w:cs="Arial"/>
        </w:rPr>
        <w:t>If you are successful, personnel working on the grant project, including subcontracted personnel, must maintain accreditations and qualifications as required by law and relevant industry standards.</w:t>
      </w:r>
    </w:p>
    <w:p w14:paraId="6BD7F595" w14:textId="77777777" w:rsidR="002714E9" w:rsidRPr="00E22673" w:rsidRDefault="002F113D" w:rsidP="00E22673">
      <w:pPr>
        <w:rPr>
          <w:rFonts w:cs="Arial"/>
        </w:rPr>
      </w:pPr>
      <w:r w:rsidRPr="00E22673">
        <w:rPr>
          <w:rFonts w:cs="Arial"/>
        </w:rPr>
        <w:t>A</w:t>
      </w:r>
      <w:r w:rsidR="002714E9" w:rsidRPr="00E22673">
        <w:rPr>
          <w:rFonts w:cs="Arial"/>
        </w:rPr>
        <w:t xml:space="preserve">pplicants should be aware of, and familiarise themselves with, requirements of the NDIS Quality and Safeguards Commission. This includes, but may not be limited to, requirements of grant recipients to comply with the NDIS Code of Conduct. Further information </w:t>
      </w:r>
      <w:proofErr w:type="gramStart"/>
      <w:r w:rsidR="002714E9" w:rsidRPr="00E22673">
        <w:rPr>
          <w:rFonts w:cs="Arial"/>
        </w:rPr>
        <w:t>can be found</w:t>
      </w:r>
      <w:proofErr w:type="gramEnd"/>
      <w:r w:rsidR="002714E9" w:rsidRPr="00E22673">
        <w:rPr>
          <w:rFonts w:cs="Arial"/>
        </w:rPr>
        <w:t xml:space="preserve"> on the Commission’s website at </w:t>
      </w:r>
      <w:hyperlink r:id="rId25" w:history="1">
        <w:r w:rsidR="0091450C" w:rsidRPr="00E22673">
          <w:rPr>
            <w:rStyle w:val="Hyperlink"/>
            <w:rFonts w:cs="Arial"/>
          </w:rPr>
          <w:t>www.ndiscommission.gov.au</w:t>
        </w:r>
      </w:hyperlink>
      <w:r w:rsidR="0091450C" w:rsidRPr="00E22673">
        <w:rPr>
          <w:rFonts w:cs="Arial"/>
        </w:rPr>
        <w:t xml:space="preserve">. </w:t>
      </w:r>
    </w:p>
    <w:p w14:paraId="56F538C8" w14:textId="77777777" w:rsidR="00A35F51" w:rsidRDefault="00907078" w:rsidP="001505F4">
      <w:pPr>
        <w:pStyle w:val="Heading2"/>
      </w:pPr>
      <w:bookmarkStart w:id="48" w:name="_Toc16774081"/>
      <w:bookmarkEnd w:id="46"/>
      <w:bookmarkEnd w:id="47"/>
      <w:r>
        <w:lastRenderedPageBreak/>
        <w:t>What the grant money can be used for</w:t>
      </w:r>
      <w:bookmarkEnd w:id="48"/>
    </w:p>
    <w:p w14:paraId="189040FA" w14:textId="77777777" w:rsidR="00A27EA8" w:rsidRDefault="00A27EA8" w:rsidP="00A27EA8">
      <w:pPr>
        <w:pStyle w:val="Heading3"/>
      </w:pPr>
      <w:bookmarkStart w:id="49" w:name="_Toc11318230"/>
      <w:bookmarkStart w:id="50" w:name="_Toc11318231"/>
      <w:bookmarkStart w:id="51" w:name="_Toc13743160"/>
      <w:bookmarkStart w:id="52" w:name="_Toc16774082"/>
      <w:bookmarkEnd w:id="49"/>
      <w:bookmarkEnd w:id="50"/>
      <w:r w:rsidRPr="005E1F31">
        <w:t xml:space="preserve">Eligible </w:t>
      </w:r>
      <w:r>
        <w:t>g</w:t>
      </w:r>
      <w:r w:rsidRPr="005E1F31">
        <w:t xml:space="preserve">rant </w:t>
      </w:r>
      <w:r>
        <w:t>a</w:t>
      </w:r>
      <w:r w:rsidRPr="005E1F31">
        <w:t>ctivities</w:t>
      </w:r>
      <w:bookmarkEnd w:id="51"/>
      <w:bookmarkEnd w:id="52"/>
    </w:p>
    <w:p w14:paraId="71197502" w14:textId="77777777" w:rsidR="00A27EA8" w:rsidRPr="00E22673" w:rsidRDefault="00A27EA8" w:rsidP="00E22673">
      <w:pPr>
        <w:rPr>
          <w:rFonts w:cs="Arial"/>
        </w:rPr>
      </w:pPr>
      <w:r w:rsidRPr="00E22673">
        <w:rPr>
          <w:rFonts w:cs="Arial"/>
        </w:rPr>
        <w:t>To be eligible your grant activity must align with the ILC policy.</w:t>
      </w:r>
    </w:p>
    <w:p w14:paraId="78AAC4C9" w14:textId="77777777" w:rsidR="00A27EA8" w:rsidRPr="00ED2196" w:rsidRDefault="00A27EA8" w:rsidP="00D60210">
      <w:pPr>
        <w:pStyle w:val="Heading4"/>
      </w:pPr>
      <w:bookmarkStart w:id="53" w:name="_Toc13743161"/>
      <w:bookmarkStart w:id="54" w:name="_Toc16774083"/>
      <w:r>
        <w:t xml:space="preserve">Activity category 1 - </w:t>
      </w:r>
      <w:r w:rsidRPr="00ED2196">
        <w:t>Individual Capacity Building (ICB)</w:t>
      </w:r>
      <w:bookmarkEnd w:id="53"/>
      <w:bookmarkEnd w:id="54"/>
    </w:p>
    <w:p w14:paraId="6AFF5C06" w14:textId="5C4047F2" w:rsidR="00A27EA8" w:rsidRPr="00FF309C" w:rsidRDefault="00A27EA8" w:rsidP="00FF309C">
      <w:pPr>
        <w:pStyle w:val="BodyTextnospace"/>
        <w:spacing w:before="40" w:after="120"/>
        <w:rPr>
          <w:rFonts w:cs="Arial"/>
          <w:sz w:val="20"/>
        </w:rPr>
      </w:pPr>
      <w:r w:rsidRPr="00E22673">
        <w:rPr>
          <w:rFonts w:cs="Arial"/>
          <w:sz w:val="20"/>
        </w:rPr>
        <w:t>Types of individual capacity building activities that this grant round will fund include, but ar</w:t>
      </w:r>
      <w:r w:rsidR="00271935">
        <w:rPr>
          <w:rFonts w:cs="Arial"/>
          <w:sz w:val="20"/>
        </w:rPr>
        <w:t>e not limited to the following:</w:t>
      </w:r>
    </w:p>
    <w:p w14:paraId="2A4D4715" w14:textId="42A57A55" w:rsidR="00A27EA8" w:rsidRPr="00FF309C" w:rsidRDefault="00A27EA8" w:rsidP="000B7776">
      <w:pPr>
        <w:pStyle w:val="ListBullet"/>
      </w:pPr>
      <w:r w:rsidRPr="00E22673">
        <w:rPr>
          <w:b/>
        </w:rPr>
        <w:t xml:space="preserve">Peer-led support groups for people with disability </w:t>
      </w:r>
      <w:r w:rsidRPr="00E22673">
        <w:t>– which could involve developing and running new or existing peer-to-peer programs, including peer groups in-person, online, and/or via phone/teleconfere</w:t>
      </w:r>
      <w:r w:rsidR="000C6B80">
        <w:t>nce for people with disability.</w:t>
      </w:r>
    </w:p>
    <w:p w14:paraId="079C0BEC" w14:textId="60495628" w:rsidR="00CE5214" w:rsidRPr="00FF309C" w:rsidRDefault="00CE5214" w:rsidP="000B7776">
      <w:pPr>
        <w:pStyle w:val="ListBullet"/>
      </w:pPr>
      <w:r w:rsidRPr="00E22673">
        <w:rPr>
          <w:b/>
        </w:rPr>
        <w:t>Peer-led support groups for parents, carers and siblings of people with disability</w:t>
      </w:r>
      <w:r w:rsidR="008C4956" w:rsidRPr="00E22673">
        <w:rPr>
          <w:b/>
        </w:rPr>
        <w:t xml:space="preserve"> - </w:t>
      </w:r>
      <w:r w:rsidR="008C4956" w:rsidRPr="00E22673">
        <w:t>t</w:t>
      </w:r>
      <w:r w:rsidRPr="00E22673">
        <w:t>his includes</w:t>
      </w:r>
      <w:r w:rsidRPr="00E22673">
        <w:rPr>
          <w:b/>
        </w:rPr>
        <w:t xml:space="preserve"> </w:t>
      </w:r>
      <w:r w:rsidRPr="00E22673">
        <w:t xml:space="preserve">developing and running new or existing peer-to-peer programs, including peer </w:t>
      </w:r>
      <w:proofErr w:type="gramStart"/>
      <w:r w:rsidRPr="00E22673">
        <w:t>groups</w:t>
      </w:r>
      <w:proofErr w:type="gramEnd"/>
      <w:r w:rsidRPr="00E22673">
        <w:t xml:space="preserve"> in-person, online, or via phone/teleconference. The purpose of these activities is to enable these people to reach their own potential and gain skills and knowledge </w:t>
      </w:r>
      <w:proofErr w:type="gramStart"/>
      <w:r w:rsidRPr="00E22673">
        <w:t>to effectively contribute</w:t>
      </w:r>
      <w:proofErr w:type="gramEnd"/>
      <w:r w:rsidRPr="00E22673">
        <w:t xml:space="preserve"> to the wellbeing and increased capacity of the people with disability in their lives.</w:t>
      </w:r>
    </w:p>
    <w:p w14:paraId="02D6E0B9" w14:textId="5A46AE7B" w:rsidR="00CE5214" w:rsidRPr="00FF309C" w:rsidRDefault="00CE5214" w:rsidP="000B7776">
      <w:pPr>
        <w:pStyle w:val="ListBullet"/>
      </w:pPr>
      <w:r w:rsidRPr="00E22673">
        <w:rPr>
          <w:b/>
        </w:rPr>
        <w:t>Capacity building activities that enable people to speak up for themselves</w:t>
      </w:r>
      <w:r w:rsidR="008C4956" w:rsidRPr="00E22673">
        <w:rPr>
          <w:b/>
        </w:rPr>
        <w:t xml:space="preserve"> - </w:t>
      </w:r>
      <w:r w:rsidR="008C4956" w:rsidRPr="00E22673">
        <w:t>w</w:t>
      </w:r>
      <w:r w:rsidRPr="00E22673">
        <w:t>hich could involve delivering a peer training program that enables people with disability to build their capacity to voice their concerns, access</w:t>
      </w:r>
      <w:r w:rsidR="000C6B80">
        <w:t xml:space="preserve"> information or resolve issues.</w:t>
      </w:r>
    </w:p>
    <w:p w14:paraId="7487432E" w14:textId="12258927" w:rsidR="00CE5214" w:rsidRPr="00FF309C" w:rsidRDefault="00CE5214" w:rsidP="000B7776">
      <w:pPr>
        <w:pStyle w:val="ListBullet"/>
      </w:pPr>
      <w:r w:rsidRPr="00E22673">
        <w:rPr>
          <w:b/>
        </w:rPr>
        <w:t xml:space="preserve">Leadership and professional development activities (individual or group based) </w:t>
      </w:r>
      <w:r w:rsidRPr="00E22673">
        <w:t>– which could involve developing and delivering programs for mentoring or building individual capacity in engaging with, shaping and leading in civic and community life.</w:t>
      </w:r>
    </w:p>
    <w:p w14:paraId="3BB863A8" w14:textId="44D24B2B" w:rsidR="00F8733E" w:rsidRPr="00FF309C" w:rsidRDefault="00CE5214" w:rsidP="000B7776">
      <w:pPr>
        <w:pStyle w:val="ListBullet"/>
        <w:rPr>
          <w:color w:val="000000" w:themeColor="text1"/>
        </w:rPr>
      </w:pPr>
      <w:r w:rsidRPr="00E22673">
        <w:t>Skill building activities relevant to the NDIS environment</w:t>
      </w:r>
      <w:r w:rsidR="008C4956" w:rsidRPr="00E22673">
        <w:t xml:space="preserve"> - l</w:t>
      </w:r>
      <w:r w:rsidRPr="00E22673">
        <w:t>ed by people with disability including:</w:t>
      </w:r>
    </w:p>
    <w:p w14:paraId="2BD3F5DB" w14:textId="70E51851" w:rsidR="00A27EA8" w:rsidRPr="00E22673" w:rsidRDefault="00A27EA8" w:rsidP="00E22673">
      <w:pPr>
        <w:pStyle w:val="ListParagraph"/>
        <w:numPr>
          <w:ilvl w:val="0"/>
          <w:numId w:val="63"/>
        </w:numPr>
        <w:contextualSpacing w:val="0"/>
        <w:rPr>
          <w:rFonts w:cs="Arial"/>
        </w:rPr>
      </w:pPr>
      <w:r w:rsidRPr="00E22673">
        <w:rPr>
          <w:rFonts w:cs="Arial"/>
          <w:b/>
        </w:rPr>
        <w:t xml:space="preserve">Self-management of plans and supports </w:t>
      </w:r>
      <w:r w:rsidRPr="00E22673">
        <w:rPr>
          <w:rFonts w:cs="Arial"/>
        </w:rPr>
        <w:t>(e.g. peer-mentors for service navigation, peer-led capacity building for self-management of plans)</w:t>
      </w:r>
      <w:r w:rsidR="000C6B80">
        <w:rPr>
          <w:rFonts w:cs="Arial"/>
        </w:rPr>
        <w:t>.</w:t>
      </w:r>
    </w:p>
    <w:p w14:paraId="7D8B9385" w14:textId="422FD178" w:rsidR="00A27EA8" w:rsidRPr="00E22673" w:rsidRDefault="00A27EA8" w:rsidP="00E22673">
      <w:pPr>
        <w:pStyle w:val="Bullet1"/>
        <w:numPr>
          <w:ilvl w:val="0"/>
          <w:numId w:val="63"/>
        </w:numPr>
        <w:spacing w:before="40" w:after="120"/>
        <w:rPr>
          <w:rFonts w:cs="Arial"/>
          <w:b/>
        </w:rPr>
      </w:pPr>
      <w:r w:rsidRPr="00E22673">
        <w:rPr>
          <w:rFonts w:cs="Arial"/>
          <w:b/>
        </w:rPr>
        <w:t xml:space="preserve">Improving awareness of quality service provision </w:t>
      </w:r>
      <w:r w:rsidRPr="00E22673">
        <w:rPr>
          <w:rFonts w:cs="Arial"/>
        </w:rPr>
        <w:t>and supporting people to check and report on the quality of services</w:t>
      </w:r>
      <w:r w:rsidR="000C6B80">
        <w:rPr>
          <w:rFonts w:cs="Arial"/>
        </w:rPr>
        <w:t>.</w:t>
      </w:r>
    </w:p>
    <w:p w14:paraId="6EA741A9" w14:textId="25E2F4D4" w:rsidR="00A27EA8" w:rsidRPr="00E22673" w:rsidRDefault="00A27EA8" w:rsidP="00E22673">
      <w:pPr>
        <w:pStyle w:val="ListParagraph"/>
        <w:numPr>
          <w:ilvl w:val="0"/>
          <w:numId w:val="63"/>
        </w:numPr>
        <w:contextualSpacing w:val="0"/>
        <w:rPr>
          <w:rFonts w:cs="Arial"/>
        </w:rPr>
      </w:pPr>
      <w:r w:rsidRPr="00E22673">
        <w:rPr>
          <w:rFonts w:cs="Arial"/>
          <w:b/>
        </w:rPr>
        <w:t xml:space="preserve">Building autonomy over one’s life </w:t>
      </w:r>
      <w:r w:rsidRPr="00E22673">
        <w:rPr>
          <w:rFonts w:cs="Arial"/>
        </w:rPr>
        <w:t>including developing and enjoying choice making and pursuit of active citizenship</w:t>
      </w:r>
      <w:r w:rsidR="000C6B80">
        <w:rPr>
          <w:rFonts w:cs="Arial"/>
        </w:rPr>
        <w:t>.</w:t>
      </w:r>
    </w:p>
    <w:p w14:paraId="01B70618" w14:textId="534468C3" w:rsidR="00A27EA8" w:rsidRPr="00FF309C" w:rsidRDefault="00A27EA8" w:rsidP="00FF309C">
      <w:pPr>
        <w:pStyle w:val="ListParagraph"/>
        <w:numPr>
          <w:ilvl w:val="0"/>
          <w:numId w:val="63"/>
        </w:numPr>
        <w:contextualSpacing w:val="0"/>
        <w:rPr>
          <w:rFonts w:cs="Arial"/>
        </w:rPr>
      </w:pPr>
      <w:r w:rsidRPr="00E22673">
        <w:rPr>
          <w:rFonts w:cs="Arial"/>
          <w:b/>
        </w:rPr>
        <w:t>Building connection to community</w:t>
      </w:r>
      <w:r w:rsidRPr="00E22673">
        <w:rPr>
          <w:rFonts w:cs="Arial"/>
        </w:rPr>
        <w:t xml:space="preserve"> (both place based and communities of interest) through improved understanding and development of knowledge and skills in the following areas:</w:t>
      </w:r>
      <w:r w:rsidR="006D1639">
        <w:rPr>
          <w:rFonts w:cs="Arial"/>
        </w:rPr>
        <w:t xml:space="preserve"> </w:t>
      </w:r>
      <w:r w:rsidRPr="00E22673">
        <w:rPr>
          <w:rFonts w:cs="Arial"/>
        </w:rPr>
        <w:t xml:space="preserve">respectful relationships, social connectedness, </w:t>
      </w:r>
      <w:proofErr w:type="gramStart"/>
      <w:r w:rsidRPr="00E22673">
        <w:rPr>
          <w:rFonts w:cs="Arial"/>
        </w:rPr>
        <w:t>circles</w:t>
      </w:r>
      <w:proofErr w:type="gramEnd"/>
      <w:r w:rsidRPr="00E22673">
        <w:rPr>
          <w:rFonts w:cs="Arial"/>
        </w:rPr>
        <w:t xml:space="preserve"> of support, </w:t>
      </w:r>
      <w:proofErr w:type="spellStart"/>
      <w:r w:rsidRPr="00E22673">
        <w:rPr>
          <w:rFonts w:cs="Arial"/>
        </w:rPr>
        <w:t>microboards</w:t>
      </w:r>
      <w:proofErr w:type="spellEnd"/>
      <w:r w:rsidRPr="00E22673">
        <w:rPr>
          <w:rFonts w:cs="Arial"/>
        </w:rPr>
        <w:t xml:space="preserve">, communication accessibility, </w:t>
      </w:r>
      <w:r w:rsidRPr="00E22673">
        <w:rPr>
          <w:rFonts w:cs="Arial"/>
          <w:color w:val="000000" w:themeColor="text1"/>
        </w:rPr>
        <w:t xml:space="preserve">volunteerism </w:t>
      </w:r>
      <w:r w:rsidRPr="00E22673">
        <w:rPr>
          <w:rFonts w:cs="Arial"/>
        </w:rPr>
        <w:t>or development of other personal skills in this area.</w:t>
      </w:r>
    </w:p>
    <w:p w14:paraId="4DD9BCCB" w14:textId="6228379C" w:rsidR="00F8733E" w:rsidRPr="00127273" w:rsidRDefault="00F8733E" w:rsidP="000B7776">
      <w:pPr>
        <w:pStyle w:val="ListBullet"/>
      </w:pPr>
      <w:r w:rsidRPr="00E22673">
        <w:rPr>
          <w:b/>
        </w:rPr>
        <w:t>Other activities to develop the capacity of individuals with disability</w:t>
      </w:r>
      <w:r w:rsidR="008C4956" w:rsidRPr="00E22673">
        <w:rPr>
          <w:b/>
        </w:rPr>
        <w:t xml:space="preserve"> - </w:t>
      </w:r>
      <w:r w:rsidRPr="00E22673">
        <w:t xml:space="preserve">which could involve the establishment or piloting new or innovative supports or services led by people with disability, for people with disability. This may include </w:t>
      </w:r>
      <w:proofErr w:type="gramStart"/>
      <w:r w:rsidRPr="00E22673">
        <w:t>capacity b</w:t>
      </w:r>
      <w:r w:rsidR="00127273">
        <w:t>uilding</w:t>
      </w:r>
      <w:proofErr w:type="gramEnd"/>
      <w:r w:rsidR="00127273">
        <w:t xml:space="preserve"> activities that provide</w:t>
      </w:r>
      <w:r w:rsidRPr="00E22673">
        <w:t xml:space="preserve"> skills and knowledge to people with disability and their families / carers in areas such as evidence</w:t>
      </w:r>
      <w:r w:rsidR="00127273">
        <w:t>-</w:t>
      </w:r>
      <w:r w:rsidRPr="00E22673">
        <w:t>based support practices, self-management,</w:t>
      </w:r>
      <w:r w:rsidR="006D1639">
        <w:t xml:space="preserve"> </w:t>
      </w:r>
      <w:r w:rsidRPr="00E22673">
        <w:t>supportive decision making, establishing and maintaining circles of support, innovative living options, or inclusive work practices</w:t>
      </w:r>
      <w:r w:rsidR="00E13F4B" w:rsidRPr="00E22673">
        <w:t>.</w:t>
      </w:r>
    </w:p>
    <w:p w14:paraId="6A54FB57" w14:textId="70E6B0F9" w:rsidR="00A27EA8" w:rsidRPr="00127273" w:rsidRDefault="00F8733E" w:rsidP="00127273">
      <w:pPr>
        <w:pStyle w:val="ListBullet"/>
        <w:spacing w:after="120"/>
        <w:ind w:left="360"/>
        <w:rPr>
          <w:rFonts w:cs="Arial"/>
        </w:rPr>
      </w:pPr>
      <w:r w:rsidRPr="00E22673">
        <w:rPr>
          <w:rFonts w:cs="Arial"/>
          <w:b/>
        </w:rPr>
        <w:lastRenderedPageBreak/>
        <w:t>Scaling and extending previously ILC funded indiv</w:t>
      </w:r>
      <w:r w:rsidR="00127273">
        <w:rPr>
          <w:rFonts w:cs="Arial"/>
          <w:b/>
        </w:rPr>
        <w:t>idual capacity building activities</w:t>
      </w:r>
      <w:r w:rsidR="008C4956" w:rsidRPr="00E22673">
        <w:rPr>
          <w:rFonts w:cs="Arial"/>
          <w:b/>
        </w:rPr>
        <w:t xml:space="preserve"> -</w:t>
      </w:r>
      <w:r w:rsidRPr="00E22673">
        <w:rPr>
          <w:rFonts w:cs="Arial"/>
        </w:rPr>
        <w:t xml:space="preserve"> where these activities </w:t>
      </w:r>
      <w:proofErr w:type="gramStart"/>
      <w:r w:rsidRPr="00E22673">
        <w:rPr>
          <w:rFonts w:cs="Arial"/>
        </w:rPr>
        <w:t>have been evaluated</w:t>
      </w:r>
      <w:proofErr w:type="gramEnd"/>
      <w:r w:rsidRPr="00E22673">
        <w:rPr>
          <w:rFonts w:cs="Arial"/>
        </w:rPr>
        <w:t xml:space="preserve"> and can demonstrate effective outcomes for people with disability.</w:t>
      </w:r>
    </w:p>
    <w:p w14:paraId="593B2CE5" w14:textId="77777777" w:rsidR="00A27EA8" w:rsidRDefault="00A27EA8" w:rsidP="00D60210">
      <w:pPr>
        <w:pStyle w:val="Heading4"/>
      </w:pPr>
      <w:bookmarkStart w:id="55" w:name="_Toc13743162"/>
      <w:bookmarkStart w:id="56" w:name="_Toc16774084"/>
      <w:r>
        <w:t xml:space="preserve">Activity category 2 - </w:t>
      </w:r>
      <w:r w:rsidRPr="005E1AC2">
        <w:t>Organisational Capacity Building (OCB)</w:t>
      </w:r>
      <w:bookmarkEnd w:id="55"/>
      <w:bookmarkEnd w:id="56"/>
    </w:p>
    <w:p w14:paraId="0DFA35CA" w14:textId="26EF23A8" w:rsidR="00A27EA8" w:rsidRPr="00127273" w:rsidRDefault="00621D8B" w:rsidP="00E22673">
      <w:pPr>
        <w:pStyle w:val="Default"/>
        <w:spacing w:before="40" w:after="120" w:line="280" w:lineRule="atLeast"/>
        <w:rPr>
          <w:sz w:val="20"/>
          <w:szCs w:val="20"/>
        </w:rPr>
      </w:pPr>
      <w:r w:rsidRPr="00E22673">
        <w:rPr>
          <w:sz w:val="20"/>
          <w:szCs w:val="20"/>
        </w:rPr>
        <w:t>Types of organisational capacity building activities eligible under this grant in</w:t>
      </w:r>
      <w:r w:rsidR="00127273">
        <w:rPr>
          <w:sz w:val="20"/>
          <w:szCs w:val="20"/>
        </w:rPr>
        <w:t xml:space="preserve">clude, but are not limited </w:t>
      </w:r>
      <w:proofErr w:type="gramStart"/>
      <w:r w:rsidR="00127273">
        <w:rPr>
          <w:sz w:val="20"/>
          <w:szCs w:val="20"/>
        </w:rPr>
        <w:t>to</w:t>
      </w:r>
      <w:proofErr w:type="gramEnd"/>
      <w:r w:rsidR="00127273">
        <w:rPr>
          <w:sz w:val="20"/>
          <w:szCs w:val="20"/>
        </w:rPr>
        <w:t xml:space="preserve">: </w:t>
      </w:r>
    </w:p>
    <w:p w14:paraId="52EE3F67" w14:textId="77777777" w:rsidR="00A27EA8" w:rsidRPr="00E22673" w:rsidRDefault="00E13F4B" w:rsidP="00E22673">
      <w:pPr>
        <w:pStyle w:val="Default"/>
        <w:numPr>
          <w:ilvl w:val="0"/>
          <w:numId w:val="64"/>
        </w:numPr>
        <w:adjustRightInd/>
        <w:spacing w:before="40" w:after="120" w:line="280" w:lineRule="atLeast"/>
        <w:rPr>
          <w:sz w:val="20"/>
          <w:szCs w:val="20"/>
        </w:rPr>
      </w:pPr>
      <w:r w:rsidRPr="00E22673">
        <w:rPr>
          <w:sz w:val="20"/>
          <w:szCs w:val="20"/>
        </w:rPr>
        <w:t>u</w:t>
      </w:r>
      <w:r w:rsidR="00A27EA8" w:rsidRPr="00E22673">
        <w:rPr>
          <w:sz w:val="20"/>
          <w:szCs w:val="20"/>
        </w:rPr>
        <w:t>pskilling, training or developing existing or potential staff, volunteers or committee/board members to improve their leadership, skills and capability (e.g. leadership training for staff, board members and/</w:t>
      </w:r>
      <w:r w:rsidRPr="00E22673">
        <w:rPr>
          <w:sz w:val="20"/>
          <w:szCs w:val="20"/>
        </w:rPr>
        <w:t>or volunteers with disability)</w:t>
      </w:r>
    </w:p>
    <w:p w14:paraId="19033507" w14:textId="1278D3E3" w:rsidR="00A27EA8" w:rsidRPr="00E22673" w:rsidRDefault="00E13F4B" w:rsidP="00E22673">
      <w:pPr>
        <w:pStyle w:val="Default"/>
        <w:numPr>
          <w:ilvl w:val="0"/>
          <w:numId w:val="64"/>
        </w:numPr>
        <w:adjustRightInd/>
        <w:spacing w:before="40" w:after="120" w:line="280" w:lineRule="atLeast"/>
        <w:rPr>
          <w:sz w:val="20"/>
          <w:szCs w:val="20"/>
        </w:rPr>
      </w:pPr>
      <w:r w:rsidRPr="00E22673">
        <w:rPr>
          <w:sz w:val="20"/>
          <w:szCs w:val="20"/>
        </w:rPr>
        <w:t>d</w:t>
      </w:r>
      <w:r w:rsidR="00A27EA8" w:rsidRPr="00E22673">
        <w:rPr>
          <w:sz w:val="20"/>
          <w:szCs w:val="20"/>
        </w:rPr>
        <w:t>eveloping and delivering strategies and activities to strengthen the involvement of people with disability and/or families and carers in organisational decision making</w:t>
      </w:r>
      <w:r w:rsidR="00127273">
        <w:rPr>
          <w:sz w:val="20"/>
          <w:szCs w:val="20"/>
        </w:rPr>
        <w:t xml:space="preserve"> </w:t>
      </w:r>
      <w:r w:rsidR="00A27EA8" w:rsidRPr="00E22673">
        <w:rPr>
          <w:sz w:val="20"/>
          <w:szCs w:val="20"/>
        </w:rPr>
        <w:t>(e.g. recruiting and supporting staff and/or volunteers with disability, or supporting leaders with disability to operate effectively on boa</w:t>
      </w:r>
      <w:r w:rsidRPr="00E22673">
        <w:rPr>
          <w:sz w:val="20"/>
          <w:szCs w:val="20"/>
        </w:rPr>
        <w:t>rds and management committees)</w:t>
      </w:r>
    </w:p>
    <w:p w14:paraId="2B160285" w14:textId="77777777" w:rsidR="00A27EA8" w:rsidRPr="00E22673" w:rsidRDefault="00E13F4B" w:rsidP="00E22673">
      <w:pPr>
        <w:pStyle w:val="Default"/>
        <w:numPr>
          <w:ilvl w:val="0"/>
          <w:numId w:val="64"/>
        </w:numPr>
        <w:adjustRightInd/>
        <w:spacing w:before="40" w:after="120" w:line="280" w:lineRule="atLeast"/>
        <w:rPr>
          <w:sz w:val="20"/>
          <w:szCs w:val="20"/>
        </w:rPr>
      </w:pPr>
      <w:r w:rsidRPr="00E22673">
        <w:rPr>
          <w:sz w:val="20"/>
          <w:szCs w:val="20"/>
        </w:rPr>
        <w:t>d</w:t>
      </w:r>
      <w:r w:rsidR="00A27EA8" w:rsidRPr="00E22673">
        <w:rPr>
          <w:sz w:val="20"/>
          <w:szCs w:val="20"/>
        </w:rPr>
        <w:t>eveloping and delivering strategies and activities to support knowledge and skill transfer between board membe</w:t>
      </w:r>
      <w:r w:rsidRPr="00E22673">
        <w:rPr>
          <w:sz w:val="20"/>
          <w:szCs w:val="20"/>
        </w:rPr>
        <w:t>rs with and without disability</w:t>
      </w:r>
    </w:p>
    <w:p w14:paraId="066B6BE8" w14:textId="77777777" w:rsidR="00A27EA8" w:rsidRPr="00E22673" w:rsidRDefault="00E13F4B" w:rsidP="00E22673">
      <w:pPr>
        <w:pStyle w:val="Default"/>
        <w:numPr>
          <w:ilvl w:val="0"/>
          <w:numId w:val="64"/>
        </w:numPr>
        <w:adjustRightInd/>
        <w:spacing w:before="40" w:after="120" w:line="280" w:lineRule="atLeast"/>
        <w:rPr>
          <w:sz w:val="20"/>
          <w:szCs w:val="20"/>
        </w:rPr>
      </w:pPr>
      <w:r w:rsidRPr="00E22673">
        <w:rPr>
          <w:sz w:val="20"/>
          <w:szCs w:val="20"/>
        </w:rPr>
        <w:t>e</w:t>
      </w:r>
      <w:r w:rsidR="00A27EA8" w:rsidRPr="00E22673">
        <w:rPr>
          <w:sz w:val="20"/>
          <w:szCs w:val="20"/>
        </w:rPr>
        <w:t>stablishing and maintaining partnerships to collaborate with other organisations (e.g. developing formal or informal cooperative agreements to share resources o</w:t>
      </w:r>
      <w:r w:rsidRPr="00E22673">
        <w:rPr>
          <w:sz w:val="20"/>
          <w:szCs w:val="20"/>
        </w:rPr>
        <w:t>r partner in program delivery)</w:t>
      </w:r>
    </w:p>
    <w:p w14:paraId="6217509C" w14:textId="77777777" w:rsidR="00A27EA8" w:rsidRPr="00E22673" w:rsidRDefault="00E13F4B" w:rsidP="00E22673">
      <w:pPr>
        <w:pStyle w:val="Default"/>
        <w:numPr>
          <w:ilvl w:val="0"/>
          <w:numId w:val="64"/>
        </w:numPr>
        <w:adjustRightInd/>
        <w:spacing w:before="40" w:after="120" w:line="280" w:lineRule="atLeast"/>
        <w:rPr>
          <w:sz w:val="20"/>
          <w:szCs w:val="20"/>
        </w:rPr>
      </w:pPr>
      <w:r w:rsidRPr="00E22673">
        <w:rPr>
          <w:sz w:val="20"/>
          <w:szCs w:val="20"/>
        </w:rPr>
        <w:t>i</w:t>
      </w:r>
      <w:r w:rsidR="00A27EA8" w:rsidRPr="00E22673">
        <w:rPr>
          <w:sz w:val="20"/>
          <w:szCs w:val="20"/>
        </w:rPr>
        <w:t xml:space="preserve">mproving organisational systems or processes to deliver organisational efficiencies (e.g. purchasing and installing a new </w:t>
      </w:r>
      <w:r w:rsidR="002F113D" w:rsidRPr="00E22673">
        <w:rPr>
          <w:sz w:val="20"/>
          <w:szCs w:val="20"/>
        </w:rPr>
        <w:t>member communication system</w:t>
      </w:r>
      <w:r w:rsidRPr="00E22673">
        <w:rPr>
          <w:sz w:val="20"/>
          <w:szCs w:val="20"/>
        </w:rPr>
        <w:t>)</w:t>
      </w:r>
    </w:p>
    <w:p w14:paraId="337C6CC1" w14:textId="77777777" w:rsidR="00A27EA8" w:rsidRPr="00E22673" w:rsidRDefault="00E13F4B" w:rsidP="00E22673">
      <w:pPr>
        <w:pStyle w:val="Default"/>
        <w:numPr>
          <w:ilvl w:val="0"/>
          <w:numId w:val="64"/>
        </w:numPr>
        <w:adjustRightInd/>
        <w:spacing w:before="40" w:after="120" w:line="280" w:lineRule="atLeast"/>
        <w:rPr>
          <w:sz w:val="20"/>
          <w:szCs w:val="20"/>
        </w:rPr>
      </w:pPr>
      <w:r w:rsidRPr="00E22673">
        <w:rPr>
          <w:sz w:val="20"/>
          <w:szCs w:val="20"/>
        </w:rPr>
        <w:t>s</w:t>
      </w:r>
      <w:r w:rsidR="00A27EA8" w:rsidRPr="00E22673">
        <w:rPr>
          <w:sz w:val="20"/>
          <w:szCs w:val="20"/>
        </w:rPr>
        <w:t>trengthening the quality of organisational activities (e.g. commissionin</w:t>
      </w:r>
      <w:r w:rsidRPr="00E22673">
        <w:rPr>
          <w:sz w:val="20"/>
          <w:szCs w:val="20"/>
        </w:rPr>
        <w:t>g a risk management framework)</w:t>
      </w:r>
    </w:p>
    <w:p w14:paraId="4764FA29" w14:textId="08497DCE" w:rsidR="00934797" w:rsidRPr="00E22673" w:rsidRDefault="00E13F4B" w:rsidP="00E22673">
      <w:pPr>
        <w:pStyle w:val="Default"/>
        <w:numPr>
          <w:ilvl w:val="0"/>
          <w:numId w:val="64"/>
        </w:numPr>
        <w:adjustRightInd/>
        <w:spacing w:before="40" w:after="120" w:line="280" w:lineRule="atLeast"/>
        <w:rPr>
          <w:sz w:val="20"/>
          <w:szCs w:val="20"/>
        </w:rPr>
      </w:pPr>
      <w:r w:rsidRPr="00E22673">
        <w:rPr>
          <w:sz w:val="20"/>
          <w:szCs w:val="20"/>
        </w:rPr>
        <w:t>d</w:t>
      </w:r>
      <w:r w:rsidR="00934797" w:rsidRPr="00E22673">
        <w:rPr>
          <w:sz w:val="20"/>
          <w:szCs w:val="20"/>
        </w:rPr>
        <w:t xml:space="preserve">eveloping and implementing strategies to upskill the organisation (or parts of </w:t>
      </w:r>
      <w:r w:rsidR="00127273">
        <w:rPr>
          <w:sz w:val="20"/>
          <w:szCs w:val="20"/>
        </w:rPr>
        <w:t xml:space="preserve">the </w:t>
      </w:r>
      <w:r w:rsidR="00934797" w:rsidRPr="00E22673">
        <w:rPr>
          <w:sz w:val="20"/>
          <w:szCs w:val="20"/>
        </w:rPr>
        <w:t>or</w:t>
      </w:r>
      <w:r w:rsidRPr="00E22673">
        <w:rPr>
          <w:sz w:val="20"/>
          <w:szCs w:val="20"/>
        </w:rPr>
        <w:t>ganisation) to better function</w:t>
      </w:r>
    </w:p>
    <w:p w14:paraId="07DDCCC4" w14:textId="36BE4E80" w:rsidR="00A27EA8" w:rsidRPr="00E22673" w:rsidRDefault="00E13F4B" w:rsidP="00E22673">
      <w:pPr>
        <w:pStyle w:val="Default"/>
        <w:numPr>
          <w:ilvl w:val="0"/>
          <w:numId w:val="64"/>
        </w:numPr>
        <w:adjustRightInd/>
        <w:spacing w:before="40" w:after="120" w:line="280" w:lineRule="atLeast"/>
        <w:rPr>
          <w:sz w:val="20"/>
          <w:szCs w:val="20"/>
        </w:rPr>
      </w:pPr>
      <w:r w:rsidRPr="00E22673">
        <w:rPr>
          <w:sz w:val="20"/>
          <w:szCs w:val="20"/>
        </w:rPr>
        <w:t>d</w:t>
      </w:r>
      <w:r w:rsidR="00A27EA8" w:rsidRPr="00E22673">
        <w:rPr>
          <w:sz w:val="20"/>
          <w:szCs w:val="20"/>
        </w:rPr>
        <w:t>eveloping organisational strategy and future outlook (e.g. conducting needs analysis to better understand emerging prioritie</w:t>
      </w:r>
      <w:r w:rsidRPr="00E22673">
        <w:rPr>
          <w:sz w:val="20"/>
          <w:szCs w:val="20"/>
        </w:rPr>
        <w:t xml:space="preserve">s of </w:t>
      </w:r>
      <w:r w:rsidR="00127273">
        <w:rPr>
          <w:sz w:val="20"/>
          <w:szCs w:val="20"/>
        </w:rPr>
        <w:t xml:space="preserve">the </w:t>
      </w:r>
      <w:r w:rsidRPr="00E22673">
        <w:rPr>
          <w:sz w:val="20"/>
          <w:szCs w:val="20"/>
        </w:rPr>
        <w:t>constituent group)</w:t>
      </w:r>
    </w:p>
    <w:p w14:paraId="59C85047" w14:textId="2239E99E" w:rsidR="00A27EA8" w:rsidRPr="00127273" w:rsidRDefault="00E13F4B" w:rsidP="00E22673">
      <w:pPr>
        <w:pStyle w:val="Default"/>
        <w:numPr>
          <w:ilvl w:val="0"/>
          <w:numId w:val="64"/>
        </w:numPr>
        <w:adjustRightInd/>
        <w:spacing w:before="40" w:after="120" w:line="280" w:lineRule="atLeast"/>
        <w:rPr>
          <w:sz w:val="20"/>
          <w:szCs w:val="20"/>
        </w:rPr>
      </w:pPr>
      <w:proofErr w:type="gramStart"/>
      <w:r w:rsidRPr="00E22673">
        <w:rPr>
          <w:sz w:val="20"/>
          <w:szCs w:val="20"/>
        </w:rPr>
        <w:t>s</w:t>
      </w:r>
      <w:r w:rsidR="00A27EA8" w:rsidRPr="00E22673">
        <w:rPr>
          <w:sz w:val="20"/>
          <w:szCs w:val="20"/>
        </w:rPr>
        <w:t>coping</w:t>
      </w:r>
      <w:proofErr w:type="gramEnd"/>
      <w:r w:rsidR="00A27EA8" w:rsidRPr="00E22673">
        <w:rPr>
          <w:sz w:val="20"/>
          <w:szCs w:val="20"/>
        </w:rPr>
        <w:t xml:space="preserve"> and developing a business case for revenue generating services that lead towards financial independence (e.g. devel</w:t>
      </w:r>
      <w:r w:rsidRPr="00E22673">
        <w:rPr>
          <w:sz w:val="20"/>
          <w:szCs w:val="20"/>
        </w:rPr>
        <w:t>oping a new social enterprise).</w:t>
      </w:r>
    </w:p>
    <w:p w14:paraId="019AC5A1" w14:textId="47F8B399" w:rsidR="006937A4" w:rsidRPr="00E22673" w:rsidRDefault="006937A4" w:rsidP="00E22673">
      <w:pPr>
        <w:rPr>
          <w:rFonts w:cs="Arial"/>
        </w:rPr>
      </w:pPr>
      <w:r w:rsidRPr="00E22673">
        <w:rPr>
          <w:rFonts w:cs="Arial"/>
          <w:b/>
        </w:rPr>
        <w:t>NOTE:</w:t>
      </w:r>
      <w:r w:rsidRPr="00E22673">
        <w:rPr>
          <w:rFonts w:cs="Arial"/>
        </w:rPr>
        <w:t xml:space="preserve"> Organisations that meet the </w:t>
      </w:r>
      <w:r w:rsidR="00BE2586" w:rsidRPr="00E22673">
        <w:rPr>
          <w:rFonts w:cs="Arial"/>
        </w:rPr>
        <w:t>DPO/FOs</w:t>
      </w:r>
      <w:r w:rsidRPr="00E22673">
        <w:rPr>
          <w:rFonts w:cs="Arial"/>
        </w:rPr>
        <w:t xml:space="preserve"> criteria can </w:t>
      </w:r>
      <w:r w:rsidR="00E145FD" w:rsidRPr="00E22673">
        <w:rPr>
          <w:rFonts w:cs="Arial"/>
        </w:rPr>
        <w:t xml:space="preserve">also </w:t>
      </w:r>
      <w:r w:rsidRPr="00E22673">
        <w:rPr>
          <w:rFonts w:cs="Arial"/>
        </w:rPr>
        <w:t>apply for funding for organisational capacity</w:t>
      </w:r>
      <w:r w:rsidR="00271935">
        <w:rPr>
          <w:rFonts w:cs="Arial"/>
        </w:rPr>
        <w:t xml:space="preserve"> development (OCB) activities.</w:t>
      </w:r>
    </w:p>
    <w:p w14:paraId="707B2229" w14:textId="195E3A75" w:rsidR="00A27EA8" w:rsidRPr="00E22673" w:rsidRDefault="00A27EA8" w:rsidP="00E22673">
      <w:pPr>
        <w:rPr>
          <w:rFonts w:cs="Arial"/>
        </w:rPr>
      </w:pPr>
      <w:r w:rsidRPr="00E22673">
        <w:rPr>
          <w:rFonts w:cs="Arial"/>
        </w:rPr>
        <w:t xml:space="preserve">Applicants may apply for </w:t>
      </w:r>
      <w:r w:rsidRPr="00E22673">
        <w:rPr>
          <w:rFonts w:cs="Arial"/>
          <w:b/>
        </w:rPr>
        <w:t>no more than three OCB activities</w:t>
      </w:r>
      <w:r w:rsidR="00D35542">
        <w:rPr>
          <w:rFonts w:cs="Arial"/>
        </w:rPr>
        <w:t>.</w:t>
      </w:r>
    </w:p>
    <w:p w14:paraId="3EDA6330" w14:textId="5BACB7DB" w:rsidR="00A27EA8" w:rsidRPr="00E22673" w:rsidRDefault="00A27EA8" w:rsidP="00E22673">
      <w:pPr>
        <w:rPr>
          <w:rFonts w:cs="Arial"/>
        </w:rPr>
      </w:pPr>
      <w:r w:rsidRPr="00E22673">
        <w:rPr>
          <w:rFonts w:cs="Arial"/>
        </w:rPr>
        <w:t>Organisations that apply to deliver OCB activities must also a</w:t>
      </w:r>
      <w:r w:rsidR="00D35542">
        <w:rPr>
          <w:rFonts w:cs="Arial"/>
        </w:rPr>
        <w:t>pply to deliver ICB activities.</w:t>
      </w:r>
    </w:p>
    <w:p w14:paraId="5B1BF40A" w14:textId="4E17AF87" w:rsidR="00EC04E1" w:rsidRDefault="00EC04E1" w:rsidP="001505F4">
      <w:pPr>
        <w:pStyle w:val="Heading3"/>
      </w:pPr>
      <w:bookmarkStart w:id="57" w:name="_Toc506537727"/>
      <w:bookmarkStart w:id="58" w:name="_Toc506537728"/>
      <w:bookmarkStart w:id="59" w:name="_Toc506537729"/>
      <w:bookmarkStart w:id="60" w:name="_Toc506537730"/>
      <w:bookmarkStart w:id="61" w:name="_Toc506537731"/>
      <w:bookmarkStart w:id="62" w:name="_Toc506537732"/>
      <w:bookmarkStart w:id="63" w:name="_Toc506537733"/>
      <w:bookmarkStart w:id="64" w:name="_Toc506537734"/>
      <w:bookmarkStart w:id="65" w:name="_Toc506537735"/>
      <w:bookmarkStart w:id="66" w:name="_Toc506537736"/>
      <w:bookmarkStart w:id="67" w:name="_Toc506537737"/>
      <w:bookmarkStart w:id="68" w:name="_Toc506537738"/>
      <w:bookmarkStart w:id="69" w:name="_Toc506537739"/>
      <w:bookmarkStart w:id="70" w:name="_Toc506537740"/>
      <w:bookmarkStart w:id="71" w:name="_Toc506537741"/>
      <w:bookmarkStart w:id="72" w:name="_Toc506537742"/>
      <w:bookmarkStart w:id="73" w:name="_Toc16774085"/>
      <w:bookmarkStart w:id="74" w:name="_Ref468355814"/>
      <w:bookmarkStart w:id="75" w:name="_Toc383003258"/>
      <w:bookmarkStart w:id="76" w:name="_Toc164844265"/>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t>Eligible expenditure</w:t>
      </w:r>
      <w:bookmarkEnd w:id="73"/>
    </w:p>
    <w:p w14:paraId="5A6E0809" w14:textId="70609FEE" w:rsidR="0004232C" w:rsidRPr="00E22673" w:rsidRDefault="0004232C" w:rsidP="00E22673">
      <w:pPr>
        <w:rPr>
          <w:rFonts w:cs="Arial"/>
        </w:rPr>
      </w:pPr>
      <w:bookmarkStart w:id="77" w:name="_Toc506537745"/>
      <w:bookmarkStart w:id="78" w:name="_Toc506537746"/>
      <w:bookmarkStart w:id="79" w:name="_Toc506537747"/>
      <w:bookmarkStart w:id="80" w:name="_Toc506537748"/>
      <w:bookmarkStart w:id="81" w:name="_Toc506537749"/>
      <w:bookmarkStart w:id="82" w:name="_Toc506537751"/>
      <w:bookmarkStart w:id="83" w:name="_Toc506537752"/>
      <w:bookmarkStart w:id="84" w:name="_Toc506537753"/>
      <w:bookmarkStart w:id="85" w:name="_Toc506537754"/>
      <w:bookmarkStart w:id="86" w:name="_Toc506537755"/>
      <w:bookmarkStart w:id="87" w:name="_Toc506537756"/>
      <w:bookmarkStart w:id="88" w:name="_Toc506537757"/>
      <w:bookmarkEnd w:id="74"/>
      <w:bookmarkEnd w:id="77"/>
      <w:bookmarkEnd w:id="78"/>
      <w:bookmarkEnd w:id="79"/>
      <w:bookmarkEnd w:id="80"/>
      <w:bookmarkEnd w:id="81"/>
      <w:bookmarkEnd w:id="82"/>
      <w:bookmarkEnd w:id="83"/>
      <w:bookmarkEnd w:id="84"/>
      <w:bookmarkEnd w:id="85"/>
      <w:bookmarkEnd w:id="86"/>
      <w:bookmarkEnd w:id="87"/>
      <w:bookmarkEnd w:id="88"/>
      <w:r w:rsidRPr="00E22673">
        <w:rPr>
          <w:rFonts w:cs="Arial"/>
        </w:rPr>
        <w:t>You can only spend the grant to pay for</w:t>
      </w:r>
      <w:r w:rsidR="00127273">
        <w:rPr>
          <w:rFonts w:cs="Arial"/>
        </w:rPr>
        <w:t xml:space="preserve"> the following</w:t>
      </w:r>
      <w:r w:rsidRPr="00E22673">
        <w:rPr>
          <w:rFonts w:cs="Arial"/>
        </w:rPr>
        <w:t>:</w:t>
      </w:r>
    </w:p>
    <w:p w14:paraId="4A372A65" w14:textId="741E3CAF" w:rsidR="0004232C" w:rsidRPr="00E22673" w:rsidRDefault="0004232C" w:rsidP="00E22673">
      <w:pPr>
        <w:pStyle w:val="ListParagraph"/>
        <w:numPr>
          <w:ilvl w:val="0"/>
          <w:numId w:val="29"/>
        </w:numPr>
        <w:ind w:left="714" w:hanging="357"/>
        <w:contextualSpacing w:val="0"/>
        <w:rPr>
          <w:rFonts w:cs="Arial"/>
        </w:rPr>
      </w:pPr>
      <w:r w:rsidRPr="00E22673">
        <w:rPr>
          <w:rFonts w:cs="Arial"/>
        </w:rPr>
        <w:t xml:space="preserve">Staff salaries and on-costs that </w:t>
      </w:r>
      <w:proofErr w:type="gramStart"/>
      <w:r w:rsidRPr="00E22673">
        <w:rPr>
          <w:rFonts w:cs="Arial"/>
        </w:rPr>
        <w:t>can be directly attributed</w:t>
      </w:r>
      <w:proofErr w:type="gramEnd"/>
      <w:r w:rsidRPr="00E22673">
        <w:rPr>
          <w:rFonts w:cs="Arial"/>
        </w:rPr>
        <w:t xml:space="preserve"> to the provision of the project as per the grant agreement</w:t>
      </w:r>
      <w:r w:rsidR="00127273">
        <w:rPr>
          <w:rFonts w:cs="Arial"/>
        </w:rPr>
        <w:t>.</w:t>
      </w:r>
    </w:p>
    <w:p w14:paraId="41623876" w14:textId="77777777" w:rsidR="0004232C" w:rsidRPr="00E22673" w:rsidRDefault="0004232C" w:rsidP="00E22673">
      <w:pPr>
        <w:pStyle w:val="ListParagraph"/>
        <w:numPr>
          <w:ilvl w:val="0"/>
          <w:numId w:val="27"/>
        </w:numPr>
        <w:ind w:left="714" w:hanging="357"/>
        <w:contextualSpacing w:val="0"/>
        <w:rPr>
          <w:rFonts w:cs="Arial"/>
        </w:rPr>
      </w:pPr>
      <w:r w:rsidRPr="00E22673">
        <w:rPr>
          <w:rFonts w:cs="Arial"/>
        </w:rPr>
        <w:t xml:space="preserve">The portion of operating and administration expenses directly related to the project as per the grant agreement, such as: </w:t>
      </w:r>
    </w:p>
    <w:p w14:paraId="701CE38D" w14:textId="25A344D8" w:rsidR="0004232C" w:rsidRPr="00E22673" w:rsidRDefault="00127273" w:rsidP="00E22673">
      <w:pPr>
        <w:numPr>
          <w:ilvl w:val="1"/>
          <w:numId w:val="28"/>
        </w:numPr>
        <w:rPr>
          <w:rFonts w:cs="Arial"/>
          <w:iCs/>
        </w:rPr>
      </w:pPr>
      <w:r>
        <w:rPr>
          <w:rFonts w:cs="Arial"/>
          <w:iCs/>
        </w:rPr>
        <w:t>c</w:t>
      </w:r>
      <w:r w:rsidR="002F113D" w:rsidRPr="00E22673">
        <w:rPr>
          <w:rFonts w:cs="Arial"/>
          <w:iCs/>
        </w:rPr>
        <w:t>ommunications (</w:t>
      </w:r>
      <w:r w:rsidR="0004232C" w:rsidRPr="00E22673">
        <w:rPr>
          <w:rFonts w:cs="Arial"/>
          <w:iCs/>
        </w:rPr>
        <w:t>telephone</w:t>
      </w:r>
      <w:r w:rsidR="002F113D" w:rsidRPr="00E22673">
        <w:rPr>
          <w:rFonts w:cs="Arial"/>
          <w:iCs/>
        </w:rPr>
        <w:t xml:space="preserve"> / internet / captioning)</w:t>
      </w:r>
    </w:p>
    <w:p w14:paraId="1F528C84" w14:textId="77777777" w:rsidR="002F113D" w:rsidRPr="00E22673" w:rsidRDefault="002F113D" w:rsidP="00E22673">
      <w:pPr>
        <w:numPr>
          <w:ilvl w:val="1"/>
          <w:numId w:val="28"/>
        </w:numPr>
        <w:rPr>
          <w:rFonts w:cs="Arial"/>
          <w:iCs/>
        </w:rPr>
      </w:pPr>
      <w:r w:rsidRPr="00E22673">
        <w:rPr>
          <w:rFonts w:cs="Arial"/>
          <w:iCs/>
        </w:rPr>
        <w:t>facility hire / rental</w:t>
      </w:r>
    </w:p>
    <w:p w14:paraId="3CE553D5" w14:textId="3A21A9FD" w:rsidR="0004232C" w:rsidRPr="00E22673" w:rsidRDefault="00127273" w:rsidP="00E22673">
      <w:pPr>
        <w:numPr>
          <w:ilvl w:val="1"/>
          <w:numId w:val="28"/>
        </w:numPr>
        <w:rPr>
          <w:rFonts w:cs="Arial"/>
          <w:iCs/>
        </w:rPr>
      </w:pPr>
      <w:r>
        <w:rPr>
          <w:rFonts w:cs="Arial"/>
          <w:iCs/>
        </w:rPr>
        <w:lastRenderedPageBreak/>
        <w:t>Information T</w:t>
      </w:r>
      <w:r w:rsidR="002F113D" w:rsidRPr="00E22673">
        <w:rPr>
          <w:rFonts w:cs="Arial"/>
          <w:iCs/>
        </w:rPr>
        <w:t>echnology (</w:t>
      </w:r>
      <w:r w:rsidR="0004232C" w:rsidRPr="00E22673">
        <w:rPr>
          <w:rFonts w:cs="Arial"/>
          <w:iCs/>
        </w:rPr>
        <w:t>computer</w:t>
      </w:r>
      <w:r w:rsidR="002F113D" w:rsidRPr="00E22673">
        <w:rPr>
          <w:rFonts w:cs="Arial"/>
          <w:iCs/>
        </w:rPr>
        <w:t xml:space="preserve"> </w:t>
      </w:r>
      <w:r w:rsidR="0004232C" w:rsidRPr="00E22673">
        <w:rPr>
          <w:rFonts w:cs="Arial"/>
          <w:iCs/>
        </w:rPr>
        <w:t>/ website</w:t>
      </w:r>
      <w:r w:rsidR="002F113D" w:rsidRPr="00E22673">
        <w:rPr>
          <w:rFonts w:cs="Arial"/>
          <w:iCs/>
        </w:rPr>
        <w:t xml:space="preserve"> </w:t>
      </w:r>
      <w:r w:rsidR="0004232C" w:rsidRPr="00E22673">
        <w:rPr>
          <w:rFonts w:cs="Arial"/>
          <w:iCs/>
        </w:rPr>
        <w:t>/</w:t>
      </w:r>
      <w:r w:rsidR="002F113D" w:rsidRPr="00E22673">
        <w:rPr>
          <w:rFonts w:cs="Arial"/>
          <w:iCs/>
        </w:rPr>
        <w:t xml:space="preserve"> </w:t>
      </w:r>
      <w:r w:rsidR="0004232C" w:rsidRPr="00E22673">
        <w:rPr>
          <w:rFonts w:cs="Arial"/>
          <w:iCs/>
        </w:rPr>
        <w:t>software</w:t>
      </w:r>
      <w:r w:rsidR="002F113D" w:rsidRPr="00E22673">
        <w:rPr>
          <w:rFonts w:cs="Arial"/>
          <w:iCs/>
        </w:rPr>
        <w:t>)</w:t>
      </w:r>
    </w:p>
    <w:p w14:paraId="44CDEED7" w14:textId="77777777" w:rsidR="0004232C" w:rsidRPr="00E22673" w:rsidRDefault="0004232C" w:rsidP="00E22673">
      <w:pPr>
        <w:numPr>
          <w:ilvl w:val="1"/>
          <w:numId w:val="28"/>
        </w:numPr>
        <w:rPr>
          <w:rFonts w:cs="Arial"/>
          <w:iCs/>
        </w:rPr>
      </w:pPr>
      <w:r w:rsidRPr="00E22673">
        <w:rPr>
          <w:rFonts w:cs="Arial"/>
          <w:iCs/>
        </w:rPr>
        <w:t>insurance</w:t>
      </w:r>
    </w:p>
    <w:p w14:paraId="2B508D7E" w14:textId="77777777" w:rsidR="0004232C" w:rsidRPr="00E22673" w:rsidRDefault="0004232C" w:rsidP="00E22673">
      <w:pPr>
        <w:numPr>
          <w:ilvl w:val="1"/>
          <w:numId w:val="28"/>
        </w:numPr>
        <w:rPr>
          <w:rFonts w:cs="Arial"/>
          <w:iCs/>
        </w:rPr>
      </w:pPr>
      <w:r w:rsidRPr="00E22673">
        <w:rPr>
          <w:rFonts w:cs="Arial"/>
          <w:iCs/>
        </w:rPr>
        <w:t>utilities</w:t>
      </w:r>
    </w:p>
    <w:p w14:paraId="4C50D704" w14:textId="77777777" w:rsidR="0004232C" w:rsidRPr="00E22673" w:rsidRDefault="0004232C" w:rsidP="00E22673">
      <w:pPr>
        <w:numPr>
          <w:ilvl w:val="1"/>
          <w:numId w:val="28"/>
        </w:numPr>
        <w:rPr>
          <w:rFonts w:cs="Arial"/>
          <w:iCs/>
        </w:rPr>
      </w:pPr>
      <w:r w:rsidRPr="00E22673">
        <w:rPr>
          <w:rFonts w:cs="Arial"/>
          <w:iCs/>
        </w:rPr>
        <w:t>postage</w:t>
      </w:r>
    </w:p>
    <w:p w14:paraId="54558FCA" w14:textId="77777777" w:rsidR="0004232C" w:rsidRPr="00E22673" w:rsidRDefault="0004232C" w:rsidP="00E22673">
      <w:pPr>
        <w:numPr>
          <w:ilvl w:val="1"/>
          <w:numId w:val="28"/>
        </w:numPr>
        <w:rPr>
          <w:rFonts w:cs="Arial"/>
          <w:iCs/>
        </w:rPr>
      </w:pPr>
      <w:r w:rsidRPr="00E22673">
        <w:rPr>
          <w:rFonts w:cs="Arial"/>
          <w:iCs/>
        </w:rPr>
        <w:t>stationery and printing</w:t>
      </w:r>
    </w:p>
    <w:p w14:paraId="717A2254" w14:textId="77777777" w:rsidR="0004232C" w:rsidRPr="00E22673" w:rsidRDefault="0004232C" w:rsidP="00E22673">
      <w:pPr>
        <w:numPr>
          <w:ilvl w:val="1"/>
          <w:numId w:val="28"/>
        </w:numPr>
        <w:rPr>
          <w:rFonts w:cs="Arial"/>
          <w:iCs/>
        </w:rPr>
      </w:pPr>
      <w:r w:rsidRPr="00E22673">
        <w:rPr>
          <w:rFonts w:cs="Arial"/>
          <w:iCs/>
        </w:rPr>
        <w:t>accounting and auditing</w:t>
      </w:r>
    </w:p>
    <w:p w14:paraId="7583EA92" w14:textId="77777777" w:rsidR="00F4153D" w:rsidRPr="00E22673" w:rsidRDefault="00F4153D" w:rsidP="00E22673">
      <w:pPr>
        <w:numPr>
          <w:ilvl w:val="1"/>
          <w:numId w:val="28"/>
        </w:numPr>
        <w:rPr>
          <w:rFonts w:cs="Arial"/>
          <w:iCs/>
        </w:rPr>
      </w:pPr>
      <w:r w:rsidRPr="00E22673">
        <w:rPr>
          <w:rFonts w:cs="Arial"/>
          <w:iCs/>
        </w:rPr>
        <w:t>travel/accommodation costs</w:t>
      </w:r>
    </w:p>
    <w:p w14:paraId="60CADF32" w14:textId="3A28CB2D" w:rsidR="0004232C" w:rsidRPr="00E22673" w:rsidRDefault="0004232C" w:rsidP="00E22673">
      <w:pPr>
        <w:numPr>
          <w:ilvl w:val="1"/>
          <w:numId w:val="28"/>
        </w:numPr>
        <w:ind w:left="1434" w:hanging="357"/>
        <w:rPr>
          <w:rFonts w:cs="Arial"/>
          <w:iCs/>
        </w:rPr>
      </w:pPr>
      <w:proofErr w:type="gramStart"/>
      <w:r w:rsidRPr="00E22673">
        <w:rPr>
          <w:rFonts w:cs="Arial"/>
          <w:iCs/>
        </w:rPr>
        <w:t>assets</w:t>
      </w:r>
      <w:proofErr w:type="gramEnd"/>
      <w:r w:rsidRPr="00E22673">
        <w:rPr>
          <w:rFonts w:cs="Arial"/>
          <w:iCs/>
        </w:rPr>
        <w:t xml:space="preserve"> as defined in the grant agreement terms and conditions that can be reasonably attributed to meeting agreement deliverables</w:t>
      </w:r>
      <w:r w:rsidR="00127273">
        <w:rPr>
          <w:rFonts w:cs="Arial"/>
          <w:iCs/>
        </w:rPr>
        <w:t>.</w:t>
      </w:r>
    </w:p>
    <w:p w14:paraId="61E15A41" w14:textId="77777777" w:rsidR="0004232C" w:rsidRPr="00E22673" w:rsidRDefault="002F113D" w:rsidP="00E22673">
      <w:pPr>
        <w:pStyle w:val="ListParagraph"/>
        <w:numPr>
          <w:ilvl w:val="0"/>
          <w:numId w:val="27"/>
        </w:numPr>
        <w:ind w:left="714" w:hanging="357"/>
        <w:contextualSpacing w:val="0"/>
        <w:rPr>
          <w:rFonts w:cs="Arial"/>
        </w:rPr>
      </w:pPr>
      <w:r w:rsidRPr="00E22673">
        <w:rPr>
          <w:rFonts w:cs="Arial"/>
        </w:rPr>
        <w:t>Larger requests for funding should allocate a</w:t>
      </w:r>
      <w:r w:rsidR="0004232C" w:rsidRPr="00E22673">
        <w:rPr>
          <w:rFonts w:cs="Arial"/>
        </w:rPr>
        <w:t xml:space="preserve"> proportion of the grant funding </w:t>
      </w:r>
      <w:r w:rsidRPr="00E22673">
        <w:rPr>
          <w:rFonts w:cs="Arial"/>
        </w:rPr>
        <w:t xml:space="preserve">to </w:t>
      </w:r>
      <w:proofErr w:type="gramStart"/>
      <w:r w:rsidR="0004232C" w:rsidRPr="00E22673">
        <w:rPr>
          <w:rFonts w:cs="Arial"/>
        </w:rPr>
        <w:t>be used</w:t>
      </w:r>
      <w:proofErr w:type="gramEnd"/>
      <w:r w:rsidR="0004232C" w:rsidRPr="00E22673">
        <w:rPr>
          <w:rFonts w:cs="Arial"/>
        </w:rPr>
        <w:t xml:space="preserve"> for evaluation of the funded project to demonstrate delivery of outcomes.</w:t>
      </w:r>
    </w:p>
    <w:p w14:paraId="1D504855" w14:textId="43479AEA" w:rsidR="0004232C" w:rsidRPr="00E22673" w:rsidRDefault="0004232C" w:rsidP="00E22673">
      <w:pPr>
        <w:pStyle w:val="ListParagraph"/>
        <w:numPr>
          <w:ilvl w:val="0"/>
          <w:numId w:val="27"/>
        </w:numPr>
        <w:contextualSpacing w:val="0"/>
        <w:rPr>
          <w:rFonts w:cs="Arial"/>
        </w:rPr>
      </w:pPr>
      <w:r w:rsidRPr="00E22673">
        <w:rPr>
          <w:rFonts w:cs="Arial"/>
        </w:rPr>
        <w:t>Use of external consultants to support development of resources is eligible but should be short term. The applicant must clearly describe in the application how the use of the consultant will result in a transfer of skill development (</w:t>
      </w:r>
      <w:r w:rsidR="00127273" w:rsidRPr="00E22673">
        <w:rPr>
          <w:rFonts w:cs="Arial"/>
        </w:rPr>
        <w:t>e.g.</w:t>
      </w:r>
      <w:r w:rsidRPr="00E22673">
        <w:rPr>
          <w:rFonts w:cs="Arial"/>
        </w:rPr>
        <w:t xml:space="preserve"> use of a consultant to design and deliver a train the trainer model) with subsequent training facilitated by the organisation.</w:t>
      </w:r>
    </w:p>
    <w:p w14:paraId="2BF39AC1" w14:textId="6E377ECA" w:rsidR="0004232C" w:rsidRPr="00E22673" w:rsidRDefault="0004232C" w:rsidP="00E22673">
      <w:pPr>
        <w:rPr>
          <w:rFonts w:cs="Arial"/>
        </w:rPr>
      </w:pPr>
      <w:r w:rsidRPr="00E22673">
        <w:rPr>
          <w:rFonts w:cs="Arial"/>
        </w:rPr>
        <w:t>Successful applicants can only spend grant funds on eligible grant activities as de</w:t>
      </w:r>
      <w:r w:rsidR="00D35542">
        <w:rPr>
          <w:rFonts w:cs="Arial"/>
        </w:rPr>
        <w:t>fined in their grant agreement.</w:t>
      </w:r>
    </w:p>
    <w:p w14:paraId="3B84A898" w14:textId="77777777" w:rsidR="00E95540" w:rsidRPr="00C330AE" w:rsidRDefault="00907078" w:rsidP="001505F4">
      <w:pPr>
        <w:pStyle w:val="Heading3"/>
      </w:pPr>
      <w:bookmarkStart w:id="89" w:name="_Toc16774086"/>
      <w:r>
        <w:t>What the grant money cannot be used for</w:t>
      </w:r>
      <w:bookmarkEnd w:id="89"/>
    </w:p>
    <w:p w14:paraId="6B4497D2" w14:textId="2716E10B" w:rsidR="00153FC8" w:rsidRPr="00E22673" w:rsidRDefault="00153FC8" w:rsidP="00E22673">
      <w:pPr>
        <w:rPr>
          <w:rFonts w:cs="Arial"/>
        </w:rPr>
      </w:pPr>
      <w:bookmarkStart w:id="90" w:name="_Ref468355804"/>
      <w:r w:rsidRPr="00E22673">
        <w:rPr>
          <w:rFonts w:cs="Arial"/>
        </w:rPr>
        <w:t>Ap</w:t>
      </w:r>
      <w:r w:rsidR="006D1639">
        <w:rPr>
          <w:rFonts w:cs="Arial"/>
        </w:rPr>
        <w:t>plicants cannot direct the ILC g</w:t>
      </w:r>
      <w:r w:rsidR="00D35542">
        <w:rPr>
          <w:rFonts w:cs="Arial"/>
        </w:rPr>
        <w:t xml:space="preserve">rant funding </w:t>
      </w:r>
      <w:proofErr w:type="gramStart"/>
      <w:r w:rsidR="00D35542">
        <w:rPr>
          <w:rFonts w:cs="Arial"/>
        </w:rPr>
        <w:t>towards</w:t>
      </w:r>
      <w:proofErr w:type="gramEnd"/>
      <w:r w:rsidR="00D35542">
        <w:rPr>
          <w:rFonts w:cs="Arial"/>
        </w:rPr>
        <w:t>:</w:t>
      </w:r>
    </w:p>
    <w:p w14:paraId="418153DE" w14:textId="77777777" w:rsidR="00153FC8" w:rsidRPr="00E22673" w:rsidRDefault="00E13F4B" w:rsidP="00E22673">
      <w:pPr>
        <w:pStyle w:val="Bullet1"/>
        <w:spacing w:before="40" w:after="120"/>
        <w:ind w:left="568"/>
        <w:rPr>
          <w:rFonts w:cs="Arial"/>
          <w:szCs w:val="20"/>
        </w:rPr>
      </w:pPr>
      <w:r w:rsidRPr="00E22673">
        <w:rPr>
          <w:rFonts w:cs="Arial"/>
          <w:szCs w:val="20"/>
        </w:rPr>
        <w:t>c</w:t>
      </w:r>
      <w:r w:rsidR="00153FC8" w:rsidRPr="00E22673">
        <w:rPr>
          <w:rFonts w:cs="Arial"/>
          <w:szCs w:val="20"/>
        </w:rPr>
        <w:t>osts incurred from activities delivered prior to the ILC funding being approved (retrospective costs)</w:t>
      </w:r>
    </w:p>
    <w:p w14:paraId="197B39CD" w14:textId="77777777" w:rsidR="00153FC8" w:rsidRPr="00E22673" w:rsidRDefault="00E13F4B" w:rsidP="00E22673">
      <w:pPr>
        <w:pStyle w:val="Bullet1"/>
        <w:spacing w:before="40" w:after="120"/>
        <w:ind w:left="568"/>
        <w:rPr>
          <w:rFonts w:cs="Arial"/>
          <w:szCs w:val="20"/>
        </w:rPr>
      </w:pPr>
      <w:r w:rsidRPr="00E22673">
        <w:rPr>
          <w:rFonts w:cs="Arial"/>
          <w:szCs w:val="20"/>
        </w:rPr>
        <w:t>c</w:t>
      </w:r>
      <w:r w:rsidR="00153FC8" w:rsidRPr="00E22673">
        <w:rPr>
          <w:rFonts w:cs="Arial"/>
          <w:szCs w:val="20"/>
        </w:rPr>
        <w:t>osts incurred in the preparation of a grant application or related documentation</w:t>
      </w:r>
    </w:p>
    <w:p w14:paraId="27653242" w14:textId="77777777" w:rsidR="00153FC8" w:rsidRPr="00E22673" w:rsidRDefault="00E13F4B" w:rsidP="00E22673">
      <w:pPr>
        <w:pStyle w:val="Bullet1"/>
        <w:spacing w:before="40" w:after="120"/>
        <w:ind w:left="568"/>
        <w:rPr>
          <w:rFonts w:cs="Arial"/>
          <w:szCs w:val="20"/>
        </w:rPr>
      </w:pPr>
      <w:r w:rsidRPr="00E22673">
        <w:rPr>
          <w:rFonts w:cs="Arial"/>
          <w:szCs w:val="20"/>
        </w:rPr>
        <w:t>t</w:t>
      </w:r>
      <w:r w:rsidR="00153FC8" w:rsidRPr="00E22673">
        <w:rPr>
          <w:rFonts w:cs="Arial"/>
          <w:szCs w:val="20"/>
        </w:rPr>
        <w:t>he purchase of land, major capital expenditure or major construction/capital works</w:t>
      </w:r>
    </w:p>
    <w:p w14:paraId="7045DE13" w14:textId="77777777" w:rsidR="00153FC8" w:rsidRPr="00E22673" w:rsidRDefault="00E13F4B" w:rsidP="00E22673">
      <w:pPr>
        <w:pStyle w:val="Bullet1"/>
        <w:spacing w:before="40" w:after="120"/>
        <w:ind w:left="568"/>
        <w:rPr>
          <w:rFonts w:cs="Arial"/>
          <w:szCs w:val="20"/>
        </w:rPr>
      </w:pPr>
      <w:r w:rsidRPr="00E22673">
        <w:rPr>
          <w:rFonts w:cs="Arial"/>
          <w:szCs w:val="20"/>
        </w:rPr>
        <w:t>o</w:t>
      </w:r>
      <w:r w:rsidR="00153FC8" w:rsidRPr="00E22673">
        <w:rPr>
          <w:rFonts w:cs="Arial"/>
          <w:szCs w:val="20"/>
        </w:rPr>
        <w:t>verseas travel</w:t>
      </w:r>
    </w:p>
    <w:p w14:paraId="43655F69" w14:textId="77777777" w:rsidR="00153FC8" w:rsidRPr="00E22673" w:rsidRDefault="00E13F4B" w:rsidP="00E22673">
      <w:pPr>
        <w:pStyle w:val="Bullet1"/>
        <w:spacing w:before="40" w:after="120"/>
        <w:ind w:left="568"/>
        <w:rPr>
          <w:rFonts w:cs="Arial"/>
          <w:szCs w:val="20"/>
        </w:rPr>
      </w:pPr>
      <w:r w:rsidRPr="00E22673">
        <w:rPr>
          <w:rFonts w:cs="Arial"/>
          <w:szCs w:val="20"/>
        </w:rPr>
        <w:t>a</w:t>
      </w:r>
      <w:r w:rsidR="00153FC8" w:rsidRPr="00E22673">
        <w:rPr>
          <w:rFonts w:cs="Arial"/>
          <w:szCs w:val="20"/>
        </w:rPr>
        <w:t>ctivities subsequently funded from another funding source for the same purpose</w:t>
      </w:r>
    </w:p>
    <w:p w14:paraId="230A1730" w14:textId="0BD01A2F" w:rsidR="00153FC8" w:rsidRPr="00E22673" w:rsidRDefault="00E13F4B" w:rsidP="00E22673">
      <w:pPr>
        <w:pStyle w:val="Bullet1"/>
        <w:spacing w:before="40" w:after="120"/>
        <w:ind w:left="568"/>
        <w:rPr>
          <w:rFonts w:cs="Arial"/>
          <w:szCs w:val="20"/>
        </w:rPr>
      </w:pPr>
      <w:r w:rsidRPr="00E22673">
        <w:rPr>
          <w:rFonts w:cs="Arial"/>
          <w:szCs w:val="20"/>
        </w:rPr>
        <w:t>a</w:t>
      </w:r>
      <w:r w:rsidR="00153FC8" w:rsidRPr="00E22673">
        <w:rPr>
          <w:rFonts w:cs="Arial"/>
          <w:szCs w:val="20"/>
        </w:rPr>
        <w:t>ctivities that are the role of peak bod</w:t>
      </w:r>
      <w:r w:rsidR="003B6C31" w:rsidRPr="00E22673">
        <w:rPr>
          <w:rFonts w:cs="Arial"/>
          <w:szCs w:val="20"/>
        </w:rPr>
        <w:t>ies</w:t>
      </w:r>
      <w:r w:rsidR="006D1639">
        <w:rPr>
          <w:rFonts w:cs="Arial"/>
          <w:szCs w:val="20"/>
        </w:rPr>
        <w:t xml:space="preserve"> </w:t>
      </w:r>
      <w:r w:rsidR="00153FC8" w:rsidRPr="00E22673">
        <w:rPr>
          <w:rFonts w:cs="Arial"/>
          <w:szCs w:val="20"/>
        </w:rPr>
        <w:t xml:space="preserve">such as policy advice, </w:t>
      </w:r>
      <w:r w:rsidR="00310055" w:rsidRPr="00E22673">
        <w:rPr>
          <w:rFonts w:cs="Arial"/>
          <w:szCs w:val="20"/>
        </w:rPr>
        <w:t xml:space="preserve">systemic </w:t>
      </w:r>
      <w:r w:rsidR="00153FC8" w:rsidRPr="00E22673">
        <w:rPr>
          <w:rFonts w:cs="Arial"/>
          <w:szCs w:val="20"/>
        </w:rPr>
        <w:t>advocacy</w:t>
      </w:r>
      <w:r w:rsidR="003B6C31" w:rsidRPr="00E22673">
        <w:rPr>
          <w:rFonts w:cs="Arial"/>
          <w:szCs w:val="20"/>
        </w:rPr>
        <w:t xml:space="preserve"> or</w:t>
      </w:r>
      <w:r w:rsidR="00E145FD" w:rsidRPr="00E22673">
        <w:rPr>
          <w:rFonts w:cs="Arial"/>
          <w:szCs w:val="20"/>
        </w:rPr>
        <w:t xml:space="preserve"> </w:t>
      </w:r>
      <w:r w:rsidR="00153FC8" w:rsidRPr="00E22673">
        <w:rPr>
          <w:rFonts w:cs="Arial"/>
          <w:szCs w:val="20"/>
        </w:rPr>
        <w:t xml:space="preserve">research </w:t>
      </w:r>
    </w:p>
    <w:p w14:paraId="55285052" w14:textId="77777777" w:rsidR="00153FC8" w:rsidRPr="00E22673" w:rsidRDefault="00E13F4B" w:rsidP="00E22673">
      <w:pPr>
        <w:pStyle w:val="Bullet1"/>
        <w:spacing w:before="40" w:after="120"/>
        <w:ind w:left="568"/>
        <w:rPr>
          <w:rFonts w:cs="Arial"/>
          <w:szCs w:val="20"/>
        </w:rPr>
      </w:pPr>
      <w:r w:rsidRPr="00E22673">
        <w:rPr>
          <w:rFonts w:cs="Arial"/>
          <w:szCs w:val="20"/>
        </w:rPr>
        <w:t>p</w:t>
      </w:r>
      <w:r w:rsidR="00153FC8" w:rsidRPr="00E22673">
        <w:rPr>
          <w:rFonts w:cs="Arial"/>
          <w:szCs w:val="20"/>
        </w:rPr>
        <w:t>rojects that provide individual advocacy or systemic advocacy</w:t>
      </w:r>
    </w:p>
    <w:p w14:paraId="069E495C" w14:textId="77777777" w:rsidR="003B6C31" w:rsidRPr="00E22673" w:rsidRDefault="00E13F4B" w:rsidP="00E22673">
      <w:pPr>
        <w:pStyle w:val="Bullet2"/>
        <w:spacing w:before="40" w:after="120"/>
        <w:ind w:left="851"/>
        <w:rPr>
          <w:rFonts w:cs="Arial"/>
          <w:szCs w:val="20"/>
        </w:rPr>
      </w:pPr>
      <w:r w:rsidRPr="00E22673">
        <w:rPr>
          <w:rFonts w:cs="Arial"/>
          <w:szCs w:val="20"/>
        </w:rPr>
        <w:t>s</w:t>
      </w:r>
      <w:r w:rsidR="00153FC8" w:rsidRPr="00E22673">
        <w:rPr>
          <w:rFonts w:cs="Arial"/>
          <w:szCs w:val="20"/>
        </w:rPr>
        <w:t>ystemic advocacy typically builds upon the outcomes of research, inquiries and reviews and seeks to improve understanding of an issue and initiat</w:t>
      </w:r>
      <w:r w:rsidRPr="00E22673">
        <w:rPr>
          <w:rFonts w:cs="Arial"/>
          <w:szCs w:val="20"/>
        </w:rPr>
        <w:t>e change for a group of people</w:t>
      </w:r>
    </w:p>
    <w:p w14:paraId="017113A9" w14:textId="77777777" w:rsidR="003B6C31" w:rsidRPr="00E22673" w:rsidRDefault="00E13F4B" w:rsidP="00E22673">
      <w:pPr>
        <w:pStyle w:val="Bullet2"/>
        <w:spacing w:before="40" w:after="120"/>
        <w:ind w:left="851"/>
        <w:rPr>
          <w:rFonts w:cs="Arial"/>
          <w:szCs w:val="20"/>
        </w:rPr>
      </w:pPr>
      <w:r w:rsidRPr="00E22673">
        <w:rPr>
          <w:rFonts w:cs="Arial"/>
          <w:szCs w:val="20"/>
        </w:rPr>
        <w:t>i</w:t>
      </w:r>
      <w:r w:rsidR="00153FC8" w:rsidRPr="00E22673">
        <w:rPr>
          <w:rFonts w:cs="Arial"/>
          <w:szCs w:val="20"/>
        </w:rPr>
        <w:t>ndividual advocacy is when someone advoc</w:t>
      </w:r>
      <w:r w:rsidRPr="00E22673">
        <w:rPr>
          <w:rFonts w:cs="Arial"/>
          <w:szCs w:val="20"/>
        </w:rPr>
        <w:t>ates on behalf of someone else</w:t>
      </w:r>
    </w:p>
    <w:p w14:paraId="6A0BE793" w14:textId="77777777" w:rsidR="00153FC8" w:rsidRPr="00E22673" w:rsidRDefault="00E13F4B" w:rsidP="00E22673">
      <w:pPr>
        <w:pStyle w:val="Bullet2"/>
        <w:spacing w:before="40" w:after="120"/>
        <w:ind w:left="851"/>
        <w:rPr>
          <w:rFonts w:cs="Arial"/>
          <w:szCs w:val="20"/>
        </w:rPr>
      </w:pPr>
      <w:r w:rsidRPr="00E22673">
        <w:rPr>
          <w:rFonts w:cs="Arial"/>
          <w:szCs w:val="20"/>
        </w:rPr>
        <w:t>n</w:t>
      </w:r>
      <w:r w:rsidR="003B6C31" w:rsidRPr="00E22673">
        <w:rPr>
          <w:rFonts w:cs="Arial"/>
          <w:szCs w:val="20"/>
        </w:rPr>
        <w:t xml:space="preserve">either of the above advocacy </w:t>
      </w:r>
      <w:r w:rsidR="00153FC8" w:rsidRPr="00E22673">
        <w:rPr>
          <w:rFonts w:cs="Arial"/>
          <w:szCs w:val="20"/>
        </w:rPr>
        <w:t>activit</w:t>
      </w:r>
      <w:r w:rsidR="003B6C31" w:rsidRPr="00E22673">
        <w:rPr>
          <w:rFonts w:cs="Arial"/>
          <w:szCs w:val="20"/>
        </w:rPr>
        <w:t xml:space="preserve">ies </w:t>
      </w:r>
      <w:r w:rsidR="00153FC8" w:rsidRPr="00E22673">
        <w:rPr>
          <w:rFonts w:cs="Arial"/>
          <w:szCs w:val="20"/>
        </w:rPr>
        <w:t xml:space="preserve">are eligible </w:t>
      </w:r>
      <w:r w:rsidRPr="00E22673">
        <w:rPr>
          <w:rFonts w:cs="Arial"/>
          <w:szCs w:val="20"/>
        </w:rPr>
        <w:t>for funding in this grant round</w:t>
      </w:r>
    </w:p>
    <w:p w14:paraId="65BFE08C" w14:textId="58F3FE23" w:rsidR="00153FC8" w:rsidRPr="00E22673" w:rsidRDefault="00E13F4B" w:rsidP="00E22673">
      <w:pPr>
        <w:pStyle w:val="Bullet2"/>
        <w:spacing w:before="40" w:after="120"/>
        <w:ind w:left="852"/>
        <w:rPr>
          <w:rFonts w:cs="Arial"/>
          <w:szCs w:val="20"/>
        </w:rPr>
      </w:pPr>
      <w:r w:rsidRPr="00E22673">
        <w:rPr>
          <w:rFonts w:cs="Arial"/>
          <w:szCs w:val="20"/>
        </w:rPr>
        <w:t>s</w:t>
      </w:r>
      <w:r w:rsidR="00153FC8" w:rsidRPr="00E22673">
        <w:rPr>
          <w:rFonts w:cs="Arial"/>
          <w:szCs w:val="20"/>
        </w:rPr>
        <w:t xml:space="preserve">elf-advocacy activities </w:t>
      </w:r>
      <w:r w:rsidR="00153FC8" w:rsidRPr="00E22673">
        <w:rPr>
          <w:rFonts w:cs="Arial"/>
          <w:b/>
          <w:szCs w:val="20"/>
        </w:rPr>
        <w:t>can be</w:t>
      </w:r>
      <w:r w:rsidR="00153FC8" w:rsidRPr="00E22673">
        <w:rPr>
          <w:rFonts w:cs="Arial"/>
          <w:szCs w:val="20"/>
        </w:rPr>
        <w:t xml:space="preserve"> funded through this grant round (e.g. activities </w:t>
      </w:r>
      <w:r w:rsidR="003B6C31" w:rsidRPr="00E22673">
        <w:rPr>
          <w:rFonts w:cs="Arial"/>
          <w:szCs w:val="20"/>
        </w:rPr>
        <w:t xml:space="preserve">that </w:t>
      </w:r>
      <w:r w:rsidR="00153FC8" w:rsidRPr="00E22673">
        <w:rPr>
          <w:rFonts w:cs="Arial"/>
          <w:szCs w:val="20"/>
        </w:rPr>
        <w:t xml:space="preserve">support people with disability to increase their capacity to exercise their rights by helping </w:t>
      </w:r>
      <w:r w:rsidR="00685459" w:rsidRPr="00E22673">
        <w:rPr>
          <w:rFonts w:cs="Arial"/>
          <w:szCs w:val="20"/>
        </w:rPr>
        <w:t xml:space="preserve">people to </w:t>
      </w:r>
      <w:r w:rsidR="00153FC8" w:rsidRPr="00E22673">
        <w:rPr>
          <w:rFonts w:cs="Arial"/>
          <w:szCs w:val="20"/>
        </w:rPr>
        <w:t xml:space="preserve">build </w:t>
      </w:r>
      <w:r w:rsidR="003B6C31" w:rsidRPr="00E22673">
        <w:rPr>
          <w:rFonts w:cs="Arial"/>
          <w:szCs w:val="20"/>
        </w:rPr>
        <w:t xml:space="preserve">confidence </w:t>
      </w:r>
      <w:r w:rsidR="00153FC8" w:rsidRPr="00E22673">
        <w:rPr>
          <w:rFonts w:cs="Arial"/>
          <w:szCs w:val="20"/>
        </w:rPr>
        <w:t xml:space="preserve">to voice their concerns, access information, resolve issues </w:t>
      </w:r>
      <w:r w:rsidR="00685459" w:rsidRPr="00E22673">
        <w:rPr>
          <w:rFonts w:cs="Arial"/>
          <w:szCs w:val="20"/>
        </w:rPr>
        <w:t xml:space="preserve">or improve their </w:t>
      </w:r>
      <w:r w:rsidR="00E145FD" w:rsidRPr="00E22673">
        <w:rPr>
          <w:rFonts w:cs="Arial"/>
          <w:szCs w:val="20"/>
        </w:rPr>
        <w:t>ability</w:t>
      </w:r>
      <w:r w:rsidR="00685459" w:rsidRPr="00E22673">
        <w:rPr>
          <w:rFonts w:cs="Arial"/>
          <w:szCs w:val="20"/>
        </w:rPr>
        <w:t xml:space="preserve"> to make choices</w:t>
      </w:r>
      <w:r w:rsidR="00D35542">
        <w:rPr>
          <w:rFonts w:cs="Arial"/>
          <w:szCs w:val="20"/>
        </w:rPr>
        <w:t>.</w:t>
      </w:r>
    </w:p>
    <w:p w14:paraId="0D16409E" w14:textId="77777777" w:rsidR="00153FC8" w:rsidRPr="00E22673" w:rsidRDefault="00E13F4B" w:rsidP="00E22673">
      <w:pPr>
        <w:pStyle w:val="Bullet1"/>
        <w:spacing w:before="40" w:after="120"/>
        <w:ind w:left="568"/>
        <w:rPr>
          <w:rFonts w:cs="Arial"/>
          <w:szCs w:val="20"/>
        </w:rPr>
      </w:pPr>
      <w:proofErr w:type="gramStart"/>
      <w:r w:rsidRPr="00E22673">
        <w:rPr>
          <w:rFonts w:cs="Arial"/>
          <w:szCs w:val="20"/>
        </w:rPr>
        <w:t>a</w:t>
      </w:r>
      <w:r w:rsidR="00153FC8" w:rsidRPr="00E22673">
        <w:rPr>
          <w:rFonts w:cs="Arial"/>
          <w:szCs w:val="20"/>
        </w:rPr>
        <w:t>ctivities</w:t>
      </w:r>
      <w:proofErr w:type="gramEnd"/>
      <w:r w:rsidR="00153FC8" w:rsidRPr="00E22673">
        <w:rPr>
          <w:rFonts w:cs="Arial"/>
          <w:szCs w:val="20"/>
        </w:rPr>
        <w:t xml:space="preserve"> and supports that would be deemed reasonable and necessary for participants and funded under an NDIS Plan. Funds may not be provided directly to individuals</w:t>
      </w:r>
    </w:p>
    <w:p w14:paraId="29B99423" w14:textId="77777777" w:rsidR="00153FC8" w:rsidRPr="00E22673" w:rsidRDefault="00E13F4B" w:rsidP="00E22673">
      <w:pPr>
        <w:pStyle w:val="Bullet1"/>
        <w:spacing w:before="40" w:after="120"/>
        <w:ind w:left="568"/>
        <w:rPr>
          <w:rFonts w:cs="Arial"/>
          <w:szCs w:val="20"/>
        </w:rPr>
      </w:pPr>
      <w:proofErr w:type="gramStart"/>
      <w:r w:rsidRPr="00E22673">
        <w:rPr>
          <w:rFonts w:cs="Arial"/>
          <w:szCs w:val="20"/>
        </w:rPr>
        <w:lastRenderedPageBreak/>
        <w:t>a</w:t>
      </w:r>
      <w:r w:rsidR="00153FC8" w:rsidRPr="00E22673">
        <w:rPr>
          <w:rFonts w:cs="Arial"/>
          <w:szCs w:val="20"/>
        </w:rPr>
        <w:t>ctivities</w:t>
      </w:r>
      <w:proofErr w:type="gramEnd"/>
      <w:r w:rsidR="00153FC8" w:rsidRPr="00E22673">
        <w:rPr>
          <w:rFonts w:cs="Arial"/>
          <w:szCs w:val="20"/>
        </w:rPr>
        <w:t xml:space="preserve"> that other Commonwealth, state, territory or local government bodies have responsibility for ensuring access and inclusion of people with disability. For example:</w:t>
      </w:r>
    </w:p>
    <w:p w14:paraId="4F74D908" w14:textId="76BD6465" w:rsidR="00153FC8" w:rsidRPr="00E22673" w:rsidRDefault="00153FC8" w:rsidP="00E22673">
      <w:pPr>
        <w:pStyle w:val="Bullet2"/>
        <w:numPr>
          <w:ilvl w:val="1"/>
          <w:numId w:val="31"/>
        </w:numPr>
        <w:spacing w:before="40" w:after="120"/>
        <w:rPr>
          <w:rFonts w:cs="Arial"/>
          <w:szCs w:val="20"/>
        </w:rPr>
      </w:pPr>
      <w:r w:rsidRPr="00E22673">
        <w:rPr>
          <w:rFonts w:cs="Arial"/>
          <w:szCs w:val="20"/>
        </w:rPr>
        <w:t xml:space="preserve">Employment – ILC </w:t>
      </w:r>
      <w:r w:rsidR="006D1639">
        <w:rPr>
          <w:rFonts w:cs="Arial"/>
          <w:szCs w:val="20"/>
        </w:rPr>
        <w:t>g</w:t>
      </w:r>
      <w:r w:rsidRPr="00E22673">
        <w:rPr>
          <w:rFonts w:cs="Arial"/>
          <w:szCs w:val="20"/>
        </w:rPr>
        <w:t xml:space="preserve">rants </w:t>
      </w:r>
      <w:proofErr w:type="gramStart"/>
      <w:r w:rsidRPr="00E22673">
        <w:rPr>
          <w:rFonts w:cs="Arial"/>
          <w:szCs w:val="20"/>
        </w:rPr>
        <w:t>cannot be used</w:t>
      </w:r>
      <w:proofErr w:type="gramEnd"/>
      <w:r w:rsidRPr="00E22673">
        <w:rPr>
          <w:rFonts w:cs="Arial"/>
          <w:szCs w:val="20"/>
        </w:rPr>
        <w:t xml:space="preserve"> to fund activities that are the responsibility of the Disability Employment Services ‘Employment Assistance Fund’, which provides financial support for work-related equipment, modifications and services to adjust the workplace to suit employees with disability or Disability Awareness Training </w:t>
      </w:r>
      <w:r w:rsidRPr="00E22673">
        <w:rPr>
          <w:rFonts w:eastAsia="Symbol" w:cs="Arial"/>
          <w:color w:val="000000"/>
          <w:szCs w:val="20"/>
          <w:lang w:eastAsia="en-AU"/>
        </w:rPr>
        <w:t xml:space="preserve">see </w:t>
      </w:r>
      <w:hyperlink r:id="rId26" w:history="1">
        <w:r w:rsidR="00FB0C1F" w:rsidRPr="00E22673">
          <w:rPr>
            <w:rStyle w:val="Hyperlink"/>
            <w:rFonts w:eastAsia="Symbol" w:cs="Arial"/>
            <w:szCs w:val="20"/>
            <w:lang w:eastAsia="en-AU"/>
          </w:rPr>
          <w:t>https://www.jobaccess.gov.au/employment-assistance-fund-eaf</w:t>
        </w:r>
      </w:hyperlink>
      <w:r w:rsidR="00D35542" w:rsidRPr="00D35542">
        <w:rPr>
          <w:rStyle w:val="Hyperlink"/>
          <w:rFonts w:eastAsia="Symbol" w:cs="Arial"/>
          <w:color w:val="auto"/>
          <w:szCs w:val="20"/>
          <w:u w:val="none"/>
          <w:lang w:eastAsia="en-AU"/>
        </w:rPr>
        <w:t>.</w:t>
      </w:r>
    </w:p>
    <w:p w14:paraId="50B6EB56" w14:textId="09F05149" w:rsidR="00153FC8" w:rsidRPr="00E22673" w:rsidRDefault="00153FC8" w:rsidP="00E22673">
      <w:pPr>
        <w:pStyle w:val="Bullet2"/>
        <w:numPr>
          <w:ilvl w:val="1"/>
          <w:numId w:val="31"/>
        </w:numPr>
        <w:spacing w:before="40" w:after="120"/>
        <w:ind w:left="851"/>
        <w:rPr>
          <w:rFonts w:cs="Arial"/>
          <w:szCs w:val="20"/>
        </w:rPr>
      </w:pPr>
      <w:r w:rsidRPr="00E22673">
        <w:rPr>
          <w:rFonts w:cs="Arial"/>
          <w:szCs w:val="20"/>
        </w:rPr>
        <w:t xml:space="preserve">Education – ILC </w:t>
      </w:r>
      <w:r w:rsidR="006D1639">
        <w:rPr>
          <w:rFonts w:cs="Arial"/>
          <w:szCs w:val="20"/>
        </w:rPr>
        <w:t>g</w:t>
      </w:r>
      <w:r w:rsidRPr="00E22673">
        <w:rPr>
          <w:rFonts w:cs="Arial"/>
          <w:szCs w:val="20"/>
        </w:rPr>
        <w:t xml:space="preserve">rants </w:t>
      </w:r>
      <w:proofErr w:type="gramStart"/>
      <w:r w:rsidRPr="00E22673">
        <w:rPr>
          <w:rFonts w:cs="Arial"/>
          <w:szCs w:val="20"/>
        </w:rPr>
        <w:t>cannot be used</w:t>
      </w:r>
      <w:proofErr w:type="gramEnd"/>
      <w:r w:rsidRPr="00E22673">
        <w:rPr>
          <w:rFonts w:cs="Arial"/>
          <w:szCs w:val="20"/>
        </w:rPr>
        <w:t xml:space="preserve"> to pay for the cost of teachers or childcare workers to undertake disability inclusion training or to fund activities that are the responsibility of the National Disability Coordination Officer (NDCO) program that works strategically to assist people with disability access and participate in tertiary educ</w:t>
      </w:r>
      <w:r w:rsidR="00E13F4B" w:rsidRPr="00E22673">
        <w:rPr>
          <w:rFonts w:cs="Arial"/>
          <w:szCs w:val="20"/>
        </w:rPr>
        <w:t>ation and subsequent employment</w:t>
      </w:r>
      <w:r w:rsidR="00D35542">
        <w:rPr>
          <w:rFonts w:cs="Arial"/>
          <w:szCs w:val="20"/>
        </w:rPr>
        <w:t>.</w:t>
      </w:r>
    </w:p>
    <w:p w14:paraId="146F1D82" w14:textId="6DBD3ADE" w:rsidR="00153FC8" w:rsidRPr="00E22673" w:rsidRDefault="00153FC8" w:rsidP="00E22673">
      <w:pPr>
        <w:pStyle w:val="Bullet2"/>
        <w:numPr>
          <w:ilvl w:val="1"/>
          <w:numId w:val="31"/>
        </w:numPr>
        <w:spacing w:before="40" w:after="120"/>
        <w:rPr>
          <w:rFonts w:cs="Arial"/>
          <w:szCs w:val="20"/>
        </w:rPr>
      </w:pPr>
      <w:r w:rsidRPr="00E22673">
        <w:rPr>
          <w:rFonts w:cs="Arial"/>
          <w:szCs w:val="20"/>
        </w:rPr>
        <w:t xml:space="preserve">Transport – ILC </w:t>
      </w:r>
      <w:r w:rsidR="006D1639">
        <w:rPr>
          <w:rFonts w:cs="Arial"/>
          <w:szCs w:val="20"/>
        </w:rPr>
        <w:t>g</w:t>
      </w:r>
      <w:r w:rsidRPr="00E22673">
        <w:rPr>
          <w:rFonts w:cs="Arial"/>
          <w:szCs w:val="20"/>
        </w:rPr>
        <w:t xml:space="preserve">rants </w:t>
      </w:r>
      <w:proofErr w:type="gramStart"/>
      <w:r w:rsidRPr="00E22673">
        <w:rPr>
          <w:rFonts w:cs="Arial"/>
          <w:szCs w:val="20"/>
        </w:rPr>
        <w:t>cannot be used</w:t>
      </w:r>
      <w:proofErr w:type="gramEnd"/>
      <w:r w:rsidRPr="00E22673">
        <w:rPr>
          <w:rFonts w:cs="Arial"/>
          <w:szCs w:val="20"/>
        </w:rPr>
        <w:t xml:space="preserve"> to fund capital works to make a transport facility more accessible</w:t>
      </w:r>
      <w:r w:rsidR="00D35542">
        <w:rPr>
          <w:rFonts w:cs="Arial"/>
          <w:szCs w:val="20"/>
        </w:rPr>
        <w:t>.</w:t>
      </w:r>
    </w:p>
    <w:p w14:paraId="05CBC0D9" w14:textId="20137EDB" w:rsidR="00153FC8" w:rsidRPr="00E22673" w:rsidRDefault="00153FC8" w:rsidP="00E22673">
      <w:pPr>
        <w:pStyle w:val="Bullet2"/>
        <w:numPr>
          <w:ilvl w:val="1"/>
          <w:numId w:val="31"/>
        </w:numPr>
        <w:spacing w:before="40" w:after="120"/>
        <w:rPr>
          <w:rFonts w:cs="Arial"/>
          <w:szCs w:val="20"/>
        </w:rPr>
      </w:pPr>
      <w:r w:rsidRPr="00E22673">
        <w:rPr>
          <w:rFonts w:cs="Arial"/>
          <w:szCs w:val="20"/>
        </w:rPr>
        <w:t xml:space="preserve">Health – ILC </w:t>
      </w:r>
      <w:r w:rsidR="006D1639">
        <w:rPr>
          <w:rFonts w:cs="Arial"/>
          <w:szCs w:val="20"/>
        </w:rPr>
        <w:t>g</w:t>
      </w:r>
      <w:r w:rsidRPr="00E22673">
        <w:rPr>
          <w:rFonts w:cs="Arial"/>
          <w:szCs w:val="20"/>
        </w:rPr>
        <w:t xml:space="preserve">rants </w:t>
      </w:r>
      <w:proofErr w:type="gramStart"/>
      <w:r w:rsidRPr="00E22673">
        <w:rPr>
          <w:rFonts w:cs="Arial"/>
          <w:szCs w:val="20"/>
        </w:rPr>
        <w:t>cannot be used</w:t>
      </w:r>
      <w:proofErr w:type="gramEnd"/>
      <w:r w:rsidRPr="00E22673">
        <w:rPr>
          <w:rFonts w:cs="Arial"/>
          <w:szCs w:val="20"/>
        </w:rPr>
        <w:t xml:space="preserve"> to pay for the </w:t>
      </w:r>
      <w:r w:rsidR="00685459" w:rsidRPr="00E22673">
        <w:rPr>
          <w:rFonts w:cs="Arial"/>
          <w:szCs w:val="20"/>
        </w:rPr>
        <w:t>installation of adjustable examinat</w:t>
      </w:r>
      <w:r w:rsidR="00D35542">
        <w:rPr>
          <w:rFonts w:cs="Arial"/>
          <w:szCs w:val="20"/>
        </w:rPr>
        <w:t>ion tables or lifting equipment.</w:t>
      </w:r>
    </w:p>
    <w:p w14:paraId="74B1F648" w14:textId="77777777" w:rsidR="00153FC8" w:rsidRPr="00E22673" w:rsidRDefault="00E13F4B" w:rsidP="00E22673">
      <w:pPr>
        <w:pStyle w:val="Bullet1"/>
        <w:spacing w:before="40" w:after="120"/>
        <w:ind w:left="568"/>
        <w:rPr>
          <w:rFonts w:cs="Arial"/>
          <w:szCs w:val="20"/>
        </w:rPr>
      </w:pPr>
      <w:r w:rsidRPr="00E22673">
        <w:rPr>
          <w:rFonts w:cs="Arial"/>
          <w:szCs w:val="20"/>
        </w:rPr>
        <w:t>a</w:t>
      </w:r>
      <w:r w:rsidR="00153FC8" w:rsidRPr="00E22673">
        <w:rPr>
          <w:rFonts w:cs="Arial"/>
          <w:szCs w:val="20"/>
        </w:rPr>
        <w:t xml:space="preserve">ctivities to fulfil the obligations of the organisation under the disability discrimination legislation to be accessible, inclusive and meet the needs of people with disability, such as a reasonable adjustment under the </w:t>
      </w:r>
      <w:r w:rsidR="00153FC8" w:rsidRPr="00E22673">
        <w:rPr>
          <w:rFonts w:cs="Arial"/>
          <w:i/>
          <w:szCs w:val="20"/>
        </w:rPr>
        <w:t>Disability Discrimination Act 1992</w:t>
      </w:r>
      <w:r w:rsidR="00153FC8" w:rsidRPr="00E22673">
        <w:rPr>
          <w:rFonts w:cs="Arial"/>
          <w:szCs w:val="20"/>
        </w:rPr>
        <w:t xml:space="preserve"> (</w:t>
      </w:r>
      <w:proofErr w:type="spellStart"/>
      <w:r w:rsidR="00153FC8" w:rsidRPr="00E22673">
        <w:rPr>
          <w:rFonts w:cs="Arial"/>
          <w:szCs w:val="20"/>
        </w:rPr>
        <w:t>Cth</w:t>
      </w:r>
      <w:proofErr w:type="spellEnd"/>
      <w:r w:rsidR="00153FC8" w:rsidRPr="00E22673">
        <w:rPr>
          <w:rFonts w:cs="Arial"/>
          <w:szCs w:val="20"/>
        </w:rPr>
        <w:t>) (e.g. general inclusion or disability awareness training for staff)</w:t>
      </w:r>
    </w:p>
    <w:p w14:paraId="6A4223DC" w14:textId="77777777" w:rsidR="00153FC8" w:rsidRPr="00E22673" w:rsidRDefault="00E13F4B" w:rsidP="00E22673">
      <w:pPr>
        <w:pStyle w:val="Bullet1"/>
        <w:spacing w:before="40" w:after="120"/>
        <w:ind w:left="568"/>
        <w:rPr>
          <w:rFonts w:cs="Arial"/>
          <w:szCs w:val="20"/>
        </w:rPr>
      </w:pPr>
      <w:r w:rsidRPr="00E22673">
        <w:rPr>
          <w:rFonts w:cs="Arial"/>
          <w:szCs w:val="20"/>
        </w:rPr>
        <w:t>a</w:t>
      </w:r>
      <w:r w:rsidR="00153FC8" w:rsidRPr="00E22673">
        <w:rPr>
          <w:rFonts w:cs="Arial"/>
          <w:szCs w:val="20"/>
        </w:rPr>
        <w:t xml:space="preserve">ctivities that could be more appropriately provided by other mechanisms or support services such as “reasonable adjustment” under the </w:t>
      </w:r>
      <w:r w:rsidR="00153FC8" w:rsidRPr="00E22673">
        <w:rPr>
          <w:rFonts w:cs="Arial"/>
          <w:i/>
          <w:szCs w:val="20"/>
        </w:rPr>
        <w:t>Disability Discrimination Act 1992</w:t>
      </w:r>
      <w:r w:rsidR="00153FC8" w:rsidRPr="00E22673">
        <w:rPr>
          <w:rFonts w:cs="Arial"/>
          <w:szCs w:val="20"/>
        </w:rPr>
        <w:t xml:space="preserve"> (</w:t>
      </w:r>
      <w:proofErr w:type="spellStart"/>
      <w:r w:rsidR="00153FC8" w:rsidRPr="00E22673">
        <w:rPr>
          <w:rFonts w:cs="Arial"/>
          <w:szCs w:val="20"/>
        </w:rPr>
        <w:t>Cth</w:t>
      </w:r>
      <w:proofErr w:type="spellEnd"/>
      <w:r w:rsidR="00153FC8" w:rsidRPr="00E22673">
        <w:rPr>
          <w:rFonts w:cs="Arial"/>
          <w:szCs w:val="20"/>
        </w:rPr>
        <w:t xml:space="preserve">) </w:t>
      </w:r>
    </w:p>
    <w:p w14:paraId="0666AAEF" w14:textId="77777777" w:rsidR="00554BA4" w:rsidRPr="00E22673" w:rsidRDefault="00E13F4B" w:rsidP="00E22673">
      <w:pPr>
        <w:pStyle w:val="Bullet1"/>
        <w:spacing w:before="40" w:after="120"/>
        <w:ind w:left="568"/>
        <w:rPr>
          <w:rFonts w:cs="Arial"/>
          <w:szCs w:val="20"/>
        </w:rPr>
      </w:pPr>
      <w:r w:rsidRPr="00E22673">
        <w:rPr>
          <w:rFonts w:cs="Arial"/>
          <w:szCs w:val="20"/>
        </w:rPr>
        <w:t>a</w:t>
      </w:r>
      <w:r w:rsidR="00554BA4" w:rsidRPr="00E22673">
        <w:rPr>
          <w:rFonts w:cs="Arial"/>
          <w:szCs w:val="20"/>
        </w:rPr>
        <w:t>ctivities that are considered by the NDIA as being eligible for funding support through a more appropriate source</w:t>
      </w:r>
    </w:p>
    <w:p w14:paraId="2BB8378A" w14:textId="7E93052D" w:rsidR="00554BA4" w:rsidRPr="00E22673" w:rsidRDefault="00E13F4B" w:rsidP="00E22673">
      <w:pPr>
        <w:pStyle w:val="Bullet1"/>
        <w:spacing w:before="40" w:after="120"/>
        <w:ind w:left="568"/>
        <w:rPr>
          <w:rFonts w:cs="Arial"/>
          <w:szCs w:val="20"/>
        </w:rPr>
      </w:pPr>
      <w:r w:rsidRPr="00E22673">
        <w:rPr>
          <w:rFonts w:cs="Arial"/>
          <w:szCs w:val="20"/>
        </w:rPr>
        <w:t>a</w:t>
      </w:r>
      <w:r w:rsidR="00554BA4" w:rsidRPr="00E22673">
        <w:rPr>
          <w:rFonts w:cs="Arial"/>
          <w:szCs w:val="20"/>
        </w:rPr>
        <w:t xml:space="preserve">ctivities that duplicate previous ILC </w:t>
      </w:r>
      <w:r w:rsidR="006D1639">
        <w:rPr>
          <w:rFonts w:cs="Arial"/>
          <w:szCs w:val="20"/>
        </w:rPr>
        <w:t>g</w:t>
      </w:r>
      <w:r w:rsidR="00554BA4" w:rsidRPr="00E22673">
        <w:rPr>
          <w:rFonts w:cs="Arial"/>
          <w:szCs w:val="20"/>
        </w:rPr>
        <w:t>rant funded projects</w:t>
      </w:r>
      <w:r w:rsidR="00685459" w:rsidRPr="00E22673">
        <w:rPr>
          <w:rFonts w:cs="Arial"/>
          <w:szCs w:val="20"/>
        </w:rPr>
        <w:t xml:space="preserve"> </w:t>
      </w:r>
      <w:r w:rsidR="00685459" w:rsidRPr="00E22673">
        <w:rPr>
          <w:rFonts w:cs="Arial"/>
          <w:b/>
          <w:szCs w:val="20"/>
        </w:rPr>
        <w:t>except where</w:t>
      </w:r>
      <w:r w:rsidR="00685459" w:rsidRPr="00E22673">
        <w:rPr>
          <w:rFonts w:cs="Arial"/>
          <w:szCs w:val="20"/>
        </w:rPr>
        <w:t xml:space="preserve"> the applicant can demonstrate that the need being addressed still exists, and must explain how the continuation of the project will contribute to achievement of ILC outcomes</w:t>
      </w:r>
    </w:p>
    <w:p w14:paraId="5537831F" w14:textId="77777777" w:rsidR="00554BA4" w:rsidRPr="00E22673" w:rsidRDefault="00E13F4B" w:rsidP="00E22673">
      <w:pPr>
        <w:pStyle w:val="ListParagraph"/>
        <w:numPr>
          <w:ilvl w:val="0"/>
          <w:numId w:val="31"/>
        </w:numPr>
        <w:contextualSpacing w:val="0"/>
        <w:rPr>
          <w:rFonts w:cs="Arial"/>
        </w:rPr>
      </w:pPr>
      <w:r w:rsidRPr="00E22673">
        <w:rPr>
          <w:rFonts w:cs="Arial"/>
        </w:rPr>
        <w:t>a</w:t>
      </w:r>
      <w:r w:rsidR="00554BA4" w:rsidRPr="00E22673">
        <w:rPr>
          <w:rFonts w:cs="Arial"/>
        </w:rPr>
        <w:t>ctivities that are funded, or are eligible to be funded, und</w:t>
      </w:r>
      <w:r w:rsidRPr="00E22673">
        <w:rPr>
          <w:rFonts w:cs="Arial"/>
        </w:rPr>
        <w:t>er other government initiatives</w:t>
      </w:r>
    </w:p>
    <w:p w14:paraId="4DAE1BDF" w14:textId="77777777" w:rsidR="00554BA4" w:rsidRPr="00E22673" w:rsidRDefault="00E13F4B" w:rsidP="00E22673">
      <w:pPr>
        <w:pStyle w:val="Bullet1"/>
        <w:spacing w:before="40" w:after="120"/>
        <w:ind w:left="568"/>
        <w:rPr>
          <w:rFonts w:cs="Arial"/>
          <w:szCs w:val="20"/>
        </w:rPr>
      </w:pPr>
      <w:r w:rsidRPr="00E22673">
        <w:rPr>
          <w:rFonts w:cs="Arial"/>
          <w:szCs w:val="20"/>
        </w:rPr>
        <w:t>a</w:t>
      </w:r>
      <w:r w:rsidR="00554BA4" w:rsidRPr="00E22673">
        <w:rPr>
          <w:rFonts w:cs="Arial"/>
          <w:szCs w:val="20"/>
        </w:rPr>
        <w:t>ctivities that duplicate the activities undertaken by NDIS Partners in the Community (Local Area Coordination and/or Early Childhood Early Intervention) organis</w:t>
      </w:r>
      <w:r w:rsidRPr="00E22673">
        <w:rPr>
          <w:rFonts w:cs="Arial"/>
          <w:szCs w:val="20"/>
        </w:rPr>
        <w:t>ations</w:t>
      </w:r>
    </w:p>
    <w:p w14:paraId="2B700B29" w14:textId="77777777" w:rsidR="00554BA4" w:rsidRPr="00E22673" w:rsidRDefault="00E13F4B" w:rsidP="00E22673">
      <w:pPr>
        <w:pStyle w:val="Bullet1"/>
        <w:spacing w:before="40" w:after="120"/>
        <w:ind w:left="568"/>
        <w:rPr>
          <w:rFonts w:cs="Arial"/>
          <w:szCs w:val="20"/>
        </w:rPr>
      </w:pPr>
      <w:r w:rsidRPr="00E22673">
        <w:rPr>
          <w:rFonts w:cs="Arial"/>
          <w:szCs w:val="20"/>
        </w:rPr>
        <w:t>a</w:t>
      </w:r>
      <w:r w:rsidR="00190F3D" w:rsidRPr="00E22673">
        <w:rPr>
          <w:rFonts w:cs="Arial"/>
          <w:szCs w:val="20"/>
        </w:rPr>
        <w:t>ctivities that involve t</w:t>
      </w:r>
      <w:r w:rsidR="00554BA4" w:rsidRPr="00E22673">
        <w:rPr>
          <w:rFonts w:cs="Arial"/>
          <w:szCs w:val="20"/>
        </w:rPr>
        <w:t>ravel to interna</w:t>
      </w:r>
      <w:r w:rsidRPr="00E22673">
        <w:rPr>
          <w:rFonts w:cs="Arial"/>
          <w:szCs w:val="20"/>
        </w:rPr>
        <w:t>tional or national conferences</w:t>
      </w:r>
    </w:p>
    <w:p w14:paraId="0468F2DF" w14:textId="77777777" w:rsidR="00554BA4" w:rsidRPr="00E22673" w:rsidRDefault="00E13F4B" w:rsidP="00E22673">
      <w:pPr>
        <w:pStyle w:val="Bullet1"/>
        <w:spacing w:before="40" w:after="120"/>
        <w:ind w:left="568"/>
        <w:rPr>
          <w:rFonts w:cs="Arial"/>
          <w:szCs w:val="20"/>
        </w:rPr>
      </w:pPr>
      <w:r w:rsidRPr="00E22673">
        <w:rPr>
          <w:rFonts w:cs="Arial"/>
          <w:szCs w:val="20"/>
        </w:rPr>
        <w:t>a</w:t>
      </w:r>
      <w:r w:rsidR="00190F3D" w:rsidRPr="00E22673">
        <w:rPr>
          <w:rFonts w:cs="Arial"/>
          <w:szCs w:val="20"/>
        </w:rPr>
        <w:t xml:space="preserve">ctivities that involve </w:t>
      </w:r>
      <w:r w:rsidR="00554BA4" w:rsidRPr="00E22673">
        <w:rPr>
          <w:rFonts w:cs="Arial"/>
          <w:szCs w:val="20"/>
        </w:rPr>
        <w:t>contributions to fundraising and/or marketing of any supports if the DP</w:t>
      </w:r>
      <w:r w:rsidR="005B24E4" w:rsidRPr="00E22673">
        <w:rPr>
          <w:rFonts w:cs="Arial"/>
          <w:szCs w:val="20"/>
        </w:rPr>
        <w:t>O/</w:t>
      </w:r>
      <w:r w:rsidR="00554BA4" w:rsidRPr="00E22673">
        <w:rPr>
          <w:rFonts w:cs="Arial"/>
          <w:szCs w:val="20"/>
        </w:rPr>
        <w:t>FO is also registered</w:t>
      </w:r>
      <w:r w:rsidRPr="00E22673">
        <w:rPr>
          <w:rFonts w:cs="Arial"/>
          <w:szCs w:val="20"/>
        </w:rPr>
        <w:t xml:space="preserve"> as a Provider of NDIS Support</w:t>
      </w:r>
    </w:p>
    <w:p w14:paraId="493A19B9" w14:textId="77777777" w:rsidR="00554BA4" w:rsidRPr="00E22673" w:rsidRDefault="00E13F4B" w:rsidP="00E22673">
      <w:pPr>
        <w:pStyle w:val="Bullet1"/>
        <w:spacing w:before="40" w:after="120"/>
        <w:ind w:left="568"/>
        <w:rPr>
          <w:rFonts w:cs="Arial"/>
          <w:szCs w:val="20"/>
        </w:rPr>
      </w:pPr>
      <w:r w:rsidRPr="00E22673">
        <w:rPr>
          <w:rFonts w:cs="Arial"/>
          <w:szCs w:val="20"/>
        </w:rPr>
        <w:t>a</w:t>
      </w:r>
      <w:r w:rsidR="00190F3D" w:rsidRPr="00E22673">
        <w:rPr>
          <w:rFonts w:cs="Arial"/>
          <w:szCs w:val="20"/>
        </w:rPr>
        <w:t xml:space="preserve">ctivities that involve </w:t>
      </w:r>
      <w:r w:rsidR="00554BA4" w:rsidRPr="00E22673">
        <w:rPr>
          <w:rFonts w:cs="Arial"/>
          <w:szCs w:val="20"/>
        </w:rPr>
        <w:t>contr</w:t>
      </w:r>
      <w:r w:rsidRPr="00E22673">
        <w:rPr>
          <w:rFonts w:cs="Arial"/>
          <w:szCs w:val="20"/>
        </w:rPr>
        <w:t>ibutions to capital development</w:t>
      </w:r>
    </w:p>
    <w:p w14:paraId="54F99756" w14:textId="77777777" w:rsidR="00554BA4" w:rsidRPr="00E22673" w:rsidRDefault="00E13F4B" w:rsidP="00E22673">
      <w:pPr>
        <w:pStyle w:val="Bullet1"/>
        <w:spacing w:before="40" w:after="120"/>
        <w:ind w:left="568"/>
        <w:rPr>
          <w:rFonts w:cs="Arial"/>
          <w:szCs w:val="20"/>
        </w:rPr>
      </w:pPr>
      <w:r w:rsidRPr="00E22673">
        <w:rPr>
          <w:rFonts w:cs="Arial"/>
          <w:szCs w:val="20"/>
        </w:rPr>
        <w:t>a</w:t>
      </w:r>
      <w:r w:rsidR="00190F3D" w:rsidRPr="00E22673">
        <w:rPr>
          <w:rFonts w:cs="Arial"/>
          <w:szCs w:val="20"/>
        </w:rPr>
        <w:t xml:space="preserve">ctivities that involve </w:t>
      </w:r>
      <w:r w:rsidR="00554BA4" w:rsidRPr="00E22673">
        <w:rPr>
          <w:rFonts w:cs="Arial"/>
          <w:szCs w:val="20"/>
        </w:rPr>
        <w:t xml:space="preserve">costs associated with registration </w:t>
      </w:r>
      <w:r w:rsidR="00685459" w:rsidRPr="00E22673">
        <w:rPr>
          <w:rFonts w:cs="Arial"/>
          <w:szCs w:val="20"/>
        </w:rPr>
        <w:t xml:space="preserve">or maintenance of registration </w:t>
      </w:r>
      <w:r w:rsidR="00554BA4" w:rsidRPr="00E22673">
        <w:rPr>
          <w:rFonts w:cs="Arial"/>
          <w:szCs w:val="20"/>
        </w:rPr>
        <w:t>as a Provider of NDIS Support and its associat</w:t>
      </w:r>
      <w:r w:rsidRPr="00E22673">
        <w:rPr>
          <w:rFonts w:cs="Arial"/>
          <w:szCs w:val="20"/>
        </w:rPr>
        <w:t>ed quality assurance activities</w:t>
      </w:r>
    </w:p>
    <w:p w14:paraId="062FA2E0" w14:textId="77777777" w:rsidR="00554BA4" w:rsidRPr="00E22673" w:rsidRDefault="00E13F4B" w:rsidP="00E22673">
      <w:pPr>
        <w:pStyle w:val="Bullet1"/>
        <w:spacing w:before="40" w:after="120"/>
        <w:ind w:left="568"/>
        <w:rPr>
          <w:rFonts w:cs="Arial"/>
          <w:szCs w:val="20"/>
        </w:rPr>
      </w:pPr>
      <w:r w:rsidRPr="00E22673">
        <w:rPr>
          <w:rFonts w:cs="Arial"/>
          <w:szCs w:val="20"/>
        </w:rPr>
        <w:t>a</w:t>
      </w:r>
      <w:r w:rsidR="00190F3D" w:rsidRPr="00E22673">
        <w:rPr>
          <w:rFonts w:cs="Arial"/>
          <w:szCs w:val="20"/>
        </w:rPr>
        <w:t>ctivities that involve s</w:t>
      </w:r>
      <w:r w:rsidR="00554BA4" w:rsidRPr="00E22673">
        <w:rPr>
          <w:rFonts w:cs="Arial"/>
          <w:szCs w:val="20"/>
        </w:rPr>
        <w:t>taff development for NDIS Providers</w:t>
      </w:r>
    </w:p>
    <w:p w14:paraId="6C881CAD" w14:textId="0AEE837F" w:rsidR="00554BA4" w:rsidRPr="00E22673" w:rsidRDefault="00E13F4B" w:rsidP="00E22673">
      <w:pPr>
        <w:pStyle w:val="Bullet1"/>
        <w:spacing w:before="40" w:after="120"/>
        <w:ind w:left="568"/>
        <w:rPr>
          <w:rFonts w:cs="Arial"/>
          <w:szCs w:val="20"/>
        </w:rPr>
      </w:pPr>
      <w:r w:rsidRPr="00E22673">
        <w:rPr>
          <w:rFonts w:cs="Arial"/>
          <w:szCs w:val="20"/>
        </w:rPr>
        <w:t>a</w:t>
      </w:r>
      <w:r w:rsidR="00190F3D" w:rsidRPr="00E22673">
        <w:rPr>
          <w:rFonts w:cs="Arial"/>
          <w:szCs w:val="20"/>
        </w:rPr>
        <w:t xml:space="preserve">ctivities that involve </w:t>
      </w:r>
      <w:r w:rsidR="00127273">
        <w:rPr>
          <w:rFonts w:cs="Arial"/>
          <w:szCs w:val="20"/>
        </w:rPr>
        <w:t>g</w:t>
      </w:r>
      <w:r w:rsidR="00554BA4" w:rsidRPr="00E22673">
        <w:rPr>
          <w:rFonts w:cs="Arial"/>
          <w:szCs w:val="20"/>
        </w:rPr>
        <w:t>overnment fees, charges or taxes</w:t>
      </w:r>
    </w:p>
    <w:p w14:paraId="3CC1069E" w14:textId="5A067041" w:rsidR="00F47318" w:rsidRPr="00E22673" w:rsidRDefault="00E13F4B" w:rsidP="00E22673">
      <w:pPr>
        <w:pStyle w:val="Bullet1"/>
        <w:spacing w:before="40" w:after="120"/>
        <w:ind w:left="568"/>
        <w:rPr>
          <w:rFonts w:cs="Arial"/>
          <w:szCs w:val="20"/>
        </w:rPr>
      </w:pPr>
      <w:proofErr w:type="gramStart"/>
      <w:r w:rsidRPr="00E22673">
        <w:rPr>
          <w:rFonts w:cs="Arial"/>
          <w:szCs w:val="20"/>
        </w:rPr>
        <w:t>a</w:t>
      </w:r>
      <w:r w:rsidR="001C08C9" w:rsidRPr="00E22673">
        <w:rPr>
          <w:rFonts w:cs="Arial"/>
          <w:szCs w:val="20"/>
        </w:rPr>
        <w:t>ctivities</w:t>
      </w:r>
      <w:proofErr w:type="gramEnd"/>
      <w:r w:rsidR="001C08C9" w:rsidRPr="00E22673">
        <w:rPr>
          <w:rFonts w:cs="Arial"/>
          <w:szCs w:val="20"/>
        </w:rPr>
        <w:t xml:space="preserve"> that would most appropriate</w:t>
      </w:r>
      <w:r w:rsidR="00412C49">
        <w:rPr>
          <w:rFonts w:cs="Arial"/>
          <w:szCs w:val="20"/>
        </w:rPr>
        <w:t>ly be funded through other ILC P</w:t>
      </w:r>
      <w:r w:rsidR="001C08C9" w:rsidRPr="00E22673">
        <w:rPr>
          <w:rFonts w:cs="Arial"/>
          <w:szCs w:val="20"/>
        </w:rPr>
        <w:t>rograms such as in</w:t>
      </w:r>
      <w:r w:rsidR="0091450C" w:rsidRPr="00E22673">
        <w:rPr>
          <w:rFonts w:cs="Arial"/>
          <w:szCs w:val="20"/>
        </w:rPr>
        <w:t xml:space="preserve">formation products and websites, </w:t>
      </w:r>
      <w:r w:rsidR="001C08C9" w:rsidRPr="00E22673">
        <w:rPr>
          <w:rFonts w:cs="Arial"/>
          <w:szCs w:val="20"/>
        </w:rPr>
        <w:t>which may be funded through the ILC National Information Program.</w:t>
      </w:r>
    </w:p>
    <w:p w14:paraId="5427B948" w14:textId="77777777" w:rsidR="00C423C0" w:rsidRPr="00E22673" w:rsidRDefault="0040427E" w:rsidP="00E22673">
      <w:pPr>
        <w:pStyle w:val="ListBullet"/>
        <w:numPr>
          <w:ilvl w:val="0"/>
          <w:numId w:val="0"/>
        </w:numPr>
        <w:spacing w:after="120"/>
        <w:rPr>
          <w:rFonts w:cs="Arial"/>
        </w:rPr>
      </w:pPr>
      <w:r w:rsidRPr="00E22673">
        <w:rPr>
          <w:rFonts w:cs="Arial"/>
        </w:rPr>
        <w:lastRenderedPageBreak/>
        <w:t>We cannot provide a grant if you receive funding from another government source for the same purpose.</w:t>
      </w:r>
    </w:p>
    <w:p w14:paraId="12FBEFDA" w14:textId="77777777" w:rsidR="006937A4" w:rsidRPr="00C330AE" w:rsidRDefault="006937A4" w:rsidP="006937A4">
      <w:pPr>
        <w:pStyle w:val="Heading3"/>
      </w:pPr>
      <w:bookmarkStart w:id="91" w:name="_Toc16774087"/>
      <w:r>
        <w:t>Accessibility</w:t>
      </w:r>
      <w:bookmarkEnd w:id="91"/>
    </w:p>
    <w:p w14:paraId="662D38DD" w14:textId="72433A66" w:rsidR="00F7681E" w:rsidRPr="00E22673" w:rsidRDefault="00F7681E" w:rsidP="00E22673">
      <w:pPr>
        <w:rPr>
          <w:rFonts w:cs="Arial"/>
          <w:szCs w:val="24"/>
        </w:rPr>
      </w:pPr>
      <w:r w:rsidRPr="00E22673">
        <w:rPr>
          <w:rFonts w:cs="Arial"/>
          <w:szCs w:val="24"/>
        </w:rPr>
        <w:t xml:space="preserve">We require all successful grant recipients to consider the accessibility and inclusivity of any information resources that </w:t>
      </w:r>
      <w:proofErr w:type="gramStart"/>
      <w:r w:rsidRPr="00E22673">
        <w:rPr>
          <w:rFonts w:cs="Arial"/>
          <w:szCs w:val="24"/>
        </w:rPr>
        <w:t>will be developed</w:t>
      </w:r>
      <w:proofErr w:type="gramEnd"/>
      <w:r w:rsidRPr="00E22673">
        <w:rPr>
          <w:rFonts w:cs="Arial"/>
          <w:szCs w:val="24"/>
        </w:rPr>
        <w:t xml:space="preserve">. A guide to accessible and inclusive documentation </w:t>
      </w:r>
      <w:proofErr w:type="gramStart"/>
      <w:r w:rsidRPr="00E22673">
        <w:rPr>
          <w:rFonts w:cs="Arial"/>
          <w:szCs w:val="24"/>
        </w:rPr>
        <w:t>can be found</w:t>
      </w:r>
      <w:proofErr w:type="gramEnd"/>
      <w:r w:rsidRPr="00E22673">
        <w:rPr>
          <w:rFonts w:cs="Arial"/>
          <w:szCs w:val="24"/>
        </w:rPr>
        <w:t xml:space="preserve"> here: </w:t>
      </w:r>
      <w:hyperlink r:id="rId27" w:history="1">
        <w:r w:rsidRPr="00E22673">
          <w:rPr>
            <w:rStyle w:val="Hyperlink"/>
            <w:rFonts w:cs="Arial"/>
            <w:szCs w:val="24"/>
          </w:rPr>
          <w:t>https://guides.service.gov.au/content-guide/accessibility-inclusivity/</w:t>
        </w:r>
      </w:hyperlink>
      <w:r w:rsidRPr="00E22673">
        <w:rPr>
          <w:rFonts w:cs="Arial"/>
          <w:szCs w:val="24"/>
        </w:rPr>
        <w:t xml:space="preserve"> or </w:t>
      </w:r>
      <w:hyperlink r:id="rId28" w:history="1">
        <w:r w:rsidRPr="00E22673">
          <w:rPr>
            <w:rStyle w:val="Hyperlink"/>
            <w:rFonts w:cs="Arial"/>
            <w:szCs w:val="24"/>
          </w:rPr>
          <w:t>https://www.vic.gov.au/make-content-accessible</w:t>
        </w:r>
      </w:hyperlink>
    </w:p>
    <w:p w14:paraId="6FEB58BD" w14:textId="77777777" w:rsidR="0091450C" w:rsidRPr="00E22673" w:rsidRDefault="00554BA4" w:rsidP="00E22673">
      <w:pPr>
        <w:rPr>
          <w:rFonts w:cs="Arial"/>
          <w:color w:val="000000" w:themeColor="text1"/>
        </w:rPr>
      </w:pPr>
      <w:proofErr w:type="gramStart"/>
      <w:r w:rsidRPr="00E22673">
        <w:rPr>
          <w:rFonts w:cs="Arial"/>
          <w:szCs w:val="24"/>
        </w:rPr>
        <w:t>Likewise, all web-based material</w:t>
      </w:r>
      <w:r w:rsidR="006937A4" w:rsidRPr="00E22673">
        <w:rPr>
          <w:rFonts w:cs="Arial"/>
          <w:szCs w:val="24"/>
        </w:rPr>
        <w:t xml:space="preserve"> generated under or in connection with the project, </w:t>
      </w:r>
      <w:r w:rsidRPr="00E22673">
        <w:rPr>
          <w:rFonts w:cs="Arial"/>
          <w:szCs w:val="24"/>
        </w:rPr>
        <w:t xml:space="preserve">must be fully compliant with WCAG </w:t>
      </w:r>
      <w:r w:rsidRPr="00E22673">
        <w:rPr>
          <w:rFonts w:cs="Arial"/>
          <w:color w:val="000000" w:themeColor="text1"/>
          <w:szCs w:val="24"/>
        </w:rPr>
        <w:t>Web</w:t>
      </w:r>
      <w:r w:rsidRPr="00E22673">
        <w:rPr>
          <w:rFonts w:cs="Arial"/>
          <w:color w:val="000000" w:themeColor="text1"/>
        </w:rPr>
        <w:t xml:space="preserve"> Content Accessibility Guidelines (</w:t>
      </w:r>
      <w:hyperlink r:id="rId29" w:history="1">
        <w:r w:rsidR="0091450C" w:rsidRPr="00E22673">
          <w:rPr>
            <w:rStyle w:val="Hyperlink"/>
            <w:rFonts w:cs="Arial"/>
          </w:rPr>
          <w:t>www.w3c.org</w:t>
        </w:r>
      </w:hyperlink>
      <w:r w:rsidRPr="00E22673">
        <w:rPr>
          <w:rFonts w:cs="Arial"/>
          <w:color w:val="000000" w:themeColor="text1"/>
        </w:rPr>
        <w:t>)</w:t>
      </w:r>
      <w:r w:rsidR="0091450C" w:rsidRPr="00E22673">
        <w:rPr>
          <w:rFonts w:cs="Arial"/>
          <w:color w:val="000000" w:themeColor="text1"/>
        </w:rPr>
        <w:t>.</w:t>
      </w:r>
      <w:proofErr w:type="gramEnd"/>
    </w:p>
    <w:p w14:paraId="32B83E6D" w14:textId="77777777" w:rsidR="00B218FD" w:rsidRPr="00747B26" w:rsidRDefault="00B218FD" w:rsidP="005D4A89">
      <w:pPr>
        <w:pStyle w:val="Heading2"/>
      </w:pPr>
      <w:bookmarkStart w:id="92" w:name="_Toc494290504"/>
      <w:bookmarkStart w:id="93" w:name="_Toc494290505"/>
      <w:bookmarkStart w:id="94" w:name="_Toc494290506"/>
      <w:bookmarkStart w:id="95" w:name="_Toc494290507"/>
      <w:bookmarkStart w:id="96" w:name="_Toc494290508"/>
      <w:bookmarkStart w:id="97" w:name="_Toc494290509"/>
      <w:bookmarkStart w:id="98" w:name="_Toc494290510"/>
      <w:bookmarkStart w:id="99" w:name="_Toc494290511"/>
      <w:bookmarkStart w:id="100" w:name="_Toc12615050"/>
      <w:bookmarkStart w:id="101" w:name="_Toc16774088"/>
      <w:bookmarkStart w:id="102" w:name="_Ref485221187"/>
      <w:bookmarkEnd w:id="90"/>
      <w:bookmarkEnd w:id="92"/>
      <w:bookmarkEnd w:id="93"/>
      <w:bookmarkEnd w:id="94"/>
      <w:bookmarkEnd w:id="95"/>
      <w:bookmarkEnd w:id="96"/>
      <w:bookmarkEnd w:id="97"/>
      <w:bookmarkEnd w:id="98"/>
      <w:bookmarkEnd w:id="99"/>
      <w:r>
        <w:t>Assessment criteria</w:t>
      </w:r>
      <w:bookmarkEnd w:id="100"/>
      <w:bookmarkEnd w:id="101"/>
    </w:p>
    <w:p w14:paraId="613FA780" w14:textId="3E936B9C" w:rsidR="00B218FD" w:rsidRPr="00E22673" w:rsidRDefault="00B218FD" w:rsidP="00E22673">
      <w:pPr>
        <w:rPr>
          <w:rFonts w:cs="Arial"/>
        </w:rPr>
      </w:pPr>
      <w:r w:rsidRPr="00E22673">
        <w:rPr>
          <w:rFonts w:cs="Arial"/>
        </w:rPr>
        <w:t xml:space="preserve">You must address the following assessment criteria </w:t>
      </w:r>
      <w:r w:rsidR="00621D8B" w:rsidRPr="00E22673">
        <w:rPr>
          <w:rFonts w:cs="Arial"/>
        </w:rPr>
        <w:t>relevant to your application as outlined above in the table under Section 2.2</w:t>
      </w:r>
      <w:r w:rsidR="00685459" w:rsidRPr="00E22673">
        <w:rPr>
          <w:rFonts w:cs="Arial"/>
        </w:rPr>
        <w:t xml:space="preserve">. </w:t>
      </w:r>
      <w:r w:rsidR="00621D8B" w:rsidRPr="00E22673">
        <w:rPr>
          <w:rFonts w:cs="Arial"/>
        </w:rPr>
        <w:t>Each criterion below (if relevant to your ap</w:t>
      </w:r>
      <w:r w:rsidR="00D35542">
        <w:rPr>
          <w:rFonts w:cs="Arial"/>
        </w:rPr>
        <w:t xml:space="preserve">plication) </w:t>
      </w:r>
      <w:proofErr w:type="gramStart"/>
      <w:r w:rsidR="00D35542">
        <w:rPr>
          <w:rFonts w:cs="Arial"/>
        </w:rPr>
        <w:t>is weighted</w:t>
      </w:r>
      <w:proofErr w:type="gramEnd"/>
      <w:r w:rsidR="00D35542">
        <w:rPr>
          <w:rFonts w:cs="Arial"/>
        </w:rPr>
        <w:t xml:space="preserve"> equally.</w:t>
      </w:r>
    </w:p>
    <w:bookmarkEnd w:id="102"/>
    <w:p w14:paraId="6209B36A" w14:textId="43FF02BA" w:rsidR="00A27EA8" w:rsidRPr="00E22673" w:rsidRDefault="00A27EA8" w:rsidP="00E22673">
      <w:pPr>
        <w:rPr>
          <w:rFonts w:cs="Arial"/>
        </w:rPr>
      </w:pPr>
      <w:r w:rsidRPr="00E22673">
        <w:rPr>
          <w:rFonts w:cs="Arial"/>
        </w:rPr>
        <w:t>The application form includes character limits – up to</w:t>
      </w:r>
      <w:r w:rsidR="00E145FD" w:rsidRPr="00E22673">
        <w:rPr>
          <w:rFonts w:cs="Arial"/>
        </w:rPr>
        <w:t xml:space="preserve"> </w:t>
      </w:r>
      <w:r w:rsidR="00B600E5" w:rsidRPr="00E22673">
        <w:rPr>
          <w:rFonts w:cs="Arial"/>
          <w:b/>
        </w:rPr>
        <w:t>6</w:t>
      </w:r>
      <w:r w:rsidR="00E145FD" w:rsidRPr="00E22673">
        <w:rPr>
          <w:rFonts w:cs="Arial"/>
          <w:b/>
        </w:rPr>
        <w:t>000 characters limit</w:t>
      </w:r>
      <w:r w:rsidR="00E145FD" w:rsidRPr="00E22673">
        <w:rPr>
          <w:rFonts w:cs="Arial"/>
        </w:rPr>
        <w:t xml:space="preserve"> </w:t>
      </w:r>
      <w:r w:rsidR="006548EB" w:rsidRPr="00E22673">
        <w:rPr>
          <w:rFonts w:cs="Arial"/>
        </w:rPr>
        <w:t>(</w:t>
      </w:r>
      <w:r w:rsidR="00E145FD" w:rsidRPr="00E22673">
        <w:rPr>
          <w:rFonts w:cs="Arial"/>
        </w:rPr>
        <w:t xml:space="preserve">approx. </w:t>
      </w:r>
      <w:r w:rsidR="006548EB" w:rsidRPr="00E22673">
        <w:rPr>
          <w:rFonts w:cs="Arial"/>
        </w:rPr>
        <w:t>900</w:t>
      </w:r>
      <w:r w:rsidR="00E145FD" w:rsidRPr="00E22673">
        <w:rPr>
          <w:rFonts w:cs="Arial"/>
        </w:rPr>
        <w:t xml:space="preserve"> words</w:t>
      </w:r>
      <w:r w:rsidR="006548EB" w:rsidRPr="00E22673">
        <w:rPr>
          <w:rFonts w:cs="Arial"/>
        </w:rPr>
        <w:t>)</w:t>
      </w:r>
      <w:r w:rsidR="00E145FD" w:rsidRPr="00E22673">
        <w:rPr>
          <w:rFonts w:cs="Arial"/>
        </w:rPr>
        <w:t xml:space="preserve"> for Selection </w:t>
      </w:r>
      <w:r w:rsidR="00E02430">
        <w:rPr>
          <w:rFonts w:cs="Arial"/>
        </w:rPr>
        <w:t>c</w:t>
      </w:r>
      <w:r w:rsidR="00E145FD" w:rsidRPr="00E22673">
        <w:rPr>
          <w:rFonts w:cs="Arial"/>
        </w:rPr>
        <w:t>riter</w:t>
      </w:r>
      <w:r w:rsidR="00C30BE0" w:rsidRPr="00E22673">
        <w:rPr>
          <w:rFonts w:cs="Arial"/>
        </w:rPr>
        <w:t>ion</w:t>
      </w:r>
      <w:r w:rsidR="00E145FD" w:rsidRPr="00E22673">
        <w:rPr>
          <w:rFonts w:cs="Arial"/>
        </w:rPr>
        <w:t xml:space="preserve"> 1, and </w:t>
      </w:r>
      <w:r w:rsidRPr="00E22673">
        <w:rPr>
          <w:rFonts w:cs="Arial"/>
          <w:b/>
        </w:rPr>
        <w:t xml:space="preserve">3500 character </w:t>
      </w:r>
      <w:r w:rsidR="00685459" w:rsidRPr="00E22673">
        <w:rPr>
          <w:rFonts w:cs="Arial"/>
          <w:b/>
        </w:rPr>
        <w:t xml:space="preserve">limit </w:t>
      </w:r>
      <w:r w:rsidR="00685459" w:rsidRPr="00E22673">
        <w:rPr>
          <w:rFonts w:cs="Arial"/>
        </w:rPr>
        <w:t>(</w:t>
      </w:r>
      <w:r w:rsidRPr="00E22673">
        <w:rPr>
          <w:rFonts w:cs="Arial"/>
        </w:rPr>
        <w:t xml:space="preserve">approx. 525 words) </w:t>
      </w:r>
      <w:r w:rsidR="00E145FD" w:rsidRPr="00E22673">
        <w:rPr>
          <w:rFonts w:cs="Arial"/>
        </w:rPr>
        <w:t xml:space="preserve">for </w:t>
      </w:r>
      <w:r w:rsidR="00E02430">
        <w:rPr>
          <w:rFonts w:cs="Arial"/>
        </w:rPr>
        <w:t>c</w:t>
      </w:r>
      <w:r w:rsidR="00C30BE0" w:rsidRPr="00E22673">
        <w:rPr>
          <w:rFonts w:cs="Arial"/>
        </w:rPr>
        <w:t>riteria</w:t>
      </w:r>
      <w:r w:rsidR="00E145FD" w:rsidRPr="00E22673">
        <w:rPr>
          <w:rFonts w:cs="Arial"/>
        </w:rPr>
        <w:t xml:space="preserve"> </w:t>
      </w:r>
      <w:r w:rsidR="00082B0B" w:rsidRPr="00E22673">
        <w:rPr>
          <w:rFonts w:cs="Arial"/>
        </w:rPr>
        <w:t>2</w:t>
      </w:r>
      <w:r w:rsidR="00E145FD" w:rsidRPr="00E22673">
        <w:rPr>
          <w:rFonts w:cs="Arial"/>
        </w:rPr>
        <w:t xml:space="preserve"> and </w:t>
      </w:r>
      <w:r w:rsidR="00082B0B" w:rsidRPr="00E22673">
        <w:rPr>
          <w:rFonts w:cs="Arial"/>
        </w:rPr>
        <w:t>3</w:t>
      </w:r>
      <w:r w:rsidR="006548EB" w:rsidRPr="00E22673">
        <w:rPr>
          <w:rFonts w:cs="Arial"/>
        </w:rPr>
        <w:t xml:space="preserve">. </w:t>
      </w:r>
      <w:r w:rsidRPr="00E22673">
        <w:rPr>
          <w:rFonts w:cs="Arial"/>
        </w:rPr>
        <w:t xml:space="preserve">The application form will </w:t>
      </w:r>
      <w:r w:rsidR="00DA0963">
        <w:rPr>
          <w:rFonts w:cs="Arial"/>
        </w:rPr>
        <w:t>not accept characters beyond the</w:t>
      </w:r>
      <w:r w:rsidRPr="00E22673">
        <w:rPr>
          <w:rFonts w:cs="Arial"/>
        </w:rPr>
        <w:t>s</w:t>
      </w:r>
      <w:r w:rsidR="00DA0963">
        <w:rPr>
          <w:rFonts w:cs="Arial"/>
        </w:rPr>
        <w:t>e</w:t>
      </w:r>
      <w:r w:rsidRPr="00E22673">
        <w:rPr>
          <w:rFonts w:cs="Arial"/>
        </w:rPr>
        <w:t xml:space="preserve"> limit</w:t>
      </w:r>
      <w:r w:rsidR="00DA0963">
        <w:rPr>
          <w:rFonts w:cs="Arial"/>
        </w:rPr>
        <w:t>s</w:t>
      </w:r>
      <w:r w:rsidRPr="00E22673">
        <w:rPr>
          <w:rFonts w:cs="Arial"/>
        </w:rPr>
        <w:t>. Please note spaces are included in the character limit.</w:t>
      </w:r>
    </w:p>
    <w:p w14:paraId="2934C226" w14:textId="77777777" w:rsidR="00A27EA8" w:rsidRPr="00E22673" w:rsidRDefault="00A27EA8" w:rsidP="00E22673">
      <w:pPr>
        <w:rPr>
          <w:rFonts w:cs="Arial"/>
          <w:b/>
          <w:sz w:val="22"/>
        </w:rPr>
      </w:pPr>
      <w:bookmarkStart w:id="103" w:name="_Toc13743167"/>
      <w:r w:rsidRPr="00E22673">
        <w:rPr>
          <w:rFonts w:cs="Arial"/>
          <w:b/>
          <w:sz w:val="22"/>
        </w:rPr>
        <w:t>Criterion 1 - Building individual capacity</w:t>
      </w:r>
      <w:bookmarkEnd w:id="103"/>
      <w:r w:rsidRPr="00E22673">
        <w:rPr>
          <w:rFonts w:cs="Arial"/>
          <w:b/>
          <w:sz w:val="22"/>
        </w:rPr>
        <w:t xml:space="preserve"> </w:t>
      </w:r>
    </w:p>
    <w:p w14:paraId="68090112" w14:textId="3EC8FAF1" w:rsidR="00A27EA8" w:rsidRPr="00E22673" w:rsidRDefault="00A27EA8" w:rsidP="00E22673">
      <w:pPr>
        <w:ind w:left="233" w:right="162"/>
        <w:rPr>
          <w:rFonts w:cs="Arial"/>
        </w:rPr>
      </w:pPr>
      <w:r w:rsidRPr="00E22673">
        <w:rPr>
          <w:rFonts w:cs="Arial"/>
        </w:rPr>
        <w:t xml:space="preserve">Describe the individual capacity building activities that you intend to deliver and why these </w:t>
      </w:r>
      <w:proofErr w:type="gramStart"/>
      <w:r w:rsidRPr="00E22673">
        <w:rPr>
          <w:rFonts w:cs="Arial"/>
        </w:rPr>
        <w:t>are n</w:t>
      </w:r>
      <w:r w:rsidR="00D35542">
        <w:rPr>
          <w:rFonts w:cs="Arial"/>
        </w:rPr>
        <w:t>eeded</w:t>
      </w:r>
      <w:proofErr w:type="gramEnd"/>
      <w:r w:rsidR="00D35542">
        <w:rPr>
          <w:rFonts w:cs="Arial"/>
        </w:rPr>
        <w:t xml:space="preserve"> in the proposed location.</w:t>
      </w:r>
    </w:p>
    <w:p w14:paraId="3C7B0481" w14:textId="77777777" w:rsidR="00A27EA8" w:rsidRPr="00E22673" w:rsidRDefault="00A27EA8" w:rsidP="00E22673">
      <w:pPr>
        <w:ind w:left="233" w:right="162"/>
        <w:rPr>
          <w:rFonts w:cs="Arial"/>
        </w:rPr>
      </w:pPr>
      <w:r w:rsidRPr="00E22673">
        <w:rPr>
          <w:rFonts w:cs="Arial"/>
        </w:rPr>
        <w:t xml:space="preserve">In your </w:t>
      </w:r>
      <w:proofErr w:type="gramStart"/>
      <w:r w:rsidRPr="00E22673">
        <w:rPr>
          <w:rFonts w:cs="Arial"/>
        </w:rPr>
        <w:t>response</w:t>
      </w:r>
      <w:proofErr w:type="gramEnd"/>
      <w:r w:rsidRPr="00E22673">
        <w:rPr>
          <w:rFonts w:cs="Arial"/>
        </w:rPr>
        <w:t xml:space="preserve"> you should:</w:t>
      </w:r>
    </w:p>
    <w:p w14:paraId="56689118" w14:textId="77777777" w:rsidR="00A27EA8" w:rsidRPr="00E22673" w:rsidRDefault="00A27EA8" w:rsidP="00E22673">
      <w:pPr>
        <w:pStyle w:val="ListParagraph"/>
        <w:numPr>
          <w:ilvl w:val="0"/>
          <w:numId w:val="25"/>
        </w:numPr>
        <w:ind w:left="953"/>
        <w:contextualSpacing w:val="0"/>
        <w:rPr>
          <w:rFonts w:cs="Arial"/>
        </w:rPr>
      </w:pPr>
      <w:r w:rsidRPr="00E22673">
        <w:rPr>
          <w:rFonts w:cs="Arial"/>
        </w:rPr>
        <w:t xml:space="preserve">Describe the individual capacity building activities you </w:t>
      </w:r>
      <w:r w:rsidR="00DB49AE" w:rsidRPr="00E22673">
        <w:rPr>
          <w:rFonts w:cs="Arial"/>
        </w:rPr>
        <w:t>seek to deliver</w:t>
      </w:r>
      <w:r w:rsidRPr="00E22673">
        <w:rPr>
          <w:rFonts w:cs="Arial"/>
        </w:rPr>
        <w:t xml:space="preserve">; </w:t>
      </w:r>
      <w:r w:rsidR="00DB49AE" w:rsidRPr="00E22673">
        <w:rPr>
          <w:rFonts w:cs="Arial"/>
        </w:rPr>
        <w:t>(</w:t>
      </w:r>
      <w:r w:rsidR="00DB49AE" w:rsidRPr="00E22673">
        <w:rPr>
          <w:rFonts w:cs="Arial"/>
          <w:i/>
        </w:rPr>
        <w:t>what will you do?</w:t>
      </w:r>
      <w:r w:rsidR="00DB49AE" w:rsidRPr="00E22673">
        <w:rPr>
          <w:rFonts w:cs="Arial"/>
        </w:rPr>
        <w:t>)</w:t>
      </w:r>
    </w:p>
    <w:p w14:paraId="04932375" w14:textId="77777777" w:rsidR="00DB49AE" w:rsidRPr="00E22673" w:rsidRDefault="00DB49AE" w:rsidP="00E22673">
      <w:pPr>
        <w:pStyle w:val="ListParagraph"/>
        <w:numPr>
          <w:ilvl w:val="0"/>
          <w:numId w:val="25"/>
        </w:numPr>
        <w:ind w:left="953"/>
        <w:contextualSpacing w:val="0"/>
        <w:rPr>
          <w:rFonts w:cs="Arial"/>
        </w:rPr>
      </w:pPr>
      <w:r w:rsidRPr="00E22673">
        <w:rPr>
          <w:rFonts w:cs="Arial"/>
        </w:rPr>
        <w:t xml:space="preserve">Describe the people that the individual capacity building </w:t>
      </w:r>
      <w:r w:rsidR="00804DDB" w:rsidRPr="00E22673">
        <w:rPr>
          <w:rFonts w:cs="Arial"/>
        </w:rPr>
        <w:t xml:space="preserve">activities </w:t>
      </w:r>
      <w:proofErr w:type="gramStart"/>
      <w:r w:rsidRPr="00E22673">
        <w:rPr>
          <w:rFonts w:cs="Arial"/>
        </w:rPr>
        <w:t>are expected</w:t>
      </w:r>
      <w:proofErr w:type="gramEnd"/>
      <w:r w:rsidRPr="00E22673">
        <w:rPr>
          <w:rFonts w:cs="Arial"/>
        </w:rPr>
        <w:t xml:space="preserve"> to support; (</w:t>
      </w:r>
      <w:r w:rsidRPr="00E22673">
        <w:rPr>
          <w:rFonts w:cs="Arial"/>
          <w:i/>
        </w:rPr>
        <w:t>who will you assist?</w:t>
      </w:r>
      <w:r w:rsidRPr="00E22673">
        <w:rPr>
          <w:rFonts w:cs="Arial"/>
        </w:rPr>
        <w:t>)</w:t>
      </w:r>
    </w:p>
    <w:p w14:paraId="1BC3FBE6" w14:textId="30BC1004" w:rsidR="00A27EA8" w:rsidRPr="00E22673" w:rsidRDefault="00804DDB" w:rsidP="00E22673">
      <w:pPr>
        <w:pStyle w:val="ListParagraph"/>
        <w:numPr>
          <w:ilvl w:val="0"/>
          <w:numId w:val="25"/>
        </w:numPr>
        <w:ind w:left="953"/>
        <w:contextualSpacing w:val="0"/>
        <w:rPr>
          <w:rStyle w:val="CommentReference"/>
          <w:rFonts w:cs="Arial"/>
          <w:sz w:val="20"/>
          <w:szCs w:val="20"/>
        </w:rPr>
      </w:pPr>
      <w:r w:rsidRPr="00E22673">
        <w:rPr>
          <w:rFonts w:cs="Arial"/>
        </w:rPr>
        <w:t>Describe where you seek to deliver the activities and e</w:t>
      </w:r>
      <w:r w:rsidR="00A27EA8" w:rsidRPr="00E22673">
        <w:rPr>
          <w:rFonts w:cs="Arial"/>
        </w:rPr>
        <w:t>xplain why these activities are needed in the proposed location</w:t>
      </w:r>
      <w:r w:rsidR="00685459" w:rsidRPr="00E22673">
        <w:rPr>
          <w:rFonts w:cs="Arial"/>
        </w:rPr>
        <w:t>/s</w:t>
      </w:r>
      <w:r w:rsidR="00A27EA8" w:rsidRPr="00E22673">
        <w:rPr>
          <w:rFonts w:cs="Arial"/>
        </w:rPr>
        <w:t xml:space="preserve">. </w:t>
      </w:r>
      <w:r w:rsidR="00DB49AE" w:rsidRPr="00E22673">
        <w:rPr>
          <w:rFonts w:cs="Arial"/>
        </w:rPr>
        <w:t>(</w:t>
      </w:r>
      <w:r w:rsidR="00DB49AE" w:rsidRPr="00E22673">
        <w:rPr>
          <w:rFonts w:cs="Arial"/>
          <w:i/>
        </w:rPr>
        <w:t>wh</w:t>
      </w:r>
      <w:r w:rsidRPr="00E22673">
        <w:rPr>
          <w:rFonts w:cs="Arial"/>
          <w:i/>
        </w:rPr>
        <w:t>ere will you work and why those areas?)</w:t>
      </w:r>
      <w:r w:rsidR="006D1639">
        <w:rPr>
          <w:rFonts w:cs="Arial"/>
        </w:rPr>
        <w:t xml:space="preserve"> </w:t>
      </w:r>
    </w:p>
    <w:p w14:paraId="48A36977" w14:textId="758613F4" w:rsidR="00A27EA8" w:rsidRPr="00E22673" w:rsidRDefault="00A27EA8" w:rsidP="00E22673">
      <w:pPr>
        <w:pStyle w:val="ListParagraph"/>
        <w:numPr>
          <w:ilvl w:val="0"/>
          <w:numId w:val="25"/>
        </w:numPr>
        <w:ind w:left="953"/>
        <w:contextualSpacing w:val="0"/>
        <w:rPr>
          <w:rFonts w:cs="Arial"/>
        </w:rPr>
      </w:pPr>
      <w:r w:rsidRPr="00E22673">
        <w:rPr>
          <w:rStyle w:val="CommentReference"/>
          <w:rFonts w:cs="Arial"/>
          <w:sz w:val="20"/>
          <w:szCs w:val="20"/>
        </w:rPr>
        <w:t>Describe how the proposed</w:t>
      </w:r>
      <w:r w:rsidRPr="00E22673">
        <w:rPr>
          <w:rFonts w:cs="Arial"/>
        </w:rPr>
        <w:t xml:space="preserve"> activities </w:t>
      </w:r>
      <w:r w:rsidRPr="00E22673">
        <w:rPr>
          <w:rFonts w:cs="Arial"/>
          <w:b/>
        </w:rPr>
        <w:t>directly</w:t>
      </w:r>
      <w:r w:rsidRPr="00E22673">
        <w:rPr>
          <w:rFonts w:cs="Arial"/>
        </w:rPr>
        <w:t xml:space="preserve"> benefit</w:t>
      </w:r>
      <w:r w:rsidR="006D1639">
        <w:rPr>
          <w:rFonts w:cs="Arial"/>
        </w:rPr>
        <w:t xml:space="preserve"> </w:t>
      </w:r>
      <w:r w:rsidRPr="00E22673">
        <w:rPr>
          <w:rFonts w:cs="Arial"/>
        </w:rPr>
        <w:t xml:space="preserve">people with disability; </w:t>
      </w:r>
      <w:r w:rsidR="00DB49AE" w:rsidRPr="00E22673">
        <w:rPr>
          <w:rFonts w:cs="Arial"/>
        </w:rPr>
        <w:t>(</w:t>
      </w:r>
      <w:r w:rsidR="00DB49AE" w:rsidRPr="00E22673">
        <w:rPr>
          <w:rFonts w:cs="Arial"/>
          <w:i/>
        </w:rPr>
        <w:t>how will it help?</w:t>
      </w:r>
      <w:r w:rsidR="00DB49AE" w:rsidRPr="00E22673">
        <w:rPr>
          <w:rFonts w:cs="Arial"/>
        </w:rPr>
        <w:t xml:space="preserve">) </w:t>
      </w:r>
      <w:r w:rsidRPr="00E22673">
        <w:rPr>
          <w:rFonts w:cs="Arial"/>
        </w:rPr>
        <w:t>and</w:t>
      </w:r>
    </w:p>
    <w:p w14:paraId="4011DBF0" w14:textId="77777777" w:rsidR="00A27EA8" w:rsidRPr="00E22673" w:rsidRDefault="00A27EA8" w:rsidP="00E22673">
      <w:pPr>
        <w:pStyle w:val="ListParagraph"/>
        <w:numPr>
          <w:ilvl w:val="0"/>
          <w:numId w:val="25"/>
        </w:numPr>
        <w:ind w:left="953"/>
        <w:contextualSpacing w:val="0"/>
        <w:rPr>
          <w:rFonts w:cs="Arial"/>
        </w:rPr>
      </w:pPr>
      <w:r w:rsidRPr="00E22673">
        <w:rPr>
          <w:rFonts w:cs="Arial"/>
        </w:rPr>
        <w:t>Describe how the activity will be developed and delivered in collaboration with people with disability.</w:t>
      </w:r>
      <w:r w:rsidR="00DB49AE" w:rsidRPr="00E22673">
        <w:rPr>
          <w:rFonts w:cs="Arial"/>
        </w:rPr>
        <w:t xml:space="preserve"> (</w:t>
      </w:r>
      <w:proofErr w:type="gramStart"/>
      <w:r w:rsidR="00DB49AE" w:rsidRPr="00E22673">
        <w:rPr>
          <w:rFonts w:cs="Arial"/>
          <w:i/>
        </w:rPr>
        <w:t>who</w:t>
      </w:r>
      <w:proofErr w:type="gramEnd"/>
      <w:r w:rsidR="00DB49AE" w:rsidRPr="00E22673">
        <w:rPr>
          <w:rFonts w:cs="Arial"/>
          <w:i/>
        </w:rPr>
        <w:t xml:space="preserve"> will you work with and how will you work with them?</w:t>
      </w:r>
      <w:r w:rsidR="00DB49AE" w:rsidRPr="00E22673">
        <w:rPr>
          <w:rFonts w:cs="Arial"/>
        </w:rPr>
        <w:t>)</w:t>
      </w:r>
    </w:p>
    <w:p w14:paraId="082F5AA3" w14:textId="77777777" w:rsidR="00A27EA8" w:rsidRPr="00E22673" w:rsidRDefault="00A27EA8" w:rsidP="00E22673">
      <w:pPr>
        <w:rPr>
          <w:rFonts w:cs="Arial"/>
          <w:b/>
          <w:sz w:val="22"/>
        </w:rPr>
      </w:pPr>
      <w:r w:rsidRPr="00E22673">
        <w:rPr>
          <w:rFonts w:eastAsiaTheme="majorEastAsia" w:cs="Arial"/>
          <w:b/>
          <w:sz w:val="22"/>
        </w:rPr>
        <w:t>Criterion 2 - Expected results from the individual capacity building activities</w:t>
      </w:r>
      <w:r w:rsidRPr="00E22673">
        <w:rPr>
          <w:rFonts w:cs="Arial"/>
          <w:b/>
          <w:sz w:val="22"/>
        </w:rPr>
        <w:t xml:space="preserve"> </w:t>
      </w:r>
    </w:p>
    <w:p w14:paraId="1BB4C787" w14:textId="77777777" w:rsidR="00621D8B" w:rsidRPr="00E22673" w:rsidRDefault="00621D8B" w:rsidP="00E22673">
      <w:pPr>
        <w:ind w:left="233" w:right="162"/>
        <w:rPr>
          <w:rFonts w:cs="Arial"/>
        </w:rPr>
      </w:pPr>
      <w:r w:rsidRPr="00E22673">
        <w:rPr>
          <w:rFonts w:cs="Arial"/>
        </w:rPr>
        <w:t>Describe how the Individual Capacity Building activities you intend to deliver will achieve the following outcomes:</w:t>
      </w:r>
    </w:p>
    <w:p w14:paraId="0157553F" w14:textId="77777777" w:rsidR="00621D8B" w:rsidRPr="00E22673" w:rsidRDefault="00621D8B" w:rsidP="00E22673">
      <w:pPr>
        <w:pStyle w:val="ListParagraph"/>
        <w:numPr>
          <w:ilvl w:val="0"/>
          <w:numId w:val="25"/>
        </w:numPr>
        <w:ind w:left="953"/>
        <w:contextualSpacing w:val="0"/>
        <w:rPr>
          <w:rFonts w:cs="Arial"/>
        </w:rPr>
      </w:pPr>
      <w:r w:rsidRPr="00E22673">
        <w:rPr>
          <w:rFonts w:cs="Arial"/>
        </w:rPr>
        <w:t>Improve knowledge and skills of people with disability</w:t>
      </w:r>
      <w:r w:rsidR="00804DDB" w:rsidRPr="00E22673">
        <w:rPr>
          <w:rFonts w:cs="Arial"/>
        </w:rPr>
        <w:t xml:space="preserve">; </w:t>
      </w:r>
      <w:r w:rsidR="00E145FD" w:rsidRPr="00E22673">
        <w:rPr>
          <w:rFonts w:cs="Arial"/>
        </w:rPr>
        <w:t>and</w:t>
      </w:r>
    </w:p>
    <w:p w14:paraId="0E6E0524" w14:textId="77777777" w:rsidR="00621D8B" w:rsidRPr="00E22673" w:rsidRDefault="00621D8B" w:rsidP="00E22673">
      <w:pPr>
        <w:pStyle w:val="ListParagraph"/>
        <w:numPr>
          <w:ilvl w:val="0"/>
          <w:numId w:val="25"/>
        </w:numPr>
        <w:ind w:left="953"/>
        <w:contextualSpacing w:val="0"/>
        <w:rPr>
          <w:rFonts w:cs="Arial"/>
        </w:rPr>
      </w:pPr>
      <w:r w:rsidRPr="00E22673">
        <w:rPr>
          <w:rFonts w:cs="Arial"/>
        </w:rPr>
        <w:t xml:space="preserve">Improve motivation and confidence of people with disability </w:t>
      </w:r>
    </w:p>
    <w:p w14:paraId="2DC7F2D9" w14:textId="77777777" w:rsidR="00A27EA8" w:rsidRPr="00E22673" w:rsidRDefault="00A27EA8" w:rsidP="00E22673">
      <w:pPr>
        <w:ind w:left="233" w:right="162"/>
        <w:rPr>
          <w:rFonts w:cs="Arial"/>
        </w:rPr>
      </w:pPr>
      <w:r w:rsidRPr="00E22673">
        <w:rPr>
          <w:rFonts w:cs="Arial"/>
        </w:rPr>
        <w:t xml:space="preserve">In your response, you should: </w:t>
      </w:r>
    </w:p>
    <w:p w14:paraId="6ABC39B8" w14:textId="77777777" w:rsidR="00A27EA8" w:rsidRPr="00E22673" w:rsidRDefault="00A27EA8" w:rsidP="00E22673">
      <w:pPr>
        <w:pStyle w:val="ListParagraph"/>
        <w:numPr>
          <w:ilvl w:val="0"/>
          <w:numId w:val="25"/>
        </w:numPr>
        <w:ind w:left="953"/>
        <w:contextualSpacing w:val="0"/>
        <w:rPr>
          <w:rFonts w:cs="Arial"/>
        </w:rPr>
      </w:pPr>
      <w:r w:rsidRPr="00E22673">
        <w:rPr>
          <w:rFonts w:cs="Arial"/>
        </w:rPr>
        <w:t>Describe the current capacity of individuals you will target through your project</w:t>
      </w:r>
    </w:p>
    <w:p w14:paraId="51FF49F5" w14:textId="77777777" w:rsidR="00551AA1" w:rsidRPr="00E22673" w:rsidRDefault="00A27EA8" w:rsidP="00E22673">
      <w:pPr>
        <w:pStyle w:val="ListParagraph"/>
        <w:numPr>
          <w:ilvl w:val="0"/>
          <w:numId w:val="25"/>
        </w:numPr>
        <w:ind w:left="953"/>
        <w:contextualSpacing w:val="0"/>
        <w:rPr>
          <w:rFonts w:cs="Arial"/>
        </w:rPr>
      </w:pPr>
      <w:r w:rsidRPr="00E22673">
        <w:rPr>
          <w:rFonts w:cs="Arial"/>
        </w:rPr>
        <w:t>Describe how and why the proposed activities will address the above outcomes for people with a disability</w:t>
      </w:r>
    </w:p>
    <w:p w14:paraId="49C512C5" w14:textId="19974252" w:rsidR="00551AA1" w:rsidRPr="00E22673" w:rsidRDefault="00551AA1" w:rsidP="00E22673">
      <w:pPr>
        <w:pStyle w:val="ListParagraph"/>
        <w:numPr>
          <w:ilvl w:val="0"/>
          <w:numId w:val="25"/>
        </w:numPr>
        <w:ind w:left="953"/>
        <w:contextualSpacing w:val="0"/>
        <w:rPr>
          <w:rFonts w:cs="Arial"/>
        </w:rPr>
      </w:pPr>
      <w:r w:rsidRPr="00E22673">
        <w:rPr>
          <w:rFonts w:cs="Arial"/>
        </w:rPr>
        <w:lastRenderedPageBreak/>
        <w:t>Describe any additional evaluation activities (beyond those stipulated by ILC) that you intend to use to monitor the progress of the project</w:t>
      </w:r>
      <w:r w:rsidR="00D35542">
        <w:rPr>
          <w:rFonts w:cs="Arial"/>
        </w:rPr>
        <w:t xml:space="preserve"> and the people who participate</w:t>
      </w:r>
    </w:p>
    <w:p w14:paraId="286DF672" w14:textId="274407A5" w:rsidR="00621D8B" w:rsidRPr="00E22673" w:rsidRDefault="00621D8B" w:rsidP="00E22673">
      <w:pPr>
        <w:rPr>
          <w:rFonts w:cs="Arial"/>
          <w:b/>
          <w:sz w:val="22"/>
        </w:rPr>
      </w:pPr>
      <w:bookmarkStart w:id="104" w:name="_Toc13743168"/>
      <w:r w:rsidRPr="00E22673">
        <w:rPr>
          <w:rFonts w:cs="Arial"/>
          <w:b/>
          <w:sz w:val="22"/>
        </w:rPr>
        <w:t xml:space="preserve"> Criterion 3 - Your </w:t>
      </w:r>
      <w:r w:rsidR="00CC4DB1">
        <w:rPr>
          <w:rFonts w:cs="Arial"/>
          <w:b/>
          <w:sz w:val="22"/>
        </w:rPr>
        <w:t>o</w:t>
      </w:r>
      <w:r w:rsidRPr="00E22673">
        <w:rPr>
          <w:rFonts w:cs="Arial"/>
          <w:b/>
          <w:sz w:val="22"/>
        </w:rPr>
        <w:t xml:space="preserve">rganisation’s </w:t>
      </w:r>
      <w:r w:rsidR="00CC4DB1">
        <w:rPr>
          <w:rFonts w:cs="Arial"/>
          <w:b/>
          <w:sz w:val="22"/>
        </w:rPr>
        <w:t>c</w:t>
      </w:r>
      <w:r w:rsidRPr="00E22673">
        <w:rPr>
          <w:rFonts w:cs="Arial"/>
          <w:b/>
          <w:sz w:val="22"/>
        </w:rPr>
        <w:t xml:space="preserve">apability </w:t>
      </w:r>
    </w:p>
    <w:bookmarkEnd w:id="104"/>
    <w:p w14:paraId="1D9435F4" w14:textId="7FFF6745" w:rsidR="00A27EA8" w:rsidRPr="00E22673" w:rsidRDefault="00A27EA8" w:rsidP="00E22673">
      <w:pPr>
        <w:ind w:left="233"/>
        <w:rPr>
          <w:rFonts w:cs="Arial"/>
        </w:rPr>
      </w:pPr>
      <w:r w:rsidRPr="00E22673">
        <w:rPr>
          <w:rFonts w:cs="Arial"/>
        </w:rPr>
        <w:t>Describe how you will imple</w:t>
      </w:r>
      <w:r w:rsidR="00D35542">
        <w:rPr>
          <w:rFonts w:cs="Arial"/>
        </w:rPr>
        <w:t>ment and manage the activities.</w:t>
      </w:r>
    </w:p>
    <w:p w14:paraId="59E69081" w14:textId="77777777" w:rsidR="00A27EA8" w:rsidRPr="00E22673" w:rsidRDefault="00A27EA8" w:rsidP="00E22673">
      <w:pPr>
        <w:ind w:left="233"/>
        <w:rPr>
          <w:rFonts w:cs="Arial"/>
          <w:iCs/>
        </w:rPr>
      </w:pPr>
      <w:r w:rsidRPr="00E22673">
        <w:rPr>
          <w:rFonts w:cs="Arial"/>
          <w:iCs/>
        </w:rPr>
        <w:t>In your response, you should describe:</w:t>
      </w:r>
    </w:p>
    <w:p w14:paraId="7D428DE9" w14:textId="4DAA3E98" w:rsidR="00A27EA8" w:rsidRPr="00E22673" w:rsidRDefault="00A27EA8" w:rsidP="00E22673">
      <w:pPr>
        <w:pStyle w:val="ListParagraph"/>
        <w:numPr>
          <w:ilvl w:val="0"/>
          <w:numId w:val="25"/>
        </w:numPr>
        <w:ind w:left="953"/>
        <w:contextualSpacing w:val="0"/>
        <w:rPr>
          <w:rFonts w:cs="Arial"/>
        </w:rPr>
      </w:pPr>
      <w:r w:rsidRPr="00E22673">
        <w:rPr>
          <w:rFonts w:cs="Arial"/>
        </w:rPr>
        <w:t>Your project plan inc</w:t>
      </w:r>
      <w:r w:rsidR="00D35542">
        <w:rPr>
          <w:rFonts w:cs="Arial"/>
        </w:rPr>
        <w:t>luding key milestones or stages</w:t>
      </w:r>
    </w:p>
    <w:p w14:paraId="7D4B16CE" w14:textId="429A99F9" w:rsidR="00A27EA8" w:rsidRPr="00E22673" w:rsidRDefault="00A27EA8" w:rsidP="00E22673">
      <w:pPr>
        <w:pStyle w:val="ListParagraph"/>
        <w:numPr>
          <w:ilvl w:val="0"/>
          <w:numId w:val="25"/>
        </w:numPr>
        <w:ind w:left="953"/>
        <w:contextualSpacing w:val="0"/>
        <w:rPr>
          <w:rFonts w:cs="Arial"/>
        </w:rPr>
      </w:pPr>
      <w:r w:rsidRPr="00E22673">
        <w:rPr>
          <w:rFonts w:cs="Arial"/>
        </w:rPr>
        <w:t>How you plan to engage people with disability in the planning and delivery of the project (including employment)</w:t>
      </w:r>
    </w:p>
    <w:p w14:paraId="44B6E415" w14:textId="03467F66" w:rsidR="00A27EA8" w:rsidRPr="00E22673" w:rsidRDefault="00A27EA8" w:rsidP="00E22673">
      <w:pPr>
        <w:pStyle w:val="ListParagraph"/>
        <w:numPr>
          <w:ilvl w:val="0"/>
          <w:numId w:val="25"/>
        </w:numPr>
        <w:ind w:left="953"/>
        <w:contextualSpacing w:val="0"/>
        <w:rPr>
          <w:rFonts w:cs="Arial"/>
        </w:rPr>
      </w:pPr>
      <w:r w:rsidRPr="00E22673">
        <w:rPr>
          <w:rFonts w:cs="Arial"/>
        </w:rPr>
        <w:t>Who will manage the project and the role of your board/committee in oversight of the activities</w:t>
      </w:r>
    </w:p>
    <w:p w14:paraId="3758CE39" w14:textId="3CB564F5" w:rsidR="00804302" w:rsidRDefault="00A27EA8" w:rsidP="00E22673">
      <w:pPr>
        <w:pStyle w:val="ListParagraph"/>
        <w:numPr>
          <w:ilvl w:val="0"/>
          <w:numId w:val="25"/>
        </w:numPr>
        <w:ind w:left="953"/>
        <w:contextualSpacing w:val="0"/>
        <w:rPr>
          <w:rFonts w:cs="Arial"/>
        </w:rPr>
      </w:pPr>
      <w:r w:rsidRPr="00E22673">
        <w:rPr>
          <w:rFonts w:cs="Arial"/>
        </w:rPr>
        <w:t>Partnerships or collaborations you intend to undertake</w:t>
      </w:r>
      <w:r w:rsidR="005631EB">
        <w:rPr>
          <w:rFonts w:cs="Arial"/>
        </w:rPr>
        <w:t>.</w:t>
      </w:r>
    </w:p>
    <w:p w14:paraId="4F650007" w14:textId="77777777" w:rsidR="005631EB" w:rsidRPr="005631EB" w:rsidRDefault="005631EB" w:rsidP="005631EB">
      <w:pPr>
        <w:ind w:left="284"/>
        <w:rPr>
          <w:rFonts w:cs="Arial"/>
        </w:rPr>
      </w:pPr>
      <w:r w:rsidRPr="005631EB">
        <w:rPr>
          <w:rFonts w:cs="Arial"/>
        </w:rPr>
        <w:t>When addressing the criterion strong applicants will:</w:t>
      </w:r>
    </w:p>
    <w:p w14:paraId="70BEF0B8" w14:textId="5A21BBFE" w:rsidR="005631EB" w:rsidRPr="005631EB" w:rsidRDefault="005631EB" w:rsidP="005631EB">
      <w:pPr>
        <w:pStyle w:val="ListParagraph"/>
        <w:numPr>
          <w:ilvl w:val="0"/>
          <w:numId w:val="84"/>
        </w:numPr>
        <w:ind w:left="924" w:hanging="357"/>
        <w:contextualSpacing w:val="0"/>
        <w:rPr>
          <w:rFonts w:cs="Arial"/>
        </w:rPr>
      </w:pPr>
      <w:r w:rsidRPr="005631EB">
        <w:rPr>
          <w:rFonts w:cs="Arial"/>
        </w:rPr>
        <w:t>Describe a project plan or intention to develop a plan, and outline key project stages</w:t>
      </w:r>
    </w:p>
    <w:p w14:paraId="0AE0DEBC" w14:textId="5276B3E6" w:rsidR="005631EB" w:rsidRPr="005631EB" w:rsidRDefault="005631EB" w:rsidP="005631EB">
      <w:pPr>
        <w:pStyle w:val="ListParagraph"/>
        <w:numPr>
          <w:ilvl w:val="0"/>
          <w:numId w:val="84"/>
        </w:numPr>
        <w:ind w:left="924" w:hanging="357"/>
        <w:contextualSpacing w:val="0"/>
        <w:rPr>
          <w:rFonts w:cs="Arial"/>
        </w:rPr>
      </w:pPr>
      <w:r w:rsidRPr="005631EB">
        <w:rPr>
          <w:rFonts w:cs="Arial"/>
        </w:rPr>
        <w:t>Describe processes or structures for how people with disability will be engaged in the design and delivery of user-led activities</w:t>
      </w:r>
    </w:p>
    <w:p w14:paraId="6FCD877E" w14:textId="6885EB35" w:rsidR="005631EB" w:rsidRPr="005631EB" w:rsidRDefault="005631EB" w:rsidP="005631EB">
      <w:pPr>
        <w:pStyle w:val="ListParagraph"/>
        <w:numPr>
          <w:ilvl w:val="0"/>
          <w:numId w:val="84"/>
        </w:numPr>
        <w:ind w:left="924" w:hanging="357"/>
        <w:contextualSpacing w:val="0"/>
        <w:rPr>
          <w:rFonts w:cs="Arial"/>
        </w:rPr>
      </w:pPr>
      <w:r w:rsidRPr="005631EB">
        <w:rPr>
          <w:rFonts w:cs="Arial"/>
        </w:rPr>
        <w:t>Describe organisation’s connection with community or activity participants</w:t>
      </w:r>
    </w:p>
    <w:p w14:paraId="3D9EA025" w14:textId="7C4795D7" w:rsidR="005631EB" w:rsidRDefault="005631EB" w:rsidP="005631EB">
      <w:pPr>
        <w:pStyle w:val="ListParagraph"/>
        <w:numPr>
          <w:ilvl w:val="0"/>
          <w:numId w:val="84"/>
        </w:numPr>
        <w:ind w:left="924" w:hanging="357"/>
        <w:contextualSpacing w:val="0"/>
        <w:rPr>
          <w:rFonts w:cs="Arial"/>
        </w:rPr>
      </w:pPr>
      <w:r w:rsidRPr="005631EB">
        <w:rPr>
          <w:rFonts w:cs="Arial"/>
        </w:rPr>
        <w:t>Describe structures for governance and oversight and relevant skill sets in project management</w:t>
      </w:r>
    </w:p>
    <w:p w14:paraId="6EDA9902" w14:textId="102562C9" w:rsidR="005631EB" w:rsidRPr="005631EB" w:rsidRDefault="005631EB" w:rsidP="005631EB">
      <w:pPr>
        <w:pStyle w:val="ListParagraph"/>
        <w:numPr>
          <w:ilvl w:val="0"/>
          <w:numId w:val="84"/>
        </w:numPr>
        <w:rPr>
          <w:rFonts w:cs="Arial"/>
        </w:rPr>
      </w:pPr>
      <w:r w:rsidRPr="005631EB">
        <w:rPr>
          <w:rFonts w:cs="Arial"/>
        </w:rPr>
        <w:t>List stakeholders involved and desc</w:t>
      </w:r>
      <w:r>
        <w:rPr>
          <w:rFonts w:cs="Arial"/>
        </w:rPr>
        <w:t>ribes how they will be involved - e</w:t>
      </w:r>
      <w:r w:rsidRPr="005631EB">
        <w:rPr>
          <w:rFonts w:cs="Arial"/>
        </w:rPr>
        <w:t xml:space="preserve">.g. </w:t>
      </w:r>
      <w:r>
        <w:rPr>
          <w:rFonts w:cs="Arial"/>
        </w:rPr>
        <w:t>p</w:t>
      </w:r>
      <w:r w:rsidRPr="005631EB">
        <w:rPr>
          <w:rFonts w:cs="Arial"/>
        </w:rPr>
        <w:t>artnerships, alliances or collaborations</w:t>
      </w:r>
      <w:r>
        <w:rPr>
          <w:rFonts w:cs="Arial"/>
        </w:rPr>
        <w:t xml:space="preserve"> </w:t>
      </w:r>
      <w:r w:rsidRPr="005631EB">
        <w:rPr>
          <w:rFonts w:cs="Arial"/>
        </w:rPr>
        <w:t xml:space="preserve">that </w:t>
      </w:r>
      <w:proofErr w:type="gramStart"/>
      <w:r w:rsidRPr="005631EB">
        <w:rPr>
          <w:rFonts w:cs="Arial"/>
        </w:rPr>
        <w:t>will be used</w:t>
      </w:r>
      <w:proofErr w:type="gramEnd"/>
      <w:r w:rsidRPr="005631EB">
        <w:rPr>
          <w:rFonts w:cs="Arial"/>
        </w:rPr>
        <w:t xml:space="preserve"> to maximise the effectiveness of the proposal.</w:t>
      </w:r>
    </w:p>
    <w:p w14:paraId="64EC3D51" w14:textId="77777777" w:rsidR="00C347D8" w:rsidRPr="00FD47D5" w:rsidRDefault="00C347D8" w:rsidP="001505F4">
      <w:pPr>
        <w:pStyle w:val="Heading2"/>
      </w:pPr>
      <w:bookmarkStart w:id="105" w:name="_Toc16774089"/>
      <w:bookmarkStart w:id="106" w:name="_Toc164844283"/>
      <w:bookmarkStart w:id="107" w:name="_Toc383003272"/>
      <w:bookmarkEnd w:id="75"/>
      <w:bookmarkEnd w:id="76"/>
      <w:r w:rsidRPr="00FD47D5">
        <w:t xml:space="preserve">How to </w:t>
      </w:r>
      <w:r w:rsidR="00C7753F" w:rsidRPr="00FD47D5">
        <w:t>a</w:t>
      </w:r>
      <w:r w:rsidRPr="00FD47D5">
        <w:t>pply</w:t>
      </w:r>
      <w:bookmarkEnd w:id="105"/>
    </w:p>
    <w:p w14:paraId="55F939BF" w14:textId="48AF9A28" w:rsidR="00B04008" w:rsidRPr="00E22673" w:rsidRDefault="00B04008" w:rsidP="00E22673">
      <w:pPr>
        <w:rPr>
          <w:rFonts w:cs="Arial"/>
        </w:rPr>
      </w:pPr>
      <w:r w:rsidRPr="00E22673">
        <w:rPr>
          <w:rFonts w:cs="Arial"/>
        </w:rPr>
        <w:t>Before applying, you must read, understand and familiarise yourself with a number o</w:t>
      </w:r>
      <w:r w:rsidR="00D35542">
        <w:rPr>
          <w:rFonts w:cs="Arial"/>
        </w:rPr>
        <w:t>f key documents. These include:</w:t>
      </w:r>
    </w:p>
    <w:p w14:paraId="55292EC0" w14:textId="77777777" w:rsidR="0040427E" w:rsidRPr="00E22673" w:rsidRDefault="00E13F4B" w:rsidP="00E22673">
      <w:pPr>
        <w:pStyle w:val="ListParagraph"/>
        <w:numPr>
          <w:ilvl w:val="0"/>
          <w:numId w:val="30"/>
        </w:numPr>
        <w:ind w:left="993"/>
        <w:contextualSpacing w:val="0"/>
        <w:rPr>
          <w:rFonts w:cs="Arial"/>
          <w:color w:val="0070C0"/>
        </w:rPr>
      </w:pPr>
      <w:r w:rsidRPr="00E22673">
        <w:rPr>
          <w:rFonts w:cs="Arial"/>
        </w:rPr>
        <w:t>t</w:t>
      </w:r>
      <w:r w:rsidR="00B04008" w:rsidRPr="00E22673">
        <w:rPr>
          <w:rFonts w:cs="Arial"/>
        </w:rPr>
        <w:t>hese Grant Opportunity Guidelines</w:t>
      </w:r>
    </w:p>
    <w:p w14:paraId="27F357D7" w14:textId="3C134B31" w:rsidR="00B04008" w:rsidRPr="00E22673" w:rsidRDefault="00B04008" w:rsidP="00E22673">
      <w:pPr>
        <w:pStyle w:val="ListParagraph"/>
        <w:numPr>
          <w:ilvl w:val="0"/>
          <w:numId w:val="30"/>
        </w:numPr>
        <w:ind w:left="993"/>
        <w:contextualSpacing w:val="0"/>
        <w:rPr>
          <w:rFonts w:cs="Arial"/>
          <w:color w:val="0070C0"/>
        </w:rPr>
      </w:pPr>
      <w:r w:rsidRPr="00E22673">
        <w:rPr>
          <w:rFonts w:eastAsia="Calibri" w:cs="Arial"/>
          <w:i/>
        </w:rPr>
        <w:t>Information, Linkages and Capacity Building Program (ILC)</w:t>
      </w:r>
      <w:r w:rsidRPr="00E22673">
        <w:rPr>
          <w:rFonts w:cs="Arial"/>
          <w:i/>
        </w:rPr>
        <w:t xml:space="preserve"> Program Guidelines</w:t>
      </w:r>
      <w:r w:rsidRPr="00E22673">
        <w:rPr>
          <w:rFonts w:cs="Arial"/>
          <w:b/>
          <w:i/>
        </w:rPr>
        <w:t xml:space="preserve"> </w:t>
      </w:r>
      <w:r w:rsidR="00CC4DB1">
        <w:rPr>
          <w:rFonts w:cs="Arial"/>
          <w:b/>
          <w:i/>
        </w:rPr>
        <w:br/>
      </w:r>
      <w:r w:rsidRPr="00E22673">
        <w:rPr>
          <w:rFonts w:cs="Arial"/>
          <w:i/>
        </w:rPr>
        <w:t>2019-20 to 2021-22</w:t>
      </w:r>
    </w:p>
    <w:p w14:paraId="3D7D8FA6" w14:textId="77777777" w:rsidR="00B04008" w:rsidRPr="00E22673" w:rsidRDefault="00E13F4B" w:rsidP="00E22673">
      <w:pPr>
        <w:pStyle w:val="ListParagraph"/>
        <w:numPr>
          <w:ilvl w:val="0"/>
          <w:numId w:val="30"/>
        </w:numPr>
        <w:ind w:left="993"/>
        <w:contextualSpacing w:val="0"/>
        <w:rPr>
          <w:rFonts w:cs="Arial"/>
        </w:rPr>
      </w:pPr>
      <w:r w:rsidRPr="00E22673">
        <w:rPr>
          <w:rFonts w:cs="Arial"/>
        </w:rPr>
        <w:t>t</w:t>
      </w:r>
      <w:r w:rsidR="00B04008" w:rsidRPr="00E22673">
        <w:rPr>
          <w:rFonts w:cs="Arial"/>
        </w:rPr>
        <w:t xml:space="preserve">he terms and conditions </w:t>
      </w:r>
    </w:p>
    <w:p w14:paraId="14FCA428" w14:textId="77777777" w:rsidR="00E13F4B" w:rsidRPr="00E22673" w:rsidRDefault="00E13F4B" w:rsidP="00E22673">
      <w:pPr>
        <w:pStyle w:val="ListParagraph"/>
        <w:numPr>
          <w:ilvl w:val="0"/>
          <w:numId w:val="30"/>
        </w:numPr>
        <w:ind w:left="993"/>
        <w:contextualSpacing w:val="0"/>
        <w:rPr>
          <w:rFonts w:cs="Arial"/>
        </w:rPr>
      </w:pPr>
      <w:proofErr w:type="gramStart"/>
      <w:r w:rsidRPr="00E22673">
        <w:rPr>
          <w:rFonts w:cs="Arial"/>
        </w:rPr>
        <w:t>questions</w:t>
      </w:r>
      <w:proofErr w:type="gramEnd"/>
      <w:r w:rsidRPr="00E22673">
        <w:rPr>
          <w:rFonts w:cs="Arial"/>
        </w:rPr>
        <w:t xml:space="preserve"> and answers.</w:t>
      </w:r>
    </w:p>
    <w:p w14:paraId="3B3245A2" w14:textId="77777777" w:rsidR="00B04008" w:rsidRPr="00E22673" w:rsidRDefault="00B04008" w:rsidP="00E22673">
      <w:pPr>
        <w:rPr>
          <w:rFonts w:cs="Arial"/>
        </w:rPr>
      </w:pPr>
      <w:r w:rsidRPr="00E22673">
        <w:rPr>
          <w:rFonts w:cs="Arial"/>
        </w:rPr>
        <w:t xml:space="preserve">Grant round documents </w:t>
      </w:r>
      <w:proofErr w:type="gramStart"/>
      <w:r w:rsidRPr="00E22673">
        <w:rPr>
          <w:rFonts w:cs="Arial"/>
        </w:rPr>
        <w:t>are found</w:t>
      </w:r>
      <w:proofErr w:type="gramEnd"/>
      <w:r w:rsidRPr="00E22673">
        <w:rPr>
          <w:rFonts w:cs="Arial"/>
        </w:rPr>
        <w:t xml:space="preserve"> at </w:t>
      </w:r>
      <w:hyperlink r:id="rId30" w:history="1">
        <w:r w:rsidRPr="00E22673">
          <w:rPr>
            <w:rStyle w:val="Hyperlink"/>
            <w:rFonts w:cs="Arial"/>
          </w:rPr>
          <w:t>GrantConnect</w:t>
        </w:r>
      </w:hyperlink>
      <w:r w:rsidRPr="00E22673">
        <w:rPr>
          <w:rFonts w:cs="Arial"/>
        </w:rPr>
        <w:t xml:space="preserve"> and </w:t>
      </w:r>
      <w:hyperlink r:id="rId31" w:history="1">
        <w:r w:rsidRPr="00E22673">
          <w:rPr>
            <w:rStyle w:val="Hyperlink"/>
            <w:rFonts w:cs="Arial"/>
          </w:rPr>
          <w:t>Community Grants Hub</w:t>
        </w:r>
      </w:hyperlink>
      <w:r w:rsidRPr="00E22673">
        <w:rPr>
          <w:rFonts w:cs="Arial"/>
        </w:rPr>
        <w:t xml:space="preserve"> websites. Any changes to grant documentation </w:t>
      </w:r>
      <w:proofErr w:type="gramStart"/>
      <w:r w:rsidRPr="00E22673">
        <w:rPr>
          <w:rFonts w:cs="Arial"/>
        </w:rPr>
        <w:t>are published</w:t>
      </w:r>
      <w:proofErr w:type="gramEnd"/>
      <w:r w:rsidRPr="00E22673">
        <w:rPr>
          <w:rFonts w:cs="Arial"/>
        </w:rPr>
        <w:t xml:space="preserve"> on both sites and addenda</w:t>
      </w:r>
      <w:r w:rsidRPr="00E22673">
        <w:rPr>
          <w:rStyle w:val="FootnoteReference"/>
          <w:rFonts w:cs="Arial"/>
        </w:rPr>
        <w:footnoteReference w:id="6"/>
      </w:r>
      <w:r w:rsidRPr="00E22673">
        <w:rPr>
          <w:rFonts w:cs="Arial"/>
        </w:rPr>
        <w:t xml:space="preserve"> will be published on GrantConnect. By registering on this website, you </w:t>
      </w:r>
      <w:proofErr w:type="gramStart"/>
      <w:r w:rsidRPr="00E22673">
        <w:rPr>
          <w:rFonts w:cs="Arial"/>
        </w:rPr>
        <w:t>will be automatically notified</w:t>
      </w:r>
      <w:proofErr w:type="gramEnd"/>
      <w:r w:rsidRPr="00E22673">
        <w:rPr>
          <w:rFonts w:cs="Arial"/>
        </w:rPr>
        <w:t xml:space="preserve"> of any changes. GrantConnect is the authoritative source for grants information.</w:t>
      </w:r>
    </w:p>
    <w:p w14:paraId="12A62D0C" w14:textId="77777777" w:rsidR="003970B7" w:rsidRDefault="007F3337" w:rsidP="001505F4">
      <w:pPr>
        <w:pStyle w:val="Heading3"/>
      </w:pPr>
      <w:bookmarkStart w:id="108" w:name="_Toc16774090"/>
      <w:r>
        <w:t xml:space="preserve">Number of </w:t>
      </w:r>
      <w:r w:rsidR="00E13F4B">
        <w:t>a</w:t>
      </w:r>
      <w:r w:rsidR="003970B7">
        <w:t>pplications</w:t>
      </w:r>
      <w:bookmarkEnd w:id="108"/>
    </w:p>
    <w:p w14:paraId="37C41FA3" w14:textId="0E3AF3EB" w:rsidR="0074641F" w:rsidRPr="0074641F" w:rsidRDefault="0074641F" w:rsidP="0074641F">
      <w:pPr>
        <w:rPr>
          <w:rFonts w:cs="Arial"/>
        </w:rPr>
      </w:pPr>
      <w:r w:rsidRPr="0074641F">
        <w:rPr>
          <w:rFonts w:cs="Arial"/>
        </w:rPr>
        <w:t>When submitting your application/s, the following will apply:</w:t>
      </w:r>
    </w:p>
    <w:p w14:paraId="0C1AECFF" w14:textId="1785250E" w:rsidR="00BF2E55" w:rsidRPr="00E22673" w:rsidRDefault="0008652C" w:rsidP="00E22673">
      <w:pPr>
        <w:pStyle w:val="ListParagraph"/>
        <w:numPr>
          <w:ilvl w:val="0"/>
          <w:numId w:val="72"/>
        </w:numPr>
        <w:contextualSpacing w:val="0"/>
        <w:rPr>
          <w:rFonts w:cs="Arial"/>
        </w:rPr>
      </w:pPr>
      <w:r w:rsidRPr="00E22673">
        <w:rPr>
          <w:rFonts w:cs="Arial"/>
        </w:rPr>
        <w:lastRenderedPageBreak/>
        <w:t>Applicants cannot lodge two applications on behalf of their own organisat</w:t>
      </w:r>
      <w:r w:rsidR="00D35542">
        <w:rPr>
          <w:rFonts w:cs="Arial"/>
        </w:rPr>
        <w:t>ion.</w:t>
      </w:r>
    </w:p>
    <w:p w14:paraId="000298A1" w14:textId="77777777" w:rsidR="00BF2E55" w:rsidRPr="00E22673" w:rsidRDefault="00BF2E55" w:rsidP="00E22673">
      <w:pPr>
        <w:pStyle w:val="ListParagraph"/>
        <w:numPr>
          <w:ilvl w:val="0"/>
          <w:numId w:val="72"/>
        </w:numPr>
        <w:contextualSpacing w:val="0"/>
        <w:rPr>
          <w:rFonts w:cs="Arial"/>
        </w:rPr>
      </w:pPr>
      <w:r w:rsidRPr="00E22673">
        <w:rPr>
          <w:rFonts w:cs="Arial"/>
        </w:rPr>
        <w:t>A</w:t>
      </w:r>
      <w:r w:rsidR="0008652C" w:rsidRPr="00E22673">
        <w:rPr>
          <w:rFonts w:cs="Arial"/>
        </w:rPr>
        <w:t xml:space="preserve">pplicants </w:t>
      </w:r>
      <w:r w:rsidRPr="00E22673">
        <w:rPr>
          <w:rFonts w:cs="Arial"/>
        </w:rPr>
        <w:t xml:space="preserve">cannot </w:t>
      </w:r>
      <w:r w:rsidR="0008652C" w:rsidRPr="00E22673">
        <w:rPr>
          <w:rFonts w:cs="Arial"/>
        </w:rPr>
        <w:t xml:space="preserve">lodge two applications as the lead organisation of a consortium. </w:t>
      </w:r>
      <w:r w:rsidR="004B6C3D" w:rsidRPr="00E22673">
        <w:rPr>
          <w:rFonts w:cs="Arial"/>
        </w:rPr>
        <w:t xml:space="preserve">If an applicant lodges more than one application as the lead of a consortium, the second and </w:t>
      </w:r>
      <w:proofErr w:type="gramStart"/>
      <w:r w:rsidR="004B6C3D" w:rsidRPr="00E22673">
        <w:rPr>
          <w:rFonts w:cs="Arial"/>
        </w:rPr>
        <w:t>all</w:t>
      </w:r>
      <w:r w:rsidR="00164534" w:rsidRPr="00E22673">
        <w:rPr>
          <w:rFonts w:cs="Arial"/>
        </w:rPr>
        <w:t xml:space="preserve"> </w:t>
      </w:r>
      <w:r w:rsidR="004B6C3D" w:rsidRPr="00E22673">
        <w:rPr>
          <w:rFonts w:cs="Arial"/>
        </w:rPr>
        <w:t>subsequent</w:t>
      </w:r>
      <w:proofErr w:type="gramEnd"/>
      <w:r w:rsidR="004B6C3D" w:rsidRPr="00E22673">
        <w:rPr>
          <w:rFonts w:cs="Arial"/>
        </w:rPr>
        <w:t xml:space="preserve"> applications will be considered ineligible for both you and the consortium members.</w:t>
      </w:r>
    </w:p>
    <w:p w14:paraId="7EA60F7B" w14:textId="46AE70E6" w:rsidR="00BF2E55" w:rsidRPr="00E22673" w:rsidRDefault="00A27EA8" w:rsidP="00E22673">
      <w:pPr>
        <w:pStyle w:val="ListParagraph"/>
        <w:numPr>
          <w:ilvl w:val="0"/>
          <w:numId w:val="72"/>
        </w:numPr>
        <w:contextualSpacing w:val="0"/>
        <w:rPr>
          <w:rFonts w:cs="Arial"/>
        </w:rPr>
      </w:pPr>
      <w:r w:rsidRPr="00E22673">
        <w:rPr>
          <w:rFonts w:cs="Arial"/>
        </w:rPr>
        <w:t xml:space="preserve">Applicants can </w:t>
      </w:r>
      <w:r w:rsidR="00804DDB" w:rsidRPr="00E22673">
        <w:rPr>
          <w:rFonts w:cs="Arial"/>
        </w:rPr>
        <w:t xml:space="preserve">submit a maximum of two applications ONLY when they apply </w:t>
      </w:r>
      <w:r w:rsidR="0008652C" w:rsidRPr="00E22673">
        <w:rPr>
          <w:rFonts w:cs="Arial"/>
        </w:rPr>
        <w:t xml:space="preserve">once in their own right and in the second application </w:t>
      </w:r>
      <w:r w:rsidR="00804DDB" w:rsidRPr="00E22673">
        <w:rPr>
          <w:rFonts w:cs="Arial"/>
        </w:rPr>
        <w:t>as the lead of a consortium</w:t>
      </w:r>
      <w:r w:rsidR="0008652C" w:rsidRPr="00E22673">
        <w:rPr>
          <w:rFonts w:cs="Arial"/>
        </w:rPr>
        <w:t xml:space="preserve">. Otherwise, applicants can </w:t>
      </w:r>
      <w:r w:rsidRPr="00E22673">
        <w:rPr>
          <w:rFonts w:cs="Arial"/>
        </w:rPr>
        <w:t>only submit one application, either on behalf of their own organisation or as the lea</w:t>
      </w:r>
      <w:r w:rsidR="00D35542">
        <w:rPr>
          <w:rFonts w:cs="Arial"/>
        </w:rPr>
        <w:t>d organisation of a consortium.</w:t>
      </w:r>
    </w:p>
    <w:p w14:paraId="43ACEE53" w14:textId="0233ECAD" w:rsidR="00BF2E55" w:rsidRPr="00E22673" w:rsidRDefault="00BF2E55" w:rsidP="00E22673">
      <w:pPr>
        <w:pStyle w:val="ListParagraph"/>
        <w:numPr>
          <w:ilvl w:val="0"/>
          <w:numId w:val="72"/>
        </w:numPr>
        <w:contextualSpacing w:val="0"/>
        <w:rPr>
          <w:rFonts w:cs="Arial"/>
        </w:rPr>
      </w:pPr>
      <w:r w:rsidRPr="00E22673">
        <w:rPr>
          <w:rFonts w:cs="Arial"/>
        </w:rPr>
        <w:t xml:space="preserve">Applicants can apply as the </w:t>
      </w:r>
      <w:proofErr w:type="spellStart"/>
      <w:r w:rsidR="00FF309C">
        <w:rPr>
          <w:rFonts w:cs="Arial"/>
        </w:rPr>
        <w:t>a</w:t>
      </w:r>
      <w:r w:rsidRPr="00E22673">
        <w:rPr>
          <w:rFonts w:cs="Arial"/>
        </w:rPr>
        <w:t>uspicor</w:t>
      </w:r>
      <w:proofErr w:type="spellEnd"/>
      <w:r w:rsidRPr="00E22673">
        <w:rPr>
          <w:rFonts w:cs="Arial"/>
        </w:rPr>
        <w:t xml:space="preserve"> of another organisation. </w:t>
      </w:r>
      <w:r w:rsidRPr="00E22673">
        <w:rPr>
          <w:rFonts w:cs="Arial"/>
          <w:lang w:val="en-US"/>
        </w:rPr>
        <w:t xml:space="preserve">Acting as an </w:t>
      </w:r>
      <w:proofErr w:type="spellStart"/>
      <w:r w:rsidR="00FF309C">
        <w:rPr>
          <w:rFonts w:cs="Arial"/>
        </w:rPr>
        <w:t>a</w:t>
      </w:r>
      <w:r w:rsidRPr="00E22673">
        <w:rPr>
          <w:rFonts w:cs="Arial"/>
        </w:rPr>
        <w:t>uspicor</w:t>
      </w:r>
      <w:proofErr w:type="spellEnd"/>
      <w:r w:rsidRPr="00E22673">
        <w:rPr>
          <w:rFonts w:cs="Arial"/>
        </w:rPr>
        <w:t xml:space="preserve"> </w:t>
      </w:r>
      <w:r w:rsidRPr="00E22673">
        <w:rPr>
          <w:rFonts w:cs="Arial"/>
          <w:u w:val="single"/>
        </w:rPr>
        <w:t>does not</w:t>
      </w:r>
      <w:r w:rsidRPr="00E22673">
        <w:rPr>
          <w:rFonts w:cs="Arial"/>
        </w:rPr>
        <w:t xml:space="preserve"> count towards the number of applications that an organisation is eligible to submit.</w:t>
      </w:r>
    </w:p>
    <w:p w14:paraId="5C3FCB87" w14:textId="77777777" w:rsidR="00BF2E55" w:rsidRPr="00164534" w:rsidRDefault="00BF2E55" w:rsidP="00164534">
      <w:pPr>
        <w:pStyle w:val="Heading3"/>
        <w:rPr>
          <w:rStyle w:val="Heading2Char"/>
          <w:rFonts w:cs="Arial"/>
          <w:bCs/>
          <w:iCs/>
          <w:sz w:val="24"/>
        </w:rPr>
      </w:pPr>
      <w:bookmarkStart w:id="109" w:name="_Toc16774091"/>
      <w:r w:rsidRPr="00164534">
        <w:t>Consortia</w:t>
      </w:r>
      <w:bookmarkEnd w:id="109"/>
    </w:p>
    <w:p w14:paraId="166FF108" w14:textId="77777777" w:rsidR="00B600E5" w:rsidRPr="00E22673" w:rsidRDefault="00B600E5" w:rsidP="00E22673">
      <w:pPr>
        <w:rPr>
          <w:rFonts w:cs="Arial"/>
        </w:rPr>
      </w:pPr>
      <w:r w:rsidRPr="00E22673">
        <w:rPr>
          <w:rFonts w:cs="Arial"/>
        </w:rPr>
        <w:t>The lead organisation of the consortium is the applicant. Applicants can participate in additional applications as non-lead members of consortia.</w:t>
      </w:r>
    </w:p>
    <w:p w14:paraId="5F7E8477" w14:textId="77777777" w:rsidR="00B600E5" w:rsidRPr="00E22673" w:rsidRDefault="00B600E5" w:rsidP="00E22673">
      <w:pPr>
        <w:rPr>
          <w:rFonts w:cs="Arial"/>
          <w:sz w:val="22"/>
          <w:szCs w:val="22"/>
        </w:rPr>
      </w:pPr>
      <w:r w:rsidRPr="00E22673">
        <w:rPr>
          <w:rFonts w:cs="Arial"/>
        </w:rPr>
        <w:t xml:space="preserve">The Individual Capacity Building Program is </w:t>
      </w:r>
      <w:r w:rsidR="00C30BE0" w:rsidRPr="00E22673">
        <w:rPr>
          <w:rFonts w:cs="Arial"/>
        </w:rPr>
        <w:t>a national program</w:t>
      </w:r>
      <w:r w:rsidRPr="00E22673">
        <w:rPr>
          <w:rFonts w:cs="Arial"/>
        </w:rPr>
        <w:t>. To support consistency and equity in delivering the activity for all eligible Australians, the NDIA is looking for a variety of delivery models operating at the following geographic levels:</w:t>
      </w:r>
    </w:p>
    <w:p w14:paraId="13ACAACA" w14:textId="77777777" w:rsidR="00B600E5" w:rsidRPr="00E22673" w:rsidRDefault="00B600E5" w:rsidP="00E22673">
      <w:pPr>
        <w:pStyle w:val="ListParagraph"/>
        <w:numPr>
          <w:ilvl w:val="0"/>
          <w:numId w:val="75"/>
        </w:numPr>
        <w:contextualSpacing w:val="0"/>
        <w:rPr>
          <w:rFonts w:cs="Arial"/>
        </w:rPr>
      </w:pPr>
      <w:r w:rsidRPr="00E22673">
        <w:rPr>
          <w:rFonts w:cs="Arial"/>
        </w:rPr>
        <w:t>Local – at approximately one Local Government Area (LGA)</w:t>
      </w:r>
    </w:p>
    <w:p w14:paraId="6220CDE3" w14:textId="77777777" w:rsidR="00B600E5" w:rsidRPr="00E22673" w:rsidRDefault="00B600E5" w:rsidP="00E22673">
      <w:pPr>
        <w:pStyle w:val="ListParagraph"/>
        <w:numPr>
          <w:ilvl w:val="0"/>
          <w:numId w:val="75"/>
        </w:numPr>
        <w:contextualSpacing w:val="0"/>
        <w:rPr>
          <w:rFonts w:cs="Arial"/>
        </w:rPr>
      </w:pPr>
      <w:r w:rsidRPr="00E22673">
        <w:rPr>
          <w:rFonts w:cs="Arial"/>
        </w:rPr>
        <w:t>Regional – multiple LGAs</w:t>
      </w:r>
    </w:p>
    <w:p w14:paraId="1F877ABF" w14:textId="31565ABE" w:rsidR="00B600E5" w:rsidRPr="00E22673" w:rsidRDefault="00B600E5" w:rsidP="00E22673">
      <w:pPr>
        <w:pStyle w:val="ListParagraph"/>
        <w:numPr>
          <w:ilvl w:val="0"/>
          <w:numId w:val="75"/>
        </w:numPr>
        <w:contextualSpacing w:val="0"/>
        <w:rPr>
          <w:rFonts w:cs="Arial"/>
        </w:rPr>
      </w:pPr>
      <w:r w:rsidRPr="00E22673">
        <w:rPr>
          <w:rFonts w:cs="Arial"/>
        </w:rPr>
        <w:t>Jurisdictional – across an en</w:t>
      </w:r>
      <w:r w:rsidR="00D35542">
        <w:rPr>
          <w:rFonts w:cs="Arial"/>
        </w:rPr>
        <w:t>tire state or territory</w:t>
      </w:r>
    </w:p>
    <w:p w14:paraId="2B7CBFD7" w14:textId="77777777" w:rsidR="00B600E5" w:rsidRPr="00E22673" w:rsidRDefault="00B600E5" w:rsidP="00E22673">
      <w:pPr>
        <w:pStyle w:val="ListParagraph"/>
        <w:numPr>
          <w:ilvl w:val="0"/>
          <w:numId w:val="75"/>
        </w:numPr>
        <w:contextualSpacing w:val="0"/>
        <w:rPr>
          <w:rFonts w:cs="Arial"/>
        </w:rPr>
      </w:pPr>
      <w:proofErr w:type="spellStart"/>
      <w:r w:rsidRPr="00E22673">
        <w:rPr>
          <w:rFonts w:cs="Arial"/>
        </w:rPr>
        <w:t>Multi jurisdictional</w:t>
      </w:r>
      <w:proofErr w:type="spellEnd"/>
      <w:r w:rsidRPr="00E22673">
        <w:rPr>
          <w:rFonts w:cs="Arial"/>
        </w:rPr>
        <w:t xml:space="preserve"> – across more than one state or territory</w:t>
      </w:r>
    </w:p>
    <w:p w14:paraId="6BD85566" w14:textId="6807CEE6" w:rsidR="00B600E5" w:rsidRPr="00E22673" w:rsidRDefault="00B600E5" w:rsidP="00E22673">
      <w:pPr>
        <w:pStyle w:val="ListParagraph"/>
        <w:numPr>
          <w:ilvl w:val="0"/>
          <w:numId w:val="75"/>
        </w:numPr>
        <w:contextualSpacing w:val="0"/>
        <w:rPr>
          <w:rFonts w:cs="Arial"/>
        </w:rPr>
      </w:pPr>
      <w:r w:rsidRPr="00E22673">
        <w:rPr>
          <w:rFonts w:cs="Arial"/>
        </w:rPr>
        <w:t>National – across all states and territories</w:t>
      </w:r>
      <w:r w:rsidR="00D35542">
        <w:rPr>
          <w:rFonts w:cs="Arial"/>
        </w:rPr>
        <w:t>.</w:t>
      </w:r>
    </w:p>
    <w:p w14:paraId="65511008" w14:textId="77777777" w:rsidR="00B600E5" w:rsidRPr="00E22673" w:rsidRDefault="00B600E5" w:rsidP="00E22673">
      <w:pPr>
        <w:rPr>
          <w:rFonts w:cs="Arial"/>
        </w:rPr>
      </w:pPr>
      <w:r w:rsidRPr="00E22673">
        <w:rPr>
          <w:rFonts w:cs="Arial"/>
        </w:rPr>
        <w:t>Where organisations who represent similar cohorts of people in different jurisdictions (</w:t>
      </w:r>
      <w:r w:rsidR="00E13F4B" w:rsidRPr="00E22673">
        <w:rPr>
          <w:rFonts w:cs="Arial"/>
        </w:rPr>
        <w:t>e.g.</w:t>
      </w:r>
      <w:r w:rsidRPr="00E22673">
        <w:rPr>
          <w:rFonts w:cs="Arial"/>
        </w:rPr>
        <w:t xml:space="preserve"> various state / territory based organisations representing people with sensory, physical or cognitive impairments) it is preferable that a single con</w:t>
      </w:r>
      <w:r w:rsidR="0091450C" w:rsidRPr="00E22673">
        <w:rPr>
          <w:rFonts w:cs="Arial"/>
        </w:rPr>
        <w:t>sortia application is submitted</w:t>
      </w:r>
      <w:r w:rsidR="00D24E42" w:rsidRPr="00E22673">
        <w:rPr>
          <w:rFonts w:cs="Arial"/>
        </w:rPr>
        <w:t>.</w:t>
      </w:r>
    </w:p>
    <w:p w14:paraId="71E0E4FC" w14:textId="77777777" w:rsidR="006D573C" w:rsidRPr="004D7201" w:rsidRDefault="006D573C" w:rsidP="004D7201">
      <w:pPr>
        <w:pStyle w:val="Heading3"/>
        <w:rPr>
          <w:rStyle w:val="Heading2Char"/>
          <w:rFonts w:cs="Arial"/>
          <w:bCs/>
          <w:iCs/>
          <w:sz w:val="24"/>
        </w:rPr>
      </w:pPr>
      <w:bookmarkStart w:id="110" w:name="_Toc16774092"/>
      <w:r w:rsidRPr="004D7201">
        <w:t>M</w:t>
      </w:r>
      <w:r w:rsidRPr="004D7201">
        <w:rPr>
          <w:rStyle w:val="Heading2Char"/>
          <w:rFonts w:cs="Arial"/>
          <w:bCs/>
          <w:iCs/>
          <w:sz w:val="24"/>
        </w:rPr>
        <w:t xml:space="preserve">ultiple </w:t>
      </w:r>
      <w:r w:rsidR="00E13F4B">
        <w:rPr>
          <w:rStyle w:val="Heading2Char"/>
          <w:rFonts w:cs="Arial"/>
          <w:bCs/>
          <w:iCs/>
          <w:sz w:val="24"/>
        </w:rPr>
        <w:t>a</w:t>
      </w:r>
      <w:r w:rsidRPr="004D7201">
        <w:rPr>
          <w:rStyle w:val="Heading2Char"/>
          <w:rFonts w:cs="Arial"/>
          <w:bCs/>
          <w:iCs/>
          <w:sz w:val="24"/>
        </w:rPr>
        <w:t>pplications</w:t>
      </w:r>
      <w:bookmarkEnd w:id="110"/>
    </w:p>
    <w:p w14:paraId="5BBD8ED5" w14:textId="70573024" w:rsidR="0040427E" w:rsidRPr="00E22673" w:rsidRDefault="0040427E" w:rsidP="00E22673">
      <w:pPr>
        <w:rPr>
          <w:rFonts w:cs="Arial"/>
        </w:rPr>
      </w:pPr>
      <w:r w:rsidRPr="00E22673">
        <w:rPr>
          <w:rFonts w:cs="Arial"/>
        </w:rPr>
        <w:t xml:space="preserve">Where an organisation submits multiple applications </w:t>
      </w:r>
      <w:r w:rsidR="0074641F">
        <w:rPr>
          <w:rFonts w:cs="Arial"/>
        </w:rPr>
        <w:t>that</w:t>
      </w:r>
      <w:r w:rsidRPr="00E22673">
        <w:rPr>
          <w:rFonts w:cs="Arial"/>
        </w:rPr>
        <w:t xml:space="preserve"> exceed the allowable number of applications as outlined in Section </w:t>
      </w:r>
      <w:r w:rsidR="000E4B74" w:rsidRPr="00E22673">
        <w:rPr>
          <w:rFonts w:cs="Arial"/>
        </w:rPr>
        <w:t>6.1</w:t>
      </w:r>
      <w:r w:rsidRPr="00E22673">
        <w:rPr>
          <w:rFonts w:cs="Arial"/>
        </w:rPr>
        <w:t>, only the application</w:t>
      </w:r>
      <w:r w:rsidR="00213E81" w:rsidRPr="00E22673">
        <w:rPr>
          <w:rFonts w:cs="Arial"/>
        </w:rPr>
        <w:t>/s</w:t>
      </w:r>
      <w:r w:rsidRPr="00E22673">
        <w:rPr>
          <w:rFonts w:cs="Arial"/>
        </w:rPr>
        <w:t xml:space="preserve"> received closest to the closing date</w:t>
      </w:r>
      <w:r w:rsidR="00D35542">
        <w:rPr>
          <w:rFonts w:cs="Arial"/>
        </w:rPr>
        <w:t xml:space="preserve"> will be accepted and assessed.</w:t>
      </w:r>
    </w:p>
    <w:p w14:paraId="121D61D1" w14:textId="77777777" w:rsidR="00B04008" w:rsidRPr="00164534" w:rsidRDefault="00B04008" w:rsidP="001505F4">
      <w:pPr>
        <w:pStyle w:val="Heading3"/>
      </w:pPr>
      <w:bookmarkStart w:id="111" w:name="_Toc5356013"/>
      <w:bookmarkStart w:id="112" w:name="_Toc16774093"/>
      <w:r w:rsidRPr="00164534">
        <w:t xml:space="preserve">Application </w:t>
      </w:r>
      <w:r w:rsidR="00E13F4B">
        <w:t>r</w:t>
      </w:r>
      <w:r w:rsidRPr="00164534">
        <w:t>equirements</w:t>
      </w:r>
      <w:bookmarkEnd w:id="111"/>
      <w:bookmarkEnd w:id="112"/>
    </w:p>
    <w:p w14:paraId="0C3E39A3" w14:textId="5BB279A9" w:rsidR="006740D4" w:rsidRPr="00E22673" w:rsidRDefault="00C347D8" w:rsidP="00E22673">
      <w:pPr>
        <w:pStyle w:val="ListBullet"/>
        <w:numPr>
          <w:ilvl w:val="0"/>
          <w:numId w:val="0"/>
        </w:numPr>
        <w:spacing w:after="120"/>
        <w:ind w:left="360" w:hanging="360"/>
        <w:rPr>
          <w:rFonts w:cs="Arial"/>
        </w:rPr>
      </w:pPr>
      <w:r w:rsidRPr="00E22673">
        <w:rPr>
          <w:rFonts w:cs="Arial"/>
        </w:rPr>
        <w:t>To apply you must</w:t>
      </w:r>
      <w:r w:rsidR="006740D4" w:rsidRPr="00E22673">
        <w:rPr>
          <w:rFonts w:cs="Arial"/>
        </w:rPr>
        <w:t>:</w:t>
      </w:r>
    </w:p>
    <w:p w14:paraId="4A35EA38" w14:textId="77777777" w:rsidR="000644EE" w:rsidRPr="00E22673" w:rsidRDefault="00C347D8" w:rsidP="00E22673">
      <w:pPr>
        <w:pStyle w:val="ListBullet"/>
        <w:spacing w:after="120"/>
        <w:rPr>
          <w:rFonts w:cs="Arial"/>
        </w:rPr>
      </w:pPr>
      <w:r w:rsidRPr="00E22673">
        <w:rPr>
          <w:rFonts w:cs="Arial"/>
        </w:rPr>
        <w:t xml:space="preserve">complete the online application form on </w:t>
      </w:r>
      <w:hyperlink r:id="rId32" w:history="1">
        <w:r w:rsidR="006740D4" w:rsidRPr="00E22673">
          <w:rPr>
            <w:rStyle w:val="Hyperlink"/>
            <w:rFonts w:cs="Arial"/>
          </w:rPr>
          <w:t>GrantConnect</w:t>
        </w:r>
      </w:hyperlink>
      <w:r w:rsidR="00BA18AE" w:rsidRPr="00E22673">
        <w:rPr>
          <w:rStyle w:val="Hyperlink"/>
          <w:rFonts w:cs="Arial"/>
          <w:u w:val="none"/>
        </w:rPr>
        <w:t xml:space="preserve"> </w:t>
      </w:r>
      <w:r w:rsidR="00BA18AE" w:rsidRPr="0074641F">
        <w:rPr>
          <w:rStyle w:val="Hyperlink"/>
          <w:rFonts w:cs="Arial"/>
          <w:color w:val="auto"/>
          <w:u w:val="none"/>
        </w:rPr>
        <w:t>or</w:t>
      </w:r>
      <w:r w:rsidR="00BA18AE" w:rsidRPr="00E22673">
        <w:rPr>
          <w:rStyle w:val="Hyperlink"/>
          <w:rFonts w:cs="Arial"/>
          <w:u w:val="none"/>
        </w:rPr>
        <w:t xml:space="preserve"> </w:t>
      </w:r>
      <w:hyperlink r:id="rId33" w:history="1">
        <w:r w:rsidR="00BA18AE" w:rsidRPr="00E22673">
          <w:rPr>
            <w:rStyle w:val="Hyperlink"/>
            <w:rFonts w:cs="Arial"/>
          </w:rPr>
          <w:t>Community Grants Hub</w:t>
        </w:r>
      </w:hyperlink>
      <w:r w:rsidR="00BA18AE" w:rsidRPr="00E22673">
        <w:rPr>
          <w:rStyle w:val="Hyperlink"/>
          <w:rFonts w:cs="Arial"/>
        </w:rPr>
        <w:t xml:space="preserve"> </w:t>
      </w:r>
    </w:p>
    <w:p w14:paraId="1167558A" w14:textId="77777777" w:rsidR="00C347D8" w:rsidRPr="00E22673" w:rsidRDefault="00C347D8" w:rsidP="00E22673">
      <w:pPr>
        <w:pStyle w:val="ListBullet"/>
        <w:spacing w:after="120"/>
        <w:rPr>
          <w:rFonts w:cs="Arial"/>
        </w:rPr>
      </w:pPr>
      <w:r w:rsidRPr="00E22673">
        <w:rPr>
          <w:rFonts w:cs="Arial"/>
        </w:rPr>
        <w:t>provide all the information requested</w:t>
      </w:r>
    </w:p>
    <w:p w14:paraId="444957E3" w14:textId="77777777" w:rsidR="00C347D8" w:rsidRPr="00E22673" w:rsidRDefault="00C347D8" w:rsidP="00E22673">
      <w:pPr>
        <w:pStyle w:val="ListBullet"/>
        <w:spacing w:after="120"/>
        <w:rPr>
          <w:rFonts w:cs="Arial"/>
        </w:rPr>
      </w:pPr>
      <w:r w:rsidRPr="00E22673">
        <w:rPr>
          <w:rFonts w:cs="Arial"/>
        </w:rPr>
        <w:t xml:space="preserve">address all eligibility </w:t>
      </w:r>
      <w:r w:rsidR="000644EE" w:rsidRPr="00E22673">
        <w:rPr>
          <w:rFonts w:cs="Arial"/>
        </w:rPr>
        <w:t xml:space="preserve">criteria </w:t>
      </w:r>
      <w:r w:rsidRPr="00E22673">
        <w:rPr>
          <w:rFonts w:cs="Arial"/>
        </w:rPr>
        <w:t>and assessment criteria</w:t>
      </w:r>
    </w:p>
    <w:p w14:paraId="4CBD879D" w14:textId="77777777" w:rsidR="00C347D8" w:rsidRPr="00E22673" w:rsidRDefault="00C347D8" w:rsidP="00E22673">
      <w:pPr>
        <w:pStyle w:val="ListBullet"/>
        <w:spacing w:after="120"/>
        <w:rPr>
          <w:rFonts w:cs="Arial"/>
        </w:rPr>
      </w:pPr>
      <w:r w:rsidRPr="00E22673">
        <w:rPr>
          <w:rFonts w:cs="Arial"/>
        </w:rPr>
        <w:t>include all necessary attachments</w:t>
      </w:r>
    </w:p>
    <w:p w14:paraId="1E087E4F" w14:textId="77777777" w:rsidR="00554BA4" w:rsidRPr="00E22673" w:rsidRDefault="00554BA4" w:rsidP="00E22673">
      <w:pPr>
        <w:pStyle w:val="ListBullet"/>
        <w:spacing w:after="120"/>
        <w:rPr>
          <w:rFonts w:cs="Arial"/>
        </w:rPr>
      </w:pPr>
      <w:proofErr w:type="gramStart"/>
      <w:r w:rsidRPr="00E22673">
        <w:rPr>
          <w:rFonts w:cs="Arial"/>
        </w:rPr>
        <w:t>submit</w:t>
      </w:r>
      <w:proofErr w:type="gramEnd"/>
      <w:r w:rsidRPr="00E22673">
        <w:rPr>
          <w:rFonts w:cs="Arial"/>
        </w:rPr>
        <w:t xml:space="preserve"> your application/s to the Community Grants Hub by 11.00PM AEST on </w:t>
      </w:r>
      <w:r w:rsidR="00677FCB" w:rsidRPr="00E22673">
        <w:rPr>
          <w:rFonts w:cs="Arial"/>
        </w:rPr>
        <w:t xml:space="preserve">Monday </w:t>
      </w:r>
      <w:r w:rsidR="009F5837" w:rsidRPr="00E22673">
        <w:rPr>
          <w:rFonts w:cs="Arial"/>
        </w:rPr>
        <w:br/>
      </w:r>
      <w:r w:rsidR="00677FCB" w:rsidRPr="00E22673">
        <w:rPr>
          <w:rFonts w:cs="Arial"/>
        </w:rPr>
        <w:t>30</w:t>
      </w:r>
      <w:r w:rsidRPr="00E22673">
        <w:rPr>
          <w:rFonts w:cs="Arial"/>
        </w:rPr>
        <w:t xml:space="preserve"> September </w:t>
      </w:r>
      <w:r w:rsidR="00164534" w:rsidRPr="00E22673">
        <w:rPr>
          <w:rFonts w:cs="Arial"/>
        </w:rPr>
        <w:t xml:space="preserve">2019 </w:t>
      </w:r>
      <w:r w:rsidRPr="00E22673">
        <w:rPr>
          <w:rFonts w:cs="Arial"/>
        </w:rPr>
        <w:t>(</w:t>
      </w:r>
      <w:r w:rsidRPr="00E22673">
        <w:rPr>
          <w:rFonts w:cs="Arial"/>
          <w:b/>
        </w:rPr>
        <w:t>closing date and time</w:t>
      </w:r>
      <w:r w:rsidRPr="00E22673">
        <w:rPr>
          <w:rFonts w:cs="Arial"/>
        </w:rPr>
        <w:t>).</w:t>
      </w:r>
    </w:p>
    <w:p w14:paraId="46E2623C" w14:textId="77777777" w:rsidR="00F96204" w:rsidRPr="00E22673" w:rsidRDefault="00FA2CD8" w:rsidP="00E22673">
      <w:pPr>
        <w:pStyle w:val="ListBullet"/>
        <w:numPr>
          <w:ilvl w:val="0"/>
          <w:numId w:val="0"/>
        </w:numPr>
        <w:spacing w:after="120"/>
        <w:rPr>
          <w:rFonts w:cs="Arial"/>
        </w:rPr>
      </w:pPr>
      <w:r w:rsidRPr="00E22673">
        <w:rPr>
          <w:rFonts w:cs="Arial"/>
        </w:rPr>
        <w:t>We</w:t>
      </w:r>
      <w:r w:rsidR="00F96204" w:rsidRPr="00E22673">
        <w:rPr>
          <w:rFonts w:cs="Arial"/>
        </w:rPr>
        <w:t xml:space="preserve"> will not provide application forms or accept applications for this grant opportunity by fax or mail.</w:t>
      </w:r>
    </w:p>
    <w:p w14:paraId="75DF60D9" w14:textId="77777777" w:rsidR="00DD159B" w:rsidRPr="00E22673" w:rsidRDefault="00A3719C" w:rsidP="00E22673">
      <w:pPr>
        <w:rPr>
          <w:rFonts w:cs="Arial"/>
        </w:rPr>
      </w:pPr>
      <w:r w:rsidRPr="00E22673">
        <w:rPr>
          <w:rFonts w:cs="Arial"/>
        </w:rPr>
        <w:lastRenderedPageBreak/>
        <w:t xml:space="preserve">The application form includes help information. </w:t>
      </w:r>
      <w:r w:rsidR="00C347D8" w:rsidRPr="00E22673">
        <w:rPr>
          <w:rFonts w:cs="Arial"/>
        </w:rPr>
        <w:t xml:space="preserve">You are responsible for </w:t>
      </w:r>
      <w:r w:rsidR="00C37B9D" w:rsidRPr="00E22673">
        <w:rPr>
          <w:rFonts w:cs="Arial"/>
        </w:rPr>
        <w:t>making sure</w:t>
      </w:r>
      <w:r w:rsidR="00C347D8" w:rsidRPr="00E22673">
        <w:rPr>
          <w:rFonts w:cs="Arial"/>
        </w:rPr>
        <w:t xml:space="preserve"> your application is complete and accurate. Giving false or misleading information</w:t>
      </w:r>
      <w:r w:rsidR="006567FA" w:rsidRPr="00E22673">
        <w:rPr>
          <w:rFonts w:cs="Arial"/>
        </w:rPr>
        <w:t xml:space="preserve"> </w:t>
      </w:r>
      <w:r w:rsidR="00C347D8" w:rsidRPr="00E22673">
        <w:rPr>
          <w:rFonts w:cs="Arial"/>
        </w:rPr>
        <w:t>is a serious offence under the</w:t>
      </w:r>
      <w:r w:rsidR="0008479B" w:rsidRPr="00E22673">
        <w:rPr>
          <w:rStyle w:val="Hyperlink"/>
          <w:rFonts w:cs="Arial"/>
          <w:i/>
        </w:rPr>
        <w:t xml:space="preserve"> </w:t>
      </w:r>
      <w:hyperlink r:id="rId34" w:history="1">
        <w:r w:rsidR="0008479B" w:rsidRPr="00E22673">
          <w:rPr>
            <w:rStyle w:val="Hyperlink"/>
            <w:rFonts w:cs="Arial"/>
            <w:i/>
          </w:rPr>
          <w:t>Criminal Code 1995</w:t>
        </w:r>
      </w:hyperlink>
      <w:r w:rsidR="00C347D8" w:rsidRPr="00E22673">
        <w:rPr>
          <w:rFonts w:cs="Arial"/>
        </w:rPr>
        <w:t xml:space="preserve"> </w:t>
      </w:r>
      <w:r w:rsidR="00BD16D3" w:rsidRPr="00E22673">
        <w:rPr>
          <w:rFonts w:cs="Arial"/>
        </w:rPr>
        <w:t xml:space="preserve">and </w:t>
      </w:r>
      <w:r w:rsidR="006567FA" w:rsidRPr="00E22673">
        <w:rPr>
          <w:rFonts w:cs="Arial"/>
        </w:rPr>
        <w:t>w</w:t>
      </w:r>
      <w:r w:rsidR="00C347D8" w:rsidRPr="00E22673">
        <w:rPr>
          <w:rFonts w:cs="Arial"/>
        </w:rPr>
        <w:t xml:space="preserve">e will investigate any false or misleading information and </w:t>
      </w:r>
      <w:r w:rsidR="00BE551F" w:rsidRPr="00E22673">
        <w:rPr>
          <w:rFonts w:cs="Arial"/>
        </w:rPr>
        <w:t>may exclude</w:t>
      </w:r>
      <w:r w:rsidR="00C347D8" w:rsidRPr="00E22673">
        <w:rPr>
          <w:rFonts w:cs="Arial"/>
        </w:rPr>
        <w:t xml:space="preserve"> your application from further consideration.</w:t>
      </w:r>
    </w:p>
    <w:p w14:paraId="159368DC" w14:textId="77777777" w:rsidR="008C59DB" w:rsidRPr="00E22673" w:rsidRDefault="008C59DB" w:rsidP="00E22673">
      <w:pPr>
        <w:rPr>
          <w:rFonts w:cs="Arial"/>
        </w:rPr>
      </w:pPr>
      <w:r w:rsidRPr="00E22673">
        <w:rPr>
          <w:rFonts w:cs="Arial"/>
        </w:rPr>
        <w:t>If you need more help about the application process</w:t>
      </w:r>
      <w:r w:rsidR="00E145FD" w:rsidRPr="00E22673">
        <w:rPr>
          <w:rFonts w:cs="Arial"/>
        </w:rPr>
        <w:t xml:space="preserve">, submitting an application online, </w:t>
      </w:r>
      <w:r w:rsidRPr="00E22673">
        <w:rPr>
          <w:rFonts w:cs="Arial"/>
        </w:rPr>
        <w:t xml:space="preserve">have any technical difficulties or find an error in your application after submission, but before the closing date and time, you should contact the Community Grants Hub immediately on 1800 020 283 or email </w:t>
      </w:r>
      <w:hyperlink r:id="rId35" w:history="1">
        <w:r w:rsidRPr="00E22673">
          <w:rPr>
            <w:rStyle w:val="Hyperlink"/>
            <w:rFonts w:cs="Arial"/>
          </w:rPr>
          <w:t>support@communitygrants.gov.au</w:t>
        </w:r>
      </w:hyperlink>
      <w:r w:rsidRPr="00E22673">
        <w:rPr>
          <w:rFonts w:cs="Arial"/>
        </w:rPr>
        <w:t xml:space="preserve">. </w:t>
      </w:r>
    </w:p>
    <w:p w14:paraId="532A757F" w14:textId="4607CF02" w:rsidR="008C59DB" w:rsidRPr="00E22673" w:rsidRDefault="008C59DB" w:rsidP="00E22673">
      <w:pPr>
        <w:rPr>
          <w:rFonts w:cs="Arial"/>
        </w:rPr>
      </w:pPr>
      <w:r w:rsidRPr="00E22673">
        <w:rPr>
          <w:rFonts w:cs="Arial"/>
        </w:rPr>
        <w:t>You cannot change your application a</w:t>
      </w:r>
      <w:r w:rsidR="00D35542">
        <w:rPr>
          <w:rFonts w:cs="Arial"/>
        </w:rPr>
        <w:t>fter the closing date and time.</w:t>
      </w:r>
    </w:p>
    <w:p w14:paraId="1EEA5E1C" w14:textId="1A07F025" w:rsidR="00C347D8" w:rsidRPr="00E22673" w:rsidRDefault="008C59DB" w:rsidP="00E22673">
      <w:pPr>
        <w:rPr>
          <w:rFonts w:cs="Arial"/>
        </w:rPr>
      </w:pPr>
      <w:r w:rsidRPr="00E22673">
        <w:rPr>
          <w:rFonts w:cs="Arial"/>
        </w:rPr>
        <w:t xml:space="preserve">If we find an error or something missing, we may ask you for clarification or additional information. This will not change the nature of your application and no additional information, which would materially change your application, </w:t>
      </w:r>
      <w:proofErr w:type="gramStart"/>
      <w:r w:rsidRPr="00E22673">
        <w:rPr>
          <w:rFonts w:cs="Arial"/>
        </w:rPr>
        <w:t>will be taken</w:t>
      </w:r>
      <w:proofErr w:type="gramEnd"/>
      <w:r w:rsidRPr="00E22673">
        <w:rPr>
          <w:rFonts w:cs="Arial"/>
        </w:rPr>
        <w:t xml:space="preserve"> into consideration after the closing date and time. For further information on late </w:t>
      </w:r>
      <w:proofErr w:type="gramStart"/>
      <w:r w:rsidRPr="00E22673">
        <w:rPr>
          <w:rFonts w:cs="Arial"/>
        </w:rPr>
        <w:t>applications</w:t>
      </w:r>
      <w:proofErr w:type="gramEnd"/>
      <w:r w:rsidRPr="00E22673">
        <w:rPr>
          <w:rFonts w:cs="Arial"/>
        </w:rPr>
        <w:t xml:space="preserve"> please refer to Section </w:t>
      </w:r>
      <w:r w:rsidR="0091450C" w:rsidRPr="00E22673">
        <w:rPr>
          <w:rFonts w:cs="Arial"/>
        </w:rPr>
        <w:t>6.7</w:t>
      </w:r>
      <w:r w:rsidRPr="00E22673">
        <w:rPr>
          <w:rFonts w:cs="Arial"/>
        </w:rPr>
        <w:t xml:space="preserve"> below.</w:t>
      </w:r>
      <w:r w:rsidR="005D4A89" w:rsidRPr="00E22673">
        <w:rPr>
          <w:rFonts w:cs="Arial"/>
        </w:rPr>
        <w:t xml:space="preserve"> </w:t>
      </w:r>
      <w:r w:rsidR="00C347D8" w:rsidRPr="00E22673">
        <w:rPr>
          <w:rFonts w:cs="Arial"/>
        </w:rPr>
        <w:t>You should keep a copy of your application and any supporting doc</w:t>
      </w:r>
      <w:r w:rsidR="00D35542">
        <w:rPr>
          <w:rFonts w:cs="Arial"/>
        </w:rPr>
        <w:t>uments.</w:t>
      </w:r>
    </w:p>
    <w:p w14:paraId="20290AE7" w14:textId="482D9BF4" w:rsidR="00C347D8" w:rsidRPr="00E22673" w:rsidRDefault="000220D6" w:rsidP="00E22673">
      <w:pPr>
        <w:rPr>
          <w:rFonts w:cs="Arial"/>
        </w:rPr>
      </w:pPr>
      <w:r w:rsidRPr="00E22673">
        <w:rPr>
          <w:rFonts w:cs="Arial"/>
        </w:rPr>
        <w:t xml:space="preserve">You will receive an automated notification acknowledging </w:t>
      </w:r>
      <w:r w:rsidR="00C347D8" w:rsidRPr="00E22673">
        <w:rPr>
          <w:rFonts w:cs="Arial"/>
        </w:rPr>
        <w:t>th</w:t>
      </w:r>
      <w:r w:rsidRPr="00E22673">
        <w:rPr>
          <w:rFonts w:cs="Arial"/>
        </w:rPr>
        <w:t>e</w:t>
      </w:r>
      <w:r w:rsidR="00C347D8" w:rsidRPr="00E22673">
        <w:rPr>
          <w:rFonts w:cs="Arial"/>
        </w:rPr>
        <w:t xml:space="preserve"> </w:t>
      </w:r>
      <w:r w:rsidRPr="00E22673">
        <w:rPr>
          <w:rFonts w:cs="Arial"/>
        </w:rPr>
        <w:t xml:space="preserve">receipt </w:t>
      </w:r>
      <w:r w:rsidR="005E08F7" w:rsidRPr="00E22673">
        <w:rPr>
          <w:rFonts w:cs="Arial"/>
        </w:rPr>
        <w:t xml:space="preserve">of </w:t>
      </w:r>
      <w:r w:rsidRPr="00E22673">
        <w:rPr>
          <w:rFonts w:cs="Arial"/>
        </w:rPr>
        <w:t>y</w:t>
      </w:r>
      <w:r w:rsidR="00C347D8" w:rsidRPr="00E22673">
        <w:rPr>
          <w:rFonts w:cs="Arial"/>
        </w:rPr>
        <w:t>our application</w:t>
      </w:r>
      <w:r w:rsidRPr="00E22673">
        <w:rPr>
          <w:rFonts w:cs="Arial"/>
        </w:rPr>
        <w:t>.</w:t>
      </w:r>
      <w:r w:rsidR="006D1639">
        <w:rPr>
          <w:rFonts w:cs="Arial"/>
        </w:rPr>
        <w:t xml:space="preserve"> </w:t>
      </w:r>
      <w:r w:rsidR="00D22AA4" w:rsidRPr="00E22673">
        <w:rPr>
          <w:rFonts w:cs="Arial"/>
        </w:rPr>
        <w:t>Please keep a record of your application ID to assist with any follow up information or enquiries you may have in relation to your application.</w:t>
      </w:r>
    </w:p>
    <w:p w14:paraId="6193F245" w14:textId="48ACBF9E" w:rsidR="003F6A1B" w:rsidRDefault="00C30BE0" w:rsidP="001505F4">
      <w:pPr>
        <w:pStyle w:val="Heading3"/>
      </w:pPr>
      <w:bookmarkStart w:id="113" w:name="_Toc525295534"/>
      <w:bookmarkStart w:id="114" w:name="_Toc525552132"/>
      <w:bookmarkStart w:id="115" w:name="_Toc525722832"/>
      <w:bookmarkStart w:id="116" w:name="_Toc16774094"/>
      <w:bookmarkEnd w:id="113"/>
      <w:bookmarkEnd w:id="114"/>
      <w:bookmarkEnd w:id="115"/>
      <w:r>
        <w:t>Request for assistance in submitting application</w:t>
      </w:r>
      <w:bookmarkEnd w:id="116"/>
    </w:p>
    <w:p w14:paraId="03C21D4F" w14:textId="77777777" w:rsidR="00197179" w:rsidRPr="00E22673" w:rsidRDefault="00197179" w:rsidP="00E22673">
      <w:pPr>
        <w:rPr>
          <w:rFonts w:cs="Arial"/>
        </w:rPr>
      </w:pPr>
      <w:r w:rsidRPr="00E22673">
        <w:rPr>
          <w:rFonts w:cs="Arial"/>
        </w:rPr>
        <w:t xml:space="preserve">If you are unable to </w:t>
      </w:r>
      <w:r w:rsidR="00C30BE0" w:rsidRPr="00E22673">
        <w:rPr>
          <w:rFonts w:cs="Arial"/>
        </w:rPr>
        <w:t xml:space="preserve">prepare and </w:t>
      </w:r>
      <w:r w:rsidRPr="00E22673">
        <w:rPr>
          <w:rFonts w:cs="Arial"/>
        </w:rPr>
        <w:t>submit your application using the online form</w:t>
      </w:r>
      <w:r w:rsidR="00A34F99" w:rsidRPr="00E22673">
        <w:rPr>
          <w:rFonts w:cs="Arial"/>
        </w:rPr>
        <w:t xml:space="preserve"> because the form is not fully accessible to you, </w:t>
      </w:r>
      <w:r w:rsidRPr="00E22673">
        <w:rPr>
          <w:rFonts w:cs="Arial"/>
        </w:rPr>
        <w:t xml:space="preserve">you can request </w:t>
      </w:r>
      <w:r w:rsidR="00C30BE0" w:rsidRPr="00E22673">
        <w:rPr>
          <w:rFonts w:cs="Arial"/>
        </w:rPr>
        <w:t xml:space="preserve">assistance by emailing </w:t>
      </w:r>
      <w:r w:rsidRPr="00E22673">
        <w:rPr>
          <w:rFonts w:cs="Arial"/>
        </w:rPr>
        <w:t>the Community Grants Hub</w:t>
      </w:r>
      <w:r w:rsidR="00C30BE0" w:rsidRPr="00E22673">
        <w:rPr>
          <w:rFonts w:cs="Arial"/>
        </w:rPr>
        <w:t xml:space="preserve"> at</w:t>
      </w:r>
      <w:r w:rsidRPr="00E22673">
        <w:rPr>
          <w:rFonts w:cs="Arial"/>
        </w:rPr>
        <w:t xml:space="preserve"> </w:t>
      </w:r>
      <w:hyperlink r:id="rId36" w:history="1">
        <w:r w:rsidRPr="00E22673">
          <w:rPr>
            <w:rStyle w:val="Hyperlink"/>
            <w:rFonts w:cs="Arial"/>
          </w:rPr>
          <w:t>support@communitygrants.gov.au</w:t>
        </w:r>
      </w:hyperlink>
      <w:r w:rsidR="00C30BE0" w:rsidRPr="00E22673">
        <w:rPr>
          <w:rFonts w:cs="Arial"/>
        </w:rPr>
        <w:t xml:space="preserve"> or calling the Community Grants Hub hotline on 1800 020 283.</w:t>
      </w:r>
    </w:p>
    <w:p w14:paraId="48EB03D0" w14:textId="02B50AE4" w:rsidR="00197179" w:rsidRPr="00E22673" w:rsidRDefault="00197179" w:rsidP="00E22673">
      <w:pPr>
        <w:rPr>
          <w:rFonts w:cs="Arial"/>
        </w:rPr>
      </w:pPr>
      <w:r w:rsidRPr="00E22673">
        <w:rPr>
          <w:rFonts w:cs="Arial"/>
        </w:rPr>
        <w:t xml:space="preserve">Please state the reason the </w:t>
      </w:r>
      <w:r w:rsidR="00C30BE0" w:rsidRPr="00E22673">
        <w:rPr>
          <w:rFonts w:cs="Arial"/>
        </w:rPr>
        <w:t>onl</w:t>
      </w:r>
      <w:r w:rsidRPr="00E22673">
        <w:rPr>
          <w:rFonts w:cs="Arial"/>
        </w:rPr>
        <w:t>ine application</w:t>
      </w:r>
      <w:r w:rsidR="00A34F99" w:rsidRPr="00E22673">
        <w:rPr>
          <w:rFonts w:cs="Arial"/>
        </w:rPr>
        <w:t xml:space="preserve"> is not fully accessible to you. A</w:t>
      </w:r>
      <w:r w:rsidRPr="00E22673">
        <w:rPr>
          <w:rFonts w:cs="Arial"/>
        </w:rPr>
        <w:t xml:space="preserve">llow up to three full business days for the Hub to provide you with </w:t>
      </w:r>
      <w:r w:rsidR="00A34F99" w:rsidRPr="00E22673">
        <w:rPr>
          <w:rFonts w:cs="Arial"/>
        </w:rPr>
        <w:t>a response about w</w:t>
      </w:r>
      <w:r w:rsidR="00D35542">
        <w:rPr>
          <w:rFonts w:cs="Arial"/>
        </w:rPr>
        <w:t xml:space="preserve">hat assistance </w:t>
      </w:r>
      <w:proofErr w:type="gramStart"/>
      <w:r w:rsidR="00D35542">
        <w:rPr>
          <w:rFonts w:cs="Arial"/>
        </w:rPr>
        <w:t>can be provided</w:t>
      </w:r>
      <w:proofErr w:type="gramEnd"/>
      <w:r w:rsidR="00D35542">
        <w:rPr>
          <w:rFonts w:cs="Arial"/>
        </w:rPr>
        <w:t>.</w:t>
      </w:r>
    </w:p>
    <w:p w14:paraId="7AFE3187" w14:textId="77777777" w:rsidR="00DB695B" w:rsidRDefault="00DB695B" w:rsidP="001505F4">
      <w:pPr>
        <w:pStyle w:val="Heading3"/>
      </w:pPr>
      <w:bookmarkStart w:id="117" w:name="_Toc16774095"/>
      <w:r>
        <w:t>Attachments to the application</w:t>
      </w:r>
      <w:bookmarkEnd w:id="117"/>
    </w:p>
    <w:p w14:paraId="04BF08A0" w14:textId="77777777" w:rsidR="00B218FD" w:rsidRPr="00E22673" w:rsidRDefault="00B218FD" w:rsidP="00E22673">
      <w:pPr>
        <w:rPr>
          <w:rFonts w:cs="Arial"/>
        </w:rPr>
      </w:pPr>
      <w:r w:rsidRPr="00E22673">
        <w:rPr>
          <w:rFonts w:cs="Arial"/>
        </w:rPr>
        <w:t xml:space="preserve">All of the following documents </w:t>
      </w:r>
      <w:proofErr w:type="gramStart"/>
      <w:r w:rsidRPr="00E22673">
        <w:rPr>
          <w:rFonts w:cs="Arial"/>
        </w:rPr>
        <w:t>should</w:t>
      </w:r>
      <w:r w:rsidRPr="00E22673">
        <w:rPr>
          <w:rFonts w:cs="Arial"/>
          <w:b/>
        </w:rPr>
        <w:t xml:space="preserve"> </w:t>
      </w:r>
      <w:r w:rsidRPr="00E22673">
        <w:rPr>
          <w:rFonts w:cs="Arial"/>
        </w:rPr>
        <w:t>be attached</w:t>
      </w:r>
      <w:proofErr w:type="gramEnd"/>
      <w:r w:rsidRPr="00E22673">
        <w:rPr>
          <w:rFonts w:cs="Arial"/>
        </w:rPr>
        <w:t xml:space="preserve"> to your application for it to be considered compliant and for it to proceed to assessment. Templates </w:t>
      </w:r>
      <w:proofErr w:type="gramStart"/>
      <w:r w:rsidRPr="00E22673">
        <w:rPr>
          <w:rFonts w:cs="Arial"/>
        </w:rPr>
        <w:t>are provided</w:t>
      </w:r>
      <w:proofErr w:type="gramEnd"/>
      <w:r w:rsidRPr="00E22673">
        <w:rPr>
          <w:rFonts w:cs="Arial"/>
        </w:rPr>
        <w:t xml:space="preserve"> for your use with the grant opportunity documents as specified</w:t>
      </w:r>
      <w:r w:rsidR="00096414">
        <w:rPr>
          <w:rFonts w:cs="Arial"/>
        </w:rPr>
        <w:t>:</w:t>
      </w:r>
    </w:p>
    <w:p w14:paraId="2FBA89EA" w14:textId="77777777" w:rsidR="002216AD" w:rsidRPr="00E22673" w:rsidRDefault="002216AD" w:rsidP="00E22673">
      <w:pPr>
        <w:pStyle w:val="ListBullet"/>
        <w:spacing w:after="120"/>
        <w:rPr>
          <w:rFonts w:cs="Arial"/>
        </w:rPr>
      </w:pPr>
      <w:r w:rsidRPr="00E22673">
        <w:rPr>
          <w:rFonts w:cs="Arial"/>
        </w:rPr>
        <w:t>Project Indicative Budget (template available on the Community Grants Hub website)</w:t>
      </w:r>
    </w:p>
    <w:p w14:paraId="22499ACB" w14:textId="77777777" w:rsidR="00AF64CA" w:rsidRPr="00E22673" w:rsidRDefault="00F00F7B" w:rsidP="00E22673">
      <w:pPr>
        <w:pStyle w:val="ListBullet"/>
        <w:spacing w:after="120"/>
        <w:rPr>
          <w:rFonts w:cs="Arial"/>
        </w:rPr>
      </w:pPr>
      <w:r w:rsidRPr="00E22673">
        <w:rPr>
          <w:rFonts w:cs="Arial"/>
        </w:rPr>
        <w:t>Activity Project Plan</w:t>
      </w:r>
    </w:p>
    <w:p w14:paraId="7CC42DD7" w14:textId="7B3308B8" w:rsidR="00E24126" w:rsidRPr="00E22673" w:rsidRDefault="00E24126" w:rsidP="00E22673">
      <w:pPr>
        <w:pStyle w:val="ListBullet"/>
        <w:spacing w:after="120"/>
        <w:rPr>
          <w:rFonts w:cs="Arial"/>
        </w:rPr>
      </w:pPr>
      <w:r w:rsidRPr="00E22673">
        <w:rPr>
          <w:rFonts w:cs="Arial"/>
        </w:rPr>
        <w:t xml:space="preserve">If seeking $100,000 or more (GST exclusive), </w:t>
      </w:r>
      <w:r w:rsidR="00523CFB">
        <w:rPr>
          <w:rFonts w:cs="Arial"/>
        </w:rPr>
        <w:t>a</w:t>
      </w:r>
      <w:r w:rsidRPr="00E22673">
        <w:rPr>
          <w:rFonts w:cs="Arial"/>
        </w:rPr>
        <w:t xml:space="preserve">pplicants </w:t>
      </w:r>
      <w:r w:rsidR="00213E81" w:rsidRPr="00E22673">
        <w:rPr>
          <w:rFonts w:cs="Arial"/>
          <w:b/>
        </w:rPr>
        <w:t>must</w:t>
      </w:r>
      <w:r w:rsidR="00213E81" w:rsidRPr="00E22673">
        <w:rPr>
          <w:rFonts w:cs="Arial"/>
        </w:rPr>
        <w:t xml:space="preserve"> </w:t>
      </w:r>
      <w:r w:rsidRPr="00E22673">
        <w:rPr>
          <w:rFonts w:cs="Arial"/>
        </w:rPr>
        <w:t xml:space="preserve">include a copy of their organisation’s </w:t>
      </w:r>
      <w:r w:rsidRPr="00E22673">
        <w:rPr>
          <w:rFonts w:cs="Arial"/>
          <w:b/>
        </w:rPr>
        <w:t>most recent</w:t>
      </w:r>
      <w:r w:rsidRPr="00E22673">
        <w:rPr>
          <w:rFonts w:cs="Arial"/>
        </w:rPr>
        <w:t xml:space="preserve"> audited financial statements (or accepted alternative documentation), if audited financial statements are not available.</w:t>
      </w:r>
    </w:p>
    <w:p w14:paraId="0D1F97FB" w14:textId="77777777" w:rsidR="002216AD" w:rsidRPr="00E22673" w:rsidRDefault="002216AD" w:rsidP="00E22673">
      <w:pPr>
        <w:pStyle w:val="ListBullet"/>
        <w:spacing w:after="120"/>
        <w:rPr>
          <w:rFonts w:cs="Arial"/>
        </w:rPr>
      </w:pPr>
      <w:r w:rsidRPr="00E22673">
        <w:rPr>
          <w:rFonts w:cs="Arial"/>
        </w:rPr>
        <w:t>Completed Auspice Declaration (only for organisations to authorise another organisation to apply on their behalf) (template available on the</w:t>
      </w:r>
      <w:r w:rsidR="00096414">
        <w:rPr>
          <w:rFonts w:cs="Arial"/>
        </w:rPr>
        <w:t xml:space="preserve"> Community Grants Hub website).</w:t>
      </w:r>
    </w:p>
    <w:p w14:paraId="101629DD" w14:textId="77777777" w:rsidR="002216AD" w:rsidRPr="00E22673" w:rsidRDefault="002216AD" w:rsidP="00E22673">
      <w:pPr>
        <w:pStyle w:val="ListBullet"/>
        <w:spacing w:after="120"/>
        <w:rPr>
          <w:rFonts w:cs="Arial"/>
        </w:rPr>
      </w:pPr>
      <w:r w:rsidRPr="00E22673">
        <w:rPr>
          <w:rFonts w:cs="Arial"/>
        </w:rPr>
        <w:t>Signed trust deed and any subsequent variations, if applying as a Trustee on behalf of a Trust.</w:t>
      </w:r>
    </w:p>
    <w:p w14:paraId="467FBF94" w14:textId="7D8EAA6C" w:rsidR="00296D38" w:rsidRPr="009661E2" w:rsidRDefault="00296D38" w:rsidP="009661E2">
      <w:pPr>
        <w:pStyle w:val="ListBullet"/>
        <w:rPr>
          <w:color w:val="1F497D"/>
        </w:rPr>
      </w:pPr>
      <w:r>
        <w:t xml:space="preserve">If an Aboriginal and/or Torres Strait Islander organisation is registered with ORIC, a copy of their Certificate of ORIC registration. </w:t>
      </w:r>
      <w:bookmarkStart w:id="118" w:name="_GoBack"/>
      <w:bookmarkEnd w:id="118"/>
    </w:p>
    <w:p w14:paraId="5EF5AC30" w14:textId="6CFBBC79" w:rsidR="002216AD" w:rsidRPr="00E22673" w:rsidRDefault="002216AD" w:rsidP="00E22673">
      <w:pPr>
        <w:rPr>
          <w:rFonts w:cs="Arial"/>
        </w:rPr>
      </w:pPr>
      <w:r w:rsidRPr="00E22673">
        <w:rPr>
          <w:rFonts w:cs="Arial"/>
        </w:rPr>
        <w:t>You must attach supporting documentation according to the instructions provided within the application form. You should only attach requested documents. We will not consider information in att</w:t>
      </w:r>
      <w:r w:rsidR="00523CFB">
        <w:rPr>
          <w:rFonts w:cs="Arial"/>
        </w:rPr>
        <w:t>achments we have not requested.</w:t>
      </w:r>
    </w:p>
    <w:p w14:paraId="11DB990A" w14:textId="0CE7402E" w:rsidR="00D24E42" w:rsidRPr="00E22673" w:rsidRDefault="00352829" w:rsidP="00E22673">
      <w:pPr>
        <w:rPr>
          <w:rFonts w:cs="Arial"/>
        </w:rPr>
      </w:pPr>
      <w:r w:rsidRPr="00E22673">
        <w:rPr>
          <w:rFonts w:cs="Arial"/>
          <w:b/>
        </w:rPr>
        <w:lastRenderedPageBreak/>
        <w:t>IMPORTANT</w:t>
      </w:r>
      <w:r w:rsidR="002216AD" w:rsidRPr="00E22673">
        <w:rPr>
          <w:rFonts w:cs="Arial"/>
        </w:rPr>
        <w:t>: There is a 2mb limit for each attachment.</w:t>
      </w:r>
      <w:r w:rsidR="006D1639">
        <w:rPr>
          <w:rFonts w:cs="Arial"/>
        </w:rPr>
        <w:t xml:space="preserve"> </w:t>
      </w:r>
      <w:r w:rsidR="0029046B" w:rsidRPr="00E22673">
        <w:rPr>
          <w:rFonts w:cs="Arial"/>
        </w:rPr>
        <w:t xml:space="preserve">Please ensure that you are aware of the size of any attachments well in advance of the closing date </w:t>
      </w:r>
      <w:r w:rsidR="00B35662" w:rsidRPr="00E22673">
        <w:rPr>
          <w:rFonts w:cs="Arial"/>
        </w:rPr>
        <w:t xml:space="preserve">and time </w:t>
      </w:r>
      <w:r w:rsidR="00523CFB">
        <w:rPr>
          <w:rFonts w:cs="Arial"/>
        </w:rPr>
        <w:t>for this grant round.</w:t>
      </w:r>
    </w:p>
    <w:p w14:paraId="308AC1D1" w14:textId="77777777" w:rsidR="00C347D8" w:rsidRDefault="00C347D8" w:rsidP="001505F4">
      <w:pPr>
        <w:pStyle w:val="Heading3"/>
      </w:pPr>
      <w:bookmarkStart w:id="119" w:name="_Toc16774096"/>
      <w:r>
        <w:t xml:space="preserve">Timing of grant opportunity </w:t>
      </w:r>
      <w:r w:rsidR="00635ACF">
        <w:t>processes</w:t>
      </w:r>
      <w:bookmarkEnd w:id="119"/>
    </w:p>
    <w:p w14:paraId="563A36B5" w14:textId="4B94175C" w:rsidR="00C25537" w:rsidRPr="00E22673" w:rsidRDefault="00C25537" w:rsidP="00E22673">
      <w:pPr>
        <w:rPr>
          <w:rFonts w:cs="Arial"/>
        </w:rPr>
      </w:pPr>
      <w:r w:rsidRPr="00E22673">
        <w:rPr>
          <w:rFonts w:cs="Arial"/>
        </w:rPr>
        <w:t>You must submit an applicatio</w:t>
      </w:r>
      <w:r w:rsidR="00523CFB">
        <w:rPr>
          <w:rFonts w:cs="Arial"/>
        </w:rPr>
        <w:t>n by the closing date and time.</w:t>
      </w:r>
    </w:p>
    <w:p w14:paraId="1251980C" w14:textId="76738FFC" w:rsidR="00C25537" w:rsidRPr="00587B4B" w:rsidRDefault="00C25537" w:rsidP="00C25537">
      <w:pPr>
        <w:rPr>
          <w:b/>
        </w:rPr>
      </w:pPr>
      <w:r w:rsidRPr="00587B4B">
        <w:rPr>
          <w:b/>
        </w:rPr>
        <w:t>Late a</w:t>
      </w:r>
      <w:r w:rsidR="00523CFB">
        <w:rPr>
          <w:b/>
        </w:rPr>
        <w:t>pplications</w:t>
      </w:r>
    </w:p>
    <w:p w14:paraId="5F42B31D" w14:textId="77777777" w:rsidR="00C25537" w:rsidRPr="00E22673" w:rsidRDefault="00C25537" w:rsidP="00E22673">
      <w:pPr>
        <w:rPr>
          <w:rFonts w:cs="Arial"/>
        </w:rPr>
      </w:pPr>
      <w:r w:rsidRPr="00E22673">
        <w:rPr>
          <w:rFonts w:cs="Arial"/>
        </w:rPr>
        <w:t>We will not accept late applications unless an applicant has experienced exceptional circumstances that prevent the submission of the application. Broadly, exceptional circumstances are events characterised by one or more of the following:</w:t>
      </w:r>
    </w:p>
    <w:p w14:paraId="1CDE4690" w14:textId="77777777" w:rsidR="00C25537" w:rsidRPr="00E22673" w:rsidRDefault="00C25537" w:rsidP="00E22673">
      <w:pPr>
        <w:pStyle w:val="ListParagraph"/>
        <w:numPr>
          <w:ilvl w:val="0"/>
          <w:numId w:val="16"/>
        </w:numPr>
        <w:contextualSpacing w:val="0"/>
        <w:rPr>
          <w:rFonts w:cs="Arial"/>
          <w:szCs w:val="22"/>
        </w:rPr>
      </w:pPr>
      <w:r w:rsidRPr="00E22673">
        <w:rPr>
          <w:rFonts w:cs="Arial"/>
          <w:szCs w:val="22"/>
        </w:rPr>
        <w:t>reasonably unforeseeable</w:t>
      </w:r>
    </w:p>
    <w:p w14:paraId="1645D2CA" w14:textId="77777777" w:rsidR="00C25537" w:rsidRPr="00E22673" w:rsidRDefault="00C25537" w:rsidP="00E22673">
      <w:pPr>
        <w:pStyle w:val="ListParagraph"/>
        <w:numPr>
          <w:ilvl w:val="0"/>
          <w:numId w:val="16"/>
        </w:numPr>
        <w:contextualSpacing w:val="0"/>
        <w:rPr>
          <w:rFonts w:cs="Arial"/>
          <w:szCs w:val="22"/>
        </w:rPr>
      </w:pPr>
      <w:r w:rsidRPr="00E22673">
        <w:rPr>
          <w:rFonts w:cs="Arial"/>
          <w:szCs w:val="22"/>
        </w:rPr>
        <w:t>beyond the applicant’s control</w:t>
      </w:r>
    </w:p>
    <w:p w14:paraId="0FB44602" w14:textId="633132CA" w:rsidR="00C25537" w:rsidRPr="00E22673" w:rsidRDefault="00C25537" w:rsidP="00E22673">
      <w:pPr>
        <w:pStyle w:val="ListParagraph"/>
        <w:numPr>
          <w:ilvl w:val="0"/>
          <w:numId w:val="16"/>
        </w:numPr>
        <w:contextualSpacing w:val="0"/>
        <w:rPr>
          <w:rFonts w:cs="Arial"/>
          <w:szCs w:val="22"/>
        </w:rPr>
      </w:pPr>
      <w:proofErr w:type="gramStart"/>
      <w:r w:rsidRPr="00E22673">
        <w:rPr>
          <w:rFonts w:cs="Arial"/>
          <w:szCs w:val="22"/>
        </w:rPr>
        <w:t>unable</w:t>
      </w:r>
      <w:proofErr w:type="gramEnd"/>
      <w:r w:rsidRPr="00E22673">
        <w:rPr>
          <w:rFonts w:cs="Arial"/>
          <w:szCs w:val="22"/>
        </w:rPr>
        <w:t xml:space="preserve"> to be managed or resolved</w:t>
      </w:r>
      <w:r w:rsidR="00523CFB">
        <w:rPr>
          <w:rFonts w:cs="Arial"/>
          <w:szCs w:val="22"/>
        </w:rPr>
        <w:t xml:space="preserve"> within the application period.</w:t>
      </w:r>
    </w:p>
    <w:p w14:paraId="11EE7E2A" w14:textId="77777777" w:rsidR="00C25537" w:rsidRPr="00E22673" w:rsidRDefault="00C25537" w:rsidP="00E22673">
      <w:pPr>
        <w:rPr>
          <w:rFonts w:cs="Arial"/>
          <w:sz w:val="22"/>
          <w:szCs w:val="22"/>
        </w:rPr>
      </w:pPr>
      <w:r w:rsidRPr="00E22673">
        <w:rPr>
          <w:rFonts w:cs="Arial"/>
        </w:rPr>
        <w:t xml:space="preserve">Exceptional circumstances </w:t>
      </w:r>
      <w:proofErr w:type="gramStart"/>
      <w:r w:rsidRPr="00E22673">
        <w:rPr>
          <w:rFonts w:cs="Arial"/>
        </w:rPr>
        <w:t>will be considered</w:t>
      </w:r>
      <w:proofErr w:type="gramEnd"/>
      <w:r w:rsidRPr="00E22673">
        <w:rPr>
          <w:rFonts w:cs="Arial"/>
        </w:rPr>
        <w:t xml:space="preserve"> on their merits and in accordance with probity principles.</w:t>
      </w:r>
    </w:p>
    <w:p w14:paraId="056AD705" w14:textId="77777777" w:rsidR="00C25537" w:rsidRDefault="00C25537" w:rsidP="00C25537">
      <w:pPr>
        <w:rPr>
          <w:b/>
          <w:bCs/>
        </w:rPr>
      </w:pPr>
      <w:r>
        <w:rPr>
          <w:b/>
          <w:bCs/>
        </w:rPr>
        <w:t>How to lodge a late application</w:t>
      </w:r>
    </w:p>
    <w:p w14:paraId="6EC79269" w14:textId="77777777" w:rsidR="008C59DB" w:rsidRPr="00E22673" w:rsidRDefault="008C59DB" w:rsidP="00E22673">
      <w:pPr>
        <w:rPr>
          <w:rFonts w:cs="Arial"/>
        </w:rPr>
      </w:pPr>
      <w:r w:rsidRPr="00E22673">
        <w:rPr>
          <w:rFonts w:cs="Arial"/>
        </w:rPr>
        <w:t xml:space="preserve">Applicants seeking to submit a late application will be required to submit a late application request to the Community Grants Hub via </w:t>
      </w:r>
      <w:hyperlink r:id="rId37" w:history="1">
        <w:r w:rsidRPr="00E22673">
          <w:rPr>
            <w:rStyle w:val="Hyperlink"/>
            <w:rFonts w:cs="Arial"/>
          </w:rPr>
          <w:t>support@communitygrants.gov.au</w:t>
        </w:r>
      </w:hyperlink>
      <w:r w:rsidRPr="00E22673">
        <w:rPr>
          <w:rFonts w:cs="Arial"/>
        </w:rPr>
        <w:t>.</w:t>
      </w:r>
    </w:p>
    <w:p w14:paraId="7948BDCD" w14:textId="2D1D8042" w:rsidR="008C59DB" w:rsidRPr="00E22673" w:rsidRDefault="008C59DB" w:rsidP="00E22673">
      <w:pPr>
        <w:pStyle w:val="BodyText"/>
        <w:spacing w:before="40" w:line="280" w:lineRule="atLeast"/>
        <w:rPr>
          <w:rFonts w:cs="Arial"/>
          <w:sz w:val="20"/>
        </w:rPr>
      </w:pPr>
      <w:r w:rsidRPr="00E22673">
        <w:rPr>
          <w:rFonts w:cs="Arial"/>
          <w:sz w:val="20"/>
        </w:rPr>
        <w:t xml:space="preserve">The request should include a detailed explanation of the circumstances that prevented the application </w:t>
      </w:r>
      <w:proofErr w:type="gramStart"/>
      <w:r w:rsidRPr="00E22673">
        <w:rPr>
          <w:rFonts w:cs="Arial"/>
          <w:sz w:val="20"/>
        </w:rPr>
        <w:t>being submitted</w:t>
      </w:r>
      <w:proofErr w:type="gramEnd"/>
      <w:r w:rsidRPr="00E22673">
        <w:rPr>
          <w:rFonts w:cs="Arial"/>
          <w:sz w:val="20"/>
        </w:rPr>
        <w:t xml:space="preserve"> prior to the closing time</w:t>
      </w:r>
      <w:r w:rsidR="00B35662" w:rsidRPr="00E22673">
        <w:rPr>
          <w:rFonts w:cs="Arial"/>
          <w:sz w:val="20"/>
        </w:rPr>
        <w:t xml:space="preserve"> and time</w:t>
      </w:r>
      <w:r w:rsidRPr="00E22673">
        <w:rPr>
          <w:rFonts w:cs="Arial"/>
          <w:sz w:val="20"/>
        </w:rPr>
        <w:t xml:space="preserve">. Where appropriate, supporting evidence </w:t>
      </w:r>
      <w:proofErr w:type="gramStart"/>
      <w:r w:rsidRPr="00E22673">
        <w:rPr>
          <w:rFonts w:cs="Arial"/>
          <w:sz w:val="20"/>
        </w:rPr>
        <w:t>can be provided</w:t>
      </w:r>
      <w:proofErr w:type="gramEnd"/>
      <w:r w:rsidRPr="00E22673">
        <w:rPr>
          <w:rFonts w:cs="Arial"/>
          <w:sz w:val="20"/>
        </w:rPr>
        <w:t xml:space="preserve"> to verify the clai</w:t>
      </w:r>
      <w:r w:rsidR="00523CFB">
        <w:rPr>
          <w:rFonts w:cs="Arial"/>
          <w:sz w:val="20"/>
        </w:rPr>
        <w:t>m of exceptional circumstances.</w:t>
      </w:r>
    </w:p>
    <w:p w14:paraId="76A664D2" w14:textId="77481C43" w:rsidR="005D4A89" w:rsidRPr="00E22673" w:rsidRDefault="005D4A89" w:rsidP="00E22673">
      <w:pPr>
        <w:rPr>
          <w:rFonts w:cs="Arial"/>
        </w:rPr>
      </w:pPr>
      <w:r w:rsidRPr="00E22673">
        <w:rPr>
          <w:rFonts w:cs="Arial"/>
        </w:rPr>
        <w:t>The Community Grants Hub do</w:t>
      </w:r>
      <w:r w:rsidR="0074641F">
        <w:rPr>
          <w:rFonts w:cs="Arial"/>
        </w:rPr>
        <w:t>es</w:t>
      </w:r>
      <w:r w:rsidRPr="00E22673">
        <w:rPr>
          <w:rFonts w:cs="Arial"/>
        </w:rPr>
        <w:t xml:space="preserve"> not have to accept any additional information, or requests from you to correct your application after the closing time.</w:t>
      </w:r>
    </w:p>
    <w:p w14:paraId="6876B629" w14:textId="3A1751E2" w:rsidR="008C59DB" w:rsidRPr="00E22673" w:rsidRDefault="008C59DB" w:rsidP="00E22673">
      <w:pPr>
        <w:rPr>
          <w:rFonts w:cs="Arial"/>
        </w:rPr>
      </w:pPr>
      <w:r w:rsidRPr="00E22673">
        <w:rPr>
          <w:rFonts w:cs="Arial"/>
        </w:rPr>
        <w:t xml:space="preserve">Late application requests </w:t>
      </w:r>
      <w:proofErr w:type="gramStart"/>
      <w:r w:rsidRPr="00E22673">
        <w:rPr>
          <w:rFonts w:cs="Arial"/>
        </w:rPr>
        <w:t>will only be accepted</w:t>
      </w:r>
      <w:proofErr w:type="gramEnd"/>
      <w:r w:rsidRPr="00E22673">
        <w:rPr>
          <w:rFonts w:cs="Arial"/>
        </w:rPr>
        <w:t xml:space="preserve"> within three days after th</w:t>
      </w:r>
      <w:r w:rsidR="00523CFB">
        <w:rPr>
          <w:rFonts w:cs="Arial"/>
        </w:rPr>
        <w:t>e grant opportunity has closed.</w:t>
      </w:r>
    </w:p>
    <w:p w14:paraId="2D373610" w14:textId="77777777" w:rsidR="008C59DB" w:rsidRPr="00E22673" w:rsidRDefault="008C59DB" w:rsidP="00E22673">
      <w:pPr>
        <w:rPr>
          <w:rFonts w:cs="Arial"/>
          <w:sz w:val="24"/>
          <w:szCs w:val="24"/>
          <w:lang w:eastAsia="en-AU"/>
        </w:rPr>
      </w:pPr>
      <w:r w:rsidRPr="00E22673">
        <w:rPr>
          <w:rFonts w:cs="Arial"/>
        </w:rPr>
        <w:t>The Delegate or their appointed representative</w:t>
      </w:r>
      <w:r w:rsidR="00096414">
        <w:rPr>
          <w:rStyle w:val="FootnoteReference"/>
        </w:rPr>
        <w:footnoteReference w:id="7"/>
      </w:r>
      <w:r w:rsidRPr="00E22673">
        <w:rPr>
          <w:rFonts w:cs="Arial"/>
        </w:rPr>
        <w:t xml:space="preserve"> will determine whether a late application </w:t>
      </w:r>
      <w:proofErr w:type="gramStart"/>
      <w:r w:rsidRPr="00E22673">
        <w:rPr>
          <w:rFonts w:cs="Arial"/>
        </w:rPr>
        <w:t>will be accepted</w:t>
      </w:r>
      <w:proofErr w:type="gramEnd"/>
      <w:r w:rsidRPr="00E22673">
        <w:rPr>
          <w:rFonts w:cs="Arial"/>
        </w:rPr>
        <w:t>. The decision of the delegate will be final and not be subject to a review or appeals process.</w:t>
      </w:r>
    </w:p>
    <w:p w14:paraId="3A21BE42" w14:textId="77777777" w:rsidR="008C59DB" w:rsidRPr="00E22673" w:rsidRDefault="008C59DB" w:rsidP="00E22673">
      <w:pPr>
        <w:rPr>
          <w:rFonts w:cs="Arial"/>
          <w:sz w:val="22"/>
          <w:szCs w:val="22"/>
        </w:rPr>
      </w:pPr>
      <w:r w:rsidRPr="00E22673">
        <w:rPr>
          <w:rFonts w:cs="Arial"/>
        </w:rPr>
        <w:t>Once the outcome of the late application request is determined, the Community Grants Hub will advise the applicant if their request is accepted or declined.</w:t>
      </w:r>
    </w:p>
    <w:p w14:paraId="3B8CB787" w14:textId="77777777" w:rsidR="008C59DB" w:rsidRPr="00587B4B" w:rsidRDefault="008C59DB" w:rsidP="00796E57">
      <w:pPr>
        <w:spacing w:before="200"/>
        <w:rPr>
          <w:b/>
        </w:rPr>
      </w:pPr>
      <w:r w:rsidRPr="00632292">
        <w:rPr>
          <w:b/>
        </w:rPr>
        <w:t xml:space="preserve">Expected timing for this grant opportunity </w:t>
      </w:r>
    </w:p>
    <w:p w14:paraId="20698FCF" w14:textId="2E036CB9" w:rsidR="008C59DB" w:rsidRPr="00E22673" w:rsidRDefault="008C59DB" w:rsidP="0074641F">
      <w:pPr>
        <w:rPr>
          <w:rFonts w:cs="Arial"/>
        </w:rPr>
      </w:pPr>
      <w:r w:rsidRPr="00E22673">
        <w:rPr>
          <w:rFonts w:cs="Arial"/>
        </w:rPr>
        <w:t xml:space="preserve">Anticipated timeframes for this ICB </w:t>
      </w:r>
      <w:r w:rsidR="0074641F">
        <w:rPr>
          <w:rFonts w:cs="Arial"/>
        </w:rPr>
        <w:t>g</w:t>
      </w:r>
      <w:r w:rsidRPr="00E22673">
        <w:rPr>
          <w:rFonts w:cs="Arial"/>
        </w:rPr>
        <w:t xml:space="preserve">rant are contained below. Whilst every effort </w:t>
      </w:r>
      <w:proofErr w:type="gramStart"/>
      <w:r w:rsidRPr="00E22673">
        <w:rPr>
          <w:rFonts w:cs="Arial"/>
        </w:rPr>
        <w:t>will be made</w:t>
      </w:r>
      <w:proofErr w:type="gramEnd"/>
      <w:r w:rsidRPr="00E22673">
        <w:rPr>
          <w:rFonts w:cs="Arial"/>
        </w:rPr>
        <w:t xml:space="preserve"> to adhere to the indicated timeframes, </w:t>
      </w:r>
      <w:r w:rsidR="0074641F">
        <w:rPr>
          <w:rFonts w:cs="Arial"/>
        </w:rPr>
        <w:t>a</w:t>
      </w:r>
      <w:r w:rsidRPr="00E22673">
        <w:rPr>
          <w:rFonts w:cs="Arial"/>
        </w:rPr>
        <w:t>pplicants should note that the timeframes provided are indicative only and may be subject to change</w:t>
      </w:r>
      <w:r w:rsidR="00AC6F5E" w:rsidRPr="00E22673">
        <w:rPr>
          <w:rFonts w:cs="Arial"/>
        </w:rPr>
        <w:t>.</w:t>
      </w:r>
    </w:p>
    <w:p w14:paraId="0CBEC2E8" w14:textId="5992CDDB" w:rsidR="008C59DB" w:rsidRPr="00E22673" w:rsidRDefault="008C59DB" w:rsidP="0074641F">
      <w:pPr>
        <w:pStyle w:val="Caption"/>
        <w:keepNext/>
        <w:spacing w:before="40"/>
        <w:rPr>
          <w:rFonts w:cs="Arial"/>
          <w:color w:val="auto"/>
        </w:rPr>
      </w:pPr>
      <w:r w:rsidRPr="00E22673">
        <w:rPr>
          <w:rFonts w:cs="Arial"/>
          <w:bCs/>
          <w:color w:val="auto"/>
        </w:rPr>
        <w:t>Table 1: Anticipated timing for this grant opportunity</w:t>
      </w:r>
    </w:p>
    <w:tbl>
      <w:tblPr>
        <w:tblStyle w:val="TableGridLight"/>
        <w:tblW w:w="9634" w:type="dxa"/>
        <w:tblLook w:val="0660" w:firstRow="1" w:lastRow="1" w:firstColumn="0" w:lastColumn="0" w:noHBand="1" w:noVBand="1"/>
        <w:tblCaption w:val="Expected timing for this grant opportunity"/>
      </w:tblPr>
      <w:tblGrid>
        <w:gridCol w:w="4248"/>
        <w:gridCol w:w="2693"/>
        <w:gridCol w:w="2693"/>
      </w:tblGrid>
      <w:tr w:rsidR="0014171B" w:rsidRPr="00FF256F" w14:paraId="49F5DE53" w14:textId="77777777" w:rsidTr="000B7776">
        <w:trPr>
          <w:cantSplit/>
          <w:tblHeader/>
        </w:trPr>
        <w:tc>
          <w:tcPr>
            <w:tcW w:w="4248" w:type="dxa"/>
            <w:shd w:val="clear" w:color="auto" w:fill="264F90"/>
          </w:tcPr>
          <w:p w14:paraId="0D47F56F" w14:textId="77777777" w:rsidR="0014171B" w:rsidRPr="000B7776" w:rsidRDefault="001A4511" w:rsidP="005E75D9">
            <w:pPr>
              <w:pStyle w:val="TableHeadingNumbered"/>
              <w:rPr>
                <w:b/>
              </w:rPr>
            </w:pPr>
            <w:r w:rsidRPr="000B7776">
              <w:rPr>
                <w:b/>
              </w:rPr>
              <w:t>Activity</w:t>
            </w:r>
          </w:p>
        </w:tc>
        <w:tc>
          <w:tcPr>
            <w:tcW w:w="2693" w:type="dxa"/>
            <w:shd w:val="clear" w:color="auto" w:fill="264F90"/>
          </w:tcPr>
          <w:p w14:paraId="1C9F4AD0" w14:textId="77777777" w:rsidR="0014171B" w:rsidRPr="000B7776" w:rsidRDefault="0014171B" w:rsidP="005E75D9">
            <w:pPr>
              <w:pStyle w:val="TableHeadingNumbered"/>
              <w:rPr>
                <w:b/>
              </w:rPr>
            </w:pPr>
            <w:r w:rsidRPr="000B7776">
              <w:rPr>
                <w:b/>
              </w:rPr>
              <w:t>Timeframe</w:t>
            </w:r>
          </w:p>
        </w:tc>
        <w:tc>
          <w:tcPr>
            <w:tcW w:w="2693" w:type="dxa"/>
            <w:shd w:val="clear" w:color="auto" w:fill="264F90"/>
            <w:vAlign w:val="center"/>
          </w:tcPr>
          <w:p w14:paraId="2605DCD7" w14:textId="77777777" w:rsidR="0014171B" w:rsidRPr="000B7776" w:rsidRDefault="0014171B" w:rsidP="000B7776">
            <w:pPr>
              <w:pStyle w:val="TableHeadingNumbered"/>
              <w:rPr>
                <w:b/>
              </w:rPr>
            </w:pPr>
            <w:r w:rsidRPr="000B7776">
              <w:rPr>
                <w:b/>
              </w:rPr>
              <w:t>Date</w:t>
            </w:r>
          </w:p>
        </w:tc>
      </w:tr>
      <w:tr w:rsidR="0014171B" w:rsidRPr="00FF256F" w14:paraId="7574D97F" w14:textId="77777777" w:rsidTr="000B7776">
        <w:trPr>
          <w:cantSplit/>
        </w:trPr>
        <w:tc>
          <w:tcPr>
            <w:tcW w:w="4248" w:type="dxa"/>
          </w:tcPr>
          <w:p w14:paraId="785EF529" w14:textId="5CC6C1A6" w:rsidR="0014171B" w:rsidRPr="005B24E4" w:rsidRDefault="0014171B" w:rsidP="0074641F">
            <w:pPr>
              <w:pStyle w:val="TableText"/>
              <w:rPr>
                <w:szCs w:val="20"/>
              </w:rPr>
            </w:pPr>
            <w:r w:rsidRPr="005B24E4">
              <w:rPr>
                <w:szCs w:val="20"/>
              </w:rPr>
              <w:t xml:space="preserve">Open </w:t>
            </w:r>
            <w:r w:rsidR="0074641F">
              <w:rPr>
                <w:szCs w:val="20"/>
              </w:rPr>
              <w:t>g</w:t>
            </w:r>
            <w:r w:rsidRPr="005B24E4">
              <w:rPr>
                <w:szCs w:val="20"/>
              </w:rPr>
              <w:t xml:space="preserve">rant </w:t>
            </w:r>
            <w:r w:rsidR="0074641F">
              <w:rPr>
                <w:szCs w:val="20"/>
              </w:rPr>
              <w:t>r</w:t>
            </w:r>
            <w:r w:rsidRPr="005B24E4">
              <w:rPr>
                <w:szCs w:val="20"/>
              </w:rPr>
              <w:t>ound</w:t>
            </w:r>
          </w:p>
        </w:tc>
        <w:tc>
          <w:tcPr>
            <w:tcW w:w="2693" w:type="dxa"/>
          </w:tcPr>
          <w:p w14:paraId="6DF00C05" w14:textId="77777777" w:rsidR="0014171B" w:rsidRPr="00B0570C" w:rsidRDefault="00677FCB" w:rsidP="00F72DA9">
            <w:pPr>
              <w:pStyle w:val="TableText"/>
              <w:rPr>
                <w:szCs w:val="20"/>
              </w:rPr>
            </w:pPr>
            <w:r>
              <w:rPr>
                <w:szCs w:val="20"/>
              </w:rPr>
              <w:t>6</w:t>
            </w:r>
            <w:r w:rsidRPr="00B0570C">
              <w:rPr>
                <w:szCs w:val="20"/>
              </w:rPr>
              <w:t xml:space="preserve"> </w:t>
            </w:r>
            <w:r w:rsidR="0014171B" w:rsidRPr="00B0570C">
              <w:rPr>
                <w:szCs w:val="20"/>
              </w:rPr>
              <w:t>weeks</w:t>
            </w:r>
          </w:p>
        </w:tc>
        <w:tc>
          <w:tcPr>
            <w:tcW w:w="2693" w:type="dxa"/>
          </w:tcPr>
          <w:p w14:paraId="2D0A0BD6" w14:textId="77777777" w:rsidR="0014171B" w:rsidRPr="00B0570C" w:rsidRDefault="00CD0BAE" w:rsidP="00F72DA9">
            <w:pPr>
              <w:pStyle w:val="TableText"/>
              <w:rPr>
                <w:szCs w:val="20"/>
              </w:rPr>
            </w:pPr>
            <w:r w:rsidRPr="00B0570C">
              <w:rPr>
                <w:szCs w:val="20"/>
              </w:rPr>
              <w:t xml:space="preserve">19 </w:t>
            </w:r>
            <w:r w:rsidR="0014171B" w:rsidRPr="00B0570C">
              <w:rPr>
                <w:szCs w:val="20"/>
              </w:rPr>
              <w:t>August 2019</w:t>
            </w:r>
          </w:p>
        </w:tc>
      </w:tr>
      <w:tr w:rsidR="001A4511" w:rsidRPr="00FF256F" w14:paraId="1996C8FF" w14:textId="77777777" w:rsidTr="000B7776">
        <w:trPr>
          <w:cantSplit/>
        </w:trPr>
        <w:tc>
          <w:tcPr>
            <w:tcW w:w="4248" w:type="dxa"/>
          </w:tcPr>
          <w:p w14:paraId="1EC8C54A" w14:textId="77777777" w:rsidR="001A4511" w:rsidRPr="00164534" w:rsidRDefault="001A4511" w:rsidP="005E75D9">
            <w:pPr>
              <w:pStyle w:val="TableText"/>
              <w:rPr>
                <w:szCs w:val="20"/>
              </w:rPr>
            </w:pPr>
            <w:r w:rsidRPr="00164534">
              <w:rPr>
                <w:szCs w:val="20"/>
              </w:rPr>
              <w:t>Closing date and time</w:t>
            </w:r>
          </w:p>
        </w:tc>
        <w:tc>
          <w:tcPr>
            <w:tcW w:w="2693" w:type="dxa"/>
          </w:tcPr>
          <w:p w14:paraId="17456DF2" w14:textId="2DBC9544" w:rsidR="001A4511" w:rsidRPr="00164534" w:rsidRDefault="00677FCB" w:rsidP="00F72DA9">
            <w:pPr>
              <w:pStyle w:val="TableText"/>
              <w:rPr>
                <w:szCs w:val="20"/>
              </w:rPr>
            </w:pPr>
            <w:r>
              <w:rPr>
                <w:szCs w:val="20"/>
              </w:rPr>
              <w:t>Monday</w:t>
            </w:r>
            <w:r w:rsidRPr="00164534">
              <w:rPr>
                <w:szCs w:val="20"/>
              </w:rPr>
              <w:t xml:space="preserve"> </w:t>
            </w:r>
            <w:r w:rsidR="000B7776">
              <w:rPr>
                <w:szCs w:val="20"/>
              </w:rPr>
              <w:t>11:00PM</w:t>
            </w:r>
            <w:r w:rsidR="001A4511" w:rsidRPr="00164534">
              <w:rPr>
                <w:szCs w:val="20"/>
              </w:rPr>
              <w:t xml:space="preserve"> AEST</w:t>
            </w:r>
          </w:p>
        </w:tc>
        <w:tc>
          <w:tcPr>
            <w:tcW w:w="2693" w:type="dxa"/>
          </w:tcPr>
          <w:p w14:paraId="5D978A05" w14:textId="77777777" w:rsidR="001A4511" w:rsidRPr="00164534" w:rsidRDefault="00677FCB" w:rsidP="00F72DA9">
            <w:pPr>
              <w:pStyle w:val="TableText"/>
              <w:rPr>
                <w:szCs w:val="20"/>
              </w:rPr>
            </w:pPr>
            <w:r>
              <w:rPr>
                <w:szCs w:val="20"/>
              </w:rPr>
              <w:t>30</w:t>
            </w:r>
            <w:r w:rsidRPr="00164534">
              <w:rPr>
                <w:szCs w:val="20"/>
              </w:rPr>
              <w:t xml:space="preserve"> </w:t>
            </w:r>
            <w:r w:rsidR="001A4511" w:rsidRPr="00164534">
              <w:rPr>
                <w:szCs w:val="20"/>
              </w:rPr>
              <w:t>September 2019</w:t>
            </w:r>
          </w:p>
        </w:tc>
      </w:tr>
      <w:tr w:rsidR="0014171B" w:rsidRPr="00FF256F" w14:paraId="4EB9DA89" w14:textId="77777777" w:rsidTr="000B7776">
        <w:trPr>
          <w:cantSplit/>
        </w:trPr>
        <w:tc>
          <w:tcPr>
            <w:tcW w:w="4248" w:type="dxa"/>
          </w:tcPr>
          <w:p w14:paraId="48A996AF" w14:textId="77777777" w:rsidR="0014171B" w:rsidRPr="005B24E4" w:rsidRDefault="008C6868" w:rsidP="005B24E4">
            <w:pPr>
              <w:pStyle w:val="TableText"/>
              <w:rPr>
                <w:szCs w:val="20"/>
              </w:rPr>
            </w:pPr>
            <w:r w:rsidRPr="005B24E4">
              <w:rPr>
                <w:szCs w:val="20"/>
              </w:rPr>
              <w:lastRenderedPageBreak/>
              <w:t xml:space="preserve">Assessment of applications </w:t>
            </w:r>
          </w:p>
        </w:tc>
        <w:tc>
          <w:tcPr>
            <w:tcW w:w="2693" w:type="dxa"/>
          </w:tcPr>
          <w:p w14:paraId="2D068C52" w14:textId="77777777" w:rsidR="0014171B" w:rsidRPr="00B0570C" w:rsidRDefault="0014171B" w:rsidP="00F72DA9">
            <w:pPr>
              <w:pStyle w:val="TableText"/>
              <w:rPr>
                <w:szCs w:val="20"/>
              </w:rPr>
            </w:pPr>
            <w:r w:rsidRPr="00B0570C">
              <w:rPr>
                <w:szCs w:val="20"/>
              </w:rPr>
              <w:t xml:space="preserve">4 weeks </w:t>
            </w:r>
          </w:p>
        </w:tc>
        <w:tc>
          <w:tcPr>
            <w:tcW w:w="2693" w:type="dxa"/>
          </w:tcPr>
          <w:p w14:paraId="6F41E9F9" w14:textId="77777777" w:rsidR="0014171B" w:rsidRPr="00B0570C" w:rsidRDefault="00F70B0F" w:rsidP="00F70B0F">
            <w:pPr>
              <w:pStyle w:val="TableText"/>
              <w:rPr>
                <w:szCs w:val="20"/>
              </w:rPr>
            </w:pPr>
            <w:r w:rsidRPr="00B0570C">
              <w:rPr>
                <w:szCs w:val="20"/>
              </w:rPr>
              <w:t>October - November</w:t>
            </w:r>
            <w:r w:rsidR="0014171B" w:rsidRPr="00B0570C">
              <w:rPr>
                <w:szCs w:val="20"/>
              </w:rPr>
              <w:t xml:space="preserve"> 2019</w:t>
            </w:r>
          </w:p>
        </w:tc>
      </w:tr>
      <w:tr w:rsidR="0014171B" w:rsidRPr="00FF256F" w14:paraId="3D78A14C" w14:textId="77777777" w:rsidTr="000B7776">
        <w:trPr>
          <w:cantSplit/>
        </w:trPr>
        <w:tc>
          <w:tcPr>
            <w:tcW w:w="4248" w:type="dxa"/>
          </w:tcPr>
          <w:p w14:paraId="4B0194F5" w14:textId="77777777" w:rsidR="0014171B" w:rsidRPr="005B24E4" w:rsidRDefault="0014171B" w:rsidP="005E75D9">
            <w:pPr>
              <w:pStyle w:val="TableText"/>
              <w:rPr>
                <w:szCs w:val="20"/>
              </w:rPr>
            </w:pPr>
            <w:r w:rsidRPr="005B24E4">
              <w:rPr>
                <w:szCs w:val="20"/>
              </w:rPr>
              <w:t>Approval of outcomes of selection process</w:t>
            </w:r>
          </w:p>
        </w:tc>
        <w:tc>
          <w:tcPr>
            <w:tcW w:w="2693" w:type="dxa"/>
          </w:tcPr>
          <w:p w14:paraId="16BC5705" w14:textId="77777777" w:rsidR="0014171B" w:rsidRPr="00B0570C" w:rsidRDefault="0014171B" w:rsidP="00F72DA9">
            <w:pPr>
              <w:pStyle w:val="TableText"/>
              <w:rPr>
                <w:szCs w:val="20"/>
              </w:rPr>
            </w:pPr>
            <w:r w:rsidRPr="00B0570C">
              <w:rPr>
                <w:szCs w:val="20"/>
              </w:rPr>
              <w:t xml:space="preserve">2 weeks </w:t>
            </w:r>
          </w:p>
        </w:tc>
        <w:tc>
          <w:tcPr>
            <w:tcW w:w="2693" w:type="dxa"/>
          </w:tcPr>
          <w:p w14:paraId="52631064" w14:textId="77777777" w:rsidR="0014171B" w:rsidRPr="00B0570C" w:rsidRDefault="0014171B" w:rsidP="00F72DA9">
            <w:pPr>
              <w:pStyle w:val="TableText"/>
              <w:rPr>
                <w:szCs w:val="20"/>
              </w:rPr>
            </w:pPr>
            <w:r w:rsidRPr="00B0570C">
              <w:rPr>
                <w:szCs w:val="20"/>
              </w:rPr>
              <w:t>December</w:t>
            </w:r>
            <w:r w:rsidR="00F70B0F" w:rsidRPr="00B0570C">
              <w:rPr>
                <w:szCs w:val="20"/>
              </w:rPr>
              <w:t xml:space="preserve"> 2019</w:t>
            </w:r>
          </w:p>
        </w:tc>
      </w:tr>
      <w:tr w:rsidR="0014171B" w:rsidRPr="00FF256F" w14:paraId="0EB895E6" w14:textId="77777777" w:rsidTr="000B7776">
        <w:trPr>
          <w:cantSplit/>
        </w:trPr>
        <w:tc>
          <w:tcPr>
            <w:tcW w:w="4248" w:type="dxa"/>
          </w:tcPr>
          <w:p w14:paraId="57D0B9B3" w14:textId="77777777" w:rsidR="0014171B" w:rsidRPr="005B24E4" w:rsidRDefault="0014171B" w:rsidP="005E75D9">
            <w:pPr>
              <w:pStyle w:val="TableText"/>
              <w:rPr>
                <w:szCs w:val="20"/>
              </w:rPr>
            </w:pPr>
            <w:r w:rsidRPr="005B24E4">
              <w:rPr>
                <w:szCs w:val="20"/>
              </w:rPr>
              <w:t>Announcement</w:t>
            </w:r>
          </w:p>
        </w:tc>
        <w:tc>
          <w:tcPr>
            <w:tcW w:w="2693" w:type="dxa"/>
          </w:tcPr>
          <w:p w14:paraId="7D70E0BD" w14:textId="77777777" w:rsidR="0014171B" w:rsidRPr="00B0570C" w:rsidRDefault="0014171B" w:rsidP="00F72DA9">
            <w:pPr>
              <w:pStyle w:val="TableText"/>
              <w:rPr>
                <w:szCs w:val="20"/>
              </w:rPr>
            </w:pPr>
            <w:r w:rsidRPr="00B0570C">
              <w:rPr>
                <w:szCs w:val="20"/>
              </w:rPr>
              <w:t>1 day</w:t>
            </w:r>
          </w:p>
        </w:tc>
        <w:tc>
          <w:tcPr>
            <w:tcW w:w="2693" w:type="dxa"/>
          </w:tcPr>
          <w:p w14:paraId="6E6AB542" w14:textId="77777777" w:rsidR="0014171B" w:rsidRPr="00B0570C" w:rsidRDefault="0014171B" w:rsidP="00F72DA9">
            <w:pPr>
              <w:pStyle w:val="TableText"/>
              <w:rPr>
                <w:szCs w:val="20"/>
              </w:rPr>
            </w:pPr>
            <w:r w:rsidRPr="00B0570C">
              <w:rPr>
                <w:szCs w:val="20"/>
              </w:rPr>
              <w:t>December</w:t>
            </w:r>
            <w:r w:rsidR="00F70B0F" w:rsidRPr="00B0570C">
              <w:rPr>
                <w:szCs w:val="20"/>
              </w:rPr>
              <w:t xml:space="preserve"> 2019</w:t>
            </w:r>
          </w:p>
        </w:tc>
      </w:tr>
      <w:tr w:rsidR="0014171B" w:rsidRPr="00FF256F" w14:paraId="37695C42" w14:textId="77777777" w:rsidTr="000B7776">
        <w:trPr>
          <w:cantSplit/>
        </w:trPr>
        <w:tc>
          <w:tcPr>
            <w:tcW w:w="4248" w:type="dxa"/>
          </w:tcPr>
          <w:p w14:paraId="5A5B41D7" w14:textId="77777777" w:rsidR="0014171B" w:rsidRPr="005B24E4" w:rsidRDefault="0014171B" w:rsidP="0014171B">
            <w:pPr>
              <w:pStyle w:val="TableText"/>
              <w:rPr>
                <w:szCs w:val="20"/>
              </w:rPr>
            </w:pPr>
            <w:r w:rsidRPr="005B24E4">
              <w:rPr>
                <w:szCs w:val="20"/>
              </w:rPr>
              <w:t xml:space="preserve">Notification to </w:t>
            </w:r>
            <w:r w:rsidR="009A3456" w:rsidRPr="005B24E4">
              <w:rPr>
                <w:szCs w:val="20"/>
              </w:rPr>
              <w:t xml:space="preserve">successful and </w:t>
            </w:r>
            <w:r w:rsidRPr="005B24E4">
              <w:rPr>
                <w:szCs w:val="20"/>
              </w:rPr>
              <w:t>unsuccessful applicants</w:t>
            </w:r>
          </w:p>
        </w:tc>
        <w:tc>
          <w:tcPr>
            <w:tcW w:w="2693" w:type="dxa"/>
          </w:tcPr>
          <w:p w14:paraId="79F9B22A" w14:textId="77777777" w:rsidR="0014171B" w:rsidRPr="00B0570C" w:rsidRDefault="0014171B" w:rsidP="0014171B">
            <w:pPr>
              <w:pStyle w:val="TableText"/>
              <w:rPr>
                <w:szCs w:val="20"/>
              </w:rPr>
            </w:pPr>
            <w:r w:rsidRPr="00B0570C">
              <w:rPr>
                <w:szCs w:val="20"/>
              </w:rPr>
              <w:t xml:space="preserve">2 weeks </w:t>
            </w:r>
          </w:p>
        </w:tc>
        <w:tc>
          <w:tcPr>
            <w:tcW w:w="2693" w:type="dxa"/>
          </w:tcPr>
          <w:p w14:paraId="7B34E606" w14:textId="77777777" w:rsidR="0014171B" w:rsidRPr="00B0570C" w:rsidRDefault="009A3456" w:rsidP="00F70B0F">
            <w:pPr>
              <w:pStyle w:val="TableText"/>
              <w:rPr>
                <w:szCs w:val="20"/>
              </w:rPr>
            </w:pPr>
            <w:r w:rsidRPr="00B0570C">
              <w:rPr>
                <w:szCs w:val="20"/>
              </w:rPr>
              <w:t>December</w:t>
            </w:r>
            <w:r w:rsidR="00F70B0F" w:rsidRPr="00B0570C">
              <w:rPr>
                <w:szCs w:val="20"/>
              </w:rPr>
              <w:t xml:space="preserve"> 2019</w:t>
            </w:r>
          </w:p>
        </w:tc>
      </w:tr>
      <w:tr w:rsidR="0014171B" w:rsidRPr="00FF256F" w14:paraId="657D2C17" w14:textId="77777777" w:rsidTr="000B7776">
        <w:trPr>
          <w:cantSplit/>
        </w:trPr>
        <w:tc>
          <w:tcPr>
            <w:tcW w:w="4248" w:type="dxa"/>
          </w:tcPr>
          <w:p w14:paraId="60050EFD" w14:textId="77777777" w:rsidR="0014171B" w:rsidRPr="005B24E4" w:rsidRDefault="0014171B" w:rsidP="0014171B">
            <w:pPr>
              <w:pStyle w:val="TableText"/>
              <w:rPr>
                <w:szCs w:val="20"/>
              </w:rPr>
            </w:pPr>
            <w:r w:rsidRPr="005B24E4">
              <w:rPr>
                <w:szCs w:val="20"/>
              </w:rPr>
              <w:t>Negotiations and award of grant agreements</w:t>
            </w:r>
          </w:p>
        </w:tc>
        <w:tc>
          <w:tcPr>
            <w:tcW w:w="2693" w:type="dxa"/>
          </w:tcPr>
          <w:p w14:paraId="3D1CF6E6" w14:textId="77777777" w:rsidR="0014171B" w:rsidRPr="00B0570C" w:rsidRDefault="0014171B" w:rsidP="0014171B">
            <w:pPr>
              <w:pStyle w:val="TableText"/>
              <w:rPr>
                <w:szCs w:val="20"/>
              </w:rPr>
            </w:pPr>
            <w:r w:rsidRPr="00B0570C">
              <w:rPr>
                <w:szCs w:val="20"/>
              </w:rPr>
              <w:t>Up to 6 weeks</w:t>
            </w:r>
          </w:p>
        </w:tc>
        <w:tc>
          <w:tcPr>
            <w:tcW w:w="2693" w:type="dxa"/>
          </w:tcPr>
          <w:p w14:paraId="1B389A1E" w14:textId="742FB7C9" w:rsidR="0014171B" w:rsidRPr="00B0570C" w:rsidRDefault="009A3456" w:rsidP="000B7776">
            <w:pPr>
              <w:pStyle w:val="TableText"/>
              <w:rPr>
                <w:szCs w:val="20"/>
              </w:rPr>
            </w:pPr>
            <w:r w:rsidRPr="00B0570C">
              <w:rPr>
                <w:szCs w:val="20"/>
              </w:rPr>
              <w:t>January</w:t>
            </w:r>
            <w:r w:rsidR="000B7776">
              <w:rPr>
                <w:szCs w:val="20"/>
              </w:rPr>
              <w:t xml:space="preserve"> </w:t>
            </w:r>
            <w:r w:rsidR="00F70B0F" w:rsidRPr="00B0570C">
              <w:rPr>
                <w:szCs w:val="20"/>
              </w:rPr>
              <w:t>– February 2020</w:t>
            </w:r>
          </w:p>
        </w:tc>
      </w:tr>
      <w:tr w:rsidR="009A3456" w:rsidRPr="00FF256F" w14:paraId="3BD84814" w14:textId="77777777" w:rsidTr="000B7776">
        <w:trPr>
          <w:cantSplit/>
        </w:trPr>
        <w:tc>
          <w:tcPr>
            <w:tcW w:w="4248" w:type="dxa"/>
          </w:tcPr>
          <w:p w14:paraId="0E115B3B" w14:textId="77777777" w:rsidR="009A3456" w:rsidRPr="005B24E4" w:rsidRDefault="009A3456" w:rsidP="009A3456">
            <w:pPr>
              <w:pStyle w:val="TableText"/>
              <w:rPr>
                <w:szCs w:val="20"/>
              </w:rPr>
            </w:pPr>
            <w:r w:rsidRPr="005B24E4">
              <w:rPr>
                <w:szCs w:val="20"/>
              </w:rPr>
              <w:t xml:space="preserve">Earliest start date of grant activity </w:t>
            </w:r>
          </w:p>
        </w:tc>
        <w:tc>
          <w:tcPr>
            <w:tcW w:w="2693" w:type="dxa"/>
          </w:tcPr>
          <w:p w14:paraId="4AE596FD" w14:textId="77777777" w:rsidR="009A3456" w:rsidRPr="00B0570C" w:rsidRDefault="009A3456" w:rsidP="009A3456">
            <w:pPr>
              <w:pStyle w:val="TableText"/>
              <w:rPr>
                <w:szCs w:val="20"/>
              </w:rPr>
            </w:pPr>
            <w:r w:rsidRPr="00B0570C">
              <w:rPr>
                <w:szCs w:val="20"/>
              </w:rPr>
              <w:t>Up to 2 weeks from signing</w:t>
            </w:r>
          </w:p>
        </w:tc>
        <w:tc>
          <w:tcPr>
            <w:tcW w:w="2693" w:type="dxa"/>
          </w:tcPr>
          <w:p w14:paraId="64DE365C" w14:textId="77777777" w:rsidR="009A3456" w:rsidRPr="00B0570C" w:rsidRDefault="009A3456" w:rsidP="009A3456">
            <w:pPr>
              <w:pStyle w:val="TableText"/>
              <w:rPr>
                <w:szCs w:val="20"/>
              </w:rPr>
            </w:pPr>
            <w:r w:rsidRPr="00B0570C">
              <w:rPr>
                <w:szCs w:val="20"/>
              </w:rPr>
              <w:t>February 2020</w:t>
            </w:r>
          </w:p>
        </w:tc>
      </w:tr>
      <w:tr w:rsidR="009A3456" w:rsidRPr="00FF256F" w14:paraId="6B3019F9" w14:textId="77777777" w:rsidTr="000B7776">
        <w:trPr>
          <w:cantSplit/>
        </w:trPr>
        <w:tc>
          <w:tcPr>
            <w:tcW w:w="4248" w:type="dxa"/>
          </w:tcPr>
          <w:p w14:paraId="73520D3D" w14:textId="77777777" w:rsidR="009A3456" w:rsidRPr="005B24E4" w:rsidRDefault="009A3456" w:rsidP="009A3456">
            <w:pPr>
              <w:pStyle w:val="TableText"/>
              <w:rPr>
                <w:szCs w:val="20"/>
              </w:rPr>
            </w:pPr>
            <w:r w:rsidRPr="005B24E4">
              <w:rPr>
                <w:szCs w:val="20"/>
              </w:rPr>
              <w:t>End date of grant activity</w:t>
            </w:r>
          </w:p>
        </w:tc>
        <w:tc>
          <w:tcPr>
            <w:tcW w:w="2693" w:type="dxa"/>
          </w:tcPr>
          <w:p w14:paraId="2DD2E588" w14:textId="77777777" w:rsidR="009A3456" w:rsidRPr="00B0570C" w:rsidRDefault="00D7656D" w:rsidP="009A3456">
            <w:pPr>
              <w:pStyle w:val="TableText"/>
              <w:rPr>
                <w:szCs w:val="20"/>
              </w:rPr>
            </w:pPr>
            <w:r w:rsidRPr="00B0570C">
              <w:rPr>
                <w:szCs w:val="20"/>
              </w:rPr>
              <w:t>Up to t</w:t>
            </w:r>
            <w:r w:rsidR="009A3456" w:rsidRPr="00B0570C">
              <w:rPr>
                <w:szCs w:val="20"/>
              </w:rPr>
              <w:t>hree years</w:t>
            </w:r>
          </w:p>
        </w:tc>
        <w:tc>
          <w:tcPr>
            <w:tcW w:w="2693" w:type="dxa"/>
          </w:tcPr>
          <w:p w14:paraId="0EBC5C5D" w14:textId="77777777" w:rsidR="009A3456" w:rsidRPr="00B0570C" w:rsidRDefault="009A3456" w:rsidP="009A3456">
            <w:pPr>
              <w:pStyle w:val="TableText"/>
              <w:rPr>
                <w:szCs w:val="20"/>
              </w:rPr>
            </w:pPr>
            <w:r w:rsidRPr="00B0570C">
              <w:rPr>
                <w:szCs w:val="20"/>
              </w:rPr>
              <w:t>February 2023</w:t>
            </w:r>
          </w:p>
        </w:tc>
      </w:tr>
    </w:tbl>
    <w:p w14:paraId="2F615C85" w14:textId="77777777" w:rsidR="008778C3" w:rsidRDefault="008778C3" w:rsidP="001505F4">
      <w:pPr>
        <w:pStyle w:val="Heading3"/>
      </w:pPr>
      <w:bookmarkStart w:id="120" w:name="_Toc16774097"/>
      <w:r w:rsidRPr="00181A24">
        <w:t>Questions during the application process</w:t>
      </w:r>
      <w:bookmarkEnd w:id="120"/>
    </w:p>
    <w:p w14:paraId="452725EB" w14:textId="506E8833" w:rsidR="008778C3" w:rsidRPr="00E22673" w:rsidRDefault="008778C3" w:rsidP="00E22673">
      <w:pPr>
        <w:rPr>
          <w:rFonts w:cs="Arial"/>
        </w:rPr>
      </w:pPr>
      <w:r w:rsidRPr="00E22673">
        <w:rPr>
          <w:rFonts w:cs="Arial"/>
        </w:rPr>
        <w:t xml:space="preserve">If you have any questions during the application period, contact </w:t>
      </w:r>
      <w:r w:rsidR="0081304B" w:rsidRPr="00E22673">
        <w:rPr>
          <w:rFonts w:cs="Arial"/>
        </w:rPr>
        <w:t>the Community Grants H</w:t>
      </w:r>
      <w:r w:rsidR="00F90355" w:rsidRPr="00E22673">
        <w:rPr>
          <w:rFonts w:cs="Arial"/>
        </w:rPr>
        <w:t xml:space="preserve">ub on 1800 020 283 or email </w:t>
      </w:r>
      <w:hyperlink r:id="rId38" w:history="1">
        <w:r w:rsidR="00F90355" w:rsidRPr="00E22673">
          <w:rPr>
            <w:rStyle w:val="Hyperlink"/>
            <w:rFonts w:cs="Arial"/>
          </w:rPr>
          <w:t>support@communitygrants.gov.au</w:t>
        </w:r>
      </w:hyperlink>
      <w:r w:rsidR="00523CFB">
        <w:rPr>
          <w:rFonts w:cs="Arial"/>
        </w:rPr>
        <w:t>.</w:t>
      </w:r>
    </w:p>
    <w:p w14:paraId="09E68CC7" w14:textId="38C68D79" w:rsidR="008778C3" w:rsidRPr="00E22673" w:rsidRDefault="008778C3" w:rsidP="00E22673">
      <w:pPr>
        <w:rPr>
          <w:rFonts w:cs="Arial"/>
        </w:rPr>
      </w:pPr>
      <w:r w:rsidRPr="00E22673">
        <w:rPr>
          <w:rFonts w:cs="Arial"/>
        </w:rPr>
        <w:t xml:space="preserve">The </w:t>
      </w:r>
      <w:r w:rsidR="00F90355" w:rsidRPr="00E22673">
        <w:rPr>
          <w:rFonts w:cs="Arial"/>
        </w:rPr>
        <w:t>Community Grants Hub</w:t>
      </w:r>
      <w:r w:rsidRPr="00E22673">
        <w:rPr>
          <w:rFonts w:cs="Arial"/>
        </w:rPr>
        <w:t xml:space="preserve"> will respond to emailed questions within</w:t>
      </w:r>
      <w:r w:rsidR="00F90355" w:rsidRPr="00E22673">
        <w:rPr>
          <w:rFonts w:cs="Arial"/>
        </w:rPr>
        <w:t xml:space="preserve"> five</w:t>
      </w:r>
      <w:r w:rsidRPr="00E22673">
        <w:rPr>
          <w:rFonts w:cs="Arial"/>
        </w:rPr>
        <w:t xml:space="preserve"> working days. Answers to questions </w:t>
      </w:r>
      <w:proofErr w:type="gramStart"/>
      <w:r w:rsidR="002F7E8A" w:rsidRPr="00E22673">
        <w:rPr>
          <w:rFonts w:cs="Arial"/>
        </w:rPr>
        <w:t xml:space="preserve">are </w:t>
      </w:r>
      <w:r w:rsidRPr="00E22673">
        <w:rPr>
          <w:rFonts w:cs="Arial"/>
        </w:rPr>
        <w:t>posted</w:t>
      </w:r>
      <w:proofErr w:type="gramEnd"/>
      <w:r w:rsidRPr="00E22673">
        <w:rPr>
          <w:rFonts w:cs="Arial"/>
        </w:rPr>
        <w:t xml:space="preserve"> on</w:t>
      </w:r>
      <w:r w:rsidR="002B1AB0" w:rsidRPr="00E22673">
        <w:rPr>
          <w:rFonts w:cs="Arial"/>
        </w:rPr>
        <w:t xml:space="preserve"> the</w:t>
      </w:r>
      <w:r w:rsidRPr="00E22673">
        <w:rPr>
          <w:rFonts w:cs="Arial"/>
        </w:rPr>
        <w:t xml:space="preserve"> </w:t>
      </w:r>
      <w:hyperlink r:id="rId39" w:history="1">
        <w:r w:rsidRPr="00E22673">
          <w:rPr>
            <w:rStyle w:val="Hyperlink"/>
            <w:rFonts w:cs="Arial"/>
          </w:rPr>
          <w:t>GrantConnect</w:t>
        </w:r>
      </w:hyperlink>
      <w:r w:rsidR="00F90355" w:rsidRPr="00E22673">
        <w:rPr>
          <w:rFonts w:cs="Arial"/>
        </w:rPr>
        <w:t xml:space="preserve"> and </w:t>
      </w:r>
      <w:hyperlink r:id="rId40" w:history="1">
        <w:r w:rsidR="00F90355" w:rsidRPr="00E22673">
          <w:rPr>
            <w:rStyle w:val="Hyperlink"/>
            <w:rFonts w:cs="Arial"/>
          </w:rPr>
          <w:t>Community Grants Hub</w:t>
        </w:r>
      </w:hyperlink>
      <w:r w:rsidR="00F90355" w:rsidRPr="00E22673">
        <w:rPr>
          <w:rFonts w:cs="Arial"/>
        </w:rPr>
        <w:t xml:space="preserve"> websites</w:t>
      </w:r>
      <w:r w:rsidRPr="00E22673">
        <w:rPr>
          <w:rFonts w:cs="Arial"/>
        </w:rPr>
        <w:t>.</w:t>
      </w:r>
    </w:p>
    <w:p w14:paraId="6CB3710D" w14:textId="77777777" w:rsidR="00125362" w:rsidRPr="00E22673" w:rsidRDefault="00125362" w:rsidP="00E22673">
      <w:pPr>
        <w:rPr>
          <w:rFonts w:eastAsiaTheme="minorHAnsi" w:cs="Arial"/>
          <w:szCs w:val="22"/>
        </w:rPr>
      </w:pPr>
      <w:r w:rsidRPr="00E22673">
        <w:rPr>
          <w:rFonts w:eastAsiaTheme="minorHAnsi" w:cs="Arial"/>
          <w:szCs w:val="22"/>
        </w:rPr>
        <w:t>The question period will close at 5:00PM AEST</w:t>
      </w:r>
      <w:r w:rsidR="003C37BC" w:rsidRPr="00E22673">
        <w:rPr>
          <w:rFonts w:eastAsiaTheme="minorHAnsi" w:cs="Arial"/>
          <w:szCs w:val="22"/>
        </w:rPr>
        <w:t xml:space="preserve"> </w:t>
      </w:r>
      <w:r w:rsidRPr="00E22673">
        <w:rPr>
          <w:rFonts w:eastAsiaTheme="minorHAnsi" w:cs="Arial"/>
          <w:szCs w:val="22"/>
        </w:rPr>
        <w:t xml:space="preserve">on </w:t>
      </w:r>
      <w:r w:rsidR="00677FCB" w:rsidRPr="00E22673">
        <w:rPr>
          <w:rFonts w:eastAsiaTheme="minorHAnsi" w:cs="Arial"/>
          <w:szCs w:val="22"/>
        </w:rPr>
        <w:t>Monday 23</w:t>
      </w:r>
      <w:r w:rsidR="00CD0BAE" w:rsidRPr="00E22673">
        <w:rPr>
          <w:rFonts w:eastAsiaTheme="minorHAnsi" w:cs="Arial"/>
          <w:szCs w:val="22"/>
        </w:rPr>
        <w:t xml:space="preserve"> </w:t>
      </w:r>
      <w:r w:rsidR="003C37BC" w:rsidRPr="00E22673">
        <w:rPr>
          <w:rFonts w:eastAsiaTheme="minorHAnsi" w:cs="Arial"/>
          <w:szCs w:val="22"/>
        </w:rPr>
        <w:t>September 2019</w:t>
      </w:r>
      <w:r w:rsidRPr="00E22673">
        <w:rPr>
          <w:rFonts w:eastAsiaTheme="minorHAnsi" w:cs="Arial"/>
          <w:szCs w:val="22"/>
        </w:rPr>
        <w:t xml:space="preserve">. Following this time, only questions </w:t>
      </w:r>
      <w:r w:rsidR="0004214E" w:rsidRPr="00E22673">
        <w:rPr>
          <w:rFonts w:eastAsiaTheme="minorHAnsi" w:cs="Arial"/>
          <w:szCs w:val="22"/>
        </w:rPr>
        <w:t>about</w:t>
      </w:r>
      <w:r w:rsidRPr="00E22673">
        <w:rPr>
          <w:rFonts w:eastAsiaTheme="minorHAnsi" w:cs="Arial"/>
          <w:szCs w:val="22"/>
        </w:rPr>
        <w:t xml:space="preserve"> using and/or submitting the appl</w:t>
      </w:r>
      <w:r w:rsidR="000673F8" w:rsidRPr="00E22673">
        <w:rPr>
          <w:rFonts w:eastAsiaTheme="minorHAnsi" w:cs="Arial"/>
          <w:szCs w:val="22"/>
        </w:rPr>
        <w:t xml:space="preserve">ication form </w:t>
      </w:r>
      <w:proofErr w:type="gramStart"/>
      <w:r w:rsidR="000673F8" w:rsidRPr="00E22673">
        <w:rPr>
          <w:rFonts w:eastAsiaTheme="minorHAnsi" w:cs="Arial"/>
          <w:szCs w:val="22"/>
        </w:rPr>
        <w:t>will be answered</w:t>
      </w:r>
      <w:proofErr w:type="gramEnd"/>
      <w:r w:rsidR="000673F8" w:rsidRPr="00E22673">
        <w:rPr>
          <w:rFonts w:eastAsiaTheme="minorHAnsi" w:cs="Arial"/>
          <w:szCs w:val="22"/>
        </w:rPr>
        <w:t xml:space="preserve">. </w:t>
      </w:r>
    </w:p>
    <w:p w14:paraId="3B04F9DB" w14:textId="77777777" w:rsidR="006E0B42" w:rsidRDefault="006E0B42" w:rsidP="001505F4">
      <w:pPr>
        <w:pStyle w:val="Heading2"/>
      </w:pPr>
      <w:bookmarkStart w:id="121" w:name="_Toc16774098"/>
      <w:r>
        <w:t>The grant selection process</w:t>
      </w:r>
      <w:bookmarkEnd w:id="121"/>
    </w:p>
    <w:p w14:paraId="48F22365" w14:textId="77777777" w:rsidR="00032BB0" w:rsidRDefault="00032BB0" w:rsidP="001505F4">
      <w:pPr>
        <w:pStyle w:val="Heading3"/>
      </w:pPr>
      <w:bookmarkStart w:id="122" w:name="_Toc16774099"/>
      <w:r>
        <w:t>Assessment of grant applications</w:t>
      </w:r>
      <w:bookmarkEnd w:id="122"/>
      <w:r>
        <w:t xml:space="preserve"> </w:t>
      </w:r>
    </w:p>
    <w:p w14:paraId="0C44B58F" w14:textId="77777777" w:rsidR="00E073E0" w:rsidRPr="00E22673" w:rsidRDefault="00E073E0" w:rsidP="00E22673">
      <w:pPr>
        <w:rPr>
          <w:rFonts w:cs="Arial"/>
        </w:rPr>
      </w:pPr>
      <w:r w:rsidRPr="00E22673">
        <w:rPr>
          <w:rFonts w:cs="Arial"/>
        </w:rPr>
        <w:t>The Assessment Centre will review your application against the eligibility criteria</w:t>
      </w:r>
      <w:r w:rsidR="00162F05" w:rsidRPr="00E22673">
        <w:rPr>
          <w:rFonts w:cs="Arial"/>
        </w:rPr>
        <w:t xml:space="preserve"> set out above at </w:t>
      </w:r>
      <w:r w:rsidR="000E03C6" w:rsidRPr="00E22673">
        <w:rPr>
          <w:rFonts w:cs="Arial"/>
        </w:rPr>
        <w:t xml:space="preserve">Section 3. </w:t>
      </w:r>
      <w:r w:rsidRPr="00E22673">
        <w:rPr>
          <w:rFonts w:cs="Arial"/>
        </w:rPr>
        <w:t xml:space="preserve">Only eligible applications will move to the next stage. Eligible applications </w:t>
      </w:r>
      <w:proofErr w:type="gramStart"/>
      <w:r w:rsidRPr="00E22673">
        <w:rPr>
          <w:rFonts w:cs="Arial"/>
        </w:rPr>
        <w:t>will be considered</w:t>
      </w:r>
      <w:proofErr w:type="gramEnd"/>
      <w:r w:rsidRPr="00E22673">
        <w:rPr>
          <w:rFonts w:cs="Arial"/>
        </w:rPr>
        <w:t xml:space="preserve"> through an open competitive grant process</w:t>
      </w:r>
      <w:r w:rsidR="00162F05" w:rsidRPr="00E22673">
        <w:rPr>
          <w:rFonts w:cs="Arial"/>
        </w:rPr>
        <w:t xml:space="preserve"> with DPO/FOs being assessed against other DPO/FO applications and PCLs assessed against other PCL applications.</w:t>
      </w:r>
    </w:p>
    <w:p w14:paraId="42F5D696" w14:textId="4874FE20" w:rsidR="00E073E0" w:rsidRPr="00E22673" w:rsidRDefault="00E073E0" w:rsidP="00E22673">
      <w:pPr>
        <w:rPr>
          <w:rFonts w:cs="Arial"/>
        </w:rPr>
      </w:pPr>
      <w:r w:rsidRPr="00E22673">
        <w:rPr>
          <w:rFonts w:cs="Arial"/>
        </w:rPr>
        <w:t xml:space="preserve">If eligible, we will then assess your application against the assessment criteria (see Section </w:t>
      </w:r>
      <w:r w:rsidR="00D7610F" w:rsidRPr="00E22673">
        <w:rPr>
          <w:rFonts w:cs="Arial"/>
        </w:rPr>
        <w:t>5.</w:t>
      </w:r>
      <w:r w:rsidRPr="00E22673">
        <w:rPr>
          <w:rFonts w:cs="Arial"/>
        </w:rPr>
        <w:t>) and against other applications</w:t>
      </w:r>
      <w:r w:rsidR="000E03C6" w:rsidRPr="00E22673">
        <w:rPr>
          <w:rFonts w:cs="Arial"/>
        </w:rPr>
        <w:t xml:space="preserve"> with</w:t>
      </w:r>
      <w:r w:rsidR="00D7610F" w:rsidRPr="00E22673">
        <w:rPr>
          <w:rFonts w:cs="Arial"/>
        </w:rPr>
        <w:t xml:space="preserve"> </w:t>
      </w:r>
      <w:proofErr w:type="gramStart"/>
      <w:r w:rsidR="000E03C6" w:rsidRPr="00E22673">
        <w:rPr>
          <w:rFonts w:cs="Arial"/>
        </w:rPr>
        <w:t>DPO/FOs</w:t>
      </w:r>
      <w:proofErr w:type="gramEnd"/>
      <w:r w:rsidR="000E03C6" w:rsidRPr="00E22673">
        <w:rPr>
          <w:rFonts w:cs="Arial"/>
        </w:rPr>
        <w:t xml:space="preserve"> being assessed against other DPO/FO applications and PCLs assessed against other PCL applications</w:t>
      </w:r>
      <w:r w:rsidRPr="00E22673">
        <w:rPr>
          <w:rFonts w:cs="Arial"/>
        </w:rPr>
        <w:t>. We will consider y</w:t>
      </w:r>
      <w:r w:rsidR="000E03C6" w:rsidRPr="00E22673">
        <w:rPr>
          <w:rFonts w:cs="Arial"/>
        </w:rPr>
        <w:t>our application on</w:t>
      </w:r>
      <w:r w:rsidRPr="00E22673">
        <w:rPr>
          <w:rFonts w:cs="Arial"/>
        </w:rPr>
        <w:t>, based on</w:t>
      </w:r>
      <w:r w:rsidR="00921B88">
        <w:rPr>
          <w:rFonts w:cs="Arial"/>
        </w:rPr>
        <w:t xml:space="preserve"> how</w:t>
      </w:r>
      <w:r w:rsidRPr="00E22673">
        <w:rPr>
          <w:rFonts w:cs="Arial"/>
        </w:rPr>
        <w:t>:</w:t>
      </w:r>
    </w:p>
    <w:p w14:paraId="6C3615B3" w14:textId="33E877A3" w:rsidR="006E0B42" w:rsidRPr="00E22673" w:rsidRDefault="006E0B42" w:rsidP="000B7776">
      <w:pPr>
        <w:pStyle w:val="ListBullet"/>
      </w:pPr>
      <w:r w:rsidRPr="00E22673">
        <w:t>well it meets the criteria</w:t>
      </w:r>
    </w:p>
    <w:p w14:paraId="71EB72BA" w14:textId="2B5B6984" w:rsidR="006E0B42" w:rsidRPr="00E22673" w:rsidRDefault="006E0B42" w:rsidP="00E22673">
      <w:pPr>
        <w:pStyle w:val="ListBullet"/>
        <w:spacing w:after="120"/>
        <w:rPr>
          <w:rFonts w:cs="Arial"/>
        </w:rPr>
      </w:pPr>
      <w:proofErr w:type="gramStart"/>
      <w:r w:rsidRPr="00E22673">
        <w:rPr>
          <w:rFonts w:cs="Arial"/>
        </w:rPr>
        <w:t>it</w:t>
      </w:r>
      <w:proofErr w:type="gramEnd"/>
      <w:r w:rsidRPr="00E22673">
        <w:rPr>
          <w:rFonts w:cs="Arial"/>
        </w:rPr>
        <w:t xml:space="preserve"> compares to other applications</w:t>
      </w:r>
      <w:r w:rsidR="00162F05" w:rsidRPr="00E22673">
        <w:rPr>
          <w:rFonts w:cs="Arial"/>
        </w:rPr>
        <w:t>, as outlined above.</w:t>
      </w:r>
    </w:p>
    <w:p w14:paraId="709D4FC4" w14:textId="77777777" w:rsidR="00C37DE7" w:rsidRPr="00E22673" w:rsidRDefault="00C37DE7" w:rsidP="00E22673">
      <w:pPr>
        <w:pStyle w:val="ListBullet"/>
        <w:numPr>
          <w:ilvl w:val="0"/>
          <w:numId w:val="0"/>
        </w:numPr>
        <w:spacing w:after="120"/>
        <w:rPr>
          <w:rFonts w:cs="Arial"/>
        </w:rPr>
      </w:pPr>
      <w:r w:rsidRPr="00E22673">
        <w:rPr>
          <w:rFonts w:cs="Arial"/>
        </w:rPr>
        <w:t>A Selectio</w:t>
      </w:r>
      <w:r w:rsidR="00DF5F3B" w:rsidRPr="00E22673">
        <w:rPr>
          <w:rFonts w:cs="Arial"/>
        </w:rPr>
        <w:t xml:space="preserve">n Advisory Panel will consider </w:t>
      </w:r>
      <w:r w:rsidRPr="00E22673">
        <w:rPr>
          <w:rFonts w:cs="Arial"/>
        </w:rPr>
        <w:t>whether it provides value with relevant money.</w:t>
      </w:r>
      <w:r w:rsidRPr="00E22673">
        <w:rPr>
          <w:rFonts w:cs="Arial"/>
          <w:vertAlign w:val="superscript"/>
        </w:rPr>
        <w:footnoteReference w:id="8"/>
      </w:r>
    </w:p>
    <w:p w14:paraId="5E09F854" w14:textId="774A5755" w:rsidR="00C37DE7" w:rsidRPr="00E22673" w:rsidRDefault="00C37DE7" w:rsidP="00E22673">
      <w:pPr>
        <w:pStyle w:val="ListBullet"/>
        <w:numPr>
          <w:ilvl w:val="0"/>
          <w:numId w:val="0"/>
        </w:numPr>
        <w:spacing w:after="120"/>
        <w:rPr>
          <w:rFonts w:cs="Arial"/>
        </w:rPr>
      </w:pPr>
      <w:r w:rsidRPr="00E22673">
        <w:rPr>
          <w:rFonts w:cs="Arial"/>
        </w:rPr>
        <w:t>When assessing the extent to which the application represents value with relevant money, the Selection Advisory Panel will have regard to</w:t>
      </w:r>
      <w:r w:rsidR="000B7776">
        <w:rPr>
          <w:rFonts w:cs="Arial"/>
        </w:rPr>
        <w:t xml:space="preserve"> the following</w:t>
      </w:r>
      <w:r w:rsidR="00523CFB">
        <w:rPr>
          <w:rFonts w:cs="Arial"/>
        </w:rPr>
        <w:t>:</w:t>
      </w:r>
    </w:p>
    <w:p w14:paraId="3F889E89" w14:textId="153D56F7" w:rsidR="00C37DE7" w:rsidRPr="00E22673" w:rsidRDefault="000B7776" w:rsidP="00E22673">
      <w:pPr>
        <w:pStyle w:val="ListBullet"/>
        <w:numPr>
          <w:ilvl w:val="0"/>
          <w:numId w:val="78"/>
        </w:numPr>
        <w:spacing w:after="120"/>
        <w:rPr>
          <w:rFonts w:cs="Arial"/>
        </w:rPr>
      </w:pPr>
      <w:r w:rsidRPr="00E22673">
        <w:rPr>
          <w:rFonts w:cs="Arial"/>
        </w:rPr>
        <w:t>The</w:t>
      </w:r>
      <w:r w:rsidR="00C37DE7" w:rsidRPr="00E22673">
        <w:rPr>
          <w:rFonts w:cs="Arial"/>
        </w:rPr>
        <w:t xml:space="preserve"> overall objective/s to </w:t>
      </w:r>
      <w:proofErr w:type="gramStart"/>
      <w:r w:rsidR="00C37DE7" w:rsidRPr="00E22673">
        <w:rPr>
          <w:rFonts w:cs="Arial"/>
        </w:rPr>
        <w:t>be achieved</w:t>
      </w:r>
      <w:proofErr w:type="gramEnd"/>
      <w:r w:rsidR="00C37DE7" w:rsidRPr="00E22673">
        <w:rPr>
          <w:rFonts w:cs="Arial"/>
        </w:rPr>
        <w:t xml:space="preserve"> in providing the </w:t>
      </w:r>
      <w:r w:rsidR="00E13F4B" w:rsidRPr="00E22673">
        <w:rPr>
          <w:rFonts w:cs="Arial"/>
        </w:rPr>
        <w:t>grant</w:t>
      </w:r>
      <w:r>
        <w:rPr>
          <w:rFonts w:cs="Arial"/>
        </w:rPr>
        <w:t>.</w:t>
      </w:r>
    </w:p>
    <w:p w14:paraId="7736B672" w14:textId="5E24EA68" w:rsidR="00C37DE7" w:rsidRPr="00E22673" w:rsidRDefault="000B7776" w:rsidP="00E22673">
      <w:pPr>
        <w:pStyle w:val="ListBullet"/>
        <w:numPr>
          <w:ilvl w:val="0"/>
          <w:numId w:val="78"/>
        </w:numPr>
        <w:spacing w:after="120"/>
        <w:rPr>
          <w:rFonts w:cs="Arial"/>
        </w:rPr>
      </w:pPr>
      <w:r w:rsidRPr="00E22673">
        <w:rPr>
          <w:rFonts w:cs="Arial"/>
        </w:rPr>
        <w:t>Whether</w:t>
      </w:r>
      <w:r w:rsidR="00C37DE7" w:rsidRPr="00E22673">
        <w:rPr>
          <w:rFonts w:cs="Arial"/>
        </w:rPr>
        <w:t xml:space="preserve"> the proposed projec</w:t>
      </w:r>
      <w:r w:rsidR="00E13F4B" w:rsidRPr="00E22673">
        <w:rPr>
          <w:rFonts w:cs="Arial"/>
        </w:rPr>
        <w:t>t is in scope of the ILC policy</w:t>
      </w:r>
      <w:r>
        <w:rPr>
          <w:rFonts w:cs="Arial"/>
        </w:rPr>
        <w:t>.</w:t>
      </w:r>
    </w:p>
    <w:p w14:paraId="09023AF7" w14:textId="23F26D53" w:rsidR="00C37DE7" w:rsidRPr="00E22673" w:rsidRDefault="000B7776" w:rsidP="00E22673">
      <w:pPr>
        <w:pStyle w:val="ListBullet"/>
        <w:numPr>
          <w:ilvl w:val="0"/>
          <w:numId w:val="78"/>
        </w:numPr>
        <w:spacing w:after="120"/>
        <w:rPr>
          <w:rFonts w:cs="Arial"/>
        </w:rPr>
      </w:pPr>
      <w:r>
        <w:rPr>
          <w:rFonts w:cs="Arial"/>
        </w:rPr>
        <w:t>The n</w:t>
      </w:r>
      <w:r w:rsidRPr="00E22673">
        <w:rPr>
          <w:rFonts w:cs="Arial"/>
        </w:rPr>
        <w:t>eeds</w:t>
      </w:r>
      <w:r w:rsidR="00C37DE7" w:rsidRPr="00E22673">
        <w:rPr>
          <w:rFonts w:cs="Arial"/>
        </w:rPr>
        <w:t xml:space="preserve"> of the ILC Priority Cohorts for the round</w:t>
      </w:r>
      <w:r>
        <w:rPr>
          <w:rFonts w:cs="Arial"/>
        </w:rPr>
        <w:t>.</w:t>
      </w:r>
    </w:p>
    <w:p w14:paraId="359CB979" w14:textId="62046479" w:rsidR="00C37DE7" w:rsidRPr="00E22673" w:rsidRDefault="000B7776" w:rsidP="00E22673">
      <w:pPr>
        <w:pStyle w:val="ListBullet"/>
        <w:numPr>
          <w:ilvl w:val="0"/>
          <w:numId w:val="78"/>
        </w:numPr>
        <w:spacing w:after="120"/>
        <w:rPr>
          <w:rFonts w:cs="Arial"/>
        </w:rPr>
      </w:pPr>
      <w:r w:rsidRPr="00E22673">
        <w:rPr>
          <w:rFonts w:cs="Arial"/>
        </w:rPr>
        <w:t>The</w:t>
      </w:r>
      <w:r w:rsidR="00C37DE7" w:rsidRPr="00E22673">
        <w:rPr>
          <w:rFonts w:cs="Arial"/>
        </w:rPr>
        <w:t xml:space="preserve"> relative value of the grant sought</w:t>
      </w:r>
      <w:r>
        <w:rPr>
          <w:rFonts w:cs="Arial"/>
        </w:rPr>
        <w:t>.</w:t>
      </w:r>
    </w:p>
    <w:p w14:paraId="58842315" w14:textId="7D9DD6F2" w:rsidR="0097056B" w:rsidRPr="00E22673" w:rsidRDefault="000B7776" w:rsidP="00E22673">
      <w:pPr>
        <w:pStyle w:val="ListParagraph"/>
        <w:numPr>
          <w:ilvl w:val="0"/>
          <w:numId w:val="78"/>
        </w:numPr>
        <w:contextualSpacing w:val="0"/>
        <w:rPr>
          <w:rFonts w:cs="Arial"/>
        </w:rPr>
      </w:pPr>
      <w:r>
        <w:rPr>
          <w:rFonts w:cs="Arial"/>
        </w:rPr>
        <w:lastRenderedPageBreak/>
        <w:t>Where</w:t>
      </w:r>
      <w:r w:rsidR="0097056B" w:rsidRPr="00E22673">
        <w:rPr>
          <w:rFonts w:cs="Arial"/>
        </w:rPr>
        <w:t xml:space="preserve"> organisations </w:t>
      </w:r>
      <w:r>
        <w:rPr>
          <w:rFonts w:cs="Arial"/>
        </w:rPr>
        <w:t>are</w:t>
      </w:r>
      <w:r w:rsidR="0097056B" w:rsidRPr="00E22673">
        <w:rPr>
          <w:rFonts w:cs="Arial"/>
        </w:rPr>
        <w:t xml:space="preserve"> represent</w:t>
      </w:r>
      <w:r>
        <w:rPr>
          <w:rFonts w:cs="Arial"/>
        </w:rPr>
        <w:t>ing</w:t>
      </w:r>
      <w:r w:rsidR="0097056B" w:rsidRPr="00E22673">
        <w:rPr>
          <w:rFonts w:cs="Arial"/>
        </w:rPr>
        <w:t xml:space="preserve"> similar cohorts of people in different </w:t>
      </w:r>
      <w:proofErr w:type="gramStart"/>
      <w:r w:rsidR="0097056B" w:rsidRPr="00E22673">
        <w:rPr>
          <w:rFonts w:cs="Arial"/>
        </w:rPr>
        <w:t>jurisdictions</w:t>
      </w:r>
      <w:proofErr w:type="gramEnd"/>
      <w:r w:rsidR="0097056B" w:rsidRPr="00E22673">
        <w:rPr>
          <w:rFonts w:cs="Arial"/>
        </w:rPr>
        <w:t xml:space="preserve"> (</w:t>
      </w:r>
      <w:r w:rsidR="00096414" w:rsidRPr="00E22673">
        <w:rPr>
          <w:rFonts w:cs="Arial"/>
        </w:rPr>
        <w:t>e.g.</w:t>
      </w:r>
      <w:r w:rsidR="0097056B" w:rsidRPr="00E22673">
        <w:rPr>
          <w:rFonts w:cs="Arial"/>
        </w:rPr>
        <w:t xml:space="preserve"> various state / territory based organisations representing people with sensory, physical or cognitive impairments) it is preferable that a single consortia application is submitted. Where a single consortia application </w:t>
      </w:r>
      <w:proofErr w:type="gramStart"/>
      <w:r w:rsidR="0097056B" w:rsidRPr="00E22673">
        <w:rPr>
          <w:rFonts w:cs="Arial"/>
        </w:rPr>
        <w:t>is received</w:t>
      </w:r>
      <w:proofErr w:type="gramEnd"/>
      <w:r w:rsidR="0097056B" w:rsidRPr="00E22673">
        <w:rPr>
          <w:rFonts w:cs="Arial"/>
        </w:rPr>
        <w:t xml:space="preserve">, the </w:t>
      </w:r>
      <w:r w:rsidR="00096414" w:rsidRPr="00E22673">
        <w:rPr>
          <w:rFonts w:cs="Arial"/>
        </w:rPr>
        <w:t xml:space="preserve">Selection Advisory Panel </w:t>
      </w:r>
      <w:r w:rsidR="0097056B" w:rsidRPr="00E22673">
        <w:rPr>
          <w:rFonts w:cs="Arial"/>
        </w:rPr>
        <w:t>reserves the right to give it preference over applications targeting the same cohort/s in a single jurisdiction.</w:t>
      </w:r>
    </w:p>
    <w:p w14:paraId="6042CB72" w14:textId="092BA4A0" w:rsidR="00C37DE7" w:rsidRPr="00E22673" w:rsidRDefault="000B7776" w:rsidP="00E22673">
      <w:pPr>
        <w:pStyle w:val="ListBullet"/>
        <w:numPr>
          <w:ilvl w:val="0"/>
          <w:numId w:val="78"/>
        </w:numPr>
        <w:spacing w:after="120"/>
        <w:rPr>
          <w:rFonts w:cs="Arial"/>
        </w:rPr>
      </w:pPr>
      <w:r w:rsidRPr="00E22673">
        <w:rPr>
          <w:rFonts w:cs="Arial"/>
        </w:rPr>
        <w:t>The</w:t>
      </w:r>
      <w:r w:rsidR="00C37DE7" w:rsidRPr="00E22673">
        <w:rPr>
          <w:rFonts w:cs="Arial"/>
        </w:rPr>
        <w:t xml:space="preserve"> extent to which the evidence in the application demonstrates that it will contribute to meeting the outcomes/objectives</w:t>
      </w:r>
      <w:r w:rsidR="004B4FEC" w:rsidRPr="00E22673">
        <w:rPr>
          <w:rFonts w:cs="Arial"/>
        </w:rPr>
        <w:t xml:space="preserve"> of the ILC Strategy and this grant round</w:t>
      </w:r>
      <w:r>
        <w:rPr>
          <w:rFonts w:cs="Arial"/>
        </w:rPr>
        <w:t>.</w:t>
      </w:r>
    </w:p>
    <w:p w14:paraId="7D83C70D" w14:textId="0593AC5B" w:rsidR="002F3389" w:rsidRPr="00E22673" w:rsidRDefault="000B7776" w:rsidP="00E22673">
      <w:pPr>
        <w:pStyle w:val="ListBullet"/>
        <w:numPr>
          <w:ilvl w:val="0"/>
          <w:numId w:val="78"/>
        </w:numPr>
        <w:spacing w:after="120"/>
        <w:rPr>
          <w:rFonts w:cs="Arial"/>
        </w:rPr>
      </w:pPr>
      <w:r w:rsidRPr="00E22673">
        <w:rPr>
          <w:rFonts w:cs="Arial"/>
        </w:rPr>
        <w:t>The</w:t>
      </w:r>
      <w:r w:rsidR="002F3389" w:rsidRPr="00E22673">
        <w:rPr>
          <w:rFonts w:cs="Arial"/>
        </w:rPr>
        <w:t xml:space="preserve"> extent to which the applicant demonstrates a commitment to the social model of disability and alignment with the organisational definition of a DPO/FO or PCL</w:t>
      </w:r>
      <w:r>
        <w:rPr>
          <w:rFonts w:cs="Arial"/>
        </w:rPr>
        <w:t>.</w:t>
      </w:r>
    </w:p>
    <w:p w14:paraId="43783A7A" w14:textId="0E3313A8" w:rsidR="000613E3" w:rsidRPr="00E22673" w:rsidRDefault="000B7776" w:rsidP="00E22673">
      <w:pPr>
        <w:pStyle w:val="ListBullet"/>
        <w:numPr>
          <w:ilvl w:val="0"/>
          <w:numId w:val="78"/>
        </w:numPr>
        <w:spacing w:after="120"/>
        <w:rPr>
          <w:rFonts w:cs="Arial"/>
        </w:rPr>
      </w:pPr>
      <w:r w:rsidRPr="00E22673">
        <w:rPr>
          <w:rFonts w:cs="Arial"/>
        </w:rPr>
        <w:t>How</w:t>
      </w:r>
      <w:r w:rsidR="00C37DE7" w:rsidRPr="00E22673">
        <w:rPr>
          <w:rFonts w:cs="Arial"/>
        </w:rPr>
        <w:t xml:space="preserve"> the grant activities will target groups or individuals</w:t>
      </w:r>
      <w:r>
        <w:rPr>
          <w:rFonts w:cs="Arial"/>
        </w:rPr>
        <w:t>.</w:t>
      </w:r>
    </w:p>
    <w:p w14:paraId="766844CA" w14:textId="24683080" w:rsidR="000613E3" w:rsidRPr="00E22673" w:rsidRDefault="000B7776" w:rsidP="00E22673">
      <w:pPr>
        <w:pStyle w:val="ListBullet"/>
        <w:numPr>
          <w:ilvl w:val="0"/>
          <w:numId w:val="78"/>
        </w:numPr>
        <w:spacing w:after="120"/>
        <w:rPr>
          <w:rFonts w:cs="Arial"/>
        </w:rPr>
      </w:pPr>
      <w:r w:rsidRPr="00E22673">
        <w:rPr>
          <w:rFonts w:cs="Arial"/>
        </w:rPr>
        <w:t>The</w:t>
      </w:r>
      <w:r w:rsidR="00C37DE7" w:rsidRPr="00E22673">
        <w:rPr>
          <w:rFonts w:cs="Arial"/>
        </w:rPr>
        <w:t xml:space="preserve"> risks, financial and other, that the </w:t>
      </w:r>
      <w:r>
        <w:rPr>
          <w:rFonts w:cs="Arial"/>
        </w:rPr>
        <w:t>a</w:t>
      </w:r>
      <w:r w:rsidR="00C37DE7" w:rsidRPr="00E22673">
        <w:rPr>
          <w:rFonts w:cs="Arial"/>
        </w:rPr>
        <w:t>pplicant or project poses for the NDIA</w:t>
      </w:r>
      <w:r w:rsidR="00096414">
        <w:rPr>
          <w:rFonts w:cs="Arial"/>
        </w:rPr>
        <w:t>.</w:t>
      </w:r>
    </w:p>
    <w:p w14:paraId="1923FDDC" w14:textId="77777777" w:rsidR="008C59DB" w:rsidRPr="00E22673" w:rsidRDefault="008C59DB" w:rsidP="00E22673">
      <w:pPr>
        <w:pStyle w:val="CEOBrief-Paragraph1"/>
        <w:spacing w:before="40" w:line="280" w:lineRule="atLeast"/>
        <w:ind w:left="0" w:firstLine="0"/>
        <w:rPr>
          <w:sz w:val="20"/>
        </w:rPr>
      </w:pPr>
      <w:r w:rsidRPr="00E22673">
        <w:rPr>
          <w:sz w:val="20"/>
        </w:rPr>
        <w:t>The NDIA will also consider potential duplication of funding across multiple consortia applications involving the same organisation (i.e. will consider whether applicants are receiving multiple streams of funding for delivering the same or similar services or projects through multiple consortia).</w:t>
      </w:r>
      <w:r w:rsidR="000613E3" w:rsidRPr="00E22673">
        <w:rPr>
          <w:sz w:val="20"/>
        </w:rPr>
        <w:t xml:space="preserve"> Where duplication of funding </w:t>
      </w:r>
      <w:proofErr w:type="gramStart"/>
      <w:r w:rsidR="000613E3" w:rsidRPr="00E22673">
        <w:rPr>
          <w:sz w:val="20"/>
        </w:rPr>
        <w:t>is considered</w:t>
      </w:r>
      <w:proofErr w:type="gramEnd"/>
      <w:r w:rsidR="000613E3" w:rsidRPr="00E22673">
        <w:rPr>
          <w:sz w:val="20"/>
        </w:rPr>
        <w:t xml:space="preserve"> to be likely, the Selection Advisory Panel may, in its discretion, exclude an application from further consideration</w:t>
      </w:r>
      <w:r w:rsidR="00096414">
        <w:rPr>
          <w:sz w:val="20"/>
        </w:rPr>
        <w:t>.</w:t>
      </w:r>
    </w:p>
    <w:p w14:paraId="14CE99CC" w14:textId="77777777" w:rsidR="00866D16" w:rsidRDefault="00E13F4B" w:rsidP="001505F4">
      <w:pPr>
        <w:pStyle w:val="Heading3"/>
      </w:pPr>
      <w:bookmarkStart w:id="123" w:name="_Toc16774100"/>
      <w:r>
        <w:t>Financial v</w:t>
      </w:r>
      <w:r w:rsidR="00866D16">
        <w:t>iability</w:t>
      </w:r>
      <w:bookmarkEnd w:id="123"/>
    </w:p>
    <w:p w14:paraId="54EED56A" w14:textId="77777777" w:rsidR="00866D16" w:rsidRPr="00E22673" w:rsidRDefault="008C6868" w:rsidP="00E22673">
      <w:pPr>
        <w:pStyle w:val="BodyTextnospace"/>
        <w:spacing w:before="40" w:after="120"/>
        <w:rPr>
          <w:rFonts w:cs="Arial"/>
        </w:rPr>
      </w:pPr>
      <w:r w:rsidRPr="00E22673">
        <w:rPr>
          <w:rFonts w:cs="Arial"/>
          <w:sz w:val="20"/>
        </w:rPr>
        <w:t xml:space="preserve">Applicants </w:t>
      </w:r>
      <w:r w:rsidR="000613E3" w:rsidRPr="00E22673">
        <w:rPr>
          <w:rFonts w:cs="Arial"/>
          <w:sz w:val="20"/>
        </w:rPr>
        <w:t xml:space="preserve">may </w:t>
      </w:r>
      <w:r w:rsidRPr="00E22673">
        <w:rPr>
          <w:rFonts w:cs="Arial"/>
          <w:sz w:val="20"/>
        </w:rPr>
        <w:t xml:space="preserve">be subject to a financial viability assessment. </w:t>
      </w:r>
      <w:r w:rsidR="00866D16" w:rsidRPr="00E22673">
        <w:rPr>
          <w:rFonts w:cs="Arial"/>
          <w:sz w:val="20"/>
        </w:rPr>
        <w:t xml:space="preserve">The </w:t>
      </w:r>
      <w:r w:rsidR="0070001C" w:rsidRPr="00E22673">
        <w:rPr>
          <w:rFonts w:cs="Arial"/>
          <w:sz w:val="20"/>
        </w:rPr>
        <w:t>f</w:t>
      </w:r>
      <w:r w:rsidR="00866D16" w:rsidRPr="00E22673">
        <w:rPr>
          <w:rFonts w:cs="Arial"/>
          <w:sz w:val="20"/>
        </w:rPr>
        <w:t xml:space="preserve">inancial </w:t>
      </w:r>
      <w:r w:rsidR="0070001C" w:rsidRPr="00E22673">
        <w:rPr>
          <w:rFonts w:cs="Arial"/>
          <w:sz w:val="20"/>
        </w:rPr>
        <w:t>v</w:t>
      </w:r>
      <w:r w:rsidR="00866D16" w:rsidRPr="00E22673">
        <w:rPr>
          <w:rFonts w:cs="Arial"/>
          <w:sz w:val="20"/>
        </w:rPr>
        <w:t xml:space="preserve">iability assessment forms part of the risk mitigation strategy and can include: </w:t>
      </w:r>
    </w:p>
    <w:p w14:paraId="697E2716" w14:textId="77777777" w:rsidR="00866D16" w:rsidRPr="00E22673" w:rsidRDefault="0070001C" w:rsidP="00E22673">
      <w:pPr>
        <w:pStyle w:val="ListBullet"/>
        <w:spacing w:after="120"/>
        <w:rPr>
          <w:rFonts w:cs="Arial"/>
        </w:rPr>
      </w:pPr>
      <w:r w:rsidRPr="00E22673">
        <w:rPr>
          <w:rFonts w:cs="Arial"/>
        </w:rPr>
        <w:t>e</w:t>
      </w:r>
      <w:r w:rsidR="00866D16" w:rsidRPr="00E22673">
        <w:rPr>
          <w:rFonts w:cs="Arial"/>
        </w:rPr>
        <w:t>stablishing whether relevant persons have any adverse business history (for example current or past bankruptcy)</w:t>
      </w:r>
    </w:p>
    <w:p w14:paraId="27AE6031" w14:textId="77777777" w:rsidR="00866D16" w:rsidRPr="00E22673" w:rsidRDefault="0070001C" w:rsidP="00E22673">
      <w:pPr>
        <w:pStyle w:val="ListBullet"/>
        <w:spacing w:after="120"/>
        <w:rPr>
          <w:rFonts w:cs="Arial"/>
        </w:rPr>
      </w:pPr>
      <w:proofErr w:type="gramStart"/>
      <w:r w:rsidRPr="00E22673">
        <w:rPr>
          <w:rFonts w:cs="Arial"/>
        </w:rPr>
        <w:t>a</w:t>
      </w:r>
      <w:r w:rsidR="00866D16" w:rsidRPr="00E22673">
        <w:rPr>
          <w:rFonts w:cs="Arial"/>
        </w:rPr>
        <w:t>ssessment</w:t>
      </w:r>
      <w:proofErr w:type="gramEnd"/>
      <w:r w:rsidR="00866D16" w:rsidRPr="00E22673">
        <w:rPr>
          <w:rFonts w:cs="Arial"/>
        </w:rPr>
        <w:t xml:space="preserve"> of the financial health of an entity</w:t>
      </w:r>
      <w:r w:rsidR="00C41F8B" w:rsidRPr="00E22673">
        <w:rPr>
          <w:rFonts w:cs="Arial"/>
        </w:rPr>
        <w:t>.</w:t>
      </w:r>
    </w:p>
    <w:p w14:paraId="67AD1289" w14:textId="77777777" w:rsidR="00C157E9" w:rsidRDefault="00C157E9" w:rsidP="001505F4">
      <w:pPr>
        <w:pStyle w:val="Heading3"/>
      </w:pPr>
      <w:bookmarkStart w:id="124" w:name="_Toc16774101"/>
      <w:r>
        <w:t xml:space="preserve">Who will assess </w:t>
      </w:r>
      <w:r w:rsidR="001A2806">
        <w:t xml:space="preserve">and select </w:t>
      </w:r>
      <w:r>
        <w:t>applications?</w:t>
      </w:r>
      <w:bookmarkEnd w:id="124"/>
    </w:p>
    <w:p w14:paraId="75AD10B2" w14:textId="078734E3" w:rsidR="008C59DB" w:rsidRPr="00E22673" w:rsidRDefault="008C59DB" w:rsidP="00E22673">
      <w:pPr>
        <w:rPr>
          <w:rFonts w:cs="Arial"/>
        </w:rPr>
      </w:pPr>
      <w:r w:rsidRPr="00E22673">
        <w:rPr>
          <w:rFonts w:cs="Arial"/>
        </w:rPr>
        <w:t xml:space="preserve">Applications </w:t>
      </w:r>
      <w:proofErr w:type="gramStart"/>
      <w:r w:rsidRPr="00E22673">
        <w:rPr>
          <w:rFonts w:cs="Arial"/>
        </w:rPr>
        <w:t>will be assessed</w:t>
      </w:r>
      <w:proofErr w:type="gramEnd"/>
      <w:r w:rsidRPr="00E22673">
        <w:rPr>
          <w:rFonts w:cs="Arial"/>
        </w:rPr>
        <w:t xml:space="preserve"> based on the eligibility and asses</w:t>
      </w:r>
      <w:r w:rsidR="000B7776">
        <w:rPr>
          <w:rFonts w:cs="Arial"/>
        </w:rPr>
        <w:t>sment criteria as set out in these</w:t>
      </w:r>
      <w:r w:rsidRPr="00E22673">
        <w:rPr>
          <w:rFonts w:cs="Arial"/>
        </w:rPr>
        <w:t xml:space="preserve"> ICB </w:t>
      </w:r>
      <w:r w:rsidR="000B7776">
        <w:rPr>
          <w:rFonts w:cs="Arial"/>
        </w:rPr>
        <w:t>G</w:t>
      </w:r>
      <w:r w:rsidRPr="00E22673">
        <w:rPr>
          <w:rFonts w:cs="Arial"/>
        </w:rPr>
        <w:t xml:space="preserve">rant </w:t>
      </w:r>
      <w:r w:rsidR="000B7776">
        <w:rPr>
          <w:rFonts w:cs="Arial"/>
        </w:rPr>
        <w:t>Opportunity G</w:t>
      </w:r>
      <w:r w:rsidRPr="00E22673">
        <w:rPr>
          <w:rFonts w:cs="Arial"/>
        </w:rPr>
        <w:t xml:space="preserve">uidelines by </w:t>
      </w:r>
      <w:r w:rsidR="00B0570C" w:rsidRPr="00E22673">
        <w:rPr>
          <w:rFonts w:cs="Arial"/>
        </w:rPr>
        <w:t xml:space="preserve">the DSS </w:t>
      </w:r>
      <w:r w:rsidRPr="00E22673">
        <w:rPr>
          <w:rFonts w:cs="Arial"/>
        </w:rPr>
        <w:t xml:space="preserve">Assessment Centre, </w:t>
      </w:r>
      <w:r w:rsidR="00463CB3" w:rsidRPr="00E22673">
        <w:rPr>
          <w:rFonts w:cs="Arial"/>
        </w:rPr>
        <w:t xml:space="preserve">the NDIA, the </w:t>
      </w:r>
      <w:r w:rsidRPr="00E22673">
        <w:rPr>
          <w:rFonts w:cs="Arial"/>
        </w:rPr>
        <w:t>Selection Advisory Panel and any relevant and</w:t>
      </w:r>
      <w:r w:rsidR="00523CFB">
        <w:rPr>
          <w:rFonts w:cs="Arial"/>
        </w:rPr>
        <w:t xml:space="preserve"> necessary experts or advisors.</w:t>
      </w:r>
    </w:p>
    <w:p w14:paraId="0B667155" w14:textId="77777777" w:rsidR="008C59DB" w:rsidRPr="00E22673" w:rsidRDefault="008C59DB" w:rsidP="00E22673">
      <w:pPr>
        <w:rPr>
          <w:rFonts w:cs="Arial"/>
          <w:b/>
        </w:rPr>
      </w:pPr>
      <w:r w:rsidRPr="00E22673">
        <w:rPr>
          <w:rFonts w:cs="Arial"/>
        </w:rPr>
        <w:t xml:space="preserve">The Assessment Centre </w:t>
      </w:r>
      <w:proofErr w:type="gramStart"/>
      <w:r w:rsidRPr="00E22673">
        <w:rPr>
          <w:rFonts w:cs="Arial"/>
        </w:rPr>
        <w:t>will be made up</w:t>
      </w:r>
      <w:proofErr w:type="gramEnd"/>
      <w:r w:rsidRPr="00E22673">
        <w:rPr>
          <w:rFonts w:cs="Arial"/>
        </w:rPr>
        <w:t xml:space="preserve"> of Community Grants Hub </w:t>
      </w:r>
      <w:r w:rsidR="000613E3" w:rsidRPr="00E22673">
        <w:rPr>
          <w:rFonts w:cs="Arial"/>
        </w:rPr>
        <w:t>and NDIA staff</w:t>
      </w:r>
      <w:r w:rsidRPr="00E22673">
        <w:rPr>
          <w:rFonts w:cs="Arial"/>
        </w:rPr>
        <w:t xml:space="preserve"> who will undertake training to ensure consistent assessment of all applications.</w:t>
      </w:r>
    </w:p>
    <w:p w14:paraId="7416764F" w14:textId="0DA9B70D" w:rsidR="008C59DB" w:rsidRPr="00E22673" w:rsidRDefault="008C59DB" w:rsidP="00E22673">
      <w:pPr>
        <w:pStyle w:val="highlightedtext"/>
        <w:pBdr>
          <w:top w:val="none" w:sz="0" w:space="0" w:color="auto"/>
          <w:left w:val="none" w:sz="0" w:space="0" w:color="auto"/>
          <w:bottom w:val="none" w:sz="0" w:space="0" w:color="auto"/>
          <w:right w:val="none" w:sz="0" w:space="0" w:color="auto"/>
        </w:pBdr>
        <w:spacing w:before="40" w:after="120"/>
        <w:jc w:val="left"/>
        <w:rPr>
          <w:rFonts w:ascii="Arial" w:hAnsi="Arial" w:cs="Arial"/>
          <w:b w:val="0"/>
          <w:color w:val="0070C0"/>
          <w:sz w:val="20"/>
          <w:szCs w:val="20"/>
        </w:rPr>
      </w:pPr>
      <w:r w:rsidRPr="00E22673">
        <w:rPr>
          <w:rFonts w:ascii="Arial" w:hAnsi="Arial" w:cs="Arial"/>
          <w:b w:val="0"/>
          <w:color w:val="auto"/>
          <w:sz w:val="20"/>
          <w:szCs w:val="20"/>
        </w:rPr>
        <w:t xml:space="preserve">The Selection Advisory Panel will inform the assessment process </w:t>
      </w:r>
      <w:r w:rsidRPr="0021219A">
        <w:rPr>
          <w:rFonts w:ascii="Arial" w:hAnsi="Arial" w:cs="Arial"/>
          <w:b w:val="0"/>
          <w:color w:val="auto"/>
          <w:sz w:val="20"/>
          <w:szCs w:val="20"/>
        </w:rPr>
        <w:t>and</w:t>
      </w:r>
      <w:r w:rsidRPr="0021219A">
        <w:rPr>
          <w:rFonts w:ascii="Arial" w:hAnsi="Arial" w:cs="Arial"/>
          <w:sz w:val="20"/>
          <w:szCs w:val="20"/>
        </w:rPr>
        <w:t xml:space="preserve"> </w:t>
      </w:r>
      <w:r w:rsidRPr="0021219A">
        <w:rPr>
          <w:rFonts w:ascii="Arial" w:hAnsi="Arial" w:cs="Arial"/>
          <w:b w:val="0"/>
          <w:color w:val="auto"/>
          <w:sz w:val="20"/>
          <w:szCs w:val="20"/>
        </w:rPr>
        <w:t>provides recommendations to the decision maker (NDIA Delegate) on which applications to approve for a grant</w:t>
      </w:r>
      <w:r w:rsidRPr="00E22673">
        <w:rPr>
          <w:rFonts w:ascii="Arial" w:hAnsi="Arial" w:cs="Arial"/>
          <w:b w:val="0"/>
          <w:color w:val="auto"/>
          <w:sz w:val="20"/>
          <w:szCs w:val="20"/>
        </w:rPr>
        <w:t xml:space="preserve">. The Selection Advisory Panel may include a mix of </w:t>
      </w:r>
      <w:r w:rsidR="00E4388D" w:rsidRPr="00E22673">
        <w:rPr>
          <w:rFonts w:ascii="Arial" w:hAnsi="Arial" w:cs="Arial"/>
          <w:b w:val="0"/>
          <w:color w:val="auto"/>
          <w:sz w:val="20"/>
          <w:szCs w:val="20"/>
        </w:rPr>
        <w:t xml:space="preserve">people with disability, </w:t>
      </w:r>
      <w:r w:rsidRPr="00E22673">
        <w:rPr>
          <w:rFonts w:ascii="Arial" w:hAnsi="Arial" w:cs="Arial"/>
          <w:b w:val="0"/>
          <w:color w:val="auto"/>
          <w:sz w:val="20"/>
          <w:szCs w:val="20"/>
        </w:rPr>
        <w:t>employees of the NDIA, Commonwealth Government, and people of</w:t>
      </w:r>
      <w:r w:rsidR="00523CFB">
        <w:rPr>
          <w:rFonts w:ascii="Arial" w:hAnsi="Arial" w:cs="Arial"/>
          <w:b w:val="0"/>
          <w:color w:val="auto"/>
          <w:sz w:val="20"/>
          <w:szCs w:val="20"/>
        </w:rPr>
        <w:t xml:space="preserve"> specialist relevant expertise.</w:t>
      </w:r>
    </w:p>
    <w:p w14:paraId="1CC5A9E4" w14:textId="4E957387" w:rsidR="008C59DB" w:rsidRPr="00E22673" w:rsidRDefault="008C59DB" w:rsidP="00E22673">
      <w:pPr>
        <w:rPr>
          <w:rFonts w:cs="Arial"/>
          <w:color w:val="0070C0"/>
        </w:rPr>
      </w:pPr>
      <w:r w:rsidRPr="00E22673">
        <w:rPr>
          <w:rFonts w:cs="Arial"/>
        </w:rPr>
        <w:t xml:space="preserve">The Selection Advisory Panel may seek additional information about you or your application and this may delay completion of the selection process. They may do this from within the Commonwealth, even if </w:t>
      </w:r>
      <w:proofErr w:type="gramStart"/>
      <w:r w:rsidRPr="00E22673">
        <w:rPr>
          <w:rFonts w:cs="Arial"/>
        </w:rPr>
        <w:t>the sources are not nominated by you</w:t>
      </w:r>
      <w:proofErr w:type="gramEnd"/>
      <w:r w:rsidRPr="00E22673">
        <w:rPr>
          <w:rFonts w:cs="Arial"/>
        </w:rPr>
        <w:t xml:space="preserve"> as referees. The Assessment Centre may also consider information about you or your application that is available through the normal course of business. This may include obtaining the opinion of an expert or advisor relevant to the particular matter under consideration by the </w:t>
      </w:r>
      <w:r w:rsidR="00096414" w:rsidRPr="00E22673">
        <w:rPr>
          <w:rFonts w:cs="Arial"/>
        </w:rPr>
        <w:t xml:space="preserve">Selection Advisory Panel </w:t>
      </w:r>
      <w:r w:rsidRPr="00E22673">
        <w:rPr>
          <w:rFonts w:cs="Arial"/>
        </w:rPr>
        <w:t>and/or Assessment Centre. Any expert/advisor who is not a Commonwealth Official will be required/expected to perform their dutie</w:t>
      </w:r>
      <w:r w:rsidR="00523CFB">
        <w:rPr>
          <w:rFonts w:cs="Arial"/>
        </w:rPr>
        <w:t>s in accordance with the CGRGs.</w:t>
      </w:r>
    </w:p>
    <w:p w14:paraId="66134699" w14:textId="77777777" w:rsidR="00C157E9" w:rsidRDefault="00C157E9" w:rsidP="001505F4">
      <w:pPr>
        <w:pStyle w:val="Heading3"/>
      </w:pPr>
      <w:bookmarkStart w:id="125" w:name="_Toc16774102"/>
      <w:r>
        <w:lastRenderedPageBreak/>
        <w:t>Who will approve grants?</w:t>
      </w:r>
      <w:bookmarkEnd w:id="125"/>
    </w:p>
    <w:p w14:paraId="0C885352" w14:textId="1EEE2EFE" w:rsidR="00CA52D2" w:rsidRPr="00E22673" w:rsidRDefault="00CA52D2" w:rsidP="00E22673">
      <w:pPr>
        <w:rPr>
          <w:rFonts w:cs="Arial"/>
        </w:rPr>
      </w:pPr>
      <w:r w:rsidRPr="00E22673">
        <w:rPr>
          <w:rFonts w:cs="Arial"/>
        </w:rPr>
        <w:t>Based on the value of the grant round, and in line with the NDIA Financial Delegations, the NDIA Board will be the Delegate for this round.</w:t>
      </w:r>
      <w:r w:rsidR="006D1639">
        <w:rPr>
          <w:rFonts w:cs="Arial"/>
        </w:rPr>
        <w:t xml:space="preserve"> </w:t>
      </w:r>
      <w:r w:rsidRPr="00E22673">
        <w:rPr>
          <w:rFonts w:cs="Arial"/>
        </w:rPr>
        <w:t xml:space="preserve">The </w:t>
      </w:r>
      <w:r w:rsidRPr="00E22673">
        <w:rPr>
          <w:rFonts w:cs="Arial"/>
          <w:iCs/>
        </w:rPr>
        <w:t xml:space="preserve">NDIA Delegate </w:t>
      </w:r>
      <w:r w:rsidRPr="00E22673">
        <w:rPr>
          <w:rFonts w:cs="Arial"/>
        </w:rPr>
        <w:t>decides which grants to approve based on the recommendations o</w:t>
      </w:r>
      <w:r w:rsidR="00096414">
        <w:rPr>
          <w:rFonts w:cs="Arial"/>
        </w:rPr>
        <w:t>f the Selection Advisory Panel</w:t>
      </w:r>
      <w:r w:rsidRPr="00E22673">
        <w:rPr>
          <w:rFonts w:cs="Arial"/>
        </w:rPr>
        <w:t>, taking into consideration any further information that may become known, including</w:t>
      </w:r>
      <w:r w:rsidR="0021219A">
        <w:rPr>
          <w:rFonts w:cs="Arial"/>
        </w:rPr>
        <w:t xml:space="preserve"> the</w:t>
      </w:r>
      <w:r w:rsidRPr="00E22673">
        <w:rPr>
          <w:rFonts w:cs="Arial"/>
        </w:rPr>
        <w:t>:</w:t>
      </w:r>
    </w:p>
    <w:p w14:paraId="64F12E4E" w14:textId="0AE5D1EE" w:rsidR="00CA52D2" w:rsidRPr="00E22673" w:rsidRDefault="00CA52D2" w:rsidP="00E22673">
      <w:pPr>
        <w:pStyle w:val="ListParagraph"/>
        <w:numPr>
          <w:ilvl w:val="0"/>
          <w:numId w:val="73"/>
        </w:numPr>
        <w:contextualSpacing w:val="0"/>
        <w:rPr>
          <w:rFonts w:cs="Arial"/>
        </w:rPr>
      </w:pPr>
      <w:r w:rsidRPr="00E22673">
        <w:rPr>
          <w:rFonts w:cs="Arial"/>
        </w:rPr>
        <w:t>use of additio</w:t>
      </w:r>
      <w:r w:rsidR="00096414">
        <w:rPr>
          <w:rFonts w:cs="Arial"/>
        </w:rPr>
        <w:t>nal expert or advisory opinion</w:t>
      </w:r>
      <w:r w:rsidR="0021219A">
        <w:rPr>
          <w:rFonts w:cs="Arial"/>
        </w:rPr>
        <w:t>, and</w:t>
      </w:r>
    </w:p>
    <w:p w14:paraId="138A450C" w14:textId="2826BD42" w:rsidR="00CA52D2" w:rsidRPr="00E22673" w:rsidRDefault="00CA52D2" w:rsidP="00E22673">
      <w:pPr>
        <w:pStyle w:val="ListParagraph"/>
        <w:numPr>
          <w:ilvl w:val="0"/>
          <w:numId w:val="73"/>
        </w:numPr>
        <w:contextualSpacing w:val="0"/>
        <w:rPr>
          <w:rFonts w:cs="Arial"/>
        </w:rPr>
      </w:pPr>
      <w:r w:rsidRPr="00E22673">
        <w:rPr>
          <w:rFonts w:cs="Arial"/>
        </w:rPr>
        <w:t>availability of grant funds for the purposes of the grant program</w:t>
      </w:r>
    </w:p>
    <w:p w14:paraId="3A87A79D" w14:textId="77777777" w:rsidR="00CA52D2" w:rsidRPr="00E22673" w:rsidRDefault="00CA52D2" w:rsidP="00E22673">
      <w:pPr>
        <w:rPr>
          <w:rFonts w:cs="Arial"/>
        </w:rPr>
      </w:pPr>
      <w:proofErr w:type="gramStart"/>
      <w:r w:rsidRPr="00E22673">
        <w:rPr>
          <w:rFonts w:cs="Arial"/>
        </w:rPr>
        <w:t>prior</w:t>
      </w:r>
      <w:proofErr w:type="gramEnd"/>
      <w:r w:rsidRPr="00E22673">
        <w:rPr>
          <w:rFonts w:cs="Arial"/>
        </w:rPr>
        <w:t xml:space="preserve"> to the NDIA delegate making a decision.</w:t>
      </w:r>
    </w:p>
    <w:p w14:paraId="01360C1A" w14:textId="0952C028" w:rsidR="008C59DB" w:rsidRPr="00E22673" w:rsidRDefault="008C59DB" w:rsidP="00E22673">
      <w:pPr>
        <w:rPr>
          <w:rFonts w:cs="Arial"/>
        </w:rPr>
      </w:pPr>
      <w:r w:rsidRPr="00E22673">
        <w:rPr>
          <w:rFonts w:cs="Arial"/>
        </w:rPr>
        <w:t xml:space="preserve">The </w:t>
      </w:r>
      <w:r w:rsidRPr="00E22673">
        <w:rPr>
          <w:rFonts w:cs="Arial"/>
          <w:iCs/>
        </w:rPr>
        <w:t xml:space="preserve">NDIA </w:t>
      </w:r>
      <w:r w:rsidRPr="00E22673">
        <w:rPr>
          <w:rFonts w:cs="Arial"/>
        </w:rPr>
        <w:t>Delegate’s</w:t>
      </w:r>
      <w:r w:rsidRPr="00E22673">
        <w:rPr>
          <w:rFonts w:cs="Arial"/>
          <w:iCs/>
        </w:rPr>
        <w:t xml:space="preserve"> </w:t>
      </w:r>
      <w:r w:rsidRPr="00E22673">
        <w:rPr>
          <w:rFonts w:cs="Arial"/>
        </w:rPr>
        <w:t>decision</w:t>
      </w:r>
      <w:r w:rsidRPr="00E22673">
        <w:rPr>
          <w:rFonts w:cs="Arial"/>
          <w:color w:val="00B0F0"/>
        </w:rPr>
        <w:t xml:space="preserve"> </w:t>
      </w:r>
      <w:r w:rsidRPr="00E22673">
        <w:rPr>
          <w:rFonts w:cs="Arial"/>
        </w:rPr>
        <w:t>is final in all matters, including</w:t>
      </w:r>
      <w:r w:rsidR="00921B88">
        <w:rPr>
          <w:rFonts w:cs="Arial"/>
        </w:rPr>
        <w:t xml:space="preserve"> the</w:t>
      </w:r>
      <w:r w:rsidRPr="00E22673">
        <w:rPr>
          <w:rFonts w:cs="Arial"/>
        </w:rPr>
        <w:t>:</w:t>
      </w:r>
    </w:p>
    <w:p w14:paraId="117B01A9" w14:textId="3CF86A8B" w:rsidR="008C59DB" w:rsidRPr="00E22673" w:rsidRDefault="008C59DB" w:rsidP="00E22673">
      <w:pPr>
        <w:pStyle w:val="ListBullet"/>
        <w:spacing w:after="120"/>
        <w:rPr>
          <w:rFonts w:cs="Arial"/>
        </w:rPr>
      </w:pPr>
      <w:r w:rsidRPr="00E22673">
        <w:rPr>
          <w:rFonts w:cs="Arial"/>
        </w:rPr>
        <w:t>approval of the grant</w:t>
      </w:r>
    </w:p>
    <w:p w14:paraId="36FB7D6C" w14:textId="65BC6798" w:rsidR="008C59DB" w:rsidRPr="00E22673" w:rsidRDefault="008C59DB" w:rsidP="00E22673">
      <w:pPr>
        <w:pStyle w:val="ListBullet"/>
        <w:spacing w:after="120"/>
        <w:rPr>
          <w:rFonts w:cs="Arial"/>
        </w:rPr>
      </w:pPr>
      <w:r w:rsidRPr="00E22673">
        <w:rPr>
          <w:rFonts w:cs="Arial"/>
        </w:rPr>
        <w:t>grant funding amount to be awarded</w:t>
      </w:r>
    </w:p>
    <w:p w14:paraId="69077315" w14:textId="09C9A77C" w:rsidR="008C59DB" w:rsidRPr="00E22673" w:rsidRDefault="008C59DB" w:rsidP="00E22673">
      <w:pPr>
        <w:pStyle w:val="ListBullet"/>
        <w:spacing w:after="120"/>
        <w:rPr>
          <w:rFonts w:cs="Arial"/>
        </w:rPr>
      </w:pPr>
      <w:proofErr w:type="gramStart"/>
      <w:r w:rsidRPr="00E22673">
        <w:rPr>
          <w:rFonts w:cs="Arial"/>
        </w:rPr>
        <w:t>ter</w:t>
      </w:r>
      <w:r w:rsidR="00523CFB">
        <w:rPr>
          <w:rFonts w:cs="Arial"/>
        </w:rPr>
        <w:t>ms</w:t>
      </w:r>
      <w:proofErr w:type="gramEnd"/>
      <w:r w:rsidR="00523CFB">
        <w:rPr>
          <w:rFonts w:cs="Arial"/>
        </w:rPr>
        <w:t xml:space="preserve"> and conditions of the grant.</w:t>
      </w:r>
    </w:p>
    <w:p w14:paraId="5DD6E2DD" w14:textId="77777777" w:rsidR="008C59DB" w:rsidRPr="00E22673" w:rsidRDefault="008C59DB" w:rsidP="00E22673">
      <w:pPr>
        <w:pStyle w:val="ListBullet"/>
        <w:numPr>
          <w:ilvl w:val="0"/>
          <w:numId w:val="0"/>
        </w:numPr>
        <w:spacing w:after="120"/>
        <w:rPr>
          <w:rFonts w:cs="Arial"/>
        </w:rPr>
      </w:pPr>
      <w:r w:rsidRPr="00E22673">
        <w:rPr>
          <w:rFonts w:cs="Arial"/>
        </w:rPr>
        <w:t>There is no appeal mechanism for decisions to approve or not approve a grant.</w:t>
      </w:r>
    </w:p>
    <w:p w14:paraId="17CA2A41" w14:textId="77777777" w:rsidR="00DB5819" w:rsidRDefault="00FB0C71" w:rsidP="001505F4">
      <w:pPr>
        <w:pStyle w:val="Heading2"/>
      </w:pPr>
      <w:bookmarkStart w:id="126" w:name="_Toc16774103"/>
      <w:r>
        <w:t>Notification of application outcomes</w:t>
      </w:r>
      <w:bookmarkEnd w:id="126"/>
    </w:p>
    <w:p w14:paraId="41C3BDA7" w14:textId="04D68290" w:rsidR="00FB0C71" w:rsidRPr="00E22673" w:rsidRDefault="00705C93" w:rsidP="00E22673">
      <w:pPr>
        <w:rPr>
          <w:rFonts w:cs="Arial"/>
        </w:rPr>
      </w:pPr>
      <w:r w:rsidRPr="00E22673">
        <w:rPr>
          <w:rFonts w:cs="Arial"/>
        </w:rPr>
        <w:t>We</w:t>
      </w:r>
      <w:r w:rsidR="003349F3" w:rsidRPr="00E22673">
        <w:rPr>
          <w:rFonts w:cs="Arial"/>
        </w:rPr>
        <w:t xml:space="preserve"> </w:t>
      </w:r>
      <w:r w:rsidR="00272178" w:rsidRPr="00E22673">
        <w:rPr>
          <w:rFonts w:cs="Arial"/>
        </w:rPr>
        <w:t xml:space="preserve">will </w:t>
      </w:r>
      <w:r w:rsidR="00480913" w:rsidRPr="00E22673">
        <w:rPr>
          <w:rFonts w:cs="Arial"/>
        </w:rPr>
        <w:t xml:space="preserve">write to </w:t>
      </w:r>
      <w:r w:rsidR="00272178" w:rsidRPr="00E22673">
        <w:rPr>
          <w:rFonts w:cs="Arial"/>
        </w:rPr>
        <w:t>y</w:t>
      </w:r>
      <w:r w:rsidR="00FB0C71" w:rsidRPr="00E22673">
        <w:rPr>
          <w:rFonts w:cs="Arial"/>
        </w:rPr>
        <w:t>ou</w:t>
      </w:r>
      <w:r w:rsidR="00480913" w:rsidRPr="00E22673">
        <w:rPr>
          <w:rFonts w:cs="Arial"/>
        </w:rPr>
        <w:t xml:space="preserve"> about</w:t>
      </w:r>
      <w:r w:rsidR="00FB0C71" w:rsidRPr="00E22673">
        <w:rPr>
          <w:rFonts w:cs="Arial"/>
        </w:rPr>
        <w:t xml:space="preserve"> the outcome of your application</w:t>
      </w:r>
      <w:r w:rsidR="001A1C64" w:rsidRPr="00E22673">
        <w:rPr>
          <w:rFonts w:cs="Arial"/>
        </w:rPr>
        <w:t xml:space="preserve">. </w:t>
      </w:r>
      <w:r w:rsidR="00FB0C71" w:rsidRPr="00E22673">
        <w:rPr>
          <w:rFonts w:cs="Arial"/>
        </w:rPr>
        <w:t xml:space="preserve">If you are successful, </w:t>
      </w:r>
      <w:r w:rsidR="00A65BDC" w:rsidRPr="00E22673">
        <w:rPr>
          <w:rFonts w:cs="Arial"/>
        </w:rPr>
        <w:t xml:space="preserve">you </w:t>
      </w:r>
      <w:proofErr w:type="gramStart"/>
      <w:r w:rsidR="006149B3" w:rsidRPr="00E22673">
        <w:rPr>
          <w:rFonts w:cs="Arial"/>
        </w:rPr>
        <w:t>are</w:t>
      </w:r>
      <w:r w:rsidR="00272178" w:rsidRPr="00E22673">
        <w:rPr>
          <w:rFonts w:cs="Arial"/>
        </w:rPr>
        <w:t xml:space="preserve"> advise</w:t>
      </w:r>
      <w:r w:rsidR="00A65BDC" w:rsidRPr="00E22673">
        <w:rPr>
          <w:rFonts w:cs="Arial"/>
        </w:rPr>
        <w:t>d</w:t>
      </w:r>
      <w:proofErr w:type="gramEnd"/>
      <w:r w:rsidR="00272178" w:rsidRPr="00E22673">
        <w:rPr>
          <w:rFonts w:cs="Arial"/>
        </w:rPr>
        <w:t xml:space="preserve"> of</w:t>
      </w:r>
      <w:r w:rsidR="00FB0C71" w:rsidRPr="00E22673">
        <w:rPr>
          <w:rFonts w:cs="Arial"/>
        </w:rPr>
        <w:t xml:space="preserve"> any specific co</w:t>
      </w:r>
      <w:r w:rsidR="00523CFB">
        <w:rPr>
          <w:rFonts w:cs="Arial"/>
        </w:rPr>
        <w:t>nditions attached to the grant.</w:t>
      </w:r>
    </w:p>
    <w:p w14:paraId="0D4F98CC" w14:textId="77777777" w:rsidR="00FB0C71" w:rsidRDefault="00FB0C71" w:rsidP="001505F4">
      <w:pPr>
        <w:pStyle w:val="Heading3"/>
      </w:pPr>
      <w:bookmarkStart w:id="127" w:name="_Toc16774104"/>
      <w:r w:rsidRPr="00FB0C71">
        <w:t>Feedback on your application</w:t>
      </w:r>
      <w:bookmarkEnd w:id="127"/>
    </w:p>
    <w:p w14:paraId="41A57784" w14:textId="647AF622" w:rsidR="0040427E" w:rsidRPr="00E22673" w:rsidRDefault="0040427E" w:rsidP="00E22673">
      <w:pPr>
        <w:rPr>
          <w:rFonts w:cs="Arial"/>
        </w:rPr>
      </w:pPr>
      <w:r w:rsidRPr="00E22673">
        <w:rPr>
          <w:rFonts w:cs="Arial"/>
        </w:rPr>
        <w:t xml:space="preserve">A </w:t>
      </w:r>
      <w:r w:rsidR="00A87449">
        <w:rPr>
          <w:rFonts w:cs="Arial"/>
        </w:rPr>
        <w:t>f</w:t>
      </w:r>
      <w:r w:rsidRPr="00E22673">
        <w:rPr>
          <w:rFonts w:cs="Arial"/>
        </w:rPr>
        <w:t xml:space="preserve">eedback </w:t>
      </w:r>
      <w:r w:rsidR="00A87449">
        <w:rPr>
          <w:rFonts w:cs="Arial"/>
        </w:rPr>
        <w:t>s</w:t>
      </w:r>
      <w:r w:rsidRPr="00E22673">
        <w:rPr>
          <w:rFonts w:cs="Arial"/>
        </w:rPr>
        <w:t xml:space="preserve">ummary </w:t>
      </w:r>
      <w:proofErr w:type="gramStart"/>
      <w:r w:rsidRPr="00E22673">
        <w:rPr>
          <w:rFonts w:cs="Arial"/>
        </w:rPr>
        <w:t>will be published</w:t>
      </w:r>
      <w:proofErr w:type="gramEnd"/>
      <w:r w:rsidRPr="00E22673">
        <w:rPr>
          <w:rFonts w:cs="Arial"/>
        </w:rPr>
        <w:t xml:space="preserve"> on the Community Grants Hub website to provide all organisations with easy to access to information about the grant selection process and the main strengths and areas for improving applications.</w:t>
      </w:r>
      <w:r w:rsidR="00296E3B" w:rsidRPr="00E22673">
        <w:rPr>
          <w:rFonts w:cs="Arial"/>
        </w:rPr>
        <w:t xml:space="preserve"> Individual feedback will not be available for this grant round.</w:t>
      </w:r>
    </w:p>
    <w:p w14:paraId="03E6DFA5" w14:textId="77777777" w:rsidR="00DD159B" w:rsidRDefault="00DD159B" w:rsidP="001505F4">
      <w:pPr>
        <w:pStyle w:val="Heading3"/>
      </w:pPr>
      <w:bookmarkStart w:id="128" w:name="_Toc525295546"/>
      <w:bookmarkStart w:id="129" w:name="_Toc525552144"/>
      <w:bookmarkStart w:id="130" w:name="_Toc525722844"/>
      <w:bookmarkStart w:id="131" w:name="_Toc16774105"/>
      <w:bookmarkEnd w:id="128"/>
      <w:bookmarkEnd w:id="129"/>
      <w:bookmarkEnd w:id="130"/>
      <w:r>
        <w:t>Further grant opportunities</w:t>
      </w:r>
      <w:bookmarkEnd w:id="131"/>
    </w:p>
    <w:p w14:paraId="4B1E6481" w14:textId="09B24361" w:rsidR="0052494A" w:rsidRPr="00E22673" w:rsidRDefault="008C59DB" w:rsidP="00E22673">
      <w:pPr>
        <w:rPr>
          <w:rFonts w:cs="Arial"/>
        </w:rPr>
      </w:pPr>
      <w:r w:rsidRPr="00E22673">
        <w:rPr>
          <w:rFonts w:cs="Arial"/>
        </w:rPr>
        <w:t xml:space="preserve">The NDIA expects to offer further funding opportunities to the sector with longer funding terms as part of the new </w:t>
      </w:r>
      <w:hyperlink r:id="rId41" w:history="1">
        <w:r w:rsidRPr="00E22673">
          <w:rPr>
            <w:rStyle w:val="Hyperlink"/>
            <w:rFonts w:cs="Arial"/>
          </w:rPr>
          <w:t>ILC Investment Strategy</w:t>
        </w:r>
      </w:hyperlink>
      <w:r w:rsidRPr="00E22673">
        <w:rPr>
          <w:rFonts w:cs="Arial"/>
        </w:rPr>
        <w:t>. Applying for this grant round will not exclude you from being able to apply for future ILC funding opportunities (including applications for activities that were unsuccessful in this grant round). If your application is successful, you will still be able to apply for future funding opportunities as long as the proposals do not duplicate existing activities that</w:t>
      </w:r>
      <w:r w:rsidR="00523CFB">
        <w:rPr>
          <w:rFonts w:cs="Arial"/>
        </w:rPr>
        <w:t xml:space="preserve"> have already received funding.</w:t>
      </w:r>
    </w:p>
    <w:p w14:paraId="68027F1B" w14:textId="77777777" w:rsidR="00B0570C" w:rsidRPr="00E22673" w:rsidRDefault="00B0570C" w:rsidP="00E22673">
      <w:pPr>
        <w:rPr>
          <w:rFonts w:cs="Arial"/>
        </w:rPr>
      </w:pPr>
      <w:r w:rsidRPr="00E22673">
        <w:rPr>
          <w:rFonts w:cs="Arial"/>
        </w:rPr>
        <w:t>You can submit a new application for the same grant (or a similar grant) in any future grant opportunities under the program. You should include new or more information to address any weaknesses that may have prevented your previous application from being successful.</w:t>
      </w:r>
    </w:p>
    <w:p w14:paraId="42D30B45" w14:textId="77777777" w:rsidR="007C21EF" w:rsidRPr="00C1443C" w:rsidRDefault="007C21EF" w:rsidP="00E22673">
      <w:pPr>
        <w:rPr>
          <w:rStyle w:val="highlightedtextChar"/>
          <w:rFonts w:ascii="Arial" w:eastAsia="Times New Roman" w:hAnsi="Arial" w:cs="Times New Roman"/>
          <w:b w:val="0"/>
          <w:color w:val="auto"/>
          <w:sz w:val="20"/>
          <w:szCs w:val="20"/>
        </w:rPr>
      </w:pPr>
      <w:r w:rsidRPr="00E22673">
        <w:rPr>
          <w:rFonts w:cs="Arial"/>
        </w:rPr>
        <w:t xml:space="preserve">Please subscribe to the </w:t>
      </w:r>
      <w:hyperlink r:id="rId42" w:history="1">
        <w:r w:rsidRPr="00E22673">
          <w:rPr>
            <w:rStyle w:val="Hyperlink"/>
            <w:rFonts w:cs="Arial"/>
          </w:rPr>
          <w:t>ILC mailing list</w:t>
        </w:r>
      </w:hyperlink>
      <w:r w:rsidRPr="00E22673">
        <w:rPr>
          <w:rFonts w:cs="Arial"/>
        </w:rPr>
        <w:t xml:space="preserve"> to receive updates on fu</w:t>
      </w:r>
      <w:r w:rsidR="00C1443C" w:rsidRPr="00E22673">
        <w:rPr>
          <w:rFonts w:cs="Arial"/>
        </w:rPr>
        <w:t>ture ILC funding opportunities</w:t>
      </w:r>
      <w:r w:rsidR="00C1443C">
        <w:t>.</w:t>
      </w:r>
    </w:p>
    <w:p w14:paraId="35643573" w14:textId="77777777" w:rsidR="00DB5819" w:rsidRDefault="00FB0C71" w:rsidP="001505F4">
      <w:pPr>
        <w:pStyle w:val="Heading2"/>
      </w:pPr>
      <w:bookmarkStart w:id="132" w:name="_Toc16774106"/>
      <w:r>
        <w:t>Successful grant applications</w:t>
      </w:r>
      <w:bookmarkEnd w:id="132"/>
    </w:p>
    <w:p w14:paraId="60635F62" w14:textId="77777777" w:rsidR="00FB0C71" w:rsidRPr="009C6DAB" w:rsidRDefault="00FB0C71" w:rsidP="00767B44">
      <w:pPr>
        <w:pStyle w:val="Heading3"/>
      </w:pPr>
      <w:bookmarkStart w:id="133" w:name="_Toc16774107"/>
      <w:r w:rsidRPr="00767B44">
        <w:t>The grant agreement</w:t>
      </w:r>
      <w:bookmarkEnd w:id="133"/>
    </w:p>
    <w:p w14:paraId="5F4F0DF0" w14:textId="77777777" w:rsidR="000A4D8A" w:rsidRPr="00E22673" w:rsidRDefault="0000694F" w:rsidP="00E22673">
      <w:pPr>
        <w:rPr>
          <w:rFonts w:cs="Arial"/>
        </w:rPr>
      </w:pPr>
      <w:bookmarkStart w:id="134" w:name="_Toc466898121"/>
      <w:bookmarkEnd w:id="106"/>
      <w:bookmarkEnd w:id="107"/>
      <w:r w:rsidRPr="00E22673">
        <w:rPr>
          <w:rFonts w:cs="Arial"/>
        </w:rPr>
        <w:t>You</w:t>
      </w:r>
      <w:r w:rsidR="00756BBB" w:rsidRPr="00E22673">
        <w:rPr>
          <w:rFonts w:cs="Arial"/>
        </w:rPr>
        <w:t xml:space="preserve"> must enter into a </w:t>
      </w:r>
      <w:r w:rsidR="0028277B" w:rsidRPr="00E22673">
        <w:rPr>
          <w:rFonts w:cs="Arial"/>
        </w:rPr>
        <w:t xml:space="preserve">legally binding </w:t>
      </w:r>
      <w:r w:rsidR="00AE3DAF" w:rsidRPr="00E22673">
        <w:rPr>
          <w:rFonts w:cs="Arial"/>
        </w:rPr>
        <w:t>g</w:t>
      </w:r>
      <w:r w:rsidR="00756BBB" w:rsidRPr="00E22673">
        <w:rPr>
          <w:rFonts w:cs="Arial"/>
        </w:rPr>
        <w:t xml:space="preserve">rant </w:t>
      </w:r>
      <w:r w:rsidR="00AE3DAF" w:rsidRPr="00E22673">
        <w:rPr>
          <w:rFonts w:cs="Arial"/>
        </w:rPr>
        <w:t>a</w:t>
      </w:r>
      <w:r w:rsidR="00756BBB" w:rsidRPr="00E22673">
        <w:rPr>
          <w:rFonts w:cs="Arial"/>
        </w:rPr>
        <w:t xml:space="preserve">greement with the </w:t>
      </w:r>
      <w:r w:rsidR="00EF1C3E" w:rsidRPr="00E22673">
        <w:rPr>
          <w:rFonts w:cs="Arial"/>
        </w:rPr>
        <w:t>National Disability Insurance Agency (NDIA)</w:t>
      </w:r>
      <w:r w:rsidR="00756BBB" w:rsidRPr="00E22673">
        <w:rPr>
          <w:rFonts w:cs="Arial"/>
        </w:rPr>
        <w:t>.</w:t>
      </w:r>
      <w:r w:rsidR="00B65B88" w:rsidRPr="00E22673">
        <w:rPr>
          <w:rFonts w:cs="Arial"/>
        </w:rPr>
        <w:t xml:space="preserve"> </w:t>
      </w:r>
    </w:p>
    <w:p w14:paraId="76D69A22" w14:textId="5E67EE07" w:rsidR="00FC5C45" w:rsidRPr="00E22673" w:rsidRDefault="00FC5C45" w:rsidP="00E22673">
      <w:pPr>
        <w:rPr>
          <w:rFonts w:cs="Arial"/>
        </w:rPr>
      </w:pPr>
      <w:r w:rsidRPr="00E22673">
        <w:rPr>
          <w:rFonts w:cs="Arial"/>
        </w:rPr>
        <w:t xml:space="preserve">An NDIA Simple Grant Agreement </w:t>
      </w:r>
      <w:proofErr w:type="gramStart"/>
      <w:r w:rsidRPr="00E22673">
        <w:rPr>
          <w:rFonts w:cs="Arial"/>
        </w:rPr>
        <w:t>will be issued</w:t>
      </w:r>
      <w:proofErr w:type="gramEnd"/>
      <w:r w:rsidRPr="00E22673">
        <w:rPr>
          <w:rFonts w:cs="Arial"/>
        </w:rPr>
        <w:t>.</w:t>
      </w:r>
      <w:r w:rsidR="006D1639">
        <w:rPr>
          <w:rFonts w:cs="Arial"/>
        </w:rPr>
        <w:t xml:space="preserve"> </w:t>
      </w:r>
      <w:r w:rsidRPr="00E22673">
        <w:rPr>
          <w:rFonts w:cs="Arial"/>
        </w:rPr>
        <w:t>Payment and reporting requirements will be dependent upon the associated risks and compl</w:t>
      </w:r>
      <w:r w:rsidR="00523CFB">
        <w:rPr>
          <w:rFonts w:cs="Arial"/>
        </w:rPr>
        <w:t>exity of your grant activities.</w:t>
      </w:r>
    </w:p>
    <w:p w14:paraId="21E40469" w14:textId="77777777" w:rsidR="00756BBB" w:rsidRPr="00E22673" w:rsidRDefault="0028277B" w:rsidP="00E22673">
      <w:pPr>
        <w:rPr>
          <w:rFonts w:cs="Arial"/>
        </w:rPr>
      </w:pPr>
      <w:r w:rsidRPr="00E22673">
        <w:rPr>
          <w:rFonts w:cs="Arial"/>
        </w:rPr>
        <w:lastRenderedPageBreak/>
        <w:t xml:space="preserve">Each </w:t>
      </w:r>
      <w:r w:rsidR="00AE3DAF" w:rsidRPr="00E22673">
        <w:rPr>
          <w:rFonts w:cs="Arial"/>
        </w:rPr>
        <w:t>a</w:t>
      </w:r>
      <w:r w:rsidRPr="00E22673">
        <w:rPr>
          <w:rFonts w:cs="Arial"/>
        </w:rPr>
        <w:t xml:space="preserve">greement has </w:t>
      </w:r>
      <w:r w:rsidR="00F4677D" w:rsidRPr="00E22673">
        <w:rPr>
          <w:rFonts w:cs="Arial"/>
        </w:rPr>
        <w:t>general</w:t>
      </w:r>
      <w:r w:rsidR="00FE3713" w:rsidRPr="00E22673">
        <w:rPr>
          <w:rFonts w:cs="Arial"/>
        </w:rPr>
        <w:t>/standard</w:t>
      </w:r>
      <w:r w:rsidR="00F4677D" w:rsidRPr="00E22673">
        <w:rPr>
          <w:rFonts w:cs="Arial"/>
        </w:rPr>
        <w:t xml:space="preserve"> </w:t>
      </w:r>
      <w:r w:rsidR="00AE3DAF" w:rsidRPr="00E22673">
        <w:rPr>
          <w:rFonts w:cs="Arial"/>
        </w:rPr>
        <w:t>g</w:t>
      </w:r>
      <w:r w:rsidR="00FE3713" w:rsidRPr="00E22673">
        <w:rPr>
          <w:rFonts w:cs="Arial"/>
        </w:rPr>
        <w:t>rant</w:t>
      </w:r>
      <w:r w:rsidRPr="00E22673">
        <w:rPr>
          <w:rFonts w:cs="Arial"/>
        </w:rPr>
        <w:t xml:space="preserve"> </w:t>
      </w:r>
      <w:r w:rsidR="00AE3DAF" w:rsidRPr="00E22673">
        <w:rPr>
          <w:rFonts w:cs="Arial"/>
        </w:rPr>
        <w:t>c</w:t>
      </w:r>
      <w:r w:rsidRPr="00E22673">
        <w:rPr>
          <w:rFonts w:cs="Arial"/>
        </w:rPr>
        <w:t xml:space="preserve">onditions that </w:t>
      </w:r>
      <w:proofErr w:type="gramStart"/>
      <w:r w:rsidRPr="00E22673">
        <w:rPr>
          <w:rFonts w:cs="Arial"/>
        </w:rPr>
        <w:t>cannot be changed</w:t>
      </w:r>
      <w:proofErr w:type="gramEnd"/>
      <w:r w:rsidRPr="00E22673">
        <w:rPr>
          <w:rFonts w:cs="Arial"/>
        </w:rPr>
        <w:t>.</w:t>
      </w:r>
      <w:r w:rsidR="00756BBB" w:rsidRPr="00E22673">
        <w:rPr>
          <w:rFonts w:cs="Arial"/>
        </w:rPr>
        <w:t xml:space="preserve"> </w:t>
      </w:r>
      <w:r w:rsidR="002F7E8A" w:rsidRPr="00E22673">
        <w:rPr>
          <w:rFonts w:cs="Arial"/>
        </w:rPr>
        <w:t>S</w:t>
      </w:r>
      <w:r w:rsidR="00756BBB" w:rsidRPr="00E22673">
        <w:rPr>
          <w:rFonts w:cs="Arial"/>
        </w:rPr>
        <w:t xml:space="preserve">ample </w:t>
      </w:r>
      <w:r w:rsidR="00AE3DAF" w:rsidRPr="00E22673">
        <w:rPr>
          <w:rStyle w:val="Hyperlink"/>
          <w:rFonts w:eastAsia="MS Mincho" w:cs="Arial"/>
          <w:color w:val="auto"/>
          <w:u w:val="none"/>
        </w:rPr>
        <w:t>g</w:t>
      </w:r>
      <w:r w:rsidR="00756BBB" w:rsidRPr="00E22673">
        <w:rPr>
          <w:rStyle w:val="Hyperlink"/>
          <w:rFonts w:eastAsia="MS Mincho" w:cs="Arial"/>
          <w:color w:val="auto"/>
          <w:u w:val="none"/>
        </w:rPr>
        <w:t xml:space="preserve">rant </w:t>
      </w:r>
      <w:r w:rsidR="00AE3DAF" w:rsidRPr="00E22673">
        <w:rPr>
          <w:rStyle w:val="Hyperlink"/>
          <w:rFonts w:eastAsia="MS Mincho" w:cs="Arial"/>
          <w:color w:val="auto"/>
          <w:u w:val="none"/>
        </w:rPr>
        <w:t>a</w:t>
      </w:r>
      <w:r w:rsidR="00756BBB" w:rsidRPr="00E22673">
        <w:rPr>
          <w:rStyle w:val="Hyperlink"/>
          <w:rFonts w:eastAsia="MS Mincho" w:cs="Arial"/>
          <w:color w:val="auto"/>
          <w:u w:val="none"/>
        </w:rPr>
        <w:t>greement</w:t>
      </w:r>
      <w:r w:rsidR="002F7E8A" w:rsidRPr="00E22673">
        <w:rPr>
          <w:rStyle w:val="Hyperlink"/>
          <w:rFonts w:eastAsia="MS Mincho" w:cs="Arial"/>
          <w:color w:val="auto"/>
          <w:u w:val="none"/>
        </w:rPr>
        <w:t>s are</w:t>
      </w:r>
      <w:r w:rsidR="002F7E8A" w:rsidRPr="00E22673">
        <w:rPr>
          <w:rFonts w:cs="Arial"/>
        </w:rPr>
        <w:t xml:space="preserve"> </w:t>
      </w:r>
      <w:r w:rsidR="00756BBB" w:rsidRPr="00E22673">
        <w:rPr>
          <w:rFonts w:cs="Arial"/>
        </w:rPr>
        <w:t>available on</w:t>
      </w:r>
      <w:r w:rsidR="00EB18FF" w:rsidRPr="00E22673">
        <w:rPr>
          <w:rFonts w:cs="Arial"/>
        </w:rPr>
        <w:t xml:space="preserve"> </w:t>
      </w:r>
      <w:r w:rsidR="00A51A3F" w:rsidRPr="00E22673">
        <w:rPr>
          <w:rFonts w:cs="Arial"/>
        </w:rPr>
        <w:t>GrantConnect and Community Grants Hub websites</w:t>
      </w:r>
      <w:r w:rsidR="0086382B" w:rsidRPr="00E22673">
        <w:rPr>
          <w:rFonts w:cs="Arial"/>
        </w:rPr>
        <w:t xml:space="preserve"> </w:t>
      </w:r>
      <w:r w:rsidR="002F7E8A" w:rsidRPr="00E22673">
        <w:rPr>
          <w:rFonts w:cs="Arial"/>
        </w:rPr>
        <w:t>as part of the grant documentation</w:t>
      </w:r>
      <w:r w:rsidR="00756BBB" w:rsidRPr="00E22673">
        <w:rPr>
          <w:rFonts w:cs="Arial"/>
          <w:color w:val="0070C0"/>
        </w:rPr>
        <w:t>.</w:t>
      </w:r>
      <w:r w:rsidR="005A49DF" w:rsidRPr="00E22673">
        <w:rPr>
          <w:rFonts w:cs="Arial"/>
          <w:color w:val="0070C0"/>
        </w:rPr>
        <w:t xml:space="preserve"> </w:t>
      </w:r>
      <w:r w:rsidR="005A49DF" w:rsidRPr="00E22673">
        <w:rPr>
          <w:rFonts w:cs="Arial"/>
        </w:rPr>
        <w:t xml:space="preserve">We will use a schedule </w:t>
      </w:r>
      <w:r w:rsidR="00B65B88" w:rsidRPr="00E22673">
        <w:rPr>
          <w:rFonts w:cs="Arial"/>
        </w:rPr>
        <w:t xml:space="preserve">to </w:t>
      </w:r>
      <w:r w:rsidR="005A49DF" w:rsidRPr="00E22673">
        <w:rPr>
          <w:rFonts w:cs="Arial"/>
        </w:rPr>
        <w:t>outline the specific grant requirements.</w:t>
      </w:r>
    </w:p>
    <w:p w14:paraId="438A05F0" w14:textId="6F0A9D63" w:rsidR="00C37DE7" w:rsidRPr="00E22673" w:rsidRDefault="00C37DE7" w:rsidP="00E22673">
      <w:pPr>
        <w:rPr>
          <w:rFonts w:cs="Arial"/>
          <w:iCs/>
        </w:rPr>
      </w:pPr>
      <w:r w:rsidRPr="00E22673">
        <w:rPr>
          <w:rFonts w:cs="Arial"/>
          <w:iCs/>
        </w:rPr>
        <w:t>You will likely have t</w:t>
      </w:r>
      <w:r w:rsidR="00A90348" w:rsidRPr="00E22673">
        <w:rPr>
          <w:rFonts w:cs="Arial"/>
          <w:iCs/>
        </w:rPr>
        <w:t>en</w:t>
      </w:r>
      <w:r w:rsidRPr="00E22673">
        <w:rPr>
          <w:rFonts w:cs="Arial"/>
          <w:iCs/>
        </w:rPr>
        <w:t xml:space="preserve"> (</w:t>
      </w:r>
      <w:r w:rsidR="00A90348" w:rsidRPr="00E22673">
        <w:rPr>
          <w:rFonts w:cs="Arial"/>
          <w:iCs/>
        </w:rPr>
        <w:t>1</w:t>
      </w:r>
      <w:r w:rsidRPr="00E22673">
        <w:rPr>
          <w:rFonts w:cs="Arial"/>
          <w:iCs/>
        </w:rPr>
        <w:t xml:space="preserve">0) business days from the date of a written offer to sign and return this grant agreement. The agreement </w:t>
      </w:r>
      <w:proofErr w:type="gramStart"/>
      <w:r w:rsidRPr="00E22673">
        <w:rPr>
          <w:rFonts w:cs="Arial"/>
          <w:iCs/>
        </w:rPr>
        <w:t>is not considered to be executed</w:t>
      </w:r>
      <w:proofErr w:type="gramEnd"/>
      <w:r w:rsidRPr="00E22673">
        <w:rPr>
          <w:rFonts w:cs="Arial"/>
          <w:iCs/>
        </w:rPr>
        <w:t xml:space="preserve"> until both you and the NDIA have signed the agreement. During this time, we will wor</w:t>
      </w:r>
      <w:r w:rsidR="00523CFB">
        <w:rPr>
          <w:rFonts w:cs="Arial"/>
          <w:iCs/>
        </w:rPr>
        <w:t>k with you to finalise details.</w:t>
      </w:r>
    </w:p>
    <w:p w14:paraId="2112A134" w14:textId="77777777" w:rsidR="00C37DE7" w:rsidRPr="00E22673" w:rsidRDefault="00C37DE7" w:rsidP="00E22673">
      <w:pPr>
        <w:rPr>
          <w:rFonts w:cs="Arial"/>
          <w:lang w:eastAsia="en-AU"/>
        </w:rPr>
      </w:pPr>
      <w:r w:rsidRPr="00E22673">
        <w:rPr>
          <w:rFonts w:cs="Arial"/>
        </w:rPr>
        <w:t xml:space="preserve">The </w:t>
      </w:r>
      <w:r w:rsidRPr="00E22673">
        <w:rPr>
          <w:rStyle w:val="highlightedtextChar"/>
          <w:rFonts w:ascii="Arial" w:hAnsi="Arial" w:cs="Arial"/>
          <w:b w:val="0"/>
          <w:color w:val="auto"/>
          <w:sz w:val="20"/>
          <w:szCs w:val="20"/>
        </w:rPr>
        <w:t>NDIA</w:t>
      </w:r>
      <w:r w:rsidRPr="00E22673">
        <w:rPr>
          <w:rStyle w:val="highlightedtextChar"/>
          <w:rFonts w:ascii="Arial" w:hAnsi="Arial" w:cs="Arial"/>
          <w:color w:val="auto"/>
          <w:sz w:val="20"/>
          <w:szCs w:val="20"/>
        </w:rPr>
        <w:t xml:space="preserve"> </w:t>
      </w:r>
      <w:r w:rsidRPr="00E22673">
        <w:rPr>
          <w:rFonts w:cs="Arial"/>
        </w:rPr>
        <w:t>will negotiate agreements with successful applicants.</w:t>
      </w:r>
      <w:r w:rsidRPr="00E22673">
        <w:rPr>
          <w:rStyle w:val="Strong"/>
          <w:rFonts w:cs="Arial"/>
          <w:b w:val="0"/>
        </w:rPr>
        <w:t xml:space="preserve"> If there are unreasonable delays in finalising </w:t>
      </w:r>
      <w:r w:rsidRPr="00E22673">
        <w:rPr>
          <w:rFonts w:cs="Arial"/>
          <w:lang w:eastAsia="en-AU"/>
        </w:rPr>
        <w:t>a grant agreement, the grant</w:t>
      </w:r>
      <w:r w:rsidR="00296E3B" w:rsidRPr="00E22673">
        <w:rPr>
          <w:rFonts w:cs="Arial"/>
          <w:lang w:eastAsia="en-AU"/>
        </w:rPr>
        <w:t xml:space="preserve"> offer may be withdrawn.</w:t>
      </w:r>
    </w:p>
    <w:p w14:paraId="62BF19A3" w14:textId="77777777" w:rsidR="001A4511" w:rsidRPr="00E22673" w:rsidRDefault="001A4511" w:rsidP="00E22673">
      <w:pPr>
        <w:rPr>
          <w:rFonts w:cs="Arial"/>
          <w:iCs/>
        </w:rPr>
      </w:pPr>
      <w:r w:rsidRPr="00E22673">
        <w:rPr>
          <w:rFonts w:cs="Arial"/>
          <w:iCs/>
        </w:rPr>
        <w:t xml:space="preserve">The offer may lapse if both parties do not sign the grant agreement within </w:t>
      </w:r>
      <w:r w:rsidR="00B0570C" w:rsidRPr="00E22673">
        <w:rPr>
          <w:rFonts w:cs="Arial"/>
          <w:iCs/>
        </w:rPr>
        <w:t>the required timeframe</w:t>
      </w:r>
      <w:r w:rsidRPr="00E22673">
        <w:rPr>
          <w:rFonts w:cs="Arial"/>
          <w:iCs/>
        </w:rPr>
        <w:t>. Under certain circumstances, we may extend this period. We base the approval of your grant on the information you provide in your application.</w:t>
      </w:r>
    </w:p>
    <w:p w14:paraId="58476292" w14:textId="54532B5D" w:rsidR="00C37DE7" w:rsidRPr="00E22673" w:rsidRDefault="00C37DE7" w:rsidP="00E22673">
      <w:pPr>
        <w:rPr>
          <w:rFonts w:cs="Arial"/>
          <w:bCs/>
          <w:lang w:eastAsia="en-AU"/>
        </w:rPr>
      </w:pPr>
      <w:r w:rsidRPr="00E22673">
        <w:rPr>
          <w:rFonts w:cs="Arial"/>
        </w:rPr>
        <w:t>We</w:t>
      </w:r>
      <w:r w:rsidRPr="00E22673">
        <w:rPr>
          <w:rFonts w:cs="Arial"/>
          <w:color w:val="0070C0"/>
        </w:rPr>
        <w:t xml:space="preserve"> </w:t>
      </w:r>
      <w:r w:rsidRPr="00E22673">
        <w:rPr>
          <w:rFonts w:cs="Arial"/>
        </w:rPr>
        <w:t xml:space="preserve">must execute a grant agreement with you before we can make any payments. We are not responsible for any of your expenditure until a grant agreement </w:t>
      </w:r>
      <w:proofErr w:type="gramStart"/>
      <w:r w:rsidRPr="00E22673">
        <w:rPr>
          <w:rFonts w:cs="Arial"/>
        </w:rPr>
        <w:t>is executed</w:t>
      </w:r>
      <w:proofErr w:type="gramEnd"/>
      <w:r w:rsidRPr="00E22673">
        <w:rPr>
          <w:rFonts w:cs="Arial"/>
        </w:rPr>
        <w:t xml:space="preserve">. </w:t>
      </w:r>
      <w:r w:rsidRPr="00E22673">
        <w:rPr>
          <w:rFonts w:cs="Arial"/>
          <w:bCs/>
          <w:lang w:eastAsia="en-AU"/>
        </w:rPr>
        <w:t>Applicants should not make financial co</w:t>
      </w:r>
      <w:r w:rsidR="0021219A">
        <w:rPr>
          <w:rFonts w:cs="Arial"/>
          <w:bCs/>
          <w:lang w:eastAsia="en-AU"/>
        </w:rPr>
        <w:t>mmitments related to this grant</w:t>
      </w:r>
      <w:r w:rsidRPr="00E22673">
        <w:rPr>
          <w:rFonts w:cs="Arial"/>
          <w:bCs/>
          <w:lang w:eastAsia="en-AU"/>
        </w:rPr>
        <w:t xml:space="preserve"> until a grant agreement</w:t>
      </w:r>
      <w:r w:rsidR="00523CFB">
        <w:rPr>
          <w:rFonts w:cs="Arial"/>
          <w:bCs/>
          <w:lang w:eastAsia="en-AU"/>
        </w:rPr>
        <w:t xml:space="preserve"> </w:t>
      </w:r>
      <w:proofErr w:type="gramStart"/>
      <w:r w:rsidR="00523CFB">
        <w:rPr>
          <w:rFonts w:cs="Arial"/>
          <w:bCs/>
          <w:lang w:eastAsia="en-AU"/>
        </w:rPr>
        <w:t>has been executed</w:t>
      </w:r>
      <w:proofErr w:type="gramEnd"/>
      <w:r w:rsidR="00523CFB">
        <w:rPr>
          <w:rFonts w:cs="Arial"/>
          <w:bCs/>
          <w:lang w:eastAsia="en-AU"/>
        </w:rPr>
        <w:t xml:space="preserve"> by the NDIA.</w:t>
      </w:r>
    </w:p>
    <w:p w14:paraId="459D6B82" w14:textId="191DEAF3" w:rsidR="00756BBB" w:rsidRPr="00E22673" w:rsidRDefault="009D51CA" w:rsidP="00E22673">
      <w:pPr>
        <w:rPr>
          <w:rFonts w:cs="Arial"/>
        </w:rPr>
      </w:pPr>
      <w:r w:rsidRPr="00E22673">
        <w:rPr>
          <w:rFonts w:cs="Arial"/>
        </w:rPr>
        <w:t xml:space="preserve">Your </w:t>
      </w:r>
      <w:r w:rsidR="00AE3DAF" w:rsidRPr="00E22673">
        <w:rPr>
          <w:rFonts w:cs="Arial"/>
        </w:rPr>
        <w:t>grant agreement</w:t>
      </w:r>
      <w:r w:rsidR="00320EA3" w:rsidRPr="00E22673">
        <w:rPr>
          <w:rFonts w:cs="Arial"/>
        </w:rPr>
        <w:t xml:space="preserve"> </w:t>
      </w:r>
      <w:r w:rsidR="00756BBB" w:rsidRPr="00E22673">
        <w:rPr>
          <w:rFonts w:cs="Arial"/>
        </w:rPr>
        <w:t>may have specific conditions determined by the assessment process or other considerations made by the</w:t>
      </w:r>
      <w:r w:rsidR="00916B94" w:rsidRPr="00E22673">
        <w:rPr>
          <w:rFonts w:cs="Arial"/>
        </w:rPr>
        <w:t xml:space="preserve"> </w:t>
      </w:r>
      <w:r w:rsidR="00B0570C" w:rsidRPr="00E22673">
        <w:rPr>
          <w:rFonts w:cs="Arial"/>
          <w:color w:val="000000" w:themeColor="text1"/>
        </w:rPr>
        <w:t>NDIA Delegate</w:t>
      </w:r>
      <w:r w:rsidR="00756BBB" w:rsidRPr="00E22673">
        <w:rPr>
          <w:rFonts w:cs="Arial"/>
          <w:color w:val="000000" w:themeColor="text1"/>
        </w:rPr>
        <w:t xml:space="preserve">. </w:t>
      </w:r>
      <w:r w:rsidR="004712C0" w:rsidRPr="00E22673">
        <w:rPr>
          <w:rFonts w:cs="Arial"/>
          <w:color w:val="000000" w:themeColor="text1"/>
        </w:rPr>
        <w:t>These</w:t>
      </w:r>
      <w:r w:rsidR="00756BBB" w:rsidRPr="00E22673">
        <w:rPr>
          <w:rFonts w:cs="Arial"/>
          <w:color w:val="000000" w:themeColor="text1"/>
        </w:rPr>
        <w:t xml:space="preserve"> </w:t>
      </w:r>
      <w:proofErr w:type="gramStart"/>
      <w:r w:rsidR="00162F05" w:rsidRPr="00E22673">
        <w:rPr>
          <w:rFonts w:cs="Arial"/>
        </w:rPr>
        <w:t xml:space="preserve">will be </w:t>
      </w:r>
      <w:r w:rsidR="00756BBB" w:rsidRPr="00E22673">
        <w:rPr>
          <w:rFonts w:cs="Arial"/>
        </w:rPr>
        <w:t>identif</w:t>
      </w:r>
      <w:r w:rsidR="00FE3713" w:rsidRPr="00E22673">
        <w:rPr>
          <w:rFonts w:cs="Arial"/>
        </w:rPr>
        <w:t>ied</w:t>
      </w:r>
      <w:proofErr w:type="gramEnd"/>
      <w:r w:rsidR="00756BBB" w:rsidRPr="00E22673">
        <w:rPr>
          <w:rFonts w:cs="Arial"/>
        </w:rPr>
        <w:t xml:space="preserve"> in the </w:t>
      </w:r>
      <w:r w:rsidR="00AE3DAF" w:rsidRPr="00E22673">
        <w:rPr>
          <w:rFonts w:cs="Arial"/>
        </w:rPr>
        <w:t>a</w:t>
      </w:r>
      <w:r w:rsidRPr="00E22673">
        <w:rPr>
          <w:rFonts w:cs="Arial"/>
        </w:rPr>
        <w:t>greement</w:t>
      </w:r>
      <w:r w:rsidR="00523CFB">
        <w:rPr>
          <w:rFonts w:cs="Arial"/>
        </w:rPr>
        <w:t>.</w:t>
      </w:r>
    </w:p>
    <w:p w14:paraId="4332265B" w14:textId="77777777" w:rsidR="00756BBB" w:rsidRPr="00E22673" w:rsidRDefault="00756BBB" w:rsidP="00E22673">
      <w:pPr>
        <w:rPr>
          <w:rFonts w:cs="Arial"/>
        </w:rPr>
      </w:pPr>
      <w:r w:rsidRPr="00E22673">
        <w:rPr>
          <w:rFonts w:cs="Arial"/>
        </w:rPr>
        <w:t xml:space="preserve">The </w:t>
      </w:r>
      <w:r w:rsidR="004E0B71" w:rsidRPr="00E22673">
        <w:rPr>
          <w:rFonts w:cs="Arial"/>
        </w:rPr>
        <w:t xml:space="preserve">NDIA </w:t>
      </w:r>
      <w:r w:rsidRPr="00E22673">
        <w:rPr>
          <w:rFonts w:cs="Arial"/>
        </w:rPr>
        <w:t xml:space="preserve">may recover grant funds if there is a breach of the </w:t>
      </w:r>
      <w:r w:rsidR="00AE3DAF" w:rsidRPr="00E22673">
        <w:rPr>
          <w:rFonts w:cs="Arial"/>
        </w:rPr>
        <w:t>grant agreement</w:t>
      </w:r>
      <w:r w:rsidRPr="00E22673">
        <w:rPr>
          <w:rFonts w:cs="Arial"/>
        </w:rPr>
        <w:t>.</w:t>
      </w:r>
    </w:p>
    <w:p w14:paraId="75F63983" w14:textId="77777777" w:rsidR="004E0B71" w:rsidRPr="00767B44" w:rsidRDefault="000A464F" w:rsidP="000A464F">
      <w:pPr>
        <w:pStyle w:val="Heading3"/>
      </w:pPr>
      <w:bookmarkStart w:id="135" w:name="_Toc16774108"/>
      <w:r>
        <w:t>Commonwealth Child Safe Framework</w:t>
      </w:r>
      <w:bookmarkEnd w:id="135"/>
    </w:p>
    <w:p w14:paraId="0209493C" w14:textId="77777777" w:rsidR="002A535A" w:rsidRPr="00E22673" w:rsidRDefault="002A535A" w:rsidP="00E22673">
      <w:pPr>
        <w:rPr>
          <w:rFonts w:cs="Arial"/>
        </w:rPr>
      </w:pPr>
      <w:r w:rsidRPr="00E22673">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394B32FA" w14:textId="77777777" w:rsidR="002A535A" w:rsidRPr="00E22673" w:rsidRDefault="002A535A" w:rsidP="00E22673">
      <w:pPr>
        <w:rPr>
          <w:rFonts w:cs="Arial"/>
        </w:rPr>
      </w:pPr>
      <w:r w:rsidRPr="00E22673">
        <w:rPr>
          <w:rFonts w:cs="Arial"/>
        </w:rPr>
        <w:t xml:space="preserve">The Australian Government is considering appropriate ways to apply the requirements of the CCSF to grant recipients. A child safety clause is likely to be included in a grant agreement where the </w:t>
      </w:r>
      <w:r w:rsidR="004E0B71" w:rsidRPr="00E22673">
        <w:rPr>
          <w:rFonts w:cs="Arial"/>
        </w:rPr>
        <w:t xml:space="preserve">NDIA </w:t>
      </w:r>
      <w:r w:rsidRPr="00E22673">
        <w:rPr>
          <w:rFonts w:cs="Arial"/>
        </w:rPr>
        <w:t xml:space="preserve">considers the grant is </w:t>
      </w:r>
      <w:proofErr w:type="gramStart"/>
      <w:r w:rsidRPr="00E22673">
        <w:rPr>
          <w:rFonts w:cs="Arial"/>
        </w:rPr>
        <w:t>for</w:t>
      </w:r>
      <w:proofErr w:type="gramEnd"/>
      <w:r w:rsidRPr="00E22673">
        <w:rPr>
          <w:rFonts w:cs="Arial"/>
        </w:rPr>
        <w:t>:</w:t>
      </w:r>
    </w:p>
    <w:p w14:paraId="14EF72CC" w14:textId="77777777" w:rsidR="002A535A" w:rsidRPr="00E22673" w:rsidRDefault="002A535A" w:rsidP="00E22673">
      <w:pPr>
        <w:numPr>
          <w:ilvl w:val="0"/>
          <w:numId w:val="17"/>
        </w:numPr>
        <w:suppressAutoHyphens/>
        <w:rPr>
          <w:rFonts w:cs="Arial"/>
        </w:rPr>
      </w:pPr>
      <w:r w:rsidRPr="00E22673">
        <w:rPr>
          <w:rFonts w:cs="Arial"/>
        </w:rPr>
        <w:t>services directly to children; or</w:t>
      </w:r>
    </w:p>
    <w:p w14:paraId="4113BBA6" w14:textId="77777777" w:rsidR="002A535A" w:rsidRPr="00E22673" w:rsidRDefault="002A535A" w:rsidP="00E22673">
      <w:pPr>
        <w:numPr>
          <w:ilvl w:val="0"/>
          <w:numId w:val="17"/>
        </w:numPr>
        <w:suppressAutoHyphens/>
        <w:rPr>
          <w:rFonts w:cs="Arial"/>
        </w:rPr>
      </w:pPr>
      <w:proofErr w:type="gramStart"/>
      <w:r w:rsidRPr="00E22673">
        <w:rPr>
          <w:rFonts w:cs="Arial"/>
        </w:rPr>
        <w:t>activities</w:t>
      </w:r>
      <w:proofErr w:type="gramEnd"/>
      <w:r w:rsidRPr="00E22673">
        <w:rPr>
          <w:rFonts w:cs="Arial"/>
        </w:rPr>
        <w:t xml:space="preserve"> that involve contact with children that is a usual part of, and more than incidental to, the grant activity.</w:t>
      </w:r>
    </w:p>
    <w:p w14:paraId="2D12AA58" w14:textId="77777777" w:rsidR="002A535A" w:rsidRPr="00E22673" w:rsidRDefault="002A535A" w:rsidP="00E22673">
      <w:pPr>
        <w:rPr>
          <w:rFonts w:cs="Arial"/>
        </w:rPr>
      </w:pPr>
      <w:r w:rsidRPr="00E22673">
        <w:rPr>
          <w:rFonts w:cs="Arial"/>
        </w:rPr>
        <w:t xml:space="preserve">A child safety clause may also be included in the grant agreement if the </w:t>
      </w:r>
      <w:r w:rsidR="004E0B71" w:rsidRPr="00E22673">
        <w:rPr>
          <w:rFonts w:cs="Arial"/>
        </w:rPr>
        <w:t xml:space="preserve">NDIA </w:t>
      </w:r>
      <w:r w:rsidRPr="00E22673">
        <w:rPr>
          <w:rFonts w:cs="Arial"/>
        </w:rPr>
        <w:t>considers the grant activity involves children more broadly.</w:t>
      </w:r>
    </w:p>
    <w:p w14:paraId="401DC00B" w14:textId="38C6FD73" w:rsidR="0037141F" w:rsidRPr="00E22673" w:rsidRDefault="002A535A" w:rsidP="00E22673">
      <w:pPr>
        <w:rPr>
          <w:rFonts w:cs="Arial"/>
          <w:color w:val="0070C0"/>
        </w:rPr>
      </w:pPr>
      <w:r w:rsidRPr="00E22673">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w:t>
      </w:r>
      <w:proofErr w:type="gramStart"/>
      <w:r w:rsidRPr="00E22673">
        <w:rPr>
          <w:rFonts w:cs="Arial"/>
        </w:rPr>
        <w:t>agreement</w:t>
      </w:r>
      <w:proofErr w:type="gramEnd"/>
      <w:r w:rsidRPr="00E22673">
        <w:rPr>
          <w:rFonts w:cs="Arial"/>
        </w:rPr>
        <w:t xml:space="preserve"> you must always comply with your state and territory legislative requirements for working with children and mandatory reporting.</w:t>
      </w:r>
      <w:bookmarkEnd w:id="134"/>
    </w:p>
    <w:p w14:paraId="505D4A2D" w14:textId="77777777" w:rsidR="007F3B54" w:rsidRPr="00436036" w:rsidRDefault="007F3B54" w:rsidP="001505F4">
      <w:pPr>
        <w:pStyle w:val="Heading3"/>
      </w:pPr>
      <w:bookmarkStart w:id="136" w:name="_Toc16774109"/>
      <w:r w:rsidRPr="00436036">
        <w:t>Multicultural Access and Equity</w:t>
      </w:r>
      <w:bookmarkEnd w:id="136"/>
      <w:r w:rsidRPr="00436036">
        <w:t xml:space="preserve"> </w:t>
      </w:r>
    </w:p>
    <w:p w14:paraId="25F37492" w14:textId="53541BAA" w:rsidR="007447F0" w:rsidRPr="00E22673" w:rsidRDefault="00436036" w:rsidP="00E22673">
      <w:pPr>
        <w:pStyle w:val="ListBullet"/>
        <w:numPr>
          <w:ilvl w:val="0"/>
          <w:numId w:val="0"/>
        </w:numPr>
        <w:spacing w:after="120"/>
        <w:rPr>
          <w:rFonts w:cs="Arial"/>
          <w:iCs w:val="0"/>
        </w:rPr>
      </w:pPr>
      <w:r w:rsidRPr="00E22673">
        <w:rPr>
          <w:rFonts w:cs="Arial"/>
          <w:iCs w:val="0"/>
        </w:rPr>
        <w:t xml:space="preserve">The Australian Government’s </w:t>
      </w:r>
      <w:r w:rsidRPr="00E22673">
        <w:rPr>
          <w:rFonts w:cs="Arial"/>
          <w:i/>
          <w:iCs w:val="0"/>
        </w:rPr>
        <w:t xml:space="preserve">Multicultural Access and Equity Policy </w:t>
      </w:r>
      <w:r w:rsidRPr="00E22673">
        <w:rPr>
          <w:rFonts w:cs="Arial"/>
          <w:iCs w:val="0"/>
        </w:rPr>
        <w:t>obliges Australian government agencies to ensure their policies, programs and services - including those provided by contractors and service delivery partners - are accessible to, and deliver equitable outcomes for, people from culturally and linguistica</w:t>
      </w:r>
      <w:r w:rsidR="00523CFB">
        <w:rPr>
          <w:rFonts w:cs="Arial"/>
          <w:iCs w:val="0"/>
        </w:rPr>
        <w:t>lly diverse (CALD) backgrounds.</w:t>
      </w:r>
    </w:p>
    <w:p w14:paraId="07CBBED0" w14:textId="17E2DB2A" w:rsidR="00436036" w:rsidRPr="00E22673" w:rsidRDefault="00436036" w:rsidP="00E22673">
      <w:pPr>
        <w:pStyle w:val="ListBullet"/>
        <w:numPr>
          <w:ilvl w:val="0"/>
          <w:numId w:val="0"/>
        </w:numPr>
        <w:spacing w:after="120"/>
        <w:rPr>
          <w:rFonts w:cs="Arial"/>
          <w:iCs w:val="0"/>
        </w:rPr>
      </w:pPr>
      <w:r w:rsidRPr="00E22673">
        <w:rPr>
          <w:rFonts w:cs="Arial"/>
          <w:iCs w:val="0"/>
        </w:rPr>
        <w:lastRenderedPageBreak/>
        <w:t xml:space="preserve">Grant applicants should consider how they </w:t>
      </w:r>
      <w:proofErr w:type="gramStart"/>
      <w:r w:rsidRPr="00E22673">
        <w:rPr>
          <w:rFonts w:cs="Arial"/>
          <w:iCs w:val="0"/>
        </w:rPr>
        <w:t>will</w:t>
      </w:r>
      <w:proofErr w:type="gramEnd"/>
      <w:r w:rsidRPr="00E22673">
        <w:rPr>
          <w:rFonts w:cs="Arial"/>
          <w:iCs w:val="0"/>
        </w:rPr>
        <w:t xml:space="preserve">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w:t>
      </w:r>
      <w:proofErr w:type="gramStart"/>
      <w:r w:rsidRPr="00E22673">
        <w:rPr>
          <w:rFonts w:cs="Arial"/>
          <w:iCs w:val="0"/>
        </w:rPr>
        <w:t>should be fa</w:t>
      </w:r>
      <w:r w:rsidR="00EA4F7C">
        <w:rPr>
          <w:rFonts w:cs="Arial"/>
          <w:iCs w:val="0"/>
        </w:rPr>
        <w:t>ctored</w:t>
      </w:r>
      <w:proofErr w:type="gramEnd"/>
      <w:r w:rsidR="00EA4F7C">
        <w:rPr>
          <w:rFonts w:cs="Arial"/>
          <w:iCs w:val="0"/>
        </w:rPr>
        <w:t xml:space="preserve"> into grant applications</w:t>
      </w:r>
      <w:r w:rsidRPr="00E22673">
        <w:rPr>
          <w:rFonts w:cs="Arial"/>
          <w:iCs w:val="0"/>
        </w:rPr>
        <w:t>.</w:t>
      </w:r>
    </w:p>
    <w:p w14:paraId="2E63E6C3" w14:textId="77777777" w:rsidR="00D057B9" w:rsidRPr="00F4677D" w:rsidRDefault="004545F3" w:rsidP="001505F4">
      <w:pPr>
        <w:pStyle w:val="Heading3"/>
      </w:pPr>
      <w:bookmarkStart w:id="137" w:name="_Toc530579998"/>
      <w:bookmarkStart w:id="138" w:name="_Toc16774110"/>
      <w:bookmarkEnd w:id="137"/>
      <w:r w:rsidRPr="00F4677D">
        <w:t xml:space="preserve">How </w:t>
      </w:r>
      <w:r w:rsidR="006C764B">
        <w:t>we</w:t>
      </w:r>
      <w:r w:rsidR="00756BBB" w:rsidRPr="00F4677D">
        <w:t xml:space="preserve"> pay </w:t>
      </w:r>
      <w:r w:rsidRPr="00F4677D">
        <w:t>the grant</w:t>
      </w:r>
      <w:bookmarkEnd w:id="138"/>
    </w:p>
    <w:p w14:paraId="49989F54" w14:textId="77777777" w:rsidR="00C37DE7" w:rsidRPr="00E22673" w:rsidRDefault="00C37DE7" w:rsidP="00E22673">
      <w:pPr>
        <w:tabs>
          <w:tab w:val="left" w:pos="0"/>
        </w:tabs>
        <w:rPr>
          <w:rFonts w:cs="Arial"/>
          <w:bCs/>
          <w:lang w:eastAsia="en-AU"/>
        </w:rPr>
      </w:pPr>
      <w:bookmarkStart w:id="139" w:name="_Toc529276547"/>
      <w:bookmarkStart w:id="140" w:name="_Toc529458389"/>
      <w:bookmarkStart w:id="141" w:name="_Toc530486357"/>
      <w:bookmarkStart w:id="142" w:name="_Toc530580001"/>
      <w:bookmarkStart w:id="143" w:name="_Toc466898122"/>
      <w:bookmarkEnd w:id="139"/>
      <w:bookmarkEnd w:id="140"/>
      <w:bookmarkEnd w:id="141"/>
      <w:bookmarkEnd w:id="142"/>
      <w:r w:rsidRPr="00E22673">
        <w:rPr>
          <w:rFonts w:cs="Arial"/>
          <w:bCs/>
          <w:lang w:eastAsia="en-AU"/>
        </w:rPr>
        <w:t xml:space="preserve">The grant agreement will state the </w:t>
      </w:r>
      <w:r w:rsidRPr="00E22673">
        <w:rPr>
          <w:rFonts w:cs="Arial"/>
        </w:rPr>
        <w:t>maximum grant amount to be paid.</w:t>
      </w:r>
    </w:p>
    <w:p w14:paraId="7F254735" w14:textId="77777777" w:rsidR="00C37DE7" w:rsidRPr="00E22673" w:rsidRDefault="00C37DE7" w:rsidP="00E22673">
      <w:pPr>
        <w:tabs>
          <w:tab w:val="left" w:pos="0"/>
        </w:tabs>
        <w:rPr>
          <w:rFonts w:cs="Arial"/>
          <w:bCs/>
          <w:lang w:eastAsia="en-AU"/>
        </w:rPr>
      </w:pPr>
      <w:r w:rsidRPr="00E22673">
        <w:rPr>
          <w:rFonts w:cs="Arial"/>
          <w:bCs/>
          <w:lang w:eastAsia="en-AU"/>
        </w:rPr>
        <w:t>We will not exceed the maximum grant amount under any circumstances. If you incur extra costs, you must meet them yourself.</w:t>
      </w:r>
    </w:p>
    <w:p w14:paraId="5429B975" w14:textId="0F95000B" w:rsidR="00C37DE7" w:rsidRPr="00E22673" w:rsidRDefault="00C37DE7" w:rsidP="00E22673">
      <w:pPr>
        <w:tabs>
          <w:tab w:val="left" w:pos="0"/>
        </w:tabs>
        <w:rPr>
          <w:rFonts w:cs="Arial"/>
          <w:bCs/>
          <w:lang w:eastAsia="en-AU"/>
        </w:rPr>
      </w:pPr>
      <w:r w:rsidRPr="00E22673">
        <w:rPr>
          <w:rFonts w:cs="Arial"/>
          <w:bCs/>
          <w:lang w:eastAsia="en-AU"/>
        </w:rPr>
        <w:t xml:space="preserve">The grant </w:t>
      </w:r>
      <w:proofErr w:type="gramStart"/>
      <w:r w:rsidRPr="00E22673">
        <w:rPr>
          <w:rFonts w:cs="Arial"/>
          <w:bCs/>
          <w:lang w:eastAsia="en-AU"/>
        </w:rPr>
        <w:t>will be paid</w:t>
      </w:r>
      <w:proofErr w:type="gramEnd"/>
      <w:r w:rsidRPr="00E22673">
        <w:rPr>
          <w:rFonts w:cs="Arial"/>
          <w:bCs/>
          <w:lang w:eastAsia="en-AU"/>
        </w:rPr>
        <w:t xml:space="preserve"> via Electronic Funds Transfer (EFT) into the ba</w:t>
      </w:r>
      <w:r w:rsidR="00412C49">
        <w:rPr>
          <w:rFonts w:cs="Arial"/>
          <w:bCs/>
          <w:lang w:eastAsia="en-AU"/>
        </w:rPr>
        <w:t>n</w:t>
      </w:r>
      <w:r w:rsidRPr="00E22673">
        <w:rPr>
          <w:rFonts w:cs="Arial"/>
          <w:bCs/>
          <w:lang w:eastAsia="en-AU"/>
        </w:rPr>
        <w:t>k account nominated by the applicant in the application form. No other forms of payment (e.g. cheque) are available.</w:t>
      </w:r>
    </w:p>
    <w:p w14:paraId="5FBCAB6C" w14:textId="77777777" w:rsidR="00C37DE7" w:rsidRPr="00E22673" w:rsidRDefault="009F5837" w:rsidP="00E22673">
      <w:pPr>
        <w:tabs>
          <w:tab w:val="left" w:pos="0"/>
        </w:tabs>
        <w:rPr>
          <w:rFonts w:cs="Arial"/>
          <w:bCs/>
          <w:lang w:eastAsia="en-AU"/>
        </w:rPr>
      </w:pPr>
      <w:r w:rsidRPr="00E22673">
        <w:rPr>
          <w:rFonts w:cs="Arial"/>
          <w:bCs/>
          <w:lang w:eastAsia="en-AU"/>
        </w:rPr>
        <w:t xml:space="preserve">The </w:t>
      </w:r>
      <w:r w:rsidR="00C37DE7" w:rsidRPr="00E22673">
        <w:rPr>
          <w:rFonts w:cs="Arial"/>
          <w:bCs/>
          <w:lang w:eastAsia="en-AU"/>
        </w:rPr>
        <w:t>NDIA will make an initial payment on execution of the grant agreement. We will make subsequent payments progressively based on the progress reports and the eligible expenditure.</w:t>
      </w:r>
    </w:p>
    <w:p w14:paraId="640939FB" w14:textId="77777777" w:rsidR="00E403B5" w:rsidRPr="00D369C8" w:rsidRDefault="00C05A13" w:rsidP="001505F4">
      <w:pPr>
        <w:pStyle w:val="Heading3"/>
      </w:pPr>
      <w:bookmarkStart w:id="144" w:name="_Toc16774111"/>
      <w:r>
        <w:t xml:space="preserve">Grant </w:t>
      </w:r>
      <w:r w:rsidR="00E13F4B">
        <w:t>p</w:t>
      </w:r>
      <w:r>
        <w:t>ayments and GST</w:t>
      </w:r>
      <w:bookmarkEnd w:id="144"/>
    </w:p>
    <w:p w14:paraId="510233AA" w14:textId="77777777" w:rsidR="00DA7AE1" w:rsidRPr="00E22673" w:rsidRDefault="00DA7AE1" w:rsidP="00E22673">
      <w:pPr>
        <w:rPr>
          <w:rFonts w:cs="Arial"/>
        </w:rPr>
      </w:pPr>
      <w:r w:rsidRPr="00E22673">
        <w:rPr>
          <w:rFonts w:cs="Arial"/>
        </w:rPr>
        <w:t xml:space="preserve">Payments </w:t>
      </w:r>
      <w:proofErr w:type="gramStart"/>
      <w:r w:rsidRPr="00E22673">
        <w:rPr>
          <w:rFonts w:cs="Arial"/>
        </w:rPr>
        <w:t>will be made</w:t>
      </w:r>
      <w:proofErr w:type="gramEnd"/>
      <w:r w:rsidRPr="00E22673">
        <w:rPr>
          <w:rFonts w:cs="Arial"/>
        </w:rPr>
        <w:t xml:space="preserve"> as set out in the grant agreement</w:t>
      </w:r>
      <w:r w:rsidRPr="00E22673">
        <w:rPr>
          <w:rFonts w:cs="Arial"/>
          <w:color w:val="4F6228" w:themeColor="accent3" w:themeShade="80"/>
        </w:rPr>
        <w:t xml:space="preserve">. </w:t>
      </w:r>
      <w:r w:rsidRPr="00E22673">
        <w:rPr>
          <w:rFonts w:cs="Arial"/>
        </w:rPr>
        <w:t xml:space="preserve">If the successful applicant has indicated that it </w:t>
      </w:r>
      <w:proofErr w:type="gramStart"/>
      <w:r w:rsidRPr="00E22673">
        <w:rPr>
          <w:rFonts w:cs="Arial"/>
        </w:rPr>
        <w:t>is registered</w:t>
      </w:r>
      <w:proofErr w:type="gramEnd"/>
      <w:r w:rsidRPr="00E22673">
        <w:rPr>
          <w:rFonts w:cs="Arial"/>
        </w:rPr>
        <w:t xml:space="preserve"> for </w:t>
      </w:r>
      <w:hyperlink r:id="rId43" w:history="1">
        <w:r w:rsidRPr="00E22673">
          <w:rPr>
            <w:rStyle w:val="Hyperlink"/>
            <w:rFonts w:cs="Arial"/>
          </w:rPr>
          <w:t>Goods and Services Tax (GST)</w:t>
        </w:r>
      </w:hyperlink>
      <w:r w:rsidRPr="00E22673">
        <w:rPr>
          <w:rFonts w:cs="Arial"/>
        </w:rPr>
        <w:t xml:space="preserve">, a GST payment of 10% of the value of the grant will be added to the grant amount requested. Where applicable, we will add GST to your grant payment and issue you with a </w:t>
      </w:r>
      <w:hyperlink r:id="rId44" w:history="1">
        <w:r w:rsidRPr="00E22673">
          <w:rPr>
            <w:rStyle w:val="Hyperlink"/>
            <w:rFonts w:cs="Arial"/>
          </w:rPr>
          <w:t>Recipient Created Tax Invoice</w:t>
        </w:r>
      </w:hyperlink>
      <w:r w:rsidRPr="00E22673">
        <w:rPr>
          <w:rFonts w:cs="Arial"/>
        </w:rPr>
        <w:t>.</w:t>
      </w:r>
    </w:p>
    <w:p w14:paraId="5C84E6A9" w14:textId="77777777" w:rsidR="00DA7AE1" w:rsidRPr="00E22673" w:rsidRDefault="00DA7AE1" w:rsidP="00E22673">
      <w:pPr>
        <w:rPr>
          <w:rFonts w:cs="Arial"/>
          <w:color w:val="4F6228" w:themeColor="accent3" w:themeShade="80"/>
        </w:rPr>
      </w:pPr>
      <w:r w:rsidRPr="00E22673">
        <w:rPr>
          <w:rFonts w:cs="Arial"/>
        </w:rPr>
        <w:t xml:space="preserve">Organisations that </w:t>
      </w:r>
      <w:proofErr w:type="gramStart"/>
      <w:r w:rsidRPr="00E22673">
        <w:rPr>
          <w:rFonts w:cs="Arial"/>
        </w:rPr>
        <w:t>are not registered</w:t>
      </w:r>
      <w:proofErr w:type="gramEnd"/>
      <w:r w:rsidRPr="00E22673">
        <w:rPr>
          <w:rFonts w:cs="Arial"/>
        </w:rPr>
        <w:t xml:space="preserve"> for GST at the time of signing the grant agreement will not be paid a GST component.</w:t>
      </w:r>
    </w:p>
    <w:p w14:paraId="7191BC6E" w14:textId="55209A55" w:rsidR="00DA7AE1" w:rsidRPr="00E22673" w:rsidRDefault="00DA7AE1" w:rsidP="00E22673">
      <w:pPr>
        <w:rPr>
          <w:rFonts w:cs="Arial"/>
          <w:color w:val="000000" w:themeColor="text1"/>
        </w:rPr>
      </w:pPr>
      <w:r w:rsidRPr="00E22673">
        <w:rPr>
          <w:rFonts w:cs="Arial"/>
          <w:color w:val="000000" w:themeColor="text1"/>
        </w:rPr>
        <w:t xml:space="preserve">It is the responsibility of the applicant to manage its obligations for registration for GST as set by the Australian Taxation Office. This includes registering for GST if the organisation’s income </w:t>
      </w:r>
      <w:proofErr w:type="gramStart"/>
      <w:r w:rsidRPr="00E22673">
        <w:rPr>
          <w:rFonts w:cs="Arial"/>
          <w:color w:val="000000" w:themeColor="text1"/>
        </w:rPr>
        <w:t>as a result</w:t>
      </w:r>
      <w:proofErr w:type="gramEnd"/>
      <w:r w:rsidRPr="00E22673">
        <w:rPr>
          <w:rFonts w:cs="Arial"/>
          <w:color w:val="000000" w:themeColor="text1"/>
        </w:rPr>
        <w:t xml:space="preserve"> of success in a grant round exceed the thresholds set by the Australian Taxation Office (ATO). </w:t>
      </w:r>
      <w:r w:rsidRPr="00E22673">
        <w:rPr>
          <w:rFonts w:cs="Arial"/>
        </w:rPr>
        <w:t xml:space="preserve">Note that organisations need to </w:t>
      </w:r>
      <w:proofErr w:type="gramStart"/>
      <w:r w:rsidRPr="00E22673">
        <w:rPr>
          <w:rFonts w:cs="Arial"/>
        </w:rPr>
        <w:t>be registered</w:t>
      </w:r>
      <w:proofErr w:type="gramEnd"/>
      <w:r w:rsidRPr="00E22673">
        <w:rPr>
          <w:rFonts w:cs="Arial"/>
        </w:rPr>
        <w:t xml:space="preserve"> for GST if their total turnover thresholds reaches and exceeds $75,000 individual, $150,000 not-for profit. Total GST turnov</w:t>
      </w:r>
      <w:r w:rsidR="00523CFB">
        <w:rPr>
          <w:rFonts w:cs="Arial"/>
        </w:rPr>
        <w:t>er also includes grant funding.</w:t>
      </w:r>
    </w:p>
    <w:p w14:paraId="7EF6BC65" w14:textId="77777777" w:rsidR="00DA7AE1" w:rsidRPr="00E22673" w:rsidRDefault="00DA7AE1" w:rsidP="00E22673">
      <w:pPr>
        <w:rPr>
          <w:rFonts w:cs="Arial"/>
        </w:rPr>
      </w:pPr>
      <w:r w:rsidRPr="00E22673">
        <w:rPr>
          <w:rFonts w:cs="Arial"/>
        </w:rPr>
        <w:t>The GST status of the organisation at the time of execution of the grant agreement will hold throughout the term of the grant. The NDIA is not obligated to pay a GST component to applicants who have registered for GST following execution of the grant agreement.</w:t>
      </w:r>
    </w:p>
    <w:p w14:paraId="5AA67962" w14:textId="77777777" w:rsidR="00DA7AE1" w:rsidRPr="00E22673" w:rsidRDefault="00DA7AE1" w:rsidP="00E22673">
      <w:pPr>
        <w:rPr>
          <w:rFonts w:cs="Arial"/>
        </w:rPr>
      </w:pPr>
      <w:r w:rsidRPr="00E22673">
        <w:rPr>
          <w:rFonts w:cs="Arial"/>
        </w:rPr>
        <w:t xml:space="preserve">If an applicant receives a grant, they should consider speaking to a tax advisor about the effect of receiving a grant before they enter into a grant agreement. Applicants can also visit the </w:t>
      </w:r>
      <w:hyperlink r:id="rId45" w:history="1">
        <w:r w:rsidRPr="00E22673">
          <w:rPr>
            <w:rStyle w:val="Hyperlink"/>
            <w:rFonts w:cs="Arial"/>
          </w:rPr>
          <w:t>Australian Taxation Office (ATO) website</w:t>
        </w:r>
      </w:hyperlink>
      <w:r w:rsidRPr="00E22673">
        <w:rPr>
          <w:rFonts w:cs="Arial"/>
        </w:rPr>
        <w:t xml:space="preserve"> for more information.</w:t>
      </w:r>
    </w:p>
    <w:p w14:paraId="3F8B86D5" w14:textId="77777777" w:rsidR="00E1311F" w:rsidRPr="004223FA" w:rsidDel="00457E6C" w:rsidRDefault="00E1311F" w:rsidP="001505F4">
      <w:pPr>
        <w:pStyle w:val="Heading2"/>
      </w:pPr>
      <w:bookmarkStart w:id="145" w:name="_Toc494290551"/>
      <w:bookmarkStart w:id="146" w:name="_Toc485726977"/>
      <w:bookmarkStart w:id="147" w:name="_Toc485736597"/>
      <w:bookmarkStart w:id="148" w:name="_Toc16774112"/>
      <w:bookmarkStart w:id="149" w:name="_Toc164844284"/>
      <w:bookmarkEnd w:id="143"/>
      <w:bookmarkEnd w:id="145"/>
      <w:r w:rsidRPr="004223FA" w:rsidDel="00457E6C">
        <w:t>Announcement of grants</w:t>
      </w:r>
      <w:bookmarkEnd w:id="146"/>
      <w:bookmarkEnd w:id="147"/>
      <w:bookmarkEnd w:id="148"/>
    </w:p>
    <w:p w14:paraId="66C0783C" w14:textId="20EE6827" w:rsidR="00E1311F" w:rsidRPr="00E22673" w:rsidDel="00457E6C" w:rsidRDefault="00E1311F" w:rsidP="00E22673">
      <w:pPr>
        <w:rPr>
          <w:rFonts w:cs="Arial"/>
        </w:rPr>
      </w:pPr>
      <w:r w:rsidRPr="00E22673" w:rsidDel="00457E6C">
        <w:rPr>
          <w:rFonts w:cs="Arial"/>
        </w:rPr>
        <w:t xml:space="preserve">If successful, your </w:t>
      </w:r>
      <w:r w:rsidR="00AE3DAF" w:rsidRPr="00E22673">
        <w:rPr>
          <w:rFonts w:cs="Arial"/>
        </w:rPr>
        <w:t>g</w:t>
      </w:r>
      <w:r w:rsidRPr="00E22673" w:rsidDel="00457E6C">
        <w:rPr>
          <w:rFonts w:cs="Arial"/>
        </w:rPr>
        <w:t xml:space="preserve">rant </w:t>
      </w:r>
      <w:proofErr w:type="gramStart"/>
      <w:r w:rsidRPr="00E22673" w:rsidDel="0035202F">
        <w:rPr>
          <w:rFonts w:cs="Arial"/>
        </w:rPr>
        <w:t>will be listed</w:t>
      </w:r>
      <w:proofErr w:type="gramEnd"/>
      <w:r w:rsidRPr="00E22673" w:rsidDel="0035202F">
        <w:rPr>
          <w:rFonts w:cs="Arial"/>
        </w:rPr>
        <w:t xml:space="preserve"> </w:t>
      </w:r>
      <w:r w:rsidRPr="00E22673" w:rsidDel="00457E6C">
        <w:rPr>
          <w:rFonts w:cs="Arial"/>
        </w:rPr>
        <w:t xml:space="preserve">on the GrantConnect website </w:t>
      </w:r>
      <w:r w:rsidR="006F757C" w:rsidRPr="00E22673">
        <w:rPr>
          <w:rFonts w:cs="Arial"/>
        </w:rPr>
        <w:t>21</w:t>
      </w:r>
      <w:r w:rsidRPr="00E22673" w:rsidDel="00457E6C">
        <w:rPr>
          <w:rFonts w:cs="Arial"/>
        </w:rPr>
        <w:t xml:space="preserve"> </w:t>
      </w:r>
      <w:r w:rsidR="006F757C" w:rsidRPr="00E22673">
        <w:rPr>
          <w:rFonts w:cs="Arial"/>
        </w:rPr>
        <w:t xml:space="preserve">calendar </w:t>
      </w:r>
      <w:r w:rsidRPr="00E22673" w:rsidDel="00457E6C">
        <w:rPr>
          <w:rFonts w:cs="Arial"/>
        </w:rPr>
        <w:t xml:space="preserve">days after the date of effect as required by </w:t>
      </w:r>
      <w:r w:rsidR="004D3D46" w:rsidRPr="00E22673" w:rsidDel="00457E6C">
        <w:rPr>
          <w:rFonts w:cs="Arial"/>
        </w:rPr>
        <w:t xml:space="preserve">Section 5.3 of the </w:t>
      </w:r>
      <w:hyperlink r:id="rId46" w:history="1">
        <w:r w:rsidR="004D3D46" w:rsidRPr="00523CFB" w:rsidDel="00457E6C">
          <w:rPr>
            <w:rStyle w:val="Hyperlink"/>
            <w:rFonts w:cs="Arial"/>
          </w:rPr>
          <w:t>CGRGs</w:t>
        </w:r>
      </w:hyperlink>
      <w:r w:rsidRPr="00E22673" w:rsidDel="00457E6C">
        <w:rPr>
          <w:rFonts w:cs="Arial"/>
        </w:rPr>
        <w:t>.</w:t>
      </w:r>
      <w:r w:rsidRPr="00E22673" w:rsidDel="00457E6C">
        <w:rPr>
          <w:rFonts w:cs="Arial"/>
          <w:i/>
        </w:rPr>
        <w:t xml:space="preserve"> </w:t>
      </w:r>
      <w:r w:rsidR="002216AD" w:rsidRPr="00E22673">
        <w:rPr>
          <w:rFonts w:cs="Arial"/>
        </w:rPr>
        <w:t xml:space="preserve">Your grant </w:t>
      </w:r>
      <w:proofErr w:type="gramStart"/>
      <w:r w:rsidR="002216AD" w:rsidRPr="00E22673">
        <w:rPr>
          <w:rFonts w:cs="Arial"/>
        </w:rPr>
        <w:t>will also be listed</w:t>
      </w:r>
      <w:proofErr w:type="gramEnd"/>
      <w:r w:rsidR="002216AD" w:rsidRPr="00E22673">
        <w:rPr>
          <w:rFonts w:cs="Arial"/>
        </w:rPr>
        <w:t xml:space="preserve"> on the NDIA Website, following formal notification.</w:t>
      </w:r>
    </w:p>
    <w:p w14:paraId="00D1945B" w14:textId="77777777" w:rsidR="00E1311F" w:rsidRDefault="00492B00" w:rsidP="001505F4">
      <w:pPr>
        <w:pStyle w:val="Heading2"/>
      </w:pPr>
      <w:bookmarkStart w:id="150" w:name="_Toc530486361"/>
      <w:bookmarkStart w:id="151" w:name="_Toc530580006"/>
      <w:bookmarkStart w:id="152" w:name="_Toc16774113"/>
      <w:bookmarkEnd w:id="150"/>
      <w:bookmarkEnd w:id="151"/>
      <w:r>
        <w:t xml:space="preserve">How </w:t>
      </w:r>
      <w:r w:rsidR="00705C93">
        <w:t>we</w:t>
      </w:r>
      <w:r w:rsidR="00110267">
        <w:t xml:space="preserve"> </w:t>
      </w:r>
      <w:r>
        <w:t>monitor your grant activity</w:t>
      </w:r>
      <w:bookmarkEnd w:id="152"/>
    </w:p>
    <w:p w14:paraId="03351285" w14:textId="77777777" w:rsidR="00C37DE7" w:rsidRPr="00E22673" w:rsidRDefault="00C37DE7" w:rsidP="00E22673">
      <w:pPr>
        <w:rPr>
          <w:rFonts w:cs="Arial"/>
        </w:rPr>
      </w:pPr>
      <w:r w:rsidRPr="00E22673">
        <w:rPr>
          <w:rFonts w:cs="Arial"/>
        </w:rPr>
        <w:t xml:space="preserve">As part of the ILC Investment Strategy, the NDIA has established an ILC Monitoring and Evaluation Framework. This Framework defines various measures and associated indicators that align with the ILC Outcomes Framework and the National Disability </w:t>
      </w:r>
      <w:r w:rsidR="00E4388D" w:rsidRPr="00E22673">
        <w:rPr>
          <w:rFonts w:cs="Arial"/>
        </w:rPr>
        <w:t>Strategy</w:t>
      </w:r>
      <w:r w:rsidRPr="00E22673">
        <w:rPr>
          <w:rFonts w:cs="Arial"/>
        </w:rPr>
        <w:t>.</w:t>
      </w:r>
    </w:p>
    <w:p w14:paraId="26143948" w14:textId="77777777" w:rsidR="00C37DE7" w:rsidRPr="00E22673" w:rsidRDefault="00C37DE7" w:rsidP="00E22673">
      <w:pPr>
        <w:rPr>
          <w:rFonts w:cs="Arial"/>
        </w:rPr>
      </w:pPr>
      <w:r w:rsidRPr="00E22673">
        <w:rPr>
          <w:rFonts w:cs="Arial"/>
        </w:rPr>
        <w:lastRenderedPageBreak/>
        <w:t>There is a requirement to comply with the specific requirements for your project as defined in your grant agreement. These requirements do not preclude any self-directed or self-commissioned monitoring and evaluation activities and we encourage you to consider additional activities to enhance your own knowledge of your project and its impact.</w:t>
      </w:r>
    </w:p>
    <w:p w14:paraId="70E650A3" w14:textId="4E139C28" w:rsidR="00C37DE7" w:rsidRPr="00E22673" w:rsidRDefault="00C37DE7" w:rsidP="00E22673">
      <w:pPr>
        <w:rPr>
          <w:rFonts w:cs="Arial"/>
        </w:rPr>
      </w:pPr>
      <w:r w:rsidRPr="00E22673">
        <w:rPr>
          <w:rFonts w:cs="Arial"/>
        </w:rPr>
        <w:t>Various tools may be utilised to support the Monitoring and Evaluation Framework</w:t>
      </w:r>
      <w:r w:rsidR="00412C49">
        <w:rPr>
          <w:rFonts w:cs="Arial"/>
        </w:rPr>
        <w:t>.</w:t>
      </w:r>
      <w:r w:rsidRPr="00E22673">
        <w:rPr>
          <w:rFonts w:cs="Arial"/>
        </w:rPr>
        <w:t xml:space="preserve"> </w:t>
      </w:r>
      <w:r w:rsidR="00412C49">
        <w:rPr>
          <w:rFonts w:cs="Arial"/>
        </w:rPr>
        <w:t>T</w:t>
      </w:r>
      <w:r w:rsidRPr="00E22673">
        <w:rPr>
          <w:rFonts w:cs="Arial"/>
        </w:rPr>
        <w:t>hese may include:</w:t>
      </w:r>
    </w:p>
    <w:p w14:paraId="4EB067BA" w14:textId="77777777" w:rsidR="00C37DE7" w:rsidRPr="00E22673" w:rsidRDefault="00C37DE7" w:rsidP="00E22673">
      <w:pPr>
        <w:pStyle w:val="ListParagraph"/>
        <w:numPr>
          <w:ilvl w:val="0"/>
          <w:numId w:val="32"/>
        </w:numPr>
        <w:contextualSpacing w:val="0"/>
        <w:rPr>
          <w:rFonts w:cs="Arial"/>
        </w:rPr>
      </w:pPr>
      <w:r w:rsidRPr="00E22673">
        <w:rPr>
          <w:rFonts w:cs="Arial"/>
        </w:rPr>
        <w:t>Activity Work P</w:t>
      </w:r>
      <w:r w:rsidR="00E22673">
        <w:rPr>
          <w:rFonts w:cs="Arial"/>
        </w:rPr>
        <w:t>lans including progress reports</w:t>
      </w:r>
    </w:p>
    <w:p w14:paraId="60881905" w14:textId="77777777" w:rsidR="00C37DE7" w:rsidRPr="00E22673" w:rsidRDefault="00E22673" w:rsidP="00E22673">
      <w:pPr>
        <w:pStyle w:val="ListParagraph"/>
        <w:numPr>
          <w:ilvl w:val="0"/>
          <w:numId w:val="32"/>
        </w:numPr>
        <w:contextualSpacing w:val="0"/>
        <w:rPr>
          <w:rFonts w:cs="Arial"/>
        </w:rPr>
      </w:pPr>
      <w:r>
        <w:rPr>
          <w:rFonts w:cs="Arial"/>
        </w:rPr>
        <w:t>s</w:t>
      </w:r>
      <w:r w:rsidR="00C37DE7" w:rsidRPr="00E22673">
        <w:rPr>
          <w:rFonts w:cs="Arial"/>
        </w:rPr>
        <w:t>urveys, questionnaires or similar tools provided or sent to project participants for completion as sc</w:t>
      </w:r>
      <w:r>
        <w:rPr>
          <w:rFonts w:cs="Arial"/>
        </w:rPr>
        <w:t>heduled (generally bi-annually)</w:t>
      </w:r>
    </w:p>
    <w:p w14:paraId="6034B579" w14:textId="77777777" w:rsidR="00C37DE7" w:rsidRPr="00E22673" w:rsidRDefault="00E22673" w:rsidP="00E22673">
      <w:pPr>
        <w:pStyle w:val="ListParagraph"/>
        <w:numPr>
          <w:ilvl w:val="0"/>
          <w:numId w:val="32"/>
        </w:numPr>
        <w:contextualSpacing w:val="0"/>
        <w:rPr>
          <w:rFonts w:cs="Arial"/>
        </w:rPr>
      </w:pPr>
      <w:proofErr w:type="gramStart"/>
      <w:r>
        <w:rPr>
          <w:rFonts w:cs="Arial"/>
        </w:rPr>
        <w:t>o</w:t>
      </w:r>
      <w:r w:rsidR="00C37DE7" w:rsidRPr="00E22673">
        <w:rPr>
          <w:rFonts w:cs="Arial"/>
        </w:rPr>
        <w:t>ther</w:t>
      </w:r>
      <w:proofErr w:type="gramEnd"/>
      <w:r w:rsidR="00C37DE7" w:rsidRPr="00E22673">
        <w:rPr>
          <w:rFonts w:cs="Arial"/>
        </w:rPr>
        <w:t xml:space="preserve"> monitoring and evaluation tools and/or activities as required and agreed upon by both parties.</w:t>
      </w:r>
    </w:p>
    <w:p w14:paraId="6122C8EF" w14:textId="77777777" w:rsidR="00C37DE7" w:rsidRPr="00E22673" w:rsidRDefault="00C37DE7" w:rsidP="00E22673">
      <w:pPr>
        <w:rPr>
          <w:rFonts w:cs="Arial"/>
        </w:rPr>
      </w:pPr>
      <w:r w:rsidRPr="00E22673">
        <w:rPr>
          <w:rFonts w:cs="Arial"/>
        </w:rPr>
        <w:t>Please note that failure to comply with these requirements may result in the delay of funding instalments.</w:t>
      </w:r>
    </w:p>
    <w:p w14:paraId="0E835AD5" w14:textId="77777777" w:rsidR="004A2224" w:rsidRPr="00170226" w:rsidRDefault="004A2224" w:rsidP="001505F4">
      <w:pPr>
        <w:pStyle w:val="Heading3"/>
      </w:pPr>
      <w:bookmarkStart w:id="153" w:name="_Toc16774114"/>
      <w:r w:rsidRPr="00170226">
        <w:t>Keeping us informed</w:t>
      </w:r>
      <w:bookmarkEnd w:id="153"/>
    </w:p>
    <w:p w14:paraId="60406755" w14:textId="77777777" w:rsidR="00C37DE7" w:rsidRPr="00E22673" w:rsidRDefault="00C37DE7" w:rsidP="00E22673">
      <w:pPr>
        <w:rPr>
          <w:rFonts w:cs="Arial"/>
        </w:rPr>
      </w:pPr>
      <w:bookmarkStart w:id="154" w:name="_Toc529276553"/>
      <w:bookmarkEnd w:id="154"/>
      <w:r w:rsidRPr="00E22673">
        <w:rPr>
          <w:rFonts w:cs="Arial"/>
        </w:rPr>
        <w:t xml:space="preserve">You should let us know if anything is likely to affect your </w:t>
      </w:r>
      <w:r w:rsidR="00756369" w:rsidRPr="00E22673">
        <w:rPr>
          <w:rFonts w:cs="Arial"/>
        </w:rPr>
        <w:t>activity</w:t>
      </w:r>
      <w:r w:rsidRPr="00E22673">
        <w:rPr>
          <w:rFonts w:cs="Arial"/>
        </w:rPr>
        <w:t xml:space="preserve">, services or organisation. </w:t>
      </w:r>
    </w:p>
    <w:p w14:paraId="21C90C6F" w14:textId="77777777" w:rsidR="00C37DE7" w:rsidRPr="00E22673" w:rsidRDefault="00C37DE7" w:rsidP="00E22673">
      <w:pPr>
        <w:rPr>
          <w:rFonts w:cs="Arial"/>
        </w:rPr>
      </w:pPr>
      <w:r w:rsidRPr="00E22673">
        <w:rPr>
          <w:rFonts w:cs="Arial"/>
        </w:rPr>
        <w:t>We need to know of any changes to your organisation or its business activities, particularly if they affect your ability to complete your grant, carry on business and pay debts due because of these changes.</w:t>
      </w:r>
    </w:p>
    <w:p w14:paraId="38EECF06" w14:textId="77777777" w:rsidR="00C37DE7" w:rsidRPr="00E22673" w:rsidRDefault="00C37DE7" w:rsidP="00E22673">
      <w:pPr>
        <w:rPr>
          <w:rFonts w:cs="Arial"/>
        </w:rPr>
      </w:pPr>
      <w:r w:rsidRPr="00E22673">
        <w:rPr>
          <w:rFonts w:cs="Arial"/>
        </w:rPr>
        <w:t>You must also inform us of any changes to your:</w:t>
      </w:r>
    </w:p>
    <w:p w14:paraId="3C88E4B5" w14:textId="77777777" w:rsidR="00C37DE7" w:rsidRPr="00E22673" w:rsidRDefault="00C37DE7" w:rsidP="00E22673">
      <w:pPr>
        <w:pStyle w:val="ListBullet"/>
        <w:spacing w:after="120"/>
        <w:rPr>
          <w:rFonts w:cs="Arial"/>
        </w:rPr>
      </w:pPr>
      <w:r w:rsidRPr="00E22673">
        <w:rPr>
          <w:rFonts w:cs="Arial"/>
        </w:rPr>
        <w:t>name</w:t>
      </w:r>
    </w:p>
    <w:p w14:paraId="6ABAD130" w14:textId="77777777" w:rsidR="00C37DE7" w:rsidRPr="00E22673" w:rsidRDefault="00C37DE7" w:rsidP="00E22673">
      <w:pPr>
        <w:pStyle w:val="ListBullet"/>
        <w:spacing w:after="120"/>
        <w:rPr>
          <w:rFonts w:cs="Arial"/>
        </w:rPr>
      </w:pPr>
      <w:r w:rsidRPr="00E22673">
        <w:rPr>
          <w:rFonts w:cs="Arial"/>
        </w:rPr>
        <w:t>addresses</w:t>
      </w:r>
    </w:p>
    <w:p w14:paraId="1BF80BAF" w14:textId="77777777" w:rsidR="00C37DE7" w:rsidRPr="00E22673" w:rsidRDefault="00C37DE7" w:rsidP="00E22673">
      <w:pPr>
        <w:pStyle w:val="ListBullet"/>
        <w:spacing w:after="120"/>
        <w:rPr>
          <w:rFonts w:cs="Arial"/>
        </w:rPr>
      </w:pPr>
      <w:r w:rsidRPr="00E22673">
        <w:rPr>
          <w:rFonts w:cs="Arial"/>
        </w:rPr>
        <w:t>nominated contact details</w:t>
      </w:r>
    </w:p>
    <w:p w14:paraId="15E50BF9" w14:textId="28242A7B" w:rsidR="00C37DE7" w:rsidRPr="00E22673" w:rsidRDefault="00523CFB" w:rsidP="00E22673">
      <w:pPr>
        <w:pStyle w:val="ListBullet"/>
        <w:spacing w:after="120"/>
        <w:rPr>
          <w:rFonts w:cs="Arial"/>
        </w:rPr>
      </w:pPr>
      <w:proofErr w:type="gramStart"/>
      <w:r>
        <w:rPr>
          <w:rFonts w:cs="Arial"/>
        </w:rPr>
        <w:t>bank</w:t>
      </w:r>
      <w:proofErr w:type="gramEnd"/>
      <w:r>
        <w:rPr>
          <w:rFonts w:cs="Arial"/>
        </w:rPr>
        <w:t xml:space="preserve"> account details.</w:t>
      </w:r>
    </w:p>
    <w:p w14:paraId="0F09094E" w14:textId="76278105" w:rsidR="00C37DE7" w:rsidRPr="00E22673" w:rsidRDefault="00C37DE7" w:rsidP="00E22673">
      <w:pPr>
        <w:rPr>
          <w:rFonts w:cs="Arial"/>
        </w:rPr>
      </w:pPr>
      <w:r w:rsidRPr="00E22673">
        <w:rPr>
          <w:rFonts w:cs="Arial"/>
        </w:rPr>
        <w:t xml:space="preserve">If you become aware of a breach </w:t>
      </w:r>
      <w:r w:rsidR="00756369" w:rsidRPr="00E22673">
        <w:rPr>
          <w:rFonts w:cs="Arial"/>
        </w:rPr>
        <w:t xml:space="preserve">or likely breach </w:t>
      </w:r>
      <w:r w:rsidRPr="00E22673">
        <w:rPr>
          <w:rFonts w:cs="Arial"/>
        </w:rPr>
        <w:t>of the terms and conditions under the grant agreement, y</w:t>
      </w:r>
      <w:r w:rsidR="00523CFB">
        <w:rPr>
          <w:rFonts w:cs="Arial"/>
        </w:rPr>
        <w:t>ou must contact us immediately.</w:t>
      </w:r>
    </w:p>
    <w:p w14:paraId="68B6B180" w14:textId="77777777" w:rsidR="00D07ED7" w:rsidRPr="00E22673" w:rsidRDefault="00D07ED7" w:rsidP="00E22673">
      <w:pPr>
        <w:rPr>
          <w:rFonts w:cs="Arial"/>
        </w:rPr>
      </w:pPr>
      <w:r w:rsidRPr="00E22673">
        <w:rPr>
          <w:rFonts w:cs="Arial"/>
        </w:rPr>
        <w:t>You must notify us</w:t>
      </w:r>
      <w:r w:rsidRPr="00E22673">
        <w:rPr>
          <w:rFonts w:cs="Arial"/>
          <w:color w:val="0070C0"/>
        </w:rPr>
        <w:t xml:space="preserve"> </w:t>
      </w:r>
      <w:r w:rsidRPr="00E22673">
        <w:rPr>
          <w:rFonts w:cs="Arial"/>
        </w:rPr>
        <w:t>of events relating to your grant.</w:t>
      </w:r>
    </w:p>
    <w:p w14:paraId="43C4763C" w14:textId="77777777" w:rsidR="003159B5" w:rsidRPr="00683955" w:rsidRDefault="002536AC" w:rsidP="001505F4">
      <w:pPr>
        <w:pStyle w:val="Heading3"/>
      </w:pPr>
      <w:bookmarkStart w:id="155" w:name="_Toc16774115"/>
      <w:r w:rsidRPr="00683955">
        <w:t>Reporting</w:t>
      </w:r>
      <w:bookmarkEnd w:id="155"/>
      <w:r w:rsidRPr="00683955">
        <w:t xml:space="preserve"> </w:t>
      </w:r>
    </w:p>
    <w:p w14:paraId="62F8A380" w14:textId="039F8931" w:rsidR="00BE0385" w:rsidRPr="00E22673" w:rsidRDefault="00BE0385" w:rsidP="00E22673">
      <w:pPr>
        <w:rPr>
          <w:rFonts w:cs="Arial"/>
        </w:rPr>
      </w:pPr>
      <w:r w:rsidRPr="00E22673">
        <w:rPr>
          <w:rFonts w:cs="Arial"/>
        </w:rPr>
        <w:t xml:space="preserve">As part of the grant agreement negotiations, the NDIA will provide successful </w:t>
      </w:r>
      <w:r w:rsidR="00756369" w:rsidRPr="00E22673">
        <w:rPr>
          <w:rFonts w:cs="Arial"/>
        </w:rPr>
        <w:t xml:space="preserve">applicants </w:t>
      </w:r>
      <w:r w:rsidRPr="00E22673">
        <w:rPr>
          <w:rFonts w:cs="Arial"/>
        </w:rPr>
        <w:t xml:space="preserve">with an Activity Work Plan template. The Activity Work Plan documents planned deliverables, milestones and </w:t>
      </w:r>
      <w:r w:rsidR="00523CFB">
        <w:rPr>
          <w:rFonts w:cs="Arial"/>
        </w:rPr>
        <w:t>outputs for the funded project.</w:t>
      </w:r>
    </w:p>
    <w:p w14:paraId="77A55F2E" w14:textId="16E1144F" w:rsidR="00BE0385" w:rsidRPr="00E22673" w:rsidRDefault="00BE0385" w:rsidP="00E22673">
      <w:pPr>
        <w:rPr>
          <w:rFonts w:cs="Arial"/>
        </w:rPr>
      </w:pPr>
      <w:r w:rsidRPr="00E22673">
        <w:rPr>
          <w:rFonts w:cs="Arial"/>
        </w:rPr>
        <w:t xml:space="preserve">Successful applicants’ progress and outcomes against the Activity Work Plan </w:t>
      </w:r>
      <w:proofErr w:type="gramStart"/>
      <w:r w:rsidRPr="00E22673">
        <w:rPr>
          <w:rFonts w:cs="Arial"/>
        </w:rPr>
        <w:t>will be monitored</w:t>
      </w:r>
      <w:proofErr w:type="gramEnd"/>
      <w:r w:rsidRPr="00E22673">
        <w:rPr>
          <w:rFonts w:cs="Arial"/>
        </w:rPr>
        <w:t xml:space="preserve"> throughout the</w:t>
      </w:r>
      <w:r w:rsidR="00523CFB">
        <w:rPr>
          <w:rFonts w:cs="Arial"/>
        </w:rPr>
        <w:t xml:space="preserve"> grant through regular reports.</w:t>
      </w:r>
    </w:p>
    <w:p w14:paraId="1E416751" w14:textId="11D08136" w:rsidR="00BE0385" w:rsidRPr="00E22673" w:rsidRDefault="00BE0385" w:rsidP="00E22673">
      <w:pPr>
        <w:rPr>
          <w:rFonts w:cs="Arial"/>
        </w:rPr>
      </w:pPr>
      <w:r w:rsidRPr="00E22673">
        <w:rPr>
          <w:rFonts w:cs="Arial"/>
        </w:rPr>
        <w:t>The grant agreement will specify the type and frequency of reports the grant recipient will be required to submit. Grant recipients are required to have organisational processes and systems in place to allow them to meet their reporting obligations outlined in their grant agreement</w:t>
      </w:r>
      <w:r w:rsidR="0054308F" w:rsidRPr="00E22673">
        <w:rPr>
          <w:rFonts w:cs="Arial"/>
        </w:rPr>
        <w:t xml:space="preserve"> and Activity Work plan</w:t>
      </w:r>
      <w:r w:rsidR="00523CFB">
        <w:rPr>
          <w:rFonts w:cs="Arial"/>
        </w:rPr>
        <w:t>.</w:t>
      </w:r>
    </w:p>
    <w:p w14:paraId="4E254ECA" w14:textId="77777777" w:rsidR="00BE0385" w:rsidRPr="00E22673" w:rsidRDefault="00BE0385" w:rsidP="00E22673">
      <w:pPr>
        <w:rPr>
          <w:rFonts w:cs="Arial"/>
        </w:rPr>
      </w:pPr>
      <w:r w:rsidRPr="00E22673">
        <w:rPr>
          <w:rFonts w:cs="Arial"/>
        </w:rPr>
        <w:t>Successful applicants must submit reports</w:t>
      </w:r>
      <w:r w:rsidRPr="00E22673">
        <w:rPr>
          <w:rFonts w:cs="Arial"/>
          <w:b/>
        </w:rPr>
        <w:t xml:space="preserve"> </w:t>
      </w:r>
      <w:r w:rsidRPr="00E22673">
        <w:rPr>
          <w:rFonts w:cs="Arial"/>
        </w:rPr>
        <w:t xml:space="preserve">in the timeframes stated in the </w:t>
      </w:r>
      <w:hyperlink r:id="rId47" w:history="1">
        <w:r w:rsidRPr="00E22673">
          <w:rPr>
            <w:rFonts w:cs="Arial"/>
          </w:rPr>
          <w:t>grant agreement</w:t>
        </w:r>
      </w:hyperlink>
      <w:r w:rsidRPr="00E22673">
        <w:rPr>
          <w:rFonts w:cs="Arial"/>
        </w:rPr>
        <w:t>. The NDIA will provide templates for these reports to enable them to report on:</w:t>
      </w:r>
    </w:p>
    <w:p w14:paraId="084C7659" w14:textId="77777777" w:rsidR="00BE0385" w:rsidRPr="00E22673" w:rsidRDefault="00E22673" w:rsidP="00E22673">
      <w:pPr>
        <w:pStyle w:val="1NumberedParagaphStyle"/>
        <w:spacing w:before="40" w:after="120" w:line="280" w:lineRule="atLeast"/>
        <w:contextualSpacing w:val="0"/>
        <w:rPr>
          <w:rFonts w:cs="Arial"/>
        </w:rPr>
      </w:pPr>
      <w:r>
        <w:rPr>
          <w:rFonts w:cs="Arial"/>
          <w:sz w:val="20"/>
        </w:rPr>
        <w:t>p</w:t>
      </w:r>
      <w:r w:rsidR="00BE0385" w:rsidRPr="00E22673">
        <w:rPr>
          <w:rFonts w:cs="Arial"/>
          <w:sz w:val="20"/>
        </w:rPr>
        <w:t>rogress against agreed project milestones</w:t>
      </w:r>
      <w:r w:rsidR="00A90348" w:rsidRPr="00E22673">
        <w:rPr>
          <w:rFonts w:cs="Arial"/>
          <w:sz w:val="20"/>
        </w:rPr>
        <w:t xml:space="preserve"> and outcomes</w:t>
      </w:r>
    </w:p>
    <w:p w14:paraId="7864FB70" w14:textId="77777777" w:rsidR="00BE0385" w:rsidRPr="00E22673" w:rsidRDefault="00E22673" w:rsidP="00E22673">
      <w:pPr>
        <w:pStyle w:val="1NumberedParagaphStyle"/>
        <w:spacing w:before="40" w:after="120" w:line="280" w:lineRule="atLeast"/>
        <w:contextualSpacing w:val="0"/>
        <w:rPr>
          <w:rFonts w:cs="Arial"/>
        </w:rPr>
      </w:pPr>
      <w:proofErr w:type="gramStart"/>
      <w:r>
        <w:rPr>
          <w:rFonts w:cs="Arial"/>
          <w:sz w:val="20"/>
        </w:rPr>
        <w:t>e</w:t>
      </w:r>
      <w:r w:rsidR="00BE0385" w:rsidRPr="00E22673">
        <w:rPr>
          <w:rFonts w:cs="Arial"/>
          <w:sz w:val="20"/>
        </w:rPr>
        <w:t>ligible</w:t>
      </w:r>
      <w:proofErr w:type="gramEnd"/>
      <w:r w:rsidR="00BE0385" w:rsidRPr="00E22673">
        <w:rPr>
          <w:rFonts w:cs="Arial"/>
          <w:sz w:val="20"/>
        </w:rPr>
        <w:t xml:space="preserve"> expenditure of grant funds.</w:t>
      </w:r>
    </w:p>
    <w:p w14:paraId="550EDFFD" w14:textId="239452EE" w:rsidR="00BE0385" w:rsidRPr="00E22673" w:rsidRDefault="00BE0385" w:rsidP="00E22673">
      <w:pPr>
        <w:rPr>
          <w:rFonts w:cs="Arial"/>
        </w:rPr>
      </w:pPr>
      <w:r w:rsidRPr="00E22673">
        <w:rPr>
          <w:rFonts w:cs="Arial"/>
        </w:rPr>
        <w:lastRenderedPageBreak/>
        <w:t xml:space="preserve">Successful </w:t>
      </w:r>
      <w:r w:rsidR="00756369" w:rsidRPr="00E22673">
        <w:rPr>
          <w:rFonts w:cs="Arial"/>
        </w:rPr>
        <w:t xml:space="preserve">applicants </w:t>
      </w:r>
      <w:r w:rsidRPr="00E22673">
        <w:rPr>
          <w:rFonts w:cs="Arial"/>
        </w:rPr>
        <w:t xml:space="preserve">will also be required to access project participants or </w:t>
      </w:r>
      <w:r w:rsidR="00756369" w:rsidRPr="00E22673">
        <w:rPr>
          <w:rFonts w:cs="Arial"/>
        </w:rPr>
        <w:t xml:space="preserve">people </w:t>
      </w:r>
      <w:r w:rsidR="00E22673" w:rsidRPr="00E22673">
        <w:rPr>
          <w:rFonts w:cs="Arial"/>
        </w:rPr>
        <w:t>utilising the</w:t>
      </w:r>
      <w:r w:rsidRPr="00E22673">
        <w:rPr>
          <w:rFonts w:cs="Arial"/>
        </w:rPr>
        <w:t xml:space="preserve"> </w:t>
      </w:r>
      <w:r w:rsidR="00756369" w:rsidRPr="00E22673">
        <w:rPr>
          <w:rFonts w:cs="Arial"/>
        </w:rPr>
        <w:t>funded activities</w:t>
      </w:r>
      <w:r w:rsidRPr="00E22673">
        <w:rPr>
          <w:rFonts w:cs="Arial"/>
        </w:rPr>
        <w:t xml:space="preserve">. </w:t>
      </w:r>
      <w:r w:rsidR="00412C49">
        <w:rPr>
          <w:rFonts w:cs="Arial"/>
        </w:rPr>
        <w:t>T</w:t>
      </w:r>
      <w:r w:rsidRPr="00E22673">
        <w:rPr>
          <w:rFonts w:cs="Arial"/>
        </w:rPr>
        <w:t>ools such as surveys or other</w:t>
      </w:r>
      <w:r w:rsidR="00412C49">
        <w:rPr>
          <w:rFonts w:cs="Arial"/>
        </w:rPr>
        <w:t xml:space="preserve"> information gathering devices </w:t>
      </w:r>
      <w:r w:rsidRPr="00E22673">
        <w:rPr>
          <w:rFonts w:cs="Arial"/>
        </w:rPr>
        <w:t xml:space="preserve">will allow </w:t>
      </w:r>
      <w:r w:rsidR="00756369" w:rsidRPr="00E22673">
        <w:rPr>
          <w:rFonts w:cs="Arial"/>
        </w:rPr>
        <w:t>the NDIA</w:t>
      </w:r>
      <w:r w:rsidRPr="00E22673">
        <w:rPr>
          <w:rFonts w:cs="Arial"/>
        </w:rPr>
        <w:t xml:space="preserve"> to determine the outcomes of the project in relation to the particular measures and indicators within the ILC Monit</w:t>
      </w:r>
      <w:r w:rsidR="00523CFB">
        <w:rPr>
          <w:rFonts w:cs="Arial"/>
        </w:rPr>
        <w:t>oring and Evaluation Framework.</w:t>
      </w:r>
    </w:p>
    <w:p w14:paraId="36B3C0C1" w14:textId="77777777" w:rsidR="00BE0385" w:rsidRPr="00E22673" w:rsidRDefault="00BE0385" w:rsidP="00E22673">
      <w:pPr>
        <w:rPr>
          <w:rFonts w:cs="Arial"/>
        </w:rPr>
      </w:pPr>
      <w:r w:rsidRPr="00E22673">
        <w:rPr>
          <w:rFonts w:cs="Arial"/>
        </w:rPr>
        <w:t xml:space="preserve">Grant recipients will be required to provide reporting each six months on the number of </w:t>
      </w:r>
      <w:r w:rsidR="00756369" w:rsidRPr="00E22673">
        <w:rPr>
          <w:rFonts w:cs="Arial"/>
        </w:rPr>
        <w:t xml:space="preserve">people </w:t>
      </w:r>
      <w:r w:rsidRPr="00E22673">
        <w:rPr>
          <w:rFonts w:cs="Arial"/>
        </w:rPr>
        <w:t>utilising their products, as well as noting the barriers and enablers relative to their project.</w:t>
      </w:r>
    </w:p>
    <w:p w14:paraId="28F68FC5" w14:textId="77777777" w:rsidR="00BE0385" w:rsidRPr="00E22673" w:rsidRDefault="00BE0385" w:rsidP="00E22673">
      <w:pPr>
        <w:rPr>
          <w:rFonts w:cs="Arial"/>
        </w:rPr>
      </w:pPr>
      <w:r w:rsidRPr="00E22673">
        <w:rPr>
          <w:rFonts w:cs="Arial"/>
        </w:rPr>
        <w:t xml:space="preserve">Grant recipients will need to maintain a </w:t>
      </w:r>
      <w:r w:rsidR="00756369" w:rsidRPr="00E22673">
        <w:rPr>
          <w:rFonts w:cs="Arial"/>
        </w:rPr>
        <w:t xml:space="preserve">record </w:t>
      </w:r>
      <w:r w:rsidRPr="00E22673">
        <w:rPr>
          <w:rFonts w:cs="Arial"/>
        </w:rPr>
        <w:t xml:space="preserve">of </w:t>
      </w:r>
      <w:r w:rsidR="00756369" w:rsidRPr="00E22673">
        <w:rPr>
          <w:rFonts w:cs="Arial"/>
        </w:rPr>
        <w:t xml:space="preserve">participants </w:t>
      </w:r>
      <w:r w:rsidRPr="00E22673">
        <w:rPr>
          <w:rFonts w:cs="Arial"/>
        </w:rPr>
        <w:t xml:space="preserve">(or have a method of reaching users) of their programs. They will be required to provide a request for a survey to these </w:t>
      </w:r>
      <w:r w:rsidR="00756369" w:rsidRPr="00E22673">
        <w:rPr>
          <w:rFonts w:cs="Arial"/>
        </w:rPr>
        <w:t xml:space="preserve">people </w:t>
      </w:r>
      <w:r w:rsidRPr="00E22673">
        <w:rPr>
          <w:rFonts w:cs="Arial"/>
        </w:rPr>
        <w:t>every six months.</w:t>
      </w:r>
    </w:p>
    <w:p w14:paraId="15F64260" w14:textId="77777777" w:rsidR="00BE0385" w:rsidRPr="0050033E" w:rsidRDefault="00BE0385" w:rsidP="001505F4">
      <w:pPr>
        <w:pStyle w:val="Heading3"/>
      </w:pPr>
      <w:bookmarkStart w:id="156" w:name="_Toc4663542"/>
      <w:bookmarkStart w:id="157" w:name="_Toc16774116"/>
      <w:r w:rsidRPr="0050033E">
        <w:t>Performance indicators</w:t>
      </w:r>
      <w:bookmarkEnd w:id="156"/>
      <w:bookmarkEnd w:id="157"/>
      <w:r w:rsidRPr="0050033E">
        <w:t xml:space="preserve"> </w:t>
      </w:r>
    </w:p>
    <w:p w14:paraId="235D0D22" w14:textId="4FE8D3AF" w:rsidR="00EB1247" w:rsidRPr="00E22673" w:rsidRDefault="00EB1247" w:rsidP="00E22673">
      <w:pPr>
        <w:rPr>
          <w:rFonts w:cs="Arial"/>
          <w:color w:val="000000" w:themeColor="text1"/>
        </w:rPr>
      </w:pPr>
      <w:r w:rsidRPr="00E22673">
        <w:rPr>
          <w:rFonts w:cs="Arial"/>
        </w:rPr>
        <w:t xml:space="preserve">Grant recipients will be required to report on outputs, outcomes and process measures as defined </w:t>
      </w:r>
      <w:r w:rsidRPr="00E22673">
        <w:rPr>
          <w:rFonts w:cs="Arial"/>
          <w:color w:val="000000" w:themeColor="text1"/>
        </w:rPr>
        <w:t xml:space="preserve">by </w:t>
      </w:r>
      <w:r w:rsidR="00756369" w:rsidRPr="00E22673">
        <w:rPr>
          <w:rFonts w:cs="Arial"/>
          <w:color w:val="000000" w:themeColor="text1"/>
        </w:rPr>
        <w:t xml:space="preserve">the NDIA </w:t>
      </w:r>
      <w:r w:rsidRPr="00E22673">
        <w:rPr>
          <w:rFonts w:cs="Arial"/>
          <w:color w:val="000000" w:themeColor="text1"/>
        </w:rPr>
        <w:t xml:space="preserve">in accordance with the ILC Monitoring and Evaluation Framework. These </w:t>
      </w:r>
      <w:proofErr w:type="gramStart"/>
      <w:r w:rsidRPr="00E22673">
        <w:rPr>
          <w:rFonts w:cs="Arial"/>
          <w:color w:val="000000" w:themeColor="text1"/>
        </w:rPr>
        <w:t>will be defined and documented through the Activity Work Plan</w:t>
      </w:r>
      <w:proofErr w:type="gramEnd"/>
      <w:r w:rsidRPr="00E22673">
        <w:rPr>
          <w:rFonts w:cs="Arial"/>
          <w:color w:val="000000" w:themeColor="text1"/>
        </w:rPr>
        <w:t xml:space="preserve">. Further information and guidance </w:t>
      </w:r>
      <w:proofErr w:type="gramStart"/>
      <w:r w:rsidRPr="00E22673">
        <w:rPr>
          <w:rFonts w:cs="Arial"/>
          <w:color w:val="000000" w:themeColor="text1"/>
        </w:rPr>
        <w:t>will be provided</w:t>
      </w:r>
      <w:proofErr w:type="gramEnd"/>
      <w:r w:rsidRPr="00E22673">
        <w:rPr>
          <w:rFonts w:cs="Arial"/>
          <w:color w:val="000000" w:themeColor="text1"/>
        </w:rPr>
        <w:t xml:space="preserve"> to grant applicants, if successful,</w:t>
      </w:r>
      <w:r w:rsidR="00523CFB">
        <w:rPr>
          <w:rFonts w:cs="Arial"/>
          <w:color w:val="000000" w:themeColor="text1"/>
        </w:rPr>
        <w:t xml:space="preserve"> regarding specific indicators.</w:t>
      </w:r>
    </w:p>
    <w:p w14:paraId="43CD83EE" w14:textId="5D3BBB1F" w:rsidR="00EB1247" w:rsidRPr="00E22673" w:rsidRDefault="00EB1247" w:rsidP="00E22673">
      <w:pPr>
        <w:rPr>
          <w:rFonts w:cs="Arial"/>
          <w:color w:val="000000" w:themeColor="text1"/>
        </w:rPr>
      </w:pPr>
      <w:r w:rsidRPr="00E22673">
        <w:rPr>
          <w:rFonts w:cs="Arial"/>
          <w:color w:val="000000" w:themeColor="text1"/>
        </w:rPr>
        <w:t xml:space="preserve">Specific performance indicators </w:t>
      </w:r>
      <w:proofErr w:type="gramStart"/>
      <w:r w:rsidRPr="00E22673">
        <w:rPr>
          <w:rFonts w:cs="Arial"/>
          <w:color w:val="000000" w:themeColor="text1"/>
        </w:rPr>
        <w:t>wi</w:t>
      </w:r>
      <w:r w:rsidR="00412C49">
        <w:rPr>
          <w:rFonts w:cs="Arial"/>
          <w:color w:val="000000" w:themeColor="text1"/>
        </w:rPr>
        <w:t>ll be documented</w:t>
      </w:r>
      <w:proofErr w:type="gramEnd"/>
      <w:r w:rsidR="00412C49">
        <w:rPr>
          <w:rFonts w:cs="Arial"/>
          <w:color w:val="000000" w:themeColor="text1"/>
        </w:rPr>
        <w:t xml:space="preserve"> in your grant a</w:t>
      </w:r>
      <w:r w:rsidRPr="00E22673">
        <w:rPr>
          <w:rFonts w:cs="Arial"/>
          <w:color w:val="000000" w:themeColor="text1"/>
        </w:rPr>
        <w:t>greement and the Activity Work Plan. This will enable the impact of individua</w:t>
      </w:r>
      <w:r w:rsidR="00B561CA" w:rsidRPr="00E22673">
        <w:rPr>
          <w:rFonts w:cs="Arial"/>
          <w:color w:val="000000" w:themeColor="text1"/>
        </w:rPr>
        <w:t>l act</w:t>
      </w:r>
      <w:r w:rsidR="00412C49">
        <w:rPr>
          <w:rFonts w:cs="Arial"/>
          <w:color w:val="000000" w:themeColor="text1"/>
        </w:rPr>
        <w:t>ivities funded through the ILC P</w:t>
      </w:r>
      <w:r w:rsidR="00B561CA" w:rsidRPr="00E22673">
        <w:rPr>
          <w:rFonts w:cs="Arial"/>
          <w:color w:val="000000" w:themeColor="text1"/>
        </w:rPr>
        <w:t>r</w:t>
      </w:r>
      <w:r w:rsidRPr="00E22673">
        <w:rPr>
          <w:rFonts w:cs="Arial"/>
          <w:color w:val="000000" w:themeColor="text1"/>
        </w:rPr>
        <w:t>ogram</w:t>
      </w:r>
      <w:r w:rsidR="00B561CA" w:rsidRPr="00E22673">
        <w:rPr>
          <w:rFonts w:cs="Arial"/>
          <w:color w:val="000000" w:themeColor="text1"/>
        </w:rPr>
        <w:t>s</w:t>
      </w:r>
      <w:r w:rsidRPr="00E22673">
        <w:rPr>
          <w:rFonts w:cs="Arial"/>
          <w:color w:val="000000" w:themeColor="text1"/>
        </w:rPr>
        <w:t xml:space="preserve"> as well as the impact of the</w:t>
      </w:r>
      <w:r w:rsidR="00B561CA" w:rsidRPr="00E22673">
        <w:rPr>
          <w:rFonts w:cs="Arial"/>
          <w:color w:val="000000" w:themeColor="text1"/>
        </w:rPr>
        <w:t xml:space="preserve"> ILC </w:t>
      </w:r>
      <w:r w:rsidRPr="00E22673">
        <w:rPr>
          <w:rFonts w:cs="Arial"/>
          <w:color w:val="000000" w:themeColor="text1"/>
        </w:rPr>
        <w:t>Program overall, to be tracked.</w:t>
      </w:r>
    </w:p>
    <w:p w14:paraId="3E4B0C3D" w14:textId="77777777" w:rsidR="00EB1247" w:rsidRPr="00E22673" w:rsidRDefault="009F5837" w:rsidP="00E22673">
      <w:pPr>
        <w:rPr>
          <w:rFonts w:cs="Arial"/>
        </w:rPr>
      </w:pPr>
      <w:r w:rsidRPr="00E22673">
        <w:rPr>
          <w:rFonts w:cs="Arial"/>
          <w:color w:val="000000" w:themeColor="text1"/>
        </w:rPr>
        <w:t xml:space="preserve">The </w:t>
      </w:r>
      <w:r w:rsidR="00EB1247" w:rsidRPr="00E22673">
        <w:rPr>
          <w:rFonts w:cs="Arial"/>
          <w:color w:val="000000" w:themeColor="text1"/>
        </w:rPr>
        <w:t xml:space="preserve">NDIA will provide templates to successful grant applicants for </w:t>
      </w:r>
      <w:r w:rsidR="00EB1247" w:rsidRPr="00E22673">
        <w:rPr>
          <w:rFonts w:cs="Arial"/>
        </w:rPr>
        <w:t xml:space="preserve">reporting purposes and which grant recipients </w:t>
      </w:r>
      <w:proofErr w:type="gramStart"/>
      <w:r w:rsidR="00EB1247" w:rsidRPr="00E22673">
        <w:rPr>
          <w:rFonts w:cs="Arial"/>
        </w:rPr>
        <w:t>are expected</w:t>
      </w:r>
      <w:proofErr w:type="gramEnd"/>
      <w:r w:rsidR="00EB1247" w:rsidRPr="00E22673">
        <w:rPr>
          <w:rFonts w:cs="Arial"/>
        </w:rPr>
        <w:t xml:space="preserve"> to use.</w:t>
      </w:r>
    </w:p>
    <w:p w14:paraId="602164A3" w14:textId="77777777" w:rsidR="00BE0385" w:rsidRPr="0052630B" w:rsidRDefault="00BE0385" w:rsidP="001505F4">
      <w:pPr>
        <w:pStyle w:val="Heading3"/>
      </w:pPr>
      <w:bookmarkStart w:id="158" w:name="_Toc4663543"/>
      <w:bookmarkStart w:id="159" w:name="_Toc16774117"/>
      <w:r w:rsidRPr="0052630B">
        <w:t>Financial declaration</w:t>
      </w:r>
      <w:bookmarkEnd w:id="158"/>
      <w:bookmarkEnd w:id="159"/>
    </w:p>
    <w:p w14:paraId="7C1EB14E" w14:textId="77777777" w:rsidR="00D07ED7" w:rsidRPr="00E22673" w:rsidRDefault="00B0570C" w:rsidP="00E22673">
      <w:pPr>
        <w:rPr>
          <w:rFonts w:cs="Arial"/>
        </w:rPr>
      </w:pPr>
      <w:r w:rsidRPr="00E22673">
        <w:rPr>
          <w:rFonts w:cs="Arial"/>
        </w:rPr>
        <w:t xml:space="preserve">At the end of your grant agreement, </w:t>
      </w:r>
      <w:r w:rsidR="00251D59" w:rsidRPr="00E22673">
        <w:rPr>
          <w:rFonts w:cs="Arial"/>
        </w:rPr>
        <w:t>you will</w:t>
      </w:r>
      <w:r w:rsidR="00D07ED7" w:rsidRPr="00E22673">
        <w:rPr>
          <w:rFonts w:cs="Arial"/>
        </w:rPr>
        <w:t xml:space="preserve"> be required to provide a declaration in a format </w:t>
      </w:r>
      <w:r w:rsidR="00251D59" w:rsidRPr="00E22673">
        <w:rPr>
          <w:rFonts w:cs="Arial"/>
        </w:rPr>
        <w:t xml:space="preserve">determined </w:t>
      </w:r>
      <w:r w:rsidR="00D07ED7" w:rsidRPr="00E22673">
        <w:rPr>
          <w:rFonts w:cs="Arial"/>
        </w:rPr>
        <w:t xml:space="preserve">by </w:t>
      </w:r>
      <w:r w:rsidR="00251D59" w:rsidRPr="00E22673">
        <w:rPr>
          <w:rFonts w:cs="Arial"/>
        </w:rPr>
        <w:t xml:space="preserve">the NDIA </w:t>
      </w:r>
      <w:r w:rsidR="00D07ED7" w:rsidRPr="00E22673">
        <w:rPr>
          <w:rFonts w:cs="Arial"/>
        </w:rPr>
        <w:t xml:space="preserve">that the grant money </w:t>
      </w:r>
      <w:proofErr w:type="gramStart"/>
      <w:r w:rsidR="00D07ED7" w:rsidRPr="00E22673">
        <w:rPr>
          <w:rFonts w:cs="Arial"/>
        </w:rPr>
        <w:t>was spent</w:t>
      </w:r>
      <w:proofErr w:type="gramEnd"/>
      <w:r w:rsidR="00D07ED7" w:rsidRPr="00E22673">
        <w:rPr>
          <w:rFonts w:cs="Arial"/>
        </w:rPr>
        <w:t xml:space="preserve"> in accordance with the grant agreement, and to report on any underspend of the grant money.</w:t>
      </w:r>
    </w:p>
    <w:p w14:paraId="4084F359" w14:textId="77777777" w:rsidR="004A2224" w:rsidRPr="00A70BFF" w:rsidRDefault="004A2224" w:rsidP="001505F4">
      <w:pPr>
        <w:pStyle w:val="Heading3"/>
      </w:pPr>
      <w:bookmarkStart w:id="160" w:name="_Toc509572409"/>
      <w:bookmarkStart w:id="161" w:name="_Toc509572410"/>
      <w:bookmarkStart w:id="162" w:name="_Toc509572411"/>
      <w:bookmarkStart w:id="163" w:name="_Toc16774118"/>
      <w:bookmarkStart w:id="164" w:name="_Toc468693659"/>
      <w:bookmarkEnd w:id="160"/>
      <w:bookmarkEnd w:id="161"/>
      <w:bookmarkEnd w:id="162"/>
      <w:r w:rsidRPr="00A70BFF">
        <w:t xml:space="preserve">Grant </w:t>
      </w:r>
      <w:r w:rsidR="00E13F4B">
        <w:t>a</w:t>
      </w:r>
      <w:r w:rsidRPr="00A70BFF">
        <w:t>greement variations</w:t>
      </w:r>
      <w:bookmarkEnd w:id="163"/>
    </w:p>
    <w:p w14:paraId="47787A78" w14:textId="76E42113" w:rsidR="004A2224" w:rsidRPr="00E22673" w:rsidRDefault="00E96DD6" w:rsidP="00E22673">
      <w:pPr>
        <w:tabs>
          <w:tab w:val="left" w:pos="0"/>
        </w:tabs>
        <w:rPr>
          <w:rFonts w:cs="Arial"/>
          <w:bCs/>
          <w:lang w:eastAsia="en-AU"/>
        </w:rPr>
      </w:pPr>
      <w:r w:rsidRPr="00E22673">
        <w:rPr>
          <w:rFonts w:cs="Arial"/>
        </w:rPr>
        <w:t>We</w:t>
      </w:r>
      <w:r w:rsidR="00B30DA9" w:rsidRPr="00E22673">
        <w:rPr>
          <w:rFonts w:cs="Arial"/>
          <w:bCs/>
          <w:lang w:eastAsia="en-AU"/>
        </w:rPr>
        <w:t xml:space="preserve"> </w:t>
      </w:r>
      <w:r w:rsidR="004A2224" w:rsidRPr="00E22673">
        <w:rPr>
          <w:rFonts w:cs="Arial"/>
          <w:bCs/>
          <w:lang w:eastAsia="en-AU"/>
        </w:rPr>
        <w:t xml:space="preserve">recognise that unexpected events may affect your progress. In these circumstances, you can request a variation to your </w:t>
      </w:r>
      <w:r w:rsidR="006F16B1" w:rsidRPr="00E22673">
        <w:rPr>
          <w:rFonts w:cs="Arial"/>
          <w:bCs/>
          <w:lang w:eastAsia="en-AU"/>
        </w:rPr>
        <w:t>grant agreement</w:t>
      </w:r>
      <w:r w:rsidR="00DD22BF" w:rsidRPr="00E22673">
        <w:rPr>
          <w:rFonts w:cs="Arial"/>
          <w:bCs/>
          <w:lang w:eastAsia="en-AU"/>
        </w:rPr>
        <w:t xml:space="preserve">. You can request a variation by </w:t>
      </w:r>
      <w:r w:rsidR="00C6593B" w:rsidRPr="00E22673">
        <w:rPr>
          <w:rFonts w:cs="Arial"/>
          <w:bCs/>
          <w:lang w:eastAsia="en-AU"/>
        </w:rPr>
        <w:t>contacting your Funding Arrangement Manager</w:t>
      </w:r>
      <w:r w:rsidR="00B30DA9" w:rsidRPr="00E22673">
        <w:rPr>
          <w:rFonts w:cs="Arial"/>
          <w:bCs/>
          <w:lang w:eastAsia="en-AU"/>
        </w:rPr>
        <w:t xml:space="preserve">, </w:t>
      </w:r>
      <w:r w:rsidR="00B031D9" w:rsidRPr="00E22673">
        <w:rPr>
          <w:rFonts w:cs="Arial"/>
          <w:bCs/>
          <w:lang w:eastAsia="en-AU"/>
        </w:rPr>
        <w:t>NDIA</w:t>
      </w:r>
      <w:r w:rsidR="00523CFB">
        <w:rPr>
          <w:rFonts w:cs="Arial"/>
          <w:bCs/>
          <w:lang w:eastAsia="en-AU"/>
        </w:rPr>
        <w:t>.</w:t>
      </w:r>
    </w:p>
    <w:p w14:paraId="73FF1EF7" w14:textId="77777777" w:rsidR="00164671" w:rsidRPr="00E22673" w:rsidRDefault="004A2224" w:rsidP="00E22673">
      <w:pPr>
        <w:rPr>
          <w:rFonts w:cs="Arial"/>
        </w:rPr>
      </w:pPr>
      <w:r w:rsidRPr="00E22673">
        <w:rPr>
          <w:rFonts w:cs="Arial"/>
        </w:rPr>
        <w:t xml:space="preserve">You should not assume that a </w:t>
      </w:r>
      <w:r w:rsidR="00251D59" w:rsidRPr="00E22673">
        <w:rPr>
          <w:rFonts w:cs="Arial"/>
        </w:rPr>
        <w:t xml:space="preserve">request for </w:t>
      </w:r>
      <w:r w:rsidRPr="00E22673">
        <w:rPr>
          <w:rFonts w:cs="Arial"/>
        </w:rPr>
        <w:t xml:space="preserve">variation </w:t>
      </w:r>
      <w:proofErr w:type="gramStart"/>
      <w:r w:rsidRPr="00E22673">
        <w:rPr>
          <w:rFonts w:cs="Arial"/>
        </w:rPr>
        <w:t>will</w:t>
      </w:r>
      <w:proofErr w:type="gramEnd"/>
      <w:r w:rsidRPr="00E22673">
        <w:rPr>
          <w:rFonts w:cs="Arial"/>
        </w:rPr>
        <w:t xml:space="preserve"> be successful. </w:t>
      </w:r>
      <w:r w:rsidR="00E96DD6" w:rsidRPr="00E22673">
        <w:rPr>
          <w:rFonts w:cs="Arial"/>
        </w:rPr>
        <w:t>We</w:t>
      </w:r>
      <w:r w:rsidRPr="00E22673">
        <w:rPr>
          <w:rFonts w:cs="Arial"/>
        </w:rPr>
        <w:t xml:space="preserve"> will consider your request based on </w:t>
      </w:r>
      <w:r w:rsidR="00AD6169" w:rsidRPr="00E22673">
        <w:rPr>
          <w:rFonts w:cs="Arial"/>
        </w:rPr>
        <w:t xml:space="preserve">provisions in the </w:t>
      </w:r>
      <w:r w:rsidR="006F16B1" w:rsidRPr="00E22673">
        <w:rPr>
          <w:rFonts w:cs="Arial"/>
        </w:rPr>
        <w:t xml:space="preserve">grant agreement </w:t>
      </w:r>
      <w:r w:rsidR="00802523" w:rsidRPr="00E22673">
        <w:rPr>
          <w:rFonts w:cs="Arial"/>
        </w:rPr>
        <w:t>and the</w:t>
      </w:r>
      <w:r w:rsidR="00796F89" w:rsidRPr="00E22673">
        <w:rPr>
          <w:rFonts w:cs="Arial"/>
        </w:rPr>
        <w:t xml:space="preserve"> likely</w:t>
      </w:r>
      <w:r w:rsidR="00802523" w:rsidRPr="00E22673">
        <w:rPr>
          <w:rFonts w:cs="Arial"/>
        </w:rPr>
        <w:t xml:space="preserve"> impact on achieving</w:t>
      </w:r>
      <w:r w:rsidR="00AD6169" w:rsidRPr="00E22673">
        <w:rPr>
          <w:rFonts w:cs="Arial"/>
        </w:rPr>
        <w:t xml:space="preserve"> outcomes</w:t>
      </w:r>
      <w:r w:rsidR="00DD22BF" w:rsidRPr="00E22673">
        <w:rPr>
          <w:rFonts w:cs="Arial"/>
        </w:rPr>
        <w:t>.</w:t>
      </w:r>
    </w:p>
    <w:p w14:paraId="1D53CD9D" w14:textId="77777777" w:rsidR="00832FC6" w:rsidRDefault="00492B00" w:rsidP="001505F4">
      <w:pPr>
        <w:pStyle w:val="Heading3"/>
      </w:pPr>
      <w:bookmarkStart w:id="165" w:name="_Toc16774119"/>
      <w:r>
        <w:t>Compliance visits</w:t>
      </w:r>
      <w:bookmarkEnd w:id="164"/>
      <w:bookmarkEnd w:id="165"/>
      <w:r w:rsidR="00DC4884">
        <w:t xml:space="preserve"> </w:t>
      </w:r>
    </w:p>
    <w:p w14:paraId="3303B875" w14:textId="77777777" w:rsidR="00795673" w:rsidRPr="00E22673" w:rsidRDefault="00E96DD6" w:rsidP="00E22673">
      <w:pPr>
        <w:rPr>
          <w:rFonts w:cs="Arial"/>
        </w:rPr>
      </w:pPr>
      <w:r w:rsidRPr="00E22673">
        <w:rPr>
          <w:rFonts w:cs="Arial"/>
        </w:rPr>
        <w:t>We</w:t>
      </w:r>
      <w:r w:rsidR="00C6593B" w:rsidRPr="00E22673">
        <w:rPr>
          <w:rFonts w:cs="Arial"/>
          <w:color w:val="0070C0"/>
        </w:rPr>
        <w:t xml:space="preserve"> </w:t>
      </w:r>
      <w:r w:rsidR="00AD6169" w:rsidRPr="00E22673">
        <w:rPr>
          <w:rFonts w:cs="Arial"/>
        </w:rPr>
        <w:t xml:space="preserve">may visit you during or at the completion of your grant activity to review your compliance with the </w:t>
      </w:r>
      <w:r w:rsidR="006F16B1" w:rsidRPr="00E22673">
        <w:rPr>
          <w:rFonts w:cs="Arial"/>
        </w:rPr>
        <w:t>grant agreement</w:t>
      </w:r>
      <w:r w:rsidR="00251D59" w:rsidRPr="00E22673">
        <w:rPr>
          <w:rFonts w:cs="Arial"/>
        </w:rPr>
        <w:t xml:space="preserve"> or to gain greater insights on the activity</w:t>
      </w:r>
      <w:r w:rsidR="00164671" w:rsidRPr="00E22673">
        <w:rPr>
          <w:rFonts w:cs="Arial"/>
        </w:rPr>
        <w:t>.</w:t>
      </w:r>
      <w:r w:rsidR="00AD6169" w:rsidRPr="00E22673">
        <w:rPr>
          <w:rFonts w:cs="Arial"/>
        </w:rPr>
        <w:t xml:space="preserve"> We will provide you with reasonable notice of any compliance visit</w:t>
      </w:r>
      <w:r w:rsidR="006567FA" w:rsidRPr="00E22673">
        <w:rPr>
          <w:rFonts w:cs="Arial"/>
        </w:rPr>
        <w:t>.</w:t>
      </w:r>
    </w:p>
    <w:p w14:paraId="30C831BA" w14:textId="77777777" w:rsidR="00492B00" w:rsidRPr="00E067F3" w:rsidRDefault="00832FC6" w:rsidP="001505F4">
      <w:pPr>
        <w:pStyle w:val="Heading3"/>
      </w:pPr>
      <w:bookmarkStart w:id="166" w:name="_Toc16774120"/>
      <w:r w:rsidRPr="00E067F3">
        <w:t>R</w:t>
      </w:r>
      <w:r w:rsidR="00DC4884" w:rsidRPr="00E067F3">
        <w:t>ecord keeping</w:t>
      </w:r>
      <w:bookmarkEnd w:id="166"/>
    </w:p>
    <w:p w14:paraId="0B288284" w14:textId="760D9511" w:rsidR="00795673" w:rsidRPr="00E22673" w:rsidRDefault="00E96DD6" w:rsidP="00E22673">
      <w:pPr>
        <w:rPr>
          <w:rFonts w:cs="Arial"/>
        </w:rPr>
      </w:pPr>
      <w:r w:rsidRPr="00E22673">
        <w:rPr>
          <w:rFonts w:cs="Arial"/>
        </w:rPr>
        <w:t>We</w:t>
      </w:r>
      <w:r w:rsidR="0028433B" w:rsidRPr="00E22673">
        <w:rPr>
          <w:rFonts w:cs="Arial"/>
        </w:rPr>
        <w:t xml:space="preserve"> may also inspect the records you are required to keep under the </w:t>
      </w:r>
      <w:r w:rsidR="006F16B1" w:rsidRPr="00E22673">
        <w:rPr>
          <w:rFonts w:cs="Arial"/>
        </w:rPr>
        <w:t>grant agreement</w:t>
      </w:r>
      <w:r w:rsidR="00795673" w:rsidRPr="00E22673">
        <w:rPr>
          <w:rFonts w:cs="Arial"/>
        </w:rPr>
        <w:t>.</w:t>
      </w:r>
    </w:p>
    <w:p w14:paraId="2C23C28B" w14:textId="77777777" w:rsidR="00D07ED7" w:rsidRPr="00E01774" w:rsidRDefault="00D07ED7" w:rsidP="00E01774">
      <w:pPr>
        <w:pStyle w:val="Heading3"/>
      </w:pPr>
      <w:bookmarkStart w:id="167" w:name="_Toc12615083"/>
      <w:bookmarkStart w:id="168" w:name="_Toc16774121"/>
      <w:r w:rsidRPr="00E01774">
        <w:t>Evaluation</w:t>
      </w:r>
      <w:bookmarkEnd w:id="167"/>
      <w:bookmarkEnd w:id="168"/>
    </w:p>
    <w:p w14:paraId="72EB17FF" w14:textId="080E2FE5" w:rsidR="00A9687A" w:rsidRPr="00E22673" w:rsidRDefault="00A9687A" w:rsidP="00E22673">
      <w:pPr>
        <w:rPr>
          <w:rFonts w:cs="Arial"/>
        </w:rPr>
      </w:pPr>
      <w:r w:rsidRPr="00E22673">
        <w:rPr>
          <w:rFonts w:cs="Arial"/>
        </w:rPr>
        <w:t xml:space="preserve">The ILC Investment Strategy released in December 2018 outlines a key component of the investment strategy as “a strengthened approach to Monitoring and Evaluation with an early focus on developing system capability, and the integration of ILC with established data management and </w:t>
      </w:r>
      <w:r w:rsidRPr="00E22673">
        <w:rPr>
          <w:rFonts w:cs="Arial"/>
        </w:rPr>
        <w:lastRenderedPageBreak/>
        <w:t xml:space="preserve">reporting frameworks”. All </w:t>
      </w:r>
      <w:proofErr w:type="gramStart"/>
      <w:r w:rsidRPr="00E22673">
        <w:rPr>
          <w:rFonts w:cs="Arial"/>
        </w:rPr>
        <w:t>four grant</w:t>
      </w:r>
      <w:proofErr w:type="gramEnd"/>
      <w:r w:rsidRPr="00E22673">
        <w:rPr>
          <w:rFonts w:cs="Arial"/>
        </w:rPr>
        <w:t xml:space="preserve"> streams, including the ICB Program wi</w:t>
      </w:r>
      <w:r w:rsidR="00523CFB">
        <w:rPr>
          <w:rFonts w:cs="Arial"/>
        </w:rPr>
        <w:t>ll be subject to this approach.</w:t>
      </w:r>
    </w:p>
    <w:p w14:paraId="4004991B" w14:textId="77777777" w:rsidR="00430723" w:rsidRPr="00E22673" w:rsidRDefault="00430723" w:rsidP="00E22673">
      <w:pPr>
        <w:rPr>
          <w:rFonts w:cs="Arial"/>
        </w:rPr>
      </w:pPr>
      <w:r w:rsidRPr="00E22673">
        <w:rPr>
          <w:rFonts w:cs="Arial"/>
        </w:rPr>
        <w:t xml:space="preserve">Information about what you will be required to deliver in addition to your grant activity deliverables if successful in your grant application </w:t>
      </w:r>
      <w:proofErr w:type="gramStart"/>
      <w:r w:rsidRPr="00E22673">
        <w:rPr>
          <w:rFonts w:cs="Arial"/>
        </w:rPr>
        <w:t>is detailed</w:t>
      </w:r>
      <w:proofErr w:type="gramEnd"/>
      <w:r w:rsidRPr="00E22673">
        <w:rPr>
          <w:rFonts w:cs="Arial"/>
        </w:rPr>
        <w:t xml:space="preserve"> in Section </w:t>
      </w:r>
      <w:r w:rsidR="000A464F" w:rsidRPr="00E22673">
        <w:rPr>
          <w:rFonts w:cs="Arial"/>
        </w:rPr>
        <w:t xml:space="preserve">11.2 </w:t>
      </w:r>
      <w:r w:rsidRPr="00E22673">
        <w:rPr>
          <w:rFonts w:cs="Arial"/>
        </w:rPr>
        <w:t>and will be included in the grant agreement. By submitting your application, you agree to implement the monitoring and evaluation requirements required by the NDIA.</w:t>
      </w:r>
    </w:p>
    <w:p w14:paraId="0B728A3C" w14:textId="22EA751F" w:rsidR="00296E3B" w:rsidRPr="00E22673" w:rsidRDefault="00430723" w:rsidP="00E22673">
      <w:pPr>
        <w:rPr>
          <w:rFonts w:cs="Arial"/>
        </w:rPr>
      </w:pPr>
      <w:r w:rsidRPr="00E22673">
        <w:rPr>
          <w:rFonts w:cs="Arial"/>
        </w:rPr>
        <w:t>Please note that failure to comply with these requirements may result in the delay of funding instalments to deliver your</w:t>
      </w:r>
      <w:r w:rsidR="00523CFB">
        <w:rPr>
          <w:rFonts w:cs="Arial"/>
        </w:rPr>
        <w:t xml:space="preserve"> activity.</w:t>
      </w:r>
    </w:p>
    <w:p w14:paraId="442DE914" w14:textId="77777777" w:rsidR="008F10AE" w:rsidRPr="00E22673" w:rsidRDefault="008F10AE" w:rsidP="00E22673">
      <w:pPr>
        <w:rPr>
          <w:rFonts w:cs="Arial"/>
          <w:b/>
          <w:bCs/>
          <w:lang w:eastAsia="en-AU"/>
        </w:rPr>
      </w:pPr>
      <w:r w:rsidRPr="00E22673">
        <w:rPr>
          <w:rFonts w:cs="Arial"/>
        </w:rPr>
        <w:t xml:space="preserve">The ILC Monitoring and Evaluation Framework includes indicators for each of the new programs that cover outputs, outcomes and process measures. The indicators relevant to the </w:t>
      </w:r>
      <w:r w:rsidR="00837154" w:rsidRPr="00E22673">
        <w:rPr>
          <w:rFonts w:cs="Arial"/>
        </w:rPr>
        <w:t xml:space="preserve">ICB </w:t>
      </w:r>
      <w:r w:rsidRPr="00E22673">
        <w:rPr>
          <w:rFonts w:cs="Arial"/>
        </w:rPr>
        <w:t>Program include:</w:t>
      </w:r>
    </w:p>
    <w:p w14:paraId="30537078" w14:textId="77777777" w:rsidR="00A30696" w:rsidRPr="00E22673" w:rsidRDefault="00A30696" w:rsidP="00E22673">
      <w:pPr>
        <w:rPr>
          <w:rFonts w:cs="Arial"/>
          <w:lang w:eastAsia="en-AU"/>
        </w:rPr>
      </w:pPr>
      <w:r w:rsidRPr="00E22673">
        <w:rPr>
          <w:rFonts w:cs="Arial"/>
          <w:b/>
          <w:bCs/>
          <w:lang w:eastAsia="en-AU"/>
        </w:rPr>
        <w:t xml:space="preserve">Specific outcomes for the </w:t>
      </w:r>
      <w:r w:rsidR="00F27807" w:rsidRPr="00E22673">
        <w:rPr>
          <w:rFonts w:cs="Arial"/>
          <w:b/>
          <w:bCs/>
          <w:lang w:eastAsia="en-AU"/>
        </w:rPr>
        <w:t xml:space="preserve">ICB </w:t>
      </w:r>
      <w:r w:rsidRPr="00E22673">
        <w:rPr>
          <w:rFonts w:cs="Arial"/>
          <w:b/>
          <w:bCs/>
          <w:lang w:eastAsia="en-AU"/>
        </w:rPr>
        <w:t xml:space="preserve">Program related to </w:t>
      </w:r>
      <w:r w:rsidR="00F27807" w:rsidRPr="00E22673">
        <w:rPr>
          <w:rFonts w:cs="Arial"/>
          <w:b/>
          <w:bCs/>
          <w:lang w:eastAsia="en-AU"/>
        </w:rPr>
        <w:t xml:space="preserve">ICB </w:t>
      </w:r>
      <w:r w:rsidRPr="00E22673">
        <w:rPr>
          <w:rFonts w:cs="Arial"/>
          <w:b/>
          <w:bCs/>
          <w:lang w:eastAsia="en-AU"/>
        </w:rPr>
        <w:t>include:</w:t>
      </w:r>
    </w:p>
    <w:p w14:paraId="0C0E7B05" w14:textId="0F0B4068" w:rsidR="00F27807" w:rsidRPr="00E22673" w:rsidRDefault="002811C2" w:rsidP="00E22673">
      <w:pPr>
        <w:pStyle w:val="Bullet1"/>
        <w:numPr>
          <w:ilvl w:val="0"/>
          <w:numId w:val="56"/>
        </w:numPr>
        <w:suppressAutoHyphens w:val="0"/>
        <w:spacing w:before="40" w:after="120"/>
        <w:rPr>
          <w:rFonts w:cs="Arial"/>
          <w:lang w:eastAsia="en-AU"/>
        </w:rPr>
      </w:pPr>
      <w:r>
        <w:rPr>
          <w:rFonts w:cs="Arial"/>
          <w:lang w:eastAsia="en-AU"/>
        </w:rPr>
        <w:t>i</w:t>
      </w:r>
      <w:r w:rsidR="00F27807" w:rsidRPr="00E22673">
        <w:rPr>
          <w:rFonts w:cs="Arial"/>
          <w:lang w:eastAsia="en-AU"/>
        </w:rPr>
        <w:t>ncreased skills and capacity of individuals</w:t>
      </w:r>
    </w:p>
    <w:p w14:paraId="229236F9" w14:textId="0BADEEAA" w:rsidR="00F27807" w:rsidRPr="00E22673" w:rsidRDefault="00412C49" w:rsidP="00E22673">
      <w:pPr>
        <w:pStyle w:val="Bullet1"/>
        <w:numPr>
          <w:ilvl w:val="0"/>
          <w:numId w:val="56"/>
        </w:numPr>
        <w:suppressAutoHyphens w:val="0"/>
        <w:spacing w:before="40" w:after="120"/>
        <w:rPr>
          <w:rFonts w:cs="Arial"/>
          <w:lang w:eastAsia="en-AU"/>
        </w:rPr>
      </w:pPr>
      <w:r>
        <w:rPr>
          <w:rFonts w:cs="Arial"/>
          <w:lang w:eastAsia="en-AU"/>
        </w:rPr>
        <w:t>i</w:t>
      </w:r>
      <w:r w:rsidR="00F27807" w:rsidRPr="00E22673">
        <w:rPr>
          <w:rFonts w:cs="Arial"/>
          <w:lang w:eastAsia="en-AU"/>
        </w:rPr>
        <w:t>ncreased motivation, confidence and empowerment to act</w:t>
      </w:r>
    </w:p>
    <w:p w14:paraId="5E53C539" w14:textId="2558461D" w:rsidR="000A464F" w:rsidRPr="00E22673" w:rsidRDefault="00412C49" w:rsidP="00E22673">
      <w:pPr>
        <w:pStyle w:val="Bullet1"/>
        <w:numPr>
          <w:ilvl w:val="0"/>
          <w:numId w:val="56"/>
        </w:numPr>
        <w:suppressAutoHyphens w:val="0"/>
        <w:spacing w:before="40" w:after="120"/>
        <w:rPr>
          <w:rFonts w:cs="Arial"/>
          <w:lang w:eastAsia="en-AU"/>
        </w:rPr>
      </w:pPr>
      <w:proofErr w:type="gramStart"/>
      <w:r>
        <w:rPr>
          <w:rFonts w:cs="Arial"/>
          <w:lang w:eastAsia="en-AU"/>
        </w:rPr>
        <w:t>i</w:t>
      </w:r>
      <w:r w:rsidR="00F27807" w:rsidRPr="00E22673">
        <w:rPr>
          <w:rFonts w:cs="Arial"/>
          <w:lang w:eastAsia="en-AU"/>
        </w:rPr>
        <w:t>ncreased</w:t>
      </w:r>
      <w:proofErr w:type="gramEnd"/>
      <w:r w:rsidR="00F27807" w:rsidRPr="00E22673">
        <w:rPr>
          <w:rFonts w:cs="Arial"/>
          <w:lang w:eastAsia="en-AU"/>
        </w:rPr>
        <w:t xml:space="preserve"> participation in and contribution to community</w:t>
      </w:r>
      <w:r>
        <w:rPr>
          <w:rFonts w:cs="Arial"/>
          <w:lang w:eastAsia="en-AU"/>
        </w:rPr>
        <w:t>.</w:t>
      </w:r>
    </w:p>
    <w:p w14:paraId="4EC20295" w14:textId="77777777" w:rsidR="00A30696" w:rsidRPr="00E22673" w:rsidRDefault="00A30696" w:rsidP="00E22673">
      <w:pPr>
        <w:rPr>
          <w:rFonts w:cs="Arial"/>
          <w:lang w:eastAsia="en-AU"/>
        </w:rPr>
      </w:pPr>
      <w:r w:rsidRPr="00E22673">
        <w:rPr>
          <w:rFonts w:cs="Arial"/>
          <w:b/>
          <w:bCs/>
          <w:lang w:eastAsia="en-AU"/>
        </w:rPr>
        <w:t xml:space="preserve">Specific indicators for </w:t>
      </w:r>
      <w:r w:rsidR="00F27807" w:rsidRPr="00E22673">
        <w:rPr>
          <w:rFonts w:cs="Arial"/>
          <w:b/>
          <w:bCs/>
          <w:lang w:eastAsia="en-AU"/>
        </w:rPr>
        <w:t xml:space="preserve">Individual </w:t>
      </w:r>
      <w:r w:rsidRPr="00E22673">
        <w:rPr>
          <w:rFonts w:cs="Arial"/>
          <w:b/>
          <w:bCs/>
          <w:lang w:eastAsia="en-AU"/>
        </w:rPr>
        <w:t>Capacity Building are:</w:t>
      </w:r>
    </w:p>
    <w:p w14:paraId="03E9F708" w14:textId="3482C780" w:rsidR="00FE61AE" w:rsidRPr="00BE2DC2" w:rsidRDefault="00BE2DC2" w:rsidP="00BE2DC2">
      <w:pPr>
        <w:pStyle w:val="ListParagraph"/>
        <w:numPr>
          <w:ilvl w:val="0"/>
          <w:numId w:val="85"/>
        </w:numPr>
        <w:rPr>
          <w:rFonts w:cs="Arial"/>
          <w:lang w:eastAsia="en-AU"/>
        </w:rPr>
      </w:pPr>
      <w:r w:rsidRPr="00BE2DC2">
        <w:rPr>
          <w:rFonts w:cs="Arial"/>
          <w:lang w:eastAsia="en-AU"/>
        </w:rPr>
        <w:t>N</w:t>
      </w:r>
      <w:r w:rsidR="00FC7E6B" w:rsidRPr="00BE2DC2">
        <w:rPr>
          <w:rFonts w:cs="Arial"/>
          <w:lang w:eastAsia="en-AU"/>
        </w:rPr>
        <w:t>umber of</w:t>
      </w:r>
      <w:r w:rsidR="00FE61AE" w:rsidRPr="00BE2DC2">
        <w:rPr>
          <w:rFonts w:cs="Arial"/>
          <w:lang w:eastAsia="en-AU"/>
        </w:rPr>
        <w:t xml:space="preserve"> individuals engaged </w:t>
      </w:r>
      <w:r w:rsidR="00412C49" w:rsidRPr="00BE2DC2">
        <w:rPr>
          <w:rFonts w:cs="Arial"/>
          <w:lang w:eastAsia="en-AU"/>
        </w:rPr>
        <w:t>in capacity building activities</w:t>
      </w:r>
    </w:p>
    <w:p w14:paraId="41B6ACC5" w14:textId="58B5E706" w:rsidR="00FE61AE" w:rsidRPr="00E22673" w:rsidRDefault="00BE2DC2" w:rsidP="00E22673">
      <w:pPr>
        <w:numPr>
          <w:ilvl w:val="0"/>
          <w:numId w:val="55"/>
        </w:numPr>
        <w:rPr>
          <w:rFonts w:cs="Arial"/>
          <w:lang w:eastAsia="en-AU"/>
        </w:rPr>
      </w:pPr>
      <w:r>
        <w:rPr>
          <w:rFonts w:cs="Arial"/>
          <w:lang w:eastAsia="en-AU"/>
        </w:rPr>
        <w:t>P</w:t>
      </w:r>
      <w:r w:rsidR="00FC7E6B">
        <w:rPr>
          <w:rFonts w:cs="Arial"/>
          <w:lang w:eastAsia="en-AU"/>
        </w:rPr>
        <w:t>ercentage</w:t>
      </w:r>
      <w:r w:rsidR="00FE61AE" w:rsidRPr="00E22673">
        <w:rPr>
          <w:rFonts w:cs="Arial"/>
          <w:lang w:eastAsia="en-AU"/>
        </w:rPr>
        <w:t xml:space="preserve"> reporti</w:t>
      </w:r>
      <w:r w:rsidR="00412C49">
        <w:rPr>
          <w:rFonts w:cs="Arial"/>
          <w:lang w:eastAsia="en-AU"/>
        </w:rPr>
        <w:t>ng improved knowledge or skills</w:t>
      </w:r>
    </w:p>
    <w:p w14:paraId="180EEA9E" w14:textId="6C1DD107" w:rsidR="00FE61AE" w:rsidRPr="00E22673" w:rsidRDefault="00BE2DC2" w:rsidP="00E22673">
      <w:pPr>
        <w:numPr>
          <w:ilvl w:val="0"/>
          <w:numId w:val="55"/>
        </w:numPr>
        <w:rPr>
          <w:rFonts w:cs="Arial"/>
          <w:lang w:eastAsia="en-AU"/>
        </w:rPr>
      </w:pPr>
      <w:r>
        <w:rPr>
          <w:rFonts w:cs="Arial"/>
          <w:lang w:eastAsia="en-AU"/>
        </w:rPr>
        <w:t>P</w:t>
      </w:r>
      <w:r w:rsidR="00FC7E6B">
        <w:rPr>
          <w:rFonts w:cs="Arial"/>
          <w:lang w:eastAsia="en-AU"/>
        </w:rPr>
        <w:t>ercentage</w:t>
      </w:r>
      <w:r w:rsidR="00FE61AE" w:rsidRPr="00E22673">
        <w:rPr>
          <w:rFonts w:cs="Arial"/>
          <w:lang w:eastAsia="en-AU"/>
        </w:rPr>
        <w:t xml:space="preserve"> reporting imp</w:t>
      </w:r>
      <w:r w:rsidR="00412C49">
        <w:rPr>
          <w:rFonts w:cs="Arial"/>
          <w:lang w:eastAsia="en-AU"/>
        </w:rPr>
        <w:t>roved motivation and confidence</w:t>
      </w:r>
    </w:p>
    <w:p w14:paraId="0F4B7C34" w14:textId="615FD668" w:rsidR="00FE61AE" w:rsidRPr="00E22673" w:rsidRDefault="00BE2DC2" w:rsidP="00E22673">
      <w:pPr>
        <w:numPr>
          <w:ilvl w:val="0"/>
          <w:numId w:val="55"/>
        </w:numPr>
        <w:rPr>
          <w:rFonts w:cs="Arial"/>
          <w:lang w:eastAsia="en-AU"/>
        </w:rPr>
      </w:pPr>
      <w:r>
        <w:rPr>
          <w:rFonts w:cs="Arial"/>
          <w:lang w:eastAsia="en-AU"/>
        </w:rPr>
        <w:t>P</w:t>
      </w:r>
      <w:r w:rsidR="00FC7E6B">
        <w:rPr>
          <w:rFonts w:cs="Arial"/>
          <w:lang w:eastAsia="en-AU"/>
        </w:rPr>
        <w:t>ercentage of</w:t>
      </w:r>
      <w:r w:rsidR="00FE61AE" w:rsidRPr="00E22673">
        <w:rPr>
          <w:rFonts w:cs="Arial"/>
          <w:lang w:eastAsia="en-AU"/>
        </w:rPr>
        <w:t xml:space="preserve"> organisations with strengthened organisational capacity</w:t>
      </w:r>
    </w:p>
    <w:p w14:paraId="5DE89155" w14:textId="79EA4C8D" w:rsidR="00AC6F5E" w:rsidRPr="00E22673" w:rsidRDefault="00BE2DC2" w:rsidP="00E22673">
      <w:pPr>
        <w:numPr>
          <w:ilvl w:val="0"/>
          <w:numId w:val="55"/>
        </w:numPr>
        <w:rPr>
          <w:rFonts w:cs="Arial"/>
          <w:lang w:eastAsia="en-AU"/>
        </w:rPr>
      </w:pPr>
      <w:r>
        <w:rPr>
          <w:rFonts w:cs="Arial"/>
          <w:lang w:eastAsia="en-AU"/>
        </w:rPr>
        <w:t>I</w:t>
      </w:r>
      <w:r w:rsidR="00FE61AE" w:rsidRPr="00E22673">
        <w:rPr>
          <w:rFonts w:cs="Arial"/>
          <w:lang w:eastAsia="en-AU"/>
        </w:rPr>
        <w:t>dentification of organisational and project barriers and enablers.</w:t>
      </w:r>
    </w:p>
    <w:p w14:paraId="3E1C5DCB" w14:textId="77777777" w:rsidR="00A30696" w:rsidRPr="00E22673" w:rsidRDefault="00A30696" w:rsidP="00E22673">
      <w:pPr>
        <w:rPr>
          <w:rFonts w:cs="Arial"/>
          <w:lang w:eastAsia="en-AU"/>
        </w:rPr>
      </w:pPr>
      <w:r w:rsidRPr="00E22673">
        <w:rPr>
          <w:rFonts w:cs="Arial"/>
          <w:b/>
          <w:bCs/>
          <w:lang w:eastAsia="en-AU"/>
        </w:rPr>
        <w:t xml:space="preserve">Each program </w:t>
      </w:r>
      <w:r w:rsidR="00251D59" w:rsidRPr="00E22673">
        <w:rPr>
          <w:rFonts w:cs="Arial"/>
          <w:b/>
          <w:bCs/>
          <w:lang w:eastAsia="en-AU"/>
        </w:rPr>
        <w:t xml:space="preserve">also </w:t>
      </w:r>
      <w:r w:rsidRPr="00E22673">
        <w:rPr>
          <w:rFonts w:cs="Arial"/>
          <w:b/>
          <w:bCs/>
          <w:lang w:eastAsia="en-AU"/>
        </w:rPr>
        <w:t xml:space="preserve">assesses outcomes under the Leading, Shaping and Influencing measure. </w:t>
      </w:r>
    </w:p>
    <w:p w14:paraId="61470E82" w14:textId="77777777" w:rsidR="00A30696" w:rsidRPr="00E22673" w:rsidRDefault="00A30696" w:rsidP="00E22673">
      <w:pPr>
        <w:rPr>
          <w:rFonts w:cs="Arial"/>
          <w:lang w:eastAsia="en-AU"/>
        </w:rPr>
      </w:pPr>
      <w:r w:rsidRPr="00E22673">
        <w:rPr>
          <w:rFonts w:cs="Arial"/>
          <w:b/>
          <w:bCs/>
          <w:lang w:eastAsia="en-AU"/>
        </w:rPr>
        <w:t xml:space="preserve">These indicators </w:t>
      </w:r>
      <w:proofErr w:type="gramStart"/>
      <w:r w:rsidRPr="00E22673">
        <w:rPr>
          <w:rFonts w:cs="Arial"/>
          <w:b/>
          <w:bCs/>
          <w:lang w:eastAsia="en-AU"/>
        </w:rPr>
        <w:t>are applied</w:t>
      </w:r>
      <w:proofErr w:type="gramEnd"/>
      <w:r w:rsidRPr="00E22673">
        <w:rPr>
          <w:rFonts w:cs="Arial"/>
          <w:b/>
          <w:bCs/>
          <w:lang w:eastAsia="en-AU"/>
        </w:rPr>
        <w:t xml:space="preserve"> solely to individuals:</w:t>
      </w:r>
    </w:p>
    <w:p w14:paraId="7E04824A" w14:textId="04CA9116" w:rsidR="00A30696" w:rsidRPr="00412C49" w:rsidRDefault="00BE2DC2" w:rsidP="00412C49">
      <w:pPr>
        <w:pStyle w:val="ListParagraph"/>
        <w:numPr>
          <w:ilvl w:val="0"/>
          <w:numId w:val="81"/>
        </w:numPr>
        <w:ind w:left="714" w:hanging="357"/>
        <w:contextualSpacing w:val="0"/>
        <w:rPr>
          <w:rFonts w:cs="Arial"/>
          <w:lang w:eastAsia="en-AU"/>
        </w:rPr>
      </w:pPr>
      <w:r>
        <w:rPr>
          <w:rFonts w:cs="Arial"/>
          <w:lang w:eastAsia="en-AU"/>
        </w:rPr>
        <w:t>A</w:t>
      </w:r>
      <w:r w:rsidR="00FC7E6B">
        <w:rPr>
          <w:rFonts w:cs="Arial"/>
          <w:lang w:eastAsia="en-AU"/>
        </w:rPr>
        <w:t xml:space="preserve"> percentage</w:t>
      </w:r>
      <w:r w:rsidR="00A30696" w:rsidRPr="00412C49">
        <w:rPr>
          <w:rFonts w:cs="Arial"/>
          <w:lang w:eastAsia="en-AU"/>
        </w:rPr>
        <w:t xml:space="preserve"> feel their contribution valued (outcome)</w:t>
      </w:r>
    </w:p>
    <w:p w14:paraId="0E0754C3" w14:textId="4B149294" w:rsidR="00A30696" w:rsidRPr="00412C49" w:rsidRDefault="00BE2DC2" w:rsidP="00412C49">
      <w:pPr>
        <w:pStyle w:val="ListParagraph"/>
        <w:numPr>
          <w:ilvl w:val="0"/>
          <w:numId w:val="81"/>
        </w:numPr>
        <w:ind w:left="714" w:hanging="357"/>
        <w:contextualSpacing w:val="0"/>
        <w:rPr>
          <w:rFonts w:cs="Arial"/>
          <w:lang w:eastAsia="en-AU"/>
        </w:rPr>
      </w:pPr>
      <w:r>
        <w:rPr>
          <w:rFonts w:cs="Arial"/>
          <w:lang w:eastAsia="en-AU"/>
        </w:rPr>
        <w:t>A</w:t>
      </w:r>
      <w:r w:rsidR="00FC7E6B">
        <w:rPr>
          <w:rFonts w:cs="Arial"/>
          <w:lang w:eastAsia="en-AU"/>
        </w:rPr>
        <w:t xml:space="preserve"> percentage</w:t>
      </w:r>
      <w:r w:rsidR="00A30696" w:rsidRPr="00412C49">
        <w:rPr>
          <w:rFonts w:cs="Arial"/>
          <w:lang w:eastAsia="en-AU"/>
        </w:rPr>
        <w:t xml:space="preserve"> have increased leadership and influencing opportunities (outcome)</w:t>
      </w:r>
    </w:p>
    <w:p w14:paraId="4A4B6454" w14:textId="5BD8D9D7" w:rsidR="00A30696" w:rsidRPr="00E22673" w:rsidRDefault="00BE2DC2" w:rsidP="00412C49">
      <w:pPr>
        <w:pStyle w:val="BodyTextnospace"/>
        <w:numPr>
          <w:ilvl w:val="0"/>
          <w:numId w:val="81"/>
        </w:numPr>
        <w:spacing w:before="40" w:after="120"/>
        <w:ind w:left="714" w:hanging="357"/>
        <w:rPr>
          <w:rFonts w:eastAsia="Times New Roman" w:cs="Arial"/>
          <w:sz w:val="20"/>
          <w:lang w:eastAsia="en-AU"/>
        </w:rPr>
      </w:pPr>
      <w:r>
        <w:rPr>
          <w:rFonts w:eastAsia="Times New Roman" w:cs="Arial"/>
          <w:sz w:val="20"/>
          <w:lang w:eastAsia="en-AU"/>
        </w:rPr>
        <w:t>A</w:t>
      </w:r>
      <w:r w:rsidR="00FC7E6B">
        <w:rPr>
          <w:rFonts w:eastAsia="Times New Roman" w:cs="Arial"/>
          <w:sz w:val="20"/>
          <w:lang w:eastAsia="en-AU"/>
        </w:rPr>
        <w:t xml:space="preserve"> percentage that feel</w:t>
      </w:r>
      <w:r w:rsidR="00A30696" w:rsidRPr="00E22673">
        <w:rPr>
          <w:rFonts w:eastAsia="Times New Roman" w:cs="Arial"/>
          <w:sz w:val="20"/>
          <w:lang w:eastAsia="en-AU"/>
        </w:rPr>
        <w:t xml:space="preserve"> they have a say on issues that ar</w:t>
      </w:r>
      <w:r w:rsidR="00412C49">
        <w:rPr>
          <w:rFonts w:eastAsia="Times New Roman" w:cs="Arial"/>
          <w:sz w:val="20"/>
          <w:lang w:eastAsia="en-AU"/>
        </w:rPr>
        <w:t>e important to them</w:t>
      </w:r>
      <w:r w:rsidR="00A30696" w:rsidRPr="00E22673">
        <w:rPr>
          <w:rFonts w:eastAsia="Times New Roman" w:cs="Arial"/>
          <w:sz w:val="20"/>
          <w:lang w:eastAsia="en-AU"/>
        </w:rPr>
        <w:t xml:space="preserve"> (outcome).</w:t>
      </w:r>
    </w:p>
    <w:p w14:paraId="52685AF7" w14:textId="77777777" w:rsidR="00A9687A" w:rsidRPr="00E22673" w:rsidRDefault="00A9687A" w:rsidP="00E22673">
      <w:pPr>
        <w:pStyle w:val="BodyTextnospace"/>
        <w:spacing w:before="40" w:after="120"/>
        <w:rPr>
          <w:rFonts w:cs="Arial"/>
          <w:sz w:val="20"/>
        </w:rPr>
      </w:pPr>
      <w:r w:rsidRPr="00E22673">
        <w:rPr>
          <w:rFonts w:cs="Arial"/>
          <w:sz w:val="20"/>
        </w:rPr>
        <w:t>We</w:t>
      </w:r>
      <w:r w:rsidRPr="00E22673">
        <w:rPr>
          <w:rFonts w:cs="Arial"/>
          <w:color w:val="4F6228" w:themeColor="accent3" w:themeShade="80"/>
          <w:sz w:val="20"/>
        </w:rPr>
        <w:t xml:space="preserve"> </w:t>
      </w:r>
      <w:r w:rsidRPr="00E22673">
        <w:rPr>
          <w:rFonts w:cs="Arial"/>
          <w:sz w:val="20"/>
        </w:rPr>
        <w:t>will evaluate the</w:t>
      </w:r>
      <w:r w:rsidRPr="00E22673">
        <w:rPr>
          <w:rFonts w:cs="Arial"/>
          <w:color w:val="4F6228" w:themeColor="accent3" w:themeShade="80"/>
          <w:sz w:val="20"/>
        </w:rPr>
        <w:t xml:space="preserve"> </w:t>
      </w:r>
      <w:r w:rsidRPr="00E22673">
        <w:rPr>
          <w:rFonts w:cs="Arial"/>
          <w:sz w:val="20"/>
        </w:rPr>
        <w:t xml:space="preserve">grant </w:t>
      </w:r>
      <w:r w:rsidRPr="00E22673">
        <w:rPr>
          <w:rFonts w:cs="Arial"/>
          <w:color w:val="auto"/>
          <w:sz w:val="20"/>
        </w:rPr>
        <w:t>activity against these indicators and measures</w:t>
      </w:r>
      <w:r w:rsidRPr="00E22673">
        <w:rPr>
          <w:rFonts w:cs="Arial"/>
          <w:b/>
          <w:color w:val="auto"/>
          <w:sz w:val="20"/>
        </w:rPr>
        <w:t xml:space="preserve"> </w:t>
      </w:r>
      <w:r w:rsidRPr="00E22673">
        <w:rPr>
          <w:rFonts w:cs="Arial"/>
          <w:sz w:val="20"/>
        </w:rPr>
        <w:t xml:space="preserve">to see how well the outcomes and objectives have been achieved. We may use information from your application and reports for this purpose. We may also ask you for more information to help us understand how the grant </w:t>
      </w:r>
      <w:proofErr w:type="gramStart"/>
      <w:r w:rsidRPr="00E22673">
        <w:rPr>
          <w:rFonts w:cs="Arial"/>
          <w:sz w:val="20"/>
        </w:rPr>
        <w:t>impacted</w:t>
      </w:r>
      <w:proofErr w:type="gramEnd"/>
      <w:r w:rsidRPr="00E22673">
        <w:rPr>
          <w:rFonts w:cs="Arial"/>
          <w:sz w:val="20"/>
        </w:rPr>
        <w:t xml:space="preserve"> you and to evaluate how effective the program was in achieving its outcomes.</w:t>
      </w:r>
    </w:p>
    <w:p w14:paraId="087694BE" w14:textId="685551E4" w:rsidR="00A9687A" w:rsidRPr="00E22673" w:rsidRDefault="00A9687A" w:rsidP="00E22673">
      <w:pPr>
        <w:pStyle w:val="BodyTextnospace"/>
        <w:spacing w:before="40" w:after="120"/>
        <w:rPr>
          <w:rFonts w:cs="Arial"/>
          <w:sz w:val="20"/>
        </w:rPr>
      </w:pPr>
      <w:r w:rsidRPr="00E22673">
        <w:rPr>
          <w:rFonts w:cs="Arial"/>
          <w:sz w:val="20"/>
        </w:rPr>
        <w:t xml:space="preserve">We may contact you up to </w:t>
      </w:r>
      <w:r w:rsidR="00251D59" w:rsidRPr="00E22673">
        <w:rPr>
          <w:rFonts w:cs="Arial"/>
          <w:color w:val="auto"/>
          <w:sz w:val="20"/>
        </w:rPr>
        <w:t>three</w:t>
      </w:r>
      <w:r w:rsidR="00251D59" w:rsidRPr="00E22673">
        <w:rPr>
          <w:rFonts w:cs="Arial"/>
          <w:color w:val="0070C0"/>
          <w:sz w:val="20"/>
        </w:rPr>
        <w:t xml:space="preserve"> </w:t>
      </w:r>
      <w:r w:rsidRPr="00E22673">
        <w:rPr>
          <w:rFonts w:cs="Arial"/>
          <w:sz w:val="20"/>
        </w:rPr>
        <w:t>year</w:t>
      </w:r>
      <w:r w:rsidR="00251D59" w:rsidRPr="00E22673">
        <w:rPr>
          <w:rFonts w:cs="Arial"/>
          <w:sz w:val="20"/>
        </w:rPr>
        <w:t xml:space="preserve">s </w:t>
      </w:r>
      <w:r w:rsidRPr="00E22673">
        <w:rPr>
          <w:rFonts w:cs="Arial"/>
          <w:sz w:val="20"/>
        </w:rPr>
        <w:t xml:space="preserve">after you finish your grant for more information </w:t>
      </w:r>
      <w:r w:rsidR="00523CFB">
        <w:rPr>
          <w:rFonts w:cs="Arial"/>
          <w:sz w:val="20"/>
        </w:rPr>
        <w:t>to assist with this evaluation.</w:t>
      </w:r>
    </w:p>
    <w:p w14:paraId="4834FCCA" w14:textId="77777777" w:rsidR="00E1311F" w:rsidRDefault="004B1409" w:rsidP="001505F4">
      <w:pPr>
        <w:pStyle w:val="Heading3"/>
      </w:pPr>
      <w:bookmarkStart w:id="169" w:name="_Toc16774122"/>
      <w:r>
        <w:t>Acknowledgement</w:t>
      </w:r>
      <w:bookmarkEnd w:id="169"/>
    </w:p>
    <w:p w14:paraId="33D29AF7" w14:textId="77777777" w:rsidR="004B1409" w:rsidRPr="00E22673" w:rsidRDefault="004B1409" w:rsidP="00E22673">
      <w:pPr>
        <w:rPr>
          <w:rFonts w:cs="Arial"/>
        </w:rPr>
      </w:pPr>
      <w:r w:rsidRPr="00E22673">
        <w:rPr>
          <w:rFonts w:cs="Arial"/>
        </w:rPr>
        <w:t xml:space="preserve">The </w:t>
      </w:r>
      <w:r w:rsidR="00295A53" w:rsidRPr="00E22673">
        <w:rPr>
          <w:rFonts w:cs="Arial"/>
        </w:rPr>
        <w:t>p</w:t>
      </w:r>
      <w:r w:rsidRPr="00E22673">
        <w:rPr>
          <w:rFonts w:cs="Arial"/>
        </w:rPr>
        <w:t xml:space="preserve">rogram logo </w:t>
      </w:r>
      <w:proofErr w:type="gramStart"/>
      <w:r w:rsidR="00512E13" w:rsidRPr="00E22673">
        <w:rPr>
          <w:rFonts w:cs="Arial"/>
        </w:rPr>
        <w:t>should</w:t>
      </w:r>
      <w:r w:rsidRPr="00E22673">
        <w:rPr>
          <w:rFonts w:cs="Arial"/>
        </w:rPr>
        <w:t xml:space="preserve"> be used</w:t>
      </w:r>
      <w:proofErr w:type="gramEnd"/>
      <w:r w:rsidRPr="00E22673">
        <w:rPr>
          <w:rFonts w:cs="Arial"/>
        </w:rPr>
        <w:t xml:space="preserve"> on all materials related to grants under the </w:t>
      </w:r>
      <w:r w:rsidR="00295A53" w:rsidRPr="00E22673">
        <w:rPr>
          <w:rFonts w:cs="Arial"/>
        </w:rPr>
        <w:t>p</w:t>
      </w:r>
      <w:r w:rsidRPr="00E22673">
        <w:rPr>
          <w:rFonts w:cs="Arial"/>
        </w:rPr>
        <w:t xml:space="preserve">rogram. Whenever the logo is </w:t>
      </w:r>
      <w:r w:rsidR="00782A88" w:rsidRPr="00E22673">
        <w:rPr>
          <w:rFonts w:cs="Arial"/>
        </w:rPr>
        <w:t>used,</w:t>
      </w:r>
      <w:r w:rsidRPr="00E22673">
        <w:rPr>
          <w:rFonts w:cs="Arial"/>
        </w:rPr>
        <w:t xml:space="preserve"> the publication must also acknowledge the </w:t>
      </w:r>
      <w:r w:rsidR="00EB1247" w:rsidRPr="00E22673">
        <w:rPr>
          <w:rFonts w:cs="Arial"/>
        </w:rPr>
        <w:t xml:space="preserve">NDIA </w:t>
      </w:r>
      <w:r w:rsidR="000419F8" w:rsidRPr="00E22673">
        <w:rPr>
          <w:rFonts w:cs="Arial"/>
        </w:rPr>
        <w:t>by saying</w:t>
      </w:r>
      <w:r w:rsidRPr="00E22673">
        <w:rPr>
          <w:rFonts w:cs="Arial"/>
        </w:rPr>
        <w:t>:</w:t>
      </w:r>
    </w:p>
    <w:p w14:paraId="318FB772" w14:textId="77777777" w:rsidR="004B1409" w:rsidRPr="00E22673" w:rsidRDefault="009F5837" w:rsidP="00E22673">
      <w:pPr>
        <w:rPr>
          <w:rFonts w:cs="Arial"/>
        </w:rPr>
      </w:pPr>
      <w:r w:rsidRPr="00E22673">
        <w:rPr>
          <w:rFonts w:cs="Arial"/>
        </w:rPr>
        <w:t>‘</w:t>
      </w:r>
      <w:r w:rsidR="00B031D9" w:rsidRPr="00E22673">
        <w:rPr>
          <w:rFonts w:cs="Arial"/>
        </w:rPr>
        <w:t xml:space="preserve">NDIA ILC </w:t>
      </w:r>
      <w:r w:rsidR="00B0570C" w:rsidRPr="00E22673">
        <w:rPr>
          <w:rFonts w:cs="Arial"/>
        </w:rPr>
        <w:t xml:space="preserve">Individual </w:t>
      </w:r>
      <w:r w:rsidR="00B031D9" w:rsidRPr="00E22673">
        <w:rPr>
          <w:rFonts w:cs="Arial"/>
        </w:rPr>
        <w:t>Capacity Building Program</w:t>
      </w:r>
      <w:r w:rsidR="004B1409" w:rsidRPr="00E22673">
        <w:rPr>
          <w:rFonts w:cs="Arial"/>
        </w:rPr>
        <w:t xml:space="preserve"> </w:t>
      </w:r>
      <w:r w:rsidR="007A677A" w:rsidRPr="00E22673">
        <w:rPr>
          <w:rFonts w:cs="Arial"/>
        </w:rPr>
        <w:t xml:space="preserve">– an Australian </w:t>
      </w:r>
      <w:r w:rsidR="00A90348" w:rsidRPr="00E22673">
        <w:rPr>
          <w:rFonts w:cs="Arial"/>
        </w:rPr>
        <w:t>G</w:t>
      </w:r>
      <w:r w:rsidR="004B1409" w:rsidRPr="00E22673">
        <w:rPr>
          <w:rFonts w:cs="Arial"/>
        </w:rPr>
        <w:t>overnment initiative’.</w:t>
      </w:r>
    </w:p>
    <w:p w14:paraId="717D4F5A" w14:textId="77777777" w:rsidR="00E1311F" w:rsidRDefault="004B1409" w:rsidP="001505F4">
      <w:pPr>
        <w:pStyle w:val="Heading2"/>
      </w:pPr>
      <w:bookmarkStart w:id="170" w:name="_Toc16774123"/>
      <w:r>
        <w:lastRenderedPageBreak/>
        <w:t>Probity</w:t>
      </w:r>
      <w:bookmarkEnd w:id="170"/>
    </w:p>
    <w:p w14:paraId="6F5A1FB6" w14:textId="77777777" w:rsidR="00D07ED7" w:rsidRPr="00E22673" w:rsidRDefault="00D07ED7" w:rsidP="00E22673">
      <w:pPr>
        <w:rPr>
          <w:rFonts w:cs="Arial"/>
        </w:rPr>
      </w:pPr>
      <w:r w:rsidRPr="00E22673">
        <w:rPr>
          <w:rFonts w:cs="Arial"/>
        </w:rPr>
        <w:t>The Australian government will make sure that the grant opportunity process is fair, according to the published guidelines available on the GrantConnect and Community Grants Hub websites. These probity guidelines will incorporate appropriate safeguards against fraud, unlawful activities and other inappropriate conduct and ensure compliance with the CGRGs.</w:t>
      </w:r>
    </w:p>
    <w:p w14:paraId="6F7F783C" w14:textId="7D59FBCA" w:rsidR="00EB1247" w:rsidRPr="00E22673" w:rsidRDefault="00EB1247" w:rsidP="00E22673">
      <w:pPr>
        <w:rPr>
          <w:rFonts w:cs="Arial"/>
        </w:rPr>
      </w:pPr>
      <w:r w:rsidRPr="00E22673">
        <w:rPr>
          <w:rFonts w:cs="Arial"/>
        </w:rPr>
        <w:t xml:space="preserve">Probity advice throughout the grant process will be provided by the </w:t>
      </w:r>
      <w:r w:rsidR="00412C49">
        <w:rPr>
          <w:rFonts w:cs="Arial"/>
        </w:rPr>
        <w:t>Community Grants Hub</w:t>
      </w:r>
      <w:r w:rsidRPr="00E22673">
        <w:rPr>
          <w:rFonts w:cs="Arial"/>
        </w:rPr>
        <w:t xml:space="preserve"> probity advisors, O’Connor Marsden, and where relevant the NDIA’s probity advisors, </w:t>
      </w:r>
      <w:proofErr w:type="spellStart"/>
      <w:r w:rsidRPr="00E22673">
        <w:rPr>
          <w:rFonts w:cs="Arial"/>
        </w:rPr>
        <w:t>Maddocks</w:t>
      </w:r>
      <w:proofErr w:type="spellEnd"/>
      <w:r w:rsidRPr="00E22673">
        <w:rPr>
          <w:rFonts w:cs="Arial"/>
        </w:rPr>
        <w:t>.</w:t>
      </w:r>
    </w:p>
    <w:p w14:paraId="08347E07" w14:textId="6A9BBA8A" w:rsidR="004B1409" w:rsidRPr="00E22673" w:rsidRDefault="004B1409" w:rsidP="00E22673">
      <w:pPr>
        <w:rPr>
          <w:rFonts w:cs="Arial"/>
        </w:rPr>
      </w:pPr>
      <w:r w:rsidRPr="00E22673">
        <w:rPr>
          <w:rFonts w:cs="Arial"/>
        </w:rPr>
        <w:t xml:space="preserve">These guidelines </w:t>
      </w:r>
      <w:proofErr w:type="gramStart"/>
      <w:r w:rsidRPr="00E22673">
        <w:rPr>
          <w:rFonts w:cs="Arial"/>
        </w:rPr>
        <w:t>may be changed</w:t>
      </w:r>
      <w:proofErr w:type="gramEnd"/>
      <w:r w:rsidRPr="00E22673">
        <w:rPr>
          <w:rFonts w:cs="Arial"/>
        </w:rPr>
        <w:t xml:space="preserve"> by </w:t>
      </w:r>
      <w:r w:rsidR="00742D01" w:rsidRPr="00E22673">
        <w:rPr>
          <w:rFonts w:cs="Arial"/>
        </w:rPr>
        <w:t>the NDIA</w:t>
      </w:r>
      <w:r w:rsidR="00790775" w:rsidRPr="00E22673">
        <w:rPr>
          <w:rFonts w:cs="Arial"/>
        </w:rPr>
        <w:t xml:space="preserve">. </w:t>
      </w:r>
      <w:r w:rsidRPr="00E22673">
        <w:rPr>
          <w:rFonts w:cs="Arial"/>
        </w:rPr>
        <w:t xml:space="preserve">When this </w:t>
      </w:r>
      <w:r w:rsidR="00782A88" w:rsidRPr="00E22673">
        <w:rPr>
          <w:rFonts w:cs="Arial"/>
        </w:rPr>
        <w:t>happens,</w:t>
      </w:r>
      <w:r w:rsidRPr="00E22673">
        <w:rPr>
          <w:rFonts w:cs="Arial"/>
        </w:rPr>
        <w:t xml:space="preserve"> the revised guidelines </w:t>
      </w:r>
      <w:proofErr w:type="gramStart"/>
      <w:r w:rsidR="007A677A" w:rsidRPr="00E22673">
        <w:rPr>
          <w:rFonts w:cs="Arial"/>
        </w:rPr>
        <w:t>are</w:t>
      </w:r>
      <w:r w:rsidRPr="00E22673">
        <w:rPr>
          <w:rFonts w:cs="Arial"/>
        </w:rPr>
        <w:t xml:space="preserve"> published</w:t>
      </w:r>
      <w:proofErr w:type="gramEnd"/>
      <w:r w:rsidRPr="00E22673">
        <w:rPr>
          <w:rFonts w:cs="Arial"/>
        </w:rPr>
        <w:t xml:space="preserve"> on</w:t>
      </w:r>
      <w:r w:rsidR="00412C49">
        <w:rPr>
          <w:rFonts w:cs="Arial"/>
        </w:rPr>
        <w:t xml:space="preserve"> the</w:t>
      </w:r>
      <w:r w:rsidRPr="00E22673">
        <w:rPr>
          <w:rFonts w:cs="Arial"/>
        </w:rPr>
        <w:t xml:space="preserve"> </w:t>
      </w:r>
      <w:hyperlink r:id="rId48" w:history="1">
        <w:r w:rsidRPr="00E22673">
          <w:rPr>
            <w:rStyle w:val="Hyperlink"/>
            <w:rFonts w:cs="Arial"/>
          </w:rPr>
          <w:t>GrantConnect</w:t>
        </w:r>
      </w:hyperlink>
      <w:r w:rsidR="00790775" w:rsidRPr="00E22673">
        <w:rPr>
          <w:rFonts w:cs="Arial"/>
        </w:rPr>
        <w:t xml:space="preserve"> and </w:t>
      </w:r>
      <w:hyperlink r:id="rId49" w:history="1">
        <w:r w:rsidR="00790775" w:rsidRPr="00E22673">
          <w:rPr>
            <w:rStyle w:val="Hyperlink"/>
            <w:rFonts w:cs="Arial"/>
          </w:rPr>
          <w:t>Community Grants Hub</w:t>
        </w:r>
      </w:hyperlink>
      <w:r w:rsidR="00790775" w:rsidRPr="00E22673">
        <w:rPr>
          <w:rFonts w:cs="Arial"/>
        </w:rPr>
        <w:t xml:space="preserve"> websites. </w:t>
      </w:r>
    </w:p>
    <w:p w14:paraId="60D37921" w14:textId="77777777" w:rsidR="004B1409" w:rsidRDefault="00A0109E" w:rsidP="001505F4">
      <w:pPr>
        <w:pStyle w:val="Heading3"/>
      </w:pPr>
      <w:bookmarkStart w:id="171" w:name="_Toc16774124"/>
      <w:r>
        <w:t>Enquiries and feedback</w:t>
      </w:r>
      <w:bookmarkEnd w:id="171"/>
    </w:p>
    <w:p w14:paraId="2BDAD5BC" w14:textId="77777777" w:rsidR="00A70BFF" w:rsidRPr="00790775" w:rsidRDefault="00A70BFF" w:rsidP="00A70BFF">
      <w:pPr>
        <w:spacing w:line="276" w:lineRule="auto"/>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0546529C" w14:textId="77777777" w:rsidR="00A70BFF" w:rsidRPr="00E22673" w:rsidRDefault="00A70BFF" w:rsidP="00E22673">
      <w:pPr>
        <w:rPr>
          <w:rFonts w:cs="Arial"/>
        </w:rPr>
      </w:pPr>
      <w:r w:rsidRPr="00E22673">
        <w:rPr>
          <w:rFonts w:cs="Arial"/>
        </w:rPr>
        <w:t xml:space="preserve">Applicants can contact the complaints service with complaints about the Community Grants Hub’s service(s) or the selection process. </w:t>
      </w:r>
    </w:p>
    <w:p w14:paraId="75DBDED2" w14:textId="1F86D919" w:rsidR="00A70BFF" w:rsidRPr="00E22673" w:rsidRDefault="00A70BFF" w:rsidP="00E22673">
      <w:pPr>
        <w:rPr>
          <w:rFonts w:cs="Arial"/>
        </w:rPr>
      </w:pPr>
      <w:r w:rsidRPr="00E22673">
        <w:rPr>
          <w:rFonts w:cs="Arial"/>
        </w:rPr>
        <w:t xml:space="preserve">Details of what makes an eligible complaint </w:t>
      </w:r>
      <w:proofErr w:type="gramStart"/>
      <w:r w:rsidRPr="00E22673">
        <w:rPr>
          <w:rFonts w:cs="Arial"/>
        </w:rPr>
        <w:t>can be provided</w:t>
      </w:r>
      <w:proofErr w:type="gramEnd"/>
      <w:r w:rsidRPr="00E22673">
        <w:rPr>
          <w:rFonts w:cs="Arial"/>
        </w:rPr>
        <w:t xml:space="preserve"> by asking the Community Grants Hub. Applicants can use the complaints form on the </w:t>
      </w:r>
      <w:hyperlink r:id="rId50" w:history="1">
        <w:r w:rsidRPr="00412C49">
          <w:rPr>
            <w:rStyle w:val="Hyperlink"/>
            <w:rFonts w:cs="Arial"/>
          </w:rPr>
          <w:t>Department of Social Services</w:t>
        </w:r>
      </w:hyperlink>
      <w:r w:rsidRPr="00E22673">
        <w:rPr>
          <w:rFonts w:cs="Arial"/>
        </w:rPr>
        <w:t xml:space="preserve"> website, by phone or mail.</w:t>
      </w:r>
    </w:p>
    <w:p w14:paraId="0F000851" w14:textId="77777777" w:rsidR="00A70BFF" w:rsidRDefault="00A70BFF" w:rsidP="00A70BFF">
      <w:pPr>
        <w:spacing w:line="276" w:lineRule="auto"/>
      </w:pPr>
      <w:r>
        <w:t>Phone:</w:t>
      </w:r>
      <w:r>
        <w:tab/>
        <w:t>1800 634 035</w:t>
      </w:r>
    </w:p>
    <w:p w14:paraId="0F4BBFCE" w14:textId="4AF282FD" w:rsidR="00A70BFF" w:rsidRDefault="00A70BFF" w:rsidP="00A70BFF">
      <w:pPr>
        <w:spacing w:after="40" w:line="276" w:lineRule="auto"/>
      </w:pPr>
      <w:r>
        <w:t>Mail:</w:t>
      </w:r>
      <w:r>
        <w:tab/>
      </w:r>
      <w:r w:rsidR="00E13F4B">
        <w:tab/>
      </w:r>
      <w:r>
        <w:t>Complaints</w:t>
      </w:r>
    </w:p>
    <w:p w14:paraId="6809F409" w14:textId="77777777" w:rsidR="00A70BFF" w:rsidRDefault="00A70BFF" w:rsidP="00A70BFF">
      <w:pPr>
        <w:spacing w:after="40" w:line="276" w:lineRule="auto"/>
      </w:pPr>
      <w:r>
        <w:tab/>
      </w:r>
      <w:r w:rsidR="00E13F4B">
        <w:tab/>
      </w:r>
      <w:r>
        <w:t>GPO Box 9820</w:t>
      </w:r>
    </w:p>
    <w:p w14:paraId="60E3F1EE" w14:textId="77777777" w:rsidR="00AC6F5E" w:rsidRPr="00E22673" w:rsidRDefault="00A70BFF" w:rsidP="00E22673">
      <w:pPr>
        <w:spacing w:line="276" w:lineRule="auto"/>
      </w:pPr>
      <w:r>
        <w:tab/>
      </w:r>
      <w:r w:rsidR="00E13F4B">
        <w:tab/>
      </w:r>
      <w:r>
        <w:t>Canberra ACT 2601</w:t>
      </w:r>
      <w:r>
        <w:br/>
      </w:r>
    </w:p>
    <w:p w14:paraId="23C5308C" w14:textId="5D6F7F13" w:rsidR="00A70BFF" w:rsidRPr="00790775" w:rsidRDefault="00A70BFF" w:rsidP="00A70BFF">
      <w:pPr>
        <w:spacing w:line="276" w:lineRule="auto"/>
        <w:rPr>
          <w:b/>
        </w:rPr>
      </w:pPr>
      <w:r>
        <w:rPr>
          <w:b/>
        </w:rPr>
        <w:t>Complaints about this</w:t>
      </w:r>
      <w:r w:rsidRPr="00790775">
        <w:rPr>
          <w:b/>
        </w:rPr>
        <w:t xml:space="preserve"> </w:t>
      </w:r>
      <w:r w:rsidR="00921B88">
        <w:rPr>
          <w:b/>
        </w:rPr>
        <w:t>p</w:t>
      </w:r>
      <w:r>
        <w:rPr>
          <w:b/>
        </w:rPr>
        <w:t>rogram</w:t>
      </w:r>
    </w:p>
    <w:p w14:paraId="5EE432B7" w14:textId="03795D50" w:rsidR="00A70BFF" w:rsidRPr="00E22673" w:rsidRDefault="00A70BFF" w:rsidP="00E22673">
      <w:pPr>
        <w:rPr>
          <w:rFonts w:cs="Arial"/>
        </w:rPr>
      </w:pPr>
      <w:r w:rsidRPr="00E22673">
        <w:rPr>
          <w:rFonts w:cs="Arial"/>
        </w:rPr>
        <w:t xml:space="preserve">The ILC Branch within the NDIA handles complaints about the </w:t>
      </w:r>
      <w:r w:rsidR="00921B88">
        <w:rPr>
          <w:rFonts w:cs="Arial"/>
        </w:rPr>
        <w:t>p</w:t>
      </w:r>
      <w:r w:rsidRPr="00E22673">
        <w:rPr>
          <w:rFonts w:cs="Arial"/>
        </w:rPr>
        <w:t>ro</w:t>
      </w:r>
      <w:r w:rsidR="00921B88">
        <w:rPr>
          <w:rFonts w:cs="Arial"/>
        </w:rPr>
        <w:t>gram. All complaints about the p</w:t>
      </w:r>
      <w:r w:rsidRPr="00E22673">
        <w:rPr>
          <w:rFonts w:cs="Arial"/>
        </w:rPr>
        <w:t xml:space="preserve">rogram </w:t>
      </w:r>
      <w:proofErr w:type="gramStart"/>
      <w:r w:rsidRPr="00E22673">
        <w:rPr>
          <w:rFonts w:cs="Arial"/>
        </w:rPr>
        <w:t xml:space="preserve">must be lodged in writing and sent to </w:t>
      </w:r>
      <w:hyperlink r:id="rId51" w:history="1">
        <w:r w:rsidR="00E22673" w:rsidRPr="00427DBC">
          <w:rPr>
            <w:rStyle w:val="Hyperlink"/>
            <w:rFonts w:cs="Arial"/>
          </w:rPr>
          <w:t>ILC@ndis.gov.au</w:t>
        </w:r>
        <w:proofErr w:type="gramEnd"/>
      </w:hyperlink>
      <w:r w:rsidRPr="00E22673">
        <w:rPr>
          <w:rFonts w:cs="Arial"/>
        </w:rPr>
        <w:t>. Any questions you have</w:t>
      </w:r>
      <w:r w:rsidR="00921B88">
        <w:rPr>
          <w:rFonts w:cs="Arial"/>
        </w:rPr>
        <w:t xml:space="preserve"> about grant decisions for the p</w:t>
      </w:r>
      <w:r w:rsidRPr="00E22673">
        <w:rPr>
          <w:rFonts w:cs="Arial"/>
        </w:rPr>
        <w:t xml:space="preserve">rogram </w:t>
      </w:r>
      <w:proofErr w:type="gramStart"/>
      <w:r w:rsidRPr="00E22673">
        <w:rPr>
          <w:rFonts w:cs="Arial"/>
        </w:rPr>
        <w:t>should also be sent</w:t>
      </w:r>
      <w:proofErr w:type="gramEnd"/>
      <w:r w:rsidRPr="00E22673">
        <w:rPr>
          <w:rFonts w:cs="Arial"/>
        </w:rPr>
        <w:t xml:space="preserve"> to </w:t>
      </w:r>
      <w:hyperlink r:id="rId52" w:history="1">
        <w:r w:rsidR="00E22673" w:rsidRPr="00427DBC">
          <w:rPr>
            <w:rStyle w:val="Hyperlink"/>
            <w:rFonts w:cs="Arial"/>
          </w:rPr>
          <w:t>ILC@ndis.gov.au</w:t>
        </w:r>
      </w:hyperlink>
      <w:r w:rsidR="00523CFB">
        <w:rPr>
          <w:rFonts w:cs="Arial"/>
        </w:rPr>
        <w:t>.</w:t>
      </w:r>
    </w:p>
    <w:p w14:paraId="737A77BC" w14:textId="77777777" w:rsidR="00A70BFF" w:rsidRPr="00790775" w:rsidRDefault="00A70BFF" w:rsidP="00A70BFF">
      <w:pPr>
        <w:spacing w:line="276" w:lineRule="auto"/>
        <w:rPr>
          <w:b/>
        </w:rPr>
      </w:pPr>
      <w:r w:rsidRPr="00790775">
        <w:rPr>
          <w:b/>
        </w:rPr>
        <w:t>Complaints to the Ombudsman</w:t>
      </w:r>
    </w:p>
    <w:p w14:paraId="3C505EA8" w14:textId="77777777" w:rsidR="00A70BFF" w:rsidRPr="00E22673" w:rsidRDefault="00A70BFF" w:rsidP="00E22673">
      <w:pPr>
        <w:rPr>
          <w:rFonts w:cs="Arial"/>
        </w:rPr>
      </w:pPr>
      <w:r w:rsidRPr="00E22673">
        <w:rPr>
          <w:rFonts w:cs="Arial"/>
        </w:rPr>
        <w:t xml:space="preserve">If you do not agree with the way the Community Grants Hub or NDIA has handled your complaint, you may complain to the </w:t>
      </w:r>
      <w:hyperlink r:id="rId53" w:history="1">
        <w:r w:rsidRPr="00E22673">
          <w:rPr>
            <w:rStyle w:val="Hyperlink"/>
            <w:rFonts w:cs="Arial"/>
          </w:rPr>
          <w:t>Commonwealth Ombudsman</w:t>
        </w:r>
      </w:hyperlink>
      <w:r w:rsidRPr="00E22673">
        <w:rPr>
          <w:rFonts w:cs="Arial"/>
        </w:rPr>
        <w:t xml:space="preserve">. The Ombudsman will not usually look into a complaint unless the matter </w:t>
      </w:r>
      <w:proofErr w:type="gramStart"/>
      <w:r w:rsidRPr="00E22673">
        <w:rPr>
          <w:rFonts w:cs="Arial"/>
        </w:rPr>
        <w:t>has first been raised</w:t>
      </w:r>
      <w:proofErr w:type="gramEnd"/>
      <w:r w:rsidRPr="00E22673">
        <w:rPr>
          <w:rFonts w:cs="Arial"/>
        </w:rPr>
        <w:t xml:space="preserve"> directly with the Community Grants Hub or NDIA.</w:t>
      </w:r>
    </w:p>
    <w:p w14:paraId="724C3A81" w14:textId="77777777" w:rsidR="00A70BFF" w:rsidRPr="00E22673" w:rsidRDefault="00A70BFF" w:rsidP="00E22673">
      <w:pPr>
        <w:ind w:left="5040" w:hanging="5040"/>
        <w:rPr>
          <w:rFonts w:cs="Arial"/>
        </w:rPr>
      </w:pPr>
      <w:r w:rsidRPr="00E22673">
        <w:rPr>
          <w:rFonts w:cs="Arial"/>
        </w:rPr>
        <w:t xml:space="preserve">The Commonwealth Ombudsman </w:t>
      </w:r>
      <w:proofErr w:type="gramStart"/>
      <w:r w:rsidRPr="00E22673">
        <w:rPr>
          <w:rFonts w:cs="Arial"/>
        </w:rPr>
        <w:t>can be contacted</w:t>
      </w:r>
      <w:proofErr w:type="gramEnd"/>
      <w:r w:rsidRPr="00E22673">
        <w:rPr>
          <w:rFonts w:cs="Arial"/>
        </w:rPr>
        <w:t xml:space="preserve"> on: </w:t>
      </w:r>
    </w:p>
    <w:p w14:paraId="716D6125" w14:textId="77777777" w:rsidR="00A70BFF" w:rsidRPr="00B72EE8" w:rsidRDefault="00A70BFF" w:rsidP="00A70BFF">
      <w:pPr>
        <w:spacing w:line="276" w:lineRule="auto"/>
        <w:ind w:left="1276" w:hanging="1276"/>
      </w:pPr>
      <w:r w:rsidRPr="00B72EE8">
        <w:tab/>
        <w:t>Phone (Toll free): 1300 362 072</w:t>
      </w:r>
      <w:r w:rsidRPr="00B72EE8">
        <w:br/>
        <w:t xml:space="preserve">Email: </w:t>
      </w:r>
      <w:hyperlink r:id="rId54" w:history="1">
        <w:r w:rsidRPr="00B72EE8">
          <w:t>ombudsman@ombudsman.gov.au</w:t>
        </w:r>
      </w:hyperlink>
      <w:r w:rsidRPr="00B72EE8">
        <w:t xml:space="preserve"> </w:t>
      </w:r>
      <w:r w:rsidRPr="00B72EE8">
        <w:br/>
        <w:t xml:space="preserve">Website: </w:t>
      </w:r>
      <w:hyperlink r:id="rId55" w:history="1">
        <w:r w:rsidRPr="00B72EE8">
          <w:t>www.ombudsman.gov.au</w:t>
        </w:r>
      </w:hyperlink>
    </w:p>
    <w:p w14:paraId="0C34B311" w14:textId="77777777" w:rsidR="00A70BFF" w:rsidRPr="00A04CCA" w:rsidRDefault="00A70BFF" w:rsidP="001505F4">
      <w:pPr>
        <w:pStyle w:val="Heading3"/>
      </w:pPr>
      <w:bookmarkStart w:id="172" w:name="_Toc16774125"/>
      <w:r w:rsidRPr="00A04CCA">
        <w:t>Conflicts of interest</w:t>
      </w:r>
      <w:bookmarkEnd w:id="172"/>
    </w:p>
    <w:p w14:paraId="5CC658EF" w14:textId="77777777" w:rsidR="00EB1247" w:rsidRPr="00E22673" w:rsidRDefault="00EB1247" w:rsidP="00E22673">
      <w:pPr>
        <w:rPr>
          <w:rFonts w:cs="Arial"/>
        </w:rPr>
      </w:pPr>
      <w:r w:rsidRPr="00E22673">
        <w:rPr>
          <w:rFonts w:cs="Arial"/>
        </w:rPr>
        <w:t xml:space="preserve">Any conflicts of interest could affect the performance of the grant opportunity or program. There may be a </w:t>
      </w:r>
      <w:hyperlink r:id="rId56" w:history="1">
        <w:r w:rsidRPr="00E22673">
          <w:rPr>
            <w:rFonts w:cs="Arial"/>
          </w:rPr>
          <w:t>conflict of interest</w:t>
        </w:r>
      </w:hyperlink>
      <w:r w:rsidRPr="00E22673">
        <w:rPr>
          <w:rFonts w:cs="Arial"/>
        </w:rPr>
        <w:t>, or perceived conflict of interest, if NDIA or the Community Grants Hub staff, any member of a committee or advisor and/or you or any of your personnel has a:</w:t>
      </w:r>
    </w:p>
    <w:p w14:paraId="404EA6C9" w14:textId="77777777" w:rsidR="00A70BFF" w:rsidRPr="00E22673" w:rsidRDefault="00A70BFF" w:rsidP="00E22673">
      <w:pPr>
        <w:pStyle w:val="ListBullet"/>
        <w:spacing w:after="120"/>
        <w:rPr>
          <w:rFonts w:cs="Arial"/>
          <w:color w:val="0070C0"/>
        </w:rPr>
      </w:pPr>
      <w:r w:rsidRPr="00E22673">
        <w:rPr>
          <w:rFonts w:cs="Arial"/>
        </w:rPr>
        <w:t>professional, commercial or personal relationship with a party who is able to influence the application selection process, such as an Australian government officer</w:t>
      </w:r>
    </w:p>
    <w:p w14:paraId="24613E52" w14:textId="77777777" w:rsidR="00A70BFF" w:rsidRPr="00E22673" w:rsidRDefault="00A70BFF" w:rsidP="00E22673">
      <w:pPr>
        <w:pStyle w:val="ListBullet"/>
        <w:spacing w:after="120"/>
        <w:rPr>
          <w:rFonts w:cs="Arial"/>
        </w:rPr>
      </w:pPr>
      <w:r w:rsidRPr="00E22673">
        <w:rPr>
          <w:rFonts w:cs="Arial"/>
        </w:rPr>
        <w:t>relationship with or interest in, an organisation, which is likely to interfere with or restrict the applicants from carrying out the proposed activities fairly and independently</w:t>
      </w:r>
    </w:p>
    <w:p w14:paraId="41A08656" w14:textId="77777777" w:rsidR="00A70BFF" w:rsidRPr="00E22673" w:rsidRDefault="00A70BFF" w:rsidP="00E22673">
      <w:pPr>
        <w:pStyle w:val="ListBullet"/>
        <w:spacing w:after="120"/>
        <w:rPr>
          <w:rFonts w:cs="Arial"/>
        </w:rPr>
      </w:pPr>
      <w:proofErr w:type="gramStart"/>
      <w:r w:rsidRPr="00E22673">
        <w:rPr>
          <w:rFonts w:cs="Arial"/>
        </w:rPr>
        <w:lastRenderedPageBreak/>
        <w:t>relationship</w:t>
      </w:r>
      <w:proofErr w:type="gramEnd"/>
      <w:r w:rsidRPr="00E22673">
        <w:rPr>
          <w:rFonts w:cs="Arial"/>
        </w:rPr>
        <w:t xml:space="preserve"> with, or interest in, an organisation from which they will receive personal gain because the organisation receives a grant under the grant program/grant opportunity.</w:t>
      </w:r>
    </w:p>
    <w:p w14:paraId="464E7413" w14:textId="77777777" w:rsidR="00A70BFF" w:rsidRPr="00E22673" w:rsidRDefault="00A70BFF" w:rsidP="00E22673">
      <w:pPr>
        <w:rPr>
          <w:rFonts w:cs="Arial"/>
        </w:rPr>
      </w:pPr>
      <w:r w:rsidRPr="00E22673">
        <w:rPr>
          <w:rFonts w:cs="Arial"/>
        </w:rPr>
        <w:t xml:space="preserve">You </w:t>
      </w:r>
      <w:proofErr w:type="gramStart"/>
      <w:r w:rsidRPr="00E22673">
        <w:rPr>
          <w:rFonts w:cs="Arial"/>
        </w:rPr>
        <w:t>will be asked</w:t>
      </w:r>
      <w:proofErr w:type="gramEnd"/>
      <w:r w:rsidRPr="00E22673">
        <w:rPr>
          <w:rFonts w:cs="Arial"/>
        </w:rPr>
        <w:t xml:space="preserve"> to declare, as part of your application, any perceived or existing conflicts of interests or that, to the best of your knowledge, there is no conflict of interest.</w:t>
      </w:r>
    </w:p>
    <w:p w14:paraId="4AC7C6C8" w14:textId="77777777" w:rsidR="00A70BFF" w:rsidRPr="00E22673" w:rsidRDefault="00A70BFF" w:rsidP="00E22673">
      <w:pPr>
        <w:rPr>
          <w:rFonts w:cs="Arial"/>
        </w:rPr>
      </w:pPr>
      <w:r w:rsidRPr="00E22673">
        <w:rPr>
          <w:rFonts w:cs="Arial"/>
        </w:rPr>
        <w:t xml:space="preserve">If you later think there is an actual, apparent, or perceived conflict of interest, you must inform the NDIA and the Community Grants Hub in writing immediately. </w:t>
      </w:r>
    </w:p>
    <w:p w14:paraId="6D21C43D" w14:textId="77777777" w:rsidR="00A70BFF" w:rsidRPr="00E22673" w:rsidRDefault="00A70BFF" w:rsidP="00E22673">
      <w:pPr>
        <w:rPr>
          <w:rFonts w:cs="Arial"/>
        </w:rPr>
      </w:pPr>
      <w:r w:rsidRPr="00E22673">
        <w:rPr>
          <w:rFonts w:cs="Arial"/>
        </w:rPr>
        <w:t xml:space="preserve">Conflicts of interest for Australian government staff </w:t>
      </w:r>
      <w:proofErr w:type="gramStart"/>
      <w:r w:rsidRPr="00E22673">
        <w:rPr>
          <w:rFonts w:cs="Arial"/>
        </w:rPr>
        <w:t>will be handled</w:t>
      </w:r>
      <w:proofErr w:type="gramEnd"/>
      <w:r w:rsidRPr="00E22673">
        <w:rPr>
          <w:rFonts w:cs="Arial"/>
        </w:rPr>
        <w:t xml:space="preserve"> as set out in the Australian </w:t>
      </w:r>
      <w:hyperlink r:id="rId57" w:history="1">
        <w:r w:rsidRPr="00E22673">
          <w:rPr>
            <w:rStyle w:val="Hyperlink"/>
            <w:rFonts w:cs="Arial"/>
          </w:rPr>
          <w:t>Public Service Code of Conduct (Section 13(7))</w:t>
        </w:r>
      </w:hyperlink>
      <w:r w:rsidRPr="00E22673">
        <w:rPr>
          <w:rFonts w:cs="Arial"/>
        </w:rPr>
        <w:t xml:space="preserve"> of the </w:t>
      </w:r>
      <w:hyperlink r:id="rId58" w:history="1">
        <w:r w:rsidRPr="00E22673">
          <w:rPr>
            <w:rStyle w:val="Hyperlink"/>
            <w:rFonts w:cs="Arial"/>
            <w:i/>
          </w:rPr>
          <w:t>Public Service Act 1999</w:t>
        </w:r>
      </w:hyperlink>
      <w:r w:rsidRPr="00E22673">
        <w:rPr>
          <w:rFonts w:cs="Arial"/>
        </w:rPr>
        <w:t>. Committee members and other officials including the decision maker must also declare any conflicts of interest.</w:t>
      </w:r>
    </w:p>
    <w:p w14:paraId="43725358" w14:textId="77777777" w:rsidR="00A70BFF" w:rsidRPr="00E22673" w:rsidRDefault="00A70BFF" w:rsidP="00E22673">
      <w:pPr>
        <w:rPr>
          <w:rFonts w:cs="Arial"/>
        </w:rPr>
      </w:pPr>
      <w:r w:rsidRPr="00E22673">
        <w:rPr>
          <w:rFonts w:cs="Arial"/>
        </w:rPr>
        <w:t>We publish our conflict of interest policy on the</w:t>
      </w:r>
      <w:r w:rsidRPr="00E22673">
        <w:rPr>
          <w:rFonts w:cs="Arial"/>
          <w:b/>
          <w:color w:val="4F6228" w:themeColor="accent3" w:themeShade="80"/>
        </w:rPr>
        <w:t xml:space="preserve"> </w:t>
      </w:r>
      <w:hyperlink r:id="rId59" w:history="1">
        <w:r w:rsidRPr="00E22673">
          <w:rPr>
            <w:rStyle w:val="Hyperlink"/>
            <w:rFonts w:cs="Arial"/>
          </w:rPr>
          <w:t>Community Grants Hub</w:t>
        </w:r>
      </w:hyperlink>
      <w:r w:rsidRPr="00E22673">
        <w:rPr>
          <w:rFonts w:cs="Arial"/>
          <w:color w:val="4F6228" w:themeColor="accent3" w:themeShade="80"/>
        </w:rPr>
        <w:t xml:space="preserve"> </w:t>
      </w:r>
      <w:r w:rsidRPr="00E22673">
        <w:rPr>
          <w:rFonts w:cs="Arial"/>
        </w:rPr>
        <w:t xml:space="preserve">website. </w:t>
      </w:r>
    </w:p>
    <w:p w14:paraId="13F42220" w14:textId="77777777" w:rsidR="00A70BFF" w:rsidRDefault="00E22673" w:rsidP="001505F4">
      <w:pPr>
        <w:pStyle w:val="Heading3"/>
      </w:pPr>
      <w:bookmarkStart w:id="173" w:name="_Toc5356052"/>
      <w:bookmarkStart w:id="174" w:name="_Toc16774126"/>
      <w:r>
        <w:t>Privacy: c</w:t>
      </w:r>
      <w:r w:rsidR="00A70BFF">
        <w:t xml:space="preserve">onfidentiality and </w:t>
      </w:r>
      <w:r>
        <w:t>protection of personal i</w:t>
      </w:r>
      <w:r w:rsidR="00A70BFF">
        <w:t>nformation</w:t>
      </w:r>
      <w:bookmarkEnd w:id="173"/>
      <w:bookmarkEnd w:id="174"/>
      <w:r w:rsidR="00A70BFF">
        <w:t xml:space="preserve"> </w:t>
      </w:r>
    </w:p>
    <w:p w14:paraId="17CDE039" w14:textId="77777777" w:rsidR="00A70BFF" w:rsidRPr="00E22673" w:rsidRDefault="00A70BFF" w:rsidP="00E22673">
      <w:pPr>
        <w:rPr>
          <w:rFonts w:cs="Arial"/>
        </w:rPr>
      </w:pPr>
      <w:r w:rsidRPr="00E22673">
        <w:rPr>
          <w:rFonts w:cs="Arial"/>
        </w:rPr>
        <w:t xml:space="preserve">We handle your personal information in accordance with law, including the Australian Privacy Principles under the </w:t>
      </w:r>
      <w:r w:rsidRPr="00E22673">
        <w:rPr>
          <w:rFonts w:cs="Arial"/>
          <w:i/>
        </w:rPr>
        <w:t xml:space="preserve">Privacy Act 1988 </w:t>
      </w:r>
      <w:r w:rsidRPr="00E22673">
        <w:rPr>
          <w:rFonts w:cs="Arial"/>
        </w:rPr>
        <w:t xml:space="preserve">and the </w:t>
      </w:r>
      <w:r w:rsidRPr="00E22673">
        <w:rPr>
          <w:rFonts w:cs="Arial"/>
          <w:i/>
        </w:rPr>
        <w:t>National Disability Insurance Scheme Act 2013</w:t>
      </w:r>
      <w:r w:rsidRPr="00E22673">
        <w:rPr>
          <w:rFonts w:cs="Arial"/>
        </w:rPr>
        <w:t xml:space="preserve">. This includes letting you know: </w:t>
      </w:r>
    </w:p>
    <w:p w14:paraId="501F9FD5" w14:textId="77777777" w:rsidR="00A70BFF" w:rsidRPr="00E22673" w:rsidRDefault="00E22673" w:rsidP="00E22673">
      <w:pPr>
        <w:pStyle w:val="Bullet1"/>
        <w:spacing w:before="40" w:after="120"/>
        <w:ind w:left="568"/>
        <w:rPr>
          <w:rFonts w:cs="Arial"/>
          <w:szCs w:val="20"/>
        </w:rPr>
      </w:pPr>
      <w:r>
        <w:rPr>
          <w:rFonts w:cs="Arial"/>
          <w:szCs w:val="20"/>
        </w:rPr>
        <w:t>w</w:t>
      </w:r>
      <w:r w:rsidR="00A70BFF" w:rsidRPr="00E22673">
        <w:rPr>
          <w:rFonts w:cs="Arial"/>
          <w:szCs w:val="20"/>
        </w:rPr>
        <w:t xml:space="preserve">hat </w:t>
      </w:r>
      <w:r>
        <w:rPr>
          <w:rFonts w:cs="Arial"/>
          <w:szCs w:val="20"/>
        </w:rPr>
        <w:t>personal information we collect</w:t>
      </w:r>
    </w:p>
    <w:p w14:paraId="68437FE6" w14:textId="77777777" w:rsidR="00A70BFF" w:rsidRPr="00E22673" w:rsidRDefault="00E22673" w:rsidP="00E22673">
      <w:pPr>
        <w:pStyle w:val="Bullet1"/>
        <w:spacing w:before="40" w:after="120"/>
        <w:ind w:left="568"/>
        <w:rPr>
          <w:rFonts w:cs="Arial"/>
          <w:szCs w:val="20"/>
        </w:rPr>
      </w:pPr>
      <w:r>
        <w:rPr>
          <w:rFonts w:cs="Arial"/>
          <w:szCs w:val="20"/>
        </w:rPr>
        <w:t>w</w:t>
      </w:r>
      <w:r w:rsidR="00A70BFF" w:rsidRPr="00E22673">
        <w:rPr>
          <w:rFonts w:cs="Arial"/>
          <w:szCs w:val="20"/>
        </w:rPr>
        <w:t>hy we col</w:t>
      </w:r>
      <w:r>
        <w:rPr>
          <w:rFonts w:cs="Arial"/>
          <w:szCs w:val="20"/>
        </w:rPr>
        <w:t>lect your personal information</w:t>
      </w:r>
    </w:p>
    <w:p w14:paraId="008E8C60" w14:textId="77777777" w:rsidR="00A70BFF" w:rsidRPr="00E22673" w:rsidRDefault="00E22673" w:rsidP="00E22673">
      <w:pPr>
        <w:pStyle w:val="Bullet1"/>
        <w:spacing w:before="40" w:after="120"/>
        <w:ind w:left="568"/>
        <w:rPr>
          <w:rFonts w:cs="Arial"/>
          <w:szCs w:val="20"/>
        </w:rPr>
      </w:pPr>
      <w:proofErr w:type="gramStart"/>
      <w:r>
        <w:rPr>
          <w:rFonts w:cs="Arial"/>
          <w:szCs w:val="20"/>
        </w:rPr>
        <w:t>w</w:t>
      </w:r>
      <w:r w:rsidR="00A70BFF" w:rsidRPr="00E22673">
        <w:rPr>
          <w:rFonts w:cs="Arial"/>
          <w:szCs w:val="20"/>
        </w:rPr>
        <w:t>ho</w:t>
      </w:r>
      <w:proofErr w:type="gramEnd"/>
      <w:r w:rsidR="00A70BFF" w:rsidRPr="00E22673">
        <w:rPr>
          <w:rFonts w:cs="Arial"/>
          <w:szCs w:val="20"/>
        </w:rPr>
        <w:t xml:space="preserve"> we give your personal information to.</w:t>
      </w:r>
    </w:p>
    <w:p w14:paraId="77ABEEFA" w14:textId="77777777" w:rsidR="00A70BFF" w:rsidRPr="00E22673" w:rsidRDefault="00A70BFF" w:rsidP="00E22673">
      <w:pPr>
        <w:rPr>
          <w:rFonts w:cs="Arial"/>
        </w:rPr>
      </w:pPr>
      <w:r w:rsidRPr="00E22673">
        <w:rPr>
          <w:rFonts w:cs="Arial"/>
        </w:rPr>
        <w:t xml:space="preserve">Further information about how we handle your personal information </w:t>
      </w:r>
      <w:proofErr w:type="gramStart"/>
      <w:r w:rsidRPr="00E22673">
        <w:rPr>
          <w:rFonts w:cs="Arial"/>
        </w:rPr>
        <w:t>is found</w:t>
      </w:r>
      <w:proofErr w:type="gramEnd"/>
      <w:r w:rsidRPr="00E22673">
        <w:rPr>
          <w:rFonts w:cs="Arial"/>
        </w:rPr>
        <w:t xml:space="preserve"> in our </w:t>
      </w:r>
      <w:hyperlink r:id="rId60" w:history="1">
        <w:r w:rsidRPr="00E22673">
          <w:rPr>
            <w:rStyle w:val="Hyperlink"/>
            <w:rFonts w:cs="Arial"/>
          </w:rPr>
          <w:t>Privacy Policy</w:t>
        </w:r>
      </w:hyperlink>
      <w:r w:rsidRPr="00E22673">
        <w:rPr>
          <w:rFonts w:cs="Arial"/>
        </w:rPr>
        <w:t xml:space="preserve">. </w:t>
      </w:r>
    </w:p>
    <w:p w14:paraId="19FBDE31" w14:textId="61ACE451" w:rsidR="00EB1247" w:rsidRPr="00E22673" w:rsidRDefault="00EB1247" w:rsidP="00E22673">
      <w:pPr>
        <w:rPr>
          <w:rFonts w:cs="Arial"/>
        </w:rPr>
      </w:pPr>
      <w:r w:rsidRPr="00E22673">
        <w:rPr>
          <w:rFonts w:cs="Arial"/>
        </w:rPr>
        <w:t xml:space="preserve">Applicants are required to declare their ability to comply with the </w:t>
      </w:r>
      <w:hyperlink r:id="rId61" w:history="1">
        <w:r w:rsidRPr="00E22673">
          <w:rPr>
            <w:rFonts w:cs="Arial"/>
            <w:i/>
          </w:rPr>
          <w:t>Privacy Act 1988</w:t>
        </w:r>
      </w:hyperlink>
      <w:r w:rsidRPr="00E22673">
        <w:rPr>
          <w:rFonts w:cs="Arial"/>
        </w:rPr>
        <w:t xml:space="preserve"> and the </w:t>
      </w:r>
      <w:r w:rsidRPr="00E22673">
        <w:rPr>
          <w:rFonts w:cs="Arial"/>
          <w:i/>
        </w:rPr>
        <w:t>National Disability Insurance Scheme Act 2013</w:t>
      </w:r>
      <w:r w:rsidRPr="00E22673">
        <w:rPr>
          <w:rFonts w:cs="Arial"/>
        </w:rPr>
        <w:t xml:space="preserve"> and impose the same privacy obligations on any subcontractors they engage to assist with the activity, and this will be part of their </w:t>
      </w:r>
      <w:r w:rsidR="002852DD">
        <w:rPr>
          <w:rFonts w:cs="Arial"/>
        </w:rPr>
        <w:t>a</w:t>
      </w:r>
      <w:r w:rsidRPr="00E22673">
        <w:rPr>
          <w:rFonts w:cs="Arial"/>
        </w:rPr>
        <w:t xml:space="preserve">greement obligations. </w:t>
      </w:r>
    </w:p>
    <w:p w14:paraId="6E87B612" w14:textId="4AB13097" w:rsidR="00A70BFF" w:rsidRPr="00E22673" w:rsidRDefault="00A70BFF" w:rsidP="00E22673">
      <w:pPr>
        <w:rPr>
          <w:rFonts w:cs="Arial"/>
        </w:rPr>
      </w:pPr>
      <w:r w:rsidRPr="00E22673">
        <w:rPr>
          <w:rFonts w:cs="Arial"/>
        </w:rPr>
        <w:t xml:space="preserve">The NDIA may also use and disclose information about grant applicants and grant recipients under the </w:t>
      </w:r>
      <w:r w:rsidR="00921B88">
        <w:rPr>
          <w:rFonts w:cs="Arial"/>
        </w:rPr>
        <w:t>p</w:t>
      </w:r>
      <w:r w:rsidRPr="00E22673">
        <w:rPr>
          <w:rFonts w:cs="Arial"/>
        </w:rPr>
        <w:t>rogram in any other Australian Government business or function. This includes giving information to the Australian Taxation Office for compliance purposes.</w:t>
      </w:r>
    </w:p>
    <w:p w14:paraId="6760BA30" w14:textId="77777777" w:rsidR="00A70BFF" w:rsidRPr="00E22673" w:rsidRDefault="00A70BFF" w:rsidP="00E22673">
      <w:pPr>
        <w:rPr>
          <w:rFonts w:cs="Arial"/>
          <w:lang w:eastAsia="en-AU"/>
        </w:rPr>
      </w:pPr>
      <w:r w:rsidRPr="00E22673">
        <w:rPr>
          <w:rFonts w:cs="Arial"/>
          <w:lang w:eastAsia="en-AU"/>
        </w:rPr>
        <w:t xml:space="preserve">We may disclose information </w:t>
      </w:r>
      <w:proofErr w:type="gramStart"/>
      <w:r w:rsidRPr="00E22673">
        <w:rPr>
          <w:rFonts w:cs="Arial"/>
          <w:lang w:eastAsia="en-AU"/>
        </w:rPr>
        <w:t>to</w:t>
      </w:r>
      <w:proofErr w:type="gramEnd"/>
      <w:r w:rsidRPr="00E22673">
        <w:rPr>
          <w:rFonts w:cs="Arial"/>
          <w:lang w:eastAsia="en-AU"/>
        </w:rPr>
        <w:t>:</w:t>
      </w:r>
    </w:p>
    <w:p w14:paraId="04D3A1C7" w14:textId="77777777" w:rsidR="00A70BFF" w:rsidRPr="00E22673" w:rsidRDefault="00E13F4B" w:rsidP="00E22673">
      <w:pPr>
        <w:pStyle w:val="Bullet1"/>
        <w:spacing w:before="40" w:after="120"/>
        <w:ind w:left="568"/>
        <w:rPr>
          <w:rFonts w:cs="Arial"/>
          <w:szCs w:val="20"/>
        </w:rPr>
      </w:pPr>
      <w:r w:rsidRPr="00E22673">
        <w:rPr>
          <w:rFonts w:cs="Arial"/>
          <w:szCs w:val="20"/>
        </w:rPr>
        <w:t>t</w:t>
      </w:r>
      <w:r w:rsidR="00A70BFF" w:rsidRPr="00E22673">
        <w:rPr>
          <w:rFonts w:cs="Arial"/>
          <w:szCs w:val="20"/>
        </w:rPr>
        <w:t xml:space="preserve">he Selection Advisory Panel and other NDIA employees and contractors to help us </w:t>
      </w:r>
      <w:r w:rsidRPr="00E22673">
        <w:rPr>
          <w:rFonts w:cs="Arial"/>
          <w:szCs w:val="20"/>
        </w:rPr>
        <w:t>manage the program effectively</w:t>
      </w:r>
    </w:p>
    <w:p w14:paraId="45F1F6B5" w14:textId="77777777" w:rsidR="00A70BFF" w:rsidRPr="00E22673" w:rsidRDefault="00E13F4B" w:rsidP="00E22673">
      <w:pPr>
        <w:pStyle w:val="Bullet1"/>
        <w:spacing w:before="40" w:after="120"/>
        <w:ind w:left="568"/>
        <w:rPr>
          <w:rFonts w:cs="Arial"/>
          <w:szCs w:val="20"/>
        </w:rPr>
      </w:pPr>
      <w:r w:rsidRPr="00E22673">
        <w:rPr>
          <w:rFonts w:cs="Arial"/>
          <w:szCs w:val="20"/>
        </w:rPr>
        <w:t>e</w:t>
      </w:r>
      <w:r w:rsidR="00A70BFF" w:rsidRPr="00E22673">
        <w:rPr>
          <w:rFonts w:cs="Arial"/>
          <w:szCs w:val="20"/>
        </w:rPr>
        <w:t>mployees and contractors of the NDIA so they can research, assess, monitor and anal</w:t>
      </w:r>
      <w:r w:rsidRPr="00E22673">
        <w:rPr>
          <w:rFonts w:cs="Arial"/>
          <w:szCs w:val="20"/>
        </w:rPr>
        <w:t>yse our programs and activities</w:t>
      </w:r>
    </w:p>
    <w:p w14:paraId="6E92460F" w14:textId="77777777" w:rsidR="00A70BFF" w:rsidRPr="00E22673" w:rsidRDefault="00E13F4B" w:rsidP="00E22673">
      <w:pPr>
        <w:pStyle w:val="Bullet1"/>
        <w:spacing w:before="40" w:after="120"/>
        <w:ind w:left="568"/>
        <w:rPr>
          <w:rFonts w:cs="Arial"/>
          <w:szCs w:val="20"/>
        </w:rPr>
      </w:pPr>
      <w:r w:rsidRPr="00E22673">
        <w:rPr>
          <w:rFonts w:cs="Arial"/>
          <w:szCs w:val="20"/>
        </w:rPr>
        <w:t>e</w:t>
      </w:r>
      <w:r w:rsidR="00A70BFF" w:rsidRPr="00E22673">
        <w:rPr>
          <w:rFonts w:cs="Arial"/>
          <w:szCs w:val="20"/>
        </w:rPr>
        <w:t>mployees and contractors of other Commonwealth agencies for any purposes, including government administratio</w:t>
      </w:r>
      <w:r w:rsidRPr="00E22673">
        <w:rPr>
          <w:rFonts w:cs="Arial"/>
          <w:szCs w:val="20"/>
        </w:rPr>
        <w:t>n, research or service delivery</w:t>
      </w:r>
    </w:p>
    <w:p w14:paraId="7C969226" w14:textId="77777777" w:rsidR="00A70BFF" w:rsidRPr="00E22673" w:rsidRDefault="00E13F4B" w:rsidP="00E22673">
      <w:pPr>
        <w:pStyle w:val="Bullet1"/>
        <w:spacing w:before="40" w:after="120"/>
        <w:ind w:left="568"/>
        <w:rPr>
          <w:rFonts w:cs="Arial"/>
          <w:szCs w:val="20"/>
        </w:rPr>
      </w:pPr>
      <w:r w:rsidRPr="00E22673">
        <w:rPr>
          <w:rFonts w:cs="Arial"/>
          <w:szCs w:val="20"/>
        </w:rPr>
        <w:t>o</w:t>
      </w:r>
      <w:r w:rsidR="00A70BFF" w:rsidRPr="00E22673">
        <w:rPr>
          <w:rFonts w:cs="Arial"/>
          <w:szCs w:val="20"/>
        </w:rPr>
        <w:t>ther Commonwealth, State, Territory or local government agencies in pr</w:t>
      </w:r>
      <w:r w:rsidRPr="00E22673">
        <w:rPr>
          <w:rFonts w:cs="Arial"/>
          <w:szCs w:val="20"/>
        </w:rPr>
        <w:t>ogram reports and consultations</w:t>
      </w:r>
    </w:p>
    <w:p w14:paraId="3771C0CE" w14:textId="77777777" w:rsidR="00A70BFF" w:rsidRPr="00E22673" w:rsidRDefault="00E13F4B" w:rsidP="00E22673">
      <w:pPr>
        <w:pStyle w:val="Bullet1"/>
        <w:spacing w:before="40" w:after="120"/>
        <w:ind w:left="568"/>
        <w:rPr>
          <w:rFonts w:cs="Arial"/>
          <w:szCs w:val="20"/>
        </w:rPr>
      </w:pPr>
      <w:r w:rsidRPr="00E22673">
        <w:rPr>
          <w:rFonts w:cs="Arial"/>
          <w:szCs w:val="20"/>
        </w:rPr>
        <w:t>t</w:t>
      </w:r>
      <w:r w:rsidR="00A70BFF" w:rsidRPr="00E22673">
        <w:rPr>
          <w:rFonts w:cs="Arial"/>
          <w:szCs w:val="20"/>
        </w:rPr>
        <w:t>he Auditor-General, Om</w:t>
      </w:r>
      <w:r w:rsidRPr="00E22673">
        <w:rPr>
          <w:rFonts w:cs="Arial"/>
          <w:szCs w:val="20"/>
        </w:rPr>
        <w:t>budsman or Privacy Commissioner</w:t>
      </w:r>
    </w:p>
    <w:p w14:paraId="21FE6233" w14:textId="77777777" w:rsidR="00A70BFF" w:rsidRPr="00E22673" w:rsidRDefault="00E13F4B" w:rsidP="00E22673">
      <w:pPr>
        <w:pStyle w:val="Bullet1"/>
        <w:spacing w:before="40" w:after="120"/>
        <w:ind w:left="568"/>
        <w:rPr>
          <w:rFonts w:cs="Arial"/>
          <w:szCs w:val="20"/>
        </w:rPr>
      </w:pPr>
      <w:r w:rsidRPr="00E22673">
        <w:rPr>
          <w:rFonts w:cs="Arial"/>
          <w:szCs w:val="20"/>
        </w:rPr>
        <w:t>t</w:t>
      </w:r>
      <w:r w:rsidR="00A70BFF" w:rsidRPr="00E22673">
        <w:rPr>
          <w:rFonts w:cs="Arial"/>
          <w:szCs w:val="20"/>
        </w:rPr>
        <w:t>he responsible Minister or Pa</w:t>
      </w:r>
      <w:r w:rsidRPr="00E22673">
        <w:rPr>
          <w:rFonts w:cs="Arial"/>
          <w:szCs w:val="20"/>
        </w:rPr>
        <w:t>rliamentary Secretary</w:t>
      </w:r>
    </w:p>
    <w:p w14:paraId="3709FD51" w14:textId="77777777" w:rsidR="00A70BFF" w:rsidRPr="00E22673" w:rsidRDefault="00E13F4B" w:rsidP="00E22673">
      <w:pPr>
        <w:pStyle w:val="Bullet1"/>
        <w:spacing w:before="40" w:after="120"/>
        <w:ind w:left="568"/>
        <w:rPr>
          <w:rFonts w:cs="Arial"/>
          <w:szCs w:val="20"/>
        </w:rPr>
      </w:pPr>
      <w:proofErr w:type="gramStart"/>
      <w:r w:rsidRPr="00E22673">
        <w:rPr>
          <w:rFonts w:cs="Arial"/>
          <w:szCs w:val="20"/>
        </w:rPr>
        <w:t>a</w:t>
      </w:r>
      <w:proofErr w:type="gramEnd"/>
      <w:r w:rsidR="00A70BFF" w:rsidRPr="00E22673">
        <w:rPr>
          <w:rFonts w:cs="Arial"/>
          <w:szCs w:val="20"/>
        </w:rPr>
        <w:t xml:space="preserve"> House or a Committee of the Australian Parliament.</w:t>
      </w:r>
    </w:p>
    <w:p w14:paraId="1547EE83" w14:textId="77777777" w:rsidR="00A70BFF" w:rsidRPr="00E22673" w:rsidRDefault="00A70BFF" w:rsidP="00E22673">
      <w:pPr>
        <w:rPr>
          <w:rFonts w:cs="Arial"/>
        </w:rPr>
      </w:pPr>
      <w:r w:rsidRPr="00E22673">
        <w:rPr>
          <w:rFonts w:cs="Arial"/>
        </w:rPr>
        <w:lastRenderedPageBreak/>
        <w:t>We may share the information applicants provide us with other Commonwealth agencies for any purposes including government administration, research or service delivery and according to Australian laws, including the:</w:t>
      </w:r>
    </w:p>
    <w:p w14:paraId="0395C227" w14:textId="77777777" w:rsidR="00A70BFF" w:rsidRPr="00E22673" w:rsidRDefault="00A70BFF" w:rsidP="00E22673">
      <w:pPr>
        <w:pStyle w:val="Bullet1"/>
        <w:spacing w:before="40" w:after="120"/>
        <w:ind w:left="568"/>
        <w:rPr>
          <w:rFonts w:cs="Arial"/>
          <w:i/>
          <w:szCs w:val="20"/>
        </w:rPr>
      </w:pPr>
      <w:r w:rsidRPr="00E22673">
        <w:rPr>
          <w:rFonts w:cs="Arial"/>
          <w:i/>
          <w:szCs w:val="20"/>
        </w:rPr>
        <w:t>National Disability Insurance Scheme Act 2013</w:t>
      </w:r>
    </w:p>
    <w:p w14:paraId="23460C3D" w14:textId="77777777" w:rsidR="00A70BFF" w:rsidRPr="00E22673" w:rsidRDefault="00A70BFF" w:rsidP="00E22673">
      <w:pPr>
        <w:pStyle w:val="Bullet1"/>
        <w:spacing w:before="40" w:after="120"/>
        <w:ind w:left="568"/>
        <w:rPr>
          <w:rFonts w:cs="Arial"/>
          <w:i/>
          <w:szCs w:val="20"/>
        </w:rPr>
      </w:pPr>
      <w:r w:rsidRPr="00E22673">
        <w:rPr>
          <w:rFonts w:cs="Arial"/>
          <w:i/>
          <w:szCs w:val="20"/>
        </w:rPr>
        <w:t>Public Service Act 1999</w:t>
      </w:r>
    </w:p>
    <w:p w14:paraId="5150513B" w14:textId="77777777" w:rsidR="00A70BFF" w:rsidRPr="00E22673" w:rsidRDefault="00A70BFF" w:rsidP="00E22673">
      <w:pPr>
        <w:pStyle w:val="Bullet1"/>
        <w:spacing w:before="40" w:after="120"/>
        <w:ind w:left="568"/>
        <w:rPr>
          <w:rFonts w:cs="Arial"/>
          <w:i/>
          <w:szCs w:val="20"/>
        </w:rPr>
      </w:pPr>
      <w:r w:rsidRPr="00E22673">
        <w:rPr>
          <w:rFonts w:cs="Arial"/>
          <w:i/>
          <w:szCs w:val="20"/>
        </w:rPr>
        <w:t>Public Service Regulations 1999</w:t>
      </w:r>
    </w:p>
    <w:p w14:paraId="114932CE" w14:textId="77777777" w:rsidR="00A70BFF" w:rsidRPr="00E22673" w:rsidRDefault="00A70BFF" w:rsidP="00E22673">
      <w:pPr>
        <w:pStyle w:val="Bullet1"/>
        <w:spacing w:before="40" w:after="120"/>
        <w:ind w:left="568"/>
        <w:rPr>
          <w:rFonts w:cs="Arial"/>
          <w:i/>
          <w:szCs w:val="20"/>
        </w:rPr>
      </w:pPr>
      <w:r w:rsidRPr="00E22673">
        <w:rPr>
          <w:rFonts w:cs="Arial"/>
          <w:i/>
          <w:szCs w:val="20"/>
        </w:rPr>
        <w:t>Public Governance, Performance and Accountability Act 2013</w:t>
      </w:r>
    </w:p>
    <w:p w14:paraId="402ED1AB" w14:textId="77777777" w:rsidR="00A70BFF" w:rsidRPr="00E22673" w:rsidRDefault="00A70BFF" w:rsidP="00E22673">
      <w:pPr>
        <w:pStyle w:val="Bullet1"/>
        <w:spacing w:before="40" w:after="120"/>
        <w:ind w:left="568"/>
        <w:rPr>
          <w:rFonts w:cs="Arial"/>
          <w:i/>
          <w:szCs w:val="20"/>
        </w:rPr>
      </w:pPr>
      <w:r w:rsidRPr="00E22673">
        <w:rPr>
          <w:rFonts w:cs="Arial"/>
          <w:i/>
          <w:szCs w:val="20"/>
        </w:rPr>
        <w:t xml:space="preserve">Privacy Act 1988 </w:t>
      </w:r>
    </w:p>
    <w:p w14:paraId="5F2E55E0" w14:textId="77777777" w:rsidR="00A70BFF" w:rsidRPr="00E22673" w:rsidRDefault="00A70BFF" w:rsidP="00E22673">
      <w:pPr>
        <w:pStyle w:val="Bullet1"/>
        <w:spacing w:before="40" w:after="120"/>
        <w:ind w:left="568"/>
        <w:rPr>
          <w:rFonts w:cs="Arial"/>
          <w:i/>
          <w:szCs w:val="20"/>
        </w:rPr>
      </w:pPr>
      <w:r w:rsidRPr="00E22673">
        <w:rPr>
          <w:rFonts w:cs="Arial"/>
          <w:i/>
          <w:szCs w:val="20"/>
        </w:rPr>
        <w:t>Crimes Act 1914</w:t>
      </w:r>
    </w:p>
    <w:p w14:paraId="0FA15A87" w14:textId="62F8C47E" w:rsidR="00A70BFF" w:rsidRPr="00E22673" w:rsidRDefault="00A70BFF" w:rsidP="00E22673">
      <w:pPr>
        <w:pStyle w:val="Bullet1"/>
        <w:spacing w:before="40" w:after="120"/>
        <w:ind w:left="568"/>
        <w:rPr>
          <w:rFonts w:cs="Arial"/>
          <w:i/>
          <w:szCs w:val="20"/>
        </w:rPr>
      </w:pPr>
      <w:r w:rsidRPr="00E22673">
        <w:rPr>
          <w:rFonts w:cs="Arial"/>
          <w:i/>
          <w:szCs w:val="20"/>
        </w:rPr>
        <w:t>Criminal Code Act 1995</w:t>
      </w:r>
      <w:r w:rsidR="00523CFB" w:rsidRPr="00523CFB">
        <w:rPr>
          <w:rFonts w:cs="Arial"/>
          <w:szCs w:val="20"/>
        </w:rPr>
        <w:t>.</w:t>
      </w:r>
    </w:p>
    <w:p w14:paraId="3C1AB2F4" w14:textId="77777777" w:rsidR="004B1409" w:rsidRDefault="002D2607" w:rsidP="001505F4">
      <w:pPr>
        <w:pStyle w:val="Heading3"/>
      </w:pPr>
      <w:bookmarkStart w:id="175" w:name="_Toc16774127"/>
      <w:r>
        <w:t>Freedom of information</w:t>
      </w:r>
      <w:bookmarkEnd w:id="175"/>
    </w:p>
    <w:p w14:paraId="6750002C" w14:textId="77777777" w:rsidR="00EB1247" w:rsidRPr="00E22673" w:rsidRDefault="00EB1247" w:rsidP="00E22673">
      <w:pPr>
        <w:rPr>
          <w:rFonts w:cs="Arial"/>
        </w:rPr>
      </w:pPr>
      <w:r w:rsidRPr="00E22673">
        <w:rPr>
          <w:rFonts w:cs="Arial"/>
        </w:rPr>
        <w:t xml:space="preserve">All documents that the Australian government has and its agencies have, including those about this grant opportunity, are subject to the </w:t>
      </w:r>
      <w:hyperlink r:id="rId62" w:history="1">
        <w:r w:rsidRPr="00E22673">
          <w:rPr>
            <w:rStyle w:val="Hyperlink"/>
            <w:rFonts w:cs="Arial"/>
            <w:i/>
          </w:rPr>
          <w:t>Freedom of Information Act 1982</w:t>
        </w:r>
      </w:hyperlink>
      <w:r w:rsidRPr="00E22673">
        <w:rPr>
          <w:rFonts w:cs="Arial"/>
        </w:rPr>
        <w:t xml:space="preserve"> (FOI Act)</w:t>
      </w:r>
      <w:r w:rsidRPr="00E22673">
        <w:rPr>
          <w:rFonts w:cs="Arial"/>
          <w:i/>
        </w:rPr>
        <w:t>.</w:t>
      </w:r>
    </w:p>
    <w:p w14:paraId="03238768" w14:textId="77777777" w:rsidR="00D07ED7" w:rsidRPr="00E22673" w:rsidRDefault="00D07ED7" w:rsidP="00E22673">
      <w:pPr>
        <w:rPr>
          <w:rFonts w:cs="Arial"/>
        </w:rPr>
      </w:pPr>
      <w:r w:rsidRPr="00E22673">
        <w:rPr>
          <w:rFonts w:cs="Arial"/>
        </w:rPr>
        <w:t>The purpose of the FOI Act gives people the ability to get information held by the Australian government and its organisations. Under the FOI Act, people can ask for documents the Australian government has. T</w:t>
      </w:r>
      <w:r w:rsidRPr="00E22673">
        <w:rPr>
          <w:rFonts w:eastAsia="Calibri" w:cs="Arial"/>
        </w:rPr>
        <w:t xml:space="preserve">his right of access </w:t>
      </w:r>
      <w:proofErr w:type="gramStart"/>
      <w:r w:rsidRPr="00E22673">
        <w:rPr>
          <w:rFonts w:eastAsia="Calibri" w:cs="Arial"/>
        </w:rPr>
        <w:t>is limited</w:t>
      </w:r>
      <w:proofErr w:type="gramEnd"/>
      <w:r w:rsidRPr="00E22673">
        <w:rPr>
          <w:rFonts w:eastAsia="Calibri" w:cs="Arial"/>
        </w:rPr>
        <w:t xml:space="preserve"> only by the exceptions and exemptions necessary for the protection of essential public interests and private and business affairs of persons in respect of whom the information relates.</w:t>
      </w:r>
    </w:p>
    <w:p w14:paraId="050E5815" w14:textId="77777777" w:rsidR="002D2607" w:rsidRPr="00E22673" w:rsidRDefault="002D2607" w:rsidP="00E22673">
      <w:pPr>
        <w:rPr>
          <w:rFonts w:cs="Arial"/>
        </w:rPr>
      </w:pPr>
      <w:r w:rsidRPr="00E22673">
        <w:rPr>
          <w:rFonts w:cs="Arial"/>
        </w:rPr>
        <w:t xml:space="preserve">All Freedom of Information requests </w:t>
      </w:r>
      <w:proofErr w:type="gramStart"/>
      <w:r w:rsidRPr="00E22673">
        <w:rPr>
          <w:rFonts w:cs="Arial"/>
        </w:rPr>
        <w:t>must be referred</w:t>
      </w:r>
      <w:proofErr w:type="gramEnd"/>
      <w:r w:rsidRPr="00E22673">
        <w:rPr>
          <w:rFonts w:cs="Arial"/>
        </w:rPr>
        <w:t xml:space="preserve"> to the Freedom of Information Coordinator in writing.</w:t>
      </w:r>
    </w:p>
    <w:p w14:paraId="018E9E1E" w14:textId="77777777" w:rsidR="00E073E0" w:rsidRPr="00B72EE8" w:rsidRDefault="00E073E0" w:rsidP="00E073E0">
      <w:pPr>
        <w:tabs>
          <w:tab w:val="left" w:pos="1418"/>
        </w:tabs>
        <w:spacing w:after="40"/>
        <w:ind w:left="1418" w:hanging="1418"/>
      </w:pPr>
      <w:r w:rsidRPr="00B72EE8">
        <w:t>By mail:</w:t>
      </w:r>
      <w:r w:rsidRPr="00B72EE8">
        <w:tab/>
        <w:t xml:space="preserve">Freedom of Information </w:t>
      </w:r>
      <w:r>
        <w:t>Team</w:t>
      </w:r>
    </w:p>
    <w:p w14:paraId="5754878D" w14:textId="77777777" w:rsidR="00E073E0" w:rsidRDefault="00E073E0" w:rsidP="00E073E0">
      <w:pPr>
        <w:tabs>
          <w:tab w:val="left" w:pos="1418"/>
        </w:tabs>
        <w:spacing w:after="40" w:line="240" w:lineRule="auto"/>
        <w:ind w:left="2836" w:hanging="1418"/>
      </w:pPr>
      <w:r>
        <w:t xml:space="preserve">Government and Executive Services Branch </w:t>
      </w:r>
    </w:p>
    <w:p w14:paraId="60E11994" w14:textId="77777777" w:rsidR="00E073E0" w:rsidRDefault="00E073E0" w:rsidP="00E073E0">
      <w:pPr>
        <w:tabs>
          <w:tab w:val="left" w:pos="1418"/>
        </w:tabs>
        <w:spacing w:after="40" w:line="240" w:lineRule="auto"/>
        <w:ind w:left="2836" w:hanging="1418"/>
      </w:pPr>
      <w:r>
        <w:t>Department of Social Services (DSS)</w:t>
      </w:r>
    </w:p>
    <w:p w14:paraId="369F3F4C" w14:textId="77777777" w:rsidR="00E073E0" w:rsidRDefault="00E073E0" w:rsidP="00E073E0">
      <w:pPr>
        <w:tabs>
          <w:tab w:val="left" w:pos="1418"/>
        </w:tabs>
        <w:spacing w:after="40" w:line="240" w:lineRule="auto"/>
        <w:ind w:left="2836" w:hanging="1418"/>
      </w:pPr>
      <w:r>
        <w:t>GPO Box 9820</w:t>
      </w:r>
    </w:p>
    <w:p w14:paraId="164C1C1B" w14:textId="77777777" w:rsidR="00E073E0" w:rsidRPr="00516E21" w:rsidRDefault="00E073E0" w:rsidP="00E073E0">
      <w:pPr>
        <w:tabs>
          <w:tab w:val="left" w:pos="1418"/>
        </w:tabs>
        <w:spacing w:after="40" w:line="240" w:lineRule="auto"/>
        <w:ind w:left="2836" w:hanging="1418"/>
      </w:pPr>
      <w:r>
        <w:t>Canberra ACT 2601</w:t>
      </w:r>
    </w:p>
    <w:p w14:paraId="00DEF4F4" w14:textId="77777777" w:rsidR="002D2607" w:rsidRPr="00122DEC" w:rsidRDefault="002D2607" w:rsidP="00E22673">
      <w:pPr>
        <w:tabs>
          <w:tab w:val="left" w:pos="1418"/>
        </w:tabs>
      </w:pPr>
      <w:r w:rsidRPr="00122DEC">
        <w:t>By email:</w:t>
      </w:r>
      <w:r w:rsidRPr="00122DEC">
        <w:tab/>
      </w:r>
      <w:hyperlink r:id="rId63" w:history="1">
        <w:r w:rsidR="00C319D9" w:rsidRPr="00C42A3F">
          <w:rPr>
            <w:rStyle w:val="Hyperlink"/>
          </w:rPr>
          <w:t>foi@dss.gov.au</w:t>
        </w:r>
      </w:hyperlink>
      <w:r w:rsidR="00C319D9">
        <w:t xml:space="preserve"> </w:t>
      </w:r>
    </w:p>
    <w:p w14:paraId="0467F083" w14:textId="77777777" w:rsidR="00A70BFF" w:rsidRDefault="00A70BFF">
      <w:pPr>
        <w:spacing w:before="0" w:after="0" w:line="240" w:lineRule="auto"/>
        <w:rPr>
          <w:iCs/>
        </w:rPr>
      </w:pPr>
      <w:r>
        <w:br w:type="page"/>
      </w:r>
    </w:p>
    <w:p w14:paraId="22828A17" w14:textId="77777777" w:rsidR="00D96D08" w:rsidRDefault="002D2607" w:rsidP="001505F4">
      <w:pPr>
        <w:pStyle w:val="Heading2"/>
      </w:pPr>
      <w:bookmarkStart w:id="176" w:name="_Toc16774128"/>
      <w:bookmarkEnd w:id="149"/>
      <w:r w:rsidRPr="002D2607">
        <w:lastRenderedPageBreak/>
        <w:t>Glossary</w:t>
      </w:r>
      <w:bookmarkEnd w:id="176"/>
    </w:p>
    <w:p w14:paraId="04F851AF"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C854499" w14:textId="77777777" w:rsidTr="004960E4">
        <w:trPr>
          <w:cantSplit/>
          <w:tblHeader/>
        </w:trPr>
        <w:tc>
          <w:tcPr>
            <w:tcW w:w="1843" w:type="pct"/>
            <w:shd w:val="clear" w:color="auto" w:fill="264F90"/>
          </w:tcPr>
          <w:p w14:paraId="4562590A" w14:textId="77777777" w:rsidR="002A7660" w:rsidRPr="004D41A5" w:rsidRDefault="002A7660" w:rsidP="004B1409">
            <w:pPr>
              <w:pStyle w:val="TableHeadingNumbered"/>
            </w:pPr>
            <w:r w:rsidRPr="004D41A5">
              <w:t>Term</w:t>
            </w:r>
          </w:p>
        </w:tc>
        <w:tc>
          <w:tcPr>
            <w:tcW w:w="3157" w:type="pct"/>
            <w:shd w:val="clear" w:color="auto" w:fill="264F90"/>
          </w:tcPr>
          <w:p w14:paraId="68FEA823" w14:textId="77777777" w:rsidR="002A7660" w:rsidRPr="004D41A5" w:rsidRDefault="002A7660" w:rsidP="004B1409">
            <w:pPr>
              <w:pStyle w:val="TableHeadingNumbered"/>
            </w:pPr>
            <w:r w:rsidRPr="004D41A5">
              <w:t>Definition</w:t>
            </w:r>
          </w:p>
        </w:tc>
      </w:tr>
      <w:tr w:rsidR="002547F6" w:rsidRPr="00274AE2" w14:paraId="45A2800E" w14:textId="77777777" w:rsidTr="004960E4">
        <w:trPr>
          <w:cantSplit/>
        </w:trPr>
        <w:tc>
          <w:tcPr>
            <w:tcW w:w="1843" w:type="pct"/>
          </w:tcPr>
          <w:p w14:paraId="6FA55B0D" w14:textId="77777777" w:rsidR="002547F6" w:rsidRPr="00274AE2" w:rsidRDefault="002547F6" w:rsidP="00455160">
            <w:r w:rsidRPr="00274AE2">
              <w:t>accountable authority</w:t>
            </w:r>
          </w:p>
        </w:tc>
        <w:tc>
          <w:tcPr>
            <w:tcW w:w="3157" w:type="pct"/>
          </w:tcPr>
          <w:p w14:paraId="35A2E7C7" w14:textId="77777777"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64" w:history="1">
              <w:r w:rsidR="00452C26" w:rsidRPr="00676247">
                <w:rPr>
                  <w:rStyle w:val="Hyperlink"/>
                  <w:i/>
                </w:rPr>
                <w:t>Public Governance, Performance and Accountability Act 2013</w:t>
              </w:r>
            </w:hyperlink>
          </w:p>
        </w:tc>
      </w:tr>
      <w:tr w:rsidR="002547F6" w:rsidRPr="00274AE2" w14:paraId="69A240CF" w14:textId="77777777" w:rsidTr="004960E4">
        <w:trPr>
          <w:cantSplit/>
        </w:trPr>
        <w:tc>
          <w:tcPr>
            <w:tcW w:w="1843" w:type="pct"/>
          </w:tcPr>
          <w:p w14:paraId="06176CDC" w14:textId="77777777" w:rsidR="002547F6" w:rsidRPr="00274AE2" w:rsidRDefault="008463BB" w:rsidP="00455160">
            <w:r>
              <w:t>a</w:t>
            </w:r>
            <w:r w:rsidR="002547F6" w:rsidRPr="00274AE2">
              <w:t>dministering entity</w:t>
            </w:r>
          </w:p>
        </w:tc>
        <w:tc>
          <w:tcPr>
            <w:tcW w:w="3157" w:type="pct"/>
          </w:tcPr>
          <w:p w14:paraId="4BB7EA3F" w14:textId="77777777"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p>
        </w:tc>
      </w:tr>
      <w:tr w:rsidR="002D2607" w:rsidRPr="009E3949" w14:paraId="1B323AFF" w14:textId="77777777" w:rsidTr="004960E4">
        <w:trPr>
          <w:cantSplit/>
        </w:trPr>
        <w:tc>
          <w:tcPr>
            <w:tcW w:w="1843" w:type="pct"/>
          </w:tcPr>
          <w:p w14:paraId="109D41CF" w14:textId="77777777" w:rsidR="002D2607" w:rsidRDefault="002D2607" w:rsidP="002D2607">
            <w:r w:rsidRPr="001B21A4">
              <w:t>assessment criteria</w:t>
            </w:r>
          </w:p>
        </w:tc>
        <w:tc>
          <w:tcPr>
            <w:tcW w:w="3157" w:type="pct"/>
          </w:tcPr>
          <w:p w14:paraId="7BF2584B" w14:textId="77777777" w:rsidR="002D2607" w:rsidRPr="006C4678" w:rsidRDefault="001D76D4" w:rsidP="00613D08">
            <w:proofErr w:type="gramStart"/>
            <w:r>
              <w:rPr>
                <w:rFonts w:cs="Arial"/>
                <w:lang w:eastAsia="en-AU"/>
              </w:rPr>
              <w:t>a</w:t>
            </w:r>
            <w:r w:rsidR="00932BB0" w:rsidRPr="00932BB0">
              <w:rPr>
                <w:rFonts w:cs="Arial"/>
                <w:lang w:eastAsia="en-AU"/>
              </w:rPr>
              <w:t>re</w:t>
            </w:r>
            <w:proofErr w:type="gramEnd"/>
            <w:r w:rsidR="00932BB0" w:rsidRPr="00932BB0">
              <w:rPr>
                <w:rFonts w:cs="Arial"/>
                <w:lang w:eastAsia="en-AU"/>
              </w:rPr>
              <w:t xml:space="preserve"> the specified principles or standards, against which applications will be judged. These criteria </w:t>
            </w:r>
            <w:proofErr w:type="gramStart"/>
            <w:r w:rsidR="00932BB0" w:rsidRPr="00932BB0">
              <w:rPr>
                <w:rFonts w:cs="Arial"/>
                <w:lang w:eastAsia="en-AU"/>
              </w:rPr>
              <w:t>are also used</w:t>
            </w:r>
            <w:proofErr w:type="gramEnd"/>
            <w:r w:rsidR="00932BB0" w:rsidRPr="00932BB0">
              <w:rPr>
                <w:rFonts w:cs="Arial"/>
                <w:lang w:eastAsia="en-AU"/>
              </w:rPr>
              <w:t xml:space="preserve"> to assess the merits of proposals and, in the case of a competitive grant opportunity, to determine application rankings</w:t>
            </w:r>
            <w:r w:rsidR="008A499A">
              <w:rPr>
                <w:rFonts w:cs="Arial"/>
                <w:lang w:eastAsia="en-AU"/>
              </w:rPr>
              <w:t>.</w:t>
            </w:r>
          </w:p>
        </w:tc>
      </w:tr>
      <w:tr w:rsidR="002D2607" w:rsidRPr="009E3949" w14:paraId="6C08B7BD" w14:textId="77777777" w:rsidTr="004960E4">
        <w:trPr>
          <w:cantSplit/>
        </w:trPr>
        <w:tc>
          <w:tcPr>
            <w:tcW w:w="1843" w:type="pct"/>
          </w:tcPr>
          <w:p w14:paraId="710E04F4" w14:textId="77777777" w:rsidR="002D2607" w:rsidRDefault="002D2607" w:rsidP="002D2607">
            <w:r>
              <w:t>c</w:t>
            </w:r>
            <w:r w:rsidRPr="00463AB3">
              <w:t>ommencement date</w:t>
            </w:r>
          </w:p>
        </w:tc>
        <w:tc>
          <w:tcPr>
            <w:tcW w:w="3157" w:type="pct"/>
          </w:tcPr>
          <w:p w14:paraId="41E0E6F2" w14:textId="77777777" w:rsidR="002D2607" w:rsidRPr="006C4678" w:rsidRDefault="001D76D4" w:rsidP="00A05845">
            <w:r>
              <w:t>t</w:t>
            </w:r>
            <w:r w:rsidR="002D2607" w:rsidRPr="00463AB3">
              <w:t xml:space="preserve">he expected start date for the grant activity </w:t>
            </w:r>
          </w:p>
        </w:tc>
      </w:tr>
      <w:tr w:rsidR="002D2607" w:rsidRPr="009E3949" w14:paraId="64523E8D" w14:textId="77777777" w:rsidTr="004960E4">
        <w:trPr>
          <w:cantSplit/>
        </w:trPr>
        <w:tc>
          <w:tcPr>
            <w:tcW w:w="1843" w:type="pct"/>
          </w:tcPr>
          <w:p w14:paraId="257DC818" w14:textId="77777777" w:rsidR="002D2607" w:rsidRDefault="002D2607" w:rsidP="002D2607">
            <w:r>
              <w:t>c</w:t>
            </w:r>
            <w:r w:rsidRPr="00463AB3">
              <w:t>ompletion date</w:t>
            </w:r>
          </w:p>
        </w:tc>
        <w:tc>
          <w:tcPr>
            <w:tcW w:w="3157" w:type="pct"/>
          </w:tcPr>
          <w:p w14:paraId="65721310" w14:textId="77777777" w:rsidR="002D2607" w:rsidRPr="006C4678" w:rsidRDefault="001D76D4" w:rsidP="00A05845">
            <w:r>
              <w:t>t</w:t>
            </w:r>
            <w:r w:rsidR="002D2607" w:rsidRPr="00463AB3">
              <w:t xml:space="preserve">he expected date that the grant activity must be completed and the grant spent by </w:t>
            </w:r>
          </w:p>
        </w:tc>
      </w:tr>
      <w:tr w:rsidR="004960E4" w:rsidRPr="00274AE2" w14:paraId="45B7658B" w14:textId="77777777" w:rsidTr="004960E4">
        <w:trPr>
          <w:cantSplit/>
        </w:trPr>
        <w:tc>
          <w:tcPr>
            <w:tcW w:w="1843" w:type="pct"/>
          </w:tcPr>
          <w:p w14:paraId="42369D16" w14:textId="77777777" w:rsidR="004960E4" w:rsidRPr="00274AE2" w:rsidRDefault="008463BB" w:rsidP="00455160">
            <w:r>
              <w:t>c</w:t>
            </w:r>
            <w:r w:rsidR="004960E4" w:rsidRPr="00274AE2">
              <w:t>o-sponsoring entity</w:t>
            </w:r>
          </w:p>
        </w:tc>
        <w:tc>
          <w:tcPr>
            <w:tcW w:w="3157" w:type="pct"/>
          </w:tcPr>
          <w:p w14:paraId="4435241E" w14:textId="77777777"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B20BF7" w:rsidRPr="009E3949" w14:paraId="3EDEEFD4" w14:textId="77777777" w:rsidTr="004960E4">
        <w:trPr>
          <w:cantSplit/>
        </w:trPr>
        <w:tc>
          <w:tcPr>
            <w:tcW w:w="1843" w:type="pct"/>
          </w:tcPr>
          <w:p w14:paraId="27BF6CC0" w14:textId="77777777" w:rsidR="00B20BF7" w:rsidRDefault="00B20BF7" w:rsidP="00B20BF7">
            <w:r>
              <w:t xml:space="preserve">Commonwealth </w:t>
            </w:r>
            <w:r w:rsidRPr="001B21A4">
              <w:t>entity</w:t>
            </w:r>
          </w:p>
        </w:tc>
        <w:tc>
          <w:tcPr>
            <w:tcW w:w="3157" w:type="pct"/>
          </w:tcPr>
          <w:p w14:paraId="75BBC0C3" w14:textId="77777777" w:rsidR="00B20BF7" w:rsidRPr="00164671" w:rsidRDefault="00B20BF7" w:rsidP="00370E02">
            <w:pPr>
              <w:rPr>
                <w:rFonts w:cs="Arial"/>
                <w:lang w:eastAsia="en-AU"/>
              </w:rPr>
            </w:pPr>
            <w:proofErr w:type="gramStart"/>
            <w:r>
              <w:rPr>
                <w:rFonts w:cs="Arial"/>
                <w:lang w:eastAsia="en-AU"/>
              </w:rPr>
              <w:t>a</w:t>
            </w:r>
            <w:proofErr w:type="gramEnd"/>
            <w:r w:rsidR="00370E02">
              <w:rPr>
                <w:rFonts w:cs="Arial"/>
                <w:lang w:eastAsia="en-AU"/>
              </w:rPr>
              <w:t xml:space="preserve"> d</w:t>
            </w:r>
            <w:r w:rsidRPr="00932BB0">
              <w:rPr>
                <w:rFonts w:cs="Arial"/>
                <w:lang w:eastAsia="en-AU"/>
              </w:rPr>
              <w:t xml:space="preserve">epartment of </w:t>
            </w:r>
            <w:r w:rsidR="00370E02">
              <w:rPr>
                <w:rFonts w:cs="Arial"/>
                <w:lang w:eastAsia="en-AU"/>
              </w:rPr>
              <w:t>state, or a p</w:t>
            </w:r>
            <w:r w:rsidRPr="00932BB0">
              <w:rPr>
                <w:rFonts w:cs="Arial"/>
                <w:lang w:eastAsia="en-AU"/>
              </w:rPr>
              <w:t xml:space="preserve">arliamentary </w:t>
            </w:r>
            <w:r w:rsidR="00370E02">
              <w:rPr>
                <w:rFonts w:cs="Arial"/>
                <w:lang w:eastAsia="en-AU"/>
              </w:rPr>
              <w:t>d</w:t>
            </w:r>
            <w:r w:rsidRPr="00932BB0">
              <w:rPr>
                <w:rFonts w:cs="Arial"/>
                <w:lang w:eastAsia="en-AU"/>
              </w:rPr>
              <w:t>epartment, or a listed entity or a body corporate established by a law of the Commonwealth. See subsections 10(1) and (2) of the PGPA Act</w:t>
            </w:r>
          </w:p>
        </w:tc>
      </w:tr>
      <w:tr w:rsidR="00B20BF7" w:rsidRPr="009E3949" w14:paraId="757F27DF" w14:textId="77777777" w:rsidTr="004960E4">
        <w:trPr>
          <w:cantSplit/>
        </w:trPr>
        <w:tc>
          <w:tcPr>
            <w:tcW w:w="1843" w:type="pct"/>
          </w:tcPr>
          <w:p w14:paraId="09A35C94" w14:textId="77777777" w:rsidR="00B20BF7" w:rsidRDefault="009D5512" w:rsidP="00B20BF7">
            <w:hyperlink r:id="rId65" w:history="1">
              <w:r w:rsidR="00B20BF7" w:rsidRPr="00FA5A51">
                <w:rPr>
                  <w:rStyle w:val="Hyperlink"/>
                  <w:i/>
                </w:rPr>
                <w:t>Commonwealth Grants Rules and Guidelines (CGRGs)</w:t>
              </w:r>
            </w:hyperlink>
            <w:r w:rsidR="00B20BF7">
              <w:rPr>
                <w:rStyle w:val="Hyperlink"/>
                <w:i/>
              </w:rPr>
              <w:t xml:space="preserve"> </w:t>
            </w:r>
          </w:p>
        </w:tc>
        <w:tc>
          <w:tcPr>
            <w:tcW w:w="3157" w:type="pct"/>
          </w:tcPr>
          <w:p w14:paraId="5B2354F5" w14:textId="77777777" w:rsidR="00B20BF7" w:rsidRPr="00164671" w:rsidRDefault="00853C98" w:rsidP="00B20BF7">
            <w:pPr>
              <w:rPr>
                <w:rFonts w:cs="Arial"/>
                <w:lang w:eastAsia="en-AU"/>
              </w:rPr>
            </w:pPr>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grants policy framework and articulate the expectations for all non-corporate Commonwealth</w:t>
            </w:r>
            <w:r>
              <w:rPr>
                <w:rStyle w:val="FootnoteReference"/>
                <w:lang w:eastAsia="en-AU"/>
              </w:rPr>
              <w:footnoteReference w:id="9"/>
            </w:r>
            <w:r w:rsidRPr="00A77F5D">
              <w:rPr>
                <w:rFonts w:cs="Arial"/>
                <w:lang w:eastAsia="en-AU"/>
              </w:rPr>
              <w:t xml:space="preserve">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7DB0F751" w14:textId="77777777" w:rsidTr="004960E4">
        <w:trPr>
          <w:cantSplit/>
        </w:trPr>
        <w:tc>
          <w:tcPr>
            <w:tcW w:w="1843" w:type="pct"/>
          </w:tcPr>
          <w:p w14:paraId="2A29934B" w14:textId="77777777" w:rsidR="002D2607" w:rsidRDefault="002D2607" w:rsidP="002D2607">
            <w:r>
              <w:t>date of effect</w:t>
            </w:r>
          </w:p>
        </w:tc>
        <w:tc>
          <w:tcPr>
            <w:tcW w:w="3157" w:type="pct"/>
          </w:tcPr>
          <w:p w14:paraId="180472B3" w14:textId="77777777" w:rsidR="002D2607" w:rsidRPr="006C4678" w:rsidRDefault="002D2607" w:rsidP="00A05845">
            <w:pPr>
              <w:rPr>
                <w:i/>
              </w:rPr>
            </w:pPr>
            <w:proofErr w:type="gramStart"/>
            <w:r w:rsidRPr="00164671">
              <w:rPr>
                <w:rFonts w:cs="Arial"/>
                <w:lang w:eastAsia="en-AU"/>
              </w:rPr>
              <w:t>can</w:t>
            </w:r>
            <w:proofErr w:type="gramEnd"/>
            <w:r w:rsidRPr="00164671">
              <w:rPr>
                <w:rFonts w:cs="Arial"/>
                <w:lang w:eastAsia="en-AU"/>
              </w:rPr>
              <w:t xml:space="preserve">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78FD1870" w14:textId="77777777" w:rsidTr="004960E4">
        <w:trPr>
          <w:cantSplit/>
        </w:trPr>
        <w:tc>
          <w:tcPr>
            <w:tcW w:w="1843" w:type="pct"/>
          </w:tcPr>
          <w:p w14:paraId="090CEAC5" w14:textId="77777777" w:rsidR="002D2607" w:rsidRDefault="002D2607" w:rsidP="002D2607">
            <w:r w:rsidRPr="001B21A4">
              <w:t>decision maker</w:t>
            </w:r>
          </w:p>
        </w:tc>
        <w:tc>
          <w:tcPr>
            <w:tcW w:w="3157" w:type="pct"/>
          </w:tcPr>
          <w:p w14:paraId="4F974349" w14:textId="77777777" w:rsidR="002D2607" w:rsidRPr="006C4678" w:rsidRDefault="00A05845" w:rsidP="00A05845">
            <w:r>
              <w:rPr>
                <w:rFonts w:cs="Arial"/>
                <w:lang w:eastAsia="en-AU"/>
              </w:rPr>
              <w:t>t</w:t>
            </w:r>
            <w:r w:rsidR="002D2607" w:rsidRPr="00710FAB">
              <w:rPr>
                <w:rFonts w:cs="Arial"/>
                <w:lang w:eastAsia="en-AU"/>
              </w:rPr>
              <w:t>he person who makes a decision to award a grant</w:t>
            </w:r>
          </w:p>
        </w:tc>
      </w:tr>
      <w:tr w:rsidR="002D2607" w:rsidRPr="009E3949" w14:paraId="3B8C5A24" w14:textId="77777777" w:rsidTr="004960E4">
        <w:trPr>
          <w:cantSplit/>
        </w:trPr>
        <w:tc>
          <w:tcPr>
            <w:tcW w:w="1843" w:type="pct"/>
          </w:tcPr>
          <w:p w14:paraId="209F877C" w14:textId="77777777" w:rsidR="002D2607" w:rsidRDefault="002D2607" w:rsidP="002D2607">
            <w:r w:rsidRPr="001B21A4">
              <w:t>eligibility criteria</w:t>
            </w:r>
          </w:p>
        </w:tc>
        <w:tc>
          <w:tcPr>
            <w:tcW w:w="3157" w:type="pct"/>
          </w:tcPr>
          <w:p w14:paraId="231D7132" w14:textId="77777777" w:rsidR="002D2607" w:rsidRPr="006C4678" w:rsidRDefault="00A05845" w:rsidP="00613D08">
            <w:pPr>
              <w:rPr>
                <w:bCs/>
              </w:rPr>
            </w:pPr>
            <w:proofErr w:type="gramStart"/>
            <w:r>
              <w:rPr>
                <w:rFonts w:cs="Arial"/>
                <w:lang w:eastAsia="en-AU"/>
              </w:rPr>
              <w:t>r</w:t>
            </w:r>
            <w:r w:rsidR="00932BB0" w:rsidRPr="00932BB0">
              <w:rPr>
                <w:rFonts w:cs="Arial"/>
                <w:lang w:eastAsia="en-AU"/>
              </w:rPr>
              <w:t>efer</w:t>
            </w:r>
            <w:proofErr w:type="gramEnd"/>
            <w:r w:rsidR="00932BB0" w:rsidRPr="00932BB0">
              <w:rPr>
                <w:rFonts w:cs="Arial"/>
                <w:lang w:eastAsia="en-AU"/>
              </w:rPr>
              <w:t xml:space="preserve"> to the mandatory criteria which must be met to qualify for a grant. Assessment criteria may apply in addition to eligibility criteria</w:t>
            </w:r>
            <w:r w:rsidR="001B7CCF">
              <w:rPr>
                <w:rFonts w:cs="Arial"/>
                <w:lang w:eastAsia="en-AU"/>
              </w:rPr>
              <w:t>.</w:t>
            </w:r>
          </w:p>
        </w:tc>
      </w:tr>
      <w:tr w:rsidR="001F45CE" w:rsidRPr="009E3949" w14:paraId="1C6D8F39" w14:textId="77777777" w:rsidTr="004960E4">
        <w:trPr>
          <w:cantSplit/>
        </w:trPr>
        <w:tc>
          <w:tcPr>
            <w:tcW w:w="1843" w:type="pct"/>
          </w:tcPr>
          <w:p w14:paraId="126ADBCA" w14:textId="77777777" w:rsidR="001F45CE" w:rsidRPr="00463AB3" w:rsidRDefault="007F2295" w:rsidP="00370E02">
            <w:pPr>
              <w:rPr>
                <w:rFonts w:cs="Arial"/>
                <w:lang w:eastAsia="en-AU"/>
              </w:rPr>
            </w:pPr>
            <w:r>
              <w:rPr>
                <w:rFonts w:cs="Arial"/>
                <w:lang w:eastAsia="en-AU"/>
              </w:rPr>
              <w:lastRenderedPageBreak/>
              <w:t>g</w:t>
            </w:r>
            <w:r w:rsidR="000B55A0">
              <w:rPr>
                <w:rFonts w:cs="Arial"/>
                <w:lang w:eastAsia="en-AU"/>
              </w:rPr>
              <w:t>rant agreement</w:t>
            </w:r>
            <w:r w:rsidR="001F45CE" w:rsidRPr="00D369C8">
              <w:rPr>
                <w:rFonts w:cs="Arial"/>
                <w:lang w:eastAsia="en-AU"/>
              </w:rPr>
              <w:t xml:space="preserve"> </w:t>
            </w:r>
            <w:r w:rsidR="00370E02">
              <w:rPr>
                <w:rFonts w:cs="Arial"/>
                <w:lang w:eastAsia="en-AU"/>
              </w:rPr>
              <w:t>m</w:t>
            </w:r>
            <w:r w:rsidR="001F45CE" w:rsidRPr="00D369C8">
              <w:rPr>
                <w:rFonts w:cs="Arial"/>
                <w:lang w:eastAsia="en-AU"/>
              </w:rPr>
              <w:t xml:space="preserve">anager </w:t>
            </w:r>
          </w:p>
        </w:tc>
        <w:tc>
          <w:tcPr>
            <w:tcW w:w="3157" w:type="pct"/>
          </w:tcPr>
          <w:p w14:paraId="287E9D84" w14:textId="77777777" w:rsidR="001F45CE" w:rsidRDefault="00666176" w:rsidP="003B575D">
            <w:pPr>
              <w:suppressAutoHyphens/>
              <w:spacing w:before="60"/>
            </w:pPr>
            <w:proofErr w:type="gramStart"/>
            <w:r>
              <w:t>is</w:t>
            </w:r>
            <w:proofErr w:type="gramEnd"/>
            <w:r>
              <w:t xml:space="preserve"> t</w:t>
            </w:r>
            <w:r w:rsidR="009023CF">
              <w:t>he officer responsible for the ongoing management of the grantee and their compliance with the grant agreement.</w:t>
            </w:r>
          </w:p>
        </w:tc>
      </w:tr>
      <w:tr w:rsidR="002D2607" w:rsidRPr="009E3949" w14:paraId="4649F95E" w14:textId="77777777" w:rsidTr="004960E4">
        <w:trPr>
          <w:cantSplit/>
        </w:trPr>
        <w:tc>
          <w:tcPr>
            <w:tcW w:w="1843" w:type="pct"/>
          </w:tcPr>
          <w:p w14:paraId="321C2F03" w14:textId="77777777" w:rsidR="002D2607" w:rsidRPr="0007627E" w:rsidRDefault="002D2607" w:rsidP="002D2607">
            <w:r w:rsidRPr="00463AB3">
              <w:rPr>
                <w:rFonts w:cs="Arial"/>
                <w:lang w:eastAsia="en-AU"/>
              </w:rPr>
              <w:t xml:space="preserve">grant </w:t>
            </w:r>
          </w:p>
        </w:tc>
        <w:tc>
          <w:tcPr>
            <w:tcW w:w="3157" w:type="pct"/>
          </w:tcPr>
          <w:p w14:paraId="7E444D7E"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1D5DDEF3" w14:textId="77777777" w:rsidR="00ED6108" w:rsidRPr="00181A24" w:rsidRDefault="00ED6108" w:rsidP="00731229">
            <w:pPr>
              <w:pStyle w:val="NumberedList2"/>
              <w:numPr>
                <w:ilvl w:val="1"/>
                <w:numId w:val="15"/>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or other</w:t>
            </w:r>
            <w:r w:rsidR="00A13E60">
              <w:rPr>
                <w:rFonts w:ascii="Arial" w:hAnsi="Arial" w:cs="Arial"/>
                <w:sz w:val="20"/>
                <w:szCs w:val="20"/>
              </w:rPr>
              <w:t xml:space="preserve"> </w:t>
            </w:r>
            <w:hyperlink r:id="rId66"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is to be paid to a grantee other than the Commonwealth; and</w:t>
            </w:r>
          </w:p>
          <w:p w14:paraId="353ED3A4" w14:textId="77777777" w:rsidR="002D2607" w:rsidRPr="00710FAB" w:rsidRDefault="00ED6108" w:rsidP="00731229">
            <w:pPr>
              <w:pStyle w:val="NumberedList2"/>
              <w:numPr>
                <w:ilvl w:val="1"/>
                <w:numId w:val="14"/>
              </w:numPr>
              <w:spacing w:before="60"/>
              <w:ind w:left="113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4727207E" w14:textId="77777777" w:rsidTr="004960E4">
        <w:trPr>
          <w:cantSplit/>
        </w:trPr>
        <w:tc>
          <w:tcPr>
            <w:tcW w:w="1843" w:type="pct"/>
          </w:tcPr>
          <w:p w14:paraId="1EF06D3B"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089B415C" w14:textId="77777777"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08F9FEF1" w14:textId="77777777" w:rsidTr="004960E4">
        <w:trPr>
          <w:cantSplit/>
        </w:trPr>
        <w:tc>
          <w:tcPr>
            <w:tcW w:w="1843" w:type="pct"/>
          </w:tcPr>
          <w:p w14:paraId="431652D9" w14:textId="77777777" w:rsidR="002D2607" w:rsidRDefault="002D2607" w:rsidP="002D2607">
            <w:r w:rsidRPr="001B21A4">
              <w:t>grant agreement</w:t>
            </w:r>
          </w:p>
        </w:tc>
        <w:tc>
          <w:tcPr>
            <w:tcW w:w="3157" w:type="pct"/>
          </w:tcPr>
          <w:p w14:paraId="4A7516D6" w14:textId="77777777"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6F4F7D72" w14:textId="77777777" w:rsidTr="004960E4">
        <w:trPr>
          <w:cantSplit/>
        </w:trPr>
        <w:tc>
          <w:tcPr>
            <w:tcW w:w="1843" w:type="pct"/>
          </w:tcPr>
          <w:p w14:paraId="79B605F1" w14:textId="77777777" w:rsidR="004960E4" w:rsidRDefault="009D5512" w:rsidP="004960E4">
            <w:hyperlink r:id="rId67" w:history="1">
              <w:r w:rsidR="004960E4" w:rsidRPr="00132512">
                <w:rPr>
                  <w:rStyle w:val="Hyperlink"/>
                </w:rPr>
                <w:t>GrantConnect</w:t>
              </w:r>
            </w:hyperlink>
          </w:p>
        </w:tc>
        <w:tc>
          <w:tcPr>
            <w:tcW w:w="3157" w:type="pct"/>
          </w:tcPr>
          <w:p w14:paraId="570ED6B3" w14:textId="77777777" w:rsidR="004960E4" w:rsidRPr="00710FAB" w:rsidRDefault="00A05845" w:rsidP="00613D08">
            <w:r>
              <w:t>i</w:t>
            </w:r>
            <w:r w:rsidR="00370E02">
              <w:t>s the Australian g</w:t>
            </w:r>
            <w:r w:rsidR="00A77F5D" w:rsidRPr="00A77F5D">
              <w:t>overnment’s whole-of-government grants information system, which centralises the publication and reporting of Commonwealth grants in accordance with the CGRGs</w:t>
            </w:r>
          </w:p>
        </w:tc>
      </w:tr>
      <w:tr w:rsidR="002D2607" w:rsidRPr="009E3949" w14:paraId="3D2533F7" w14:textId="77777777" w:rsidTr="004960E4">
        <w:trPr>
          <w:cantSplit/>
        </w:trPr>
        <w:tc>
          <w:tcPr>
            <w:tcW w:w="1843" w:type="pct"/>
          </w:tcPr>
          <w:p w14:paraId="578C783F" w14:textId="77777777" w:rsidR="002D2607" w:rsidRPr="001B21A4" w:rsidRDefault="002D2607" w:rsidP="002D2607">
            <w:r>
              <w:t>grant opportunity</w:t>
            </w:r>
          </w:p>
        </w:tc>
        <w:tc>
          <w:tcPr>
            <w:tcW w:w="3157" w:type="pct"/>
          </w:tcPr>
          <w:p w14:paraId="42EDF037" w14:textId="77777777" w:rsidR="002D2607" w:rsidRPr="00710FAB" w:rsidRDefault="00A05845" w:rsidP="00853C98">
            <w:proofErr w:type="gramStart"/>
            <w:r>
              <w:t>r</w:t>
            </w:r>
            <w:r w:rsidR="00A77F5D" w:rsidRPr="00A77F5D">
              <w:t>efers</w:t>
            </w:r>
            <w:proofErr w:type="gramEnd"/>
            <w:r w:rsidR="00A77F5D" w:rsidRPr="00A77F5D">
              <w:t xml:space="preserve"> to the specific grant round or process where a grant is made available to potential grantees. Grant opportunities may be open or targeted, and will reflect the relevant grant selection process</w:t>
            </w:r>
            <w:r w:rsidR="001B7CCF">
              <w:t>.</w:t>
            </w:r>
          </w:p>
        </w:tc>
      </w:tr>
      <w:tr w:rsidR="002D2607" w:rsidRPr="009E3949" w14:paraId="481AACF8" w14:textId="77777777" w:rsidTr="004960E4">
        <w:trPr>
          <w:cantSplit/>
        </w:trPr>
        <w:tc>
          <w:tcPr>
            <w:tcW w:w="1843" w:type="pct"/>
          </w:tcPr>
          <w:p w14:paraId="5747573B" w14:textId="77777777" w:rsidR="002D2607" w:rsidRDefault="002D2607" w:rsidP="002D2607">
            <w:r w:rsidRPr="001B21A4">
              <w:t xml:space="preserve">grant </w:t>
            </w:r>
            <w:r>
              <w:t>program</w:t>
            </w:r>
          </w:p>
        </w:tc>
        <w:tc>
          <w:tcPr>
            <w:tcW w:w="3157" w:type="pct"/>
          </w:tcPr>
          <w:p w14:paraId="66EA5DBB" w14:textId="77777777" w:rsidR="00F85418" w:rsidRPr="00F85418" w:rsidRDefault="00F85418" w:rsidP="00A05845">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2E70C2D3" w14:textId="77777777" w:rsidTr="004960E4">
        <w:trPr>
          <w:cantSplit/>
        </w:trPr>
        <w:tc>
          <w:tcPr>
            <w:tcW w:w="1843" w:type="pct"/>
          </w:tcPr>
          <w:p w14:paraId="426A7E5C" w14:textId="77777777" w:rsidR="002D2607" w:rsidRPr="001B21A4" w:rsidRDefault="002D2607" w:rsidP="002D2607">
            <w:r>
              <w:t>grantee</w:t>
            </w:r>
          </w:p>
        </w:tc>
        <w:tc>
          <w:tcPr>
            <w:tcW w:w="3157" w:type="pct"/>
          </w:tcPr>
          <w:p w14:paraId="0A7E6837" w14:textId="77777777" w:rsidR="002D2607" w:rsidRPr="00710FAB" w:rsidRDefault="00A05845" w:rsidP="00A05845">
            <w:pPr>
              <w:rPr>
                <w:rFonts w:cs="Arial"/>
              </w:rPr>
            </w:pPr>
            <w:r>
              <w:t>t</w:t>
            </w:r>
            <w:r w:rsidR="006E2EEE">
              <w:t>he individual/organisation which has been selected to receive a grant</w:t>
            </w:r>
          </w:p>
        </w:tc>
      </w:tr>
      <w:tr w:rsidR="002D2607" w:rsidRPr="009E3949" w14:paraId="42F66C3B" w14:textId="77777777" w:rsidTr="004960E4">
        <w:trPr>
          <w:cantSplit/>
        </w:trPr>
        <w:tc>
          <w:tcPr>
            <w:tcW w:w="1843" w:type="pct"/>
          </w:tcPr>
          <w:p w14:paraId="36EEDF03" w14:textId="77777777" w:rsidR="002D2607" w:rsidRDefault="003F1913" w:rsidP="002D2607">
            <w:r>
              <w:lastRenderedPageBreak/>
              <w:t>Portfolio Budget Statement (</w:t>
            </w:r>
            <w:r w:rsidR="002D2607" w:rsidRPr="00463AB3">
              <w:t>PBS</w:t>
            </w:r>
            <w:r>
              <w:t>)</w:t>
            </w:r>
            <w:r w:rsidR="002D2607" w:rsidRPr="00463AB3">
              <w:t xml:space="preserve"> Program</w:t>
            </w:r>
          </w:p>
        </w:tc>
        <w:tc>
          <w:tcPr>
            <w:tcW w:w="3157" w:type="pct"/>
          </w:tcPr>
          <w:p w14:paraId="04EE3F13" w14:textId="39A849AC" w:rsidR="002D2607" w:rsidRPr="00710FAB" w:rsidRDefault="00A05845" w:rsidP="00921B88">
            <w:proofErr w:type="gramStart"/>
            <w:r>
              <w:rPr>
                <w:rFonts w:cs="Arial"/>
              </w:rPr>
              <w:t>d</w:t>
            </w:r>
            <w:r w:rsidR="002D2607" w:rsidRPr="00463AB3">
              <w:rPr>
                <w:rFonts w:cs="Arial"/>
              </w:rPr>
              <w:t>escribed</w:t>
            </w:r>
            <w:proofErr w:type="gramEnd"/>
            <w:r w:rsidR="002D2607" w:rsidRPr="00463AB3">
              <w:rPr>
                <w:rFonts w:cs="Arial"/>
              </w:rPr>
              <w:t xml:space="preserve"> within the entity’s </w:t>
            </w:r>
            <w:hyperlink r:id="rId68" w:history="1">
              <w:r w:rsidR="002D2607" w:rsidRPr="00212D0E">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2D2607" w:rsidRPr="00463AB3">
              <w:t xml:space="preserve">rant Programs. A PBS Program may have more than one </w:t>
            </w:r>
            <w:r w:rsidR="00370E02">
              <w:t>g</w:t>
            </w:r>
            <w:r w:rsidR="002D2607" w:rsidRPr="00463AB3">
              <w:t xml:space="preserve">rant </w:t>
            </w:r>
            <w:r w:rsidR="00921B88">
              <w:t>p</w:t>
            </w:r>
            <w:r w:rsidR="002D2607" w:rsidRPr="00463AB3">
              <w:t xml:space="preserve">rogram associated with it, and each of these may have </w:t>
            </w:r>
            <w:r w:rsidR="002D2607" w:rsidRPr="00463AB3">
              <w:rPr>
                <w:rFonts w:cs="Arial"/>
              </w:rPr>
              <w:t>one or more grant opportunities</w:t>
            </w:r>
            <w:r w:rsidR="001B7CCF">
              <w:rPr>
                <w:rFonts w:cs="Arial"/>
              </w:rPr>
              <w:t>.</w:t>
            </w:r>
          </w:p>
        </w:tc>
      </w:tr>
      <w:tr w:rsidR="002D2607" w:rsidRPr="009E3949" w14:paraId="7A6F07FA" w14:textId="77777777" w:rsidTr="004960E4">
        <w:trPr>
          <w:cantSplit/>
        </w:trPr>
        <w:tc>
          <w:tcPr>
            <w:tcW w:w="1843" w:type="pct"/>
          </w:tcPr>
          <w:p w14:paraId="02A2F359" w14:textId="77777777" w:rsidR="002D2607" w:rsidRPr="00463AB3" w:rsidRDefault="002D2607" w:rsidP="002D2607">
            <w:r w:rsidRPr="001B21A4">
              <w:t>selection criteria</w:t>
            </w:r>
          </w:p>
        </w:tc>
        <w:tc>
          <w:tcPr>
            <w:tcW w:w="3157" w:type="pct"/>
          </w:tcPr>
          <w:p w14:paraId="405E3DA0" w14:textId="77777777" w:rsidR="002D2607" w:rsidRPr="00463AB3" w:rsidRDefault="00A05845" w:rsidP="00613D08">
            <w:pPr>
              <w:rPr>
                <w:rFonts w:cs="Arial"/>
              </w:rPr>
            </w:pPr>
            <w:proofErr w:type="gramStart"/>
            <w:r>
              <w:t>c</w:t>
            </w:r>
            <w:r w:rsidR="002D2607" w:rsidRPr="00710FAB">
              <w:t>omprise</w:t>
            </w:r>
            <w:proofErr w:type="gramEnd"/>
            <w:r w:rsidR="002D2607" w:rsidRPr="00710FAB">
              <w:t xml:space="preserve"> eligibility criteria </w:t>
            </w:r>
            <w:r w:rsidR="00A71623">
              <w:t>and assessment criteria.</w:t>
            </w:r>
          </w:p>
        </w:tc>
      </w:tr>
      <w:tr w:rsidR="002D2607" w:rsidRPr="009E3949" w14:paraId="26D12EAB" w14:textId="77777777" w:rsidTr="004960E4">
        <w:trPr>
          <w:cantSplit/>
        </w:trPr>
        <w:tc>
          <w:tcPr>
            <w:tcW w:w="1843" w:type="pct"/>
          </w:tcPr>
          <w:p w14:paraId="10920566" w14:textId="77777777" w:rsidR="002D2607" w:rsidRPr="001B21A4" w:rsidRDefault="002D2607" w:rsidP="002D2607">
            <w:r w:rsidRPr="001B21A4">
              <w:t>selection process</w:t>
            </w:r>
          </w:p>
        </w:tc>
        <w:tc>
          <w:tcPr>
            <w:tcW w:w="3157" w:type="pct"/>
          </w:tcPr>
          <w:p w14:paraId="4CE5CC08" w14:textId="77777777" w:rsidR="002D2607" w:rsidRPr="00710FAB" w:rsidRDefault="00A05845" w:rsidP="00613D08">
            <w:proofErr w:type="gramStart"/>
            <w:r>
              <w:t>t</w:t>
            </w:r>
            <w:r w:rsidR="002D2607" w:rsidRPr="00710FAB">
              <w:t>he</w:t>
            </w:r>
            <w:proofErr w:type="gramEnd"/>
            <w:r w:rsidR="002D2607" w:rsidRPr="00710FAB">
              <w:t xml:space="preserve"> method used to select potential grantees. This process may involve comparative assessment of applications or the assessment of applications against the eligibility criteria and/or </w:t>
            </w:r>
            <w:r w:rsidR="00A71623">
              <w:t>the assessment criteria.</w:t>
            </w:r>
          </w:p>
        </w:tc>
      </w:tr>
      <w:tr w:rsidR="00456C23" w:rsidRPr="009E3949" w14:paraId="0E11FF5A" w14:textId="77777777" w:rsidTr="00117DE3">
        <w:trPr>
          <w:cantSplit/>
          <w:trHeight w:val="1133"/>
        </w:trPr>
        <w:tc>
          <w:tcPr>
            <w:tcW w:w="1843" w:type="pct"/>
          </w:tcPr>
          <w:p w14:paraId="41F80ED8" w14:textId="77777777" w:rsidR="00456C23" w:rsidRPr="001B21A4" w:rsidRDefault="00DF5F3B" w:rsidP="002D2607">
            <w:r w:rsidRPr="00037AC1">
              <w:rPr>
                <w:color w:val="000000" w:themeColor="text1"/>
              </w:rPr>
              <w:t>Selection Advisory Panel</w:t>
            </w:r>
          </w:p>
        </w:tc>
        <w:tc>
          <w:tcPr>
            <w:tcW w:w="3157" w:type="pct"/>
            <w:vAlign w:val="center"/>
          </w:tcPr>
          <w:p w14:paraId="645E3B33" w14:textId="77777777" w:rsidR="00456C23" w:rsidRPr="00117DE3" w:rsidRDefault="00853C98" w:rsidP="00117DE3">
            <w:pPr>
              <w:pStyle w:val="BodyText"/>
              <w:spacing w:before="0" w:after="0" w:line="240" w:lineRule="auto"/>
              <w:rPr>
                <w:sz w:val="20"/>
                <w:szCs w:val="20"/>
                <w:lang w:eastAsia="en-US"/>
              </w:rPr>
            </w:pPr>
            <w:proofErr w:type="gramStart"/>
            <w:r w:rsidRPr="00117DE3">
              <w:rPr>
                <w:sz w:val="20"/>
                <w:szCs w:val="20"/>
                <w:lang w:eastAsia="en-US"/>
              </w:rPr>
              <w:t>provide</w:t>
            </w:r>
            <w:r>
              <w:rPr>
                <w:sz w:val="20"/>
                <w:szCs w:val="20"/>
                <w:lang w:eastAsia="en-US"/>
              </w:rPr>
              <w:t>s</w:t>
            </w:r>
            <w:proofErr w:type="gramEnd"/>
            <w:r w:rsidRPr="00117DE3">
              <w:rPr>
                <w:sz w:val="20"/>
                <w:szCs w:val="20"/>
                <w:lang w:eastAsia="en-US"/>
              </w:rPr>
              <w:t xml:space="preserve"> strategic oversight, advice and recommendations to the </w:t>
            </w:r>
            <w:r>
              <w:rPr>
                <w:sz w:val="20"/>
                <w:szCs w:val="20"/>
                <w:lang w:eastAsia="en-US"/>
              </w:rPr>
              <w:t>d</w:t>
            </w:r>
            <w:r w:rsidRPr="00117DE3">
              <w:rPr>
                <w:sz w:val="20"/>
                <w:szCs w:val="20"/>
                <w:lang w:eastAsia="en-US"/>
              </w:rPr>
              <w:t xml:space="preserve">ecision </w:t>
            </w:r>
            <w:r>
              <w:rPr>
                <w:sz w:val="20"/>
                <w:szCs w:val="20"/>
                <w:lang w:eastAsia="en-US"/>
              </w:rPr>
              <w:t>m</w:t>
            </w:r>
            <w:r w:rsidRPr="00117DE3">
              <w:rPr>
                <w:sz w:val="20"/>
                <w:szCs w:val="20"/>
                <w:lang w:eastAsia="en-US"/>
              </w:rPr>
              <w:t>aker on assessed applications from the program specific, service provider composition and service location perspectives.</w:t>
            </w:r>
          </w:p>
        </w:tc>
      </w:tr>
      <w:tr w:rsidR="004960E4" w:rsidRPr="009E3949" w14:paraId="265DCC06" w14:textId="77777777" w:rsidTr="004960E4">
        <w:trPr>
          <w:cantSplit/>
        </w:trPr>
        <w:tc>
          <w:tcPr>
            <w:tcW w:w="1843" w:type="pct"/>
          </w:tcPr>
          <w:p w14:paraId="637DE1C8" w14:textId="77777777" w:rsidR="004960E4" w:rsidRPr="001B21A4" w:rsidRDefault="00853C98" w:rsidP="00D57F95">
            <w:r>
              <w:t xml:space="preserve">value with relevant </w:t>
            </w:r>
            <w:r w:rsidRPr="00274AE2">
              <w:t>money</w:t>
            </w:r>
          </w:p>
        </w:tc>
        <w:tc>
          <w:tcPr>
            <w:tcW w:w="3157" w:type="pct"/>
          </w:tcPr>
          <w:p w14:paraId="6F4B976F" w14:textId="77777777" w:rsidR="004960E4" w:rsidRPr="00274AE2" w:rsidRDefault="00D57F95" w:rsidP="00613D08">
            <w:proofErr w:type="gramStart"/>
            <w:r>
              <w:t>refers</w:t>
            </w:r>
            <w:proofErr w:type="gramEnd"/>
            <w:r>
              <w:t xml:space="preserve">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41FD7F1A"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r w:rsidR="00370E02">
              <w:t xml:space="preserve"> the</w:t>
            </w:r>
            <w:r w:rsidRPr="00274AE2">
              <w:t>:</w:t>
            </w:r>
          </w:p>
          <w:p w14:paraId="3501D300" w14:textId="77777777" w:rsidR="004960E4" w:rsidRPr="00274AE2" w:rsidRDefault="004960E4" w:rsidP="00731229">
            <w:pPr>
              <w:numPr>
                <w:ilvl w:val="0"/>
                <w:numId w:val="13"/>
              </w:numPr>
              <w:spacing w:before="0" w:after="40" w:line="240" w:lineRule="auto"/>
              <w:ind w:left="342" w:hanging="342"/>
              <w:rPr>
                <w:rFonts w:cs="Arial"/>
                <w:lang w:eastAsia="en-AU"/>
              </w:rPr>
            </w:pPr>
            <w:r w:rsidRPr="00274AE2">
              <w:rPr>
                <w:rFonts w:cs="Arial"/>
                <w:lang w:eastAsia="en-AU"/>
              </w:rPr>
              <w:t>quality of the project proposal and activities;</w:t>
            </w:r>
          </w:p>
          <w:p w14:paraId="22087693" w14:textId="77777777" w:rsidR="004960E4" w:rsidRPr="00274AE2" w:rsidRDefault="00370E02" w:rsidP="00731229">
            <w:pPr>
              <w:numPr>
                <w:ilvl w:val="0"/>
                <w:numId w:val="13"/>
              </w:numPr>
              <w:spacing w:before="0" w:after="40" w:line="240" w:lineRule="auto"/>
              <w:ind w:left="342" w:hanging="342"/>
              <w:rPr>
                <w:rFonts w:cs="Arial"/>
                <w:lang w:eastAsia="en-AU"/>
              </w:rPr>
            </w:pPr>
            <w:r>
              <w:rPr>
                <w:rFonts w:cs="Arial"/>
                <w:lang w:eastAsia="en-AU"/>
              </w:rPr>
              <w:t>fit</w:t>
            </w:r>
            <w:r w:rsidR="004960E4" w:rsidRPr="00274AE2">
              <w:rPr>
                <w:rFonts w:cs="Arial"/>
                <w:lang w:eastAsia="en-AU"/>
              </w:rPr>
              <w:t xml:space="preserve"> for purpose of the proposal in contributing to government objectives;</w:t>
            </w:r>
          </w:p>
          <w:p w14:paraId="39B9BB7F" w14:textId="77777777" w:rsidR="00D57F95" w:rsidRPr="00D57F95" w:rsidRDefault="004960E4" w:rsidP="00731229">
            <w:pPr>
              <w:numPr>
                <w:ilvl w:val="0"/>
                <w:numId w:val="13"/>
              </w:numPr>
              <w:spacing w:before="0" w:after="40" w:line="240" w:lineRule="auto"/>
              <w:ind w:left="342" w:hanging="342"/>
            </w:pPr>
            <w:r w:rsidRPr="00274AE2">
              <w:rPr>
                <w:rFonts w:cs="Arial"/>
                <w:lang w:eastAsia="en-AU"/>
              </w:rPr>
              <w:t>absence of a grant is likely to prevent the grantee and gover</w:t>
            </w:r>
            <w:r w:rsidR="00370E02">
              <w:rPr>
                <w:rFonts w:cs="Arial"/>
                <w:lang w:eastAsia="en-AU"/>
              </w:rPr>
              <w:t>nment’s outcomes being achieved</w:t>
            </w:r>
          </w:p>
          <w:p w14:paraId="255AC5AA" w14:textId="77777777" w:rsidR="004960E4" w:rsidRPr="00710FAB" w:rsidRDefault="004960E4" w:rsidP="00731229">
            <w:pPr>
              <w:numPr>
                <w:ilvl w:val="0"/>
                <w:numId w:val="13"/>
              </w:numPr>
              <w:spacing w:before="0" w:after="40" w:line="240" w:lineRule="auto"/>
              <w:ind w:left="342" w:hanging="342"/>
            </w:pPr>
            <w:proofErr w:type="gramStart"/>
            <w:r w:rsidRPr="00274AE2">
              <w:rPr>
                <w:rFonts w:cs="Arial"/>
                <w:lang w:eastAsia="en-AU"/>
              </w:rPr>
              <w:t>potential</w:t>
            </w:r>
            <w:proofErr w:type="gramEnd"/>
            <w:r w:rsidRPr="00274AE2">
              <w:rPr>
                <w:rFonts w:cs="Arial"/>
                <w:lang w:eastAsia="en-AU"/>
              </w:rPr>
              <w:t xml:space="preserve"> grantee’s relevant experience and performance history</w:t>
            </w:r>
            <w:r w:rsidRPr="00274AE2">
              <w:rPr>
                <w:rFonts w:ascii="Times New Roman" w:hAnsi="Times New Roman"/>
                <w:sz w:val="24"/>
                <w:szCs w:val="24"/>
                <w:lang w:val="en" w:eastAsia="en-AU"/>
              </w:rPr>
              <w:t>.</w:t>
            </w:r>
          </w:p>
        </w:tc>
      </w:tr>
    </w:tbl>
    <w:p w14:paraId="7768BDAB" w14:textId="77777777" w:rsidR="00230A2B" w:rsidRDefault="00230A2B" w:rsidP="00230A2B"/>
    <w:p w14:paraId="084151DE" w14:textId="77777777" w:rsidR="002F2D94" w:rsidRPr="00D52030" w:rsidRDefault="002F2D94" w:rsidP="00BD1021">
      <w:pPr>
        <w:rPr>
          <w:rFonts w:cs="Arial"/>
          <w:b/>
        </w:rPr>
      </w:pPr>
    </w:p>
    <w:sectPr w:rsidR="002F2D94" w:rsidRPr="00D5203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9995D" w14:textId="77777777" w:rsidR="009D5512" w:rsidRDefault="009D5512" w:rsidP="00077C3D">
      <w:r>
        <w:separator/>
      </w:r>
    </w:p>
  </w:endnote>
  <w:endnote w:type="continuationSeparator" w:id="0">
    <w:p w14:paraId="3F4FC40C" w14:textId="77777777" w:rsidR="009D5512" w:rsidRDefault="009D5512" w:rsidP="00077C3D">
      <w:r>
        <w:continuationSeparator/>
      </w:r>
    </w:p>
  </w:endnote>
  <w:endnote w:type="continuationNotice" w:id="1">
    <w:p w14:paraId="7325D3C3" w14:textId="77777777" w:rsidR="009D5512" w:rsidRDefault="009D551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heSansOffice">
    <w:charset w:val="00"/>
    <w:family w:val="swiss"/>
    <w:pitch w:val="variable"/>
    <w:sig w:usb0="80000027" w:usb1="0000004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A68B1" w14:textId="6420C99B" w:rsidR="00D24868" w:rsidRDefault="00D24868" w:rsidP="0002331D">
    <w:pPr>
      <w:pStyle w:val="Footer"/>
      <w:tabs>
        <w:tab w:val="clear" w:pos="4153"/>
        <w:tab w:val="clear" w:pos="8306"/>
        <w:tab w:val="center" w:pos="6096"/>
        <w:tab w:val="right" w:pos="8789"/>
      </w:tabs>
      <w:rPr>
        <w:noProof/>
      </w:rPr>
    </w:pPr>
    <w:r w:rsidRPr="00DF5F3B">
      <w:rPr>
        <w:rFonts w:cs="Arial"/>
        <w:szCs w:val="16"/>
      </w:rPr>
      <w:t xml:space="preserve">Individual Capacity Building (ICB) Grant Opportunity 2019-2020 </w:t>
    </w:r>
    <w:r w:rsidRPr="00DF5F3B">
      <w:rPr>
        <w:szCs w:val="16"/>
      </w:rPr>
      <w:t>Guidelines</w:t>
    </w:r>
    <w:r w:rsidRPr="00DF5F3B">
      <w:tab/>
    </w:r>
    <w:r>
      <w:t xml:space="preserve">          </w:t>
    </w:r>
    <w:r w:rsidRPr="00DF5F3B">
      <w:t>August 2019</w:t>
    </w:r>
    <w:r>
      <w:rPr>
        <w:color w:val="4F81BD" w:themeColor="accent1"/>
      </w:rPr>
      <w:tab/>
    </w:r>
    <w:r w:rsidRPr="005B72F4">
      <w:t xml:space="preserve">Page </w:t>
    </w:r>
    <w:r w:rsidRPr="005B72F4">
      <w:fldChar w:fldCharType="begin"/>
    </w:r>
    <w:r w:rsidRPr="005B72F4">
      <w:instrText xml:space="preserve"> PAGE </w:instrText>
    </w:r>
    <w:r w:rsidRPr="005B72F4">
      <w:fldChar w:fldCharType="separate"/>
    </w:r>
    <w:r w:rsidR="009661E2">
      <w:rPr>
        <w:noProof/>
      </w:rPr>
      <w:t>23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9661E2">
      <w:rPr>
        <w:noProof/>
      </w:rPr>
      <w:t>37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9A3AC" w14:textId="77777777" w:rsidR="009D5512" w:rsidRDefault="009D5512" w:rsidP="00077C3D">
      <w:r>
        <w:separator/>
      </w:r>
    </w:p>
  </w:footnote>
  <w:footnote w:type="continuationSeparator" w:id="0">
    <w:p w14:paraId="502CA885" w14:textId="77777777" w:rsidR="009D5512" w:rsidRDefault="009D5512" w:rsidP="00077C3D">
      <w:r>
        <w:continuationSeparator/>
      </w:r>
    </w:p>
  </w:footnote>
  <w:footnote w:type="continuationNotice" w:id="1">
    <w:p w14:paraId="177B57EE" w14:textId="77777777" w:rsidR="009D5512" w:rsidRDefault="009D5512" w:rsidP="00077C3D"/>
  </w:footnote>
  <w:footnote w:id="2">
    <w:p w14:paraId="4142336E" w14:textId="77777777" w:rsidR="00D24868" w:rsidRPr="00AD5123" w:rsidRDefault="00D24868" w:rsidP="009F5837">
      <w:pPr>
        <w:pStyle w:val="FootnoteText"/>
      </w:pPr>
      <w:r w:rsidRPr="009F5837">
        <w:rPr>
          <w:rStyle w:val="FootnoteReference"/>
        </w:rPr>
        <w:footnoteRef/>
      </w:r>
      <w:r w:rsidRPr="009F5837">
        <w:t xml:space="preserve"> The social model of disability proposes that what makes someone disabled is not their medical condition, but the attitudes and structures of society. </w:t>
      </w:r>
    </w:p>
  </w:footnote>
  <w:footnote w:id="3">
    <w:p w14:paraId="75D97B42" w14:textId="77777777" w:rsidR="00D24868" w:rsidRPr="00AD5123" w:rsidRDefault="00D24868" w:rsidP="009F5837">
      <w:pPr>
        <w:pStyle w:val="FootnoteText"/>
      </w:pPr>
      <w:r w:rsidRPr="00037AC1">
        <w:rPr>
          <w:rStyle w:val="FootnoteReference"/>
        </w:rPr>
        <w:footnoteRef/>
      </w:r>
      <w:r w:rsidRPr="00037AC1">
        <w:t xml:space="preserve"> The ‘+’ acknowledges that no single acronym can capture the full and rich diversity of people’s lives and identities</w:t>
      </w:r>
      <w:r w:rsidRPr="00AD5123">
        <w:rPr>
          <w:color w:val="1F497D"/>
        </w:rPr>
        <w:t>.</w:t>
      </w:r>
    </w:p>
  </w:footnote>
  <w:footnote w:id="4">
    <w:p w14:paraId="335A8C36" w14:textId="77777777" w:rsidR="00D24868" w:rsidRDefault="00D24868" w:rsidP="009F5837">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w:t>
      </w:r>
      <w:proofErr w:type="gramStart"/>
      <w:r>
        <w:t>may be requested</w:t>
      </w:r>
      <w:proofErr w:type="gramEnd"/>
      <w:r>
        <w:t xml:space="preserve">. </w:t>
      </w:r>
    </w:p>
  </w:footnote>
  <w:footnote w:id="5">
    <w:p w14:paraId="33C1C990" w14:textId="77777777" w:rsidR="00D24868" w:rsidRPr="001B6272" w:rsidRDefault="00D24868" w:rsidP="009F5837">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subsequent variations with the Application Form</w:t>
      </w:r>
    </w:p>
  </w:footnote>
  <w:footnote w:id="6">
    <w:p w14:paraId="2C5E59E7" w14:textId="2B7B0A65" w:rsidR="00D24868" w:rsidRDefault="00D24868" w:rsidP="009F5837">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documents </w:t>
      </w:r>
    </w:p>
  </w:footnote>
  <w:footnote w:id="7">
    <w:p w14:paraId="3AABBC6C" w14:textId="77777777" w:rsidR="00D24868" w:rsidRDefault="00D24868">
      <w:pPr>
        <w:pStyle w:val="FootnoteText"/>
      </w:pPr>
      <w:r>
        <w:rPr>
          <w:rStyle w:val="FootnoteReference"/>
        </w:rPr>
        <w:footnoteRef/>
      </w:r>
      <w:r>
        <w:t xml:space="preserve"> This may be the Hub Delegate or nominated staff member of the client agency at the EL2 level or above.</w:t>
      </w:r>
    </w:p>
  </w:footnote>
  <w:footnote w:id="8">
    <w:p w14:paraId="69685C57" w14:textId="77777777" w:rsidR="00D24868" w:rsidRDefault="00D24868" w:rsidP="009F5837">
      <w:pPr>
        <w:pStyle w:val="FootnoteText"/>
      </w:pPr>
      <w:r>
        <w:rPr>
          <w:rStyle w:val="FootnoteReference"/>
        </w:rPr>
        <w:footnoteRef/>
      </w:r>
      <w:r>
        <w:t xml:space="preserve"> See glossary for an explanation of ‘value with relevant money’.</w:t>
      </w:r>
    </w:p>
  </w:footnote>
  <w:footnote w:id="9">
    <w:p w14:paraId="63AB5F07" w14:textId="77777777" w:rsidR="00D24868" w:rsidRDefault="00D24868" w:rsidP="009F5837">
      <w:pPr>
        <w:pStyle w:val="FootnoteText"/>
      </w:pPr>
      <w:r>
        <w:rPr>
          <w:rStyle w:val="FootnoteReference"/>
        </w:rPr>
        <w:footnoteRef/>
      </w:r>
      <w:r>
        <w:t xml:space="preserve"> The NDIA AAI’s provide that the NDIA adhere to the CGR&amp;Gs.</w:t>
      </w:r>
    </w:p>
  </w:footnote>
  <w:footnote w:id="10">
    <w:p w14:paraId="40697F30" w14:textId="77777777" w:rsidR="00D24868" w:rsidRPr="007133C2" w:rsidRDefault="00D24868" w:rsidP="009F5837">
      <w:pPr>
        <w:pStyle w:val="FootnoteText"/>
      </w:pPr>
      <w:r w:rsidRPr="007133C2">
        <w:rPr>
          <w:rStyle w:val="FootnoteReference"/>
        </w:rPr>
        <w:footnoteRef/>
      </w:r>
      <w:r w:rsidRPr="007133C2">
        <w:t xml:space="preserve"> Relevant money </w:t>
      </w:r>
      <w:proofErr w:type="gramStart"/>
      <w:r w:rsidRPr="007133C2">
        <w:t>is defined</w:t>
      </w:r>
      <w:proofErr w:type="gramEnd"/>
      <w:r w:rsidRPr="007133C2">
        <w:t xml:space="preserve"> in the PGPA Act. See section 8, Dictionary</w:t>
      </w:r>
      <w:r>
        <w:t>.</w:t>
      </w:r>
    </w:p>
  </w:footnote>
  <w:footnote w:id="11">
    <w:p w14:paraId="2A4120A4" w14:textId="77777777" w:rsidR="00D24868" w:rsidRPr="007133C2" w:rsidRDefault="00D24868" w:rsidP="009F5837">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CE8E8" w14:textId="77777777" w:rsidR="00D24868" w:rsidRDefault="00D24868"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514AE" w14:textId="4C5DD20A" w:rsidR="00D24868" w:rsidRDefault="00D24868">
    <w:pPr>
      <w:pStyle w:val="Header"/>
    </w:pPr>
    <w:r>
      <w:rPr>
        <w:noProof/>
        <w:lang w:eastAsia="en-AU"/>
      </w:rPr>
      <w:drawing>
        <wp:inline distT="0" distB="0" distL="0" distR="0" wp14:anchorId="464F9E14" wp14:editId="42007AF5">
          <wp:extent cx="5580380" cy="765175"/>
          <wp:effectExtent l="0" t="0" r="1270" b="0"/>
          <wp:docPr id="2" name="Picture 2" descr="NDIS and Community Grants Hub logos" title="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AA1B90"/>
    <w:multiLevelType w:val="hybridMultilevel"/>
    <w:tmpl w:val="243C9C86"/>
    <w:lvl w:ilvl="0" w:tplc="4EAEB986">
      <w:start w:val="1"/>
      <w:numFmt w:val="bullet"/>
      <w:lvlText w:val="•"/>
      <w:lvlJc w:val="left"/>
      <w:pPr>
        <w:tabs>
          <w:tab w:val="num" w:pos="720"/>
        </w:tabs>
        <w:ind w:left="720" w:hanging="360"/>
      </w:pPr>
      <w:rPr>
        <w:rFonts w:ascii="Arial" w:hAnsi="Arial" w:hint="default"/>
      </w:rPr>
    </w:lvl>
    <w:lvl w:ilvl="1" w:tplc="EC22974E">
      <w:start w:val="1"/>
      <w:numFmt w:val="bullet"/>
      <w:lvlText w:val="•"/>
      <w:lvlJc w:val="left"/>
      <w:pPr>
        <w:tabs>
          <w:tab w:val="num" w:pos="1440"/>
        </w:tabs>
        <w:ind w:left="1440" w:hanging="360"/>
      </w:pPr>
      <w:rPr>
        <w:rFonts w:ascii="Arial" w:hAnsi="Arial" w:hint="default"/>
      </w:rPr>
    </w:lvl>
    <w:lvl w:ilvl="2" w:tplc="16FE8524" w:tentative="1">
      <w:start w:val="1"/>
      <w:numFmt w:val="bullet"/>
      <w:lvlText w:val="•"/>
      <w:lvlJc w:val="left"/>
      <w:pPr>
        <w:tabs>
          <w:tab w:val="num" w:pos="2160"/>
        </w:tabs>
        <w:ind w:left="2160" w:hanging="360"/>
      </w:pPr>
      <w:rPr>
        <w:rFonts w:ascii="Arial" w:hAnsi="Arial" w:hint="default"/>
      </w:rPr>
    </w:lvl>
    <w:lvl w:ilvl="3" w:tplc="281C0E14" w:tentative="1">
      <w:start w:val="1"/>
      <w:numFmt w:val="bullet"/>
      <w:lvlText w:val="•"/>
      <w:lvlJc w:val="left"/>
      <w:pPr>
        <w:tabs>
          <w:tab w:val="num" w:pos="2880"/>
        </w:tabs>
        <w:ind w:left="2880" w:hanging="360"/>
      </w:pPr>
      <w:rPr>
        <w:rFonts w:ascii="Arial" w:hAnsi="Arial" w:hint="default"/>
      </w:rPr>
    </w:lvl>
    <w:lvl w:ilvl="4" w:tplc="78086592" w:tentative="1">
      <w:start w:val="1"/>
      <w:numFmt w:val="bullet"/>
      <w:lvlText w:val="•"/>
      <w:lvlJc w:val="left"/>
      <w:pPr>
        <w:tabs>
          <w:tab w:val="num" w:pos="3600"/>
        </w:tabs>
        <w:ind w:left="3600" w:hanging="360"/>
      </w:pPr>
      <w:rPr>
        <w:rFonts w:ascii="Arial" w:hAnsi="Arial" w:hint="default"/>
      </w:rPr>
    </w:lvl>
    <w:lvl w:ilvl="5" w:tplc="2E9686EE" w:tentative="1">
      <w:start w:val="1"/>
      <w:numFmt w:val="bullet"/>
      <w:lvlText w:val="•"/>
      <w:lvlJc w:val="left"/>
      <w:pPr>
        <w:tabs>
          <w:tab w:val="num" w:pos="4320"/>
        </w:tabs>
        <w:ind w:left="4320" w:hanging="360"/>
      </w:pPr>
      <w:rPr>
        <w:rFonts w:ascii="Arial" w:hAnsi="Arial" w:hint="default"/>
      </w:rPr>
    </w:lvl>
    <w:lvl w:ilvl="6" w:tplc="E774FD7C" w:tentative="1">
      <w:start w:val="1"/>
      <w:numFmt w:val="bullet"/>
      <w:lvlText w:val="•"/>
      <w:lvlJc w:val="left"/>
      <w:pPr>
        <w:tabs>
          <w:tab w:val="num" w:pos="5040"/>
        </w:tabs>
        <w:ind w:left="5040" w:hanging="360"/>
      </w:pPr>
      <w:rPr>
        <w:rFonts w:ascii="Arial" w:hAnsi="Arial" w:hint="default"/>
      </w:rPr>
    </w:lvl>
    <w:lvl w:ilvl="7" w:tplc="26504F88" w:tentative="1">
      <w:start w:val="1"/>
      <w:numFmt w:val="bullet"/>
      <w:lvlText w:val="•"/>
      <w:lvlJc w:val="left"/>
      <w:pPr>
        <w:tabs>
          <w:tab w:val="num" w:pos="5760"/>
        </w:tabs>
        <w:ind w:left="5760" w:hanging="360"/>
      </w:pPr>
      <w:rPr>
        <w:rFonts w:ascii="Arial" w:hAnsi="Arial" w:hint="default"/>
      </w:rPr>
    </w:lvl>
    <w:lvl w:ilvl="8" w:tplc="67B60D5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0F5705E"/>
    <w:multiLevelType w:val="hybridMultilevel"/>
    <w:tmpl w:val="0BE6B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1E3F20"/>
    <w:multiLevelType w:val="hybridMultilevel"/>
    <w:tmpl w:val="EA3A544E"/>
    <w:lvl w:ilvl="0" w:tplc="A208B90C">
      <w:start w:val="1"/>
      <w:numFmt w:val="lowerLetter"/>
      <w:lvlText w:val="%1."/>
      <w:lvlJc w:val="left"/>
      <w:pPr>
        <w:tabs>
          <w:tab w:val="num" w:pos="720"/>
        </w:tabs>
        <w:ind w:left="720" w:hanging="360"/>
      </w:pPr>
    </w:lvl>
    <w:lvl w:ilvl="1" w:tplc="861415B2" w:tentative="1">
      <w:start w:val="1"/>
      <w:numFmt w:val="lowerLetter"/>
      <w:lvlText w:val="%2."/>
      <w:lvlJc w:val="left"/>
      <w:pPr>
        <w:tabs>
          <w:tab w:val="num" w:pos="1440"/>
        </w:tabs>
        <w:ind w:left="1440" w:hanging="360"/>
      </w:pPr>
    </w:lvl>
    <w:lvl w:ilvl="2" w:tplc="C05AC082" w:tentative="1">
      <w:start w:val="1"/>
      <w:numFmt w:val="lowerLetter"/>
      <w:lvlText w:val="%3."/>
      <w:lvlJc w:val="left"/>
      <w:pPr>
        <w:tabs>
          <w:tab w:val="num" w:pos="2160"/>
        </w:tabs>
        <w:ind w:left="2160" w:hanging="360"/>
      </w:pPr>
    </w:lvl>
    <w:lvl w:ilvl="3" w:tplc="E60054EC" w:tentative="1">
      <w:start w:val="1"/>
      <w:numFmt w:val="lowerLetter"/>
      <w:lvlText w:val="%4."/>
      <w:lvlJc w:val="left"/>
      <w:pPr>
        <w:tabs>
          <w:tab w:val="num" w:pos="2880"/>
        </w:tabs>
        <w:ind w:left="2880" w:hanging="360"/>
      </w:pPr>
    </w:lvl>
    <w:lvl w:ilvl="4" w:tplc="585AD210" w:tentative="1">
      <w:start w:val="1"/>
      <w:numFmt w:val="lowerLetter"/>
      <w:lvlText w:val="%5."/>
      <w:lvlJc w:val="left"/>
      <w:pPr>
        <w:tabs>
          <w:tab w:val="num" w:pos="3600"/>
        </w:tabs>
        <w:ind w:left="3600" w:hanging="360"/>
      </w:pPr>
    </w:lvl>
    <w:lvl w:ilvl="5" w:tplc="55EE03F6" w:tentative="1">
      <w:start w:val="1"/>
      <w:numFmt w:val="lowerLetter"/>
      <w:lvlText w:val="%6."/>
      <w:lvlJc w:val="left"/>
      <w:pPr>
        <w:tabs>
          <w:tab w:val="num" w:pos="4320"/>
        </w:tabs>
        <w:ind w:left="4320" w:hanging="360"/>
      </w:pPr>
    </w:lvl>
    <w:lvl w:ilvl="6" w:tplc="54885972" w:tentative="1">
      <w:start w:val="1"/>
      <w:numFmt w:val="lowerLetter"/>
      <w:lvlText w:val="%7."/>
      <w:lvlJc w:val="left"/>
      <w:pPr>
        <w:tabs>
          <w:tab w:val="num" w:pos="5040"/>
        </w:tabs>
        <w:ind w:left="5040" w:hanging="360"/>
      </w:pPr>
    </w:lvl>
    <w:lvl w:ilvl="7" w:tplc="EA36C12C" w:tentative="1">
      <w:start w:val="1"/>
      <w:numFmt w:val="lowerLetter"/>
      <w:lvlText w:val="%8."/>
      <w:lvlJc w:val="left"/>
      <w:pPr>
        <w:tabs>
          <w:tab w:val="num" w:pos="5760"/>
        </w:tabs>
        <w:ind w:left="5760" w:hanging="360"/>
      </w:pPr>
    </w:lvl>
    <w:lvl w:ilvl="8" w:tplc="67801570" w:tentative="1">
      <w:start w:val="1"/>
      <w:numFmt w:val="lowerLetter"/>
      <w:lvlText w:val="%9."/>
      <w:lvlJc w:val="left"/>
      <w:pPr>
        <w:tabs>
          <w:tab w:val="num" w:pos="6480"/>
        </w:tabs>
        <w:ind w:left="6480" w:hanging="360"/>
      </w:pPr>
    </w:lvl>
  </w:abstractNum>
  <w:abstractNum w:abstractNumId="5" w15:restartNumberingAfterBreak="0">
    <w:nsid w:val="036E3FCB"/>
    <w:multiLevelType w:val="multilevel"/>
    <w:tmpl w:val="146AA540"/>
    <w:lvl w:ilvl="0">
      <w:start w:val="1"/>
      <w:numFmt w:val="none"/>
      <w:pStyle w:val="Boxed2Text"/>
      <w:lvlText w:val=""/>
      <w:lvlJc w:val="left"/>
      <w:pPr>
        <w:ind w:left="567" w:firstLine="0"/>
      </w:pPr>
      <w:rPr>
        <w:rFonts w:hint="default"/>
        <w:w w:val="100"/>
        <w:sz w:val="20"/>
      </w:rPr>
    </w:lvl>
    <w:lvl w:ilvl="1">
      <w:start w:val="1"/>
      <w:numFmt w:val="bullet"/>
      <w:lvlText w:val=""/>
      <w:lvlJc w:val="left"/>
      <w:pPr>
        <w:ind w:left="924" w:hanging="357"/>
      </w:pPr>
      <w:rPr>
        <w:rFonts w:ascii="Wingdings" w:hAnsi="Wingdings" w:hint="default"/>
        <w:color w:val="264F90"/>
      </w:rPr>
    </w:lvl>
    <w:lvl w:ilvl="2">
      <w:start w:val="1"/>
      <w:numFmt w:val="bullet"/>
      <w:lvlText w:val=""/>
      <w:lvlJc w:val="left"/>
      <w:pPr>
        <w:ind w:left="1287" w:hanging="363"/>
      </w:pPr>
      <w:rPr>
        <w:rFonts w:ascii="Wingdings" w:hAnsi="Wingdings" w:hint="default"/>
        <w:color w:val="auto"/>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6" w15:restartNumberingAfterBreak="0">
    <w:nsid w:val="05D9141F"/>
    <w:multiLevelType w:val="hybridMultilevel"/>
    <w:tmpl w:val="35DE002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7B733B0"/>
    <w:multiLevelType w:val="hybridMultilevel"/>
    <w:tmpl w:val="9D427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7E1002C"/>
    <w:multiLevelType w:val="hybridMultilevel"/>
    <w:tmpl w:val="6F488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D20BCF"/>
    <w:multiLevelType w:val="hybridMultilevel"/>
    <w:tmpl w:val="379A876E"/>
    <w:lvl w:ilvl="0" w:tplc="0C090001">
      <w:start w:val="1"/>
      <w:numFmt w:val="bullet"/>
      <w:lvlText w:val=""/>
      <w:lvlJc w:val="left"/>
      <w:pPr>
        <w:ind w:left="747" w:hanging="360"/>
      </w:pPr>
      <w:rPr>
        <w:rFonts w:ascii="Symbol" w:hAnsi="Symbol" w:hint="default"/>
      </w:rPr>
    </w:lvl>
    <w:lvl w:ilvl="1" w:tplc="0C090003">
      <w:start w:val="1"/>
      <w:numFmt w:val="bullet"/>
      <w:lvlText w:val="o"/>
      <w:lvlJc w:val="left"/>
      <w:pPr>
        <w:ind w:left="1467" w:hanging="360"/>
      </w:pPr>
      <w:rPr>
        <w:rFonts w:ascii="Courier New" w:hAnsi="Courier New" w:cs="Courier New" w:hint="default"/>
      </w:rPr>
    </w:lvl>
    <w:lvl w:ilvl="2" w:tplc="0C090005" w:tentative="1">
      <w:start w:val="1"/>
      <w:numFmt w:val="bullet"/>
      <w:lvlText w:val=""/>
      <w:lvlJc w:val="left"/>
      <w:pPr>
        <w:ind w:left="2187" w:hanging="360"/>
      </w:pPr>
      <w:rPr>
        <w:rFonts w:ascii="Wingdings" w:hAnsi="Wingdings" w:hint="default"/>
      </w:rPr>
    </w:lvl>
    <w:lvl w:ilvl="3" w:tplc="0C090001" w:tentative="1">
      <w:start w:val="1"/>
      <w:numFmt w:val="bullet"/>
      <w:lvlText w:val=""/>
      <w:lvlJc w:val="left"/>
      <w:pPr>
        <w:ind w:left="2907" w:hanging="360"/>
      </w:pPr>
      <w:rPr>
        <w:rFonts w:ascii="Symbol" w:hAnsi="Symbol" w:hint="default"/>
      </w:rPr>
    </w:lvl>
    <w:lvl w:ilvl="4" w:tplc="0C090003" w:tentative="1">
      <w:start w:val="1"/>
      <w:numFmt w:val="bullet"/>
      <w:lvlText w:val="o"/>
      <w:lvlJc w:val="left"/>
      <w:pPr>
        <w:ind w:left="3627" w:hanging="360"/>
      </w:pPr>
      <w:rPr>
        <w:rFonts w:ascii="Courier New" w:hAnsi="Courier New" w:cs="Courier New" w:hint="default"/>
      </w:rPr>
    </w:lvl>
    <w:lvl w:ilvl="5" w:tplc="0C090005" w:tentative="1">
      <w:start w:val="1"/>
      <w:numFmt w:val="bullet"/>
      <w:lvlText w:val=""/>
      <w:lvlJc w:val="left"/>
      <w:pPr>
        <w:ind w:left="4347" w:hanging="360"/>
      </w:pPr>
      <w:rPr>
        <w:rFonts w:ascii="Wingdings" w:hAnsi="Wingdings" w:hint="default"/>
      </w:rPr>
    </w:lvl>
    <w:lvl w:ilvl="6" w:tplc="0C090001" w:tentative="1">
      <w:start w:val="1"/>
      <w:numFmt w:val="bullet"/>
      <w:lvlText w:val=""/>
      <w:lvlJc w:val="left"/>
      <w:pPr>
        <w:ind w:left="5067" w:hanging="360"/>
      </w:pPr>
      <w:rPr>
        <w:rFonts w:ascii="Symbol" w:hAnsi="Symbol" w:hint="default"/>
      </w:rPr>
    </w:lvl>
    <w:lvl w:ilvl="7" w:tplc="0C090003" w:tentative="1">
      <w:start w:val="1"/>
      <w:numFmt w:val="bullet"/>
      <w:lvlText w:val="o"/>
      <w:lvlJc w:val="left"/>
      <w:pPr>
        <w:ind w:left="5787" w:hanging="360"/>
      </w:pPr>
      <w:rPr>
        <w:rFonts w:ascii="Courier New" w:hAnsi="Courier New" w:cs="Courier New" w:hint="default"/>
      </w:rPr>
    </w:lvl>
    <w:lvl w:ilvl="8" w:tplc="0C090005" w:tentative="1">
      <w:start w:val="1"/>
      <w:numFmt w:val="bullet"/>
      <w:lvlText w:val=""/>
      <w:lvlJc w:val="left"/>
      <w:pPr>
        <w:ind w:left="6507" w:hanging="360"/>
      </w:pPr>
      <w:rPr>
        <w:rFonts w:ascii="Wingdings" w:hAnsi="Wingdings" w:hint="default"/>
      </w:rPr>
    </w:lvl>
  </w:abstractNum>
  <w:abstractNum w:abstractNumId="10"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A4D6A8E"/>
    <w:multiLevelType w:val="hybridMultilevel"/>
    <w:tmpl w:val="910AAB10"/>
    <w:lvl w:ilvl="0" w:tplc="73F4F4E2">
      <w:start w:val="1"/>
      <w:numFmt w:val="bullet"/>
      <w:lvlText w:val="•"/>
      <w:lvlJc w:val="left"/>
      <w:pPr>
        <w:tabs>
          <w:tab w:val="num" w:pos="720"/>
        </w:tabs>
        <w:ind w:left="720" w:hanging="360"/>
      </w:pPr>
      <w:rPr>
        <w:rFonts w:ascii="Arial" w:hAnsi="Arial" w:hint="default"/>
      </w:rPr>
    </w:lvl>
    <w:lvl w:ilvl="1" w:tplc="4CF479DE" w:tentative="1">
      <w:start w:val="1"/>
      <w:numFmt w:val="bullet"/>
      <w:lvlText w:val="•"/>
      <w:lvlJc w:val="left"/>
      <w:pPr>
        <w:tabs>
          <w:tab w:val="num" w:pos="1440"/>
        </w:tabs>
        <w:ind w:left="1440" w:hanging="360"/>
      </w:pPr>
      <w:rPr>
        <w:rFonts w:ascii="Arial" w:hAnsi="Arial" w:hint="default"/>
      </w:rPr>
    </w:lvl>
    <w:lvl w:ilvl="2" w:tplc="B42EE878" w:tentative="1">
      <w:start w:val="1"/>
      <w:numFmt w:val="bullet"/>
      <w:lvlText w:val="•"/>
      <w:lvlJc w:val="left"/>
      <w:pPr>
        <w:tabs>
          <w:tab w:val="num" w:pos="2160"/>
        </w:tabs>
        <w:ind w:left="2160" w:hanging="360"/>
      </w:pPr>
      <w:rPr>
        <w:rFonts w:ascii="Arial" w:hAnsi="Arial" w:hint="default"/>
      </w:rPr>
    </w:lvl>
    <w:lvl w:ilvl="3" w:tplc="CF767D72" w:tentative="1">
      <w:start w:val="1"/>
      <w:numFmt w:val="bullet"/>
      <w:lvlText w:val="•"/>
      <w:lvlJc w:val="left"/>
      <w:pPr>
        <w:tabs>
          <w:tab w:val="num" w:pos="2880"/>
        </w:tabs>
        <w:ind w:left="2880" w:hanging="360"/>
      </w:pPr>
      <w:rPr>
        <w:rFonts w:ascii="Arial" w:hAnsi="Arial" w:hint="default"/>
      </w:rPr>
    </w:lvl>
    <w:lvl w:ilvl="4" w:tplc="FF9EF748" w:tentative="1">
      <w:start w:val="1"/>
      <w:numFmt w:val="bullet"/>
      <w:lvlText w:val="•"/>
      <w:lvlJc w:val="left"/>
      <w:pPr>
        <w:tabs>
          <w:tab w:val="num" w:pos="3600"/>
        </w:tabs>
        <w:ind w:left="3600" w:hanging="360"/>
      </w:pPr>
      <w:rPr>
        <w:rFonts w:ascii="Arial" w:hAnsi="Arial" w:hint="default"/>
      </w:rPr>
    </w:lvl>
    <w:lvl w:ilvl="5" w:tplc="17EAB9EA" w:tentative="1">
      <w:start w:val="1"/>
      <w:numFmt w:val="bullet"/>
      <w:lvlText w:val="•"/>
      <w:lvlJc w:val="left"/>
      <w:pPr>
        <w:tabs>
          <w:tab w:val="num" w:pos="4320"/>
        </w:tabs>
        <w:ind w:left="4320" w:hanging="360"/>
      </w:pPr>
      <w:rPr>
        <w:rFonts w:ascii="Arial" w:hAnsi="Arial" w:hint="default"/>
      </w:rPr>
    </w:lvl>
    <w:lvl w:ilvl="6" w:tplc="F0F44D2C" w:tentative="1">
      <w:start w:val="1"/>
      <w:numFmt w:val="bullet"/>
      <w:lvlText w:val="•"/>
      <w:lvlJc w:val="left"/>
      <w:pPr>
        <w:tabs>
          <w:tab w:val="num" w:pos="5040"/>
        </w:tabs>
        <w:ind w:left="5040" w:hanging="360"/>
      </w:pPr>
      <w:rPr>
        <w:rFonts w:ascii="Arial" w:hAnsi="Arial" w:hint="default"/>
      </w:rPr>
    </w:lvl>
    <w:lvl w:ilvl="7" w:tplc="F1DC0508" w:tentative="1">
      <w:start w:val="1"/>
      <w:numFmt w:val="bullet"/>
      <w:lvlText w:val="•"/>
      <w:lvlJc w:val="left"/>
      <w:pPr>
        <w:tabs>
          <w:tab w:val="num" w:pos="5760"/>
        </w:tabs>
        <w:ind w:left="5760" w:hanging="360"/>
      </w:pPr>
      <w:rPr>
        <w:rFonts w:ascii="Arial" w:hAnsi="Arial" w:hint="default"/>
      </w:rPr>
    </w:lvl>
    <w:lvl w:ilvl="8" w:tplc="69D81D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DC4399D"/>
    <w:multiLevelType w:val="hybridMultilevel"/>
    <w:tmpl w:val="DED0525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0E2A0619"/>
    <w:multiLevelType w:val="hybridMultilevel"/>
    <w:tmpl w:val="6422049A"/>
    <w:lvl w:ilvl="0" w:tplc="C89CA52E">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3A4E57"/>
    <w:multiLevelType w:val="hybridMultilevel"/>
    <w:tmpl w:val="F386FB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E6069B"/>
    <w:multiLevelType w:val="multilevel"/>
    <w:tmpl w:val="AFB439AA"/>
    <w:lvl w:ilvl="0">
      <w:start w:val="1"/>
      <w:numFmt w:val="bullet"/>
      <w:pStyle w:val="ListBullet"/>
      <w:lvlText w:val=""/>
      <w:lvlJc w:val="left"/>
      <w:pPr>
        <w:ind w:left="720" w:hanging="360"/>
      </w:pPr>
      <w:rPr>
        <w:rFonts w:ascii="Symbol" w:hAnsi="Symbol" w:hint="default"/>
        <w:i w:val="0"/>
        <w:color w:val="auto"/>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7" w15:restartNumberingAfterBreak="0">
    <w:nsid w:val="110D60FE"/>
    <w:multiLevelType w:val="hybridMultilevel"/>
    <w:tmpl w:val="63F053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3A147F1"/>
    <w:multiLevelType w:val="hybridMultilevel"/>
    <w:tmpl w:val="6A827E0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3A67945"/>
    <w:multiLevelType w:val="hybridMultilevel"/>
    <w:tmpl w:val="9B988AC0"/>
    <w:lvl w:ilvl="0" w:tplc="4AB21EF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44C6A27"/>
    <w:multiLevelType w:val="multilevel"/>
    <w:tmpl w:val="8B28E306"/>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701" w:hanging="1134"/>
      </w:pPr>
      <w:rPr>
        <w:rFonts w:hint="default"/>
      </w:rPr>
    </w:lvl>
    <w:lvl w:ilvl="2">
      <w:start w:val="1"/>
      <w:numFmt w:val="decimal"/>
      <w:pStyle w:val="Heading4"/>
      <w:lvlText w:val="%1.%2.%3"/>
      <w:lvlJc w:val="left"/>
      <w:pPr>
        <w:ind w:left="2639"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894832"/>
    <w:multiLevelType w:val="multilevel"/>
    <w:tmpl w:val="D722B9F8"/>
    <w:lvl w:ilvl="0">
      <w:start w:val="1"/>
      <w:numFmt w:val="decimal"/>
      <w:lvlText w:val="%1."/>
      <w:lvlJc w:val="left"/>
      <w:pPr>
        <w:ind w:left="567" w:firstLine="0"/>
      </w:pPr>
      <w:rPr>
        <w:rFonts w:hint="default"/>
        <w:w w:val="100"/>
        <w:sz w:val="20"/>
      </w:rPr>
    </w:lvl>
    <w:lvl w:ilvl="1">
      <w:start w:val="1"/>
      <w:numFmt w:val="bullet"/>
      <w:lvlText w:val=""/>
      <w:lvlJc w:val="left"/>
      <w:pPr>
        <w:ind w:left="924" w:hanging="357"/>
      </w:pPr>
      <w:rPr>
        <w:rFonts w:ascii="Wingdings" w:hAnsi="Wingdings" w:hint="default"/>
        <w:color w:val="264F90"/>
      </w:rPr>
    </w:lvl>
    <w:lvl w:ilvl="2">
      <w:start w:val="1"/>
      <w:numFmt w:val="bullet"/>
      <w:lvlText w:val=""/>
      <w:lvlJc w:val="left"/>
      <w:pPr>
        <w:ind w:left="1287" w:hanging="363"/>
      </w:pPr>
      <w:rPr>
        <w:rFonts w:ascii="Wingdings" w:hAnsi="Wingdings" w:hint="default"/>
        <w:color w:val="auto"/>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22" w15:restartNumberingAfterBreak="0">
    <w:nsid w:val="18DD0D15"/>
    <w:multiLevelType w:val="hybridMultilevel"/>
    <w:tmpl w:val="1D746CB4"/>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18E24B97"/>
    <w:multiLevelType w:val="hybridMultilevel"/>
    <w:tmpl w:val="6ECAD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B914C16"/>
    <w:multiLevelType w:val="hybridMultilevel"/>
    <w:tmpl w:val="3620F832"/>
    <w:lvl w:ilvl="0" w:tplc="5A608422">
      <w:start w:val="1"/>
      <w:numFmt w:val="bullet"/>
      <w:lvlText w:val="•"/>
      <w:lvlJc w:val="left"/>
      <w:pPr>
        <w:tabs>
          <w:tab w:val="num" w:pos="720"/>
        </w:tabs>
        <w:ind w:left="720" w:hanging="360"/>
      </w:pPr>
      <w:rPr>
        <w:rFonts w:ascii="Arial" w:hAnsi="Arial" w:hint="default"/>
      </w:rPr>
    </w:lvl>
    <w:lvl w:ilvl="1" w:tplc="70503F2E" w:tentative="1">
      <w:start w:val="1"/>
      <w:numFmt w:val="bullet"/>
      <w:lvlText w:val="•"/>
      <w:lvlJc w:val="left"/>
      <w:pPr>
        <w:tabs>
          <w:tab w:val="num" w:pos="1440"/>
        </w:tabs>
        <w:ind w:left="1440" w:hanging="360"/>
      </w:pPr>
      <w:rPr>
        <w:rFonts w:ascii="Arial" w:hAnsi="Arial" w:hint="default"/>
      </w:rPr>
    </w:lvl>
    <w:lvl w:ilvl="2" w:tplc="29F4D98A" w:tentative="1">
      <w:start w:val="1"/>
      <w:numFmt w:val="bullet"/>
      <w:lvlText w:val="•"/>
      <w:lvlJc w:val="left"/>
      <w:pPr>
        <w:tabs>
          <w:tab w:val="num" w:pos="2160"/>
        </w:tabs>
        <w:ind w:left="2160" w:hanging="360"/>
      </w:pPr>
      <w:rPr>
        <w:rFonts w:ascii="Arial" w:hAnsi="Arial" w:hint="default"/>
      </w:rPr>
    </w:lvl>
    <w:lvl w:ilvl="3" w:tplc="0C66FE3E" w:tentative="1">
      <w:start w:val="1"/>
      <w:numFmt w:val="bullet"/>
      <w:lvlText w:val="•"/>
      <w:lvlJc w:val="left"/>
      <w:pPr>
        <w:tabs>
          <w:tab w:val="num" w:pos="2880"/>
        </w:tabs>
        <w:ind w:left="2880" w:hanging="360"/>
      </w:pPr>
      <w:rPr>
        <w:rFonts w:ascii="Arial" w:hAnsi="Arial" w:hint="default"/>
      </w:rPr>
    </w:lvl>
    <w:lvl w:ilvl="4" w:tplc="4B42B3EC" w:tentative="1">
      <w:start w:val="1"/>
      <w:numFmt w:val="bullet"/>
      <w:lvlText w:val="•"/>
      <w:lvlJc w:val="left"/>
      <w:pPr>
        <w:tabs>
          <w:tab w:val="num" w:pos="3600"/>
        </w:tabs>
        <w:ind w:left="3600" w:hanging="360"/>
      </w:pPr>
      <w:rPr>
        <w:rFonts w:ascii="Arial" w:hAnsi="Arial" w:hint="default"/>
      </w:rPr>
    </w:lvl>
    <w:lvl w:ilvl="5" w:tplc="E56C0E1E" w:tentative="1">
      <w:start w:val="1"/>
      <w:numFmt w:val="bullet"/>
      <w:lvlText w:val="•"/>
      <w:lvlJc w:val="left"/>
      <w:pPr>
        <w:tabs>
          <w:tab w:val="num" w:pos="4320"/>
        </w:tabs>
        <w:ind w:left="4320" w:hanging="360"/>
      </w:pPr>
      <w:rPr>
        <w:rFonts w:ascii="Arial" w:hAnsi="Arial" w:hint="default"/>
      </w:rPr>
    </w:lvl>
    <w:lvl w:ilvl="6" w:tplc="151C1B5E" w:tentative="1">
      <w:start w:val="1"/>
      <w:numFmt w:val="bullet"/>
      <w:lvlText w:val="•"/>
      <w:lvlJc w:val="left"/>
      <w:pPr>
        <w:tabs>
          <w:tab w:val="num" w:pos="5040"/>
        </w:tabs>
        <w:ind w:left="5040" w:hanging="360"/>
      </w:pPr>
      <w:rPr>
        <w:rFonts w:ascii="Arial" w:hAnsi="Arial" w:hint="default"/>
      </w:rPr>
    </w:lvl>
    <w:lvl w:ilvl="7" w:tplc="27DA2340" w:tentative="1">
      <w:start w:val="1"/>
      <w:numFmt w:val="bullet"/>
      <w:lvlText w:val="•"/>
      <w:lvlJc w:val="left"/>
      <w:pPr>
        <w:tabs>
          <w:tab w:val="num" w:pos="5760"/>
        </w:tabs>
        <w:ind w:left="5760" w:hanging="360"/>
      </w:pPr>
      <w:rPr>
        <w:rFonts w:ascii="Arial" w:hAnsi="Arial" w:hint="default"/>
      </w:rPr>
    </w:lvl>
    <w:lvl w:ilvl="8" w:tplc="AFC6B16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26" w15:restartNumberingAfterBreak="0">
    <w:nsid w:val="1D97587E"/>
    <w:multiLevelType w:val="hybridMultilevel"/>
    <w:tmpl w:val="4090454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7" w15:restartNumberingAfterBreak="0">
    <w:nsid w:val="1FAF4080"/>
    <w:multiLevelType w:val="hybridMultilevel"/>
    <w:tmpl w:val="418C2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1A318A0"/>
    <w:multiLevelType w:val="hybridMultilevel"/>
    <w:tmpl w:val="25B016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23593574"/>
    <w:multiLevelType w:val="multilevel"/>
    <w:tmpl w:val="B6A0A4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A7C13F1"/>
    <w:multiLevelType w:val="hybridMultilevel"/>
    <w:tmpl w:val="689CC1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D666E40"/>
    <w:multiLevelType w:val="hybridMultilevel"/>
    <w:tmpl w:val="D15A1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E576F15"/>
    <w:multiLevelType w:val="hybridMultilevel"/>
    <w:tmpl w:val="99480D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30DE63B0"/>
    <w:multiLevelType w:val="hybridMultilevel"/>
    <w:tmpl w:val="3C724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2E833DC"/>
    <w:multiLevelType w:val="hybridMultilevel"/>
    <w:tmpl w:val="79AE9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7" w15:restartNumberingAfterBreak="0">
    <w:nsid w:val="34055F7B"/>
    <w:multiLevelType w:val="hybridMultilevel"/>
    <w:tmpl w:val="6EA8A178"/>
    <w:lvl w:ilvl="0" w:tplc="A462D07A">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39" w15:restartNumberingAfterBreak="0">
    <w:nsid w:val="36DC4296"/>
    <w:multiLevelType w:val="hybridMultilevel"/>
    <w:tmpl w:val="75AA8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7BD16B9"/>
    <w:multiLevelType w:val="hybridMultilevel"/>
    <w:tmpl w:val="E67CD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7E2107A"/>
    <w:multiLevelType w:val="hybridMultilevel"/>
    <w:tmpl w:val="897241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3A5F1E62"/>
    <w:multiLevelType w:val="hybridMultilevel"/>
    <w:tmpl w:val="5D9C8D4A"/>
    <w:lvl w:ilvl="0" w:tplc="E6CE1C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ACE2431"/>
    <w:multiLevelType w:val="hybridMultilevel"/>
    <w:tmpl w:val="BB9C0466"/>
    <w:lvl w:ilvl="0" w:tplc="0C090001">
      <w:start w:val="1"/>
      <w:numFmt w:val="bullet"/>
      <w:lvlText w:val=""/>
      <w:lvlJc w:val="left"/>
      <w:pPr>
        <w:tabs>
          <w:tab w:val="num" w:pos="720"/>
        </w:tabs>
        <w:ind w:left="720" w:hanging="360"/>
      </w:pPr>
      <w:rPr>
        <w:rFonts w:ascii="Symbol" w:hAnsi="Symbol" w:hint="default"/>
      </w:rPr>
    </w:lvl>
    <w:lvl w:ilvl="1" w:tplc="1D720674" w:tentative="1">
      <w:start w:val="1"/>
      <w:numFmt w:val="lowerLetter"/>
      <w:lvlText w:val="%2."/>
      <w:lvlJc w:val="left"/>
      <w:pPr>
        <w:tabs>
          <w:tab w:val="num" w:pos="1440"/>
        </w:tabs>
        <w:ind w:left="1440" w:hanging="360"/>
      </w:pPr>
    </w:lvl>
    <w:lvl w:ilvl="2" w:tplc="EDB8318E" w:tentative="1">
      <w:start w:val="1"/>
      <w:numFmt w:val="lowerLetter"/>
      <w:lvlText w:val="%3."/>
      <w:lvlJc w:val="left"/>
      <w:pPr>
        <w:tabs>
          <w:tab w:val="num" w:pos="2160"/>
        </w:tabs>
        <w:ind w:left="2160" w:hanging="360"/>
      </w:pPr>
    </w:lvl>
    <w:lvl w:ilvl="3" w:tplc="66E4AC64" w:tentative="1">
      <w:start w:val="1"/>
      <w:numFmt w:val="lowerLetter"/>
      <w:lvlText w:val="%4."/>
      <w:lvlJc w:val="left"/>
      <w:pPr>
        <w:tabs>
          <w:tab w:val="num" w:pos="2880"/>
        </w:tabs>
        <w:ind w:left="2880" w:hanging="360"/>
      </w:pPr>
    </w:lvl>
    <w:lvl w:ilvl="4" w:tplc="2C062C06" w:tentative="1">
      <w:start w:val="1"/>
      <w:numFmt w:val="lowerLetter"/>
      <w:lvlText w:val="%5."/>
      <w:lvlJc w:val="left"/>
      <w:pPr>
        <w:tabs>
          <w:tab w:val="num" w:pos="3600"/>
        </w:tabs>
        <w:ind w:left="3600" w:hanging="360"/>
      </w:pPr>
    </w:lvl>
    <w:lvl w:ilvl="5" w:tplc="6A360D72" w:tentative="1">
      <w:start w:val="1"/>
      <w:numFmt w:val="lowerLetter"/>
      <w:lvlText w:val="%6."/>
      <w:lvlJc w:val="left"/>
      <w:pPr>
        <w:tabs>
          <w:tab w:val="num" w:pos="4320"/>
        </w:tabs>
        <w:ind w:left="4320" w:hanging="360"/>
      </w:pPr>
    </w:lvl>
    <w:lvl w:ilvl="6" w:tplc="27E879F8" w:tentative="1">
      <w:start w:val="1"/>
      <w:numFmt w:val="lowerLetter"/>
      <w:lvlText w:val="%7."/>
      <w:lvlJc w:val="left"/>
      <w:pPr>
        <w:tabs>
          <w:tab w:val="num" w:pos="5040"/>
        </w:tabs>
        <w:ind w:left="5040" w:hanging="360"/>
      </w:pPr>
    </w:lvl>
    <w:lvl w:ilvl="7" w:tplc="C486C274" w:tentative="1">
      <w:start w:val="1"/>
      <w:numFmt w:val="lowerLetter"/>
      <w:lvlText w:val="%8."/>
      <w:lvlJc w:val="left"/>
      <w:pPr>
        <w:tabs>
          <w:tab w:val="num" w:pos="5760"/>
        </w:tabs>
        <w:ind w:left="5760" w:hanging="360"/>
      </w:pPr>
    </w:lvl>
    <w:lvl w:ilvl="8" w:tplc="57D84A78" w:tentative="1">
      <w:start w:val="1"/>
      <w:numFmt w:val="lowerLetter"/>
      <w:lvlText w:val="%9."/>
      <w:lvlJc w:val="left"/>
      <w:pPr>
        <w:tabs>
          <w:tab w:val="num" w:pos="6480"/>
        </w:tabs>
        <w:ind w:left="6480" w:hanging="360"/>
      </w:pPr>
    </w:lvl>
  </w:abstractNum>
  <w:abstractNum w:abstractNumId="44" w15:restartNumberingAfterBreak="0">
    <w:nsid w:val="3F8A5CF3"/>
    <w:multiLevelType w:val="hybridMultilevel"/>
    <w:tmpl w:val="38A43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0176461"/>
    <w:multiLevelType w:val="multilevel"/>
    <w:tmpl w:val="4EE29D70"/>
    <w:lvl w:ilvl="0">
      <w:start w:val="1"/>
      <w:numFmt w:val="bullet"/>
      <w:pStyle w:val="1NumberedParagaphStyle"/>
      <w:lvlText w:val=""/>
      <w:lvlJc w:val="left"/>
      <w:pPr>
        <w:ind w:left="567" w:hanging="567"/>
      </w:pPr>
      <w:rPr>
        <w:rFonts w:ascii="Symbol" w:hAnsi="Symbol" w:hint="default"/>
        <w:b w:val="0"/>
        <w:i w:val="0"/>
        <w:sz w:val="20"/>
      </w:rPr>
    </w:lvl>
    <w:lvl w:ilvl="1">
      <w:start w:val="1"/>
      <w:numFmt w:val="bullet"/>
      <w:lvlRestart w:val="0"/>
      <w:lvlText w:val=""/>
      <w:lvlJc w:val="left"/>
      <w:pPr>
        <w:ind w:left="1134" w:hanging="567"/>
      </w:pPr>
      <w:rPr>
        <w:rFonts w:ascii="Wingdings" w:hAnsi="Wingdings" w:hint="default"/>
      </w:rPr>
    </w:lvl>
    <w:lvl w:ilvl="2">
      <w:start w:val="1"/>
      <w:numFmt w:val="bullet"/>
      <w:lvlRestart w:val="0"/>
      <w:lvlText w:val=""/>
      <w:lvlJc w:val="left"/>
      <w:pPr>
        <w:ind w:left="1701" w:hanging="567"/>
      </w:pPr>
      <w:rPr>
        <w:rFonts w:ascii="Wingdings" w:hAnsi="Wingdings" w:hint="default"/>
      </w:rPr>
    </w:lvl>
    <w:lvl w:ilvl="3">
      <w:start w:val="1"/>
      <w:numFmt w:val="bullet"/>
      <w:lvlText w:val=""/>
      <w:lvlJc w:val="left"/>
      <w:pPr>
        <w:ind w:left="2268" w:hanging="567"/>
      </w:pPr>
      <w:rPr>
        <w:rFonts w:ascii="Calibri" w:hAnsi="Calibri" w:hint="default"/>
        <w:b w:val="0"/>
        <w:i w:val="0"/>
        <w:sz w:val="20"/>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4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EEA3908"/>
    <w:multiLevelType w:val="hybridMultilevel"/>
    <w:tmpl w:val="5614B6AC"/>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48" w15:restartNumberingAfterBreak="0">
    <w:nsid w:val="51783C9F"/>
    <w:multiLevelType w:val="hybridMultilevel"/>
    <w:tmpl w:val="B6CAD542"/>
    <w:lvl w:ilvl="0" w:tplc="0C09001B">
      <w:start w:val="1"/>
      <w:numFmt w:val="lowerRoman"/>
      <w:lvlText w:val="%1."/>
      <w:lvlJc w:val="right"/>
      <w:pPr>
        <w:ind w:left="1287" w:hanging="360"/>
      </w:pPr>
      <w:rPr>
        <w:rFonts w:hint="default"/>
      </w:rPr>
    </w:lvl>
    <w:lvl w:ilvl="1" w:tplc="0C09000F">
      <w:start w:val="1"/>
      <w:numFmt w:val="decimal"/>
      <w:lvlText w:val="%2."/>
      <w:lvlJc w:val="left"/>
      <w:pPr>
        <w:ind w:left="2007" w:hanging="360"/>
      </w:pPr>
      <w:rPr>
        <w:rFonts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9" w15:restartNumberingAfterBreak="0">
    <w:nsid w:val="53BC1006"/>
    <w:multiLevelType w:val="multilevel"/>
    <w:tmpl w:val="D1568312"/>
    <w:lvl w:ilvl="0">
      <w:start w:val="1"/>
      <w:numFmt w:val="decimal"/>
      <w:pStyle w:val="ExecutiveBrief-Heading1"/>
      <w:lvlText w:val="%1."/>
      <w:lvlJc w:val="left"/>
      <w:pPr>
        <w:ind w:left="360" w:hanging="360"/>
      </w:pPr>
    </w:lvl>
    <w:lvl w:ilvl="1">
      <w:start w:val="1"/>
      <w:numFmt w:val="decimal"/>
      <w:pStyle w:val="ExecutiveBrief-Paragraph1"/>
      <w:lvlText w:val="%1.%2."/>
      <w:lvlJc w:val="left"/>
      <w:pPr>
        <w:ind w:left="5960" w:hanging="432"/>
      </w:pPr>
      <w:rPr>
        <w:b w:val="0"/>
      </w:rPr>
    </w:lvl>
    <w:lvl w:ilvl="2">
      <w:start w:val="1"/>
      <w:numFmt w:val="decimal"/>
      <w:pStyle w:val="ExecutiveBrief-Paragraph2"/>
      <w:lvlText w:val="%1.%2.%3."/>
      <w:lvlJc w:val="left"/>
      <w:pPr>
        <w:ind w:left="1224" w:hanging="504"/>
      </w:pPr>
      <w:rPr>
        <w:rFonts w:ascii="Arial" w:hAnsi="Arial" w:cs="Arial" w:hint="default"/>
        <w:b w:val="0"/>
        <w:i w:val="0"/>
        <w:sz w:val="22"/>
        <w:szCs w:val="22"/>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5927D4C"/>
    <w:multiLevelType w:val="hybridMultilevel"/>
    <w:tmpl w:val="5A1E9D00"/>
    <w:lvl w:ilvl="0" w:tplc="0C090001">
      <w:start w:val="1"/>
      <w:numFmt w:val="bullet"/>
      <w:lvlText w:val=""/>
      <w:lvlJc w:val="left"/>
      <w:pPr>
        <w:tabs>
          <w:tab w:val="num" w:pos="720"/>
        </w:tabs>
        <w:ind w:left="720" w:hanging="360"/>
      </w:pPr>
      <w:rPr>
        <w:rFonts w:ascii="Symbol" w:hAnsi="Symbol" w:hint="default"/>
      </w:rPr>
    </w:lvl>
    <w:lvl w:ilvl="1" w:tplc="D99A8EE2">
      <w:start w:val="1"/>
      <w:numFmt w:val="bullet"/>
      <w:lvlText w:val="-"/>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7274032"/>
    <w:multiLevelType w:val="multilevel"/>
    <w:tmpl w:val="04467536"/>
    <w:lvl w:ilvl="0">
      <w:start w:val="1"/>
      <w:numFmt w:val="bullet"/>
      <w:lvlText w:val=""/>
      <w:lvlJc w:val="left"/>
      <w:pPr>
        <w:ind w:left="568" w:hanging="284"/>
      </w:pPr>
      <w:rPr>
        <w:rFonts w:ascii="Symbol" w:hAnsi="Symbol" w:hint="default"/>
      </w:rPr>
    </w:lvl>
    <w:lvl w:ilvl="1">
      <w:start w:val="1"/>
      <w:numFmt w:val="bullet"/>
      <w:lvlText w:val="-"/>
      <w:lvlJc w:val="left"/>
      <w:pPr>
        <w:ind w:left="852" w:hanging="284"/>
      </w:pPr>
      <w:rPr>
        <w:rFonts w:ascii="Courier New" w:hAnsi="Courier New" w:hint="default"/>
      </w:rPr>
    </w:lvl>
    <w:lvl w:ilvl="2">
      <w:start w:val="1"/>
      <w:numFmt w:val="bullet"/>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52"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8603428"/>
    <w:multiLevelType w:val="hybridMultilevel"/>
    <w:tmpl w:val="54361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5" w15:restartNumberingAfterBreak="0">
    <w:nsid w:val="5B353E91"/>
    <w:multiLevelType w:val="hybridMultilevel"/>
    <w:tmpl w:val="FF0AD41A"/>
    <w:lvl w:ilvl="0" w:tplc="ECE002E2">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5CD34E55"/>
    <w:multiLevelType w:val="hybridMultilevel"/>
    <w:tmpl w:val="9B64D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8" w15:restartNumberingAfterBreak="0">
    <w:nsid w:val="61874ABE"/>
    <w:multiLevelType w:val="hybridMultilevel"/>
    <w:tmpl w:val="4A446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1BC3E97"/>
    <w:multiLevelType w:val="hybridMultilevel"/>
    <w:tmpl w:val="C2780AA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6901237A"/>
    <w:multiLevelType w:val="hybridMultilevel"/>
    <w:tmpl w:val="3258C324"/>
    <w:lvl w:ilvl="0" w:tplc="BA9A38CC">
      <w:start w:val="1"/>
      <w:numFmt w:val="bullet"/>
      <w:lvlText w:val=""/>
      <w:lvlJc w:val="left"/>
      <w:pPr>
        <w:ind w:left="1920" w:hanging="360"/>
      </w:pPr>
      <w:rPr>
        <w:rFonts w:ascii="Symbol" w:hAnsi="Symbol" w:hint="default"/>
        <w:color w:val="auto"/>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6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F1246A2"/>
    <w:multiLevelType w:val="hybridMultilevel"/>
    <w:tmpl w:val="DAC07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26A2B6F"/>
    <w:multiLevelType w:val="hybridMultilevel"/>
    <w:tmpl w:val="632E5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3107305"/>
    <w:multiLevelType w:val="multilevel"/>
    <w:tmpl w:val="79262C7A"/>
    <w:styleLink w:val="BulletsList"/>
    <w:lvl w:ilvl="0">
      <w:start w:val="1"/>
      <w:numFmt w:val="bullet"/>
      <w:pStyle w:val="Bullet1"/>
      <w:lvlText w:val=""/>
      <w:lvlJc w:val="left"/>
      <w:pPr>
        <w:ind w:left="778" w:hanging="284"/>
      </w:pPr>
      <w:rPr>
        <w:rFonts w:ascii="Symbol" w:hAnsi="Symbol" w:hint="default"/>
      </w:rPr>
    </w:lvl>
    <w:lvl w:ilvl="1">
      <w:start w:val="1"/>
      <w:numFmt w:val="bullet"/>
      <w:pStyle w:val="Bullet2"/>
      <w:lvlText w:val="–"/>
      <w:lvlJc w:val="left"/>
      <w:pPr>
        <w:ind w:left="1062" w:hanging="284"/>
      </w:pPr>
      <w:rPr>
        <w:rFonts w:ascii="Arial" w:hAnsi="Arial" w:hint="default"/>
      </w:rPr>
    </w:lvl>
    <w:lvl w:ilvl="2">
      <w:start w:val="1"/>
      <w:numFmt w:val="bullet"/>
      <w:pStyle w:val="Bullet3"/>
      <w:lvlText w:val="»"/>
      <w:lvlJc w:val="left"/>
      <w:pPr>
        <w:ind w:left="1346" w:hanging="284"/>
      </w:pPr>
      <w:rPr>
        <w:rFonts w:ascii="Arial" w:hAnsi="Arial" w:hint="default"/>
      </w:rPr>
    </w:lvl>
    <w:lvl w:ilvl="3">
      <w:start w:val="1"/>
      <w:numFmt w:val="decimal"/>
      <w:lvlText w:val="(%4)"/>
      <w:lvlJc w:val="left"/>
      <w:pPr>
        <w:ind w:left="1630" w:hanging="284"/>
      </w:pPr>
      <w:rPr>
        <w:rFonts w:hint="default"/>
      </w:rPr>
    </w:lvl>
    <w:lvl w:ilvl="4">
      <w:start w:val="1"/>
      <w:numFmt w:val="lowerLetter"/>
      <w:lvlText w:val="(%5)"/>
      <w:lvlJc w:val="left"/>
      <w:pPr>
        <w:ind w:left="1914" w:hanging="284"/>
      </w:pPr>
      <w:rPr>
        <w:rFonts w:hint="default"/>
      </w:rPr>
    </w:lvl>
    <w:lvl w:ilvl="5">
      <w:start w:val="1"/>
      <w:numFmt w:val="lowerRoman"/>
      <w:lvlText w:val="(%6)"/>
      <w:lvlJc w:val="left"/>
      <w:pPr>
        <w:ind w:left="2198" w:hanging="284"/>
      </w:pPr>
      <w:rPr>
        <w:rFonts w:hint="default"/>
      </w:rPr>
    </w:lvl>
    <w:lvl w:ilvl="6">
      <w:start w:val="1"/>
      <w:numFmt w:val="decimal"/>
      <w:lvlText w:val="%7."/>
      <w:lvlJc w:val="left"/>
      <w:pPr>
        <w:ind w:left="2482" w:hanging="284"/>
      </w:pPr>
      <w:rPr>
        <w:rFonts w:hint="default"/>
      </w:rPr>
    </w:lvl>
    <w:lvl w:ilvl="7">
      <w:start w:val="1"/>
      <w:numFmt w:val="lowerLetter"/>
      <w:lvlText w:val="%8."/>
      <w:lvlJc w:val="left"/>
      <w:pPr>
        <w:ind w:left="2766" w:hanging="284"/>
      </w:pPr>
      <w:rPr>
        <w:rFonts w:hint="default"/>
      </w:rPr>
    </w:lvl>
    <w:lvl w:ilvl="8">
      <w:start w:val="1"/>
      <w:numFmt w:val="lowerRoman"/>
      <w:lvlText w:val="%9."/>
      <w:lvlJc w:val="left"/>
      <w:pPr>
        <w:ind w:left="3050" w:hanging="284"/>
      </w:pPr>
      <w:rPr>
        <w:rFonts w:hint="default"/>
      </w:rPr>
    </w:lvl>
  </w:abstractNum>
  <w:abstractNum w:abstractNumId="6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E322657"/>
    <w:multiLevelType w:val="hybridMultilevel"/>
    <w:tmpl w:val="246C9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1"/>
  </w:num>
  <w:num w:numId="2">
    <w:abstractNumId w:val="0"/>
  </w:num>
  <w:num w:numId="3">
    <w:abstractNumId w:val="38"/>
  </w:num>
  <w:num w:numId="4">
    <w:abstractNumId w:val="46"/>
  </w:num>
  <w:num w:numId="5">
    <w:abstractNumId w:val="66"/>
  </w:num>
  <w:num w:numId="6">
    <w:abstractNumId w:val="65"/>
  </w:num>
  <w:num w:numId="7">
    <w:abstractNumId w:val="20"/>
  </w:num>
  <w:num w:numId="8">
    <w:abstractNumId w:val="10"/>
  </w:num>
  <w:num w:numId="9">
    <w:abstractNumId w:val="5"/>
  </w:num>
  <w:num w:numId="10">
    <w:abstractNumId w:val="64"/>
    <w:lvlOverride w:ilvl="0">
      <w:lvl w:ilvl="0">
        <w:start w:val="1"/>
        <w:numFmt w:val="bullet"/>
        <w:pStyle w:val="Bullet1"/>
        <w:lvlText w:val=""/>
        <w:lvlJc w:val="left"/>
        <w:pPr>
          <w:ind w:left="778" w:hanging="284"/>
        </w:pPr>
        <w:rPr>
          <w:rFonts w:ascii="Symbol" w:hAnsi="Symbol" w:hint="default"/>
        </w:rPr>
      </w:lvl>
    </w:lvlOverride>
  </w:num>
  <w:num w:numId="11">
    <w:abstractNumId w:val="54"/>
  </w:num>
  <w:num w:numId="12">
    <w:abstractNumId w:val="11"/>
  </w:num>
  <w:num w:numId="13">
    <w:abstractNumId w:val="52"/>
  </w:num>
  <w:num w:numId="14">
    <w:abstractNumId w:val="36"/>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num>
  <w:num w:numId="19">
    <w:abstractNumId w:val="21"/>
  </w:num>
  <w:num w:numId="20">
    <w:abstractNumId w:val="24"/>
  </w:num>
  <w:num w:numId="21">
    <w:abstractNumId w:val="45"/>
    <w:lvlOverride w:ilvl="0">
      <w:lvl w:ilvl="0">
        <w:start w:val="1"/>
        <w:numFmt w:val="bullet"/>
        <w:pStyle w:val="1NumberedParagaphStyle"/>
        <w:lvlText w:val=""/>
        <w:lvlJc w:val="left"/>
        <w:pPr>
          <w:ind w:left="360" w:hanging="360"/>
        </w:pPr>
        <w:rPr>
          <w:rFonts w:ascii="Symbol" w:hAnsi="Symbol" w:hint="default"/>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2">
    <w:abstractNumId w:val="12"/>
  </w:num>
  <w:num w:numId="23">
    <w:abstractNumId w:val="57"/>
  </w:num>
  <w:num w:numId="24">
    <w:abstractNumId w:val="16"/>
  </w:num>
  <w:num w:numId="25">
    <w:abstractNumId w:val="28"/>
  </w:num>
  <w:num w:numId="26">
    <w:abstractNumId w:val="62"/>
  </w:num>
  <w:num w:numId="27">
    <w:abstractNumId w:val="7"/>
  </w:num>
  <w:num w:numId="28">
    <w:abstractNumId w:val="50"/>
  </w:num>
  <w:num w:numId="29">
    <w:abstractNumId w:val="39"/>
  </w:num>
  <w:num w:numId="30">
    <w:abstractNumId w:val="60"/>
  </w:num>
  <w:num w:numId="31">
    <w:abstractNumId w:val="51"/>
  </w:num>
  <w:num w:numId="32">
    <w:abstractNumId w:val="17"/>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7"/>
      <w:lvl w:ilvl="0">
        <w:start w:val="7"/>
        <w:numFmt w:val="decimal"/>
        <w:pStyle w:val="Heading2"/>
        <w:lvlText w:val="%1."/>
        <w:lvlJc w:val="left"/>
        <w:pPr>
          <w:ind w:left="1134" w:hanging="1134"/>
        </w:pPr>
        <w:rPr>
          <w:rFonts w:hint="default"/>
        </w:rPr>
      </w:lvl>
    </w:lvlOverride>
    <w:lvlOverride w:ilvl="1">
      <w:startOverride w:val="1"/>
      <w:lvl w:ilvl="1">
        <w:start w:val="1"/>
        <w:numFmt w:val="decimal"/>
        <w:pStyle w:val="Heading3"/>
        <w:lvlText w:val="%1.%2"/>
        <w:lvlJc w:val="left"/>
        <w:pPr>
          <w:ind w:left="9923" w:hanging="1134"/>
        </w:pPr>
        <w:rPr>
          <w:rFonts w:hint="default"/>
        </w:rPr>
      </w:lvl>
    </w:lvlOverride>
    <w:lvlOverride w:ilvl="2">
      <w:startOverride w:val="1"/>
      <w:lvl w:ilvl="2">
        <w:start w:val="1"/>
        <w:numFmt w:val="decimal"/>
        <w:pStyle w:val="Heading4"/>
        <w:lvlText w:val="%1.%2.%3"/>
        <w:lvlJc w:val="left"/>
        <w:pPr>
          <w:ind w:left="3490" w:hanging="1080"/>
        </w:pPr>
        <w:rPr>
          <w:rFonts w:hint="default"/>
        </w:rPr>
      </w:lvl>
    </w:lvlOverride>
    <w:lvlOverride w:ilvl="3">
      <w:startOverride w:val="1"/>
      <w:lvl w:ilvl="3">
        <w:start w:val="1"/>
        <w:numFmt w:val="decimal"/>
        <w:pStyle w:val="Heading5"/>
        <w:lvlText w:val="%1.%2.%3.%4"/>
        <w:lvlJc w:val="left"/>
        <w:pPr>
          <w:ind w:left="1440" w:hanging="306"/>
        </w:pPr>
        <w:rPr>
          <w:rFonts w:hint="default"/>
          <w:b/>
          <w:i w:val="0"/>
          <w:color w:val="auto"/>
          <w:sz w:val="2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
    <w:abstractNumId w:val="6"/>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15"/>
  </w:num>
  <w:num w:numId="40">
    <w:abstractNumId w:val="9"/>
  </w:num>
  <w:num w:numId="41">
    <w:abstractNumId w:val="3"/>
  </w:num>
  <w:num w:numId="42">
    <w:abstractNumId w:val="26"/>
  </w:num>
  <w:num w:numId="43">
    <w:abstractNumId w:val="42"/>
  </w:num>
  <w:num w:numId="44">
    <w:abstractNumId w:val="63"/>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num>
  <w:num w:numId="56">
    <w:abstractNumId w:val="32"/>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num>
  <w:num w:numId="59">
    <w:abstractNumId w:val="59"/>
  </w:num>
  <w:num w:numId="60">
    <w:abstractNumId w:val="14"/>
  </w:num>
  <w:num w:numId="61">
    <w:abstractNumId w:val="44"/>
  </w:num>
  <w:num w:numId="62">
    <w:abstractNumId w:val="23"/>
  </w:num>
  <w:num w:numId="63">
    <w:abstractNumId w:val="48"/>
  </w:num>
  <w:num w:numId="64">
    <w:abstractNumId w:val="33"/>
  </w:num>
  <w:num w:numId="65">
    <w:abstractNumId w:val="4"/>
  </w:num>
  <w:num w:numId="66">
    <w:abstractNumId w:val="31"/>
  </w:num>
  <w:num w:numId="67">
    <w:abstractNumId w:val="35"/>
  </w:num>
  <w:num w:numId="68">
    <w:abstractNumId w:val="53"/>
  </w:num>
  <w:num w:numId="69">
    <w:abstractNumId w:val="56"/>
  </w:num>
  <w:num w:numId="70">
    <w:abstractNumId w:val="64"/>
  </w:num>
  <w:num w:numId="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num>
  <w:num w:numId="73">
    <w:abstractNumId w:val="47"/>
  </w:num>
  <w:num w:numId="74">
    <w:abstractNumId w:val="34"/>
  </w:num>
  <w:num w:numId="75">
    <w:abstractNumId w:val="37"/>
  </w:num>
  <w:num w:numId="76">
    <w:abstractNumId w:val="41"/>
  </w:num>
  <w:num w:numId="77">
    <w:abstractNumId w:val="58"/>
  </w:num>
  <w:num w:numId="78">
    <w:abstractNumId w:val="19"/>
  </w:num>
  <w:num w:numId="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num>
  <w:num w:numId="81">
    <w:abstractNumId w:val="27"/>
  </w:num>
  <w:num w:numId="82">
    <w:abstractNumId w:val="13"/>
  </w:num>
  <w:num w:numId="83">
    <w:abstractNumId w:val="55"/>
  </w:num>
  <w:num w:numId="84">
    <w:abstractNumId w:val="22"/>
  </w:num>
  <w:num w:numId="85">
    <w:abstractNumId w:val="40"/>
  </w:num>
  <w:num w:numId="86">
    <w:abstractNumId w:val="1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16BD"/>
    <w:rsid w:val="0000243E"/>
    <w:rsid w:val="0000314D"/>
    <w:rsid w:val="00003577"/>
    <w:rsid w:val="00003583"/>
    <w:rsid w:val="000035D8"/>
    <w:rsid w:val="0000459B"/>
    <w:rsid w:val="0000579C"/>
    <w:rsid w:val="00005E68"/>
    <w:rsid w:val="00005FD8"/>
    <w:rsid w:val="000062D1"/>
    <w:rsid w:val="0000687C"/>
    <w:rsid w:val="0000694F"/>
    <w:rsid w:val="000071CC"/>
    <w:rsid w:val="0000740C"/>
    <w:rsid w:val="00007C0D"/>
    <w:rsid w:val="0001007B"/>
    <w:rsid w:val="00010CF8"/>
    <w:rsid w:val="00011AA7"/>
    <w:rsid w:val="00011AB2"/>
    <w:rsid w:val="00011DF1"/>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35CC"/>
    <w:rsid w:val="000240A2"/>
    <w:rsid w:val="00024BA4"/>
    <w:rsid w:val="00024C55"/>
    <w:rsid w:val="00025467"/>
    <w:rsid w:val="000262E6"/>
    <w:rsid w:val="00026A96"/>
    <w:rsid w:val="00027157"/>
    <w:rsid w:val="000273AD"/>
    <w:rsid w:val="00030530"/>
    <w:rsid w:val="0003065E"/>
    <w:rsid w:val="00031075"/>
    <w:rsid w:val="0003165D"/>
    <w:rsid w:val="0003249B"/>
    <w:rsid w:val="00032BB0"/>
    <w:rsid w:val="00034775"/>
    <w:rsid w:val="00034FFA"/>
    <w:rsid w:val="00036078"/>
    <w:rsid w:val="0003636D"/>
    <w:rsid w:val="000363BF"/>
    <w:rsid w:val="00037556"/>
    <w:rsid w:val="00037AC1"/>
    <w:rsid w:val="00037E02"/>
    <w:rsid w:val="0004098F"/>
    <w:rsid w:val="00040A03"/>
    <w:rsid w:val="00040A90"/>
    <w:rsid w:val="000419F8"/>
    <w:rsid w:val="0004214E"/>
    <w:rsid w:val="0004232C"/>
    <w:rsid w:val="00042438"/>
    <w:rsid w:val="0004338B"/>
    <w:rsid w:val="0004352E"/>
    <w:rsid w:val="00044DC0"/>
    <w:rsid w:val="00044EF8"/>
    <w:rsid w:val="0004553D"/>
    <w:rsid w:val="00046C7E"/>
    <w:rsid w:val="00046DBC"/>
    <w:rsid w:val="000525BC"/>
    <w:rsid w:val="00052C0D"/>
    <w:rsid w:val="00052DA1"/>
    <w:rsid w:val="00052E3E"/>
    <w:rsid w:val="0005371D"/>
    <w:rsid w:val="00055101"/>
    <w:rsid w:val="000553F2"/>
    <w:rsid w:val="00056158"/>
    <w:rsid w:val="00057B0D"/>
    <w:rsid w:val="00057E29"/>
    <w:rsid w:val="00060AD3"/>
    <w:rsid w:val="00060F83"/>
    <w:rsid w:val="000613E3"/>
    <w:rsid w:val="00062B2E"/>
    <w:rsid w:val="000635B2"/>
    <w:rsid w:val="0006399E"/>
    <w:rsid w:val="00063B7E"/>
    <w:rsid w:val="000644EE"/>
    <w:rsid w:val="0006586E"/>
    <w:rsid w:val="00065E44"/>
    <w:rsid w:val="00065F24"/>
    <w:rsid w:val="00066398"/>
    <w:rsid w:val="000668C5"/>
    <w:rsid w:val="00066A84"/>
    <w:rsid w:val="000673F8"/>
    <w:rsid w:val="0007009A"/>
    <w:rsid w:val="00070B19"/>
    <w:rsid w:val="00071CC0"/>
    <w:rsid w:val="00072DD5"/>
    <w:rsid w:val="0007303F"/>
    <w:rsid w:val="00073151"/>
    <w:rsid w:val="0007340C"/>
    <w:rsid w:val="00073AC8"/>
    <w:rsid w:val="000741DE"/>
    <w:rsid w:val="000752EC"/>
    <w:rsid w:val="00076300"/>
    <w:rsid w:val="00077815"/>
    <w:rsid w:val="00077C3D"/>
    <w:rsid w:val="000805C4"/>
    <w:rsid w:val="00081379"/>
    <w:rsid w:val="00081FDE"/>
    <w:rsid w:val="0008289E"/>
    <w:rsid w:val="00082B0B"/>
    <w:rsid w:val="000833DF"/>
    <w:rsid w:val="00083CC7"/>
    <w:rsid w:val="0008408C"/>
    <w:rsid w:val="0008479B"/>
    <w:rsid w:val="000849D6"/>
    <w:rsid w:val="0008652C"/>
    <w:rsid w:val="0008697C"/>
    <w:rsid w:val="00090431"/>
    <w:rsid w:val="0009133F"/>
    <w:rsid w:val="00092E0A"/>
    <w:rsid w:val="00093BA1"/>
    <w:rsid w:val="00093DFF"/>
    <w:rsid w:val="000951B3"/>
    <w:rsid w:val="00096414"/>
    <w:rsid w:val="00096575"/>
    <w:rsid w:val="0009683F"/>
    <w:rsid w:val="000969B3"/>
    <w:rsid w:val="000A0065"/>
    <w:rsid w:val="000A08D7"/>
    <w:rsid w:val="000A2011"/>
    <w:rsid w:val="000A2037"/>
    <w:rsid w:val="000A2A4C"/>
    <w:rsid w:val="000A4261"/>
    <w:rsid w:val="000A4490"/>
    <w:rsid w:val="000A464F"/>
    <w:rsid w:val="000A4D8A"/>
    <w:rsid w:val="000A5E87"/>
    <w:rsid w:val="000A5F63"/>
    <w:rsid w:val="000A615C"/>
    <w:rsid w:val="000A6E25"/>
    <w:rsid w:val="000A79C0"/>
    <w:rsid w:val="000A7F58"/>
    <w:rsid w:val="000B00D6"/>
    <w:rsid w:val="000B0CB0"/>
    <w:rsid w:val="000B1184"/>
    <w:rsid w:val="000B138C"/>
    <w:rsid w:val="000B1991"/>
    <w:rsid w:val="000B1E17"/>
    <w:rsid w:val="000B22A7"/>
    <w:rsid w:val="000B2D39"/>
    <w:rsid w:val="000B2DAA"/>
    <w:rsid w:val="000B3A19"/>
    <w:rsid w:val="000B4337"/>
    <w:rsid w:val="000B44F5"/>
    <w:rsid w:val="000B522C"/>
    <w:rsid w:val="000B55A0"/>
    <w:rsid w:val="000B5615"/>
    <w:rsid w:val="000B597B"/>
    <w:rsid w:val="000B7776"/>
    <w:rsid w:val="000B7C0B"/>
    <w:rsid w:val="000C07C6"/>
    <w:rsid w:val="000C2B51"/>
    <w:rsid w:val="000C317E"/>
    <w:rsid w:val="000C31F3"/>
    <w:rsid w:val="000C327D"/>
    <w:rsid w:val="000C34B4"/>
    <w:rsid w:val="000C34D6"/>
    <w:rsid w:val="000C3B35"/>
    <w:rsid w:val="000C43A3"/>
    <w:rsid w:val="000C4A54"/>
    <w:rsid w:val="000C4DA6"/>
    <w:rsid w:val="000C4E64"/>
    <w:rsid w:val="000C4F78"/>
    <w:rsid w:val="000C5F08"/>
    <w:rsid w:val="000C69AE"/>
    <w:rsid w:val="000C6A52"/>
    <w:rsid w:val="000C6B5E"/>
    <w:rsid w:val="000C6B80"/>
    <w:rsid w:val="000C756E"/>
    <w:rsid w:val="000D04FA"/>
    <w:rsid w:val="000D0562"/>
    <w:rsid w:val="000D0903"/>
    <w:rsid w:val="000D0A9A"/>
    <w:rsid w:val="000D1B5E"/>
    <w:rsid w:val="000D1F5F"/>
    <w:rsid w:val="000D2187"/>
    <w:rsid w:val="000D359D"/>
    <w:rsid w:val="000D3F05"/>
    <w:rsid w:val="000D4257"/>
    <w:rsid w:val="000D4C44"/>
    <w:rsid w:val="000D53D9"/>
    <w:rsid w:val="000D5CCE"/>
    <w:rsid w:val="000D6D35"/>
    <w:rsid w:val="000D7798"/>
    <w:rsid w:val="000E0264"/>
    <w:rsid w:val="000E03C6"/>
    <w:rsid w:val="000E08D0"/>
    <w:rsid w:val="000E0C56"/>
    <w:rsid w:val="000E11A2"/>
    <w:rsid w:val="000E167A"/>
    <w:rsid w:val="000E1E35"/>
    <w:rsid w:val="000E20EB"/>
    <w:rsid w:val="000E23A5"/>
    <w:rsid w:val="000E276D"/>
    <w:rsid w:val="000E2D44"/>
    <w:rsid w:val="000E2F40"/>
    <w:rsid w:val="000E4061"/>
    <w:rsid w:val="000E4B74"/>
    <w:rsid w:val="000E4CD5"/>
    <w:rsid w:val="000E562C"/>
    <w:rsid w:val="000E620A"/>
    <w:rsid w:val="000E62C8"/>
    <w:rsid w:val="000E70D4"/>
    <w:rsid w:val="000E797A"/>
    <w:rsid w:val="000F027E"/>
    <w:rsid w:val="000F0B06"/>
    <w:rsid w:val="000F18DD"/>
    <w:rsid w:val="000F2AE0"/>
    <w:rsid w:val="000F3424"/>
    <w:rsid w:val="000F36F6"/>
    <w:rsid w:val="000F3E01"/>
    <w:rsid w:val="000F48FA"/>
    <w:rsid w:val="000F7174"/>
    <w:rsid w:val="000F7621"/>
    <w:rsid w:val="000F7E57"/>
    <w:rsid w:val="00100216"/>
    <w:rsid w:val="00100509"/>
    <w:rsid w:val="00100CF4"/>
    <w:rsid w:val="00101B22"/>
    <w:rsid w:val="0010200A"/>
    <w:rsid w:val="00102271"/>
    <w:rsid w:val="0010349B"/>
    <w:rsid w:val="00103E5C"/>
    <w:rsid w:val="001045B6"/>
    <w:rsid w:val="00104854"/>
    <w:rsid w:val="0010490E"/>
    <w:rsid w:val="00104BAC"/>
    <w:rsid w:val="00104F23"/>
    <w:rsid w:val="00105258"/>
    <w:rsid w:val="00105D44"/>
    <w:rsid w:val="001061F9"/>
    <w:rsid w:val="00106980"/>
    <w:rsid w:val="00106B83"/>
    <w:rsid w:val="00106FD8"/>
    <w:rsid w:val="001074B6"/>
    <w:rsid w:val="00107A22"/>
    <w:rsid w:val="0011021A"/>
    <w:rsid w:val="00110267"/>
    <w:rsid w:val="00110DF4"/>
    <w:rsid w:val="00110F7F"/>
    <w:rsid w:val="00111506"/>
    <w:rsid w:val="00111ABB"/>
    <w:rsid w:val="00111E3B"/>
    <w:rsid w:val="00112457"/>
    <w:rsid w:val="001137E0"/>
    <w:rsid w:val="00114CE2"/>
    <w:rsid w:val="00115A51"/>
    <w:rsid w:val="00115A9B"/>
    <w:rsid w:val="00115C6B"/>
    <w:rsid w:val="0011744A"/>
    <w:rsid w:val="00117DE3"/>
    <w:rsid w:val="00120961"/>
    <w:rsid w:val="0012162B"/>
    <w:rsid w:val="0012298E"/>
    <w:rsid w:val="00122DEC"/>
    <w:rsid w:val="0012305A"/>
    <w:rsid w:val="00123536"/>
    <w:rsid w:val="00123A91"/>
    <w:rsid w:val="00123A99"/>
    <w:rsid w:val="001246AA"/>
    <w:rsid w:val="001252AE"/>
    <w:rsid w:val="00125362"/>
    <w:rsid w:val="00127273"/>
    <w:rsid w:val="00127536"/>
    <w:rsid w:val="001279B3"/>
    <w:rsid w:val="00127A2D"/>
    <w:rsid w:val="001300A7"/>
    <w:rsid w:val="00130493"/>
    <w:rsid w:val="0013052C"/>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171B"/>
    <w:rsid w:val="00141CCB"/>
    <w:rsid w:val="001420AF"/>
    <w:rsid w:val="00143EA2"/>
    <w:rsid w:val="0014408C"/>
    <w:rsid w:val="00144380"/>
    <w:rsid w:val="00144F0B"/>
    <w:rsid w:val="001450BD"/>
    <w:rsid w:val="001452A7"/>
    <w:rsid w:val="00146033"/>
    <w:rsid w:val="00146445"/>
    <w:rsid w:val="0015014C"/>
    <w:rsid w:val="001505F4"/>
    <w:rsid w:val="00151417"/>
    <w:rsid w:val="00151A65"/>
    <w:rsid w:val="00153FC8"/>
    <w:rsid w:val="0015405F"/>
    <w:rsid w:val="00154230"/>
    <w:rsid w:val="00155480"/>
    <w:rsid w:val="00155A4F"/>
    <w:rsid w:val="001602A2"/>
    <w:rsid w:val="00160DFD"/>
    <w:rsid w:val="00161E9F"/>
    <w:rsid w:val="001622D4"/>
    <w:rsid w:val="001624F7"/>
    <w:rsid w:val="00162F05"/>
    <w:rsid w:val="001642EF"/>
    <w:rsid w:val="001642FE"/>
    <w:rsid w:val="00164534"/>
    <w:rsid w:val="00164671"/>
    <w:rsid w:val="00165CA8"/>
    <w:rsid w:val="001660C2"/>
    <w:rsid w:val="00166904"/>
    <w:rsid w:val="001678AE"/>
    <w:rsid w:val="00170185"/>
    <w:rsid w:val="00170226"/>
    <w:rsid w:val="001712A2"/>
    <w:rsid w:val="001718CC"/>
    <w:rsid w:val="001720CA"/>
    <w:rsid w:val="001721D1"/>
    <w:rsid w:val="00172225"/>
    <w:rsid w:val="00172328"/>
    <w:rsid w:val="00172829"/>
    <w:rsid w:val="00172C81"/>
    <w:rsid w:val="00172F7F"/>
    <w:rsid w:val="001737AC"/>
    <w:rsid w:val="0017423B"/>
    <w:rsid w:val="00176EF8"/>
    <w:rsid w:val="00177EA6"/>
    <w:rsid w:val="001803B9"/>
    <w:rsid w:val="00180B0E"/>
    <w:rsid w:val="001817F4"/>
    <w:rsid w:val="00181A24"/>
    <w:rsid w:val="0018250A"/>
    <w:rsid w:val="00182EAC"/>
    <w:rsid w:val="00182FFB"/>
    <w:rsid w:val="00183EED"/>
    <w:rsid w:val="0018511E"/>
    <w:rsid w:val="001858F1"/>
    <w:rsid w:val="001867EC"/>
    <w:rsid w:val="001869F1"/>
    <w:rsid w:val="001875DA"/>
    <w:rsid w:val="001907F9"/>
    <w:rsid w:val="00190F3D"/>
    <w:rsid w:val="00192137"/>
    <w:rsid w:val="001930CD"/>
    <w:rsid w:val="00193926"/>
    <w:rsid w:val="0019423A"/>
    <w:rsid w:val="001948A9"/>
    <w:rsid w:val="00194969"/>
    <w:rsid w:val="00194ACD"/>
    <w:rsid w:val="001952B5"/>
    <w:rsid w:val="001956C5"/>
    <w:rsid w:val="0019588C"/>
    <w:rsid w:val="00195BF5"/>
    <w:rsid w:val="00195D42"/>
    <w:rsid w:val="00195E18"/>
    <w:rsid w:val="00196B31"/>
    <w:rsid w:val="00197179"/>
    <w:rsid w:val="00197A10"/>
    <w:rsid w:val="001A0F19"/>
    <w:rsid w:val="001A11B0"/>
    <w:rsid w:val="001A1C64"/>
    <w:rsid w:val="001A20AF"/>
    <w:rsid w:val="001A2806"/>
    <w:rsid w:val="001A28C0"/>
    <w:rsid w:val="001A368B"/>
    <w:rsid w:val="001A4511"/>
    <w:rsid w:val="001A46FB"/>
    <w:rsid w:val="001A51FA"/>
    <w:rsid w:val="001A5D9B"/>
    <w:rsid w:val="001A6742"/>
    <w:rsid w:val="001A6862"/>
    <w:rsid w:val="001B09DE"/>
    <w:rsid w:val="001B0DE1"/>
    <w:rsid w:val="001B1C0B"/>
    <w:rsid w:val="001B2A5D"/>
    <w:rsid w:val="001B3327"/>
    <w:rsid w:val="001B36BA"/>
    <w:rsid w:val="001B3F03"/>
    <w:rsid w:val="001B43D0"/>
    <w:rsid w:val="001B4EAA"/>
    <w:rsid w:val="001B5483"/>
    <w:rsid w:val="001B5B14"/>
    <w:rsid w:val="001B5E07"/>
    <w:rsid w:val="001B6272"/>
    <w:rsid w:val="001B62A2"/>
    <w:rsid w:val="001B6C85"/>
    <w:rsid w:val="001B7CCF"/>
    <w:rsid w:val="001B7CE1"/>
    <w:rsid w:val="001C02D9"/>
    <w:rsid w:val="001C02DF"/>
    <w:rsid w:val="001C08C9"/>
    <w:rsid w:val="001C1B5B"/>
    <w:rsid w:val="001C2830"/>
    <w:rsid w:val="001C2A17"/>
    <w:rsid w:val="001C4BA6"/>
    <w:rsid w:val="001C53D3"/>
    <w:rsid w:val="001C597C"/>
    <w:rsid w:val="001C6603"/>
    <w:rsid w:val="001C6ACC"/>
    <w:rsid w:val="001C7328"/>
    <w:rsid w:val="001C7BBA"/>
    <w:rsid w:val="001C7F1A"/>
    <w:rsid w:val="001D03A3"/>
    <w:rsid w:val="001D09AC"/>
    <w:rsid w:val="001D0EC9"/>
    <w:rsid w:val="001D1340"/>
    <w:rsid w:val="001D1782"/>
    <w:rsid w:val="001D201F"/>
    <w:rsid w:val="001D27BB"/>
    <w:rsid w:val="001D29E4"/>
    <w:rsid w:val="001D3896"/>
    <w:rsid w:val="001D4718"/>
    <w:rsid w:val="001D49F8"/>
    <w:rsid w:val="001D4DA5"/>
    <w:rsid w:val="001D513B"/>
    <w:rsid w:val="001D65D0"/>
    <w:rsid w:val="001D69D9"/>
    <w:rsid w:val="001D6C15"/>
    <w:rsid w:val="001D712A"/>
    <w:rsid w:val="001D76D4"/>
    <w:rsid w:val="001E282D"/>
    <w:rsid w:val="001E2CE0"/>
    <w:rsid w:val="001E3267"/>
    <w:rsid w:val="001E3CF3"/>
    <w:rsid w:val="001E465D"/>
    <w:rsid w:val="001E4DC2"/>
    <w:rsid w:val="001E52F4"/>
    <w:rsid w:val="001E5C44"/>
    <w:rsid w:val="001E5DE9"/>
    <w:rsid w:val="001E5E68"/>
    <w:rsid w:val="001E60B8"/>
    <w:rsid w:val="001E659F"/>
    <w:rsid w:val="001E7CCD"/>
    <w:rsid w:val="001F00B7"/>
    <w:rsid w:val="001F1B51"/>
    <w:rsid w:val="001F2424"/>
    <w:rsid w:val="001F24BD"/>
    <w:rsid w:val="001F2ED0"/>
    <w:rsid w:val="001F3068"/>
    <w:rsid w:val="001F32A5"/>
    <w:rsid w:val="001F42E4"/>
    <w:rsid w:val="001F45CE"/>
    <w:rsid w:val="001F5D08"/>
    <w:rsid w:val="001F6379"/>
    <w:rsid w:val="00200152"/>
    <w:rsid w:val="002004E1"/>
    <w:rsid w:val="0020114E"/>
    <w:rsid w:val="002017E2"/>
    <w:rsid w:val="00202DFC"/>
    <w:rsid w:val="00203F73"/>
    <w:rsid w:val="002067C9"/>
    <w:rsid w:val="00207A20"/>
    <w:rsid w:val="00207C66"/>
    <w:rsid w:val="002101F0"/>
    <w:rsid w:val="0021021D"/>
    <w:rsid w:val="00211AB8"/>
    <w:rsid w:val="00211D98"/>
    <w:rsid w:val="0021219A"/>
    <w:rsid w:val="00212BF6"/>
    <w:rsid w:val="00212D0E"/>
    <w:rsid w:val="00213E81"/>
    <w:rsid w:val="0021431B"/>
    <w:rsid w:val="00214903"/>
    <w:rsid w:val="00214A1F"/>
    <w:rsid w:val="00216D80"/>
    <w:rsid w:val="00216EA1"/>
    <w:rsid w:val="00217440"/>
    <w:rsid w:val="00220403"/>
    <w:rsid w:val="00220627"/>
    <w:rsid w:val="0022081B"/>
    <w:rsid w:val="00221230"/>
    <w:rsid w:val="002216AD"/>
    <w:rsid w:val="00222148"/>
    <w:rsid w:val="00222382"/>
    <w:rsid w:val="00222B57"/>
    <w:rsid w:val="00222C72"/>
    <w:rsid w:val="002232D1"/>
    <w:rsid w:val="00224E34"/>
    <w:rsid w:val="0022578C"/>
    <w:rsid w:val="00226A9A"/>
    <w:rsid w:val="00226C2F"/>
    <w:rsid w:val="00226CEA"/>
    <w:rsid w:val="00226D9F"/>
    <w:rsid w:val="00226FCB"/>
    <w:rsid w:val="00227080"/>
    <w:rsid w:val="002277F9"/>
    <w:rsid w:val="00227D98"/>
    <w:rsid w:val="0023055D"/>
    <w:rsid w:val="00230A2B"/>
    <w:rsid w:val="00231B61"/>
    <w:rsid w:val="00231F6C"/>
    <w:rsid w:val="002330BB"/>
    <w:rsid w:val="002346F5"/>
    <w:rsid w:val="00234A47"/>
    <w:rsid w:val="00235894"/>
    <w:rsid w:val="00235F40"/>
    <w:rsid w:val="00236D85"/>
    <w:rsid w:val="00236E43"/>
    <w:rsid w:val="00240385"/>
    <w:rsid w:val="00242EEE"/>
    <w:rsid w:val="00243BE9"/>
    <w:rsid w:val="002442FE"/>
    <w:rsid w:val="002443B2"/>
    <w:rsid w:val="002446AC"/>
    <w:rsid w:val="00244880"/>
    <w:rsid w:val="00244DC5"/>
    <w:rsid w:val="00245131"/>
    <w:rsid w:val="002451E3"/>
    <w:rsid w:val="0024525E"/>
    <w:rsid w:val="00245C4E"/>
    <w:rsid w:val="002469C9"/>
    <w:rsid w:val="00246B7A"/>
    <w:rsid w:val="00246D3F"/>
    <w:rsid w:val="00247042"/>
    <w:rsid w:val="00247832"/>
    <w:rsid w:val="00247C18"/>
    <w:rsid w:val="00250525"/>
    <w:rsid w:val="00250C11"/>
    <w:rsid w:val="00250CF5"/>
    <w:rsid w:val="0025156D"/>
    <w:rsid w:val="00251D59"/>
    <w:rsid w:val="00251F63"/>
    <w:rsid w:val="002530A1"/>
    <w:rsid w:val="002536AC"/>
    <w:rsid w:val="00253BC3"/>
    <w:rsid w:val="00254170"/>
    <w:rsid w:val="002547F6"/>
    <w:rsid w:val="00254F96"/>
    <w:rsid w:val="002566AB"/>
    <w:rsid w:val="00257FB2"/>
    <w:rsid w:val="00257FDA"/>
    <w:rsid w:val="00260111"/>
    <w:rsid w:val="00260A42"/>
    <w:rsid w:val="002611CF"/>
    <w:rsid w:val="002612BF"/>
    <w:rsid w:val="002618D4"/>
    <w:rsid w:val="00261986"/>
    <w:rsid w:val="002619F0"/>
    <w:rsid w:val="00261D7F"/>
    <w:rsid w:val="00262481"/>
    <w:rsid w:val="00262D77"/>
    <w:rsid w:val="00263167"/>
    <w:rsid w:val="00264420"/>
    <w:rsid w:val="00264C18"/>
    <w:rsid w:val="00265B88"/>
    <w:rsid w:val="00265BC2"/>
    <w:rsid w:val="002662F6"/>
    <w:rsid w:val="00266329"/>
    <w:rsid w:val="00267C03"/>
    <w:rsid w:val="00270215"/>
    <w:rsid w:val="002714E9"/>
    <w:rsid w:val="00271935"/>
    <w:rsid w:val="00271EC3"/>
    <w:rsid w:val="00271FAE"/>
    <w:rsid w:val="00272178"/>
    <w:rsid w:val="00272AD7"/>
    <w:rsid w:val="00272EFB"/>
    <w:rsid w:val="00272F10"/>
    <w:rsid w:val="00274B8B"/>
    <w:rsid w:val="00276D9D"/>
    <w:rsid w:val="00276EDC"/>
    <w:rsid w:val="00277135"/>
    <w:rsid w:val="002811C2"/>
    <w:rsid w:val="00281521"/>
    <w:rsid w:val="0028198A"/>
    <w:rsid w:val="00282312"/>
    <w:rsid w:val="0028277B"/>
    <w:rsid w:val="0028417F"/>
    <w:rsid w:val="0028433B"/>
    <w:rsid w:val="00284561"/>
    <w:rsid w:val="00285287"/>
    <w:rsid w:val="002852DD"/>
    <w:rsid w:val="0028593B"/>
    <w:rsid w:val="00285F58"/>
    <w:rsid w:val="002862FD"/>
    <w:rsid w:val="002876F0"/>
    <w:rsid w:val="00287AC7"/>
    <w:rsid w:val="00287D87"/>
    <w:rsid w:val="0029046B"/>
    <w:rsid w:val="00290F12"/>
    <w:rsid w:val="00291F3E"/>
    <w:rsid w:val="00292430"/>
    <w:rsid w:val="002926DD"/>
    <w:rsid w:val="0029272C"/>
    <w:rsid w:val="0029287F"/>
    <w:rsid w:val="00293465"/>
    <w:rsid w:val="00294F98"/>
    <w:rsid w:val="00295A53"/>
    <w:rsid w:val="00295FD6"/>
    <w:rsid w:val="0029676D"/>
    <w:rsid w:val="00296AC5"/>
    <w:rsid w:val="00296C7A"/>
    <w:rsid w:val="00296D38"/>
    <w:rsid w:val="00296E3B"/>
    <w:rsid w:val="00297193"/>
    <w:rsid w:val="00297657"/>
    <w:rsid w:val="00297C9D"/>
    <w:rsid w:val="00297FCC"/>
    <w:rsid w:val="002A0E03"/>
    <w:rsid w:val="002A1147"/>
    <w:rsid w:val="002A1306"/>
    <w:rsid w:val="002A177B"/>
    <w:rsid w:val="002A1C6B"/>
    <w:rsid w:val="002A2DA9"/>
    <w:rsid w:val="002A38E7"/>
    <w:rsid w:val="002A3E4D"/>
    <w:rsid w:val="002A3E56"/>
    <w:rsid w:val="002A45C1"/>
    <w:rsid w:val="002A47F4"/>
    <w:rsid w:val="002A51EB"/>
    <w:rsid w:val="002A535A"/>
    <w:rsid w:val="002A6142"/>
    <w:rsid w:val="002A6C6D"/>
    <w:rsid w:val="002A7660"/>
    <w:rsid w:val="002B0099"/>
    <w:rsid w:val="002B09B6"/>
    <w:rsid w:val="002B09ED"/>
    <w:rsid w:val="002B10F9"/>
    <w:rsid w:val="002B129B"/>
    <w:rsid w:val="002B1AB0"/>
    <w:rsid w:val="002B1B66"/>
    <w:rsid w:val="002B2742"/>
    <w:rsid w:val="002B385D"/>
    <w:rsid w:val="002B4620"/>
    <w:rsid w:val="002B4C24"/>
    <w:rsid w:val="002B5660"/>
    <w:rsid w:val="002B5733"/>
    <w:rsid w:val="002B5A7F"/>
    <w:rsid w:val="002B5B15"/>
    <w:rsid w:val="002B5B28"/>
    <w:rsid w:val="002B5F43"/>
    <w:rsid w:val="002C00A0"/>
    <w:rsid w:val="002C0A35"/>
    <w:rsid w:val="002C0E1E"/>
    <w:rsid w:val="002C14B0"/>
    <w:rsid w:val="002C1DF7"/>
    <w:rsid w:val="002C2056"/>
    <w:rsid w:val="002C2746"/>
    <w:rsid w:val="002C43B8"/>
    <w:rsid w:val="002C466B"/>
    <w:rsid w:val="002C471C"/>
    <w:rsid w:val="002C5768"/>
    <w:rsid w:val="002C5AE5"/>
    <w:rsid w:val="002C5FE4"/>
    <w:rsid w:val="002C621C"/>
    <w:rsid w:val="002D0581"/>
    <w:rsid w:val="002D0F24"/>
    <w:rsid w:val="002D0FAF"/>
    <w:rsid w:val="002D13CB"/>
    <w:rsid w:val="002D1855"/>
    <w:rsid w:val="002D2607"/>
    <w:rsid w:val="002D2C06"/>
    <w:rsid w:val="002D2DC7"/>
    <w:rsid w:val="002D3517"/>
    <w:rsid w:val="002D52CA"/>
    <w:rsid w:val="002D6428"/>
    <w:rsid w:val="002D6748"/>
    <w:rsid w:val="002D6B5E"/>
    <w:rsid w:val="002D6C1B"/>
    <w:rsid w:val="002D720E"/>
    <w:rsid w:val="002E0040"/>
    <w:rsid w:val="002E0233"/>
    <w:rsid w:val="002E18F3"/>
    <w:rsid w:val="002E251A"/>
    <w:rsid w:val="002E2BEC"/>
    <w:rsid w:val="002E367A"/>
    <w:rsid w:val="002E3A5A"/>
    <w:rsid w:val="002E3CA8"/>
    <w:rsid w:val="002E4CD5"/>
    <w:rsid w:val="002E4ED1"/>
    <w:rsid w:val="002E5556"/>
    <w:rsid w:val="002F113D"/>
    <w:rsid w:val="002F115B"/>
    <w:rsid w:val="002F1D1F"/>
    <w:rsid w:val="002F28CA"/>
    <w:rsid w:val="002F2933"/>
    <w:rsid w:val="002F2D94"/>
    <w:rsid w:val="002F3389"/>
    <w:rsid w:val="002F4689"/>
    <w:rsid w:val="002F57D8"/>
    <w:rsid w:val="002F5D25"/>
    <w:rsid w:val="002F65AB"/>
    <w:rsid w:val="002F65BC"/>
    <w:rsid w:val="002F71EC"/>
    <w:rsid w:val="002F7D07"/>
    <w:rsid w:val="002F7E8A"/>
    <w:rsid w:val="003001C7"/>
    <w:rsid w:val="003005AC"/>
    <w:rsid w:val="00300D02"/>
    <w:rsid w:val="003015F1"/>
    <w:rsid w:val="003019AF"/>
    <w:rsid w:val="003027D2"/>
    <w:rsid w:val="00302AF5"/>
    <w:rsid w:val="003038C5"/>
    <w:rsid w:val="00306CEE"/>
    <w:rsid w:val="00307289"/>
    <w:rsid w:val="00310055"/>
    <w:rsid w:val="003100D0"/>
    <w:rsid w:val="003106BC"/>
    <w:rsid w:val="0031184D"/>
    <w:rsid w:val="00311CBF"/>
    <w:rsid w:val="003133FB"/>
    <w:rsid w:val="00313BBC"/>
    <w:rsid w:val="00313FA2"/>
    <w:rsid w:val="00314704"/>
    <w:rsid w:val="0031506C"/>
    <w:rsid w:val="003159B5"/>
    <w:rsid w:val="00315FB5"/>
    <w:rsid w:val="003161DC"/>
    <w:rsid w:val="00317D97"/>
    <w:rsid w:val="00320027"/>
    <w:rsid w:val="003206C6"/>
    <w:rsid w:val="003209F9"/>
    <w:rsid w:val="00320EA3"/>
    <w:rsid w:val="003211B4"/>
    <w:rsid w:val="00321B06"/>
    <w:rsid w:val="00322114"/>
    <w:rsid w:val="00322126"/>
    <w:rsid w:val="00322355"/>
    <w:rsid w:val="0032256A"/>
    <w:rsid w:val="00323F19"/>
    <w:rsid w:val="003240A3"/>
    <w:rsid w:val="00325582"/>
    <w:rsid w:val="003259F6"/>
    <w:rsid w:val="00326AD1"/>
    <w:rsid w:val="003271A6"/>
    <w:rsid w:val="003322E9"/>
    <w:rsid w:val="003327FA"/>
    <w:rsid w:val="00332F58"/>
    <w:rsid w:val="00333E81"/>
    <w:rsid w:val="003340F3"/>
    <w:rsid w:val="003349F3"/>
    <w:rsid w:val="00335039"/>
    <w:rsid w:val="00335B3C"/>
    <w:rsid w:val="00335BDC"/>
    <w:rsid w:val="003363C9"/>
    <w:rsid w:val="003364E6"/>
    <w:rsid w:val="0033741C"/>
    <w:rsid w:val="003416C1"/>
    <w:rsid w:val="00342087"/>
    <w:rsid w:val="003420F9"/>
    <w:rsid w:val="00342D0A"/>
    <w:rsid w:val="0034303A"/>
    <w:rsid w:val="00343643"/>
    <w:rsid w:val="00343B92"/>
    <w:rsid w:val="00344221"/>
    <w:rsid w:val="0034447B"/>
    <w:rsid w:val="00344AF3"/>
    <w:rsid w:val="00344BC3"/>
    <w:rsid w:val="00344D1D"/>
    <w:rsid w:val="00346B05"/>
    <w:rsid w:val="00351215"/>
    <w:rsid w:val="0035202F"/>
    <w:rsid w:val="0035248D"/>
    <w:rsid w:val="003527CC"/>
    <w:rsid w:val="00352829"/>
    <w:rsid w:val="00352EA5"/>
    <w:rsid w:val="00352EF1"/>
    <w:rsid w:val="00353428"/>
    <w:rsid w:val="0035355B"/>
    <w:rsid w:val="00353CBF"/>
    <w:rsid w:val="00354604"/>
    <w:rsid w:val="003549A0"/>
    <w:rsid w:val="003552BD"/>
    <w:rsid w:val="003560E1"/>
    <w:rsid w:val="003565D1"/>
    <w:rsid w:val="00356ED2"/>
    <w:rsid w:val="003576AB"/>
    <w:rsid w:val="0036055C"/>
    <w:rsid w:val="0036071F"/>
    <w:rsid w:val="00362EEB"/>
    <w:rsid w:val="00363657"/>
    <w:rsid w:val="0036437D"/>
    <w:rsid w:val="00365288"/>
    <w:rsid w:val="00365CF4"/>
    <w:rsid w:val="003703B2"/>
    <w:rsid w:val="00370E02"/>
    <w:rsid w:val="0037128B"/>
    <w:rsid w:val="0037141F"/>
    <w:rsid w:val="00372018"/>
    <w:rsid w:val="003728F9"/>
    <w:rsid w:val="00374A77"/>
    <w:rsid w:val="00375C2F"/>
    <w:rsid w:val="0037640A"/>
    <w:rsid w:val="00377420"/>
    <w:rsid w:val="00381648"/>
    <w:rsid w:val="003816D7"/>
    <w:rsid w:val="003823AF"/>
    <w:rsid w:val="00383297"/>
    <w:rsid w:val="00383A3A"/>
    <w:rsid w:val="00383B40"/>
    <w:rsid w:val="003848A4"/>
    <w:rsid w:val="00385FC0"/>
    <w:rsid w:val="00386902"/>
    <w:rsid w:val="00386B22"/>
    <w:rsid w:val="003871B6"/>
    <w:rsid w:val="00387218"/>
    <w:rsid w:val="00387369"/>
    <w:rsid w:val="00387FC0"/>
    <w:rsid w:val="003900DB"/>
    <w:rsid w:val="003903AE"/>
    <w:rsid w:val="00390825"/>
    <w:rsid w:val="003908CC"/>
    <w:rsid w:val="00391474"/>
    <w:rsid w:val="00392716"/>
    <w:rsid w:val="00393464"/>
    <w:rsid w:val="003941BA"/>
    <w:rsid w:val="00394349"/>
    <w:rsid w:val="0039610D"/>
    <w:rsid w:val="003970B7"/>
    <w:rsid w:val="003A0BCC"/>
    <w:rsid w:val="003A270D"/>
    <w:rsid w:val="003A339F"/>
    <w:rsid w:val="003A3C3E"/>
    <w:rsid w:val="003A3D7F"/>
    <w:rsid w:val="003A402D"/>
    <w:rsid w:val="003A48C0"/>
    <w:rsid w:val="003A4A83"/>
    <w:rsid w:val="003A5754"/>
    <w:rsid w:val="003A5D94"/>
    <w:rsid w:val="003A638D"/>
    <w:rsid w:val="003A6B9B"/>
    <w:rsid w:val="003A79AD"/>
    <w:rsid w:val="003B0568"/>
    <w:rsid w:val="003B0700"/>
    <w:rsid w:val="003B18C7"/>
    <w:rsid w:val="003B29BA"/>
    <w:rsid w:val="003B2EF1"/>
    <w:rsid w:val="003B38AE"/>
    <w:rsid w:val="003B424B"/>
    <w:rsid w:val="003B4A52"/>
    <w:rsid w:val="003B50DD"/>
    <w:rsid w:val="003B575D"/>
    <w:rsid w:val="003B6AC4"/>
    <w:rsid w:val="003B6C31"/>
    <w:rsid w:val="003C001C"/>
    <w:rsid w:val="003C0787"/>
    <w:rsid w:val="003C19C8"/>
    <w:rsid w:val="003C2226"/>
    <w:rsid w:val="003C280B"/>
    <w:rsid w:val="003C2AB0"/>
    <w:rsid w:val="003C2F23"/>
    <w:rsid w:val="003C30E5"/>
    <w:rsid w:val="003C3144"/>
    <w:rsid w:val="003C37BC"/>
    <w:rsid w:val="003C451C"/>
    <w:rsid w:val="003C588E"/>
    <w:rsid w:val="003C5915"/>
    <w:rsid w:val="003C6EA3"/>
    <w:rsid w:val="003D061B"/>
    <w:rsid w:val="003D09C5"/>
    <w:rsid w:val="003D290C"/>
    <w:rsid w:val="003D3AE8"/>
    <w:rsid w:val="003D521B"/>
    <w:rsid w:val="003D5C41"/>
    <w:rsid w:val="003D635D"/>
    <w:rsid w:val="003D7548"/>
    <w:rsid w:val="003D7F5C"/>
    <w:rsid w:val="003E0690"/>
    <w:rsid w:val="003E0C6C"/>
    <w:rsid w:val="003E22CB"/>
    <w:rsid w:val="003E2735"/>
    <w:rsid w:val="003E2A09"/>
    <w:rsid w:val="003E316D"/>
    <w:rsid w:val="003E339B"/>
    <w:rsid w:val="003E354A"/>
    <w:rsid w:val="003E38D5"/>
    <w:rsid w:val="003E428A"/>
    <w:rsid w:val="003E44A7"/>
    <w:rsid w:val="003E4581"/>
    <w:rsid w:val="003E4BF0"/>
    <w:rsid w:val="003E5B2A"/>
    <w:rsid w:val="003E639F"/>
    <w:rsid w:val="003E63B6"/>
    <w:rsid w:val="003E6E52"/>
    <w:rsid w:val="003E785D"/>
    <w:rsid w:val="003F044F"/>
    <w:rsid w:val="003F0BEC"/>
    <w:rsid w:val="003F1913"/>
    <w:rsid w:val="003F1A84"/>
    <w:rsid w:val="003F3392"/>
    <w:rsid w:val="003F385C"/>
    <w:rsid w:val="003F5421"/>
    <w:rsid w:val="003F5453"/>
    <w:rsid w:val="003F5F9A"/>
    <w:rsid w:val="003F65A5"/>
    <w:rsid w:val="003F6A1B"/>
    <w:rsid w:val="003F7220"/>
    <w:rsid w:val="003F745B"/>
    <w:rsid w:val="003F7476"/>
    <w:rsid w:val="003F7C5F"/>
    <w:rsid w:val="00400EC3"/>
    <w:rsid w:val="004023A1"/>
    <w:rsid w:val="004028F2"/>
    <w:rsid w:val="00402CA9"/>
    <w:rsid w:val="0040427E"/>
    <w:rsid w:val="0040475A"/>
    <w:rsid w:val="00404C02"/>
    <w:rsid w:val="00405D85"/>
    <w:rsid w:val="00407403"/>
    <w:rsid w:val="004102B0"/>
    <w:rsid w:val="004108DC"/>
    <w:rsid w:val="00411141"/>
    <w:rsid w:val="004112A6"/>
    <w:rsid w:val="00412C49"/>
    <w:rsid w:val="004131A3"/>
    <w:rsid w:val="004131EC"/>
    <w:rsid w:val="00414211"/>
    <w:rsid w:val="004142C1"/>
    <w:rsid w:val="004149EB"/>
    <w:rsid w:val="004161D7"/>
    <w:rsid w:val="00420081"/>
    <w:rsid w:val="004208B5"/>
    <w:rsid w:val="004223FA"/>
    <w:rsid w:val="004230D5"/>
    <w:rsid w:val="00423435"/>
    <w:rsid w:val="004234A1"/>
    <w:rsid w:val="00424DCB"/>
    <w:rsid w:val="00425052"/>
    <w:rsid w:val="00425090"/>
    <w:rsid w:val="0042548E"/>
    <w:rsid w:val="00425C44"/>
    <w:rsid w:val="004267B3"/>
    <w:rsid w:val="00427819"/>
    <w:rsid w:val="00427AC0"/>
    <w:rsid w:val="00430723"/>
    <w:rsid w:val="00430ADC"/>
    <w:rsid w:val="00430D2E"/>
    <w:rsid w:val="00430F31"/>
    <w:rsid w:val="00431870"/>
    <w:rsid w:val="0043194E"/>
    <w:rsid w:val="00431A0E"/>
    <w:rsid w:val="00436036"/>
    <w:rsid w:val="00436853"/>
    <w:rsid w:val="00437174"/>
    <w:rsid w:val="00437CDA"/>
    <w:rsid w:val="00441028"/>
    <w:rsid w:val="00441195"/>
    <w:rsid w:val="00441373"/>
    <w:rsid w:val="00443024"/>
    <w:rsid w:val="00443096"/>
    <w:rsid w:val="004431AE"/>
    <w:rsid w:val="004436AA"/>
    <w:rsid w:val="00443D30"/>
    <w:rsid w:val="00443FC0"/>
    <w:rsid w:val="004453FD"/>
    <w:rsid w:val="00445D92"/>
    <w:rsid w:val="0044632D"/>
    <w:rsid w:val="00452841"/>
    <w:rsid w:val="00452B86"/>
    <w:rsid w:val="00452C26"/>
    <w:rsid w:val="00452C7A"/>
    <w:rsid w:val="00453537"/>
    <w:rsid w:val="0045385D"/>
    <w:rsid w:val="00453DBA"/>
    <w:rsid w:val="00453E77"/>
    <w:rsid w:val="00453EFC"/>
    <w:rsid w:val="00453F62"/>
    <w:rsid w:val="004545F3"/>
    <w:rsid w:val="00454FDE"/>
    <w:rsid w:val="00455160"/>
    <w:rsid w:val="004552D7"/>
    <w:rsid w:val="00456C04"/>
    <w:rsid w:val="00456C23"/>
    <w:rsid w:val="00456DA5"/>
    <w:rsid w:val="00457D2C"/>
    <w:rsid w:val="00457E6C"/>
    <w:rsid w:val="00461AAE"/>
    <w:rsid w:val="004622C2"/>
    <w:rsid w:val="00462B9F"/>
    <w:rsid w:val="0046368F"/>
    <w:rsid w:val="004639AD"/>
    <w:rsid w:val="00463CB3"/>
    <w:rsid w:val="00463F04"/>
    <w:rsid w:val="00464E2C"/>
    <w:rsid w:val="004656CB"/>
    <w:rsid w:val="00466F9B"/>
    <w:rsid w:val="004671DC"/>
    <w:rsid w:val="004678C6"/>
    <w:rsid w:val="00470E18"/>
    <w:rsid w:val="004710B7"/>
    <w:rsid w:val="004712C0"/>
    <w:rsid w:val="004714FC"/>
    <w:rsid w:val="0047216E"/>
    <w:rsid w:val="00473161"/>
    <w:rsid w:val="004749FB"/>
    <w:rsid w:val="00475473"/>
    <w:rsid w:val="0047583D"/>
    <w:rsid w:val="00475C18"/>
    <w:rsid w:val="0047643D"/>
    <w:rsid w:val="00476546"/>
    <w:rsid w:val="0048079E"/>
    <w:rsid w:val="00480913"/>
    <w:rsid w:val="00480B95"/>
    <w:rsid w:val="00480C37"/>
    <w:rsid w:val="00480CC8"/>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60E"/>
    <w:rsid w:val="004938CD"/>
    <w:rsid w:val="00493A46"/>
    <w:rsid w:val="00494050"/>
    <w:rsid w:val="00494814"/>
    <w:rsid w:val="00495081"/>
    <w:rsid w:val="00495971"/>
    <w:rsid w:val="00495B49"/>
    <w:rsid w:val="004960E4"/>
    <w:rsid w:val="00496465"/>
    <w:rsid w:val="00496FF5"/>
    <w:rsid w:val="00497583"/>
    <w:rsid w:val="00497929"/>
    <w:rsid w:val="00497AEC"/>
    <w:rsid w:val="004A169C"/>
    <w:rsid w:val="004A2224"/>
    <w:rsid w:val="004A238A"/>
    <w:rsid w:val="004A2472"/>
    <w:rsid w:val="004A2CCD"/>
    <w:rsid w:val="004A343A"/>
    <w:rsid w:val="004A500A"/>
    <w:rsid w:val="004A7109"/>
    <w:rsid w:val="004B0257"/>
    <w:rsid w:val="004B0468"/>
    <w:rsid w:val="004B0697"/>
    <w:rsid w:val="004B0ACE"/>
    <w:rsid w:val="004B1409"/>
    <w:rsid w:val="004B2923"/>
    <w:rsid w:val="004B2F6E"/>
    <w:rsid w:val="004B3CEA"/>
    <w:rsid w:val="004B43E7"/>
    <w:rsid w:val="004B44EC"/>
    <w:rsid w:val="004B4FEC"/>
    <w:rsid w:val="004B6C3D"/>
    <w:rsid w:val="004B7F77"/>
    <w:rsid w:val="004C0140"/>
    <w:rsid w:val="004C02B1"/>
    <w:rsid w:val="004C0867"/>
    <w:rsid w:val="004C0932"/>
    <w:rsid w:val="004C13C3"/>
    <w:rsid w:val="004C1646"/>
    <w:rsid w:val="004C1795"/>
    <w:rsid w:val="004C17CA"/>
    <w:rsid w:val="004C1C42"/>
    <w:rsid w:val="004C1FCF"/>
    <w:rsid w:val="004C3151"/>
    <w:rsid w:val="004C368D"/>
    <w:rsid w:val="004C37F5"/>
    <w:rsid w:val="004C4D0B"/>
    <w:rsid w:val="004C531D"/>
    <w:rsid w:val="004C6F6D"/>
    <w:rsid w:val="004D033A"/>
    <w:rsid w:val="004D0CF5"/>
    <w:rsid w:val="004D19FC"/>
    <w:rsid w:val="004D2CBD"/>
    <w:rsid w:val="004D3D46"/>
    <w:rsid w:val="004D58C0"/>
    <w:rsid w:val="004D5A91"/>
    <w:rsid w:val="004D5BB6"/>
    <w:rsid w:val="004D5BED"/>
    <w:rsid w:val="004D61B0"/>
    <w:rsid w:val="004D6A7F"/>
    <w:rsid w:val="004D6DD1"/>
    <w:rsid w:val="004D7201"/>
    <w:rsid w:val="004E0184"/>
    <w:rsid w:val="004E069C"/>
    <w:rsid w:val="004E0B0A"/>
    <w:rsid w:val="004E0B71"/>
    <w:rsid w:val="004E2063"/>
    <w:rsid w:val="004E31D8"/>
    <w:rsid w:val="004E4327"/>
    <w:rsid w:val="004E43BF"/>
    <w:rsid w:val="004E5976"/>
    <w:rsid w:val="004E74C9"/>
    <w:rsid w:val="004E75D4"/>
    <w:rsid w:val="004F0366"/>
    <w:rsid w:val="004F12AC"/>
    <w:rsid w:val="004F1733"/>
    <w:rsid w:val="004F222D"/>
    <w:rsid w:val="004F2FAF"/>
    <w:rsid w:val="004F3523"/>
    <w:rsid w:val="004F3711"/>
    <w:rsid w:val="004F3D4A"/>
    <w:rsid w:val="004F4C5B"/>
    <w:rsid w:val="004F5112"/>
    <w:rsid w:val="004F5841"/>
    <w:rsid w:val="004F744C"/>
    <w:rsid w:val="004F75B8"/>
    <w:rsid w:val="004F76F0"/>
    <w:rsid w:val="00500011"/>
    <w:rsid w:val="00501068"/>
    <w:rsid w:val="0050156B"/>
    <w:rsid w:val="00501C36"/>
    <w:rsid w:val="00502558"/>
    <w:rsid w:val="00502D31"/>
    <w:rsid w:val="0050697C"/>
    <w:rsid w:val="00506B23"/>
    <w:rsid w:val="0050723E"/>
    <w:rsid w:val="005075EB"/>
    <w:rsid w:val="00510511"/>
    <w:rsid w:val="005108D4"/>
    <w:rsid w:val="00510C4D"/>
    <w:rsid w:val="00510C89"/>
    <w:rsid w:val="00511003"/>
    <w:rsid w:val="00512453"/>
    <w:rsid w:val="00512583"/>
    <w:rsid w:val="005126AD"/>
    <w:rsid w:val="00512E13"/>
    <w:rsid w:val="00512EB0"/>
    <w:rsid w:val="0051430B"/>
    <w:rsid w:val="00514FEF"/>
    <w:rsid w:val="005158AD"/>
    <w:rsid w:val="005163DB"/>
    <w:rsid w:val="005164D0"/>
    <w:rsid w:val="00516B9D"/>
    <w:rsid w:val="00516E21"/>
    <w:rsid w:val="0051798D"/>
    <w:rsid w:val="00517A79"/>
    <w:rsid w:val="00517B97"/>
    <w:rsid w:val="00520403"/>
    <w:rsid w:val="0052054C"/>
    <w:rsid w:val="00521250"/>
    <w:rsid w:val="005224BF"/>
    <w:rsid w:val="0052269A"/>
    <w:rsid w:val="00522DA5"/>
    <w:rsid w:val="00522EF8"/>
    <w:rsid w:val="0052322E"/>
    <w:rsid w:val="00523CFB"/>
    <w:rsid w:val="005242BA"/>
    <w:rsid w:val="0052494A"/>
    <w:rsid w:val="00525943"/>
    <w:rsid w:val="00525C61"/>
    <w:rsid w:val="0052630B"/>
    <w:rsid w:val="00526413"/>
    <w:rsid w:val="005265DD"/>
    <w:rsid w:val="00526899"/>
    <w:rsid w:val="00526928"/>
    <w:rsid w:val="00526C43"/>
    <w:rsid w:val="00527787"/>
    <w:rsid w:val="005277BC"/>
    <w:rsid w:val="00527857"/>
    <w:rsid w:val="005304C8"/>
    <w:rsid w:val="0053072B"/>
    <w:rsid w:val="0053262C"/>
    <w:rsid w:val="00532774"/>
    <w:rsid w:val="00532882"/>
    <w:rsid w:val="0053412C"/>
    <w:rsid w:val="00534248"/>
    <w:rsid w:val="00534B4C"/>
    <w:rsid w:val="00534C22"/>
    <w:rsid w:val="00535DC6"/>
    <w:rsid w:val="005365FF"/>
    <w:rsid w:val="00537A0D"/>
    <w:rsid w:val="0054009F"/>
    <w:rsid w:val="005409E2"/>
    <w:rsid w:val="00540CC3"/>
    <w:rsid w:val="005410A3"/>
    <w:rsid w:val="00541A30"/>
    <w:rsid w:val="00542845"/>
    <w:rsid w:val="0054308F"/>
    <w:rsid w:val="005430B0"/>
    <w:rsid w:val="00543A99"/>
    <w:rsid w:val="0054403B"/>
    <w:rsid w:val="00544300"/>
    <w:rsid w:val="005447D1"/>
    <w:rsid w:val="00544899"/>
    <w:rsid w:val="00544BAA"/>
    <w:rsid w:val="00545737"/>
    <w:rsid w:val="0054574E"/>
    <w:rsid w:val="0054620D"/>
    <w:rsid w:val="00546823"/>
    <w:rsid w:val="0054745E"/>
    <w:rsid w:val="00550932"/>
    <w:rsid w:val="005509F8"/>
    <w:rsid w:val="00550C6F"/>
    <w:rsid w:val="005511D6"/>
    <w:rsid w:val="00551817"/>
    <w:rsid w:val="00551AA1"/>
    <w:rsid w:val="00552602"/>
    <w:rsid w:val="00553DBD"/>
    <w:rsid w:val="00554BA4"/>
    <w:rsid w:val="00554E27"/>
    <w:rsid w:val="00555308"/>
    <w:rsid w:val="005571C0"/>
    <w:rsid w:val="00557246"/>
    <w:rsid w:val="00557E0C"/>
    <w:rsid w:val="00560CC4"/>
    <w:rsid w:val="005616DA"/>
    <w:rsid w:val="00561C96"/>
    <w:rsid w:val="005631EB"/>
    <w:rsid w:val="005632D8"/>
    <w:rsid w:val="00564451"/>
    <w:rsid w:val="00565026"/>
    <w:rsid w:val="005652A4"/>
    <w:rsid w:val="00565996"/>
    <w:rsid w:val="00565D77"/>
    <w:rsid w:val="00566D72"/>
    <w:rsid w:val="005678AD"/>
    <w:rsid w:val="00570DD8"/>
    <w:rsid w:val="005716C1"/>
    <w:rsid w:val="00571845"/>
    <w:rsid w:val="005718EF"/>
    <w:rsid w:val="00572707"/>
    <w:rsid w:val="00572E54"/>
    <w:rsid w:val="0057327E"/>
    <w:rsid w:val="00573821"/>
    <w:rsid w:val="0057495B"/>
    <w:rsid w:val="005753B8"/>
    <w:rsid w:val="00575E76"/>
    <w:rsid w:val="00576028"/>
    <w:rsid w:val="00577905"/>
    <w:rsid w:val="00577D3F"/>
    <w:rsid w:val="0058001F"/>
    <w:rsid w:val="0058223D"/>
    <w:rsid w:val="005822A9"/>
    <w:rsid w:val="005825AB"/>
    <w:rsid w:val="00583299"/>
    <w:rsid w:val="005832B1"/>
    <w:rsid w:val="00583750"/>
    <w:rsid w:val="00583D45"/>
    <w:rsid w:val="005842A6"/>
    <w:rsid w:val="00584325"/>
    <w:rsid w:val="00585950"/>
    <w:rsid w:val="0058635E"/>
    <w:rsid w:val="00586EFA"/>
    <w:rsid w:val="00587034"/>
    <w:rsid w:val="00587B4B"/>
    <w:rsid w:val="005908AF"/>
    <w:rsid w:val="0059126E"/>
    <w:rsid w:val="00591C33"/>
    <w:rsid w:val="00591E81"/>
    <w:rsid w:val="00592DF7"/>
    <w:rsid w:val="00592E1B"/>
    <w:rsid w:val="0059346D"/>
    <w:rsid w:val="00594DE6"/>
    <w:rsid w:val="00594E1F"/>
    <w:rsid w:val="00595644"/>
    <w:rsid w:val="005958BE"/>
    <w:rsid w:val="00595EA5"/>
    <w:rsid w:val="005960C4"/>
    <w:rsid w:val="00596A56"/>
    <w:rsid w:val="00597881"/>
    <w:rsid w:val="005A02A4"/>
    <w:rsid w:val="005A076D"/>
    <w:rsid w:val="005A15E9"/>
    <w:rsid w:val="005A20F7"/>
    <w:rsid w:val="005A229A"/>
    <w:rsid w:val="005A2A4A"/>
    <w:rsid w:val="005A308F"/>
    <w:rsid w:val="005A38E6"/>
    <w:rsid w:val="005A4070"/>
    <w:rsid w:val="005A4714"/>
    <w:rsid w:val="005A49DF"/>
    <w:rsid w:val="005A4A04"/>
    <w:rsid w:val="005A5E9D"/>
    <w:rsid w:val="005A670D"/>
    <w:rsid w:val="005A7550"/>
    <w:rsid w:val="005B04D9"/>
    <w:rsid w:val="005B059A"/>
    <w:rsid w:val="005B1229"/>
    <w:rsid w:val="005B150A"/>
    <w:rsid w:val="005B1696"/>
    <w:rsid w:val="005B19EE"/>
    <w:rsid w:val="005B24E4"/>
    <w:rsid w:val="005B2AC9"/>
    <w:rsid w:val="005B4ADF"/>
    <w:rsid w:val="005B5B57"/>
    <w:rsid w:val="005B5CC5"/>
    <w:rsid w:val="005B6089"/>
    <w:rsid w:val="005B72F4"/>
    <w:rsid w:val="005B7D70"/>
    <w:rsid w:val="005C0699"/>
    <w:rsid w:val="005C0971"/>
    <w:rsid w:val="005C09CB"/>
    <w:rsid w:val="005C1BFA"/>
    <w:rsid w:val="005C20A0"/>
    <w:rsid w:val="005C2EDB"/>
    <w:rsid w:val="005C30BA"/>
    <w:rsid w:val="005C3AAF"/>
    <w:rsid w:val="005C3CC7"/>
    <w:rsid w:val="005C5B0B"/>
    <w:rsid w:val="005C5DC3"/>
    <w:rsid w:val="005C7B4A"/>
    <w:rsid w:val="005D11BE"/>
    <w:rsid w:val="005D1222"/>
    <w:rsid w:val="005D186F"/>
    <w:rsid w:val="005D192C"/>
    <w:rsid w:val="005D19E6"/>
    <w:rsid w:val="005D2418"/>
    <w:rsid w:val="005D3AD3"/>
    <w:rsid w:val="005D4023"/>
    <w:rsid w:val="005D4034"/>
    <w:rsid w:val="005D4A89"/>
    <w:rsid w:val="005D5D1D"/>
    <w:rsid w:val="005E00F1"/>
    <w:rsid w:val="005E08F7"/>
    <w:rsid w:val="005E1D73"/>
    <w:rsid w:val="005E1F31"/>
    <w:rsid w:val="005E3700"/>
    <w:rsid w:val="005E37A8"/>
    <w:rsid w:val="005E5C46"/>
    <w:rsid w:val="005E5DCD"/>
    <w:rsid w:val="005E5E12"/>
    <w:rsid w:val="005E6821"/>
    <w:rsid w:val="005E75D9"/>
    <w:rsid w:val="005F1137"/>
    <w:rsid w:val="005F1CF2"/>
    <w:rsid w:val="005F1F5A"/>
    <w:rsid w:val="005F226D"/>
    <w:rsid w:val="005F2E39"/>
    <w:rsid w:val="005F48E9"/>
    <w:rsid w:val="005F5666"/>
    <w:rsid w:val="005F57FA"/>
    <w:rsid w:val="005F57FF"/>
    <w:rsid w:val="005F69A3"/>
    <w:rsid w:val="005F69D2"/>
    <w:rsid w:val="005F69E4"/>
    <w:rsid w:val="005F7083"/>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5664"/>
    <w:rsid w:val="0061673A"/>
    <w:rsid w:val="00617236"/>
    <w:rsid w:val="00617411"/>
    <w:rsid w:val="00617AD8"/>
    <w:rsid w:val="00620033"/>
    <w:rsid w:val="00621D8B"/>
    <w:rsid w:val="0062275D"/>
    <w:rsid w:val="00622F42"/>
    <w:rsid w:val="006230C3"/>
    <w:rsid w:val="00624853"/>
    <w:rsid w:val="00624C58"/>
    <w:rsid w:val="0062594A"/>
    <w:rsid w:val="00626268"/>
    <w:rsid w:val="006268DB"/>
    <w:rsid w:val="00626B4F"/>
    <w:rsid w:val="00626D57"/>
    <w:rsid w:val="0062711A"/>
    <w:rsid w:val="006276CC"/>
    <w:rsid w:val="006301B6"/>
    <w:rsid w:val="006323DB"/>
    <w:rsid w:val="0063288F"/>
    <w:rsid w:val="00635352"/>
    <w:rsid w:val="00635ACF"/>
    <w:rsid w:val="00635E8B"/>
    <w:rsid w:val="00636E75"/>
    <w:rsid w:val="0064055A"/>
    <w:rsid w:val="00640663"/>
    <w:rsid w:val="0064083A"/>
    <w:rsid w:val="006416B1"/>
    <w:rsid w:val="00641763"/>
    <w:rsid w:val="0064210E"/>
    <w:rsid w:val="00642161"/>
    <w:rsid w:val="006432EF"/>
    <w:rsid w:val="006437A5"/>
    <w:rsid w:val="00645360"/>
    <w:rsid w:val="006456EE"/>
    <w:rsid w:val="00645FCA"/>
    <w:rsid w:val="00646A11"/>
    <w:rsid w:val="00646D10"/>
    <w:rsid w:val="00646D7B"/>
    <w:rsid w:val="00646E26"/>
    <w:rsid w:val="00647036"/>
    <w:rsid w:val="006470EC"/>
    <w:rsid w:val="00647170"/>
    <w:rsid w:val="006502D0"/>
    <w:rsid w:val="006505AD"/>
    <w:rsid w:val="00650C3F"/>
    <w:rsid w:val="00651083"/>
    <w:rsid w:val="00651302"/>
    <w:rsid w:val="00654036"/>
    <w:rsid w:val="006544BC"/>
    <w:rsid w:val="00654610"/>
    <w:rsid w:val="006548EB"/>
    <w:rsid w:val="006559BB"/>
    <w:rsid w:val="00656393"/>
    <w:rsid w:val="006567FA"/>
    <w:rsid w:val="00657E8E"/>
    <w:rsid w:val="00660516"/>
    <w:rsid w:val="00660F26"/>
    <w:rsid w:val="006611B5"/>
    <w:rsid w:val="006622BE"/>
    <w:rsid w:val="00663320"/>
    <w:rsid w:val="006638D0"/>
    <w:rsid w:val="00663D9A"/>
    <w:rsid w:val="0066445B"/>
    <w:rsid w:val="00664C5F"/>
    <w:rsid w:val="00664D75"/>
    <w:rsid w:val="00665793"/>
    <w:rsid w:val="00665FC5"/>
    <w:rsid w:val="00666176"/>
    <w:rsid w:val="00666876"/>
    <w:rsid w:val="00666A5E"/>
    <w:rsid w:val="00667E91"/>
    <w:rsid w:val="00670A05"/>
    <w:rsid w:val="00670D60"/>
    <w:rsid w:val="00671E17"/>
    <w:rsid w:val="00671F7E"/>
    <w:rsid w:val="00672886"/>
    <w:rsid w:val="0067309B"/>
    <w:rsid w:val="006734C3"/>
    <w:rsid w:val="006740D4"/>
    <w:rsid w:val="00676423"/>
    <w:rsid w:val="00676604"/>
    <w:rsid w:val="006772FC"/>
    <w:rsid w:val="00677FCB"/>
    <w:rsid w:val="0068075B"/>
    <w:rsid w:val="00680B56"/>
    <w:rsid w:val="006810D3"/>
    <w:rsid w:val="006816EA"/>
    <w:rsid w:val="00682BBD"/>
    <w:rsid w:val="00683955"/>
    <w:rsid w:val="00683C71"/>
    <w:rsid w:val="006840D8"/>
    <w:rsid w:val="00684E39"/>
    <w:rsid w:val="00685459"/>
    <w:rsid w:val="00685918"/>
    <w:rsid w:val="00685CE0"/>
    <w:rsid w:val="006908DF"/>
    <w:rsid w:val="006933C7"/>
    <w:rsid w:val="006934C3"/>
    <w:rsid w:val="006937A4"/>
    <w:rsid w:val="00694003"/>
    <w:rsid w:val="0069479D"/>
    <w:rsid w:val="00694E49"/>
    <w:rsid w:val="006967FE"/>
    <w:rsid w:val="00696961"/>
    <w:rsid w:val="00696A50"/>
    <w:rsid w:val="00696B00"/>
    <w:rsid w:val="006A089A"/>
    <w:rsid w:val="006A0F3E"/>
    <w:rsid w:val="006A12C7"/>
    <w:rsid w:val="006A1491"/>
    <w:rsid w:val="006A35C3"/>
    <w:rsid w:val="006A3A6A"/>
    <w:rsid w:val="006A3ABC"/>
    <w:rsid w:val="006A3D2E"/>
    <w:rsid w:val="006A44FD"/>
    <w:rsid w:val="006A5C09"/>
    <w:rsid w:val="006A6E10"/>
    <w:rsid w:val="006A79D6"/>
    <w:rsid w:val="006B0D0E"/>
    <w:rsid w:val="006B0F80"/>
    <w:rsid w:val="006B167D"/>
    <w:rsid w:val="006B1F62"/>
    <w:rsid w:val="006B2847"/>
    <w:rsid w:val="006B3737"/>
    <w:rsid w:val="006B3A15"/>
    <w:rsid w:val="006B3CDC"/>
    <w:rsid w:val="006B468C"/>
    <w:rsid w:val="006B6136"/>
    <w:rsid w:val="006B64E8"/>
    <w:rsid w:val="006B6532"/>
    <w:rsid w:val="006B6AFA"/>
    <w:rsid w:val="006B79F2"/>
    <w:rsid w:val="006C0526"/>
    <w:rsid w:val="006C13FD"/>
    <w:rsid w:val="006C27C3"/>
    <w:rsid w:val="006C3A33"/>
    <w:rsid w:val="006C4678"/>
    <w:rsid w:val="006C4CCA"/>
    <w:rsid w:val="006C4CF9"/>
    <w:rsid w:val="006C4D3E"/>
    <w:rsid w:val="006C4D89"/>
    <w:rsid w:val="006C53ED"/>
    <w:rsid w:val="006C5974"/>
    <w:rsid w:val="006C5E94"/>
    <w:rsid w:val="006C6EDB"/>
    <w:rsid w:val="006C764B"/>
    <w:rsid w:val="006C79BB"/>
    <w:rsid w:val="006D1639"/>
    <w:rsid w:val="006D2668"/>
    <w:rsid w:val="006D29A7"/>
    <w:rsid w:val="006D49B3"/>
    <w:rsid w:val="006D573C"/>
    <w:rsid w:val="006D604A"/>
    <w:rsid w:val="006D68E6"/>
    <w:rsid w:val="006D6F93"/>
    <w:rsid w:val="006D7724"/>
    <w:rsid w:val="006D77A4"/>
    <w:rsid w:val="006E05A8"/>
    <w:rsid w:val="006E066F"/>
    <w:rsid w:val="006E0800"/>
    <w:rsid w:val="006E0B42"/>
    <w:rsid w:val="006E166D"/>
    <w:rsid w:val="006E1B88"/>
    <w:rsid w:val="006E2537"/>
    <w:rsid w:val="006E2818"/>
    <w:rsid w:val="006E2EEE"/>
    <w:rsid w:val="006E3F05"/>
    <w:rsid w:val="006E42EC"/>
    <w:rsid w:val="006E6377"/>
    <w:rsid w:val="006E6380"/>
    <w:rsid w:val="006E641F"/>
    <w:rsid w:val="006E7694"/>
    <w:rsid w:val="006E7FF6"/>
    <w:rsid w:val="006F0483"/>
    <w:rsid w:val="006F1011"/>
    <w:rsid w:val="006F1108"/>
    <w:rsid w:val="006F145A"/>
    <w:rsid w:val="006F16B1"/>
    <w:rsid w:val="006F1F74"/>
    <w:rsid w:val="006F2067"/>
    <w:rsid w:val="006F45FB"/>
    <w:rsid w:val="006F4968"/>
    <w:rsid w:val="006F4EB7"/>
    <w:rsid w:val="006F50D9"/>
    <w:rsid w:val="006F5892"/>
    <w:rsid w:val="006F6426"/>
    <w:rsid w:val="006F64A3"/>
    <w:rsid w:val="006F6507"/>
    <w:rsid w:val="006F745F"/>
    <w:rsid w:val="006F757C"/>
    <w:rsid w:val="0070001C"/>
    <w:rsid w:val="0070068E"/>
    <w:rsid w:val="007017EE"/>
    <w:rsid w:val="00701D17"/>
    <w:rsid w:val="00702728"/>
    <w:rsid w:val="007028A9"/>
    <w:rsid w:val="007033DB"/>
    <w:rsid w:val="0070382E"/>
    <w:rsid w:val="00705C93"/>
    <w:rsid w:val="00705F9A"/>
    <w:rsid w:val="00706068"/>
    <w:rsid w:val="00706C60"/>
    <w:rsid w:val="00707565"/>
    <w:rsid w:val="00707613"/>
    <w:rsid w:val="007101E7"/>
    <w:rsid w:val="00710311"/>
    <w:rsid w:val="00710F12"/>
    <w:rsid w:val="00711218"/>
    <w:rsid w:val="007114A2"/>
    <w:rsid w:val="007126B9"/>
    <w:rsid w:val="00712933"/>
    <w:rsid w:val="00712F06"/>
    <w:rsid w:val="00714386"/>
    <w:rsid w:val="007151C2"/>
    <w:rsid w:val="007152A4"/>
    <w:rsid w:val="00717725"/>
    <w:rsid w:val="007178EC"/>
    <w:rsid w:val="00717E7A"/>
    <w:rsid w:val="007203A0"/>
    <w:rsid w:val="00720C09"/>
    <w:rsid w:val="00720C1C"/>
    <w:rsid w:val="00720E07"/>
    <w:rsid w:val="0072110D"/>
    <w:rsid w:val="00722B13"/>
    <w:rsid w:val="00724B55"/>
    <w:rsid w:val="007253DE"/>
    <w:rsid w:val="007254DD"/>
    <w:rsid w:val="007256F7"/>
    <w:rsid w:val="00726387"/>
    <w:rsid w:val="0072723C"/>
    <w:rsid w:val="007279B3"/>
    <w:rsid w:val="0073066C"/>
    <w:rsid w:val="00731229"/>
    <w:rsid w:val="007321EE"/>
    <w:rsid w:val="00732200"/>
    <w:rsid w:val="00732300"/>
    <w:rsid w:val="00732C96"/>
    <w:rsid w:val="007331B0"/>
    <w:rsid w:val="00736393"/>
    <w:rsid w:val="00736E53"/>
    <w:rsid w:val="00737DEE"/>
    <w:rsid w:val="00741240"/>
    <w:rsid w:val="0074125C"/>
    <w:rsid w:val="00741F3C"/>
    <w:rsid w:val="00742B12"/>
    <w:rsid w:val="00742D01"/>
    <w:rsid w:val="00743AC0"/>
    <w:rsid w:val="007447F0"/>
    <w:rsid w:val="00744DC9"/>
    <w:rsid w:val="00745C80"/>
    <w:rsid w:val="0074641F"/>
    <w:rsid w:val="00746AF0"/>
    <w:rsid w:val="00747060"/>
    <w:rsid w:val="007472DC"/>
    <w:rsid w:val="00747674"/>
    <w:rsid w:val="00747B26"/>
    <w:rsid w:val="00750459"/>
    <w:rsid w:val="00751049"/>
    <w:rsid w:val="00751645"/>
    <w:rsid w:val="00751F59"/>
    <w:rsid w:val="00752E32"/>
    <w:rsid w:val="0075376F"/>
    <w:rsid w:val="00753B54"/>
    <w:rsid w:val="00754A60"/>
    <w:rsid w:val="00755EFE"/>
    <w:rsid w:val="00756369"/>
    <w:rsid w:val="00756630"/>
    <w:rsid w:val="00756BBB"/>
    <w:rsid w:val="00756CB0"/>
    <w:rsid w:val="00756EAF"/>
    <w:rsid w:val="00757691"/>
    <w:rsid w:val="007579D3"/>
    <w:rsid w:val="00757E26"/>
    <w:rsid w:val="00760012"/>
    <w:rsid w:val="007607C6"/>
    <w:rsid w:val="007610F4"/>
    <w:rsid w:val="007615E3"/>
    <w:rsid w:val="00761876"/>
    <w:rsid w:val="00761882"/>
    <w:rsid w:val="00762BB3"/>
    <w:rsid w:val="007634EE"/>
    <w:rsid w:val="007639C3"/>
    <w:rsid w:val="00763B39"/>
    <w:rsid w:val="00763E50"/>
    <w:rsid w:val="00767028"/>
    <w:rsid w:val="00767A1B"/>
    <w:rsid w:val="00767B44"/>
    <w:rsid w:val="00770559"/>
    <w:rsid w:val="00770AC9"/>
    <w:rsid w:val="0077121A"/>
    <w:rsid w:val="00772DF6"/>
    <w:rsid w:val="0077382A"/>
    <w:rsid w:val="00774604"/>
    <w:rsid w:val="0077566B"/>
    <w:rsid w:val="007766DC"/>
    <w:rsid w:val="00776783"/>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87D6B"/>
    <w:rsid w:val="00790516"/>
    <w:rsid w:val="0079067B"/>
    <w:rsid w:val="00790775"/>
    <w:rsid w:val="0079092D"/>
    <w:rsid w:val="00791684"/>
    <w:rsid w:val="00793CE1"/>
    <w:rsid w:val="00794AE1"/>
    <w:rsid w:val="00795551"/>
    <w:rsid w:val="00795673"/>
    <w:rsid w:val="00795995"/>
    <w:rsid w:val="00796E57"/>
    <w:rsid w:val="00796F89"/>
    <w:rsid w:val="00797639"/>
    <w:rsid w:val="00797720"/>
    <w:rsid w:val="0079793D"/>
    <w:rsid w:val="00797EB2"/>
    <w:rsid w:val="007A19D9"/>
    <w:rsid w:val="007A1BD6"/>
    <w:rsid w:val="007A2076"/>
    <w:rsid w:val="007A239B"/>
    <w:rsid w:val="007A3B65"/>
    <w:rsid w:val="007A46B8"/>
    <w:rsid w:val="007A4AEB"/>
    <w:rsid w:val="007A4AF8"/>
    <w:rsid w:val="007A677A"/>
    <w:rsid w:val="007A6D0A"/>
    <w:rsid w:val="007B0213"/>
    <w:rsid w:val="007B025D"/>
    <w:rsid w:val="007B0F23"/>
    <w:rsid w:val="007B1A28"/>
    <w:rsid w:val="007B1AE7"/>
    <w:rsid w:val="007B48E7"/>
    <w:rsid w:val="007B4969"/>
    <w:rsid w:val="007B4CC0"/>
    <w:rsid w:val="007B4E5F"/>
    <w:rsid w:val="007B53BD"/>
    <w:rsid w:val="007B576A"/>
    <w:rsid w:val="007B6464"/>
    <w:rsid w:val="007B656D"/>
    <w:rsid w:val="007B66CA"/>
    <w:rsid w:val="007B6EED"/>
    <w:rsid w:val="007C01D8"/>
    <w:rsid w:val="007C0282"/>
    <w:rsid w:val="007C05FC"/>
    <w:rsid w:val="007C0996"/>
    <w:rsid w:val="007C16E2"/>
    <w:rsid w:val="007C21EF"/>
    <w:rsid w:val="007C2638"/>
    <w:rsid w:val="007C3688"/>
    <w:rsid w:val="007C4696"/>
    <w:rsid w:val="007C5B91"/>
    <w:rsid w:val="007C7D07"/>
    <w:rsid w:val="007D002E"/>
    <w:rsid w:val="007D363A"/>
    <w:rsid w:val="007D4984"/>
    <w:rsid w:val="007D59A6"/>
    <w:rsid w:val="007D715A"/>
    <w:rsid w:val="007D71FE"/>
    <w:rsid w:val="007D7B2C"/>
    <w:rsid w:val="007D7F3A"/>
    <w:rsid w:val="007E00D3"/>
    <w:rsid w:val="007E0824"/>
    <w:rsid w:val="007E17C7"/>
    <w:rsid w:val="007E27FD"/>
    <w:rsid w:val="007E29A1"/>
    <w:rsid w:val="007E37B8"/>
    <w:rsid w:val="007E381F"/>
    <w:rsid w:val="007E4169"/>
    <w:rsid w:val="007E568E"/>
    <w:rsid w:val="007E6071"/>
    <w:rsid w:val="007E6455"/>
    <w:rsid w:val="007E6992"/>
    <w:rsid w:val="007E6B1A"/>
    <w:rsid w:val="007E6ED8"/>
    <w:rsid w:val="007E6F62"/>
    <w:rsid w:val="007E735B"/>
    <w:rsid w:val="007E753E"/>
    <w:rsid w:val="007E7722"/>
    <w:rsid w:val="007E7C7E"/>
    <w:rsid w:val="007E7CEF"/>
    <w:rsid w:val="007E7F16"/>
    <w:rsid w:val="007F013E"/>
    <w:rsid w:val="007F0158"/>
    <w:rsid w:val="007F01E8"/>
    <w:rsid w:val="007F079B"/>
    <w:rsid w:val="007F0A7D"/>
    <w:rsid w:val="007F1DF4"/>
    <w:rsid w:val="007F2295"/>
    <w:rsid w:val="007F25C5"/>
    <w:rsid w:val="007F2BC3"/>
    <w:rsid w:val="007F2D02"/>
    <w:rsid w:val="007F2FB3"/>
    <w:rsid w:val="007F3336"/>
    <w:rsid w:val="007F3337"/>
    <w:rsid w:val="007F3B54"/>
    <w:rsid w:val="007F4549"/>
    <w:rsid w:val="007F474E"/>
    <w:rsid w:val="007F47A3"/>
    <w:rsid w:val="007F57C6"/>
    <w:rsid w:val="007F5A52"/>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02"/>
    <w:rsid w:val="008043C1"/>
    <w:rsid w:val="008045BB"/>
    <w:rsid w:val="00804DDB"/>
    <w:rsid w:val="00804E1C"/>
    <w:rsid w:val="00805843"/>
    <w:rsid w:val="0080599F"/>
    <w:rsid w:val="00805F6E"/>
    <w:rsid w:val="00807290"/>
    <w:rsid w:val="00807318"/>
    <w:rsid w:val="00807DBB"/>
    <w:rsid w:val="00810B65"/>
    <w:rsid w:val="00810E32"/>
    <w:rsid w:val="00810ECD"/>
    <w:rsid w:val="008112C1"/>
    <w:rsid w:val="0081166F"/>
    <w:rsid w:val="00811E36"/>
    <w:rsid w:val="00812A2F"/>
    <w:rsid w:val="00812A90"/>
    <w:rsid w:val="0081304B"/>
    <w:rsid w:val="00820213"/>
    <w:rsid w:val="00820C88"/>
    <w:rsid w:val="00821D5F"/>
    <w:rsid w:val="00822D7B"/>
    <w:rsid w:val="008241F3"/>
    <w:rsid w:val="00824B45"/>
    <w:rsid w:val="00825079"/>
    <w:rsid w:val="00826BA9"/>
    <w:rsid w:val="0082724F"/>
    <w:rsid w:val="008274BA"/>
    <w:rsid w:val="00827752"/>
    <w:rsid w:val="00830B56"/>
    <w:rsid w:val="00830D37"/>
    <w:rsid w:val="008314DD"/>
    <w:rsid w:val="00832270"/>
    <w:rsid w:val="008325C9"/>
    <w:rsid w:val="00832FC6"/>
    <w:rsid w:val="008334C2"/>
    <w:rsid w:val="008345ED"/>
    <w:rsid w:val="00834959"/>
    <w:rsid w:val="00835746"/>
    <w:rsid w:val="00837154"/>
    <w:rsid w:val="00837A49"/>
    <w:rsid w:val="0084009C"/>
    <w:rsid w:val="00840E64"/>
    <w:rsid w:val="00841AEC"/>
    <w:rsid w:val="00841D31"/>
    <w:rsid w:val="0084226A"/>
    <w:rsid w:val="00842289"/>
    <w:rsid w:val="00843AF3"/>
    <w:rsid w:val="00843AFD"/>
    <w:rsid w:val="00844A24"/>
    <w:rsid w:val="008454F0"/>
    <w:rsid w:val="008463BB"/>
    <w:rsid w:val="00846BA0"/>
    <w:rsid w:val="00846DC0"/>
    <w:rsid w:val="00847CA7"/>
    <w:rsid w:val="0085055A"/>
    <w:rsid w:val="0085169A"/>
    <w:rsid w:val="008517EA"/>
    <w:rsid w:val="008527CB"/>
    <w:rsid w:val="0085322B"/>
    <w:rsid w:val="008539BF"/>
    <w:rsid w:val="00853C61"/>
    <w:rsid w:val="00853C98"/>
    <w:rsid w:val="00853EB9"/>
    <w:rsid w:val="00855366"/>
    <w:rsid w:val="008560F3"/>
    <w:rsid w:val="008561B5"/>
    <w:rsid w:val="00857103"/>
    <w:rsid w:val="00857133"/>
    <w:rsid w:val="00857771"/>
    <w:rsid w:val="0086014A"/>
    <w:rsid w:val="00861387"/>
    <w:rsid w:val="00862339"/>
    <w:rsid w:val="00862C18"/>
    <w:rsid w:val="00863265"/>
    <w:rsid w:val="0086382B"/>
    <w:rsid w:val="00864C31"/>
    <w:rsid w:val="00865088"/>
    <w:rsid w:val="00866D16"/>
    <w:rsid w:val="00867F5B"/>
    <w:rsid w:val="008705F3"/>
    <w:rsid w:val="00870894"/>
    <w:rsid w:val="00870D28"/>
    <w:rsid w:val="00871471"/>
    <w:rsid w:val="0087265C"/>
    <w:rsid w:val="00872EBD"/>
    <w:rsid w:val="0087431A"/>
    <w:rsid w:val="008744C5"/>
    <w:rsid w:val="008748C8"/>
    <w:rsid w:val="00874AA7"/>
    <w:rsid w:val="00875229"/>
    <w:rsid w:val="00875DB9"/>
    <w:rsid w:val="00876342"/>
    <w:rsid w:val="0087656C"/>
    <w:rsid w:val="00876BEB"/>
    <w:rsid w:val="008778C3"/>
    <w:rsid w:val="00877A8F"/>
    <w:rsid w:val="00877BCF"/>
    <w:rsid w:val="00877D77"/>
    <w:rsid w:val="008815E1"/>
    <w:rsid w:val="0088206D"/>
    <w:rsid w:val="0088267A"/>
    <w:rsid w:val="0088307E"/>
    <w:rsid w:val="0088319C"/>
    <w:rsid w:val="00883FF5"/>
    <w:rsid w:val="00885BE4"/>
    <w:rsid w:val="008863EB"/>
    <w:rsid w:val="00886DE3"/>
    <w:rsid w:val="008900FD"/>
    <w:rsid w:val="0089043E"/>
    <w:rsid w:val="00891C1B"/>
    <w:rsid w:val="008922D3"/>
    <w:rsid w:val="00892698"/>
    <w:rsid w:val="00893C35"/>
    <w:rsid w:val="008940F7"/>
    <w:rsid w:val="00894461"/>
    <w:rsid w:val="008947F2"/>
    <w:rsid w:val="00897183"/>
    <w:rsid w:val="008974DE"/>
    <w:rsid w:val="0089753F"/>
    <w:rsid w:val="008A010C"/>
    <w:rsid w:val="008A0771"/>
    <w:rsid w:val="008A14AB"/>
    <w:rsid w:val="008A18B2"/>
    <w:rsid w:val="008A2782"/>
    <w:rsid w:val="008A28C1"/>
    <w:rsid w:val="008A34DB"/>
    <w:rsid w:val="008A405F"/>
    <w:rsid w:val="008A499A"/>
    <w:rsid w:val="008A5CD2"/>
    <w:rsid w:val="008A6130"/>
    <w:rsid w:val="008A63F3"/>
    <w:rsid w:val="008A650B"/>
    <w:rsid w:val="008A6B1D"/>
    <w:rsid w:val="008A6CA5"/>
    <w:rsid w:val="008B0209"/>
    <w:rsid w:val="008B07C1"/>
    <w:rsid w:val="008B0BAD"/>
    <w:rsid w:val="008B587C"/>
    <w:rsid w:val="008B5C65"/>
    <w:rsid w:val="008B647C"/>
    <w:rsid w:val="008B6764"/>
    <w:rsid w:val="008B6D2E"/>
    <w:rsid w:val="008B6D30"/>
    <w:rsid w:val="008B7895"/>
    <w:rsid w:val="008B7911"/>
    <w:rsid w:val="008B7EE6"/>
    <w:rsid w:val="008C051B"/>
    <w:rsid w:val="008C119E"/>
    <w:rsid w:val="008C11EE"/>
    <w:rsid w:val="008C180E"/>
    <w:rsid w:val="008C2492"/>
    <w:rsid w:val="008C2578"/>
    <w:rsid w:val="008C28A4"/>
    <w:rsid w:val="008C2AD3"/>
    <w:rsid w:val="008C3470"/>
    <w:rsid w:val="008C3B2B"/>
    <w:rsid w:val="008C3D5A"/>
    <w:rsid w:val="008C4956"/>
    <w:rsid w:val="008C4A6D"/>
    <w:rsid w:val="008C5560"/>
    <w:rsid w:val="008C59DB"/>
    <w:rsid w:val="008C6868"/>
    <w:rsid w:val="008D0036"/>
    <w:rsid w:val="008D0294"/>
    <w:rsid w:val="008D0D99"/>
    <w:rsid w:val="008D123A"/>
    <w:rsid w:val="008D34C3"/>
    <w:rsid w:val="008D3DAD"/>
    <w:rsid w:val="008D433F"/>
    <w:rsid w:val="008D46B6"/>
    <w:rsid w:val="008D4AED"/>
    <w:rsid w:val="008D4B82"/>
    <w:rsid w:val="008D5401"/>
    <w:rsid w:val="008D7225"/>
    <w:rsid w:val="008D79A7"/>
    <w:rsid w:val="008D7D52"/>
    <w:rsid w:val="008E04C9"/>
    <w:rsid w:val="008E0C53"/>
    <w:rsid w:val="008E10A8"/>
    <w:rsid w:val="008E13F7"/>
    <w:rsid w:val="008E1654"/>
    <w:rsid w:val="008E215B"/>
    <w:rsid w:val="008E2958"/>
    <w:rsid w:val="008E29C6"/>
    <w:rsid w:val="008E3209"/>
    <w:rsid w:val="008E3FD7"/>
    <w:rsid w:val="008E422D"/>
    <w:rsid w:val="008E4C28"/>
    <w:rsid w:val="008E4D86"/>
    <w:rsid w:val="008E545A"/>
    <w:rsid w:val="008E567E"/>
    <w:rsid w:val="008F09BF"/>
    <w:rsid w:val="008F10AE"/>
    <w:rsid w:val="008F4F41"/>
    <w:rsid w:val="008F6014"/>
    <w:rsid w:val="008F61B1"/>
    <w:rsid w:val="008F67FF"/>
    <w:rsid w:val="008F74E2"/>
    <w:rsid w:val="008F767D"/>
    <w:rsid w:val="008F7952"/>
    <w:rsid w:val="008F7982"/>
    <w:rsid w:val="009023CF"/>
    <w:rsid w:val="00903AB8"/>
    <w:rsid w:val="00903FBC"/>
    <w:rsid w:val="00904953"/>
    <w:rsid w:val="00906BA9"/>
    <w:rsid w:val="00907078"/>
    <w:rsid w:val="00907818"/>
    <w:rsid w:val="00910BB8"/>
    <w:rsid w:val="00910BD5"/>
    <w:rsid w:val="00911067"/>
    <w:rsid w:val="0091149E"/>
    <w:rsid w:val="00911DDB"/>
    <w:rsid w:val="00912D67"/>
    <w:rsid w:val="0091403C"/>
    <w:rsid w:val="0091450C"/>
    <w:rsid w:val="00914E04"/>
    <w:rsid w:val="00915D16"/>
    <w:rsid w:val="00915E73"/>
    <w:rsid w:val="0091651F"/>
    <w:rsid w:val="0091685B"/>
    <w:rsid w:val="00916B94"/>
    <w:rsid w:val="00916C21"/>
    <w:rsid w:val="0091715A"/>
    <w:rsid w:val="00917A23"/>
    <w:rsid w:val="00917DEA"/>
    <w:rsid w:val="0092050A"/>
    <w:rsid w:val="009206D4"/>
    <w:rsid w:val="009208AF"/>
    <w:rsid w:val="00920C72"/>
    <w:rsid w:val="00921B88"/>
    <w:rsid w:val="0092390C"/>
    <w:rsid w:val="00924419"/>
    <w:rsid w:val="00924820"/>
    <w:rsid w:val="00924F90"/>
    <w:rsid w:val="00925510"/>
    <w:rsid w:val="00925A1B"/>
    <w:rsid w:val="00925B33"/>
    <w:rsid w:val="00925EDA"/>
    <w:rsid w:val="0092692B"/>
    <w:rsid w:val="00926ACC"/>
    <w:rsid w:val="009271E7"/>
    <w:rsid w:val="00927481"/>
    <w:rsid w:val="00927BA1"/>
    <w:rsid w:val="00927CC5"/>
    <w:rsid w:val="009304F4"/>
    <w:rsid w:val="009305C5"/>
    <w:rsid w:val="009307B3"/>
    <w:rsid w:val="00930FA7"/>
    <w:rsid w:val="0093122C"/>
    <w:rsid w:val="00931A27"/>
    <w:rsid w:val="00932796"/>
    <w:rsid w:val="00932BB0"/>
    <w:rsid w:val="00932DED"/>
    <w:rsid w:val="0093309F"/>
    <w:rsid w:val="00933255"/>
    <w:rsid w:val="00933344"/>
    <w:rsid w:val="00933357"/>
    <w:rsid w:val="0093356A"/>
    <w:rsid w:val="00934797"/>
    <w:rsid w:val="009347AD"/>
    <w:rsid w:val="0093493F"/>
    <w:rsid w:val="0093619D"/>
    <w:rsid w:val="009361A2"/>
    <w:rsid w:val="0093646D"/>
    <w:rsid w:val="00936819"/>
    <w:rsid w:val="00936D8C"/>
    <w:rsid w:val="00936DAA"/>
    <w:rsid w:val="009374D6"/>
    <w:rsid w:val="009376CD"/>
    <w:rsid w:val="009379A7"/>
    <w:rsid w:val="00937C4F"/>
    <w:rsid w:val="00940134"/>
    <w:rsid w:val="00940953"/>
    <w:rsid w:val="0094135B"/>
    <w:rsid w:val="00941A1E"/>
    <w:rsid w:val="00941DA4"/>
    <w:rsid w:val="00941E10"/>
    <w:rsid w:val="009429C7"/>
    <w:rsid w:val="009433C0"/>
    <w:rsid w:val="00944130"/>
    <w:rsid w:val="0095009F"/>
    <w:rsid w:val="00950E19"/>
    <w:rsid w:val="009512BD"/>
    <w:rsid w:val="00951FF3"/>
    <w:rsid w:val="0095200B"/>
    <w:rsid w:val="009534A2"/>
    <w:rsid w:val="0095373D"/>
    <w:rsid w:val="009539EF"/>
    <w:rsid w:val="00954932"/>
    <w:rsid w:val="00956979"/>
    <w:rsid w:val="00957C08"/>
    <w:rsid w:val="009601F8"/>
    <w:rsid w:val="00961BC2"/>
    <w:rsid w:val="009627CE"/>
    <w:rsid w:val="009630DC"/>
    <w:rsid w:val="009661E2"/>
    <w:rsid w:val="009667B7"/>
    <w:rsid w:val="00966811"/>
    <w:rsid w:val="009668F6"/>
    <w:rsid w:val="00966B9D"/>
    <w:rsid w:val="00966F25"/>
    <w:rsid w:val="00967F65"/>
    <w:rsid w:val="0097056B"/>
    <w:rsid w:val="00971AA6"/>
    <w:rsid w:val="009733F1"/>
    <w:rsid w:val="00973EB0"/>
    <w:rsid w:val="00973FCA"/>
    <w:rsid w:val="00974279"/>
    <w:rsid w:val="009746E2"/>
    <w:rsid w:val="00975DDF"/>
    <w:rsid w:val="00975F29"/>
    <w:rsid w:val="009760A8"/>
    <w:rsid w:val="00976EC0"/>
    <w:rsid w:val="00977091"/>
    <w:rsid w:val="00977334"/>
    <w:rsid w:val="0097736B"/>
    <w:rsid w:val="00980862"/>
    <w:rsid w:val="009820BB"/>
    <w:rsid w:val="009823AA"/>
    <w:rsid w:val="009824E3"/>
    <w:rsid w:val="00982519"/>
    <w:rsid w:val="00982A88"/>
    <w:rsid w:val="00982D45"/>
    <w:rsid w:val="00982F1B"/>
    <w:rsid w:val="0098404B"/>
    <w:rsid w:val="009843EC"/>
    <w:rsid w:val="00985BEF"/>
    <w:rsid w:val="00986134"/>
    <w:rsid w:val="0098635E"/>
    <w:rsid w:val="0098645D"/>
    <w:rsid w:val="00987A7F"/>
    <w:rsid w:val="0099035D"/>
    <w:rsid w:val="009904C8"/>
    <w:rsid w:val="009904D7"/>
    <w:rsid w:val="00991D44"/>
    <w:rsid w:val="00991E04"/>
    <w:rsid w:val="00992C4C"/>
    <w:rsid w:val="00992D4E"/>
    <w:rsid w:val="0099324B"/>
    <w:rsid w:val="00993B6E"/>
    <w:rsid w:val="00995ECB"/>
    <w:rsid w:val="00996D67"/>
    <w:rsid w:val="00997A40"/>
    <w:rsid w:val="00997B09"/>
    <w:rsid w:val="00997DEE"/>
    <w:rsid w:val="009A014B"/>
    <w:rsid w:val="009A0540"/>
    <w:rsid w:val="009A054A"/>
    <w:rsid w:val="009A072D"/>
    <w:rsid w:val="009A0990"/>
    <w:rsid w:val="009A0D24"/>
    <w:rsid w:val="009A3456"/>
    <w:rsid w:val="009A41F2"/>
    <w:rsid w:val="009A4524"/>
    <w:rsid w:val="009A51AE"/>
    <w:rsid w:val="009A6162"/>
    <w:rsid w:val="009A6932"/>
    <w:rsid w:val="009A7AC5"/>
    <w:rsid w:val="009A7B87"/>
    <w:rsid w:val="009B0047"/>
    <w:rsid w:val="009B0082"/>
    <w:rsid w:val="009B07D5"/>
    <w:rsid w:val="009B0D64"/>
    <w:rsid w:val="009B11C8"/>
    <w:rsid w:val="009B1ACF"/>
    <w:rsid w:val="009B1EB3"/>
    <w:rsid w:val="009B1EE6"/>
    <w:rsid w:val="009B3C90"/>
    <w:rsid w:val="009B3D6A"/>
    <w:rsid w:val="009B4329"/>
    <w:rsid w:val="009B449D"/>
    <w:rsid w:val="009B46CF"/>
    <w:rsid w:val="009B46E3"/>
    <w:rsid w:val="009B4B4D"/>
    <w:rsid w:val="009B4F55"/>
    <w:rsid w:val="009B58E1"/>
    <w:rsid w:val="009B6938"/>
    <w:rsid w:val="009B6CD4"/>
    <w:rsid w:val="009B74A8"/>
    <w:rsid w:val="009C047C"/>
    <w:rsid w:val="009C0662"/>
    <w:rsid w:val="009C14A7"/>
    <w:rsid w:val="009C167A"/>
    <w:rsid w:val="009C2996"/>
    <w:rsid w:val="009C370B"/>
    <w:rsid w:val="009C3F2F"/>
    <w:rsid w:val="009C4CFB"/>
    <w:rsid w:val="009C6D08"/>
    <w:rsid w:val="009C6DAB"/>
    <w:rsid w:val="009C70EE"/>
    <w:rsid w:val="009C7586"/>
    <w:rsid w:val="009C7D9F"/>
    <w:rsid w:val="009D0014"/>
    <w:rsid w:val="009D08CB"/>
    <w:rsid w:val="009D11E3"/>
    <w:rsid w:val="009D20BA"/>
    <w:rsid w:val="009D2A43"/>
    <w:rsid w:val="009D33F3"/>
    <w:rsid w:val="009D3692"/>
    <w:rsid w:val="009D51CA"/>
    <w:rsid w:val="009D5512"/>
    <w:rsid w:val="009D646B"/>
    <w:rsid w:val="009D794C"/>
    <w:rsid w:val="009E04E9"/>
    <w:rsid w:val="009E05C3"/>
    <w:rsid w:val="009E06DB"/>
    <w:rsid w:val="009E0C1C"/>
    <w:rsid w:val="009E0F31"/>
    <w:rsid w:val="009E283B"/>
    <w:rsid w:val="009E316D"/>
    <w:rsid w:val="009E36D6"/>
    <w:rsid w:val="009E3860"/>
    <w:rsid w:val="009E3CD9"/>
    <w:rsid w:val="009E45B8"/>
    <w:rsid w:val="009E51F6"/>
    <w:rsid w:val="009E59E2"/>
    <w:rsid w:val="009E7919"/>
    <w:rsid w:val="009F0323"/>
    <w:rsid w:val="009F09B7"/>
    <w:rsid w:val="009F0ACE"/>
    <w:rsid w:val="009F1030"/>
    <w:rsid w:val="009F1C65"/>
    <w:rsid w:val="009F1E2B"/>
    <w:rsid w:val="009F2B71"/>
    <w:rsid w:val="009F2C2A"/>
    <w:rsid w:val="009F303C"/>
    <w:rsid w:val="009F3218"/>
    <w:rsid w:val="009F3630"/>
    <w:rsid w:val="009F5482"/>
    <w:rsid w:val="009F55DE"/>
    <w:rsid w:val="009F5837"/>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05D95"/>
    <w:rsid w:val="00A10050"/>
    <w:rsid w:val="00A10E3E"/>
    <w:rsid w:val="00A11C20"/>
    <w:rsid w:val="00A12251"/>
    <w:rsid w:val="00A12913"/>
    <w:rsid w:val="00A129F8"/>
    <w:rsid w:val="00A13E60"/>
    <w:rsid w:val="00A14BA0"/>
    <w:rsid w:val="00A14D4B"/>
    <w:rsid w:val="00A15AC7"/>
    <w:rsid w:val="00A16576"/>
    <w:rsid w:val="00A2004F"/>
    <w:rsid w:val="00A216BE"/>
    <w:rsid w:val="00A21D9F"/>
    <w:rsid w:val="00A21E0A"/>
    <w:rsid w:val="00A229B7"/>
    <w:rsid w:val="00A22FD4"/>
    <w:rsid w:val="00A246C4"/>
    <w:rsid w:val="00A25594"/>
    <w:rsid w:val="00A255E2"/>
    <w:rsid w:val="00A26398"/>
    <w:rsid w:val="00A2674E"/>
    <w:rsid w:val="00A2711B"/>
    <w:rsid w:val="00A27647"/>
    <w:rsid w:val="00A27EA8"/>
    <w:rsid w:val="00A3048C"/>
    <w:rsid w:val="00A30696"/>
    <w:rsid w:val="00A30B20"/>
    <w:rsid w:val="00A30CD6"/>
    <w:rsid w:val="00A31174"/>
    <w:rsid w:val="00A318C7"/>
    <w:rsid w:val="00A3198C"/>
    <w:rsid w:val="00A32896"/>
    <w:rsid w:val="00A3437C"/>
    <w:rsid w:val="00A34F99"/>
    <w:rsid w:val="00A355EF"/>
    <w:rsid w:val="00A35F51"/>
    <w:rsid w:val="00A36C10"/>
    <w:rsid w:val="00A37104"/>
    <w:rsid w:val="00A3719C"/>
    <w:rsid w:val="00A40240"/>
    <w:rsid w:val="00A406CA"/>
    <w:rsid w:val="00A41003"/>
    <w:rsid w:val="00A410C6"/>
    <w:rsid w:val="00A4132D"/>
    <w:rsid w:val="00A4324A"/>
    <w:rsid w:val="00A439FB"/>
    <w:rsid w:val="00A44085"/>
    <w:rsid w:val="00A448BA"/>
    <w:rsid w:val="00A4556A"/>
    <w:rsid w:val="00A45797"/>
    <w:rsid w:val="00A4582F"/>
    <w:rsid w:val="00A46AEA"/>
    <w:rsid w:val="00A473DA"/>
    <w:rsid w:val="00A47491"/>
    <w:rsid w:val="00A47BCC"/>
    <w:rsid w:val="00A5049E"/>
    <w:rsid w:val="00A50607"/>
    <w:rsid w:val="00A506FB"/>
    <w:rsid w:val="00A50ED4"/>
    <w:rsid w:val="00A51A3F"/>
    <w:rsid w:val="00A53C2A"/>
    <w:rsid w:val="00A546B0"/>
    <w:rsid w:val="00A54CCC"/>
    <w:rsid w:val="00A5557D"/>
    <w:rsid w:val="00A572EB"/>
    <w:rsid w:val="00A60CA0"/>
    <w:rsid w:val="00A61975"/>
    <w:rsid w:val="00A61E96"/>
    <w:rsid w:val="00A6379E"/>
    <w:rsid w:val="00A6498B"/>
    <w:rsid w:val="00A65BDC"/>
    <w:rsid w:val="00A664B4"/>
    <w:rsid w:val="00A66F26"/>
    <w:rsid w:val="00A6731F"/>
    <w:rsid w:val="00A7038C"/>
    <w:rsid w:val="00A706A8"/>
    <w:rsid w:val="00A70BFF"/>
    <w:rsid w:val="00A71134"/>
    <w:rsid w:val="00A71206"/>
    <w:rsid w:val="00A71623"/>
    <w:rsid w:val="00A71806"/>
    <w:rsid w:val="00A71A06"/>
    <w:rsid w:val="00A71A74"/>
    <w:rsid w:val="00A71A81"/>
    <w:rsid w:val="00A71B4A"/>
    <w:rsid w:val="00A7228F"/>
    <w:rsid w:val="00A7274E"/>
    <w:rsid w:val="00A735FE"/>
    <w:rsid w:val="00A7398B"/>
    <w:rsid w:val="00A7453E"/>
    <w:rsid w:val="00A74B88"/>
    <w:rsid w:val="00A75841"/>
    <w:rsid w:val="00A764BA"/>
    <w:rsid w:val="00A76D68"/>
    <w:rsid w:val="00A773EE"/>
    <w:rsid w:val="00A776EB"/>
    <w:rsid w:val="00A77F5D"/>
    <w:rsid w:val="00A80296"/>
    <w:rsid w:val="00A815E0"/>
    <w:rsid w:val="00A81C44"/>
    <w:rsid w:val="00A82234"/>
    <w:rsid w:val="00A82819"/>
    <w:rsid w:val="00A8299A"/>
    <w:rsid w:val="00A82B3C"/>
    <w:rsid w:val="00A82BBF"/>
    <w:rsid w:val="00A83393"/>
    <w:rsid w:val="00A83F48"/>
    <w:rsid w:val="00A84734"/>
    <w:rsid w:val="00A847D2"/>
    <w:rsid w:val="00A8500C"/>
    <w:rsid w:val="00A86209"/>
    <w:rsid w:val="00A8668D"/>
    <w:rsid w:val="00A86DA0"/>
    <w:rsid w:val="00A87449"/>
    <w:rsid w:val="00A8754E"/>
    <w:rsid w:val="00A90348"/>
    <w:rsid w:val="00A9087E"/>
    <w:rsid w:val="00A90C8A"/>
    <w:rsid w:val="00A90DDC"/>
    <w:rsid w:val="00A91141"/>
    <w:rsid w:val="00A92962"/>
    <w:rsid w:val="00A93901"/>
    <w:rsid w:val="00A93D6F"/>
    <w:rsid w:val="00A95129"/>
    <w:rsid w:val="00A952FF"/>
    <w:rsid w:val="00A9533B"/>
    <w:rsid w:val="00A95AC8"/>
    <w:rsid w:val="00A9687A"/>
    <w:rsid w:val="00AA0375"/>
    <w:rsid w:val="00AA1213"/>
    <w:rsid w:val="00AA1B96"/>
    <w:rsid w:val="00AA2994"/>
    <w:rsid w:val="00AA2DD3"/>
    <w:rsid w:val="00AA2FB9"/>
    <w:rsid w:val="00AA496B"/>
    <w:rsid w:val="00AA4C10"/>
    <w:rsid w:val="00AA4E6E"/>
    <w:rsid w:val="00AA4F34"/>
    <w:rsid w:val="00AA59BE"/>
    <w:rsid w:val="00AA6A53"/>
    <w:rsid w:val="00AA6C92"/>
    <w:rsid w:val="00AB0259"/>
    <w:rsid w:val="00AB11EB"/>
    <w:rsid w:val="00AB1646"/>
    <w:rsid w:val="00AB177E"/>
    <w:rsid w:val="00AB1D77"/>
    <w:rsid w:val="00AB219F"/>
    <w:rsid w:val="00AB2245"/>
    <w:rsid w:val="00AB2B56"/>
    <w:rsid w:val="00AB3499"/>
    <w:rsid w:val="00AB415C"/>
    <w:rsid w:val="00AB4273"/>
    <w:rsid w:val="00AB46C4"/>
    <w:rsid w:val="00AB4977"/>
    <w:rsid w:val="00AB560D"/>
    <w:rsid w:val="00AB72DF"/>
    <w:rsid w:val="00AB7D85"/>
    <w:rsid w:val="00AC1603"/>
    <w:rsid w:val="00AC1BCE"/>
    <w:rsid w:val="00AC1D76"/>
    <w:rsid w:val="00AC289B"/>
    <w:rsid w:val="00AC3A64"/>
    <w:rsid w:val="00AC400F"/>
    <w:rsid w:val="00AC498F"/>
    <w:rsid w:val="00AC60DD"/>
    <w:rsid w:val="00AC6930"/>
    <w:rsid w:val="00AC6F5E"/>
    <w:rsid w:val="00AD0896"/>
    <w:rsid w:val="00AD2074"/>
    <w:rsid w:val="00AD24AE"/>
    <w:rsid w:val="00AD24B5"/>
    <w:rsid w:val="00AD28FD"/>
    <w:rsid w:val="00AD31F2"/>
    <w:rsid w:val="00AD39D2"/>
    <w:rsid w:val="00AD5123"/>
    <w:rsid w:val="00AD6169"/>
    <w:rsid w:val="00AD6183"/>
    <w:rsid w:val="00AD742E"/>
    <w:rsid w:val="00AE0706"/>
    <w:rsid w:val="00AE16E5"/>
    <w:rsid w:val="00AE2DD9"/>
    <w:rsid w:val="00AE38B8"/>
    <w:rsid w:val="00AE3A0F"/>
    <w:rsid w:val="00AE3DAF"/>
    <w:rsid w:val="00AE3E6C"/>
    <w:rsid w:val="00AE4117"/>
    <w:rsid w:val="00AE58F7"/>
    <w:rsid w:val="00AE6176"/>
    <w:rsid w:val="00AE62D8"/>
    <w:rsid w:val="00AE6A79"/>
    <w:rsid w:val="00AE78D4"/>
    <w:rsid w:val="00AE7950"/>
    <w:rsid w:val="00AE7FA5"/>
    <w:rsid w:val="00AF00F1"/>
    <w:rsid w:val="00AF03B8"/>
    <w:rsid w:val="00AF05EF"/>
    <w:rsid w:val="00AF0858"/>
    <w:rsid w:val="00AF1D9D"/>
    <w:rsid w:val="00AF225E"/>
    <w:rsid w:val="00AF367E"/>
    <w:rsid w:val="00AF405F"/>
    <w:rsid w:val="00AF4D40"/>
    <w:rsid w:val="00AF533F"/>
    <w:rsid w:val="00AF5606"/>
    <w:rsid w:val="00AF587F"/>
    <w:rsid w:val="00AF6314"/>
    <w:rsid w:val="00AF64CA"/>
    <w:rsid w:val="00AF74BF"/>
    <w:rsid w:val="00AF758E"/>
    <w:rsid w:val="00B01279"/>
    <w:rsid w:val="00B019CB"/>
    <w:rsid w:val="00B01B50"/>
    <w:rsid w:val="00B01F98"/>
    <w:rsid w:val="00B024C4"/>
    <w:rsid w:val="00B02C2A"/>
    <w:rsid w:val="00B031D9"/>
    <w:rsid w:val="00B04008"/>
    <w:rsid w:val="00B0570C"/>
    <w:rsid w:val="00B05D29"/>
    <w:rsid w:val="00B060EE"/>
    <w:rsid w:val="00B071D6"/>
    <w:rsid w:val="00B10071"/>
    <w:rsid w:val="00B102D1"/>
    <w:rsid w:val="00B10524"/>
    <w:rsid w:val="00B10560"/>
    <w:rsid w:val="00B10A26"/>
    <w:rsid w:val="00B10D58"/>
    <w:rsid w:val="00B11369"/>
    <w:rsid w:val="00B117A9"/>
    <w:rsid w:val="00B1311B"/>
    <w:rsid w:val="00B132FD"/>
    <w:rsid w:val="00B1460B"/>
    <w:rsid w:val="00B1487F"/>
    <w:rsid w:val="00B149A3"/>
    <w:rsid w:val="00B14A98"/>
    <w:rsid w:val="00B14B16"/>
    <w:rsid w:val="00B168D7"/>
    <w:rsid w:val="00B16B54"/>
    <w:rsid w:val="00B17C0C"/>
    <w:rsid w:val="00B2026E"/>
    <w:rsid w:val="00B20284"/>
    <w:rsid w:val="00B20351"/>
    <w:rsid w:val="00B20BF7"/>
    <w:rsid w:val="00B20C80"/>
    <w:rsid w:val="00B20F66"/>
    <w:rsid w:val="00B2101F"/>
    <w:rsid w:val="00B21142"/>
    <w:rsid w:val="00B218FD"/>
    <w:rsid w:val="00B2190D"/>
    <w:rsid w:val="00B224B3"/>
    <w:rsid w:val="00B22CF8"/>
    <w:rsid w:val="00B23AF1"/>
    <w:rsid w:val="00B241DA"/>
    <w:rsid w:val="00B242AC"/>
    <w:rsid w:val="00B24CFF"/>
    <w:rsid w:val="00B252B9"/>
    <w:rsid w:val="00B25B1D"/>
    <w:rsid w:val="00B25DD7"/>
    <w:rsid w:val="00B26A5F"/>
    <w:rsid w:val="00B26ED5"/>
    <w:rsid w:val="00B27335"/>
    <w:rsid w:val="00B2779E"/>
    <w:rsid w:val="00B27DF4"/>
    <w:rsid w:val="00B30DA9"/>
    <w:rsid w:val="00B3171A"/>
    <w:rsid w:val="00B31ABF"/>
    <w:rsid w:val="00B31D3C"/>
    <w:rsid w:val="00B321C1"/>
    <w:rsid w:val="00B33A78"/>
    <w:rsid w:val="00B34AEF"/>
    <w:rsid w:val="00B351C1"/>
    <w:rsid w:val="00B35662"/>
    <w:rsid w:val="00B35873"/>
    <w:rsid w:val="00B359CF"/>
    <w:rsid w:val="00B35E09"/>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22"/>
    <w:rsid w:val="00B46B9A"/>
    <w:rsid w:val="00B47290"/>
    <w:rsid w:val="00B501CF"/>
    <w:rsid w:val="00B50288"/>
    <w:rsid w:val="00B50A70"/>
    <w:rsid w:val="00B51861"/>
    <w:rsid w:val="00B51913"/>
    <w:rsid w:val="00B51C0C"/>
    <w:rsid w:val="00B52C10"/>
    <w:rsid w:val="00B54640"/>
    <w:rsid w:val="00B54BD6"/>
    <w:rsid w:val="00B54D23"/>
    <w:rsid w:val="00B54F94"/>
    <w:rsid w:val="00B55DEE"/>
    <w:rsid w:val="00B561CA"/>
    <w:rsid w:val="00B565AE"/>
    <w:rsid w:val="00B57017"/>
    <w:rsid w:val="00B57039"/>
    <w:rsid w:val="00B57155"/>
    <w:rsid w:val="00B57775"/>
    <w:rsid w:val="00B600E5"/>
    <w:rsid w:val="00B602AA"/>
    <w:rsid w:val="00B608EC"/>
    <w:rsid w:val="00B615A2"/>
    <w:rsid w:val="00B617C2"/>
    <w:rsid w:val="00B61DC3"/>
    <w:rsid w:val="00B62070"/>
    <w:rsid w:val="00B62A3A"/>
    <w:rsid w:val="00B62CA1"/>
    <w:rsid w:val="00B62DE9"/>
    <w:rsid w:val="00B62EA7"/>
    <w:rsid w:val="00B63D46"/>
    <w:rsid w:val="00B63DFA"/>
    <w:rsid w:val="00B64DD4"/>
    <w:rsid w:val="00B651BC"/>
    <w:rsid w:val="00B6591E"/>
    <w:rsid w:val="00B65B88"/>
    <w:rsid w:val="00B65DC6"/>
    <w:rsid w:val="00B65FAD"/>
    <w:rsid w:val="00B673CC"/>
    <w:rsid w:val="00B7103B"/>
    <w:rsid w:val="00B71311"/>
    <w:rsid w:val="00B7178E"/>
    <w:rsid w:val="00B72477"/>
    <w:rsid w:val="00B72CFD"/>
    <w:rsid w:val="00B734EF"/>
    <w:rsid w:val="00B737FE"/>
    <w:rsid w:val="00B73AB6"/>
    <w:rsid w:val="00B767AA"/>
    <w:rsid w:val="00B76F24"/>
    <w:rsid w:val="00B801E5"/>
    <w:rsid w:val="00B802F8"/>
    <w:rsid w:val="00B80A5A"/>
    <w:rsid w:val="00B80A92"/>
    <w:rsid w:val="00B82734"/>
    <w:rsid w:val="00B82FF9"/>
    <w:rsid w:val="00B832A1"/>
    <w:rsid w:val="00B83CD5"/>
    <w:rsid w:val="00B83D23"/>
    <w:rsid w:val="00B8451B"/>
    <w:rsid w:val="00B84964"/>
    <w:rsid w:val="00B85676"/>
    <w:rsid w:val="00B85896"/>
    <w:rsid w:val="00B8635D"/>
    <w:rsid w:val="00B90D14"/>
    <w:rsid w:val="00B94249"/>
    <w:rsid w:val="00B94276"/>
    <w:rsid w:val="00B94653"/>
    <w:rsid w:val="00B94CE2"/>
    <w:rsid w:val="00BA0783"/>
    <w:rsid w:val="00BA08F4"/>
    <w:rsid w:val="00BA0B99"/>
    <w:rsid w:val="00BA18AE"/>
    <w:rsid w:val="00BA1E6F"/>
    <w:rsid w:val="00BA1F47"/>
    <w:rsid w:val="00BA2EE4"/>
    <w:rsid w:val="00BA32B4"/>
    <w:rsid w:val="00BA39E2"/>
    <w:rsid w:val="00BA3F7E"/>
    <w:rsid w:val="00BA4B75"/>
    <w:rsid w:val="00BA53C3"/>
    <w:rsid w:val="00BA5B75"/>
    <w:rsid w:val="00BA5EA6"/>
    <w:rsid w:val="00BA60DC"/>
    <w:rsid w:val="00BA65AC"/>
    <w:rsid w:val="00BA6D16"/>
    <w:rsid w:val="00BB0CA4"/>
    <w:rsid w:val="00BB272F"/>
    <w:rsid w:val="00BB29F6"/>
    <w:rsid w:val="00BB30F0"/>
    <w:rsid w:val="00BB37A8"/>
    <w:rsid w:val="00BB3854"/>
    <w:rsid w:val="00BB3A85"/>
    <w:rsid w:val="00BB4531"/>
    <w:rsid w:val="00BB45EB"/>
    <w:rsid w:val="00BB46C4"/>
    <w:rsid w:val="00BB4EE7"/>
    <w:rsid w:val="00BB54E0"/>
    <w:rsid w:val="00BB5D57"/>
    <w:rsid w:val="00BB6862"/>
    <w:rsid w:val="00BB69A7"/>
    <w:rsid w:val="00BB6B5E"/>
    <w:rsid w:val="00BB708D"/>
    <w:rsid w:val="00BB7809"/>
    <w:rsid w:val="00BB7DD5"/>
    <w:rsid w:val="00BC0AC9"/>
    <w:rsid w:val="00BC14A9"/>
    <w:rsid w:val="00BC16E5"/>
    <w:rsid w:val="00BC1C6B"/>
    <w:rsid w:val="00BC2B21"/>
    <w:rsid w:val="00BC3DAD"/>
    <w:rsid w:val="00BC56A8"/>
    <w:rsid w:val="00BC628E"/>
    <w:rsid w:val="00BC6B7C"/>
    <w:rsid w:val="00BC7677"/>
    <w:rsid w:val="00BC76AF"/>
    <w:rsid w:val="00BC7BB9"/>
    <w:rsid w:val="00BC7C6D"/>
    <w:rsid w:val="00BD03A2"/>
    <w:rsid w:val="00BD046B"/>
    <w:rsid w:val="00BD0E31"/>
    <w:rsid w:val="00BD0FD5"/>
    <w:rsid w:val="00BD1021"/>
    <w:rsid w:val="00BD16D3"/>
    <w:rsid w:val="00BD20AF"/>
    <w:rsid w:val="00BD2C7F"/>
    <w:rsid w:val="00BD2CDE"/>
    <w:rsid w:val="00BD39BE"/>
    <w:rsid w:val="00BD3F7A"/>
    <w:rsid w:val="00BD48E4"/>
    <w:rsid w:val="00BD59A9"/>
    <w:rsid w:val="00BD6C2C"/>
    <w:rsid w:val="00BD7A0B"/>
    <w:rsid w:val="00BD7B7E"/>
    <w:rsid w:val="00BE0385"/>
    <w:rsid w:val="00BE2107"/>
    <w:rsid w:val="00BE2586"/>
    <w:rsid w:val="00BE2680"/>
    <w:rsid w:val="00BE279E"/>
    <w:rsid w:val="00BE27CA"/>
    <w:rsid w:val="00BE2DC2"/>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214C"/>
    <w:rsid w:val="00BF2E55"/>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3D6D"/>
    <w:rsid w:val="00C04F7C"/>
    <w:rsid w:val="00C053A6"/>
    <w:rsid w:val="00C0552B"/>
    <w:rsid w:val="00C05A13"/>
    <w:rsid w:val="00C06276"/>
    <w:rsid w:val="00C06B9E"/>
    <w:rsid w:val="00C06F7A"/>
    <w:rsid w:val="00C07D29"/>
    <w:rsid w:val="00C108BC"/>
    <w:rsid w:val="00C10924"/>
    <w:rsid w:val="00C116D9"/>
    <w:rsid w:val="00C12447"/>
    <w:rsid w:val="00C124EC"/>
    <w:rsid w:val="00C128FE"/>
    <w:rsid w:val="00C12EDE"/>
    <w:rsid w:val="00C13CC9"/>
    <w:rsid w:val="00C1443C"/>
    <w:rsid w:val="00C147D1"/>
    <w:rsid w:val="00C157E9"/>
    <w:rsid w:val="00C15AD1"/>
    <w:rsid w:val="00C166EB"/>
    <w:rsid w:val="00C167F4"/>
    <w:rsid w:val="00C169BF"/>
    <w:rsid w:val="00C17209"/>
    <w:rsid w:val="00C17E72"/>
    <w:rsid w:val="00C2026B"/>
    <w:rsid w:val="00C21FDA"/>
    <w:rsid w:val="00C2211B"/>
    <w:rsid w:val="00C2349D"/>
    <w:rsid w:val="00C23DDB"/>
    <w:rsid w:val="00C25537"/>
    <w:rsid w:val="00C2564C"/>
    <w:rsid w:val="00C25891"/>
    <w:rsid w:val="00C2590B"/>
    <w:rsid w:val="00C25AE9"/>
    <w:rsid w:val="00C26D51"/>
    <w:rsid w:val="00C27561"/>
    <w:rsid w:val="00C30536"/>
    <w:rsid w:val="00C30BE0"/>
    <w:rsid w:val="00C31952"/>
    <w:rsid w:val="00C319D9"/>
    <w:rsid w:val="00C31FE6"/>
    <w:rsid w:val="00C32673"/>
    <w:rsid w:val="00C3268E"/>
    <w:rsid w:val="00C327FC"/>
    <w:rsid w:val="00C32D87"/>
    <w:rsid w:val="00C330AE"/>
    <w:rsid w:val="00C347D8"/>
    <w:rsid w:val="00C35268"/>
    <w:rsid w:val="00C355B1"/>
    <w:rsid w:val="00C3593E"/>
    <w:rsid w:val="00C35969"/>
    <w:rsid w:val="00C3599A"/>
    <w:rsid w:val="00C359EE"/>
    <w:rsid w:val="00C36207"/>
    <w:rsid w:val="00C36754"/>
    <w:rsid w:val="00C36899"/>
    <w:rsid w:val="00C36E6C"/>
    <w:rsid w:val="00C3710A"/>
    <w:rsid w:val="00C37185"/>
    <w:rsid w:val="00C3745C"/>
    <w:rsid w:val="00C37B9D"/>
    <w:rsid w:val="00C37CC4"/>
    <w:rsid w:val="00C37DE7"/>
    <w:rsid w:val="00C401DA"/>
    <w:rsid w:val="00C411DB"/>
    <w:rsid w:val="00C4124E"/>
    <w:rsid w:val="00C41F8B"/>
    <w:rsid w:val="00C423C0"/>
    <w:rsid w:val="00C4352B"/>
    <w:rsid w:val="00C43A43"/>
    <w:rsid w:val="00C43C38"/>
    <w:rsid w:val="00C44DAD"/>
    <w:rsid w:val="00C44E18"/>
    <w:rsid w:val="00C46384"/>
    <w:rsid w:val="00C46F16"/>
    <w:rsid w:val="00C46F57"/>
    <w:rsid w:val="00C50364"/>
    <w:rsid w:val="00C504F3"/>
    <w:rsid w:val="00C51968"/>
    <w:rsid w:val="00C51EE1"/>
    <w:rsid w:val="00C52233"/>
    <w:rsid w:val="00C52B75"/>
    <w:rsid w:val="00C52BA3"/>
    <w:rsid w:val="00C5336F"/>
    <w:rsid w:val="00C53D03"/>
    <w:rsid w:val="00C53FC4"/>
    <w:rsid w:val="00C5423A"/>
    <w:rsid w:val="00C54560"/>
    <w:rsid w:val="00C546F6"/>
    <w:rsid w:val="00C546FD"/>
    <w:rsid w:val="00C54D4D"/>
    <w:rsid w:val="00C5530D"/>
    <w:rsid w:val="00C55F62"/>
    <w:rsid w:val="00C56ACB"/>
    <w:rsid w:val="00C56F6A"/>
    <w:rsid w:val="00C572BF"/>
    <w:rsid w:val="00C57831"/>
    <w:rsid w:val="00C60128"/>
    <w:rsid w:val="00C603E8"/>
    <w:rsid w:val="00C60E0F"/>
    <w:rsid w:val="00C6103E"/>
    <w:rsid w:val="00C6191B"/>
    <w:rsid w:val="00C628C6"/>
    <w:rsid w:val="00C62C59"/>
    <w:rsid w:val="00C63541"/>
    <w:rsid w:val="00C63EB5"/>
    <w:rsid w:val="00C649B9"/>
    <w:rsid w:val="00C6593B"/>
    <w:rsid w:val="00C659C4"/>
    <w:rsid w:val="00C66DEA"/>
    <w:rsid w:val="00C6715A"/>
    <w:rsid w:val="00C67C57"/>
    <w:rsid w:val="00C702A9"/>
    <w:rsid w:val="00C70C37"/>
    <w:rsid w:val="00C729AB"/>
    <w:rsid w:val="00C74F21"/>
    <w:rsid w:val="00C7593F"/>
    <w:rsid w:val="00C75A8C"/>
    <w:rsid w:val="00C75D94"/>
    <w:rsid w:val="00C7685C"/>
    <w:rsid w:val="00C7753F"/>
    <w:rsid w:val="00C776E3"/>
    <w:rsid w:val="00C80BDE"/>
    <w:rsid w:val="00C80C05"/>
    <w:rsid w:val="00C815CB"/>
    <w:rsid w:val="00C826F3"/>
    <w:rsid w:val="00C836BF"/>
    <w:rsid w:val="00C83C63"/>
    <w:rsid w:val="00C83D26"/>
    <w:rsid w:val="00C84490"/>
    <w:rsid w:val="00C8466C"/>
    <w:rsid w:val="00C84E84"/>
    <w:rsid w:val="00C86224"/>
    <w:rsid w:val="00C8622E"/>
    <w:rsid w:val="00C86954"/>
    <w:rsid w:val="00C86E8A"/>
    <w:rsid w:val="00C878B0"/>
    <w:rsid w:val="00C90253"/>
    <w:rsid w:val="00C9122C"/>
    <w:rsid w:val="00C9181E"/>
    <w:rsid w:val="00C91BE9"/>
    <w:rsid w:val="00C94785"/>
    <w:rsid w:val="00C94DB7"/>
    <w:rsid w:val="00C97389"/>
    <w:rsid w:val="00C97AC5"/>
    <w:rsid w:val="00C97EB3"/>
    <w:rsid w:val="00CA0E5D"/>
    <w:rsid w:val="00CA1CFF"/>
    <w:rsid w:val="00CA3900"/>
    <w:rsid w:val="00CA3DD9"/>
    <w:rsid w:val="00CA4ADF"/>
    <w:rsid w:val="00CA4D1F"/>
    <w:rsid w:val="00CA52D2"/>
    <w:rsid w:val="00CA5C20"/>
    <w:rsid w:val="00CA5CDE"/>
    <w:rsid w:val="00CB0227"/>
    <w:rsid w:val="00CB0A28"/>
    <w:rsid w:val="00CB0FBC"/>
    <w:rsid w:val="00CB2888"/>
    <w:rsid w:val="00CB3A14"/>
    <w:rsid w:val="00CB486E"/>
    <w:rsid w:val="00CB4EC9"/>
    <w:rsid w:val="00CB58C7"/>
    <w:rsid w:val="00CB5B34"/>
    <w:rsid w:val="00CC0269"/>
    <w:rsid w:val="00CC084C"/>
    <w:rsid w:val="00CC1475"/>
    <w:rsid w:val="00CC24C2"/>
    <w:rsid w:val="00CC3253"/>
    <w:rsid w:val="00CC3AA3"/>
    <w:rsid w:val="00CC4422"/>
    <w:rsid w:val="00CC4DB1"/>
    <w:rsid w:val="00CC5520"/>
    <w:rsid w:val="00CC5634"/>
    <w:rsid w:val="00CC5F62"/>
    <w:rsid w:val="00CC6169"/>
    <w:rsid w:val="00CC7563"/>
    <w:rsid w:val="00CC767D"/>
    <w:rsid w:val="00CD0A0F"/>
    <w:rsid w:val="00CD0B22"/>
    <w:rsid w:val="00CD0BAE"/>
    <w:rsid w:val="00CD1F17"/>
    <w:rsid w:val="00CD1F27"/>
    <w:rsid w:val="00CD2CCD"/>
    <w:rsid w:val="00CD2F56"/>
    <w:rsid w:val="00CD42AF"/>
    <w:rsid w:val="00CD5027"/>
    <w:rsid w:val="00CD59FC"/>
    <w:rsid w:val="00CD5F15"/>
    <w:rsid w:val="00CD6751"/>
    <w:rsid w:val="00CE01EF"/>
    <w:rsid w:val="00CE0274"/>
    <w:rsid w:val="00CE056C"/>
    <w:rsid w:val="00CE09C2"/>
    <w:rsid w:val="00CE1A20"/>
    <w:rsid w:val="00CE1C05"/>
    <w:rsid w:val="00CE1E0F"/>
    <w:rsid w:val="00CE252A"/>
    <w:rsid w:val="00CE2DF8"/>
    <w:rsid w:val="00CE3AD1"/>
    <w:rsid w:val="00CE41CB"/>
    <w:rsid w:val="00CE490E"/>
    <w:rsid w:val="00CE49AD"/>
    <w:rsid w:val="00CE5163"/>
    <w:rsid w:val="00CE5214"/>
    <w:rsid w:val="00CE538B"/>
    <w:rsid w:val="00CE5824"/>
    <w:rsid w:val="00CE63D4"/>
    <w:rsid w:val="00CE6D9D"/>
    <w:rsid w:val="00CE6DAD"/>
    <w:rsid w:val="00CF0F48"/>
    <w:rsid w:val="00CF14E4"/>
    <w:rsid w:val="00CF1B21"/>
    <w:rsid w:val="00CF2166"/>
    <w:rsid w:val="00CF2674"/>
    <w:rsid w:val="00CF2906"/>
    <w:rsid w:val="00CF2C96"/>
    <w:rsid w:val="00CF3109"/>
    <w:rsid w:val="00CF4C26"/>
    <w:rsid w:val="00CF57F4"/>
    <w:rsid w:val="00CF6316"/>
    <w:rsid w:val="00CF6AC6"/>
    <w:rsid w:val="00CF7284"/>
    <w:rsid w:val="00D00456"/>
    <w:rsid w:val="00D00EE1"/>
    <w:rsid w:val="00D032AF"/>
    <w:rsid w:val="00D03CEC"/>
    <w:rsid w:val="00D0404C"/>
    <w:rsid w:val="00D04110"/>
    <w:rsid w:val="00D0442D"/>
    <w:rsid w:val="00D04DA3"/>
    <w:rsid w:val="00D04FD6"/>
    <w:rsid w:val="00D057B9"/>
    <w:rsid w:val="00D0596C"/>
    <w:rsid w:val="00D062B9"/>
    <w:rsid w:val="00D0671C"/>
    <w:rsid w:val="00D070AB"/>
    <w:rsid w:val="00D072AE"/>
    <w:rsid w:val="00D0744A"/>
    <w:rsid w:val="00D074CB"/>
    <w:rsid w:val="00D07532"/>
    <w:rsid w:val="00D076E8"/>
    <w:rsid w:val="00D07ED7"/>
    <w:rsid w:val="00D100A1"/>
    <w:rsid w:val="00D121C4"/>
    <w:rsid w:val="00D12BAF"/>
    <w:rsid w:val="00D12DFC"/>
    <w:rsid w:val="00D131E7"/>
    <w:rsid w:val="00D1341A"/>
    <w:rsid w:val="00D14444"/>
    <w:rsid w:val="00D14A4E"/>
    <w:rsid w:val="00D15A6D"/>
    <w:rsid w:val="00D15F68"/>
    <w:rsid w:val="00D164B1"/>
    <w:rsid w:val="00D16D48"/>
    <w:rsid w:val="00D1736A"/>
    <w:rsid w:val="00D173D4"/>
    <w:rsid w:val="00D175CD"/>
    <w:rsid w:val="00D17B64"/>
    <w:rsid w:val="00D20BEE"/>
    <w:rsid w:val="00D20E87"/>
    <w:rsid w:val="00D217D4"/>
    <w:rsid w:val="00D22267"/>
    <w:rsid w:val="00D22898"/>
    <w:rsid w:val="00D22A04"/>
    <w:rsid w:val="00D22AA4"/>
    <w:rsid w:val="00D230B6"/>
    <w:rsid w:val="00D23CB8"/>
    <w:rsid w:val="00D2428E"/>
    <w:rsid w:val="00D242BE"/>
    <w:rsid w:val="00D24868"/>
    <w:rsid w:val="00D24E42"/>
    <w:rsid w:val="00D255E2"/>
    <w:rsid w:val="00D26AD5"/>
    <w:rsid w:val="00D26B94"/>
    <w:rsid w:val="00D27332"/>
    <w:rsid w:val="00D30C1B"/>
    <w:rsid w:val="00D30E2D"/>
    <w:rsid w:val="00D3117F"/>
    <w:rsid w:val="00D34386"/>
    <w:rsid w:val="00D346B8"/>
    <w:rsid w:val="00D34CAE"/>
    <w:rsid w:val="00D35542"/>
    <w:rsid w:val="00D35A39"/>
    <w:rsid w:val="00D362A0"/>
    <w:rsid w:val="00D3694B"/>
    <w:rsid w:val="00D369C8"/>
    <w:rsid w:val="00D36DA9"/>
    <w:rsid w:val="00D37595"/>
    <w:rsid w:val="00D40823"/>
    <w:rsid w:val="00D40F50"/>
    <w:rsid w:val="00D40FF3"/>
    <w:rsid w:val="00D412EA"/>
    <w:rsid w:val="00D42E57"/>
    <w:rsid w:val="00D4387F"/>
    <w:rsid w:val="00D43B4E"/>
    <w:rsid w:val="00D44386"/>
    <w:rsid w:val="00D4478D"/>
    <w:rsid w:val="00D4499F"/>
    <w:rsid w:val="00D44B42"/>
    <w:rsid w:val="00D44C83"/>
    <w:rsid w:val="00D450B6"/>
    <w:rsid w:val="00D4528C"/>
    <w:rsid w:val="00D4678E"/>
    <w:rsid w:val="00D51281"/>
    <w:rsid w:val="00D51E45"/>
    <w:rsid w:val="00D52030"/>
    <w:rsid w:val="00D537D5"/>
    <w:rsid w:val="00D539F8"/>
    <w:rsid w:val="00D53C64"/>
    <w:rsid w:val="00D5467F"/>
    <w:rsid w:val="00D54F36"/>
    <w:rsid w:val="00D54FEB"/>
    <w:rsid w:val="00D55D7C"/>
    <w:rsid w:val="00D55D9F"/>
    <w:rsid w:val="00D562B3"/>
    <w:rsid w:val="00D56AC3"/>
    <w:rsid w:val="00D57F95"/>
    <w:rsid w:val="00D60210"/>
    <w:rsid w:val="00D60AB8"/>
    <w:rsid w:val="00D61C1D"/>
    <w:rsid w:val="00D62A67"/>
    <w:rsid w:val="00D62C48"/>
    <w:rsid w:val="00D63209"/>
    <w:rsid w:val="00D6320A"/>
    <w:rsid w:val="00D6389C"/>
    <w:rsid w:val="00D63B19"/>
    <w:rsid w:val="00D6463C"/>
    <w:rsid w:val="00D64802"/>
    <w:rsid w:val="00D64BC2"/>
    <w:rsid w:val="00D64CB3"/>
    <w:rsid w:val="00D65127"/>
    <w:rsid w:val="00D66091"/>
    <w:rsid w:val="00D66694"/>
    <w:rsid w:val="00D676ED"/>
    <w:rsid w:val="00D70655"/>
    <w:rsid w:val="00D70DC1"/>
    <w:rsid w:val="00D71FE9"/>
    <w:rsid w:val="00D725C0"/>
    <w:rsid w:val="00D75C27"/>
    <w:rsid w:val="00D7610F"/>
    <w:rsid w:val="00D7656D"/>
    <w:rsid w:val="00D77D54"/>
    <w:rsid w:val="00D82C41"/>
    <w:rsid w:val="00D8368A"/>
    <w:rsid w:val="00D83E78"/>
    <w:rsid w:val="00D83EC2"/>
    <w:rsid w:val="00D83F8C"/>
    <w:rsid w:val="00D8494A"/>
    <w:rsid w:val="00D84E34"/>
    <w:rsid w:val="00D86E4C"/>
    <w:rsid w:val="00D8714D"/>
    <w:rsid w:val="00D87689"/>
    <w:rsid w:val="00D90C20"/>
    <w:rsid w:val="00D913BC"/>
    <w:rsid w:val="00D928CF"/>
    <w:rsid w:val="00D92B92"/>
    <w:rsid w:val="00D9367D"/>
    <w:rsid w:val="00D94719"/>
    <w:rsid w:val="00D94802"/>
    <w:rsid w:val="00D94F47"/>
    <w:rsid w:val="00D967B2"/>
    <w:rsid w:val="00D96D08"/>
    <w:rsid w:val="00D97D8F"/>
    <w:rsid w:val="00DA042C"/>
    <w:rsid w:val="00DA0963"/>
    <w:rsid w:val="00DA100A"/>
    <w:rsid w:val="00DA14AE"/>
    <w:rsid w:val="00DA182E"/>
    <w:rsid w:val="00DA197B"/>
    <w:rsid w:val="00DA21F6"/>
    <w:rsid w:val="00DA310C"/>
    <w:rsid w:val="00DA3BA1"/>
    <w:rsid w:val="00DA3DCF"/>
    <w:rsid w:val="00DA43F0"/>
    <w:rsid w:val="00DA5F82"/>
    <w:rsid w:val="00DA6562"/>
    <w:rsid w:val="00DA6C40"/>
    <w:rsid w:val="00DA7801"/>
    <w:rsid w:val="00DA7AE1"/>
    <w:rsid w:val="00DB01ED"/>
    <w:rsid w:val="00DB06CD"/>
    <w:rsid w:val="00DB1C3E"/>
    <w:rsid w:val="00DB1F2B"/>
    <w:rsid w:val="00DB3B12"/>
    <w:rsid w:val="00DB3FAC"/>
    <w:rsid w:val="00DB426A"/>
    <w:rsid w:val="00DB4913"/>
    <w:rsid w:val="00DB49AE"/>
    <w:rsid w:val="00DB5819"/>
    <w:rsid w:val="00DB5C42"/>
    <w:rsid w:val="00DB5CDD"/>
    <w:rsid w:val="00DB5DD2"/>
    <w:rsid w:val="00DB663D"/>
    <w:rsid w:val="00DB695B"/>
    <w:rsid w:val="00DB71B6"/>
    <w:rsid w:val="00DB796E"/>
    <w:rsid w:val="00DB7F40"/>
    <w:rsid w:val="00DC1820"/>
    <w:rsid w:val="00DC19AF"/>
    <w:rsid w:val="00DC1B40"/>
    <w:rsid w:val="00DC1BCD"/>
    <w:rsid w:val="00DC39EE"/>
    <w:rsid w:val="00DC4010"/>
    <w:rsid w:val="00DC4884"/>
    <w:rsid w:val="00DC4AD7"/>
    <w:rsid w:val="00DC5301"/>
    <w:rsid w:val="00DC55D6"/>
    <w:rsid w:val="00DC61A0"/>
    <w:rsid w:val="00DC73BD"/>
    <w:rsid w:val="00DD0339"/>
    <w:rsid w:val="00DD0810"/>
    <w:rsid w:val="00DD092D"/>
    <w:rsid w:val="00DD0AC3"/>
    <w:rsid w:val="00DD159B"/>
    <w:rsid w:val="00DD2218"/>
    <w:rsid w:val="00DD22BF"/>
    <w:rsid w:val="00DD233E"/>
    <w:rsid w:val="00DD38DB"/>
    <w:rsid w:val="00DD3C0D"/>
    <w:rsid w:val="00DD3E9E"/>
    <w:rsid w:val="00DD3FD5"/>
    <w:rsid w:val="00DD5A96"/>
    <w:rsid w:val="00DD60E3"/>
    <w:rsid w:val="00DD61AF"/>
    <w:rsid w:val="00DD793E"/>
    <w:rsid w:val="00DD7F67"/>
    <w:rsid w:val="00DE070B"/>
    <w:rsid w:val="00DE0D43"/>
    <w:rsid w:val="00DE128D"/>
    <w:rsid w:val="00DE1724"/>
    <w:rsid w:val="00DE2868"/>
    <w:rsid w:val="00DE445A"/>
    <w:rsid w:val="00DE4B33"/>
    <w:rsid w:val="00DE4C18"/>
    <w:rsid w:val="00DE5CF4"/>
    <w:rsid w:val="00DE5E96"/>
    <w:rsid w:val="00DE60BA"/>
    <w:rsid w:val="00DE67E9"/>
    <w:rsid w:val="00DE6B9E"/>
    <w:rsid w:val="00DF0789"/>
    <w:rsid w:val="00DF132F"/>
    <w:rsid w:val="00DF2012"/>
    <w:rsid w:val="00DF2CD3"/>
    <w:rsid w:val="00DF3472"/>
    <w:rsid w:val="00DF38B2"/>
    <w:rsid w:val="00DF3C44"/>
    <w:rsid w:val="00DF5CED"/>
    <w:rsid w:val="00DF5F3B"/>
    <w:rsid w:val="00DF637B"/>
    <w:rsid w:val="00DF6844"/>
    <w:rsid w:val="00DF69C8"/>
    <w:rsid w:val="00DF72B5"/>
    <w:rsid w:val="00E008C0"/>
    <w:rsid w:val="00E00BAF"/>
    <w:rsid w:val="00E00BF7"/>
    <w:rsid w:val="00E00D3D"/>
    <w:rsid w:val="00E01774"/>
    <w:rsid w:val="00E02430"/>
    <w:rsid w:val="00E02AC9"/>
    <w:rsid w:val="00E03219"/>
    <w:rsid w:val="00E03477"/>
    <w:rsid w:val="00E045B5"/>
    <w:rsid w:val="00E04E9B"/>
    <w:rsid w:val="00E067F3"/>
    <w:rsid w:val="00E073E0"/>
    <w:rsid w:val="00E0741E"/>
    <w:rsid w:val="00E10BD1"/>
    <w:rsid w:val="00E11EEE"/>
    <w:rsid w:val="00E12BEC"/>
    <w:rsid w:val="00E1311F"/>
    <w:rsid w:val="00E13F4B"/>
    <w:rsid w:val="00E14125"/>
    <w:rsid w:val="00E145FD"/>
    <w:rsid w:val="00E152D5"/>
    <w:rsid w:val="00E153D9"/>
    <w:rsid w:val="00E15BED"/>
    <w:rsid w:val="00E15E86"/>
    <w:rsid w:val="00E162FF"/>
    <w:rsid w:val="00E169A8"/>
    <w:rsid w:val="00E17E6C"/>
    <w:rsid w:val="00E20B50"/>
    <w:rsid w:val="00E2199E"/>
    <w:rsid w:val="00E22673"/>
    <w:rsid w:val="00E22A63"/>
    <w:rsid w:val="00E22AF5"/>
    <w:rsid w:val="00E23548"/>
    <w:rsid w:val="00E23858"/>
    <w:rsid w:val="00E2398E"/>
    <w:rsid w:val="00E240EB"/>
    <w:rsid w:val="00E24126"/>
    <w:rsid w:val="00E24AAB"/>
    <w:rsid w:val="00E24BFE"/>
    <w:rsid w:val="00E24E99"/>
    <w:rsid w:val="00E253EF"/>
    <w:rsid w:val="00E25E4F"/>
    <w:rsid w:val="00E26C9F"/>
    <w:rsid w:val="00E3020F"/>
    <w:rsid w:val="00E31C36"/>
    <w:rsid w:val="00E31F9B"/>
    <w:rsid w:val="00E325BF"/>
    <w:rsid w:val="00E32809"/>
    <w:rsid w:val="00E3290D"/>
    <w:rsid w:val="00E32BD7"/>
    <w:rsid w:val="00E348C0"/>
    <w:rsid w:val="00E3522D"/>
    <w:rsid w:val="00E356CC"/>
    <w:rsid w:val="00E373CB"/>
    <w:rsid w:val="00E37729"/>
    <w:rsid w:val="00E403B5"/>
    <w:rsid w:val="00E42771"/>
    <w:rsid w:val="00E42BB1"/>
    <w:rsid w:val="00E4388D"/>
    <w:rsid w:val="00E456FA"/>
    <w:rsid w:val="00E459C5"/>
    <w:rsid w:val="00E45AEC"/>
    <w:rsid w:val="00E45C5A"/>
    <w:rsid w:val="00E4647C"/>
    <w:rsid w:val="00E47175"/>
    <w:rsid w:val="00E50C87"/>
    <w:rsid w:val="00E512B1"/>
    <w:rsid w:val="00E52139"/>
    <w:rsid w:val="00E52373"/>
    <w:rsid w:val="00E5297C"/>
    <w:rsid w:val="00E535DB"/>
    <w:rsid w:val="00E54176"/>
    <w:rsid w:val="00E545FE"/>
    <w:rsid w:val="00E551A8"/>
    <w:rsid w:val="00E55EEF"/>
    <w:rsid w:val="00E55FCC"/>
    <w:rsid w:val="00E56300"/>
    <w:rsid w:val="00E56798"/>
    <w:rsid w:val="00E573C5"/>
    <w:rsid w:val="00E6254A"/>
    <w:rsid w:val="00E62D21"/>
    <w:rsid w:val="00E62F87"/>
    <w:rsid w:val="00E635C4"/>
    <w:rsid w:val="00E640A5"/>
    <w:rsid w:val="00E64282"/>
    <w:rsid w:val="00E65040"/>
    <w:rsid w:val="00E65774"/>
    <w:rsid w:val="00E65F2D"/>
    <w:rsid w:val="00E66C46"/>
    <w:rsid w:val="00E66F1B"/>
    <w:rsid w:val="00E67ACA"/>
    <w:rsid w:val="00E67FC6"/>
    <w:rsid w:val="00E70243"/>
    <w:rsid w:val="00E71DAA"/>
    <w:rsid w:val="00E72F06"/>
    <w:rsid w:val="00E731FB"/>
    <w:rsid w:val="00E737D8"/>
    <w:rsid w:val="00E73A04"/>
    <w:rsid w:val="00E73D9E"/>
    <w:rsid w:val="00E75866"/>
    <w:rsid w:val="00E75B0B"/>
    <w:rsid w:val="00E75C7B"/>
    <w:rsid w:val="00E7646A"/>
    <w:rsid w:val="00E768B0"/>
    <w:rsid w:val="00E80192"/>
    <w:rsid w:val="00E81672"/>
    <w:rsid w:val="00E81678"/>
    <w:rsid w:val="00E816D9"/>
    <w:rsid w:val="00E819ED"/>
    <w:rsid w:val="00E832A7"/>
    <w:rsid w:val="00E838A4"/>
    <w:rsid w:val="00E84B46"/>
    <w:rsid w:val="00E85B92"/>
    <w:rsid w:val="00E85FA2"/>
    <w:rsid w:val="00E86F21"/>
    <w:rsid w:val="00E87A6C"/>
    <w:rsid w:val="00E87D12"/>
    <w:rsid w:val="00E9075D"/>
    <w:rsid w:val="00E91163"/>
    <w:rsid w:val="00E915F2"/>
    <w:rsid w:val="00E93B69"/>
    <w:rsid w:val="00E93C2E"/>
    <w:rsid w:val="00E952E8"/>
    <w:rsid w:val="00E95540"/>
    <w:rsid w:val="00E95D50"/>
    <w:rsid w:val="00E961A6"/>
    <w:rsid w:val="00E96431"/>
    <w:rsid w:val="00E96DD6"/>
    <w:rsid w:val="00E96FB9"/>
    <w:rsid w:val="00E97FAE"/>
    <w:rsid w:val="00EA01F0"/>
    <w:rsid w:val="00EA02F8"/>
    <w:rsid w:val="00EA0696"/>
    <w:rsid w:val="00EA1186"/>
    <w:rsid w:val="00EA1417"/>
    <w:rsid w:val="00EA1820"/>
    <w:rsid w:val="00EA2180"/>
    <w:rsid w:val="00EA2690"/>
    <w:rsid w:val="00EA2B99"/>
    <w:rsid w:val="00EA3623"/>
    <w:rsid w:val="00EA3DBE"/>
    <w:rsid w:val="00EA4520"/>
    <w:rsid w:val="00EA45FB"/>
    <w:rsid w:val="00EA4C2B"/>
    <w:rsid w:val="00EA4EC1"/>
    <w:rsid w:val="00EA4F7C"/>
    <w:rsid w:val="00EA599F"/>
    <w:rsid w:val="00EA6497"/>
    <w:rsid w:val="00EA6A1A"/>
    <w:rsid w:val="00EA719A"/>
    <w:rsid w:val="00EA797B"/>
    <w:rsid w:val="00EA7AD7"/>
    <w:rsid w:val="00EB04BE"/>
    <w:rsid w:val="00EB05E7"/>
    <w:rsid w:val="00EB08F2"/>
    <w:rsid w:val="00EB0B8E"/>
    <w:rsid w:val="00EB1075"/>
    <w:rsid w:val="00EB1247"/>
    <w:rsid w:val="00EB13B8"/>
    <w:rsid w:val="00EB18FF"/>
    <w:rsid w:val="00EB2820"/>
    <w:rsid w:val="00EB2D42"/>
    <w:rsid w:val="00EB36ED"/>
    <w:rsid w:val="00EB38EC"/>
    <w:rsid w:val="00EB4357"/>
    <w:rsid w:val="00EB4BDD"/>
    <w:rsid w:val="00EB5DA7"/>
    <w:rsid w:val="00EB7255"/>
    <w:rsid w:val="00EC0451"/>
    <w:rsid w:val="00EC04E1"/>
    <w:rsid w:val="00EC106D"/>
    <w:rsid w:val="00EC16AF"/>
    <w:rsid w:val="00EC1DAB"/>
    <w:rsid w:val="00EC29D6"/>
    <w:rsid w:val="00EC2B2A"/>
    <w:rsid w:val="00EC3F4D"/>
    <w:rsid w:val="00EC4044"/>
    <w:rsid w:val="00EC417F"/>
    <w:rsid w:val="00EC58D5"/>
    <w:rsid w:val="00EC61D9"/>
    <w:rsid w:val="00EC65D5"/>
    <w:rsid w:val="00EC6EC1"/>
    <w:rsid w:val="00EC727B"/>
    <w:rsid w:val="00EC753F"/>
    <w:rsid w:val="00ED0DBE"/>
    <w:rsid w:val="00ED2196"/>
    <w:rsid w:val="00ED2E1A"/>
    <w:rsid w:val="00ED339D"/>
    <w:rsid w:val="00ED53C7"/>
    <w:rsid w:val="00ED5B16"/>
    <w:rsid w:val="00ED5B33"/>
    <w:rsid w:val="00ED5EB4"/>
    <w:rsid w:val="00ED6108"/>
    <w:rsid w:val="00EE0061"/>
    <w:rsid w:val="00EE0ABE"/>
    <w:rsid w:val="00EE0C10"/>
    <w:rsid w:val="00EE1EA4"/>
    <w:rsid w:val="00EE21BD"/>
    <w:rsid w:val="00EE3158"/>
    <w:rsid w:val="00EE31E7"/>
    <w:rsid w:val="00EE34B8"/>
    <w:rsid w:val="00EE3CB8"/>
    <w:rsid w:val="00EE3EB8"/>
    <w:rsid w:val="00EE4B30"/>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1C3E"/>
    <w:rsid w:val="00EF248C"/>
    <w:rsid w:val="00EF25CA"/>
    <w:rsid w:val="00EF2B08"/>
    <w:rsid w:val="00EF2D07"/>
    <w:rsid w:val="00EF2E8A"/>
    <w:rsid w:val="00EF4972"/>
    <w:rsid w:val="00EF5513"/>
    <w:rsid w:val="00EF599B"/>
    <w:rsid w:val="00EF6FD3"/>
    <w:rsid w:val="00EF7358"/>
    <w:rsid w:val="00EF7769"/>
    <w:rsid w:val="00EF7838"/>
    <w:rsid w:val="00F00F7B"/>
    <w:rsid w:val="00F0194C"/>
    <w:rsid w:val="00F01B33"/>
    <w:rsid w:val="00F01C31"/>
    <w:rsid w:val="00F02A17"/>
    <w:rsid w:val="00F03472"/>
    <w:rsid w:val="00F034D3"/>
    <w:rsid w:val="00F04B89"/>
    <w:rsid w:val="00F05983"/>
    <w:rsid w:val="00F069A0"/>
    <w:rsid w:val="00F06FDE"/>
    <w:rsid w:val="00F07612"/>
    <w:rsid w:val="00F102F4"/>
    <w:rsid w:val="00F11248"/>
    <w:rsid w:val="00F113A1"/>
    <w:rsid w:val="00F12EF4"/>
    <w:rsid w:val="00F13000"/>
    <w:rsid w:val="00F13F1D"/>
    <w:rsid w:val="00F1475D"/>
    <w:rsid w:val="00F1542A"/>
    <w:rsid w:val="00F1569F"/>
    <w:rsid w:val="00F2002A"/>
    <w:rsid w:val="00F20775"/>
    <w:rsid w:val="00F22E66"/>
    <w:rsid w:val="00F2323C"/>
    <w:rsid w:val="00F23464"/>
    <w:rsid w:val="00F234B6"/>
    <w:rsid w:val="00F2474E"/>
    <w:rsid w:val="00F24828"/>
    <w:rsid w:val="00F2527B"/>
    <w:rsid w:val="00F25C66"/>
    <w:rsid w:val="00F27807"/>
    <w:rsid w:val="00F27C1B"/>
    <w:rsid w:val="00F316C0"/>
    <w:rsid w:val="00F31FC9"/>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53D"/>
    <w:rsid w:val="00F41DD5"/>
    <w:rsid w:val="00F421FB"/>
    <w:rsid w:val="00F42208"/>
    <w:rsid w:val="00F427E3"/>
    <w:rsid w:val="00F4311E"/>
    <w:rsid w:val="00F4400B"/>
    <w:rsid w:val="00F44B61"/>
    <w:rsid w:val="00F44FCC"/>
    <w:rsid w:val="00F45113"/>
    <w:rsid w:val="00F454C2"/>
    <w:rsid w:val="00F4677D"/>
    <w:rsid w:val="00F4729F"/>
    <w:rsid w:val="00F47318"/>
    <w:rsid w:val="00F528AB"/>
    <w:rsid w:val="00F52FEE"/>
    <w:rsid w:val="00F54561"/>
    <w:rsid w:val="00F5522D"/>
    <w:rsid w:val="00F55826"/>
    <w:rsid w:val="00F55CBB"/>
    <w:rsid w:val="00F601D8"/>
    <w:rsid w:val="00F608C8"/>
    <w:rsid w:val="00F61D4E"/>
    <w:rsid w:val="00F6288D"/>
    <w:rsid w:val="00F6297A"/>
    <w:rsid w:val="00F65053"/>
    <w:rsid w:val="00F653DE"/>
    <w:rsid w:val="00F6562F"/>
    <w:rsid w:val="00F65AF4"/>
    <w:rsid w:val="00F65C53"/>
    <w:rsid w:val="00F667BB"/>
    <w:rsid w:val="00F70AEF"/>
    <w:rsid w:val="00F70B0F"/>
    <w:rsid w:val="00F713CF"/>
    <w:rsid w:val="00F716A4"/>
    <w:rsid w:val="00F72DA9"/>
    <w:rsid w:val="00F72ED1"/>
    <w:rsid w:val="00F73072"/>
    <w:rsid w:val="00F730C8"/>
    <w:rsid w:val="00F730D8"/>
    <w:rsid w:val="00F73AC7"/>
    <w:rsid w:val="00F73E7E"/>
    <w:rsid w:val="00F73F94"/>
    <w:rsid w:val="00F74AB5"/>
    <w:rsid w:val="00F7642B"/>
    <w:rsid w:val="00F7681E"/>
    <w:rsid w:val="00F80064"/>
    <w:rsid w:val="00F80A76"/>
    <w:rsid w:val="00F813FD"/>
    <w:rsid w:val="00F842FB"/>
    <w:rsid w:val="00F85418"/>
    <w:rsid w:val="00F8543B"/>
    <w:rsid w:val="00F85DE5"/>
    <w:rsid w:val="00F86212"/>
    <w:rsid w:val="00F87000"/>
    <w:rsid w:val="00F8733E"/>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6BF8"/>
    <w:rsid w:val="00F9786A"/>
    <w:rsid w:val="00F97D9A"/>
    <w:rsid w:val="00F97FF6"/>
    <w:rsid w:val="00FA009A"/>
    <w:rsid w:val="00FA0C67"/>
    <w:rsid w:val="00FA0F80"/>
    <w:rsid w:val="00FA169E"/>
    <w:rsid w:val="00FA1D00"/>
    <w:rsid w:val="00FA221D"/>
    <w:rsid w:val="00FA2A64"/>
    <w:rsid w:val="00FA2CD8"/>
    <w:rsid w:val="00FA3454"/>
    <w:rsid w:val="00FA34E7"/>
    <w:rsid w:val="00FA39DC"/>
    <w:rsid w:val="00FA4207"/>
    <w:rsid w:val="00FA51C3"/>
    <w:rsid w:val="00FA5A51"/>
    <w:rsid w:val="00FB0031"/>
    <w:rsid w:val="00FB0358"/>
    <w:rsid w:val="00FB0B9E"/>
    <w:rsid w:val="00FB0C1F"/>
    <w:rsid w:val="00FB0C71"/>
    <w:rsid w:val="00FB0E5B"/>
    <w:rsid w:val="00FB12AC"/>
    <w:rsid w:val="00FB15FA"/>
    <w:rsid w:val="00FB1B83"/>
    <w:rsid w:val="00FB1C0B"/>
    <w:rsid w:val="00FB1F46"/>
    <w:rsid w:val="00FB340B"/>
    <w:rsid w:val="00FB67ED"/>
    <w:rsid w:val="00FB6F5B"/>
    <w:rsid w:val="00FB77E3"/>
    <w:rsid w:val="00FB7C51"/>
    <w:rsid w:val="00FC1B73"/>
    <w:rsid w:val="00FC279F"/>
    <w:rsid w:val="00FC2D7B"/>
    <w:rsid w:val="00FC2F26"/>
    <w:rsid w:val="00FC44E5"/>
    <w:rsid w:val="00FC48E1"/>
    <w:rsid w:val="00FC4CDD"/>
    <w:rsid w:val="00FC511E"/>
    <w:rsid w:val="00FC5223"/>
    <w:rsid w:val="00FC5360"/>
    <w:rsid w:val="00FC5501"/>
    <w:rsid w:val="00FC5953"/>
    <w:rsid w:val="00FC5C45"/>
    <w:rsid w:val="00FC7861"/>
    <w:rsid w:val="00FC7A6B"/>
    <w:rsid w:val="00FC7E6B"/>
    <w:rsid w:val="00FD08EE"/>
    <w:rsid w:val="00FD0D92"/>
    <w:rsid w:val="00FD0FD1"/>
    <w:rsid w:val="00FD20BD"/>
    <w:rsid w:val="00FD254E"/>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0FB9"/>
    <w:rsid w:val="00FE1A01"/>
    <w:rsid w:val="00FE1F18"/>
    <w:rsid w:val="00FE2398"/>
    <w:rsid w:val="00FE23BE"/>
    <w:rsid w:val="00FE3713"/>
    <w:rsid w:val="00FE3F18"/>
    <w:rsid w:val="00FE408E"/>
    <w:rsid w:val="00FE416B"/>
    <w:rsid w:val="00FE4608"/>
    <w:rsid w:val="00FE4BCF"/>
    <w:rsid w:val="00FE5182"/>
    <w:rsid w:val="00FE5602"/>
    <w:rsid w:val="00FE5AAA"/>
    <w:rsid w:val="00FE5C98"/>
    <w:rsid w:val="00FE6128"/>
    <w:rsid w:val="00FE61AE"/>
    <w:rsid w:val="00FE61E3"/>
    <w:rsid w:val="00FE6263"/>
    <w:rsid w:val="00FE62AF"/>
    <w:rsid w:val="00FE6C6F"/>
    <w:rsid w:val="00FF16C1"/>
    <w:rsid w:val="00FF231B"/>
    <w:rsid w:val="00FF256F"/>
    <w:rsid w:val="00FF2B82"/>
    <w:rsid w:val="00FF309C"/>
    <w:rsid w:val="00FF3731"/>
    <w:rsid w:val="00FF4299"/>
    <w:rsid w:val="00FF4544"/>
    <w:rsid w:val="00FF4612"/>
    <w:rsid w:val="00FF49F0"/>
    <w:rsid w:val="00FF4B5A"/>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BBA64C"/>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aliases w:val="h2"/>
    <w:basedOn w:val="Normal"/>
    <w:next w:val="Normal"/>
    <w:link w:val="Heading2Char"/>
    <w:autoRedefine/>
    <w:qFormat/>
    <w:rsid w:val="001505F4"/>
    <w:pPr>
      <w:keepNext/>
      <w:numPr>
        <w:numId w:val="7"/>
      </w:numPr>
      <w:spacing w:before="240"/>
      <w:outlineLvl w:val="1"/>
    </w:pPr>
    <w:rPr>
      <w:rFonts w:cstheme="minorHAnsi"/>
      <w:bCs/>
      <w:iCs/>
      <w:color w:val="264F90"/>
      <w:sz w:val="32"/>
      <w:szCs w:val="32"/>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Heading2"/>
    <w:next w:val="Normal"/>
    <w:link w:val="Heading3Char"/>
    <w:qFormat/>
    <w:rsid w:val="00490C48"/>
    <w:pPr>
      <w:numPr>
        <w:ilvl w:val="1"/>
      </w:numPr>
      <w:outlineLvl w:val="2"/>
    </w:pPr>
    <w:rPr>
      <w:rFonts w:cs="Arial"/>
      <w:b/>
      <w:sz w:val="24"/>
    </w:rPr>
  </w:style>
  <w:style w:type="paragraph" w:styleId="Heading4">
    <w:name w:val="heading 4"/>
    <w:basedOn w:val="Heading3"/>
    <w:next w:val="Normal"/>
    <w:link w:val="Heading4Char"/>
    <w:autoRedefine/>
    <w:qFormat/>
    <w:rsid w:val="00D60210"/>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F5837"/>
    <w:pPr>
      <w:tabs>
        <w:tab w:val="left" w:pos="4590"/>
        <w:tab w:val="right" w:pos="9450"/>
      </w:tabs>
      <w:spacing w:line="220" w:lineRule="exact"/>
      <w:ind w:left="142" w:right="188"/>
    </w:pPr>
    <w:rPr>
      <w:sz w:val="16"/>
      <w:szCs w:val="16"/>
    </w:rPr>
  </w:style>
  <w:style w:type="character" w:customStyle="1" w:styleId="FootnoteTextChar1">
    <w:name w:val="Footnote Text Char1"/>
    <w:basedOn w:val="DefaultParagraphFont"/>
    <w:link w:val="FootnoteText"/>
    <w:uiPriority w:val="99"/>
    <w:rsid w:val="009F5837"/>
    <w:rPr>
      <w:sz w:val="16"/>
      <w:szCs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24"/>
      </w:numPr>
      <w:spacing w:after="80"/>
    </w:pPr>
    <w:rPr>
      <w:iCs/>
    </w:rPr>
  </w:style>
  <w:style w:type="character" w:customStyle="1" w:styleId="Heading2Char">
    <w:name w:val="Heading 2 Char"/>
    <w:aliases w:val="h2 Char"/>
    <w:basedOn w:val="DefaultParagraphFont"/>
    <w:link w:val="Heading2"/>
    <w:rsid w:val="001505F4"/>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D60210"/>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5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ist Paragraph,List Paragraph*,Dot Point,L,Bullet Points,NFP GP Bulleted List,First level bullet point,List Paragraph Number,List Paragraph111,F5 List Paragraph,Dot pt,CV tex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9B11C8"/>
    <w:pPr>
      <w:numPr>
        <w:numId w:val="10"/>
      </w:numPr>
      <w:suppressAutoHyphens/>
      <w:spacing w:before="120" w:after="60"/>
    </w:pPr>
    <w:rPr>
      <w:rFonts w:eastAsiaTheme="minorHAnsi" w:cstheme="minorBidi"/>
      <w:iCs/>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70"/>
      </w:numPr>
    </w:pPr>
  </w:style>
  <w:style w:type="numbering" w:customStyle="1" w:styleId="TableHeadingNumbers">
    <w:name w:val="Table Heading Numbers"/>
    <w:uiPriority w:val="99"/>
    <w:rsid w:val="00022A7F"/>
    <w:pPr>
      <w:numPr>
        <w:numId w:val="11"/>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2"/>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2"/>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ED2196"/>
    <w:pPr>
      <w:autoSpaceDE/>
      <w:autoSpaceDN/>
      <w:adjustRightInd/>
      <w:spacing w:before="0" w:after="0" w:line="280" w:lineRule="atLeast"/>
    </w:pPr>
    <w:rPr>
      <w:rFonts w:eastAsiaTheme="minorHAnsi"/>
      <w:color w:val="000000" w:themeColor="text1"/>
      <w:sz w:val="22"/>
      <w:szCs w:val="20"/>
      <w:lang w:eastAsia="en-US"/>
    </w:rPr>
  </w:style>
  <w:style w:type="paragraph" w:customStyle="1" w:styleId="Normal91">
    <w:name w:val="Normal_91"/>
    <w:qFormat/>
    <w:rsid w:val="00EA4C2B"/>
    <w:pPr>
      <w:tabs>
        <w:tab w:val="left" w:pos="709"/>
      </w:tabs>
      <w:spacing w:after="200" w:line="276" w:lineRule="auto"/>
    </w:pPr>
    <w:rPr>
      <w:rFonts w:ascii="Book Antiqua" w:eastAsiaTheme="minorHAnsi" w:hAnsi="Book Antiqua" w:cstheme="minorBidi"/>
    </w:rPr>
  </w:style>
  <w:style w:type="paragraph" w:customStyle="1" w:styleId="ExecutiveBrief-Heading1">
    <w:name w:val="Executive Brief - Heading 1"/>
    <w:basedOn w:val="ListParagraph"/>
    <w:qFormat/>
    <w:rsid w:val="000F3E01"/>
    <w:pPr>
      <w:numPr>
        <w:numId w:val="18"/>
      </w:numPr>
      <w:spacing w:before="120" w:line="240" w:lineRule="auto"/>
      <w:contextualSpacing w:val="0"/>
    </w:pPr>
    <w:rPr>
      <w:rFonts w:cs="Arial"/>
      <w:b/>
      <w:color w:val="6B2F76"/>
      <w:sz w:val="22"/>
      <w:szCs w:val="22"/>
    </w:rPr>
  </w:style>
  <w:style w:type="paragraph" w:customStyle="1" w:styleId="ExecutiveBrief-Paragraph1">
    <w:name w:val="Executive Brief - Paragraph 1"/>
    <w:basedOn w:val="ListParagraph"/>
    <w:link w:val="ExecutiveBrief-Paragraph1Char"/>
    <w:qFormat/>
    <w:rsid w:val="000F3E01"/>
    <w:pPr>
      <w:numPr>
        <w:ilvl w:val="1"/>
        <w:numId w:val="18"/>
      </w:numPr>
      <w:spacing w:before="120" w:line="240" w:lineRule="auto"/>
      <w:ind w:left="792"/>
      <w:contextualSpacing w:val="0"/>
    </w:pPr>
    <w:rPr>
      <w:rFonts w:cs="Arial"/>
      <w:sz w:val="22"/>
      <w:szCs w:val="22"/>
    </w:rPr>
  </w:style>
  <w:style w:type="paragraph" w:customStyle="1" w:styleId="ExecutiveBrief-Paragraph2">
    <w:name w:val="Executive Brief - Paragraph 2"/>
    <w:basedOn w:val="ExecutiveBrief-Paragraph1"/>
    <w:link w:val="ExecutiveBrief-Paragraph2Char"/>
    <w:qFormat/>
    <w:rsid w:val="000F3E01"/>
    <w:pPr>
      <w:numPr>
        <w:ilvl w:val="2"/>
      </w:numPr>
    </w:pPr>
  </w:style>
  <w:style w:type="character" w:customStyle="1" w:styleId="ExecutiveBrief-Paragraph1Char">
    <w:name w:val="Executive Brief - Paragraph 1 Char"/>
    <w:basedOn w:val="DefaultParagraphFont"/>
    <w:link w:val="ExecutiveBrief-Paragraph1"/>
    <w:rsid w:val="000F3E01"/>
    <w:rPr>
      <w:rFonts w:cs="Arial"/>
      <w:sz w:val="22"/>
      <w:szCs w:val="22"/>
    </w:rPr>
  </w:style>
  <w:style w:type="character" w:customStyle="1" w:styleId="ExecutiveBrief-Paragraph2Char">
    <w:name w:val="Executive Brief - Paragraph 2 Char"/>
    <w:basedOn w:val="ExecutiveBrief-Paragraph1Char"/>
    <w:link w:val="ExecutiveBrief-Paragraph2"/>
    <w:rsid w:val="000F3E01"/>
    <w:rPr>
      <w:rFonts w:cs="Arial"/>
      <w:sz w:val="22"/>
      <w:szCs w:val="22"/>
    </w:rPr>
  </w:style>
  <w:style w:type="paragraph" w:styleId="BodyTextIndent">
    <w:name w:val="Body Text Indent"/>
    <w:basedOn w:val="Normal"/>
    <w:link w:val="BodyTextIndentChar"/>
    <w:semiHidden/>
    <w:unhideWhenUsed/>
    <w:rsid w:val="00650C3F"/>
    <w:pPr>
      <w:ind w:left="283"/>
    </w:pPr>
  </w:style>
  <w:style w:type="character" w:customStyle="1" w:styleId="BodyTextIndentChar">
    <w:name w:val="Body Text Indent Char"/>
    <w:basedOn w:val="DefaultParagraphFont"/>
    <w:link w:val="BodyTextIndent"/>
    <w:semiHidden/>
    <w:rsid w:val="00650C3F"/>
  </w:style>
  <w:style w:type="paragraph" w:styleId="BodyTextFirstIndent2">
    <w:name w:val="Body Text First Indent 2"/>
    <w:basedOn w:val="BodyTextIndent"/>
    <w:link w:val="BodyTextFirstIndent2Char"/>
    <w:semiHidden/>
    <w:unhideWhenUsed/>
    <w:rsid w:val="00650C3F"/>
    <w:pPr>
      <w:ind w:left="360" w:firstLine="360"/>
    </w:pPr>
  </w:style>
  <w:style w:type="character" w:customStyle="1" w:styleId="BodyTextFirstIndent2Char">
    <w:name w:val="Body Text First Indent 2 Char"/>
    <w:basedOn w:val="BodyTextIndentChar"/>
    <w:link w:val="BodyTextFirstIndent2"/>
    <w:semiHidden/>
    <w:rsid w:val="00650C3F"/>
  </w:style>
  <w:style w:type="table" w:styleId="TableColorful2">
    <w:name w:val="Table Colorful 2"/>
    <w:basedOn w:val="TableNormal"/>
    <w:semiHidden/>
    <w:rsid w:val="00650C3F"/>
    <w:pPr>
      <w:spacing w:after="240"/>
    </w:pPr>
    <w:rPr>
      <w:rFonts w:ascii="Times New Roman" w:hAnsi="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CEOBrief-Heading1">
    <w:name w:val="CEO Brief - Heading 1"/>
    <w:basedOn w:val="ListParagraph"/>
    <w:link w:val="CEOBrief-Heading1Char"/>
    <w:qFormat/>
    <w:rsid w:val="00650C3F"/>
    <w:pPr>
      <w:spacing w:before="120" w:line="240" w:lineRule="auto"/>
      <w:ind w:left="360" w:hanging="360"/>
      <w:contextualSpacing w:val="0"/>
    </w:pPr>
    <w:rPr>
      <w:rFonts w:cs="Arial"/>
      <w:b/>
      <w:color w:val="6B2F76"/>
      <w:sz w:val="22"/>
      <w:szCs w:val="22"/>
    </w:rPr>
  </w:style>
  <w:style w:type="paragraph" w:customStyle="1" w:styleId="CEOBrief-Paragraph1">
    <w:name w:val="CEO Brief - Paragraph 1"/>
    <w:basedOn w:val="ListParagraph"/>
    <w:link w:val="CEOBrief-Paragraph1Char"/>
    <w:qFormat/>
    <w:rsid w:val="00650C3F"/>
    <w:pPr>
      <w:spacing w:before="120" w:line="240" w:lineRule="auto"/>
      <w:ind w:left="431" w:hanging="431"/>
      <w:contextualSpacing w:val="0"/>
    </w:pPr>
    <w:rPr>
      <w:rFonts w:cs="Arial"/>
      <w:sz w:val="22"/>
      <w:szCs w:val="22"/>
    </w:rPr>
  </w:style>
  <w:style w:type="paragraph" w:customStyle="1" w:styleId="CEOBrief-Paragaph2">
    <w:name w:val="CEO Brief - Paragaph 2"/>
    <w:basedOn w:val="CEOBrief-Paragraph1"/>
    <w:link w:val="CEOBrief-Paragaph2Char"/>
    <w:qFormat/>
    <w:rsid w:val="00650C3F"/>
    <w:pPr>
      <w:ind w:left="1080" w:hanging="360"/>
    </w:pPr>
  </w:style>
  <w:style w:type="character" w:customStyle="1" w:styleId="CEOBrief-Paragraph1Char">
    <w:name w:val="CEO Brief - Paragraph 1 Char"/>
    <w:basedOn w:val="DefaultParagraphFont"/>
    <w:link w:val="CEOBrief-Paragraph1"/>
    <w:rsid w:val="00650C3F"/>
    <w:rPr>
      <w:rFonts w:cs="Arial"/>
      <w:sz w:val="22"/>
      <w:szCs w:val="22"/>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First level bullet point Char,Dot pt Char"/>
    <w:basedOn w:val="DefaultParagraphFont"/>
    <w:link w:val="ListParagraph"/>
    <w:uiPriority w:val="34"/>
    <w:qFormat/>
    <w:locked/>
    <w:rsid w:val="002E4CD5"/>
  </w:style>
  <w:style w:type="paragraph" w:styleId="ListContinue3">
    <w:name w:val="List Continue 3"/>
    <w:basedOn w:val="Normal"/>
    <w:semiHidden/>
    <w:unhideWhenUsed/>
    <w:rsid w:val="002E4CD5"/>
    <w:pPr>
      <w:ind w:left="849"/>
      <w:contextualSpacing/>
    </w:pPr>
  </w:style>
  <w:style w:type="character" w:customStyle="1" w:styleId="1NumberedParagaphStyleChar">
    <w:name w:val="1. Numbered Paragaph Style Char"/>
    <w:basedOn w:val="DefaultParagraphFont"/>
    <w:link w:val="1NumberedParagaphStyle"/>
    <w:locked/>
    <w:rsid w:val="00A3048C"/>
    <w:rPr>
      <w:rFonts w:eastAsia="Cambria"/>
      <w:sz w:val="22"/>
    </w:rPr>
  </w:style>
  <w:style w:type="paragraph" w:customStyle="1" w:styleId="1NumberedParagaphStyle">
    <w:name w:val="1. Numbered Paragaph Style"/>
    <w:basedOn w:val="Normal"/>
    <w:next w:val="Normal"/>
    <w:link w:val="1NumberedParagaphStyleChar"/>
    <w:qFormat/>
    <w:rsid w:val="00A3048C"/>
    <w:pPr>
      <w:numPr>
        <w:numId w:val="21"/>
      </w:numPr>
      <w:spacing w:before="0" w:after="0" w:line="240" w:lineRule="auto"/>
      <w:contextualSpacing/>
    </w:pPr>
    <w:rPr>
      <w:rFonts w:eastAsia="Cambria"/>
      <w:sz w:val="22"/>
    </w:rPr>
  </w:style>
  <w:style w:type="character" w:customStyle="1" w:styleId="CEOBrief-Paragaph2Char">
    <w:name w:val="CEO Brief - Paragaph 2 Char"/>
    <w:basedOn w:val="DefaultParagraphFont"/>
    <w:link w:val="CEOBrief-Paragaph2"/>
    <w:rsid w:val="001858F1"/>
    <w:rPr>
      <w:rFonts w:cs="Arial"/>
      <w:sz w:val="22"/>
      <w:szCs w:val="22"/>
    </w:rPr>
  </w:style>
  <w:style w:type="table" w:customStyle="1" w:styleId="TableGrid2">
    <w:name w:val="Table Grid2"/>
    <w:basedOn w:val="TableNormal"/>
    <w:next w:val="TableGrid"/>
    <w:uiPriority w:val="99"/>
    <w:rsid w:val="001417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
    <w:name w:val="Figure Titles"/>
    <w:uiPriority w:val="99"/>
    <w:rsid w:val="009B11C8"/>
    <w:pPr>
      <w:numPr>
        <w:numId w:val="23"/>
      </w:numPr>
    </w:pPr>
  </w:style>
  <w:style w:type="paragraph" w:styleId="Title">
    <w:name w:val="Title"/>
    <w:basedOn w:val="Heading1"/>
    <w:next w:val="Normal"/>
    <w:link w:val="TitleChar"/>
    <w:uiPriority w:val="99"/>
    <w:qFormat/>
    <w:rsid w:val="009B11C8"/>
    <w:pPr>
      <w:keepLines/>
      <w:suppressAutoHyphens/>
      <w:spacing w:before="8400" w:after="120" w:line="480" w:lineRule="atLeast"/>
      <w:contextualSpacing/>
      <w:jc w:val="right"/>
    </w:pPr>
    <w:rPr>
      <w:rFonts w:asciiTheme="majorHAnsi" w:eastAsiaTheme="majorEastAsia" w:hAnsiTheme="majorHAnsi" w:cstheme="majorBidi"/>
      <w:bCs/>
      <w:color w:val="1F497D" w:themeColor="text2"/>
      <w:kern w:val="28"/>
      <w:szCs w:val="52"/>
    </w:rPr>
  </w:style>
  <w:style w:type="character" w:customStyle="1" w:styleId="TitleChar">
    <w:name w:val="Title Char"/>
    <w:basedOn w:val="DefaultParagraphFont"/>
    <w:link w:val="Title"/>
    <w:uiPriority w:val="99"/>
    <w:rsid w:val="009B11C8"/>
    <w:rPr>
      <w:rFonts w:asciiTheme="majorHAnsi" w:eastAsiaTheme="majorEastAsia" w:hAnsiTheme="majorHAnsi" w:cstheme="majorBidi"/>
      <w:bCs/>
      <w:color w:val="1F497D" w:themeColor="text2"/>
      <w:kern w:val="28"/>
      <w:sz w:val="40"/>
      <w:szCs w:val="52"/>
    </w:rPr>
  </w:style>
  <w:style w:type="character" w:customStyle="1" w:styleId="CEOBrief-Heading1Char">
    <w:name w:val="CEO Brief - Heading 1 Char"/>
    <w:basedOn w:val="DefaultParagraphFont"/>
    <w:link w:val="CEOBrief-Heading1"/>
    <w:rsid w:val="00EA2690"/>
    <w:rPr>
      <w:rFonts w:cs="Arial"/>
      <w:b/>
      <w:color w:val="6B2F76"/>
      <w:sz w:val="22"/>
      <w:szCs w:val="22"/>
    </w:rPr>
  </w:style>
  <w:style w:type="paragraph" w:customStyle="1" w:styleId="Heading1Numbered">
    <w:name w:val="Heading 1 Numbered"/>
    <w:basedOn w:val="Heading1"/>
    <w:next w:val="Normal"/>
    <w:qFormat/>
    <w:rsid w:val="00E731FB"/>
    <w:pPr>
      <w:keepNext/>
      <w:keepLines/>
      <w:suppressAutoHyphens/>
      <w:spacing w:before="360" w:after="120" w:line="460" w:lineRule="atLeast"/>
      <w:contextualSpacing/>
    </w:pPr>
    <w:rPr>
      <w:rFonts w:asciiTheme="majorHAnsi" w:eastAsiaTheme="majorEastAsia" w:hAnsiTheme="majorHAnsi" w:cstheme="majorBidi"/>
      <w:bCs/>
      <w:color w:val="1F497D" w:themeColor="text2"/>
      <w:szCs w:val="28"/>
    </w:rPr>
  </w:style>
  <w:style w:type="paragraph" w:customStyle="1" w:styleId="Heading2Numbered">
    <w:name w:val="Heading 2 Numbered"/>
    <w:basedOn w:val="Heading2"/>
    <w:next w:val="Normal"/>
    <w:qFormat/>
    <w:rsid w:val="00E731FB"/>
    <w:pPr>
      <w:keepLines/>
      <w:numPr>
        <w:numId w:val="0"/>
      </w:numPr>
      <w:suppressAutoHyphens/>
      <w:spacing w:before="360" w:line="400" w:lineRule="atLeast"/>
      <w:contextualSpacing/>
    </w:pPr>
    <w:rPr>
      <w:rFonts w:asciiTheme="majorHAnsi" w:eastAsiaTheme="majorEastAsia" w:hAnsiTheme="majorHAnsi" w:cstheme="majorBidi"/>
      <w:iCs w:val="0"/>
      <w:color w:val="1F497D" w:themeColor="text2"/>
      <w:sz w:val="34"/>
      <w:szCs w:val="26"/>
    </w:rPr>
  </w:style>
  <w:style w:type="paragraph" w:styleId="NormalWeb">
    <w:name w:val="Normal (Web)"/>
    <w:basedOn w:val="Normal"/>
    <w:uiPriority w:val="99"/>
    <w:semiHidden/>
    <w:unhideWhenUsed/>
    <w:rsid w:val="00D6320A"/>
    <w:pPr>
      <w:spacing w:before="100" w:beforeAutospacing="1" w:after="100" w:afterAutospacing="1" w:line="240" w:lineRule="auto"/>
    </w:pPr>
    <w:rPr>
      <w:rFonts w:ascii="Times New Roman" w:hAnsi="Times New Roman"/>
      <w:sz w:val="24"/>
      <w:szCs w:val="24"/>
      <w:lang w:eastAsia="en-AU"/>
    </w:rPr>
  </w:style>
  <w:style w:type="character" w:customStyle="1" w:styleId="ilfuvd">
    <w:name w:val="ilfuvd"/>
    <w:basedOn w:val="DefaultParagraphFont"/>
    <w:rsid w:val="00AB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15355661">
      <w:bodyDiv w:val="1"/>
      <w:marLeft w:val="0"/>
      <w:marRight w:val="0"/>
      <w:marTop w:val="0"/>
      <w:marBottom w:val="0"/>
      <w:divBdr>
        <w:top w:val="none" w:sz="0" w:space="0" w:color="auto"/>
        <w:left w:val="none" w:sz="0" w:space="0" w:color="auto"/>
        <w:bottom w:val="none" w:sz="0" w:space="0" w:color="auto"/>
        <w:right w:val="none" w:sz="0" w:space="0" w:color="auto"/>
      </w:divBdr>
    </w:div>
    <w:div w:id="227806838">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96571209">
      <w:bodyDiv w:val="1"/>
      <w:marLeft w:val="0"/>
      <w:marRight w:val="0"/>
      <w:marTop w:val="0"/>
      <w:marBottom w:val="0"/>
      <w:divBdr>
        <w:top w:val="none" w:sz="0" w:space="0" w:color="auto"/>
        <w:left w:val="none" w:sz="0" w:space="0" w:color="auto"/>
        <w:bottom w:val="none" w:sz="0" w:space="0" w:color="auto"/>
        <w:right w:val="none" w:sz="0" w:space="0" w:color="auto"/>
      </w:divBdr>
    </w:div>
    <w:div w:id="323359996">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21364356">
      <w:bodyDiv w:val="1"/>
      <w:marLeft w:val="0"/>
      <w:marRight w:val="0"/>
      <w:marTop w:val="0"/>
      <w:marBottom w:val="0"/>
      <w:divBdr>
        <w:top w:val="none" w:sz="0" w:space="0" w:color="auto"/>
        <w:left w:val="none" w:sz="0" w:space="0" w:color="auto"/>
        <w:bottom w:val="none" w:sz="0" w:space="0" w:color="auto"/>
        <w:right w:val="none" w:sz="0" w:space="0" w:color="auto"/>
      </w:divBdr>
    </w:div>
    <w:div w:id="582490296">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14356187">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887692819">
      <w:bodyDiv w:val="1"/>
      <w:marLeft w:val="0"/>
      <w:marRight w:val="0"/>
      <w:marTop w:val="0"/>
      <w:marBottom w:val="0"/>
      <w:divBdr>
        <w:top w:val="none" w:sz="0" w:space="0" w:color="auto"/>
        <w:left w:val="none" w:sz="0" w:space="0" w:color="auto"/>
        <w:bottom w:val="none" w:sz="0" w:space="0" w:color="auto"/>
        <w:right w:val="none" w:sz="0" w:space="0" w:color="auto"/>
      </w:divBdr>
    </w:div>
    <w:div w:id="92303304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00427862">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190535270">
      <w:bodyDiv w:val="1"/>
      <w:marLeft w:val="0"/>
      <w:marRight w:val="0"/>
      <w:marTop w:val="0"/>
      <w:marBottom w:val="0"/>
      <w:divBdr>
        <w:top w:val="none" w:sz="0" w:space="0" w:color="auto"/>
        <w:left w:val="none" w:sz="0" w:space="0" w:color="auto"/>
        <w:bottom w:val="none" w:sz="0" w:space="0" w:color="auto"/>
        <w:right w:val="none" w:sz="0" w:space="0" w:color="auto"/>
      </w:divBdr>
      <w:divsChild>
        <w:div w:id="411971436">
          <w:marLeft w:val="245"/>
          <w:marRight w:val="0"/>
          <w:marTop w:val="0"/>
          <w:marBottom w:val="0"/>
          <w:divBdr>
            <w:top w:val="none" w:sz="0" w:space="0" w:color="auto"/>
            <w:left w:val="none" w:sz="0" w:space="0" w:color="auto"/>
            <w:bottom w:val="none" w:sz="0" w:space="0" w:color="auto"/>
            <w:right w:val="none" w:sz="0" w:space="0" w:color="auto"/>
          </w:divBdr>
        </w:div>
        <w:div w:id="1576353928">
          <w:marLeft w:val="245"/>
          <w:marRight w:val="0"/>
          <w:marTop w:val="0"/>
          <w:marBottom w:val="0"/>
          <w:divBdr>
            <w:top w:val="none" w:sz="0" w:space="0" w:color="auto"/>
            <w:left w:val="none" w:sz="0" w:space="0" w:color="auto"/>
            <w:bottom w:val="none" w:sz="0" w:space="0" w:color="auto"/>
            <w:right w:val="none" w:sz="0" w:space="0" w:color="auto"/>
          </w:divBdr>
        </w:div>
        <w:div w:id="1634943968">
          <w:marLeft w:val="245"/>
          <w:marRight w:val="0"/>
          <w:marTop w:val="0"/>
          <w:marBottom w:val="0"/>
          <w:divBdr>
            <w:top w:val="none" w:sz="0" w:space="0" w:color="auto"/>
            <w:left w:val="none" w:sz="0" w:space="0" w:color="auto"/>
            <w:bottom w:val="none" w:sz="0" w:space="0" w:color="auto"/>
            <w:right w:val="none" w:sz="0" w:space="0" w:color="auto"/>
          </w:divBdr>
        </w:div>
        <w:div w:id="1865052180">
          <w:marLeft w:val="245"/>
          <w:marRight w:val="0"/>
          <w:marTop w:val="0"/>
          <w:marBottom w:val="0"/>
          <w:divBdr>
            <w:top w:val="none" w:sz="0" w:space="0" w:color="auto"/>
            <w:left w:val="none" w:sz="0" w:space="0" w:color="auto"/>
            <w:bottom w:val="none" w:sz="0" w:space="0" w:color="auto"/>
            <w:right w:val="none" w:sz="0" w:space="0" w:color="auto"/>
          </w:divBdr>
        </w:div>
        <w:div w:id="1749419761">
          <w:marLeft w:val="245"/>
          <w:marRight w:val="0"/>
          <w:marTop w:val="0"/>
          <w:marBottom w:val="0"/>
          <w:divBdr>
            <w:top w:val="none" w:sz="0" w:space="0" w:color="auto"/>
            <w:left w:val="none" w:sz="0" w:space="0" w:color="auto"/>
            <w:bottom w:val="none" w:sz="0" w:space="0" w:color="auto"/>
            <w:right w:val="none" w:sz="0" w:space="0" w:color="auto"/>
          </w:divBdr>
        </w:div>
      </w:divsChild>
    </w:div>
    <w:div w:id="1209414846">
      <w:bodyDiv w:val="1"/>
      <w:marLeft w:val="0"/>
      <w:marRight w:val="0"/>
      <w:marTop w:val="0"/>
      <w:marBottom w:val="0"/>
      <w:divBdr>
        <w:top w:val="none" w:sz="0" w:space="0" w:color="auto"/>
        <w:left w:val="none" w:sz="0" w:space="0" w:color="auto"/>
        <w:bottom w:val="none" w:sz="0" w:space="0" w:color="auto"/>
        <w:right w:val="none" w:sz="0" w:space="0" w:color="auto"/>
      </w:divBdr>
    </w:div>
    <w:div w:id="1209996975">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69042943">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91417936">
      <w:bodyDiv w:val="1"/>
      <w:marLeft w:val="0"/>
      <w:marRight w:val="0"/>
      <w:marTop w:val="0"/>
      <w:marBottom w:val="0"/>
      <w:divBdr>
        <w:top w:val="none" w:sz="0" w:space="0" w:color="auto"/>
        <w:left w:val="none" w:sz="0" w:space="0" w:color="auto"/>
        <w:bottom w:val="none" w:sz="0" w:space="0" w:color="auto"/>
        <w:right w:val="none" w:sz="0" w:space="0" w:color="auto"/>
      </w:divBdr>
      <w:divsChild>
        <w:div w:id="1207253548">
          <w:marLeft w:val="245"/>
          <w:marRight w:val="0"/>
          <w:marTop w:val="0"/>
          <w:marBottom w:val="0"/>
          <w:divBdr>
            <w:top w:val="none" w:sz="0" w:space="0" w:color="auto"/>
            <w:left w:val="none" w:sz="0" w:space="0" w:color="auto"/>
            <w:bottom w:val="none" w:sz="0" w:space="0" w:color="auto"/>
            <w:right w:val="none" w:sz="0" w:space="0" w:color="auto"/>
          </w:divBdr>
        </w:div>
        <w:div w:id="603000305">
          <w:marLeft w:val="245"/>
          <w:marRight w:val="0"/>
          <w:marTop w:val="0"/>
          <w:marBottom w:val="0"/>
          <w:divBdr>
            <w:top w:val="none" w:sz="0" w:space="0" w:color="auto"/>
            <w:left w:val="none" w:sz="0" w:space="0" w:color="auto"/>
            <w:bottom w:val="none" w:sz="0" w:space="0" w:color="auto"/>
            <w:right w:val="none" w:sz="0" w:space="0" w:color="auto"/>
          </w:divBdr>
        </w:div>
        <w:div w:id="1600485374">
          <w:marLeft w:val="245"/>
          <w:marRight w:val="0"/>
          <w:marTop w:val="0"/>
          <w:marBottom w:val="0"/>
          <w:divBdr>
            <w:top w:val="none" w:sz="0" w:space="0" w:color="auto"/>
            <w:left w:val="none" w:sz="0" w:space="0" w:color="auto"/>
            <w:bottom w:val="none" w:sz="0" w:space="0" w:color="auto"/>
            <w:right w:val="none" w:sz="0" w:space="0" w:color="auto"/>
          </w:divBdr>
        </w:div>
        <w:div w:id="2064256020">
          <w:marLeft w:val="245"/>
          <w:marRight w:val="0"/>
          <w:marTop w:val="0"/>
          <w:marBottom w:val="0"/>
          <w:divBdr>
            <w:top w:val="none" w:sz="0" w:space="0" w:color="auto"/>
            <w:left w:val="none" w:sz="0" w:space="0" w:color="auto"/>
            <w:bottom w:val="none" w:sz="0" w:space="0" w:color="auto"/>
            <w:right w:val="none" w:sz="0" w:space="0" w:color="auto"/>
          </w:divBdr>
        </w:div>
        <w:div w:id="1102527124">
          <w:marLeft w:val="245"/>
          <w:marRight w:val="0"/>
          <w:marTop w:val="0"/>
          <w:marBottom w:val="0"/>
          <w:divBdr>
            <w:top w:val="none" w:sz="0" w:space="0" w:color="auto"/>
            <w:left w:val="none" w:sz="0" w:space="0" w:color="auto"/>
            <w:bottom w:val="none" w:sz="0" w:space="0" w:color="auto"/>
            <w:right w:val="none" w:sz="0" w:space="0" w:color="auto"/>
          </w:divBdr>
        </w:div>
      </w:divsChild>
    </w:div>
    <w:div w:id="1475562587">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49629220">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26953609">
      <w:bodyDiv w:val="1"/>
      <w:marLeft w:val="0"/>
      <w:marRight w:val="0"/>
      <w:marTop w:val="0"/>
      <w:marBottom w:val="0"/>
      <w:divBdr>
        <w:top w:val="none" w:sz="0" w:space="0" w:color="auto"/>
        <w:left w:val="none" w:sz="0" w:space="0" w:color="auto"/>
        <w:bottom w:val="none" w:sz="0" w:space="0" w:color="auto"/>
        <w:right w:val="none" w:sz="0" w:space="0" w:color="auto"/>
      </w:divBdr>
    </w:div>
    <w:div w:id="1759519747">
      <w:bodyDiv w:val="1"/>
      <w:marLeft w:val="0"/>
      <w:marRight w:val="0"/>
      <w:marTop w:val="0"/>
      <w:marBottom w:val="0"/>
      <w:divBdr>
        <w:top w:val="none" w:sz="0" w:space="0" w:color="auto"/>
        <w:left w:val="none" w:sz="0" w:space="0" w:color="auto"/>
        <w:bottom w:val="none" w:sz="0" w:space="0" w:color="auto"/>
        <w:right w:val="none" w:sz="0" w:space="0" w:color="auto"/>
      </w:divBdr>
    </w:div>
    <w:div w:id="1765034191">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56262592">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6478421">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1974870616">
      <w:bodyDiv w:val="1"/>
      <w:marLeft w:val="0"/>
      <w:marRight w:val="0"/>
      <w:marTop w:val="0"/>
      <w:marBottom w:val="0"/>
      <w:divBdr>
        <w:top w:val="none" w:sz="0" w:space="0" w:color="auto"/>
        <w:left w:val="none" w:sz="0" w:space="0" w:color="auto"/>
        <w:bottom w:val="none" w:sz="0" w:space="0" w:color="auto"/>
        <w:right w:val="none" w:sz="0" w:space="0" w:color="auto"/>
      </w:divBdr>
    </w:div>
    <w:div w:id="1977101441">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20954493">
      <w:bodyDiv w:val="1"/>
      <w:marLeft w:val="0"/>
      <w:marRight w:val="0"/>
      <w:marTop w:val="0"/>
      <w:marBottom w:val="0"/>
      <w:divBdr>
        <w:top w:val="none" w:sz="0" w:space="0" w:color="auto"/>
        <w:left w:val="none" w:sz="0" w:space="0" w:color="auto"/>
        <w:bottom w:val="none" w:sz="0" w:space="0" w:color="auto"/>
        <w:right w:val="none" w:sz="0" w:space="0" w:color="auto"/>
      </w:divBdr>
    </w:div>
    <w:div w:id="213182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https://www.jobaccess.gov.au/employment-assistance-fund-eaf" TargetMode="External"/><Relationship Id="rId39" Type="http://schemas.openxmlformats.org/officeDocument/2006/relationships/hyperlink" Target="https://www.grants.gov.au/" TargetMode="External"/><Relationship Id="rId21" Type="http://schemas.openxmlformats.org/officeDocument/2006/relationships/hyperlink" Target="https://www.communitygrants.gov.au/sites/default/files/documents/04_2019/national-information-program-ilc-program-guidelines.docx" TargetMode="External"/><Relationship Id="rId34" Type="http://schemas.openxmlformats.org/officeDocument/2006/relationships/hyperlink" Target="http://www8.austlii.edu.au/cgi-bin/viewdoc/au/legis/cth/consol_act/cca1995115/sch1.html" TargetMode="External"/><Relationship Id="rId42" Type="http://schemas.openxmlformats.org/officeDocument/2006/relationships/hyperlink" Target="https://ndis.us6.list-manage.com/subscribe?u=055092cc7e42efbfc41d80045&amp;id=09639bbccd" TargetMode="External"/><Relationship Id="rId47" Type="http://schemas.openxmlformats.org/officeDocument/2006/relationships/hyperlink" Target="file://prod.protected.ind/User/user03/LLau2/insert%20link%20here" TargetMode="External"/><Relationship Id="rId50" Type="http://schemas.openxmlformats.org/officeDocument/2006/relationships/hyperlink" Target="https://www.dss.gov.au/contact/feedback-compliments-complaints-and-enquiries/complaints-page" TargetMode="External"/><Relationship Id="rId55" Type="http://schemas.openxmlformats.org/officeDocument/2006/relationships/hyperlink" Target="http://www.ombudsman.gov.au" TargetMode="External"/><Relationship Id="rId63" Type="http://schemas.openxmlformats.org/officeDocument/2006/relationships/hyperlink" Target="mailto:foi@dss.gov.au" TargetMode="External"/><Relationship Id="rId68" Type="http://schemas.openxmlformats.org/officeDocument/2006/relationships/hyperlink" Target="https://www.budget.gov.au/2019-20/content/pbs/index.htm"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w3c.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fplaw.org.au/auspicing" TargetMode="External"/><Relationship Id="rId32" Type="http://schemas.openxmlformats.org/officeDocument/2006/relationships/hyperlink" Target="https://www.grants.gov.au/" TargetMode="External"/><Relationship Id="rId37" Type="http://schemas.openxmlformats.org/officeDocument/2006/relationships/hyperlink" Target="mailto:support@communitygrants.gov.au" TargetMode="External"/><Relationship Id="rId40" Type="http://schemas.openxmlformats.org/officeDocument/2006/relationships/hyperlink" Target="https://www.communitygrants.gov.au/" TargetMode="External"/><Relationship Id="rId45" Type="http://schemas.openxmlformats.org/officeDocument/2006/relationships/hyperlink" Target="http://www.ato.gov.au/" TargetMode="External"/><Relationship Id="rId53" Type="http://schemas.openxmlformats.org/officeDocument/2006/relationships/hyperlink" Target="http://www.ombudsman.gov.au/" TargetMode="External"/><Relationship Id="rId58" Type="http://schemas.openxmlformats.org/officeDocument/2006/relationships/hyperlink" Target="https://www.legislation.gov.au/Series/C2004A00538" TargetMode="External"/><Relationship Id="rId66" Type="http://schemas.openxmlformats.org/officeDocument/2006/relationships/hyperlink" Target="https://www.finance.gov.au/resource-management/pgpa-glossary/consolidated-revenue-fund/"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ndis.gov.au/media/1055/download" TargetMode="External"/><Relationship Id="rId28" Type="http://schemas.openxmlformats.org/officeDocument/2006/relationships/hyperlink" Target="https://www.vic.gov.au/make-content-accessible" TargetMode="External"/><Relationship Id="rId36" Type="http://schemas.openxmlformats.org/officeDocument/2006/relationships/hyperlink" Target="mailto:support@communitygrants.gov.au" TargetMode="External"/><Relationship Id="rId49" Type="http://schemas.openxmlformats.org/officeDocument/2006/relationships/hyperlink" Target="https://www.communitygrants.gov.au/" TargetMode="External"/><Relationship Id="rId57" Type="http://schemas.openxmlformats.org/officeDocument/2006/relationships/hyperlink" Target="http://www8.austlii.edu.au/cgi-bin/viewdoc/au/legis/cth/consol_act/psa1999152/s13.html" TargetMode="External"/><Relationship Id="rId61" Type="http://schemas.openxmlformats.org/officeDocument/2006/relationships/hyperlink" Target="http://www.comlaw.gov.au/Details/C2014C00757"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communitygrants.gov.au/" TargetMode="External"/><Relationship Id="rId44" Type="http://schemas.openxmlformats.org/officeDocument/2006/relationships/hyperlink" Target="https://www.ato.gov.au/business/gst/in-detail/managing-gst-in-your-business/tax-invoices/recipient-created-tax-invoices/" TargetMode="External"/><Relationship Id="rId52" Type="http://schemas.openxmlformats.org/officeDocument/2006/relationships/hyperlink" Target="mailto:ILC@ndis.gov.au" TargetMode="External"/><Relationship Id="rId60" Type="http://schemas.openxmlformats.org/officeDocument/2006/relationships/hyperlink" Target="http://www.ndis.gov.au/privacy" TargetMode="External"/><Relationship Id="rId65" Type="http://schemas.openxmlformats.org/officeDocument/2006/relationships/hyperlink" Target="https://www.finance.gov.au/sites/default/files/commonwealth-grants-rules-and-guideline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australia.gov.au/about-government/publications/budget-statements" TargetMode="External"/><Relationship Id="rId27" Type="http://schemas.openxmlformats.org/officeDocument/2006/relationships/hyperlink" Target="https://guides.service.gov.au/content-guide/accessibility-inclusivity/" TargetMode="External"/><Relationship Id="rId30" Type="http://schemas.openxmlformats.org/officeDocument/2006/relationships/hyperlink" Target="https://www.grants.gov.au/?event=public.home" TargetMode="External"/><Relationship Id="rId35" Type="http://schemas.openxmlformats.org/officeDocument/2006/relationships/hyperlink" Target="mailto:support@communitygrants.gov.au" TargetMode="External"/><Relationship Id="rId43" Type="http://schemas.openxmlformats.org/officeDocument/2006/relationships/hyperlink" Target="https://www.ato.gov.au/Business/GST/Registering-for-GST/" TargetMode="External"/><Relationship Id="rId48" Type="http://schemas.openxmlformats.org/officeDocument/2006/relationships/hyperlink" Target="https://www.grants.gov.au/?event=public.GO.list" TargetMode="External"/><Relationship Id="rId56" Type="http://schemas.openxmlformats.org/officeDocument/2006/relationships/hyperlink" Target="http://www.apsc.gov.au/publications-and-media/current-publications/aps-values-and-code-of-conduct-in-practice/conflict-of-interest" TargetMode="External"/><Relationship Id="rId64" Type="http://schemas.openxmlformats.org/officeDocument/2006/relationships/hyperlink" Target="http://www.finance.gov.au/resource-management/pgpa-legislation-rules-and-associated-instruments/"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mailto:ILC@ndis.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sites/default/files/commonwealth-grants-rules-and-guidelines.pdf" TargetMode="External"/><Relationship Id="rId25" Type="http://schemas.openxmlformats.org/officeDocument/2006/relationships/hyperlink" Target="http://www.ndiscommission.gov.au" TargetMode="External"/><Relationship Id="rId33" Type="http://schemas.openxmlformats.org/officeDocument/2006/relationships/hyperlink" Target="https://www.communitygrants.gov.au/" TargetMode="External"/><Relationship Id="rId38" Type="http://schemas.openxmlformats.org/officeDocument/2006/relationships/hyperlink" Target="mailto:support@communitygrants.gov.au" TargetMode="External"/><Relationship Id="rId46" Type="http://schemas.openxmlformats.org/officeDocument/2006/relationships/hyperlink" Target="http://edit.finance.gov.au/sites/default/files/commonwealth-grants-rules-and-guidelines.pdf" TargetMode="External"/><Relationship Id="rId59" Type="http://schemas.openxmlformats.org/officeDocument/2006/relationships/hyperlink" Target="https://www.communitygrants.gov.au/open-grants/how-apply/conflict-interest-policy-commonwealth-government-employee" TargetMode="External"/><Relationship Id="rId67" Type="http://schemas.openxmlformats.org/officeDocument/2006/relationships/hyperlink" Target="http://www.grants.gov.au/" TargetMode="External"/><Relationship Id="rId20" Type="http://schemas.openxmlformats.org/officeDocument/2006/relationships/hyperlink" Target="https://www.ndis.gov.au/media/1055/download" TargetMode="External"/><Relationship Id="rId41" Type="http://schemas.openxmlformats.org/officeDocument/2006/relationships/hyperlink" Target="https://www.ndis.gov.au/media/1055/download" TargetMode="External"/><Relationship Id="rId54" Type="http://schemas.openxmlformats.org/officeDocument/2006/relationships/hyperlink" Target="mailto:ombudsman@ombudsman.gov.au" TargetMode="External"/><Relationship Id="rId62" Type="http://schemas.openxmlformats.org/officeDocument/2006/relationships/hyperlink" Target="https://www.legislation.gov.au/Series/C2004A02562" TargetMode="External"/><Relationship Id="rId7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5.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E8F024-7099-481B-A652-DCBF56CB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13963</Words>
  <Characters>79594</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93371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WORKMAN, Reid</cp:lastModifiedBy>
  <cp:revision>5</cp:revision>
  <cp:lastPrinted>2019-09-25T07:33:00Z</cp:lastPrinted>
  <dcterms:created xsi:type="dcterms:W3CDTF">2019-09-25T07:33:00Z</dcterms:created>
  <dcterms:modified xsi:type="dcterms:W3CDTF">2019-09-25T07:37:00Z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