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2FDDE" w14:textId="77777777" w:rsidR="00CC1B7B" w:rsidRPr="009B33F8" w:rsidRDefault="009D5EF8" w:rsidP="000176F3">
      <w:pPr>
        <w:pStyle w:val="Title"/>
        <w:spacing w:after="240" w:line="240" w:lineRule="auto"/>
        <w:rPr>
          <w:rFonts w:ascii="Arial" w:hAnsi="Arial" w:cs="Arial"/>
          <w:color w:val="auto"/>
          <w:sz w:val="44"/>
          <w:szCs w:val="44"/>
        </w:rPr>
      </w:pPr>
      <w:r w:rsidRPr="009B33F8">
        <w:rPr>
          <w:rFonts w:ascii="Arial" w:hAnsi="Arial" w:cs="Arial"/>
          <w:color w:val="auto"/>
          <w:sz w:val="44"/>
          <w:szCs w:val="44"/>
        </w:rPr>
        <w:t>Community-led Projects to Prevent Violence against Women and their Children – 2018-2566</w:t>
      </w:r>
    </w:p>
    <w:p w14:paraId="1AA20431" w14:textId="77777777" w:rsidR="00CC1B7B" w:rsidRDefault="00CC1B7B" w:rsidP="00CC1B7B">
      <w:pPr>
        <w:rPr>
          <w:sz w:val="40"/>
          <w:szCs w:val="40"/>
        </w:rPr>
      </w:pPr>
      <w:r>
        <w:rPr>
          <w:sz w:val="40"/>
          <w:szCs w:val="40"/>
        </w:rPr>
        <w:t xml:space="preserve">Questions and Answers </w:t>
      </w:r>
    </w:p>
    <w:p w14:paraId="79FCB432" w14:textId="46FAA835" w:rsidR="00CE5DBB" w:rsidRPr="00CE5DBB" w:rsidRDefault="00CE5DBB" w:rsidP="00661464">
      <w:pPr>
        <w:pStyle w:val="Heading2"/>
        <w:spacing w:before="480" w:after="0"/>
        <w:rPr>
          <w:rFonts w:eastAsia="Calibri"/>
          <w:sz w:val="28"/>
        </w:rPr>
      </w:pPr>
      <w:r w:rsidRPr="00CE5DBB">
        <w:rPr>
          <w:rFonts w:eastAsia="Calibri"/>
          <w:sz w:val="28"/>
        </w:rPr>
        <w:t>Eligibility</w:t>
      </w:r>
    </w:p>
    <w:p w14:paraId="6E99E237" w14:textId="054A630C" w:rsidR="00CE5DBB" w:rsidRPr="00176189" w:rsidRDefault="00CE5DBB" w:rsidP="00337E26">
      <w:pPr>
        <w:pStyle w:val="Heading2"/>
        <w:numPr>
          <w:ilvl w:val="0"/>
          <w:numId w:val="31"/>
        </w:numPr>
        <w:spacing w:before="240"/>
      </w:pPr>
      <w:r w:rsidRPr="00176189">
        <w:t>Is my organisation eligible to apply?</w:t>
      </w:r>
    </w:p>
    <w:p w14:paraId="6FE9C3E9" w14:textId="2BD3AEF7" w:rsidR="00176189" w:rsidRPr="00176189" w:rsidRDefault="00176189" w:rsidP="00176189">
      <w:pPr>
        <w:ind w:left="426"/>
        <w:rPr>
          <w:rFonts w:eastAsia="Arial" w:cs="Arial"/>
          <w:color w:val="000000"/>
        </w:rPr>
      </w:pPr>
      <w:r w:rsidRPr="00176189">
        <w:rPr>
          <w:rFonts w:eastAsia="Arial" w:cs="Arial"/>
          <w:color w:val="000000"/>
        </w:rPr>
        <w:t>This grant opportunity is seeking applications from special</w:t>
      </w:r>
      <w:r w:rsidR="009F53A4">
        <w:rPr>
          <w:rFonts w:eastAsia="Arial" w:cs="Arial"/>
          <w:color w:val="000000"/>
        </w:rPr>
        <w:t xml:space="preserve">ist organisations, or consortia that </w:t>
      </w:r>
      <w:proofErr w:type="gramStart"/>
      <w:r w:rsidR="009F53A4">
        <w:rPr>
          <w:rFonts w:eastAsia="Arial" w:cs="Arial"/>
          <w:color w:val="000000"/>
        </w:rPr>
        <w:t>are</w:t>
      </w:r>
      <w:r w:rsidRPr="00176189">
        <w:rPr>
          <w:rFonts w:eastAsia="Arial" w:cs="Arial"/>
          <w:color w:val="000000"/>
        </w:rPr>
        <w:t xml:space="preserve"> l</w:t>
      </w:r>
      <w:r w:rsidR="009F53A4">
        <w:rPr>
          <w:rFonts w:eastAsia="Arial" w:cs="Arial"/>
          <w:color w:val="000000"/>
        </w:rPr>
        <w:t>ed</w:t>
      </w:r>
      <w:proofErr w:type="gramEnd"/>
      <w:r w:rsidR="009F53A4">
        <w:rPr>
          <w:rFonts w:eastAsia="Arial" w:cs="Arial"/>
          <w:color w:val="000000"/>
        </w:rPr>
        <w:t xml:space="preserve"> by specialist organisations in partnership </w:t>
      </w:r>
      <w:r w:rsidRPr="00176189">
        <w:rPr>
          <w:rFonts w:eastAsia="Arial" w:cs="Arial"/>
          <w:color w:val="000000"/>
        </w:rPr>
        <w:t xml:space="preserve">with other relevant organisations. </w:t>
      </w:r>
    </w:p>
    <w:p w14:paraId="739E1507" w14:textId="760DAAD7" w:rsidR="00176189" w:rsidRPr="00176189" w:rsidRDefault="00176189" w:rsidP="00176189">
      <w:pPr>
        <w:ind w:left="426"/>
        <w:rPr>
          <w:rFonts w:eastAsia="Arial" w:cs="Arial"/>
          <w:color w:val="000000"/>
        </w:rPr>
      </w:pPr>
      <w:r w:rsidRPr="00176189">
        <w:rPr>
          <w:rFonts w:eastAsia="Arial" w:cs="Arial"/>
          <w:color w:val="000000"/>
        </w:rPr>
        <w:t>For the purposes of this grant opportunity, a specialist organisation is an organisation with expertise in family, domestic or sexual violence, gender equality or primary prevention.</w:t>
      </w:r>
    </w:p>
    <w:p w14:paraId="2D9008DB" w14:textId="00217A8F" w:rsidR="00176189" w:rsidRPr="00176189" w:rsidRDefault="00176189" w:rsidP="00176189">
      <w:pPr>
        <w:ind w:left="426"/>
        <w:rPr>
          <w:rFonts w:eastAsia="Arial" w:cs="Arial"/>
          <w:color w:val="000000"/>
        </w:rPr>
      </w:pPr>
      <w:r w:rsidRPr="00176189">
        <w:rPr>
          <w:rFonts w:eastAsia="Arial" w:cs="Arial"/>
          <w:color w:val="000000"/>
        </w:rPr>
        <w:t xml:space="preserve">Preference </w:t>
      </w:r>
      <w:proofErr w:type="gramStart"/>
      <w:r w:rsidRPr="00176189">
        <w:rPr>
          <w:rFonts w:eastAsia="Arial" w:cs="Arial"/>
          <w:color w:val="000000"/>
        </w:rPr>
        <w:t>will be given</w:t>
      </w:r>
      <w:proofErr w:type="gramEnd"/>
      <w:r w:rsidRPr="00176189">
        <w:rPr>
          <w:rFonts w:eastAsia="Arial" w:cs="Arial"/>
          <w:color w:val="000000"/>
        </w:rPr>
        <w:t xml:space="preserve"> to applications that demonstrate existing strong relationships with their target groups or communities, or partnerships with organisations representing those groups or communities.</w:t>
      </w:r>
    </w:p>
    <w:p w14:paraId="13500291" w14:textId="77777777" w:rsidR="004140CA" w:rsidRPr="00176189" w:rsidRDefault="004140CA" w:rsidP="00337E26">
      <w:pPr>
        <w:pStyle w:val="Heading2"/>
        <w:numPr>
          <w:ilvl w:val="0"/>
          <w:numId w:val="31"/>
        </w:numPr>
        <w:spacing w:before="240"/>
        <w:rPr>
          <w:rFonts w:eastAsia="Calibri"/>
          <w:color w:val="auto"/>
        </w:rPr>
      </w:pPr>
      <w:r w:rsidRPr="00176189">
        <w:rPr>
          <w:rFonts w:eastAsia="Calibri"/>
          <w:color w:val="auto"/>
        </w:rPr>
        <w:t xml:space="preserve">What </w:t>
      </w:r>
      <w:r w:rsidRPr="00337E26">
        <w:t>constitutes</w:t>
      </w:r>
      <w:r w:rsidRPr="00176189">
        <w:rPr>
          <w:rFonts w:eastAsia="Calibri"/>
          <w:color w:val="auto"/>
        </w:rPr>
        <w:t xml:space="preserve"> an eligible ‘specialist organisation’?</w:t>
      </w:r>
    </w:p>
    <w:p w14:paraId="7F7F3C4E" w14:textId="510FFD22" w:rsidR="004140CA" w:rsidRPr="00176189" w:rsidRDefault="00F167A2" w:rsidP="004140CA">
      <w:pPr>
        <w:ind w:left="426"/>
      </w:pPr>
      <w:r>
        <w:t>For the purposes of this grant opportunity, a specialist organisation is an o</w:t>
      </w:r>
      <w:r w:rsidR="00475893">
        <w:t>rganisation with expertise in:</w:t>
      </w:r>
    </w:p>
    <w:p w14:paraId="029183C6" w14:textId="1C02DD26" w:rsidR="00985340" w:rsidRDefault="00553FEA" w:rsidP="0065149B">
      <w:pPr>
        <w:pStyle w:val="ListParagraph"/>
        <w:numPr>
          <w:ilvl w:val="0"/>
          <w:numId w:val="24"/>
        </w:numPr>
      </w:pPr>
      <w:r>
        <w:rPr>
          <w:b/>
        </w:rPr>
        <w:t>F</w:t>
      </w:r>
      <w:r w:rsidR="00497FD6">
        <w:rPr>
          <w:b/>
        </w:rPr>
        <w:t>amil</w:t>
      </w:r>
      <w:r w:rsidR="00CF4DD8">
        <w:rPr>
          <w:b/>
        </w:rPr>
        <w:t>y, domestic and sexual violence:</w:t>
      </w:r>
      <w:r w:rsidR="004140CA" w:rsidRPr="00A91103">
        <w:rPr>
          <w:b/>
        </w:rPr>
        <w:t xml:space="preserve"> </w:t>
      </w:r>
      <w:r w:rsidR="004140CA" w:rsidRPr="00A91103">
        <w:t>organisation</w:t>
      </w:r>
      <w:r w:rsidR="00FE579D">
        <w:t>s</w:t>
      </w:r>
      <w:r w:rsidR="004140CA" w:rsidRPr="00A91103">
        <w:t xml:space="preserve"> </w:t>
      </w:r>
      <w:r w:rsidR="00497FD6">
        <w:t>with demonstrated</w:t>
      </w:r>
      <w:r w:rsidR="004140CA" w:rsidRPr="00A91103">
        <w:t xml:space="preserve"> extensive </w:t>
      </w:r>
      <w:proofErr w:type="gramStart"/>
      <w:r w:rsidR="004140CA" w:rsidRPr="00A91103">
        <w:t>experience</w:t>
      </w:r>
      <w:proofErr w:type="gramEnd"/>
      <w:r w:rsidR="004140CA" w:rsidRPr="00A91103">
        <w:t xml:space="preserve"> working </w:t>
      </w:r>
      <w:r w:rsidR="00760CE5">
        <w:t>in the sector</w:t>
      </w:r>
      <w:r w:rsidR="00985340">
        <w:t xml:space="preserve"> </w:t>
      </w:r>
      <w:r w:rsidR="00497FD6">
        <w:t>with</w:t>
      </w:r>
      <w:r w:rsidR="004140CA" w:rsidRPr="00A91103">
        <w:t xml:space="preserve"> victim</w:t>
      </w:r>
      <w:r w:rsidR="00A91103" w:rsidRPr="00A91103">
        <w:t>s/survivors</w:t>
      </w:r>
      <w:r w:rsidR="00985340" w:rsidRPr="00985340">
        <w:t xml:space="preserve"> </w:t>
      </w:r>
      <w:r w:rsidR="00985340">
        <w:t>and their families/</w:t>
      </w:r>
      <w:r w:rsidR="00985340" w:rsidRPr="00176189">
        <w:t>supporters</w:t>
      </w:r>
      <w:r w:rsidR="00A91103" w:rsidRPr="00A91103">
        <w:t>.</w:t>
      </w:r>
      <w:r w:rsidR="004140CA" w:rsidRPr="00A91103">
        <w:t xml:space="preserve"> The organisation may also be a crisis response or support service, or deliver violence prevention activities</w:t>
      </w:r>
      <w:r w:rsidR="00760CE5">
        <w:t>,</w:t>
      </w:r>
      <w:r w:rsidR="004140CA" w:rsidRPr="00A91103">
        <w:t xml:space="preserve"> such as</w:t>
      </w:r>
      <w:r w:rsidR="00985340">
        <w:t>:</w:t>
      </w:r>
      <w:r w:rsidR="004140CA" w:rsidRPr="00A91103">
        <w:t xml:space="preserve"> </w:t>
      </w:r>
    </w:p>
    <w:p w14:paraId="31901ED2" w14:textId="1F6FB1F3" w:rsidR="00985340" w:rsidRDefault="00985340" w:rsidP="00985340">
      <w:pPr>
        <w:pStyle w:val="ListParagraph"/>
        <w:numPr>
          <w:ilvl w:val="1"/>
          <w:numId w:val="24"/>
        </w:numPr>
      </w:pPr>
      <w:r w:rsidRPr="00176189">
        <w:t>counselling</w:t>
      </w:r>
      <w:r w:rsidR="00680785">
        <w:t xml:space="preserve"> or support</w:t>
      </w:r>
      <w:r w:rsidRPr="00176189">
        <w:t xml:space="preserve"> to people who have experienced or are at risk of </w:t>
      </w:r>
      <w:r w:rsidRPr="00497FD6">
        <w:t>family, domestic and sexual violence</w:t>
      </w:r>
    </w:p>
    <w:p w14:paraId="4F396F0D" w14:textId="41A170B7" w:rsidR="004140CA" w:rsidRDefault="00985340" w:rsidP="00985340">
      <w:pPr>
        <w:pStyle w:val="ListParagraph"/>
        <w:numPr>
          <w:ilvl w:val="1"/>
          <w:numId w:val="24"/>
        </w:numPr>
      </w:pPr>
      <w:r w:rsidRPr="00497FD6">
        <w:t>education, training and professional consultation to age</w:t>
      </w:r>
      <w:r w:rsidR="000176F3">
        <w:t>ncies and private practitioners</w:t>
      </w:r>
    </w:p>
    <w:p w14:paraId="5F6DB281" w14:textId="45950CC2" w:rsidR="00680785" w:rsidRDefault="000176F3" w:rsidP="00680785">
      <w:pPr>
        <w:pStyle w:val="ListParagraph"/>
        <w:numPr>
          <w:ilvl w:val="1"/>
          <w:numId w:val="24"/>
        </w:numPr>
      </w:pPr>
      <w:r>
        <w:t>schools-based programs</w:t>
      </w:r>
    </w:p>
    <w:p w14:paraId="53836BF3" w14:textId="6F648803" w:rsidR="00680785" w:rsidRPr="00A91103" w:rsidRDefault="00680785" w:rsidP="00680785">
      <w:pPr>
        <w:pStyle w:val="ListParagraph"/>
        <w:numPr>
          <w:ilvl w:val="1"/>
          <w:numId w:val="24"/>
        </w:numPr>
      </w:pPr>
      <w:proofErr w:type="gramStart"/>
      <w:r>
        <w:t>awareness</w:t>
      </w:r>
      <w:proofErr w:type="gramEnd"/>
      <w:r>
        <w:t xml:space="preserve"> raising </w:t>
      </w:r>
      <w:r w:rsidR="00CF4DD8">
        <w:t>activities</w:t>
      </w:r>
      <w:r>
        <w:t>.</w:t>
      </w:r>
    </w:p>
    <w:p w14:paraId="25417C0D" w14:textId="77777777" w:rsidR="00CF4DD8" w:rsidRDefault="00CF4DD8" w:rsidP="00CF4DD8">
      <w:pPr>
        <w:pStyle w:val="ListParagraph"/>
        <w:numPr>
          <w:ilvl w:val="0"/>
          <w:numId w:val="24"/>
        </w:numPr>
      </w:pPr>
      <w:r w:rsidRPr="00497FD6">
        <w:rPr>
          <w:b/>
        </w:rPr>
        <w:t>Gender equality</w:t>
      </w:r>
      <w:r>
        <w:rPr>
          <w:b/>
        </w:rPr>
        <w:t>:</w:t>
      </w:r>
      <w:r>
        <w:t xml:space="preserve"> organisations dedicated to establishing and/or advancing gender equality with an interest in improving the impact of policy or service delivery for women.</w:t>
      </w:r>
    </w:p>
    <w:p w14:paraId="40189C90" w14:textId="46956DD3" w:rsidR="00167880" w:rsidRPr="00BA42F1" w:rsidRDefault="00167880" w:rsidP="00167880">
      <w:pPr>
        <w:pStyle w:val="ListParagraph"/>
        <w:numPr>
          <w:ilvl w:val="0"/>
          <w:numId w:val="24"/>
        </w:numPr>
        <w:rPr>
          <w:b/>
          <w:bCs/>
        </w:rPr>
      </w:pPr>
      <w:r>
        <w:rPr>
          <w:b/>
          <w:bCs/>
        </w:rPr>
        <w:t>Primary prevention</w:t>
      </w:r>
      <w:r>
        <w:rPr>
          <w:b/>
        </w:rPr>
        <w:t>:</w:t>
      </w:r>
      <w:r>
        <w:t xml:space="preserve"> organisations aimed at changing social norms and behaviours to prevent violence against women. Examples include activities to address harmful attitudes or behaviours that condone violence against women and their children</w:t>
      </w:r>
      <w:r w:rsidRPr="00760CE5">
        <w:t xml:space="preserve">, or activities that discourage behaviours – for </w:t>
      </w:r>
      <w:proofErr w:type="gramStart"/>
      <w:r w:rsidRPr="00760CE5">
        <w:t>example</w:t>
      </w:r>
      <w:proofErr w:type="gramEnd"/>
      <w:r w:rsidRPr="00760CE5">
        <w:t xml:space="preserve"> </w:t>
      </w:r>
      <w:r>
        <w:t>health based prevention activities</w:t>
      </w:r>
      <w:r w:rsidRPr="00760CE5">
        <w:t>.</w:t>
      </w:r>
      <w:r w:rsidR="003D0DC8">
        <w:t xml:space="preserve"> It </w:t>
      </w:r>
      <w:proofErr w:type="gramStart"/>
      <w:r>
        <w:t>may be targeted</w:t>
      </w:r>
      <w:proofErr w:type="gramEnd"/>
      <w:r>
        <w:t xml:space="preserve"> at a large or specific population.</w:t>
      </w:r>
    </w:p>
    <w:p w14:paraId="265EBAD8" w14:textId="3A414E49" w:rsidR="00CE5DBB" w:rsidRPr="00EE7F1E" w:rsidRDefault="00877468" w:rsidP="00337E26">
      <w:pPr>
        <w:pStyle w:val="Heading2"/>
        <w:numPr>
          <w:ilvl w:val="0"/>
          <w:numId w:val="31"/>
        </w:numPr>
        <w:spacing w:before="240"/>
        <w:rPr>
          <w:rFonts w:eastAsia="Arial" w:cs="Arial"/>
          <w:iCs/>
          <w:color w:val="000000"/>
        </w:rPr>
      </w:pPr>
      <w:r>
        <w:rPr>
          <w:rFonts w:eastAsia="Calibri"/>
        </w:rPr>
        <w:lastRenderedPageBreak/>
        <w:t xml:space="preserve">What is the </w:t>
      </w:r>
      <w:r w:rsidRPr="00337E26">
        <w:t>benefit</w:t>
      </w:r>
      <w:r>
        <w:rPr>
          <w:rFonts w:eastAsia="Calibri"/>
        </w:rPr>
        <w:t xml:space="preserve"> of</w:t>
      </w:r>
      <w:r w:rsidR="00CE5DBB" w:rsidRPr="00EE7F1E">
        <w:rPr>
          <w:rFonts w:eastAsia="Calibri"/>
        </w:rPr>
        <w:t xml:space="preserve"> </w:t>
      </w:r>
      <w:r>
        <w:rPr>
          <w:rFonts w:eastAsia="Calibri"/>
        </w:rPr>
        <w:t xml:space="preserve">funding </w:t>
      </w:r>
      <w:r w:rsidR="00CE5DBB" w:rsidRPr="00EE7F1E">
        <w:rPr>
          <w:rFonts w:eastAsia="Arial" w:cs="Arial"/>
          <w:iCs/>
          <w:color w:val="000000"/>
        </w:rPr>
        <w:t>specialist organisation</w:t>
      </w:r>
      <w:r w:rsidR="006E74A2" w:rsidRPr="00EE7F1E">
        <w:rPr>
          <w:rFonts w:eastAsia="Arial" w:cs="Arial"/>
          <w:iCs/>
          <w:color w:val="000000"/>
        </w:rPr>
        <w:t>s</w:t>
      </w:r>
      <w:r>
        <w:rPr>
          <w:rFonts w:eastAsia="Arial" w:cs="Arial"/>
          <w:iCs/>
          <w:color w:val="000000"/>
        </w:rPr>
        <w:t>?</w:t>
      </w:r>
    </w:p>
    <w:p w14:paraId="5BA76784" w14:textId="242ADFF6" w:rsidR="000728B4" w:rsidRPr="00EE7F1E" w:rsidRDefault="000728B4" w:rsidP="002C1B10">
      <w:pPr>
        <w:ind w:left="426"/>
      </w:pPr>
      <w:r w:rsidRPr="00EE7F1E">
        <w:t xml:space="preserve">We are seeking </w:t>
      </w:r>
      <w:r w:rsidR="00C94098" w:rsidRPr="00EE7F1E">
        <w:rPr>
          <w:rFonts w:eastAsia="Arial" w:cs="Arial"/>
          <w:color w:val="000000"/>
        </w:rPr>
        <w:t xml:space="preserve">to engage a range of providers to develop and deliver community-led primary </w:t>
      </w:r>
      <w:r w:rsidR="00C94098" w:rsidRPr="00EE7F1E">
        <w:t>prevention</w:t>
      </w:r>
      <w:r w:rsidR="00C94098" w:rsidRPr="00EE7F1E">
        <w:rPr>
          <w:rFonts w:eastAsia="Arial" w:cs="Arial"/>
          <w:color w:val="000000"/>
        </w:rPr>
        <w:t xml:space="preserve"> projects across Australia. </w:t>
      </w:r>
      <w:r w:rsidRPr="00EE7F1E">
        <w:t xml:space="preserve">Funded projects </w:t>
      </w:r>
      <w:proofErr w:type="gramStart"/>
      <w:r w:rsidRPr="00EE7F1E">
        <w:t>will be aimed</w:t>
      </w:r>
      <w:proofErr w:type="gramEnd"/>
      <w:r w:rsidRPr="00EE7F1E">
        <w:t xml:space="preserve"> at driving a change in the behaviours, attitudes or other social and cultural factors that contribute to violence against women and children.</w:t>
      </w:r>
    </w:p>
    <w:p w14:paraId="5AE4AC58" w14:textId="3D198E00" w:rsidR="005E3EF8" w:rsidRPr="00EE7F1E" w:rsidRDefault="00AA5174" w:rsidP="00A91103">
      <w:pPr>
        <w:ind w:left="426"/>
        <w:rPr>
          <w:rFonts w:asciiTheme="minorHAnsi" w:hAnsiTheme="minorHAnsi" w:cs="Arial"/>
          <w:iCs/>
          <w:color w:val="0070C0"/>
          <w:sz w:val="20"/>
          <w:szCs w:val="20"/>
        </w:rPr>
      </w:pPr>
      <w:r w:rsidRPr="00EE7F1E">
        <w:rPr>
          <w:rFonts w:cs="Arial"/>
        </w:rPr>
        <w:t xml:space="preserve">The </w:t>
      </w:r>
      <w:r w:rsidRPr="00EE7F1E">
        <w:t>eligibility</w:t>
      </w:r>
      <w:r w:rsidRPr="00EE7F1E">
        <w:rPr>
          <w:rFonts w:cs="Arial"/>
        </w:rPr>
        <w:t xml:space="preserve"> criteria aims to capture those organisations most likely to have the knowledge and understanding of, and credibility with, the communities they want to target. </w:t>
      </w:r>
    </w:p>
    <w:p w14:paraId="277C930C" w14:textId="77777777" w:rsidR="00A04825" w:rsidRPr="00A04825" w:rsidRDefault="00A04825" w:rsidP="00337E26">
      <w:pPr>
        <w:pStyle w:val="Heading2"/>
        <w:numPr>
          <w:ilvl w:val="0"/>
          <w:numId w:val="31"/>
        </w:numPr>
        <w:spacing w:before="240"/>
      </w:pPr>
      <w:r w:rsidRPr="00A04825">
        <w:t xml:space="preserve">Can I apply as a single entity? </w:t>
      </w:r>
    </w:p>
    <w:p w14:paraId="71220CD2" w14:textId="6A1A1C6F" w:rsidR="00A04825" w:rsidRDefault="009E7D15" w:rsidP="00A04825">
      <w:pPr>
        <w:ind w:left="426"/>
      </w:pPr>
      <w:r>
        <w:rPr>
          <w:rFonts w:eastAsia="Arial" w:cs="Arial"/>
          <w:color w:val="000000"/>
        </w:rPr>
        <w:t xml:space="preserve">Yes. </w:t>
      </w:r>
      <w:r w:rsidR="00A04825" w:rsidRPr="00176189">
        <w:rPr>
          <w:rFonts w:eastAsia="Arial" w:cs="Arial"/>
          <w:color w:val="000000"/>
        </w:rPr>
        <w:t>This grant opportunity is seeking applications from special</w:t>
      </w:r>
      <w:r w:rsidR="00A04825">
        <w:rPr>
          <w:rFonts w:eastAsia="Arial" w:cs="Arial"/>
          <w:color w:val="000000"/>
        </w:rPr>
        <w:t xml:space="preserve">ist organisations, or consortia that </w:t>
      </w:r>
      <w:proofErr w:type="gramStart"/>
      <w:r w:rsidR="00A04825">
        <w:rPr>
          <w:rFonts w:eastAsia="Arial" w:cs="Arial"/>
          <w:color w:val="000000"/>
        </w:rPr>
        <w:t>are</w:t>
      </w:r>
      <w:r w:rsidR="00A04825" w:rsidRPr="00176189">
        <w:rPr>
          <w:rFonts w:eastAsia="Arial" w:cs="Arial"/>
          <w:color w:val="000000"/>
        </w:rPr>
        <w:t xml:space="preserve"> l</w:t>
      </w:r>
      <w:r w:rsidR="00A04825">
        <w:rPr>
          <w:rFonts w:eastAsia="Arial" w:cs="Arial"/>
          <w:color w:val="000000"/>
        </w:rPr>
        <w:t>ed</w:t>
      </w:r>
      <w:proofErr w:type="gramEnd"/>
      <w:r w:rsidR="00A04825">
        <w:rPr>
          <w:rFonts w:eastAsia="Arial" w:cs="Arial"/>
          <w:color w:val="000000"/>
        </w:rPr>
        <w:t xml:space="preserve"> by specialist organisations in partnership </w:t>
      </w:r>
      <w:r w:rsidR="00A04825" w:rsidRPr="00176189">
        <w:rPr>
          <w:rFonts w:eastAsia="Arial" w:cs="Arial"/>
          <w:color w:val="000000"/>
        </w:rPr>
        <w:t>with other relevant organisations</w:t>
      </w:r>
      <w:r w:rsidR="00A04825">
        <w:rPr>
          <w:rFonts w:eastAsia="Arial" w:cs="Arial"/>
          <w:color w:val="000000"/>
        </w:rPr>
        <w:t>.</w:t>
      </w:r>
      <w:r w:rsidR="00A04825" w:rsidRPr="00EE7F1E">
        <w:t xml:space="preserve"> </w:t>
      </w:r>
    </w:p>
    <w:p w14:paraId="4252CFD9" w14:textId="77777777" w:rsidR="00A04825" w:rsidRDefault="00A04825" w:rsidP="00A04825">
      <w:pPr>
        <w:ind w:left="426"/>
      </w:pPr>
      <w:r w:rsidRPr="00EE7F1E">
        <w:t xml:space="preserve">Further information about consortia arrangements </w:t>
      </w:r>
      <w:proofErr w:type="gramStart"/>
      <w:r w:rsidRPr="00EE7F1E">
        <w:t>is provided</w:t>
      </w:r>
      <w:proofErr w:type="gramEnd"/>
      <w:r w:rsidRPr="00EE7F1E">
        <w:t xml:space="preserve"> in Section 4.1.1 of the Grant Opportunity Guidelines.</w:t>
      </w:r>
    </w:p>
    <w:p w14:paraId="1BB05031" w14:textId="0762E236" w:rsidR="006A2A06" w:rsidRPr="00BC77DA" w:rsidRDefault="006A2A06" w:rsidP="00337E26">
      <w:pPr>
        <w:pStyle w:val="Heading2"/>
        <w:numPr>
          <w:ilvl w:val="0"/>
          <w:numId w:val="31"/>
        </w:numPr>
        <w:spacing w:before="240"/>
        <w:rPr>
          <w:rFonts w:eastAsia="Calibri"/>
          <w:color w:val="auto"/>
        </w:rPr>
      </w:pPr>
      <w:r w:rsidRPr="00BC77DA">
        <w:rPr>
          <w:rFonts w:eastAsia="Calibri"/>
          <w:color w:val="auto"/>
        </w:rPr>
        <w:t xml:space="preserve">Why are </w:t>
      </w:r>
      <w:r w:rsidR="00A04825" w:rsidRPr="00337E26">
        <w:t>consortium</w:t>
      </w:r>
      <w:r w:rsidR="00A04825" w:rsidRPr="00BC77DA">
        <w:rPr>
          <w:rFonts w:eastAsia="Calibri"/>
          <w:color w:val="auto"/>
        </w:rPr>
        <w:t xml:space="preserve"> partnerships</w:t>
      </w:r>
      <w:r w:rsidR="003826AD" w:rsidRPr="00BC77DA">
        <w:rPr>
          <w:rFonts w:eastAsia="Calibri"/>
          <w:color w:val="auto"/>
        </w:rPr>
        <w:t xml:space="preserve"> eligible</w:t>
      </w:r>
      <w:r w:rsidR="00A04825" w:rsidRPr="00BC77DA">
        <w:rPr>
          <w:rFonts w:eastAsia="Calibri"/>
          <w:color w:val="auto"/>
        </w:rPr>
        <w:t>?</w:t>
      </w:r>
    </w:p>
    <w:p w14:paraId="78DD7820" w14:textId="3C42E40D" w:rsidR="00A04825" w:rsidRDefault="00A04825" w:rsidP="00A04825">
      <w:pPr>
        <w:ind w:left="426"/>
      </w:pPr>
      <w:r w:rsidRPr="008A5211">
        <w:t xml:space="preserve">The department is </w:t>
      </w:r>
      <w:r w:rsidR="00FC09E7">
        <w:t xml:space="preserve">accepting </w:t>
      </w:r>
      <w:r w:rsidRPr="008A5211">
        <w:t>applications from consortium partnerships to ensure</w:t>
      </w:r>
      <w:r>
        <w:t xml:space="preserve"> a community</w:t>
      </w:r>
      <w:r>
        <w:noBreakHyphen/>
        <w:t>led approach. This approach ensures</w:t>
      </w:r>
      <w:r w:rsidRPr="008A5211">
        <w:t xml:space="preserve"> that</w:t>
      </w:r>
      <w:r w:rsidRPr="00A04825">
        <w:t xml:space="preserve"> the lived experiences from women of all backgrounds are respected, listened to and are drawn upon to improve service responses </w:t>
      </w:r>
      <w:r w:rsidR="00F903B8">
        <w:t xml:space="preserve">and ensure </w:t>
      </w:r>
      <w:r w:rsidRPr="00A04825">
        <w:t>high quality, safe, trauma-informed, person-</w:t>
      </w:r>
      <w:proofErr w:type="spellStart"/>
      <w:r w:rsidRPr="00A04825">
        <w:t>centered</w:t>
      </w:r>
      <w:proofErr w:type="spellEnd"/>
      <w:r w:rsidRPr="00A04825">
        <w:t>, culturally app</w:t>
      </w:r>
      <w:r w:rsidR="00F903B8">
        <w:t>ropriate and non</w:t>
      </w:r>
      <w:r w:rsidR="00F903B8">
        <w:noBreakHyphen/>
        <w:t>discriminatory activities.</w:t>
      </w:r>
    </w:p>
    <w:p w14:paraId="35C3E1B5" w14:textId="3292F822" w:rsidR="00285B49" w:rsidRDefault="00285B49" w:rsidP="00285B49">
      <w:pPr>
        <w:ind w:left="426"/>
      </w:pPr>
      <w:r w:rsidRPr="00C81003">
        <w:t xml:space="preserve">The lead organisation may consider forming </w:t>
      </w:r>
      <w:r w:rsidR="00FA1E97" w:rsidRPr="00C81003">
        <w:t>a consortium</w:t>
      </w:r>
      <w:r w:rsidRPr="00C81003">
        <w:t xml:space="preserve"> with other organisations </w:t>
      </w:r>
      <w:r w:rsidR="00C81003" w:rsidRPr="00C81003">
        <w:t xml:space="preserve">and specialist organisations </w:t>
      </w:r>
      <w:r w:rsidRPr="00C81003">
        <w:t xml:space="preserve">who have relevant </w:t>
      </w:r>
      <w:proofErr w:type="gramStart"/>
      <w:r w:rsidRPr="00C81003">
        <w:t>expertise which</w:t>
      </w:r>
      <w:proofErr w:type="gramEnd"/>
      <w:r w:rsidRPr="00C81003">
        <w:t xml:space="preserve"> may include</w:t>
      </w:r>
      <w:r w:rsidR="00756166">
        <w:t xml:space="preserve"> (but are not limited to)</w:t>
      </w:r>
      <w:r w:rsidR="00C81003" w:rsidRPr="00C81003">
        <w:t>:</w:t>
      </w:r>
    </w:p>
    <w:p w14:paraId="36B6B804" w14:textId="68C4E1A9" w:rsidR="00285B49" w:rsidRPr="00635E10" w:rsidRDefault="00285B49" w:rsidP="00285B49">
      <w:pPr>
        <w:pStyle w:val="ListParagraph"/>
        <w:numPr>
          <w:ilvl w:val="0"/>
          <w:numId w:val="24"/>
        </w:numPr>
      </w:pPr>
      <w:r w:rsidRPr="00C81003">
        <w:rPr>
          <w:b/>
        </w:rPr>
        <w:t>Community sector organisations</w:t>
      </w:r>
      <w:r w:rsidRPr="00C81003">
        <w:t xml:space="preserve"> that represent diverse communities</w:t>
      </w:r>
      <w:r w:rsidR="003906A8">
        <w:t>.</w:t>
      </w:r>
    </w:p>
    <w:p w14:paraId="1ABE5470" w14:textId="4454D1BF" w:rsidR="00285B49" w:rsidRPr="00497FD6" w:rsidRDefault="00285B49" w:rsidP="00285B49">
      <w:pPr>
        <w:pStyle w:val="ListParagraph"/>
        <w:numPr>
          <w:ilvl w:val="0"/>
          <w:numId w:val="24"/>
        </w:numPr>
      </w:pPr>
      <w:r w:rsidRPr="00497FD6">
        <w:rPr>
          <w:b/>
        </w:rPr>
        <w:t xml:space="preserve">Peak </w:t>
      </w:r>
      <w:r w:rsidRPr="00A91103">
        <w:rPr>
          <w:b/>
        </w:rPr>
        <w:t>advocacy organisation</w:t>
      </w:r>
      <w:r>
        <w:rPr>
          <w:b/>
        </w:rPr>
        <w:t>s</w:t>
      </w:r>
      <w:r w:rsidRPr="00A91103">
        <w:t xml:space="preserve"> </w:t>
      </w:r>
      <w:r>
        <w:t>that provide</w:t>
      </w:r>
      <w:r w:rsidRPr="00A91103">
        <w:t xml:space="preserve"> leadership, policy advice, and advocacy at </w:t>
      </w:r>
      <w:r w:rsidR="003906A8">
        <w:t xml:space="preserve">a </w:t>
      </w:r>
      <w:r w:rsidRPr="00A91103">
        <w:t>local or national level.</w:t>
      </w:r>
    </w:p>
    <w:p w14:paraId="052BB5D9" w14:textId="08A573A8" w:rsidR="00285B49" w:rsidRPr="00285B49" w:rsidRDefault="00285B49" w:rsidP="00285B49">
      <w:pPr>
        <w:pStyle w:val="ListParagraph"/>
        <w:numPr>
          <w:ilvl w:val="0"/>
          <w:numId w:val="24"/>
        </w:numPr>
      </w:pPr>
      <w:r w:rsidRPr="003906A8">
        <w:rPr>
          <w:b/>
        </w:rPr>
        <w:t xml:space="preserve">A </w:t>
      </w:r>
      <w:r w:rsidRPr="00A91103">
        <w:rPr>
          <w:b/>
        </w:rPr>
        <w:t>researcher and/or university</w:t>
      </w:r>
      <w:r w:rsidR="004B7F9F">
        <w:t>:</w:t>
      </w:r>
      <w:r w:rsidRPr="00A91103">
        <w:t xml:space="preserve"> </w:t>
      </w:r>
      <w:proofErr w:type="gramStart"/>
      <w:r w:rsidRPr="00A91103">
        <w:t>either an individual affiliated</w:t>
      </w:r>
      <w:proofErr w:type="gramEnd"/>
      <w:r w:rsidRPr="00A91103">
        <w:t xml:space="preserve"> with an Australian university or other academic body or an Australian university/academic body</w:t>
      </w:r>
      <w:r>
        <w:t>.</w:t>
      </w:r>
    </w:p>
    <w:p w14:paraId="7DECF2E4" w14:textId="3A491B84" w:rsidR="00CE5DBB" w:rsidRPr="00A04825" w:rsidRDefault="00CE5DBB" w:rsidP="00337E26">
      <w:pPr>
        <w:pStyle w:val="Heading2"/>
        <w:numPr>
          <w:ilvl w:val="0"/>
          <w:numId w:val="31"/>
        </w:numPr>
        <w:spacing w:before="240"/>
      </w:pPr>
      <w:r w:rsidRPr="00A04825">
        <w:t xml:space="preserve">If we apply as a consortium, </w:t>
      </w:r>
      <w:r w:rsidR="006A2A06" w:rsidRPr="00A04825">
        <w:t>do you want</w:t>
      </w:r>
      <w:r w:rsidRPr="00A04825">
        <w:t xml:space="preserve"> letters of support from consortium members</w:t>
      </w:r>
      <w:r w:rsidR="006A2A06" w:rsidRPr="00A04825">
        <w:t xml:space="preserve"> attached</w:t>
      </w:r>
      <w:r w:rsidRPr="00A04825">
        <w:t xml:space="preserve"> to the application? </w:t>
      </w:r>
    </w:p>
    <w:p w14:paraId="4AF0BF14" w14:textId="77777777" w:rsidR="00F77FD3" w:rsidRDefault="00F77FD3" w:rsidP="00F77FD3">
      <w:pPr>
        <w:ind w:left="426"/>
      </w:pPr>
      <w:proofErr w:type="gramStart"/>
      <w:r w:rsidRPr="002861C0">
        <w:t>Letters of support are not required at this stage and will not benefit the application.</w:t>
      </w:r>
      <w:proofErr w:type="gramEnd"/>
      <w:r w:rsidRPr="002861C0" w:rsidDel="006F6F7A">
        <w:t xml:space="preserve"> </w:t>
      </w:r>
      <w:r>
        <w:t xml:space="preserve">If you are </w:t>
      </w:r>
      <w:proofErr w:type="gramStart"/>
      <w:r w:rsidRPr="00F77FD3">
        <w:rPr>
          <w:rFonts w:eastAsia="Arial" w:cs="Arial"/>
          <w:color w:val="000000"/>
        </w:rPr>
        <w:t>offered</w:t>
      </w:r>
      <w:proofErr w:type="gramEnd"/>
      <w:r>
        <w:t xml:space="preserve"> funding through this grant opportunity y</w:t>
      </w:r>
      <w:r w:rsidRPr="002861C0">
        <w:t xml:space="preserve">ou must have a formal arrangement in place, including an agreed governance structure, with all parties prior to execution of the </w:t>
      </w:r>
      <w:r>
        <w:t xml:space="preserve">grant </w:t>
      </w:r>
      <w:r w:rsidRPr="002861C0">
        <w:t>agreement.</w:t>
      </w:r>
      <w:r>
        <w:t xml:space="preserve"> </w:t>
      </w:r>
    </w:p>
    <w:p w14:paraId="062F103D" w14:textId="5189EC4F" w:rsidR="00CE5DBB" w:rsidRPr="00577161" w:rsidRDefault="006A2A06" w:rsidP="00577161">
      <w:pPr>
        <w:ind w:left="426"/>
        <w:rPr>
          <w:rFonts w:eastAsia="Arial" w:cs="Arial"/>
          <w:color w:val="000000"/>
        </w:rPr>
      </w:pPr>
      <w:r w:rsidRPr="00577161">
        <w:rPr>
          <w:rFonts w:eastAsia="Arial" w:cs="Arial"/>
          <w:color w:val="000000"/>
        </w:rPr>
        <w:t>You should only attach the documents requested in the Grant Opportunity Guidelines</w:t>
      </w:r>
      <w:r w:rsidR="00577161" w:rsidRPr="00577161">
        <w:rPr>
          <w:rFonts w:eastAsia="Arial" w:cs="Arial"/>
          <w:color w:val="000000"/>
        </w:rPr>
        <w:t xml:space="preserve">, including the draft budget, draft Activity Work Plan and Trust deed and any subsequent variations, if applying as a Trustee on behalf of a Trust. </w:t>
      </w:r>
    </w:p>
    <w:p w14:paraId="568EADEE" w14:textId="77777777" w:rsidR="00CE5DBB" w:rsidRDefault="00CE5DBB" w:rsidP="00337E26">
      <w:pPr>
        <w:pStyle w:val="Heading2"/>
        <w:numPr>
          <w:ilvl w:val="0"/>
          <w:numId w:val="31"/>
        </w:numPr>
        <w:spacing w:before="240"/>
      </w:pPr>
      <w:r>
        <w:lastRenderedPageBreak/>
        <w:t>How many grants do you expect to approve?</w:t>
      </w:r>
    </w:p>
    <w:p w14:paraId="3AB35F06" w14:textId="346E3B5E" w:rsidR="00CE5DBB" w:rsidRDefault="00CE5DBB" w:rsidP="00CE5DBB">
      <w:pPr>
        <w:pStyle w:val="ListBullet"/>
        <w:numPr>
          <w:ilvl w:val="0"/>
          <w:numId w:val="0"/>
        </w:numPr>
        <w:ind w:left="426"/>
      </w:pPr>
      <w:r w:rsidRPr="002455B7">
        <w:t xml:space="preserve">The department expects to fund </w:t>
      </w:r>
      <w:r w:rsidR="00FB7BC4" w:rsidRPr="002455B7">
        <w:t>between 12 and 17</w:t>
      </w:r>
      <w:r w:rsidR="00AA5174" w:rsidRPr="002455B7">
        <w:t xml:space="preserve"> </w:t>
      </w:r>
      <w:r w:rsidRPr="002455B7">
        <w:t>organisations to deliver</w:t>
      </w:r>
      <w:r w:rsidR="0007445F">
        <w:t xml:space="preserve"> community-led</w:t>
      </w:r>
      <w:r w:rsidRPr="002455B7">
        <w:t xml:space="preserve"> prevention activities. </w:t>
      </w:r>
    </w:p>
    <w:p w14:paraId="7035D3AA" w14:textId="47873C6B" w:rsidR="003422D0" w:rsidRPr="00CC08AD" w:rsidRDefault="003422D0" w:rsidP="003422D0">
      <w:pPr>
        <w:ind w:left="426"/>
        <w:rPr>
          <w:rFonts w:eastAsia="Calibri" w:cs="Arial"/>
          <w:sz w:val="24"/>
          <w:szCs w:val="24"/>
        </w:rPr>
      </w:pPr>
      <w:r w:rsidRPr="00CC08AD">
        <w:rPr>
          <w:rFonts w:eastAsia="Calibri" w:cs="Arial"/>
          <w:b/>
          <w:sz w:val="24"/>
          <w:szCs w:val="24"/>
          <w:u w:val="single"/>
        </w:rPr>
        <w:t>Question</w:t>
      </w:r>
      <w:r w:rsidR="00B219AB">
        <w:rPr>
          <w:rFonts w:eastAsia="Calibri" w:cs="Arial"/>
          <w:b/>
          <w:sz w:val="24"/>
          <w:szCs w:val="24"/>
          <w:u w:val="single"/>
        </w:rPr>
        <w:t xml:space="preserve"> 8 added 8</w:t>
      </w:r>
      <w:bookmarkStart w:id="0" w:name="_GoBack"/>
      <w:bookmarkEnd w:id="0"/>
      <w:r>
        <w:rPr>
          <w:rFonts w:eastAsia="Calibri" w:cs="Arial"/>
          <w:b/>
          <w:sz w:val="24"/>
          <w:szCs w:val="24"/>
          <w:u w:val="single"/>
        </w:rPr>
        <w:t xml:space="preserve"> October 201</w:t>
      </w:r>
      <w:r w:rsidRPr="00CC08AD">
        <w:rPr>
          <w:rFonts w:eastAsia="Calibri" w:cs="Arial"/>
          <w:b/>
          <w:sz w:val="24"/>
          <w:szCs w:val="24"/>
          <w:u w:val="single"/>
        </w:rPr>
        <w:t>9</w:t>
      </w:r>
    </w:p>
    <w:p w14:paraId="0DE4F933" w14:textId="3518BCD9" w:rsidR="003422D0" w:rsidRPr="003422D0" w:rsidRDefault="003422D0" w:rsidP="003422D0">
      <w:pPr>
        <w:pStyle w:val="Heading2"/>
        <w:numPr>
          <w:ilvl w:val="0"/>
          <w:numId w:val="31"/>
        </w:numPr>
      </w:pPr>
      <w:r w:rsidRPr="003422D0">
        <w:rPr>
          <w:rFonts w:ascii="Arial" w:hAnsi="Arial" w:cs="Arial"/>
          <w:iCs/>
          <w:color w:val="000000"/>
        </w:rPr>
        <w:t>Can consortium partners be part of more than one consortium and hence on more than one application submitted by different specialist agencies</w:t>
      </w:r>
      <w:r w:rsidRPr="003422D0">
        <w:t>?</w:t>
      </w:r>
    </w:p>
    <w:p w14:paraId="6E184DCC" w14:textId="77777777" w:rsidR="003422D0" w:rsidRPr="003422D0" w:rsidRDefault="003422D0" w:rsidP="003422D0">
      <w:pPr>
        <w:pStyle w:val="ListParagraph"/>
        <w:autoSpaceDE w:val="0"/>
        <w:autoSpaceDN w:val="0"/>
        <w:rPr>
          <w:rFonts w:cs="Arial"/>
          <w:iCs/>
          <w:color w:val="000000"/>
        </w:rPr>
      </w:pPr>
      <w:r w:rsidRPr="003422D0">
        <w:rPr>
          <w:rFonts w:cs="Arial"/>
          <w:iCs/>
        </w:rPr>
        <w:t xml:space="preserve">Yes, however applicants can only apply as the lead organisation once. </w:t>
      </w:r>
      <w:proofErr w:type="gramStart"/>
      <w:r w:rsidRPr="003422D0">
        <w:rPr>
          <w:rFonts w:cs="Arial"/>
          <w:iCs/>
        </w:rPr>
        <w:t>There is no limit to the number of times an applicant can apply as a partner organisation in multiple consortium arrangements</w:t>
      </w:r>
      <w:r w:rsidRPr="003422D0">
        <w:rPr>
          <w:rFonts w:cs="Arial"/>
          <w:iCs/>
          <w:color w:val="000000"/>
        </w:rPr>
        <w:t>.</w:t>
      </w:r>
      <w:proofErr w:type="gramEnd"/>
      <w:r w:rsidRPr="003422D0">
        <w:rPr>
          <w:rFonts w:cs="Arial"/>
          <w:iCs/>
          <w:color w:val="000000"/>
        </w:rPr>
        <w:t xml:space="preserve"> </w:t>
      </w:r>
    </w:p>
    <w:p w14:paraId="7A1EE240" w14:textId="0DDABA39" w:rsidR="007E6029" w:rsidRPr="00CE5DBB" w:rsidRDefault="007E6029" w:rsidP="00661464">
      <w:pPr>
        <w:pStyle w:val="Heading2"/>
        <w:spacing w:before="480" w:after="0"/>
        <w:rPr>
          <w:rFonts w:eastAsia="Calibri"/>
          <w:sz w:val="28"/>
        </w:rPr>
      </w:pPr>
      <w:r w:rsidRPr="00CE5DBB">
        <w:rPr>
          <w:rFonts w:eastAsia="Calibri"/>
          <w:sz w:val="28"/>
        </w:rPr>
        <w:t>Project delivery</w:t>
      </w:r>
    </w:p>
    <w:p w14:paraId="562A969A" w14:textId="52EF587E" w:rsidR="007D11FE" w:rsidRPr="00543051" w:rsidRDefault="00543051" w:rsidP="00B219AB">
      <w:pPr>
        <w:pStyle w:val="Heading2"/>
        <w:numPr>
          <w:ilvl w:val="0"/>
          <w:numId w:val="38"/>
        </w:numPr>
      </w:pPr>
      <w:r w:rsidRPr="00543051">
        <w:t>What evidence should I provide</w:t>
      </w:r>
      <w:r w:rsidR="00050AB6">
        <w:t xml:space="preserve"> to support my application</w:t>
      </w:r>
      <w:r w:rsidRPr="00543051">
        <w:t>?</w:t>
      </w:r>
    </w:p>
    <w:p w14:paraId="6FD5EB78" w14:textId="3B29A419" w:rsidR="00543051" w:rsidRDefault="00543051" w:rsidP="00543051">
      <w:pPr>
        <w:ind w:left="426"/>
        <w:rPr>
          <w:rFonts w:cs="Arial"/>
        </w:rPr>
      </w:pPr>
      <w:r w:rsidRPr="00D04F4C">
        <w:rPr>
          <w:rFonts w:cs="Arial"/>
        </w:rPr>
        <w:t xml:space="preserve">Applicants must </w:t>
      </w:r>
      <w:r w:rsidRPr="00543051">
        <w:t>demonstrate</w:t>
      </w:r>
      <w:r w:rsidRPr="00D04F4C">
        <w:rPr>
          <w:rFonts w:cs="Arial"/>
        </w:rPr>
        <w:t xml:space="preserve"> </w:t>
      </w:r>
      <w:r>
        <w:rPr>
          <w:rFonts w:cs="Arial"/>
        </w:rPr>
        <w:t>a</w:t>
      </w:r>
      <w:r w:rsidRPr="00D04F4C">
        <w:rPr>
          <w:rFonts w:cs="Arial"/>
        </w:rPr>
        <w:t xml:space="preserve"> commitment to gender equality and preventing violence against women and children, and link this to evidence sources that prove the need for the activity in </w:t>
      </w:r>
      <w:r w:rsidRPr="00AA3BB6">
        <w:t>your</w:t>
      </w:r>
      <w:r w:rsidRPr="00D04F4C">
        <w:rPr>
          <w:rFonts w:cs="Arial"/>
        </w:rPr>
        <w:t xml:space="preserve"> proposed locat</w:t>
      </w:r>
      <w:r>
        <w:rPr>
          <w:rFonts w:cs="Arial"/>
        </w:rPr>
        <w:t>ion, target group or community. T</w:t>
      </w:r>
      <w:r w:rsidRPr="00D04F4C">
        <w:rPr>
          <w:rFonts w:cs="Arial"/>
        </w:rPr>
        <w:t>his can include</w:t>
      </w:r>
      <w:r>
        <w:rPr>
          <w:rFonts w:cs="Arial"/>
        </w:rPr>
        <w:t xml:space="preserve"> a</w:t>
      </w:r>
      <w:r w:rsidRPr="00D04F4C">
        <w:rPr>
          <w:rFonts w:cs="Arial"/>
        </w:rPr>
        <w:t>dministrati</w:t>
      </w:r>
      <w:r>
        <w:rPr>
          <w:rFonts w:cs="Arial"/>
        </w:rPr>
        <w:t>ve data such as Recorded Crimes, the</w:t>
      </w:r>
      <w:r w:rsidRPr="00D04F4C">
        <w:rPr>
          <w:rFonts w:cs="Arial"/>
        </w:rPr>
        <w:t xml:space="preserve"> </w:t>
      </w:r>
      <w:r>
        <w:rPr>
          <w:rFonts w:cs="Arial"/>
        </w:rPr>
        <w:t>Personal Safety Survey,</w:t>
      </w:r>
      <w:r w:rsidRPr="00D04F4C">
        <w:rPr>
          <w:rFonts w:cs="Arial"/>
        </w:rPr>
        <w:t xml:space="preserve"> peer-reviewed research</w:t>
      </w:r>
      <w:r>
        <w:rPr>
          <w:rFonts w:cs="Arial"/>
        </w:rPr>
        <w:t>,</w:t>
      </w:r>
      <w:r w:rsidRPr="00D04F4C">
        <w:rPr>
          <w:rFonts w:cs="Arial"/>
        </w:rPr>
        <w:t xml:space="preserve"> or </w:t>
      </w:r>
      <w:r>
        <w:rPr>
          <w:rFonts w:cs="Arial"/>
        </w:rPr>
        <w:t>other appropriate sources</w:t>
      </w:r>
      <w:r w:rsidRPr="00D04F4C">
        <w:rPr>
          <w:rFonts w:cs="Arial"/>
        </w:rPr>
        <w:t xml:space="preserve">. </w:t>
      </w:r>
    </w:p>
    <w:p w14:paraId="478920EF" w14:textId="7E1FA9FD" w:rsidR="00050AB6" w:rsidRPr="00050AB6" w:rsidRDefault="00FA1E97" w:rsidP="00050AB6">
      <w:pPr>
        <w:ind w:left="426"/>
      </w:pPr>
      <w:r>
        <w:t>The department</w:t>
      </w:r>
      <w:r w:rsidR="00050AB6" w:rsidRPr="007D11FE">
        <w:t xml:space="preserve"> will consider applications for new and innovative approaches to primary prevention, as well as approaches that seek to expand or build on existing activities that have proven successful. </w:t>
      </w:r>
    </w:p>
    <w:p w14:paraId="679A922C" w14:textId="3563F599" w:rsidR="007E6029" w:rsidRPr="00ED4271" w:rsidRDefault="007E6029" w:rsidP="00B219AB">
      <w:pPr>
        <w:pStyle w:val="Heading2"/>
        <w:numPr>
          <w:ilvl w:val="0"/>
          <w:numId w:val="38"/>
        </w:numPr>
        <w:rPr>
          <w:rFonts w:eastAsia="Calibri"/>
        </w:rPr>
      </w:pPr>
      <w:r>
        <w:rPr>
          <w:rFonts w:eastAsia="Calibri"/>
        </w:rPr>
        <w:t>Where am I required to d</w:t>
      </w:r>
      <w:r w:rsidRPr="00ED4271">
        <w:rPr>
          <w:rFonts w:eastAsia="Calibri"/>
        </w:rPr>
        <w:t>eliver</w:t>
      </w:r>
      <w:r w:rsidR="00F82A44">
        <w:rPr>
          <w:rFonts w:eastAsia="Calibri"/>
        </w:rPr>
        <w:t xml:space="preserve"> my project if</w:t>
      </w:r>
      <w:r>
        <w:rPr>
          <w:rFonts w:eastAsia="Calibri"/>
        </w:rPr>
        <w:t xml:space="preserve"> selected</w:t>
      </w:r>
      <w:r w:rsidRPr="00ED4271">
        <w:rPr>
          <w:rFonts w:eastAsia="Calibri"/>
        </w:rPr>
        <w:t xml:space="preserve">? </w:t>
      </w:r>
    </w:p>
    <w:p w14:paraId="58F4F043" w14:textId="69E8EF5C" w:rsidR="00535A18" w:rsidRDefault="002249E9" w:rsidP="00F06C1B">
      <w:pPr>
        <w:ind w:left="426"/>
        <w:rPr>
          <w:iCs/>
        </w:rPr>
      </w:pPr>
      <w:r>
        <w:rPr>
          <w:rFonts w:cs="Arial"/>
        </w:rPr>
        <w:t>The department will consider applications</w:t>
      </w:r>
      <w:r w:rsidRPr="00C259F2">
        <w:rPr>
          <w:rFonts w:cs="Arial"/>
        </w:rPr>
        <w:t xml:space="preserve"> </w:t>
      </w:r>
      <w:r>
        <w:rPr>
          <w:rFonts w:cs="Arial"/>
        </w:rPr>
        <w:t xml:space="preserve">for </w:t>
      </w:r>
      <w:r w:rsidR="00535A18" w:rsidRPr="00A70978">
        <w:rPr>
          <w:iCs/>
        </w:rPr>
        <w:t xml:space="preserve">prevention projects across Australia </w:t>
      </w:r>
      <w:r w:rsidR="00FA1E97">
        <w:rPr>
          <w:iCs/>
        </w:rPr>
        <w:t>of any size -</w:t>
      </w:r>
      <w:r w:rsidR="00535A18">
        <w:rPr>
          <w:iCs/>
        </w:rPr>
        <w:t xml:space="preserve"> regional, state or national</w:t>
      </w:r>
      <w:r w:rsidR="00535A18" w:rsidRPr="00A70978">
        <w:rPr>
          <w:iCs/>
        </w:rPr>
        <w:t xml:space="preserve"> </w:t>
      </w:r>
      <w:r w:rsidR="00535A18">
        <w:rPr>
          <w:iCs/>
        </w:rPr>
        <w:t>and in</w:t>
      </w:r>
      <w:r w:rsidR="00535A18" w:rsidRPr="00A70978">
        <w:rPr>
          <w:iCs/>
        </w:rPr>
        <w:t xml:space="preserve"> a range of locations</w:t>
      </w:r>
      <w:r w:rsidR="00535A18">
        <w:rPr>
          <w:iCs/>
        </w:rPr>
        <w:t xml:space="preserve"> </w:t>
      </w:r>
      <w:r w:rsidR="00535A18" w:rsidRPr="00A70978">
        <w:rPr>
          <w:iCs/>
        </w:rPr>
        <w:t xml:space="preserve">where there is a </w:t>
      </w:r>
      <w:r w:rsidR="001A0A31">
        <w:rPr>
          <w:iCs/>
        </w:rPr>
        <w:t xml:space="preserve">demonstrated </w:t>
      </w:r>
      <w:r w:rsidR="00535A18" w:rsidRPr="00A70978">
        <w:rPr>
          <w:iCs/>
        </w:rPr>
        <w:t>need for preventi</w:t>
      </w:r>
      <w:r w:rsidR="00535A18">
        <w:rPr>
          <w:iCs/>
        </w:rPr>
        <w:t xml:space="preserve">on activities. Your project </w:t>
      </w:r>
      <w:r w:rsidR="0035575C">
        <w:rPr>
          <w:iCs/>
        </w:rPr>
        <w:t xml:space="preserve">can </w:t>
      </w:r>
      <w:r w:rsidR="00535A18">
        <w:rPr>
          <w:iCs/>
        </w:rPr>
        <w:t>be within a specific geographic location</w:t>
      </w:r>
      <w:r w:rsidR="0035575C">
        <w:rPr>
          <w:iCs/>
        </w:rPr>
        <w:t xml:space="preserve">, online </w:t>
      </w:r>
      <w:r w:rsidR="00535A18">
        <w:rPr>
          <w:iCs/>
        </w:rPr>
        <w:t xml:space="preserve">or within a </w:t>
      </w:r>
      <w:r w:rsidR="0035575C">
        <w:rPr>
          <w:iCs/>
        </w:rPr>
        <w:t>priority</w:t>
      </w:r>
      <w:r w:rsidR="00535A18">
        <w:rPr>
          <w:iCs/>
        </w:rPr>
        <w:t xml:space="preserve"> community or cohort.</w:t>
      </w:r>
    </w:p>
    <w:p w14:paraId="6F8121D3" w14:textId="222EAA32" w:rsidR="00685897" w:rsidRDefault="00D31793" w:rsidP="007C6FEF">
      <w:pPr>
        <w:pStyle w:val="ListBullet"/>
        <w:numPr>
          <w:ilvl w:val="0"/>
          <w:numId w:val="0"/>
        </w:numPr>
        <w:ind w:left="426"/>
        <w:rPr>
          <w:rFonts w:cs="Arial"/>
        </w:rPr>
      </w:pPr>
      <w:r>
        <w:rPr>
          <w:rFonts w:cs="Arial"/>
        </w:rPr>
        <w:t>See Section 5.2 of the Grant Opportunity Guidelines for more information.</w:t>
      </w:r>
    </w:p>
    <w:p w14:paraId="3AC1A25B" w14:textId="77777777" w:rsidR="007E6029" w:rsidRDefault="007E6029" w:rsidP="00B219AB">
      <w:pPr>
        <w:pStyle w:val="Heading2"/>
        <w:numPr>
          <w:ilvl w:val="0"/>
          <w:numId w:val="38"/>
        </w:numPr>
        <w:rPr>
          <w:rFonts w:eastAsia="Calibri"/>
        </w:rPr>
      </w:pPr>
      <w:proofErr w:type="gramStart"/>
      <w:r>
        <w:rPr>
          <w:rFonts w:eastAsia="Calibri"/>
        </w:rPr>
        <w:t xml:space="preserve">Why do digital </w:t>
      </w:r>
      <w:r w:rsidRPr="00337E26">
        <w:t>products</w:t>
      </w:r>
      <w:r>
        <w:rPr>
          <w:rFonts w:eastAsia="Calibri"/>
        </w:rPr>
        <w:t xml:space="preserve"> have to comply with the Digital Transformation Agenda and what</w:t>
      </w:r>
      <w:proofErr w:type="gramEnd"/>
      <w:r>
        <w:rPr>
          <w:rFonts w:eastAsia="Calibri"/>
        </w:rPr>
        <w:t xml:space="preserve"> does that mean?</w:t>
      </w:r>
    </w:p>
    <w:p w14:paraId="4EF53CBB" w14:textId="063E5645" w:rsidR="009C4B3F" w:rsidRPr="00E709AD" w:rsidRDefault="009C4B3F" w:rsidP="009C4B3F">
      <w:pPr>
        <w:pStyle w:val="BodyText"/>
        <w:ind w:left="426"/>
      </w:pPr>
      <w:r>
        <w:t xml:space="preserve">All Australian Government services and products that are public facing; </w:t>
      </w:r>
      <w:r w:rsidRPr="00E709AD">
        <w:t>owned by </w:t>
      </w:r>
      <w:hyperlink r:id="rId9" w:anchor="flipchart" w:tgtFrame="_blank" w:history="1">
        <w:r w:rsidR="007F479F">
          <w:t>non</w:t>
        </w:r>
        <w:r w:rsidR="007F479F">
          <w:noBreakHyphen/>
        </w:r>
        <w:r w:rsidRPr="00E709AD">
          <w:t>corporate Commonwealth entities</w:t>
        </w:r>
      </w:hyperlink>
      <w:r w:rsidRPr="00E709AD">
        <w:t>; new informational or transactional services</w:t>
      </w:r>
      <w:proofErr w:type="gramStart"/>
      <w:r w:rsidRPr="00E709AD">
        <w:t>;</w:t>
      </w:r>
      <w:proofErr w:type="gramEnd"/>
      <w:r w:rsidRPr="00E709AD">
        <w:t xml:space="preserve"> or existing high-volume transactional services</w:t>
      </w:r>
      <w:r>
        <w:t xml:space="preserve"> must adhere to the Digital Service Standards.</w:t>
      </w:r>
    </w:p>
    <w:p w14:paraId="5B6D3505" w14:textId="38C2D034" w:rsidR="009C4B3F" w:rsidRPr="00D801BF" w:rsidRDefault="009C4B3F" w:rsidP="009C4B3F">
      <w:pPr>
        <w:pStyle w:val="BodyText"/>
        <w:ind w:left="426"/>
      </w:pPr>
      <w:r w:rsidRPr="00E709AD">
        <w:lastRenderedPageBreak/>
        <w:t xml:space="preserve">The Digital Service Standard is a set of </w:t>
      </w:r>
      <w:proofErr w:type="gramStart"/>
      <w:r w:rsidRPr="00E709AD">
        <w:t>best-practice</w:t>
      </w:r>
      <w:proofErr w:type="gramEnd"/>
      <w:r w:rsidRPr="00E709AD">
        <w:t xml:space="preserve"> principles </w:t>
      </w:r>
      <w:r>
        <w:t>designed to help</w:t>
      </w:r>
      <w:r w:rsidRPr="00E709AD">
        <w:t xml:space="preserve"> digital teams to build services that are simple, clear and fast. </w:t>
      </w:r>
      <w:r>
        <w:t xml:space="preserve">You can find more information on the Digital Service Standards at the Digital Transformation Agency </w:t>
      </w:r>
      <w:hyperlink r:id="rId10" w:history="1">
        <w:r w:rsidRPr="00A74621">
          <w:rPr>
            <w:rStyle w:val="Hyperlink"/>
          </w:rPr>
          <w:t>website</w:t>
        </w:r>
      </w:hyperlink>
      <w:r w:rsidRPr="009C4B3F">
        <w:t xml:space="preserve"> (www.dta.gov.au)</w:t>
      </w:r>
      <w:r>
        <w:t>.</w:t>
      </w:r>
    </w:p>
    <w:p w14:paraId="64B3E18D" w14:textId="16647E41" w:rsidR="00CE5DBB" w:rsidRDefault="00B9461E" w:rsidP="00B219AB">
      <w:pPr>
        <w:pStyle w:val="Heading2"/>
        <w:numPr>
          <w:ilvl w:val="0"/>
          <w:numId w:val="38"/>
        </w:numPr>
        <w:rPr>
          <w:rFonts w:eastAsia="Calibri"/>
        </w:rPr>
      </w:pPr>
      <w:proofErr w:type="gramStart"/>
      <w:r>
        <w:rPr>
          <w:rFonts w:eastAsia="Calibri"/>
        </w:rPr>
        <w:t>Will</w:t>
      </w:r>
      <w:r w:rsidR="00CE5DBB">
        <w:rPr>
          <w:rFonts w:eastAsia="Calibri"/>
        </w:rPr>
        <w:t xml:space="preserve"> I be held</w:t>
      </w:r>
      <w:proofErr w:type="gramEnd"/>
      <w:r w:rsidR="00CE5DBB">
        <w:rPr>
          <w:rFonts w:eastAsia="Calibri"/>
        </w:rPr>
        <w:t xml:space="preserve"> to </w:t>
      </w:r>
      <w:r w:rsidR="00CE5DBB" w:rsidRPr="00337E26">
        <w:t>the</w:t>
      </w:r>
      <w:r w:rsidR="00CE5DBB">
        <w:rPr>
          <w:rFonts w:eastAsia="Calibri"/>
        </w:rPr>
        <w:t xml:space="preserve"> detail in the </w:t>
      </w:r>
      <w:r>
        <w:rPr>
          <w:rFonts w:eastAsia="Calibri"/>
        </w:rPr>
        <w:t>Activity Work Plan?</w:t>
      </w:r>
    </w:p>
    <w:p w14:paraId="66E58CB9" w14:textId="56629A75" w:rsidR="00471188" w:rsidRDefault="00471188" w:rsidP="00471188">
      <w:pPr>
        <w:pStyle w:val="BodyText"/>
        <w:ind w:left="426"/>
      </w:pPr>
      <w:r>
        <w:t>The purpose of the attachment</w:t>
      </w:r>
      <w:r w:rsidRPr="00373D2A">
        <w:t xml:space="preserve"> </w:t>
      </w:r>
      <w:r>
        <w:t xml:space="preserve">is for organisations to outline a </w:t>
      </w:r>
      <w:r w:rsidRPr="00EF7194">
        <w:t>draft</w:t>
      </w:r>
      <w:r w:rsidRPr="003001A7">
        <w:t xml:space="preserve"> </w:t>
      </w:r>
      <w:r>
        <w:t>plan on how the objectives of the program</w:t>
      </w:r>
      <w:r w:rsidR="00FE7053">
        <w:t xml:space="preserve"> </w:t>
      </w:r>
      <w:proofErr w:type="gramStart"/>
      <w:r w:rsidR="00FE7053">
        <w:t>will be met</w:t>
      </w:r>
      <w:proofErr w:type="gramEnd"/>
      <w:r>
        <w:t xml:space="preserve">. </w:t>
      </w:r>
    </w:p>
    <w:p w14:paraId="0F548B26" w14:textId="024CFC80" w:rsidR="00471188" w:rsidRDefault="00471188" w:rsidP="00471188">
      <w:pPr>
        <w:pStyle w:val="BodyText"/>
        <w:ind w:left="426"/>
      </w:pPr>
      <w:r>
        <w:t xml:space="preserve">The department expects the final Activity Work Plan (to be agreed with the department) to strongly reflect the project your </w:t>
      </w:r>
      <w:r w:rsidR="00FE7053">
        <w:t>application proposed to deliver, including the deliverables and timeframes.</w:t>
      </w:r>
      <w:r>
        <w:t xml:space="preserve"> </w:t>
      </w:r>
    </w:p>
    <w:p w14:paraId="396AE089" w14:textId="741ADD93" w:rsidR="00471188" w:rsidRDefault="00471188" w:rsidP="00471188">
      <w:pPr>
        <w:pStyle w:val="BodyText"/>
        <w:ind w:left="426"/>
      </w:pPr>
      <w:r>
        <w:t xml:space="preserve">A final Activity Work Plan </w:t>
      </w:r>
      <w:proofErr w:type="gramStart"/>
      <w:r>
        <w:t>must be agreed</w:t>
      </w:r>
      <w:proofErr w:type="gramEnd"/>
      <w:r>
        <w:t xml:space="preserve"> up to 60 days after the executi</w:t>
      </w:r>
      <w:r w:rsidR="007C6FEF">
        <w:t>on of the grant agreement with a</w:t>
      </w:r>
      <w:r>
        <w:t xml:space="preserve"> successful organisation.</w:t>
      </w:r>
    </w:p>
    <w:p w14:paraId="7E646133" w14:textId="52ADDFD0" w:rsidR="007E6029" w:rsidRPr="00CE5DBB" w:rsidRDefault="007E6029" w:rsidP="00661464">
      <w:pPr>
        <w:pStyle w:val="Heading2"/>
        <w:spacing w:before="480" w:after="0"/>
        <w:rPr>
          <w:rFonts w:eastAsia="Calibri"/>
          <w:sz w:val="28"/>
        </w:rPr>
      </w:pPr>
      <w:r w:rsidRPr="00CE5DBB">
        <w:rPr>
          <w:rFonts w:eastAsia="Calibri"/>
          <w:sz w:val="28"/>
        </w:rPr>
        <w:t>Reporting and evaluation</w:t>
      </w:r>
    </w:p>
    <w:p w14:paraId="24278AAD" w14:textId="642ACFD6" w:rsidR="007874AB" w:rsidRPr="007F479F" w:rsidRDefault="007874AB" w:rsidP="00337E26">
      <w:pPr>
        <w:pStyle w:val="Heading2"/>
        <w:numPr>
          <w:ilvl w:val="0"/>
          <w:numId w:val="33"/>
        </w:numPr>
        <w:rPr>
          <w:rFonts w:eastAsia="Calibri"/>
        </w:rPr>
      </w:pPr>
      <w:r w:rsidRPr="007F479F">
        <w:rPr>
          <w:rFonts w:eastAsia="Calibri"/>
        </w:rPr>
        <w:t xml:space="preserve">Am I required </w:t>
      </w:r>
      <w:proofErr w:type="gramStart"/>
      <w:r w:rsidRPr="007F479F">
        <w:rPr>
          <w:rFonts w:eastAsia="Calibri"/>
        </w:rPr>
        <w:t>to independently evaluate</w:t>
      </w:r>
      <w:proofErr w:type="gramEnd"/>
      <w:r w:rsidRPr="007F479F">
        <w:rPr>
          <w:rFonts w:eastAsia="Calibri"/>
        </w:rPr>
        <w:t xml:space="preserve"> the </w:t>
      </w:r>
      <w:r w:rsidR="00535A18">
        <w:rPr>
          <w:rFonts w:eastAsia="Calibri"/>
        </w:rPr>
        <w:t>activity</w:t>
      </w:r>
      <w:r w:rsidRPr="007F479F">
        <w:rPr>
          <w:rFonts w:eastAsia="Calibri"/>
        </w:rPr>
        <w:t>?</w:t>
      </w:r>
    </w:p>
    <w:p w14:paraId="1BFFC253" w14:textId="5CE6FF1F" w:rsidR="007874AB" w:rsidRDefault="003001A7" w:rsidP="007874AB">
      <w:pPr>
        <w:ind w:left="426"/>
      </w:pPr>
      <w:r>
        <w:t>The</w:t>
      </w:r>
      <w:r w:rsidR="007874AB" w:rsidRPr="007F479F">
        <w:t xml:space="preserve"> </w:t>
      </w:r>
      <w:proofErr w:type="gramStart"/>
      <w:r w:rsidR="007874AB" w:rsidRPr="007F479F">
        <w:t xml:space="preserve">Community-led Projects to Prevent Violence against Women and their Children grant activity will be </w:t>
      </w:r>
      <w:r w:rsidR="00535A18">
        <w:t>evaluated by the d</w:t>
      </w:r>
      <w:r w:rsidR="007F479F" w:rsidRPr="007F479F">
        <w:t>epa</w:t>
      </w:r>
      <w:r w:rsidR="00535A18">
        <w:t>rtment</w:t>
      </w:r>
      <w:proofErr w:type="gramEnd"/>
      <w:r w:rsidR="00535A18">
        <w:t>, or an evaluator of the d</w:t>
      </w:r>
      <w:r w:rsidR="007F479F" w:rsidRPr="007F479F">
        <w:t>epartment’s choosing</w:t>
      </w:r>
      <w:r w:rsidR="00535A18">
        <w:t xml:space="preserve">. </w:t>
      </w:r>
      <w:r w:rsidR="007874AB" w:rsidRPr="007F479F">
        <w:t>More informa</w:t>
      </w:r>
      <w:r w:rsidR="007F479F" w:rsidRPr="007F479F">
        <w:t xml:space="preserve">tion </w:t>
      </w:r>
      <w:proofErr w:type="gramStart"/>
      <w:r w:rsidR="007F479F" w:rsidRPr="007F479F">
        <w:t>is provided</w:t>
      </w:r>
      <w:proofErr w:type="gramEnd"/>
      <w:r w:rsidR="007F479F" w:rsidRPr="007F479F">
        <w:t xml:space="preserve"> at Section 12.7</w:t>
      </w:r>
      <w:r w:rsidR="007874AB" w:rsidRPr="007F479F">
        <w:t xml:space="preserve"> of the Grant Opportunity Guidelines.</w:t>
      </w:r>
    </w:p>
    <w:p w14:paraId="24D61D4F" w14:textId="4D77D4A1" w:rsidR="004261E6" w:rsidRDefault="004261E6" w:rsidP="00337E26">
      <w:pPr>
        <w:pStyle w:val="Heading2"/>
        <w:numPr>
          <w:ilvl w:val="0"/>
          <w:numId w:val="33"/>
        </w:numPr>
      </w:pPr>
      <w:r w:rsidRPr="00E20130">
        <w:t xml:space="preserve">What </w:t>
      </w:r>
      <w:r w:rsidRPr="00337E26">
        <w:rPr>
          <w:rFonts w:eastAsia="Calibri"/>
        </w:rPr>
        <w:t>information</w:t>
      </w:r>
      <w:r w:rsidRPr="00E20130">
        <w:t xml:space="preserve"> will I have to provide for the evaluation?</w:t>
      </w:r>
    </w:p>
    <w:p w14:paraId="5A9A6337" w14:textId="7F324EBC" w:rsidR="00CE17A8" w:rsidRDefault="00CE17A8" w:rsidP="00CE17A8">
      <w:pPr>
        <w:ind w:left="426"/>
      </w:pPr>
      <w:r>
        <w:t>T</w:t>
      </w:r>
      <w:r w:rsidRPr="00CE17A8">
        <w:t xml:space="preserve">o support </w:t>
      </w:r>
      <w:r>
        <w:t xml:space="preserve">a </w:t>
      </w:r>
      <w:r w:rsidRPr="00EC1D20">
        <w:t>g</w:t>
      </w:r>
      <w:r>
        <w:t>rant program evaluation</w:t>
      </w:r>
      <w:r w:rsidRPr="00CE17A8">
        <w:t xml:space="preserve">, </w:t>
      </w:r>
      <w:r w:rsidR="005A0411">
        <w:t>the department</w:t>
      </w:r>
      <w:r w:rsidRPr="00CE17A8">
        <w:t xml:space="preserve"> and the funded organisation will agree on the data that will be required as part of </w:t>
      </w:r>
      <w:r>
        <w:t xml:space="preserve">the </w:t>
      </w:r>
      <w:r w:rsidRPr="00CE17A8">
        <w:t>reporting requirements during grant agreement negotiations.</w:t>
      </w:r>
      <w:r w:rsidRPr="003A17BA">
        <w:t xml:space="preserve"> </w:t>
      </w:r>
      <w:r w:rsidR="0026235D" w:rsidRPr="007F479F">
        <w:t xml:space="preserve">More information </w:t>
      </w:r>
      <w:proofErr w:type="gramStart"/>
      <w:r w:rsidR="0026235D" w:rsidRPr="007F479F">
        <w:t>is provided</w:t>
      </w:r>
      <w:proofErr w:type="gramEnd"/>
      <w:r w:rsidR="0026235D" w:rsidRPr="007F479F">
        <w:t xml:space="preserve"> at Section 12.7 of the Grant Opportunity Guidelines.</w:t>
      </w:r>
    </w:p>
    <w:p w14:paraId="67B92E54" w14:textId="5CF03D8D" w:rsidR="004261E6" w:rsidRPr="00E20130" w:rsidRDefault="004261E6" w:rsidP="00337E26">
      <w:pPr>
        <w:pStyle w:val="Heading2"/>
        <w:numPr>
          <w:ilvl w:val="0"/>
          <w:numId w:val="33"/>
        </w:numPr>
      </w:pPr>
      <w:r w:rsidRPr="00E20130">
        <w:t>What privacy provisions will be in place for the evaluation?</w:t>
      </w:r>
    </w:p>
    <w:p w14:paraId="7C90C243" w14:textId="21162C02" w:rsidR="00FA1E97" w:rsidRDefault="00FA1E97" w:rsidP="00FA1E97">
      <w:pPr>
        <w:ind w:left="426"/>
        <w:rPr>
          <w:b/>
          <w:bCs/>
          <w:color w:val="1F4E79"/>
        </w:rPr>
      </w:pPr>
      <w:r>
        <w:t>T</w:t>
      </w:r>
      <w:r w:rsidRPr="00A4368B">
        <w:t>he evaluator will</w:t>
      </w:r>
      <w:r>
        <w:t xml:space="preserve"> be required to comply with </w:t>
      </w:r>
      <w:r w:rsidRPr="00A4368B">
        <w:rPr>
          <w:color w:val="000000"/>
        </w:rPr>
        <w:t xml:space="preserve">the </w:t>
      </w:r>
      <w:hyperlink r:id="rId11"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12" w:history="1">
        <w:r w:rsidRPr="008A7B28">
          <w:rPr>
            <w:rStyle w:val="Hyperlink"/>
            <w:rFonts w:cs="Arial"/>
          </w:rPr>
          <w:t>Australian Privacy Principles</w:t>
        </w:r>
      </w:hyperlink>
      <w:r w:rsidRPr="00A4368B">
        <w:t xml:space="preserve">, as well as standard </w:t>
      </w:r>
      <w:r>
        <w:t>c</w:t>
      </w:r>
      <w:r w:rsidRPr="00A4368B">
        <w:t>onfidentiality requirements.</w:t>
      </w:r>
    </w:p>
    <w:p w14:paraId="5DCEE762" w14:textId="77777777" w:rsidR="007E6029" w:rsidRPr="00A20C66" w:rsidRDefault="007E6029" w:rsidP="00337E26">
      <w:pPr>
        <w:pStyle w:val="Heading2"/>
        <w:numPr>
          <w:ilvl w:val="0"/>
          <w:numId w:val="33"/>
        </w:numPr>
        <w:rPr>
          <w:rFonts w:eastAsia="Calibri"/>
        </w:rPr>
      </w:pPr>
      <w:r>
        <w:rPr>
          <w:rFonts w:eastAsia="Calibri"/>
        </w:rPr>
        <w:t>How am I required to report progress</w:t>
      </w:r>
      <w:r w:rsidRPr="00A20C66">
        <w:rPr>
          <w:rFonts w:eastAsia="Calibri"/>
        </w:rPr>
        <w:t>?</w:t>
      </w:r>
    </w:p>
    <w:p w14:paraId="658F8992" w14:textId="0CC776B0" w:rsidR="007E6029" w:rsidRDefault="007E6029" w:rsidP="007E6029">
      <w:pPr>
        <w:ind w:left="426"/>
      </w:pPr>
      <w:r>
        <w:t>The successful organisation will be required to provide six-monthly reports against their Activity Work Plan (to be approved by the department) including (but not limited to) evidence of progress against agreed milestones</w:t>
      </w:r>
      <w:r w:rsidR="00E91A0B">
        <w:t>,</w:t>
      </w:r>
      <w:r w:rsidR="00EF7194">
        <w:t xml:space="preserve"> </w:t>
      </w:r>
      <w:r>
        <w:t xml:space="preserve">outcomes and expenditure to date. </w:t>
      </w:r>
    </w:p>
    <w:p w14:paraId="26B04651" w14:textId="77777777" w:rsidR="007874AB" w:rsidRDefault="007874AB" w:rsidP="007874AB">
      <w:pPr>
        <w:ind w:left="426"/>
      </w:pPr>
      <w:r>
        <w:t>You will also be required to submit a final report providing:</w:t>
      </w:r>
    </w:p>
    <w:p w14:paraId="53865D1A" w14:textId="279A9E68" w:rsidR="007874AB" w:rsidRDefault="007874AB" w:rsidP="007874AB">
      <w:pPr>
        <w:pStyle w:val="ListParagraph"/>
        <w:numPr>
          <w:ilvl w:val="0"/>
          <w:numId w:val="24"/>
        </w:numPr>
      </w:pPr>
      <w:r>
        <w:t xml:space="preserve">if and </w:t>
      </w:r>
      <w:r w:rsidR="000176F3">
        <w:t>how outcomes have been achieved</w:t>
      </w:r>
    </w:p>
    <w:p w14:paraId="64AE99D1" w14:textId="16B9C9B4" w:rsidR="007874AB" w:rsidRDefault="007874AB" w:rsidP="007874AB">
      <w:pPr>
        <w:pStyle w:val="ListParagraph"/>
        <w:numPr>
          <w:ilvl w:val="0"/>
          <w:numId w:val="24"/>
        </w:numPr>
      </w:pPr>
      <w:r w:rsidRPr="00E162FF">
        <w:t>agreed evidence</w:t>
      </w:r>
      <w:r>
        <w:t xml:space="preserve"> as speci</w:t>
      </w:r>
      <w:r w:rsidR="000176F3">
        <w:t>fied in the grant agreement</w:t>
      </w:r>
    </w:p>
    <w:p w14:paraId="194FCBEF" w14:textId="77777777" w:rsidR="007874AB" w:rsidRDefault="007874AB" w:rsidP="007874AB">
      <w:pPr>
        <w:pStyle w:val="ListParagraph"/>
        <w:numPr>
          <w:ilvl w:val="0"/>
          <w:numId w:val="24"/>
        </w:numPr>
      </w:pPr>
      <w:proofErr w:type="gramStart"/>
      <w:r w:rsidRPr="00E162FF">
        <w:t>total</w:t>
      </w:r>
      <w:proofErr w:type="gramEnd"/>
      <w:r w:rsidRPr="00E162FF">
        <w:t xml:space="preserve"> </w:t>
      </w:r>
      <w:r>
        <w:t>e</w:t>
      </w:r>
      <w:r w:rsidRPr="00E162FF">
        <w:t xml:space="preserve">ligible </w:t>
      </w:r>
      <w:r>
        <w:t>e</w:t>
      </w:r>
      <w:r w:rsidRPr="00E162FF">
        <w:t xml:space="preserve">xpenditure </w:t>
      </w:r>
      <w:r>
        <w:t>incurred.</w:t>
      </w:r>
    </w:p>
    <w:p w14:paraId="168B02CF" w14:textId="77777777" w:rsidR="00A20C66" w:rsidRPr="00A20C66" w:rsidRDefault="00242EE0" w:rsidP="00337E26">
      <w:pPr>
        <w:pStyle w:val="Heading2"/>
        <w:numPr>
          <w:ilvl w:val="0"/>
          <w:numId w:val="33"/>
        </w:numPr>
        <w:rPr>
          <w:rFonts w:eastAsia="Calibri"/>
        </w:rPr>
      </w:pPr>
      <w:r>
        <w:rPr>
          <w:rFonts w:eastAsia="Calibri"/>
        </w:rPr>
        <w:lastRenderedPageBreak/>
        <w:t xml:space="preserve">Do </w:t>
      </w:r>
      <w:r w:rsidR="00A20C66" w:rsidRPr="00A20C66">
        <w:rPr>
          <w:rFonts w:eastAsia="Calibri"/>
        </w:rPr>
        <w:t>successful applicant</w:t>
      </w:r>
      <w:r>
        <w:rPr>
          <w:rFonts w:eastAsia="Calibri"/>
        </w:rPr>
        <w:t>s</w:t>
      </w:r>
      <w:r w:rsidR="00A20C66" w:rsidRPr="00A20C66">
        <w:rPr>
          <w:rFonts w:eastAsia="Calibri"/>
        </w:rPr>
        <w:t xml:space="preserve"> have to report information through the Data Exchange?</w:t>
      </w:r>
    </w:p>
    <w:p w14:paraId="6DF76E67" w14:textId="77777777" w:rsidR="00A20C66" w:rsidRDefault="00B809A4" w:rsidP="00A20C66">
      <w:pPr>
        <w:ind w:left="426"/>
      </w:pPr>
      <w:r>
        <w:t>No</w:t>
      </w:r>
      <w:r w:rsidR="00242EE0">
        <w:t>. S</w:t>
      </w:r>
      <w:r w:rsidR="00A20C66">
        <w:t>uccessful applicant</w:t>
      </w:r>
      <w:r w:rsidR="00242EE0">
        <w:t>s</w:t>
      </w:r>
      <w:r w:rsidR="00A20C66">
        <w:t xml:space="preserve"> </w:t>
      </w:r>
      <w:r>
        <w:t xml:space="preserve">will report against an Activity Work Plan to </w:t>
      </w:r>
      <w:proofErr w:type="gramStart"/>
      <w:r>
        <w:t>be approved</w:t>
      </w:r>
      <w:proofErr w:type="gramEnd"/>
      <w:r>
        <w:t xml:space="preserve"> by the department</w:t>
      </w:r>
      <w:r w:rsidR="007F402A" w:rsidRPr="00ED4271">
        <w:t>.</w:t>
      </w:r>
      <w:r w:rsidR="007F402A">
        <w:t xml:space="preserve"> </w:t>
      </w:r>
    </w:p>
    <w:p w14:paraId="68DEDC0F" w14:textId="2EB5238B" w:rsidR="007E6029" w:rsidRPr="00CE5DBB" w:rsidRDefault="007E6029" w:rsidP="00661464">
      <w:pPr>
        <w:pStyle w:val="Heading2"/>
        <w:spacing w:before="480" w:after="0"/>
        <w:rPr>
          <w:rFonts w:eastAsia="Calibri"/>
          <w:sz w:val="28"/>
        </w:rPr>
      </w:pPr>
      <w:r w:rsidRPr="00CE5DBB">
        <w:rPr>
          <w:rFonts w:eastAsia="Calibri"/>
          <w:sz w:val="28"/>
        </w:rPr>
        <w:t xml:space="preserve">Funding </w:t>
      </w:r>
    </w:p>
    <w:p w14:paraId="63D0D4F2" w14:textId="12A78EC6" w:rsidR="007E6029" w:rsidRPr="0075086E" w:rsidRDefault="007E6029" w:rsidP="00337E26">
      <w:pPr>
        <w:pStyle w:val="Heading2"/>
        <w:numPr>
          <w:ilvl w:val="0"/>
          <w:numId w:val="34"/>
        </w:numPr>
      </w:pPr>
      <w:r w:rsidRPr="005E36ED">
        <w:t>Is the funding ongoing?</w:t>
      </w:r>
    </w:p>
    <w:p w14:paraId="513EBD7A" w14:textId="77777777" w:rsidR="007874AB" w:rsidRDefault="007874AB" w:rsidP="007874AB">
      <w:pPr>
        <w:ind w:left="426"/>
      </w:pPr>
      <w:r>
        <w:t>No. Funding is only available across the 2019–</w:t>
      </w:r>
      <w:r w:rsidRPr="002B06E7">
        <w:t xml:space="preserve">20 to </w:t>
      </w:r>
      <w:r>
        <w:t>2021–22 financial years.</w:t>
      </w:r>
    </w:p>
    <w:p w14:paraId="1B3E6384" w14:textId="77777777" w:rsidR="007E6029" w:rsidRPr="007F479F" w:rsidRDefault="007E6029" w:rsidP="00337E26">
      <w:pPr>
        <w:pStyle w:val="Heading2"/>
        <w:numPr>
          <w:ilvl w:val="0"/>
          <w:numId w:val="34"/>
        </w:numPr>
        <w:rPr>
          <w:rFonts w:eastAsia="Calibri"/>
        </w:rPr>
      </w:pPr>
      <w:r w:rsidRPr="007F479F">
        <w:rPr>
          <w:rFonts w:eastAsia="Calibri"/>
        </w:rPr>
        <w:t xml:space="preserve">How much funding is available? Can I apply for more than the amount of funding specified in the </w:t>
      </w:r>
      <w:r w:rsidRPr="007F479F">
        <w:t>Grant Opportunity Guidelines?</w:t>
      </w:r>
    </w:p>
    <w:p w14:paraId="223482AF" w14:textId="494BADCA" w:rsidR="007874AB" w:rsidRPr="007F479F" w:rsidRDefault="007874AB" w:rsidP="007874AB">
      <w:pPr>
        <w:ind w:left="426"/>
      </w:pPr>
      <w:r w:rsidRPr="007F479F">
        <w:t xml:space="preserve">Section 3.1 of the Grant Opportunity Guidelines outlines the total amount of funding that you may apply </w:t>
      </w:r>
      <w:proofErr w:type="gramStart"/>
      <w:r w:rsidRPr="007F479F">
        <w:t>for</w:t>
      </w:r>
      <w:proofErr w:type="gramEnd"/>
      <w:r w:rsidRPr="007F479F">
        <w:t>.</w:t>
      </w:r>
    </w:p>
    <w:p w14:paraId="437C91E6" w14:textId="64278C94" w:rsidR="007E6029" w:rsidRPr="007D4329" w:rsidRDefault="007E6029" w:rsidP="007874AB">
      <w:pPr>
        <w:ind w:left="426"/>
      </w:pPr>
      <w:r w:rsidRPr="007F479F">
        <w:t xml:space="preserve">You can apply for </w:t>
      </w:r>
      <w:r w:rsidRPr="007F479F">
        <w:rPr>
          <w:b/>
        </w:rPr>
        <w:t>no more than</w:t>
      </w:r>
      <w:r w:rsidRPr="007F479F">
        <w:t xml:space="preserve"> $550,000 </w:t>
      </w:r>
      <w:r w:rsidR="007874AB" w:rsidRPr="007F479F">
        <w:t xml:space="preserve">GST exclusive </w:t>
      </w:r>
      <w:r w:rsidRPr="007F479F">
        <w:t>in total over the three years of the grant period.</w:t>
      </w:r>
      <w:r w:rsidR="007874AB" w:rsidRPr="007F479F">
        <w:t xml:space="preserve"> The minimum total grant amount is $350,000 GST exclusive over three years.</w:t>
      </w:r>
    </w:p>
    <w:p w14:paraId="1799026C" w14:textId="77777777" w:rsidR="00536A7A" w:rsidRDefault="007E6029" w:rsidP="00337E26">
      <w:pPr>
        <w:pStyle w:val="Heading2"/>
        <w:numPr>
          <w:ilvl w:val="0"/>
          <w:numId w:val="34"/>
        </w:numPr>
      </w:pPr>
      <w:r>
        <w:t>Where is the funding coming from?</w:t>
      </w:r>
    </w:p>
    <w:p w14:paraId="0D986211" w14:textId="77777777" w:rsidR="004A68F9" w:rsidRDefault="004A68F9" w:rsidP="004A68F9">
      <w:pPr>
        <w:ind w:left="426"/>
      </w:pPr>
      <w:r w:rsidRPr="00700B1E">
        <w:t xml:space="preserve">On 5 March 2019, the Australian Government announced a $328 million package to reduce violence against women and children. This represents the Australian Government’s contribution to the Fourth Action Plan </w:t>
      </w:r>
      <w:r>
        <w:t>of the</w:t>
      </w:r>
      <w:r w:rsidRPr="00700B1E">
        <w:t xml:space="preserve"> </w:t>
      </w:r>
      <w:r w:rsidRPr="004A68F9">
        <w:rPr>
          <w:i/>
        </w:rPr>
        <w:t>National Plan to Reduce Violence against Women and their Children 2010-2022</w:t>
      </w:r>
      <w:r>
        <w:t>.</w:t>
      </w:r>
    </w:p>
    <w:p w14:paraId="29F6EEEF" w14:textId="770E681B" w:rsidR="004A68F9" w:rsidRDefault="004A68F9" w:rsidP="004A68F9">
      <w:pPr>
        <w:ind w:left="426"/>
      </w:pPr>
      <w:r>
        <w:t xml:space="preserve">Further information on this package </w:t>
      </w:r>
      <w:proofErr w:type="gramStart"/>
      <w:r>
        <w:t>can be found</w:t>
      </w:r>
      <w:proofErr w:type="gramEnd"/>
      <w:r>
        <w:t xml:space="preserve"> on the </w:t>
      </w:r>
      <w:hyperlink r:id="rId13" w:history="1">
        <w:r w:rsidRPr="00700B1E">
          <w:rPr>
            <w:rStyle w:val="Hyperlink"/>
          </w:rPr>
          <w:t>Department of Social Services</w:t>
        </w:r>
      </w:hyperlink>
      <w:r w:rsidR="000176F3">
        <w:t xml:space="preserve"> website</w:t>
      </w:r>
    </w:p>
    <w:p w14:paraId="1D92AB8C" w14:textId="77777777" w:rsidR="00DF5B91" w:rsidRDefault="00DF5B91" w:rsidP="00337E26">
      <w:pPr>
        <w:pStyle w:val="Heading2"/>
        <w:numPr>
          <w:ilvl w:val="0"/>
          <w:numId w:val="34"/>
        </w:numPr>
        <w:rPr>
          <w:rFonts w:eastAsia="Calibri"/>
        </w:rPr>
      </w:pPr>
      <w:proofErr w:type="gramStart"/>
      <w:r>
        <w:rPr>
          <w:rFonts w:eastAsia="Calibri"/>
        </w:rPr>
        <w:t>Will I be held</w:t>
      </w:r>
      <w:proofErr w:type="gramEnd"/>
      <w:r>
        <w:rPr>
          <w:rFonts w:eastAsia="Calibri"/>
        </w:rPr>
        <w:t xml:space="preserve"> to the draft </w:t>
      </w:r>
      <w:r w:rsidRPr="00337E26">
        <w:t>budget</w:t>
      </w:r>
      <w:r>
        <w:rPr>
          <w:rFonts w:eastAsia="Calibri"/>
        </w:rPr>
        <w:t>?</w:t>
      </w:r>
    </w:p>
    <w:p w14:paraId="1ECBCB3D" w14:textId="77777777" w:rsidR="00DF5B91" w:rsidRDefault="00DF5B91" w:rsidP="00DF5B91">
      <w:pPr>
        <w:pStyle w:val="BodyText"/>
        <w:ind w:left="426"/>
      </w:pPr>
      <w:r>
        <w:t>The purpose of the attachment</w:t>
      </w:r>
      <w:r w:rsidRPr="00373D2A">
        <w:t xml:space="preserve"> </w:t>
      </w:r>
      <w:r>
        <w:t xml:space="preserve">is for organisations to outline a </w:t>
      </w:r>
      <w:r w:rsidRPr="00EF7194">
        <w:t>draft</w:t>
      </w:r>
      <w:r>
        <w:t xml:space="preserve"> budget for the proposed project. </w:t>
      </w:r>
    </w:p>
    <w:p w14:paraId="14685BEE" w14:textId="3970B04A" w:rsidR="00DF5B91" w:rsidRPr="00700B1E" w:rsidRDefault="00DF5B91" w:rsidP="00DF5B91">
      <w:pPr>
        <w:pStyle w:val="BodyText"/>
        <w:ind w:left="426"/>
      </w:pPr>
      <w:r>
        <w:t>The department expects the final budget (to be agreed with the department) to generally reflect the budget your application proposed to deliver.</w:t>
      </w:r>
      <w:r w:rsidR="0093665A">
        <w:t xml:space="preserve"> The agreed budget should not be dramatically different from the draft in terms of cost.</w:t>
      </w:r>
    </w:p>
    <w:p w14:paraId="48534FE4" w14:textId="48FB39A2" w:rsidR="00A20C66" w:rsidRPr="002C1B10" w:rsidRDefault="00A20C66" w:rsidP="00337E26">
      <w:pPr>
        <w:pStyle w:val="Heading2"/>
        <w:numPr>
          <w:ilvl w:val="0"/>
          <w:numId w:val="34"/>
        </w:numPr>
      </w:pPr>
      <w:r w:rsidRPr="002C1B10">
        <w:t xml:space="preserve">What is the Social and Community Services (SACS) supplementation? </w:t>
      </w:r>
    </w:p>
    <w:p w14:paraId="3F2CBC03" w14:textId="77777777" w:rsidR="00A20C66" w:rsidRPr="00ED4271" w:rsidRDefault="00A20C66" w:rsidP="00A20C66">
      <w:pPr>
        <w:ind w:left="426"/>
      </w:pPr>
      <w:r w:rsidRPr="00ED4271">
        <w:t xml:space="preserve">On 1 February 2012, Fair Work Australia (now the Fair Work Commission) made a decision to increase wages for the social and community services sector from 1 December 2012. That decision affected workers employed under the Social, Community, Home Care and Disability Services Industry Award 2010. </w:t>
      </w:r>
    </w:p>
    <w:p w14:paraId="3235A54B" w14:textId="77777777" w:rsidR="00A20C66" w:rsidRPr="00ED4271" w:rsidRDefault="00A20C66" w:rsidP="00A20C66">
      <w:pPr>
        <w:ind w:left="426"/>
      </w:pPr>
      <w:r w:rsidRPr="00ED4271">
        <w:lastRenderedPageBreak/>
        <w:t xml:space="preserve">The Australian Government made a commitment to pay a supplement to organisations that deliver certain programs to enable those organisations to provide their workers with the increased pay. The commitment was to provide this supplementation through to 30 June 2021. </w:t>
      </w:r>
    </w:p>
    <w:p w14:paraId="4F12FECB" w14:textId="77777777" w:rsidR="00A20C66" w:rsidRPr="00ED4271" w:rsidRDefault="00A20C66" w:rsidP="00A20C66">
      <w:pPr>
        <w:ind w:firstLine="426"/>
        <w:rPr>
          <w:rFonts w:cstheme="minorHAnsi"/>
          <w:lang w:val="en-US"/>
        </w:rPr>
      </w:pPr>
      <w:r w:rsidRPr="00ED4271">
        <w:rPr>
          <w:rFonts w:cstheme="minorHAnsi"/>
        </w:rPr>
        <w:t xml:space="preserve">Further information is available on the </w:t>
      </w:r>
      <w:hyperlink r:id="rId14" w:tooltip="fair pay for social and community services workers" w:history="1">
        <w:r w:rsidRPr="00ED4271">
          <w:rPr>
            <w:rStyle w:val="Hyperlink"/>
            <w:rFonts w:cstheme="minorHAnsi"/>
          </w:rPr>
          <w:t>Department of Social Services</w:t>
        </w:r>
      </w:hyperlink>
      <w:r w:rsidRPr="00ED4271">
        <w:rPr>
          <w:rFonts w:cstheme="minorHAnsi"/>
        </w:rPr>
        <w:t xml:space="preserve"> </w:t>
      </w:r>
      <w:r w:rsidRPr="00ED4271">
        <w:rPr>
          <w:rFonts w:cstheme="minorHAnsi"/>
          <w:lang w:val="en-US"/>
        </w:rPr>
        <w:t>website.</w:t>
      </w:r>
    </w:p>
    <w:p w14:paraId="26C595B4" w14:textId="77777777" w:rsidR="00A20C66" w:rsidRPr="00ED4271" w:rsidRDefault="00A20C66" w:rsidP="00337E26">
      <w:pPr>
        <w:pStyle w:val="Heading2"/>
        <w:numPr>
          <w:ilvl w:val="0"/>
          <w:numId w:val="34"/>
        </w:numPr>
        <w:rPr>
          <w:rFonts w:eastAsia="Calibri"/>
        </w:rPr>
      </w:pPr>
      <w:r w:rsidRPr="00ED4271">
        <w:rPr>
          <w:rFonts w:eastAsia="Calibri"/>
        </w:rPr>
        <w:t xml:space="preserve">Will our </w:t>
      </w:r>
      <w:r w:rsidRPr="00337E26">
        <w:t>organisation</w:t>
      </w:r>
      <w:r w:rsidRPr="00ED4271">
        <w:rPr>
          <w:rFonts w:eastAsia="Calibri"/>
        </w:rPr>
        <w:t xml:space="preserve"> be eligible to receive the SACS supplementation?</w:t>
      </w:r>
    </w:p>
    <w:p w14:paraId="050CD9B5" w14:textId="090437D1" w:rsidR="00A20C66" w:rsidRDefault="00B809A4" w:rsidP="00A20C66">
      <w:pPr>
        <w:ind w:left="426"/>
      </w:pPr>
      <w:r>
        <w:t xml:space="preserve">No. </w:t>
      </w:r>
      <w:r w:rsidR="001536A5" w:rsidRPr="001536A5">
        <w:t xml:space="preserve">SACS supplementation </w:t>
      </w:r>
      <w:r w:rsidR="001536A5">
        <w:t>does</w:t>
      </w:r>
      <w:r w:rsidR="001536A5" w:rsidRPr="001536A5">
        <w:t xml:space="preserve"> not extend to new programs that d</w:t>
      </w:r>
      <w:r w:rsidR="00B2616B">
        <w:t>id not exist in February </w:t>
      </w:r>
      <w:r w:rsidR="0076383B">
        <w:t xml:space="preserve">2012. </w:t>
      </w:r>
      <w:r w:rsidR="001536A5" w:rsidRPr="001536A5">
        <w:t xml:space="preserve">As new policy proposals and programs are developed, SACS wage costs (at the relevant award rate) </w:t>
      </w:r>
      <w:r w:rsidR="001536A5">
        <w:t>need to</w:t>
      </w:r>
      <w:r w:rsidR="001536A5" w:rsidRPr="001536A5">
        <w:t xml:space="preserve"> </w:t>
      </w:r>
      <w:proofErr w:type="gramStart"/>
      <w:r w:rsidR="001536A5" w:rsidRPr="001536A5">
        <w:t>be factored</w:t>
      </w:r>
      <w:proofErr w:type="gramEnd"/>
      <w:r w:rsidR="001536A5" w:rsidRPr="001536A5">
        <w:t xml:space="preserve"> into the baseline program funding.</w:t>
      </w:r>
    </w:p>
    <w:p w14:paraId="43AB886A" w14:textId="77777777" w:rsidR="007E6029" w:rsidRPr="00A20C66" w:rsidRDefault="007E6029" w:rsidP="00337E26">
      <w:pPr>
        <w:pStyle w:val="Heading2"/>
        <w:numPr>
          <w:ilvl w:val="0"/>
          <w:numId w:val="34"/>
        </w:numPr>
        <w:rPr>
          <w:rFonts w:eastAsia="Calibri"/>
        </w:rPr>
      </w:pPr>
      <w:r>
        <w:rPr>
          <w:rFonts w:eastAsia="Calibri"/>
        </w:rPr>
        <w:t>I</w:t>
      </w:r>
      <w:r w:rsidRPr="00A20C66">
        <w:rPr>
          <w:rFonts w:eastAsia="Calibri"/>
        </w:rPr>
        <w:t xml:space="preserve">f my </w:t>
      </w:r>
      <w:r w:rsidRPr="00337E26">
        <w:t>organisation</w:t>
      </w:r>
      <w:r w:rsidRPr="00A20C66">
        <w:rPr>
          <w:rFonts w:eastAsia="Calibri"/>
        </w:rPr>
        <w:t xml:space="preserve"> is successful, when can we expect payments?</w:t>
      </w:r>
    </w:p>
    <w:p w14:paraId="269D1F41" w14:textId="1526A487" w:rsidR="007E6029" w:rsidRDefault="007E6029" w:rsidP="007E6029">
      <w:pPr>
        <w:ind w:left="426"/>
      </w:pPr>
      <w:r>
        <w:t xml:space="preserve">Successful organisations </w:t>
      </w:r>
      <w:proofErr w:type="gramStart"/>
      <w:r w:rsidRPr="00E6314D">
        <w:t xml:space="preserve">will be </w:t>
      </w:r>
      <w:r>
        <w:t>contacted</w:t>
      </w:r>
      <w:proofErr w:type="gramEnd"/>
      <w:r>
        <w:t xml:space="preserve"> to enter negotiations and to execute a grant agreement with the Department of Social Services.</w:t>
      </w:r>
      <w:r w:rsidRPr="00E6314D">
        <w:t xml:space="preserve"> </w:t>
      </w:r>
      <w:r w:rsidR="00B2616B">
        <w:t>Payment</w:t>
      </w:r>
      <w:r w:rsidRPr="00E6314D">
        <w:t xml:space="preserve"> will be made available once the</w:t>
      </w:r>
      <w:r>
        <w:t xml:space="preserve"> grant agreement has been executed, and as per the payment schedule in the grant agreement.</w:t>
      </w:r>
    </w:p>
    <w:p w14:paraId="6866AEFF" w14:textId="0525E2A6" w:rsidR="00B2616B" w:rsidRDefault="00B2616B" w:rsidP="007E6029">
      <w:pPr>
        <w:ind w:left="426"/>
      </w:pPr>
      <w:r>
        <w:t>We expect that grant agreements will be in place for activities to commence in February 2020.</w:t>
      </w:r>
    </w:p>
    <w:p w14:paraId="5C05668E" w14:textId="31678F9D" w:rsidR="008E7D6B" w:rsidRPr="00CC08AD" w:rsidRDefault="008E7D6B" w:rsidP="008E7D6B">
      <w:pPr>
        <w:ind w:left="426"/>
        <w:rPr>
          <w:rFonts w:eastAsia="Calibri" w:cs="Arial"/>
          <w:sz w:val="24"/>
          <w:szCs w:val="24"/>
        </w:rPr>
      </w:pPr>
      <w:r w:rsidRPr="00CC08AD">
        <w:rPr>
          <w:rFonts w:eastAsia="Calibri" w:cs="Arial"/>
          <w:b/>
          <w:sz w:val="24"/>
          <w:szCs w:val="24"/>
          <w:u w:val="single"/>
        </w:rPr>
        <w:t xml:space="preserve">Question </w:t>
      </w:r>
      <w:r w:rsidR="00337E26">
        <w:rPr>
          <w:rFonts w:eastAsia="Calibri" w:cs="Arial"/>
          <w:b/>
          <w:sz w:val="24"/>
          <w:szCs w:val="24"/>
          <w:u w:val="single"/>
        </w:rPr>
        <w:t>8</w:t>
      </w:r>
      <w:r w:rsidRPr="00CC08AD">
        <w:rPr>
          <w:rFonts w:eastAsia="Calibri" w:cs="Arial"/>
          <w:b/>
          <w:sz w:val="24"/>
          <w:szCs w:val="24"/>
          <w:u w:val="single"/>
        </w:rPr>
        <w:t xml:space="preserve"> </w:t>
      </w:r>
      <w:r w:rsidR="004137DC">
        <w:rPr>
          <w:rFonts w:eastAsia="Calibri" w:cs="Arial"/>
          <w:b/>
          <w:sz w:val="24"/>
          <w:szCs w:val="24"/>
          <w:u w:val="single"/>
        </w:rPr>
        <w:t>added</w:t>
      </w:r>
      <w:r w:rsidRPr="00CC08AD">
        <w:rPr>
          <w:rFonts w:eastAsia="Calibri" w:cs="Arial"/>
          <w:b/>
          <w:sz w:val="24"/>
          <w:szCs w:val="24"/>
          <w:u w:val="single"/>
        </w:rPr>
        <w:t xml:space="preserve"> 28 August 2019</w:t>
      </w:r>
    </w:p>
    <w:p w14:paraId="1C8B2876" w14:textId="26922D5B" w:rsidR="008E7D6B" w:rsidRPr="008E7D6B" w:rsidRDefault="008E7D6B" w:rsidP="00337E26">
      <w:pPr>
        <w:pStyle w:val="Heading2"/>
        <w:numPr>
          <w:ilvl w:val="0"/>
          <w:numId w:val="34"/>
        </w:numPr>
        <w:rPr>
          <w:rFonts w:eastAsia="Calibri"/>
          <w:b w:val="0"/>
          <w:bCs w:val="0"/>
        </w:rPr>
      </w:pPr>
      <w:r w:rsidRPr="008E7D6B">
        <w:rPr>
          <w:rFonts w:eastAsia="Calibri"/>
        </w:rPr>
        <w:t xml:space="preserve">Are salaries </w:t>
      </w:r>
      <w:r w:rsidRPr="00337E26">
        <w:t>or</w:t>
      </w:r>
      <w:r w:rsidRPr="008E7D6B">
        <w:rPr>
          <w:rFonts w:eastAsia="Calibri"/>
        </w:rPr>
        <w:t xml:space="preserve"> wages directly associated with the delivery of the grant an eligible expenditure item for Community-led Projects to Prevent Violence against Women and their Children?</w:t>
      </w:r>
    </w:p>
    <w:p w14:paraId="3C61A3C5" w14:textId="5ACE249F" w:rsidR="008E7D6B" w:rsidRDefault="008E7D6B" w:rsidP="00516FE8">
      <w:pPr>
        <w:spacing w:before="240"/>
        <w:ind w:left="360"/>
        <w:rPr>
          <w:lang w:eastAsia="en-AU"/>
        </w:rPr>
      </w:pPr>
      <w:r>
        <w:rPr>
          <w:lang w:eastAsia="en-AU"/>
        </w:rPr>
        <w:t xml:space="preserve">Yes, salaries or wages are an eligible expenditure item, provided they </w:t>
      </w:r>
      <w:proofErr w:type="gramStart"/>
      <w:r>
        <w:rPr>
          <w:lang w:eastAsia="en-AU"/>
        </w:rPr>
        <w:t>are solely attributed</w:t>
      </w:r>
      <w:proofErr w:type="gramEnd"/>
      <w:r>
        <w:rPr>
          <w:lang w:eastAsia="en-AU"/>
        </w:rPr>
        <w:t xml:space="preserve"> to the delivery of the grant.</w:t>
      </w:r>
    </w:p>
    <w:p w14:paraId="3F09353E" w14:textId="11932EB2" w:rsidR="00516FE8" w:rsidRPr="00CC08AD" w:rsidRDefault="00516FE8" w:rsidP="00516FE8">
      <w:pPr>
        <w:ind w:left="426"/>
        <w:rPr>
          <w:rFonts w:eastAsia="Calibri" w:cs="Arial"/>
          <w:sz w:val="24"/>
          <w:szCs w:val="24"/>
        </w:rPr>
      </w:pPr>
      <w:r w:rsidRPr="00CC08AD">
        <w:rPr>
          <w:rFonts w:eastAsia="Calibri" w:cs="Arial"/>
          <w:b/>
          <w:sz w:val="24"/>
          <w:szCs w:val="24"/>
          <w:u w:val="single"/>
        </w:rPr>
        <w:t>Question</w:t>
      </w:r>
      <w:r w:rsidR="00410995">
        <w:rPr>
          <w:rFonts w:eastAsia="Calibri" w:cs="Arial"/>
          <w:b/>
          <w:sz w:val="24"/>
          <w:szCs w:val="24"/>
          <w:u w:val="single"/>
        </w:rPr>
        <w:t xml:space="preserve"> 9 </w:t>
      </w:r>
      <w:r>
        <w:rPr>
          <w:rFonts w:eastAsia="Calibri" w:cs="Arial"/>
          <w:b/>
          <w:sz w:val="24"/>
          <w:szCs w:val="24"/>
          <w:u w:val="single"/>
        </w:rPr>
        <w:t xml:space="preserve">added </w:t>
      </w:r>
      <w:r w:rsidRPr="00CC08AD">
        <w:rPr>
          <w:rFonts w:eastAsia="Calibri" w:cs="Arial"/>
          <w:b/>
          <w:sz w:val="24"/>
          <w:szCs w:val="24"/>
          <w:u w:val="single"/>
        </w:rPr>
        <w:t>2</w:t>
      </w:r>
      <w:r>
        <w:rPr>
          <w:rFonts w:eastAsia="Calibri" w:cs="Arial"/>
          <w:b/>
          <w:sz w:val="24"/>
          <w:szCs w:val="24"/>
          <w:u w:val="single"/>
        </w:rPr>
        <w:t>7 September</w:t>
      </w:r>
      <w:r w:rsidRPr="00CC08AD">
        <w:rPr>
          <w:rFonts w:eastAsia="Calibri" w:cs="Arial"/>
          <w:b/>
          <w:sz w:val="24"/>
          <w:szCs w:val="24"/>
          <w:u w:val="single"/>
        </w:rPr>
        <w:t xml:space="preserve"> 2019</w:t>
      </w:r>
    </w:p>
    <w:p w14:paraId="5F4C649D" w14:textId="5AADFA1C" w:rsidR="00516FE8" w:rsidRDefault="00516FE8" w:rsidP="00516FE8">
      <w:pPr>
        <w:pStyle w:val="Heading2"/>
        <w:numPr>
          <w:ilvl w:val="0"/>
          <w:numId w:val="34"/>
        </w:numPr>
        <w:rPr>
          <w:rFonts w:eastAsia="Calibri"/>
        </w:rPr>
      </w:pPr>
      <w:r w:rsidRPr="00084A50">
        <w:rPr>
          <w:rFonts w:eastAsia="Calibri"/>
        </w:rPr>
        <w:t xml:space="preserve">Can you please clarify Section 5.4 of the Grant </w:t>
      </w:r>
      <w:r>
        <w:rPr>
          <w:rFonts w:eastAsia="Calibri"/>
        </w:rPr>
        <w:t>Opportunity G</w:t>
      </w:r>
      <w:r w:rsidRPr="00084A50">
        <w:rPr>
          <w:rFonts w:eastAsia="Calibri"/>
        </w:rPr>
        <w:t>uidelines where it states that the funds cannot be used for Early Intervention, however in Criterion 4, it asks the applicant to "explain how your project will promote gender equality and prevent violence before it occurs within your target group or community”</w:t>
      </w:r>
      <w:proofErr w:type="gramStart"/>
      <w:r w:rsidRPr="00084A50">
        <w:rPr>
          <w:rFonts w:eastAsia="Calibri"/>
        </w:rPr>
        <w:t>.</w:t>
      </w:r>
      <w:proofErr w:type="gramEnd"/>
    </w:p>
    <w:p w14:paraId="10BCB3C1" w14:textId="77777777" w:rsidR="00516FE8" w:rsidRDefault="00516FE8" w:rsidP="00516FE8">
      <w:pPr>
        <w:ind w:left="360"/>
        <w:rPr>
          <w:lang w:eastAsia="en-AU"/>
        </w:rPr>
      </w:pPr>
      <w:r w:rsidRPr="00084A50">
        <w:rPr>
          <w:lang w:eastAsia="en-AU"/>
        </w:rPr>
        <w:t>Only primary prevention activities are eligible for funding under this grant opportunity. We are seeking projects designed to stop violence before it starts by addressing the structural and gendered factors that drive and reinforce violence against women.</w:t>
      </w:r>
    </w:p>
    <w:p w14:paraId="3248A8FD" w14:textId="77777777" w:rsidR="00516FE8" w:rsidRDefault="00516FE8" w:rsidP="00516FE8">
      <w:pPr>
        <w:ind w:left="360"/>
        <w:rPr>
          <w:lang w:eastAsia="en-AU"/>
        </w:rPr>
      </w:pPr>
      <w:r w:rsidRPr="00084A50">
        <w:rPr>
          <w:lang w:eastAsia="en-AU"/>
        </w:rPr>
        <w:t>Section 5.1 of the Grant Opportunity Guidelines provides a sample list of prevention activities the department would consider but applicants are welcome to propose other primary prevention activities.</w:t>
      </w:r>
    </w:p>
    <w:p w14:paraId="2887BC64" w14:textId="77777777" w:rsidR="00516FE8" w:rsidRPr="00084A50" w:rsidRDefault="00516FE8" w:rsidP="00516FE8">
      <w:pPr>
        <w:ind w:left="360"/>
        <w:rPr>
          <w:lang w:eastAsia="en-AU"/>
        </w:rPr>
      </w:pPr>
      <w:r w:rsidRPr="00084A50">
        <w:rPr>
          <w:lang w:eastAsia="en-AU"/>
        </w:rPr>
        <w:lastRenderedPageBreak/>
        <w:t>Preventing violence before it happens is a key priority of the Fourth Action Plan of the National Plan to Reduce Violence against Women and their Children 2010-2022. Please see page 19 of the Fourth Action Plan for an outline of the distinction between primary prevention and other work to address violence against women and their children.</w:t>
      </w:r>
    </w:p>
    <w:p w14:paraId="799B9C6C" w14:textId="77777777" w:rsidR="00516FE8" w:rsidRDefault="00516FE8" w:rsidP="008E7D6B">
      <w:pPr>
        <w:pStyle w:val="ListParagraph"/>
        <w:spacing w:before="240"/>
        <w:ind w:left="357"/>
        <w:rPr>
          <w:rFonts w:asciiTheme="majorHAnsi" w:eastAsia="Calibri" w:hAnsiTheme="majorHAnsi" w:cstheme="majorBidi"/>
          <w:b/>
          <w:bCs/>
          <w:color w:val="000000" w:themeColor="text1"/>
          <w:sz w:val="24"/>
          <w:szCs w:val="26"/>
        </w:rPr>
      </w:pPr>
    </w:p>
    <w:p w14:paraId="519C62EE" w14:textId="525095B6" w:rsidR="00F82A44" w:rsidRPr="00CE5DBB" w:rsidRDefault="00410995" w:rsidP="00661464">
      <w:pPr>
        <w:pStyle w:val="Heading2"/>
        <w:spacing w:before="480" w:after="0"/>
        <w:rPr>
          <w:rFonts w:eastAsia="Calibri"/>
          <w:sz w:val="28"/>
        </w:rPr>
      </w:pPr>
      <w:r>
        <w:rPr>
          <w:rFonts w:eastAsia="Calibri"/>
          <w:sz w:val="28"/>
        </w:rPr>
        <w:t>Application p</w:t>
      </w:r>
      <w:r w:rsidR="00F82A44" w:rsidRPr="00CE5DBB">
        <w:rPr>
          <w:rFonts w:eastAsia="Calibri"/>
          <w:sz w:val="28"/>
        </w:rPr>
        <w:t>rocess</w:t>
      </w:r>
    </w:p>
    <w:p w14:paraId="778C33E0" w14:textId="598A965B" w:rsidR="00F82A44" w:rsidRPr="00660F7F" w:rsidRDefault="00F82A44" w:rsidP="00410995">
      <w:pPr>
        <w:pStyle w:val="Heading2"/>
        <w:numPr>
          <w:ilvl w:val="0"/>
          <w:numId w:val="36"/>
        </w:numPr>
        <w:rPr>
          <w:rFonts w:eastAsia="Calibri"/>
        </w:rPr>
      </w:pPr>
      <w:r>
        <w:rPr>
          <w:rFonts w:eastAsia="Calibri"/>
        </w:rPr>
        <w:t>What is the closing time and date for applications</w:t>
      </w:r>
      <w:r w:rsidRPr="00660F7F">
        <w:rPr>
          <w:rFonts w:eastAsia="Calibri"/>
        </w:rPr>
        <w:t>?</w:t>
      </w:r>
    </w:p>
    <w:p w14:paraId="58AF1C66" w14:textId="1B6E090B" w:rsidR="00F82A44" w:rsidRPr="00A2270B" w:rsidRDefault="00F82A44" w:rsidP="00F82A44">
      <w:pPr>
        <w:ind w:left="426"/>
        <w:rPr>
          <w:b/>
          <w:lang w:val="en" w:eastAsia="en-AU"/>
        </w:rPr>
      </w:pPr>
      <w:r w:rsidRPr="00B27B8C">
        <w:rPr>
          <w:lang w:val="en" w:eastAsia="en-AU"/>
        </w:rPr>
        <w:t xml:space="preserve">Applications must be submitted by </w:t>
      </w:r>
      <w:r w:rsidRPr="00B27B8C">
        <w:rPr>
          <w:b/>
          <w:lang w:val="en" w:eastAsia="en-AU"/>
        </w:rPr>
        <w:t>11:00pm</w:t>
      </w:r>
      <w:r w:rsidRPr="00B27B8C">
        <w:rPr>
          <w:b/>
          <w:color w:val="FF0000"/>
          <w:lang w:val="en" w:eastAsia="en-AU"/>
        </w:rPr>
        <w:t xml:space="preserve"> </w:t>
      </w:r>
      <w:r w:rsidR="00124EDE">
        <w:rPr>
          <w:b/>
          <w:lang w:val="en" w:eastAsia="en-AU"/>
        </w:rPr>
        <w:t>AED</w:t>
      </w:r>
      <w:r w:rsidR="000176F3">
        <w:rPr>
          <w:b/>
          <w:lang w:val="en" w:eastAsia="en-AU"/>
        </w:rPr>
        <w:t>T</w:t>
      </w:r>
      <w:r w:rsidRPr="00B27B8C">
        <w:rPr>
          <w:b/>
          <w:lang w:val="en" w:eastAsia="en-AU"/>
        </w:rPr>
        <w:t xml:space="preserve"> on </w:t>
      </w:r>
      <w:r w:rsidR="00124EDE">
        <w:rPr>
          <w:b/>
          <w:lang w:val="en" w:eastAsia="en-AU"/>
        </w:rPr>
        <w:t>9 October</w:t>
      </w:r>
      <w:r w:rsidRPr="00B27B8C">
        <w:rPr>
          <w:b/>
          <w:lang w:val="en" w:eastAsia="en-AU"/>
        </w:rPr>
        <w:t xml:space="preserve"> 2019</w:t>
      </w:r>
      <w:r w:rsidRPr="00B27B8C">
        <w:rPr>
          <w:lang w:val="en" w:eastAsia="en-AU"/>
        </w:rPr>
        <w:t xml:space="preserve">. It </w:t>
      </w:r>
      <w:proofErr w:type="gramStart"/>
      <w:r w:rsidRPr="00B27B8C">
        <w:rPr>
          <w:lang w:val="en" w:eastAsia="en-AU"/>
        </w:rPr>
        <w:t>is recommended</w:t>
      </w:r>
      <w:proofErr w:type="gramEnd"/>
      <w:r w:rsidRPr="00B27B8C">
        <w:rPr>
          <w:lang w:val="en" w:eastAsia="en-AU"/>
        </w:rPr>
        <w:t xml:space="preserve"> that you submit your application </w:t>
      </w:r>
      <w:r w:rsidRPr="00B27B8C">
        <w:rPr>
          <w:b/>
          <w:lang w:val="en" w:eastAsia="en-AU"/>
        </w:rPr>
        <w:t>well before the closing time and date</w:t>
      </w:r>
      <w:r w:rsidRPr="00B27B8C">
        <w:rPr>
          <w:lang w:val="en" w:eastAsia="en-AU"/>
        </w:rPr>
        <w:t>.</w:t>
      </w:r>
    </w:p>
    <w:p w14:paraId="50E150FE" w14:textId="77777777" w:rsidR="00F82A44" w:rsidRPr="00496141" w:rsidRDefault="00F82A44" w:rsidP="00410995">
      <w:pPr>
        <w:pStyle w:val="Heading2"/>
        <w:numPr>
          <w:ilvl w:val="0"/>
          <w:numId w:val="36"/>
        </w:numPr>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1AEEB104" w14:textId="77777777" w:rsidR="004A68F9" w:rsidRPr="009F5D47" w:rsidRDefault="004A68F9" w:rsidP="004A68F9">
      <w:pPr>
        <w:ind w:left="426"/>
      </w:pPr>
      <w:r w:rsidRPr="004A68F9">
        <w:rPr>
          <w:lang w:val="en" w:eastAsia="en-AU"/>
        </w:rPr>
        <w:t>Extensions</w:t>
      </w:r>
      <w:r w:rsidRPr="009F5D47">
        <w:t xml:space="preserve"> </w:t>
      </w:r>
      <w:proofErr w:type="gramStart"/>
      <w:r w:rsidRPr="009F5D47">
        <w:t>can only be given</w:t>
      </w:r>
      <w:proofErr w:type="gramEnd"/>
      <w:r w:rsidRPr="009F5D47">
        <w:t xml:space="preserve"> due to exceptional circumstances per Section 7.3 of the Grant Opportunity Guidelines. </w:t>
      </w:r>
    </w:p>
    <w:p w14:paraId="52099489" w14:textId="77777777" w:rsidR="004A68F9" w:rsidRPr="009F5D47" w:rsidRDefault="004A68F9" w:rsidP="004A68F9">
      <w:pPr>
        <w:ind w:left="426"/>
      </w:pPr>
      <w:r w:rsidRPr="009F5D47">
        <w:t xml:space="preserve">Written </w:t>
      </w:r>
      <w:r w:rsidRPr="004A68F9">
        <w:rPr>
          <w:lang w:val="en" w:eastAsia="en-AU"/>
        </w:rPr>
        <w:t>requests</w:t>
      </w:r>
      <w:r w:rsidRPr="009F5D47">
        <w:t xml:space="preserve"> to lodge a late application </w:t>
      </w:r>
      <w:proofErr w:type="gramStart"/>
      <w:r w:rsidRPr="009F5D47">
        <w:t>will only be accepted</w:t>
      </w:r>
      <w:proofErr w:type="gramEnd"/>
      <w:r w:rsidRPr="009F5D47">
        <w:t xml:space="preserve"> within three days after the grant opportunity has closed. </w:t>
      </w:r>
    </w:p>
    <w:p w14:paraId="54941A71" w14:textId="77777777" w:rsidR="004A68F9" w:rsidRPr="006375BB" w:rsidRDefault="004A68F9" w:rsidP="004A68F9">
      <w:pPr>
        <w:ind w:left="426"/>
        <w:rPr>
          <w:lang w:eastAsia="en-AU"/>
        </w:rPr>
      </w:pPr>
      <w:r w:rsidRPr="009F5D47">
        <w:rPr>
          <w:lang w:eastAsia="en-AU"/>
        </w:rPr>
        <w:t xml:space="preserve">The Delegate or their appointed representative will determine whether a late application </w:t>
      </w:r>
      <w:proofErr w:type="gramStart"/>
      <w:r w:rsidRPr="009F5D47">
        <w:rPr>
          <w:lang w:eastAsia="en-AU"/>
        </w:rPr>
        <w:t xml:space="preserve">will be </w:t>
      </w:r>
      <w:r w:rsidRPr="004A68F9">
        <w:rPr>
          <w:lang w:val="en" w:eastAsia="en-AU"/>
        </w:rPr>
        <w:t>accepted</w:t>
      </w:r>
      <w:proofErr w:type="gramEnd"/>
      <w:r w:rsidRPr="009F5D47">
        <w:rPr>
          <w:lang w:eastAsia="en-AU"/>
        </w:rPr>
        <w:t>. The decision of the delegate will be final and not be subject to a review or appeals process.</w:t>
      </w:r>
    </w:p>
    <w:p w14:paraId="1655DD8C" w14:textId="77777777" w:rsidR="001F35FE" w:rsidRDefault="001F35FE" w:rsidP="00410995">
      <w:pPr>
        <w:pStyle w:val="Heading2"/>
        <w:numPr>
          <w:ilvl w:val="0"/>
          <w:numId w:val="36"/>
        </w:numPr>
      </w:pPr>
      <w:r>
        <w:t xml:space="preserve">How many </w:t>
      </w:r>
      <w:r w:rsidRPr="00337E26">
        <w:rPr>
          <w:rFonts w:eastAsia="Calibri"/>
        </w:rPr>
        <w:t>applications</w:t>
      </w:r>
      <w:r>
        <w:t xml:space="preserve"> can I submit?</w:t>
      </w:r>
    </w:p>
    <w:p w14:paraId="7720F409" w14:textId="14715E31" w:rsidR="001F35FE" w:rsidRDefault="001F35FE" w:rsidP="001F35FE">
      <w:pPr>
        <w:pStyle w:val="BodyText"/>
        <w:ind w:left="426"/>
      </w:pPr>
      <w:r>
        <w:t>Your organisation can only submit one application.</w:t>
      </w:r>
      <w:r w:rsidRPr="004D3EBE">
        <w:t xml:space="preserve"> </w:t>
      </w:r>
    </w:p>
    <w:p w14:paraId="51FDE647" w14:textId="77777777" w:rsidR="00F82A44" w:rsidRPr="00ED4271" w:rsidRDefault="00F82A44" w:rsidP="00410995">
      <w:pPr>
        <w:pStyle w:val="Heading2"/>
        <w:numPr>
          <w:ilvl w:val="0"/>
          <w:numId w:val="36"/>
        </w:numPr>
        <w:rPr>
          <w:rFonts w:eastAsia="Calibri"/>
        </w:rPr>
      </w:pPr>
      <w:r w:rsidRPr="00ED4271">
        <w:rPr>
          <w:rFonts w:eastAsia="Calibri"/>
        </w:rPr>
        <w:t xml:space="preserve">Do word limits apply to my application? </w:t>
      </w:r>
    </w:p>
    <w:p w14:paraId="14782124" w14:textId="2B3FA2CE" w:rsidR="00F82A44" w:rsidRPr="003301CD" w:rsidRDefault="00F82A44" w:rsidP="00F82A44">
      <w:pPr>
        <w:ind w:left="426"/>
        <w:rPr>
          <w:lang w:eastAsia="en-AU"/>
        </w:rPr>
      </w:pPr>
      <w:r w:rsidRPr="00A26E1A">
        <w:rPr>
          <w:lang w:eastAsia="en-AU"/>
        </w:rPr>
        <w:t xml:space="preserve">Yes, there is a total word limit of </w:t>
      </w:r>
      <w:r w:rsidR="00FA1E97">
        <w:rPr>
          <w:lang w:eastAsia="en-AU"/>
        </w:rPr>
        <w:t xml:space="preserve">approximately </w:t>
      </w:r>
      <w:r w:rsidR="00A26E1A" w:rsidRPr="00A26E1A">
        <w:rPr>
          <w:lang w:eastAsia="en-AU"/>
        </w:rPr>
        <w:t>525 words (3,5</w:t>
      </w:r>
      <w:r w:rsidRPr="00A26E1A">
        <w:rPr>
          <w:lang w:eastAsia="en-AU"/>
        </w:rPr>
        <w:t>00 characters) for addressing each selection criterion.</w:t>
      </w:r>
      <w:r>
        <w:rPr>
          <w:lang w:eastAsia="en-AU"/>
        </w:rPr>
        <w:t xml:space="preserve"> </w:t>
      </w:r>
    </w:p>
    <w:p w14:paraId="66AFEFF5" w14:textId="77777777" w:rsidR="00F82A44" w:rsidRPr="00496141" w:rsidRDefault="00F82A44" w:rsidP="00410995">
      <w:pPr>
        <w:pStyle w:val="Heading2"/>
        <w:numPr>
          <w:ilvl w:val="0"/>
          <w:numId w:val="36"/>
        </w:numPr>
        <w:rPr>
          <w:rFonts w:eastAsia="Calibri"/>
        </w:rPr>
      </w:pPr>
      <w:r w:rsidRPr="00496141">
        <w:rPr>
          <w:rFonts w:eastAsia="Calibri"/>
        </w:rPr>
        <w:t xml:space="preserve">When will </w:t>
      </w:r>
      <w:r>
        <w:rPr>
          <w:rFonts w:eastAsia="Calibri"/>
        </w:rPr>
        <w:t>my organisation</w:t>
      </w:r>
      <w:r w:rsidRPr="00496141">
        <w:rPr>
          <w:rFonts w:eastAsia="Calibri"/>
        </w:rPr>
        <w:t xml:space="preserve"> know the outcome of my application?</w:t>
      </w:r>
    </w:p>
    <w:p w14:paraId="06956EDD" w14:textId="77777777" w:rsidR="00F82A44" w:rsidRDefault="00F82A44" w:rsidP="00F82A44">
      <w:pPr>
        <w:ind w:left="426"/>
        <w:rPr>
          <w:lang w:eastAsia="en-AU"/>
        </w:rPr>
      </w:pPr>
      <w:r w:rsidRPr="00496141">
        <w:rPr>
          <w:lang w:eastAsia="en-AU"/>
        </w:rPr>
        <w:t xml:space="preserve">You </w:t>
      </w:r>
      <w:proofErr w:type="gramStart"/>
      <w:r w:rsidRPr="00496141">
        <w:rPr>
          <w:lang w:eastAsia="en-AU"/>
        </w:rPr>
        <w:t>will be notified</w:t>
      </w:r>
      <w:proofErr w:type="gramEnd"/>
      <w:r w:rsidRPr="00496141">
        <w:rPr>
          <w:lang w:eastAsia="en-AU"/>
        </w:rPr>
        <w:t xml:space="preserve"> of the outcome of your application at the end of the selection process. </w:t>
      </w:r>
      <w:r>
        <w:rPr>
          <w:lang w:eastAsia="en-AU"/>
        </w:rPr>
        <w:t xml:space="preserve">This </w:t>
      </w:r>
      <w:proofErr w:type="gramStart"/>
      <w:r>
        <w:rPr>
          <w:lang w:eastAsia="en-AU"/>
        </w:rPr>
        <w:t>is expected</w:t>
      </w:r>
      <w:proofErr w:type="gramEnd"/>
      <w:r>
        <w:rPr>
          <w:lang w:eastAsia="en-AU"/>
        </w:rPr>
        <w:t xml:space="preserve"> to be in December </w:t>
      </w:r>
      <w:r w:rsidRPr="001E5861">
        <w:rPr>
          <w:lang w:eastAsia="en-AU"/>
        </w:rPr>
        <w:t>2019.</w:t>
      </w:r>
      <w:r w:rsidRPr="00496141">
        <w:rPr>
          <w:lang w:eastAsia="en-AU"/>
        </w:rPr>
        <w:t xml:space="preserve"> For probity reasons,</w:t>
      </w:r>
      <w:r>
        <w:rPr>
          <w:lang w:eastAsia="en-AU"/>
        </w:rPr>
        <w:t xml:space="preserve"> </w:t>
      </w:r>
      <w:r w:rsidRPr="00496141">
        <w:rPr>
          <w:lang w:eastAsia="en-AU"/>
        </w:rPr>
        <w:t>it is not possible to give you information about the status of individual applications during the assessment process.</w:t>
      </w:r>
    </w:p>
    <w:p w14:paraId="2DCABF98" w14:textId="77777777" w:rsidR="00F82A44" w:rsidRPr="00A53743" w:rsidRDefault="00F82A44" w:rsidP="00410995">
      <w:pPr>
        <w:pStyle w:val="Heading2"/>
        <w:numPr>
          <w:ilvl w:val="0"/>
          <w:numId w:val="36"/>
        </w:numPr>
        <w:rPr>
          <w:rFonts w:eastAsia="Calibri"/>
        </w:rPr>
      </w:pPr>
      <w:r>
        <w:rPr>
          <w:rFonts w:eastAsia="Calibri"/>
        </w:rPr>
        <w:lastRenderedPageBreak/>
        <w:t>What f</w:t>
      </w:r>
      <w:r w:rsidRPr="00A53743">
        <w:rPr>
          <w:rFonts w:eastAsia="Calibri"/>
        </w:rPr>
        <w:t>eedback will be available for this funding round</w:t>
      </w:r>
      <w:r>
        <w:rPr>
          <w:rFonts w:eastAsia="Calibri"/>
        </w:rPr>
        <w:t>?</w:t>
      </w:r>
    </w:p>
    <w:p w14:paraId="5625039B" w14:textId="77777777" w:rsidR="00F82A44" w:rsidRPr="00A53743" w:rsidRDefault="00F82A44" w:rsidP="00FA1E97">
      <w:pPr>
        <w:ind w:left="426"/>
      </w:pPr>
      <w:r>
        <w:t>A f</w:t>
      </w:r>
      <w:r w:rsidRPr="00A53743">
        <w:t xml:space="preserve">eedback </w:t>
      </w:r>
      <w:r>
        <w:t>s</w:t>
      </w:r>
      <w:r w:rsidRPr="00A53743">
        <w:t xml:space="preserve">ummary </w:t>
      </w:r>
      <w:proofErr w:type="gramStart"/>
      <w:r w:rsidRPr="00A53743">
        <w:t xml:space="preserve">will be </w:t>
      </w:r>
      <w:r>
        <w:t>published</w:t>
      </w:r>
      <w:proofErr w:type="gramEnd"/>
      <w:r>
        <w:t xml:space="preserve"> on the </w:t>
      </w:r>
      <w:r>
        <w:rPr>
          <w:lang w:eastAsia="en-AU"/>
        </w:rPr>
        <w:t>Community Grants Hub</w:t>
      </w:r>
      <w:r w:rsidRPr="00496141">
        <w:rPr>
          <w:lang w:eastAsia="en-AU"/>
        </w:rPr>
        <w:t xml:space="preserve"> </w:t>
      </w:r>
      <w:r>
        <w:t>website following the finalisation of the funding round.</w:t>
      </w:r>
    </w:p>
    <w:p w14:paraId="650845E5" w14:textId="77777777" w:rsidR="00F82A44" w:rsidRDefault="00F82A44" w:rsidP="00FA1E97">
      <w:pPr>
        <w:ind w:left="426"/>
      </w:pPr>
      <w:r>
        <w:rPr>
          <w:rFonts w:eastAsia="Calibri" w:cs="Arial"/>
        </w:rPr>
        <w:t>The f</w:t>
      </w:r>
      <w:r w:rsidRPr="00A53743">
        <w:rPr>
          <w:rFonts w:eastAsia="Calibri" w:cs="Arial"/>
        </w:rPr>
        <w:t xml:space="preserve">eedback </w:t>
      </w:r>
      <w:r>
        <w:rPr>
          <w:rFonts w:eastAsia="Calibri" w:cs="Arial"/>
        </w:rPr>
        <w:t>s</w:t>
      </w:r>
      <w:r w:rsidRPr="00A53743">
        <w:rPr>
          <w:rFonts w:eastAsia="Calibri" w:cs="Arial"/>
        </w:rPr>
        <w:t xml:space="preserve">ummary will provide general round-specific information </w:t>
      </w:r>
      <w:r w:rsidRPr="00A53743">
        <w:t>and will include main strengths and areas of improvement for the applications received in this round.</w:t>
      </w:r>
    </w:p>
    <w:p w14:paraId="096E5450" w14:textId="77777777" w:rsidR="00F82A44" w:rsidRPr="00496141" w:rsidRDefault="00F82A44" w:rsidP="00FA1E97">
      <w:pPr>
        <w:ind w:left="426"/>
      </w:pPr>
      <w:r w:rsidRPr="00B809A4">
        <w:t xml:space="preserve">Individual feedback will </w:t>
      </w:r>
      <w:r>
        <w:t>not</w:t>
      </w:r>
      <w:r w:rsidRPr="00B809A4">
        <w:t xml:space="preserve"> be available for this grant opportunity.</w:t>
      </w:r>
    </w:p>
    <w:p w14:paraId="386772E7" w14:textId="18FFE78C" w:rsidR="004806AD" w:rsidRPr="003C423F" w:rsidRDefault="004806AD" w:rsidP="00410995">
      <w:pPr>
        <w:pStyle w:val="Heading2"/>
        <w:numPr>
          <w:ilvl w:val="0"/>
          <w:numId w:val="36"/>
        </w:numPr>
        <w:rPr>
          <w:rFonts w:eastAsia="Calibri"/>
        </w:rPr>
      </w:pPr>
      <w:r w:rsidRPr="003C423F">
        <w:rPr>
          <w:rFonts w:eastAsia="Calibri"/>
        </w:rPr>
        <w:t xml:space="preserve">Where should I go for further information? </w:t>
      </w:r>
    </w:p>
    <w:p w14:paraId="73AFE99F" w14:textId="75ED416C" w:rsidR="004806AD" w:rsidRPr="00FA1E97" w:rsidRDefault="004806AD" w:rsidP="00FA1E97">
      <w:pPr>
        <w:ind w:left="426"/>
        <w:rPr>
          <w:rStyle w:val="Hyperlink"/>
        </w:rPr>
      </w:pPr>
      <w:r w:rsidRPr="00FA1E97">
        <w:t xml:space="preserve">Please email your enquiries to </w:t>
      </w:r>
      <w:hyperlink r:id="rId15" w:history="1">
        <w:r w:rsidRPr="00FA1E97">
          <w:rPr>
            <w:rStyle w:val="Hyperlink"/>
          </w:rPr>
          <w:t>support@communitygrants.gov.au</w:t>
        </w:r>
      </w:hyperlink>
      <w:r w:rsidR="00535800" w:rsidRPr="00FA1E97">
        <w:rPr>
          <w:rStyle w:val="Hyperlink"/>
        </w:rPr>
        <w:t>.</w:t>
      </w:r>
    </w:p>
    <w:p w14:paraId="29F3C35F" w14:textId="3BF191B6" w:rsidR="00C754D1" w:rsidRDefault="00C754D1" w:rsidP="00FA1E97">
      <w:pPr>
        <w:ind w:left="426"/>
        <w:rPr>
          <w:rFonts w:eastAsia="Calibri" w:cs="Arial"/>
        </w:rPr>
      </w:pPr>
      <w:r w:rsidRPr="00FA1E97">
        <w:rPr>
          <w:rFonts w:eastAsia="Calibri" w:cs="Arial"/>
        </w:rPr>
        <w:t>Remember to quote: Community-led Projects to Prevent Violence against Women and their Children – 2018-2566</w:t>
      </w:r>
    </w:p>
    <w:p w14:paraId="6D64E349" w14:textId="7CE9011B" w:rsidR="00CC08AD" w:rsidRPr="00CC08AD" w:rsidRDefault="00CC08AD" w:rsidP="00FA1E97">
      <w:pPr>
        <w:ind w:left="426"/>
        <w:rPr>
          <w:rFonts w:eastAsia="Calibri" w:cs="Arial"/>
          <w:sz w:val="24"/>
          <w:szCs w:val="24"/>
        </w:rPr>
      </w:pPr>
      <w:r w:rsidRPr="00CC08AD">
        <w:rPr>
          <w:rFonts w:eastAsia="Calibri" w:cs="Arial"/>
          <w:b/>
          <w:sz w:val="24"/>
          <w:szCs w:val="24"/>
          <w:u w:val="single"/>
        </w:rPr>
        <w:t xml:space="preserve">Questions </w:t>
      </w:r>
      <w:r w:rsidR="00410995">
        <w:rPr>
          <w:rFonts w:eastAsia="Calibri" w:cs="Arial"/>
          <w:b/>
          <w:sz w:val="24"/>
          <w:szCs w:val="24"/>
          <w:u w:val="single"/>
        </w:rPr>
        <w:t>8</w:t>
      </w:r>
      <w:r w:rsidRPr="00CC08AD">
        <w:rPr>
          <w:rFonts w:eastAsia="Calibri" w:cs="Arial"/>
          <w:b/>
          <w:sz w:val="24"/>
          <w:szCs w:val="24"/>
          <w:u w:val="single"/>
        </w:rPr>
        <w:t xml:space="preserve"> updated 28 August 2019</w:t>
      </w:r>
    </w:p>
    <w:p w14:paraId="16ADA4B3" w14:textId="12049174" w:rsidR="00CC08AD" w:rsidRPr="008E7D6B" w:rsidRDefault="008E7D6B" w:rsidP="00410995">
      <w:pPr>
        <w:pStyle w:val="Heading2"/>
        <w:numPr>
          <w:ilvl w:val="0"/>
          <w:numId w:val="36"/>
        </w:numPr>
        <w:rPr>
          <w:rFonts w:eastAsia="Calibri"/>
          <w:b w:val="0"/>
          <w:bCs w:val="0"/>
        </w:rPr>
      </w:pPr>
      <w:r w:rsidRPr="008E7D6B">
        <w:rPr>
          <w:rFonts w:eastAsia="Calibri"/>
        </w:rPr>
        <w:t>Can you please confirm that Section 5.1 of the Grant Opportunity Guidelines is correct?</w:t>
      </w:r>
    </w:p>
    <w:p w14:paraId="365D82F5" w14:textId="497A5DC8" w:rsidR="008E7D6B" w:rsidRDefault="008E7D6B" w:rsidP="00840DA7">
      <w:pPr>
        <w:ind w:left="360"/>
        <w:rPr>
          <w:rFonts w:eastAsia="Calibri" w:cs="Arial"/>
        </w:rPr>
      </w:pPr>
      <w:r w:rsidRPr="00840DA7">
        <w:rPr>
          <w:rFonts w:eastAsia="Calibri" w:cs="Arial"/>
        </w:rPr>
        <w:t xml:space="preserve">The Grant Opportunity Guidelines </w:t>
      </w:r>
      <w:proofErr w:type="gramStart"/>
      <w:r w:rsidRPr="00840DA7">
        <w:rPr>
          <w:rFonts w:eastAsia="Calibri" w:cs="Arial"/>
        </w:rPr>
        <w:t>have been updated and replaced on the GrantConnect and Community Grants Hub websites with updated wording for Section 5.1</w:t>
      </w:r>
      <w:proofErr w:type="gramEnd"/>
      <w:r w:rsidRPr="00840DA7">
        <w:rPr>
          <w:rFonts w:eastAsia="Calibri" w:cs="Arial"/>
        </w:rPr>
        <w:t>.</w:t>
      </w:r>
    </w:p>
    <w:p w14:paraId="554ED6C2" w14:textId="77777777" w:rsidR="00541129" w:rsidRDefault="00541129" w:rsidP="00541129">
      <w:pPr>
        <w:ind w:left="426"/>
        <w:rPr>
          <w:rFonts w:eastAsia="Calibri" w:cs="Arial"/>
          <w:b/>
          <w:sz w:val="24"/>
          <w:szCs w:val="24"/>
          <w:u w:val="single"/>
        </w:rPr>
      </w:pPr>
      <w:r>
        <w:rPr>
          <w:rFonts w:eastAsia="Calibri" w:cs="Arial"/>
          <w:b/>
          <w:sz w:val="24"/>
          <w:szCs w:val="24"/>
          <w:u w:val="single"/>
        </w:rPr>
        <w:t>Question 9 updated 04 October 2019</w:t>
      </w:r>
    </w:p>
    <w:p w14:paraId="5B6DB8B1" w14:textId="48D55B61" w:rsidR="00541129" w:rsidRPr="00541129" w:rsidRDefault="00541129" w:rsidP="00214E13">
      <w:pPr>
        <w:pStyle w:val="Heading2"/>
        <w:numPr>
          <w:ilvl w:val="0"/>
          <w:numId w:val="36"/>
        </w:numPr>
        <w:rPr>
          <w:rFonts w:eastAsia="Calibri"/>
        </w:rPr>
      </w:pPr>
      <w:r>
        <w:rPr>
          <w:rFonts w:eastAsia="Calibri"/>
        </w:rPr>
        <w:lastRenderedPageBreak/>
        <w:t xml:space="preserve">May I please ask a query about evaluation and data collection requirements for measuring the outcomes and impact of the Community-led Projects to Prevent Violence </w:t>
      </w:r>
      <w:proofErr w:type="gramStart"/>
      <w:r>
        <w:rPr>
          <w:rFonts w:eastAsia="Calibri"/>
        </w:rPr>
        <w:t>Against</w:t>
      </w:r>
      <w:proofErr w:type="gramEnd"/>
      <w:r>
        <w:rPr>
          <w:rFonts w:eastAsia="Calibri"/>
        </w:rPr>
        <w:t xml:space="preserve"> Women and their Children Grant?</w:t>
      </w:r>
      <w:r>
        <w:t xml:space="preserve"> </w:t>
      </w:r>
      <w:r>
        <w:rPr>
          <w:rFonts w:eastAsia="Calibri"/>
        </w:rPr>
        <w:br/>
      </w:r>
      <w:r>
        <w:rPr>
          <w:rFonts w:eastAsia="Calibri"/>
        </w:rPr>
        <w:br/>
      </w:r>
      <w:r w:rsidRPr="00541129">
        <w:rPr>
          <w:rFonts w:eastAsia="Calibri"/>
        </w:rPr>
        <w:t xml:space="preserve">If DSS only choose an evaluator after the project </w:t>
      </w:r>
      <w:proofErr w:type="gramStart"/>
      <w:r w:rsidRPr="00541129">
        <w:rPr>
          <w:rFonts w:eastAsia="Calibri"/>
        </w:rPr>
        <w:t>has been completed</w:t>
      </w:r>
      <w:proofErr w:type="gramEnd"/>
      <w:r w:rsidRPr="00541129">
        <w:rPr>
          <w:rFonts w:eastAsia="Calibri"/>
        </w:rPr>
        <w:t>, our concern is that the projects ongoing monitoring and data collection type (amount of qualitative and qualitative), targeted cohort numbers, measurement indicators, timeframe of data collection and sources will not be aligned with the methodologies of your chosen evaluator. For example, if DSS’s chosen evaluator decides to do either a comparative, case study or cost benefit analysis or decides to use a mixed methods or quasi-experimental design, the then the ongoing data required to be collected needs to be determined at the onset of the project to ensure data fidelity is maintained according to the evaluation design.</w:t>
      </w:r>
      <w:r>
        <w:rPr>
          <w:rFonts w:eastAsia="Calibri"/>
        </w:rPr>
        <w:br/>
      </w:r>
      <w:r>
        <w:rPr>
          <w:rFonts w:eastAsia="Calibri"/>
        </w:rPr>
        <w:br/>
      </w:r>
      <w:r w:rsidRPr="00541129">
        <w:rPr>
          <w:rFonts w:eastAsia="Calibri"/>
        </w:rPr>
        <w:t xml:space="preserve">Would an evaluator with their desired pre-determined evaluation methodology inform the finalisation of the activity work plan to ensure that the grantee collects the correct data type at the </w:t>
      </w:r>
      <w:proofErr w:type="gramStart"/>
      <w:r w:rsidRPr="00541129">
        <w:rPr>
          <w:rFonts w:eastAsia="Calibri"/>
        </w:rPr>
        <w:t>time periods</w:t>
      </w:r>
      <w:proofErr w:type="gramEnd"/>
      <w:r w:rsidRPr="00541129">
        <w:rPr>
          <w:rFonts w:eastAsia="Calibri"/>
        </w:rPr>
        <w:t xml:space="preserve"> required? We would anticipate that data would need to be collected </w:t>
      </w:r>
      <w:proofErr w:type="gramStart"/>
      <w:r w:rsidRPr="00541129">
        <w:rPr>
          <w:rFonts w:eastAsia="Calibri"/>
        </w:rPr>
        <w:t>pre-intervention and potentially 6</w:t>
      </w:r>
      <w:proofErr w:type="gramEnd"/>
      <w:r w:rsidRPr="00541129">
        <w:rPr>
          <w:rFonts w:eastAsia="Calibri"/>
        </w:rPr>
        <w:t xml:space="preserve"> and 12 months post intervention, however the chosen grantee is not leading the evaluation. If the evaluator prefers more qualitative data than quantitative data then we would need to budget for recruiting and conducting for semi-structured interviews or focus groups during the grant period.</w:t>
      </w:r>
    </w:p>
    <w:p w14:paraId="7039FC55" w14:textId="77777777" w:rsidR="00B219AB" w:rsidRDefault="00B219AB" w:rsidP="00541129">
      <w:pPr>
        <w:ind w:left="426"/>
        <w:rPr>
          <w:rFonts w:eastAsia="Calibri" w:cs="Arial"/>
        </w:rPr>
      </w:pPr>
    </w:p>
    <w:p w14:paraId="161C5232" w14:textId="7B39B74D" w:rsidR="00541129" w:rsidRDefault="00541129" w:rsidP="00541129">
      <w:pPr>
        <w:ind w:left="426"/>
        <w:rPr>
          <w:rFonts w:eastAsia="Calibri" w:cs="Arial"/>
        </w:rPr>
      </w:pPr>
      <w:r>
        <w:rPr>
          <w:rFonts w:eastAsia="Calibri" w:cs="Arial"/>
        </w:rPr>
        <w:t xml:space="preserve">An evaluation will be undertaken of the Community-led grant program as a whole, as well as its individual projects, by the department, or an evaluator of the </w:t>
      </w:r>
      <w:proofErr w:type="gramStart"/>
      <w:r>
        <w:rPr>
          <w:rFonts w:eastAsia="Calibri" w:cs="Arial"/>
        </w:rPr>
        <w:t>department’s</w:t>
      </w:r>
      <w:proofErr w:type="gramEnd"/>
      <w:r>
        <w:rPr>
          <w:rFonts w:eastAsia="Calibri" w:cs="Arial"/>
        </w:rPr>
        <w:t xml:space="preserve"> choosing. The evaluation will explore whether the intended outcomes </w:t>
      </w:r>
      <w:proofErr w:type="gramStart"/>
      <w:r>
        <w:rPr>
          <w:rFonts w:eastAsia="Calibri" w:cs="Arial"/>
        </w:rPr>
        <w:t>have been met</w:t>
      </w:r>
      <w:proofErr w:type="gramEnd"/>
      <w:r>
        <w:rPr>
          <w:rFonts w:eastAsia="Calibri" w:cs="Arial"/>
        </w:rPr>
        <w:t xml:space="preserve"> and the projects have aligned with Our Watch’s Change the Story, Change the Picture, Counting on Change and other key primary prevention strategies. </w:t>
      </w:r>
    </w:p>
    <w:p w14:paraId="578A03BB" w14:textId="77777777" w:rsidR="00541129" w:rsidRDefault="00541129" w:rsidP="00541129">
      <w:pPr>
        <w:ind w:left="426"/>
        <w:rPr>
          <w:rFonts w:eastAsia="Calibri" w:cs="Arial"/>
        </w:rPr>
      </w:pPr>
      <w:r>
        <w:rPr>
          <w:rFonts w:eastAsia="Calibri" w:cs="Arial"/>
        </w:rPr>
        <w:t xml:space="preserve">Successful applicants </w:t>
      </w:r>
      <w:proofErr w:type="gramStart"/>
      <w:r>
        <w:rPr>
          <w:rFonts w:eastAsia="Calibri" w:cs="Arial"/>
        </w:rPr>
        <w:t>will be provided</w:t>
      </w:r>
      <w:proofErr w:type="gramEnd"/>
      <w:r>
        <w:rPr>
          <w:rFonts w:eastAsia="Calibri" w:cs="Arial"/>
        </w:rPr>
        <w:t xml:space="preserve"> with more detailed advice on the nature and scope of the evaluation, including any data required to be collected. To support a grant program evaluation, the department and the funded organisation will agree on the data that will be required as part of the reporting requirements during the grant agreement negotiations (i.e. prior to the projects commencing).</w:t>
      </w:r>
    </w:p>
    <w:p w14:paraId="766CADDA" w14:textId="77777777" w:rsidR="00541129" w:rsidRDefault="00541129" w:rsidP="00840DA7">
      <w:pPr>
        <w:ind w:left="360"/>
        <w:rPr>
          <w:rFonts w:eastAsia="Calibri" w:cs="Arial"/>
        </w:rPr>
      </w:pPr>
    </w:p>
    <w:p w14:paraId="5BCEC9AD" w14:textId="77777777" w:rsidR="00541129" w:rsidRPr="00840DA7" w:rsidRDefault="00541129" w:rsidP="00840DA7">
      <w:pPr>
        <w:ind w:left="360"/>
        <w:rPr>
          <w:rFonts w:eastAsia="Calibri" w:cs="Arial"/>
        </w:rPr>
      </w:pPr>
    </w:p>
    <w:p w14:paraId="3C75B9E9" w14:textId="77777777" w:rsidR="008E7D6B" w:rsidRPr="00840DA7" w:rsidRDefault="008E7D6B" w:rsidP="008E7D6B">
      <w:pPr>
        <w:rPr>
          <w:rFonts w:eastAsia="Calibri" w:cs="Arial"/>
        </w:rPr>
      </w:pPr>
    </w:p>
    <w:sectPr w:rsidR="008E7D6B" w:rsidRPr="00840DA7" w:rsidSect="00105397">
      <w:headerReference w:type="default" r:id="rId16"/>
      <w:footerReference w:type="default" r:id="rId17"/>
      <w:headerReference w:type="first" r:id="rId18"/>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9715F" w14:textId="77777777" w:rsidR="00EE5549" w:rsidRDefault="00EE5549" w:rsidP="00772718">
      <w:pPr>
        <w:spacing w:line="240" w:lineRule="auto"/>
      </w:pPr>
      <w:r>
        <w:separator/>
      </w:r>
    </w:p>
  </w:endnote>
  <w:endnote w:type="continuationSeparator" w:id="0">
    <w:p w14:paraId="2CE68C18" w14:textId="77777777" w:rsidR="00EE5549" w:rsidRDefault="00EE554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12446"/>
      <w:docPartObj>
        <w:docPartGallery w:val="Page Numbers (Bottom of Page)"/>
        <w:docPartUnique/>
      </w:docPartObj>
    </w:sdtPr>
    <w:sdtEndPr>
      <w:rPr>
        <w:noProof/>
      </w:rPr>
    </w:sdtEndPr>
    <w:sdtContent>
      <w:p w14:paraId="2FD701B0" w14:textId="3798C71E" w:rsidR="003E7ECD" w:rsidRDefault="003E7ECD">
        <w:pPr>
          <w:pStyle w:val="Footer"/>
          <w:jc w:val="right"/>
        </w:pPr>
        <w:r>
          <w:fldChar w:fldCharType="begin"/>
        </w:r>
        <w:r>
          <w:instrText xml:space="preserve"> PAGE   \* MERGEFORMAT </w:instrText>
        </w:r>
        <w:r>
          <w:fldChar w:fldCharType="separate"/>
        </w:r>
        <w:r w:rsidR="007A50E8">
          <w:rPr>
            <w:noProof/>
          </w:rPr>
          <w:t>9</w:t>
        </w:r>
        <w:r>
          <w:rPr>
            <w:noProof/>
          </w:rPr>
          <w:fldChar w:fldCharType="end"/>
        </w:r>
      </w:p>
    </w:sdtContent>
  </w:sdt>
  <w:p w14:paraId="66687E20" w14:textId="77777777" w:rsidR="00A14495" w:rsidRDefault="00A14495" w:rsidP="0020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B6B84" w14:textId="77777777" w:rsidR="00EE5549" w:rsidRDefault="00EE5549" w:rsidP="00772718">
      <w:pPr>
        <w:spacing w:line="240" w:lineRule="auto"/>
      </w:pPr>
      <w:r>
        <w:separator/>
      </w:r>
    </w:p>
  </w:footnote>
  <w:footnote w:type="continuationSeparator" w:id="0">
    <w:p w14:paraId="4E08FE99" w14:textId="77777777" w:rsidR="00EE5549" w:rsidRDefault="00EE554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CFF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71BFB303" wp14:editId="62437ED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F1051"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266B907" wp14:editId="49D52C17">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C418" w14:textId="77777777" w:rsidR="00D91B18" w:rsidRDefault="0016612C">
    <w:pPr>
      <w:pStyle w:val="Header"/>
    </w:pPr>
    <w:r>
      <w:rPr>
        <w:noProof/>
        <w:lang w:eastAsia="en-AU"/>
      </w:rPr>
      <w:drawing>
        <wp:anchor distT="0" distB="0" distL="114300" distR="114300" simplePos="0" relativeHeight="251673600" behindDoc="0" locked="1" layoutInCell="1" allowOverlap="1" wp14:anchorId="12095370" wp14:editId="0AD2A471">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FB31BB" wp14:editId="38AFB2F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1B94B6"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7728EDE" wp14:editId="10DFB74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9DC88"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1864C4B" wp14:editId="4829D9F9">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5B9C7"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92A0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D936305"/>
    <w:multiLevelType w:val="hybridMultilevel"/>
    <w:tmpl w:val="F43AF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3596D"/>
    <w:multiLevelType w:val="hybridMultilevel"/>
    <w:tmpl w:val="E9E2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C6070B"/>
    <w:multiLevelType w:val="hybridMultilevel"/>
    <w:tmpl w:val="7292B3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333A05"/>
    <w:multiLevelType w:val="hybridMultilevel"/>
    <w:tmpl w:val="1CB6E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A4525F"/>
    <w:multiLevelType w:val="hybridMultilevel"/>
    <w:tmpl w:val="93F6C82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AE74512"/>
    <w:multiLevelType w:val="hybridMultilevel"/>
    <w:tmpl w:val="998AB85A"/>
    <w:lvl w:ilvl="0" w:tplc="C02AC552">
      <w:start w:val="1"/>
      <w:numFmt w:val="decimal"/>
      <w:lvlText w:val="%1."/>
      <w:lvlJc w:val="left"/>
      <w:pPr>
        <w:ind w:left="360" w:hanging="360"/>
      </w:pPr>
      <w:rPr>
        <w:b/>
        <w:i w:val="0"/>
      </w:rPr>
    </w:lvl>
    <w:lvl w:ilvl="1" w:tplc="01B035F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9F5E14"/>
    <w:multiLevelType w:val="hybridMultilevel"/>
    <w:tmpl w:val="EA4046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83400BB"/>
    <w:multiLevelType w:val="hybridMultilevel"/>
    <w:tmpl w:val="8E5623DC"/>
    <w:lvl w:ilvl="0" w:tplc="3BAEFED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CE6B65"/>
    <w:multiLevelType w:val="hybridMultilevel"/>
    <w:tmpl w:val="0A98BC04"/>
    <w:lvl w:ilvl="0" w:tplc="61CEA48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B0638F0"/>
    <w:multiLevelType w:val="hybridMultilevel"/>
    <w:tmpl w:val="B3B6B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D6722D"/>
    <w:multiLevelType w:val="hybridMultilevel"/>
    <w:tmpl w:val="E368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937C88"/>
    <w:multiLevelType w:val="hybridMultilevel"/>
    <w:tmpl w:val="9DCAE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B66C94"/>
    <w:multiLevelType w:val="hybridMultilevel"/>
    <w:tmpl w:val="43A0D32E"/>
    <w:lvl w:ilvl="0" w:tplc="273A351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6AE7071"/>
    <w:multiLevelType w:val="hybridMultilevel"/>
    <w:tmpl w:val="4204F5EC"/>
    <w:lvl w:ilvl="0" w:tplc="2684FE8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C91848"/>
    <w:multiLevelType w:val="hybridMultilevel"/>
    <w:tmpl w:val="91FC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095408"/>
    <w:multiLevelType w:val="hybridMultilevel"/>
    <w:tmpl w:val="19C02AE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3" w15:restartNumberingAfterBreak="0">
    <w:nsid w:val="411C0D89"/>
    <w:multiLevelType w:val="hybridMultilevel"/>
    <w:tmpl w:val="4204F5EC"/>
    <w:lvl w:ilvl="0" w:tplc="2684FE8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CF3417C"/>
    <w:multiLevelType w:val="hybridMultilevel"/>
    <w:tmpl w:val="7292B3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735A20"/>
    <w:multiLevelType w:val="hybridMultilevel"/>
    <w:tmpl w:val="66D444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BD4A87"/>
    <w:multiLevelType w:val="hybridMultilevel"/>
    <w:tmpl w:val="E9786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A21BD3"/>
    <w:multiLevelType w:val="hybridMultilevel"/>
    <w:tmpl w:val="4BA4595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68997519"/>
    <w:multiLevelType w:val="hybridMultilevel"/>
    <w:tmpl w:val="00C28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2" w15:restartNumberingAfterBreak="0">
    <w:nsid w:val="724E6CFA"/>
    <w:multiLevelType w:val="hybridMultilevel"/>
    <w:tmpl w:val="E2ACA6AA"/>
    <w:lvl w:ilvl="0" w:tplc="C02AC552">
      <w:start w:val="1"/>
      <w:numFmt w:val="decimal"/>
      <w:lvlText w:val="%1."/>
      <w:lvlJc w:val="left"/>
      <w:pPr>
        <w:ind w:left="785" w:hanging="360"/>
      </w:pPr>
      <w:rPr>
        <w:b/>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
  </w:num>
  <w:num w:numId="2">
    <w:abstractNumId w:val="31"/>
  </w:num>
  <w:num w:numId="3">
    <w:abstractNumId w:val="10"/>
  </w:num>
  <w:num w:numId="4">
    <w:abstractNumId w:val="25"/>
  </w:num>
  <w:num w:numId="5">
    <w:abstractNumId w:val="22"/>
  </w:num>
  <w:num w:numId="6">
    <w:abstractNumId w:val="8"/>
  </w:num>
  <w:num w:numId="7">
    <w:abstractNumId w:val="6"/>
  </w:num>
  <w:num w:numId="8">
    <w:abstractNumId w:val="1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1"/>
  </w:num>
  <w:num w:numId="13">
    <w:abstractNumId w:val="32"/>
  </w:num>
  <w:num w:numId="14">
    <w:abstractNumId w:val="0"/>
  </w:num>
  <w:num w:numId="15">
    <w:abstractNumId w:val="2"/>
  </w:num>
  <w:num w:numId="16">
    <w:abstractNumId w:val="29"/>
  </w:num>
  <w:num w:numId="17">
    <w:abstractNumId w:val="28"/>
  </w:num>
  <w:num w:numId="18">
    <w:abstractNumId w:val="18"/>
  </w:num>
  <w:num w:numId="19">
    <w:abstractNumId w:val="16"/>
  </w:num>
  <w:num w:numId="20">
    <w:abstractNumId w:val="15"/>
  </w:num>
  <w:num w:numId="21">
    <w:abstractNumId w:val="7"/>
  </w:num>
  <w:num w:numId="22">
    <w:abstractNumId w:val="33"/>
  </w:num>
  <w:num w:numId="23">
    <w:abstractNumId w:val="20"/>
  </w:num>
  <w:num w:numId="24">
    <w:abstractNumId w:val="9"/>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8"/>
  </w:num>
  <w:num w:numId="31">
    <w:abstractNumId w:val="4"/>
  </w:num>
  <w:num w:numId="32">
    <w:abstractNumId w:val="13"/>
  </w:num>
  <w:num w:numId="33">
    <w:abstractNumId w:val="27"/>
  </w:num>
  <w:num w:numId="34">
    <w:abstractNumId w:val="23"/>
  </w:num>
  <w:num w:numId="35">
    <w:abstractNumId w:val="17"/>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1EF0"/>
    <w:rsid w:val="00002681"/>
    <w:rsid w:val="00004A79"/>
    <w:rsid w:val="00006649"/>
    <w:rsid w:val="00006F31"/>
    <w:rsid w:val="00007DE9"/>
    <w:rsid w:val="00015AE4"/>
    <w:rsid w:val="000176F3"/>
    <w:rsid w:val="0003018E"/>
    <w:rsid w:val="00031A56"/>
    <w:rsid w:val="00033BC3"/>
    <w:rsid w:val="00044E09"/>
    <w:rsid w:val="00046AC0"/>
    <w:rsid w:val="0004784D"/>
    <w:rsid w:val="00050AB6"/>
    <w:rsid w:val="00053A00"/>
    <w:rsid w:val="000728B4"/>
    <w:rsid w:val="0007445F"/>
    <w:rsid w:val="00084A50"/>
    <w:rsid w:val="000930DA"/>
    <w:rsid w:val="00096870"/>
    <w:rsid w:val="000B6C00"/>
    <w:rsid w:val="000B71F8"/>
    <w:rsid w:val="000C1F06"/>
    <w:rsid w:val="000D321C"/>
    <w:rsid w:val="000E015F"/>
    <w:rsid w:val="000E5F84"/>
    <w:rsid w:val="000E6B5E"/>
    <w:rsid w:val="000F1DD1"/>
    <w:rsid w:val="000F201D"/>
    <w:rsid w:val="000F28B8"/>
    <w:rsid w:val="000F3766"/>
    <w:rsid w:val="000F3BB2"/>
    <w:rsid w:val="000F63A3"/>
    <w:rsid w:val="001045DE"/>
    <w:rsid w:val="00105397"/>
    <w:rsid w:val="00106FC4"/>
    <w:rsid w:val="00111F0C"/>
    <w:rsid w:val="00124EDE"/>
    <w:rsid w:val="00135482"/>
    <w:rsid w:val="001364C7"/>
    <w:rsid w:val="001435D6"/>
    <w:rsid w:val="00145E2D"/>
    <w:rsid w:val="001536A5"/>
    <w:rsid w:val="00160D1E"/>
    <w:rsid w:val="00162D98"/>
    <w:rsid w:val="0016612C"/>
    <w:rsid w:val="00167880"/>
    <w:rsid w:val="00176189"/>
    <w:rsid w:val="001763D4"/>
    <w:rsid w:val="00181433"/>
    <w:rsid w:val="001834DD"/>
    <w:rsid w:val="001851B4"/>
    <w:rsid w:val="001A0A31"/>
    <w:rsid w:val="001A29BC"/>
    <w:rsid w:val="001B227B"/>
    <w:rsid w:val="001C096E"/>
    <w:rsid w:val="001C17A2"/>
    <w:rsid w:val="001C53CE"/>
    <w:rsid w:val="001C5D96"/>
    <w:rsid w:val="001D341B"/>
    <w:rsid w:val="001D476D"/>
    <w:rsid w:val="001D5451"/>
    <w:rsid w:val="001E3946"/>
    <w:rsid w:val="001E3D2B"/>
    <w:rsid w:val="001E5861"/>
    <w:rsid w:val="001E5D80"/>
    <w:rsid w:val="001E6588"/>
    <w:rsid w:val="001E66CE"/>
    <w:rsid w:val="001E6F45"/>
    <w:rsid w:val="001F29CD"/>
    <w:rsid w:val="001F35FE"/>
    <w:rsid w:val="00207234"/>
    <w:rsid w:val="002076CC"/>
    <w:rsid w:val="00207788"/>
    <w:rsid w:val="00214E13"/>
    <w:rsid w:val="00221DC2"/>
    <w:rsid w:val="002236F8"/>
    <w:rsid w:val="002249E9"/>
    <w:rsid w:val="002361C6"/>
    <w:rsid w:val="0024113E"/>
    <w:rsid w:val="00242EE0"/>
    <w:rsid w:val="00244B48"/>
    <w:rsid w:val="002455B7"/>
    <w:rsid w:val="002572FF"/>
    <w:rsid w:val="002573D5"/>
    <w:rsid w:val="0026235D"/>
    <w:rsid w:val="00264E26"/>
    <w:rsid w:val="00265580"/>
    <w:rsid w:val="00266E47"/>
    <w:rsid w:val="00280E74"/>
    <w:rsid w:val="00284325"/>
    <w:rsid w:val="00285B49"/>
    <w:rsid w:val="002930B2"/>
    <w:rsid w:val="002A41E1"/>
    <w:rsid w:val="002A4B65"/>
    <w:rsid w:val="002A7A15"/>
    <w:rsid w:val="002B06E7"/>
    <w:rsid w:val="002B11D9"/>
    <w:rsid w:val="002B6574"/>
    <w:rsid w:val="002C1B10"/>
    <w:rsid w:val="002D4D48"/>
    <w:rsid w:val="002E1A02"/>
    <w:rsid w:val="002E21D2"/>
    <w:rsid w:val="002E3E50"/>
    <w:rsid w:val="002F70F8"/>
    <w:rsid w:val="002F7922"/>
    <w:rsid w:val="002F7D3C"/>
    <w:rsid w:val="003001A7"/>
    <w:rsid w:val="00305720"/>
    <w:rsid w:val="00307992"/>
    <w:rsid w:val="00310757"/>
    <w:rsid w:val="00312DF4"/>
    <w:rsid w:val="003131AB"/>
    <w:rsid w:val="003217BE"/>
    <w:rsid w:val="003230E7"/>
    <w:rsid w:val="00323222"/>
    <w:rsid w:val="00325BB8"/>
    <w:rsid w:val="003301CD"/>
    <w:rsid w:val="00337E26"/>
    <w:rsid w:val="003422D0"/>
    <w:rsid w:val="00343A54"/>
    <w:rsid w:val="00343C4E"/>
    <w:rsid w:val="00353019"/>
    <w:rsid w:val="00355677"/>
    <w:rsid w:val="0035575C"/>
    <w:rsid w:val="00355B0A"/>
    <w:rsid w:val="00373D2A"/>
    <w:rsid w:val="003826AD"/>
    <w:rsid w:val="003906A8"/>
    <w:rsid w:val="00390810"/>
    <w:rsid w:val="003C423F"/>
    <w:rsid w:val="003D0647"/>
    <w:rsid w:val="003D0DC8"/>
    <w:rsid w:val="003D1265"/>
    <w:rsid w:val="003D3B1D"/>
    <w:rsid w:val="003D5DBE"/>
    <w:rsid w:val="003D705D"/>
    <w:rsid w:val="003E2347"/>
    <w:rsid w:val="003E7ECD"/>
    <w:rsid w:val="003F1047"/>
    <w:rsid w:val="0040344F"/>
    <w:rsid w:val="00404841"/>
    <w:rsid w:val="0040595D"/>
    <w:rsid w:val="00405BC2"/>
    <w:rsid w:val="00407C17"/>
    <w:rsid w:val="00410995"/>
    <w:rsid w:val="00412059"/>
    <w:rsid w:val="004137DC"/>
    <w:rsid w:val="004140CA"/>
    <w:rsid w:val="0041496C"/>
    <w:rsid w:val="00414BD6"/>
    <w:rsid w:val="00414D75"/>
    <w:rsid w:val="00421DFD"/>
    <w:rsid w:val="0042354B"/>
    <w:rsid w:val="0042474F"/>
    <w:rsid w:val="00425633"/>
    <w:rsid w:val="004261E6"/>
    <w:rsid w:val="00431675"/>
    <w:rsid w:val="00435EAD"/>
    <w:rsid w:val="00437717"/>
    <w:rsid w:val="00441E79"/>
    <w:rsid w:val="00450486"/>
    <w:rsid w:val="00451203"/>
    <w:rsid w:val="00456FCB"/>
    <w:rsid w:val="0045783A"/>
    <w:rsid w:val="00466C95"/>
    <w:rsid w:val="00467877"/>
    <w:rsid w:val="004709E9"/>
    <w:rsid w:val="00471188"/>
    <w:rsid w:val="00475893"/>
    <w:rsid w:val="004806AD"/>
    <w:rsid w:val="00481536"/>
    <w:rsid w:val="00483A58"/>
    <w:rsid w:val="00486155"/>
    <w:rsid w:val="004924DA"/>
    <w:rsid w:val="00493C3A"/>
    <w:rsid w:val="00497FD6"/>
    <w:rsid w:val="004A68F9"/>
    <w:rsid w:val="004B65B6"/>
    <w:rsid w:val="004B7F9F"/>
    <w:rsid w:val="004C246B"/>
    <w:rsid w:val="004C4F24"/>
    <w:rsid w:val="004C569B"/>
    <w:rsid w:val="004D3EBE"/>
    <w:rsid w:val="004D700E"/>
    <w:rsid w:val="004D7E9F"/>
    <w:rsid w:val="004D7F17"/>
    <w:rsid w:val="004E0670"/>
    <w:rsid w:val="004E12BB"/>
    <w:rsid w:val="004E405B"/>
    <w:rsid w:val="004E7489"/>
    <w:rsid w:val="004E7F37"/>
    <w:rsid w:val="004F31BA"/>
    <w:rsid w:val="004F5328"/>
    <w:rsid w:val="004F6A41"/>
    <w:rsid w:val="00503E1B"/>
    <w:rsid w:val="00511B42"/>
    <w:rsid w:val="00512425"/>
    <w:rsid w:val="0051299F"/>
    <w:rsid w:val="00512E38"/>
    <w:rsid w:val="00516672"/>
    <w:rsid w:val="00516FE8"/>
    <w:rsid w:val="00526B85"/>
    <w:rsid w:val="00527731"/>
    <w:rsid w:val="005306A1"/>
    <w:rsid w:val="00533203"/>
    <w:rsid w:val="005356E8"/>
    <w:rsid w:val="00535800"/>
    <w:rsid w:val="00535A18"/>
    <w:rsid w:val="005369C4"/>
    <w:rsid w:val="00536A7A"/>
    <w:rsid w:val="005408A9"/>
    <w:rsid w:val="00541129"/>
    <w:rsid w:val="00543051"/>
    <w:rsid w:val="00553FEA"/>
    <w:rsid w:val="00567710"/>
    <w:rsid w:val="005734E3"/>
    <w:rsid w:val="00577161"/>
    <w:rsid w:val="0058017C"/>
    <w:rsid w:val="005876D2"/>
    <w:rsid w:val="0059000C"/>
    <w:rsid w:val="005922A3"/>
    <w:rsid w:val="00596EE3"/>
    <w:rsid w:val="005A02A1"/>
    <w:rsid w:val="005A0411"/>
    <w:rsid w:val="005A0CA3"/>
    <w:rsid w:val="005A5950"/>
    <w:rsid w:val="005C568C"/>
    <w:rsid w:val="005C6706"/>
    <w:rsid w:val="005D38BD"/>
    <w:rsid w:val="005D5B5B"/>
    <w:rsid w:val="005D6D33"/>
    <w:rsid w:val="005D7A24"/>
    <w:rsid w:val="005E3EF8"/>
    <w:rsid w:val="0060058C"/>
    <w:rsid w:val="0060429E"/>
    <w:rsid w:val="0060494A"/>
    <w:rsid w:val="006058A4"/>
    <w:rsid w:val="00616EBA"/>
    <w:rsid w:val="00621DC1"/>
    <w:rsid w:val="00632C08"/>
    <w:rsid w:val="00635E10"/>
    <w:rsid w:val="006468F4"/>
    <w:rsid w:val="0065149B"/>
    <w:rsid w:val="00654C42"/>
    <w:rsid w:val="0065666D"/>
    <w:rsid w:val="00661464"/>
    <w:rsid w:val="00664C1F"/>
    <w:rsid w:val="00665D62"/>
    <w:rsid w:val="0067074A"/>
    <w:rsid w:val="00672994"/>
    <w:rsid w:val="00680785"/>
    <w:rsid w:val="00685897"/>
    <w:rsid w:val="006917C5"/>
    <w:rsid w:val="00693FB4"/>
    <w:rsid w:val="00696F09"/>
    <w:rsid w:val="006A2A06"/>
    <w:rsid w:val="006A678C"/>
    <w:rsid w:val="006A7938"/>
    <w:rsid w:val="006B780A"/>
    <w:rsid w:val="006C15C5"/>
    <w:rsid w:val="006D0898"/>
    <w:rsid w:val="006E4D50"/>
    <w:rsid w:val="006E53EC"/>
    <w:rsid w:val="006E74A2"/>
    <w:rsid w:val="006F6F7A"/>
    <w:rsid w:val="00700B1E"/>
    <w:rsid w:val="007056B3"/>
    <w:rsid w:val="007240D1"/>
    <w:rsid w:val="00733F83"/>
    <w:rsid w:val="00734DFE"/>
    <w:rsid w:val="00736A76"/>
    <w:rsid w:val="00743AE7"/>
    <w:rsid w:val="00744826"/>
    <w:rsid w:val="0075086E"/>
    <w:rsid w:val="00752C6B"/>
    <w:rsid w:val="00756166"/>
    <w:rsid w:val="00760CE5"/>
    <w:rsid w:val="00760CE6"/>
    <w:rsid w:val="0076383B"/>
    <w:rsid w:val="00765764"/>
    <w:rsid w:val="007675A7"/>
    <w:rsid w:val="00770022"/>
    <w:rsid w:val="007719C9"/>
    <w:rsid w:val="00772718"/>
    <w:rsid w:val="00775FEB"/>
    <w:rsid w:val="0078588A"/>
    <w:rsid w:val="007874AB"/>
    <w:rsid w:val="007A1CD4"/>
    <w:rsid w:val="007A2A5C"/>
    <w:rsid w:val="007A50E8"/>
    <w:rsid w:val="007B4E82"/>
    <w:rsid w:val="007C05AF"/>
    <w:rsid w:val="007C6FEF"/>
    <w:rsid w:val="007D0636"/>
    <w:rsid w:val="007D11FE"/>
    <w:rsid w:val="007D30A8"/>
    <w:rsid w:val="007D4329"/>
    <w:rsid w:val="007D53A3"/>
    <w:rsid w:val="007E6029"/>
    <w:rsid w:val="007E7824"/>
    <w:rsid w:val="007F402A"/>
    <w:rsid w:val="007F479F"/>
    <w:rsid w:val="007F50D9"/>
    <w:rsid w:val="007F6B85"/>
    <w:rsid w:val="00814FB1"/>
    <w:rsid w:val="00820F20"/>
    <w:rsid w:val="0082528A"/>
    <w:rsid w:val="00825754"/>
    <w:rsid w:val="008259CA"/>
    <w:rsid w:val="00826115"/>
    <w:rsid w:val="00835210"/>
    <w:rsid w:val="00840DA7"/>
    <w:rsid w:val="00841ADA"/>
    <w:rsid w:val="00842F34"/>
    <w:rsid w:val="00844C2D"/>
    <w:rsid w:val="008546E6"/>
    <w:rsid w:val="0087438E"/>
    <w:rsid w:val="00877468"/>
    <w:rsid w:val="00884668"/>
    <w:rsid w:val="0088492C"/>
    <w:rsid w:val="008862D7"/>
    <w:rsid w:val="00886A10"/>
    <w:rsid w:val="00886DA4"/>
    <w:rsid w:val="00890240"/>
    <w:rsid w:val="00890ED8"/>
    <w:rsid w:val="00896C1F"/>
    <w:rsid w:val="008B2B46"/>
    <w:rsid w:val="008B2C58"/>
    <w:rsid w:val="008C053E"/>
    <w:rsid w:val="008D4498"/>
    <w:rsid w:val="008E7D6B"/>
    <w:rsid w:val="008F3E55"/>
    <w:rsid w:val="008F6122"/>
    <w:rsid w:val="008F67C8"/>
    <w:rsid w:val="00921840"/>
    <w:rsid w:val="009331B4"/>
    <w:rsid w:val="009345F1"/>
    <w:rsid w:val="0093665A"/>
    <w:rsid w:val="00944BBB"/>
    <w:rsid w:val="00951E80"/>
    <w:rsid w:val="009547B6"/>
    <w:rsid w:val="00956F74"/>
    <w:rsid w:val="00961072"/>
    <w:rsid w:val="00964CA2"/>
    <w:rsid w:val="00965CA3"/>
    <w:rsid w:val="00982554"/>
    <w:rsid w:val="00984394"/>
    <w:rsid w:val="00985340"/>
    <w:rsid w:val="00987081"/>
    <w:rsid w:val="00990BAB"/>
    <w:rsid w:val="009A4A0A"/>
    <w:rsid w:val="009B33F8"/>
    <w:rsid w:val="009B5C2C"/>
    <w:rsid w:val="009C4B3F"/>
    <w:rsid w:val="009C5C8B"/>
    <w:rsid w:val="009D15A6"/>
    <w:rsid w:val="009D405C"/>
    <w:rsid w:val="009D4714"/>
    <w:rsid w:val="009D5EF8"/>
    <w:rsid w:val="009E4778"/>
    <w:rsid w:val="009E750F"/>
    <w:rsid w:val="009E7D15"/>
    <w:rsid w:val="009F42A1"/>
    <w:rsid w:val="009F53A4"/>
    <w:rsid w:val="00A022B8"/>
    <w:rsid w:val="00A0326B"/>
    <w:rsid w:val="00A04825"/>
    <w:rsid w:val="00A048F8"/>
    <w:rsid w:val="00A04D96"/>
    <w:rsid w:val="00A0629B"/>
    <w:rsid w:val="00A1207B"/>
    <w:rsid w:val="00A13154"/>
    <w:rsid w:val="00A138D6"/>
    <w:rsid w:val="00A14495"/>
    <w:rsid w:val="00A16BE1"/>
    <w:rsid w:val="00A20C66"/>
    <w:rsid w:val="00A221CD"/>
    <w:rsid w:val="00A2270B"/>
    <w:rsid w:val="00A2349B"/>
    <w:rsid w:val="00A25973"/>
    <w:rsid w:val="00A26E1A"/>
    <w:rsid w:val="00A306DD"/>
    <w:rsid w:val="00A31BCE"/>
    <w:rsid w:val="00A32B16"/>
    <w:rsid w:val="00A4368B"/>
    <w:rsid w:val="00A454BF"/>
    <w:rsid w:val="00A52E3A"/>
    <w:rsid w:val="00A645B0"/>
    <w:rsid w:val="00A70CD0"/>
    <w:rsid w:val="00A76F6A"/>
    <w:rsid w:val="00A77A00"/>
    <w:rsid w:val="00A814CB"/>
    <w:rsid w:val="00A81BB8"/>
    <w:rsid w:val="00A84C1B"/>
    <w:rsid w:val="00A90D1B"/>
    <w:rsid w:val="00A91103"/>
    <w:rsid w:val="00AA455A"/>
    <w:rsid w:val="00AA5174"/>
    <w:rsid w:val="00AA7FDB"/>
    <w:rsid w:val="00AC221B"/>
    <w:rsid w:val="00AC69CD"/>
    <w:rsid w:val="00AD34C5"/>
    <w:rsid w:val="00AD513E"/>
    <w:rsid w:val="00AE0230"/>
    <w:rsid w:val="00AF55F8"/>
    <w:rsid w:val="00B10ABA"/>
    <w:rsid w:val="00B219AB"/>
    <w:rsid w:val="00B2616B"/>
    <w:rsid w:val="00B27B8C"/>
    <w:rsid w:val="00B27F80"/>
    <w:rsid w:val="00B3316E"/>
    <w:rsid w:val="00B35C4D"/>
    <w:rsid w:val="00B420D4"/>
    <w:rsid w:val="00B51F28"/>
    <w:rsid w:val="00B56FDC"/>
    <w:rsid w:val="00B57910"/>
    <w:rsid w:val="00B67550"/>
    <w:rsid w:val="00B7600D"/>
    <w:rsid w:val="00B809A4"/>
    <w:rsid w:val="00B93999"/>
    <w:rsid w:val="00B9461E"/>
    <w:rsid w:val="00BA42F1"/>
    <w:rsid w:val="00BA6686"/>
    <w:rsid w:val="00BB255B"/>
    <w:rsid w:val="00BC093A"/>
    <w:rsid w:val="00BC4ACC"/>
    <w:rsid w:val="00BC4FCC"/>
    <w:rsid w:val="00BC77DA"/>
    <w:rsid w:val="00BD02F8"/>
    <w:rsid w:val="00BD1948"/>
    <w:rsid w:val="00BF50DD"/>
    <w:rsid w:val="00BF7DE9"/>
    <w:rsid w:val="00C057D3"/>
    <w:rsid w:val="00C12E71"/>
    <w:rsid w:val="00C203A3"/>
    <w:rsid w:val="00C217A8"/>
    <w:rsid w:val="00C37C80"/>
    <w:rsid w:val="00C4188F"/>
    <w:rsid w:val="00C4637D"/>
    <w:rsid w:val="00C52C6F"/>
    <w:rsid w:val="00C60BC0"/>
    <w:rsid w:val="00C754D1"/>
    <w:rsid w:val="00C81003"/>
    <w:rsid w:val="00C819A4"/>
    <w:rsid w:val="00C82A1B"/>
    <w:rsid w:val="00C82E6F"/>
    <w:rsid w:val="00C84EA8"/>
    <w:rsid w:val="00C918A2"/>
    <w:rsid w:val="00C9223D"/>
    <w:rsid w:val="00C92998"/>
    <w:rsid w:val="00C94098"/>
    <w:rsid w:val="00CA720A"/>
    <w:rsid w:val="00CB2A07"/>
    <w:rsid w:val="00CB664C"/>
    <w:rsid w:val="00CB71D9"/>
    <w:rsid w:val="00CC08AD"/>
    <w:rsid w:val="00CC1B7B"/>
    <w:rsid w:val="00CC6570"/>
    <w:rsid w:val="00CC7D36"/>
    <w:rsid w:val="00CD13EE"/>
    <w:rsid w:val="00CD38EE"/>
    <w:rsid w:val="00CD3AB9"/>
    <w:rsid w:val="00CD5925"/>
    <w:rsid w:val="00CE17A8"/>
    <w:rsid w:val="00CE557A"/>
    <w:rsid w:val="00CE5DBB"/>
    <w:rsid w:val="00CF0A03"/>
    <w:rsid w:val="00CF285C"/>
    <w:rsid w:val="00CF4DD8"/>
    <w:rsid w:val="00CF6070"/>
    <w:rsid w:val="00D031B2"/>
    <w:rsid w:val="00D120B2"/>
    <w:rsid w:val="00D1410C"/>
    <w:rsid w:val="00D16DAD"/>
    <w:rsid w:val="00D31793"/>
    <w:rsid w:val="00D35B05"/>
    <w:rsid w:val="00D40D16"/>
    <w:rsid w:val="00D42E0E"/>
    <w:rsid w:val="00D47BEB"/>
    <w:rsid w:val="00D54197"/>
    <w:rsid w:val="00D548F0"/>
    <w:rsid w:val="00D56814"/>
    <w:rsid w:val="00D57F79"/>
    <w:rsid w:val="00D64FAC"/>
    <w:rsid w:val="00D65704"/>
    <w:rsid w:val="00D668F6"/>
    <w:rsid w:val="00D801BF"/>
    <w:rsid w:val="00D81EB9"/>
    <w:rsid w:val="00D84875"/>
    <w:rsid w:val="00D904F0"/>
    <w:rsid w:val="00D906AB"/>
    <w:rsid w:val="00D91378"/>
    <w:rsid w:val="00D91B18"/>
    <w:rsid w:val="00D91EEE"/>
    <w:rsid w:val="00D92C17"/>
    <w:rsid w:val="00DA3883"/>
    <w:rsid w:val="00DA711A"/>
    <w:rsid w:val="00DB3589"/>
    <w:rsid w:val="00DC0747"/>
    <w:rsid w:val="00DC2647"/>
    <w:rsid w:val="00DD0237"/>
    <w:rsid w:val="00DD1408"/>
    <w:rsid w:val="00DD3217"/>
    <w:rsid w:val="00DD356D"/>
    <w:rsid w:val="00DD6735"/>
    <w:rsid w:val="00DF0607"/>
    <w:rsid w:val="00DF136A"/>
    <w:rsid w:val="00DF1703"/>
    <w:rsid w:val="00DF5B91"/>
    <w:rsid w:val="00E0448C"/>
    <w:rsid w:val="00E04FC9"/>
    <w:rsid w:val="00E1242B"/>
    <w:rsid w:val="00E13525"/>
    <w:rsid w:val="00E14479"/>
    <w:rsid w:val="00E20130"/>
    <w:rsid w:val="00E21512"/>
    <w:rsid w:val="00E339EF"/>
    <w:rsid w:val="00E40416"/>
    <w:rsid w:val="00E45548"/>
    <w:rsid w:val="00E47250"/>
    <w:rsid w:val="00E4742F"/>
    <w:rsid w:val="00E57D4F"/>
    <w:rsid w:val="00E61535"/>
    <w:rsid w:val="00E6588A"/>
    <w:rsid w:val="00E704C2"/>
    <w:rsid w:val="00E81198"/>
    <w:rsid w:val="00E84012"/>
    <w:rsid w:val="00E91A0B"/>
    <w:rsid w:val="00E9373C"/>
    <w:rsid w:val="00E94149"/>
    <w:rsid w:val="00EA0566"/>
    <w:rsid w:val="00EA0724"/>
    <w:rsid w:val="00EA6251"/>
    <w:rsid w:val="00EB3C21"/>
    <w:rsid w:val="00EB5AE4"/>
    <w:rsid w:val="00EB6414"/>
    <w:rsid w:val="00EC507B"/>
    <w:rsid w:val="00EC6E2C"/>
    <w:rsid w:val="00ED4271"/>
    <w:rsid w:val="00EE39AB"/>
    <w:rsid w:val="00EE5549"/>
    <w:rsid w:val="00EE5747"/>
    <w:rsid w:val="00EE7F1E"/>
    <w:rsid w:val="00EF2946"/>
    <w:rsid w:val="00EF2B10"/>
    <w:rsid w:val="00EF3804"/>
    <w:rsid w:val="00EF4C3E"/>
    <w:rsid w:val="00EF5E05"/>
    <w:rsid w:val="00EF5FDA"/>
    <w:rsid w:val="00EF7194"/>
    <w:rsid w:val="00F04E08"/>
    <w:rsid w:val="00F06C1B"/>
    <w:rsid w:val="00F15158"/>
    <w:rsid w:val="00F167A2"/>
    <w:rsid w:val="00F225F5"/>
    <w:rsid w:val="00F227AF"/>
    <w:rsid w:val="00F23B83"/>
    <w:rsid w:val="00F24977"/>
    <w:rsid w:val="00F27370"/>
    <w:rsid w:val="00F37E5D"/>
    <w:rsid w:val="00F477C4"/>
    <w:rsid w:val="00F50857"/>
    <w:rsid w:val="00F5341C"/>
    <w:rsid w:val="00F53D32"/>
    <w:rsid w:val="00F56954"/>
    <w:rsid w:val="00F57FD0"/>
    <w:rsid w:val="00F66049"/>
    <w:rsid w:val="00F77FD3"/>
    <w:rsid w:val="00F80C62"/>
    <w:rsid w:val="00F8123F"/>
    <w:rsid w:val="00F81687"/>
    <w:rsid w:val="00F82A44"/>
    <w:rsid w:val="00F903B8"/>
    <w:rsid w:val="00F933AF"/>
    <w:rsid w:val="00F948AF"/>
    <w:rsid w:val="00FA1E97"/>
    <w:rsid w:val="00FA5A7B"/>
    <w:rsid w:val="00FA5D07"/>
    <w:rsid w:val="00FB11B1"/>
    <w:rsid w:val="00FB15FD"/>
    <w:rsid w:val="00FB3B53"/>
    <w:rsid w:val="00FB7BC4"/>
    <w:rsid w:val="00FC0935"/>
    <w:rsid w:val="00FC09E7"/>
    <w:rsid w:val="00FE00E8"/>
    <w:rsid w:val="00FE579D"/>
    <w:rsid w:val="00FE7053"/>
    <w:rsid w:val="00FF4092"/>
    <w:rsid w:val="00FF48CB"/>
    <w:rsid w:val="00FF4F13"/>
    <w:rsid w:val="00FF5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F9D424"/>
  <w15:docId w15:val="{46944F22-9080-433D-A08F-70BEB07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styleId="ListParagraph">
    <w:name w:val="List Paragraph"/>
    <w:aliases w:val="Recommendation,List Paragraph1,List Paragraph11,Bulleted Para,CV text,Dot pt,F5 List Paragraph,FooterText,L,List Paragraph111,List Paragraph2,Medium Grid 1 - Accent 21,NAST Quote,NFP GP Bulleted List,Numbered Paragraph,numbered,列出段落,列出段落1"/>
    <w:basedOn w:val="Normal"/>
    <w:link w:val="ListParagraphChar"/>
    <w:uiPriority w:val="34"/>
    <w:qFormat/>
    <w:rsid w:val="007D4329"/>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42F34"/>
    <w:rPr>
      <w:b/>
      <w:bCs/>
    </w:rPr>
  </w:style>
  <w:style w:type="character" w:customStyle="1" w:styleId="CommentSubjectChar">
    <w:name w:val="Comment Subject Char"/>
    <w:basedOn w:val="CommentTextChar"/>
    <w:link w:val="CommentSubject"/>
    <w:uiPriority w:val="99"/>
    <w:semiHidden/>
    <w:rsid w:val="00842F34"/>
    <w:rPr>
      <w:rFonts w:ascii="Arial" w:hAnsi="Arial" w:cstheme="minorBidi"/>
      <w:b/>
      <w:bCs/>
    </w:rPr>
  </w:style>
  <w:style w:type="character" w:styleId="FollowedHyperlink">
    <w:name w:val="FollowedHyperlink"/>
    <w:basedOn w:val="DefaultParagraphFont"/>
    <w:uiPriority w:val="99"/>
    <w:semiHidden/>
    <w:unhideWhenUsed/>
    <w:rsid w:val="00C9223D"/>
    <w:rPr>
      <w:color w:val="800080" w:themeColor="followedHyperlink"/>
      <w:u w:val="single"/>
    </w:rPr>
  </w:style>
  <w:style w:type="paragraph" w:styleId="Revision">
    <w:name w:val="Revision"/>
    <w:hidden/>
    <w:uiPriority w:val="99"/>
    <w:semiHidden/>
    <w:rsid w:val="00DA711A"/>
    <w:rPr>
      <w:rFonts w:ascii="Arial" w:hAnsi="Arial" w:cstheme="minorBidi"/>
      <w:sz w:val="22"/>
      <w:szCs w:val="22"/>
    </w:rPr>
  </w:style>
  <w:style w:type="paragraph" w:styleId="ListBullet">
    <w:name w:val="List Bullet"/>
    <w:basedOn w:val="Normal"/>
    <w:uiPriority w:val="99"/>
    <w:unhideWhenUsed/>
    <w:rsid w:val="004E7489"/>
    <w:pPr>
      <w:numPr>
        <w:numId w:val="14"/>
      </w:numPr>
      <w:contextualSpacing/>
    </w:pPr>
  </w:style>
  <w:style w:type="character" w:customStyle="1" w:styleId="ListParagraphChar">
    <w:name w:val="List Paragraph Char"/>
    <w:aliases w:val="Recommendation Char,List Paragraph1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7D53A3"/>
    <w:rPr>
      <w:rFonts w:asciiTheme="minorHAnsi" w:hAnsiTheme="minorHAnsi" w:cstheme="minorBidi"/>
      <w:sz w:val="22"/>
      <w:szCs w:val="22"/>
    </w:rPr>
  </w:style>
  <w:style w:type="paragraph" w:styleId="ListBullet2">
    <w:name w:val="List Bullet 2"/>
    <w:aliases w:val="Dot-dash bullet"/>
    <w:basedOn w:val="ListBullet"/>
    <w:rsid w:val="005E3EF8"/>
    <w:pPr>
      <w:numPr>
        <w:numId w:val="18"/>
      </w:numPr>
      <w:spacing w:before="40" w:after="80" w:line="240" w:lineRule="auto"/>
      <w:contextualSpacing w:val="0"/>
    </w:pPr>
    <w:rPr>
      <w:rFonts w:eastAsia="Times New Roman" w:cs="Times New Roman"/>
      <w:iCs/>
      <w:sz w:val="20"/>
      <w:szCs w:val="20"/>
    </w:rPr>
  </w:style>
  <w:style w:type="paragraph" w:customStyle="1" w:styleId="highlightedtext">
    <w:name w:val="highlighted text"/>
    <w:basedOn w:val="Normal"/>
    <w:link w:val="highlightedtextChar"/>
    <w:qFormat/>
    <w:rsid w:val="00AA5174"/>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AA5174"/>
    <w:rPr>
      <w:rFonts w:asciiTheme="minorHAnsi" w:hAnsiTheme="minorHAnsi" w:cstheme="minorBidi"/>
      <w:b/>
      <w:iCs/>
      <w:color w:val="917700" w:themeColor="accent3" w:themeShade="80"/>
      <w:sz w:val="22"/>
      <w:szCs w:val="22"/>
    </w:rPr>
  </w:style>
  <w:style w:type="paragraph" w:customStyle="1" w:styleId="Bullet1">
    <w:name w:val="Bullet 1"/>
    <w:basedOn w:val="Normal"/>
    <w:qFormat/>
    <w:rsid w:val="00AA5174"/>
    <w:pPr>
      <w:numPr>
        <w:numId w:val="22"/>
      </w:numPr>
      <w:suppressAutoHyphens/>
      <w:spacing w:before="120" w:after="60" w:line="280" w:lineRule="atLeast"/>
    </w:pPr>
    <w:rPr>
      <w:rFonts w:asciiTheme="minorHAnsi" w:hAnsiTheme="minorHAnsi"/>
    </w:rPr>
  </w:style>
  <w:style w:type="paragraph" w:customStyle="1" w:styleId="Bullet2">
    <w:name w:val="Bullet 2"/>
    <w:basedOn w:val="Bullet1"/>
    <w:qFormat/>
    <w:rsid w:val="00AA5174"/>
    <w:pPr>
      <w:numPr>
        <w:ilvl w:val="1"/>
      </w:numPr>
    </w:pPr>
  </w:style>
  <w:style w:type="paragraph" w:customStyle="1" w:styleId="Bullet3">
    <w:name w:val="Bullet 3"/>
    <w:basedOn w:val="Bullet2"/>
    <w:qFormat/>
    <w:rsid w:val="00AA5174"/>
    <w:pPr>
      <w:numPr>
        <w:ilvl w:val="2"/>
      </w:numPr>
    </w:pPr>
  </w:style>
  <w:style w:type="numbering" w:customStyle="1" w:styleId="BulletsList">
    <w:name w:val="Bullets List"/>
    <w:uiPriority w:val="99"/>
    <w:rsid w:val="00AA517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781">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91167162">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7768409">
      <w:bodyDiv w:val="1"/>
      <w:marLeft w:val="0"/>
      <w:marRight w:val="0"/>
      <w:marTop w:val="0"/>
      <w:marBottom w:val="0"/>
      <w:divBdr>
        <w:top w:val="none" w:sz="0" w:space="0" w:color="auto"/>
        <w:left w:val="none" w:sz="0" w:space="0" w:color="auto"/>
        <w:bottom w:val="none" w:sz="0" w:space="0" w:color="auto"/>
        <w:right w:val="none" w:sz="0" w:space="0" w:color="auto"/>
      </w:divBdr>
    </w:div>
    <w:div w:id="139620364">
      <w:bodyDiv w:val="1"/>
      <w:marLeft w:val="0"/>
      <w:marRight w:val="0"/>
      <w:marTop w:val="0"/>
      <w:marBottom w:val="0"/>
      <w:divBdr>
        <w:top w:val="none" w:sz="0" w:space="0" w:color="auto"/>
        <w:left w:val="none" w:sz="0" w:space="0" w:color="auto"/>
        <w:bottom w:val="none" w:sz="0" w:space="0" w:color="auto"/>
        <w:right w:val="none" w:sz="0" w:space="0" w:color="auto"/>
      </w:divBdr>
    </w:div>
    <w:div w:id="198980820">
      <w:bodyDiv w:val="1"/>
      <w:marLeft w:val="0"/>
      <w:marRight w:val="0"/>
      <w:marTop w:val="0"/>
      <w:marBottom w:val="0"/>
      <w:divBdr>
        <w:top w:val="none" w:sz="0" w:space="0" w:color="auto"/>
        <w:left w:val="none" w:sz="0" w:space="0" w:color="auto"/>
        <w:bottom w:val="none" w:sz="0" w:space="0" w:color="auto"/>
        <w:right w:val="none" w:sz="0" w:space="0" w:color="auto"/>
      </w:divBdr>
    </w:div>
    <w:div w:id="435714586">
      <w:bodyDiv w:val="1"/>
      <w:marLeft w:val="0"/>
      <w:marRight w:val="0"/>
      <w:marTop w:val="0"/>
      <w:marBottom w:val="0"/>
      <w:divBdr>
        <w:top w:val="none" w:sz="0" w:space="0" w:color="auto"/>
        <w:left w:val="none" w:sz="0" w:space="0" w:color="auto"/>
        <w:bottom w:val="none" w:sz="0" w:space="0" w:color="auto"/>
        <w:right w:val="none" w:sz="0" w:space="0" w:color="auto"/>
      </w:divBdr>
    </w:div>
    <w:div w:id="467094278">
      <w:bodyDiv w:val="1"/>
      <w:marLeft w:val="0"/>
      <w:marRight w:val="0"/>
      <w:marTop w:val="0"/>
      <w:marBottom w:val="0"/>
      <w:divBdr>
        <w:top w:val="none" w:sz="0" w:space="0" w:color="auto"/>
        <w:left w:val="none" w:sz="0" w:space="0" w:color="auto"/>
        <w:bottom w:val="none" w:sz="0" w:space="0" w:color="auto"/>
        <w:right w:val="none" w:sz="0" w:space="0" w:color="auto"/>
      </w:divBdr>
    </w:div>
    <w:div w:id="576787126">
      <w:bodyDiv w:val="1"/>
      <w:marLeft w:val="0"/>
      <w:marRight w:val="0"/>
      <w:marTop w:val="0"/>
      <w:marBottom w:val="0"/>
      <w:divBdr>
        <w:top w:val="none" w:sz="0" w:space="0" w:color="auto"/>
        <w:left w:val="none" w:sz="0" w:space="0" w:color="auto"/>
        <w:bottom w:val="none" w:sz="0" w:space="0" w:color="auto"/>
        <w:right w:val="none" w:sz="0" w:space="0" w:color="auto"/>
      </w:divBdr>
    </w:div>
    <w:div w:id="678167268">
      <w:bodyDiv w:val="1"/>
      <w:marLeft w:val="0"/>
      <w:marRight w:val="0"/>
      <w:marTop w:val="0"/>
      <w:marBottom w:val="0"/>
      <w:divBdr>
        <w:top w:val="none" w:sz="0" w:space="0" w:color="auto"/>
        <w:left w:val="none" w:sz="0" w:space="0" w:color="auto"/>
        <w:bottom w:val="none" w:sz="0" w:space="0" w:color="auto"/>
        <w:right w:val="none" w:sz="0" w:space="0" w:color="auto"/>
      </w:divBdr>
    </w:div>
    <w:div w:id="725033814">
      <w:bodyDiv w:val="1"/>
      <w:marLeft w:val="0"/>
      <w:marRight w:val="0"/>
      <w:marTop w:val="0"/>
      <w:marBottom w:val="0"/>
      <w:divBdr>
        <w:top w:val="none" w:sz="0" w:space="0" w:color="auto"/>
        <w:left w:val="none" w:sz="0" w:space="0" w:color="auto"/>
        <w:bottom w:val="none" w:sz="0" w:space="0" w:color="auto"/>
        <w:right w:val="none" w:sz="0" w:space="0" w:color="auto"/>
      </w:divBdr>
    </w:div>
    <w:div w:id="740492426">
      <w:bodyDiv w:val="1"/>
      <w:marLeft w:val="0"/>
      <w:marRight w:val="0"/>
      <w:marTop w:val="0"/>
      <w:marBottom w:val="0"/>
      <w:divBdr>
        <w:top w:val="none" w:sz="0" w:space="0" w:color="auto"/>
        <w:left w:val="none" w:sz="0" w:space="0" w:color="auto"/>
        <w:bottom w:val="none" w:sz="0" w:space="0" w:color="auto"/>
        <w:right w:val="none" w:sz="0" w:space="0" w:color="auto"/>
      </w:divBdr>
    </w:div>
    <w:div w:id="780076351">
      <w:bodyDiv w:val="1"/>
      <w:marLeft w:val="0"/>
      <w:marRight w:val="0"/>
      <w:marTop w:val="0"/>
      <w:marBottom w:val="0"/>
      <w:divBdr>
        <w:top w:val="none" w:sz="0" w:space="0" w:color="auto"/>
        <w:left w:val="none" w:sz="0" w:space="0" w:color="auto"/>
        <w:bottom w:val="none" w:sz="0" w:space="0" w:color="auto"/>
        <w:right w:val="none" w:sz="0" w:space="0" w:color="auto"/>
      </w:divBdr>
    </w:div>
    <w:div w:id="869415568">
      <w:bodyDiv w:val="1"/>
      <w:marLeft w:val="0"/>
      <w:marRight w:val="0"/>
      <w:marTop w:val="0"/>
      <w:marBottom w:val="0"/>
      <w:divBdr>
        <w:top w:val="none" w:sz="0" w:space="0" w:color="auto"/>
        <w:left w:val="none" w:sz="0" w:space="0" w:color="auto"/>
        <w:bottom w:val="none" w:sz="0" w:space="0" w:color="auto"/>
        <w:right w:val="none" w:sz="0" w:space="0" w:color="auto"/>
      </w:divBdr>
    </w:div>
    <w:div w:id="1019350001">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88829249">
      <w:bodyDiv w:val="1"/>
      <w:marLeft w:val="0"/>
      <w:marRight w:val="0"/>
      <w:marTop w:val="0"/>
      <w:marBottom w:val="0"/>
      <w:divBdr>
        <w:top w:val="none" w:sz="0" w:space="0" w:color="auto"/>
        <w:left w:val="none" w:sz="0" w:space="0" w:color="auto"/>
        <w:bottom w:val="none" w:sz="0" w:space="0" w:color="auto"/>
        <w:right w:val="none" w:sz="0" w:space="0" w:color="auto"/>
      </w:divBdr>
    </w:div>
    <w:div w:id="1284506132">
      <w:bodyDiv w:val="1"/>
      <w:marLeft w:val="0"/>
      <w:marRight w:val="0"/>
      <w:marTop w:val="0"/>
      <w:marBottom w:val="0"/>
      <w:divBdr>
        <w:top w:val="none" w:sz="0" w:space="0" w:color="auto"/>
        <w:left w:val="none" w:sz="0" w:space="0" w:color="auto"/>
        <w:bottom w:val="none" w:sz="0" w:space="0" w:color="auto"/>
        <w:right w:val="none" w:sz="0" w:space="0" w:color="auto"/>
      </w:divBdr>
    </w:div>
    <w:div w:id="1291865880">
      <w:bodyDiv w:val="1"/>
      <w:marLeft w:val="0"/>
      <w:marRight w:val="0"/>
      <w:marTop w:val="0"/>
      <w:marBottom w:val="0"/>
      <w:divBdr>
        <w:top w:val="none" w:sz="0" w:space="0" w:color="auto"/>
        <w:left w:val="none" w:sz="0" w:space="0" w:color="auto"/>
        <w:bottom w:val="none" w:sz="0" w:space="0" w:color="auto"/>
        <w:right w:val="none" w:sz="0" w:space="0" w:color="auto"/>
      </w:divBdr>
    </w:div>
    <w:div w:id="1403795083">
      <w:bodyDiv w:val="1"/>
      <w:marLeft w:val="0"/>
      <w:marRight w:val="0"/>
      <w:marTop w:val="0"/>
      <w:marBottom w:val="0"/>
      <w:divBdr>
        <w:top w:val="none" w:sz="0" w:space="0" w:color="auto"/>
        <w:left w:val="none" w:sz="0" w:space="0" w:color="auto"/>
        <w:bottom w:val="none" w:sz="0" w:space="0" w:color="auto"/>
        <w:right w:val="none" w:sz="0" w:space="0" w:color="auto"/>
      </w:divBdr>
    </w:div>
    <w:div w:id="1478181951">
      <w:bodyDiv w:val="1"/>
      <w:marLeft w:val="0"/>
      <w:marRight w:val="0"/>
      <w:marTop w:val="0"/>
      <w:marBottom w:val="0"/>
      <w:divBdr>
        <w:top w:val="none" w:sz="0" w:space="0" w:color="auto"/>
        <w:left w:val="none" w:sz="0" w:space="0" w:color="auto"/>
        <w:bottom w:val="none" w:sz="0" w:space="0" w:color="auto"/>
        <w:right w:val="none" w:sz="0" w:space="0" w:color="auto"/>
      </w:divBdr>
    </w:div>
    <w:div w:id="1516268712">
      <w:bodyDiv w:val="1"/>
      <w:marLeft w:val="0"/>
      <w:marRight w:val="0"/>
      <w:marTop w:val="0"/>
      <w:marBottom w:val="0"/>
      <w:divBdr>
        <w:top w:val="none" w:sz="0" w:space="0" w:color="auto"/>
        <w:left w:val="none" w:sz="0" w:space="0" w:color="auto"/>
        <w:bottom w:val="none" w:sz="0" w:space="0" w:color="auto"/>
        <w:right w:val="none" w:sz="0" w:space="0" w:color="auto"/>
      </w:divBdr>
    </w:div>
    <w:div w:id="1665746546">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68585417">
      <w:bodyDiv w:val="1"/>
      <w:marLeft w:val="0"/>
      <w:marRight w:val="0"/>
      <w:marTop w:val="0"/>
      <w:marBottom w:val="0"/>
      <w:divBdr>
        <w:top w:val="none" w:sz="0" w:space="0" w:color="auto"/>
        <w:left w:val="none" w:sz="0" w:space="0" w:color="auto"/>
        <w:bottom w:val="none" w:sz="0" w:space="0" w:color="auto"/>
        <w:right w:val="none" w:sz="0" w:space="0" w:color="auto"/>
      </w:divBdr>
    </w:div>
    <w:div w:id="21314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women-programs-services-reducing-violence/our-investment-in-womens-safet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Details/C2014C00076" TargetMode="Externa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10" Type="http://schemas.openxmlformats.org/officeDocument/2006/relationships/hyperlink" Target="https://www.dta.gov.au/help-and-advice/about-digital-service-standar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ance.gov.au/resource-management/governance/" TargetMode="External"/><Relationship Id="rId14" Type="http://schemas.openxmlformats.org/officeDocument/2006/relationships/hyperlink" Target="https://www.dss.gov.au/communities-and-vulnerable-people/fair-pay-for-social-and-community-services-work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5E55C1-028A-435A-A632-CB28B226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9</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WORKMAN, Reid</cp:lastModifiedBy>
  <cp:revision>2</cp:revision>
  <cp:lastPrinted>2019-07-09T06:32:00Z</cp:lastPrinted>
  <dcterms:created xsi:type="dcterms:W3CDTF">2019-10-08T00:46:00Z</dcterms:created>
  <dcterms:modified xsi:type="dcterms:W3CDTF">2019-10-08T00:46:00Z</dcterms:modified>
</cp:coreProperties>
</file>