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92" w:rsidRPr="00AF19BF" w:rsidRDefault="0062417D" w:rsidP="00B01BF3">
      <w:pPr>
        <w:pStyle w:val="Heading1"/>
        <w:keepNext w:val="0"/>
        <w:keepLines w:val="0"/>
        <w:spacing w:after="240"/>
        <w:contextualSpacing w:val="0"/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</w:pPr>
      <w:bookmarkStart w:id="0" w:name="_GoBack"/>
      <w:bookmarkEnd w:id="0"/>
      <w:r w:rsidRPr="00AF19BF"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  <w:t xml:space="preserve">Summary of </w:t>
      </w:r>
      <w:r w:rsidR="00002023" w:rsidRPr="00AF19BF"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  <w:t xml:space="preserve">the </w:t>
      </w:r>
      <w:r w:rsidRPr="00AF19BF"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  <w:t>Safe Places</w:t>
      </w:r>
      <w:r w:rsidR="00002023" w:rsidRPr="00AF19BF"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  <w:t xml:space="preserve"> Emergency Accommodation</w:t>
      </w:r>
      <w:r w:rsidRPr="00AF19BF"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  <w:t xml:space="preserve"> </w:t>
      </w:r>
      <w:r w:rsidR="00002023" w:rsidRPr="00AF19BF"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  <w:t>D</w:t>
      </w:r>
      <w:r w:rsidRPr="00AF19BF"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  <w:t xml:space="preserve">raft </w:t>
      </w:r>
      <w:r w:rsidR="00002023" w:rsidRPr="00AF19BF"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  <w:t>F</w:t>
      </w:r>
      <w:r w:rsidRPr="00AF19BF"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  <w:t xml:space="preserve">unding </w:t>
      </w:r>
      <w:r w:rsidR="00002023" w:rsidRPr="00AF19BF"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  <w:t>A</w:t>
      </w:r>
      <w:r w:rsidRPr="00AF19BF">
        <w:rPr>
          <w:rFonts w:ascii="Arial" w:hAnsi="Arial" w:cs="Times New Roman"/>
          <w:bCs w:val="0"/>
          <w:color w:val="264F90"/>
          <w:spacing w:val="0"/>
          <w:kern w:val="0"/>
          <w:sz w:val="40"/>
          <w:szCs w:val="40"/>
          <w:lang w:eastAsia="en-US"/>
        </w:rPr>
        <w:t>greement</w:t>
      </w:r>
    </w:p>
    <w:p w:rsidR="00C80192" w:rsidRPr="002B5042" w:rsidRDefault="00B01BF3" w:rsidP="002B5042">
      <w:pPr>
        <w:numPr>
          <w:ilvl w:val="1"/>
          <w:numId w:val="0"/>
        </w:numPr>
        <w:spacing w:before="40" w:after="120"/>
        <w:rPr>
          <w:spacing w:val="0"/>
          <w:sz w:val="40"/>
          <w:szCs w:val="40"/>
          <w:lang w:eastAsia="en-US"/>
        </w:rPr>
      </w:pPr>
      <w:r>
        <w:rPr>
          <w:spacing w:val="0"/>
          <w:sz w:val="40"/>
          <w:szCs w:val="40"/>
          <w:lang w:eastAsia="en-US"/>
        </w:rPr>
        <w:t>Key requirements to consider</w:t>
      </w:r>
    </w:p>
    <w:p w:rsidR="00F835DC" w:rsidRDefault="0062417D" w:rsidP="00AF19BF">
      <w:pPr>
        <w:pStyle w:val="Heading2"/>
        <w:spacing w:before="400" w:after="240" w:line="288" w:lineRule="atLeast"/>
        <w:contextualSpacing w:val="0"/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</w:pPr>
      <w:r w:rsidRPr="00AF19BF"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  <w:t xml:space="preserve">Note </w:t>
      </w:r>
      <w:r w:rsidR="00F835DC" w:rsidRPr="00AF19BF"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  <w:t>you should read the d</w:t>
      </w:r>
      <w:r w:rsidR="002B5042"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  <w:t>raft funding agreement in full</w:t>
      </w:r>
    </w:p>
    <w:p w:rsidR="002D0E54" w:rsidRDefault="002D0E54" w:rsidP="002D0E54">
      <w:pPr>
        <w:spacing w:before="0" w:after="200" w:line="276" w:lineRule="auto"/>
        <w:rPr>
          <w:rFonts w:eastAsiaTheme="minorHAnsi" w:cstheme="minorBidi"/>
          <w:spacing w:val="0"/>
          <w:sz w:val="22"/>
          <w:szCs w:val="22"/>
          <w:lang w:val="en"/>
        </w:rPr>
      </w:pPr>
      <w:r w:rsidRPr="00AF19BF">
        <w:rPr>
          <w:rFonts w:eastAsiaTheme="minorHAnsi" w:cstheme="minorBidi"/>
          <w:spacing w:val="0"/>
          <w:sz w:val="22"/>
          <w:szCs w:val="22"/>
          <w:lang w:val="en"/>
        </w:rPr>
        <w:t xml:space="preserve">The information below </w:t>
      </w:r>
      <w:proofErr w:type="gramStart"/>
      <w:r w:rsidRPr="00AF19BF">
        <w:rPr>
          <w:rFonts w:eastAsiaTheme="minorHAnsi" w:cstheme="minorBidi"/>
          <w:spacing w:val="0"/>
          <w:sz w:val="22"/>
          <w:szCs w:val="22"/>
          <w:lang w:val="en"/>
        </w:rPr>
        <w:t>is provided</w:t>
      </w:r>
      <w:proofErr w:type="gramEnd"/>
      <w:r w:rsidRPr="00AF19BF">
        <w:rPr>
          <w:rFonts w:eastAsiaTheme="minorHAnsi" w:cstheme="minorBidi"/>
          <w:spacing w:val="0"/>
          <w:sz w:val="22"/>
          <w:szCs w:val="22"/>
          <w:lang w:val="en"/>
        </w:rPr>
        <w:t xml:space="preserve"> as a guide to some aspects of th</w:t>
      </w:r>
      <w:r w:rsidR="00B01BF3">
        <w:rPr>
          <w:rFonts w:eastAsiaTheme="minorHAnsi" w:cstheme="minorBidi"/>
          <w:spacing w:val="0"/>
          <w:sz w:val="22"/>
          <w:szCs w:val="22"/>
          <w:lang w:val="en"/>
        </w:rPr>
        <w:t xml:space="preserve">e draft funding agreement. </w:t>
      </w:r>
      <w:r w:rsidR="005714A2">
        <w:rPr>
          <w:rFonts w:eastAsiaTheme="minorHAnsi" w:cstheme="minorBidi"/>
          <w:spacing w:val="0"/>
          <w:sz w:val="22"/>
          <w:szCs w:val="22"/>
          <w:lang w:val="en"/>
        </w:rPr>
        <w:t>The </w:t>
      </w:r>
      <w:r w:rsidRPr="00AF19BF">
        <w:rPr>
          <w:rFonts w:eastAsiaTheme="minorHAnsi" w:cstheme="minorBidi"/>
          <w:spacing w:val="0"/>
          <w:sz w:val="22"/>
          <w:szCs w:val="22"/>
          <w:lang w:val="en"/>
        </w:rPr>
        <w:t xml:space="preserve">department encourages grant applicants to read the draft funding agreement in full. If any of the below differs from the draft funding agreement, or any final agreement signed with a </w:t>
      </w:r>
      <w:r w:rsidR="00B01BF3">
        <w:rPr>
          <w:rFonts w:eastAsiaTheme="minorHAnsi" w:cstheme="minorBidi"/>
          <w:spacing w:val="0"/>
          <w:sz w:val="22"/>
          <w:szCs w:val="22"/>
          <w:lang w:val="en"/>
        </w:rPr>
        <w:t>P</w:t>
      </w:r>
      <w:r w:rsidRPr="00AF19BF">
        <w:rPr>
          <w:rFonts w:eastAsiaTheme="minorHAnsi" w:cstheme="minorBidi"/>
          <w:spacing w:val="0"/>
          <w:sz w:val="22"/>
          <w:szCs w:val="22"/>
          <w:lang w:val="en"/>
        </w:rPr>
        <w:t xml:space="preserve">articipant (if any), the wording in the signed final agreement prevails over </w:t>
      </w:r>
      <w:r w:rsidR="00B01BF3">
        <w:rPr>
          <w:rFonts w:eastAsiaTheme="minorHAnsi" w:cstheme="minorBidi"/>
          <w:spacing w:val="0"/>
          <w:sz w:val="22"/>
          <w:szCs w:val="22"/>
          <w:lang w:val="en"/>
        </w:rPr>
        <w:t>the information provided below.</w:t>
      </w:r>
    </w:p>
    <w:p w:rsidR="002D0E54" w:rsidRPr="005B6DA1" w:rsidRDefault="002D0E54" w:rsidP="002D0E54">
      <w:pPr>
        <w:pStyle w:val="Heading2"/>
        <w:spacing w:before="0" w:after="240" w:line="288" w:lineRule="atLeast"/>
        <w:contextualSpacing w:val="0"/>
        <w:rPr>
          <w:rFonts w:ascii="Arial" w:eastAsia="Calibri" w:hAnsi="Arial"/>
          <w:b/>
          <w:iCs w:val="0"/>
          <w:color w:val="264F90"/>
          <w:spacing w:val="0"/>
          <w:sz w:val="22"/>
          <w:szCs w:val="26"/>
          <w:lang w:eastAsia="en-US"/>
        </w:rPr>
      </w:pPr>
      <w:r w:rsidRPr="005B6DA1">
        <w:rPr>
          <w:rFonts w:ascii="Arial" w:eastAsia="Calibri" w:hAnsi="Arial"/>
          <w:b/>
          <w:iCs w:val="0"/>
          <w:color w:val="264F90"/>
          <w:spacing w:val="0"/>
          <w:sz w:val="22"/>
          <w:szCs w:val="26"/>
          <w:lang w:eastAsia="en-US"/>
        </w:rPr>
        <w:t xml:space="preserve">Please note the draft funding agreement will be available </w:t>
      </w:r>
      <w:r>
        <w:rPr>
          <w:rFonts w:ascii="Arial" w:eastAsia="Calibri" w:hAnsi="Arial"/>
          <w:b/>
          <w:iCs w:val="0"/>
          <w:color w:val="264F90"/>
          <w:spacing w:val="0"/>
          <w:sz w:val="22"/>
          <w:szCs w:val="26"/>
          <w:lang w:eastAsia="en-US"/>
        </w:rPr>
        <w:t>by 4 December</w:t>
      </w:r>
      <w:r w:rsidRPr="005B6DA1">
        <w:rPr>
          <w:rFonts w:ascii="Arial" w:eastAsia="Calibri" w:hAnsi="Arial"/>
          <w:b/>
          <w:iCs w:val="0"/>
          <w:color w:val="264F90"/>
          <w:spacing w:val="0"/>
          <w:sz w:val="22"/>
          <w:szCs w:val="26"/>
          <w:lang w:eastAsia="en-US"/>
        </w:rPr>
        <w:t xml:space="preserve"> 2019.</w:t>
      </w:r>
    </w:p>
    <w:p w:rsidR="002D0E54" w:rsidRPr="00AF19BF" w:rsidRDefault="002D0E54" w:rsidP="002D0E54">
      <w:pPr>
        <w:pStyle w:val="Heading2"/>
        <w:spacing w:before="400" w:after="240" w:line="288" w:lineRule="atLeast"/>
        <w:contextualSpacing w:val="0"/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</w:pPr>
      <w:r w:rsidRPr="00AF19BF"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  <w:t>Grant recipient reporting</w:t>
      </w:r>
    </w:p>
    <w:p w:rsidR="002D0E54" w:rsidRPr="002B5042" w:rsidRDefault="002D0E54" w:rsidP="002D0E54">
      <w:pPr>
        <w:pStyle w:val="ListBullet"/>
        <w:numPr>
          <w:ilvl w:val="0"/>
          <w:numId w:val="3"/>
        </w:numPr>
        <w:tabs>
          <w:tab w:val="clear" w:pos="170"/>
          <w:tab w:val="left" w:pos="426"/>
        </w:tabs>
        <w:ind w:left="426" w:hanging="426"/>
        <w:rPr>
          <w:rFonts w:eastAsiaTheme="minorHAnsi"/>
          <w:sz w:val="22"/>
          <w:lang w:val="en"/>
        </w:rPr>
      </w:pPr>
      <w:bookmarkStart w:id="1" w:name="_Toc391890682"/>
      <w:r w:rsidRPr="002B5042">
        <w:rPr>
          <w:rFonts w:eastAsiaTheme="minorHAnsi"/>
          <w:sz w:val="22"/>
          <w:lang w:val="en"/>
        </w:rPr>
        <w:t xml:space="preserve">A Participant (being a legal entity with whom the department has entered into a </w:t>
      </w:r>
      <w:r w:rsidR="00B01BF3">
        <w:rPr>
          <w:rFonts w:eastAsiaTheme="minorHAnsi"/>
          <w:sz w:val="22"/>
          <w:lang w:val="en"/>
        </w:rPr>
        <w:t>Safe Places Emergency Accommodation Funding A</w:t>
      </w:r>
      <w:r w:rsidRPr="002B5042">
        <w:rPr>
          <w:rFonts w:eastAsiaTheme="minorHAnsi"/>
          <w:sz w:val="22"/>
          <w:lang w:val="en"/>
        </w:rPr>
        <w:t>greement (Funding Agreement) has the following reporting obligations under the Funding Agreement:</w:t>
      </w:r>
    </w:p>
    <w:p w:rsidR="002D0E54" w:rsidRPr="002B5042" w:rsidRDefault="002D0E54" w:rsidP="002D0E54">
      <w:pPr>
        <w:pStyle w:val="ListBullet"/>
        <w:numPr>
          <w:ilvl w:val="1"/>
          <w:numId w:val="3"/>
        </w:numPr>
        <w:ind w:left="851" w:hanging="425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t xml:space="preserve">When a Participant becomes aware it is </w:t>
      </w:r>
      <w:proofErr w:type="gramStart"/>
      <w:r w:rsidRPr="002B5042">
        <w:rPr>
          <w:rFonts w:eastAsiaTheme="minorHAnsi"/>
          <w:sz w:val="22"/>
          <w:lang w:val="en"/>
        </w:rPr>
        <w:t>likely</w:t>
      </w:r>
      <w:proofErr w:type="gramEnd"/>
      <w:r w:rsidRPr="002B5042">
        <w:rPr>
          <w:rFonts w:eastAsiaTheme="minorHAnsi"/>
          <w:sz w:val="22"/>
          <w:lang w:val="en"/>
        </w:rPr>
        <w:t xml:space="preserve"> a mileston</w:t>
      </w:r>
      <w:r w:rsidR="005714A2">
        <w:rPr>
          <w:rFonts w:eastAsiaTheme="minorHAnsi"/>
          <w:sz w:val="22"/>
          <w:lang w:val="en"/>
        </w:rPr>
        <w:t>e will be missed by more than a </w:t>
      </w:r>
      <w:r w:rsidRPr="002B5042">
        <w:rPr>
          <w:rFonts w:eastAsiaTheme="minorHAnsi"/>
          <w:sz w:val="22"/>
          <w:lang w:val="en"/>
        </w:rPr>
        <w:t>month it must immediately notify the department</w:t>
      </w:r>
      <w:r>
        <w:rPr>
          <w:rFonts w:eastAsiaTheme="minorHAnsi"/>
          <w:sz w:val="22"/>
          <w:lang w:val="en"/>
        </w:rPr>
        <w:t>.</w:t>
      </w:r>
    </w:p>
    <w:p w:rsidR="002D0E54" w:rsidRPr="002B5042" w:rsidRDefault="002D0E54" w:rsidP="002D0E54">
      <w:pPr>
        <w:pStyle w:val="ListBullet"/>
        <w:numPr>
          <w:ilvl w:val="1"/>
          <w:numId w:val="3"/>
        </w:numPr>
        <w:ind w:left="851" w:hanging="425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t xml:space="preserve">Participants must submit progress reports against milestones </w:t>
      </w:r>
      <w:proofErr w:type="gramStart"/>
      <w:r w:rsidRPr="002B5042">
        <w:rPr>
          <w:rFonts w:eastAsiaTheme="minorHAnsi"/>
          <w:sz w:val="22"/>
          <w:lang w:val="en"/>
        </w:rPr>
        <w:t>achieved,</w:t>
      </w:r>
      <w:proofErr w:type="gramEnd"/>
      <w:r w:rsidRPr="002B5042">
        <w:rPr>
          <w:rFonts w:eastAsiaTheme="minorHAnsi"/>
          <w:sz w:val="22"/>
          <w:lang w:val="en"/>
        </w:rPr>
        <w:t xml:space="preserve"> a final report against the final milestone and annual funding acquittals. Payments are only payable following provision to the department, to its satisfaction, of applicable reports and relevant deliverables for a milestone</w:t>
      </w:r>
      <w:r>
        <w:rPr>
          <w:rFonts w:eastAsiaTheme="minorHAnsi"/>
          <w:sz w:val="22"/>
          <w:lang w:val="en"/>
        </w:rPr>
        <w:t>.</w:t>
      </w:r>
    </w:p>
    <w:p w:rsidR="002D0E54" w:rsidRPr="002B5042" w:rsidRDefault="002D0E54" w:rsidP="002D0E54">
      <w:pPr>
        <w:pStyle w:val="ListBullet"/>
        <w:numPr>
          <w:ilvl w:val="1"/>
          <w:numId w:val="3"/>
        </w:numPr>
        <w:ind w:left="851" w:hanging="425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t>Following completion of the dwellings, Participants must submit a letter each year for the duration of the designated use period of 15 years, that states how many women and children were assisted in the preceding year and confirms:</w:t>
      </w:r>
    </w:p>
    <w:p w:rsidR="002D0E54" w:rsidRPr="002B5042" w:rsidRDefault="002D0E54" w:rsidP="002D0E54">
      <w:pPr>
        <w:pStyle w:val="ListBullet"/>
        <w:numPr>
          <w:ilvl w:val="1"/>
          <w:numId w:val="3"/>
        </w:numPr>
        <w:ind w:left="1276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t>The dwellings are still operating as emergency or crisis accommodation; and</w:t>
      </w:r>
    </w:p>
    <w:p w:rsidR="002D0E54" w:rsidRPr="002B5042" w:rsidRDefault="002D0E54" w:rsidP="002D0E54">
      <w:pPr>
        <w:pStyle w:val="ListBullet"/>
        <w:numPr>
          <w:ilvl w:val="1"/>
          <w:numId w:val="3"/>
        </w:numPr>
        <w:ind w:left="1276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t xml:space="preserve">The name of </w:t>
      </w:r>
      <w:proofErr w:type="spellStart"/>
      <w:r w:rsidRPr="002B5042">
        <w:rPr>
          <w:rFonts w:eastAsiaTheme="minorHAnsi"/>
          <w:sz w:val="22"/>
          <w:lang w:val="en"/>
        </w:rPr>
        <w:t>organisation</w:t>
      </w:r>
      <w:proofErr w:type="spellEnd"/>
      <w:r w:rsidRPr="002B5042">
        <w:rPr>
          <w:rFonts w:eastAsiaTheme="minorHAnsi"/>
          <w:sz w:val="22"/>
          <w:lang w:val="en"/>
        </w:rPr>
        <w:t>/s that delivered the specialist services.</w:t>
      </w:r>
    </w:p>
    <w:bookmarkEnd w:id="1"/>
    <w:p w:rsidR="002D0E54" w:rsidRPr="00AF19BF" w:rsidRDefault="002D0E54" w:rsidP="002D0E54">
      <w:pPr>
        <w:pStyle w:val="Heading2"/>
        <w:spacing w:before="400" w:after="240" w:line="288" w:lineRule="atLeast"/>
        <w:contextualSpacing w:val="0"/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</w:pPr>
      <w:r w:rsidRPr="00AF19BF"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  <w:t>Securities associated with Safe Places grants</w:t>
      </w:r>
    </w:p>
    <w:p w:rsidR="002D0E54" w:rsidRPr="002B5042" w:rsidRDefault="002D0E54" w:rsidP="002D0E54">
      <w:pPr>
        <w:pStyle w:val="ListBullet"/>
        <w:numPr>
          <w:ilvl w:val="0"/>
          <w:numId w:val="3"/>
        </w:numPr>
        <w:tabs>
          <w:tab w:val="clear" w:pos="170"/>
          <w:tab w:val="left" w:pos="426"/>
        </w:tabs>
        <w:ind w:left="426" w:hanging="426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t>To ensure the relevant property continues to operate as emergency/crisis accommodation, Participants are required to agree that the department has the right to register a ca</w:t>
      </w:r>
      <w:r w:rsidR="005714A2">
        <w:rPr>
          <w:rFonts w:eastAsiaTheme="minorHAnsi"/>
          <w:sz w:val="22"/>
          <w:lang w:val="en"/>
        </w:rPr>
        <w:t>veat on the </w:t>
      </w:r>
      <w:r w:rsidRPr="002B5042">
        <w:rPr>
          <w:rFonts w:eastAsiaTheme="minorHAnsi"/>
          <w:sz w:val="22"/>
          <w:lang w:val="en"/>
        </w:rPr>
        <w:t>relevant property.</w:t>
      </w:r>
    </w:p>
    <w:p w:rsidR="002D0E54" w:rsidRPr="002B5042" w:rsidRDefault="002D0E54" w:rsidP="002D0E54">
      <w:pPr>
        <w:pStyle w:val="ListBullet"/>
        <w:numPr>
          <w:ilvl w:val="0"/>
          <w:numId w:val="3"/>
        </w:numPr>
        <w:tabs>
          <w:tab w:val="clear" w:pos="170"/>
          <w:tab w:val="left" w:pos="426"/>
        </w:tabs>
        <w:ind w:left="426" w:hanging="426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t xml:space="preserve">If the grant payable under a Funding Agreement is less than $1 million, the </w:t>
      </w:r>
      <w:r w:rsidR="005364ED">
        <w:rPr>
          <w:rFonts w:eastAsiaTheme="minorHAnsi"/>
          <w:sz w:val="22"/>
          <w:lang w:val="en"/>
        </w:rPr>
        <w:t>d</w:t>
      </w:r>
      <w:r w:rsidRPr="002B5042">
        <w:rPr>
          <w:rFonts w:eastAsiaTheme="minorHAnsi"/>
          <w:sz w:val="22"/>
          <w:lang w:val="en"/>
        </w:rPr>
        <w:t>epartment anticipates that there will be no ad</w:t>
      </w:r>
      <w:r w:rsidR="00501A12">
        <w:rPr>
          <w:rFonts w:eastAsiaTheme="minorHAnsi"/>
          <w:sz w:val="22"/>
          <w:lang w:val="en"/>
        </w:rPr>
        <w:t>ditional security requirements.</w:t>
      </w:r>
    </w:p>
    <w:p w:rsidR="002D0E54" w:rsidRPr="002B5042" w:rsidRDefault="002D0E54" w:rsidP="002D0E54">
      <w:pPr>
        <w:pStyle w:val="ListBullet"/>
        <w:numPr>
          <w:ilvl w:val="0"/>
          <w:numId w:val="3"/>
        </w:numPr>
        <w:tabs>
          <w:tab w:val="clear" w:pos="170"/>
          <w:tab w:val="left" w:pos="426"/>
        </w:tabs>
        <w:ind w:left="426" w:hanging="426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t xml:space="preserve">If the grant payable under a Funding Agreement is $1 million or more, the </w:t>
      </w:r>
      <w:r w:rsidR="005364ED">
        <w:rPr>
          <w:rFonts w:eastAsiaTheme="minorHAnsi"/>
          <w:sz w:val="22"/>
          <w:lang w:val="en"/>
        </w:rPr>
        <w:t>d</w:t>
      </w:r>
      <w:r w:rsidRPr="002B5042">
        <w:rPr>
          <w:rFonts w:eastAsiaTheme="minorHAnsi"/>
          <w:sz w:val="22"/>
          <w:lang w:val="en"/>
        </w:rPr>
        <w:t xml:space="preserve">epartment </w:t>
      </w:r>
      <w:r w:rsidR="005714A2">
        <w:rPr>
          <w:rFonts w:eastAsiaTheme="minorHAnsi"/>
          <w:sz w:val="22"/>
          <w:lang w:val="en"/>
        </w:rPr>
        <w:t>will </w:t>
      </w:r>
      <w:r w:rsidRPr="002B5042">
        <w:rPr>
          <w:rFonts w:eastAsiaTheme="minorHAnsi"/>
          <w:sz w:val="22"/>
          <w:lang w:val="en"/>
        </w:rPr>
        <w:t xml:space="preserve">require a restricted covenant to </w:t>
      </w:r>
      <w:proofErr w:type="gramStart"/>
      <w:r w:rsidRPr="002B5042">
        <w:rPr>
          <w:rFonts w:eastAsiaTheme="minorHAnsi"/>
          <w:sz w:val="22"/>
          <w:lang w:val="en"/>
        </w:rPr>
        <w:t>be registere</w:t>
      </w:r>
      <w:r w:rsidR="00501A12">
        <w:rPr>
          <w:rFonts w:eastAsiaTheme="minorHAnsi"/>
          <w:sz w:val="22"/>
          <w:lang w:val="en"/>
        </w:rPr>
        <w:t>d</w:t>
      </w:r>
      <w:proofErr w:type="gramEnd"/>
      <w:r w:rsidR="00501A12">
        <w:rPr>
          <w:rFonts w:eastAsiaTheme="minorHAnsi"/>
          <w:sz w:val="22"/>
          <w:lang w:val="en"/>
        </w:rPr>
        <w:t xml:space="preserve"> on the title of the property.</w:t>
      </w:r>
    </w:p>
    <w:p w:rsidR="002D0E54" w:rsidRPr="002B5042" w:rsidRDefault="002D0E54" w:rsidP="002D0E54">
      <w:pPr>
        <w:pStyle w:val="ListBullet"/>
        <w:numPr>
          <w:ilvl w:val="0"/>
          <w:numId w:val="3"/>
        </w:numPr>
        <w:tabs>
          <w:tab w:val="clear" w:pos="170"/>
          <w:tab w:val="left" w:pos="426"/>
        </w:tabs>
        <w:ind w:left="426" w:hanging="426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lastRenderedPageBreak/>
        <w:t xml:space="preserve">If the grant payable under a Funding Agreement is $1 million or more and the department's contribution represents 50 per cent or more of the anticipated budget, the department will require a restricted covenant and first mortgage to </w:t>
      </w:r>
      <w:proofErr w:type="gramStart"/>
      <w:r w:rsidRPr="002B5042">
        <w:rPr>
          <w:rFonts w:eastAsiaTheme="minorHAnsi"/>
          <w:sz w:val="22"/>
          <w:lang w:val="en"/>
        </w:rPr>
        <w:t>be registere</w:t>
      </w:r>
      <w:r w:rsidR="00501A12">
        <w:rPr>
          <w:rFonts w:eastAsiaTheme="minorHAnsi"/>
          <w:sz w:val="22"/>
          <w:lang w:val="en"/>
        </w:rPr>
        <w:t>d</w:t>
      </w:r>
      <w:proofErr w:type="gramEnd"/>
      <w:r w:rsidR="00501A12">
        <w:rPr>
          <w:rFonts w:eastAsiaTheme="minorHAnsi"/>
          <w:sz w:val="22"/>
          <w:lang w:val="en"/>
        </w:rPr>
        <w:t xml:space="preserve"> on the title of the property.</w:t>
      </w:r>
    </w:p>
    <w:p w:rsidR="002D0E54" w:rsidRPr="002B5042" w:rsidRDefault="002D0E54" w:rsidP="002D0E54">
      <w:pPr>
        <w:pStyle w:val="ListBullet"/>
        <w:numPr>
          <w:ilvl w:val="0"/>
          <w:numId w:val="3"/>
        </w:numPr>
        <w:tabs>
          <w:tab w:val="clear" w:pos="170"/>
          <w:tab w:val="left" w:pos="426"/>
        </w:tabs>
        <w:ind w:left="426" w:hanging="426"/>
        <w:rPr>
          <w:rFonts w:eastAsiaTheme="minorHAnsi"/>
          <w:sz w:val="22"/>
          <w:lang w:val="en"/>
        </w:rPr>
      </w:pPr>
      <w:proofErr w:type="gramStart"/>
      <w:r w:rsidRPr="002B5042">
        <w:rPr>
          <w:rFonts w:eastAsiaTheme="minorHAnsi"/>
          <w:sz w:val="22"/>
          <w:lang w:val="en"/>
        </w:rPr>
        <w:t xml:space="preserve">If the grant payable under a Funding Agreement is $1 million or more, the department's contribution represents 50 per cent or more of the anticipated budget and the project </w:t>
      </w:r>
      <w:r w:rsidR="005714A2">
        <w:rPr>
          <w:rFonts w:eastAsiaTheme="minorHAnsi"/>
          <w:sz w:val="22"/>
          <w:lang w:val="en"/>
        </w:rPr>
        <w:t>involves a </w:t>
      </w:r>
      <w:r w:rsidRPr="002B5042">
        <w:rPr>
          <w:rFonts w:eastAsiaTheme="minorHAnsi"/>
          <w:sz w:val="22"/>
          <w:lang w:val="en"/>
        </w:rPr>
        <w:t xml:space="preserve">new build, the department will require a restricted covenant and first mortgage to be registered on the title of the property, and the Participant will be required to grant step-in rights </w:t>
      </w:r>
      <w:r w:rsidR="005714A2">
        <w:rPr>
          <w:rFonts w:eastAsiaTheme="minorHAnsi"/>
          <w:sz w:val="22"/>
          <w:lang w:val="en"/>
        </w:rPr>
        <w:t xml:space="preserve">in </w:t>
      </w:r>
      <w:proofErr w:type="spellStart"/>
      <w:r w:rsidR="005714A2">
        <w:rPr>
          <w:rFonts w:eastAsiaTheme="minorHAnsi"/>
          <w:sz w:val="22"/>
          <w:lang w:val="en"/>
        </w:rPr>
        <w:t>favour</w:t>
      </w:r>
      <w:proofErr w:type="spellEnd"/>
      <w:r w:rsidR="005714A2">
        <w:rPr>
          <w:rFonts w:eastAsiaTheme="minorHAnsi"/>
          <w:sz w:val="22"/>
          <w:lang w:val="en"/>
        </w:rPr>
        <w:t xml:space="preserve"> of </w:t>
      </w:r>
      <w:r w:rsidR="00501A12">
        <w:rPr>
          <w:rFonts w:eastAsiaTheme="minorHAnsi"/>
          <w:sz w:val="22"/>
          <w:lang w:val="en"/>
        </w:rPr>
        <w:t>the department.</w:t>
      </w:r>
      <w:proofErr w:type="gramEnd"/>
    </w:p>
    <w:p w:rsidR="002D0E54" w:rsidRPr="00AF19BF" w:rsidRDefault="002D0E54" w:rsidP="002D0E54">
      <w:pPr>
        <w:pStyle w:val="Heading2"/>
        <w:spacing w:before="400" w:after="240" w:line="288" w:lineRule="atLeast"/>
        <w:contextualSpacing w:val="0"/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</w:pPr>
      <w:r w:rsidRPr="00AF19BF"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  <w:t xml:space="preserve">Variations </w:t>
      </w:r>
    </w:p>
    <w:p w:rsidR="002D0E54" w:rsidRPr="002B5042" w:rsidRDefault="002D0E54" w:rsidP="002D0E54">
      <w:pPr>
        <w:pStyle w:val="ListBullet"/>
        <w:numPr>
          <w:ilvl w:val="0"/>
          <w:numId w:val="3"/>
        </w:numPr>
        <w:tabs>
          <w:tab w:val="clear" w:pos="170"/>
          <w:tab w:val="left" w:pos="426"/>
        </w:tabs>
        <w:ind w:left="426" w:hanging="426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t>To seek a variation to the milestone schedule, a Participant should notify the department as soon are they are aware of any potential changes and se</w:t>
      </w:r>
      <w:r w:rsidR="005714A2">
        <w:rPr>
          <w:rFonts w:eastAsiaTheme="minorHAnsi"/>
          <w:sz w:val="22"/>
          <w:lang w:val="en"/>
        </w:rPr>
        <w:t>ek the department's approval to </w:t>
      </w:r>
      <w:r w:rsidRPr="002B5042">
        <w:rPr>
          <w:rFonts w:eastAsiaTheme="minorHAnsi"/>
          <w:sz w:val="22"/>
          <w:lang w:val="en"/>
        </w:rPr>
        <w:t>propos</w:t>
      </w:r>
      <w:r w:rsidR="00501A12">
        <w:rPr>
          <w:rFonts w:eastAsiaTheme="minorHAnsi"/>
          <w:sz w:val="22"/>
          <w:lang w:val="en"/>
        </w:rPr>
        <w:t>ed changes to the project plan.</w:t>
      </w:r>
    </w:p>
    <w:p w:rsidR="002D0E54" w:rsidRPr="00AF19BF" w:rsidRDefault="002D0E54" w:rsidP="002D0E54">
      <w:pPr>
        <w:pStyle w:val="Heading2"/>
        <w:spacing w:before="400" w:after="240" w:line="288" w:lineRule="atLeast"/>
        <w:contextualSpacing w:val="0"/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</w:pPr>
      <w:r w:rsidRPr="00AF19BF"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  <w:t>Work, Health and Safety Requirements</w:t>
      </w:r>
    </w:p>
    <w:p w:rsidR="002D0E54" w:rsidRPr="002B5042" w:rsidRDefault="002D0E54" w:rsidP="002D0E54">
      <w:pPr>
        <w:pStyle w:val="ListBullet"/>
        <w:numPr>
          <w:ilvl w:val="0"/>
          <w:numId w:val="3"/>
        </w:numPr>
        <w:tabs>
          <w:tab w:val="clear" w:pos="170"/>
          <w:tab w:val="left" w:pos="426"/>
        </w:tabs>
        <w:ind w:left="426" w:hanging="426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t xml:space="preserve">Participants must comply with all applicable work health and safety requirements, including under the </w:t>
      </w:r>
      <w:r w:rsidRPr="002B5042">
        <w:rPr>
          <w:rFonts w:eastAsiaTheme="minorHAnsi"/>
          <w:i/>
          <w:sz w:val="22"/>
          <w:lang w:val="en"/>
        </w:rPr>
        <w:t>Work Health and Safety Act 2011</w:t>
      </w:r>
      <w:r w:rsidRPr="002B5042">
        <w:rPr>
          <w:rFonts w:eastAsiaTheme="minorHAnsi"/>
          <w:sz w:val="22"/>
          <w:lang w:val="en"/>
        </w:rPr>
        <w:t xml:space="preserve"> (</w:t>
      </w:r>
      <w:proofErr w:type="spellStart"/>
      <w:r w:rsidRPr="002B5042">
        <w:rPr>
          <w:rFonts w:eastAsiaTheme="minorHAnsi"/>
          <w:sz w:val="22"/>
          <w:lang w:val="en"/>
        </w:rPr>
        <w:t>Cth</w:t>
      </w:r>
      <w:proofErr w:type="spellEnd"/>
      <w:r w:rsidRPr="002B5042">
        <w:rPr>
          <w:rFonts w:eastAsiaTheme="minorHAnsi"/>
          <w:sz w:val="22"/>
          <w:lang w:val="en"/>
        </w:rPr>
        <w:t>) and any other applicable laws (incl</w:t>
      </w:r>
      <w:r w:rsidR="00501A12">
        <w:rPr>
          <w:rFonts w:eastAsiaTheme="minorHAnsi"/>
          <w:sz w:val="22"/>
          <w:lang w:val="en"/>
        </w:rPr>
        <w:t>uding state and territory law).</w:t>
      </w:r>
    </w:p>
    <w:p w:rsidR="002D0E54" w:rsidRPr="002B5042" w:rsidRDefault="002D0E54" w:rsidP="002D0E54">
      <w:pPr>
        <w:pStyle w:val="ListBullet"/>
        <w:numPr>
          <w:ilvl w:val="0"/>
          <w:numId w:val="3"/>
        </w:numPr>
        <w:tabs>
          <w:tab w:val="clear" w:pos="170"/>
          <w:tab w:val="left" w:pos="426"/>
        </w:tabs>
        <w:ind w:left="426" w:hanging="426"/>
        <w:rPr>
          <w:rFonts w:eastAsiaTheme="minorHAnsi"/>
          <w:sz w:val="22"/>
          <w:lang w:val="en"/>
        </w:rPr>
      </w:pPr>
      <w:r w:rsidRPr="002B5042">
        <w:rPr>
          <w:rFonts w:eastAsiaTheme="minorHAnsi"/>
          <w:sz w:val="22"/>
          <w:lang w:val="en"/>
        </w:rPr>
        <w:t xml:space="preserve">Participants may also need to comply with the Work Health and Safety Accreditation Scheme under the </w:t>
      </w:r>
      <w:r w:rsidRPr="002B5042">
        <w:rPr>
          <w:rFonts w:eastAsiaTheme="minorHAnsi"/>
          <w:i/>
          <w:sz w:val="22"/>
          <w:lang w:val="en"/>
        </w:rPr>
        <w:t>Building and Construction Industry (Improving Productivity) Act 2016</w:t>
      </w:r>
      <w:r w:rsidRPr="002B5042">
        <w:rPr>
          <w:rFonts w:eastAsiaTheme="minorHAnsi"/>
          <w:sz w:val="22"/>
          <w:lang w:val="en"/>
        </w:rPr>
        <w:t xml:space="preserve"> if:</w:t>
      </w:r>
    </w:p>
    <w:p w:rsidR="002D0E54" w:rsidRPr="002B5042" w:rsidRDefault="002D0E54" w:rsidP="002D0E54">
      <w:pPr>
        <w:pStyle w:val="ListBullet"/>
        <w:numPr>
          <w:ilvl w:val="1"/>
          <w:numId w:val="3"/>
        </w:numPr>
        <w:ind w:left="851" w:hanging="425"/>
        <w:rPr>
          <w:sz w:val="22"/>
        </w:rPr>
      </w:pPr>
      <w:r w:rsidRPr="002B5042">
        <w:rPr>
          <w:sz w:val="22"/>
        </w:rPr>
        <w:t xml:space="preserve">the grant </w:t>
      </w:r>
      <w:r w:rsidRPr="002B5042">
        <w:rPr>
          <w:rFonts w:eastAsiaTheme="minorHAnsi"/>
          <w:sz w:val="22"/>
          <w:lang w:val="en"/>
        </w:rPr>
        <w:t>payable</w:t>
      </w:r>
      <w:r w:rsidRPr="002B5042">
        <w:rPr>
          <w:sz w:val="22"/>
        </w:rPr>
        <w:t xml:space="preserve"> under the Funding Agreement is $4 million or more (GST inclusive); and </w:t>
      </w:r>
    </w:p>
    <w:p w:rsidR="002D0E54" w:rsidRPr="002B5042" w:rsidRDefault="002D0E54" w:rsidP="002D0E54">
      <w:pPr>
        <w:pStyle w:val="ListBullet"/>
        <w:numPr>
          <w:ilvl w:val="1"/>
          <w:numId w:val="3"/>
        </w:numPr>
        <w:ind w:left="851" w:hanging="425"/>
        <w:rPr>
          <w:sz w:val="22"/>
        </w:rPr>
      </w:pPr>
      <w:proofErr w:type="gramStart"/>
      <w:r w:rsidRPr="002B5042">
        <w:rPr>
          <w:sz w:val="22"/>
        </w:rPr>
        <w:t>the</w:t>
      </w:r>
      <w:proofErr w:type="gramEnd"/>
      <w:r w:rsidRPr="002B5042">
        <w:rPr>
          <w:sz w:val="22"/>
        </w:rPr>
        <w:t xml:space="preserve"> </w:t>
      </w:r>
      <w:r w:rsidRPr="002B5042">
        <w:rPr>
          <w:rFonts w:eastAsiaTheme="minorHAnsi"/>
          <w:sz w:val="22"/>
          <w:lang w:val="en"/>
        </w:rPr>
        <w:t>grant</w:t>
      </w:r>
      <w:r w:rsidRPr="002B5042">
        <w:rPr>
          <w:sz w:val="22"/>
        </w:rPr>
        <w:t xml:space="preserve"> is for 'building work' (as defined in the </w:t>
      </w:r>
      <w:r w:rsidRPr="002B5042">
        <w:rPr>
          <w:i/>
          <w:sz w:val="22"/>
        </w:rPr>
        <w:t>Building and Construction Industry (Improving Productivity) Act</w:t>
      </w:r>
      <w:r w:rsidRPr="002B5042">
        <w:rPr>
          <w:sz w:val="22"/>
        </w:rPr>
        <w:t xml:space="preserve"> </w:t>
      </w:r>
      <w:r w:rsidRPr="002B5042">
        <w:rPr>
          <w:i/>
          <w:sz w:val="22"/>
        </w:rPr>
        <w:t>2016</w:t>
      </w:r>
      <w:r w:rsidRPr="002B5042">
        <w:rPr>
          <w:sz w:val="22"/>
        </w:rPr>
        <w:t>).</w:t>
      </w:r>
    </w:p>
    <w:p w:rsidR="002D0E54" w:rsidRPr="00AF19BF" w:rsidRDefault="002D0E54" w:rsidP="002D0E54">
      <w:pPr>
        <w:pStyle w:val="Heading2"/>
        <w:spacing w:before="400" w:after="240" w:line="288" w:lineRule="atLeast"/>
        <w:contextualSpacing w:val="0"/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</w:pPr>
      <w:r w:rsidRPr="00AF19BF">
        <w:rPr>
          <w:rFonts w:ascii="Arial" w:eastAsia="Calibri" w:hAnsi="Arial"/>
          <w:b/>
          <w:iCs w:val="0"/>
          <w:color w:val="264F90"/>
          <w:spacing w:val="0"/>
          <w:sz w:val="28"/>
          <w:szCs w:val="26"/>
          <w:lang w:eastAsia="en-US"/>
        </w:rPr>
        <w:t>Practical Completion</w:t>
      </w:r>
    </w:p>
    <w:p w:rsidR="00CB05BE" w:rsidRPr="002B5042" w:rsidRDefault="002D0E54" w:rsidP="002D0E54">
      <w:pPr>
        <w:pStyle w:val="ListBullet"/>
        <w:numPr>
          <w:ilvl w:val="0"/>
          <w:numId w:val="3"/>
        </w:numPr>
        <w:tabs>
          <w:tab w:val="clear" w:pos="170"/>
          <w:tab w:val="left" w:pos="426"/>
        </w:tabs>
        <w:ind w:left="426" w:hanging="426"/>
        <w:rPr>
          <w:sz w:val="22"/>
        </w:rPr>
      </w:pPr>
      <w:r w:rsidRPr="002B5042">
        <w:rPr>
          <w:sz w:val="22"/>
        </w:rPr>
        <w:t xml:space="preserve">It </w:t>
      </w:r>
      <w:proofErr w:type="gramStart"/>
      <w:r w:rsidRPr="002B5042">
        <w:rPr>
          <w:sz w:val="22"/>
        </w:rPr>
        <w:t>is expected</w:t>
      </w:r>
      <w:proofErr w:type="gramEnd"/>
      <w:r w:rsidRPr="002B5042">
        <w:rPr>
          <w:sz w:val="22"/>
        </w:rPr>
        <w:t xml:space="preserve"> that the additional safe places funded un</w:t>
      </w:r>
      <w:r w:rsidR="005714A2">
        <w:rPr>
          <w:sz w:val="22"/>
        </w:rPr>
        <w:t>der this grant opportunity will </w:t>
      </w:r>
      <w:r w:rsidRPr="002B5042">
        <w:rPr>
          <w:sz w:val="22"/>
        </w:rPr>
        <w:t>be </w:t>
      </w:r>
      <w:r w:rsidRPr="002B5042">
        <w:rPr>
          <w:rFonts w:eastAsiaTheme="minorHAnsi"/>
          <w:sz w:val="22"/>
          <w:lang w:val="en"/>
        </w:rPr>
        <w:t>operational</w:t>
      </w:r>
      <w:r w:rsidRPr="002B5042">
        <w:rPr>
          <w:sz w:val="22"/>
        </w:rPr>
        <w:t xml:space="preserve"> and providing services by 30 June 2022.</w:t>
      </w:r>
    </w:p>
    <w:sectPr w:rsidR="00CB05BE" w:rsidRPr="002B5042" w:rsidSect="00D82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04" w:rsidRDefault="00785E04">
      <w:r>
        <w:separator/>
      </w:r>
    </w:p>
  </w:endnote>
  <w:endnote w:type="continuationSeparator" w:id="0">
    <w:p w:rsidR="00785E04" w:rsidRDefault="0078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9D" w:rsidRDefault="00785E04">
    <w:pPr>
      <w:pStyle w:val="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="00A76217" w:rsidRPr="00A76217">
      <w:rPr>
        <w:color w:val="191919"/>
        <w:sz w:val="13"/>
      </w:rPr>
      <w:t>ME_166458285_1</w:t>
    </w:r>
    <w:r>
      <w:rPr>
        <w:color w:val="191919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A2" w:rsidRPr="005714A2" w:rsidRDefault="005714A2" w:rsidP="005714A2">
    <w:pPr>
      <w:pStyle w:val="Footer"/>
      <w:tabs>
        <w:tab w:val="right" w:pos="9639"/>
      </w:tabs>
      <w:rPr>
        <w:sz w:val="16"/>
      </w:rPr>
    </w:pPr>
    <w:r w:rsidRPr="005714A2">
      <w:rPr>
        <w:sz w:val="16"/>
      </w:rPr>
      <w:t>Safe Places Emergenc</w:t>
    </w:r>
    <w:r w:rsidR="00501A12">
      <w:rPr>
        <w:sz w:val="16"/>
      </w:rPr>
      <w:t xml:space="preserve">y Accommodation Program – </w:t>
    </w:r>
    <w:r w:rsidR="001822E1">
      <w:rPr>
        <w:sz w:val="16"/>
      </w:rPr>
      <w:t xml:space="preserve">Draft </w:t>
    </w:r>
    <w:r w:rsidRPr="005714A2">
      <w:rPr>
        <w:sz w:val="16"/>
      </w:rPr>
      <w:t>Funding Agreement factsheet</w:t>
    </w:r>
    <w:r w:rsidRPr="005714A2">
      <w:rPr>
        <w:sz w:val="16"/>
      </w:rPr>
      <w:tab/>
    </w:r>
    <w:sdt>
      <w:sdtPr>
        <w:rPr>
          <w:sz w:val="16"/>
        </w:rPr>
        <w:id w:val="-1371133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</w:rPr>
            <w:id w:val="-52542321"/>
            <w:docPartObj>
              <w:docPartGallery w:val="Page Numbers (Top of Page)"/>
              <w:docPartUnique/>
            </w:docPartObj>
          </w:sdtPr>
          <w:sdtEndPr/>
          <w:sdtContent>
            <w:r w:rsidRPr="005714A2">
              <w:rPr>
                <w:sz w:val="16"/>
              </w:rPr>
              <w:t xml:space="preserve">Page </w:t>
            </w:r>
            <w:r w:rsidRPr="005714A2">
              <w:rPr>
                <w:bCs/>
                <w:sz w:val="22"/>
              </w:rPr>
              <w:fldChar w:fldCharType="begin"/>
            </w:r>
            <w:r w:rsidRPr="005714A2">
              <w:rPr>
                <w:bCs/>
                <w:sz w:val="16"/>
              </w:rPr>
              <w:instrText xml:space="preserve"> PAGE </w:instrText>
            </w:r>
            <w:r w:rsidRPr="005714A2">
              <w:rPr>
                <w:bCs/>
                <w:sz w:val="22"/>
              </w:rPr>
              <w:fldChar w:fldCharType="separate"/>
            </w:r>
            <w:r w:rsidR="00A76217">
              <w:rPr>
                <w:bCs/>
                <w:noProof/>
                <w:sz w:val="16"/>
              </w:rPr>
              <w:t>2</w:t>
            </w:r>
            <w:r w:rsidRPr="005714A2">
              <w:rPr>
                <w:bCs/>
                <w:sz w:val="22"/>
              </w:rPr>
              <w:fldChar w:fldCharType="end"/>
            </w:r>
            <w:r w:rsidRPr="005714A2">
              <w:rPr>
                <w:sz w:val="16"/>
              </w:rPr>
              <w:t xml:space="preserve"> of </w:t>
            </w:r>
            <w:r w:rsidRPr="005714A2">
              <w:rPr>
                <w:bCs/>
                <w:sz w:val="22"/>
              </w:rPr>
              <w:fldChar w:fldCharType="begin"/>
            </w:r>
            <w:r w:rsidRPr="005714A2">
              <w:rPr>
                <w:bCs/>
                <w:sz w:val="16"/>
              </w:rPr>
              <w:instrText xml:space="preserve"> NUMPAGES  </w:instrText>
            </w:r>
            <w:r w:rsidRPr="005714A2">
              <w:rPr>
                <w:bCs/>
                <w:sz w:val="22"/>
              </w:rPr>
              <w:fldChar w:fldCharType="separate"/>
            </w:r>
            <w:r w:rsidR="00A76217">
              <w:rPr>
                <w:bCs/>
                <w:noProof/>
                <w:sz w:val="16"/>
              </w:rPr>
              <w:t>2</w:t>
            </w:r>
            <w:r w:rsidRPr="005714A2">
              <w:rPr>
                <w:bCs/>
                <w:sz w:val="22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D3" w:rsidRPr="005714A2" w:rsidRDefault="005714A2" w:rsidP="005714A2">
    <w:pPr>
      <w:pStyle w:val="Footer"/>
      <w:tabs>
        <w:tab w:val="right" w:pos="9639"/>
      </w:tabs>
      <w:rPr>
        <w:sz w:val="16"/>
      </w:rPr>
    </w:pPr>
    <w:r w:rsidRPr="005714A2">
      <w:rPr>
        <w:sz w:val="16"/>
      </w:rPr>
      <w:t>Safe Places Emergenc</w:t>
    </w:r>
    <w:r w:rsidR="00E00241">
      <w:rPr>
        <w:sz w:val="16"/>
      </w:rPr>
      <w:t xml:space="preserve">y Accommodation Program – </w:t>
    </w:r>
    <w:r w:rsidR="003C53AD">
      <w:rPr>
        <w:sz w:val="16"/>
      </w:rPr>
      <w:t xml:space="preserve">Draft </w:t>
    </w:r>
    <w:r w:rsidRPr="005714A2">
      <w:rPr>
        <w:sz w:val="16"/>
      </w:rPr>
      <w:t>Funding Agreement factsheet</w:t>
    </w:r>
    <w:r w:rsidRPr="005714A2">
      <w:rPr>
        <w:sz w:val="16"/>
      </w:rPr>
      <w:tab/>
    </w:r>
    <w:sdt>
      <w:sdtPr>
        <w:rPr>
          <w:sz w:val="16"/>
        </w:rPr>
        <w:id w:val="705522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</w:rPr>
            <w:id w:val="474494276"/>
            <w:docPartObj>
              <w:docPartGallery w:val="Page Numbers (Top of Page)"/>
              <w:docPartUnique/>
            </w:docPartObj>
          </w:sdtPr>
          <w:sdtEndPr/>
          <w:sdtContent>
            <w:r w:rsidRPr="005714A2">
              <w:rPr>
                <w:sz w:val="16"/>
              </w:rPr>
              <w:t xml:space="preserve">Page </w:t>
            </w:r>
            <w:r w:rsidRPr="005714A2">
              <w:rPr>
                <w:bCs/>
                <w:sz w:val="22"/>
              </w:rPr>
              <w:fldChar w:fldCharType="begin"/>
            </w:r>
            <w:r w:rsidRPr="005714A2">
              <w:rPr>
                <w:bCs/>
                <w:sz w:val="16"/>
              </w:rPr>
              <w:instrText xml:space="preserve"> PAGE </w:instrText>
            </w:r>
            <w:r w:rsidRPr="005714A2">
              <w:rPr>
                <w:bCs/>
                <w:sz w:val="22"/>
              </w:rPr>
              <w:fldChar w:fldCharType="separate"/>
            </w:r>
            <w:r w:rsidR="00A76217">
              <w:rPr>
                <w:bCs/>
                <w:noProof/>
                <w:sz w:val="16"/>
              </w:rPr>
              <w:t>1</w:t>
            </w:r>
            <w:r w:rsidRPr="005714A2">
              <w:rPr>
                <w:bCs/>
                <w:sz w:val="22"/>
              </w:rPr>
              <w:fldChar w:fldCharType="end"/>
            </w:r>
            <w:r w:rsidRPr="005714A2">
              <w:rPr>
                <w:sz w:val="16"/>
              </w:rPr>
              <w:t xml:space="preserve"> of </w:t>
            </w:r>
            <w:r w:rsidRPr="005714A2">
              <w:rPr>
                <w:bCs/>
                <w:sz w:val="22"/>
              </w:rPr>
              <w:fldChar w:fldCharType="begin"/>
            </w:r>
            <w:r w:rsidRPr="005714A2">
              <w:rPr>
                <w:bCs/>
                <w:sz w:val="16"/>
              </w:rPr>
              <w:instrText xml:space="preserve"> NUMPAGES  </w:instrText>
            </w:r>
            <w:r w:rsidRPr="005714A2">
              <w:rPr>
                <w:bCs/>
                <w:sz w:val="22"/>
              </w:rPr>
              <w:fldChar w:fldCharType="separate"/>
            </w:r>
            <w:r w:rsidR="00A76217">
              <w:rPr>
                <w:bCs/>
                <w:noProof/>
                <w:sz w:val="16"/>
              </w:rPr>
              <w:t>2</w:t>
            </w:r>
            <w:r w:rsidRPr="005714A2">
              <w:rPr>
                <w:bCs/>
                <w:sz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04" w:rsidRDefault="00785E04">
      <w:r>
        <w:separator/>
      </w:r>
    </w:p>
  </w:footnote>
  <w:footnote w:type="continuationSeparator" w:id="0">
    <w:p w:rsidR="00785E04" w:rsidRDefault="0078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E1" w:rsidRDefault="00182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E1" w:rsidRDefault="00182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023" w:rsidRDefault="000020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25B156" wp14:editId="22111C84">
          <wp:simplePos x="0" y="0"/>
          <wp:positionH relativeFrom="margin">
            <wp:align>left</wp:align>
          </wp:positionH>
          <wp:positionV relativeFrom="paragraph">
            <wp:posOffset>347150</wp:posOffset>
          </wp:positionV>
          <wp:extent cx="3600450" cy="733425"/>
          <wp:effectExtent l="0" t="0" r="0" b="9525"/>
          <wp:wrapTight wrapText="bothSides">
            <wp:wrapPolygon edited="0">
              <wp:start x="0" y="0"/>
              <wp:lineTo x="0" y="21319"/>
              <wp:lineTo x="21486" y="21319"/>
              <wp:lineTo x="21486" y="0"/>
              <wp:lineTo x="0" y="0"/>
            </wp:wrapPolygon>
          </wp:wrapTight>
          <wp:docPr id="2" name="Picture 2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37F"/>
    <w:multiLevelType w:val="hybridMultilevel"/>
    <w:tmpl w:val="20ACE6DC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0886"/>
    <w:multiLevelType w:val="hybridMultilevel"/>
    <w:tmpl w:val="F39C464A"/>
    <w:lvl w:ilvl="0" w:tplc="C7F82566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  <w:color w:val="264F90"/>
      </w:rPr>
    </w:lvl>
    <w:lvl w:ilvl="1" w:tplc="03867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64F9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7D"/>
    <w:rsid w:val="00002023"/>
    <w:rsid w:val="00002C18"/>
    <w:rsid w:val="0000588D"/>
    <w:rsid w:val="00010549"/>
    <w:rsid w:val="00012F84"/>
    <w:rsid w:val="00013F99"/>
    <w:rsid w:val="00015281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67D93"/>
    <w:rsid w:val="00080618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0F4715"/>
    <w:rsid w:val="00104669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22E1"/>
    <w:rsid w:val="00185F6A"/>
    <w:rsid w:val="001943DD"/>
    <w:rsid w:val="00195374"/>
    <w:rsid w:val="001A127F"/>
    <w:rsid w:val="001A1F53"/>
    <w:rsid w:val="001A3CA4"/>
    <w:rsid w:val="001A3EA4"/>
    <w:rsid w:val="001A70C9"/>
    <w:rsid w:val="001B3AEC"/>
    <w:rsid w:val="001B5000"/>
    <w:rsid w:val="001B6F28"/>
    <w:rsid w:val="001D4585"/>
    <w:rsid w:val="001D5D54"/>
    <w:rsid w:val="001D698A"/>
    <w:rsid w:val="001E41C8"/>
    <w:rsid w:val="001F3AD7"/>
    <w:rsid w:val="001F45EB"/>
    <w:rsid w:val="001F494F"/>
    <w:rsid w:val="00201F93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419CE"/>
    <w:rsid w:val="0025272A"/>
    <w:rsid w:val="00271922"/>
    <w:rsid w:val="0027204E"/>
    <w:rsid w:val="00273412"/>
    <w:rsid w:val="00274ACF"/>
    <w:rsid w:val="00275225"/>
    <w:rsid w:val="00285F1B"/>
    <w:rsid w:val="00295831"/>
    <w:rsid w:val="00296F1B"/>
    <w:rsid w:val="002A6DF5"/>
    <w:rsid w:val="002B5042"/>
    <w:rsid w:val="002D00B0"/>
    <w:rsid w:val="002D0E54"/>
    <w:rsid w:val="002D2E16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4369"/>
    <w:rsid w:val="00325F44"/>
    <w:rsid w:val="00326976"/>
    <w:rsid w:val="003311D7"/>
    <w:rsid w:val="00332B8B"/>
    <w:rsid w:val="00342476"/>
    <w:rsid w:val="00345CBE"/>
    <w:rsid w:val="00346C48"/>
    <w:rsid w:val="00347104"/>
    <w:rsid w:val="0035213F"/>
    <w:rsid w:val="003555D2"/>
    <w:rsid w:val="00363DF3"/>
    <w:rsid w:val="003656B1"/>
    <w:rsid w:val="00365A8A"/>
    <w:rsid w:val="0037056B"/>
    <w:rsid w:val="00377173"/>
    <w:rsid w:val="003774DA"/>
    <w:rsid w:val="00392557"/>
    <w:rsid w:val="003945C0"/>
    <w:rsid w:val="003947C0"/>
    <w:rsid w:val="003A06C2"/>
    <w:rsid w:val="003B6D2E"/>
    <w:rsid w:val="003C430D"/>
    <w:rsid w:val="003C53AD"/>
    <w:rsid w:val="003C7404"/>
    <w:rsid w:val="003D3C5A"/>
    <w:rsid w:val="003D404A"/>
    <w:rsid w:val="003E40D0"/>
    <w:rsid w:val="003E6FDA"/>
    <w:rsid w:val="003F3072"/>
    <w:rsid w:val="00401A2A"/>
    <w:rsid w:val="004103D7"/>
    <w:rsid w:val="0041307C"/>
    <w:rsid w:val="004167B4"/>
    <w:rsid w:val="00430344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A2D04"/>
    <w:rsid w:val="004A4905"/>
    <w:rsid w:val="004D44E8"/>
    <w:rsid w:val="004F5B08"/>
    <w:rsid w:val="004F775C"/>
    <w:rsid w:val="004F77BF"/>
    <w:rsid w:val="005015E4"/>
    <w:rsid w:val="00501A12"/>
    <w:rsid w:val="0050291D"/>
    <w:rsid w:val="0050697E"/>
    <w:rsid w:val="00524B3C"/>
    <w:rsid w:val="005300B9"/>
    <w:rsid w:val="005315A9"/>
    <w:rsid w:val="005316BE"/>
    <w:rsid w:val="00532B56"/>
    <w:rsid w:val="005364ED"/>
    <w:rsid w:val="00537B50"/>
    <w:rsid w:val="00540AD0"/>
    <w:rsid w:val="00541950"/>
    <w:rsid w:val="0054322A"/>
    <w:rsid w:val="00543923"/>
    <w:rsid w:val="005461BD"/>
    <w:rsid w:val="005519C9"/>
    <w:rsid w:val="005523D1"/>
    <w:rsid w:val="00554A9C"/>
    <w:rsid w:val="00557624"/>
    <w:rsid w:val="0056023E"/>
    <w:rsid w:val="005658EF"/>
    <w:rsid w:val="005714A2"/>
    <w:rsid w:val="005822A3"/>
    <w:rsid w:val="0059070B"/>
    <w:rsid w:val="00594445"/>
    <w:rsid w:val="005B1225"/>
    <w:rsid w:val="005B6DA1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417D"/>
    <w:rsid w:val="006255E4"/>
    <w:rsid w:val="006325E2"/>
    <w:rsid w:val="00636D4C"/>
    <w:rsid w:val="00641020"/>
    <w:rsid w:val="006410C1"/>
    <w:rsid w:val="00647F05"/>
    <w:rsid w:val="006530EF"/>
    <w:rsid w:val="00654D06"/>
    <w:rsid w:val="00661536"/>
    <w:rsid w:val="006678ED"/>
    <w:rsid w:val="0067022D"/>
    <w:rsid w:val="0067233D"/>
    <w:rsid w:val="006745AE"/>
    <w:rsid w:val="00675382"/>
    <w:rsid w:val="00675BEF"/>
    <w:rsid w:val="00676AF3"/>
    <w:rsid w:val="00676D10"/>
    <w:rsid w:val="00677B4C"/>
    <w:rsid w:val="00680F71"/>
    <w:rsid w:val="00682A53"/>
    <w:rsid w:val="0069174B"/>
    <w:rsid w:val="00693FA1"/>
    <w:rsid w:val="006B05E3"/>
    <w:rsid w:val="006B09BC"/>
    <w:rsid w:val="006B13BF"/>
    <w:rsid w:val="006B42A0"/>
    <w:rsid w:val="006B4E59"/>
    <w:rsid w:val="006B742A"/>
    <w:rsid w:val="006C3402"/>
    <w:rsid w:val="006C3622"/>
    <w:rsid w:val="006C395C"/>
    <w:rsid w:val="006C45D4"/>
    <w:rsid w:val="006E1F3C"/>
    <w:rsid w:val="006E6073"/>
    <w:rsid w:val="006F7300"/>
    <w:rsid w:val="00703C09"/>
    <w:rsid w:val="00712300"/>
    <w:rsid w:val="00720739"/>
    <w:rsid w:val="00721695"/>
    <w:rsid w:val="00722703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50EC"/>
    <w:rsid w:val="00785465"/>
    <w:rsid w:val="00785E04"/>
    <w:rsid w:val="00787656"/>
    <w:rsid w:val="0079293E"/>
    <w:rsid w:val="007A4F04"/>
    <w:rsid w:val="007A67EA"/>
    <w:rsid w:val="007B15AF"/>
    <w:rsid w:val="007B7E83"/>
    <w:rsid w:val="007C1631"/>
    <w:rsid w:val="007C636F"/>
    <w:rsid w:val="007D0EF8"/>
    <w:rsid w:val="007D39EB"/>
    <w:rsid w:val="00800A4D"/>
    <w:rsid w:val="00806936"/>
    <w:rsid w:val="008131E7"/>
    <w:rsid w:val="00813711"/>
    <w:rsid w:val="00814279"/>
    <w:rsid w:val="0081589D"/>
    <w:rsid w:val="008222D3"/>
    <w:rsid w:val="008263C2"/>
    <w:rsid w:val="00842959"/>
    <w:rsid w:val="008451DC"/>
    <w:rsid w:val="008451FE"/>
    <w:rsid w:val="008466A1"/>
    <w:rsid w:val="00846C1D"/>
    <w:rsid w:val="00851758"/>
    <w:rsid w:val="008560AB"/>
    <w:rsid w:val="00856D5A"/>
    <w:rsid w:val="008609EB"/>
    <w:rsid w:val="00862D6D"/>
    <w:rsid w:val="008653E0"/>
    <w:rsid w:val="008657FB"/>
    <w:rsid w:val="00871D4F"/>
    <w:rsid w:val="00874FB3"/>
    <w:rsid w:val="00876D2F"/>
    <w:rsid w:val="00880BE3"/>
    <w:rsid w:val="00882588"/>
    <w:rsid w:val="0089477A"/>
    <w:rsid w:val="00895792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1BDF"/>
    <w:rsid w:val="009139C0"/>
    <w:rsid w:val="009161C8"/>
    <w:rsid w:val="009164AD"/>
    <w:rsid w:val="009203DD"/>
    <w:rsid w:val="00922289"/>
    <w:rsid w:val="00936F46"/>
    <w:rsid w:val="00941347"/>
    <w:rsid w:val="00941DCA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4B56"/>
    <w:rsid w:val="009C76CF"/>
    <w:rsid w:val="009D28B7"/>
    <w:rsid w:val="009D43C6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42ADE"/>
    <w:rsid w:val="00A60693"/>
    <w:rsid w:val="00A67728"/>
    <w:rsid w:val="00A76217"/>
    <w:rsid w:val="00A81A4F"/>
    <w:rsid w:val="00A82E14"/>
    <w:rsid w:val="00A8490C"/>
    <w:rsid w:val="00A85A55"/>
    <w:rsid w:val="00A901E9"/>
    <w:rsid w:val="00A9762C"/>
    <w:rsid w:val="00AA4067"/>
    <w:rsid w:val="00AA7FB9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457D"/>
    <w:rsid w:val="00AE5956"/>
    <w:rsid w:val="00AE619F"/>
    <w:rsid w:val="00AF19BF"/>
    <w:rsid w:val="00AF373A"/>
    <w:rsid w:val="00AF7EFE"/>
    <w:rsid w:val="00B01BF3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72D62"/>
    <w:rsid w:val="00B843C8"/>
    <w:rsid w:val="00B951E2"/>
    <w:rsid w:val="00B96F37"/>
    <w:rsid w:val="00BA607C"/>
    <w:rsid w:val="00BB3E2A"/>
    <w:rsid w:val="00BC16F5"/>
    <w:rsid w:val="00BC287D"/>
    <w:rsid w:val="00BC4A76"/>
    <w:rsid w:val="00BC709D"/>
    <w:rsid w:val="00BD32E5"/>
    <w:rsid w:val="00BD7ADD"/>
    <w:rsid w:val="00BE11FA"/>
    <w:rsid w:val="00BE41C3"/>
    <w:rsid w:val="00BE6767"/>
    <w:rsid w:val="00BE68D7"/>
    <w:rsid w:val="00BF0784"/>
    <w:rsid w:val="00BF7763"/>
    <w:rsid w:val="00C04D5E"/>
    <w:rsid w:val="00C24EA2"/>
    <w:rsid w:val="00C24F70"/>
    <w:rsid w:val="00C25D5B"/>
    <w:rsid w:val="00C2753D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76416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11102"/>
    <w:rsid w:val="00D117B4"/>
    <w:rsid w:val="00D1569A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21D7"/>
    <w:rsid w:val="00D84C4D"/>
    <w:rsid w:val="00D85BE0"/>
    <w:rsid w:val="00D87C1A"/>
    <w:rsid w:val="00D87F42"/>
    <w:rsid w:val="00D87FD7"/>
    <w:rsid w:val="00D92167"/>
    <w:rsid w:val="00D9502B"/>
    <w:rsid w:val="00D97047"/>
    <w:rsid w:val="00D97108"/>
    <w:rsid w:val="00D9754E"/>
    <w:rsid w:val="00DA5EDD"/>
    <w:rsid w:val="00DC5665"/>
    <w:rsid w:val="00DD10CE"/>
    <w:rsid w:val="00DD46FC"/>
    <w:rsid w:val="00DD4F44"/>
    <w:rsid w:val="00DD5D8B"/>
    <w:rsid w:val="00DE0F9E"/>
    <w:rsid w:val="00DE5D76"/>
    <w:rsid w:val="00E00241"/>
    <w:rsid w:val="00E04C8D"/>
    <w:rsid w:val="00E128D8"/>
    <w:rsid w:val="00E30D45"/>
    <w:rsid w:val="00E31D60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77CA2"/>
    <w:rsid w:val="00E8698A"/>
    <w:rsid w:val="00E872B1"/>
    <w:rsid w:val="00E923F2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3C91"/>
    <w:rsid w:val="00ED4112"/>
    <w:rsid w:val="00EE4722"/>
    <w:rsid w:val="00EF0933"/>
    <w:rsid w:val="00EF1347"/>
    <w:rsid w:val="00EF2BEB"/>
    <w:rsid w:val="00F01129"/>
    <w:rsid w:val="00F03D93"/>
    <w:rsid w:val="00F03D9E"/>
    <w:rsid w:val="00F06D7C"/>
    <w:rsid w:val="00F227BF"/>
    <w:rsid w:val="00F374B2"/>
    <w:rsid w:val="00F40AFC"/>
    <w:rsid w:val="00F4730E"/>
    <w:rsid w:val="00F50A92"/>
    <w:rsid w:val="00F51E8A"/>
    <w:rsid w:val="00F53F24"/>
    <w:rsid w:val="00F63341"/>
    <w:rsid w:val="00F70CF1"/>
    <w:rsid w:val="00F7536E"/>
    <w:rsid w:val="00F81F93"/>
    <w:rsid w:val="00F835DC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1C7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7C9CF9-7BC3-4696-B31B-3654CF35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4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Recommendation,List Paragraph1,List Paragraph11"/>
    <w:basedOn w:val="Normal"/>
    <w:link w:val="ListParagraphChar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E77C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CA2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CA2"/>
    <w:rPr>
      <w:rFonts w:ascii="Arial" w:hAnsi="Arial"/>
      <w:b/>
      <w:bCs/>
      <w:spacing w:val="4"/>
    </w:rPr>
  </w:style>
  <w:style w:type="paragraph" w:styleId="Revision">
    <w:name w:val="Revision"/>
    <w:hidden/>
    <w:uiPriority w:val="99"/>
    <w:semiHidden/>
    <w:rsid w:val="00677B4C"/>
    <w:rPr>
      <w:rFonts w:ascii="Arial" w:hAnsi="Arial"/>
      <w:spacing w:val="4"/>
      <w:sz w:val="24"/>
      <w:szCs w:val="24"/>
    </w:rPr>
  </w:style>
  <w:style w:type="character" w:customStyle="1" w:styleId="ListParagraphChar">
    <w:name w:val="List Paragraph Char"/>
    <w:aliases w:val="Recommendation Char,List Paragraph1 Char,List Paragraph11 Char"/>
    <w:basedOn w:val="DefaultParagraphFont"/>
    <w:link w:val="ListParagraph"/>
    <w:uiPriority w:val="34"/>
    <w:locked/>
    <w:rsid w:val="00AF19BF"/>
    <w:rPr>
      <w:rFonts w:ascii="Arial" w:hAnsi="Arial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x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B5AF-A191-4475-9FA3-19528E91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HARDCASTLE, Paul</dc:creator>
  <cp:lastModifiedBy>BRIDGE, Penelope</cp:lastModifiedBy>
  <cp:revision>4</cp:revision>
  <cp:lastPrinted>2019-11-26T02:59:00Z</cp:lastPrinted>
  <dcterms:created xsi:type="dcterms:W3CDTF">2019-11-26T02:58:00Z</dcterms:created>
  <dcterms:modified xsi:type="dcterms:W3CDTF">2019-11-26T02:59:00Z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Type">
    <vt:lpwstr>1</vt:lpwstr>
  </property>
  <property fmtid="{D5CDD505-2E9C-101B-9397-08002B2CF9AE}" pid="3" name="DocumentID">
    <vt:lpwstr>ME_166458285_1</vt:lpwstr>
  </property>
  <property fmtid="{D5CDD505-2E9C-101B-9397-08002B2CF9AE}" pid="4" name="Custom1">
    <vt:lpwstr>1274834</vt:lpwstr>
  </property>
</Properties>
</file>