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9876" w14:textId="70C4EC54" w:rsidR="00965D7B" w:rsidRPr="00E53AA1" w:rsidRDefault="00965D7B" w:rsidP="00222862">
      <w:pPr>
        <w:pStyle w:val="Heading1"/>
      </w:pPr>
      <w:r>
        <w:t xml:space="preserve">Agricultural Trade and Market Access Cooperation </w:t>
      </w:r>
      <w:r w:rsidR="00D74F87">
        <w:t>(ATMAC)</w:t>
      </w:r>
      <w:r w:rsidR="003A4733">
        <w:t xml:space="preserve"> </w:t>
      </w:r>
      <w:r>
        <w:t>program</w:t>
      </w:r>
      <w:r w:rsidRPr="00E53AA1">
        <w:tab/>
      </w:r>
      <w:r w:rsidRPr="00E53AA1">
        <w:br/>
      </w:r>
      <w:r w:rsidR="00D74F87">
        <w:t xml:space="preserve">2020 </w:t>
      </w:r>
      <w:r w:rsidRPr="00E53AA1">
        <w:t>Grant Opportunity Guidelines</w:t>
      </w:r>
    </w:p>
    <w:p w14:paraId="44A0D0D1"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5A24C2BB" w14:textId="77777777" w:rsidTr="00965D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6877B59E" w14:textId="77777777" w:rsidR="00B1460B" w:rsidRPr="0004098F" w:rsidRDefault="00B1460B" w:rsidP="00624853">
            <w:pPr>
              <w:rPr>
                <w:color w:val="264F90"/>
              </w:rPr>
            </w:pPr>
            <w:r w:rsidRPr="0004098F">
              <w:rPr>
                <w:color w:val="264F90"/>
              </w:rPr>
              <w:t>Opening date:</w:t>
            </w:r>
          </w:p>
        </w:tc>
        <w:tc>
          <w:tcPr>
            <w:tcW w:w="5983" w:type="dxa"/>
          </w:tcPr>
          <w:p w14:paraId="537F6A7B" w14:textId="4DAB51D1" w:rsidR="00B1460B" w:rsidRPr="001B519E" w:rsidRDefault="00451C95" w:rsidP="00A5300B">
            <w:pPr>
              <w:cnfStyle w:val="100000000000" w:firstRow="1" w:lastRow="0" w:firstColumn="0" w:lastColumn="0" w:oddVBand="0" w:evenVBand="0" w:oddHBand="0" w:evenHBand="0" w:firstRowFirstColumn="0" w:firstRowLastColumn="0" w:lastRowFirstColumn="0" w:lastRowLastColumn="0"/>
              <w:rPr>
                <w:b w:val="0"/>
              </w:rPr>
            </w:pPr>
            <w:r w:rsidRPr="001B519E">
              <w:rPr>
                <w:b w:val="0"/>
              </w:rPr>
              <w:t>2</w:t>
            </w:r>
            <w:r w:rsidR="00A5300B">
              <w:rPr>
                <w:b w:val="0"/>
              </w:rPr>
              <w:t>9</w:t>
            </w:r>
            <w:r w:rsidRPr="001B519E">
              <w:rPr>
                <w:b w:val="0"/>
              </w:rPr>
              <w:t xml:space="preserve"> November 2019</w:t>
            </w:r>
          </w:p>
        </w:tc>
      </w:tr>
      <w:tr w:rsidR="00B1460B" w:rsidRPr="007040EB" w14:paraId="348F4B21" w14:textId="77777777" w:rsidTr="00965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F4F55CD"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319B7975" w14:textId="406EB025" w:rsidR="00B1460B" w:rsidRPr="001B519E" w:rsidRDefault="00BD59A9" w:rsidP="00C011D2">
            <w:pPr>
              <w:cnfStyle w:val="000000100000" w:firstRow="0" w:lastRow="0" w:firstColumn="0" w:lastColumn="0" w:oddVBand="0" w:evenVBand="0" w:oddHBand="1" w:evenHBand="0" w:firstRowFirstColumn="0" w:firstRowLastColumn="0" w:lastRowFirstColumn="0" w:lastRowLastColumn="0"/>
            </w:pPr>
            <w:r w:rsidRPr="001B519E">
              <w:t>11</w:t>
            </w:r>
            <w:r w:rsidR="00F65C53" w:rsidRPr="001B519E">
              <w:t>.00</w:t>
            </w:r>
            <w:r w:rsidR="00712933" w:rsidRPr="001B519E">
              <w:t>PM</w:t>
            </w:r>
            <w:r w:rsidR="00F65C53" w:rsidRPr="001B519E">
              <w:t xml:space="preserve"> </w:t>
            </w:r>
            <w:r w:rsidR="00261986" w:rsidRPr="001B519E">
              <w:t>AEDT</w:t>
            </w:r>
            <w:r w:rsidR="00B1460B" w:rsidRPr="001B519E">
              <w:t xml:space="preserve"> on </w:t>
            </w:r>
            <w:r w:rsidR="00C011D2">
              <w:t>31</w:t>
            </w:r>
            <w:r w:rsidR="00451C95" w:rsidRPr="001B519E">
              <w:t xml:space="preserve"> January 2020</w:t>
            </w:r>
          </w:p>
        </w:tc>
      </w:tr>
      <w:tr w:rsidR="00B1460B" w:rsidRPr="007040EB" w14:paraId="5D279F6B" w14:textId="77777777" w:rsidTr="00965D7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84211B8"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19AEACCB" w14:textId="64D99607" w:rsidR="00B1460B" w:rsidRPr="001B519E" w:rsidRDefault="00965D7B" w:rsidP="0060171C">
            <w:pPr>
              <w:cnfStyle w:val="000000000000" w:firstRow="0" w:lastRow="0" w:firstColumn="0" w:lastColumn="0" w:oddVBand="0" w:evenVBand="0" w:oddHBand="0" w:evenHBand="0" w:firstRowFirstColumn="0" w:firstRowLastColumn="0" w:lastRowFirstColumn="0" w:lastRowLastColumn="0"/>
              <w:rPr>
                <w:rFonts w:cs="Arial"/>
              </w:rPr>
            </w:pPr>
            <w:r w:rsidRPr="001B519E">
              <w:rPr>
                <w:rFonts w:cs="Arial"/>
              </w:rPr>
              <w:t xml:space="preserve">Department of Agriculture </w:t>
            </w:r>
          </w:p>
        </w:tc>
      </w:tr>
      <w:tr w:rsidR="0077121A" w:rsidRPr="007040EB" w14:paraId="6DE45711" w14:textId="77777777" w:rsidTr="00965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41BA423"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4374AB81" w14:textId="77777777" w:rsidR="0077121A" w:rsidRPr="001B519E" w:rsidRDefault="006F64A3" w:rsidP="0077121A">
            <w:pPr>
              <w:cnfStyle w:val="000000100000" w:firstRow="0" w:lastRow="0" w:firstColumn="0" w:lastColumn="0" w:oddVBand="0" w:evenVBand="0" w:oddHBand="1" w:evenHBand="0" w:firstRowFirstColumn="0" w:firstRowLastColumn="0" w:lastRowFirstColumn="0" w:lastRowLastColumn="0"/>
            </w:pPr>
            <w:r w:rsidRPr="001B519E">
              <w:t>Community Grants Hub</w:t>
            </w:r>
          </w:p>
        </w:tc>
      </w:tr>
      <w:tr w:rsidR="0077121A" w:rsidRPr="007040EB" w14:paraId="4BAF55FF" w14:textId="77777777" w:rsidTr="00965D7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BED13E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0121279D" w14:textId="77777777" w:rsidR="006F64A3" w:rsidRPr="001B519E" w:rsidRDefault="0077121A" w:rsidP="0077121A">
            <w:pPr>
              <w:cnfStyle w:val="000000000000" w:firstRow="0" w:lastRow="0" w:firstColumn="0" w:lastColumn="0" w:oddVBand="0" w:evenVBand="0" w:oddHBand="0" w:evenHBand="0" w:firstRowFirstColumn="0" w:firstRowLastColumn="0" w:lastRowFirstColumn="0" w:lastRowLastColumn="0"/>
            </w:pPr>
            <w:r w:rsidRPr="001B519E">
              <w:t xml:space="preserve">If you have any questions, contact </w:t>
            </w:r>
          </w:p>
          <w:p w14:paraId="6FF96968" w14:textId="77777777" w:rsidR="006F64A3" w:rsidRPr="001B519E" w:rsidRDefault="006F64A3" w:rsidP="0077121A">
            <w:pPr>
              <w:cnfStyle w:val="000000000000" w:firstRow="0" w:lastRow="0" w:firstColumn="0" w:lastColumn="0" w:oddVBand="0" w:evenVBand="0" w:oddHBand="0" w:evenHBand="0" w:firstRowFirstColumn="0" w:firstRowLastColumn="0" w:lastRowFirstColumn="0" w:lastRowLastColumn="0"/>
            </w:pPr>
            <w:r w:rsidRPr="001B519E">
              <w:t>Community Grants Hub</w:t>
            </w:r>
          </w:p>
          <w:p w14:paraId="4E4D9D8A" w14:textId="42754C86" w:rsidR="006F64A3" w:rsidRPr="001B519E" w:rsidRDefault="006F64A3" w:rsidP="0077121A">
            <w:pPr>
              <w:cnfStyle w:val="000000000000" w:firstRow="0" w:lastRow="0" w:firstColumn="0" w:lastColumn="0" w:oddVBand="0" w:evenVBand="0" w:oddHBand="0" w:evenHBand="0" w:firstRowFirstColumn="0" w:firstRowLastColumn="0" w:lastRowFirstColumn="0" w:lastRowLastColumn="0"/>
            </w:pPr>
            <w:r w:rsidRPr="001B519E">
              <w:t>Phone: 1800 020 283</w:t>
            </w:r>
            <w:r w:rsidR="009F5D09">
              <w:t xml:space="preserve"> (option 1)</w:t>
            </w:r>
          </w:p>
          <w:p w14:paraId="12A18596" w14:textId="77777777" w:rsidR="0077121A" w:rsidRPr="001B519E" w:rsidRDefault="006F64A3" w:rsidP="0077121A">
            <w:pPr>
              <w:cnfStyle w:val="000000000000" w:firstRow="0" w:lastRow="0" w:firstColumn="0" w:lastColumn="0" w:oddVBand="0" w:evenVBand="0" w:oddHBand="0" w:evenHBand="0" w:firstRowFirstColumn="0" w:firstRowLastColumn="0" w:lastRowFirstColumn="0" w:lastRowLastColumn="0"/>
            </w:pPr>
            <w:r w:rsidRPr="001B519E">
              <w:t xml:space="preserve">Email: </w:t>
            </w:r>
            <w:hyperlink r:id="rId13" w:history="1">
              <w:r w:rsidRPr="001B519E">
                <w:rPr>
                  <w:rStyle w:val="Hyperlink"/>
                </w:rPr>
                <w:t>support@communitygrants.gov.au</w:t>
              </w:r>
            </w:hyperlink>
          </w:p>
          <w:p w14:paraId="598E85C9" w14:textId="71684086" w:rsidR="0077121A" w:rsidRPr="001B519E" w:rsidRDefault="0077121A" w:rsidP="00C011D2">
            <w:pPr>
              <w:cnfStyle w:val="000000000000" w:firstRow="0" w:lastRow="0" w:firstColumn="0" w:lastColumn="0" w:oddVBand="0" w:evenVBand="0" w:oddHBand="0" w:evenHBand="0" w:firstRowFirstColumn="0" w:firstRowLastColumn="0" w:lastRowFirstColumn="0" w:lastRowLastColumn="0"/>
            </w:pPr>
            <w:r w:rsidRPr="001B519E">
              <w:t>Questions should be sent no later than</w:t>
            </w:r>
            <w:r w:rsidR="00DC4010" w:rsidRPr="001B519E">
              <w:t xml:space="preserve"> 5.00PM AEDT</w:t>
            </w:r>
            <w:r w:rsidR="00DC4010" w:rsidRPr="001B519E">
              <w:rPr>
                <w:color w:val="0070C0"/>
              </w:rPr>
              <w:t xml:space="preserve"> </w:t>
            </w:r>
            <w:r w:rsidR="00DC4010" w:rsidRPr="001B519E">
              <w:t>on</w:t>
            </w:r>
            <w:r w:rsidRPr="001B519E">
              <w:t xml:space="preserve"> </w:t>
            </w:r>
            <w:r w:rsidR="00C011D2">
              <w:t>24</w:t>
            </w:r>
            <w:r w:rsidR="00FB4B39" w:rsidRPr="001B519E">
              <w:t xml:space="preserve"> January 2020</w:t>
            </w:r>
          </w:p>
        </w:tc>
      </w:tr>
      <w:tr w:rsidR="0077121A" w:rsidRPr="007040EB" w14:paraId="08EC4DC0" w14:textId="77777777" w:rsidTr="00965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82F9A5"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5BAFF8E5" w14:textId="478040A7" w:rsidR="0077121A" w:rsidRPr="001B519E" w:rsidRDefault="00FB4B39" w:rsidP="00A5300B">
            <w:pPr>
              <w:cnfStyle w:val="000000100000" w:firstRow="0" w:lastRow="0" w:firstColumn="0" w:lastColumn="0" w:oddVBand="0" w:evenVBand="0" w:oddHBand="1" w:evenHBand="0" w:firstRowFirstColumn="0" w:firstRowLastColumn="0" w:lastRowFirstColumn="0" w:lastRowLastColumn="0"/>
            </w:pPr>
            <w:r w:rsidRPr="001B519E">
              <w:rPr>
                <w:color w:val="000000" w:themeColor="text1"/>
              </w:rPr>
              <w:t>2</w:t>
            </w:r>
            <w:r w:rsidR="00A5300B">
              <w:rPr>
                <w:color w:val="000000" w:themeColor="text1"/>
              </w:rPr>
              <w:t>9</w:t>
            </w:r>
            <w:r w:rsidRPr="001B519E">
              <w:rPr>
                <w:color w:val="000000" w:themeColor="text1"/>
              </w:rPr>
              <w:t xml:space="preserve"> November 2019</w:t>
            </w:r>
          </w:p>
        </w:tc>
      </w:tr>
      <w:tr w:rsidR="0077121A" w14:paraId="0E6197C1" w14:textId="77777777" w:rsidTr="00965D7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C6F6915"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091F3C86" w14:textId="77777777" w:rsidR="0077121A" w:rsidRPr="00965D7B" w:rsidRDefault="00965D7B">
            <w:pPr>
              <w:cnfStyle w:val="000000000000" w:firstRow="0" w:lastRow="0" w:firstColumn="0" w:lastColumn="0" w:oddVBand="0" w:evenVBand="0" w:oddHBand="0" w:evenHBand="0" w:firstRowFirstColumn="0" w:firstRowLastColumn="0" w:lastRowFirstColumn="0" w:lastRowLastColumn="0"/>
              <w:rPr>
                <w:rFonts w:cs="Arial"/>
              </w:rPr>
            </w:pPr>
            <w:r w:rsidRPr="00965D7B">
              <w:rPr>
                <w:rFonts w:cs="Arial"/>
              </w:rPr>
              <w:t>Open competitive</w:t>
            </w:r>
          </w:p>
        </w:tc>
      </w:tr>
    </w:tbl>
    <w:p w14:paraId="37C2BD11" w14:textId="77777777" w:rsidR="00FC5223" w:rsidRDefault="00FC5223" w:rsidP="00077C3D"/>
    <w:p w14:paraId="44DC099F" w14:textId="77777777" w:rsidR="00FC5223" w:rsidRDefault="00FC5223">
      <w:pPr>
        <w:spacing w:before="0" w:after="0" w:line="240" w:lineRule="auto"/>
      </w:pPr>
      <w:r>
        <w:br w:type="page"/>
      </w:r>
    </w:p>
    <w:p w14:paraId="4869E770" w14:textId="77777777" w:rsidR="00227D98" w:rsidRDefault="00E31F9B" w:rsidP="00222862">
      <w:pPr>
        <w:pStyle w:val="TOCHeading"/>
      </w:pPr>
      <w:r>
        <w:lastRenderedPageBreak/>
        <w:t>Contents</w:t>
      </w:r>
    </w:p>
    <w:p w14:paraId="1267B307" w14:textId="77777777" w:rsidR="00471F28"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71F28">
        <w:rPr>
          <w:noProof/>
        </w:rPr>
        <w:t>1.</w:t>
      </w:r>
      <w:r w:rsidR="00471F28">
        <w:rPr>
          <w:rFonts w:asciiTheme="minorHAnsi" w:eastAsiaTheme="minorEastAsia" w:hAnsiTheme="minorHAnsi" w:cstheme="minorBidi"/>
          <w:b w:val="0"/>
          <w:noProof/>
          <w:sz w:val="22"/>
          <w:lang w:val="en-AU" w:eastAsia="en-AU"/>
        </w:rPr>
        <w:tab/>
      </w:r>
      <w:r w:rsidR="00471F28">
        <w:rPr>
          <w:noProof/>
        </w:rPr>
        <w:t>Agricultural Trade and Market Access Cooperation (ATMAC) program 2020 Grant Opportunity processes</w:t>
      </w:r>
      <w:r w:rsidR="00471F28">
        <w:rPr>
          <w:noProof/>
        </w:rPr>
        <w:tab/>
      </w:r>
      <w:r w:rsidR="00471F28">
        <w:rPr>
          <w:noProof/>
        </w:rPr>
        <w:fldChar w:fldCharType="begin"/>
      </w:r>
      <w:r w:rsidR="00471F28">
        <w:rPr>
          <w:noProof/>
        </w:rPr>
        <w:instrText xml:space="preserve"> PAGEREF _Toc24705190 \h </w:instrText>
      </w:r>
      <w:r w:rsidR="00471F28">
        <w:rPr>
          <w:noProof/>
        </w:rPr>
      </w:r>
      <w:r w:rsidR="00471F28">
        <w:rPr>
          <w:noProof/>
        </w:rPr>
        <w:fldChar w:fldCharType="separate"/>
      </w:r>
      <w:r w:rsidR="00471F28">
        <w:rPr>
          <w:noProof/>
        </w:rPr>
        <w:t>4</w:t>
      </w:r>
      <w:r w:rsidR="00471F28">
        <w:rPr>
          <w:noProof/>
        </w:rPr>
        <w:fldChar w:fldCharType="end"/>
      </w:r>
    </w:p>
    <w:p w14:paraId="2F4BDBED" w14:textId="77777777" w:rsidR="00471F28" w:rsidRDefault="00471F28">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_Toc24705191 \h </w:instrText>
      </w:r>
      <w:r>
        <w:rPr>
          <w:noProof/>
        </w:rPr>
      </w:r>
      <w:r>
        <w:rPr>
          <w:noProof/>
        </w:rPr>
        <w:fldChar w:fldCharType="separate"/>
      </w:r>
      <w:r>
        <w:rPr>
          <w:noProof/>
        </w:rPr>
        <w:t>5</w:t>
      </w:r>
      <w:r>
        <w:rPr>
          <w:noProof/>
        </w:rPr>
        <w:fldChar w:fldCharType="end"/>
      </w:r>
    </w:p>
    <w:p w14:paraId="0C40D869" w14:textId="77777777" w:rsidR="00471F28" w:rsidRDefault="00471F28">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_Toc24705192 \h </w:instrText>
      </w:r>
      <w:r>
        <w:rPr>
          <w:noProof/>
        </w:rPr>
      </w:r>
      <w:r>
        <w:rPr>
          <w:noProof/>
        </w:rPr>
        <w:fldChar w:fldCharType="separate"/>
      </w:r>
      <w:r>
        <w:rPr>
          <w:noProof/>
        </w:rPr>
        <w:t>5</w:t>
      </w:r>
      <w:r>
        <w:rPr>
          <w:noProof/>
        </w:rPr>
        <w:fldChar w:fldCharType="end"/>
      </w:r>
    </w:p>
    <w:p w14:paraId="2EBAE84C" w14:textId="77777777" w:rsidR="00471F28" w:rsidRDefault="00471F28">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_Toc24705193 \h </w:instrText>
      </w:r>
      <w:r>
        <w:rPr>
          <w:noProof/>
        </w:rPr>
      </w:r>
      <w:r>
        <w:rPr>
          <w:noProof/>
        </w:rPr>
        <w:fldChar w:fldCharType="separate"/>
      </w:r>
      <w:r>
        <w:rPr>
          <w:noProof/>
        </w:rPr>
        <w:t>6</w:t>
      </w:r>
      <w:r>
        <w:rPr>
          <w:noProof/>
        </w:rPr>
        <w:fldChar w:fldCharType="end"/>
      </w:r>
    </w:p>
    <w:p w14:paraId="536E6F45" w14:textId="77777777" w:rsidR="00471F28" w:rsidRDefault="00471F28">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_Toc24705194 \h </w:instrText>
      </w:r>
      <w:r>
        <w:rPr>
          <w:noProof/>
        </w:rPr>
      </w:r>
      <w:r>
        <w:rPr>
          <w:noProof/>
        </w:rPr>
        <w:fldChar w:fldCharType="separate"/>
      </w:r>
      <w:r>
        <w:rPr>
          <w:noProof/>
        </w:rPr>
        <w:t>6</w:t>
      </w:r>
      <w:r>
        <w:rPr>
          <w:noProof/>
        </w:rPr>
        <w:fldChar w:fldCharType="end"/>
      </w:r>
    </w:p>
    <w:p w14:paraId="4EAF84BB" w14:textId="77777777" w:rsidR="00471F28" w:rsidRDefault="00471F28">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_Toc24705195 \h </w:instrText>
      </w:r>
      <w:r>
        <w:rPr>
          <w:noProof/>
        </w:rPr>
      </w:r>
      <w:r>
        <w:rPr>
          <w:noProof/>
        </w:rPr>
        <w:fldChar w:fldCharType="separate"/>
      </w:r>
      <w:r>
        <w:rPr>
          <w:noProof/>
        </w:rPr>
        <w:t>7</w:t>
      </w:r>
      <w:r>
        <w:rPr>
          <w:noProof/>
        </w:rPr>
        <w:fldChar w:fldCharType="end"/>
      </w:r>
    </w:p>
    <w:p w14:paraId="3E83CB88" w14:textId="77777777" w:rsidR="00471F28" w:rsidRDefault="00471F28">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_Toc24705196 \h </w:instrText>
      </w:r>
      <w:r>
        <w:rPr>
          <w:noProof/>
        </w:rPr>
      </w:r>
      <w:r>
        <w:rPr>
          <w:noProof/>
        </w:rPr>
        <w:fldChar w:fldCharType="separate"/>
      </w:r>
      <w:r>
        <w:rPr>
          <w:noProof/>
        </w:rPr>
        <w:t>7</w:t>
      </w:r>
      <w:r>
        <w:rPr>
          <w:noProof/>
        </w:rPr>
        <w:fldChar w:fldCharType="end"/>
      </w:r>
    </w:p>
    <w:p w14:paraId="6123F2D3" w14:textId="77777777" w:rsidR="00471F28" w:rsidRDefault="00471F28">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_Toc24705197 \h </w:instrText>
      </w:r>
      <w:r>
        <w:rPr>
          <w:noProof/>
        </w:rPr>
      </w:r>
      <w:r>
        <w:rPr>
          <w:noProof/>
        </w:rPr>
        <w:fldChar w:fldCharType="separate"/>
      </w:r>
      <w:r>
        <w:rPr>
          <w:noProof/>
        </w:rPr>
        <w:t>7</w:t>
      </w:r>
      <w:r>
        <w:rPr>
          <w:noProof/>
        </w:rPr>
        <w:fldChar w:fldCharType="end"/>
      </w:r>
    </w:p>
    <w:p w14:paraId="3B27815D" w14:textId="77777777" w:rsidR="00471F28" w:rsidRDefault="00471F28">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_Toc24705198 \h </w:instrText>
      </w:r>
      <w:r>
        <w:rPr>
          <w:noProof/>
        </w:rPr>
      </w:r>
      <w:r>
        <w:rPr>
          <w:noProof/>
        </w:rPr>
        <w:fldChar w:fldCharType="separate"/>
      </w:r>
      <w:r>
        <w:rPr>
          <w:noProof/>
        </w:rPr>
        <w:t>8</w:t>
      </w:r>
      <w:r>
        <w:rPr>
          <w:noProof/>
        </w:rPr>
        <w:fldChar w:fldCharType="end"/>
      </w:r>
    </w:p>
    <w:p w14:paraId="759A9829" w14:textId="77777777" w:rsidR="00471F28" w:rsidRDefault="00471F28">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_Toc24705199 \h </w:instrText>
      </w:r>
      <w:r>
        <w:rPr>
          <w:noProof/>
        </w:rPr>
      </w:r>
      <w:r>
        <w:rPr>
          <w:noProof/>
        </w:rPr>
        <w:fldChar w:fldCharType="separate"/>
      </w:r>
      <w:r>
        <w:rPr>
          <w:noProof/>
        </w:rPr>
        <w:t>8</w:t>
      </w:r>
      <w:r>
        <w:rPr>
          <w:noProof/>
        </w:rPr>
        <w:fldChar w:fldCharType="end"/>
      </w:r>
    </w:p>
    <w:p w14:paraId="46CC52C2" w14:textId="77777777" w:rsidR="00471F28" w:rsidRDefault="00471F28">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_Toc24705200 \h </w:instrText>
      </w:r>
      <w:r>
        <w:rPr>
          <w:noProof/>
        </w:rPr>
      </w:r>
      <w:r>
        <w:rPr>
          <w:noProof/>
        </w:rPr>
        <w:fldChar w:fldCharType="separate"/>
      </w:r>
      <w:r>
        <w:rPr>
          <w:noProof/>
        </w:rPr>
        <w:t>8</w:t>
      </w:r>
      <w:r>
        <w:rPr>
          <w:noProof/>
        </w:rPr>
        <w:fldChar w:fldCharType="end"/>
      </w:r>
    </w:p>
    <w:p w14:paraId="278FABAD" w14:textId="77777777" w:rsidR="00471F28" w:rsidRDefault="00471F28">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_Toc24705201 \h </w:instrText>
      </w:r>
      <w:r>
        <w:rPr>
          <w:noProof/>
        </w:rPr>
      </w:r>
      <w:r>
        <w:rPr>
          <w:noProof/>
        </w:rPr>
        <w:fldChar w:fldCharType="separate"/>
      </w:r>
      <w:r>
        <w:rPr>
          <w:noProof/>
        </w:rPr>
        <w:t>8</w:t>
      </w:r>
      <w:r>
        <w:rPr>
          <w:noProof/>
        </w:rPr>
        <w:fldChar w:fldCharType="end"/>
      </w:r>
    </w:p>
    <w:p w14:paraId="4DB9E576" w14:textId="77777777" w:rsidR="00471F28" w:rsidRDefault="00471F28">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_Toc24705202 \h </w:instrText>
      </w:r>
      <w:r>
        <w:rPr>
          <w:noProof/>
        </w:rPr>
      </w:r>
      <w:r>
        <w:rPr>
          <w:noProof/>
        </w:rPr>
        <w:fldChar w:fldCharType="separate"/>
      </w:r>
      <w:r>
        <w:rPr>
          <w:noProof/>
        </w:rPr>
        <w:t>9</w:t>
      </w:r>
      <w:r>
        <w:rPr>
          <w:noProof/>
        </w:rPr>
        <w:fldChar w:fldCharType="end"/>
      </w:r>
    </w:p>
    <w:p w14:paraId="6FA4C2FF" w14:textId="77777777" w:rsidR="00471F28" w:rsidRDefault="00471F28">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_Toc24705203 \h </w:instrText>
      </w:r>
      <w:r>
        <w:rPr>
          <w:noProof/>
        </w:rPr>
      </w:r>
      <w:r>
        <w:rPr>
          <w:noProof/>
        </w:rPr>
        <w:fldChar w:fldCharType="separate"/>
      </w:r>
      <w:r>
        <w:rPr>
          <w:noProof/>
        </w:rPr>
        <w:t>9</w:t>
      </w:r>
      <w:r>
        <w:rPr>
          <w:noProof/>
        </w:rPr>
        <w:fldChar w:fldCharType="end"/>
      </w:r>
    </w:p>
    <w:p w14:paraId="1ED99664" w14:textId="77777777" w:rsidR="00471F28" w:rsidRDefault="00471F28">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_Toc24705204 \h </w:instrText>
      </w:r>
      <w:r>
        <w:rPr>
          <w:noProof/>
        </w:rPr>
      </w:r>
      <w:r>
        <w:rPr>
          <w:noProof/>
        </w:rPr>
        <w:fldChar w:fldCharType="separate"/>
      </w:r>
      <w:r>
        <w:rPr>
          <w:noProof/>
        </w:rPr>
        <w:t>9</w:t>
      </w:r>
      <w:r>
        <w:rPr>
          <w:noProof/>
        </w:rPr>
        <w:fldChar w:fldCharType="end"/>
      </w:r>
    </w:p>
    <w:p w14:paraId="1C6B4795" w14:textId="77777777" w:rsidR="00471F28" w:rsidRDefault="00471F28">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_Toc24705205 \h </w:instrText>
      </w:r>
      <w:r>
        <w:rPr>
          <w:noProof/>
        </w:rPr>
      </w:r>
      <w:r>
        <w:rPr>
          <w:noProof/>
        </w:rPr>
        <w:fldChar w:fldCharType="separate"/>
      </w:r>
      <w:r>
        <w:rPr>
          <w:noProof/>
        </w:rPr>
        <w:t>12</w:t>
      </w:r>
      <w:r>
        <w:rPr>
          <w:noProof/>
        </w:rPr>
        <w:fldChar w:fldCharType="end"/>
      </w:r>
    </w:p>
    <w:p w14:paraId="5AA5DD05" w14:textId="77777777" w:rsidR="00471F28" w:rsidRDefault="00471F28">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_Toc24705206 \h </w:instrText>
      </w:r>
      <w:r>
        <w:rPr>
          <w:noProof/>
        </w:rPr>
      </w:r>
      <w:r>
        <w:rPr>
          <w:noProof/>
        </w:rPr>
        <w:fldChar w:fldCharType="separate"/>
      </w:r>
      <w:r>
        <w:rPr>
          <w:noProof/>
        </w:rPr>
        <w:t>12</w:t>
      </w:r>
      <w:r>
        <w:rPr>
          <w:noProof/>
        </w:rPr>
        <w:fldChar w:fldCharType="end"/>
      </w:r>
    </w:p>
    <w:p w14:paraId="281CE402" w14:textId="77777777" w:rsidR="00471F28" w:rsidRDefault="00471F28">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_Toc24705207 \h </w:instrText>
      </w:r>
      <w:r>
        <w:rPr>
          <w:noProof/>
        </w:rPr>
      </w:r>
      <w:r>
        <w:rPr>
          <w:noProof/>
        </w:rPr>
        <w:fldChar w:fldCharType="separate"/>
      </w:r>
      <w:r>
        <w:rPr>
          <w:noProof/>
        </w:rPr>
        <w:t>13</w:t>
      </w:r>
      <w:r>
        <w:rPr>
          <w:noProof/>
        </w:rPr>
        <w:fldChar w:fldCharType="end"/>
      </w:r>
    </w:p>
    <w:p w14:paraId="7763D65F" w14:textId="77777777" w:rsidR="00471F28" w:rsidRDefault="00471F28">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_Toc24705208 \h </w:instrText>
      </w:r>
      <w:r>
        <w:rPr>
          <w:noProof/>
        </w:rPr>
      </w:r>
      <w:r>
        <w:rPr>
          <w:noProof/>
        </w:rPr>
        <w:fldChar w:fldCharType="separate"/>
      </w:r>
      <w:r>
        <w:rPr>
          <w:noProof/>
        </w:rPr>
        <w:t>13</w:t>
      </w:r>
      <w:r>
        <w:rPr>
          <w:noProof/>
        </w:rPr>
        <w:fldChar w:fldCharType="end"/>
      </w:r>
    </w:p>
    <w:p w14:paraId="4C23FCD0" w14:textId="77777777" w:rsidR="00471F28" w:rsidRDefault="00471F28">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_Toc24705209 \h </w:instrText>
      </w:r>
      <w:r>
        <w:rPr>
          <w:noProof/>
        </w:rPr>
      </w:r>
      <w:r>
        <w:rPr>
          <w:noProof/>
        </w:rPr>
        <w:fldChar w:fldCharType="separate"/>
      </w:r>
      <w:r>
        <w:rPr>
          <w:noProof/>
        </w:rPr>
        <w:t>14</w:t>
      </w:r>
      <w:r>
        <w:rPr>
          <w:noProof/>
        </w:rPr>
        <w:fldChar w:fldCharType="end"/>
      </w:r>
    </w:p>
    <w:p w14:paraId="1BA68C9C" w14:textId="77777777" w:rsidR="00471F28" w:rsidRDefault="00471F28">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_Toc24705210 \h </w:instrText>
      </w:r>
      <w:r>
        <w:rPr>
          <w:noProof/>
        </w:rPr>
      </w:r>
      <w:r>
        <w:rPr>
          <w:noProof/>
        </w:rPr>
        <w:fldChar w:fldCharType="separate"/>
      </w:r>
      <w:r>
        <w:rPr>
          <w:noProof/>
        </w:rPr>
        <w:t>14</w:t>
      </w:r>
      <w:r>
        <w:rPr>
          <w:noProof/>
        </w:rPr>
        <w:fldChar w:fldCharType="end"/>
      </w:r>
    </w:p>
    <w:p w14:paraId="5F6CF65D" w14:textId="77777777" w:rsidR="00471F28" w:rsidRDefault="00471F28">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_Toc24705211 \h </w:instrText>
      </w:r>
      <w:r>
        <w:rPr>
          <w:noProof/>
        </w:rPr>
      </w:r>
      <w:r>
        <w:rPr>
          <w:noProof/>
        </w:rPr>
        <w:fldChar w:fldCharType="separate"/>
      </w:r>
      <w:r>
        <w:rPr>
          <w:noProof/>
        </w:rPr>
        <w:t>14</w:t>
      </w:r>
      <w:r>
        <w:rPr>
          <w:noProof/>
        </w:rPr>
        <w:fldChar w:fldCharType="end"/>
      </w:r>
    </w:p>
    <w:p w14:paraId="723448BD" w14:textId="77777777" w:rsidR="00471F28" w:rsidRDefault="00471F28">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_Toc24705212 \h </w:instrText>
      </w:r>
      <w:r>
        <w:rPr>
          <w:noProof/>
        </w:rPr>
      </w:r>
      <w:r>
        <w:rPr>
          <w:noProof/>
        </w:rPr>
        <w:fldChar w:fldCharType="separate"/>
      </w:r>
      <w:r>
        <w:rPr>
          <w:noProof/>
        </w:rPr>
        <w:t>15</w:t>
      </w:r>
      <w:r>
        <w:rPr>
          <w:noProof/>
        </w:rPr>
        <w:fldChar w:fldCharType="end"/>
      </w:r>
    </w:p>
    <w:p w14:paraId="5AD77DA2" w14:textId="77777777" w:rsidR="00471F28" w:rsidRDefault="00471F28">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_Toc24705213 \h </w:instrText>
      </w:r>
      <w:r>
        <w:rPr>
          <w:noProof/>
        </w:rPr>
      </w:r>
      <w:r>
        <w:rPr>
          <w:noProof/>
        </w:rPr>
        <w:fldChar w:fldCharType="separate"/>
      </w:r>
      <w:r>
        <w:rPr>
          <w:noProof/>
        </w:rPr>
        <w:t>15</w:t>
      </w:r>
      <w:r>
        <w:rPr>
          <w:noProof/>
        </w:rPr>
        <w:fldChar w:fldCharType="end"/>
      </w:r>
    </w:p>
    <w:p w14:paraId="17FB9D2D" w14:textId="77777777" w:rsidR="00471F28" w:rsidRDefault="00471F28">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_Toc24705214 \h </w:instrText>
      </w:r>
      <w:r>
        <w:rPr>
          <w:noProof/>
        </w:rPr>
      </w:r>
      <w:r>
        <w:rPr>
          <w:noProof/>
        </w:rPr>
        <w:fldChar w:fldCharType="separate"/>
      </w:r>
      <w:r>
        <w:rPr>
          <w:noProof/>
        </w:rPr>
        <w:t>15</w:t>
      </w:r>
      <w:r>
        <w:rPr>
          <w:noProof/>
        </w:rPr>
        <w:fldChar w:fldCharType="end"/>
      </w:r>
    </w:p>
    <w:p w14:paraId="2AC97B59" w14:textId="77777777" w:rsidR="00471F28" w:rsidRDefault="00471F28">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_Toc24705215 \h </w:instrText>
      </w:r>
      <w:r>
        <w:rPr>
          <w:noProof/>
        </w:rPr>
      </w:r>
      <w:r>
        <w:rPr>
          <w:noProof/>
        </w:rPr>
        <w:fldChar w:fldCharType="separate"/>
      </w:r>
      <w:r>
        <w:rPr>
          <w:noProof/>
        </w:rPr>
        <w:t>16</w:t>
      </w:r>
      <w:r>
        <w:rPr>
          <w:noProof/>
        </w:rPr>
        <w:fldChar w:fldCharType="end"/>
      </w:r>
    </w:p>
    <w:p w14:paraId="0E8DE16C" w14:textId="77777777" w:rsidR="00471F28" w:rsidRDefault="00471F28">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_Toc24705216 \h </w:instrText>
      </w:r>
      <w:r>
        <w:rPr>
          <w:noProof/>
        </w:rPr>
      </w:r>
      <w:r>
        <w:rPr>
          <w:noProof/>
        </w:rPr>
        <w:fldChar w:fldCharType="separate"/>
      </w:r>
      <w:r>
        <w:rPr>
          <w:noProof/>
        </w:rPr>
        <w:t>16</w:t>
      </w:r>
      <w:r>
        <w:rPr>
          <w:noProof/>
        </w:rPr>
        <w:fldChar w:fldCharType="end"/>
      </w:r>
    </w:p>
    <w:p w14:paraId="740DA8C6" w14:textId="77777777" w:rsidR="00471F28" w:rsidRDefault="00471F28">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_Toc24705217 \h </w:instrText>
      </w:r>
      <w:r>
        <w:rPr>
          <w:noProof/>
        </w:rPr>
      </w:r>
      <w:r>
        <w:rPr>
          <w:noProof/>
        </w:rPr>
        <w:fldChar w:fldCharType="separate"/>
      </w:r>
      <w:r>
        <w:rPr>
          <w:noProof/>
        </w:rPr>
        <w:t>16</w:t>
      </w:r>
      <w:r>
        <w:rPr>
          <w:noProof/>
        </w:rPr>
        <w:fldChar w:fldCharType="end"/>
      </w:r>
    </w:p>
    <w:p w14:paraId="4B10AB24"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_Toc24705218 \h </w:instrText>
      </w:r>
      <w:r>
        <w:rPr>
          <w:noProof/>
        </w:rPr>
      </w:r>
      <w:r>
        <w:rPr>
          <w:noProof/>
        </w:rPr>
        <w:fldChar w:fldCharType="separate"/>
      </w:r>
      <w:r>
        <w:rPr>
          <w:noProof/>
        </w:rPr>
        <w:t>16</w:t>
      </w:r>
      <w:r>
        <w:rPr>
          <w:noProof/>
        </w:rPr>
        <w:fldChar w:fldCharType="end"/>
      </w:r>
    </w:p>
    <w:p w14:paraId="59825D9E"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_Toc24705219 \h </w:instrText>
      </w:r>
      <w:r>
        <w:rPr>
          <w:noProof/>
        </w:rPr>
      </w:r>
      <w:r>
        <w:rPr>
          <w:noProof/>
        </w:rPr>
        <w:fldChar w:fldCharType="separate"/>
      </w:r>
      <w:r>
        <w:rPr>
          <w:noProof/>
        </w:rPr>
        <w:t>16</w:t>
      </w:r>
      <w:r>
        <w:rPr>
          <w:noProof/>
        </w:rPr>
        <w:fldChar w:fldCharType="end"/>
      </w:r>
    </w:p>
    <w:p w14:paraId="794E528F"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_Toc24705220 \h </w:instrText>
      </w:r>
      <w:r>
        <w:rPr>
          <w:noProof/>
        </w:rPr>
      </w:r>
      <w:r>
        <w:rPr>
          <w:noProof/>
        </w:rPr>
        <w:fldChar w:fldCharType="separate"/>
      </w:r>
      <w:r>
        <w:rPr>
          <w:noProof/>
        </w:rPr>
        <w:t>17</w:t>
      </w:r>
      <w:r>
        <w:rPr>
          <w:noProof/>
        </w:rPr>
        <w:fldChar w:fldCharType="end"/>
      </w:r>
    </w:p>
    <w:p w14:paraId="4CC221D3" w14:textId="77777777" w:rsidR="00471F28" w:rsidRDefault="00471F28">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_Toc24705221 \h </w:instrText>
      </w:r>
      <w:r>
        <w:rPr>
          <w:noProof/>
        </w:rPr>
      </w:r>
      <w:r>
        <w:rPr>
          <w:noProof/>
        </w:rPr>
        <w:fldChar w:fldCharType="separate"/>
      </w:r>
      <w:r>
        <w:rPr>
          <w:noProof/>
        </w:rPr>
        <w:t>17</w:t>
      </w:r>
      <w:r>
        <w:rPr>
          <w:noProof/>
        </w:rPr>
        <w:fldChar w:fldCharType="end"/>
      </w:r>
    </w:p>
    <w:p w14:paraId="4E986874" w14:textId="77777777" w:rsidR="00471F28" w:rsidRDefault="00471F28">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_Toc24705222 \h </w:instrText>
      </w:r>
      <w:r>
        <w:rPr>
          <w:noProof/>
        </w:rPr>
      </w:r>
      <w:r>
        <w:rPr>
          <w:noProof/>
        </w:rPr>
        <w:fldChar w:fldCharType="separate"/>
      </w:r>
      <w:r>
        <w:rPr>
          <w:noProof/>
        </w:rPr>
        <w:t>17</w:t>
      </w:r>
      <w:r>
        <w:rPr>
          <w:noProof/>
        </w:rPr>
        <w:fldChar w:fldCharType="end"/>
      </w:r>
    </w:p>
    <w:p w14:paraId="47EC0AF3"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_Toc24705223 \h </w:instrText>
      </w:r>
      <w:r>
        <w:rPr>
          <w:noProof/>
        </w:rPr>
      </w:r>
      <w:r>
        <w:rPr>
          <w:noProof/>
        </w:rPr>
        <w:fldChar w:fldCharType="separate"/>
      </w:r>
      <w:r>
        <w:rPr>
          <w:noProof/>
        </w:rPr>
        <w:t>17</w:t>
      </w:r>
      <w:r>
        <w:rPr>
          <w:noProof/>
        </w:rPr>
        <w:fldChar w:fldCharType="end"/>
      </w:r>
    </w:p>
    <w:p w14:paraId="456CD9D4"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_Toc24705224 \h </w:instrText>
      </w:r>
      <w:r>
        <w:rPr>
          <w:noProof/>
        </w:rPr>
      </w:r>
      <w:r>
        <w:rPr>
          <w:noProof/>
        </w:rPr>
        <w:fldChar w:fldCharType="separate"/>
      </w:r>
      <w:r>
        <w:rPr>
          <w:noProof/>
        </w:rPr>
        <w:t>17</w:t>
      </w:r>
      <w:r>
        <w:rPr>
          <w:noProof/>
        </w:rPr>
        <w:fldChar w:fldCharType="end"/>
      </w:r>
    </w:p>
    <w:p w14:paraId="7BED73C7"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_Toc24705225 \h </w:instrText>
      </w:r>
      <w:r>
        <w:rPr>
          <w:noProof/>
        </w:rPr>
      </w:r>
      <w:r>
        <w:rPr>
          <w:noProof/>
        </w:rPr>
        <w:fldChar w:fldCharType="separate"/>
      </w:r>
      <w:r>
        <w:rPr>
          <w:noProof/>
        </w:rPr>
        <w:t>18</w:t>
      </w:r>
      <w:r>
        <w:rPr>
          <w:noProof/>
        </w:rPr>
        <w:fldChar w:fldCharType="end"/>
      </w:r>
    </w:p>
    <w:p w14:paraId="5F7F8A5C"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_Toc24705226 \h </w:instrText>
      </w:r>
      <w:r>
        <w:rPr>
          <w:noProof/>
        </w:rPr>
      </w:r>
      <w:r>
        <w:rPr>
          <w:noProof/>
        </w:rPr>
        <w:fldChar w:fldCharType="separate"/>
      </w:r>
      <w:r>
        <w:rPr>
          <w:noProof/>
        </w:rPr>
        <w:t>18</w:t>
      </w:r>
      <w:r>
        <w:rPr>
          <w:noProof/>
        </w:rPr>
        <w:fldChar w:fldCharType="end"/>
      </w:r>
    </w:p>
    <w:p w14:paraId="3AEBC902"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_Toc24705227 \h </w:instrText>
      </w:r>
      <w:r>
        <w:rPr>
          <w:noProof/>
        </w:rPr>
      </w:r>
      <w:r>
        <w:rPr>
          <w:noProof/>
        </w:rPr>
        <w:fldChar w:fldCharType="separate"/>
      </w:r>
      <w:r>
        <w:rPr>
          <w:noProof/>
        </w:rPr>
        <w:t>18</w:t>
      </w:r>
      <w:r>
        <w:rPr>
          <w:noProof/>
        </w:rPr>
        <w:fldChar w:fldCharType="end"/>
      </w:r>
    </w:p>
    <w:p w14:paraId="028B268D"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_Toc24705228 \h </w:instrText>
      </w:r>
      <w:r>
        <w:rPr>
          <w:noProof/>
        </w:rPr>
      </w:r>
      <w:r>
        <w:rPr>
          <w:noProof/>
        </w:rPr>
        <w:fldChar w:fldCharType="separate"/>
      </w:r>
      <w:r>
        <w:rPr>
          <w:noProof/>
        </w:rPr>
        <w:t>18</w:t>
      </w:r>
      <w:r>
        <w:rPr>
          <w:noProof/>
        </w:rPr>
        <w:fldChar w:fldCharType="end"/>
      </w:r>
    </w:p>
    <w:p w14:paraId="2F529404"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_Toc24705229 \h </w:instrText>
      </w:r>
      <w:r>
        <w:rPr>
          <w:noProof/>
        </w:rPr>
      </w:r>
      <w:r>
        <w:rPr>
          <w:noProof/>
        </w:rPr>
        <w:fldChar w:fldCharType="separate"/>
      </w:r>
      <w:r>
        <w:rPr>
          <w:noProof/>
        </w:rPr>
        <w:t>18</w:t>
      </w:r>
      <w:r>
        <w:rPr>
          <w:noProof/>
        </w:rPr>
        <w:fldChar w:fldCharType="end"/>
      </w:r>
    </w:p>
    <w:p w14:paraId="0E05180E" w14:textId="77777777" w:rsidR="00471F28" w:rsidRDefault="00471F28">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_Toc24705230 \h </w:instrText>
      </w:r>
      <w:r>
        <w:rPr>
          <w:noProof/>
        </w:rPr>
      </w:r>
      <w:r>
        <w:rPr>
          <w:noProof/>
        </w:rPr>
        <w:fldChar w:fldCharType="separate"/>
      </w:r>
      <w:r>
        <w:rPr>
          <w:noProof/>
        </w:rPr>
        <w:t>19</w:t>
      </w:r>
      <w:r>
        <w:rPr>
          <w:noProof/>
        </w:rPr>
        <w:fldChar w:fldCharType="end"/>
      </w:r>
    </w:p>
    <w:p w14:paraId="747876D9"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_Toc24705231 \h </w:instrText>
      </w:r>
      <w:r>
        <w:rPr>
          <w:noProof/>
        </w:rPr>
      </w:r>
      <w:r>
        <w:rPr>
          <w:noProof/>
        </w:rPr>
        <w:fldChar w:fldCharType="separate"/>
      </w:r>
      <w:r>
        <w:rPr>
          <w:noProof/>
        </w:rPr>
        <w:t>19</w:t>
      </w:r>
      <w:r>
        <w:rPr>
          <w:noProof/>
        </w:rPr>
        <w:fldChar w:fldCharType="end"/>
      </w:r>
    </w:p>
    <w:p w14:paraId="4C7451A7"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_Toc24705232 \h </w:instrText>
      </w:r>
      <w:r>
        <w:rPr>
          <w:noProof/>
        </w:rPr>
      </w:r>
      <w:r>
        <w:rPr>
          <w:noProof/>
        </w:rPr>
        <w:fldChar w:fldCharType="separate"/>
      </w:r>
      <w:r>
        <w:rPr>
          <w:noProof/>
        </w:rPr>
        <w:t>19</w:t>
      </w:r>
      <w:r>
        <w:rPr>
          <w:noProof/>
        </w:rPr>
        <w:fldChar w:fldCharType="end"/>
      </w:r>
    </w:p>
    <w:p w14:paraId="256D4006"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_Toc24705233 \h </w:instrText>
      </w:r>
      <w:r>
        <w:rPr>
          <w:noProof/>
        </w:rPr>
      </w:r>
      <w:r>
        <w:rPr>
          <w:noProof/>
        </w:rPr>
        <w:fldChar w:fldCharType="separate"/>
      </w:r>
      <w:r>
        <w:rPr>
          <w:noProof/>
        </w:rPr>
        <w:t>20</w:t>
      </w:r>
      <w:r>
        <w:rPr>
          <w:noProof/>
        </w:rPr>
        <w:fldChar w:fldCharType="end"/>
      </w:r>
    </w:p>
    <w:p w14:paraId="6B3DDD2D"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_Toc24705234 \h </w:instrText>
      </w:r>
      <w:r>
        <w:rPr>
          <w:noProof/>
        </w:rPr>
      </w:r>
      <w:r>
        <w:rPr>
          <w:noProof/>
        </w:rPr>
        <w:fldChar w:fldCharType="separate"/>
      </w:r>
      <w:r>
        <w:rPr>
          <w:noProof/>
        </w:rPr>
        <w:t>20</w:t>
      </w:r>
      <w:r>
        <w:rPr>
          <w:noProof/>
        </w:rPr>
        <w:fldChar w:fldCharType="end"/>
      </w:r>
    </w:p>
    <w:p w14:paraId="3F5AEDA0" w14:textId="77777777" w:rsidR="00471F28" w:rsidRDefault="00471F28">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_Toc24705235 \h </w:instrText>
      </w:r>
      <w:r>
        <w:rPr>
          <w:noProof/>
        </w:rPr>
      </w:r>
      <w:r>
        <w:rPr>
          <w:noProof/>
        </w:rPr>
        <w:fldChar w:fldCharType="separate"/>
      </w:r>
      <w:r>
        <w:rPr>
          <w:noProof/>
        </w:rPr>
        <w:t>21</w:t>
      </w:r>
      <w:r>
        <w:rPr>
          <w:noProof/>
        </w:rPr>
        <w:fldChar w:fldCharType="end"/>
      </w:r>
    </w:p>
    <w:p w14:paraId="1E5AEAB8" w14:textId="77777777" w:rsidR="00471F28" w:rsidRDefault="00471F28">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_Toc24705236 \h </w:instrText>
      </w:r>
      <w:r>
        <w:rPr>
          <w:noProof/>
        </w:rPr>
      </w:r>
      <w:r>
        <w:rPr>
          <w:noProof/>
        </w:rPr>
        <w:fldChar w:fldCharType="separate"/>
      </w:r>
      <w:r>
        <w:rPr>
          <w:noProof/>
        </w:rPr>
        <w:t>22</w:t>
      </w:r>
      <w:r>
        <w:rPr>
          <w:noProof/>
        </w:rPr>
        <w:fldChar w:fldCharType="end"/>
      </w:r>
    </w:p>
    <w:p w14:paraId="6E940BAE" w14:textId="4C2AE979"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40910CB8" w14:textId="77777777" w:rsidR="00D00456" w:rsidRDefault="00D00456">
      <w:pPr>
        <w:spacing w:before="0" w:after="0" w:line="240" w:lineRule="auto"/>
        <w:rPr>
          <w:b/>
        </w:rPr>
      </w:pPr>
      <w:bookmarkStart w:id="0" w:name="_Toc458420391"/>
      <w:bookmarkStart w:id="1" w:name="_Toc462824846"/>
    </w:p>
    <w:p w14:paraId="17A1C816" w14:textId="2295FEE3" w:rsidR="00D00456" w:rsidRPr="005C7B4A" w:rsidRDefault="00BD4040" w:rsidP="009668F6">
      <w:pPr>
        <w:pStyle w:val="Heading2"/>
      </w:pPr>
      <w:bookmarkStart w:id="2" w:name="_[Program_name]:_[Grant"/>
      <w:bookmarkStart w:id="3" w:name="_Toc24705190"/>
      <w:bookmarkEnd w:id="2"/>
      <w:r>
        <w:t>Agricultural Trade and Market Access Cooperation</w:t>
      </w:r>
      <w:r w:rsidR="00D74F87">
        <w:t xml:space="preserve"> (ATMAC)</w:t>
      </w:r>
      <w:r>
        <w:t xml:space="preserve"> program</w:t>
      </w:r>
      <w:r w:rsidR="00D14A4E">
        <w:t xml:space="preserve"> </w:t>
      </w:r>
      <w:r w:rsidR="00D74F87">
        <w:t xml:space="preserve">2020 Grant Opportunity </w:t>
      </w:r>
      <w:r w:rsidR="00E44500">
        <w:t>processes</w:t>
      </w:r>
      <w:bookmarkEnd w:id="3"/>
    </w:p>
    <w:bookmarkEnd w:id="0"/>
    <w:bookmarkEnd w:id="1"/>
    <w:p w14:paraId="3485B448" w14:textId="04DD1F3E" w:rsidR="00CE6D9D" w:rsidRDefault="00CE6D9D" w:rsidP="00A7268A">
      <w:pPr>
        <w:pBdr>
          <w:top w:val="single" w:sz="4" w:space="1" w:color="auto"/>
          <w:left w:val="single" w:sz="4" w:space="4" w:color="auto"/>
          <w:bottom w:val="single" w:sz="4" w:space="1" w:color="auto"/>
          <w:right w:val="single" w:sz="4" w:space="4" w:color="auto"/>
        </w:pBdr>
        <w:spacing w:after="0"/>
        <w:jc w:val="center"/>
        <w:rPr>
          <w:b/>
        </w:rPr>
      </w:pPr>
      <w:r w:rsidRPr="00F40BDA">
        <w:rPr>
          <w:b/>
        </w:rPr>
        <w:t>The</w:t>
      </w:r>
      <w:r w:rsidR="00965D7B">
        <w:rPr>
          <w:b/>
        </w:rPr>
        <w:t xml:space="preserve"> Agricultural Trade and Market Access Cooperation </w:t>
      </w:r>
      <w:r w:rsidR="00471F28">
        <w:rPr>
          <w:b/>
        </w:rPr>
        <w:t xml:space="preserve">(ATMAC) </w:t>
      </w:r>
      <w:r w:rsidR="00F82635">
        <w:rPr>
          <w:b/>
        </w:rPr>
        <w:t xml:space="preserve">2020 </w:t>
      </w:r>
      <w:r w:rsidR="00D74F87">
        <w:rPr>
          <w:b/>
        </w:rPr>
        <w:t xml:space="preserve">grant opportunity </w:t>
      </w:r>
      <w:proofErr w:type="gramStart"/>
      <w:r w:rsidRPr="00F40BDA">
        <w:rPr>
          <w:b/>
        </w:rPr>
        <w:t>is</w:t>
      </w:r>
      <w:r w:rsidR="00181A24">
        <w:rPr>
          <w:b/>
        </w:rPr>
        <w:t xml:space="preserve"> </w:t>
      </w:r>
      <w:r w:rsidRPr="00F40BDA">
        <w:rPr>
          <w:b/>
        </w:rPr>
        <w:t>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08620228" w14:textId="57E7A574" w:rsidR="00FA5A51" w:rsidRDefault="00E52373" w:rsidP="005771CC">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D164B1">
        <w:t>p</w:t>
      </w:r>
      <w:r w:rsidRPr="00D164B1">
        <w:t>rogram which contributes to</w:t>
      </w:r>
      <w:r w:rsidR="00965D7B">
        <w:t xml:space="preserve"> </w:t>
      </w:r>
      <w:r w:rsidR="00965D7B" w:rsidRPr="00965D7B">
        <w:rPr>
          <w:rFonts w:cs="Arial"/>
        </w:rPr>
        <w:t>Department of Agriculture</w:t>
      </w:r>
      <w:r w:rsidR="00965D7B">
        <w:rPr>
          <w:rFonts w:cs="Arial"/>
        </w:rPr>
        <w:t>’s</w:t>
      </w:r>
      <w:r w:rsidR="00965D7B" w:rsidRPr="00965D7B">
        <w:rPr>
          <w:rFonts w:cs="Arial"/>
        </w:rPr>
        <w:t xml:space="preserve"> Outcome 1: More sustainable, productive, internationally competitive and profitable Australian agricultural, food and fibre industries through policies and initiatives that promote better resource management practices, innovation, self-reliance and improved access to international markets. </w:t>
      </w:r>
      <w:r w:rsidRPr="00D164B1">
        <w:t>The</w:t>
      </w:r>
      <w:r w:rsidR="00965D7B">
        <w:t xml:space="preserve"> </w:t>
      </w:r>
      <w:r w:rsidR="0060171C">
        <w:t>Department of Agriculture</w:t>
      </w:r>
      <w:r w:rsidRPr="00D164B1">
        <w:t xml:space="preserve"> </w:t>
      </w:r>
      <w:r>
        <w:t>works with stakeholders to plan and design the grant program according to the</w:t>
      </w:r>
    </w:p>
    <w:p w14:paraId="32F95D66" w14:textId="60828F44" w:rsidR="00FA5A51" w:rsidRPr="00FA5A51" w:rsidRDefault="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006F145A" w:rsidRPr="00AB4BAD">
          <w:rPr>
            <w:rStyle w:val="Hyperlink"/>
            <w:i/>
          </w:rPr>
          <w:t>Commonwealth Grants Rules and Guidelines</w:t>
        </w:r>
        <w:r w:rsidR="00A2674E" w:rsidRPr="00AB4BAD">
          <w:rPr>
            <w:rStyle w:val="Hyperlink"/>
            <w:i/>
          </w:rPr>
          <w:t xml:space="preserve"> 2017</w:t>
        </w:r>
        <w:r w:rsidR="006F145A" w:rsidRPr="00AB4BAD">
          <w:rPr>
            <w:rStyle w:val="Hyperlink"/>
            <w:i/>
          </w:rPr>
          <w:t xml:space="preserve"> (CGRGs)</w:t>
        </w:r>
        <w:r w:rsidRPr="00AB4BAD">
          <w:rPr>
            <w:rStyle w:val="Hyperlink"/>
            <w:i/>
          </w:rPr>
          <w:t>.</w:t>
        </w:r>
      </w:hyperlink>
    </w:p>
    <w:p w14:paraId="2380D39E" w14:textId="77777777" w:rsidR="00CE6D9D" w:rsidRPr="00F40BDA" w:rsidRDefault="00CE6D9D" w:rsidP="00A7268A">
      <w:pPr>
        <w:spacing w:before="0" w:after="0" w:line="240" w:lineRule="auto"/>
        <w:jc w:val="center"/>
        <w:rPr>
          <w:rFonts w:ascii="Wingdings" w:hAnsi="Wingdings"/>
        </w:rPr>
      </w:pPr>
      <w:r w:rsidRPr="00F40BDA">
        <w:rPr>
          <w:rFonts w:ascii="Wingdings" w:hAnsi="Wingdings"/>
        </w:rPr>
        <w:t></w:t>
      </w:r>
    </w:p>
    <w:p w14:paraId="20432BC4"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BF2D019"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3D263D61" w14:textId="77777777" w:rsidR="00CE6D9D" w:rsidRPr="00F40BDA" w:rsidRDefault="00CE6D9D" w:rsidP="00CE6D9D">
      <w:pPr>
        <w:spacing w:after="0"/>
        <w:jc w:val="center"/>
        <w:rPr>
          <w:rFonts w:ascii="Wingdings" w:hAnsi="Wingdings"/>
        </w:rPr>
      </w:pPr>
      <w:r w:rsidRPr="00F40BDA">
        <w:rPr>
          <w:rFonts w:ascii="Wingdings" w:hAnsi="Wingdings"/>
        </w:rPr>
        <w:t></w:t>
      </w:r>
    </w:p>
    <w:p w14:paraId="7F0D7419"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422BD652"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grant.</w:t>
      </w:r>
    </w:p>
    <w:p w14:paraId="26C9EFB7" w14:textId="77777777" w:rsidR="00CE6D9D" w:rsidRPr="00F40BDA" w:rsidRDefault="00CE6D9D" w:rsidP="00CE6D9D">
      <w:pPr>
        <w:spacing w:after="0"/>
        <w:jc w:val="center"/>
        <w:rPr>
          <w:rFonts w:ascii="Wingdings" w:hAnsi="Wingdings"/>
        </w:rPr>
      </w:pPr>
      <w:r w:rsidRPr="00F40BDA">
        <w:rPr>
          <w:rFonts w:ascii="Wingdings" w:hAnsi="Wingdings"/>
        </w:rPr>
        <w:t></w:t>
      </w:r>
    </w:p>
    <w:p w14:paraId="2BFE16D9"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4DBF54BA"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02251DD" w14:textId="77777777" w:rsidR="00CE6D9D" w:rsidRPr="00C659C4" w:rsidRDefault="00CE6D9D" w:rsidP="00CE6D9D">
      <w:pPr>
        <w:spacing w:after="0"/>
        <w:jc w:val="center"/>
        <w:rPr>
          <w:rFonts w:ascii="Wingdings" w:hAnsi="Wingdings"/>
        </w:rPr>
      </w:pPr>
      <w:r w:rsidRPr="00C659C4">
        <w:rPr>
          <w:rFonts w:ascii="Wingdings" w:hAnsi="Wingdings"/>
        </w:rPr>
        <w:t></w:t>
      </w:r>
    </w:p>
    <w:p w14:paraId="7FAB7382"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6F7B3577" w14:textId="471DD682"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provide advice</w:t>
      </w:r>
      <w:r w:rsidR="00543A99" w:rsidRPr="003416C1">
        <w:t>, through the</w:t>
      </w:r>
      <w:r w:rsidR="0070001C" w:rsidRPr="003416C1">
        <w:t xml:space="preserve"> </w:t>
      </w:r>
      <w:r w:rsidR="00A7268A">
        <w:t>S</w:t>
      </w:r>
      <w:r w:rsidR="00A7268A" w:rsidRPr="003416C1">
        <w:t xml:space="preserve">election </w:t>
      </w:r>
      <w:r w:rsidR="00A7268A">
        <w:t>A</w:t>
      </w:r>
      <w:r w:rsidR="00A7268A" w:rsidRPr="003416C1">
        <w:t xml:space="preserve">dvisory </w:t>
      </w:r>
      <w:r w:rsidR="00A7268A">
        <w:t>P</w:t>
      </w:r>
      <w:r w:rsidR="00A7268A" w:rsidRPr="003416C1">
        <w:t xml:space="preserve">anel </w:t>
      </w:r>
      <w:r w:rsidR="00CE6D9D" w:rsidRPr="003416C1">
        <w:t>to the decision maker on the merits of each application.</w:t>
      </w:r>
    </w:p>
    <w:p w14:paraId="64BEFE27" w14:textId="77777777" w:rsidR="00CE6D9D" w:rsidRPr="00C659C4" w:rsidRDefault="00CE6D9D" w:rsidP="00CE6D9D">
      <w:pPr>
        <w:spacing w:after="0"/>
        <w:jc w:val="center"/>
        <w:rPr>
          <w:rFonts w:ascii="Wingdings" w:hAnsi="Wingdings"/>
        </w:rPr>
      </w:pPr>
      <w:r w:rsidRPr="00C659C4">
        <w:rPr>
          <w:rFonts w:ascii="Wingdings" w:hAnsi="Wingdings"/>
        </w:rPr>
        <w:t></w:t>
      </w:r>
    </w:p>
    <w:p w14:paraId="0E291BFA"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5A22F852" w14:textId="2ECFD22A"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F75A77">
        <w:t xml:space="preserve"> (the Minister or their delegate)</w:t>
      </w:r>
      <w:r w:rsidR="00DA43F0">
        <w:t xml:space="preserve"> </w:t>
      </w:r>
      <w:r w:rsidRPr="00C659C4">
        <w:t>decides which applications are successful.</w:t>
      </w:r>
    </w:p>
    <w:p w14:paraId="0A9D4BF7" w14:textId="77777777" w:rsidR="00CE6D9D" w:rsidRPr="00C659C4" w:rsidRDefault="00CE6D9D" w:rsidP="00CE6D9D">
      <w:pPr>
        <w:spacing w:after="0"/>
        <w:jc w:val="center"/>
        <w:rPr>
          <w:rFonts w:ascii="Wingdings" w:hAnsi="Wingdings"/>
        </w:rPr>
      </w:pPr>
      <w:r w:rsidRPr="00C659C4">
        <w:rPr>
          <w:rFonts w:ascii="Wingdings" w:hAnsi="Wingdings"/>
        </w:rPr>
        <w:t></w:t>
      </w:r>
    </w:p>
    <w:p w14:paraId="4F7804F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4A636773"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applicants until grant agreements </w:t>
      </w:r>
      <w:proofErr w:type="gramStart"/>
      <w:r w:rsidR="00CE6D9D" w:rsidRPr="00C659C4">
        <w:t>have been executed</w:t>
      </w:r>
      <w:proofErr w:type="gramEnd"/>
      <w:r w:rsidR="00CE6D9D" w:rsidRPr="00C659C4">
        <w:t xml:space="preserve"> with successful applicants.</w:t>
      </w:r>
    </w:p>
    <w:p w14:paraId="628479F2" w14:textId="77777777" w:rsidR="00CE6D9D" w:rsidRPr="00C659C4" w:rsidRDefault="00CE6D9D" w:rsidP="00CE6D9D">
      <w:pPr>
        <w:spacing w:after="0"/>
        <w:jc w:val="center"/>
        <w:rPr>
          <w:rFonts w:ascii="Wingdings" w:hAnsi="Wingdings"/>
        </w:rPr>
      </w:pPr>
      <w:r w:rsidRPr="00C659C4">
        <w:rPr>
          <w:rFonts w:ascii="Wingdings" w:hAnsi="Wingdings"/>
        </w:rPr>
        <w:t></w:t>
      </w:r>
    </w:p>
    <w:p w14:paraId="0F472A95"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38395EA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0BF14CA5" w14:textId="77777777" w:rsidR="00CE6D9D" w:rsidRPr="00C659C4" w:rsidRDefault="00CE6D9D" w:rsidP="00CE6D9D">
      <w:pPr>
        <w:spacing w:after="0"/>
        <w:jc w:val="center"/>
        <w:rPr>
          <w:rFonts w:ascii="Wingdings" w:hAnsi="Wingdings"/>
        </w:rPr>
      </w:pPr>
      <w:r w:rsidRPr="00C659C4">
        <w:rPr>
          <w:rFonts w:ascii="Wingdings" w:hAnsi="Wingdings"/>
        </w:rPr>
        <w:t></w:t>
      </w:r>
    </w:p>
    <w:p w14:paraId="431601D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3E51CC9B"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632329ED" w14:textId="77777777" w:rsidR="00CE6D9D" w:rsidRPr="00C659C4" w:rsidRDefault="00CE6D9D" w:rsidP="00CE6D9D">
      <w:pPr>
        <w:spacing w:after="0"/>
        <w:jc w:val="center"/>
        <w:rPr>
          <w:rFonts w:ascii="Wingdings" w:hAnsi="Wingdings"/>
        </w:rPr>
      </w:pPr>
      <w:r w:rsidRPr="00C659C4">
        <w:rPr>
          <w:rFonts w:ascii="Wingdings" w:hAnsi="Wingdings"/>
        </w:rPr>
        <w:t></w:t>
      </w:r>
    </w:p>
    <w:p w14:paraId="570C5E36" w14:textId="128CB21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Evaluation of the</w:t>
      </w:r>
      <w:r w:rsidR="00965D7B">
        <w:rPr>
          <w:b/>
        </w:rPr>
        <w:t xml:space="preserve"> </w:t>
      </w:r>
      <w:r w:rsidR="00FF7F65">
        <w:rPr>
          <w:b/>
        </w:rPr>
        <w:t>Agricultural Trade and Market Access Cooperation program</w:t>
      </w:r>
    </w:p>
    <w:p w14:paraId="108713CA" w14:textId="5D9E1980" w:rsidR="00843AFD" w:rsidRDefault="00293465" w:rsidP="00EE0C10">
      <w:pPr>
        <w:pBdr>
          <w:top w:val="single" w:sz="2" w:space="1" w:color="auto"/>
          <w:left w:val="single" w:sz="2" w:space="4" w:color="auto"/>
          <w:bottom w:val="single" w:sz="2" w:space="1" w:color="auto"/>
          <w:right w:val="single" w:sz="2" w:space="4" w:color="auto"/>
        </w:pBdr>
        <w:spacing w:after="0"/>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the</w:t>
      </w:r>
      <w:r w:rsidR="00965D7B">
        <w:t xml:space="preserve"> </w:t>
      </w:r>
      <w:r w:rsidR="00FF7F65" w:rsidRPr="00490FE7">
        <w:t>Agricultural Trade and Market Access Cooperation program</w:t>
      </w:r>
      <w:r w:rsidR="00FF7F65">
        <w:rPr>
          <w:b/>
        </w:rPr>
        <w:t xml:space="preserve"> </w:t>
      </w:r>
      <w:r w:rsidR="00CE6D9D" w:rsidRPr="00C659C4">
        <w:t>as a whole. We base this on information you provide us and that we collect from various sources.</w:t>
      </w:r>
    </w:p>
    <w:p w14:paraId="290EDB84" w14:textId="77777777" w:rsidR="00827752" w:rsidRDefault="00827752" w:rsidP="00B368D9">
      <w:pPr>
        <w:suppressAutoHyphens/>
        <w:spacing w:before="180" w:after="60"/>
        <w:ind w:firstLine="720"/>
        <w:rPr>
          <w:rFonts w:cs="Arial"/>
          <w:bCs/>
          <w:iCs/>
          <w:color w:val="264F90"/>
          <w:sz w:val="24"/>
          <w:szCs w:val="32"/>
        </w:rPr>
      </w:pPr>
    </w:p>
    <w:p w14:paraId="3A081418" w14:textId="77777777" w:rsidR="00E00BAF" w:rsidRPr="00181A24" w:rsidRDefault="00E00BAF" w:rsidP="00827752">
      <w:pPr>
        <w:pStyle w:val="Heading3"/>
      </w:pPr>
      <w:bookmarkStart w:id="4" w:name="_Toc24705191"/>
      <w:r w:rsidRPr="00181A24">
        <w:t>Introduction</w:t>
      </w:r>
      <w:bookmarkEnd w:id="4"/>
    </w:p>
    <w:p w14:paraId="62F7BEF3" w14:textId="09C9FEBE" w:rsidR="00D3694B" w:rsidRDefault="00D3694B" w:rsidP="00D3694B">
      <w:r>
        <w:t>These guidelines contain information for the</w:t>
      </w:r>
      <w:r w:rsidR="00FF7F65">
        <w:t xml:space="preserve"> </w:t>
      </w:r>
      <w:r w:rsidR="00FF7F65" w:rsidRPr="00490FE7">
        <w:t>Agricultural Trade and Market Access Cooperation</w:t>
      </w:r>
      <w:r w:rsidR="00C45174">
        <w:t xml:space="preserve"> </w:t>
      </w:r>
      <w:r w:rsidR="00FF7F65">
        <w:t>(</w:t>
      </w:r>
      <w:r w:rsidR="00965D7B">
        <w:t>ATMAC</w:t>
      </w:r>
      <w:r w:rsidR="00FF7F65">
        <w:t>)</w:t>
      </w:r>
      <w:r>
        <w:t xml:space="preserve"> grants</w:t>
      </w:r>
      <w:r w:rsidR="00965D7B">
        <w:t xml:space="preserve"> program</w:t>
      </w:r>
      <w:r w:rsidR="005E6C18">
        <w:t>.</w:t>
      </w:r>
    </w:p>
    <w:p w14:paraId="55654F23" w14:textId="55A3B659" w:rsidR="00965D7B" w:rsidRPr="00965D7B" w:rsidRDefault="00965D7B" w:rsidP="00D3694B">
      <w:pPr>
        <w:rPr>
          <w:rStyle w:val="highlightedtextChar"/>
          <w:rFonts w:ascii="Arial" w:eastAsia="Times New Roman" w:hAnsi="Arial" w:cs="Arial"/>
          <w:b w:val="0"/>
          <w:color w:val="auto"/>
          <w:sz w:val="20"/>
          <w:szCs w:val="20"/>
        </w:rPr>
      </w:pPr>
      <w:r w:rsidRPr="00965D7B">
        <w:rPr>
          <w:rFonts w:cs="Arial"/>
        </w:rPr>
        <w:t xml:space="preserve">The ATMAC program funds projects that help to </w:t>
      </w:r>
      <w:proofErr w:type="gramStart"/>
      <w:r w:rsidRPr="00965D7B">
        <w:rPr>
          <w:rFonts w:cs="Arial"/>
        </w:rPr>
        <w:t>open,</w:t>
      </w:r>
      <w:proofErr w:type="gramEnd"/>
      <w:r w:rsidRPr="00965D7B">
        <w:rPr>
          <w:rFonts w:cs="Arial"/>
        </w:rPr>
        <w:t xml:space="preserve"> improve and maintain access to markets for Australian agricultural products by building stronger relationships with trading partners, neighbouring countries a</w:t>
      </w:r>
      <w:r w:rsidR="005E6C18">
        <w:rPr>
          <w:rFonts w:cs="Arial"/>
        </w:rPr>
        <w:t>nd international organisations.</w:t>
      </w:r>
    </w:p>
    <w:p w14:paraId="2A99C9E8" w14:textId="4F9BBA10" w:rsidR="00D3694B" w:rsidRDefault="00D3694B" w:rsidP="00D3694B">
      <w:r>
        <w:t>You must read these guidelines bef</w:t>
      </w:r>
      <w:r w:rsidR="005E6C18">
        <w:t>ore filling out an application.</w:t>
      </w:r>
    </w:p>
    <w:p w14:paraId="68E39B1A" w14:textId="77777777" w:rsidR="00E00BAF" w:rsidRPr="00E00BAF" w:rsidRDefault="00E00BAF" w:rsidP="00D3694B">
      <w:r w:rsidRPr="00E00BAF">
        <w:t>This document sets out:</w:t>
      </w:r>
    </w:p>
    <w:p w14:paraId="7EC21BC5"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7B040E9"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3FB71DA9"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EF9AF5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7BC8795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54E4E031" w14:textId="77777777" w:rsidR="00E00BAF" w:rsidRPr="009E283B" w:rsidRDefault="00E00BAF" w:rsidP="009E283B">
      <w:pPr>
        <w:pStyle w:val="ListBullet"/>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6B7997EE" w14:textId="54E95C07" w:rsidR="00D3694B" w:rsidRDefault="00D3694B">
      <w:pPr>
        <w:pStyle w:val="ListBullet"/>
        <w:numPr>
          <w:ilvl w:val="0"/>
          <w:numId w:val="0"/>
        </w:numPr>
        <w:rPr>
          <w:rStyle w:val="highlightedtextChar"/>
          <w:rFonts w:ascii="Arial" w:hAnsi="Arial" w:cs="Arial"/>
          <w:b w:val="0"/>
          <w:iCs w:val="0"/>
          <w:color w:val="auto"/>
          <w:sz w:val="20"/>
          <w:szCs w:val="20"/>
        </w:rPr>
      </w:pPr>
      <w:proofErr w:type="gramStart"/>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Community Grants Hub on behalf of the</w:t>
      </w:r>
      <w:r w:rsidR="00965D7B">
        <w:rPr>
          <w:rStyle w:val="highlightedtextChar"/>
          <w:rFonts w:ascii="Arial" w:hAnsi="Arial" w:cs="Arial"/>
          <w:b w:val="0"/>
          <w:color w:val="auto"/>
          <w:sz w:val="20"/>
          <w:szCs w:val="20"/>
        </w:rPr>
        <w:t xml:space="preserve"> Department of Agriculture</w:t>
      </w:r>
      <w:r w:rsidR="0060171C">
        <w:rPr>
          <w:rStyle w:val="highlightedtextChar"/>
          <w:rFonts w:ascii="Arial" w:hAnsi="Arial" w:cs="Arial"/>
          <w:b w:val="0"/>
          <w:color w:val="auto"/>
          <w:sz w:val="20"/>
          <w:szCs w:val="20"/>
        </w:rPr>
        <w:t xml:space="preserve"> (the department)</w:t>
      </w:r>
      <w:proofErr w:type="gramEnd"/>
      <w:r w:rsidR="00965D7B">
        <w:rPr>
          <w:rStyle w:val="highlightedtextChar"/>
          <w:rFonts w:ascii="Arial" w:hAnsi="Arial" w:cs="Arial"/>
          <w:b w:val="0"/>
          <w:color w:val="auto"/>
          <w:sz w:val="20"/>
          <w:szCs w:val="20"/>
        </w:rPr>
        <w:t>.</w:t>
      </w:r>
    </w:p>
    <w:p w14:paraId="32C68763" w14:textId="77777777" w:rsidR="00907078" w:rsidRPr="00F40BDA" w:rsidRDefault="005C7B4A" w:rsidP="009668F6">
      <w:pPr>
        <w:pStyle w:val="Heading2"/>
      </w:pPr>
      <w:bookmarkStart w:id="5" w:name="_Toc24705192"/>
      <w:r>
        <w:t xml:space="preserve">About the </w:t>
      </w:r>
      <w:r w:rsidR="00FE6C6F">
        <w:t>g</w:t>
      </w:r>
      <w:r>
        <w:t xml:space="preserve">rant </w:t>
      </w:r>
      <w:r w:rsidR="00FE6C6F">
        <w:t>p</w:t>
      </w:r>
      <w:r w:rsidR="00EB5DA7">
        <w:t>rogram</w:t>
      </w:r>
      <w:bookmarkEnd w:id="5"/>
    </w:p>
    <w:p w14:paraId="0544B99C" w14:textId="7BE8B0B9" w:rsidR="00965D7B" w:rsidRDefault="00022A7F" w:rsidP="00022A7F">
      <w:r w:rsidRPr="00045933">
        <w:t>The</w:t>
      </w:r>
      <w:r w:rsidR="00965D7B">
        <w:t xml:space="preserve"> ATMAC program (the program) is a component of P</w:t>
      </w:r>
      <w:r w:rsidR="008766DE">
        <w:t xml:space="preserve">ortfolio </w:t>
      </w:r>
      <w:r w:rsidR="00965D7B">
        <w:t>B</w:t>
      </w:r>
      <w:r w:rsidR="008766DE">
        <w:t xml:space="preserve">udget </w:t>
      </w:r>
      <w:r w:rsidR="00965D7B">
        <w:t>S</w:t>
      </w:r>
      <w:r w:rsidR="008766DE">
        <w:t>tatement</w:t>
      </w:r>
      <w:r w:rsidR="00965D7B">
        <w:t xml:space="preserve"> program 1.13: International Market Access.</w:t>
      </w:r>
    </w:p>
    <w:p w14:paraId="0344B3C8" w14:textId="77777777" w:rsidR="001745D9" w:rsidRDefault="001745D9" w:rsidP="001745D9">
      <w:pPr>
        <w:rPr>
          <w:rFonts w:asciiTheme="minorHAnsi" w:hAnsiTheme="minorHAnsi" w:cs="Arial"/>
          <w:sz w:val="22"/>
          <w:szCs w:val="22"/>
        </w:rPr>
      </w:pPr>
      <w:r w:rsidRPr="00CF093F">
        <w:rPr>
          <w:rFonts w:cs="Arial"/>
        </w:rPr>
        <w:t>The program</w:t>
      </w:r>
      <w:r>
        <w:rPr>
          <w:rFonts w:cs="Arial"/>
        </w:rPr>
        <w:t xml:space="preserve"> </w:t>
      </w:r>
      <w:r w:rsidRPr="00CF093F">
        <w:rPr>
          <w:rFonts w:cs="Arial"/>
        </w:rPr>
        <w:t xml:space="preserve">is part of the Australian Government’s commitment to </w:t>
      </w:r>
      <w:r>
        <w:rPr>
          <w:rFonts w:cs="Arial"/>
        </w:rPr>
        <w:t>m</w:t>
      </w:r>
      <w:r w:rsidRPr="00CF093F">
        <w:rPr>
          <w:rFonts w:cs="Arial"/>
        </w:rPr>
        <w:t xml:space="preserve">odernise </w:t>
      </w:r>
      <w:r>
        <w:rPr>
          <w:rFonts w:cs="Arial"/>
        </w:rPr>
        <w:t>a</w:t>
      </w:r>
      <w:r w:rsidRPr="00CF093F">
        <w:rPr>
          <w:rFonts w:cs="Arial"/>
        </w:rPr>
        <w:t xml:space="preserve">gricultural </w:t>
      </w:r>
      <w:r>
        <w:rPr>
          <w:rFonts w:cs="Arial"/>
        </w:rPr>
        <w:t>t</w:t>
      </w:r>
      <w:r w:rsidRPr="00CF093F">
        <w:rPr>
          <w:rFonts w:cs="Arial"/>
        </w:rPr>
        <w:t xml:space="preserve">rade and </w:t>
      </w:r>
      <w:r>
        <w:rPr>
          <w:rFonts w:cs="Arial"/>
        </w:rPr>
        <w:t>grow</w:t>
      </w:r>
      <w:r w:rsidRPr="00CF093F">
        <w:rPr>
          <w:rFonts w:cs="Arial"/>
        </w:rPr>
        <w:t xml:space="preserve"> </w:t>
      </w:r>
      <w:r>
        <w:rPr>
          <w:rFonts w:cs="Arial"/>
        </w:rPr>
        <w:t>a</w:t>
      </w:r>
      <w:r w:rsidRPr="00CF093F">
        <w:rPr>
          <w:rFonts w:cs="Arial"/>
        </w:rPr>
        <w:t xml:space="preserve">gricultural </w:t>
      </w:r>
      <w:r>
        <w:rPr>
          <w:rFonts w:cs="Arial"/>
        </w:rPr>
        <w:t>e</w:t>
      </w:r>
      <w:r w:rsidRPr="00CF093F">
        <w:rPr>
          <w:rFonts w:cs="Arial"/>
        </w:rPr>
        <w:t>xports. It is also consistent with the Government’s economic diplomacy agenda, which has trade as one of its four pillars supporting Australia’s economic interests. The program began as an initiative under the Agricultural Competitiveness White Paper and ai</w:t>
      </w:r>
      <w:r>
        <w:rPr>
          <w:rFonts w:cs="Arial"/>
        </w:rPr>
        <w:t>ms to assist Australian industries</w:t>
      </w:r>
      <w:r w:rsidRPr="00CF093F">
        <w:rPr>
          <w:rFonts w:cs="Arial"/>
        </w:rPr>
        <w:t xml:space="preserve"> in breaking down technical barriers to trade for Australian agricultural exports and secure new and improved access to premium markets.</w:t>
      </w:r>
    </w:p>
    <w:p w14:paraId="38914494" w14:textId="1FC1CEB8" w:rsidR="00022A7F" w:rsidRPr="003027D2" w:rsidRDefault="00965D7B" w:rsidP="00022A7F">
      <w:pPr>
        <w:rPr>
          <w:rFonts w:cs="Arial"/>
          <w:b/>
          <w:color w:val="0070C0"/>
        </w:rPr>
      </w:pPr>
      <w:r>
        <w:t>The program</w:t>
      </w:r>
      <w:r>
        <w:rPr>
          <w:rFonts w:cs="Arial"/>
          <w:color w:val="0070C0"/>
        </w:rPr>
        <w:t xml:space="preserve"> </w:t>
      </w:r>
      <w:r w:rsidR="00022A7F" w:rsidRPr="00045933">
        <w:t>will run over</w:t>
      </w:r>
      <w:r>
        <w:t xml:space="preserve"> four</w:t>
      </w:r>
      <w:r w:rsidR="00022A7F" w:rsidRPr="007B4CC0">
        <w:t xml:space="preserve"> </w:t>
      </w:r>
      <w:r w:rsidR="00022A7F" w:rsidRPr="00045933">
        <w:t xml:space="preserve">years </w:t>
      </w:r>
      <w:r w:rsidR="00022A7F" w:rsidRPr="007B4CC0">
        <w:t xml:space="preserve">from </w:t>
      </w:r>
      <w:r w:rsidRPr="00965D7B">
        <w:rPr>
          <w:rFonts w:cs="Arial"/>
        </w:rPr>
        <w:t>2019–20 to 2022–23</w:t>
      </w:r>
      <w:r w:rsidR="00022A7F" w:rsidRPr="008766DE">
        <w:rPr>
          <w:rFonts w:cs="Arial"/>
        </w:rPr>
        <w:t>.</w:t>
      </w:r>
      <w:r w:rsidR="00022A7F" w:rsidRPr="00670A05">
        <w:rPr>
          <w:rFonts w:cs="Arial"/>
        </w:rPr>
        <w:t xml:space="preserve"> The </w:t>
      </w:r>
      <w:r>
        <w:rPr>
          <w:rFonts w:cs="Arial"/>
        </w:rPr>
        <w:t xml:space="preserve">Budget 2019–20 included a commitment to extend the </w:t>
      </w:r>
      <w:r w:rsidR="00022A7F" w:rsidRPr="00670A05">
        <w:rPr>
          <w:rFonts w:cs="Arial"/>
        </w:rPr>
        <w:t xml:space="preserve">program </w:t>
      </w:r>
      <w:r w:rsidR="00F75A77">
        <w:rPr>
          <w:rFonts w:cs="Arial"/>
        </w:rPr>
        <w:t>with a total of $6</w:t>
      </w:r>
      <w:r>
        <w:rPr>
          <w:rFonts w:cs="Arial"/>
        </w:rPr>
        <w:t xml:space="preserve"> million in administered funding over four years. </w:t>
      </w:r>
      <w:r w:rsidR="00DE16ED">
        <w:rPr>
          <w:rFonts w:cs="Arial"/>
        </w:rPr>
        <w:t>The program funding will be equally distributed across each financial year from 2019–20 to 2022–23.</w:t>
      </w:r>
    </w:p>
    <w:p w14:paraId="56D824EC" w14:textId="699240F6" w:rsidR="0009246F" w:rsidRPr="003027D2" w:rsidRDefault="0009246F" w:rsidP="0009246F">
      <w:pPr>
        <w:rPr>
          <w:rFonts w:cs="Arial"/>
          <w:b/>
          <w:color w:val="0070C0"/>
        </w:rPr>
      </w:pPr>
      <w:r>
        <w:rPr>
          <w:rFonts w:cs="Arial"/>
        </w:rPr>
        <w:t xml:space="preserve">The program objectives and funding priorities </w:t>
      </w:r>
      <w:r w:rsidR="00AD6AEA">
        <w:rPr>
          <w:rFonts w:cs="Arial"/>
        </w:rPr>
        <w:t xml:space="preserve">accord with the intended government policy outcomes and </w:t>
      </w:r>
      <w:r>
        <w:rPr>
          <w:rFonts w:cs="Arial"/>
        </w:rPr>
        <w:t>ensure the selection of the highest priority grant activities</w:t>
      </w:r>
      <w:r w:rsidR="00AD6AEA">
        <w:rPr>
          <w:rFonts w:cs="Arial"/>
        </w:rPr>
        <w:t xml:space="preserve"> and projects within the available funding. This is consistent with the Commonwealth Grant Rules and Guidelines (CGRGs) key principle of achieving </w:t>
      </w:r>
      <w:r w:rsidR="0076586C">
        <w:rPr>
          <w:rFonts w:cs="Arial"/>
        </w:rPr>
        <w:t>value with relevant money in the context of the objectives and outcomes of the grant opportunity.</w:t>
      </w:r>
    </w:p>
    <w:p w14:paraId="0D7ACE62" w14:textId="211A8210" w:rsidR="00CF093F" w:rsidRPr="00CF093F" w:rsidRDefault="00CF093F" w:rsidP="00CF093F">
      <w:pPr>
        <w:rPr>
          <w:rStyle w:val="highlightedtextChar"/>
          <w:rFonts w:ascii="Arial" w:eastAsia="Times New Roman" w:hAnsi="Arial" w:cs="Arial"/>
          <w:b w:val="0"/>
          <w:color w:val="auto"/>
          <w:sz w:val="20"/>
          <w:szCs w:val="20"/>
        </w:rPr>
      </w:pPr>
      <w:r w:rsidRPr="00CF093F">
        <w:rPr>
          <w:rFonts w:cs="Arial"/>
        </w:rPr>
        <w:lastRenderedPageBreak/>
        <w:t>The o</w:t>
      </w:r>
      <w:r w:rsidR="003633B1">
        <w:rPr>
          <w:rFonts w:cs="Arial"/>
        </w:rPr>
        <w:t>bjective</w:t>
      </w:r>
      <w:r w:rsidRPr="00CF093F">
        <w:rPr>
          <w:rFonts w:cs="Arial"/>
        </w:rPr>
        <w:t xml:space="preserve"> of the program is to open, improve and/or maintain access to overseas markets for Australian agricultural products by building stronger relationships with trading partners, neighbouring countries and internat</w:t>
      </w:r>
      <w:r w:rsidR="005E6C18">
        <w:rPr>
          <w:rFonts w:cs="Arial"/>
        </w:rPr>
        <w:t>ional organisations.</w:t>
      </w:r>
    </w:p>
    <w:p w14:paraId="3B4C3CF9" w14:textId="757A94B2" w:rsidR="00CF093F" w:rsidRPr="00CF093F" w:rsidRDefault="00CF093F" w:rsidP="00CF093F">
      <w:pPr>
        <w:rPr>
          <w:rFonts w:cs="Arial"/>
        </w:rPr>
      </w:pPr>
      <w:r w:rsidRPr="00CF093F">
        <w:rPr>
          <w:rFonts w:cs="Arial"/>
        </w:rPr>
        <w:t xml:space="preserve">This </w:t>
      </w:r>
      <w:proofErr w:type="gramStart"/>
      <w:r w:rsidRPr="00CF093F">
        <w:rPr>
          <w:rFonts w:cs="Arial"/>
        </w:rPr>
        <w:t>will be achieved</w:t>
      </w:r>
      <w:proofErr w:type="gramEnd"/>
      <w:r w:rsidRPr="00CF093F">
        <w:rPr>
          <w:rFonts w:cs="Arial"/>
        </w:rPr>
        <w:t xml:space="preserve"> </w:t>
      </w:r>
      <w:r w:rsidR="003633B1">
        <w:rPr>
          <w:rFonts w:cs="Arial"/>
        </w:rPr>
        <w:t xml:space="preserve">by </w:t>
      </w:r>
      <w:r w:rsidR="0076586C">
        <w:rPr>
          <w:rFonts w:cs="Arial"/>
        </w:rPr>
        <w:t>funding</w:t>
      </w:r>
      <w:r w:rsidR="003633B1">
        <w:rPr>
          <w:rFonts w:cs="Arial"/>
        </w:rPr>
        <w:t xml:space="preserve"> activities and projects </w:t>
      </w:r>
      <w:r w:rsidR="0009246F">
        <w:rPr>
          <w:rFonts w:cs="Arial"/>
        </w:rPr>
        <w:t xml:space="preserve">that </w:t>
      </w:r>
      <w:r w:rsidR="00FA034C">
        <w:rPr>
          <w:rFonts w:cs="Arial"/>
        </w:rPr>
        <w:t xml:space="preserve">closely </w:t>
      </w:r>
      <w:r w:rsidR="009E0F72">
        <w:rPr>
          <w:rFonts w:cs="Arial"/>
        </w:rPr>
        <w:t>align with</w:t>
      </w:r>
      <w:r w:rsidR="00D43EF8">
        <w:rPr>
          <w:rFonts w:cs="Arial"/>
        </w:rPr>
        <w:t xml:space="preserve"> and supports</w:t>
      </w:r>
      <w:r w:rsidR="009255E0">
        <w:rPr>
          <w:rFonts w:cs="Arial"/>
        </w:rPr>
        <w:t xml:space="preserve"> Australian government</w:t>
      </w:r>
      <w:r w:rsidR="009E0F72">
        <w:rPr>
          <w:rFonts w:cs="Arial"/>
        </w:rPr>
        <w:t xml:space="preserve"> objectives </w:t>
      </w:r>
      <w:r w:rsidR="009255E0">
        <w:rPr>
          <w:rFonts w:cs="Arial"/>
        </w:rPr>
        <w:t>in enhancing agricultural trade</w:t>
      </w:r>
      <w:r w:rsidR="00482F99">
        <w:rPr>
          <w:rFonts w:cs="Arial"/>
        </w:rPr>
        <w:t>,</w:t>
      </w:r>
      <w:r w:rsidR="009255E0">
        <w:rPr>
          <w:rFonts w:cs="Arial"/>
        </w:rPr>
        <w:t xml:space="preserve"> </w:t>
      </w:r>
      <w:r w:rsidR="009E0F72">
        <w:rPr>
          <w:rFonts w:cs="Arial"/>
        </w:rPr>
        <w:t xml:space="preserve">and </w:t>
      </w:r>
      <w:r w:rsidR="0009246F">
        <w:rPr>
          <w:rFonts w:cs="Arial"/>
        </w:rPr>
        <w:t>demonstrate a strong focus on outcomes</w:t>
      </w:r>
      <w:r w:rsidR="00FA034C">
        <w:rPr>
          <w:rFonts w:cs="Arial"/>
        </w:rPr>
        <w:t xml:space="preserve"> such as</w:t>
      </w:r>
      <w:r w:rsidR="005E6C18">
        <w:rPr>
          <w:rFonts w:cs="Arial"/>
        </w:rPr>
        <w:t>:</w:t>
      </w:r>
    </w:p>
    <w:p w14:paraId="76CBFF36" w14:textId="59F9A7A8" w:rsidR="00CF093F" w:rsidRPr="00CF093F" w:rsidRDefault="00CF093F" w:rsidP="00CF093F">
      <w:pPr>
        <w:pStyle w:val="ListBullet"/>
        <w:numPr>
          <w:ilvl w:val="0"/>
          <w:numId w:val="7"/>
        </w:numPr>
        <w:rPr>
          <w:rStyle w:val="highlightedtextChar"/>
          <w:rFonts w:ascii="Arial" w:hAnsi="Arial" w:cs="Arial"/>
          <w:b w:val="0"/>
          <w:color w:val="auto"/>
          <w:sz w:val="20"/>
          <w:szCs w:val="20"/>
        </w:rPr>
      </w:pPr>
      <w:r w:rsidRPr="00CF093F">
        <w:rPr>
          <w:rStyle w:val="highlightedtextChar"/>
          <w:rFonts w:ascii="Arial" w:hAnsi="Arial" w:cs="Arial"/>
          <w:b w:val="0"/>
          <w:color w:val="auto"/>
          <w:sz w:val="20"/>
          <w:szCs w:val="20"/>
        </w:rPr>
        <w:t>undertaking research and development in collaboration with trading partners</w:t>
      </w:r>
      <w:r w:rsidR="00FA034C">
        <w:rPr>
          <w:rStyle w:val="highlightedtextChar"/>
          <w:rFonts w:ascii="Arial" w:hAnsi="Arial" w:cs="Arial"/>
          <w:b w:val="0"/>
          <w:color w:val="auto"/>
          <w:sz w:val="20"/>
          <w:szCs w:val="20"/>
        </w:rPr>
        <w:t xml:space="preserve"> </w:t>
      </w:r>
      <w:r w:rsidRPr="00CF093F">
        <w:rPr>
          <w:rStyle w:val="highlightedtextChar"/>
          <w:rFonts w:ascii="Arial" w:hAnsi="Arial" w:cs="Arial"/>
          <w:b w:val="0"/>
          <w:color w:val="auto"/>
          <w:sz w:val="20"/>
          <w:szCs w:val="20"/>
        </w:rPr>
        <w:t>to help identify, use, open or improve mutually beneficial agricultural trade opportunities</w:t>
      </w:r>
    </w:p>
    <w:p w14:paraId="0B0AA3E5" w14:textId="397230AA" w:rsidR="00CF093F" w:rsidRPr="00CF093F" w:rsidRDefault="00CF093F" w:rsidP="00CF093F">
      <w:pPr>
        <w:pStyle w:val="ListBullet"/>
        <w:numPr>
          <w:ilvl w:val="0"/>
          <w:numId w:val="7"/>
        </w:numPr>
        <w:rPr>
          <w:rStyle w:val="highlightedtextChar"/>
          <w:rFonts w:ascii="Arial" w:hAnsi="Arial" w:cs="Arial"/>
          <w:b w:val="0"/>
          <w:color w:val="auto"/>
          <w:sz w:val="20"/>
          <w:szCs w:val="20"/>
        </w:rPr>
      </w:pPr>
      <w:r w:rsidRPr="00CF093F">
        <w:rPr>
          <w:rStyle w:val="highlightedtextChar"/>
          <w:rFonts w:ascii="Arial" w:hAnsi="Arial" w:cs="Arial"/>
          <w:b w:val="0"/>
          <w:color w:val="auto"/>
          <w:sz w:val="20"/>
          <w:szCs w:val="20"/>
        </w:rPr>
        <w:t>working with overseas governments and international organisations to develop common regulatory and technical requirements and standards</w:t>
      </w:r>
    </w:p>
    <w:p w14:paraId="323E439C" w14:textId="79DFE4EA" w:rsidR="00CF093F" w:rsidRPr="00CF093F" w:rsidRDefault="00CF093F" w:rsidP="00CF093F">
      <w:pPr>
        <w:pStyle w:val="ListBullet"/>
        <w:numPr>
          <w:ilvl w:val="0"/>
          <w:numId w:val="7"/>
        </w:numPr>
        <w:rPr>
          <w:rStyle w:val="highlightedtextChar"/>
          <w:rFonts w:ascii="Arial" w:hAnsi="Arial" w:cs="Arial"/>
          <w:b w:val="0"/>
          <w:color w:val="auto"/>
          <w:sz w:val="20"/>
          <w:szCs w:val="20"/>
        </w:rPr>
      </w:pPr>
      <w:r w:rsidRPr="00CF093F">
        <w:rPr>
          <w:rStyle w:val="highlightedtextChar"/>
          <w:rFonts w:ascii="Arial" w:hAnsi="Arial" w:cs="Arial"/>
          <w:b w:val="0"/>
          <w:color w:val="auto"/>
          <w:sz w:val="20"/>
          <w:szCs w:val="20"/>
        </w:rPr>
        <w:t>building evidence to inform Australia’s position on international agricultural trade policy and advocacy of standards</w:t>
      </w:r>
    </w:p>
    <w:p w14:paraId="19B49316" w14:textId="0A166F75" w:rsidR="00CF093F" w:rsidRPr="00CF093F" w:rsidRDefault="00CF093F" w:rsidP="00CF093F">
      <w:pPr>
        <w:pStyle w:val="ListBullet"/>
        <w:numPr>
          <w:ilvl w:val="0"/>
          <w:numId w:val="7"/>
        </w:numPr>
        <w:rPr>
          <w:rStyle w:val="highlightedtextChar"/>
          <w:rFonts w:ascii="Arial" w:hAnsi="Arial" w:cs="Arial"/>
          <w:b w:val="0"/>
          <w:color w:val="auto"/>
          <w:sz w:val="20"/>
          <w:szCs w:val="20"/>
        </w:rPr>
      </w:pPr>
      <w:r w:rsidRPr="00CF093F">
        <w:rPr>
          <w:rStyle w:val="highlightedtextChar"/>
          <w:rFonts w:ascii="Arial" w:hAnsi="Arial" w:cs="Arial"/>
          <w:b w:val="0"/>
          <w:color w:val="auto"/>
          <w:sz w:val="20"/>
          <w:szCs w:val="20"/>
        </w:rPr>
        <w:t xml:space="preserve">sharing technical expertise and research to increase trading partners’ knowledge of Australia’s biosecurity, food safety and compliance regimes and practices, and to increase their preparedness to respond to exotic </w:t>
      </w:r>
      <w:proofErr w:type="spellStart"/>
      <w:r w:rsidRPr="00CF093F">
        <w:rPr>
          <w:rStyle w:val="highlightedtextChar"/>
          <w:rFonts w:ascii="Arial" w:hAnsi="Arial" w:cs="Arial"/>
          <w:b w:val="0"/>
          <w:color w:val="auto"/>
          <w:sz w:val="20"/>
          <w:szCs w:val="20"/>
        </w:rPr>
        <w:t>pest</w:t>
      </w:r>
      <w:proofErr w:type="spellEnd"/>
      <w:r w:rsidRPr="00CF093F">
        <w:rPr>
          <w:rStyle w:val="highlightedtextChar"/>
          <w:rFonts w:ascii="Arial" w:hAnsi="Arial" w:cs="Arial"/>
          <w:b w:val="0"/>
          <w:color w:val="auto"/>
          <w:sz w:val="20"/>
          <w:szCs w:val="20"/>
        </w:rPr>
        <w:t xml:space="preserve"> and disease incursions</w:t>
      </w:r>
    </w:p>
    <w:p w14:paraId="3F7B7D8C" w14:textId="1F265EF7" w:rsidR="00CF093F" w:rsidRPr="00CF093F" w:rsidRDefault="00CF093F" w:rsidP="00CF093F">
      <w:pPr>
        <w:pStyle w:val="ListBullet"/>
        <w:numPr>
          <w:ilvl w:val="0"/>
          <w:numId w:val="7"/>
        </w:numPr>
        <w:rPr>
          <w:rStyle w:val="highlightedtextChar"/>
          <w:rFonts w:ascii="Arial" w:hAnsi="Arial" w:cs="Arial"/>
          <w:b w:val="0"/>
          <w:color w:val="auto"/>
          <w:sz w:val="20"/>
          <w:szCs w:val="20"/>
        </w:rPr>
      </w:pPr>
      <w:r w:rsidRPr="00CF093F">
        <w:rPr>
          <w:rStyle w:val="highlightedtextChar"/>
          <w:rFonts w:ascii="Arial" w:hAnsi="Arial" w:cs="Arial"/>
          <w:b w:val="0"/>
          <w:color w:val="auto"/>
          <w:sz w:val="20"/>
          <w:szCs w:val="20"/>
        </w:rPr>
        <w:t>promoting good biosecurity risk management practices, improving scientific capabilities and strengthening surveillance efforts in trading partner and neighbouring countries</w:t>
      </w:r>
    </w:p>
    <w:p w14:paraId="7F8C336E" w14:textId="54D33660" w:rsidR="00CF093F" w:rsidRPr="00CF093F" w:rsidRDefault="00CF093F" w:rsidP="00CF093F">
      <w:pPr>
        <w:pStyle w:val="ListBullet"/>
        <w:numPr>
          <w:ilvl w:val="0"/>
          <w:numId w:val="7"/>
        </w:numPr>
        <w:rPr>
          <w:rStyle w:val="highlightedtextChar"/>
          <w:rFonts w:ascii="Arial" w:hAnsi="Arial" w:cs="Arial"/>
          <w:b w:val="0"/>
          <w:color w:val="auto"/>
          <w:sz w:val="20"/>
          <w:szCs w:val="20"/>
        </w:rPr>
      </w:pPr>
      <w:r w:rsidRPr="00CF093F">
        <w:rPr>
          <w:rStyle w:val="highlightedtextChar"/>
          <w:rFonts w:ascii="Arial" w:hAnsi="Arial" w:cs="Arial"/>
          <w:b w:val="0"/>
          <w:color w:val="auto"/>
          <w:sz w:val="20"/>
          <w:szCs w:val="20"/>
        </w:rPr>
        <w:t>build agricultural trading relationships through cooperation activities that increase mutual understanding of technical and policy issues that affect market access such as non-tariff measures</w:t>
      </w:r>
    </w:p>
    <w:p w14:paraId="409DFF6B" w14:textId="73841FDA" w:rsidR="00DE16ED" w:rsidRDefault="00CF093F" w:rsidP="00DE16ED">
      <w:pPr>
        <w:pStyle w:val="ListBullet"/>
        <w:numPr>
          <w:ilvl w:val="0"/>
          <w:numId w:val="7"/>
        </w:numPr>
        <w:rPr>
          <w:rStyle w:val="highlightedtextChar"/>
          <w:rFonts w:ascii="Arial" w:hAnsi="Arial" w:cs="Arial"/>
          <w:b w:val="0"/>
          <w:color w:val="auto"/>
          <w:sz w:val="20"/>
          <w:szCs w:val="20"/>
        </w:rPr>
      </w:pPr>
      <w:proofErr w:type="gramStart"/>
      <w:r w:rsidRPr="00CF093F">
        <w:rPr>
          <w:rStyle w:val="highlightedtextChar"/>
          <w:rFonts w:ascii="Arial" w:hAnsi="Arial" w:cs="Arial"/>
          <w:b w:val="0"/>
          <w:color w:val="auto"/>
          <w:sz w:val="20"/>
          <w:szCs w:val="20"/>
        </w:rPr>
        <w:t>helping</w:t>
      </w:r>
      <w:proofErr w:type="gramEnd"/>
      <w:r w:rsidRPr="00CF093F">
        <w:rPr>
          <w:rStyle w:val="highlightedtextChar"/>
          <w:rFonts w:ascii="Arial" w:hAnsi="Arial" w:cs="Arial"/>
          <w:b w:val="0"/>
          <w:color w:val="auto"/>
          <w:sz w:val="20"/>
          <w:szCs w:val="20"/>
        </w:rPr>
        <w:t xml:space="preserve"> Australia meet its international obligations, such as commitments made under the World Trade Organisation Sanita</w:t>
      </w:r>
      <w:r w:rsidR="005E6C18">
        <w:rPr>
          <w:rStyle w:val="highlightedtextChar"/>
          <w:rFonts w:ascii="Arial" w:hAnsi="Arial" w:cs="Arial"/>
          <w:b w:val="0"/>
          <w:color w:val="auto"/>
          <w:sz w:val="20"/>
          <w:szCs w:val="20"/>
        </w:rPr>
        <w:t xml:space="preserve">ry and </w:t>
      </w:r>
      <w:proofErr w:type="spellStart"/>
      <w:r w:rsidR="005E6C18">
        <w:rPr>
          <w:rStyle w:val="highlightedtextChar"/>
          <w:rFonts w:ascii="Arial" w:hAnsi="Arial" w:cs="Arial"/>
          <w:b w:val="0"/>
          <w:color w:val="auto"/>
          <w:sz w:val="20"/>
          <w:szCs w:val="20"/>
        </w:rPr>
        <w:t>Phytosanitary</w:t>
      </w:r>
      <w:proofErr w:type="spellEnd"/>
      <w:r w:rsidR="005E6C18">
        <w:rPr>
          <w:rStyle w:val="highlightedtextChar"/>
          <w:rFonts w:ascii="Arial" w:hAnsi="Arial" w:cs="Arial"/>
          <w:b w:val="0"/>
          <w:color w:val="auto"/>
          <w:sz w:val="20"/>
          <w:szCs w:val="20"/>
        </w:rPr>
        <w:t xml:space="preserve"> Agreement.</w:t>
      </w:r>
    </w:p>
    <w:p w14:paraId="085C7A79" w14:textId="77777777" w:rsidR="00CF093F" w:rsidRDefault="00CF093F" w:rsidP="00DE16ED">
      <w:pPr>
        <w:pStyle w:val="ListBullet"/>
        <w:numPr>
          <w:ilvl w:val="0"/>
          <w:numId w:val="0"/>
        </w:numPr>
        <w:rPr>
          <w:rStyle w:val="highlightedtextChar"/>
          <w:rFonts w:ascii="Arial" w:hAnsi="Arial" w:cs="Arial"/>
          <w:b w:val="0"/>
          <w:color w:val="auto"/>
          <w:sz w:val="20"/>
          <w:szCs w:val="20"/>
        </w:rPr>
      </w:pPr>
    </w:p>
    <w:p w14:paraId="503569E3" w14:textId="0548662B" w:rsidR="009E0F72" w:rsidRDefault="00CF093F" w:rsidP="00FA034C">
      <w:pPr>
        <w:pStyle w:val="ListBullet"/>
        <w:numPr>
          <w:ilvl w:val="0"/>
          <w:numId w:val="0"/>
        </w:numPr>
        <w:rPr>
          <w:rStyle w:val="highlightedtextChar"/>
          <w:rFonts w:ascii="Arial" w:hAnsi="Arial" w:cs="Arial"/>
          <w:b w:val="0"/>
          <w:color w:val="auto"/>
          <w:sz w:val="20"/>
          <w:szCs w:val="20"/>
        </w:rPr>
      </w:pPr>
      <w:r w:rsidRPr="00CF093F">
        <w:rPr>
          <w:rStyle w:val="highlightedtextChar"/>
          <w:rFonts w:ascii="Arial" w:hAnsi="Arial" w:cs="Arial"/>
          <w:b w:val="0"/>
          <w:color w:val="auto"/>
          <w:sz w:val="20"/>
          <w:szCs w:val="20"/>
        </w:rPr>
        <w:t>The funding priorities</w:t>
      </w:r>
      <w:r w:rsidR="009E0F72">
        <w:rPr>
          <w:rStyle w:val="highlightedtextChar"/>
          <w:rFonts w:ascii="Arial" w:hAnsi="Arial" w:cs="Arial"/>
          <w:b w:val="0"/>
          <w:color w:val="auto"/>
          <w:sz w:val="20"/>
          <w:szCs w:val="20"/>
        </w:rPr>
        <w:t xml:space="preserve"> </w:t>
      </w:r>
      <w:proofErr w:type="gramStart"/>
      <w:r w:rsidR="009E0F72">
        <w:rPr>
          <w:rStyle w:val="highlightedtextChar"/>
          <w:rFonts w:ascii="Arial" w:hAnsi="Arial" w:cs="Arial"/>
          <w:b w:val="0"/>
          <w:color w:val="auto"/>
          <w:sz w:val="20"/>
          <w:szCs w:val="20"/>
        </w:rPr>
        <w:t>are established</w:t>
      </w:r>
      <w:proofErr w:type="gramEnd"/>
      <w:r w:rsidR="009E0F72">
        <w:rPr>
          <w:rStyle w:val="highlightedtextChar"/>
          <w:rFonts w:ascii="Arial" w:hAnsi="Arial" w:cs="Arial"/>
          <w:b w:val="0"/>
          <w:color w:val="auto"/>
          <w:sz w:val="20"/>
          <w:szCs w:val="20"/>
        </w:rPr>
        <w:t xml:space="preserve"> through consultation with key policy areas within the department, and are reviewed annually to ensure they remain current and closely align with the government and</w:t>
      </w:r>
      <w:r w:rsidR="005E6C18">
        <w:rPr>
          <w:rStyle w:val="highlightedtextChar"/>
          <w:rFonts w:ascii="Arial" w:hAnsi="Arial" w:cs="Arial"/>
          <w:b w:val="0"/>
          <w:color w:val="auto"/>
          <w:sz w:val="20"/>
          <w:szCs w:val="20"/>
        </w:rPr>
        <w:t xml:space="preserve"> industry’s highest priorities.</w:t>
      </w:r>
    </w:p>
    <w:p w14:paraId="5ED33C30" w14:textId="6A6EF573" w:rsidR="00CF093F" w:rsidRPr="00CF093F" w:rsidRDefault="009E0F72" w:rsidP="00CF093F">
      <w:pPr>
        <w:pStyle w:val="ListBullet"/>
        <w:numPr>
          <w:ilvl w:val="0"/>
          <w:numId w:val="0"/>
        </w:numPr>
        <w:ind w:left="360" w:hanging="360"/>
        <w:rPr>
          <w:rStyle w:val="highlightedtextChar"/>
          <w:rFonts w:ascii="Arial" w:hAnsi="Arial" w:cs="Arial"/>
          <w:b w:val="0"/>
          <w:color w:val="auto"/>
          <w:sz w:val="20"/>
          <w:szCs w:val="20"/>
        </w:rPr>
      </w:pPr>
      <w:r>
        <w:rPr>
          <w:rStyle w:val="highlightedtextChar"/>
          <w:rFonts w:ascii="Arial" w:hAnsi="Arial" w:cs="Arial"/>
          <w:b w:val="0"/>
          <w:color w:val="auto"/>
          <w:sz w:val="20"/>
          <w:szCs w:val="20"/>
        </w:rPr>
        <w:t>The funding priorities</w:t>
      </w:r>
      <w:r w:rsidR="00CF093F" w:rsidRPr="00CF093F">
        <w:rPr>
          <w:rStyle w:val="highlightedtextChar"/>
          <w:rFonts w:ascii="Arial" w:hAnsi="Arial" w:cs="Arial"/>
          <w:b w:val="0"/>
          <w:color w:val="auto"/>
          <w:sz w:val="20"/>
          <w:szCs w:val="20"/>
        </w:rPr>
        <w:t xml:space="preserve"> for </w:t>
      </w:r>
      <w:r w:rsidR="0020362C">
        <w:rPr>
          <w:rStyle w:val="highlightedtextChar"/>
          <w:rFonts w:ascii="Arial" w:hAnsi="Arial" w:cs="Arial"/>
          <w:b w:val="0"/>
          <w:color w:val="auto"/>
          <w:sz w:val="20"/>
          <w:szCs w:val="20"/>
        </w:rPr>
        <w:t xml:space="preserve">the </w:t>
      </w:r>
      <w:r w:rsidR="00CF093F" w:rsidRPr="00CF093F">
        <w:rPr>
          <w:rStyle w:val="highlightedtextChar"/>
          <w:rFonts w:ascii="Arial" w:hAnsi="Arial" w:cs="Arial"/>
          <w:b w:val="0"/>
          <w:color w:val="auto"/>
          <w:sz w:val="20"/>
          <w:szCs w:val="20"/>
        </w:rPr>
        <w:t>2020</w:t>
      </w:r>
      <w:r w:rsidR="0020362C">
        <w:rPr>
          <w:rStyle w:val="highlightedtextChar"/>
          <w:rFonts w:ascii="Arial" w:hAnsi="Arial" w:cs="Arial"/>
          <w:b w:val="0"/>
          <w:color w:val="auto"/>
          <w:sz w:val="20"/>
          <w:szCs w:val="20"/>
        </w:rPr>
        <w:t xml:space="preserve"> grant opportunity</w:t>
      </w:r>
      <w:r w:rsidR="00CF093F" w:rsidRPr="00CF093F">
        <w:rPr>
          <w:rStyle w:val="highlightedtextChar"/>
          <w:rFonts w:ascii="Arial" w:hAnsi="Arial" w:cs="Arial"/>
          <w:b w:val="0"/>
          <w:color w:val="auto"/>
          <w:sz w:val="20"/>
          <w:szCs w:val="20"/>
        </w:rPr>
        <w:t xml:space="preserve"> are</w:t>
      </w:r>
      <w:r w:rsidR="005771CC">
        <w:rPr>
          <w:rStyle w:val="highlightedtextChar"/>
          <w:rFonts w:ascii="Arial" w:hAnsi="Arial" w:cs="Arial"/>
          <w:b w:val="0"/>
          <w:color w:val="auto"/>
          <w:sz w:val="20"/>
          <w:szCs w:val="20"/>
        </w:rPr>
        <w:t xml:space="preserve"> to</w:t>
      </w:r>
      <w:r w:rsidR="00CF093F" w:rsidRPr="00CF093F">
        <w:rPr>
          <w:rStyle w:val="highlightedtextChar"/>
          <w:rFonts w:ascii="Arial" w:hAnsi="Arial" w:cs="Arial"/>
          <w:b w:val="0"/>
          <w:color w:val="auto"/>
          <w:sz w:val="20"/>
          <w:szCs w:val="20"/>
        </w:rPr>
        <w:t>:</w:t>
      </w:r>
    </w:p>
    <w:p w14:paraId="16BD09BE" w14:textId="6DBF3A1C" w:rsidR="00CF093F" w:rsidRPr="00CF093F" w:rsidRDefault="0055075B" w:rsidP="00CF093F">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h</w:t>
      </w:r>
      <w:r w:rsidRPr="00CF093F">
        <w:rPr>
          <w:rStyle w:val="highlightedtextChar"/>
          <w:rFonts w:ascii="Arial" w:hAnsi="Arial" w:cs="Arial"/>
          <w:b w:val="0"/>
          <w:color w:val="auto"/>
          <w:sz w:val="20"/>
          <w:szCs w:val="20"/>
        </w:rPr>
        <w:t xml:space="preserve">elp </w:t>
      </w:r>
      <w:r w:rsidR="00CF093F" w:rsidRPr="00CF093F">
        <w:rPr>
          <w:rStyle w:val="highlightedtextChar"/>
          <w:rFonts w:ascii="Arial" w:hAnsi="Arial" w:cs="Arial"/>
          <w:b w:val="0"/>
          <w:color w:val="auto"/>
          <w:sz w:val="20"/>
          <w:szCs w:val="20"/>
        </w:rPr>
        <w:t>realise market access opportunities created for Australian exporters under recently ratified free trade agreements</w:t>
      </w:r>
    </w:p>
    <w:p w14:paraId="6D2B80EF" w14:textId="5C253F51" w:rsidR="00CF093F" w:rsidRPr="00CF093F" w:rsidRDefault="0055075B" w:rsidP="00CF093F">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c</w:t>
      </w:r>
      <w:r w:rsidRPr="00CF093F">
        <w:rPr>
          <w:rStyle w:val="highlightedtextChar"/>
          <w:rFonts w:ascii="Arial" w:hAnsi="Arial" w:cs="Arial"/>
          <w:b w:val="0"/>
          <w:color w:val="auto"/>
          <w:sz w:val="20"/>
          <w:szCs w:val="20"/>
        </w:rPr>
        <w:t xml:space="preserve">ontribute </w:t>
      </w:r>
      <w:r w:rsidR="00CF093F" w:rsidRPr="00CF093F">
        <w:rPr>
          <w:rStyle w:val="highlightedtextChar"/>
          <w:rFonts w:ascii="Arial" w:hAnsi="Arial" w:cs="Arial"/>
          <w:b w:val="0"/>
          <w:color w:val="auto"/>
          <w:sz w:val="20"/>
          <w:szCs w:val="20"/>
        </w:rPr>
        <w:t>to the negotiation of protocols for new and improved market access</w:t>
      </w:r>
    </w:p>
    <w:p w14:paraId="38FE3288" w14:textId="1BFAE151" w:rsidR="00CF093F" w:rsidRPr="00CF093F" w:rsidRDefault="0055075B" w:rsidP="00CF093F">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Pr="00CF093F">
        <w:rPr>
          <w:rStyle w:val="highlightedtextChar"/>
          <w:rFonts w:ascii="Arial" w:hAnsi="Arial" w:cs="Arial"/>
          <w:b w:val="0"/>
          <w:color w:val="auto"/>
          <w:sz w:val="20"/>
          <w:szCs w:val="20"/>
        </w:rPr>
        <w:t xml:space="preserve">ssist </w:t>
      </w:r>
      <w:r w:rsidR="00CF093F" w:rsidRPr="00CF093F">
        <w:rPr>
          <w:rStyle w:val="highlightedtextChar"/>
          <w:rFonts w:ascii="Arial" w:hAnsi="Arial" w:cs="Arial"/>
          <w:b w:val="0"/>
          <w:color w:val="auto"/>
          <w:sz w:val="20"/>
          <w:szCs w:val="20"/>
        </w:rPr>
        <w:t>Australian industry in breaking down technical and non-tariff barriers to trade for Australian agricultural exports</w:t>
      </w:r>
    </w:p>
    <w:p w14:paraId="0AE55FDB" w14:textId="02A2A092" w:rsidR="00CF093F" w:rsidRPr="00CF093F" w:rsidRDefault="0055075B" w:rsidP="00CF093F">
      <w:pPr>
        <w:pStyle w:val="ListBullet"/>
        <w:numPr>
          <w:ilvl w:val="0"/>
          <w:numId w:val="7"/>
        </w:numPr>
        <w:rPr>
          <w:rStyle w:val="highlightedtextChar"/>
          <w:rFonts w:ascii="Arial" w:hAnsi="Arial" w:cs="Arial"/>
          <w:b w:val="0"/>
          <w:color w:val="auto"/>
          <w:sz w:val="20"/>
          <w:szCs w:val="20"/>
        </w:rPr>
      </w:pPr>
      <w:proofErr w:type="gramStart"/>
      <w:r>
        <w:rPr>
          <w:rStyle w:val="highlightedtextChar"/>
          <w:rFonts w:ascii="Arial" w:hAnsi="Arial" w:cs="Arial"/>
          <w:b w:val="0"/>
          <w:color w:val="auto"/>
          <w:sz w:val="20"/>
          <w:szCs w:val="20"/>
        </w:rPr>
        <w:t>a</w:t>
      </w:r>
      <w:r w:rsidRPr="00CF093F">
        <w:rPr>
          <w:rStyle w:val="highlightedtextChar"/>
          <w:rFonts w:ascii="Arial" w:hAnsi="Arial" w:cs="Arial"/>
          <w:b w:val="0"/>
          <w:color w:val="auto"/>
          <w:sz w:val="20"/>
          <w:szCs w:val="20"/>
        </w:rPr>
        <w:t>ssist</w:t>
      </w:r>
      <w:proofErr w:type="gramEnd"/>
      <w:r w:rsidRPr="00CF093F">
        <w:rPr>
          <w:rStyle w:val="highlightedtextChar"/>
          <w:rFonts w:ascii="Arial" w:hAnsi="Arial" w:cs="Arial"/>
          <w:b w:val="0"/>
          <w:color w:val="auto"/>
          <w:sz w:val="20"/>
          <w:szCs w:val="20"/>
        </w:rPr>
        <w:t xml:space="preserve"> </w:t>
      </w:r>
      <w:r w:rsidR="00CF093F" w:rsidRPr="00CF093F">
        <w:rPr>
          <w:rStyle w:val="highlightedtextChar"/>
          <w:rFonts w:ascii="Arial" w:hAnsi="Arial" w:cs="Arial"/>
          <w:b w:val="0"/>
          <w:color w:val="auto"/>
          <w:sz w:val="20"/>
          <w:szCs w:val="20"/>
        </w:rPr>
        <w:t xml:space="preserve">trading partner’s knowledge of Australia’s biosecurity, food safety and compliance regimes and practices, and to increase capacity to respond to exotic </w:t>
      </w:r>
      <w:proofErr w:type="spellStart"/>
      <w:r w:rsidR="00CF093F" w:rsidRPr="00CF093F">
        <w:rPr>
          <w:rStyle w:val="highlightedtextChar"/>
          <w:rFonts w:ascii="Arial" w:hAnsi="Arial" w:cs="Arial"/>
          <w:b w:val="0"/>
          <w:color w:val="auto"/>
          <w:sz w:val="20"/>
          <w:szCs w:val="20"/>
        </w:rPr>
        <w:t>pest</w:t>
      </w:r>
      <w:proofErr w:type="spellEnd"/>
      <w:r w:rsidR="00CF093F" w:rsidRPr="00CF093F">
        <w:rPr>
          <w:rStyle w:val="highlightedtextChar"/>
          <w:rFonts w:ascii="Arial" w:hAnsi="Arial" w:cs="Arial"/>
          <w:b w:val="0"/>
          <w:color w:val="auto"/>
          <w:sz w:val="20"/>
          <w:szCs w:val="20"/>
        </w:rPr>
        <w:t xml:space="preserve"> and disease incursions</w:t>
      </w:r>
      <w:r>
        <w:rPr>
          <w:rStyle w:val="highlightedtextChar"/>
          <w:rFonts w:ascii="Arial" w:hAnsi="Arial" w:cs="Arial"/>
          <w:b w:val="0"/>
          <w:color w:val="auto"/>
          <w:sz w:val="20"/>
          <w:szCs w:val="20"/>
        </w:rPr>
        <w:t>.</w:t>
      </w:r>
    </w:p>
    <w:p w14:paraId="1C9AFCDF" w14:textId="77777777" w:rsidR="00DE16ED" w:rsidRDefault="00DE16ED" w:rsidP="00DE16ED">
      <w:pPr>
        <w:pStyle w:val="ListBullet"/>
        <w:numPr>
          <w:ilvl w:val="0"/>
          <w:numId w:val="0"/>
        </w:numPr>
        <w:rPr>
          <w:rStyle w:val="highlightedtextChar"/>
          <w:rFonts w:ascii="Arial" w:hAnsi="Arial" w:cs="Arial"/>
          <w:b w:val="0"/>
          <w:color w:val="auto"/>
          <w:sz w:val="20"/>
          <w:szCs w:val="20"/>
        </w:rPr>
      </w:pPr>
    </w:p>
    <w:p w14:paraId="00E3C637" w14:textId="5E860143" w:rsidR="00DE16ED" w:rsidRPr="00DE16ED" w:rsidRDefault="00DE16ED" w:rsidP="00DE16ED">
      <w:pPr>
        <w:pStyle w:val="ListBullet"/>
        <w:numPr>
          <w:ilvl w:val="0"/>
          <w:numId w:val="0"/>
        </w:numPr>
        <w:rPr>
          <w:rFonts w:eastAsiaTheme="minorHAnsi"/>
        </w:rPr>
      </w:pPr>
      <w:r>
        <w:rPr>
          <w:rStyle w:val="highlightedtextChar"/>
          <w:rFonts w:ascii="Arial" w:hAnsi="Arial" w:cs="Arial"/>
          <w:b w:val="0"/>
          <w:color w:val="auto"/>
          <w:sz w:val="20"/>
          <w:szCs w:val="20"/>
        </w:rPr>
        <w:t xml:space="preserve">The Community Grants Hub </w:t>
      </w:r>
      <w:r w:rsidRPr="00CF093F">
        <w:t>administer</w:t>
      </w:r>
      <w:r>
        <w:t>s</w:t>
      </w:r>
      <w:r w:rsidRPr="00CF093F">
        <w:t xml:space="preserve"> the program according to the</w:t>
      </w:r>
      <w:hyperlink r:id="rId20" w:history="1">
        <w:r w:rsidRPr="00AB4BAD">
          <w:rPr>
            <w:rStyle w:val="Hyperlink"/>
            <w:rFonts w:cs="Arial"/>
            <w:i/>
          </w:rPr>
          <w:t xml:space="preserve"> Commonwealth Grants Rules and Guidelines 2017</w:t>
        </w:r>
        <w:r w:rsidRPr="00AB4BAD">
          <w:rPr>
            <w:rStyle w:val="Hyperlink"/>
          </w:rPr>
          <w:t xml:space="preserve"> (CGRGs)</w:t>
        </w:r>
        <w:r w:rsidRPr="00AB4BAD">
          <w:rPr>
            <w:rStyle w:val="Hyperlink"/>
            <w:i/>
          </w:rPr>
          <w:t>.</w:t>
        </w:r>
      </w:hyperlink>
    </w:p>
    <w:p w14:paraId="3D37DF3B" w14:textId="77777777" w:rsidR="00CF093F" w:rsidRDefault="00CF093F" w:rsidP="005822A9">
      <w:pPr>
        <w:rPr>
          <w:rFonts w:cs="Arial"/>
        </w:rPr>
      </w:pPr>
    </w:p>
    <w:p w14:paraId="237BBD91" w14:textId="77777777" w:rsidR="000E08D0" w:rsidRDefault="000E08D0" w:rsidP="009668F6">
      <w:pPr>
        <w:pStyle w:val="Heading2"/>
      </w:pPr>
      <w:bookmarkStart w:id="6" w:name="_Toc24705193"/>
      <w:r>
        <w:lastRenderedPageBreak/>
        <w:t>Grant</w:t>
      </w:r>
      <w:r w:rsidR="00B62A3A">
        <w:t xml:space="preserve"> amount</w:t>
      </w:r>
      <w:r w:rsidR="00492E57">
        <w:t xml:space="preserve"> </w:t>
      </w:r>
      <w:r w:rsidR="00D450B6">
        <w:t>and grant period</w:t>
      </w:r>
      <w:bookmarkEnd w:id="6"/>
    </w:p>
    <w:p w14:paraId="5D242E87" w14:textId="77777777" w:rsidR="001E60B8" w:rsidRDefault="001E60B8" w:rsidP="009668F6">
      <w:pPr>
        <w:pStyle w:val="Heading3"/>
      </w:pPr>
      <w:bookmarkStart w:id="7" w:name="_Toc24705194"/>
      <w:r>
        <w:t>Grants available</w:t>
      </w:r>
      <w:bookmarkEnd w:id="7"/>
    </w:p>
    <w:p w14:paraId="5019DC7D" w14:textId="49B160B2" w:rsidR="00DE16ED" w:rsidRDefault="00DF3323" w:rsidP="00A216BE">
      <w:r w:rsidRPr="008E74E9">
        <w:t xml:space="preserve">The Australian Government has announced a total of $6 million GST exclusive over four years </w:t>
      </w:r>
      <w:r w:rsidR="008766DE" w:rsidRPr="008E74E9">
        <w:t xml:space="preserve">from 2019–20 to 2022–23 </w:t>
      </w:r>
      <w:r w:rsidRPr="008E74E9">
        <w:t xml:space="preserve">for </w:t>
      </w:r>
      <w:r w:rsidR="003D1C30" w:rsidRPr="008E74E9">
        <w:t>the ATMAC program</w:t>
      </w:r>
      <w:r w:rsidRPr="008E74E9">
        <w:t xml:space="preserve">. </w:t>
      </w:r>
      <w:r w:rsidR="00290F8D">
        <w:t xml:space="preserve">For the 2019–20 </w:t>
      </w:r>
      <w:r w:rsidR="008766DE">
        <w:t>grant opportunity</w:t>
      </w:r>
      <w:r w:rsidR="00D12FF5">
        <w:t>,</w:t>
      </w:r>
      <w:r w:rsidR="008766DE">
        <w:t xml:space="preserve"> a</w:t>
      </w:r>
      <w:r w:rsidR="00F75A77">
        <w:t xml:space="preserve"> total of $1.5 million </w:t>
      </w:r>
      <w:r w:rsidR="00DE16ED">
        <w:t>is available</w:t>
      </w:r>
      <w:r w:rsidR="00D12FF5">
        <w:t>, with a maximum grant period of 18 months</w:t>
      </w:r>
      <w:r w:rsidR="008766DE">
        <w:t>.</w:t>
      </w:r>
    </w:p>
    <w:p w14:paraId="0B2C9363" w14:textId="77777777" w:rsidR="00DE16ED" w:rsidRPr="00DE16ED" w:rsidRDefault="00DE16ED" w:rsidP="00DE16ED">
      <w:pPr>
        <w:pStyle w:val="ListBullet"/>
        <w:numPr>
          <w:ilvl w:val="0"/>
          <w:numId w:val="7"/>
        </w:numPr>
        <w:rPr>
          <w:rFonts w:cs="Arial"/>
        </w:rPr>
      </w:pPr>
      <w:r w:rsidRPr="00DE16ED">
        <w:rPr>
          <w:rFonts w:cs="Arial"/>
        </w:rPr>
        <w:t>The minimum grant amount is $20,000 (GST exclusive).</w:t>
      </w:r>
    </w:p>
    <w:p w14:paraId="481EE6A0" w14:textId="77777777" w:rsidR="00DE16ED" w:rsidRPr="00DE16ED" w:rsidRDefault="00DE16ED" w:rsidP="00DE16ED">
      <w:pPr>
        <w:pStyle w:val="ListBullet"/>
        <w:numPr>
          <w:ilvl w:val="0"/>
          <w:numId w:val="7"/>
        </w:numPr>
        <w:spacing w:after="120"/>
        <w:rPr>
          <w:rFonts w:cs="Arial"/>
        </w:rPr>
      </w:pPr>
      <w:r w:rsidRPr="00DE16ED">
        <w:rPr>
          <w:rFonts w:cs="Arial"/>
        </w:rPr>
        <w:t>The maximum grant amount is $400,000 (GST exclusive)</w:t>
      </w:r>
      <w:r w:rsidRPr="005E6C18">
        <w:rPr>
          <w:rFonts w:cs="Arial"/>
        </w:rPr>
        <w:t>.</w:t>
      </w:r>
    </w:p>
    <w:p w14:paraId="07C877A9" w14:textId="77777777" w:rsidR="006A76A4" w:rsidRPr="00DE16ED" w:rsidRDefault="006A76A4" w:rsidP="00DE16ED">
      <w:pPr>
        <w:pStyle w:val="ListBullet"/>
        <w:numPr>
          <w:ilvl w:val="0"/>
          <w:numId w:val="0"/>
        </w:numPr>
        <w:spacing w:after="120"/>
        <w:rPr>
          <w:rFonts w:cs="Arial"/>
        </w:rPr>
      </w:pPr>
    </w:p>
    <w:p w14:paraId="33B62B3F" w14:textId="77777777" w:rsidR="005D5D1D" w:rsidRDefault="00387218" w:rsidP="009668F6">
      <w:pPr>
        <w:pStyle w:val="Heading3"/>
      </w:pPr>
      <w:bookmarkStart w:id="8" w:name="_Toc530486324"/>
      <w:bookmarkStart w:id="9" w:name="_Toc530579967"/>
      <w:bookmarkStart w:id="10" w:name="_Toc24705195"/>
      <w:bookmarkEnd w:id="8"/>
      <w:bookmarkEnd w:id="9"/>
      <w:r>
        <w:t>Grant</w:t>
      </w:r>
      <w:r w:rsidR="005D5D1D">
        <w:t xml:space="preserve"> </w:t>
      </w:r>
      <w:r w:rsidR="009F1E2B">
        <w:t>period</w:t>
      </w:r>
      <w:bookmarkEnd w:id="10"/>
    </w:p>
    <w:p w14:paraId="6EA5DCB0" w14:textId="23FB9615" w:rsidR="00DE16ED" w:rsidRPr="00DE16ED" w:rsidRDefault="00D12FF5" w:rsidP="00DE16ED">
      <w:pPr>
        <w:rPr>
          <w:rFonts w:cs="Arial"/>
        </w:rPr>
      </w:pPr>
      <w:r>
        <w:rPr>
          <w:rFonts w:cs="Arial"/>
        </w:rPr>
        <w:t>The maximum grant period of</w:t>
      </w:r>
      <w:r w:rsidR="00DE16ED" w:rsidRPr="00DE16ED">
        <w:rPr>
          <w:rFonts w:cs="Arial"/>
        </w:rPr>
        <w:t xml:space="preserve"> 18 months </w:t>
      </w:r>
      <w:r>
        <w:rPr>
          <w:rFonts w:cs="Arial"/>
        </w:rPr>
        <w:t>will</w:t>
      </w:r>
      <w:r w:rsidR="00DE16ED" w:rsidRPr="00DE16ED">
        <w:rPr>
          <w:rFonts w:cs="Arial"/>
        </w:rPr>
        <w:t xml:space="preserve"> ensure that projects align with funding priorities.</w:t>
      </w:r>
    </w:p>
    <w:p w14:paraId="6C102CBE" w14:textId="0B67CC2C" w:rsidR="00DE16ED" w:rsidRPr="00DE16ED" w:rsidRDefault="00DE16ED" w:rsidP="00DE16ED">
      <w:pPr>
        <w:rPr>
          <w:rFonts w:cs="Arial"/>
        </w:rPr>
      </w:pPr>
      <w:r w:rsidRPr="00DE16ED">
        <w:rPr>
          <w:rFonts w:cs="Arial"/>
        </w:rPr>
        <w:t xml:space="preserve">All grant activity </w:t>
      </w:r>
      <w:r w:rsidR="00D12FF5">
        <w:rPr>
          <w:rFonts w:cs="Arial"/>
        </w:rPr>
        <w:t xml:space="preserve">undertaken in the final year of the program (2022–23) </w:t>
      </w:r>
      <w:proofErr w:type="gramStart"/>
      <w:r w:rsidRPr="00DE16ED">
        <w:rPr>
          <w:rFonts w:cs="Arial"/>
        </w:rPr>
        <w:t>must</w:t>
      </w:r>
      <w:r w:rsidR="002261DA">
        <w:rPr>
          <w:rFonts w:cs="Arial"/>
        </w:rPr>
        <w:t xml:space="preserve"> </w:t>
      </w:r>
      <w:r w:rsidR="002261DA" w:rsidRPr="00D12FF5">
        <w:rPr>
          <w:rFonts w:cs="Arial"/>
        </w:rPr>
        <w:t>be</w:t>
      </w:r>
      <w:r w:rsidRPr="00D12FF5">
        <w:rPr>
          <w:rFonts w:cs="Arial"/>
        </w:rPr>
        <w:t xml:space="preserve"> </w:t>
      </w:r>
      <w:r w:rsidRPr="00DE16ED">
        <w:rPr>
          <w:rFonts w:cs="Arial"/>
        </w:rPr>
        <w:t>completed</w:t>
      </w:r>
      <w:proofErr w:type="gramEnd"/>
      <w:r w:rsidRPr="00DE16ED">
        <w:rPr>
          <w:rFonts w:cs="Arial"/>
        </w:rPr>
        <w:t xml:space="preserve"> by 31</w:t>
      </w:r>
      <w:r w:rsidRPr="00DE16ED">
        <w:rPr>
          <w:rFonts w:cs="Arial"/>
          <w:color w:val="0070C0"/>
        </w:rPr>
        <w:t xml:space="preserve"> </w:t>
      </w:r>
      <w:r w:rsidRPr="00DE16ED">
        <w:rPr>
          <w:rFonts w:cs="Arial"/>
        </w:rPr>
        <w:t>December 2023.</w:t>
      </w:r>
    </w:p>
    <w:p w14:paraId="439168F0" w14:textId="77777777" w:rsidR="00DE16ED" w:rsidRPr="00DE16ED" w:rsidRDefault="00DE16ED" w:rsidP="00DE16ED"/>
    <w:p w14:paraId="3C739907" w14:textId="77777777" w:rsidR="00285F58" w:rsidRPr="00DF637B" w:rsidRDefault="000E2D44" w:rsidP="009668F6">
      <w:pPr>
        <w:pStyle w:val="Heading2"/>
      </w:pPr>
      <w:bookmarkStart w:id="11" w:name="_Toc24705196"/>
      <w:r>
        <w:t>E</w:t>
      </w:r>
      <w:r w:rsidR="00285F58">
        <w:t>ligibility criteria</w:t>
      </w:r>
      <w:bookmarkEnd w:id="11"/>
    </w:p>
    <w:p w14:paraId="3D0A6661" w14:textId="557E7AA0" w:rsidR="00735A48" w:rsidRDefault="00DE16ED" w:rsidP="00DE16ED">
      <w:pPr>
        <w:pStyle w:val="ListBullet"/>
        <w:numPr>
          <w:ilvl w:val="0"/>
          <w:numId w:val="0"/>
        </w:numPr>
        <w:rPr>
          <w:rFonts w:cs="Arial"/>
        </w:rPr>
      </w:pPr>
      <w:bookmarkStart w:id="12" w:name="_Ref437348317"/>
      <w:bookmarkStart w:id="13" w:name="_Ref437348323"/>
      <w:bookmarkStart w:id="14" w:name="_Ref437349175"/>
      <w:r w:rsidRPr="00DE16ED">
        <w:rPr>
          <w:rFonts w:cs="Arial"/>
        </w:rPr>
        <w:t xml:space="preserve">We cannot consider your application if you or your activity or project do not meet all the eligibility criteria. </w:t>
      </w:r>
      <w:r w:rsidR="00290F8D">
        <w:rPr>
          <w:rFonts w:cs="Arial"/>
        </w:rPr>
        <w:t>Applicants must address all required elements of the application form, inclu</w:t>
      </w:r>
      <w:r w:rsidR="005E6C18">
        <w:rPr>
          <w:rFonts w:cs="Arial"/>
        </w:rPr>
        <w:t>ding all mandatory attachments.</w:t>
      </w:r>
    </w:p>
    <w:p w14:paraId="39C27337" w14:textId="295E4F82" w:rsidR="00DE16ED" w:rsidRPr="00DE16ED" w:rsidRDefault="00DE16ED" w:rsidP="00DE16ED">
      <w:pPr>
        <w:pStyle w:val="ListBullet"/>
        <w:numPr>
          <w:ilvl w:val="0"/>
          <w:numId w:val="0"/>
        </w:numPr>
        <w:rPr>
          <w:rFonts w:cs="Arial"/>
        </w:rPr>
      </w:pPr>
      <w:r w:rsidRPr="00DE16ED">
        <w:rPr>
          <w:rFonts w:cs="Arial"/>
        </w:rPr>
        <w:t xml:space="preserve">The decision maker can choose to waive the eligibility criteria, however they </w:t>
      </w:r>
      <w:proofErr w:type="gramStart"/>
      <w:r w:rsidRPr="00DE16ED">
        <w:rPr>
          <w:rFonts w:cs="Arial"/>
        </w:rPr>
        <w:t>must be made</w:t>
      </w:r>
      <w:proofErr w:type="gramEnd"/>
      <w:r w:rsidRPr="00DE16ED">
        <w:rPr>
          <w:rFonts w:cs="Arial"/>
        </w:rPr>
        <w:t xml:space="preserve"> aware of and ac</w:t>
      </w:r>
      <w:r w:rsidR="005E6C18">
        <w:rPr>
          <w:rFonts w:cs="Arial"/>
        </w:rPr>
        <w:t>cept the risks.</w:t>
      </w:r>
    </w:p>
    <w:p w14:paraId="73CADE5E" w14:textId="1068B82D" w:rsidR="00F608C8" w:rsidRPr="00AB219F" w:rsidRDefault="00F608C8" w:rsidP="00F608C8"/>
    <w:p w14:paraId="48C1B0BD" w14:textId="77777777" w:rsidR="00A35F51" w:rsidRDefault="001A6862" w:rsidP="009668F6">
      <w:pPr>
        <w:pStyle w:val="Heading3"/>
      </w:pPr>
      <w:bookmarkStart w:id="15" w:name="_Ref485202969"/>
      <w:bookmarkStart w:id="16" w:name="_Toc24705197"/>
      <w:r>
        <w:t xml:space="preserve">Who </w:t>
      </w:r>
      <w:r w:rsidR="009F7B46">
        <w:t>is eligible</w:t>
      </w:r>
      <w:r w:rsidR="00A60CA0">
        <w:t xml:space="preserve"> to apply for a grant</w:t>
      </w:r>
      <w:r w:rsidR="009F7B46">
        <w:t>?</w:t>
      </w:r>
      <w:bookmarkEnd w:id="12"/>
      <w:bookmarkEnd w:id="13"/>
      <w:bookmarkEnd w:id="14"/>
      <w:bookmarkEnd w:id="15"/>
      <w:bookmarkEnd w:id="16"/>
    </w:p>
    <w:p w14:paraId="49A60E6A" w14:textId="77777777" w:rsidR="003271A6" w:rsidRPr="000A271A" w:rsidRDefault="00DE16ED" w:rsidP="00A815E0">
      <w:r>
        <w:t>The ATMAC program is targeting large industries and producers. To be eligible you must be one of the following entity types</w:t>
      </w:r>
      <w:r w:rsidR="003271A6">
        <w:t>:</w:t>
      </w:r>
    </w:p>
    <w:p w14:paraId="0283C47D" w14:textId="28182219" w:rsidR="00DE16ED" w:rsidRPr="00AC3B73" w:rsidRDefault="00DE16ED" w:rsidP="00DE16ED">
      <w:pPr>
        <w:pStyle w:val="ListBullet"/>
      </w:pPr>
      <w:r w:rsidRPr="00AC3B73">
        <w:t>Company</w:t>
      </w:r>
      <w:r w:rsidRPr="00AC3B73">
        <w:rPr>
          <w:rStyle w:val="FootnoteReference"/>
          <w:rFonts w:asciiTheme="minorHAnsi" w:hAnsiTheme="minorHAnsi"/>
        </w:rPr>
        <w:footnoteReference w:id="2"/>
      </w:r>
    </w:p>
    <w:p w14:paraId="1415A9EF" w14:textId="1B4F09A9" w:rsidR="00DE16ED" w:rsidRPr="00AC3B73" w:rsidRDefault="00DE16ED" w:rsidP="00DE16ED">
      <w:pPr>
        <w:pStyle w:val="ListBullet"/>
      </w:pPr>
      <w:r w:rsidRPr="00AC3B73">
        <w:t xml:space="preserve">Incorporated </w:t>
      </w:r>
      <w:r w:rsidR="00C4406D">
        <w:t>A</w:t>
      </w:r>
      <w:r w:rsidRPr="00AC3B73">
        <w:t>ssociation</w:t>
      </w:r>
    </w:p>
    <w:p w14:paraId="1E24E3FC" w14:textId="1DAF8608" w:rsidR="00DE16ED" w:rsidRPr="00AC3B73" w:rsidRDefault="00DE16ED" w:rsidP="00DE16ED">
      <w:pPr>
        <w:pStyle w:val="ListBullet"/>
      </w:pPr>
      <w:r w:rsidRPr="00AC3B73">
        <w:t xml:space="preserve">Indigenous </w:t>
      </w:r>
      <w:r w:rsidR="00C4406D">
        <w:t>C</w:t>
      </w:r>
      <w:r w:rsidRPr="00AC3B73">
        <w:t>orporation</w:t>
      </w:r>
    </w:p>
    <w:p w14:paraId="084B00D5" w14:textId="1F9154A7" w:rsidR="00DE16ED" w:rsidRPr="00AC3B73" w:rsidRDefault="00C4406D" w:rsidP="00DE16ED">
      <w:pPr>
        <w:pStyle w:val="ListBullet"/>
      </w:pPr>
      <w:r>
        <w:t>L</w:t>
      </w:r>
      <w:r w:rsidR="00DE16ED" w:rsidRPr="00AC3B73">
        <w:t xml:space="preserve">ocal </w:t>
      </w:r>
      <w:r>
        <w:t>G</w:t>
      </w:r>
      <w:r w:rsidR="005E6C18">
        <w:t>overnment</w:t>
      </w:r>
    </w:p>
    <w:p w14:paraId="406BAD64" w14:textId="008A5066" w:rsidR="00DE16ED" w:rsidRPr="00AC3B73" w:rsidRDefault="00DE16ED" w:rsidP="00DE16ED">
      <w:pPr>
        <w:pStyle w:val="ListBullet"/>
      </w:pPr>
      <w:r w:rsidRPr="00AC3B73">
        <w:t>Corp</w:t>
      </w:r>
      <w:r w:rsidR="005E6C18">
        <w:t>orate State or Territory Entity</w:t>
      </w:r>
    </w:p>
    <w:p w14:paraId="7DE7B023" w14:textId="24E448C3" w:rsidR="00DE16ED" w:rsidRPr="00AC3B73" w:rsidRDefault="00DE16ED" w:rsidP="00DE16ED">
      <w:pPr>
        <w:pStyle w:val="ListBullet"/>
      </w:pPr>
      <w:r w:rsidRPr="00AC3B73">
        <w:t>Non-corp</w:t>
      </w:r>
      <w:r w:rsidR="005E6C18">
        <w:t>orate State or Territory Entity</w:t>
      </w:r>
    </w:p>
    <w:p w14:paraId="3C5D349D" w14:textId="77777777" w:rsidR="00DE16ED" w:rsidRPr="00AC3B73" w:rsidRDefault="00DE16ED" w:rsidP="00DE16ED">
      <w:pPr>
        <w:pStyle w:val="ListBullet"/>
      </w:pPr>
      <w:r w:rsidRPr="00AC3B73">
        <w:t>Non-corporate State or Territory Statutory Authority</w:t>
      </w:r>
    </w:p>
    <w:p w14:paraId="5EB8354A" w14:textId="77777777" w:rsidR="00DE16ED" w:rsidRPr="00AC3B73" w:rsidRDefault="00DE16ED" w:rsidP="00DE16ED">
      <w:pPr>
        <w:pStyle w:val="ListBullet"/>
      </w:pPr>
      <w:r w:rsidRPr="00AC3B73">
        <w:t>Partnership</w:t>
      </w:r>
      <w:r w:rsidRPr="00AC3B73">
        <w:rPr>
          <w:rStyle w:val="FootnoteReference"/>
          <w:rFonts w:asciiTheme="minorHAnsi" w:hAnsiTheme="minorHAnsi"/>
        </w:rPr>
        <w:footnoteReference w:id="3"/>
      </w:r>
    </w:p>
    <w:p w14:paraId="5BE131F2" w14:textId="77777777" w:rsidR="00DE16ED" w:rsidRPr="00E53AA1" w:rsidRDefault="00DE16ED" w:rsidP="00DE16ED">
      <w:pPr>
        <w:pStyle w:val="ListBullet"/>
      </w:pPr>
      <w:r w:rsidRPr="00E53AA1">
        <w:t>Corporate Commonwealth Entity</w:t>
      </w:r>
    </w:p>
    <w:p w14:paraId="6945F77D" w14:textId="0C938C57" w:rsidR="00DE16ED" w:rsidRPr="00E53AA1" w:rsidRDefault="00DE16ED" w:rsidP="00DE16ED">
      <w:pPr>
        <w:pStyle w:val="ListBullet"/>
      </w:pPr>
      <w:r w:rsidRPr="00E53AA1">
        <w:lastRenderedPageBreak/>
        <w:t>Non-Corporate C</w:t>
      </w:r>
      <w:r w:rsidR="005E6C18">
        <w:t>ommonwealth Statutory Authority</w:t>
      </w:r>
    </w:p>
    <w:p w14:paraId="3C3469CD" w14:textId="107DF02C" w:rsidR="00DE16ED" w:rsidRPr="00E53AA1" w:rsidRDefault="005E6C18" w:rsidP="00DE16ED">
      <w:pPr>
        <w:pStyle w:val="ListBullet"/>
      </w:pPr>
      <w:r>
        <w:t>Commonwealth Company</w:t>
      </w:r>
    </w:p>
    <w:p w14:paraId="41CBACD2" w14:textId="77777777" w:rsidR="00DE16ED" w:rsidRPr="00E53AA1" w:rsidRDefault="00DE16ED" w:rsidP="00DE16ED">
      <w:pPr>
        <w:pStyle w:val="ListBullet"/>
      </w:pPr>
      <w:r w:rsidRPr="00E53AA1">
        <w:t>Cooperative</w:t>
      </w:r>
    </w:p>
    <w:p w14:paraId="3DB1DBD7" w14:textId="77777777" w:rsidR="00DE16ED" w:rsidRPr="00E53AA1" w:rsidRDefault="00DE16ED" w:rsidP="00DE16ED">
      <w:pPr>
        <w:pStyle w:val="ListBullet"/>
      </w:pPr>
      <w:r w:rsidRPr="00E53AA1">
        <w:t>International Entity</w:t>
      </w:r>
    </w:p>
    <w:p w14:paraId="6B4BA1FE" w14:textId="79097396" w:rsidR="00DE16ED" w:rsidRPr="00E53AA1" w:rsidRDefault="005E6C18" w:rsidP="00DE16ED">
      <w:pPr>
        <w:pStyle w:val="ListBullet"/>
      </w:pPr>
      <w:r>
        <w:t>Sole Trader</w:t>
      </w:r>
    </w:p>
    <w:p w14:paraId="4F9273C6" w14:textId="1E426AEE" w:rsidR="00DE16ED" w:rsidRPr="00E53AA1" w:rsidRDefault="005E6C18" w:rsidP="00DE16ED">
      <w:pPr>
        <w:pStyle w:val="ListBullet"/>
      </w:pPr>
      <w:r>
        <w:t>Statutory Entity</w:t>
      </w:r>
    </w:p>
    <w:p w14:paraId="40705F5A" w14:textId="129745FA" w:rsidR="00DE16ED" w:rsidRPr="00E53AA1" w:rsidRDefault="00DE16ED" w:rsidP="00DE16ED">
      <w:pPr>
        <w:pStyle w:val="ListBullet"/>
      </w:pPr>
      <w:r w:rsidRPr="00E53AA1">
        <w:t>Trustee on behalf of a Trust</w:t>
      </w:r>
      <w:r w:rsidRPr="00E53AA1">
        <w:rPr>
          <w:rStyle w:val="FootnoteReference"/>
          <w:rFonts w:asciiTheme="minorHAnsi" w:hAnsiTheme="minorHAnsi"/>
        </w:rPr>
        <w:footnoteReference w:id="4"/>
      </w:r>
    </w:p>
    <w:p w14:paraId="3206D32B" w14:textId="77777777" w:rsidR="008D0D99" w:rsidRDefault="008D0D99" w:rsidP="00B43D09">
      <w:pPr>
        <w:pStyle w:val="ListBullet"/>
        <w:numPr>
          <w:ilvl w:val="0"/>
          <w:numId w:val="0"/>
        </w:numPr>
      </w:pPr>
    </w:p>
    <w:p w14:paraId="4ADFD96F" w14:textId="77777777" w:rsidR="00323F19" w:rsidRDefault="00EC2B2A" w:rsidP="00EC2B2A">
      <w:pPr>
        <w:pStyle w:val="ListBullet"/>
        <w:numPr>
          <w:ilvl w:val="0"/>
          <w:numId w:val="0"/>
        </w:numPr>
      </w:pPr>
      <w:r>
        <w:t>Applications from consortia are acceptable, as long as you have a lead applicant who is solely accountable to the Commonwealth for the delivery of grant activities and is an eligible entity as per the list above</w:t>
      </w:r>
      <w:r>
        <w:rPr>
          <w:rStyle w:val="FootnoteReference"/>
        </w:rPr>
        <w:footnoteReference w:id="5"/>
      </w:r>
      <w:r w:rsidR="006E3F05">
        <w:t xml:space="preserve"> </w:t>
      </w:r>
      <w:r w:rsidR="006E3F05" w:rsidRPr="008E74E9">
        <w:rPr>
          <w:iCs w:val="0"/>
        </w:rPr>
        <w:t xml:space="preserve">Eligible organisations can form a consortia </w:t>
      </w:r>
      <w:r w:rsidR="0093619D" w:rsidRPr="008E74E9">
        <w:rPr>
          <w:iCs w:val="0"/>
        </w:rPr>
        <w:t>with ineligible organisations.</w:t>
      </w:r>
    </w:p>
    <w:p w14:paraId="08A555BD" w14:textId="084CF330" w:rsidR="00323F19" w:rsidRPr="005E5DCD" w:rsidRDefault="00323F19" w:rsidP="00D1341A">
      <w:pPr>
        <w:pStyle w:val="Heading3"/>
      </w:pPr>
      <w:bookmarkStart w:id="17" w:name="_Toc24705198"/>
      <w:bookmarkStart w:id="18" w:name="_Toc531868017"/>
      <w:r>
        <w:t>Additional eligibility requirements</w:t>
      </w:r>
      <w:bookmarkStart w:id="19" w:name="_Toc529276510"/>
      <w:bookmarkEnd w:id="17"/>
      <w:bookmarkEnd w:id="18"/>
      <w:bookmarkEnd w:id="19"/>
    </w:p>
    <w:p w14:paraId="49D6E20A" w14:textId="4978FFEE" w:rsidR="00DF6BC8" w:rsidRDefault="00DF6BC8" w:rsidP="00B43D09">
      <w:pPr>
        <w:pStyle w:val="ListBullet"/>
        <w:numPr>
          <w:ilvl w:val="0"/>
          <w:numId w:val="0"/>
        </w:numPr>
      </w:pPr>
      <w:r>
        <w:t>Applicants must:</w:t>
      </w:r>
    </w:p>
    <w:p w14:paraId="53AA842E" w14:textId="7564A4E3" w:rsidR="00DF6BC8" w:rsidRPr="00DF6BC8" w:rsidRDefault="00CC4734" w:rsidP="008820D2">
      <w:pPr>
        <w:pStyle w:val="ListBullet"/>
        <w:numPr>
          <w:ilvl w:val="0"/>
          <w:numId w:val="21"/>
        </w:numPr>
        <w:rPr>
          <w:rFonts w:cs="Arial"/>
        </w:rPr>
      </w:pPr>
      <w:r>
        <w:rPr>
          <w:rFonts w:cs="Arial"/>
        </w:rPr>
        <w:t>h</w:t>
      </w:r>
      <w:r w:rsidRPr="00DF6BC8">
        <w:rPr>
          <w:rFonts w:cs="Arial"/>
        </w:rPr>
        <w:t xml:space="preserve">ave </w:t>
      </w:r>
      <w:r w:rsidR="00DF6BC8" w:rsidRPr="00DF6BC8">
        <w:rPr>
          <w:rFonts w:cs="Arial"/>
        </w:rPr>
        <w:t>an Australian Business Number (ABN) or be able to obtain one prior to receiving funding</w:t>
      </w:r>
    </w:p>
    <w:p w14:paraId="4F9DBDCA" w14:textId="31169C57" w:rsidR="00DF6BC8" w:rsidRPr="00DF6BC8" w:rsidRDefault="00CC4734" w:rsidP="008820D2">
      <w:pPr>
        <w:pStyle w:val="ListBullet"/>
        <w:numPr>
          <w:ilvl w:val="0"/>
          <w:numId w:val="21"/>
        </w:numPr>
        <w:rPr>
          <w:rFonts w:cs="Arial"/>
        </w:rPr>
      </w:pPr>
      <w:r>
        <w:rPr>
          <w:rFonts w:cs="Arial"/>
        </w:rPr>
        <w:t>b</w:t>
      </w:r>
      <w:r w:rsidRPr="00DF6BC8">
        <w:rPr>
          <w:rFonts w:cs="Arial"/>
        </w:rPr>
        <w:t xml:space="preserve">e </w:t>
      </w:r>
      <w:r w:rsidR="00DF6BC8" w:rsidRPr="00DF6BC8">
        <w:rPr>
          <w:rFonts w:cs="Arial"/>
        </w:rPr>
        <w:t>capable of entering into a legally binding agreement with the Commonwealth</w:t>
      </w:r>
    </w:p>
    <w:p w14:paraId="7186C97E" w14:textId="4B788375" w:rsidR="00DF6BC8" w:rsidRPr="00DF6BC8" w:rsidRDefault="00CC4734" w:rsidP="008820D2">
      <w:pPr>
        <w:pStyle w:val="ListBullet"/>
        <w:numPr>
          <w:ilvl w:val="0"/>
          <w:numId w:val="21"/>
        </w:numPr>
        <w:rPr>
          <w:rFonts w:cs="Arial"/>
        </w:rPr>
      </w:pPr>
      <w:r>
        <w:rPr>
          <w:rFonts w:cs="Arial"/>
        </w:rPr>
        <w:t>r</w:t>
      </w:r>
      <w:r w:rsidRPr="00DF6BC8">
        <w:rPr>
          <w:rFonts w:cs="Arial"/>
        </w:rPr>
        <w:t xml:space="preserve">equest </w:t>
      </w:r>
      <w:r w:rsidR="00DF6BC8" w:rsidRPr="00DF6BC8">
        <w:rPr>
          <w:rFonts w:cs="Arial"/>
        </w:rPr>
        <w:t>project funding of at least $20</w:t>
      </w:r>
      <w:r w:rsidR="00AF6073">
        <w:rPr>
          <w:rFonts w:cs="Arial"/>
        </w:rPr>
        <w:t>,</w:t>
      </w:r>
      <w:r w:rsidR="00DF6BC8" w:rsidRPr="00DF6BC8">
        <w:rPr>
          <w:rFonts w:cs="Arial"/>
        </w:rPr>
        <w:t xml:space="preserve">000 (GST exclusive) </w:t>
      </w:r>
    </w:p>
    <w:p w14:paraId="64816B65" w14:textId="76E2A883" w:rsidR="00DF6BC8" w:rsidRPr="00DF6BC8" w:rsidRDefault="00CC4734" w:rsidP="008820D2">
      <w:pPr>
        <w:pStyle w:val="ListBullet"/>
        <w:numPr>
          <w:ilvl w:val="0"/>
          <w:numId w:val="21"/>
        </w:numPr>
        <w:rPr>
          <w:rFonts w:cs="Arial"/>
        </w:rPr>
      </w:pPr>
      <w:proofErr w:type="gramStart"/>
      <w:r>
        <w:rPr>
          <w:rFonts w:cs="Arial"/>
        </w:rPr>
        <w:t>h</w:t>
      </w:r>
      <w:r w:rsidRPr="00DF6BC8">
        <w:rPr>
          <w:rFonts w:cs="Arial"/>
        </w:rPr>
        <w:t>ave</w:t>
      </w:r>
      <w:proofErr w:type="gramEnd"/>
      <w:r w:rsidRPr="00DF6BC8">
        <w:rPr>
          <w:rFonts w:cs="Arial"/>
        </w:rPr>
        <w:t xml:space="preserve"> </w:t>
      </w:r>
      <w:r w:rsidR="00DF6BC8" w:rsidRPr="00DF6BC8">
        <w:rPr>
          <w:rFonts w:cs="Arial"/>
        </w:rPr>
        <w:t>an account with an Australian financial institution</w:t>
      </w:r>
      <w:r>
        <w:rPr>
          <w:rFonts w:cs="Arial"/>
        </w:rPr>
        <w:t>.</w:t>
      </w:r>
    </w:p>
    <w:p w14:paraId="5401EF63" w14:textId="77777777" w:rsidR="00EC2B2A" w:rsidRPr="00216D80" w:rsidRDefault="00EC2B2A" w:rsidP="003271A6">
      <w:pPr>
        <w:rPr>
          <w:rStyle w:val="highlightedtextChar"/>
          <w:rFonts w:ascii="Arial" w:hAnsi="Arial" w:cs="Arial"/>
          <w:b w:val="0"/>
          <w:color w:val="0070C0"/>
          <w:sz w:val="20"/>
          <w:szCs w:val="20"/>
        </w:rPr>
      </w:pPr>
      <w:bookmarkStart w:id="20" w:name="_Toc529276511"/>
      <w:bookmarkStart w:id="21" w:name="_Toc529276512"/>
      <w:bookmarkStart w:id="22" w:name="_Toc529276513"/>
      <w:bookmarkEnd w:id="20"/>
      <w:bookmarkEnd w:id="21"/>
      <w:bookmarkEnd w:id="22"/>
    </w:p>
    <w:p w14:paraId="69497FCE" w14:textId="77777777" w:rsidR="002A0E03" w:rsidRDefault="002A0E03" w:rsidP="009668F6">
      <w:pPr>
        <w:pStyle w:val="Heading3"/>
      </w:pPr>
      <w:bookmarkStart w:id="23" w:name="_Toc494290495"/>
      <w:bookmarkStart w:id="24" w:name="_Toc24705199"/>
      <w:bookmarkEnd w:id="23"/>
      <w:r>
        <w:t>Who is not eligible</w:t>
      </w:r>
      <w:r w:rsidR="003271A6">
        <w:t xml:space="preserve"> to apply for a grant</w:t>
      </w:r>
      <w:r>
        <w:t>?</w:t>
      </w:r>
      <w:bookmarkEnd w:id="24"/>
    </w:p>
    <w:p w14:paraId="43B8EFAE" w14:textId="795236F5" w:rsidR="003C19C8" w:rsidRDefault="003C19C8" w:rsidP="003C19C8">
      <w:r w:rsidRPr="00A668C8">
        <w:t>You are no</w:t>
      </w:r>
      <w:r w:rsidR="005E6C18">
        <w:t>t eligible to apply if you are:</w:t>
      </w:r>
    </w:p>
    <w:p w14:paraId="28CFCAFE" w14:textId="77777777" w:rsidR="00DF6BC8" w:rsidRPr="00DF6BC8" w:rsidRDefault="00DF6BC8" w:rsidP="00DF6BC8">
      <w:pPr>
        <w:pStyle w:val="ListBullet"/>
        <w:numPr>
          <w:ilvl w:val="0"/>
          <w:numId w:val="7"/>
        </w:numPr>
        <w:rPr>
          <w:rFonts w:cs="Arial"/>
        </w:rPr>
      </w:pPr>
      <w:r w:rsidRPr="00DF6BC8">
        <w:rPr>
          <w:rFonts w:cs="Arial"/>
        </w:rPr>
        <w:t>Person</w:t>
      </w:r>
      <w:r w:rsidRPr="00DF6BC8">
        <w:rPr>
          <w:rStyle w:val="FootnoteReference"/>
          <w:rFonts w:cs="Arial"/>
        </w:rPr>
        <w:footnoteReference w:id="6"/>
      </w:r>
    </w:p>
    <w:p w14:paraId="46AB3183" w14:textId="77777777" w:rsidR="00DF6BC8" w:rsidRPr="00DF6BC8" w:rsidRDefault="00DF6BC8" w:rsidP="00DF6BC8">
      <w:pPr>
        <w:pStyle w:val="ListBullet"/>
        <w:numPr>
          <w:ilvl w:val="0"/>
          <w:numId w:val="7"/>
        </w:numPr>
        <w:rPr>
          <w:rFonts w:cs="Arial"/>
        </w:rPr>
      </w:pPr>
      <w:r w:rsidRPr="00DF6BC8">
        <w:rPr>
          <w:rFonts w:cs="Arial"/>
        </w:rPr>
        <w:t>Unincorporated Association</w:t>
      </w:r>
    </w:p>
    <w:p w14:paraId="3097541E" w14:textId="77777777" w:rsidR="00DF6BC8" w:rsidRPr="00DF6BC8" w:rsidRDefault="00DF6BC8" w:rsidP="00DF6BC8">
      <w:pPr>
        <w:pStyle w:val="ListBullet"/>
        <w:numPr>
          <w:ilvl w:val="0"/>
          <w:numId w:val="7"/>
        </w:numPr>
        <w:rPr>
          <w:rFonts w:cs="Arial"/>
        </w:rPr>
      </w:pPr>
      <w:r w:rsidRPr="00DF6BC8">
        <w:rPr>
          <w:rFonts w:cs="Arial"/>
        </w:rPr>
        <w:t>Non-Corporate Commonwealth Entity</w:t>
      </w:r>
    </w:p>
    <w:p w14:paraId="48BDF011" w14:textId="77777777" w:rsidR="00746AF0" w:rsidRDefault="00746AF0" w:rsidP="00746AF0">
      <w:pPr>
        <w:pStyle w:val="ListBullet"/>
        <w:numPr>
          <w:ilvl w:val="0"/>
          <w:numId w:val="0"/>
        </w:numPr>
      </w:pPr>
    </w:p>
    <w:p w14:paraId="63F58915" w14:textId="77777777" w:rsidR="00A35F51" w:rsidRDefault="00907078" w:rsidP="009668F6">
      <w:pPr>
        <w:pStyle w:val="Heading2"/>
      </w:pPr>
      <w:bookmarkStart w:id="25" w:name="_Toc24705200"/>
      <w:r>
        <w:t>What the grant money can be used for</w:t>
      </w:r>
      <w:bookmarkEnd w:id="25"/>
    </w:p>
    <w:p w14:paraId="5D98DD45" w14:textId="77777777" w:rsidR="00387218" w:rsidRDefault="007101E7" w:rsidP="009668F6">
      <w:pPr>
        <w:pStyle w:val="Heading3"/>
      </w:pPr>
      <w:bookmarkStart w:id="26" w:name="_Toc11318230"/>
      <w:bookmarkStart w:id="27" w:name="_Toc11318231"/>
      <w:bookmarkStart w:id="28" w:name="_Toc24705201"/>
      <w:bookmarkEnd w:id="26"/>
      <w:bookmarkEnd w:id="27"/>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8"/>
    </w:p>
    <w:p w14:paraId="563A850F" w14:textId="7417FA22" w:rsidR="00DF6BC8" w:rsidRDefault="00DF6BC8" w:rsidP="005D736B">
      <w:pPr>
        <w:rPr>
          <w:rFonts w:cs="Arial"/>
        </w:rPr>
      </w:pPr>
      <w:r w:rsidRPr="00DF6BC8">
        <w:rPr>
          <w:rFonts w:cs="Arial"/>
        </w:rPr>
        <w:t>To be eligible your grant activity</w:t>
      </w:r>
      <w:r w:rsidR="00735A48">
        <w:rPr>
          <w:rFonts w:cs="Arial"/>
        </w:rPr>
        <w:t>/project</w:t>
      </w:r>
      <w:r w:rsidR="005D736B">
        <w:rPr>
          <w:rFonts w:cs="Arial"/>
        </w:rPr>
        <w:t xml:space="preserve"> must </w:t>
      </w:r>
      <w:r w:rsidR="00735A48">
        <w:rPr>
          <w:rFonts w:cs="Arial"/>
        </w:rPr>
        <w:t xml:space="preserve">demonstrate an eligible expenditure of </w:t>
      </w:r>
      <w:r w:rsidRPr="00DF6BC8">
        <w:rPr>
          <w:rFonts w:cs="Arial"/>
        </w:rPr>
        <w:t>at least $20</w:t>
      </w:r>
      <w:r w:rsidR="00AF6073">
        <w:rPr>
          <w:rFonts w:cs="Arial"/>
        </w:rPr>
        <w:t>,</w:t>
      </w:r>
      <w:r w:rsidR="005E6C18">
        <w:rPr>
          <w:rFonts w:cs="Arial"/>
        </w:rPr>
        <w:t>000 (GST exclusive).</w:t>
      </w:r>
    </w:p>
    <w:p w14:paraId="1E0F73CE" w14:textId="77777777" w:rsidR="00DF6BC8" w:rsidRPr="00DF6BC8" w:rsidRDefault="00DF6BC8" w:rsidP="00DF6BC8">
      <w:pPr>
        <w:pStyle w:val="ListBullet"/>
        <w:numPr>
          <w:ilvl w:val="0"/>
          <w:numId w:val="0"/>
        </w:numPr>
        <w:rPr>
          <w:rFonts w:cs="Arial"/>
        </w:rPr>
      </w:pPr>
      <w:r w:rsidRPr="00DF6BC8">
        <w:rPr>
          <w:rFonts w:cs="Arial"/>
        </w:rPr>
        <w:t>Eligible activities can include:</w:t>
      </w:r>
    </w:p>
    <w:p w14:paraId="51DA7A21" w14:textId="26F6B232" w:rsidR="00DF6BC8" w:rsidRPr="00DF6BC8" w:rsidRDefault="00CC4734" w:rsidP="00DF6BC8">
      <w:pPr>
        <w:pStyle w:val="ListBullet"/>
        <w:numPr>
          <w:ilvl w:val="0"/>
          <w:numId w:val="7"/>
        </w:numPr>
        <w:rPr>
          <w:rFonts w:cs="Arial"/>
        </w:rPr>
      </w:pPr>
      <w:r>
        <w:rPr>
          <w:rFonts w:cs="Arial"/>
        </w:rPr>
        <w:t>r</w:t>
      </w:r>
      <w:r w:rsidRPr="00DF6BC8">
        <w:rPr>
          <w:rFonts w:cs="Arial"/>
        </w:rPr>
        <w:t xml:space="preserve">esearch </w:t>
      </w:r>
      <w:r w:rsidR="005E6C18">
        <w:rPr>
          <w:rFonts w:cs="Arial"/>
        </w:rPr>
        <w:t>and development projects</w:t>
      </w:r>
    </w:p>
    <w:p w14:paraId="458C2B17" w14:textId="6D1D23C0" w:rsidR="00DF6BC8" w:rsidRPr="00DF6BC8" w:rsidRDefault="00CC4734" w:rsidP="00DF6BC8">
      <w:pPr>
        <w:pStyle w:val="ListBullet"/>
        <w:numPr>
          <w:ilvl w:val="0"/>
          <w:numId w:val="7"/>
        </w:numPr>
        <w:rPr>
          <w:rFonts w:cs="Arial"/>
        </w:rPr>
      </w:pPr>
      <w:r>
        <w:rPr>
          <w:rFonts w:cs="Arial"/>
        </w:rPr>
        <w:lastRenderedPageBreak/>
        <w:t>t</w:t>
      </w:r>
      <w:r w:rsidRPr="00DF6BC8">
        <w:rPr>
          <w:rFonts w:cs="Arial"/>
        </w:rPr>
        <w:t xml:space="preserve">raining </w:t>
      </w:r>
      <w:r w:rsidR="00DF6BC8" w:rsidRPr="00DF6BC8">
        <w:rPr>
          <w:rFonts w:cs="Arial"/>
        </w:rPr>
        <w:t>programs</w:t>
      </w:r>
    </w:p>
    <w:p w14:paraId="2D5DE8CC" w14:textId="11F17A55" w:rsidR="00DF6BC8" w:rsidRPr="00DF6BC8" w:rsidRDefault="00CC4734" w:rsidP="00DF6BC8">
      <w:pPr>
        <w:pStyle w:val="ListBullet"/>
        <w:numPr>
          <w:ilvl w:val="0"/>
          <w:numId w:val="7"/>
        </w:numPr>
        <w:rPr>
          <w:rFonts w:cs="Arial"/>
        </w:rPr>
      </w:pPr>
      <w:r>
        <w:rPr>
          <w:rFonts w:cs="Arial"/>
        </w:rPr>
        <w:t>p</w:t>
      </w:r>
      <w:r w:rsidRPr="00DF6BC8">
        <w:rPr>
          <w:rFonts w:cs="Arial"/>
        </w:rPr>
        <w:t xml:space="preserve">ractical </w:t>
      </w:r>
      <w:r w:rsidR="00DF6BC8" w:rsidRPr="00DF6BC8">
        <w:rPr>
          <w:rFonts w:cs="Arial"/>
        </w:rPr>
        <w:t>demonstration activities</w:t>
      </w:r>
    </w:p>
    <w:p w14:paraId="06B8B2FA" w14:textId="77EED2D6" w:rsidR="00DF6BC8" w:rsidRPr="00DF6BC8" w:rsidRDefault="00CC4734" w:rsidP="00DF6BC8">
      <w:pPr>
        <w:pStyle w:val="ListBullet"/>
        <w:numPr>
          <w:ilvl w:val="0"/>
          <w:numId w:val="7"/>
        </w:numPr>
        <w:rPr>
          <w:rFonts w:cs="Arial"/>
        </w:rPr>
      </w:pPr>
      <w:r>
        <w:rPr>
          <w:rFonts w:cs="Arial"/>
        </w:rPr>
        <w:t>s</w:t>
      </w:r>
      <w:r w:rsidRPr="00DF6BC8">
        <w:rPr>
          <w:rFonts w:cs="Arial"/>
        </w:rPr>
        <w:t xml:space="preserve">upporting </w:t>
      </w:r>
      <w:r w:rsidR="00DF6BC8" w:rsidRPr="00DF6BC8">
        <w:rPr>
          <w:rFonts w:cs="Arial"/>
        </w:rPr>
        <w:t>delegation visits, missions or technical exchanges</w:t>
      </w:r>
    </w:p>
    <w:p w14:paraId="76B6E4A1" w14:textId="201B5248" w:rsidR="00DF6BC8" w:rsidRPr="00DF6BC8" w:rsidRDefault="00CC4734" w:rsidP="00DF6BC8">
      <w:pPr>
        <w:pStyle w:val="ListBullet"/>
        <w:numPr>
          <w:ilvl w:val="0"/>
          <w:numId w:val="7"/>
        </w:numPr>
        <w:rPr>
          <w:rFonts w:cs="Arial"/>
        </w:rPr>
      </w:pPr>
      <w:r>
        <w:rPr>
          <w:rFonts w:cs="Arial"/>
        </w:rPr>
        <w:t>a</w:t>
      </w:r>
      <w:r w:rsidRPr="00DF6BC8">
        <w:rPr>
          <w:rFonts w:cs="Arial"/>
        </w:rPr>
        <w:t xml:space="preserve">ttending </w:t>
      </w:r>
      <w:r w:rsidR="00DF6BC8" w:rsidRPr="00DF6BC8">
        <w:rPr>
          <w:rFonts w:cs="Arial"/>
        </w:rPr>
        <w:t>relevant conferences, workshops and forums</w:t>
      </w:r>
    </w:p>
    <w:p w14:paraId="616DDD16" w14:textId="5330556B" w:rsidR="00DF6BC8" w:rsidRPr="00DF6BC8" w:rsidRDefault="00CC4734" w:rsidP="00DF6BC8">
      <w:pPr>
        <w:pStyle w:val="ListBullet"/>
        <w:numPr>
          <w:ilvl w:val="0"/>
          <w:numId w:val="7"/>
        </w:numPr>
        <w:rPr>
          <w:rFonts w:cs="Arial"/>
        </w:rPr>
      </w:pPr>
      <w:r>
        <w:rPr>
          <w:rFonts w:cs="Arial"/>
        </w:rPr>
        <w:t>w</w:t>
      </w:r>
      <w:r w:rsidRPr="00DF6BC8">
        <w:rPr>
          <w:rFonts w:cs="Arial"/>
        </w:rPr>
        <w:t xml:space="preserve">orking </w:t>
      </w:r>
      <w:r w:rsidR="00DF6BC8" w:rsidRPr="00DF6BC8">
        <w:rPr>
          <w:rFonts w:cs="Arial"/>
        </w:rPr>
        <w:t>groups</w:t>
      </w:r>
    </w:p>
    <w:p w14:paraId="573B0D49" w14:textId="2A1980F4" w:rsidR="00DF6BC8" w:rsidRPr="00DF6BC8" w:rsidRDefault="00CC4734" w:rsidP="00DF6BC8">
      <w:pPr>
        <w:pStyle w:val="ListBullet"/>
        <w:numPr>
          <w:ilvl w:val="0"/>
          <w:numId w:val="7"/>
        </w:numPr>
        <w:rPr>
          <w:rFonts w:cs="Arial"/>
        </w:rPr>
      </w:pPr>
      <w:r>
        <w:rPr>
          <w:rFonts w:cs="Arial"/>
        </w:rPr>
        <w:t>f</w:t>
      </w:r>
      <w:r w:rsidRPr="00DF6BC8">
        <w:rPr>
          <w:rFonts w:cs="Arial"/>
        </w:rPr>
        <w:t xml:space="preserve">easibility </w:t>
      </w:r>
      <w:r w:rsidR="00DF6BC8" w:rsidRPr="00DF6BC8">
        <w:rPr>
          <w:rFonts w:cs="Arial"/>
        </w:rPr>
        <w:t>studies</w:t>
      </w:r>
    </w:p>
    <w:p w14:paraId="0F799B30" w14:textId="2F74D713" w:rsidR="00DF6BC8" w:rsidRPr="00DF6BC8" w:rsidRDefault="00CC4734" w:rsidP="00DF6BC8">
      <w:pPr>
        <w:pStyle w:val="ListBullet"/>
        <w:numPr>
          <w:ilvl w:val="0"/>
          <w:numId w:val="7"/>
        </w:numPr>
        <w:rPr>
          <w:rFonts w:cs="Arial"/>
        </w:rPr>
      </w:pPr>
      <w:r>
        <w:rPr>
          <w:rFonts w:cs="Arial"/>
        </w:rPr>
        <w:t>c</w:t>
      </w:r>
      <w:r w:rsidRPr="00DF6BC8">
        <w:rPr>
          <w:rFonts w:cs="Arial"/>
        </w:rPr>
        <w:t xml:space="preserve">ompetitor </w:t>
      </w:r>
      <w:r w:rsidR="00DF6BC8" w:rsidRPr="00DF6BC8">
        <w:rPr>
          <w:rFonts w:cs="Arial"/>
        </w:rPr>
        <w:t>analyses or sector or market analyses</w:t>
      </w:r>
    </w:p>
    <w:p w14:paraId="474348F8" w14:textId="306BD23D" w:rsidR="00DF6BC8" w:rsidRPr="00DF6BC8" w:rsidRDefault="00CC4734" w:rsidP="00DF6BC8">
      <w:pPr>
        <w:pStyle w:val="ListBullet"/>
        <w:numPr>
          <w:ilvl w:val="0"/>
          <w:numId w:val="7"/>
        </w:numPr>
        <w:rPr>
          <w:rFonts w:cs="Arial"/>
        </w:rPr>
      </w:pPr>
      <w:proofErr w:type="gramStart"/>
      <w:r>
        <w:rPr>
          <w:rFonts w:cs="Arial"/>
        </w:rPr>
        <w:t>c</w:t>
      </w:r>
      <w:r w:rsidRPr="00DF6BC8">
        <w:rPr>
          <w:rFonts w:cs="Arial"/>
        </w:rPr>
        <w:t>ommercial</w:t>
      </w:r>
      <w:proofErr w:type="gramEnd"/>
      <w:r w:rsidRPr="00DF6BC8">
        <w:rPr>
          <w:rFonts w:cs="Arial"/>
        </w:rPr>
        <w:t xml:space="preserve"> </w:t>
      </w:r>
      <w:r w:rsidR="00DF6BC8" w:rsidRPr="00DF6BC8">
        <w:rPr>
          <w:rFonts w:cs="Arial"/>
        </w:rPr>
        <w:t>solutions</w:t>
      </w:r>
      <w:r>
        <w:rPr>
          <w:rFonts w:cs="Arial"/>
        </w:rPr>
        <w:t>.</w:t>
      </w:r>
    </w:p>
    <w:p w14:paraId="7B532556" w14:textId="77777777" w:rsidR="00DF6BC8" w:rsidRPr="00DF6BC8" w:rsidRDefault="00DF6BC8" w:rsidP="00DF6BC8">
      <w:pPr>
        <w:pStyle w:val="ListBullet"/>
        <w:numPr>
          <w:ilvl w:val="0"/>
          <w:numId w:val="0"/>
        </w:numPr>
        <w:ind w:left="360"/>
        <w:rPr>
          <w:rFonts w:cs="Arial"/>
        </w:rPr>
      </w:pPr>
    </w:p>
    <w:p w14:paraId="3FCC4CE1" w14:textId="77777777" w:rsidR="00DF6BC8" w:rsidRDefault="00DF6BC8" w:rsidP="00DF6BC8">
      <w:pPr>
        <w:pStyle w:val="ListBullet"/>
        <w:numPr>
          <w:ilvl w:val="0"/>
          <w:numId w:val="0"/>
        </w:numPr>
      </w:pPr>
      <w:r w:rsidRPr="00DF6BC8">
        <w:rPr>
          <w:rFonts w:cs="Arial"/>
        </w:rPr>
        <w:t>Applicants may apply for funding for projects that benefit partner organisations based overseas, provided they meet all other program criteria.</w:t>
      </w:r>
    </w:p>
    <w:p w14:paraId="1BAE184D" w14:textId="77777777" w:rsidR="00DF6BC8" w:rsidRPr="00DF6BC8" w:rsidRDefault="00DF6BC8" w:rsidP="00DF6BC8"/>
    <w:p w14:paraId="00E6FD2C" w14:textId="75B22AF0" w:rsidR="00E832A7" w:rsidRDefault="00E832A7" w:rsidP="009668F6">
      <w:pPr>
        <w:pStyle w:val="Heading3"/>
      </w:pPr>
      <w:bookmarkStart w:id="29" w:name="_Toc506537727"/>
      <w:bookmarkStart w:id="30" w:name="_Toc506537728"/>
      <w:bookmarkStart w:id="31" w:name="_Toc506537729"/>
      <w:bookmarkStart w:id="32" w:name="_Toc506537730"/>
      <w:bookmarkStart w:id="33" w:name="_Toc506537731"/>
      <w:bookmarkStart w:id="34" w:name="_Toc506537732"/>
      <w:bookmarkStart w:id="35" w:name="_Toc506537733"/>
      <w:bookmarkStart w:id="36" w:name="_Toc506537734"/>
      <w:bookmarkStart w:id="37" w:name="_Toc506537735"/>
      <w:bookmarkStart w:id="38" w:name="_Toc506537736"/>
      <w:bookmarkStart w:id="39" w:name="_Toc506537737"/>
      <w:bookmarkStart w:id="40" w:name="_Toc506537738"/>
      <w:bookmarkStart w:id="41" w:name="_Toc506537739"/>
      <w:bookmarkStart w:id="42" w:name="_Toc506537740"/>
      <w:bookmarkStart w:id="43" w:name="_Toc506537741"/>
      <w:bookmarkStart w:id="44" w:name="_Toc506537742"/>
      <w:bookmarkStart w:id="45" w:name="_Toc24705202"/>
      <w:bookmarkStart w:id="46" w:name="_Ref468355814"/>
      <w:bookmarkStart w:id="47" w:name="_Toc383003258"/>
      <w:bookmarkStart w:id="48" w:name="_Toc16484426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Eligible locations</w:t>
      </w:r>
      <w:bookmarkEnd w:id="45"/>
    </w:p>
    <w:p w14:paraId="388B2121" w14:textId="7067A8BE" w:rsidR="00DF6BC8" w:rsidRDefault="00DF6BC8" w:rsidP="00DF6BC8">
      <w:pPr>
        <w:pStyle w:val="ListBullet"/>
        <w:numPr>
          <w:ilvl w:val="0"/>
          <w:numId w:val="0"/>
        </w:numPr>
        <w:ind w:left="360" w:hanging="360"/>
        <w:rPr>
          <w:rFonts w:cs="Arial"/>
        </w:rPr>
      </w:pPr>
      <w:r w:rsidRPr="00DF6BC8">
        <w:rPr>
          <w:rFonts w:cs="Arial"/>
        </w:rPr>
        <w:t>Projects and activities may occur in Australia or overseas.</w:t>
      </w:r>
    </w:p>
    <w:p w14:paraId="3A7A049F" w14:textId="2E5A3EB0" w:rsidR="009D607D" w:rsidRDefault="009D607D" w:rsidP="00DF6BC8">
      <w:pPr>
        <w:pStyle w:val="ListBullet"/>
        <w:numPr>
          <w:ilvl w:val="0"/>
          <w:numId w:val="0"/>
        </w:numPr>
        <w:ind w:left="360" w:hanging="360"/>
        <w:rPr>
          <w:rFonts w:cs="Arial"/>
        </w:rPr>
      </w:pPr>
    </w:p>
    <w:p w14:paraId="4FEF2F32" w14:textId="77777777" w:rsidR="00E95540" w:rsidRPr="00C330AE" w:rsidRDefault="00907078" w:rsidP="009668F6">
      <w:pPr>
        <w:pStyle w:val="Heading3"/>
      </w:pPr>
      <w:bookmarkStart w:id="49" w:name="_Toc506537745"/>
      <w:bookmarkStart w:id="50" w:name="_Toc506537746"/>
      <w:bookmarkStart w:id="51" w:name="_Toc506537747"/>
      <w:bookmarkStart w:id="52" w:name="_Toc506537748"/>
      <w:bookmarkStart w:id="53" w:name="_Toc506537749"/>
      <w:bookmarkStart w:id="54" w:name="_Toc506537751"/>
      <w:bookmarkStart w:id="55" w:name="_Toc506537752"/>
      <w:bookmarkStart w:id="56" w:name="_Toc506537753"/>
      <w:bookmarkStart w:id="57" w:name="_Toc506537754"/>
      <w:bookmarkStart w:id="58" w:name="_Toc506537755"/>
      <w:bookmarkStart w:id="59" w:name="_Toc506537756"/>
      <w:bookmarkStart w:id="60" w:name="_Toc506537757"/>
      <w:bookmarkStart w:id="61" w:name="_Toc24705203"/>
      <w:bookmarkEnd w:id="46"/>
      <w:bookmarkEnd w:id="49"/>
      <w:bookmarkEnd w:id="50"/>
      <w:bookmarkEnd w:id="51"/>
      <w:bookmarkEnd w:id="52"/>
      <w:bookmarkEnd w:id="53"/>
      <w:bookmarkEnd w:id="54"/>
      <w:bookmarkEnd w:id="55"/>
      <w:bookmarkEnd w:id="56"/>
      <w:bookmarkEnd w:id="57"/>
      <w:bookmarkEnd w:id="58"/>
      <w:bookmarkEnd w:id="59"/>
      <w:bookmarkEnd w:id="60"/>
      <w:r>
        <w:t>What the grant money cannot be used for</w:t>
      </w:r>
      <w:bookmarkEnd w:id="61"/>
    </w:p>
    <w:p w14:paraId="25F269CE" w14:textId="009E476D" w:rsidR="00DF6BC8" w:rsidRPr="00DF6BC8" w:rsidRDefault="00DF6BC8" w:rsidP="00DF6BC8">
      <w:pPr>
        <w:pStyle w:val="ListBullet"/>
        <w:numPr>
          <w:ilvl w:val="0"/>
          <w:numId w:val="0"/>
        </w:numPr>
        <w:ind w:left="360" w:hanging="360"/>
        <w:rPr>
          <w:rFonts w:cs="Arial"/>
        </w:rPr>
      </w:pPr>
      <w:bookmarkStart w:id="62" w:name="_Ref468355804"/>
      <w:r w:rsidRPr="00DF6BC8">
        <w:rPr>
          <w:rFonts w:cs="Arial"/>
        </w:rPr>
        <w:t>You cannot use the gran</w:t>
      </w:r>
      <w:r w:rsidR="00621E41">
        <w:rPr>
          <w:rFonts w:cs="Arial"/>
        </w:rPr>
        <w:t>t for the following activities:</w:t>
      </w:r>
    </w:p>
    <w:p w14:paraId="5FD1D91A" w14:textId="77777777" w:rsidR="00DF6BC8" w:rsidRPr="00DF6BC8" w:rsidRDefault="00DF6BC8" w:rsidP="00DF6BC8">
      <w:pPr>
        <w:pStyle w:val="ListBullet"/>
        <w:numPr>
          <w:ilvl w:val="0"/>
          <w:numId w:val="7"/>
        </w:numPr>
        <w:rPr>
          <w:rFonts w:cs="Arial"/>
        </w:rPr>
      </w:pPr>
      <w:r w:rsidRPr="00DF6BC8">
        <w:rPr>
          <w:rFonts w:cs="Arial"/>
        </w:rPr>
        <w:t>activities undertaken before an application is approved under the ATMAC program or before an agreement is signed by both the department and the successful applicant</w:t>
      </w:r>
    </w:p>
    <w:p w14:paraId="1082AF69" w14:textId="77777777" w:rsidR="00DF6BC8" w:rsidRPr="00DF6BC8" w:rsidRDefault="00DF6BC8" w:rsidP="00DF6BC8">
      <w:pPr>
        <w:pStyle w:val="ListBullet"/>
        <w:numPr>
          <w:ilvl w:val="0"/>
          <w:numId w:val="7"/>
        </w:numPr>
        <w:rPr>
          <w:rFonts w:cs="Arial"/>
        </w:rPr>
      </w:pPr>
      <w:r w:rsidRPr="00DF6BC8">
        <w:rPr>
          <w:rFonts w:cs="Arial"/>
        </w:rPr>
        <w:t>activities that support or promote the benefit of a single commercial enterprise</w:t>
      </w:r>
    </w:p>
    <w:p w14:paraId="00901761" w14:textId="77777777" w:rsidR="00DF6BC8" w:rsidRPr="00DF6BC8" w:rsidRDefault="00DF6BC8" w:rsidP="00DF6BC8">
      <w:pPr>
        <w:pStyle w:val="ListBullet"/>
        <w:numPr>
          <w:ilvl w:val="0"/>
          <w:numId w:val="7"/>
        </w:numPr>
        <w:rPr>
          <w:rFonts w:cs="Arial"/>
        </w:rPr>
      </w:pPr>
      <w:r w:rsidRPr="00DF6BC8">
        <w:rPr>
          <w:rFonts w:cs="Arial"/>
        </w:rPr>
        <w:t>activities that may distort trade or disadvantage Australian agricultural industries</w:t>
      </w:r>
    </w:p>
    <w:p w14:paraId="32DD9B9D" w14:textId="77777777" w:rsidR="00DF6BC8" w:rsidRPr="00DF6BC8" w:rsidRDefault="00DF6BC8" w:rsidP="00DF6BC8">
      <w:pPr>
        <w:pStyle w:val="ListBullet"/>
        <w:numPr>
          <w:ilvl w:val="0"/>
          <w:numId w:val="7"/>
        </w:numPr>
        <w:rPr>
          <w:rFonts w:cs="Arial"/>
        </w:rPr>
      </w:pPr>
      <w:r w:rsidRPr="00DF6BC8">
        <w:rPr>
          <w:rFonts w:cs="Arial"/>
        </w:rPr>
        <w:t>administrative costs incurred by the applicant in making an application or related documentation</w:t>
      </w:r>
    </w:p>
    <w:p w14:paraId="7AA7926D" w14:textId="77777777" w:rsidR="00DF6BC8" w:rsidRPr="00DF6BC8" w:rsidRDefault="00DF6BC8" w:rsidP="00DF6BC8">
      <w:pPr>
        <w:pStyle w:val="ListBullet"/>
        <w:numPr>
          <w:ilvl w:val="0"/>
          <w:numId w:val="7"/>
        </w:numPr>
        <w:rPr>
          <w:rFonts w:cs="Arial"/>
        </w:rPr>
      </w:pPr>
      <w:r w:rsidRPr="00DF6BC8">
        <w:rPr>
          <w:rFonts w:cs="Arial"/>
        </w:rPr>
        <w:t>costs associated with protecting or patenting intellectual property</w:t>
      </w:r>
    </w:p>
    <w:p w14:paraId="09A95461" w14:textId="77777777" w:rsidR="00DF6BC8" w:rsidRPr="00DF6BC8" w:rsidRDefault="00DF6BC8" w:rsidP="00DF6BC8">
      <w:pPr>
        <w:pStyle w:val="ListBullet"/>
        <w:numPr>
          <w:ilvl w:val="0"/>
          <w:numId w:val="7"/>
        </w:numPr>
        <w:rPr>
          <w:rFonts w:cs="Arial"/>
        </w:rPr>
      </w:pPr>
      <w:r w:rsidRPr="00DF6BC8">
        <w:rPr>
          <w:rFonts w:cs="Arial"/>
        </w:rPr>
        <w:t>costs associated with projects of a solely commercial nature</w:t>
      </w:r>
    </w:p>
    <w:p w14:paraId="4016B0FB" w14:textId="77777777" w:rsidR="00DF6BC8" w:rsidRPr="00DF6BC8" w:rsidRDefault="00DF6BC8" w:rsidP="00DF6BC8">
      <w:pPr>
        <w:pStyle w:val="ListBullet"/>
        <w:numPr>
          <w:ilvl w:val="0"/>
          <w:numId w:val="7"/>
        </w:numPr>
        <w:rPr>
          <w:rFonts w:cs="Arial"/>
        </w:rPr>
      </w:pPr>
      <w:proofErr w:type="gramStart"/>
      <w:r w:rsidRPr="00DF6BC8">
        <w:rPr>
          <w:rFonts w:cs="Arial"/>
        </w:rPr>
        <w:t>costs</w:t>
      </w:r>
      <w:proofErr w:type="gramEnd"/>
      <w:r w:rsidRPr="00DF6BC8">
        <w:rPr>
          <w:rFonts w:cs="Arial"/>
        </w:rPr>
        <w:t xml:space="preserve"> not directly incurred in carrying out the project (including overhead costs). </w:t>
      </w:r>
    </w:p>
    <w:p w14:paraId="41905950" w14:textId="3F7F0790" w:rsidR="00DF6BC8" w:rsidRPr="00DF6BC8" w:rsidRDefault="00621E41" w:rsidP="00DF6BC8">
      <w:pPr>
        <w:pStyle w:val="ListBullet"/>
        <w:numPr>
          <w:ilvl w:val="0"/>
          <w:numId w:val="7"/>
        </w:numPr>
        <w:rPr>
          <w:rFonts w:cs="Arial"/>
        </w:rPr>
      </w:pPr>
      <w:r>
        <w:rPr>
          <w:rFonts w:cs="Arial"/>
        </w:rPr>
        <w:t>purchase of land</w:t>
      </w:r>
    </w:p>
    <w:p w14:paraId="59BF1A84" w14:textId="77777777" w:rsidR="00DF6BC8" w:rsidRPr="00DF6BC8" w:rsidRDefault="00DF6BC8" w:rsidP="00DF6BC8">
      <w:pPr>
        <w:pStyle w:val="ListBullet"/>
        <w:numPr>
          <w:ilvl w:val="0"/>
          <w:numId w:val="7"/>
        </w:numPr>
        <w:rPr>
          <w:rFonts w:cs="Arial"/>
        </w:rPr>
      </w:pPr>
      <w:r w:rsidRPr="00DF6BC8">
        <w:rPr>
          <w:rFonts w:cs="Arial"/>
        </w:rPr>
        <w:t>wages</w:t>
      </w:r>
    </w:p>
    <w:p w14:paraId="13692C99" w14:textId="42250A0D" w:rsidR="00DF6BC8" w:rsidRPr="00DF6BC8" w:rsidRDefault="00621E41" w:rsidP="00DF6BC8">
      <w:pPr>
        <w:pStyle w:val="ListBullet"/>
        <w:numPr>
          <w:ilvl w:val="0"/>
          <w:numId w:val="7"/>
        </w:numPr>
        <w:rPr>
          <w:rFonts w:cs="Arial"/>
        </w:rPr>
      </w:pPr>
      <w:r>
        <w:rPr>
          <w:rFonts w:cs="Arial"/>
        </w:rPr>
        <w:t>major capital expenditure</w:t>
      </w:r>
    </w:p>
    <w:p w14:paraId="44E0999C" w14:textId="7AB1E1A3" w:rsidR="00DF6BC8" w:rsidRPr="00DF6BC8" w:rsidRDefault="00DF6BC8" w:rsidP="00DF6BC8">
      <w:pPr>
        <w:pStyle w:val="ListBullet"/>
        <w:numPr>
          <w:ilvl w:val="0"/>
          <w:numId w:val="7"/>
        </w:numPr>
        <w:rPr>
          <w:rFonts w:cs="Arial"/>
        </w:rPr>
      </w:pPr>
      <w:r w:rsidRPr="00DF6BC8">
        <w:rPr>
          <w:rFonts w:cs="Arial"/>
        </w:rPr>
        <w:t xml:space="preserve">subsidy of general ongoing administration of an organisation such as </w:t>
      </w:r>
      <w:r w:rsidR="0060171C">
        <w:rPr>
          <w:rFonts w:cs="Arial"/>
        </w:rPr>
        <w:t>electricity, phone and rent</w:t>
      </w:r>
    </w:p>
    <w:p w14:paraId="7771E011" w14:textId="030B1AEE" w:rsidR="00DF6BC8" w:rsidRPr="00DF6BC8" w:rsidRDefault="00DF6BC8" w:rsidP="00DF6BC8">
      <w:pPr>
        <w:pStyle w:val="ListBullet"/>
        <w:numPr>
          <w:ilvl w:val="0"/>
          <w:numId w:val="7"/>
        </w:numPr>
        <w:rPr>
          <w:rFonts w:cs="Arial"/>
        </w:rPr>
      </w:pPr>
      <w:proofErr w:type="gramStart"/>
      <w:r w:rsidRPr="00DF6BC8">
        <w:rPr>
          <w:rFonts w:cs="Arial"/>
        </w:rPr>
        <w:t>major</w:t>
      </w:r>
      <w:proofErr w:type="gramEnd"/>
      <w:r w:rsidRPr="00DF6BC8">
        <w:rPr>
          <w:rFonts w:cs="Arial"/>
        </w:rPr>
        <w:t xml:space="preserve"> construction/capital works</w:t>
      </w:r>
      <w:r w:rsidR="0060171C">
        <w:rPr>
          <w:rFonts w:cs="Arial"/>
        </w:rPr>
        <w:t>.</w:t>
      </w:r>
    </w:p>
    <w:p w14:paraId="66ADE9AE" w14:textId="2C95C805" w:rsidR="00DF6BC8" w:rsidRPr="00DF6BC8" w:rsidRDefault="00DF6BC8" w:rsidP="00DF6BC8">
      <w:pPr>
        <w:pStyle w:val="ListBullet"/>
        <w:numPr>
          <w:ilvl w:val="0"/>
          <w:numId w:val="0"/>
        </w:numPr>
        <w:rPr>
          <w:rFonts w:cs="Arial"/>
        </w:rPr>
      </w:pPr>
      <w:r w:rsidRPr="00DF6BC8">
        <w:rPr>
          <w:rFonts w:cs="Arial"/>
        </w:rPr>
        <w:t>We cannot provide a grant if you receive funding from another governme</w:t>
      </w:r>
      <w:r w:rsidR="00621E41">
        <w:rPr>
          <w:rFonts w:cs="Arial"/>
        </w:rPr>
        <w:t>nt source for the same purpose.</w:t>
      </w:r>
    </w:p>
    <w:p w14:paraId="38EA9BA4" w14:textId="77777777" w:rsidR="000752EC" w:rsidRDefault="000752EC" w:rsidP="00EE0C10">
      <w:pPr>
        <w:pStyle w:val="ListBullet"/>
        <w:numPr>
          <w:ilvl w:val="0"/>
          <w:numId w:val="0"/>
        </w:numPr>
        <w:ind w:left="360" w:hanging="360"/>
      </w:pPr>
    </w:p>
    <w:p w14:paraId="1B61BDD8" w14:textId="77777777" w:rsidR="0039610D" w:rsidRPr="00747B26" w:rsidRDefault="0036055C" w:rsidP="009668F6">
      <w:pPr>
        <w:pStyle w:val="Heading2"/>
      </w:pPr>
      <w:bookmarkStart w:id="63" w:name="_Toc494290504"/>
      <w:bookmarkStart w:id="64" w:name="_Toc494290505"/>
      <w:bookmarkStart w:id="65" w:name="_Toc494290506"/>
      <w:bookmarkStart w:id="66" w:name="_Toc494290507"/>
      <w:bookmarkStart w:id="67" w:name="_Toc494290508"/>
      <w:bookmarkStart w:id="68" w:name="_Toc494290509"/>
      <w:bookmarkStart w:id="69" w:name="_Toc494290510"/>
      <w:bookmarkStart w:id="70" w:name="_Toc494290511"/>
      <w:bookmarkStart w:id="71" w:name="_Ref485221187"/>
      <w:bookmarkStart w:id="72" w:name="_Toc24705204"/>
      <w:bookmarkEnd w:id="62"/>
      <w:bookmarkEnd w:id="63"/>
      <w:bookmarkEnd w:id="64"/>
      <w:bookmarkEnd w:id="65"/>
      <w:bookmarkEnd w:id="66"/>
      <w:bookmarkEnd w:id="67"/>
      <w:bookmarkEnd w:id="68"/>
      <w:bookmarkEnd w:id="69"/>
      <w:bookmarkEnd w:id="70"/>
      <w:r>
        <w:t xml:space="preserve">The </w:t>
      </w:r>
      <w:r w:rsidR="00B94249">
        <w:t>assessment criteria</w:t>
      </w:r>
      <w:bookmarkEnd w:id="71"/>
      <w:bookmarkEnd w:id="72"/>
    </w:p>
    <w:p w14:paraId="5ED9F685" w14:textId="78877201" w:rsidR="002A66DD" w:rsidRDefault="00845071" w:rsidP="00845071">
      <w:pPr>
        <w:rPr>
          <w:rFonts w:cs="Arial"/>
        </w:rPr>
      </w:pPr>
      <w:r w:rsidRPr="00845071">
        <w:rPr>
          <w:rFonts w:cs="Arial"/>
        </w:rPr>
        <w:t xml:space="preserve">You must address all of the following assessment criteria in the application. </w:t>
      </w:r>
      <w:r w:rsidR="00581555">
        <w:rPr>
          <w:rFonts w:cs="Arial"/>
        </w:rPr>
        <w:t xml:space="preserve">The </w:t>
      </w:r>
      <w:r w:rsidR="0060171C">
        <w:rPr>
          <w:rFonts w:cs="Arial"/>
        </w:rPr>
        <w:t>d</w:t>
      </w:r>
      <w:r>
        <w:rPr>
          <w:rFonts w:cs="Arial"/>
        </w:rPr>
        <w:t xml:space="preserve">epartment </w:t>
      </w:r>
      <w:r w:rsidRPr="00845071">
        <w:rPr>
          <w:rFonts w:cs="Arial"/>
        </w:rPr>
        <w:t xml:space="preserve">will assess your application </w:t>
      </w:r>
      <w:r w:rsidR="00BA56C4">
        <w:rPr>
          <w:rFonts w:cs="Arial"/>
        </w:rPr>
        <w:t xml:space="preserve">and score each </w:t>
      </w:r>
      <w:r w:rsidRPr="00845071">
        <w:rPr>
          <w:rFonts w:cs="Arial"/>
        </w:rPr>
        <w:t xml:space="preserve">criterion </w:t>
      </w:r>
      <w:r w:rsidR="00BA56C4">
        <w:rPr>
          <w:rFonts w:cs="Arial"/>
        </w:rPr>
        <w:t>using a rating scale of</w:t>
      </w:r>
      <w:r w:rsidR="002A66DD">
        <w:rPr>
          <w:rFonts w:cs="Arial"/>
        </w:rPr>
        <w:t xml:space="preserve"> 1–5 (see Table 1 below).</w:t>
      </w:r>
    </w:p>
    <w:p w14:paraId="2FB3D526" w14:textId="525315BA" w:rsidR="00373703" w:rsidRDefault="00845071" w:rsidP="00845071">
      <w:pPr>
        <w:rPr>
          <w:rFonts w:cs="Arial"/>
        </w:rPr>
      </w:pPr>
      <w:r w:rsidRPr="00845071">
        <w:rPr>
          <w:rFonts w:cs="Arial"/>
        </w:rPr>
        <w:lastRenderedPageBreak/>
        <w:t xml:space="preserve">The application form includes character limits – up to </w:t>
      </w:r>
      <w:r w:rsidR="00581555">
        <w:rPr>
          <w:rFonts w:cs="Arial"/>
        </w:rPr>
        <w:t>2000</w:t>
      </w:r>
      <w:r w:rsidRPr="00845071">
        <w:rPr>
          <w:rFonts w:cs="Arial"/>
          <w:color w:val="0070C0"/>
        </w:rPr>
        <w:t xml:space="preserve"> </w:t>
      </w:r>
      <w:r w:rsidRPr="00845071">
        <w:rPr>
          <w:rFonts w:cs="Arial"/>
        </w:rPr>
        <w:t xml:space="preserve">characters (approx. </w:t>
      </w:r>
      <w:r w:rsidR="00581555">
        <w:rPr>
          <w:rFonts w:cs="Arial"/>
        </w:rPr>
        <w:t>300</w:t>
      </w:r>
      <w:r w:rsidRPr="00845071">
        <w:rPr>
          <w:rFonts w:cs="Arial"/>
        </w:rPr>
        <w:t xml:space="preserve"> words) per criterion. The application form will not accept characters beyond this limit. Please note spaces are includ</w:t>
      </w:r>
      <w:r w:rsidR="00621E41">
        <w:rPr>
          <w:rFonts w:cs="Arial"/>
        </w:rPr>
        <w:t>ed in the character limit.</w:t>
      </w:r>
    </w:p>
    <w:p w14:paraId="57BB57CF" w14:textId="432C97FA" w:rsidR="00845071" w:rsidRDefault="00845071" w:rsidP="00845071">
      <w:pPr>
        <w:rPr>
          <w:rFonts w:cs="Arial"/>
        </w:rPr>
      </w:pPr>
      <w:r w:rsidRPr="00845071">
        <w:rPr>
          <w:rFonts w:cs="Arial"/>
        </w:rPr>
        <w:t xml:space="preserve">An eligibility criteria assessment will be undertaken prior to the </w:t>
      </w:r>
      <w:r w:rsidR="0060171C">
        <w:rPr>
          <w:rFonts w:cs="Arial"/>
        </w:rPr>
        <w:t>c</w:t>
      </w:r>
      <w:r w:rsidRPr="00845071">
        <w:rPr>
          <w:rFonts w:cs="Arial"/>
        </w:rPr>
        <w:t xml:space="preserve">riterion assessment. If an applicant does not meet all eligibility </w:t>
      </w:r>
      <w:proofErr w:type="gramStart"/>
      <w:r w:rsidRPr="00845071">
        <w:rPr>
          <w:rFonts w:cs="Arial"/>
        </w:rPr>
        <w:t>criteria</w:t>
      </w:r>
      <w:proofErr w:type="gramEnd"/>
      <w:r w:rsidRPr="00845071">
        <w:rPr>
          <w:rFonts w:cs="Arial"/>
        </w:rPr>
        <w:t xml:space="preserve"> the application will not be assessed against the </w:t>
      </w:r>
      <w:r w:rsidR="0060171C">
        <w:rPr>
          <w:rFonts w:cs="Arial"/>
        </w:rPr>
        <w:t>c</w:t>
      </w:r>
      <w:r w:rsidR="00621E41">
        <w:rPr>
          <w:rFonts w:cs="Arial"/>
        </w:rPr>
        <w:t>riterion.</w:t>
      </w:r>
    </w:p>
    <w:p w14:paraId="4924758B" w14:textId="77777777" w:rsidR="004131A3" w:rsidRDefault="004131A3" w:rsidP="007254DD">
      <w:pPr>
        <w:rPr>
          <w:b/>
          <w:sz w:val="22"/>
          <w:szCs w:val="22"/>
        </w:rPr>
      </w:pPr>
    </w:p>
    <w:p w14:paraId="16BE2B11" w14:textId="77777777" w:rsidR="003816D7" w:rsidRPr="00FD47D5" w:rsidRDefault="00494050" w:rsidP="007254DD">
      <w:pPr>
        <w:rPr>
          <w:b/>
          <w:sz w:val="22"/>
          <w:szCs w:val="22"/>
        </w:rPr>
      </w:pPr>
      <w:r w:rsidRPr="00FD47D5">
        <w:rPr>
          <w:b/>
          <w:sz w:val="22"/>
          <w:szCs w:val="22"/>
        </w:rPr>
        <w:t>Criterion 1</w:t>
      </w:r>
    </w:p>
    <w:p w14:paraId="1886EF4A" w14:textId="26A78A7C" w:rsidR="00845071" w:rsidRPr="00845071" w:rsidRDefault="00095939" w:rsidP="00845071">
      <w:pPr>
        <w:rPr>
          <w:rFonts w:cs="Arial"/>
        </w:rPr>
      </w:pPr>
      <w:r>
        <w:rPr>
          <w:rFonts w:cs="Arial"/>
          <w:b/>
        </w:rPr>
        <w:t>Suitabilit</w:t>
      </w:r>
      <w:r w:rsidR="00621E41">
        <w:rPr>
          <w:rFonts w:cs="Arial"/>
          <w:b/>
        </w:rPr>
        <w:t>y</w:t>
      </w:r>
    </w:p>
    <w:p w14:paraId="0B96A1A2" w14:textId="4997E823" w:rsidR="00845071" w:rsidRPr="00845071" w:rsidRDefault="00845071" w:rsidP="00845071">
      <w:pPr>
        <w:rPr>
          <w:rFonts w:cs="Arial"/>
        </w:rPr>
      </w:pPr>
      <w:r w:rsidRPr="00845071">
        <w:rPr>
          <w:rFonts w:cs="Arial"/>
        </w:rPr>
        <w:t>Assessment of the suitability</w:t>
      </w:r>
      <w:r w:rsidR="00095939">
        <w:rPr>
          <w:rFonts w:cs="Arial"/>
        </w:rPr>
        <w:t xml:space="preserve"> </w:t>
      </w:r>
      <w:r w:rsidRPr="00845071">
        <w:rPr>
          <w:rFonts w:cs="Arial"/>
        </w:rPr>
        <w:t xml:space="preserve">of the application will be based on </w:t>
      </w:r>
      <w:r w:rsidR="00095939">
        <w:rPr>
          <w:rFonts w:cs="Arial"/>
        </w:rPr>
        <w:t>how</w:t>
      </w:r>
      <w:r w:rsidRPr="00845071">
        <w:rPr>
          <w:rFonts w:cs="Arial"/>
        </w:rPr>
        <w:t xml:space="preserve"> well the application:</w:t>
      </w:r>
    </w:p>
    <w:p w14:paraId="2CC37CB9" w14:textId="74E2B2D8" w:rsidR="00845071" w:rsidRPr="00845071" w:rsidRDefault="00845071" w:rsidP="00845071">
      <w:pPr>
        <w:pStyle w:val="ListBullet"/>
        <w:numPr>
          <w:ilvl w:val="0"/>
          <w:numId w:val="7"/>
        </w:numPr>
        <w:rPr>
          <w:rFonts w:cs="Arial"/>
        </w:rPr>
      </w:pPr>
      <w:r w:rsidRPr="00845071">
        <w:rPr>
          <w:rFonts w:cs="Arial"/>
        </w:rPr>
        <w:t>articulates the project</w:t>
      </w:r>
      <w:r w:rsidR="009657BF">
        <w:rPr>
          <w:rFonts w:cs="Arial"/>
        </w:rPr>
        <w:t>/activity</w:t>
      </w:r>
      <w:r w:rsidRPr="00845071">
        <w:rPr>
          <w:rFonts w:cs="Arial"/>
        </w:rPr>
        <w:t xml:space="preserve"> </w:t>
      </w:r>
      <w:r w:rsidR="00095939">
        <w:rPr>
          <w:rFonts w:cs="Arial"/>
        </w:rPr>
        <w:t>by identifying</w:t>
      </w:r>
      <w:r w:rsidRPr="00845071">
        <w:rPr>
          <w:rFonts w:cs="Arial"/>
        </w:rPr>
        <w:t xml:space="preserve"> the activities, activity providers, other parties involved in the project, beneficiaries, outputs and outcomes</w:t>
      </w:r>
    </w:p>
    <w:p w14:paraId="22EABED8" w14:textId="0E28EAA2" w:rsidR="00845071" w:rsidRPr="00095939" w:rsidRDefault="00373703" w:rsidP="00095939">
      <w:pPr>
        <w:pStyle w:val="ListBullet"/>
        <w:numPr>
          <w:ilvl w:val="0"/>
          <w:numId w:val="7"/>
        </w:numPr>
        <w:rPr>
          <w:rFonts w:cs="Arial"/>
        </w:rPr>
      </w:pPr>
      <w:proofErr w:type="gramStart"/>
      <w:r>
        <w:rPr>
          <w:rFonts w:cs="Arial"/>
        </w:rPr>
        <w:t>demonstrates</w:t>
      </w:r>
      <w:proofErr w:type="gramEnd"/>
      <w:r>
        <w:rPr>
          <w:rFonts w:cs="Arial"/>
        </w:rPr>
        <w:t xml:space="preserve"> </w:t>
      </w:r>
      <w:r w:rsidR="00845071" w:rsidRPr="00845071">
        <w:rPr>
          <w:rFonts w:cs="Arial"/>
        </w:rPr>
        <w:t>how the project</w:t>
      </w:r>
      <w:r w:rsidR="009657BF">
        <w:rPr>
          <w:rFonts w:cs="Arial"/>
        </w:rPr>
        <w:t>/activity</w:t>
      </w:r>
      <w:r w:rsidR="00845071" w:rsidRPr="00845071">
        <w:rPr>
          <w:rFonts w:cs="Arial"/>
        </w:rPr>
        <w:t xml:space="preserve"> will contribute to achieving the </w:t>
      </w:r>
      <w:r w:rsidR="009657BF">
        <w:rPr>
          <w:rFonts w:cs="Arial"/>
        </w:rPr>
        <w:t xml:space="preserve">ATMAC </w:t>
      </w:r>
      <w:r w:rsidR="00845071" w:rsidRPr="00845071">
        <w:rPr>
          <w:rFonts w:cs="Arial"/>
        </w:rPr>
        <w:t>program objectives and the funding priorities</w:t>
      </w:r>
      <w:r w:rsidR="00621E41">
        <w:rPr>
          <w:rFonts w:cs="Arial"/>
        </w:rPr>
        <w:t>.</w:t>
      </w:r>
    </w:p>
    <w:p w14:paraId="001CF670" w14:textId="77777777" w:rsidR="00373703" w:rsidRDefault="00373703" w:rsidP="00373703">
      <w:pPr>
        <w:pStyle w:val="ListBullet"/>
        <w:numPr>
          <w:ilvl w:val="0"/>
          <w:numId w:val="0"/>
        </w:numPr>
        <w:ind w:left="360" w:hanging="360"/>
        <w:rPr>
          <w:rFonts w:cs="Arial"/>
        </w:rPr>
      </w:pPr>
    </w:p>
    <w:p w14:paraId="3D0923BF" w14:textId="01791AA1" w:rsidR="00373703" w:rsidRPr="00FD47D5" w:rsidRDefault="00373703" w:rsidP="00373703">
      <w:pPr>
        <w:rPr>
          <w:b/>
          <w:sz w:val="22"/>
          <w:szCs w:val="22"/>
        </w:rPr>
      </w:pPr>
      <w:r>
        <w:rPr>
          <w:b/>
          <w:sz w:val="22"/>
          <w:szCs w:val="22"/>
        </w:rPr>
        <w:t>Criterion 2</w:t>
      </w:r>
    </w:p>
    <w:p w14:paraId="621E0994" w14:textId="77777777" w:rsidR="00373703" w:rsidRDefault="00373703" w:rsidP="00373703">
      <w:pPr>
        <w:rPr>
          <w:rFonts w:cs="Arial"/>
          <w:b/>
        </w:rPr>
      </w:pPr>
      <w:r>
        <w:rPr>
          <w:rFonts w:cs="Arial"/>
          <w:b/>
        </w:rPr>
        <w:t>Feasibility</w:t>
      </w:r>
    </w:p>
    <w:p w14:paraId="5B97F792" w14:textId="700183E3" w:rsidR="00373703" w:rsidRPr="00373703" w:rsidRDefault="00373703" w:rsidP="00373703">
      <w:pPr>
        <w:rPr>
          <w:rFonts w:cs="Arial"/>
        </w:rPr>
      </w:pPr>
      <w:r>
        <w:rPr>
          <w:rFonts w:cs="Arial"/>
        </w:rPr>
        <w:t xml:space="preserve">Assessment of whether the application is realistic, reasonable and achievable </w:t>
      </w:r>
      <w:proofErr w:type="gramStart"/>
      <w:r>
        <w:rPr>
          <w:rFonts w:cs="Arial"/>
        </w:rPr>
        <w:t>will be based</w:t>
      </w:r>
      <w:proofErr w:type="gramEnd"/>
      <w:r>
        <w:rPr>
          <w:rFonts w:cs="Arial"/>
        </w:rPr>
        <w:t xml:space="preserve"> on how well it demonstrates that:</w:t>
      </w:r>
    </w:p>
    <w:p w14:paraId="44BB4AAC" w14:textId="77777777" w:rsidR="00373703" w:rsidRPr="00845071" w:rsidRDefault="00373703" w:rsidP="00373703">
      <w:pPr>
        <w:pStyle w:val="ListBullet"/>
        <w:numPr>
          <w:ilvl w:val="0"/>
          <w:numId w:val="7"/>
        </w:numPr>
        <w:rPr>
          <w:rFonts w:cs="Arial"/>
        </w:rPr>
      </w:pPr>
      <w:r w:rsidRPr="00845071">
        <w:rPr>
          <w:rFonts w:cs="Arial"/>
        </w:rPr>
        <w:t>the methodology or approach to undertaking the project is technically, logistically or otherwise feasible</w:t>
      </w:r>
    </w:p>
    <w:p w14:paraId="602C913C" w14:textId="77777777" w:rsidR="00373703" w:rsidRPr="00845071" w:rsidRDefault="00373703" w:rsidP="00373703">
      <w:pPr>
        <w:pStyle w:val="ListBullet"/>
        <w:numPr>
          <w:ilvl w:val="0"/>
          <w:numId w:val="7"/>
        </w:numPr>
        <w:rPr>
          <w:rFonts w:cs="Arial"/>
        </w:rPr>
      </w:pPr>
      <w:r w:rsidRPr="00845071">
        <w:rPr>
          <w:rFonts w:cs="Arial"/>
        </w:rPr>
        <w:t>the time frame in which the project will occur is realistic for achieving intended objectives and milestones (where relevant)</w:t>
      </w:r>
    </w:p>
    <w:p w14:paraId="28CC8217" w14:textId="2B5F1DB0" w:rsidR="00373703" w:rsidRPr="00845071" w:rsidRDefault="00373703" w:rsidP="00373703">
      <w:pPr>
        <w:pStyle w:val="ListBullet"/>
        <w:numPr>
          <w:ilvl w:val="0"/>
          <w:numId w:val="7"/>
        </w:numPr>
        <w:rPr>
          <w:rFonts w:cs="Arial"/>
        </w:rPr>
      </w:pPr>
      <w:r w:rsidRPr="00845071">
        <w:rPr>
          <w:rFonts w:cs="Arial"/>
        </w:rPr>
        <w:t>the applicant and/or intended activity provider has the capacity</w:t>
      </w:r>
      <w:r>
        <w:rPr>
          <w:rFonts w:cs="Arial"/>
        </w:rPr>
        <w:t>, capability and experience</w:t>
      </w:r>
      <w:r w:rsidRPr="00845071">
        <w:rPr>
          <w:rFonts w:cs="Arial"/>
        </w:rPr>
        <w:t xml:space="preserve"> (for example, resources and competency) to deliver the project </w:t>
      </w:r>
      <w:r>
        <w:rPr>
          <w:rFonts w:cs="Arial"/>
        </w:rPr>
        <w:t xml:space="preserve">or activity effectively, </w:t>
      </w:r>
      <w:r w:rsidR="006D3330">
        <w:rPr>
          <w:rFonts w:cs="Arial"/>
        </w:rPr>
        <w:t>on time and to budget</w:t>
      </w:r>
    </w:p>
    <w:p w14:paraId="22AD3DCA" w14:textId="15D9A665" w:rsidR="00373703" w:rsidRPr="008E74E9" w:rsidRDefault="00373703" w:rsidP="00373703">
      <w:pPr>
        <w:pStyle w:val="ListBullet"/>
        <w:numPr>
          <w:ilvl w:val="0"/>
          <w:numId w:val="7"/>
        </w:numPr>
        <w:rPr>
          <w:rFonts w:cs="Arial"/>
        </w:rPr>
      </w:pPr>
      <w:proofErr w:type="gramStart"/>
      <w:r w:rsidRPr="00845071">
        <w:rPr>
          <w:rFonts w:cs="Arial"/>
        </w:rPr>
        <w:t>it</w:t>
      </w:r>
      <w:proofErr w:type="gramEnd"/>
      <w:r w:rsidRPr="00845071">
        <w:rPr>
          <w:rFonts w:cs="Arial"/>
        </w:rPr>
        <w:t xml:space="preserve"> is supported by stakeholders in Australia and/or the relevant target market.</w:t>
      </w:r>
    </w:p>
    <w:p w14:paraId="0013B2C4" w14:textId="77777777" w:rsidR="00373703" w:rsidRDefault="00373703" w:rsidP="008E74E9">
      <w:pPr>
        <w:pStyle w:val="ListBullet"/>
        <w:numPr>
          <w:ilvl w:val="0"/>
          <w:numId w:val="0"/>
        </w:numPr>
        <w:rPr>
          <w:rFonts w:cs="Arial"/>
        </w:rPr>
      </w:pPr>
    </w:p>
    <w:p w14:paraId="5372E032" w14:textId="2142A4E8" w:rsidR="003816D7" w:rsidRPr="007254DD" w:rsidRDefault="00494050" w:rsidP="007254DD">
      <w:pPr>
        <w:pStyle w:val="ListBullet"/>
        <w:numPr>
          <w:ilvl w:val="0"/>
          <w:numId w:val="0"/>
        </w:numPr>
        <w:ind w:left="360" w:hanging="360"/>
        <w:rPr>
          <w:b/>
          <w:sz w:val="22"/>
          <w:szCs w:val="22"/>
        </w:rPr>
      </w:pPr>
      <w:r w:rsidRPr="007254DD">
        <w:rPr>
          <w:b/>
          <w:sz w:val="22"/>
          <w:szCs w:val="22"/>
        </w:rPr>
        <w:t xml:space="preserve">Criterion </w:t>
      </w:r>
      <w:r w:rsidR="009F5E3B">
        <w:rPr>
          <w:b/>
          <w:sz w:val="22"/>
          <w:szCs w:val="22"/>
        </w:rPr>
        <w:t>3</w:t>
      </w:r>
    </w:p>
    <w:p w14:paraId="790FC3D7" w14:textId="3304B363" w:rsidR="00845071" w:rsidRPr="00845071" w:rsidRDefault="00814E2A" w:rsidP="00845071">
      <w:pPr>
        <w:rPr>
          <w:rFonts w:cs="Arial"/>
        </w:rPr>
      </w:pPr>
      <w:bookmarkStart w:id="73" w:name="_Toc164844283"/>
      <w:bookmarkStart w:id="74" w:name="_Toc383003272"/>
      <w:bookmarkEnd w:id="47"/>
      <w:bookmarkEnd w:id="48"/>
      <w:r>
        <w:rPr>
          <w:rFonts w:cs="Arial"/>
          <w:b/>
        </w:rPr>
        <w:t>Value for money</w:t>
      </w:r>
    </w:p>
    <w:p w14:paraId="6CD8FB99" w14:textId="2982E579" w:rsidR="00845071" w:rsidRPr="00845071" w:rsidRDefault="00845071" w:rsidP="00845071">
      <w:pPr>
        <w:rPr>
          <w:rFonts w:cs="Arial"/>
        </w:rPr>
      </w:pPr>
      <w:r w:rsidRPr="00845071">
        <w:rPr>
          <w:rFonts w:cs="Arial"/>
        </w:rPr>
        <w:t>Assessment of whether the application represents good va</w:t>
      </w:r>
      <w:r w:rsidR="006D3330">
        <w:rPr>
          <w:rFonts w:cs="Arial"/>
        </w:rPr>
        <w:t>lue for money will be based on:</w:t>
      </w:r>
    </w:p>
    <w:p w14:paraId="22E0CADD" w14:textId="11714736" w:rsidR="00A55E52" w:rsidRDefault="003B1122" w:rsidP="00845071">
      <w:pPr>
        <w:pStyle w:val="ListBullet"/>
        <w:numPr>
          <w:ilvl w:val="0"/>
          <w:numId w:val="7"/>
        </w:numPr>
        <w:rPr>
          <w:rFonts w:cs="Arial"/>
        </w:rPr>
      </w:pPr>
      <w:r>
        <w:rPr>
          <w:rFonts w:cs="Arial"/>
        </w:rPr>
        <w:t>the applicant’s justification for the level of funding requested, and how the activity/project will be financially viable and sustainable for the duration of the funding agreement</w:t>
      </w:r>
    </w:p>
    <w:p w14:paraId="3F982112" w14:textId="530662D7" w:rsidR="00373703" w:rsidRPr="008E74E9" w:rsidRDefault="003B1122" w:rsidP="00845071">
      <w:pPr>
        <w:pStyle w:val="ListBullet"/>
        <w:numPr>
          <w:ilvl w:val="0"/>
          <w:numId w:val="7"/>
        </w:numPr>
        <w:rPr>
          <w:rFonts w:cs="Arial"/>
        </w:rPr>
      </w:pPr>
      <w:proofErr w:type="gramStart"/>
      <w:r w:rsidRPr="008E74E9">
        <w:rPr>
          <w:rFonts w:cs="Arial"/>
        </w:rPr>
        <w:t>demonstration</w:t>
      </w:r>
      <w:proofErr w:type="gramEnd"/>
      <w:r w:rsidRPr="008E74E9">
        <w:rPr>
          <w:rFonts w:cs="Arial"/>
        </w:rPr>
        <w:t xml:space="preserve"> of how the proposed grant activity/project will achieve positive outcomes, such as efficiencies and opportunities for stakeholders and target groups, that would not occur without funding</w:t>
      </w:r>
      <w:r w:rsidR="006D3330">
        <w:rPr>
          <w:rFonts w:cs="Arial"/>
        </w:rPr>
        <w:t>.</w:t>
      </w:r>
    </w:p>
    <w:p w14:paraId="6B1BBF09" w14:textId="77777777" w:rsidR="00845071" w:rsidRDefault="00845071" w:rsidP="00845071">
      <w:pPr>
        <w:pStyle w:val="ListBullet"/>
        <w:numPr>
          <w:ilvl w:val="0"/>
          <w:numId w:val="0"/>
        </w:numPr>
        <w:ind w:left="360"/>
        <w:rPr>
          <w:rFonts w:cs="Arial"/>
        </w:rPr>
      </w:pPr>
    </w:p>
    <w:p w14:paraId="227CB907" w14:textId="3ED9BD19" w:rsidR="00845071" w:rsidRPr="00845071" w:rsidRDefault="00845071" w:rsidP="00845071">
      <w:pPr>
        <w:pStyle w:val="ListBullet"/>
        <w:numPr>
          <w:ilvl w:val="0"/>
          <w:numId w:val="0"/>
        </w:numPr>
        <w:rPr>
          <w:rFonts w:cs="Arial"/>
          <w:b/>
          <w:sz w:val="22"/>
          <w:szCs w:val="22"/>
        </w:rPr>
      </w:pPr>
      <w:r w:rsidRPr="00845071">
        <w:rPr>
          <w:rFonts w:cs="Arial"/>
          <w:b/>
          <w:sz w:val="22"/>
          <w:szCs w:val="22"/>
        </w:rPr>
        <w:t xml:space="preserve">Criterion </w:t>
      </w:r>
      <w:r w:rsidR="001B519E">
        <w:rPr>
          <w:rFonts w:cs="Arial"/>
          <w:b/>
          <w:sz w:val="22"/>
          <w:szCs w:val="22"/>
        </w:rPr>
        <w:t>4</w:t>
      </w:r>
    </w:p>
    <w:p w14:paraId="25D305A8" w14:textId="1AE79A43" w:rsidR="00845071" w:rsidRPr="00845071" w:rsidRDefault="00A55E52" w:rsidP="00845071">
      <w:pPr>
        <w:pStyle w:val="ListBullet"/>
        <w:numPr>
          <w:ilvl w:val="0"/>
          <w:numId w:val="0"/>
        </w:numPr>
        <w:rPr>
          <w:rFonts w:cs="Arial"/>
        </w:rPr>
      </w:pPr>
      <w:r>
        <w:rPr>
          <w:rFonts w:cs="Arial"/>
          <w:b/>
        </w:rPr>
        <w:t>Capability to deliver</w:t>
      </w:r>
    </w:p>
    <w:p w14:paraId="2B8CB5C8" w14:textId="2ACD7E3A" w:rsidR="00845071" w:rsidRDefault="00845071" w:rsidP="00845071">
      <w:pPr>
        <w:pStyle w:val="ListBullet"/>
        <w:numPr>
          <w:ilvl w:val="0"/>
          <w:numId w:val="0"/>
        </w:numPr>
        <w:rPr>
          <w:rFonts w:cs="Arial"/>
        </w:rPr>
      </w:pPr>
      <w:r w:rsidRPr="00845071">
        <w:rPr>
          <w:rFonts w:cs="Arial"/>
        </w:rPr>
        <w:t>Assessment of</w:t>
      </w:r>
      <w:r w:rsidR="00A55E52">
        <w:rPr>
          <w:rFonts w:cs="Arial"/>
        </w:rPr>
        <w:t xml:space="preserve"> </w:t>
      </w:r>
      <w:r w:rsidR="00850694">
        <w:rPr>
          <w:rFonts w:cs="Arial"/>
        </w:rPr>
        <w:t xml:space="preserve">the applicant’s </w:t>
      </w:r>
      <w:r w:rsidR="00A55E52">
        <w:rPr>
          <w:rFonts w:cs="Arial"/>
        </w:rPr>
        <w:t>capability to effectively deliver</w:t>
      </w:r>
      <w:r w:rsidR="008E74E9">
        <w:rPr>
          <w:rFonts w:cs="Arial"/>
        </w:rPr>
        <w:t xml:space="preserve"> </w:t>
      </w:r>
      <w:r w:rsidRPr="00845071">
        <w:rPr>
          <w:rFonts w:cs="Arial"/>
        </w:rPr>
        <w:t xml:space="preserve">the </w:t>
      </w:r>
      <w:r w:rsidR="00A55E52">
        <w:rPr>
          <w:rFonts w:cs="Arial"/>
        </w:rPr>
        <w:t xml:space="preserve">grant </w:t>
      </w:r>
      <w:r w:rsidR="009D5147">
        <w:rPr>
          <w:rFonts w:cs="Arial"/>
        </w:rPr>
        <w:t>activity/</w:t>
      </w:r>
      <w:r w:rsidRPr="00845071">
        <w:rPr>
          <w:rFonts w:cs="Arial"/>
        </w:rPr>
        <w:t xml:space="preserve">project </w:t>
      </w:r>
      <w:r w:rsidR="00A55E52">
        <w:rPr>
          <w:rFonts w:cs="Arial"/>
        </w:rPr>
        <w:t>on time and within budget, will be based on</w:t>
      </w:r>
      <w:r w:rsidR="00850694">
        <w:rPr>
          <w:rFonts w:cs="Arial"/>
        </w:rPr>
        <w:t xml:space="preserve"> how well the application</w:t>
      </w:r>
      <w:r w:rsidRPr="00845071">
        <w:rPr>
          <w:rFonts w:cs="Arial"/>
        </w:rPr>
        <w:t>:</w:t>
      </w:r>
    </w:p>
    <w:p w14:paraId="447670D4" w14:textId="4DE77E92" w:rsidR="00083AA5" w:rsidRDefault="007759F4" w:rsidP="007759F4">
      <w:pPr>
        <w:pStyle w:val="ListBullet"/>
        <w:numPr>
          <w:ilvl w:val="0"/>
          <w:numId w:val="7"/>
        </w:numPr>
        <w:rPr>
          <w:rFonts w:cs="Arial"/>
        </w:rPr>
      </w:pPr>
      <w:r>
        <w:rPr>
          <w:rFonts w:cs="Arial"/>
        </w:rPr>
        <w:lastRenderedPageBreak/>
        <w:t xml:space="preserve">outlines the approach to monitoring and evaluating the </w:t>
      </w:r>
      <w:r w:rsidR="00F025AC">
        <w:rPr>
          <w:rFonts w:cs="Arial"/>
        </w:rPr>
        <w:t xml:space="preserve">grant </w:t>
      </w:r>
      <w:r>
        <w:rPr>
          <w:rFonts w:cs="Arial"/>
        </w:rPr>
        <w:t>activity/project including the types of evidence and performance indicators used to measure progress</w:t>
      </w:r>
      <w:r w:rsidR="000D46DF">
        <w:rPr>
          <w:rFonts w:cs="Arial"/>
        </w:rPr>
        <w:t xml:space="preserve"> and outcomes</w:t>
      </w:r>
    </w:p>
    <w:p w14:paraId="5EB645E3" w14:textId="7CC0C94E" w:rsidR="007759F4" w:rsidRPr="008E74E9" w:rsidRDefault="000D46DF" w:rsidP="008E74E9">
      <w:pPr>
        <w:pStyle w:val="ListBullet"/>
        <w:numPr>
          <w:ilvl w:val="0"/>
          <w:numId w:val="7"/>
        </w:numPr>
        <w:rPr>
          <w:rFonts w:cs="Arial"/>
        </w:rPr>
      </w:pPr>
      <w:proofErr w:type="gramStart"/>
      <w:r>
        <w:rPr>
          <w:rFonts w:cs="Arial"/>
        </w:rPr>
        <w:t>outlines</w:t>
      </w:r>
      <w:proofErr w:type="gramEnd"/>
      <w:r>
        <w:rPr>
          <w:rFonts w:cs="Arial"/>
        </w:rPr>
        <w:t xml:space="preserve"> the key personnel involved in the management and delivery of the grant activity/project including relevant capabilities (experience, skills, qualifications) and estimated time allocated to the project/activity</w:t>
      </w:r>
      <w:r w:rsidR="00814E2A">
        <w:rPr>
          <w:rFonts w:cs="Arial"/>
        </w:rPr>
        <w:t>.</w:t>
      </w:r>
    </w:p>
    <w:p w14:paraId="64AC7BF0" w14:textId="77777777" w:rsidR="00845071" w:rsidRDefault="00845071" w:rsidP="00845071">
      <w:pPr>
        <w:pStyle w:val="ListBullet"/>
        <w:numPr>
          <w:ilvl w:val="0"/>
          <w:numId w:val="0"/>
        </w:numPr>
        <w:ind w:left="360" w:hanging="360"/>
        <w:rPr>
          <w:rFonts w:cs="Arial"/>
        </w:rPr>
      </w:pPr>
    </w:p>
    <w:p w14:paraId="481B87E5" w14:textId="77777777" w:rsidR="00845071" w:rsidRPr="00845071" w:rsidRDefault="00845071" w:rsidP="00845071">
      <w:pPr>
        <w:pStyle w:val="ListBullet"/>
        <w:numPr>
          <w:ilvl w:val="0"/>
          <w:numId w:val="0"/>
        </w:numPr>
        <w:ind w:left="360" w:hanging="360"/>
        <w:rPr>
          <w:rFonts w:cs="Arial"/>
          <w:b/>
        </w:rPr>
      </w:pPr>
      <w:r w:rsidRPr="00845071">
        <w:rPr>
          <w:rFonts w:cs="Arial"/>
          <w:b/>
        </w:rPr>
        <w:t>Scoring regime</w:t>
      </w:r>
    </w:p>
    <w:p w14:paraId="240BABE4" w14:textId="4280E8C0" w:rsidR="00845071" w:rsidRPr="009C6C45" w:rsidRDefault="00845071" w:rsidP="00845071">
      <w:pPr>
        <w:pStyle w:val="ListBullet"/>
        <w:numPr>
          <w:ilvl w:val="0"/>
          <w:numId w:val="0"/>
        </w:numPr>
        <w:rPr>
          <w:rFonts w:cs="Arial"/>
        </w:rPr>
      </w:pPr>
      <w:r w:rsidRPr="00845071">
        <w:rPr>
          <w:rFonts w:cs="Arial"/>
        </w:rPr>
        <w:t xml:space="preserve">Applications must receive a </w:t>
      </w:r>
      <w:r w:rsidR="001E780A">
        <w:rPr>
          <w:rFonts w:cs="Arial"/>
        </w:rPr>
        <w:t xml:space="preserve">score of </w:t>
      </w:r>
      <w:r w:rsidR="001E780A" w:rsidRPr="00845071">
        <w:rPr>
          <w:rFonts w:cs="Arial"/>
        </w:rPr>
        <w:t xml:space="preserve">at least </w:t>
      </w:r>
      <w:r w:rsidR="0009580E">
        <w:rPr>
          <w:rFonts w:cs="Arial"/>
        </w:rPr>
        <w:t>three</w:t>
      </w:r>
      <w:r w:rsidR="001E780A">
        <w:rPr>
          <w:rFonts w:cs="Arial"/>
        </w:rPr>
        <w:t xml:space="preserve"> (Satisfactory)</w:t>
      </w:r>
      <w:r w:rsidRPr="00845071">
        <w:rPr>
          <w:rFonts w:cs="Arial"/>
        </w:rPr>
        <w:t xml:space="preserve"> for criterion</w:t>
      </w:r>
      <w:r w:rsidR="001E780A">
        <w:rPr>
          <w:rFonts w:cs="Arial"/>
        </w:rPr>
        <w:t xml:space="preserve"> </w:t>
      </w:r>
      <w:r w:rsidR="00E8292E">
        <w:rPr>
          <w:rFonts w:cs="Arial"/>
        </w:rPr>
        <w:t xml:space="preserve">one </w:t>
      </w:r>
      <w:r w:rsidR="001E780A">
        <w:rPr>
          <w:rFonts w:cs="Arial"/>
        </w:rPr>
        <w:t xml:space="preserve">in order to progress </w:t>
      </w:r>
      <w:r w:rsidR="00E8292E">
        <w:rPr>
          <w:rFonts w:cs="Arial"/>
        </w:rPr>
        <w:t xml:space="preserve">to further </w:t>
      </w:r>
      <w:r w:rsidR="001E780A">
        <w:rPr>
          <w:rFonts w:cs="Arial"/>
        </w:rPr>
        <w:t xml:space="preserve">assessment. </w:t>
      </w:r>
      <w:r w:rsidR="005001EC">
        <w:rPr>
          <w:rFonts w:cs="Arial"/>
        </w:rPr>
        <w:t xml:space="preserve">For example, if criterion </w:t>
      </w:r>
      <w:r w:rsidR="009E6FD9">
        <w:rPr>
          <w:rFonts w:cs="Arial"/>
        </w:rPr>
        <w:t xml:space="preserve">one </w:t>
      </w:r>
      <w:r w:rsidR="004A5E63">
        <w:rPr>
          <w:rFonts w:cs="Arial"/>
        </w:rPr>
        <w:t xml:space="preserve">scores </w:t>
      </w:r>
      <w:r w:rsidR="00E8292E">
        <w:rPr>
          <w:rFonts w:cs="Arial"/>
        </w:rPr>
        <w:t xml:space="preserve">two </w:t>
      </w:r>
      <w:r w:rsidR="005001EC">
        <w:rPr>
          <w:rFonts w:cs="Arial"/>
        </w:rPr>
        <w:t xml:space="preserve">or below, the remaining criterion </w:t>
      </w:r>
      <w:proofErr w:type="gramStart"/>
      <w:r w:rsidR="005001EC">
        <w:rPr>
          <w:rFonts w:cs="Arial"/>
        </w:rPr>
        <w:t>will not be assessed</w:t>
      </w:r>
      <w:proofErr w:type="gramEnd"/>
      <w:r w:rsidR="005001EC">
        <w:rPr>
          <w:rFonts w:cs="Arial"/>
        </w:rPr>
        <w:t xml:space="preserve">. </w:t>
      </w:r>
      <w:r w:rsidR="00E8292E">
        <w:rPr>
          <w:rFonts w:cs="Arial"/>
        </w:rPr>
        <w:t xml:space="preserve">Your application </w:t>
      </w:r>
      <w:proofErr w:type="gramStart"/>
      <w:r w:rsidR="00E8292E">
        <w:rPr>
          <w:rFonts w:cs="Arial"/>
        </w:rPr>
        <w:t>will be assessed</w:t>
      </w:r>
      <w:proofErr w:type="gramEnd"/>
      <w:r w:rsidR="00E8292E">
        <w:rPr>
          <w:rFonts w:cs="Arial"/>
        </w:rPr>
        <w:t xml:space="preserve"> using</w:t>
      </w:r>
      <w:r w:rsidR="00814E2A">
        <w:rPr>
          <w:rFonts w:cs="Arial"/>
        </w:rPr>
        <w:t xml:space="preserve"> the scoring regime in Table </w:t>
      </w:r>
      <w:r w:rsidR="001E780A">
        <w:rPr>
          <w:rFonts w:cs="Arial"/>
        </w:rPr>
        <w:t>1</w:t>
      </w:r>
      <w:r w:rsidR="00E8292E">
        <w:rPr>
          <w:rFonts w:cs="Arial"/>
        </w:rPr>
        <w:t>.</w:t>
      </w:r>
    </w:p>
    <w:p w14:paraId="6ECE1906" w14:textId="4F88324C" w:rsidR="00845071" w:rsidRDefault="00845071" w:rsidP="00845071">
      <w:pPr>
        <w:pStyle w:val="ListBullet"/>
        <w:numPr>
          <w:ilvl w:val="0"/>
          <w:numId w:val="0"/>
        </w:numPr>
        <w:rPr>
          <w:rFonts w:cs="Arial"/>
        </w:rPr>
      </w:pPr>
      <w:r w:rsidRPr="00845071">
        <w:rPr>
          <w:rFonts w:cs="Arial"/>
        </w:rPr>
        <w:t xml:space="preserve">There is no direct correlation between </w:t>
      </w:r>
      <w:r w:rsidR="00E8292E">
        <w:rPr>
          <w:rFonts w:cs="Arial"/>
        </w:rPr>
        <w:t>the</w:t>
      </w:r>
      <w:r w:rsidRPr="00845071">
        <w:rPr>
          <w:rFonts w:cs="Arial"/>
        </w:rPr>
        <w:t xml:space="preserve"> score and the amount of funding that </w:t>
      </w:r>
      <w:r w:rsidR="00C35D30">
        <w:rPr>
          <w:rFonts w:cs="Arial"/>
        </w:rPr>
        <w:t>is recommended</w:t>
      </w:r>
      <w:r w:rsidRPr="00845071">
        <w:rPr>
          <w:rFonts w:cs="Arial"/>
        </w:rPr>
        <w:t xml:space="preserve"> be awarded for a project. The amount of funding will be dependent on factors such as the availability of ATMAC program funds and the amount sought in the application. As such, a project with a higher score than a similar project considered </w:t>
      </w:r>
      <w:r w:rsidR="00C35D30">
        <w:rPr>
          <w:rFonts w:cs="Arial"/>
        </w:rPr>
        <w:t>for the grant opportunity</w:t>
      </w:r>
      <w:r w:rsidRPr="00845071">
        <w:rPr>
          <w:rFonts w:cs="Arial"/>
        </w:rPr>
        <w:t xml:space="preserve"> </w:t>
      </w:r>
      <w:proofErr w:type="gramStart"/>
      <w:r w:rsidRPr="00845071">
        <w:rPr>
          <w:rFonts w:cs="Arial"/>
        </w:rPr>
        <w:t>may be offered</w:t>
      </w:r>
      <w:proofErr w:type="gramEnd"/>
      <w:r w:rsidR="00505AEA">
        <w:rPr>
          <w:rFonts w:cs="Arial"/>
        </w:rPr>
        <w:t xml:space="preserve"> a lesser amount or no funding.</w:t>
      </w:r>
    </w:p>
    <w:p w14:paraId="3CD46425" w14:textId="77777777" w:rsidR="001E780A" w:rsidRDefault="001E780A" w:rsidP="00845071">
      <w:pPr>
        <w:pStyle w:val="ListBullet"/>
        <w:numPr>
          <w:ilvl w:val="0"/>
          <w:numId w:val="0"/>
        </w:numPr>
        <w:rPr>
          <w:rFonts w:cs="Arial"/>
        </w:rPr>
      </w:pPr>
    </w:p>
    <w:p w14:paraId="47810CC9" w14:textId="2AB57071" w:rsidR="001E780A" w:rsidRPr="002A66DD" w:rsidRDefault="001E780A" w:rsidP="001E780A">
      <w:pPr>
        <w:rPr>
          <w:rFonts w:cs="Arial"/>
          <w:b/>
        </w:rPr>
      </w:pPr>
      <w:r>
        <w:rPr>
          <w:rFonts w:cs="Arial"/>
          <w:b/>
        </w:rPr>
        <w:t xml:space="preserve">Table </w:t>
      </w:r>
      <w:proofErr w:type="gramStart"/>
      <w:r>
        <w:rPr>
          <w:rFonts w:cs="Arial"/>
          <w:b/>
        </w:rPr>
        <w:t>1</w:t>
      </w:r>
      <w:proofErr w:type="gramEnd"/>
      <w:r>
        <w:rPr>
          <w:rFonts w:cs="Arial"/>
          <w:b/>
        </w:rPr>
        <w:t xml:space="preserve"> Scoring regime to be used for assessment</w:t>
      </w:r>
    </w:p>
    <w:p w14:paraId="10B8A1F0" w14:textId="41BB926C" w:rsidR="001E780A" w:rsidRDefault="008E74E9" w:rsidP="00845071">
      <w:pPr>
        <w:pStyle w:val="ListBullet"/>
        <w:numPr>
          <w:ilvl w:val="0"/>
          <w:numId w:val="0"/>
        </w:numPr>
        <w:rPr>
          <w:rFonts w:cs="Arial"/>
        </w:rPr>
      </w:pPr>
      <w:r>
        <w:rPr>
          <w:rFonts w:cs="Arial"/>
        </w:rPr>
        <w:t>Your application will be scored based on how well it meets each of the assessment criteria using the following matrix:</w:t>
      </w:r>
    </w:p>
    <w:p w14:paraId="46DDB027" w14:textId="77777777" w:rsidR="008E74E9" w:rsidRDefault="008E74E9" w:rsidP="00845071">
      <w:pPr>
        <w:pStyle w:val="ListBullet"/>
        <w:numPr>
          <w:ilvl w:val="0"/>
          <w:numId w:val="0"/>
        </w:numPr>
        <w:rPr>
          <w:rFonts w:cs="Arial"/>
        </w:rPr>
      </w:pPr>
    </w:p>
    <w:tbl>
      <w:tblPr>
        <w:tblStyle w:val="PlainTable21"/>
        <w:tblW w:w="9356" w:type="dxa"/>
        <w:tblInd w:w="0" w:type="dxa"/>
        <w:tblLayout w:type="fixed"/>
        <w:tblLook w:val="04A0" w:firstRow="1" w:lastRow="0" w:firstColumn="1" w:lastColumn="0" w:noHBand="0" w:noVBand="1"/>
        <w:tblCaption w:val="Table 1: Scoring regime to be used for assessment"/>
      </w:tblPr>
      <w:tblGrid>
        <w:gridCol w:w="945"/>
        <w:gridCol w:w="2032"/>
        <w:gridCol w:w="6379"/>
      </w:tblGrid>
      <w:tr w:rsidR="008E74E9" w14:paraId="276D88DC" w14:textId="77777777" w:rsidTr="00E728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Borders>
              <w:top w:val="single" w:sz="4" w:space="0" w:color="7F7F7F" w:themeColor="text1" w:themeTint="80"/>
              <w:left w:val="nil"/>
              <w:right w:val="nil"/>
            </w:tcBorders>
            <w:hideMark/>
          </w:tcPr>
          <w:p w14:paraId="47502845" w14:textId="77777777" w:rsidR="008E74E9" w:rsidRDefault="008E74E9" w:rsidP="00F82635">
            <w:pPr>
              <w:tabs>
                <w:tab w:val="left" w:pos="3675"/>
              </w:tabs>
              <w:spacing w:before="60"/>
              <w:jc w:val="center"/>
              <w:rPr>
                <w:rFonts w:ascii="Arial" w:hAnsi="Arial" w:cs="Arial"/>
                <w:b/>
                <w:bCs w:val="0"/>
                <w:spacing w:val="5"/>
                <w:sz w:val="20"/>
                <w:szCs w:val="20"/>
              </w:rPr>
            </w:pPr>
            <w:r>
              <w:rPr>
                <w:rFonts w:ascii="Arial" w:hAnsi="Arial" w:cs="Arial"/>
                <w:b/>
                <w:sz w:val="20"/>
                <w:szCs w:val="20"/>
              </w:rPr>
              <w:t>Score</w:t>
            </w:r>
          </w:p>
        </w:tc>
        <w:tc>
          <w:tcPr>
            <w:tcW w:w="2032" w:type="dxa"/>
            <w:tcBorders>
              <w:top w:val="single" w:sz="4" w:space="0" w:color="7F7F7F" w:themeColor="text1" w:themeTint="80"/>
              <w:left w:val="nil"/>
              <w:right w:val="nil"/>
            </w:tcBorders>
            <w:hideMark/>
          </w:tcPr>
          <w:p w14:paraId="6925B648" w14:textId="77777777" w:rsidR="008E74E9" w:rsidRDefault="008E74E9" w:rsidP="00F82635">
            <w:pPr>
              <w:tabs>
                <w:tab w:val="left" w:pos="3675"/>
              </w:tabs>
              <w:spacing w:before="60"/>
              <w:ind w:left="57"/>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Pr>
                <w:rFonts w:ascii="Arial" w:hAnsi="Arial" w:cs="Arial"/>
                <w:b/>
                <w:sz w:val="20"/>
                <w:szCs w:val="20"/>
              </w:rPr>
              <w:t>Quality rating</w:t>
            </w:r>
          </w:p>
        </w:tc>
        <w:tc>
          <w:tcPr>
            <w:tcW w:w="6379" w:type="dxa"/>
            <w:tcBorders>
              <w:top w:val="single" w:sz="4" w:space="0" w:color="7F7F7F" w:themeColor="text1" w:themeTint="80"/>
              <w:left w:val="nil"/>
              <w:right w:val="nil"/>
            </w:tcBorders>
            <w:hideMark/>
          </w:tcPr>
          <w:p w14:paraId="66CED27A" w14:textId="77777777" w:rsidR="008E74E9" w:rsidRDefault="008E74E9" w:rsidP="00F82635">
            <w:pPr>
              <w:tabs>
                <w:tab w:val="left" w:pos="3675"/>
              </w:tabs>
              <w:spacing w:before="60"/>
              <w:ind w:left="57"/>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Pr>
                <w:rFonts w:ascii="Arial" w:hAnsi="Arial" w:cs="Arial"/>
                <w:b/>
                <w:sz w:val="20"/>
                <w:szCs w:val="20"/>
              </w:rPr>
              <w:t>Rating description</w:t>
            </w:r>
          </w:p>
        </w:tc>
      </w:tr>
      <w:tr w:rsidR="008E74E9" w14:paraId="3370517F" w14:textId="77777777" w:rsidTr="008E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Borders>
              <w:left w:val="nil"/>
              <w:right w:val="nil"/>
            </w:tcBorders>
            <w:hideMark/>
          </w:tcPr>
          <w:p w14:paraId="30282109" w14:textId="77777777" w:rsidR="008E74E9" w:rsidRDefault="008E74E9" w:rsidP="00F82635">
            <w:pPr>
              <w:spacing w:before="60" w:line="276" w:lineRule="auto"/>
              <w:jc w:val="center"/>
              <w:rPr>
                <w:rFonts w:ascii="Arial" w:hAnsi="Arial" w:cs="Arial"/>
                <w:bCs w:val="0"/>
                <w:sz w:val="20"/>
                <w:szCs w:val="20"/>
              </w:rPr>
            </w:pPr>
            <w:r>
              <w:rPr>
                <w:rFonts w:ascii="Arial" w:hAnsi="Arial" w:cs="Arial"/>
                <w:sz w:val="20"/>
                <w:szCs w:val="20"/>
              </w:rPr>
              <w:t>0</w:t>
            </w:r>
          </w:p>
        </w:tc>
        <w:tc>
          <w:tcPr>
            <w:tcW w:w="2032" w:type="dxa"/>
            <w:tcBorders>
              <w:left w:val="nil"/>
              <w:right w:val="nil"/>
            </w:tcBorders>
            <w:hideMark/>
          </w:tcPr>
          <w:p w14:paraId="0E882A31" w14:textId="77777777" w:rsidR="008E74E9" w:rsidRDefault="008E74E9" w:rsidP="00F82635">
            <w:pPr>
              <w:spacing w:before="60" w:line="276"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Pr>
                <w:rFonts w:ascii="Arial" w:hAnsi="Arial" w:cs="Arial"/>
                <w:sz w:val="20"/>
                <w:szCs w:val="20"/>
              </w:rPr>
              <w:t>Does not address criterion</w:t>
            </w:r>
          </w:p>
        </w:tc>
        <w:tc>
          <w:tcPr>
            <w:tcW w:w="6379" w:type="dxa"/>
            <w:tcBorders>
              <w:left w:val="nil"/>
              <w:right w:val="nil"/>
            </w:tcBorders>
            <w:hideMark/>
          </w:tcPr>
          <w:p w14:paraId="18C75E10" w14:textId="77777777" w:rsidR="008E74E9" w:rsidRDefault="008E74E9" w:rsidP="00F82635">
            <w:pPr>
              <w:spacing w:before="60" w:line="240"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Pr>
                <w:rFonts w:ascii="Arial" w:hAnsi="Arial" w:cs="Arial"/>
                <w:sz w:val="20"/>
                <w:szCs w:val="20"/>
              </w:rPr>
              <w:t xml:space="preserve">The applicant has provided </w:t>
            </w:r>
            <w:r>
              <w:rPr>
                <w:rFonts w:ascii="Arial" w:hAnsi="Arial" w:cs="Arial"/>
                <w:b/>
                <w:sz w:val="20"/>
                <w:szCs w:val="20"/>
              </w:rPr>
              <w:t>no</w:t>
            </w:r>
            <w:r>
              <w:rPr>
                <w:rFonts w:ascii="Arial" w:hAnsi="Arial" w:cs="Arial"/>
                <w:sz w:val="20"/>
                <w:szCs w:val="20"/>
              </w:rPr>
              <w:t xml:space="preserve"> relevant response to the criterion.</w:t>
            </w:r>
          </w:p>
        </w:tc>
      </w:tr>
      <w:tr w:rsidR="008E74E9" w14:paraId="115B2EDB" w14:textId="77777777" w:rsidTr="008E74E9">
        <w:tc>
          <w:tcPr>
            <w:cnfStyle w:val="001000000000" w:firstRow="0" w:lastRow="0" w:firstColumn="1" w:lastColumn="0" w:oddVBand="0" w:evenVBand="0" w:oddHBand="0" w:evenHBand="0" w:firstRowFirstColumn="0" w:firstRowLastColumn="0" w:lastRowFirstColumn="0" w:lastRowLastColumn="0"/>
            <w:tcW w:w="945" w:type="dxa"/>
            <w:tcBorders>
              <w:top w:val="nil"/>
              <w:left w:val="nil"/>
              <w:bottom w:val="nil"/>
              <w:right w:val="nil"/>
            </w:tcBorders>
            <w:hideMark/>
          </w:tcPr>
          <w:p w14:paraId="76F34C20" w14:textId="77777777" w:rsidR="008E74E9" w:rsidRDefault="008E74E9" w:rsidP="00F82635">
            <w:pPr>
              <w:spacing w:before="60" w:line="276" w:lineRule="auto"/>
              <w:jc w:val="center"/>
              <w:rPr>
                <w:rFonts w:ascii="Arial" w:hAnsi="Arial" w:cs="Arial"/>
                <w:bCs w:val="0"/>
                <w:sz w:val="20"/>
                <w:szCs w:val="20"/>
              </w:rPr>
            </w:pPr>
            <w:r>
              <w:rPr>
                <w:rFonts w:ascii="Arial" w:hAnsi="Arial" w:cs="Arial"/>
                <w:sz w:val="20"/>
                <w:szCs w:val="20"/>
              </w:rPr>
              <w:t>1</w:t>
            </w:r>
          </w:p>
        </w:tc>
        <w:tc>
          <w:tcPr>
            <w:tcW w:w="2032" w:type="dxa"/>
            <w:tcBorders>
              <w:top w:val="nil"/>
              <w:left w:val="nil"/>
              <w:bottom w:val="nil"/>
              <w:right w:val="nil"/>
            </w:tcBorders>
            <w:hideMark/>
          </w:tcPr>
          <w:p w14:paraId="6EBC6367" w14:textId="77777777" w:rsidR="008E74E9" w:rsidRDefault="008E74E9" w:rsidP="00F82635">
            <w:pPr>
              <w:spacing w:before="60" w:line="276"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Pr>
                <w:rFonts w:ascii="Arial" w:hAnsi="Arial" w:cs="Arial"/>
                <w:sz w:val="20"/>
                <w:szCs w:val="20"/>
              </w:rPr>
              <w:t>Very Poor</w:t>
            </w:r>
          </w:p>
        </w:tc>
        <w:tc>
          <w:tcPr>
            <w:tcW w:w="6379" w:type="dxa"/>
            <w:tcBorders>
              <w:top w:val="nil"/>
              <w:left w:val="nil"/>
              <w:bottom w:val="nil"/>
              <w:right w:val="nil"/>
            </w:tcBorders>
            <w:hideMark/>
          </w:tcPr>
          <w:p w14:paraId="4C3E6951" w14:textId="77777777" w:rsidR="008E74E9" w:rsidRDefault="008E74E9" w:rsidP="00F82635">
            <w:pPr>
              <w:spacing w:before="60" w:line="240"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Pr>
                <w:rFonts w:ascii="Arial" w:hAnsi="Arial" w:cs="Arial"/>
                <w:sz w:val="20"/>
                <w:szCs w:val="20"/>
              </w:rPr>
              <w:t xml:space="preserve">The applicant has provided a </w:t>
            </w:r>
            <w:r>
              <w:rPr>
                <w:rFonts w:ascii="Arial" w:hAnsi="Arial" w:cs="Arial"/>
                <w:b/>
                <w:sz w:val="20"/>
                <w:szCs w:val="20"/>
              </w:rPr>
              <w:t>very poor</w:t>
            </w:r>
            <w:r>
              <w:rPr>
                <w:rFonts w:ascii="Arial" w:hAnsi="Arial" w:cs="Arial"/>
                <w:sz w:val="20"/>
                <w:szCs w:val="20"/>
              </w:rPr>
              <w:t xml:space="preserve"> response to the criterion.</w:t>
            </w:r>
          </w:p>
        </w:tc>
      </w:tr>
      <w:tr w:rsidR="008E74E9" w14:paraId="1A94DA14" w14:textId="77777777" w:rsidTr="008E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Borders>
              <w:left w:val="nil"/>
              <w:right w:val="nil"/>
            </w:tcBorders>
            <w:hideMark/>
          </w:tcPr>
          <w:p w14:paraId="722146A5" w14:textId="77777777" w:rsidR="008E74E9" w:rsidRDefault="008E74E9" w:rsidP="00F82635">
            <w:pPr>
              <w:spacing w:before="60" w:line="276" w:lineRule="auto"/>
              <w:jc w:val="center"/>
              <w:rPr>
                <w:rFonts w:ascii="Arial" w:hAnsi="Arial" w:cs="Arial"/>
                <w:bCs w:val="0"/>
                <w:sz w:val="20"/>
                <w:szCs w:val="20"/>
              </w:rPr>
            </w:pPr>
            <w:r>
              <w:rPr>
                <w:rFonts w:ascii="Arial" w:hAnsi="Arial" w:cs="Arial"/>
                <w:sz w:val="20"/>
                <w:szCs w:val="20"/>
              </w:rPr>
              <w:t>2</w:t>
            </w:r>
          </w:p>
        </w:tc>
        <w:tc>
          <w:tcPr>
            <w:tcW w:w="2032" w:type="dxa"/>
            <w:tcBorders>
              <w:left w:val="nil"/>
              <w:right w:val="nil"/>
            </w:tcBorders>
            <w:hideMark/>
          </w:tcPr>
          <w:p w14:paraId="01A025E6" w14:textId="77777777" w:rsidR="008E74E9" w:rsidRDefault="008E74E9" w:rsidP="00F82635">
            <w:pPr>
              <w:spacing w:before="60" w:line="276"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Pr>
                <w:rFonts w:ascii="Arial" w:hAnsi="Arial" w:cs="Arial"/>
                <w:sz w:val="20"/>
                <w:szCs w:val="20"/>
              </w:rPr>
              <w:t>Poor</w:t>
            </w:r>
          </w:p>
        </w:tc>
        <w:tc>
          <w:tcPr>
            <w:tcW w:w="6379" w:type="dxa"/>
            <w:tcBorders>
              <w:left w:val="nil"/>
              <w:right w:val="nil"/>
            </w:tcBorders>
            <w:hideMark/>
          </w:tcPr>
          <w:p w14:paraId="77DAA911" w14:textId="77777777" w:rsidR="008E74E9" w:rsidRDefault="008E74E9" w:rsidP="00F82635">
            <w:pPr>
              <w:spacing w:before="60" w:line="240"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Pr>
                <w:rFonts w:ascii="Arial" w:hAnsi="Arial" w:cs="Arial"/>
                <w:sz w:val="20"/>
                <w:szCs w:val="20"/>
              </w:rPr>
              <w:t xml:space="preserve">The applicant has provided a </w:t>
            </w:r>
            <w:r>
              <w:rPr>
                <w:rFonts w:ascii="Arial" w:hAnsi="Arial" w:cs="Arial"/>
                <w:b/>
                <w:sz w:val="20"/>
                <w:szCs w:val="20"/>
              </w:rPr>
              <w:t>poor</w:t>
            </w:r>
            <w:r>
              <w:rPr>
                <w:rFonts w:ascii="Arial" w:hAnsi="Arial" w:cs="Arial"/>
                <w:sz w:val="20"/>
                <w:szCs w:val="20"/>
              </w:rPr>
              <w:t xml:space="preserve"> response to the criterion.</w:t>
            </w:r>
          </w:p>
        </w:tc>
      </w:tr>
      <w:tr w:rsidR="008E74E9" w14:paraId="242E015C" w14:textId="77777777" w:rsidTr="008E74E9">
        <w:tc>
          <w:tcPr>
            <w:cnfStyle w:val="001000000000" w:firstRow="0" w:lastRow="0" w:firstColumn="1" w:lastColumn="0" w:oddVBand="0" w:evenVBand="0" w:oddHBand="0" w:evenHBand="0" w:firstRowFirstColumn="0" w:firstRowLastColumn="0" w:lastRowFirstColumn="0" w:lastRowLastColumn="0"/>
            <w:tcW w:w="945" w:type="dxa"/>
            <w:tcBorders>
              <w:top w:val="nil"/>
              <w:left w:val="nil"/>
              <w:bottom w:val="nil"/>
              <w:right w:val="nil"/>
            </w:tcBorders>
            <w:hideMark/>
          </w:tcPr>
          <w:p w14:paraId="5B7EFBAB" w14:textId="77777777" w:rsidR="008E74E9" w:rsidRDefault="008E74E9" w:rsidP="00F82635">
            <w:pPr>
              <w:spacing w:before="60" w:line="276" w:lineRule="auto"/>
              <w:jc w:val="center"/>
              <w:rPr>
                <w:rFonts w:ascii="Arial" w:hAnsi="Arial" w:cs="Arial"/>
                <w:bCs w:val="0"/>
                <w:sz w:val="20"/>
                <w:szCs w:val="20"/>
              </w:rPr>
            </w:pPr>
            <w:r>
              <w:rPr>
                <w:rFonts w:ascii="Arial" w:hAnsi="Arial" w:cs="Arial"/>
                <w:sz w:val="20"/>
                <w:szCs w:val="20"/>
              </w:rPr>
              <w:t>3</w:t>
            </w:r>
          </w:p>
        </w:tc>
        <w:tc>
          <w:tcPr>
            <w:tcW w:w="2032" w:type="dxa"/>
            <w:tcBorders>
              <w:top w:val="nil"/>
              <w:left w:val="nil"/>
              <w:bottom w:val="nil"/>
              <w:right w:val="nil"/>
            </w:tcBorders>
            <w:hideMark/>
          </w:tcPr>
          <w:p w14:paraId="3189B71F" w14:textId="77777777" w:rsidR="008E74E9" w:rsidRDefault="008E74E9" w:rsidP="00F82635">
            <w:pPr>
              <w:spacing w:before="60" w:line="276"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Pr>
                <w:rFonts w:ascii="Arial" w:hAnsi="Arial" w:cs="Arial"/>
                <w:sz w:val="20"/>
                <w:szCs w:val="20"/>
              </w:rPr>
              <w:t>Satisfactory</w:t>
            </w:r>
          </w:p>
        </w:tc>
        <w:tc>
          <w:tcPr>
            <w:tcW w:w="6379" w:type="dxa"/>
            <w:tcBorders>
              <w:top w:val="nil"/>
              <w:left w:val="nil"/>
              <w:bottom w:val="nil"/>
              <w:right w:val="nil"/>
            </w:tcBorders>
            <w:hideMark/>
          </w:tcPr>
          <w:p w14:paraId="0B42FE9A" w14:textId="77777777" w:rsidR="008E74E9" w:rsidRDefault="008E74E9" w:rsidP="00F82635">
            <w:pPr>
              <w:spacing w:before="60" w:line="240"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Pr>
                <w:rFonts w:ascii="Arial" w:hAnsi="Arial" w:cs="Arial"/>
                <w:sz w:val="20"/>
                <w:szCs w:val="20"/>
              </w:rPr>
              <w:t xml:space="preserve">The applicant has provided a </w:t>
            </w:r>
            <w:r>
              <w:rPr>
                <w:rFonts w:ascii="Arial" w:hAnsi="Arial" w:cs="Arial"/>
                <w:b/>
                <w:sz w:val="20"/>
                <w:szCs w:val="20"/>
              </w:rPr>
              <w:t>satisfactory</w:t>
            </w:r>
            <w:r>
              <w:rPr>
                <w:rFonts w:ascii="Arial" w:hAnsi="Arial" w:cs="Arial"/>
                <w:sz w:val="20"/>
                <w:szCs w:val="20"/>
              </w:rPr>
              <w:t xml:space="preserve"> response to the criterion.</w:t>
            </w:r>
          </w:p>
        </w:tc>
      </w:tr>
      <w:tr w:rsidR="008E74E9" w14:paraId="09AC4578" w14:textId="77777777" w:rsidTr="008E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Borders>
              <w:left w:val="nil"/>
              <w:right w:val="nil"/>
            </w:tcBorders>
            <w:hideMark/>
          </w:tcPr>
          <w:p w14:paraId="13F6EEBB" w14:textId="77777777" w:rsidR="008E74E9" w:rsidRDefault="008E74E9" w:rsidP="00F82635">
            <w:pPr>
              <w:spacing w:before="60" w:line="276" w:lineRule="auto"/>
              <w:jc w:val="center"/>
              <w:rPr>
                <w:rFonts w:ascii="Arial" w:hAnsi="Arial" w:cs="Arial"/>
                <w:bCs w:val="0"/>
                <w:sz w:val="20"/>
                <w:szCs w:val="20"/>
              </w:rPr>
            </w:pPr>
            <w:r>
              <w:rPr>
                <w:rFonts w:ascii="Arial" w:hAnsi="Arial" w:cs="Arial"/>
                <w:sz w:val="20"/>
                <w:szCs w:val="20"/>
              </w:rPr>
              <w:t>4</w:t>
            </w:r>
          </w:p>
        </w:tc>
        <w:tc>
          <w:tcPr>
            <w:tcW w:w="2032" w:type="dxa"/>
            <w:tcBorders>
              <w:left w:val="nil"/>
              <w:right w:val="nil"/>
            </w:tcBorders>
            <w:hideMark/>
          </w:tcPr>
          <w:p w14:paraId="03313A47" w14:textId="77777777" w:rsidR="008E74E9" w:rsidRDefault="008E74E9" w:rsidP="00F82635">
            <w:pPr>
              <w:spacing w:before="60" w:line="276"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Good</w:t>
            </w:r>
          </w:p>
        </w:tc>
        <w:tc>
          <w:tcPr>
            <w:tcW w:w="6379" w:type="dxa"/>
            <w:tcBorders>
              <w:left w:val="nil"/>
              <w:right w:val="nil"/>
            </w:tcBorders>
            <w:hideMark/>
          </w:tcPr>
          <w:p w14:paraId="12956E11" w14:textId="77777777" w:rsidR="008E74E9" w:rsidRDefault="008E74E9" w:rsidP="00F82635">
            <w:pPr>
              <w:spacing w:before="60" w:line="240"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Pr>
                <w:rFonts w:ascii="Arial" w:hAnsi="Arial" w:cs="Arial"/>
                <w:sz w:val="20"/>
                <w:szCs w:val="20"/>
              </w:rPr>
              <w:t xml:space="preserve">The applicant has provided a </w:t>
            </w:r>
            <w:r>
              <w:rPr>
                <w:rFonts w:ascii="Arial" w:hAnsi="Arial" w:cs="Arial"/>
                <w:b/>
                <w:sz w:val="20"/>
                <w:szCs w:val="20"/>
              </w:rPr>
              <w:t>good</w:t>
            </w:r>
            <w:r>
              <w:rPr>
                <w:rFonts w:ascii="Arial" w:hAnsi="Arial" w:cs="Arial"/>
                <w:sz w:val="20"/>
                <w:szCs w:val="20"/>
              </w:rPr>
              <w:t xml:space="preserve"> response to the criterion.</w:t>
            </w:r>
          </w:p>
        </w:tc>
      </w:tr>
      <w:tr w:rsidR="008E74E9" w14:paraId="6AF7FE25" w14:textId="77777777" w:rsidTr="008E74E9">
        <w:tc>
          <w:tcPr>
            <w:cnfStyle w:val="001000000000" w:firstRow="0" w:lastRow="0" w:firstColumn="1" w:lastColumn="0" w:oddVBand="0" w:evenVBand="0" w:oddHBand="0" w:evenHBand="0" w:firstRowFirstColumn="0" w:firstRowLastColumn="0" w:lastRowFirstColumn="0" w:lastRowLastColumn="0"/>
            <w:tcW w:w="945" w:type="dxa"/>
            <w:tcBorders>
              <w:top w:val="nil"/>
              <w:left w:val="nil"/>
              <w:bottom w:val="single" w:sz="4" w:space="0" w:color="7F7F7F" w:themeColor="text1" w:themeTint="80"/>
              <w:right w:val="nil"/>
            </w:tcBorders>
            <w:hideMark/>
          </w:tcPr>
          <w:p w14:paraId="30F1B50E" w14:textId="77777777" w:rsidR="008E74E9" w:rsidRDefault="008E74E9" w:rsidP="00F82635">
            <w:pPr>
              <w:spacing w:before="60" w:line="276" w:lineRule="auto"/>
              <w:jc w:val="center"/>
              <w:rPr>
                <w:rFonts w:ascii="Arial" w:hAnsi="Arial" w:cs="Arial"/>
                <w:bCs w:val="0"/>
                <w:sz w:val="20"/>
                <w:szCs w:val="20"/>
              </w:rPr>
            </w:pPr>
            <w:r>
              <w:rPr>
                <w:rFonts w:ascii="Arial" w:hAnsi="Arial" w:cs="Arial"/>
                <w:sz w:val="20"/>
                <w:szCs w:val="20"/>
              </w:rPr>
              <w:t>5</w:t>
            </w:r>
          </w:p>
        </w:tc>
        <w:tc>
          <w:tcPr>
            <w:tcW w:w="2032" w:type="dxa"/>
            <w:tcBorders>
              <w:top w:val="nil"/>
              <w:left w:val="nil"/>
              <w:bottom w:val="single" w:sz="4" w:space="0" w:color="7F7F7F" w:themeColor="text1" w:themeTint="80"/>
              <w:right w:val="nil"/>
            </w:tcBorders>
            <w:hideMark/>
          </w:tcPr>
          <w:p w14:paraId="43BBB739" w14:textId="77777777" w:rsidR="008E74E9" w:rsidRDefault="008E74E9" w:rsidP="00F82635">
            <w:pPr>
              <w:spacing w:before="60" w:line="276"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Excellent</w:t>
            </w:r>
          </w:p>
        </w:tc>
        <w:tc>
          <w:tcPr>
            <w:tcW w:w="6379" w:type="dxa"/>
            <w:tcBorders>
              <w:top w:val="nil"/>
              <w:left w:val="nil"/>
              <w:bottom w:val="single" w:sz="4" w:space="0" w:color="7F7F7F" w:themeColor="text1" w:themeTint="80"/>
              <w:right w:val="nil"/>
            </w:tcBorders>
            <w:hideMark/>
          </w:tcPr>
          <w:p w14:paraId="1370D715" w14:textId="77777777" w:rsidR="008E74E9" w:rsidRDefault="008E74E9" w:rsidP="00F82635">
            <w:pPr>
              <w:spacing w:before="60" w:line="240"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Pr>
                <w:rFonts w:ascii="Arial" w:hAnsi="Arial" w:cs="Arial"/>
                <w:sz w:val="20"/>
                <w:szCs w:val="20"/>
              </w:rPr>
              <w:t xml:space="preserve">The applicant has provided an </w:t>
            </w:r>
            <w:r>
              <w:rPr>
                <w:rFonts w:ascii="Arial" w:hAnsi="Arial" w:cs="Arial"/>
                <w:b/>
                <w:sz w:val="20"/>
                <w:szCs w:val="20"/>
              </w:rPr>
              <w:t>excellent</w:t>
            </w:r>
            <w:r>
              <w:rPr>
                <w:rFonts w:ascii="Arial" w:hAnsi="Arial" w:cs="Arial"/>
                <w:sz w:val="20"/>
                <w:szCs w:val="20"/>
              </w:rPr>
              <w:t xml:space="preserve"> response to the criterion.</w:t>
            </w:r>
          </w:p>
        </w:tc>
      </w:tr>
    </w:tbl>
    <w:p w14:paraId="73A2FB28" w14:textId="77777777" w:rsidR="00845071" w:rsidRDefault="00845071" w:rsidP="00845071">
      <w:pPr>
        <w:pStyle w:val="ListBullet"/>
        <w:numPr>
          <w:ilvl w:val="0"/>
          <w:numId w:val="0"/>
        </w:numPr>
        <w:rPr>
          <w:rFonts w:cs="Arial"/>
        </w:rPr>
      </w:pPr>
    </w:p>
    <w:p w14:paraId="4E8A10A9" w14:textId="77777777" w:rsidR="00845071" w:rsidRPr="00845071" w:rsidRDefault="00845071" w:rsidP="00845071">
      <w:pPr>
        <w:pStyle w:val="ListBullet"/>
        <w:numPr>
          <w:ilvl w:val="0"/>
          <w:numId w:val="0"/>
        </w:numPr>
        <w:rPr>
          <w:rFonts w:cs="Arial"/>
          <w:b/>
        </w:rPr>
      </w:pPr>
      <w:r w:rsidRPr="00845071">
        <w:rPr>
          <w:rFonts w:cs="Arial"/>
          <w:b/>
        </w:rPr>
        <w:t>Other assessment considerations</w:t>
      </w:r>
    </w:p>
    <w:p w14:paraId="21AE0939" w14:textId="58B06BCF" w:rsidR="00845071" w:rsidRPr="00845071" w:rsidRDefault="00B1705C" w:rsidP="00845071">
      <w:pPr>
        <w:pStyle w:val="ListBullet"/>
        <w:numPr>
          <w:ilvl w:val="0"/>
          <w:numId w:val="0"/>
        </w:numPr>
        <w:rPr>
          <w:rFonts w:cs="Arial"/>
        </w:rPr>
      </w:pPr>
      <w:r>
        <w:rPr>
          <w:rFonts w:cs="Arial"/>
        </w:rPr>
        <w:t>Applications that score a three o</w:t>
      </w:r>
      <w:r w:rsidR="00935622">
        <w:rPr>
          <w:rFonts w:cs="Arial"/>
        </w:rPr>
        <w:t>r</w:t>
      </w:r>
      <w:r>
        <w:rPr>
          <w:rFonts w:cs="Arial"/>
        </w:rPr>
        <w:t xml:space="preserve"> above for criterion one, are then assessed against the remaining criterion and </w:t>
      </w:r>
      <w:r w:rsidR="0097457E">
        <w:rPr>
          <w:rFonts w:cs="Arial"/>
        </w:rPr>
        <w:t>the following</w:t>
      </w:r>
      <w:r>
        <w:rPr>
          <w:rFonts w:cs="Arial"/>
        </w:rPr>
        <w:t xml:space="preserve"> assessment considerations. At this</w:t>
      </w:r>
      <w:r w:rsidR="008F6748">
        <w:rPr>
          <w:rFonts w:cs="Arial"/>
        </w:rPr>
        <w:t xml:space="preserve"> stage, the applications will be assessed in the</w:t>
      </w:r>
      <w:r w:rsidR="00845071" w:rsidRPr="00845071">
        <w:rPr>
          <w:rFonts w:cs="Arial"/>
        </w:rPr>
        <w:t xml:space="preserve"> context of all applications for funding under the ATMAC program, </w:t>
      </w:r>
      <w:r w:rsidR="004A5E63">
        <w:rPr>
          <w:rFonts w:cs="Arial"/>
        </w:rPr>
        <w:t>with the aim of ensuring</w:t>
      </w:r>
      <w:r w:rsidR="00845071" w:rsidRPr="00845071">
        <w:rPr>
          <w:rFonts w:cs="Arial"/>
        </w:rPr>
        <w:t xml:space="preserve"> the program achieves a </w:t>
      </w:r>
      <w:r w:rsidR="00543508">
        <w:rPr>
          <w:rFonts w:cs="Arial"/>
        </w:rPr>
        <w:t>relatively even distribution across</w:t>
      </w:r>
      <w:r w:rsidR="00845071" w:rsidRPr="00845071">
        <w:rPr>
          <w:rFonts w:cs="Arial"/>
        </w:rPr>
        <w:t>:</w:t>
      </w:r>
    </w:p>
    <w:p w14:paraId="2CA4A3C7" w14:textId="0324CB61" w:rsidR="00845071" w:rsidRPr="00845071" w:rsidRDefault="00845071" w:rsidP="00845071">
      <w:pPr>
        <w:pStyle w:val="ListBullet"/>
        <w:numPr>
          <w:ilvl w:val="0"/>
          <w:numId w:val="7"/>
        </w:numPr>
        <w:rPr>
          <w:rFonts w:cs="Arial"/>
        </w:rPr>
      </w:pPr>
      <w:r w:rsidRPr="00845071">
        <w:rPr>
          <w:rFonts w:cs="Arial"/>
        </w:rPr>
        <w:t>funding priorities</w:t>
      </w:r>
    </w:p>
    <w:p w14:paraId="695A5884" w14:textId="77777777" w:rsidR="00543508" w:rsidRDefault="00543508" w:rsidP="00845071">
      <w:pPr>
        <w:pStyle w:val="ListBullet"/>
        <w:numPr>
          <w:ilvl w:val="0"/>
          <w:numId w:val="7"/>
        </w:numPr>
        <w:rPr>
          <w:rFonts w:cs="Arial"/>
        </w:rPr>
      </w:pPr>
      <w:r>
        <w:rPr>
          <w:rFonts w:cs="Arial"/>
        </w:rPr>
        <w:t>geographic locations</w:t>
      </w:r>
    </w:p>
    <w:p w14:paraId="432BDB7D" w14:textId="359B0049" w:rsidR="00845071" w:rsidRPr="00845071" w:rsidRDefault="00845071" w:rsidP="00845071">
      <w:pPr>
        <w:pStyle w:val="ListBullet"/>
        <w:numPr>
          <w:ilvl w:val="0"/>
          <w:numId w:val="7"/>
        </w:numPr>
        <w:rPr>
          <w:rFonts w:cs="Arial"/>
        </w:rPr>
      </w:pPr>
      <w:r w:rsidRPr="00845071">
        <w:rPr>
          <w:rFonts w:cs="Arial"/>
        </w:rPr>
        <w:t>agricultural sectors and industries</w:t>
      </w:r>
    </w:p>
    <w:p w14:paraId="04902E38" w14:textId="412CC497" w:rsidR="00845071" w:rsidRPr="00845071" w:rsidRDefault="00543508" w:rsidP="00845071">
      <w:pPr>
        <w:pStyle w:val="ListBullet"/>
        <w:numPr>
          <w:ilvl w:val="0"/>
          <w:numId w:val="7"/>
        </w:numPr>
        <w:rPr>
          <w:rFonts w:cs="Arial"/>
        </w:rPr>
      </w:pPr>
      <w:r>
        <w:rPr>
          <w:rFonts w:cs="Arial"/>
        </w:rPr>
        <w:t xml:space="preserve">types of </w:t>
      </w:r>
      <w:r w:rsidR="00845071" w:rsidRPr="00845071">
        <w:rPr>
          <w:rFonts w:cs="Arial"/>
        </w:rPr>
        <w:t>project</w:t>
      </w:r>
      <w:r>
        <w:rPr>
          <w:rFonts w:cs="Arial"/>
        </w:rPr>
        <w:t>s</w:t>
      </w:r>
      <w:r w:rsidR="003D5E06">
        <w:rPr>
          <w:rFonts w:cs="Arial"/>
        </w:rPr>
        <w:t xml:space="preserve"> </w:t>
      </w:r>
      <w:r>
        <w:rPr>
          <w:rFonts w:cs="Arial"/>
        </w:rPr>
        <w:t>and</w:t>
      </w:r>
      <w:r w:rsidR="00845071" w:rsidRPr="00845071">
        <w:rPr>
          <w:rFonts w:cs="Arial"/>
        </w:rPr>
        <w:t xml:space="preserve"> activities</w:t>
      </w:r>
    </w:p>
    <w:p w14:paraId="2A49CBB9" w14:textId="7019B6EF" w:rsidR="00845071" w:rsidRPr="00845071" w:rsidRDefault="00505AEA" w:rsidP="00845071">
      <w:pPr>
        <w:pStyle w:val="ListBullet"/>
        <w:numPr>
          <w:ilvl w:val="0"/>
          <w:numId w:val="7"/>
        </w:numPr>
        <w:rPr>
          <w:rFonts w:cs="Arial"/>
        </w:rPr>
      </w:pPr>
      <w:proofErr w:type="gramStart"/>
      <w:r>
        <w:rPr>
          <w:rFonts w:cs="Arial"/>
        </w:rPr>
        <w:t>trading</w:t>
      </w:r>
      <w:proofErr w:type="gramEnd"/>
      <w:r>
        <w:rPr>
          <w:rFonts w:cs="Arial"/>
        </w:rPr>
        <w:t xml:space="preserve"> partners.</w:t>
      </w:r>
    </w:p>
    <w:p w14:paraId="6C194694" w14:textId="77777777" w:rsidR="00845071" w:rsidRPr="00845071" w:rsidRDefault="00845071" w:rsidP="00845071">
      <w:pPr>
        <w:pStyle w:val="ListBullet"/>
        <w:numPr>
          <w:ilvl w:val="0"/>
          <w:numId w:val="0"/>
        </w:numPr>
        <w:rPr>
          <w:rFonts w:cs="Arial"/>
          <w:color w:val="FF0000"/>
        </w:rPr>
      </w:pPr>
    </w:p>
    <w:p w14:paraId="20B59BD2" w14:textId="0E95DEB6" w:rsidR="00845071" w:rsidRPr="00845071" w:rsidRDefault="00845071" w:rsidP="00845071">
      <w:pPr>
        <w:pStyle w:val="ListBullet"/>
        <w:numPr>
          <w:ilvl w:val="0"/>
          <w:numId w:val="0"/>
        </w:numPr>
        <w:rPr>
          <w:rFonts w:cs="Arial"/>
        </w:rPr>
      </w:pPr>
      <w:r w:rsidRPr="00845071">
        <w:rPr>
          <w:rFonts w:cs="Arial"/>
        </w:rPr>
        <w:t xml:space="preserve">This is to ensure that, to the extent </w:t>
      </w:r>
      <w:proofErr w:type="gramStart"/>
      <w:r w:rsidRPr="00845071">
        <w:rPr>
          <w:rFonts w:cs="Arial"/>
        </w:rPr>
        <w:t>possible,</w:t>
      </w:r>
      <w:proofErr w:type="gramEnd"/>
      <w:r w:rsidRPr="00845071">
        <w:rPr>
          <w:rFonts w:cs="Arial"/>
        </w:rPr>
        <w:t xml:space="preserve"> projects funded under the ATMAC program are spread across regions, industries, acti</w:t>
      </w:r>
      <w:r w:rsidR="00505AEA">
        <w:rPr>
          <w:rFonts w:cs="Arial"/>
        </w:rPr>
        <w:t>vities and/or trading partners.</w:t>
      </w:r>
    </w:p>
    <w:p w14:paraId="72278B19" w14:textId="77777777" w:rsidR="00845071" w:rsidRPr="00845071" w:rsidRDefault="00845071" w:rsidP="00845071">
      <w:pPr>
        <w:pStyle w:val="ListBullet"/>
        <w:numPr>
          <w:ilvl w:val="0"/>
          <w:numId w:val="0"/>
        </w:numPr>
        <w:rPr>
          <w:rFonts w:cs="Arial"/>
        </w:rPr>
      </w:pPr>
      <w:r w:rsidRPr="00845071">
        <w:rPr>
          <w:rFonts w:cs="Arial"/>
        </w:rPr>
        <w:t xml:space="preserve">For example, eligible applications are not ranked purely on score, if there are similarities between </w:t>
      </w:r>
      <w:proofErr w:type="gramStart"/>
      <w:r w:rsidRPr="00845071">
        <w:rPr>
          <w:rFonts w:cs="Arial"/>
        </w:rPr>
        <w:t>high ranking</w:t>
      </w:r>
      <w:proofErr w:type="gramEnd"/>
      <w:r w:rsidRPr="00845071">
        <w:rPr>
          <w:rFonts w:cs="Arial"/>
        </w:rPr>
        <w:t xml:space="preserve"> projects, those projects will be comparatively assessed on their merits.</w:t>
      </w:r>
    </w:p>
    <w:p w14:paraId="721026AE" w14:textId="77777777" w:rsidR="00845071" w:rsidRPr="00845071" w:rsidRDefault="00845071" w:rsidP="00845071">
      <w:pPr>
        <w:pStyle w:val="ListBullet"/>
        <w:numPr>
          <w:ilvl w:val="0"/>
          <w:numId w:val="0"/>
        </w:numPr>
        <w:rPr>
          <w:rFonts w:cs="Arial"/>
        </w:rPr>
      </w:pPr>
    </w:p>
    <w:p w14:paraId="746EAB19" w14:textId="77777777" w:rsidR="00C347D8" w:rsidRPr="00FD47D5" w:rsidRDefault="00C347D8" w:rsidP="009668F6">
      <w:pPr>
        <w:pStyle w:val="Heading2"/>
      </w:pPr>
      <w:bookmarkStart w:id="75" w:name="_Toc24705205"/>
      <w:r w:rsidRPr="00FD47D5">
        <w:t xml:space="preserve">How to </w:t>
      </w:r>
      <w:r w:rsidR="00C7753F" w:rsidRPr="00FD47D5">
        <w:t>a</w:t>
      </w:r>
      <w:r w:rsidRPr="00FD47D5">
        <w:t>pply</w:t>
      </w:r>
      <w:bookmarkEnd w:id="75"/>
    </w:p>
    <w:p w14:paraId="54A6CFD2" w14:textId="6CF40635" w:rsidR="00845071" w:rsidRPr="00845071" w:rsidRDefault="00845071" w:rsidP="00845071">
      <w:pPr>
        <w:rPr>
          <w:rFonts w:cs="Arial"/>
          <w:color w:val="0070C0"/>
        </w:rPr>
      </w:pPr>
      <w:r w:rsidRPr="00845071">
        <w:rPr>
          <w:rFonts w:cs="Arial"/>
        </w:rPr>
        <w:t xml:space="preserve">Before applying, you must read and understand these guidelines, the terms and conditions, sample grant agreement and </w:t>
      </w:r>
      <w:r w:rsidR="0054425A">
        <w:rPr>
          <w:rFonts w:cs="Arial"/>
        </w:rPr>
        <w:t>q</w:t>
      </w:r>
      <w:r w:rsidR="0054425A" w:rsidRPr="00845071">
        <w:rPr>
          <w:rFonts w:cs="Arial"/>
        </w:rPr>
        <w:t xml:space="preserve">uestions </w:t>
      </w:r>
      <w:r w:rsidRPr="00845071">
        <w:rPr>
          <w:rFonts w:cs="Arial"/>
        </w:rPr>
        <w:t xml:space="preserve">and </w:t>
      </w:r>
      <w:r w:rsidR="0054425A">
        <w:rPr>
          <w:rFonts w:cs="Arial"/>
        </w:rPr>
        <w:t>a</w:t>
      </w:r>
      <w:r w:rsidR="0054425A" w:rsidRPr="00845071">
        <w:rPr>
          <w:rFonts w:cs="Arial"/>
        </w:rPr>
        <w:t>nswers</w:t>
      </w:r>
      <w:r w:rsidRPr="00845071">
        <w:rPr>
          <w:rFonts w:cs="Arial"/>
        </w:rPr>
        <w:t>.</w:t>
      </w:r>
    </w:p>
    <w:p w14:paraId="6574DD71" w14:textId="7427ECBE" w:rsidR="0010555F" w:rsidRPr="0097457E" w:rsidRDefault="0010555F" w:rsidP="0010555F">
      <w:pPr>
        <w:pStyle w:val="ListBullet"/>
        <w:numPr>
          <w:ilvl w:val="0"/>
          <w:numId w:val="0"/>
        </w:numPr>
        <w:spacing w:after="120" w:line="280" w:lineRule="exact"/>
        <w:rPr>
          <w:rFonts w:cs="Arial"/>
        </w:rPr>
      </w:pPr>
      <w:r w:rsidRPr="0097457E">
        <w:rPr>
          <w:rFonts w:cs="Arial"/>
        </w:rPr>
        <w:t>You may submit more than one application for each</w:t>
      </w:r>
      <w:r w:rsidR="0097457E" w:rsidRPr="0097457E">
        <w:rPr>
          <w:rFonts w:cs="Arial"/>
        </w:rPr>
        <w:t xml:space="preserve"> grant opportunity. </w:t>
      </w:r>
      <w:r w:rsidRPr="0097457E">
        <w:rPr>
          <w:rFonts w:cs="Arial"/>
        </w:rPr>
        <w:t xml:space="preserve">A separate application form </w:t>
      </w:r>
      <w:proofErr w:type="gramStart"/>
      <w:r w:rsidRPr="0097457E">
        <w:rPr>
          <w:rFonts w:cs="Arial"/>
        </w:rPr>
        <w:t>must be subm</w:t>
      </w:r>
      <w:r w:rsidR="0097457E" w:rsidRPr="0097457E">
        <w:rPr>
          <w:rFonts w:cs="Arial"/>
        </w:rPr>
        <w:t>itted</w:t>
      </w:r>
      <w:proofErr w:type="gramEnd"/>
      <w:r w:rsidR="0097457E" w:rsidRPr="0097457E">
        <w:rPr>
          <w:rFonts w:cs="Arial"/>
        </w:rPr>
        <w:t xml:space="preserve"> for each grant activity/</w:t>
      </w:r>
      <w:r w:rsidRPr="0097457E">
        <w:rPr>
          <w:rFonts w:cs="Arial"/>
        </w:rPr>
        <w:t>project</w:t>
      </w:r>
      <w:r w:rsidR="0097457E" w:rsidRPr="0097457E">
        <w:rPr>
          <w:rFonts w:cs="Arial"/>
        </w:rPr>
        <w:t>.</w:t>
      </w:r>
      <w:r w:rsidRPr="0097457E">
        <w:rPr>
          <w:rFonts w:cs="Arial"/>
        </w:rPr>
        <w:t xml:space="preserve"> If more </w:t>
      </w:r>
      <w:proofErr w:type="gramStart"/>
      <w:r w:rsidRPr="0097457E">
        <w:rPr>
          <w:rFonts w:cs="Arial"/>
        </w:rPr>
        <w:t>than</w:t>
      </w:r>
      <w:proofErr w:type="gramEnd"/>
      <w:r w:rsidRPr="0097457E">
        <w:rPr>
          <w:rFonts w:cs="Arial"/>
        </w:rPr>
        <w:t xml:space="preserve"> one applica</w:t>
      </w:r>
      <w:r w:rsidR="0097457E" w:rsidRPr="0097457E">
        <w:rPr>
          <w:rFonts w:cs="Arial"/>
        </w:rPr>
        <w:t>tion is submitted for the same grant activity/project</w:t>
      </w:r>
      <w:r w:rsidRPr="0097457E">
        <w:rPr>
          <w:rFonts w:cs="Arial"/>
        </w:rPr>
        <w:t xml:space="preserve"> the latest accepted application form will </w:t>
      </w:r>
      <w:r w:rsidR="003E1B2B">
        <w:rPr>
          <w:rFonts w:cs="Arial"/>
        </w:rPr>
        <w:t>be considered</w:t>
      </w:r>
      <w:r w:rsidRPr="0097457E">
        <w:rPr>
          <w:rFonts w:cs="Arial"/>
        </w:rPr>
        <w:t>.</w:t>
      </w:r>
    </w:p>
    <w:p w14:paraId="1E7FA14E" w14:textId="2DF971A5" w:rsidR="00845071" w:rsidRPr="00845071" w:rsidRDefault="00845071" w:rsidP="00845071">
      <w:pPr>
        <w:rPr>
          <w:rFonts w:cs="Arial"/>
        </w:rPr>
      </w:pPr>
      <w:r w:rsidRPr="00845071">
        <w:rPr>
          <w:rFonts w:cs="Arial"/>
        </w:rPr>
        <w:t xml:space="preserve">These documents </w:t>
      </w:r>
      <w:proofErr w:type="gramStart"/>
      <w:r w:rsidRPr="00845071">
        <w:rPr>
          <w:rFonts w:cs="Arial"/>
        </w:rPr>
        <w:t>are found</w:t>
      </w:r>
      <w:proofErr w:type="gramEnd"/>
      <w:r w:rsidRPr="00845071">
        <w:rPr>
          <w:rFonts w:cs="Arial"/>
        </w:rPr>
        <w:t xml:space="preserve"> at </w:t>
      </w:r>
      <w:hyperlink r:id="rId21" w:history="1">
        <w:r w:rsidRPr="00AB4BAD">
          <w:rPr>
            <w:rStyle w:val="Hyperlink"/>
            <w:rFonts w:cs="Arial"/>
          </w:rPr>
          <w:t>GrantConnect</w:t>
        </w:r>
      </w:hyperlink>
      <w:r w:rsidRPr="00845071">
        <w:rPr>
          <w:rFonts w:cs="Arial"/>
        </w:rPr>
        <w:t xml:space="preserve"> and </w:t>
      </w:r>
      <w:hyperlink r:id="rId22" w:history="1">
        <w:r w:rsidRPr="00AB4BAD">
          <w:rPr>
            <w:rStyle w:val="Hyperlink"/>
            <w:rFonts w:cs="Arial"/>
          </w:rPr>
          <w:t>Community Grants Hub</w:t>
        </w:r>
      </w:hyperlink>
      <w:r w:rsidRPr="00845071">
        <w:rPr>
          <w:rFonts w:cs="Arial"/>
        </w:rPr>
        <w:t xml:space="preserve"> websites. Any changes to grant documentation </w:t>
      </w:r>
      <w:proofErr w:type="gramStart"/>
      <w:r w:rsidRPr="00845071">
        <w:rPr>
          <w:rFonts w:cs="Arial"/>
        </w:rPr>
        <w:t>are published</w:t>
      </w:r>
      <w:proofErr w:type="gramEnd"/>
      <w:r w:rsidRPr="00845071">
        <w:rPr>
          <w:rFonts w:cs="Arial"/>
        </w:rPr>
        <w:t xml:space="preserve"> on both sites and addenda</w:t>
      </w:r>
      <w:r w:rsidRPr="00845071">
        <w:rPr>
          <w:rStyle w:val="FootnoteReference"/>
          <w:rFonts w:cs="Arial"/>
        </w:rPr>
        <w:footnoteReference w:id="7"/>
      </w:r>
      <w:r w:rsidRPr="00845071">
        <w:rPr>
          <w:rFonts w:cs="Arial"/>
        </w:rPr>
        <w:t xml:space="preserve"> will be published on GrantConnect. By registering on GrantConnect, you </w:t>
      </w:r>
      <w:proofErr w:type="gramStart"/>
      <w:r w:rsidRPr="00845071">
        <w:rPr>
          <w:rFonts w:cs="Arial"/>
        </w:rPr>
        <w:t>will be automatically notified</w:t>
      </w:r>
      <w:proofErr w:type="gramEnd"/>
      <w:r w:rsidRPr="00845071">
        <w:rPr>
          <w:rFonts w:cs="Arial"/>
        </w:rPr>
        <w:t xml:space="preserve"> of any changes. GrantConnect is the authoritative source for grants information.</w:t>
      </w:r>
    </w:p>
    <w:p w14:paraId="215BE409" w14:textId="77777777" w:rsidR="006740D4" w:rsidRDefault="00C347D8" w:rsidP="006740D4">
      <w:pPr>
        <w:pStyle w:val="ListBullet"/>
        <w:numPr>
          <w:ilvl w:val="0"/>
          <w:numId w:val="0"/>
        </w:numPr>
        <w:ind w:left="360" w:hanging="360"/>
      </w:pPr>
      <w:r>
        <w:t>To apply you must</w:t>
      </w:r>
      <w:r w:rsidR="006740D4">
        <w:t>:</w:t>
      </w:r>
      <w:r w:rsidR="00742B12">
        <w:t xml:space="preserve"> </w:t>
      </w:r>
    </w:p>
    <w:p w14:paraId="5D47F7AC" w14:textId="625473D4" w:rsidR="000644EE" w:rsidRPr="00670D60" w:rsidRDefault="00C347D8" w:rsidP="006740D4">
      <w:pPr>
        <w:pStyle w:val="ListBullet"/>
      </w:pPr>
      <w:r>
        <w:t xml:space="preserve">complete the online application form on </w:t>
      </w:r>
      <w:hyperlink r:id="rId23" w:history="1">
        <w:r w:rsidR="006740D4" w:rsidRPr="006740D4">
          <w:rPr>
            <w:rStyle w:val="Hyperlink"/>
          </w:rPr>
          <w:t>GrantConnect</w:t>
        </w:r>
      </w:hyperlink>
      <w:r w:rsidR="00BA18AE">
        <w:rPr>
          <w:rStyle w:val="Hyperlink"/>
          <w:u w:val="none"/>
        </w:rPr>
        <w:t xml:space="preserve"> </w:t>
      </w:r>
      <w:r w:rsidR="00BA18AE" w:rsidRPr="00CC7EEC">
        <w:rPr>
          <w:rStyle w:val="Hyperlink"/>
          <w:color w:val="auto"/>
          <w:u w:val="none"/>
        </w:rPr>
        <w:t>or</w:t>
      </w:r>
      <w:r w:rsidR="00BA18AE" w:rsidRPr="00BA18AE">
        <w:rPr>
          <w:rStyle w:val="Hyperlink"/>
          <w:u w:val="none"/>
        </w:rPr>
        <w:t xml:space="preserve"> </w:t>
      </w:r>
      <w:hyperlink r:id="rId24" w:history="1">
        <w:r w:rsidR="00BA18AE" w:rsidRPr="00BA18AE">
          <w:rPr>
            <w:rStyle w:val="Hyperlink"/>
          </w:rPr>
          <w:t>Community Grants Hub</w:t>
        </w:r>
      </w:hyperlink>
    </w:p>
    <w:p w14:paraId="2CF5697D" w14:textId="5BDF3522" w:rsidR="00C347D8" w:rsidRDefault="00C347D8" w:rsidP="00C347D8">
      <w:pPr>
        <w:pStyle w:val="ListBullet"/>
      </w:pPr>
      <w:r>
        <w:t>provide all the information requested</w:t>
      </w:r>
      <w:r w:rsidR="000E3AFC">
        <w:t>, including attachments</w:t>
      </w:r>
    </w:p>
    <w:p w14:paraId="5DDC9861" w14:textId="77777777" w:rsidR="00C347D8" w:rsidRDefault="00C347D8" w:rsidP="00C347D8">
      <w:pPr>
        <w:pStyle w:val="ListBullet"/>
      </w:pPr>
      <w:r>
        <w:t xml:space="preserve">address all eligibility </w:t>
      </w:r>
      <w:r w:rsidR="000644EE">
        <w:t xml:space="preserve">criteria </w:t>
      </w:r>
      <w:r>
        <w:t>and assessment criteria</w:t>
      </w:r>
    </w:p>
    <w:p w14:paraId="7F11128A" w14:textId="3552DEAC" w:rsidR="007C2638" w:rsidRPr="001B519E" w:rsidRDefault="007C2638" w:rsidP="00FE416B">
      <w:pPr>
        <w:pStyle w:val="ListBullet"/>
      </w:pPr>
      <w:proofErr w:type="gramStart"/>
      <w:r w:rsidRPr="001B519E">
        <w:t>submit</w:t>
      </w:r>
      <w:proofErr w:type="gramEnd"/>
      <w:r w:rsidRPr="001B519E">
        <w:t xml:space="preserve"> your application/s to </w:t>
      </w:r>
      <w:r w:rsidR="00261986" w:rsidRPr="001B519E">
        <w:t xml:space="preserve">the Community Grants Hub </w:t>
      </w:r>
      <w:r w:rsidRPr="001B519E">
        <w:t xml:space="preserve">by </w:t>
      </w:r>
      <w:r w:rsidR="00BD59A9" w:rsidRPr="001B519E">
        <w:t>11</w:t>
      </w:r>
      <w:r w:rsidR="00261986" w:rsidRPr="001B519E">
        <w:t>.00</w:t>
      </w:r>
      <w:r w:rsidR="00712933" w:rsidRPr="001B519E">
        <w:t>PM</w:t>
      </w:r>
      <w:r w:rsidR="00D0463D" w:rsidRPr="001B519E">
        <w:t xml:space="preserve"> AEDT</w:t>
      </w:r>
      <w:r w:rsidR="00261986" w:rsidRPr="001B519E">
        <w:t xml:space="preserve"> on </w:t>
      </w:r>
      <w:r w:rsidR="00D755EC">
        <w:t>31</w:t>
      </w:r>
      <w:r w:rsidR="006742EF">
        <w:t> </w:t>
      </w:r>
      <w:r w:rsidR="00EB33BA" w:rsidRPr="001B519E">
        <w:t>January</w:t>
      </w:r>
      <w:r w:rsidR="006742EF">
        <w:t> </w:t>
      </w:r>
      <w:r w:rsidR="00EB33BA" w:rsidRPr="001B519E">
        <w:t>2020</w:t>
      </w:r>
      <w:r w:rsidRPr="001B519E">
        <w:t>.</w:t>
      </w:r>
    </w:p>
    <w:p w14:paraId="4D014346" w14:textId="77777777"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447EBA1C"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5"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4CB68A4E" w14:textId="20C92FE4" w:rsidR="00BE551F" w:rsidRPr="00B72EE8"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283</w:t>
      </w:r>
      <w:r w:rsidR="009F5D09">
        <w:t xml:space="preserve"> (option 1)</w:t>
      </w:r>
      <w:r w:rsidR="00261986">
        <w:t xml:space="preserve"> or email </w:t>
      </w:r>
      <w:hyperlink r:id="rId26"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w:t>
      </w:r>
      <w:r w:rsidR="005806F2">
        <w:t>es</w:t>
      </w:r>
      <w:r w:rsidR="00BE551F" w:rsidRPr="00103A95">
        <w:t xml:space="preserve">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11E4ACC7" w14:textId="2980355E" w:rsidR="00BE551F" w:rsidRPr="00780114" w:rsidRDefault="00BE551F" w:rsidP="00BE551F">
      <w:r w:rsidRPr="00780114">
        <w:t>You cannot change your application a</w:t>
      </w:r>
      <w:r w:rsidR="006742EF">
        <w:t>fter the closing date and time.</w:t>
      </w:r>
    </w:p>
    <w:p w14:paraId="0CC50AFD" w14:textId="202ECD27"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B1705C">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rsidR="006742EF">
        <w:t>closing time.</w:t>
      </w:r>
    </w:p>
    <w:p w14:paraId="7E434454" w14:textId="441160B1" w:rsidR="00C347D8" w:rsidRDefault="00C347D8" w:rsidP="00BC7C6D">
      <w:pPr>
        <w:spacing w:after="0"/>
      </w:pPr>
      <w:r>
        <w:t>You should</w:t>
      </w:r>
      <w:r w:rsidRPr="00B72EE8">
        <w:t xml:space="preserve"> keep a copy of your applica</w:t>
      </w:r>
      <w:r>
        <w:t>tion and any supporting documents</w:t>
      </w:r>
      <w:r w:rsidR="006742EF">
        <w:t>.</w:t>
      </w:r>
    </w:p>
    <w:p w14:paraId="75A14219" w14:textId="19BD6015"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111BD415" w14:textId="7A6D6044" w:rsidR="00A3541B" w:rsidRDefault="00A3541B" w:rsidP="00BC7C6D">
      <w:pPr>
        <w:spacing w:after="0"/>
      </w:pPr>
    </w:p>
    <w:p w14:paraId="46401BEF" w14:textId="77777777" w:rsidR="00A3541B" w:rsidRDefault="00A3541B" w:rsidP="00A3541B">
      <w:pPr>
        <w:pStyle w:val="Heading3"/>
      </w:pPr>
      <w:bookmarkStart w:id="76" w:name="_Toc24705206"/>
      <w:r>
        <w:lastRenderedPageBreak/>
        <w:t>Attachments to the application</w:t>
      </w:r>
      <w:bookmarkEnd w:id="76"/>
    </w:p>
    <w:p w14:paraId="247C82A8" w14:textId="0DD40387" w:rsidR="00A3541B" w:rsidRDefault="00A3541B" w:rsidP="00A3541B">
      <w:r>
        <w:t>All of the</w:t>
      </w:r>
      <w:r w:rsidRPr="00B72EE8">
        <w:t xml:space="preserve"> following documents</w:t>
      </w:r>
      <w:r>
        <w:t xml:space="preserve"> </w:t>
      </w:r>
      <w:proofErr w:type="gramStart"/>
      <w:r>
        <w:t>must be attached</w:t>
      </w:r>
      <w:proofErr w:type="gramEnd"/>
      <w:r>
        <w:t xml:space="preserve"> to</w:t>
      </w:r>
      <w:r w:rsidRPr="00B72EE8">
        <w:t xml:space="preserve"> your application</w:t>
      </w:r>
      <w:r>
        <w:t xml:space="preserve"> for it to be considered compliant and for it to proceed to assessment. Templates </w:t>
      </w:r>
      <w:proofErr w:type="gramStart"/>
      <w:r>
        <w:t>are provided</w:t>
      </w:r>
      <w:proofErr w:type="gramEnd"/>
      <w:r>
        <w:t xml:space="preserve"> for your use with the grant opportunity documents as specified</w:t>
      </w:r>
      <w:r w:rsidRPr="00B72EE8">
        <w:t>:</w:t>
      </w:r>
    </w:p>
    <w:p w14:paraId="57AD30E9" w14:textId="51F18212" w:rsidR="00A3541B" w:rsidRPr="000E3AFC" w:rsidRDefault="00A3541B" w:rsidP="00A3541B">
      <w:pPr>
        <w:pStyle w:val="ListBullet"/>
        <w:numPr>
          <w:ilvl w:val="0"/>
          <w:numId w:val="7"/>
        </w:numPr>
      </w:pPr>
      <w:r w:rsidRPr="000E3AFC">
        <w:t>Project Plan – mandat</w:t>
      </w:r>
      <w:r>
        <w:t>o</w:t>
      </w:r>
      <w:r w:rsidR="006742EF">
        <w:t>ry template provided.</w:t>
      </w:r>
    </w:p>
    <w:p w14:paraId="2A3A383B" w14:textId="3C72C52C" w:rsidR="00A3541B" w:rsidRPr="000E3AFC" w:rsidRDefault="00A3541B" w:rsidP="00A3541B">
      <w:pPr>
        <w:pStyle w:val="ListBullet"/>
        <w:numPr>
          <w:ilvl w:val="0"/>
          <w:numId w:val="7"/>
        </w:numPr>
      </w:pPr>
      <w:r w:rsidRPr="000E3AFC">
        <w:t>Budget Plan – mandat</w:t>
      </w:r>
      <w:r>
        <w:t>o</w:t>
      </w:r>
      <w:r w:rsidR="006742EF">
        <w:t>ry template provided.</w:t>
      </w:r>
    </w:p>
    <w:p w14:paraId="168C0441" w14:textId="1B99AC38" w:rsidR="00A3541B" w:rsidRPr="006A44FD" w:rsidRDefault="00A3541B" w:rsidP="00A3541B">
      <w:pPr>
        <w:pStyle w:val="ListBullet"/>
        <w:numPr>
          <w:ilvl w:val="0"/>
          <w:numId w:val="7"/>
        </w:numPr>
        <w:rPr>
          <w:color w:val="0070C0"/>
        </w:rPr>
      </w:pPr>
      <w:r>
        <w:t>Risk Assessment – mandatory template provided</w:t>
      </w:r>
      <w:r w:rsidR="006742EF">
        <w:t>.</w:t>
      </w:r>
    </w:p>
    <w:p w14:paraId="148BFCC5" w14:textId="0B423137" w:rsidR="00A3541B" w:rsidRPr="00400EC3" w:rsidRDefault="00A3541B" w:rsidP="00A3541B">
      <w:r w:rsidRPr="00400EC3">
        <w:t>If a mandatory template is not used your application will be considered non-compliant and w</w:t>
      </w:r>
      <w:r w:rsidR="006223F0">
        <w:t>ill not proceed to assessment.</w:t>
      </w:r>
    </w:p>
    <w:p w14:paraId="596CCC29" w14:textId="2921264A" w:rsidR="00A3541B" w:rsidRDefault="00A3541B" w:rsidP="00A3541B">
      <w:r>
        <w:t>You must attach s</w:t>
      </w:r>
      <w:r w:rsidRPr="00B72EE8">
        <w:t xml:space="preserve">upporting documentation </w:t>
      </w:r>
      <w:r>
        <w:t>according to the instructions provided within the application form. You should only attach requested documents. We will not consider information in att</w:t>
      </w:r>
      <w:r w:rsidR="006223F0">
        <w:t>achments we have not asked for.</w:t>
      </w:r>
    </w:p>
    <w:p w14:paraId="3DE11C62" w14:textId="39196B30" w:rsidR="00A3541B" w:rsidRDefault="00A3541B" w:rsidP="00A3541B">
      <w:r w:rsidRPr="006A44FD">
        <w:rPr>
          <w:b/>
        </w:rPr>
        <w:t>Please note</w:t>
      </w:r>
      <w:r>
        <w:t>: There is a</w:t>
      </w:r>
      <w:r w:rsidR="00D46289">
        <w:t xml:space="preserve"> 2mb limit for each attachment.</w:t>
      </w:r>
    </w:p>
    <w:p w14:paraId="0261B92A" w14:textId="77777777" w:rsidR="00E50C87" w:rsidRDefault="00E50C87" w:rsidP="009668F6">
      <w:pPr>
        <w:pStyle w:val="Heading3"/>
      </w:pPr>
      <w:bookmarkStart w:id="77" w:name="_Toc525295534"/>
      <w:bookmarkStart w:id="78" w:name="_Toc525552132"/>
      <w:bookmarkStart w:id="79" w:name="_Toc525722832"/>
      <w:bookmarkStart w:id="80" w:name="_Toc24705207"/>
      <w:bookmarkEnd w:id="77"/>
      <w:bookmarkEnd w:id="78"/>
      <w:bookmarkEnd w:id="79"/>
      <w:r>
        <w:t>Joint (consortia) applications</w:t>
      </w:r>
      <w:bookmarkEnd w:id="80"/>
    </w:p>
    <w:p w14:paraId="61093E37" w14:textId="17557AD4" w:rsidR="00E50C87" w:rsidRDefault="00705C93" w:rsidP="00E50C87">
      <w:r w:rsidRPr="00EE0C10">
        <w:t>We</w:t>
      </w:r>
      <w:r w:rsidR="00E50C87" w:rsidRPr="00EC417F">
        <w:rPr>
          <w:color w:val="0070C0"/>
        </w:rPr>
        <w:t xml:space="preserve"> </w:t>
      </w:r>
      <w:r w:rsidR="00E50C87">
        <w:t>recognise that some</w:t>
      </w:r>
      <w:r w:rsidR="00B1705C">
        <w:t xml:space="preserve"> organisations may want to </w:t>
      </w:r>
      <w:proofErr w:type="gramStart"/>
      <w:r w:rsidR="00B1705C">
        <w:t xml:space="preserve">join </w:t>
      </w:r>
      <w:r w:rsidR="00E50C87">
        <w:t>together</w:t>
      </w:r>
      <w:proofErr w:type="gramEnd"/>
      <w:r w:rsidR="00E50C87">
        <w:t xml:space="preserve"> as a group to deliver </w:t>
      </w:r>
      <w:r w:rsidR="00C05982">
        <w:t>a grant activity or project</w:t>
      </w:r>
      <w:r w:rsidR="00E50C87">
        <w:t xml:space="preserve">. </w:t>
      </w:r>
      <w:r w:rsidR="005A52E3">
        <w:t>Organisations may submit more than one application for a grant opportunity, as the lead organisation and as part of a consortium.</w:t>
      </w:r>
    </w:p>
    <w:p w14:paraId="44A5654A" w14:textId="77777777" w:rsidR="00C05982" w:rsidRPr="00C05982" w:rsidRDefault="00C05982" w:rsidP="00C05982">
      <w:pPr>
        <w:rPr>
          <w:rFonts w:cs="Arial"/>
        </w:rPr>
      </w:pPr>
      <w:r w:rsidRPr="00C05982">
        <w:rPr>
          <w:rFonts w:cs="Arial"/>
        </w:rPr>
        <w:t>In these circumstances, you must appoint a ‘lead organisation’. The lead organisation must be an eligible entity type listed in Section 4.1. Only the lead organisation can submit the application form and enter into a grant agreement with the Commonwealth. The application must identify all other members of the proposed group.</w:t>
      </w:r>
    </w:p>
    <w:p w14:paraId="5BAE4BC6" w14:textId="001E13C9" w:rsidR="00E50C87" w:rsidRDefault="00E50C87" w:rsidP="00E50C87">
      <w:r>
        <w:t>You must have a formal arrangement in place with all parties prior</w:t>
      </w:r>
      <w:r w:rsidR="00F71FE4">
        <w:t xml:space="preserve"> to execution of the agreement.</w:t>
      </w:r>
    </w:p>
    <w:p w14:paraId="154AC96B" w14:textId="77777777" w:rsidR="000E3AFC" w:rsidRPr="00103A95" w:rsidRDefault="000E3AFC" w:rsidP="00E50C87"/>
    <w:p w14:paraId="489DD5A1" w14:textId="77777777" w:rsidR="00C347D8" w:rsidRDefault="00C347D8" w:rsidP="009668F6">
      <w:pPr>
        <w:pStyle w:val="Heading3"/>
      </w:pPr>
      <w:bookmarkStart w:id="81" w:name="_Toc24705208"/>
      <w:r>
        <w:t xml:space="preserve">Timing of grant opportunity </w:t>
      </w:r>
      <w:r w:rsidR="00635ACF">
        <w:t>processes</w:t>
      </w:r>
      <w:bookmarkEnd w:id="81"/>
    </w:p>
    <w:p w14:paraId="6A194E23" w14:textId="18C0D19B" w:rsidR="000A4D8A" w:rsidRDefault="00C347D8" w:rsidP="00C347D8">
      <w:r>
        <w:t xml:space="preserve">You </w:t>
      </w:r>
      <w:r w:rsidR="00311CBF">
        <w:t>must</w:t>
      </w:r>
      <w:r>
        <w:t xml:space="preserve"> submit an application between the publi</w:t>
      </w:r>
      <w:r w:rsidR="00F71FE4">
        <w:t>shed opening and closing dates.</w:t>
      </w:r>
    </w:p>
    <w:p w14:paraId="67D78DF2" w14:textId="77777777" w:rsidR="00587B4B" w:rsidRPr="00587B4B" w:rsidRDefault="00587B4B" w:rsidP="00A21E0A">
      <w:pPr>
        <w:rPr>
          <w:b/>
        </w:rPr>
      </w:pPr>
      <w:r w:rsidRPr="00587B4B">
        <w:rPr>
          <w:b/>
        </w:rPr>
        <w:t xml:space="preserve">Late applications </w:t>
      </w:r>
    </w:p>
    <w:p w14:paraId="536D7912"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29CA808E" w14:textId="77777777" w:rsidR="00A21E0A" w:rsidRPr="00A21E0A" w:rsidRDefault="00A21E0A" w:rsidP="00F71FE4">
      <w:pPr>
        <w:pStyle w:val="ListBullet"/>
        <w:numPr>
          <w:ilvl w:val="0"/>
          <w:numId w:val="7"/>
        </w:numPr>
        <w:rPr>
          <w:rFonts w:cs="Arial"/>
          <w:szCs w:val="22"/>
        </w:rPr>
      </w:pPr>
      <w:r w:rsidRPr="00A21E0A">
        <w:rPr>
          <w:rFonts w:cs="Arial"/>
          <w:szCs w:val="22"/>
        </w:rPr>
        <w:t>reasonably unforeseeable</w:t>
      </w:r>
    </w:p>
    <w:p w14:paraId="58B29955" w14:textId="77777777" w:rsidR="00A21E0A" w:rsidRPr="00A21E0A" w:rsidRDefault="00A21E0A" w:rsidP="00F71FE4">
      <w:pPr>
        <w:pStyle w:val="ListBullet"/>
        <w:numPr>
          <w:ilvl w:val="0"/>
          <w:numId w:val="7"/>
        </w:numPr>
        <w:rPr>
          <w:rFonts w:cs="Arial"/>
          <w:szCs w:val="22"/>
        </w:rPr>
      </w:pPr>
      <w:r w:rsidRPr="00A21E0A">
        <w:rPr>
          <w:rFonts w:cs="Arial"/>
          <w:szCs w:val="22"/>
        </w:rPr>
        <w:t>beyond the applicant’s control</w:t>
      </w:r>
    </w:p>
    <w:p w14:paraId="56B1323C" w14:textId="09A20274" w:rsidR="00A21E0A" w:rsidRPr="00A21E0A" w:rsidRDefault="00A21E0A" w:rsidP="00F71FE4">
      <w:pPr>
        <w:pStyle w:val="ListBullet"/>
        <w:numPr>
          <w:ilvl w:val="0"/>
          <w:numId w:val="7"/>
        </w:numPr>
        <w:rPr>
          <w:rFonts w:cs="Arial"/>
          <w:szCs w:val="22"/>
        </w:rPr>
      </w:pPr>
      <w:proofErr w:type="gramStart"/>
      <w:r w:rsidRPr="00A21E0A">
        <w:rPr>
          <w:rFonts w:cs="Arial"/>
          <w:szCs w:val="22"/>
        </w:rPr>
        <w:t>unable</w:t>
      </w:r>
      <w:proofErr w:type="gramEnd"/>
      <w:r w:rsidRPr="00A21E0A">
        <w:rPr>
          <w:rFonts w:cs="Arial"/>
          <w:szCs w:val="22"/>
        </w:rPr>
        <w:t xml:space="preserve"> to be managed or resolved</w:t>
      </w:r>
      <w:r w:rsidR="00AF07F7">
        <w:rPr>
          <w:rFonts w:cs="Arial"/>
          <w:szCs w:val="22"/>
        </w:rPr>
        <w:t xml:space="preserve"> within the application period.</w:t>
      </w:r>
    </w:p>
    <w:p w14:paraId="66E11843" w14:textId="77777777" w:rsidR="00A21E0A" w:rsidRPr="00A21E0A" w:rsidRDefault="00A21E0A" w:rsidP="00A21E0A">
      <w:pPr>
        <w:rPr>
          <w:rFonts w:ascii="Calibri" w:hAnsi="Calibri" w:cs="Calibri"/>
          <w:sz w:val="22"/>
          <w:szCs w:val="22"/>
        </w:rPr>
      </w:pPr>
      <w:r>
        <w:t xml:space="preserve">Exceptional circumstances </w:t>
      </w:r>
      <w:proofErr w:type="gramStart"/>
      <w:r>
        <w:t>will be considered</w:t>
      </w:r>
      <w:proofErr w:type="gramEnd"/>
      <w:r>
        <w:t xml:space="preserve"> on their merits and in accordance with probity principles.</w:t>
      </w:r>
    </w:p>
    <w:p w14:paraId="646CB4D4" w14:textId="77777777" w:rsidR="00A21E0A" w:rsidRDefault="00A21E0A" w:rsidP="00A21E0A">
      <w:pPr>
        <w:rPr>
          <w:b/>
          <w:bCs/>
        </w:rPr>
      </w:pPr>
      <w:r>
        <w:rPr>
          <w:b/>
          <w:bCs/>
        </w:rPr>
        <w:t>How to lodge a late application</w:t>
      </w:r>
    </w:p>
    <w:p w14:paraId="396217D6" w14:textId="659F4142" w:rsidR="00A21E0A" w:rsidRDefault="00A21E0A" w:rsidP="00A21E0A">
      <w:r>
        <w:t>Applicants seeking to submit a late application will be required to submit a late application request to the Community Grants Hub</w:t>
      </w:r>
      <w:r w:rsidR="00D654FA">
        <w:t>.</w:t>
      </w:r>
    </w:p>
    <w:p w14:paraId="03393906" w14:textId="4CA80C98" w:rsidR="00A21E0A" w:rsidRDefault="00A21E0A" w:rsidP="00A21E0A">
      <w:pPr>
        <w:pStyle w:val="BodyText"/>
        <w:rPr>
          <w:sz w:val="20"/>
        </w:rPr>
      </w:pPr>
      <w:r w:rsidRPr="00A21E0A">
        <w:rPr>
          <w:sz w:val="20"/>
        </w:rPr>
        <w:t xml:space="preserve">The request should include a detailed explanation of the circumstances that prevented the application </w:t>
      </w:r>
      <w:proofErr w:type="gramStart"/>
      <w:r w:rsidRPr="00A21E0A">
        <w:rPr>
          <w:sz w:val="20"/>
        </w:rPr>
        <w:t>being submitted</w:t>
      </w:r>
      <w:proofErr w:type="gramEnd"/>
      <w:r w:rsidRPr="00A21E0A">
        <w:rPr>
          <w:sz w:val="20"/>
        </w:rPr>
        <w:t xml:space="preserve"> prior to the closing time. Where appropriate, supporting evidence </w:t>
      </w:r>
      <w:proofErr w:type="gramStart"/>
      <w:r w:rsidRPr="00A21E0A">
        <w:rPr>
          <w:sz w:val="20"/>
        </w:rPr>
        <w:t>can be provided</w:t>
      </w:r>
      <w:proofErr w:type="gramEnd"/>
      <w:r w:rsidRPr="00A21E0A">
        <w:rPr>
          <w:sz w:val="20"/>
        </w:rPr>
        <w:t xml:space="preserve"> to verify the clai</w:t>
      </w:r>
      <w:r w:rsidR="00AF07F7">
        <w:rPr>
          <w:sz w:val="20"/>
        </w:rPr>
        <w:t>m of exceptional circumstances.</w:t>
      </w:r>
    </w:p>
    <w:p w14:paraId="34CE870E" w14:textId="77777777" w:rsidR="00D654FA" w:rsidRPr="00156DD7" w:rsidRDefault="00D654FA" w:rsidP="00D654FA">
      <w:r>
        <w:lastRenderedPageBreak/>
        <w:t xml:space="preserve">The late application request form and instructions for how to submit it </w:t>
      </w:r>
      <w:proofErr w:type="gramStart"/>
      <w:r>
        <w:t>can be found</w:t>
      </w:r>
      <w:proofErr w:type="gramEnd"/>
      <w:r>
        <w:t xml:space="preserve"> on the </w:t>
      </w:r>
      <w:hyperlink r:id="rId27" w:history="1">
        <w:r w:rsidRPr="00AC6A46">
          <w:rPr>
            <w:rStyle w:val="Hyperlink"/>
          </w:rPr>
          <w:t>Community Grants Hub website</w:t>
        </w:r>
      </w:hyperlink>
      <w:r>
        <w:t>.</w:t>
      </w:r>
    </w:p>
    <w:p w14:paraId="454D4B35" w14:textId="6C653269" w:rsidR="00A21E0A" w:rsidRDefault="00A21E0A" w:rsidP="00A21E0A">
      <w:r>
        <w:t xml:space="preserve">Written requests to lodge a late application </w:t>
      </w:r>
      <w:proofErr w:type="gramStart"/>
      <w:r>
        <w:t>will only be accepted</w:t>
      </w:r>
      <w:proofErr w:type="gramEnd"/>
      <w:r>
        <w:t xml:space="preserve"> within three days after th</w:t>
      </w:r>
      <w:r w:rsidR="00AF07F7">
        <w:t>e grant opportunity has closed.</w:t>
      </w:r>
    </w:p>
    <w:p w14:paraId="414B1AA8" w14:textId="76CCCC0F" w:rsidR="00A21E0A" w:rsidRPr="00A21E0A" w:rsidRDefault="00A21E0A" w:rsidP="00A21E0A">
      <w:pPr>
        <w:rPr>
          <w:rFonts w:ascii="Times New Roman" w:hAnsi="Times New Roman"/>
          <w:sz w:val="24"/>
          <w:szCs w:val="24"/>
          <w:lang w:eastAsia="en-AU"/>
        </w:rPr>
      </w:pPr>
      <w:r>
        <w:t>The Delegate or their appointed representative</w:t>
      </w:r>
      <w:r w:rsidR="00D0463D">
        <w:rPr>
          <w:rStyle w:val="FootnoteReference"/>
        </w:rPr>
        <w:footnoteReference w:id="8"/>
      </w:r>
      <w:r w:rsidR="00D0463D">
        <w:t xml:space="preserve"> </w:t>
      </w:r>
      <w:r>
        <w:t xml:space="preserve">will determine whether a late application </w:t>
      </w:r>
      <w:proofErr w:type="gramStart"/>
      <w:r>
        <w:t>will be accepted</w:t>
      </w:r>
      <w:proofErr w:type="gramEnd"/>
      <w:r>
        <w:t>. The decision of the delegate will be final and not be subject to a review or appeals process.</w:t>
      </w:r>
    </w:p>
    <w:p w14:paraId="794A66CF"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365713DA" w14:textId="77777777" w:rsidR="00587B4B" w:rsidRPr="00587B4B" w:rsidRDefault="00587B4B" w:rsidP="00C347D8">
      <w:pPr>
        <w:spacing w:before="200"/>
        <w:rPr>
          <w:b/>
        </w:rPr>
      </w:pPr>
      <w:r w:rsidRPr="00632292">
        <w:rPr>
          <w:b/>
        </w:rPr>
        <w:t xml:space="preserve">Expected timing for this grant opportunity </w:t>
      </w:r>
    </w:p>
    <w:p w14:paraId="45A16764" w14:textId="313FB01F" w:rsidR="00A21E0A" w:rsidRDefault="00C347D8" w:rsidP="00C347D8">
      <w:pPr>
        <w:spacing w:before="200"/>
      </w:pPr>
      <w:r>
        <w:t>If you are successful</w:t>
      </w:r>
      <w:r w:rsidR="00DB695B">
        <w:t xml:space="preserve">, </w:t>
      </w:r>
      <w:r w:rsidR="00456DA5">
        <w:t xml:space="preserve">you </w:t>
      </w:r>
      <w:proofErr w:type="gramStart"/>
      <w:r w:rsidR="00456DA5">
        <w:t xml:space="preserve">will be </w:t>
      </w:r>
      <w:r>
        <w:t>expect</w:t>
      </w:r>
      <w:r w:rsidR="00456DA5">
        <w:t>ed</w:t>
      </w:r>
      <w:proofErr w:type="gramEnd"/>
      <w:r>
        <w:t xml:space="preserve"> </w:t>
      </w:r>
      <w:r w:rsidR="003106BC">
        <w:t>to start</w:t>
      </w:r>
      <w:r>
        <w:t xml:space="preserve"> your</w:t>
      </w:r>
      <w:r w:rsidR="00C05982">
        <w:t xml:space="preserve"> grant activity within one month of entering into a grant agreement.</w:t>
      </w:r>
    </w:p>
    <w:p w14:paraId="5C082EF5"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2E40F82B" w14:textId="77777777" w:rsidTr="005E75D9">
        <w:trPr>
          <w:cantSplit/>
          <w:tblHeader/>
        </w:trPr>
        <w:tc>
          <w:tcPr>
            <w:tcW w:w="4815" w:type="dxa"/>
            <w:shd w:val="clear" w:color="auto" w:fill="264F90"/>
          </w:tcPr>
          <w:p w14:paraId="40FE5FB8" w14:textId="77777777" w:rsidR="00C347D8" w:rsidRPr="00DB5819" w:rsidRDefault="00C347D8" w:rsidP="005E75D9">
            <w:pPr>
              <w:pStyle w:val="TableHeadingNumbered"/>
            </w:pPr>
            <w:r w:rsidRPr="00DB5819">
              <w:t>Activity</w:t>
            </w:r>
          </w:p>
        </w:tc>
        <w:tc>
          <w:tcPr>
            <w:tcW w:w="3974" w:type="dxa"/>
            <w:shd w:val="clear" w:color="auto" w:fill="264F90"/>
          </w:tcPr>
          <w:p w14:paraId="79AAF334" w14:textId="77777777" w:rsidR="00C347D8" w:rsidRPr="00DB5819" w:rsidRDefault="00C347D8" w:rsidP="005E75D9">
            <w:pPr>
              <w:pStyle w:val="TableHeadingNumbered"/>
            </w:pPr>
            <w:r w:rsidRPr="00DB5819">
              <w:t>Timeframe</w:t>
            </w:r>
          </w:p>
        </w:tc>
      </w:tr>
      <w:tr w:rsidR="00C347D8" w14:paraId="167F59CE" w14:textId="77777777" w:rsidTr="005E75D9">
        <w:trPr>
          <w:cantSplit/>
        </w:trPr>
        <w:tc>
          <w:tcPr>
            <w:tcW w:w="4815" w:type="dxa"/>
          </w:tcPr>
          <w:p w14:paraId="0D7D6137" w14:textId="77777777" w:rsidR="00C347D8" w:rsidRPr="00B16B54" w:rsidRDefault="00C347D8" w:rsidP="005E75D9">
            <w:pPr>
              <w:pStyle w:val="TableText"/>
            </w:pPr>
            <w:r w:rsidRPr="00B16B54">
              <w:t>Assessment of applications</w:t>
            </w:r>
          </w:p>
        </w:tc>
        <w:tc>
          <w:tcPr>
            <w:tcW w:w="3974" w:type="dxa"/>
          </w:tcPr>
          <w:p w14:paraId="1E073B6C" w14:textId="3AB23381" w:rsidR="00C347D8" w:rsidRPr="001B519E" w:rsidRDefault="003E1B2B" w:rsidP="00F72DA9">
            <w:pPr>
              <w:pStyle w:val="TableText"/>
              <w:rPr>
                <w:color w:val="000000" w:themeColor="text1"/>
              </w:rPr>
            </w:pPr>
            <w:r w:rsidRPr="001B519E">
              <w:rPr>
                <w:color w:val="000000" w:themeColor="text1"/>
              </w:rPr>
              <w:t>4</w:t>
            </w:r>
            <w:r w:rsidR="00C347D8" w:rsidRPr="001B519E">
              <w:rPr>
                <w:color w:val="000000" w:themeColor="text1"/>
              </w:rPr>
              <w:t xml:space="preserve"> weeks </w:t>
            </w:r>
          </w:p>
        </w:tc>
      </w:tr>
      <w:tr w:rsidR="00C347D8" w14:paraId="03B3DA0F" w14:textId="77777777" w:rsidTr="005E75D9">
        <w:trPr>
          <w:cantSplit/>
        </w:trPr>
        <w:tc>
          <w:tcPr>
            <w:tcW w:w="4815" w:type="dxa"/>
          </w:tcPr>
          <w:p w14:paraId="2EA4F6D3" w14:textId="77777777" w:rsidR="00C347D8" w:rsidRPr="00B16B54" w:rsidRDefault="00C347D8" w:rsidP="005E75D9">
            <w:pPr>
              <w:pStyle w:val="TableText"/>
            </w:pPr>
            <w:r w:rsidRPr="00B16B54">
              <w:t>Approval of outcomes of selection process</w:t>
            </w:r>
          </w:p>
        </w:tc>
        <w:tc>
          <w:tcPr>
            <w:tcW w:w="3974" w:type="dxa"/>
          </w:tcPr>
          <w:p w14:paraId="099DBEF8" w14:textId="6CFEA5ED" w:rsidR="00C347D8" w:rsidRPr="001B519E" w:rsidRDefault="003E1B2B" w:rsidP="00F72DA9">
            <w:pPr>
              <w:pStyle w:val="TableText"/>
              <w:rPr>
                <w:color w:val="000000" w:themeColor="text1"/>
              </w:rPr>
            </w:pPr>
            <w:r w:rsidRPr="001B519E">
              <w:rPr>
                <w:color w:val="000000" w:themeColor="text1"/>
              </w:rPr>
              <w:t>2 weeks</w:t>
            </w:r>
            <w:r w:rsidR="00C347D8" w:rsidRPr="001B519E">
              <w:rPr>
                <w:color w:val="000000" w:themeColor="text1"/>
              </w:rPr>
              <w:t xml:space="preserve"> </w:t>
            </w:r>
          </w:p>
        </w:tc>
      </w:tr>
      <w:tr w:rsidR="00C347D8" w14:paraId="38F4F3B3" w14:textId="77777777" w:rsidTr="005E75D9">
        <w:trPr>
          <w:cantSplit/>
        </w:trPr>
        <w:tc>
          <w:tcPr>
            <w:tcW w:w="4815" w:type="dxa"/>
          </w:tcPr>
          <w:p w14:paraId="25C11A23" w14:textId="77777777" w:rsidR="00C347D8" w:rsidRPr="00B16B54" w:rsidRDefault="00C347D8" w:rsidP="005E75D9">
            <w:pPr>
              <w:pStyle w:val="TableText"/>
            </w:pPr>
            <w:r w:rsidRPr="00B16B54">
              <w:t>Negotiations and award of grant agreements</w:t>
            </w:r>
          </w:p>
        </w:tc>
        <w:tc>
          <w:tcPr>
            <w:tcW w:w="3974" w:type="dxa"/>
          </w:tcPr>
          <w:p w14:paraId="7C147C64" w14:textId="00306113" w:rsidR="00C347D8" w:rsidRPr="001B519E" w:rsidRDefault="00C05982" w:rsidP="00F72DA9">
            <w:pPr>
              <w:pStyle w:val="TableText"/>
              <w:rPr>
                <w:color w:val="000000" w:themeColor="text1"/>
              </w:rPr>
            </w:pPr>
            <w:r w:rsidRPr="001B519E">
              <w:rPr>
                <w:color w:val="000000" w:themeColor="text1"/>
              </w:rPr>
              <w:t xml:space="preserve">Up to </w:t>
            </w:r>
            <w:r w:rsidR="003E1B2B" w:rsidRPr="001B519E">
              <w:rPr>
                <w:color w:val="000000" w:themeColor="text1"/>
              </w:rPr>
              <w:t>3</w:t>
            </w:r>
            <w:r w:rsidR="00F72DA9" w:rsidRPr="001B519E">
              <w:rPr>
                <w:color w:val="000000" w:themeColor="text1"/>
              </w:rPr>
              <w:t xml:space="preserve"> weeks</w:t>
            </w:r>
          </w:p>
        </w:tc>
      </w:tr>
      <w:tr w:rsidR="00C347D8" w14:paraId="231FF7C8" w14:textId="77777777" w:rsidTr="005E75D9">
        <w:trPr>
          <w:cantSplit/>
        </w:trPr>
        <w:tc>
          <w:tcPr>
            <w:tcW w:w="4815" w:type="dxa"/>
          </w:tcPr>
          <w:p w14:paraId="2835FF1B" w14:textId="77777777" w:rsidR="00C347D8" w:rsidRPr="00B16B54" w:rsidRDefault="00C347D8" w:rsidP="005E75D9">
            <w:pPr>
              <w:pStyle w:val="TableText"/>
            </w:pPr>
            <w:r w:rsidRPr="00B16B54">
              <w:t>Notification to unsuccessful applicants</w:t>
            </w:r>
          </w:p>
        </w:tc>
        <w:tc>
          <w:tcPr>
            <w:tcW w:w="3974" w:type="dxa"/>
          </w:tcPr>
          <w:p w14:paraId="3A8889EC" w14:textId="5B08BFA3" w:rsidR="00C347D8" w:rsidRPr="001B519E" w:rsidRDefault="003E1B2B" w:rsidP="00F72DA9">
            <w:pPr>
              <w:pStyle w:val="TableText"/>
              <w:rPr>
                <w:color w:val="000000" w:themeColor="text1"/>
              </w:rPr>
            </w:pPr>
            <w:r w:rsidRPr="001B519E">
              <w:rPr>
                <w:color w:val="000000" w:themeColor="text1"/>
              </w:rPr>
              <w:t>2</w:t>
            </w:r>
            <w:r w:rsidR="00C347D8" w:rsidRPr="001B519E">
              <w:rPr>
                <w:color w:val="000000" w:themeColor="text1"/>
              </w:rPr>
              <w:t xml:space="preserve"> weeks</w:t>
            </w:r>
            <w:r w:rsidR="00AB177E" w:rsidRPr="001B519E">
              <w:rPr>
                <w:color w:val="000000" w:themeColor="text1"/>
              </w:rPr>
              <w:t xml:space="preserve"> </w:t>
            </w:r>
          </w:p>
        </w:tc>
      </w:tr>
      <w:tr w:rsidR="00C347D8" w14:paraId="4134F57F" w14:textId="77777777" w:rsidTr="005E75D9">
        <w:trPr>
          <w:cantSplit/>
        </w:trPr>
        <w:tc>
          <w:tcPr>
            <w:tcW w:w="4815" w:type="dxa"/>
          </w:tcPr>
          <w:p w14:paraId="1C716D5B"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467CEA4A" w14:textId="57071F61" w:rsidR="00C347D8" w:rsidRPr="001B519E" w:rsidRDefault="00E66774" w:rsidP="005E75D9">
            <w:pPr>
              <w:pStyle w:val="TableText"/>
              <w:rPr>
                <w:color w:val="000000" w:themeColor="text1"/>
              </w:rPr>
            </w:pPr>
            <w:r w:rsidRPr="001B519E">
              <w:rPr>
                <w:color w:val="000000" w:themeColor="text1"/>
              </w:rPr>
              <w:t>03</w:t>
            </w:r>
            <w:r w:rsidR="00C347D8" w:rsidRPr="001B519E">
              <w:rPr>
                <w:color w:val="000000" w:themeColor="text1"/>
              </w:rPr>
              <w:t>/</w:t>
            </w:r>
            <w:r w:rsidRPr="001B519E">
              <w:rPr>
                <w:color w:val="000000" w:themeColor="text1"/>
              </w:rPr>
              <w:t>2020</w:t>
            </w:r>
          </w:p>
        </w:tc>
      </w:tr>
      <w:tr w:rsidR="00C347D8" w14:paraId="2E5918B8" w14:textId="77777777" w:rsidTr="005E75D9">
        <w:trPr>
          <w:cantSplit/>
        </w:trPr>
        <w:tc>
          <w:tcPr>
            <w:tcW w:w="4815" w:type="dxa"/>
          </w:tcPr>
          <w:p w14:paraId="27BAD018"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44CE0315" w14:textId="79F726F7" w:rsidR="00C347D8" w:rsidRPr="001B519E" w:rsidRDefault="00E66774" w:rsidP="00E66774">
            <w:pPr>
              <w:pStyle w:val="TableText"/>
              <w:rPr>
                <w:color w:val="000000" w:themeColor="text1"/>
              </w:rPr>
            </w:pPr>
            <w:r w:rsidRPr="001B519E">
              <w:rPr>
                <w:color w:val="000000" w:themeColor="text1"/>
              </w:rPr>
              <w:t>30</w:t>
            </w:r>
            <w:r w:rsidR="00C347D8" w:rsidRPr="001B519E">
              <w:rPr>
                <w:color w:val="000000" w:themeColor="text1"/>
              </w:rPr>
              <w:t>/</w:t>
            </w:r>
            <w:r w:rsidRPr="001B519E">
              <w:rPr>
                <w:color w:val="000000" w:themeColor="text1"/>
              </w:rPr>
              <w:t>09</w:t>
            </w:r>
            <w:r w:rsidR="00C347D8" w:rsidRPr="001B519E">
              <w:rPr>
                <w:color w:val="000000" w:themeColor="text1"/>
              </w:rPr>
              <w:t>/</w:t>
            </w:r>
            <w:r w:rsidRPr="001B519E">
              <w:rPr>
                <w:color w:val="000000" w:themeColor="text1"/>
              </w:rPr>
              <w:t>2021</w:t>
            </w:r>
          </w:p>
        </w:tc>
      </w:tr>
    </w:tbl>
    <w:p w14:paraId="2B160763" w14:textId="77777777" w:rsidR="008778C3" w:rsidRDefault="008778C3" w:rsidP="009668F6">
      <w:pPr>
        <w:pStyle w:val="Heading3"/>
      </w:pPr>
      <w:bookmarkStart w:id="82" w:name="_Toc24705209"/>
      <w:r w:rsidRPr="00181A24">
        <w:t>Questions during the application process</w:t>
      </w:r>
      <w:bookmarkEnd w:id="82"/>
    </w:p>
    <w:p w14:paraId="5F51D206" w14:textId="52B22662" w:rsidR="008778C3" w:rsidRDefault="008778C3" w:rsidP="008778C3">
      <w:r>
        <w:t>If you have any questions during the application period</w:t>
      </w:r>
      <w:r w:rsidR="00CC7EEC">
        <w:t>,</w:t>
      </w:r>
      <w:r w:rsidR="00C05982">
        <w:rPr>
          <w:color w:val="0070C0"/>
        </w:rPr>
        <w:t xml:space="preserve"> </w:t>
      </w:r>
      <w:r>
        <w:t xml:space="preserve">contact </w:t>
      </w:r>
      <w:r w:rsidR="0081304B">
        <w:t>the Community Grants H</w:t>
      </w:r>
      <w:r w:rsidR="00F90355">
        <w:t>ub on 1800 020 283</w:t>
      </w:r>
      <w:r w:rsidR="009F5D09">
        <w:t xml:space="preserve"> (option 1)</w:t>
      </w:r>
      <w:r w:rsidR="00F90355">
        <w:t xml:space="preserve"> or email </w:t>
      </w:r>
      <w:hyperlink r:id="rId28" w:history="1">
        <w:r w:rsidR="00F90355" w:rsidRPr="000675F4">
          <w:rPr>
            <w:rStyle w:val="Hyperlink"/>
          </w:rPr>
          <w:t>support@communitygrants.gov.au</w:t>
        </w:r>
      </w:hyperlink>
      <w:r w:rsidR="00AF07F7">
        <w:t>.</w:t>
      </w:r>
    </w:p>
    <w:p w14:paraId="60F32BBC" w14:textId="2D58E09D"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proofErr w:type="gramStart"/>
      <w:r w:rsidR="002F7E8A">
        <w:t xml:space="preserve">are </w:t>
      </w:r>
      <w:r>
        <w:t>posted</w:t>
      </w:r>
      <w:proofErr w:type="gramEnd"/>
      <w:r>
        <w:t xml:space="preserve"> on</w:t>
      </w:r>
      <w:r w:rsidR="002B1AB0">
        <w:t xml:space="preserve"> the</w:t>
      </w:r>
      <w:r>
        <w:t xml:space="preserve"> </w:t>
      </w:r>
      <w:hyperlink r:id="rId29" w:history="1">
        <w:r w:rsidRPr="004D3D46">
          <w:rPr>
            <w:rStyle w:val="Hyperlink"/>
          </w:rPr>
          <w:t>GrantConnect</w:t>
        </w:r>
      </w:hyperlink>
      <w:r w:rsidR="00F90355">
        <w:t xml:space="preserve"> </w:t>
      </w:r>
      <w:r w:rsidR="00F90355" w:rsidRPr="00C05982">
        <w:t xml:space="preserve">and </w:t>
      </w:r>
      <w:hyperlink r:id="rId30" w:history="1">
        <w:r w:rsidR="00F90355" w:rsidRPr="00C05982">
          <w:rPr>
            <w:rStyle w:val="Hyperlink"/>
          </w:rPr>
          <w:t>Community Grants Hub</w:t>
        </w:r>
      </w:hyperlink>
      <w:r w:rsidR="00F90355" w:rsidRPr="00C05982">
        <w:t xml:space="preserve"> websites</w:t>
      </w:r>
      <w:r w:rsidRPr="00C05982">
        <w:t>.</w:t>
      </w:r>
    </w:p>
    <w:p w14:paraId="6BE1B94A" w14:textId="7CBC48A7" w:rsidR="00125362" w:rsidRPr="000673F8" w:rsidRDefault="00125362" w:rsidP="008778C3">
      <w:pPr>
        <w:rPr>
          <w:rFonts w:eastAsiaTheme="minorHAnsi" w:cstheme="minorBidi"/>
          <w:szCs w:val="22"/>
        </w:rPr>
      </w:pPr>
      <w:r w:rsidRPr="00125362">
        <w:rPr>
          <w:rFonts w:eastAsiaTheme="minorHAnsi" w:cstheme="minorBidi"/>
          <w:szCs w:val="22"/>
        </w:rPr>
        <w:t xml:space="preserve">The question period will close at 5:00PM </w:t>
      </w:r>
      <w:r w:rsidRPr="001B519E">
        <w:rPr>
          <w:rFonts w:eastAsiaTheme="minorHAnsi" w:cstheme="minorBidi"/>
          <w:szCs w:val="22"/>
        </w:rPr>
        <w:t xml:space="preserve">AEDT on </w:t>
      </w:r>
      <w:r w:rsidR="00D755EC">
        <w:rPr>
          <w:rFonts w:eastAsiaTheme="minorHAnsi" w:cstheme="minorBidi"/>
          <w:szCs w:val="22"/>
        </w:rPr>
        <w:t>24</w:t>
      </w:r>
      <w:r w:rsidR="00F01DC8" w:rsidRPr="001B519E">
        <w:rPr>
          <w:rFonts w:eastAsiaTheme="minorHAnsi" w:cstheme="minorBidi"/>
          <w:szCs w:val="22"/>
        </w:rPr>
        <w:t xml:space="preserve"> January 2020</w:t>
      </w:r>
      <w:r w:rsidRPr="001B519E">
        <w:rPr>
          <w:rFonts w:eastAsiaTheme="minorHAnsi" w:cstheme="minorBidi"/>
          <w:szCs w:val="22"/>
        </w:rPr>
        <w:t>. Following</w:t>
      </w:r>
      <w:r w:rsidRPr="00125362">
        <w:rPr>
          <w:rFonts w:eastAsiaTheme="minorHAnsi" w:cstheme="minorBidi"/>
          <w:szCs w:val="22"/>
        </w:rPr>
        <w:t xml:space="preserve">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AF07F7">
        <w:rPr>
          <w:rFonts w:eastAsiaTheme="minorHAnsi" w:cstheme="minorBidi"/>
          <w:szCs w:val="22"/>
        </w:rPr>
        <w:t xml:space="preserve">ication form </w:t>
      </w:r>
      <w:proofErr w:type="gramStart"/>
      <w:r w:rsidR="00AF07F7">
        <w:rPr>
          <w:rFonts w:eastAsiaTheme="minorHAnsi" w:cstheme="minorBidi"/>
          <w:szCs w:val="22"/>
        </w:rPr>
        <w:t>will be answered</w:t>
      </w:r>
      <w:proofErr w:type="gramEnd"/>
      <w:r w:rsidR="00AF07F7">
        <w:rPr>
          <w:rFonts w:eastAsiaTheme="minorHAnsi" w:cstheme="minorBidi"/>
          <w:szCs w:val="22"/>
        </w:rPr>
        <w:t>.</w:t>
      </w:r>
    </w:p>
    <w:p w14:paraId="4D8E3E99" w14:textId="77777777" w:rsidR="006E0B42" w:rsidRDefault="006E0B42" w:rsidP="009668F6">
      <w:pPr>
        <w:pStyle w:val="Heading2"/>
      </w:pPr>
      <w:bookmarkStart w:id="83" w:name="_Toc24705210"/>
      <w:r>
        <w:t>The grant selection process</w:t>
      </w:r>
      <w:bookmarkEnd w:id="83"/>
    </w:p>
    <w:p w14:paraId="65045104" w14:textId="77777777" w:rsidR="00032BB0" w:rsidRDefault="00032BB0" w:rsidP="00032BB0">
      <w:pPr>
        <w:pStyle w:val="Heading3"/>
      </w:pPr>
      <w:bookmarkStart w:id="84" w:name="_Toc24705211"/>
      <w:r>
        <w:t>Assessment of grant applications</w:t>
      </w:r>
      <w:bookmarkEnd w:id="84"/>
      <w:r>
        <w:t xml:space="preserve"> </w:t>
      </w:r>
    </w:p>
    <w:p w14:paraId="0DA55B1D" w14:textId="77777777" w:rsidR="00B87F96" w:rsidRPr="00C0447B" w:rsidRDefault="00B87F96" w:rsidP="00B87F96">
      <w:pPr>
        <w:rPr>
          <w:rFonts w:eastAsia="Calibri" w:cs="Arial"/>
        </w:rPr>
      </w:pPr>
      <w:r w:rsidRPr="00C0447B">
        <w:rPr>
          <w:rFonts w:eastAsia="Calibri" w:cs="Arial"/>
        </w:rPr>
        <w:t xml:space="preserve">Applications </w:t>
      </w:r>
      <w:proofErr w:type="gramStart"/>
      <w:r w:rsidRPr="00C0447B">
        <w:rPr>
          <w:rFonts w:eastAsia="Calibri" w:cs="Arial"/>
        </w:rPr>
        <w:t>will be assessed</w:t>
      </w:r>
      <w:proofErr w:type="gramEnd"/>
      <w:r w:rsidRPr="00C0447B">
        <w:rPr>
          <w:rFonts w:eastAsia="Calibri" w:cs="Arial"/>
        </w:rPr>
        <w:t xml:space="preserve"> based on the eligibility and assessment criteria as set out in these Grant Opportunity Guidelines.</w:t>
      </w:r>
    </w:p>
    <w:p w14:paraId="1BA5273A" w14:textId="2587CC28" w:rsidR="00B87F96" w:rsidRPr="00C0447B" w:rsidRDefault="00B87F96" w:rsidP="00B87F96">
      <w:pPr>
        <w:rPr>
          <w:rFonts w:eastAsia="Calibri" w:cs="Arial"/>
        </w:rPr>
      </w:pPr>
      <w:r w:rsidRPr="00C0447B">
        <w:rPr>
          <w:rFonts w:eastAsia="Calibri" w:cs="Arial"/>
        </w:rPr>
        <w:t xml:space="preserve">The Community Grants Hub will administer the selection process on behalf of the </w:t>
      </w:r>
      <w:r w:rsidRPr="005D0D13">
        <w:rPr>
          <w:rFonts w:cs="Arial"/>
        </w:rPr>
        <w:t>department</w:t>
      </w:r>
      <w:r w:rsidRPr="005D0D13">
        <w:rPr>
          <w:rFonts w:eastAsia="Calibri" w:cs="Arial"/>
        </w:rPr>
        <w:t xml:space="preserve"> </w:t>
      </w:r>
      <w:r w:rsidRPr="00C0447B">
        <w:rPr>
          <w:rFonts w:eastAsia="Calibri" w:cs="Arial"/>
        </w:rPr>
        <w:t>including assessing all applications for eligibility and compliance against the requiremen</w:t>
      </w:r>
      <w:r>
        <w:rPr>
          <w:rFonts w:eastAsia="Calibri" w:cs="Arial"/>
        </w:rPr>
        <w:t>ts of the application process. </w:t>
      </w:r>
      <w:r w:rsidRPr="005D0D13">
        <w:rPr>
          <w:rFonts w:eastAsia="Calibri" w:cs="Arial"/>
        </w:rPr>
        <w:t xml:space="preserve">The </w:t>
      </w:r>
      <w:r w:rsidRPr="005D0D13">
        <w:rPr>
          <w:rFonts w:cs="Arial"/>
        </w:rPr>
        <w:t xml:space="preserve">department </w:t>
      </w:r>
      <w:r w:rsidRPr="00C0447B">
        <w:rPr>
          <w:rFonts w:eastAsia="Calibri" w:cs="Arial"/>
        </w:rPr>
        <w:t xml:space="preserve">will have the final say whether an application </w:t>
      </w:r>
      <w:proofErr w:type="gramStart"/>
      <w:r w:rsidRPr="00C0447B">
        <w:rPr>
          <w:rFonts w:eastAsia="Calibri" w:cs="Arial"/>
        </w:rPr>
        <w:t>is removed</w:t>
      </w:r>
      <w:proofErr w:type="gramEnd"/>
      <w:r w:rsidRPr="00C0447B">
        <w:rPr>
          <w:rFonts w:eastAsia="Calibri" w:cs="Arial"/>
        </w:rPr>
        <w:t xml:space="preserve"> from </w:t>
      </w:r>
      <w:r w:rsidRPr="00C0447B">
        <w:rPr>
          <w:rFonts w:eastAsia="Calibri" w:cs="Arial"/>
        </w:rPr>
        <w:lastRenderedPageBreak/>
        <w:t xml:space="preserve">the process. Eligible applications </w:t>
      </w:r>
      <w:proofErr w:type="gramStart"/>
      <w:r w:rsidRPr="00C0447B">
        <w:rPr>
          <w:rFonts w:eastAsia="Calibri" w:cs="Arial"/>
        </w:rPr>
        <w:t>will then be considered</w:t>
      </w:r>
      <w:proofErr w:type="gramEnd"/>
      <w:r w:rsidRPr="00C0447B">
        <w:rPr>
          <w:rFonts w:eastAsia="Calibri" w:cs="Arial"/>
        </w:rPr>
        <w:t xml:space="preserve"> through an </w:t>
      </w:r>
      <w:r w:rsidRPr="005D0D13">
        <w:rPr>
          <w:rFonts w:cs="Arial"/>
        </w:rPr>
        <w:t xml:space="preserve">open competitive </w:t>
      </w:r>
      <w:r w:rsidRPr="00C0447B">
        <w:rPr>
          <w:rFonts w:eastAsia="Calibri" w:cs="Arial"/>
        </w:rPr>
        <w:t>grant process.</w:t>
      </w:r>
    </w:p>
    <w:p w14:paraId="342A644C" w14:textId="77777777" w:rsidR="00C157E9" w:rsidRDefault="00C157E9" w:rsidP="009668F6">
      <w:pPr>
        <w:pStyle w:val="Heading3"/>
      </w:pPr>
      <w:bookmarkStart w:id="85" w:name="_Toc24705212"/>
      <w:r>
        <w:t xml:space="preserve">Who will assess </w:t>
      </w:r>
      <w:r w:rsidR="001A2806">
        <w:t xml:space="preserve">and select </w:t>
      </w:r>
      <w:r>
        <w:t>applications?</w:t>
      </w:r>
      <w:bookmarkEnd w:id="85"/>
    </w:p>
    <w:p w14:paraId="7CC75C8D" w14:textId="03036590" w:rsidR="007E4B7E" w:rsidRDefault="00637EBC" w:rsidP="007E4B7E">
      <w:pPr>
        <w:spacing w:before="120"/>
        <w:rPr>
          <w:rFonts w:cs="Arial"/>
        </w:rPr>
      </w:pPr>
      <w:r w:rsidRPr="007E4B7E">
        <w:rPr>
          <w:rFonts w:cs="Arial"/>
        </w:rPr>
        <w:t xml:space="preserve">The </w:t>
      </w:r>
      <w:r>
        <w:rPr>
          <w:rFonts w:cs="Arial"/>
        </w:rPr>
        <w:t xml:space="preserve">department’s Selection Advisory Panel (SAP) </w:t>
      </w:r>
      <w:r w:rsidRPr="007E4B7E">
        <w:rPr>
          <w:rFonts w:cs="Arial"/>
        </w:rPr>
        <w:t>will include departmental officers with relevant experience.</w:t>
      </w:r>
      <w:r>
        <w:rPr>
          <w:rFonts w:cs="Arial"/>
        </w:rPr>
        <w:t xml:space="preserve"> The SAP</w:t>
      </w:r>
      <w:r w:rsidR="007E4B7E" w:rsidRPr="007E4B7E">
        <w:rPr>
          <w:rFonts w:cs="Arial"/>
        </w:rPr>
        <w:t xml:space="preserve"> will assess each eligible and compliant application on its merit and compare it </w:t>
      </w:r>
      <w:r w:rsidR="00AF07F7">
        <w:rPr>
          <w:rFonts w:cs="Arial"/>
        </w:rPr>
        <w:t>to other eligible applications.</w:t>
      </w:r>
    </w:p>
    <w:p w14:paraId="03BADE79" w14:textId="77777777" w:rsidR="00B87F96" w:rsidRPr="00A632E3" w:rsidRDefault="00B87F96" w:rsidP="00B87F96">
      <w:r>
        <w:t>The SAP will consider y</w:t>
      </w:r>
      <w:r w:rsidRPr="00A632E3">
        <w:t>our application on its merits, based on:</w:t>
      </w:r>
    </w:p>
    <w:p w14:paraId="32F56E52" w14:textId="648A5E22" w:rsidR="00B87F96" w:rsidRPr="00A632E3" w:rsidRDefault="00AF07F7" w:rsidP="00B87F96">
      <w:pPr>
        <w:pStyle w:val="ListBullet"/>
      </w:pPr>
      <w:r>
        <w:t>how well it meets the criteria</w:t>
      </w:r>
    </w:p>
    <w:p w14:paraId="0C9619A2" w14:textId="12BB7D9B" w:rsidR="00B87F96" w:rsidRPr="00A632E3" w:rsidRDefault="00B87F96" w:rsidP="00B87F96">
      <w:pPr>
        <w:pStyle w:val="ListBullet"/>
      </w:pPr>
      <w:r w:rsidRPr="00A632E3">
        <w:t>how it</w:t>
      </w:r>
      <w:r w:rsidR="00AF07F7">
        <w:t xml:space="preserve"> compares to other applications</w:t>
      </w:r>
    </w:p>
    <w:p w14:paraId="75620728" w14:textId="77777777" w:rsidR="00B87F96" w:rsidRPr="00A632E3" w:rsidRDefault="00B87F96" w:rsidP="008820D2">
      <w:pPr>
        <w:pStyle w:val="ListBullet"/>
        <w:numPr>
          <w:ilvl w:val="0"/>
          <w:numId w:val="20"/>
        </w:numPr>
      </w:pPr>
      <w:proofErr w:type="gramStart"/>
      <w:r>
        <w:t>whether</w:t>
      </w:r>
      <w:proofErr w:type="gramEnd"/>
      <w:r>
        <w:t xml:space="preserve"> it provides value with relevant</w:t>
      </w:r>
      <w:r w:rsidRPr="00A632E3">
        <w:t xml:space="preserve"> money.</w:t>
      </w:r>
      <w:r>
        <w:rPr>
          <w:rStyle w:val="FootnoteReference"/>
        </w:rPr>
        <w:footnoteReference w:id="9"/>
      </w:r>
    </w:p>
    <w:p w14:paraId="4CB98949" w14:textId="0F1E1BC6" w:rsidR="00B87F96" w:rsidRPr="005F69E4" w:rsidRDefault="00B87F96" w:rsidP="00B87F96">
      <w:pPr>
        <w:pStyle w:val="ListBullet"/>
        <w:numPr>
          <w:ilvl w:val="0"/>
          <w:numId w:val="0"/>
        </w:numPr>
        <w:rPr>
          <w:rFonts w:cs="Arial"/>
        </w:rPr>
      </w:pPr>
      <w:r>
        <w:rPr>
          <w:rFonts w:cs="Arial"/>
        </w:rPr>
        <w:t>W</w:t>
      </w:r>
      <w:r w:rsidRPr="00E356CC">
        <w:rPr>
          <w:rFonts w:cs="Arial"/>
        </w:rPr>
        <w:t>hen assessing the extent to which the application represents va</w:t>
      </w:r>
      <w:r w:rsidRPr="005F69E4">
        <w:rPr>
          <w:rFonts w:cs="Arial"/>
        </w:rPr>
        <w:t>lue with relevant money</w:t>
      </w:r>
      <w:r>
        <w:rPr>
          <w:rFonts w:cs="Arial"/>
        </w:rPr>
        <w:t>, the SAP will have regard to</w:t>
      </w:r>
      <w:r w:rsidR="00AF07F7">
        <w:rPr>
          <w:rFonts w:cs="Arial"/>
        </w:rPr>
        <w:t xml:space="preserve"> the:</w:t>
      </w:r>
    </w:p>
    <w:p w14:paraId="04D483D3" w14:textId="6DC9EA50" w:rsidR="00B87F96" w:rsidRPr="00DE5CF4" w:rsidRDefault="00B87F96" w:rsidP="00B87F96">
      <w:pPr>
        <w:pStyle w:val="ListBullet"/>
      </w:pPr>
      <w:r w:rsidRPr="00DD61AF">
        <w:t>overall objective/s to be achieved in providing the grant</w:t>
      </w:r>
    </w:p>
    <w:p w14:paraId="67D1E202" w14:textId="133001A7" w:rsidR="00B87F96" w:rsidRPr="009E283B" w:rsidRDefault="00B87F96" w:rsidP="00B87F96">
      <w:pPr>
        <w:pStyle w:val="ListBullet"/>
      </w:pPr>
      <w:r w:rsidRPr="00DE5CF4">
        <w:t xml:space="preserve">relative </w:t>
      </w:r>
      <w:r w:rsidRPr="00FC5953">
        <w:t>value of the grant sought</w:t>
      </w:r>
    </w:p>
    <w:p w14:paraId="79D854F1" w14:textId="77777777" w:rsidR="00B87F96" w:rsidRPr="009E283B" w:rsidRDefault="00B87F96" w:rsidP="00B87F96">
      <w:pPr>
        <w:pStyle w:val="ListBullet"/>
      </w:pPr>
      <w:r w:rsidRPr="009E283B">
        <w:t>extent to which the geographic location of the application matches identified priorities</w:t>
      </w:r>
    </w:p>
    <w:p w14:paraId="7B3FA92B" w14:textId="36C91208" w:rsidR="00B87F96" w:rsidRPr="009E283B" w:rsidRDefault="00B87F96" w:rsidP="00B87F96">
      <w:pPr>
        <w:pStyle w:val="ListBullet"/>
      </w:pPr>
      <w:r w:rsidRPr="009E283B">
        <w:t xml:space="preserve">extent to which the evidence in the application demonstrates that it will contribute to </w:t>
      </w:r>
      <w:r w:rsidR="00AF07F7">
        <w:t>meeting the outcomes/objectives</w:t>
      </w:r>
    </w:p>
    <w:p w14:paraId="5449CE21" w14:textId="2A3D66BF" w:rsidR="00B87F96" w:rsidRDefault="00B87F96" w:rsidP="00B87F96">
      <w:pPr>
        <w:pStyle w:val="ListBullet"/>
      </w:pPr>
      <w:r>
        <w:t>scale of impact or benefit that the grant activities will achieve</w:t>
      </w:r>
    </w:p>
    <w:p w14:paraId="2E75BD67" w14:textId="29CE8BEB" w:rsidR="00B87F96" w:rsidRPr="00D17169" w:rsidRDefault="00B87F96" w:rsidP="00B87F96">
      <w:pPr>
        <w:pStyle w:val="ListBullet"/>
      </w:pPr>
      <w:proofErr w:type="gramStart"/>
      <w:r>
        <w:t>balance</w:t>
      </w:r>
      <w:proofErr w:type="gramEnd"/>
      <w:r>
        <w:t xml:space="preserve"> and distribution of grant activities across Australian agricultural sectors and industries, project types or activities, and trading partners.</w:t>
      </w:r>
    </w:p>
    <w:p w14:paraId="073682A4" w14:textId="447ECF68" w:rsidR="007E4B7E" w:rsidRPr="007E4B7E" w:rsidRDefault="007E4B7E" w:rsidP="007E4B7E">
      <w:pPr>
        <w:rPr>
          <w:rFonts w:cs="Arial"/>
        </w:rPr>
      </w:pPr>
      <w:r w:rsidRPr="007E4B7E">
        <w:rPr>
          <w:rFonts w:cs="Arial"/>
        </w:rPr>
        <w:t xml:space="preserve">The </w:t>
      </w:r>
      <w:r w:rsidR="00637EBC">
        <w:rPr>
          <w:rFonts w:cs="Arial"/>
        </w:rPr>
        <w:t>SAP</w:t>
      </w:r>
      <w:r w:rsidRPr="007E4B7E">
        <w:rPr>
          <w:rFonts w:cs="Arial"/>
        </w:rPr>
        <w:t xml:space="preserve"> may seek additional information about you or your application and this may delay completion of the selection process. They may do this from within the Commonwealth, even if </w:t>
      </w:r>
      <w:proofErr w:type="gramStart"/>
      <w:r w:rsidRPr="007E4B7E">
        <w:rPr>
          <w:rFonts w:cs="Arial"/>
        </w:rPr>
        <w:t>the sources are not nominated by you</w:t>
      </w:r>
      <w:proofErr w:type="gramEnd"/>
      <w:r w:rsidRPr="007E4B7E">
        <w:rPr>
          <w:rFonts w:cs="Arial"/>
        </w:rPr>
        <w:t xml:space="preserve"> as referees. The </w:t>
      </w:r>
      <w:r w:rsidR="00637EBC">
        <w:rPr>
          <w:rFonts w:cs="Arial"/>
        </w:rPr>
        <w:t>SAP</w:t>
      </w:r>
      <w:r w:rsidRPr="007E4B7E">
        <w:rPr>
          <w:rFonts w:cs="Arial"/>
        </w:rPr>
        <w:t xml:space="preserve"> may also consider information about you or your application that is available through the normal course of business.</w:t>
      </w:r>
    </w:p>
    <w:p w14:paraId="513E72F7" w14:textId="46762DDA" w:rsidR="007E4B7E" w:rsidRPr="007E4B7E" w:rsidRDefault="007E4B7E" w:rsidP="007E4B7E">
      <w:pPr>
        <w:rPr>
          <w:rFonts w:cs="Arial"/>
        </w:rPr>
      </w:pPr>
      <w:r w:rsidRPr="007E4B7E">
        <w:rPr>
          <w:rFonts w:cs="Arial"/>
        </w:rPr>
        <w:t xml:space="preserve">The </w:t>
      </w:r>
      <w:r w:rsidR="00637EBC">
        <w:rPr>
          <w:rFonts w:cs="Arial"/>
        </w:rPr>
        <w:t>SAP</w:t>
      </w:r>
      <w:r w:rsidRPr="007E4B7E">
        <w:rPr>
          <w:rFonts w:cs="Arial"/>
        </w:rPr>
        <w:t xml:space="preserve"> recommends to the decision maker</w:t>
      </w:r>
      <w:r w:rsidRPr="007E4B7E">
        <w:rPr>
          <w:rFonts w:cs="Arial"/>
          <w:color w:val="0070C0"/>
        </w:rPr>
        <w:t xml:space="preserve"> </w:t>
      </w:r>
      <w:r w:rsidRPr="007E4B7E">
        <w:rPr>
          <w:rFonts w:cs="Arial"/>
        </w:rPr>
        <w:t>which applications to approve for a grant.</w:t>
      </w:r>
    </w:p>
    <w:p w14:paraId="3FBE5E41" w14:textId="77777777" w:rsidR="00C157E9" w:rsidRDefault="00C157E9" w:rsidP="009668F6">
      <w:pPr>
        <w:pStyle w:val="Heading3"/>
      </w:pPr>
      <w:bookmarkStart w:id="86" w:name="_Toc24705213"/>
      <w:r>
        <w:t>Who will approve grants?</w:t>
      </w:r>
      <w:bookmarkEnd w:id="86"/>
    </w:p>
    <w:p w14:paraId="06BA7B65" w14:textId="199EC8A5" w:rsidR="00C157E9" w:rsidRDefault="00290F8D" w:rsidP="00C157E9">
      <w:r>
        <w:t>Senator the Hon Bridget McKenzie,</w:t>
      </w:r>
      <w:r w:rsidR="007E4B7E">
        <w:t xml:space="preserve"> Ministe</w:t>
      </w:r>
      <w:r w:rsidR="00637EBC">
        <w:t>r</w:t>
      </w:r>
      <w:r>
        <w:t xml:space="preserve"> for Agriculture</w:t>
      </w:r>
      <w:r w:rsidR="00637EBC">
        <w:t xml:space="preserve"> will delegate an appropriate o</w:t>
      </w:r>
      <w:r w:rsidR="007E4B7E">
        <w:t xml:space="preserve">fficer from, Trade and Market Access Division of the department who will act as the decision maker. They will </w:t>
      </w:r>
      <w:r w:rsidR="002B5733">
        <w:t>d</w:t>
      </w:r>
      <w:r w:rsidR="00C157E9">
        <w:t xml:space="preserve">ecide which grants to approve </w:t>
      </w:r>
      <w:r w:rsidR="004F222D">
        <w:t>based on</w:t>
      </w:r>
      <w:r w:rsidR="00C157E9">
        <w:t xml:space="preserve"> the recommendations of the </w:t>
      </w:r>
      <w:r w:rsidR="00637EBC">
        <w:t>SAP</w:t>
      </w:r>
      <w:r w:rsidR="003416C1" w:rsidRPr="00103A95">
        <w:t xml:space="preserve"> </w:t>
      </w:r>
      <w:r w:rsidR="00C157E9">
        <w:t>and the availability of grant funds</w:t>
      </w:r>
      <w:r w:rsidR="00BB272F">
        <w:t xml:space="preserve"> for the purposes of the </w:t>
      </w:r>
      <w:r w:rsidR="00090431">
        <w:t xml:space="preserve">grant </w:t>
      </w:r>
      <w:r w:rsidR="00BB272F">
        <w:t>program</w:t>
      </w:r>
      <w:r w:rsidR="00C157E9">
        <w:t>.</w:t>
      </w:r>
    </w:p>
    <w:p w14:paraId="3B1C7DC0" w14:textId="4C5C61D6"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CA6035">
        <w:t xml:space="preserve"> the</w:t>
      </w:r>
      <w:r w:rsidRPr="00103A95">
        <w:t>:</w:t>
      </w:r>
    </w:p>
    <w:p w14:paraId="4F110118" w14:textId="3CF13C0A" w:rsidR="00C157E9" w:rsidRPr="00103A95" w:rsidRDefault="00C157E9" w:rsidP="00C157E9">
      <w:pPr>
        <w:pStyle w:val="ListBullet"/>
      </w:pPr>
      <w:r w:rsidRPr="00103A95">
        <w:t>approval of the grant</w:t>
      </w:r>
    </w:p>
    <w:p w14:paraId="5A63E775" w14:textId="24F762F5" w:rsidR="00C157E9" w:rsidRPr="00103A95" w:rsidRDefault="00C157E9" w:rsidP="00C157E9">
      <w:pPr>
        <w:pStyle w:val="ListBullet"/>
      </w:pPr>
      <w:r w:rsidRPr="00103A95">
        <w:t>grant funding amount to be awarded</w:t>
      </w:r>
    </w:p>
    <w:p w14:paraId="45B3695E" w14:textId="5A59F5C1" w:rsidR="00E459C5" w:rsidRDefault="00C157E9" w:rsidP="00E459C5">
      <w:pPr>
        <w:pStyle w:val="ListBullet"/>
      </w:pPr>
      <w:proofErr w:type="gramStart"/>
      <w:r w:rsidRPr="00103A95">
        <w:t>ter</w:t>
      </w:r>
      <w:r w:rsidR="00CA6035">
        <w:t>ms</w:t>
      </w:r>
      <w:proofErr w:type="gramEnd"/>
      <w:r w:rsidR="00CA6035">
        <w:t xml:space="preserve"> and conditions of the grant.</w:t>
      </w:r>
    </w:p>
    <w:p w14:paraId="0EDE0A47" w14:textId="54183A4B" w:rsidR="00E459C5" w:rsidRPr="00103A95" w:rsidRDefault="00E459C5" w:rsidP="00181A24">
      <w:pPr>
        <w:pStyle w:val="ListBullet"/>
        <w:numPr>
          <w:ilvl w:val="0"/>
          <w:numId w:val="0"/>
        </w:numPr>
      </w:pPr>
      <w:r>
        <w:t>There is no appeal mechanism for decisions to approve or not approve a grant.</w:t>
      </w:r>
    </w:p>
    <w:p w14:paraId="773CF213" w14:textId="77777777" w:rsidR="00DB5819" w:rsidRDefault="00FB0C71" w:rsidP="009668F6">
      <w:pPr>
        <w:pStyle w:val="Heading2"/>
      </w:pPr>
      <w:bookmarkStart w:id="87" w:name="_Toc24705214"/>
      <w:r>
        <w:lastRenderedPageBreak/>
        <w:t>Notification of application outcomes</w:t>
      </w:r>
      <w:bookmarkEnd w:id="87"/>
    </w:p>
    <w:p w14:paraId="781FAA27" w14:textId="644AC7FE" w:rsidR="00FB0C71" w:rsidRDefault="00705C93" w:rsidP="00FB0C71">
      <w:r>
        <w:t>We</w:t>
      </w:r>
      <w:r w:rsidR="003349F3">
        <w:t xml:space="preserve"> </w:t>
      </w:r>
      <w:r w:rsidR="00272178">
        <w:t xml:space="preserve">will </w:t>
      </w:r>
      <w:r w:rsidR="007E4B7E">
        <w:t>advise you of</w:t>
      </w:r>
      <w:r w:rsidR="00FB0C71" w:rsidRPr="00B72EE8">
        <w:t xml:space="preserve"> the outcome of </w:t>
      </w:r>
      <w:r w:rsidR="00FB0C71">
        <w:t xml:space="preserve">your </w:t>
      </w:r>
      <w:r w:rsidR="00FB0C71" w:rsidRPr="002E0C03">
        <w:t>application</w:t>
      </w:r>
      <w:r w:rsidR="007E4B7E">
        <w:t xml:space="preserve"> in writing</w:t>
      </w:r>
      <w:r w:rsidR="001A1C64">
        <w:t xml:space="preserve">. </w:t>
      </w:r>
      <w:r w:rsidR="00FB0C71" w:rsidRPr="00C25555">
        <w:t xml:space="preserve">If you are successful, </w:t>
      </w:r>
      <w:r w:rsidR="00A65BDC">
        <w:t xml:space="preserve">you </w:t>
      </w:r>
      <w:proofErr w:type="gramStart"/>
      <w:r w:rsidR="006149B3">
        <w:t>are</w:t>
      </w:r>
      <w:r w:rsidR="00832F34">
        <w:t xml:space="preserve"> </w:t>
      </w:r>
      <w:r w:rsidR="00272178">
        <w:t>advise</w:t>
      </w:r>
      <w:r w:rsidR="00A65BDC">
        <w:t>d</w:t>
      </w:r>
      <w:proofErr w:type="gramEnd"/>
      <w:r w:rsidR="00272178">
        <w:t xml:space="preserve"> of</w:t>
      </w:r>
      <w:r w:rsidR="00FB0C71" w:rsidRPr="00C25555">
        <w:t xml:space="preserve"> any </w:t>
      </w:r>
      <w:r w:rsidR="00FB0C71" w:rsidRPr="00B72EE8">
        <w:t xml:space="preserve">specific conditions attached to the </w:t>
      </w:r>
      <w:r w:rsidR="00FB0C71">
        <w:t>grant</w:t>
      </w:r>
      <w:r w:rsidR="00CA6035">
        <w:t>.</w:t>
      </w:r>
    </w:p>
    <w:p w14:paraId="71CF7FB1" w14:textId="08B89F4F"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4062AE4C" w14:textId="77777777" w:rsidR="00FB0C71" w:rsidRDefault="00FB0C71" w:rsidP="009668F6">
      <w:pPr>
        <w:pStyle w:val="Heading3"/>
      </w:pPr>
      <w:bookmarkStart w:id="88" w:name="_Toc24705215"/>
      <w:r w:rsidRPr="00FB0C71">
        <w:t>Feedback on your application</w:t>
      </w:r>
      <w:bookmarkEnd w:id="88"/>
    </w:p>
    <w:p w14:paraId="2DCCE2F6" w14:textId="5B641E64" w:rsidR="00C1395C" w:rsidRDefault="00C1395C" w:rsidP="00FB0C71">
      <w:pPr>
        <w:rPr>
          <w:rFonts w:cs="Arial"/>
        </w:rPr>
      </w:pPr>
      <w:r w:rsidRPr="008E74E9">
        <w:rPr>
          <w:rFonts w:cs="Arial"/>
        </w:rPr>
        <w:t>Individual feedback will be available</w:t>
      </w:r>
      <w:r w:rsidR="00E66774" w:rsidRPr="008E74E9">
        <w:rPr>
          <w:rFonts w:cs="Arial"/>
        </w:rPr>
        <w:t xml:space="preserve"> on request</w:t>
      </w:r>
      <w:r w:rsidRPr="008E74E9">
        <w:rPr>
          <w:rFonts w:cs="Arial"/>
        </w:rPr>
        <w:t>. The process for requesting individual feedback will be included in the letter advising of t</w:t>
      </w:r>
      <w:r w:rsidR="00CA6035">
        <w:rPr>
          <w:rFonts w:cs="Arial"/>
        </w:rPr>
        <w:t>he outcome of your application.</w:t>
      </w:r>
    </w:p>
    <w:p w14:paraId="6B11CE06" w14:textId="61C26EBB" w:rsidR="00484C13" w:rsidRDefault="00484C13" w:rsidP="00222862">
      <w:pPr>
        <w:pStyle w:val="Heading3"/>
      </w:pPr>
      <w:bookmarkStart w:id="89" w:name="_Toc24705216"/>
      <w:r w:rsidRPr="00484C13">
        <w:t>Further grant opportunities</w:t>
      </w:r>
      <w:bookmarkEnd w:id="89"/>
    </w:p>
    <w:p w14:paraId="7476BC1E" w14:textId="77777777" w:rsidR="00484C13" w:rsidRDefault="00484C13" w:rsidP="00484C13">
      <w:pPr>
        <w:pStyle w:val="ListBullet"/>
        <w:numPr>
          <w:ilvl w:val="0"/>
          <w:numId w:val="0"/>
        </w:numPr>
        <w:spacing w:after="120"/>
        <w:rPr>
          <w:rFonts w:cs="Arial"/>
        </w:rPr>
      </w:pPr>
      <w:r w:rsidRPr="00DE16ED">
        <w:rPr>
          <w:rFonts w:cs="Arial"/>
        </w:rPr>
        <w:t>From time to time ATMAC may use a one-off, ad-hoc selection process for allocating funds to address emerging issues on an ‘as needs’ basis to enable responsiveness to changing needs and priorities.</w:t>
      </w:r>
    </w:p>
    <w:p w14:paraId="1A3E568A" w14:textId="77777777" w:rsidR="00DB5819" w:rsidRDefault="00FB0C71" w:rsidP="009668F6">
      <w:pPr>
        <w:pStyle w:val="Heading2"/>
      </w:pPr>
      <w:bookmarkStart w:id="90" w:name="_Toc525295546"/>
      <w:bookmarkStart w:id="91" w:name="_Toc525552144"/>
      <w:bookmarkStart w:id="92" w:name="_Toc525722844"/>
      <w:bookmarkStart w:id="93" w:name="_Toc24705217"/>
      <w:bookmarkEnd w:id="90"/>
      <w:bookmarkEnd w:id="91"/>
      <w:bookmarkEnd w:id="92"/>
      <w:r>
        <w:t>Successful grant applications</w:t>
      </w:r>
      <w:bookmarkEnd w:id="93"/>
    </w:p>
    <w:p w14:paraId="648AB4E3" w14:textId="77777777" w:rsidR="00FB0C71" w:rsidRPr="00FB0C71" w:rsidRDefault="00FB0C71" w:rsidP="009668F6">
      <w:pPr>
        <w:pStyle w:val="Heading3"/>
      </w:pPr>
      <w:bookmarkStart w:id="94" w:name="_Toc24705218"/>
      <w:r>
        <w:t>The grant agreement</w:t>
      </w:r>
      <w:bookmarkEnd w:id="94"/>
    </w:p>
    <w:p w14:paraId="2EA4A01D" w14:textId="4C9E3446" w:rsidR="000A4D8A" w:rsidRDefault="0000694F" w:rsidP="00756BBB">
      <w:bookmarkStart w:id="95" w:name="_Toc466898121"/>
      <w:bookmarkEnd w:id="73"/>
      <w:bookmarkEnd w:id="74"/>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will offer successful applicants</w:t>
      </w:r>
      <w:r w:rsidR="00CA3900">
        <w:t xml:space="preserve"> a</w:t>
      </w:r>
      <w:r w:rsidR="007E4B7E">
        <w:t xml:space="preserve"> Commonwealth Simple Grant Agreement</w:t>
      </w:r>
      <w:r w:rsidR="007E4B7E">
        <w:rPr>
          <w:color w:val="0070C0"/>
        </w:rPr>
        <w:t xml:space="preserve"> </w:t>
      </w:r>
      <w:r w:rsidR="00DA3DCF">
        <w:t>for</w:t>
      </w:r>
      <w:r w:rsidR="00A51A3F">
        <w:t xml:space="preserve"> </w:t>
      </w:r>
      <w:r w:rsidR="00B65B88">
        <w:t>this</w:t>
      </w:r>
      <w:r w:rsidR="00A51A3F">
        <w:t xml:space="preserve"> </w:t>
      </w:r>
      <w:r w:rsidR="00DA3DCF">
        <w:t>grant opportunity.</w:t>
      </w:r>
    </w:p>
    <w:p w14:paraId="6163A71F" w14:textId="27DD5066" w:rsidR="00756BBB" w:rsidRPr="00566D72" w:rsidRDefault="00705C93" w:rsidP="00756BBB">
      <w:pPr>
        <w:rPr>
          <w:color w:val="0070C0"/>
        </w:rPr>
      </w:pPr>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proofErr w:type="gramStart"/>
      <w:r w:rsidR="00AC289B">
        <w:t>is executed</w:t>
      </w:r>
      <w:proofErr w:type="gramEnd"/>
      <w:r w:rsidR="00AC289B">
        <w:t>.</w:t>
      </w:r>
      <w:r w:rsidR="007E4B7E">
        <w:t xml:space="preserve"> You must not start any ATMAC grant activities until a grant agreement </w:t>
      </w:r>
      <w:proofErr w:type="gramStart"/>
      <w:r w:rsidR="007E4B7E">
        <w:t>is executed</w:t>
      </w:r>
      <w:proofErr w:type="gramEnd"/>
    </w:p>
    <w:p w14:paraId="2BBADA06" w14:textId="77777777" w:rsidR="00756BBB" w:rsidRDefault="00756BBB" w:rsidP="00756BBB">
      <w:r>
        <w:t xml:space="preserve">The Commonwealth may recover grant funds if there is a breach of the </w:t>
      </w:r>
      <w:r w:rsidR="00AE3DAF" w:rsidRPr="00AE3DAF">
        <w:t>grant agreement</w:t>
      </w:r>
      <w:r>
        <w:t>.</w:t>
      </w:r>
    </w:p>
    <w:p w14:paraId="23E4C1EC" w14:textId="649127AB" w:rsidR="003352E2" w:rsidRPr="00F1569F" w:rsidRDefault="003352E2" w:rsidP="003352E2">
      <w:pPr>
        <w:rPr>
          <w:b/>
        </w:rPr>
      </w:pPr>
      <w:bookmarkStart w:id="96" w:name="_Toc468693652"/>
      <w:r w:rsidRPr="00F1569F">
        <w:rPr>
          <w:b/>
        </w:rPr>
        <w:t>Commonwealth</w:t>
      </w:r>
      <w:r w:rsidRPr="000A0286">
        <w:rPr>
          <w:b/>
        </w:rPr>
        <w:t xml:space="preserve"> </w:t>
      </w:r>
      <w:r w:rsidRPr="00490FE7">
        <w:rPr>
          <w:b/>
        </w:rPr>
        <w:t xml:space="preserve">Simple </w:t>
      </w:r>
      <w:r w:rsidRPr="00F1569F">
        <w:rPr>
          <w:b/>
        </w:rPr>
        <w:t>Grant Agreement</w:t>
      </w:r>
      <w:bookmarkEnd w:id="96"/>
      <w:r w:rsidRPr="00F1569F">
        <w:rPr>
          <w:b/>
        </w:rPr>
        <w:t xml:space="preserve"> </w:t>
      </w:r>
    </w:p>
    <w:p w14:paraId="19F03136" w14:textId="2600E182" w:rsidR="003352E2" w:rsidRPr="005E5DCD" w:rsidRDefault="003352E2" w:rsidP="003352E2">
      <w:r>
        <w:rPr>
          <w:iCs/>
        </w:rPr>
        <w:t>We</w:t>
      </w:r>
      <w:r w:rsidRPr="00F1569F">
        <w:rPr>
          <w:iCs/>
          <w:color w:val="548DD4" w:themeColor="text2" w:themeTint="99"/>
        </w:rPr>
        <w:t xml:space="preserve"> </w:t>
      </w:r>
      <w:r w:rsidRPr="008B5C65">
        <w:rPr>
          <w:iCs/>
        </w:rPr>
        <w:t xml:space="preserve">will use a </w:t>
      </w:r>
      <w:r w:rsidRPr="000A0286">
        <w:rPr>
          <w:iCs/>
        </w:rPr>
        <w:t xml:space="preserve">Commonwealth </w:t>
      </w:r>
      <w:r w:rsidRPr="00490FE7">
        <w:rPr>
          <w:iCs/>
        </w:rPr>
        <w:t xml:space="preserve">Simple </w:t>
      </w:r>
      <w:r w:rsidR="00052936">
        <w:rPr>
          <w:iCs/>
        </w:rPr>
        <w:t>G</w:t>
      </w:r>
      <w:r w:rsidRPr="00AE3DAF">
        <w:rPr>
          <w:iCs/>
        </w:rPr>
        <w:t xml:space="preserve">rant </w:t>
      </w:r>
      <w:r w:rsidR="00052936">
        <w:rPr>
          <w:iCs/>
        </w:rPr>
        <w:t>A</w:t>
      </w:r>
      <w:r w:rsidRPr="00AE3DAF">
        <w:rPr>
          <w:iCs/>
        </w:rPr>
        <w:t>greement</w:t>
      </w:r>
      <w:r w:rsidRPr="00F1569F">
        <w:rPr>
          <w:iCs/>
        </w:rPr>
        <w:t>.</w:t>
      </w:r>
    </w:p>
    <w:p w14:paraId="2E9C9A1E" w14:textId="77777777" w:rsidR="003352E2" w:rsidRDefault="003352E2" w:rsidP="003352E2">
      <w:pPr>
        <w:rPr>
          <w:iCs/>
        </w:rPr>
      </w:pPr>
      <w:r w:rsidRPr="0001641E">
        <w:rPr>
          <w:iCs/>
        </w:rPr>
        <w:t xml:space="preserve">You will </w:t>
      </w:r>
      <w:r w:rsidRPr="00705C93">
        <w:rPr>
          <w:iCs/>
        </w:rPr>
        <w:t>have</w:t>
      </w:r>
      <w:r>
        <w:rPr>
          <w:iCs/>
        </w:rPr>
        <w:t xml:space="preserve"> twenty (2</w:t>
      </w:r>
      <w:r w:rsidRPr="00705C93">
        <w:rPr>
          <w:iCs/>
        </w:rPr>
        <w:t>0</w:t>
      </w:r>
      <w:r>
        <w:rPr>
          <w:iCs/>
        </w:rPr>
        <w:t>)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w:t>
      </w:r>
      <w:proofErr w:type="gramStart"/>
      <w:r>
        <w:rPr>
          <w:iCs/>
        </w:rPr>
        <w:t>is not considered to be executed</w:t>
      </w:r>
      <w:proofErr w:type="gramEnd"/>
      <w:r>
        <w:rPr>
          <w:iCs/>
        </w:rPr>
        <w:t xml:space="preserve">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48D13EE6" w14:textId="77777777" w:rsidR="003352E2" w:rsidRDefault="003352E2" w:rsidP="003352E2">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1E66DAC5" w14:textId="45B3061F" w:rsidR="003352E2" w:rsidRPr="005E5DCD" w:rsidRDefault="003352E2" w:rsidP="003352E2">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063132BC" w14:textId="77777777" w:rsidR="00AE3DAF" w:rsidRPr="00AE3DAF" w:rsidRDefault="00AE3DAF" w:rsidP="00CA3DD9">
      <w:pPr>
        <w:pStyle w:val="BodyTextnospace"/>
        <w:rPr>
          <w:iCs/>
        </w:rPr>
      </w:pPr>
    </w:p>
    <w:p w14:paraId="611A55F6" w14:textId="77777777" w:rsidR="00D057B9" w:rsidRPr="00F4677D" w:rsidRDefault="004545F3" w:rsidP="009668F6">
      <w:pPr>
        <w:pStyle w:val="Heading3"/>
      </w:pPr>
      <w:bookmarkStart w:id="97" w:name="_Toc530579998"/>
      <w:bookmarkStart w:id="98" w:name="_Toc24705219"/>
      <w:bookmarkEnd w:id="95"/>
      <w:bookmarkEnd w:id="97"/>
      <w:r w:rsidRPr="00F4677D">
        <w:t xml:space="preserve">How </w:t>
      </w:r>
      <w:r w:rsidR="006C764B">
        <w:t>we</w:t>
      </w:r>
      <w:r w:rsidR="00756BBB" w:rsidRPr="00F4677D">
        <w:t xml:space="preserve"> pay </w:t>
      </w:r>
      <w:r w:rsidRPr="00F4677D">
        <w:t>the grant</w:t>
      </w:r>
      <w:bookmarkEnd w:id="98"/>
    </w:p>
    <w:p w14:paraId="2D5C4C6F" w14:textId="7D0E38C1" w:rsidR="004545F3" w:rsidRPr="00DB0315" w:rsidRDefault="004545F3" w:rsidP="004545F3">
      <w:pPr>
        <w:tabs>
          <w:tab w:val="left" w:pos="0"/>
        </w:tabs>
        <w:rPr>
          <w:bCs/>
          <w:lang w:eastAsia="en-AU"/>
        </w:rPr>
      </w:pPr>
      <w:bookmarkStart w:id="99"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0080342E">
        <w:rPr>
          <w:bCs/>
          <w:lang w:eastAsia="en-AU"/>
        </w:rPr>
        <w:t>will state</w:t>
      </w:r>
      <w:r w:rsidR="008B5C9B">
        <w:rPr>
          <w:bCs/>
          <w:lang w:eastAsia="en-AU"/>
        </w:rPr>
        <w:t>:</w:t>
      </w:r>
    </w:p>
    <w:p w14:paraId="48ED0D99" w14:textId="225E8FD3" w:rsidR="004545F3" w:rsidRPr="00DB0315" w:rsidRDefault="0080342E" w:rsidP="004545F3">
      <w:pPr>
        <w:pStyle w:val="ListBullet"/>
      </w:pPr>
      <w:r>
        <w:t xml:space="preserve">the </w:t>
      </w:r>
      <w:r w:rsidR="004545F3" w:rsidRPr="00DB0315">
        <w:t>maximum grant amount to be paid</w:t>
      </w:r>
    </w:p>
    <w:p w14:paraId="492F872A" w14:textId="0C26B9A2" w:rsidR="004545F3" w:rsidRDefault="0080342E" w:rsidP="004545F3">
      <w:pPr>
        <w:pStyle w:val="ListBullet"/>
      </w:pPr>
      <w:r>
        <w:t xml:space="preserve">the </w:t>
      </w:r>
      <w:r w:rsidR="00756BBB">
        <w:t>proportion</w:t>
      </w:r>
      <w:r w:rsidR="00756BBB"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rsidR="00756BBB">
        <w:t>percentage</w:t>
      </w:r>
      <w:r w:rsidR="004545F3" w:rsidRPr="00DB0315">
        <w:t>)</w:t>
      </w:r>
    </w:p>
    <w:p w14:paraId="3F613544" w14:textId="77777777" w:rsidR="004622C2" w:rsidRDefault="004622C2" w:rsidP="004545F3">
      <w:pPr>
        <w:pStyle w:val="ListBullet"/>
      </w:pPr>
      <w:r w:rsidRPr="004622C2">
        <w:t xml:space="preserve">any </w:t>
      </w:r>
      <w:r w:rsidR="00B501CF">
        <w:t xml:space="preserve">financial </w:t>
      </w:r>
      <w:r w:rsidRPr="004622C2">
        <w:t>contributions you must make</w:t>
      </w:r>
    </w:p>
    <w:p w14:paraId="0F4557D5" w14:textId="56969501" w:rsidR="00933357" w:rsidRDefault="00933357" w:rsidP="004545F3">
      <w:pPr>
        <w:pStyle w:val="ListBullet"/>
      </w:pPr>
      <w:r>
        <w:lastRenderedPageBreak/>
        <w:t>any in-kind contributions you will make</w:t>
      </w:r>
    </w:p>
    <w:p w14:paraId="72474FF5" w14:textId="77777777" w:rsidR="00933357" w:rsidRDefault="00933357" w:rsidP="004545F3">
      <w:pPr>
        <w:pStyle w:val="ListBullet"/>
      </w:pPr>
      <w:r>
        <w:t xml:space="preserve">any financial contribution provided </w:t>
      </w:r>
      <w:r w:rsidR="00E00BF7">
        <w:t xml:space="preserve">by </w:t>
      </w:r>
      <w:r>
        <w:t>a third party</w:t>
      </w:r>
    </w:p>
    <w:p w14:paraId="6243EC51" w14:textId="298003FB" w:rsidR="008B5C9B" w:rsidRPr="00360433" w:rsidRDefault="0080342E" w:rsidP="008B5C9B">
      <w:pPr>
        <w:pStyle w:val="ListBullet"/>
      </w:pPr>
      <w:proofErr w:type="gramStart"/>
      <w:r>
        <w:t>the</w:t>
      </w:r>
      <w:proofErr w:type="gramEnd"/>
      <w:r>
        <w:t xml:space="preserve"> </w:t>
      </w:r>
      <w:r w:rsidR="008B5C9B" w:rsidRPr="00360433">
        <w:t>reporting requirements for grant activities</w:t>
      </w:r>
      <w:r>
        <w:t>.</w:t>
      </w:r>
    </w:p>
    <w:p w14:paraId="1457C529" w14:textId="5552E5BE" w:rsidR="008B5C9B" w:rsidRDefault="00705C93" w:rsidP="008B5C9B">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w:t>
      </w:r>
      <w:r w:rsidR="0080342E">
        <w:rPr>
          <w:bCs/>
          <w:lang w:eastAsia="en-AU"/>
        </w:rPr>
        <w:t>amount under any circumstances.</w:t>
      </w:r>
    </w:p>
    <w:p w14:paraId="7CD15984" w14:textId="6EDCAE0B" w:rsidR="008B5C9B" w:rsidRDefault="008B5C9B" w:rsidP="008B5C9B">
      <w:pPr>
        <w:tabs>
          <w:tab w:val="left" w:pos="0"/>
        </w:tabs>
        <w:rPr>
          <w:bCs/>
          <w:lang w:eastAsia="en-AU"/>
        </w:rPr>
      </w:pPr>
      <w:r>
        <w:rPr>
          <w:bCs/>
          <w:lang w:eastAsia="en-AU"/>
        </w:rPr>
        <w:t xml:space="preserve">We will make payments according to an agreed schedule set out in the grant agreement. Payments are subject to satisfactory </w:t>
      </w:r>
      <w:r w:rsidR="0080342E">
        <w:rPr>
          <w:bCs/>
          <w:lang w:eastAsia="en-AU"/>
        </w:rPr>
        <w:t>progress on the grant activity.</w:t>
      </w:r>
    </w:p>
    <w:p w14:paraId="33E807E9" w14:textId="77777777" w:rsidR="00E403B5" w:rsidRPr="00D369C8" w:rsidRDefault="00C05A13" w:rsidP="00EE0C10">
      <w:pPr>
        <w:pStyle w:val="Heading3"/>
      </w:pPr>
      <w:bookmarkStart w:id="100" w:name="_Toc529276547"/>
      <w:bookmarkStart w:id="101" w:name="_Toc529458389"/>
      <w:bookmarkStart w:id="102" w:name="_Toc530486357"/>
      <w:bookmarkStart w:id="103" w:name="_Toc530580001"/>
      <w:bookmarkStart w:id="104" w:name="_Toc24705220"/>
      <w:bookmarkEnd w:id="100"/>
      <w:bookmarkEnd w:id="101"/>
      <w:bookmarkEnd w:id="102"/>
      <w:bookmarkEnd w:id="103"/>
      <w:r>
        <w:t xml:space="preserve">Grant </w:t>
      </w:r>
      <w:r w:rsidR="006D602A">
        <w:t>p</w:t>
      </w:r>
      <w:r>
        <w:t>ayments and GST</w:t>
      </w:r>
      <w:bookmarkEnd w:id="104"/>
    </w:p>
    <w:p w14:paraId="422C09F8" w14:textId="140EECA4" w:rsidR="008B5C9B" w:rsidRDefault="008B5C65" w:rsidP="008B5C65">
      <w:r w:rsidRPr="0008705C">
        <w:t>Payments will be GST Inclusive.</w:t>
      </w:r>
      <w:r>
        <w:t xml:space="preserve"> </w:t>
      </w:r>
    </w:p>
    <w:p w14:paraId="67844FB5" w14:textId="32A0E968" w:rsidR="008B5C65" w:rsidRDefault="008B5C9B" w:rsidP="008B5C65">
      <w:r>
        <w:t>Applicants should seek independent financial advice from a suitably qualified professional before submitting their application. GST is payable on grants and the funding agreement will include GST where applicable. Applicants should seek advice on the legal implications of their acceptance of the grant.</w:t>
      </w:r>
    </w:p>
    <w:p w14:paraId="4FBCBEE8" w14:textId="56C9A5EA"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1"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16F499A2" w14:textId="77777777" w:rsidR="00E1311F" w:rsidRPr="004223FA" w:rsidDel="00457E6C" w:rsidRDefault="00E1311F" w:rsidP="009668F6">
      <w:pPr>
        <w:pStyle w:val="Heading2"/>
      </w:pPr>
      <w:bookmarkStart w:id="105" w:name="_Toc494290551"/>
      <w:bookmarkStart w:id="106" w:name="_Toc485726977"/>
      <w:bookmarkStart w:id="107" w:name="_Toc485736597"/>
      <w:bookmarkStart w:id="108" w:name="_Toc24705221"/>
      <w:bookmarkStart w:id="109" w:name="_Toc164844284"/>
      <w:bookmarkEnd w:id="99"/>
      <w:bookmarkEnd w:id="105"/>
      <w:r w:rsidRPr="004223FA" w:rsidDel="00457E6C">
        <w:t>Announcement of grants</w:t>
      </w:r>
      <w:bookmarkEnd w:id="106"/>
      <w:bookmarkEnd w:id="107"/>
      <w:bookmarkEnd w:id="108"/>
    </w:p>
    <w:p w14:paraId="40B69D0A" w14:textId="591BC7B9" w:rsidR="00E1311F" w:rsidDel="00457E6C" w:rsidRDefault="00E1311F" w:rsidP="00E1311F">
      <w:pPr>
        <w:rPr>
          <w:i/>
        </w:rPr>
      </w:pPr>
      <w:r w:rsidDel="00457E6C">
        <w:t xml:space="preserve">If successful, your </w:t>
      </w:r>
      <w:r w:rsidR="00AE3DAF">
        <w:t>g</w:t>
      </w:r>
      <w:r w:rsidDel="00457E6C">
        <w:t xml:space="preserve">rant </w:t>
      </w:r>
      <w:proofErr w:type="gramStart"/>
      <w:r w:rsidDel="0035202F">
        <w:t>will be listed</w:t>
      </w:r>
      <w:proofErr w:type="gramEnd"/>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2" w:history="1">
        <w:r w:rsidR="004D3D46" w:rsidRPr="009C6751" w:rsidDel="00457E6C">
          <w:rPr>
            <w:rStyle w:val="Hyperlink"/>
          </w:rPr>
          <w:t>CGRGs</w:t>
        </w:r>
      </w:hyperlink>
      <w:r w:rsidRPr="00CF2166" w:rsidDel="00457E6C">
        <w:t>.</w:t>
      </w:r>
      <w:r w:rsidRPr="00F27CA7" w:rsidDel="00457E6C">
        <w:rPr>
          <w:i/>
        </w:rPr>
        <w:t xml:space="preserve"> </w:t>
      </w:r>
    </w:p>
    <w:p w14:paraId="38B36386" w14:textId="77777777" w:rsidR="00E1311F" w:rsidRDefault="00492B00" w:rsidP="009668F6">
      <w:pPr>
        <w:pStyle w:val="Heading2"/>
      </w:pPr>
      <w:bookmarkStart w:id="110" w:name="_Toc530486361"/>
      <w:bookmarkStart w:id="111" w:name="_Toc530580006"/>
      <w:bookmarkStart w:id="112" w:name="_Toc24705222"/>
      <w:bookmarkEnd w:id="110"/>
      <w:bookmarkEnd w:id="111"/>
      <w:r>
        <w:t xml:space="preserve">How </w:t>
      </w:r>
      <w:r w:rsidR="00705C93">
        <w:t>we</w:t>
      </w:r>
      <w:r w:rsidR="00110267">
        <w:t xml:space="preserve"> </w:t>
      </w:r>
      <w:r>
        <w:t>monitor your grant activity</w:t>
      </w:r>
      <w:bookmarkEnd w:id="112"/>
    </w:p>
    <w:p w14:paraId="57D229A6" w14:textId="77777777" w:rsidR="004A2224" w:rsidRPr="00170226" w:rsidRDefault="004A2224" w:rsidP="009668F6">
      <w:pPr>
        <w:pStyle w:val="Heading3"/>
      </w:pPr>
      <w:bookmarkStart w:id="113" w:name="_Toc24705223"/>
      <w:r w:rsidRPr="00170226">
        <w:t>Keeping us informed</w:t>
      </w:r>
      <w:bookmarkEnd w:id="113"/>
    </w:p>
    <w:p w14:paraId="3494A3B7" w14:textId="40E09650" w:rsidR="004A2224" w:rsidRDefault="004A2224" w:rsidP="004A2224">
      <w:r>
        <w:t xml:space="preserve">You should let </w:t>
      </w:r>
      <w:r w:rsidR="00705C93">
        <w:t>us</w:t>
      </w:r>
      <w:r w:rsidR="00115A51">
        <w:t xml:space="preserve"> </w:t>
      </w:r>
      <w:r>
        <w:t>know if a</w:t>
      </w:r>
      <w:r w:rsidR="008B5C9B">
        <w:t xml:space="preserve">nything is likely to affect your grant activities </w:t>
      </w:r>
      <w:r>
        <w:t xml:space="preserve">or organisation. </w:t>
      </w:r>
    </w:p>
    <w:p w14:paraId="14660D42" w14:textId="02F3501C" w:rsidR="004A2224" w:rsidRDefault="004A2224" w:rsidP="004A2224">
      <w:r>
        <w:t xml:space="preserve">You must also inform </w:t>
      </w:r>
      <w:r w:rsidR="00705C93">
        <w:t>us</w:t>
      </w:r>
      <w:r>
        <w:t xml:space="preserve"> of any changes to your</w:t>
      </w:r>
      <w:r w:rsidR="000F48FA">
        <w:t>:</w:t>
      </w:r>
    </w:p>
    <w:p w14:paraId="2A175BB1" w14:textId="77777777" w:rsidR="004A2224" w:rsidRDefault="004A2224" w:rsidP="004A2224">
      <w:pPr>
        <w:pStyle w:val="ListBullet"/>
      </w:pPr>
      <w:r>
        <w:t>name</w:t>
      </w:r>
    </w:p>
    <w:p w14:paraId="5D25706A" w14:textId="77777777" w:rsidR="004A2224" w:rsidRDefault="004A2224" w:rsidP="004A2224">
      <w:pPr>
        <w:pStyle w:val="ListBullet"/>
      </w:pPr>
      <w:r>
        <w:t>addresses</w:t>
      </w:r>
    </w:p>
    <w:p w14:paraId="0056678E" w14:textId="77777777" w:rsidR="004A2224" w:rsidRDefault="004A2224" w:rsidP="004A2224">
      <w:pPr>
        <w:pStyle w:val="ListBullet"/>
      </w:pPr>
      <w:r>
        <w:t>nominated contact details</w:t>
      </w:r>
    </w:p>
    <w:p w14:paraId="0DCF6C49" w14:textId="2E1BD347" w:rsidR="004A2224" w:rsidRDefault="0080342E" w:rsidP="004A2224">
      <w:pPr>
        <w:pStyle w:val="ListBullet"/>
      </w:pPr>
      <w:proofErr w:type="gramStart"/>
      <w:r>
        <w:t>bank</w:t>
      </w:r>
      <w:proofErr w:type="gramEnd"/>
      <w:r>
        <w:t xml:space="preserve"> account details.</w:t>
      </w:r>
    </w:p>
    <w:p w14:paraId="6979DAC0" w14:textId="69B30316"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rsidR="0080342E">
        <w:t xml:space="preserve"> immediately.</w:t>
      </w:r>
    </w:p>
    <w:p w14:paraId="160BE9F7" w14:textId="77777777" w:rsidR="003159B5" w:rsidRPr="00683955" w:rsidRDefault="002536AC" w:rsidP="009668F6">
      <w:pPr>
        <w:pStyle w:val="Heading3"/>
      </w:pPr>
      <w:bookmarkStart w:id="114" w:name="_Toc529276553"/>
      <w:bookmarkStart w:id="115" w:name="_Toc24705224"/>
      <w:bookmarkEnd w:id="114"/>
      <w:r w:rsidRPr="00683955">
        <w:t>Reporting</w:t>
      </w:r>
      <w:bookmarkEnd w:id="115"/>
      <w:r w:rsidRPr="00683955">
        <w:t xml:space="preserve"> </w:t>
      </w:r>
    </w:p>
    <w:p w14:paraId="7A936622" w14:textId="77777777" w:rsidR="008B5C9B" w:rsidRDefault="008B5C9B" w:rsidP="00C54560">
      <w:pPr>
        <w:rPr>
          <w:rFonts w:cstheme="minorHAnsi"/>
          <w:lang w:val="en-GB"/>
        </w:rPr>
      </w:pPr>
      <w:r>
        <w:rPr>
          <w:rFonts w:cstheme="minorHAnsi"/>
          <w:lang w:val="en-GB"/>
        </w:rPr>
        <w:t>You must submit reports in line with the grant agreement. We will provide sample templates for these reports as appendices in the grant agreement. We will remind you of your reporting obligations before a report is due. We will expect you to report on:</w:t>
      </w:r>
    </w:p>
    <w:p w14:paraId="58067B53" w14:textId="60EC2A2D" w:rsidR="008B5C9B" w:rsidRDefault="008B5C9B" w:rsidP="008B5C9B">
      <w:pPr>
        <w:pStyle w:val="ListBullet"/>
        <w:numPr>
          <w:ilvl w:val="0"/>
          <w:numId w:val="7"/>
        </w:numPr>
        <w:rPr>
          <w:rFonts w:cs="Arial"/>
        </w:rPr>
      </w:pPr>
      <w:r w:rsidRPr="008B5C9B">
        <w:rPr>
          <w:rFonts w:cs="Arial"/>
        </w:rPr>
        <w:t>progress against agreed grant activity milestones and outcomes</w:t>
      </w:r>
    </w:p>
    <w:p w14:paraId="5F1AF8AE" w14:textId="02B988CF" w:rsidR="00052936" w:rsidRPr="008B5C9B" w:rsidRDefault="00052936" w:rsidP="008B5C9B">
      <w:pPr>
        <w:pStyle w:val="ListBullet"/>
        <w:numPr>
          <w:ilvl w:val="0"/>
          <w:numId w:val="7"/>
        </w:numPr>
        <w:rPr>
          <w:rFonts w:cs="Arial"/>
        </w:rPr>
      </w:pPr>
      <w:proofErr w:type="gramStart"/>
      <w:r w:rsidRPr="00DF618E">
        <w:rPr>
          <w:rFonts w:cs="Arial"/>
        </w:rPr>
        <w:t>expenditure</w:t>
      </w:r>
      <w:proofErr w:type="gramEnd"/>
      <w:r w:rsidRPr="00DF618E">
        <w:rPr>
          <w:rFonts w:cs="Arial"/>
        </w:rPr>
        <w:t xml:space="preserve"> of the grant</w:t>
      </w:r>
      <w:r>
        <w:rPr>
          <w:rFonts w:cs="Arial"/>
        </w:rPr>
        <w:t>.</w:t>
      </w:r>
    </w:p>
    <w:p w14:paraId="0BB5F134" w14:textId="5D18D610" w:rsidR="008B5C9B" w:rsidRPr="008B5C9B" w:rsidRDefault="008B5C9B" w:rsidP="008B5C9B">
      <w:pPr>
        <w:rPr>
          <w:rFonts w:cs="Arial"/>
        </w:rPr>
      </w:pPr>
      <w:r w:rsidRPr="008B5C9B">
        <w:rPr>
          <w:rFonts w:cs="Arial"/>
        </w:rPr>
        <w:t xml:space="preserve">The amount of detail you provide in your reports should be relative to the size and complexity of </w:t>
      </w:r>
      <w:r w:rsidR="0080342E">
        <w:rPr>
          <w:rFonts w:cs="Arial"/>
        </w:rPr>
        <w:t>the grant and the grant amount.</w:t>
      </w:r>
    </w:p>
    <w:p w14:paraId="141CC78F" w14:textId="77777777" w:rsidR="00C54560" w:rsidRDefault="00C54560" w:rsidP="0093619D">
      <w:pPr>
        <w:spacing w:after="0" w:line="240" w:lineRule="auto"/>
        <w:rPr>
          <w:rFonts w:cstheme="minorHAnsi"/>
          <w:color w:val="0070C0"/>
        </w:rPr>
      </w:pPr>
    </w:p>
    <w:p w14:paraId="59E52F5D" w14:textId="6CAE4537" w:rsidR="009A072D" w:rsidRPr="00183EED" w:rsidRDefault="009A072D" w:rsidP="00181A24">
      <w:bookmarkStart w:id="116" w:name="_Toc468693655"/>
      <w:bookmarkStart w:id="117" w:name="_Toc509838910"/>
      <w:r w:rsidRPr="00181A24">
        <w:rPr>
          <w:b/>
        </w:rPr>
        <w:lastRenderedPageBreak/>
        <w:t>Progress reports</w:t>
      </w:r>
      <w:bookmarkEnd w:id="116"/>
      <w:bookmarkEnd w:id="117"/>
    </w:p>
    <w:p w14:paraId="4856E158" w14:textId="73115B6C" w:rsidR="009A072D" w:rsidRDefault="009A072D" w:rsidP="009A072D">
      <w:r>
        <w:t>Progress</w:t>
      </w:r>
      <w:r w:rsidRPr="00E162FF">
        <w:t xml:space="preserve"> reports</w:t>
      </w:r>
      <w:r w:rsidR="004165D3">
        <w:t xml:space="preserve"> are required for lar</w:t>
      </w:r>
      <w:r w:rsidR="00A3454D">
        <w:t>ge and complex grant activities/</w:t>
      </w:r>
      <w:r w:rsidR="004165D3">
        <w:t>project</w:t>
      </w:r>
      <w:r w:rsidR="00052936">
        <w:t>s</w:t>
      </w:r>
      <w:r w:rsidR="004165D3">
        <w:t xml:space="preserve"> and</w:t>
      </w:r>
      <w:r w:rsidRPr="00E162FF">
        <w:t xml:space="preserve"> must</w:t>
      </w:r>
      <w:r w:rsidR="00601F72">
        <w:t>:</w:t>
      </w:r>
    </w:p>
    <w:p w14:paraId="480FCFA6" w14:textId="77777777" w:rsidR="009A072D" w:rsidRDefault="009A072D" w:rsidP="009A072D">
      <w:pPr>
        <w:pStyle w:val="ListBullet"/>
        <w:numPr>
          <w:ilvl w:val="0"/>
          <w:numId w:val="7"/>
        </w:numPr>
        <w:spacing w:before="60" w:after="60"/>
        <w:ind w:left="357" w:hanging="357"/>
      </w:pPr>
      <w:r w:rsidRPr="00E162FF">
        <w:t>include evidence</w:t>
      </w:r>
      <w:r>
        <w:t xml:space="preserve"> of your progress toward completion of agreed activities</w:t>
      </w:r>
      <w:r w:rsidR="00780216">
        <w:t xml:space="preserve"> and outcomes</w:t>
      </w:r>
    </w:p>
    <w:p w14:paraId="219DF59D" w14:textId="77777777" w:rsidR="009A072D" w:rsidRDefault="009A072D" w:rsidP="009A072D">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2797CD92" w14:textId="77777777" w:rsidR="009A072D" w:rsidRDefault="009A072D" w:rsidP="009A072D">
      <w:pPr>
        <w:pStyle w:val="ListBullet"/>
        <w:numPr>
          <w:ilvl w:val="0"/>
          <w:numId w:val="7"/>
        </w:numPr>
        <w:spacing w:before="60" w:after="60"/>
        <w:ind w:left="357" w:hanging="357"/>
      </w:pPr>
      <w:proofErr w:type="gramStart"/>
      <w:r>
        <w:t>be</w:t>
      </w:r>
      <w:proofErr w:type="gramEnd"/>
      <w:r>
        <w:t xml:space="preserve"> submitted by the report due date (you can submit reports ahead of time if you have completed relevant activities).</w:t>
      </w:r>
    </w:p>
    <w:p w14:paraId="05B62C3D" w14:textId="47E15495" w:rsidR="009A072D" w:rsidRDefault="004165D3" w:rsidP="009A072D">
      <w:r>
        <w:t xml:space="preserve">Payments </w:t>
      </w:r>
      <w:proofErr w:type="gramStart"/>
      <w:r>
        <w:t>may be tied</w:t>
      </w:r>
      <w:proofErr w:type="gramEnd"/>
      <w:r>
        <w:t xml:space="preserve"> to acceptance of </w:t>
      </w:r>
      <w:r w:rsidR="009A072D" w:rsidRPr="00E162FF">
        <w:t xml:space="preserve">satisfactory </w:t>
      </w:r>
      <w:r w:rsidR="009A072D">
        <w:t>progress</w:t>
      </w:r>
      <w:r w:rsidR="009A072D" w:rsidRPr="00E162FF">
        <w:t xml:space="preserve"> reports.</w:t>
      </w:r>
    </w:p>
    <w:p w14:paraId="38CBDD9A" w14:textId="77777777" w:rsidR="00194969" w:rsidRDefault="009A072D" w:rsidP="009A072D">
      <w:r>
        <w:t xml:space="preserve">You must </w:t>
      </w:r>
      <w:r w:rsidR="003106BC">
        <w:t>tell us of</w:t>
      </w:r>
      <w:r>
        <w:t xml:space="preserve"> any reporting delays with us as soon as you become aware of them.</w:t>
      </w:r>
    </w:p>
    <w:p w14:paraId="000134B1" w14:textId="5D5522EB" w:rsidR="00565996" w:rsidRPr="00183EED" w:rsidRDefault="00565996" w:rsidP="00181A24">
      <w:bookmarkStart w:id="118" w:name="_Toc509838911"/>
      <w:bookmarkStart w:id="119" w:name="_Toc468693656"/>
      <w:r w:rsidRPr="00181A24">
        <w:rPr>
          <w:b/>
        </w:rPr>
        <w:t>Ad-hoc reports</w:t>
      </w:r>
      <w:r w:rsidR="00561C96" w:rsidRPr="00181A24">
        <w:rPr>
          <w:b/>
        </w:rPr>
        <w:t xml:space="preserve"> </w:t>
      </w:r>
      <w:bookmarkEnd w:id="118"/>
    </w:p>
    <w:p w14:paraId="494F1250" w14:textId="7D9135B3" w:rsidR="00565996" w:rsidRDefault="00565996" w:rsidP="00565996">
      <w:r>
        <w:t xml:space="preserve">We may ask you for ad-hoc reports on your </w:t>
      </w:r>
      <w:r w:rsidR="00B501CF">
        <w:t>grant</w:t>
      </w:r>
      <w:r>
        <w:t>. This may be to provide an update on progress, or any significant delays or difficulties in completing the</w:t>
      </w:r>
      <w:r w:rsidR="00A3454D">
        <w:t xml:space="preserve"> grant activity/</w:t>
      </w:r>
      <w:r w:rsidR="004165D3">
        <w:t>project.</w:t>
      </w:r>
    </w:p>
    <w:p w14:paraId="797E60C0" w14:textId="685B0A01" w:rsidR="009A072D" w:rsidRPr="00183EED" w:rsidRDefault="009A072D" w:rsidP="00181A24">
      <w:bookmarkStart w:id="120" w:name="_Toc509838912"/>
      <w:r w:rsidRPr="00181A24">
        <w:rPr>
          <w:b/>
        </w:rPr>
        <w:t>Final report</w:t>
      </w:r>
      <w:bookmarkEnd w:id="119"/>
      <w:r w:rsidR="00561C96" w:rsidRPr="00181A24">
        <w:rPr>
          <w:b/>
        </w:rPr>
        <w:t xml:space="preserve"> </w:t>
      </w:r>
      <w:bookmarkEnd w:id="120"/>
    </w:p>
    <w:p w14:paraId="00529DB7" w14:textId="299D12D9" w:rsidR="009A072D" w:rsidRDefault="009A072D" w:rsidP="009A072D">
      <w:r>
        <w:t>When you complete the</w:t>
      </w:r>
      <w:r w:rsidR="00A3454D">
        <w:t xml:space="preserve"> grant activity/</w:t>
      </w:r>
      <w:r w:rsidR="004165D3">
        <w:t>project,</w:t>
      </w:r>
      <w:r>
        <w:t xml:space="preserve"> you must submit a final report.</w:t>
      </w:r>
    </w:p>
    <w:p w14:paraId="7C79219C" w14:textId="77777777" w:rsidR="009A072D" w:rsidRDefault="009A072D" w:rsidP="009A072D">
      <w:r>
        <w:t>Final reports must</w:t>
      </w:r>
      <w:r w:rsidR="000F48FA">
        <w:t>:</w:t>
      </w:r>
    </w:p>
    <w:p w14:paraId="4E0B5D5A" w14:textId="77777777" w:rsidR="00AD6169" w:rsidRDefault="000F48FA" w:rsidP="009A072D">
      <w:pPr>
        <w:pStyle w:val="ListBullet"/>
        <w:numPr>
          <w:ilvl w:val="0"/>
          <w:numId w:val="7"/>
        </w:numPr>
        <w:spacing w:before="60" w:after="60"/>
        <w:ind w:left="357" w:hanging="357"/>
      </w:pPr>
      <w:r>
        <w:t>i</w:t>
      </w:r>
      <w:r w:rsidR="00AD6169">
        <w:t>dentify if and how outcomes have been achieved</w:t>
      </w:r>
    </w:p>
    <w:p w14:paraId="25091B57" w14:textId="77777777" w:rsidR="009A072D" w:rsidRDefault="009A072D" w:rsidP="009A072D">
      <w:pPr>
        <w:pStyle w:val="ListBullet"/>
        <w:numPr>
          <w:ilvl w:val="0"/>
          <w:numId w:val="7"/>
        </w:numPr>
        <w:spacing w:before="60" w:after="60"/>
        <w:ind w:left="357" w:hanging="357"/>
      </w:pPr>
      <w:r w:rsidRPr="00E162FF">
        <w:t>include the agreed evidence</w:t>
      </w:r>
      <w:r>
        <w:t xml:space="preserve"> as specified in the grant agreement</w:t>
      </w:r>
    </w:p>
    <w:p w14:paraId="696AA3AE" w14:textId="77777777" w:rsidR="009A072D" w:rsidRDefault="009A072D" w:rsidP="009A072D">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rsidR="00B501CF">
        <w:t>incurred</w:t>
      </w:r>
    </w:p>
    <w:p w14:paraId="3B164A90" w14:textId="77777777" w:rsidR="009A072D" w:rsidRDefault="009A072D" w:rsidP="009A072D">
      <w:pPr>
        <w:pStyle w:val="ListBullet"/>
        <w:numPr>
          <w:ilvl w:val="0"/>
          <w:numId w:val="7"/>
        </w:numPr>
        <w:spacing w:before="60" w:after="60"/>
        <w:ind w:left="357" w:hanging="357"/>
      </w:pPr>
      <w:proofErr w:type="gramStart"/>
      <w:r>
        <w:t>be</w:t>
      </w:r>
      <w:proofErr w:type="gramEnd"/>
      <w:r>
        <w:t xml:space="preserve"> submitted </w:t>
      </w:r>
      <w:r w:rsidR="0086382B">
        <w:t xml:space="preserve">by the due date and </w:t>
      </w:r>
      <w:r w:rsidR="00782A88">
        <w:t>in</w:t>
      </w:r>
      <w:r>
        <w:t xml:space="preserve"> the format provided in the grant agreement.</w:t>
      </w:r>
    </w:p>
    <w:p w14:paraId="613755EB" w14:textId="4900C7AE" w:rsidR="009A072D" w:rsidRPr="0052630B" w:rsidRDefault="004165D3" w:rsidP="009668F6">
      <w:pPr>
        <w:pStyle w:val="Heading3"/>
      </w:pPr>
      <w:bookmarkStart w:id="121" w:name="_Toc509572409"/>
      <w:bookmarkStart w:id="122" w:name="_Toc509572410"/>
      <w:bookmarkStart w:id="123" w:name="_Toc509572411"/>
      <w:bookmarkStart w:id="124" w:name="_Toc24705225"/>
      <w:bookmarkEnd w:id="121"/>
      <w:bookmarkEnd w:id="122"/>
      <w:bookmarkEnd w:id="123"/>
      <w:r>
        <w:t>Financial declaration</w:t>
      </w:r>
      <w:bookmarkEnd w:id="124"/>
    </w:p>
    <w:p w14:paraId="7E7D36F2" w14:textId="77777777" w:rsidR="006F4EB7" w:rsidRDefault="00E96DD6" w:rsidP="009A072D">
      <w:r w:rsidRPr="00EE0C10">
        <w:t>We</w:t>
      </w:r>
      <w:r w:rsidR="007A19D9" w:rsidRPr="00E96DD6">
        <w:rPr>
          <w:color w:val="0070C0"/>
        </w:rPr>
        <w:t xml:space="preserve"> </w:t>
      </w:r>
      <w:r w:rsidR="006F4EB7" w:rsidRPr="00E96DD6">
        <w:t>m</w:t>
      </w:r>
      <w:r w:rsidR="006F4EB7">
        <w:t xml:space="preserve">ay ask you to provide a declaration that the grant money </w:t>
      </w:r>
      <w:proofErr w:type="gramStart"/>
      <w:r w:rsidR="006F4EB7">
        <w:t>was spent</w:t>
      </w:r>
      <w:proofErr w:type="gramEnd"/>
      <w:r w:rsidR="006F4EB7">
        <w:t xml:space="preserve"> in accordance with the grant agreement and to report on any underspends of the grant money.</w:t>
      </w:r>
    </w:p>
    <w:p w14:paraId="4B6FAC8E" w14:textId="77777777" w:rsidR="004A2224" w:rsidRPr="00F4677D" w:rsidRDefault="004A2224" w:rsidP="009668F6">
      <w:pPr>
        <w:pStyle w:val="Heading3"/>
      </w:pPr>
      <w:bookmarkStart w:id="125" w:name="_Toc24705226"/>
      <w:bookmarkStart w:id="126" w:name="_Toc468693659"/>
      <w:r w:rsidRPr="00F4677D">
        <w:t xml:space="preserve">Grant </w:t>
      </w:r>
      <w:r w:rsidR="009400E0">
        <w:t>a</w:t>
      </w:r>
      <w:r w:rsidRPr="00F4677D">
        <w:t>greement variations</w:t>
      </w:r>
      <w:bookmarkEnd w:id="125"/>
    </w:p>
    <w:p w14:paraId="080D7088" w14:textId="6723BF42" w:rsidR="004A2224" w:rsidRPr="00490FE7" w:rsidRDefault="00E96DD6" w:rsidP="004A2224">
      <w:pPr>
        <w:tabs>
          <w:tab w:val="left" w:pos="0"/>
        </w:tabs>
        <w:rPr>
          <w:bCs/>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You can request a variation by </w:t>
      </w:r>
      <w:r w:rsidR="00C6593B" w:rsidRPr="00490FE7">
        <w:rPr>
          <w:bCs/>
          <w:lang w:eastAsia="en-AU"/>
        </w:rPr>
        <w:t>contacting your Funding Arrangement Manager</w:t>
      </w:r>
      <w:r w:rsidR="00B30DA9" w:rsidRPr="00490FE7">
        <w:rPr>
          <w:bCs/>
          <w:lang w:eastAsia="en-AU"/>
        </w:rPr>
        <w:t>, Community Grants Hub</w:t>
      </w:r>
      <w:r w:rsidR="0080342E">
        <w:rPr>
          <w:bCs/>
          <w:lang w:eastAsia="en-AU"/>
        </w:rPr>
        <w:t>.</w:t>
      </w:r>
    </w:p>
    <w:p w14:paraId="06A2CCAE" w14:textId="6B4D3F27" w:rsidR="00164671" w:rsidRDefault="004A2224" w:rsidP="00164671">
      <w:r w:rsidRPr="00164671">
        <w:t>You s</w:t>
      </w:r>
      <w:r w:rsidR="00A3454D">
        <w:t xml:space="preserve">hould not assume that a </w:t>
      </w:r>
      <w:r w:rsidR="00A3454D" w:rsidRPr="009C6751">
        <w:t>variati</w:t>
      </w:r>
      <w:r w:rsidR="00832F34" w:rsidRPr="009C6751">
        <w:t>o</w:t>
      </w:r>
      <w:r w:rsidRPr="009C6751">
        <w:t>n</w:t>
      </w:r>
      <w:r w:rsidRPr="00164671">
        <w:t xml:space="preserve"> request </w:t>
      </w:r>
      <w:proofErr w:type="gramStart"/>
      <w:r w:rsidRPr="00164671">
        <w:t>will</w:t>
      </w:r>
      <w:proofErr w:type="gramEnd"/>
      <w:r w:rsidRPr="00164671">
        <w:t xml:space="preserve"> be successful. </w:t>
      </w:r>
      <w:r w:rsidR="00E96DD6">
        <w:t>We</w:t>
      </w:r>
      <w:r w:rsidRPr="00164671">
        <w:t xml:space="preserve"> will consider your request </w:t>
      </w:r>
      <w:proofErr w:type="gramStart"/>
      <w:r w:rsidRPr="00164671">
        <w:t>based</w:t>
      </w:r>
      <w:proofErr w:type="gramEnd"/>
      <w:r w:rsidRPr="00164671">
        <w:t xml:space="preserve">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2E92D653" w14:textId="77777777" w:rsidR="00832FC6" w:rsidRDefault="00492B00" w:rsidP="009668F6">
      <w:pPr>
        <w:pStyle w:val="Heading3"/>
      </w:pPr>
      <w:bookmarkStart w:id="127" w:name="_Toc24705227"/>
      <w:r>
        <w:t>Compliance visits</w:t>
      </w:r>
      <w:bookmarkEnd w:id="126"/>
      <w:bookmarkEnd w:id="127"/>
      <w:r w:rsidR="00DC4884">
        <w:t xml:space="preserve"> </w:t>
      </w:r>
    </w:p>
    <w:p w14:paraId="523500F3"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5672391A" w14:textId="77777777" w:rsidR="00492B00" w:rsidRPr="00E067F3" w:rsidRDefault="00832FC6" w:rsidP="009668F6">
      <w:pPr>
        <w:pStyle w:val="Heading3"/>
      </w:pPr>
      <w:bookmarkStart w:id="128" w:name="_Toc24705228"/>
      <w:r w:rsidRPr="00E067F3">
        <w:t>R</w:t>
      </w:r>
      <w:r w:rsidR="00DC4884" w:rsidRPr="00E067F3">
        <w:t>ecord keeping</w:t>
      </w:r>
      <w:bookmarkEnd w:id="128"/>
    </w:p>
    <w:p w14:paraId="77057794" w14:textId="4C6DAC72" w:rsidR="00795673" w:rsidRDefault="00E96DD6" w:rsidP="00795673">
      <w:r>
        <w:t>We</w:t>
      </w:r>
      <w:r w:rsidR="0028433B">
        <w:t xml:space="preserve"> may also inspect the records you are required to keep under the </w:t>
      </w:r>
      <w:r w:rsidR="006F16B1" w:rsidRPr="006F16B1">
        <w:t>grant agreement</w:t>
      </w:r>
      <w:r w:rsidR="00795673">
        <w:t>.</w:t>
      </w:r>
    </w:p>
    <w:p w14:paraId="27C96081" w14:textId="77777777" w:rsidR="00E1311F" w:rsidRDefault="004B1409" w:rsidP="009668F6">
      <w:pPr>
        <w:pStyle w:val="Heading3"/>
      </w:pPr>
      <w:bookmarkStart w:id="129" w:name="_Toc24705229"/>
      <w:r>
        <w:t>Evaluation</w:t>
      </w:r>
      <w:bookmarkEnd w:id="129"/>
    </w:p>
    <w:p w14:paraId="417011B0" w14:textId="2D754B2B"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grant</w:t>
      </w:r>
      <w:r w:rsidR="004165D3">
        <w:t xml:space="preserve"> program</w:t>
      </w:r>
      <w:r w:rsidR="004B1409" w:rsidRPr="00056158">
        <w:t xml:space="preserve"> </w:t>
      </w:r>
      <w:r w:rsidR="004B1409" w:rsidRPr="00B72EE8">
        <w:t>to</w:t>
      </w:r>
      <w:r w:rsidR="004B1409">
        <w:t xml:space="preserve"> </w:t>
      </w:r>
      <w:r w:rsidR="00A53C2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7A677A">
        <w:t xml:space="preserve">ask you </w:t>
      </w:r>
      <w:r w:rsidR="009A072D">
        <w:t xml:space="preserve">for more information to help us understand how the grant </w:t>
      </w:r>
      <w:proofErr w:type="gramStart"/>
      <w:r w:rsidR="009A072D">
        <w:t>impacted</w:t>
      </w:r>
      <w:proofErr w:type="gramEnd"/>
      <w:r w:rsidR="009A072D">
        <w:t xml:space="preserve"> you and to evaluate how effective the program</w:t>
      </w:r>
      <w:r w:rsidR="00B501CF">
        <w:t xml:space="preserve"> was in achieving its outcomes.</w:t>
      </w:r>
    </w:p>
    <w:p w14:paraId="03637577" w14:textId="70035313" w:rsidR="004B1409" w:rsidRDefault="00E96DD6" w:rsidP="004B1409">
      <w:r>
        <w:lastRenderedPageBreak/>
        <w:t xml:space="preserve">We </w:t>
      </w:r>
      <w:r w:rsidR="009A072D">
        <w:t>may contact you up to</w:t>
      </w:r>
      <w:r w:rsidR="004165D3">
        <w:t xml:space="preserve"> one </w:t>
      </w:r>
      <w:r w:rsidR="009A072D">
        <w:t xml:space="preserve">year after you finish your </w:t>
      </w:r>
      <w:r w:rsidR="00B501CF">
        <w:t>grant</w:t>
      </w:r>
      <w:r w:rsidR="009A072D">
        <w:t xml:space="preserve"> for more information to assist with this evaluation</w:t>
      </w:r>
      <w:r w:rsidR="004B1409" w:rsidRPr="00B72EE8">
        <w:t>.</w:t>
      </w:r>
    </w:p>
    <w:p w14:paraId="69953FF3" w14:textId="77777777" w:rsidR="00E1311F" w:rsidRDefault="004B1409" w:rsidP="009668F6">
      <w:pPr>
        <w:pStyle w:val="Heading2"/>
      </w:pPr>
      <w:bookmarkStart w:id="130" w:name="_Toc24705230"/>
      <w:r>
        <w:t>Probity</w:t>
      </w:r>
      <w:bookmarkEnd w:id="130"/>
    </w:p>
    <w:p w14:paraId="1DC33907" w14:textId="3C7E2AF8" w:rsidR="004B1409" w:rsidRPr="00726710" w:rsidRDefault="007A677A" w:rsidP="004B1409">
      <w:r>
        <w:t xml:space="preserve">The Australian </w:t>
      </w:r>
      <w:r w:rsidR="00052936">
        <w:t>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656F7CA9" w14:textId="7A2D4F75" w:rsidR="004B1409" w:rsidRPr="00122DEC" w:rsidRDefault="004B1409" w:rsidP="004B1409">
      <w:proofErr w:type="gramStart"/>
      <w:r w:rsidRPr="00726710">
        <w:t xml:space="preserve">These guidelines may be changed </w:t>
      </w:r>
      <w:r w:rsidRPr="00122DEC">
        <w:t>by</w:t>
      </w:r>
      <w:r w:rsidR="004165D3">
        <w:t xml:space="preserve"> the </w:t>
      </w:r>
      <w:r w:rsidR="0060171C">
        <w:t>d</w:t>
      </w:r>
      <w:r w:rsidR="004165D3">
        <w:t>epartment</w:t>
      </w:r>
      <w:proofErr w:type="gramEnd"/>
      <w:r w:rsidR="004165D3">
        <w:t>.</w:t>
      </w:r>
      <w:r w:rsidR="00790775">
        <w:rPr>
          <w:color w:val="0070C0"/>
        </w:rPr>
        <w:t xml:space="preserve"> </w:t>
      </w:r>
      <w:r w:rsidRPr="00122DEC">
        <w:t xml:space="preserve">When this </w:t>
      </w:r>
      <w:r w:rsidR="00782A88" w:rsidRPr="00122DEC">
        <w:t>happens,</w:t>
      </w:r>
      <w:r w:rsidRPr="00122DEC">
        <w:t xml:space="preserve"> the revised guidelines </w:t>
      </w:r>
      <w:proofErr w:type="gramStart"/>
      <w:r w:rsidR="007A677A">
        <w:t>are</w:t>
      </w:r>
      <w:r w:rsidRPr="00122DEC">
        <w:t xml:space="preserve"> published</w:t>
      </w:r>
      <w:proofErr w:type="gramEnd"/>
      <w:r w:rsidRPr="00122DEC">
        <w:t xml:space="preserve"> on </w:t>
      </w:r>
      <w:hyperlink r:id="rId33" w:history="1">
        <w:r w:rsidRPr="00790775">
          <w:rPr>
            <w:rStyle w:val="Hyperlink"/>
          </w:rPr>
          <w:t>GrantConnect</w:t>
        </w:r>
      </w:hyperlink>
      <w:r w:rsidR="00790775">
        <w:t xml:space="preserve"> and the </w:t>
      </w:r>
      <w:hyperlink r:id="rId34" w:history="1">
        <w:r w:rsidR="00790775" w:rsidRPr="00790775">
          <w:rPr>
            <w:rStyle w:val="Hyperlink"/>
          </w:rPr>
          <w:t>Community Grants Hub</w:t>
        </w:r>
      </w:hyperlink>
      <w:r w:rsidR="0080342E">
        <w:t xml:space="preserve"> websites.</w:t>
      </w:r>
    </w:p>
    <w:p w14:paraId="010E454D" w14:textId="24109E11" w:rsidR="004B1409" w:rsidRDefault="00A0109E" w:rsidP="009668F6">
      <w:pPr>
        <w:pStyle w:val="Heading3"/>
      </w:pPr>
      <w:bookmarkStart w:id="131" w:name="_Toc24705231"/>
      <w:r>
        <w:t>Enquiries and feedback</w:t>
      </w:r>
      <w:bookmarkEnd w:id="131"/>
    </w:p>
    <w:p w14:paraId="1B854FA6"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7A1A8970" w14:textId="58B3734F" w:rsidR="004165D3" w:rsidRDefault="004B1409" w:rsidP="00122DEC">
      <w:r w:rsidRPr="00122DEC">
        <w:t>The</w:t>
      </w:r>
      <w:r w:rsidR="004165D3">
        <w:t xml:space="preserve"> </w:t>
      </w:r>
      <w:r w:rsidR="0060171C">
        <w:t>d</w:t>
      </w:r>
      <w:r w:rsidR="004165D3">
        <w:t>epartment will respond to complaints about this grant opportunity. All complaints about this grant opportunity, including grant deci</w:t>
      </w:r>
      <w:r w:rsidR="00EA409C">
        <w:t xml:space="preserve">sions, </w:t>
      </w:r>
      <w:proofErr w:type="gramStart"/>
      <w:r w:rsidR="00EA409C">
        <w:t>must be made</w:t>
      </w:r>
      <w:proofErr w:type="gramEnd"/>
      <w:r w:rsidR="00EA409C">
        <w:t xml:space="preserve"> in writing.</w:t>
      </w:r>
    </w:p>
    <w:p w14:paraId="41B936C3" w14:textId="2EDEE244" w:rsidR="00A3454D" w:rsidRDefault="006F0483" w:rsidP="00122DEC">
      <w:r>
        <w:t xml:space="preserve">Any questions you have about grant decisions for this grant opportunity </w:t>
      </w:r>
      <w:proofErr w:type="gramStart"/>
      <w:r>
        <w:t>should be sent</w:t>
      </w:r>
      <w:proofErr w:type="gramEnd"/>
      <w:r>
        <w:t xml:space="preserve"> to</w:t>
      </w:r>
      <w:r w:rsidR="004165D3">
        <w:t xml:space="preserve"> the Program Manager, ATMAC Program, Trade and Market Access Division, Department of Agriculture</w:t>
      </w:r>
      <w:r w:rsidR="00E66774">
        <w:t xml:space="preserve"> at </w:t>
      </w:r>
      <w:hyperlink r:id="rId35" w:history="1">
        <w:r w:rsidR="00A3454D" w:rsidRPr="004E04E3">
          <w:rPr>
            <w:rStyle w:val="Hyperlink"/>
          </w:rPr>
          <w:t>ATMAC@agriculture.gov.au</w:t>
        </w:r>
      </w:hyperlink>
    </w:p>
    <w:p w14:paraId="4858DB47" w14:textId="627C8026"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13E103A5" w14:textId="0BE5CACA"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w:t>
      </w:r>
      <w:r w:rsidR="00EA409C">
        <w:t>ce(s) or the selection process.</w:t>
      </w:r>
    </w:p>
    <w:p w14:paraId="3A55840B" w14:textId="77777777" w:rsidR="0093180B" w:rsidRDefault="0093180B" w:rsidP="0093180B">
      <w:r>
        <w:t xml:space="preserve">Details of what makes an eligible complaint </w:t>
      </w:r>
      <w:proofErr w:type="gramStart"/>
      <w:r>
        <w:t>can be provided</w:t>
      </w:r>
      <w:proofErr w:type="gramEnd"/>
      <w:r>
        <w:t xml:space="preserve"> by asking the Community Grants Hub. Applicants can use the </w:t>
      </w:r>
      <w:hyperlink r:id="rId36" w:history="1">
        <w:r w:rsidRPr="00002D0A">
          <w:rPr>
            <w:rStyle w:val="Hyperlink"/>
          </w:rPr>
          <w:t>online complaints form</w:t>
        </w:r>
      </w:hyperlink>
      <w:r>
        <w:t xml:space="preserve"> on the </w:t>
      </w:r>
      <w:hyperlink r:id="rId37" w:history="1">
        <w:r w:rsidRPr="00002D0A">
          <w:rPr>
            <w:rStyle w:val="Hyperlink"/>
          </w:rPr>
          <w:t>Department of Social Services</w:t>
        </w:r>
      </w:hyperlink>
      <w:r>
        <w:t xml:space="preserve"> (DSS) website, or contact the DSS Complaints line.</w:t>
      </w:r>
    </w:p>
    <w:p w14:paraId="7DB76F30" w14:textId="77777777" w:rsidR="0093180B" w:rsidRDefault="0093180B" w:rsidP="0093180B">
      <w:r>
        <w:t>Phone:</w:t>
      </w:r>
      <w:r>
        <w:tab/>
        <w:t>1800 634 035</w:t>
      </w:r>
    </w:p>
    <w:p w14:paraId="01317270" w14:textId="77777777" w:rsidR="0093180B" w:rsidRDefault="0093180B" w:rsidP="0093180B">
      <w:r>
        <w:t xml:space="preserve">Email: </w:t>
      </w:r>
      <w:r>
        <w:tab/>
      </w:r>
      <w:hyperlink r:id="rId38" w:history="1">
        <w:r w:rsidRPr="007F6B3C">
          <w:rPr>
            <w:rStyle w:val="Hyperlink"/>
          </w:rPr>
          <w:t>complaints@dss.gov.au</w:t>
        </w:r>
      </w:hyperlink>
      <w:r>
        <w:t xml:space="preserve"> </w:t>
      </w:r>
    </w:p>
    <w:p w14:paraId="60FFD8AD" w14:textId="31597339" w:rsidR="0093180B" w:rsidRDefault="00EA409C" w:rsidP="0093180B">
      <w:pPr>
        <w:spacing w:after="40" w:line="240" w:lineRule="auto"/>
      </w:pPr>
      <w:r>
        <w:t>Mail:</w:t>
      </w:r>
      <w:r>
        <w:tab/>
        <w:t>Complaints</w:t>
      </w:r>
    </w:p>
    <w:p w14:paraId="52284235" w14:textId="77777777" w:rsidR="0093180B" w:rsidRDefault="0093180B" w:rsidP="0093180B">
      <w:pPr>
        <w:spacing w:after="40" w:line="240" w:lineRule="auto"/>
      </w:pPr>
      <w:r>
        <w:tab/>
        <w:t>GPO Box 9820</w:t>
      </w:r>
    </w:p>
    <w:p w14:paraId="6D80DCFE" w14:textId="77777777" w:rsidR="0093180B" w:rsidRDefault="0093180B" w:rsidP="0093180B">
      <w:pPr>
        <w:spacing w:after="40" w:line="240" w:lineRule="auto"/>
      </w:pPr>
      <w:r>
        <w:tab/>
        <w:t>Canberra ACT 2601</w:t>
      </w:r>
    </w:p>
    <w:p w14:paraId="03AAF224" w14:textId="77777777" w:rsidR="004B1409" w:rsidRPr="00122DEC" w:rsidRDefault="004B1409" w:rsidP="00122DEC"/>
    <w:p w14:paraId="5017F7EA" w14:textId="77777777" w:rsidR="00790775" w:rsidRPr="00790775" w:rsidRDefault="00790775" w:rsidP="00122DEC">
      <w:pPr>
        <w:rPr>
          <w:b/>
        </w:rPr>
      </w:pPr>
      <w:r w:rsidRPr="00790775">
        <w:rPr>
          <w:b/>
        </w:rPr>
        <w:t>Complaints to the Ombudsman</w:t>
      </w:r>
    </w:p>
    <w:p w14:paraId="428EA59F" w14:textId="24D65428" w:rsidR="004B1409" w:rsidRPr="00122DEC" w:rsidRDefault="004B1409" w:rsidP="00122DEC">
      <w:r w:rsidRPr="00122DEC">
        <w:t>If you do not agree with the way the</w:t>
      </w:r>
      <w:r w:rsidR="00470E18">
        <w:t xml:space="preserve"> Community Grants Hub</w:t>
      </w:r>
      <w:r w:rsidRPr="00F1475D">
        <w:t xml:space="preserve"> </w:t>
      </w:r>
      <w:r w:rsidR="00470E18" w:rsidRPr="00D30E2D">
        <w:t xml:space="preserve">or </w:t>
      </w:r>
      <w:r w:rsidR="002B3967" w:rsidRPr="00490FE7">
        <w:t xml:space="preserve">the </w:t>
      </w:r>
      <w:r w:rsidR="0060171C">
        <w:t>d</w:t>
      </w:r>
      <w:r w:rsidR="002B3967" w:rsidRPr="00490FE7">
        <w:t xml:space="preserve">epartment </w:t>
      </w:r>
      <w:r w:rsidRPr="00122DEC">
        <w:t xml:space="preserve">has handled your complaint, </w:t>
      </w:r>
      <w:r w:rsidRPr="00F1475D">
        <w:t xml:space="preserve">you may complain to the </w:t>
      </w:r>
      <w:hyperlink r:id="rId39" w:history="1">
        <w:r w:rsidRPr="00132512">
          <w:rPr>
            <w:rStyle w:val="Hyperlink"/>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rsidR="00470E18">
        <w:t xml:space="preserve">Community Grants Hub </w:t>
      </w:r>
      <w:r w:rsidR="00D30E2D" w:rsidRPr="00D30E2D">
        <w:t>or</w:t>
      </w:r>
      <w:r w:rsidR="004165D3">
        <w:t xml:space="preserve"> the department</w:t>
      </w:r>
      <w:r w:rsidRPr="00516E21">
        <w:t>.</w:t>
      </w:r>
    </w:p>
    <w:p w14:paraId="7574A7E4" w14:textId="358B8823" w:rsidR="004B1409" w:rsidRDefault="004B1409" w:rsidP="004B1409">
      <w:pPr>
        <w:ind w:left="5040" w:hanging="5040"/>
      </w:pPr>
      <w:r w:rsidRPr="00B72EE8">
        <w:t>The Commonwealth</w:t>
      </w:r>
      <w:r w:rsidR="00EA409C">
        <w:t xml:space="preserve"> Ombudsman </w:t>
      </w:r>
      <w:proofErr w:type="gramStart"/>
      <w:r w:rsidR="00EA409C">
        <w:t>can be contacted</w:t>
      </w:r>
      <w:proofErr w:type="gramEnd"/>
      <w:r w:rsidR="00EA409C">
        <w:t xml:space="preserve"> on:</w:t>
      </w:r>
    </w:p>
    <w:p w14:paraId="1759BB95" w14:textId="6FEB2616" w:rsidR="004B1409" w:rsidRPr="00B72EE8" w:rsidRDefault="004B1409" w:rsidP="004B1409">
      <w:pPr>
        <w:ind w:left="1276" w:hanging="1276"/>
      </w:pPr>
      <w:r w:rsidRPr="00B72EE8">
        <w:tab/>
        <w:t>Phone (Toll free): 1300 362 072</w:t>
      </w:r>
      <w:r w:rsidRPr="00B72EE8">
        <w:br/>
        <w:t xml:space="preserve">Email: </w:t>
      </w:r>
      <w:hyperlink r:id="rId40" w:history="1">
        <w:r w:rsidRPr="00B72EE8">
          <w:t>ombudsman@ombudsman.gov.au</w:t>
        </w:r>
      </w:hyperlink>
      <w:r w:rsidRPr="00B72EE8">
        <w:br/>
        <w:t xml:space="preserve">Website: </w:t>
      </w:r>
      <w:hyperlink r:id="rId41" w:history="1">
        <w:r w:rsidRPr="00B72EE8">
          <w:t>www.ombudsman.gov.au</w:t>
        </w:r>
      </w:hyperlink>
    </w:p>
    <w:p w14:paraId="687E1061" w14:textId="77777777" w:rsidR="004B1409" w:rsidRPr="00A04CCA" w:rsidRDefault="004B1409" w:rsidP="009668F6">
      <w:pPr>
        <w:pStyle w:val="Heading3"/>
      </w:pPr>
      <w:bookmarkStart w:id="132" w:name="_Toc24705232"/>
      <w:r w:rsidRPr="00A04CCA">
        <w:t>Conflicts of interest</w:t>
      </w:r>
      <w:bookmarkEnd w:id="132"/>
    </w:p>
    <w:p w14:paraId="47473D7E" w14:textId="0E6E9B3C"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2" w:history="1">
        <w:r w:rsidRPr="00122DEC">
          <w:t>conflict of interest</w:t>
        </w:r>
      </w:hyperlink>
      <w:r w:rsidRPr="00122DEC">
        <w:t>, or perceived conflict of interest, if</w:t>
      </w:r>
      <w:r w:rsidR="004165D3">
        <w:t xml:space="preserve"> the department</w:t>
      </w:r>
      <w:r w:rsidR="00470E18">
        <w:rPr>
          <w:color w:val="0070C0"/>
        </w:rPr>
        <w:t xml:space="preserve"> </w:t>
      </w:r>
      <w:r w:rsidR="00470E18" w:rsidRPr="00EE0C10">
        <w:t xml:space="preserve">and the Community </w:t>
      </w:r>
      <w:r w:rsidR="00470E18" w:rsidRPr="00EE0C10">
        <w:lastRenderedPageBreak/>
        <w:t>Grants Hub</w:t>
      </w:r>
      <w:r w:rsidRPr="00E96DD6">
        <w:t xml:space="preserve"> staff, any member of a committee or advisor and/or you or any of </w:t>
      </w:r>
      <w:r w:rsidRPr="00F1475D">
        <w:t>your personnel</w:t>
      </w:r>
      <w:r w:rsidR="006F16B1">
        <w:t xml:space="preserve"> has a</w:t>
      </w:r>
      <w:r w:rsidRPr="00F1475D">
        <w:t>:</w:t>
      </w:r>
    </w:p>
    <w:p w14:paraId="130EE5F7" w14:textId="1FF29DCA" w:rsidR="004B1409" w:rsidRPr="00A04CCA" w:rsidRDefault="004B1409" w:rsidP="004B1409">
      <w:pPr>
        <w:pStyle w:val="ListBullet"/>
        <w:rPr>
          <w:color w:val="0070C0"/>
        </w:rPr>
      </w:pPr>
      <w:r w:rsidRPr="00F1475D">
        <w:t xml:space="preserve"> professional, commercial or personal relationship with a party who is able to influence the application selection </w:t>
      </w:r>
      <w:r w:rsidR="00A9533B">
        <w:t>process, such as an Australian g</w:t>
      </w:r>
      <w:r w:rsidRPr="00F1475D">
        <w:t>overnment officer</w:t>
      </w:r>
    </w:p>
    <w:p w14:paraId="3D98EA61" w14:textId="6FBE3EEC" w:rsidR="004B1409" w:rsidRPr="00F1475D" w:rsidRDefault="004B1409" w:rsidP="004B1409">
      <w:pPr>
        <w:pStyle w:val="ListBullet"/>
      </w:pPr>
      <w:r w:rsidRPr="00F1475D">
        <w:t xml:space="preserve">relationship with </w:t>
      </w:r>
      <w:r w:rsidR="00B501CF">
        <w:t>or interest in</w:t>
      </w:r>
      <w:r w:rsidRPr="00F1475D">
        <w:t>, an organisation, which is likely to interfere with or restrict the applicants from carrying out the proposed acti</w:t>
      </w:r>
      <w:r w:rsidR="00EA409C">
        <w:t>vities fairly and independently</w:t>
      </w:r>
    </w:p>
    <w:p w14:paraId="2E64672D" w14:textId="77777777" w:rsidR="004B1409" w:rsidRPr="00F1475D" w:rsidRDefault="004B1409" w:rsidP="004B1409">
      <w:pPr>
        <w:pStyle w:val="ListBullet"/>
      </w:pPr>
      <w:proofErr w:type="gramStart"/>
      <w:r w:rsidRPr="00F1475D">
        <w:t>relationship</w:t>
      </w:r>
      <w:proofErr w:type="gramEnd"/>
      <w:r w:rsidRPr="00F1475D">
        <w:t xml:space="preserve"> with, or interest in, an organisation from which they will receive personal gain because the organisation receives </w:t>
      </w:r>
      <w:r w:rsidR="00182EAC">
        <w:t>a grant under the grant program/ grant opportunity</w:t>
      </w:r>
      <w:r w:rsidRPr="00F1475D">
        <w:t>.</w:t>
      </w:r>
    </w:p>
    <w:p w14:paraId="5CD6FE51" w14:textId="77777777" w:rsidR="004B1409" w:rsidRPr="00F1475D" w:rsidRDefault="004B1409" w:rsidP="004B1409">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3EE74284" w14:textId="76270BAA" w:rsidR="004B1409" w:rsidRDefault="00EA409C" w:rsidP="004B1409">
      <w:r>
        <w:t xml:space="preserve">If </w:t>
      </w:r>
      <w:r w:rsidR="00B27398">
        <w:t>you later</w:t>
      </w:r>
      <w:r w:rsidR="00A9533B">
        <w:t xml:space="preserve"> think there is an </w:t>
      </w:r>
      <w:r w:rsidR="004B1409" w:rsidRPr="00F1475D">
        <w:t xml:space="preserve">actual, apparent, or </w:t>
      </w:r>
      <w:r w:rsidR="00182EAC">
        <w:t xml:space="preserve">perceived </w:t>
      </w:r>
      <w:r w:rsidR="004B1409" w:rsidRPr="00F1475D">
        <w:t>conflict of interest, you must inform the</w:t>
      </w:r>
      <w:r w:rsidR="004165D3">
        <w:t xml:space="preserve"> department</w:t>
      </w:r>
      <w:r w:rsidR="004B1409" w:rsidRPr="00516E21">
        <w:t xml:space="preserve"> </w:t>
      </w:r>
      <w:r w:rsidR="00470E18">
        <w:t xml:space="preserve">and the Community Grants Hub </w:t>
      </w:r>
      <w:r w:rsidR="00B27398">
        <w:t>in writing immediately.</w:t>
      </w:r>
    </w:p>
    <w:p w14:paraId="48EF9AAB" w14:textId="77777777" w:rsidR="00182EAC" w:rsidRDefault="004B1409" w:rsidP="004B1409">
      <w:r w:rsidRPr="00B72EE8">
        <w:t xml:space="preserve">Conflicts of interest for </w:t>
      </w:r>
      <w:r w:rsidR="00A9533B">
        <w:t>Australian g</w:t>
      </w:r>
      <w:r>
        <w:t xml:space="preserve">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43" w:history="1">
        <w:r w:rsidRPr="009C7586">
          <w:rPr>
            <w:rStyle w:val="Hyperlink"/>
          </w:rPr>
          <w:t>Public Service Code of Conduct (Section 13(7))</w:t>
        </w:r>
      </w:hyperlink>
      <w:r>
        <w:t xml:space="preserve"> of the </w:t>
      </w:r>
      <w:hyperlink r:id="rId44"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2B0D6E5C" w14:textId="0766CCC2"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5" w:history="1">
        <w:r w:rsidR="00E96DD6" w:rsidRPr="00EE0C10">
          <w:rPr>
            <w:rStyle w:val="Hyperlink"/>
          </w:rPr>
          <w:t>Community Grants Hub</w:t>
        </w:r>
      </w:hyperlink>
      <w:r w:rsidR="00E96DD6" w:rsidRPr="00EE0C10">
        <w:rPr>
          <w:color w:val="4F6228" w:themeColor="accent3" w:themeShade="80"/>
        </w:rPr>
        <w:t xml:space="preserve"> </w:t>
      </w:r>
      <w:r w:rsidRPr="00122DEC">
        <w:t>website</w:t>
      </w:r>
      <w:r w:rsidR="00E54F86">
        <w:t>.</w:t>
      </w:r>
    </w:p>
    <w:p w14:paraId="3D4F89E7" w14:textId="77777777" w:rsidR="004B1409" w:rsidRDefault="007E6B1A" w:rsidP="009668F6">
      <w:pPr>
        <w:pStyle w:val="Heading3"/>
      </w:pPr>
      <w:bookmarkStart w:id="133" w:name="_Toc24705233"/>
      <w:r>
        <w:t>Privacy</w:t>
      </w:r>
      <w:bookmarkEnd w:id="133"/>
    </w:p>
    <w:p w14:paraId="2F6A2B86" w14:textId="17BE9D79"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46"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7" w:history="1">
        <w:r w:rsidR="007E6B1A" w:rsidRPr="009D794C">
          <w:rPr>
            <w:rStyle w:val="Hyperlink"/>
          </w:rPr>
          <w:t>Australian Privacy Principles</w:t>
        </w:r>
      </w:hyperlink>
      <w:r w:rsidR="00164671" w:rsidRPr="00164671">
        <w:t>.</w:t>
      </w:r>
      <w:r w:rsidR="007E6B1A" w:rsidRPr="00164671">
        <w:t xml:space="preserve"> This includes letting you know:</w:t>
      </w:r>
    </w:p>
    <w:p w14:paraId="17148DE5" w14:textId="77777777" w:rsidR="007E6B1A" w:rsidRPr="00E86A67" w:rsidRDefault="007E6B1A" w:rsidP="007E6B1A">
      <w:pPr>
        <w:pStyle w:val="ListBullet"/>
      </w:pPr>
      <w:r w:rsidRPr="00E86A67">
        <w:t>what personal information we collect</w:t>
      </w:r>
    </w:p>
    <w:p w14:paraId="0A945858" w14:textId="77777777" w:rsidR="007E6B1A" w:rsidRPr="00E86A67" w:rsidRDefault="007E6B1A" w:rsidP="007E6B1A">
      <w:pPr>
        <w:pStyle w:val="ListBullet"/>
      </w:pPr>
      <w:r w:rsidRPr="00E86A67">
        <w:t>why we co</w:t>
      </w:r>
      <w:r>
        <w:t>llect your personal information</w:t>
      </w:r>
    </w:p>
    <w:p w14:paraId="780DECC0" w14:textId="77777777" w:rsidR="007E6B1A" w:rsidRDefault="007E6B1A" w:rsidP="007E6B1A">
      <w:pPr>
        <w:pStyle w:val="ListBullet"/>
      </w:pPr>
      <w:proofErr w:type="gramStart"/>
      <w:r w:rsidRPr="00E86A67">
        <w:t>who</w:t>
      </w:r>
      <w:proofErr w:type="gramEnd"/>
      <w:r w:rsidRPr="00E86A67">
        <w:t xml:space="preserve"> we gi</w:t>
      </w:r>
      <w:r>
        <w:t>ve your personal information to</w:t>
      </w:r>
      <w:r w:rsidR="00EA7AD7">
        <w:t>.</w:t>
      </w:r>
    </w:p>
    <w:p w14:paraId="49407836" w14:textId="77777777" w:rsidR="00A95129" w:rsidRDefault="00A95129" w:rsidP="007E6B1A">
      <w:r>
        <w:t xml:space="preserve">Your personal information </w:t>
      </w:r>
      <w:proofErr w:type="gramStart"/>
      <w:r>
        <w:t>can only be disclosed</w:t>
      </w:r>
      <w:proofErr w:type="gramEnd"/>
      <w:r>
        <w:t xml:space="preserve"> to someone else for the primary purpose for which it was collected, unless an exemption applies.</w:t>
      </w:r>
    </w:p>
    <w:p w14:paraId="49509033" w14:textId="77777777" w:rsidR="00A95129" w:rsidRDefault="00A95129" w:rsidP="00A95129">
      <w:r w:rsidRPr="00763129">
        <w:t xml:space="preserve">The </w:t>
      </w:r>
      <w:r w:rsidR="00370E02">
        <w:t>Australian g</w:t>
      </w:r>
      <w:r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in any other Australian g</w:t>
      </w:r>
      <w:r w:rsidRPr="00763129">
        <w:t>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32B8D38A" w14:textId="77777777"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779814E5" w14:textId="3E4B766F"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w:t>
      </w:r>
      <w:r w:rsidR="00FD1B0B">
        <w:t xml:space="preserve"> department</w:t>
      </w:r>
      <w:r w:rsidR="007A46B8">
        <w:t xml:space="preserve"> would breach an Australian Privacy Principle as defined in the Act.</w:t>
      </w:r>
    </w:p>
    <w:p w14:paraId="20668523" w14:textId="77777777" w:rsidR="00D35A39" w:rsidRDefault="00D35A39" w:rsidP="009668F6">
      <w:pPr>
        <w:pStyle w:val="Heading3"/>
      </w:pPr>
      <w:bookmarkStart w:id="134" w:name="_Toc24705234"/>
      <w:r>
        <w:t xml:space="preserve">Confidential </w:t>
      </w:r>
      <w:r w:rsidR="00810E9A">
        <w:t>i</w:t>
      </w:r>
      <w:r>
        <w:t>nformation</w:t>
      </w:r>
      <w:bookmarkEnd w:id="134"/>
    </w:p>
    <w:p w14:paraId="180E5194"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t>
      </w:r>
      <w:proofErr w:type="gramStart"/>
      <w:r w:rsidR="007A46B8">
        <w:rPr>
          <w:lang w:eastAsia="en-AU"/>
        </w:rPr>
        <w:t>will not be breached</w:t>
      </w:r>
      <w:proofErr w:type="gramEnd"/>
      <w:r w:rsidR="007A46B8">
        <w:rPr>
          <w:lang w:eastAsia="en-AU"/>
        </w:rPr>
        <w:t xml:space="preserve"> where you are required by law, Parliament or a stock exchange to disclose the relevant information or where the relevant </w:t>
      </w:r>
      <w:r w:rsidR="007A46B8">
        <w:rPr>
          <w:lang w:eastAsia="en-AU"/>
        </w:rPr>
        <w:lastRenderedPageBreak/>
        <w:t xml:space="preserve">information is publicly available (other than through breach of a confidentiality or non-disclosure </w:t>
      </w:r>
      <w:r w:rsidR="007A46B8" w:rsidRPr="00E96DD6">
        <w:rPr>
          <w:lang w:eastAsia="en-AU"/>
        </w:rPr>
        <w:t>obligation).</w:t>
      </w:r>
    </w:p>
    <w:p w14:paraId="785C67A4" w14:textId="75ED04E8"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p>
    <w:p w14:paraId="0C00E65B"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1991FA91" w14:textId="77777777" w:rsidR="002B4620" w:rsidRPr="00E96DD6" w:rsidRDefault="00370E02" w:rsidP="009668F6">
      <w:pPr>
        <w:pStyle w:val="ListNumber"/>
        <w:numPr>
          <w:ilvl w:val="0"/>
          <w:numId w:val="16"/>
        </w:numPr>
      </w:pPr>
      <w:r>
        <w:t>y</w:t>
      </w:r>
      <w:r w:rsidR="002B4620" w:rsidRPr="00E96DD6">
        <w:t>ou clearly identify the information as confidential and explain why we should treat it as confidential</w:t>
      </w:r>
    </w:p>
    <w:p w14:paraId="1046476C" w14:textId="77777777" w:rsidR="002B4620" w:rsidRPr="00E96DD6" w:rsidRDefault="00370E02" w:rsidP="002B4620">
      <w:pPr>
        <w:pStyle w:val="ListNumber"/>
      </w:pPr>
      <w:r>
        <w:t>t</w:t>
      </w:r>
      <w:r w:rsidR="002B4620" w:rsidRPr="00E96DD6">
        <w:t>he information is commercially sensitive</w:t>
      </w:r>
    </w:p>
    <w:p w14:paraId="732EBD4B" w14:textId="77777777" w:rsidR="002B4620" w:rsidRPr="00E96DD6" w:rsidRDefault="00370E02" w:rsidP="002B4620">
      <w:pPr>
        <w:pStyle w:val="ListNumber"/>
      </w:pPr>
      <w:proofErr w:type="gramStart"/>
      <w:r>
        <w:t>r</w:t>
      </w:r>
      <w:r w:rsidR="002B4620" w:rsidRPr="00E96DD6">
        <w:t>evealing</w:t>
      </w:r>
      <w:proofErr w:type="gramEnd"/>
      <w:r w:rsidR="002B4620" w:rsidRPr="00E96DD6">
        <w:t xml:space="preserve"> the information would cause unreasonable harm to you or someone else.</w:t>
      </w:r>
    </w:p>
    <w:p w14:paraId="6320D5E3" w14:textId="5EAD59F3"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will not be in breach of any confidentiality agreement if t</w:t>
      </w:r>
      <w:r w:rsidR="00E54F86">
        <w:rPr>
          <w:lang w:eastAsia="en-AU"/>
        </w:rPr>
        <w:t xml:space="preserve">he information </w:t>
      </w:r>
      <w:proofErr w:type="gramStart"/>
      <w:r w:rsidR="00E54F86">
        <w:rPr>
          <w:lang w:eastAsia="en-AU"/>
        </w:rPr>
        <w:t>is disclosed</w:t>
      </w:r>
      <w:proofErr w:type="gramEnd"/>
      <w:r w:rsidR="00E54F86">
        <w:rPr>
          <w:lang w:eastAsia="en-AU"/>
        </w:rPr>
        <w:t xml:space="preserve"> to:</w:t>
      </w:r>
    </w:p>
    <w:p w14:paraId="7DBA582D" w14:textId="77777777" w:rsidR="007E6B1A" w:rsidRPr="00E96DD6" w:rsidRDefault="007E6B1A" w:rsidP="002D2607">
      <w:pPr>
        <w:pStyle w:val="ListBullet"/>
      </w:pPr>
      <w:r w:rsidRPr="00E96DD6">
        <w:t>Commonwealth employees and contractors to help us manage the program effectively</w:t>
      </w:r>
    </w:p>
    <w:p w14:paraId="70D5BA12"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2502AF7" w14:textId="77777777" w:rsidR="007E6B1A" w:rsidRDefault="007E6B1A" w:rsidP="002D2607">
      <w:pPr>
        <w:pStyle w:val="ListBullet"/>
      </w:pPr>
      <w:r>
        <w:t>employees and contractors of other Commonwealth agencies for any purposes, including government administration, research or service delivery</w:t>
      </w:r>
    </w:p>
    <w:p w14:paraId="688D2B42"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0AC1618A" w14:textId="77777777" w:rsidR="007E6B1A" w:rsidRPr="0033741C" w:rsidRDefault="007E6B1A" w:rsidP="002D2607">
      <w:pPr>
        <w:pStyle w:val="ListBullet"/>
      </w:pPr>
      <w:r w:rsidRPr="0033741C">
        <w:t>the Auditor-General, Ombudsman or Privacy Commissioner</w:t>
      </w:r>
    </w:p>
    <w:p w14:paraId="37C7A773" w14:textId="77777777" w:rsidR="007E6B1A" w:rsidRPr="00BA6D16" w:rsidRDefault="007E6B1A" w:rsidP="002D2607">
      <w:pPr>
        <w:pStyle w:val="ListBullet"/>
      </w:pPr>
      <w:r w:rsidRPr="00BA6D16">
        <w:t>the responsible Minister or Parliamentary Secretary</w:t>
      </w:r>
    </w:p>
    <w:p w14:paraId="016FC916" w14:textId="77777777" w:rsidR="007E6B1A" w:rsidRPr="0033741C" w:rsidRDefault="007E6B1A" w:rsidP="002D2607">
      <w:pPr>
        <w:pStyle w:val="ListBullet"/>
      </w:pPr>
      <w:proofErr w:type="gramStart"/>
      <w:r w:rsidRPr="0033741C">
        <w:t>a</w:t>
      </w:r>
      <w:proofErr w:type="gramEnd"/>
      <w:r w:rsidRPr="0033741C">
        <w:t xml:space="preserve"> House or a Committee of the </w:t>
      </w:r>
      <w:r>
        <w:t xml:space="preserve">Australian </w:t>
      </w:r>
      <w:r w:rsidRPr="0033741C">
        <w:t>Parliament</w:t>
      </w:r>
      <w:r>
        <w:t>.</w:t>
      </w:r>
    </w:p>
    <w:p w14:paraId="38821075" w14:textId="2627E9C4"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00E54F86">
        <w:t>agreement.</w:t>
      </w:r>
    </w:p>
    <w:p w14:paraId="70BE2C92" w14:textId="77777777" w:rsidR="004B1409" w:rsidRDefault="002D2607" w:rsidP="009668F6">
      <w:pPr>
        <w:pStyle w:val="Heading3"/>
      </w:pPr>
      <w:bookmarkStart w:id="135" w:name="_Toc24705235"/>
      <w:r>
        <w:t>Freedom of information</w:t>
      </w:r>
      <w:bookmarkEnd w:id="135"/>
    </w:p>
    <w:p w14:paraId="4AC0E110" w14:textId="77777777" w:rsidR="002D2607" w:rsidRPr="00B72EE8" w:rsidRDefault="002D2607" w:rsidP="002D2607">
      <w:r w:rsidRPr="00B72EE8">
        <w:t xml:space="preserve">All documents </w:t>
      </w:r>
      <w:r w:rsidR="00346B05">
        <w:t>that the</w:t>
      </w:r>
      <w:r w:rsidR="00346B05" w:rsidRPr="00B72EE8">
        <w:t xml:space="preserve"> </w:t>
      </w:r>
      <w:r>
        <w:t xml:space="preserve">Australian </w:t>
      </w:r>
      <w:r w:rsidR="00370E02">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48" w:history="1">
        <w:r w:rsidRPr="00443FC0">
          <w:rPr>
            <w:rStyle w:val="Hyperlink"/>
            <w:i/>
          </w:rPr>
          <w:t>Freedom of Information Act 1982</w:t>
        </w:r>
      </w:hyperlink>
      <w:r w:rsidRPr="00B72EE8">
        <w:t xml:space="preserve"> </w:t>
      </w:r>
      <w:r w:rsidRPr="0049044C">
        <w:t>(FOI Act)</w:t>
      </w:r>
      <w:r w:rsidRPr="00333BAC">
        <w:rPr>
          <w:i/>
        </w:rPr>
        <w:t>.</w:t>
      </w:r>
    </w:p>
    <w:p w14:paraId="6486FEBF" w14:textId="77777777"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Australian 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w:t>
      </w:r>
      <w:proofErr w:type="gramStart"/>
      <w:r w:rsidR="00346B05">
        <w:t>to</w:t>
      </w:r>
      <w:proofErr w:type="gramEnd"/>
      <w:r w:rsidRPr="00B72EE8">
        <w:t>.</w:t>
      </w:r>
    </w:p>
    <w:p w14:paraId="29E7E0B8" w14:textId="77777777" w:rsidR="002D2607" w:rsidRPr="00B72EE8" w:rsidRDefault="002D2607" w:rsidP="002D2607">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3FA4CBEF"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3030688A" w14:textId="77777777" w:rsidR="00C319D9" w:rsidRDefault="00C319D9" w:rsidP="00C319D9">
      <w:pPr>
        <w:tabs>
          <w:tab w:val="left" w:pos="1418"/>
        </w:tabs>
        <w:spacing w:after="40" w:line="240" w:lineRule="auto"/>
        <w:ind w:left="2836" w:hanging="1418"/>
      </w:pPr>
      <w:r>
        <w:t xml:space="preserve">Government and Executive Services Branch </w:t>
      </w:r>
    </w:p>
    <w:p w14:paraId="4C27525E" w14:textId="77777777" w:rsidR="00C319D9" w:rsidRDefault="00C319D9" w:rsidP="00C319D9">
      <w:pPr>
        <w:tabs>
          <w:tab w:val="left" w:pos="1418"/>
        </w:tabs>
        <w:spacing w:after="40" w:line="240" w:lineRule="auto"/>
        <w:ind w:left="2836" w:hanging="1418"/>
      </w:pPr>
      <w:r>
        <w:t>Department of Social Services (DSS)</w:t>
      </w:r>
    </w:p>
    <w:p w14:paraId="1B8FD0FE" w14:textId="77777777" w:rsidR="00C319D9" w:rsidRDefault="00C319D9" w:rsidP="00C319D9">
      <w:pPr>
        <w:tabs>
          <w:tab w:val="left" w:pos="1418"/>
        </w:tabs>
        <w:spacing w:after="40" w:line="240" w:lineRule="auto"/>
        <w:ind w:left="2836" w:hanging="1418"/>
      </w:pPr>
      <w:r>
        <w:t>GPO Box 9820</w:t>
      </w:r>
    </w:p>
    <w:p w14:paraId="775168E0" w14:textId="77777777" w:rsidR="00C319D9" w:rsidRPr="00516E21" w:rsidRDefault="00C319D9" w:rsidP="00C319D9">
      <w:pPr>
        <w:tabs>
          <w:tab w:val="left" w:pos="1418"/>
        </w:tabs>
        <w:spacing w:after="40" w:line="240" w:lineRule="auto"/>
        <w:ind w:left="2836" w:hanging="1418"/>
      </w:pPr>
      <w:r>
        <w:t>Canberra ACT 2601</w:t>
      </w:r>
    </w:p>
    <w:p w14:paraId="093159F5" w14:textId="60F68B16" w:rsidR="002D2607" w:rsidRPr="00122DEC" w:rsidRDefault="002D2607" w:rsidP="002D2607">
      <w:r w:rsidRPr="00122DEC">
        <w:t>By email:</w:t>
      </w:r>
      <w:r w:rsidRPr="00122DEC">
        <w:tab/>
      </w:r>
      <w:hyperlink r:id="rId49" w:history="1">
        <w:r w:rsidR="00C319D9" w:rsidRPr="00C42A3F">
          <w:rPr>
            <w:rStyle w:val="Hyperlink"/>
          </w:rPr>
          <w:t>foi@dss.gov.au</w:t>
        </w:r>
      </w:hyperlink>
    </w:p>
    <w:p w14:paraId="7A4D315E" w14:textId="77777777" w:rsidR="0001007B" w:rsidRDefault="0001007B">
      <w:pPr>
        <w:spacing w:before="0" w:after="0" w:line="240" w:lineRule="auto"/>
        <w:rPr>
          <w:b/>
          <w:iCs/>
        </w:rPr>
      </w:pPr>
      <w:r>
        <w:rPr>
          <w:b/>
        </w:rPr>
        <w:br w:type="page"/>
      </w:r>
    </w:p>
    <w:p w14:paraId="7E6BE18D" w14:textId="77777777" w:rsidR="002D2607" w:rsidRDefault="002D2607" w:rsidP="008E13F7">
      <w:pPr>
        <w:pStyle w:val="ListBullet"/>
        <w:numPr>
          <w:ilvl w:val="0"/>
          <w:numId w:val="0"/>
        </w:numPr>
      </w:pPr>
    </w:p>
    <w:p w14:paraId="0BB8C88D" w14:textId="77777777" w:rsidR="00D96D08" w:rsidRDefault="002D2607" w:rsidP="009668F6">
      <w:pPr>
        <w:pStyle w:val="Heading2"/>
      </w:pPr>
      <w:bookmarkStart w:id="136" w:name="_Toc24705236"/>
      <w:bookmarkEnd w:id="109"/>
      <w:r w:rsidRPr="002D2607">
        <w:t>Glossary</w:t>
      </w:r>
      <w:bookmarkEnd w:id="136"/>
    </w:p>
    <w:p w14:paraId="4AF2731B"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43B66924" w14:textId="77777777" w:rsidTr="004960E4">
        <w:trPr>
          <w:cantSplit/>
          <w:tblHeader/>
        </w:trPr>
        <w:tc>
          <w:tcPr>
            <w:tcW w:w="1843" w:type="pct"/>
            <w:shd w:val="clear" w:color="auto" w:fill="264F90"/>
          </w:tcPr>
          <w:p w14:paraId="5236C141" w14:textId="77777777" w:rsidR="002A7660" w:rsidRPr="004D41A5" w:rsidRDefault="002A7660" w:rsidP="004B1409">
            <w:pPr>
              <w:pStyle w:val="TableHeadingNumbered"/>
            </w:pPr>
            <w:r w:rsidRPr="004D41A5">
              <w:t>Term</w:t>
            </w:r>
          </w:p>
        </w:tc>
        <w:tc>
          <w:tcPr>
            <w:tcW w:w="3157" w:type="pct"/>
            <w:shd w:val="clear" w:color="auto" w:fill="264F90"/>
          </w:tcPr>
          <w:p w14:paraId="19A0AA6A" w14:textId="77777777" w:rsidR="002A7660" w:rsidRPr="004D41A5" w:rsidRDefault="002A7660" w:rsidP="004B1409">
            <w:pPr>
              <w:pStyle w:val="TableHeadingNumbered"/>
            </w:pPr>
            <w:r w:rsidRPr="004D41A5">
              <w:t>Definition</w:t>
            </w:r>
          </w:p>
        </w:tc>
      </w:tr>
      <w:tr w:rsidR="002547F6" w:rsidRPr="00274AE2" w14:paraId="657191F4" w14:textId="77777777" w:rsidTr="004960E4">
        <w:trPr>
          <w:cantSplit/>
        </w:trPr>
        <w:tc>
          <w:tcPr>
            <w:tcW w:w="1843" w:type="pct"/>
          </w:tcPr>
          <w:p w14:paraId="47EC729A" w14:textId="77777777" w:rsidR="002547F6" w:rsidRPr="00274AE2" w:rsidRDefault="002547F6" w:rsidP="00455160">
            <w:r w:rsidRPr="00274AE2">
              <w:t>accountable authority</w:t>
            </w:r>
          </w:p>
        </w:tc>
        <w:tc>
          <w:tcPr>
            <w:tcW w:w="3157" w:type="pct"/>
          </w:tcPr>
          <w:p w14:paraId="54F566B2" w14:textId="1A0A5EB0"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0" w:history="1">
              <w:r w:rsidR="00452C26" w:rsidRPr="001834A6">
                <w:rPr>
                  <w:rStyle w:val="Hyperlink"/>
                  <w:i/>
                </w:rPr>
                <w:t>Public Governance, Performance and Accountability Act 2013</w:t>
              </w:r>
            </w:hyperlink>
          </w:p>
        </w:tc>
      </w:tr>
      <w:tr w:rsidR="002547F6" w:rsidRPr="00274AE2" w14:paraId="0F9A433B" w14:textId="77777777" w:rsidTr="004960E4">
        <w:trPr>
          <w:cantSplit/>
        </w:trPr>
        <w:tc>
          <w:tcPr>
            <w:tcW w:w="1843" w:type="pct"/>
          </w:tcPr>
          <w:p w14:paraId="50F92EEE" w14:textId="77777777" w:rsidR="002547F6" w:rsidRPr="00274AE2" w:rsidRDefault="008463BB" w:rsidP="00455160">
            <w:r>
              <w:t>a</w:t>
            </w:r>
            <w:r w:rsidR="002547F6" w:rsidRPr="00274AE2">
              <w:t>dministering entity</w:t>
            </w:r>
          </w:p>
        </w:tc>
        <w:tc>
          <w:tcPr>
            <w:tcW w:w="3157" w:type="pct"/>
          </w:tcPr>
          <w:p w14:paraId="028A52E1"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7A494BE3" w14:textId="77777777" w:rsidTr="004960E4">
        <w:trPr>
          <w:cantSplit/>
        </w:trPr>
        <w:tc>
          <w:tcPr>
            <w:tcW w:w="1843" w:type="pct"/>
          </w:tcPr>
          <w:p w14:paraId="2C11D879" w14:textId="77777777" w:rsidR="002D2607" w:rsidRDefault="002D2607" w:rsidP="002D2607">
            <w:r w:rsidRPr="001B21A4">
              <w:t>assessment criteria</w:t>
            </w:r>
          </w:p>
        </w:tc>
        <w:tc>
          <w:tcPr>
            <w:tcW w:w="3157" w:type="pct"/>
          </w:tcPr>
          <w:p w14:paraId="43AA609D"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2D2607" w:rsidRPr="009E3949" w14:paraId="51BF6DA7" w14:textId="77777777" w:rsidTr="004960E4">
        <w:trPr>
          <w:cantSplit/>
        </w:trPr>
        <w:tc>
          <w:tcPr>
            <w:tcW w:w="1843" w:type="pct"/>
          </w:tcPr>
          <w:p w14:paraId="68F13009" w14:textId="77777777" w:rsidR="002D2607" w:rsidRDefault="002D2607" w:rsidP="002D2607">
            <w:r>
              <w:t>c</w:t>
            </w:r>
            <w:r w:rsidRPr="00463AB3">
              <w:t>ommencement date</w:t>
            </w:r>
          </w:p>
        </w:tc>
        <w:tc>
          <w:tcPr>
            <w:tcW w:w="3157" w:type="pct"/>
          </w:tcPr>
          <w:p w14:paraId="07CCAAC1" w14:textId="40AD5AE5" w:rsidR="002D2607" w:rsidRPr="006C4678" w:rsidRDefault="001D76D4" w:rsidP="00A05845">
            <w:r>
              <w:t>t</w:t>
            </w:r>
            <w:r w:rsidR="002D2607" w:rsidRPr="00463AB3">
              <w:t>he expected st</w:t>
            </w:r>
            <w:r w:rsidR="00E54F86">
              <w:t>art date for the grant activity</w:t>
            </w:r>
          </w:p>
        </w:tc>
      </w:tr>
      <w:tr w:rsidR="002D2607" w:rsidRPr="009E3949" w14:paraId="099B8C33" w14:textId="77777777" w:rsidTr="004960E4">
        <w:trPr>
          <w:cantSplit/>
        </w:trPr>
        <w:tc>
          <w:tcPr>
            <w:tcW w:w="1843" w:type="pct"/>
          </w:tcPr>
          <w:p w14:paraId="37DE7AB5" w14:textId="77777777" w:rsidR="002D2607" w:rsidRDefault="002D2607" w:rsidP="002D2607">
            <w:r>
              <w:t>c</w:t>
            </w:r>
            <w:r w:rsidRPr="00463AB3">
              <w:t>ompletion date</w:t>
            </w:r>
          </w:p>
        </w:tc>
        <w:tc>
          <w:tcPr>
            <w:tcW w:w="3157" w:type="pct"/>
          </w:tcPr>
          <w:p w14:paraId="6D163FD4" w14:textId="2C346237" w:rsidR="002D2607" w:rsidRPr="006C4678" w:rsidRDefault="001D76D4" w:rsidP="00A05845">
            <w:r>
              <w:t>t</w:t>
            </w:r>
            <w:r w:rsidR="002D2607" w:rsidRPr="00463AB3">
              <w:t>he expected date that the grant activity must be c</w:t>
            </w:r>
            <w:r w:rsidR="00E54F86">
              <w:t>ompleted and the grant spent by</w:t>
            </w:r>
          </w:p>
        </w:tc>
      </w:tr>
      <w:tr w:rsidR="004960E4" w:rsidRPr="00274AE2" w14:paraId="049482C1" w14:textId="77777777" w:rsidTr="004960E4">
        <w:trPr>
          <w:cantSplit/>
        </w:trPr>
        <w:tc>
          <w:tcPr>
            <w:tcW w:w="1843" w:type="pct"/>
          </w:tcPr>
          <w:p w14:paraId="2F5E2E76" w14:textId="77777777" w:rsidR="004960E4" w:rsidRPr="00274AE2" w:rsidRDefault="008463BB" w:rsidP="00455160">
            <w:r>
              <w:t>c</w:t>
            </w:r>
            <w:r w:rsidR="004960E4" w:rsidRPr="00274AE2">
              <w:t>o-sponsoring entity</w:t>
            </w:r>
          </w:p>
        </w:tc>
        <w:tc>
          <w:tcPr>
            <w:tcW w:w="3157" w:type="pct"/>
          </w:tcPr>
          <w:p w14:paraId="4B29259B"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14:paraId="11E17EDB" w14:textId="77777777" w:rsidTr="004960E4">
        <w:trPr>
          <w:cantSplit/>
        </w:trPr>
        <w:tc>
          <w:tcPr>
            <w:tcW w:w="1843" w:type="pct"/>
          </w:tcPr>
          <w:p w14:paraId="5068D89D" w14:textId="77777777" w:rsidR="00B20BF7" w:rsidRDefault="00B20BF7" w:rsidP="00B20BF7">
            <w:r>
              <w:t xml:space="preserve">Commonwealth </w:t>
            </w:r>
            <w:r w:rsidRPr="001B21A4">
              <w:t>entity</w:t>
            </w:r>
          </w:p>
        </w:tc>
        <w:tc>
          <w:tcPr>
            <w:tcW w:w="3157" w:type="pct"/>
          </w:tcPr>
          <w:p w14:paraId="614AE935" w14:textId="77777777" w:rsidR="00B20BF7" w:rsidRPr="00164671" w:rsidRDefault="00B20BF7" w:rsidP="00370E02">
            <w:pPr>
              <w:rPr>
                <w:rFonts w:cs="Arial"/>
                <w:lang w:eastAsia="en-AU"/>
              </w:rPr>
            </w:pPr>
            <w:proofErr w:type="gramStart"/>
            <w:r>
              <w:rPr>
                <w:rFonts w:cs="Arial"/>
                <w:lang w:eastAsia="en-AU"/>
              </w:rPr>
              <w:t>a</w:t>
            </w:r>
            <w:proofErr w:type="gramEnd"/>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14:paraId="5CA8E403" w14:textId="77777777" w:rsidTr="004960E4">
        <w:trPr>
          <w:cantSplit/>
        </w:trPr>
        <w:tc>
          <w:tcPr>
            <w:tcW w:w="1843" w:type="pct"/>
          </w:tcPr>
          <w:p w14:paraId="12CC60EB" w14:textId="494E5897" w:rsidR="00B20BF7" w:rsidRDefault="0080342E" w:rsidP="00B20BF7">
            <w:hyperlink r:id="rId51" w:history="1">
              <w:r w:rsidR="00B20BF7" w:rsidRPr="001834A6">
                <w:rPr>
                  <w:rStyle w:val="Hyperlink"/>
                  <w:i/>
                </w:rPr>
                <w:t>Commonwealth Grants Rules and Guidelines (CGRGs)</w:t>
              </w:r>
            </w:hyperlink>
            <w:r w:rsidR="00B20BF7">
              <w:rPr>
                <w:rStyle w:val="Hyperlink"/>
                <w:i/>
              </w:rPr>
              <w:t xml:space="preserve"> </w:t>
            </w:r>
          </w:p>
        </w:tc>
        <w:tc>
          <w:tcPr>
            <w:tcW w:w="3157" w:type="pct"/>
          </w:tcPr>
          <w:p w14:paraId="45AEC42E" w14:textId="70E45726" w:rsidR="00B20BF7" w:rsidRPr="00164671" w:rsidRDefault="00B20BF7" w:rsidP="00B20BF7">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w:t>
            </w:r>
            <w:r w:rsidR="00E54F86">
              <w:rPr>
                <w:rFonts w:cs="Arial"/>
                <w:lang w:eastAsia="en-AU"/>
              </w:rPr>
              <w:t>iples of grants administration.</w:t>
            </w:r>
          </w:p>
        </w:tc>
      </w:tr>
      <w:tr w:rsidR="002D2607" w:rsidRPr="009E3949" w14:paraId="295A5905" w14:textId="77777777" w:rsidTr="004960E4">
        <w:trPr>
          <w:cantSplit/>
        </w:trPr>
        <w:tc>
          <w:tcPr>
            <w:tcW w:w="1843" w:type="pct"/>
          </w:tcPr>
          <w:p w14:paraId="564035FC" w14:textId="77777777" w:rsidR="002D2607" w:rsidRDefault="002D2607" w:rsidP="002D2607">
            <w:r>
              <w:t>date of effect</w:t>
            </w:r>
          </w:p>
        </w:tc>
        <w:tc>
          <w:tcPr>
            <w:tcW w:w="3157" w:type="pct"/>
          </w:tcPr>
          <w:p w14:paraId="7863D7CA" w14:textId="04BDB112"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w:t>
            </w:r>
          </w:p>
        </w:tc>
      </w:tr>
      <w:tr w:rsidR="002D2607" w:rsidRPr="009E3949" w14:paraId="73797DD4" w14:textId="77777777" w:rsidTr="004960E4">
        <w:trPr>
          <w:cantSplit/>
        </w:trPr>
        <w:tc>
          <w:tcPr>
            <w:tcW w:w="1843" w:type="pct"/>
          </w:tcPr>
          <w:p w14:paraId="0A15D961" w14:textId="77777777" w:rsidR="002D2607" w:rsidRDefault="002D2607" w:rsidP="002D2607">
            <w:r w:rsidRPr="001B21A4">
              <w:t>decision maker</w:t>
            </w:r>
          </w:p>
        </w:tc>
        <w:tc>
          <w:tcPr>
            <w:tcW w:w="3157" w:type="pct"/>
          </w:tcPr>
          <w:p w14:paraId="03411970"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5F206546" w14:textId="77777777" w:rsidTr="004960E4">
        <w:trPr>
          <w:cantSplit/>
        </w:trPr>
        <w:tc>
          <w:tcPr>
            <w:tcW w:w="1843" w:type="pct"/>
          </w:tcPr>
          <w:p w14:paraId="16DD2B4D" w14:textId="77777777" w:rsidR="002D2607" w:rsidRDefault="002D2607" w:rsidP="002D2607">
            <w:r w:rsidRPr="001B21A4">
              <w:t>eligibility criteria</w:t>
            </w:r>
          </w:p>
        </w:tc>
        <w:tc>
          <w:tcPr>
            <w:tcW w:w="3157" w:type="pct"/>
          </w:tcPr>
          <w:p w14:paraId="3DD2E823"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bookmarkStart w:id="137" w:name="_GoBack"/>
            <w:bookmarkEnd w:id="137"/>
          </w:p>
        </w:tc>
      </w:tr>
      <w:tr w:rsidR="001F45CE" w:rsidRPr="009E3949" w14:paraId="0A0FCB27" w14:textId="77777777" w:rsidTr="004960E4">
        <w:trPr>
          <w:cantSplit/>
        </w:trPr>
        <w:tc>
          <w:tcPr>
            <w:tcW w:w="1843" w:type="pct"/>
          </w:tcPr>
          <w:p w14:paraId="78DA111B"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60CF417A" w14:textId="77777777" w:rsidR="001F45CE" w:rsidRDefault="00666176" w:rsidP="003B575D">
            <w:pPr>
              <w:suppressAutoHyphens/>
              <w:spacing w:before="60"/>
            </w:pPr>
            <w:proofErr w:type="gramStart"/>
            <w:r>
              <w:t>is</w:t>
            </w:r>
            <w:proofErr w:type="gramEnd"/>
            <w:r>
              <w:t xml:space="preserve"> t</w:t>
            </w:r>
            <w:r w:rsidR="009023CF">
              <w:t>he officer responsible for the ongoing management of the grantee and their compliance with the grant agreement.</w:t>
            </w:r>
          </w:p>
        </w:tc>
      </w:tr>
      <w:tr w:rsidR="002D2607" w:rsidRPr="009E3949" w14:paraId="5519DAFE" w14:textId="77777777" w:rsidTr="004960E4">
        <w:trPr>
          <w:cantSplit/>
        </w:trPr>
        <w:tc>
          <w:tcPr>
            <w:tcW w:w="1843" w:type="pct"/>
          </w:tcPr>
          <w:p w14:paraId="1AF144E0" w14:textId="77777777" w:rsidR="002D2607" w:rsidRPr="0007627E" w:rsidRDefault="002D2607" w:rsidP="002D2607">
            <w:r w:rsidRPr="00463AB3">
              <w:rPr>
                <w:rFonts w:cs="Arial"/>
                <w:lang w:eastAsia="en-AU"/>
              </w:rPr>
              <w:lastRenderedPageBreak/>
              <w:t xml:space="preserve">grant </w:t>
            </w:r>
          </w:p>
        </w:tc>
        <w:tc>
          <w:tcPr>
            <w:tcW w:w="3157" w:type="pct"/>
          </w:tcPr>
          <w:p w14:paraId="34EC1793"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0511FD8" w14:textId="7547789E"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sidR="00A13E60">
              <w:rPr>
                <w:rFonts w:ascii="Arial" w:hAnsi="Arial" w:cs="Arial"/>
                <w:sz w:val="20"/>
                <w:szCs w:val="20"/>
              </w:rPr>
              <w:t xml:space="preserve"> </w:t>
            </w:r>
            <w:hyperlink r:id="rId52" w:history="1">
              <w:r w:rsidR="00A13E60" w:rsidRPr="001834A6">
                <w:rPr>
                  <w:rStyle w:val="Hyperlink"/>
                  <w:rFonts w:ascii="Arial" w:hAnsi="Arial" w:cs="Arial"/>
                  <w:sz w:val="20"/>
                  <w:szCs w:val="20"/>
                </w:rPr>
                <w:t>Consolidated Revenue Fund</w:t>
              </w:r>
              <w:r w:rsidRPr="001834A6">
                <w:rPr>
                  <w:rStyle w:val="Hyperlink"/>
                  <w:rFonts w:ascii="Arial" w:hAnsi="Arial" w:cs="Arial"/>
                  <w:sz w:val="20"/>
                  <w:szCs w:val="20"/>
                </w:rPr>
                <w:t xml:space="preserve"> </w:t>
              </w:r>
              <w:r w:rsidR="00A13E60" w:rsidRPr="001834A6">
                <w:rPr>
                  <w:rStyle w:val="Hyperlink"/>
                  <w:rFonts w:ascii="Arial" w:hAnsi="Arial" w:cs="Arial"/>
                  <w:sz w:val="20"/>
                  <w:szCs w:val="20"/>
                </w:rPr>
                <w:t>(</w:t>
              </w:r>
              <w:r w:rsidRPr="001834A6">
                <w:rPr>
                  <w:rStyle w:val="Hyperlink"/>
                  <w:rFonts w:ascii="Arial" w:hAnsi="Arial" w:cs="Arial"/>
                  <w:sz w:val="20"/>
                  <w:szCs w:val="20"/>
                </w:rPr>
                <w:t>CRF</w:t>
              </w:r>
              <w:r w:rsidR="00A13E60" w:rsidRPr="001834A6">
                <w:rPr>
                  <w:rStyle w:val="Hyperlink"/>
                  <w:rFonts w:ascii="Arial" w:hAnsi="Arial" w:cs="Arial"/>
                  <w:sz w:val="20"/>
                  <w:szCs w:val="20"/>
                </w:rPr>
                <w:t>)</w:t>
              </w:r>
            </w:hyperlink>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233F7936" w14:textId="77777777" w:rsidR="002D2607" w:rsidRPr="00710FAB" w:rsidRDefault="00ED6108" w:rsidP="009668F6">
            <w:pPr>
              <w:pStyle w:val="NumberedList2"/>
              <w:numPr>
                <w:ilvl w:val="1"/>
                <w:numId w:val="18"/>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318D34DD" w14:textId="77777777" w:rsidTr="004960E4">
        <w:trPr>
          <w:cantSplit/>
        </w:trPr>
        <w:tc>
          <w:tcPr>
            <w:tcW w:w="1843" w:type="pct"/>
          </w:tcPr>
          <w:p w14:paraId="5BF31BF6"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18849678"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6DFBC209" w14:textId="77777777" w:rsidTr="004960E4">
        <w:trPr>
          <w:cantSplit/>
        </w:trPr>
        <w:tc>
          <w:tcPr>
            <w:tcW w:w="1843" w:type="pct"/>
          </w:tcPr>
          <w:p w14:paraId="1131CFC4" w14:textId="77777777" w:rsidR="002D2607" w:rsidRDefault="002D2607" w:rsidP="002D2607">
            <w:r w:rsidRPr="001B21A4">
              <w:t>grant agreement</w:t>
            </w:r>
          </w:p>
        </w:tc>
        <w:tc>
          <w:tcPr>
            <w:tcW w:w="3157" w:type="pct"/>
          </w:tcPr>
          <w:p w14:paraId="3EFC3EA3"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7A05FF02" w14:textId="77777777" w:rsidTr="004960E4">
        <w:trPr>
          <w:cantSplit/>
        </w:trPr>
        <w:tc>
          <w:tcPr>
            <w:tcW w:w="1843" w:type="pct"/>
          </w:tcPr>
          <w:p w14:paraId="6E4FD6C4" w14:textId="77777777" w:rsidR="004960E4" w:rsidRDefault="0080342E" w:rsidP="004960E4">
            <w:hyperlink r:id="rId53" w:history="1">
              <w:r w:rsidR="004960E4" w:rsidRPr="00132512">
                <w:rPr>
                  <w:rStyle w:val="Hyperlink"/>
                </w:rPr>
                <w:t>GrantConnect</w:t>
              </w:r>
            </w:hyperlink>
          </w:p>
        </w:tc>
        <w:tc>
          <w:tcPr>
            <w:tcW w:w="3157" w:type="pct"/>
          </w:tcPr>
          <w:p w14:paraId="07EF1504" w14:textId="77777777"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p>
        </w:tc>
      </w:tr>
      <w:tr w:rsidR="002D2607" w:rsidRPr="009E3949" w14:paraId="0D53FF39" w14:textId="77777777" w:rsidTr="004960E4">
        <w:trPr>
          <w:cantSplit/>
        </w:trPr>
        <w:tc>
          <w:tcPr>
            <w:tcW w:w="1843" w:type="pct"/>
          </w:tcPr>
          <w:p w14:paraId="5314F7A5" w14:textId="77777777" w:rsidR="002D2607" w:rsidRPr="001B21A4" w:rsidRDefault="002D2607" w:rsidP="002D2607">
            <w:r>
              <w:t>grant opportunity</w:t>
            </w:r>
          </w:p>
        </w:tc>
        <w:tc>
          <w:tcPr>
            <w:tcW w:w="3157" w:type="pct"/>
          </w:tcPr>
          <w:p w14:paraId="666D61F6"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581B7671" w14:textId="77777777" w:rsidTr="004960E4">
        <w:trPr>
          <w:cantSplit/>
        </w:trPr>
        <w:tc>
          <w:tcPr>
            <w:tcW w:w="1843" w:type="pct"/>
          </w:tcPr>
          <w:p w14:paraId="6A72F3EA" w14:textId="77777777" w:rsidR="002D2607" w:rsidRDefault="002D2607" w:rsidP="002D2607">
            <w:r w:rsidRPr="001B21A4">
              <w:t xml:space="preserve">grant </w:t>
            </w:r>
            <w:r>
              <w:t>program</w:t>
            </w:r>
          </w:p>
        </w:tc>
        <w:tc>
          <w:tcPr>
            <w:tcW w:w="3157" w:type="pct"/>
          </w:tcPr>
          <w:p w14:paraId="5704396A"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77E44820" w14:textId="77777777" w:rsidTr="004960E4">
        <w:trPr>
          <w:cantSplit/>
        </w:trPr>
        <w:tc>
          <w:tcPr>
            <w:tcW w:w="1843" w:type="pct"/>
          </w:tcPr>
          <w:p w14:paraId="309BAC36" w14:textId="77777777" w:rsidR="002D2607" w:rsidRPr="001B21A4" w:rsidRDefault="002D2607" w:rsidP="002D2607">
            <w:r>
              <w:t>grantee</w:t>
            </w:r>
          </w:p>
        </w:tc>
        <w:tc>
          <w:tcPr>
            <w:tcW w:w="3157" w:type="pct"/>
          </w:tcPr>
          <w:p w14:paraId="5F2A6151" w14:textId="77777777" w:rsidR="002D2607" w:rsidRPr="00710FAB" w:rsidRDefault="00A05845" w:rsidP="00A05845">
            <w:pPr>
              <w:rPr>
                <w:rFonts w:cs="Arial"/>
              </w:rPr>
            </w:pPr>
            <w:r>
              <w:t>t</w:t>
            </w:r>
            <w:r w:rsidR="006E2EEE">
              <w:t>he individual/organisation which has been selected to receive a grant</w:t>
            </w:r>
          </w:p>
        </w:tc>
      </w:tr>
      <w:tr w:rsidR="002D2607" w:rsidRPr="009E3949" w14:paraId="135C5450" w14:textId="77777777" w:rsidTr="004960E4">
        <w:trPr>
          <w:cantSplit/>
        </w:trPr>
        <w:tc>
          <w:tcPr>
            <w:tcW w:w="1843" w:type="pct"/>
          </w:tcPr>
          <w:p w14:paraId="0BAFDC74"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74A9061C" w14:textId="77777777" w:rsidR="002D2607" w:rsidRPr="00710FAB" w:rsidRDefault="00A05845" w:rsidP="00370E02">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54"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Programs. A PBS Program may have more than one </w:t>
            </w:r>
            <w:r w:rsidR="00370E02">
              <w:t>g</w:t>
            </w:r>
            <w:r w:rsidR="002D2607" w:rsidRPr="00463AB3">
              <w:t xml:space="preserve">rant Program associated with it, and each of these may have </w:t>
            </w:r>
            <w:r w:rsidR="002D2607" w:rsidRPr="00463AB3">
              <w:rPr>
                <w:rFonts w:cs="Arial"/>
              </w:rPr>
              <w:t>one or more grant opportunities</w:t>
            </w:r>
            <w:r w:rsidR="001B7CCF">
              <w:rPr>
                <w:rFonts w:cs="Arial"/>
              </w:rPr>
              <w:t>.</w:t>
            </w:r>
          </w:p>
        </w:tc>
      </w:tr>
      <w:tr w:rsidR="002D2607" w:rsidRPr="009E3949" w14:paraId="1AF4809D" w14:textId="77777777" w:rsidTr="004960E4">
        <w:trPr>
          <w:cantSplit/>
        </w:trPr>
        <w:tc>
          <w:tcPr>
            <w:tcW w:w="1843" w:type="pct"/>
          </w:tcPr>
          <w:p w14:paraId="581B4984" w14:textId="77777777" w:rsidR="002D2607" w:rsidRPr="00463AB3" w:rsidRDefault="002D2607" w:rsidP="002D2607">
            <w:r w:rsidRPr="001B21A4">
              <w:t>selection criteria</w:t>
            </w:r>
          </w:p>
        </w:tc>
        <w:tc>
          <w:tcPr>
            <w:tcW w:w="3157" w:type="pct"/>
          </w:tcPr>
          <w:p w14:paraId="29E03F98"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58C61E91" w14:textId="77777777" w:rsidTr="004960E4">
        <w:trPr>
          <w:cantSplit/>
        </w:trPr>
        <w:tc>
          <w:tcPr>
            <w:tcW w:w="1843" w:type="pct"/>
          </w:tcPr>
          <w:p w14:paraId="30F6CB12" w14:textId="77777777" w:rsidR="002D2607" w:rsidRPr="001B21A4" w:rsidRDefault="002D2607" w:rsidP="002D2607">
            <w:r w:rsidRPr="001B21A4">
              <w:lastRenderedPageBreak/>
              <w:t>selection process</w:t>
            </w:r>
          </w:p>
        </w:tc>
        <w:tc>
          <w:tcPr>
            <w:tcW w:w="3157" w:type="pct"/>
          </w:tcPr>
          <w:p w14:paraId="06D948AF"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6B10969A" w14:textId="77777777" w:rsidTr="00117DE3">
        <w:trPr>
          <w:cantSplit/>
          <w:trHeight w:val="1133"/>
        </w:trPr>
        <w:tc>
          <w:tcPr>
            <w:tcW w:w="1843" w:type="pct"/>
          </w:tcPr>
          <w:p w14:paraId="438F74F8" w14:textId="7538043D" w:rsidR="00456C23" w:rsidRPr="001B21A4" w:rsidRDefault="0060171C" w:rsidP="002D2607">
            <w:r>
              <w:t>Selection Advisory P</w:t>
            </w:r>
            <w:r w:rsidR="00456C23">
              <w:t xml:space="preserve">anel </w:t>
            </w:r>
          </w:p>
        </w:tc>
        <w:tc>
          <w:tcPr>
            <w:tcW w:w="3157" w:type="pct"/>
            <w:vAlign w:val="center"/>
          </w:tcPr>
          <w:p w14:paraId="71873531" w14:textId="77777777" w:rsidR="00456C23" w:rsidRPr="00117DE3" w:rsidRDefault="00117DE3" w:rsidP="00117DE3">
            <w:pPr>
              <w:pStyle w:val="BodyText"/>
              <w:spacing w:before="0" w:after="0" w:line="240" w:lineRule="auto"/>
              <w:rPr>
                <w:sz w:val="20"/>
                <w:szCs w:val="20"/>
                <w:lang w:eastAsia="en-US"/>
              </w:rPr>
            </w:pPr>
            <w:proofErr w:type="gramStart"/>
            <w:r w:rsidRPr="00117DE3">
              <w:rPr>
                <w:sz w:val="20"/>
                <w:szCs w:val="20"/>
                <w:lang w:eastAsia="en-US"/>
              </w:rPr>
              <w:t>provide</w:t>
            </w:r>
            <w:r>
              <w:rPr>
                <w:sz w:val="20"/>
                <w:szCs w:val="20"/>
                <w:lang w:eastAsia="en-US"/>
              </w:rPr>
              <w:t>s</w:t>
            </w:r>
            <w:proofErr w:type="gramEnd"/>
            <w:r w:rsidRPr="00117DE3">
              <w:rPr>
                <w:sz w:val="20"/>
                <w:szCs w:val="20"/>
                <w:lang w:eastAsia="en-US"/>
              </w:rPr>
              <w:t xml:space="preserve"> strategic oversight, advice and recommendations to the </w:t>
            </w:r>
            <w:r w:rsidR="006F16B1">
              <w:rPr>
                <w:sz w:val="20"/>
                <w:szCs w:val="20"/>
                <w:lang w:eastAsia="en-US"/>
              </w:rPr>
              <w:t>d</w:t>
            </w:r>
            <w:r w:rsidRPr="00117DE3">
              <w:rPr>
                <w:sz w:val="20"/>
                <w:szCs w:val="20"/>
                <w:lang w:eastAsia="en-US"/>
              </w:rPr>
              <w:t xml:space="preserve">ecision </w:t>
            </w:r>
            <w:r w:rsidR="006F16B1">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4960E4" w:rsidRPr="009E3949" w14:paraId="17DACC82" w14:textId="77777777" w:rsidTr="004960E4">
        <w:trPr>
          <w:cantSplit/>
        </w:trPr>
        <w:tc>
          <w:tcPr>
            <w:tcW w:w="1843" w:type="pct"/>
          </w:tcPr>
          <w:p w14:paraId="766E913F" w14:textId="77777777" w:rsidR="004960E4" w:rsidRPr="001B21A4" w:rsidRDefault="008463BB" w:rsidP="00D57F95">
            <w:r>
              <w:t>v</w:t>
            </w:r>
            <w:r w:rsidR="00D57F95">
              <w:t xml:space="preserve">alue with </w:t>
            </w:r>
            <w:r w:rsidR="004960E4" w:rsidRPr="00274AE2">
              <w:t>money</w:t>
            </w:r>
          </w:p>
        </w:tc>
        <w:tc>
          <w:tcPr>
            <w:tcW w:w="3157" w:type="pct"/>
          </w:tcPr>
          <w:p w14:paraId="0AC70F1B" w14:textId="77777777" w:rsidR="004960E4" w:rsidRPr="00274AE2" w:rsidRDefault="00D57F95" w:rsidP="00613D08">
            <w:proofErr w:type="gramStart"/>
            <w:r>
              <w:t>refers</w:t>
            </w:r>
            <w:proofErr w:type="gramEnd"/>
            <w:r>
              <w:t xml:space="preserve">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119B43F8"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0C8B4DAD" w14:textId="77777777"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quality of the project proposal and activities;</w:t>
            </w:r>
          </w:p>
          <w:p w14:paraId="572F8B63" w14:textId="77777777" w:rsidR="004960E4" w:rsidRPr="00274AE2" w:rsidRDefault="00370E02" w:rsidP="009668F6">
            <w:pPr>
              <w:numPr>
                <w:ilvl w:val="0"/>
                <w:numId w:val="17"/>
              </w:numPr>
              <w:spacing w:before="0"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14:paraId="56032EE1" w14:textId="77777777" w:rsidR="00D57F95" w:rsidRPr="00D57F95" w:rsidRDefault="004960E4" w:rsidP="009668F6">
            <w:pPr>
              <w:numPr>
                <w:ilvl w:val="0"/>
                <w:numId w:val="17"/>
              </w:numPr>
              <w:spacing w:before="0" w:after="40" w:line="240" w:lineRule="auto"/>
              <w:ind w:left="342" w:hanging="342"/>
            </w:pPr>
            <w:r w:rsidRPr="00274AE2">
              <w:rPr>
                <w:rFonts w:cs="Arial"/>
                <w:lang w:eastAsia="en-AU"/>
              </w:rPr>
              <w:t>absence of a grant is likely to prevent the grantee and gover</w:t>
            </w:r>
            <w:r w:rsidR="00370E02">
              <w:rPr>
                <w:rFonts w:cs="Arial"/>
                <w:lang w:eastAsia="en-AU"/>
              </w:rPr>
              <w:t>nment’s outcomes being achieved</w:t>
            </w:r>
          </w:p>
          <w:p w14:paraId="532A4661" w14:textId="77777777" w:rsidR="004960E4" w:rsidRPr="00710FAB" w:rsidRDefault="004960E4" w:rsidP="00370E02">
            <w:pPr>
              <w:numPr>
                <w:ilvl w:val="0"/>
                <w:numId w:val="17"/>
              </w:numPr>
              <w:spacing w:before="0" w:after="40" w:line="240" w:lineRule="auto"/>
              <w:ind w:left="342" w:hanging="342"/>
            </w:pPr>
            <w:proofErr w:type="gramStart"/>
            <w:r w:rsidRPr="00274AE2">
              <w:rPr>
                <w:rFonts w:cs="Arial"/>
                <w:lang w:eastAsia="en-AU"/>
              </w:rPr>
              <w:t>potential</w:t>
            </w:r>
            <w:proofErr w:type="gramEnd"/>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bl>
    <w:p w14:paraId="0583E9C8" w14:textId="072DC9FA" w:rsidR="00387FC0" w:rsidRPr="00387FC0" w:rsidRDefault="00387FC0" w:rsidP="001834A6">
      <w:pPr>
        <w:pStyle w:val="BodyTextnospace"/>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ACEF6" w14:textId="77777777" w:rsidR="000B699B" w:rsidRDefault="000B699B" w:rsidP="00077C3D">
      <w:r>
        <w:separator/>
      </w:r>
    </w:p>
  </w:endnote>
  <w:endnote w:type="continuationSeparator" w:id="0">
    <w:p w14:paraId="49548CFF" w14:textId="77777777" w:rsidR="000B699B" w:rsidRDefault="000B699B" w:rsidP="00077C3D">
      <w:r>
        <w:continuationSeparator/>
      </w:r>
    </w:p>
  </w:endnote>
  <w:endnote w:type="continuationNotice" w:id="1">
    <w:p w14:paraId="04C10AE0" w14:textId="77777777" w:rsidR="000B699B" w:rsidRDefault="000B699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2DB87" w14:textId="6B64D9E4" w:rsidR="0080342E" w:rsidRPr="005B72F4" w:rsidRDefault="0080342E" w:rsidP="0002331D">
    <w:pPr>
      <w:pStyle w:val="Footer"/>
      <w:tabs>
        <w:tab w:val="clear" w:pos="4153"/>
        <w:tab w:val="clear" w:pos="8306"/>
        <w:tab w:val="center" w:pos="6096"/>
        <w:tab w:val="right" w:pos="8789"/>
      </w:tabs>
      <w:rPr>
        <w:noProof/>
      </w:rPr>
    </w:pPr>
    <w:r w:rsidRPr="005806F2">
      <w:t xml:space="preserve">Agricultural Trade and Market Access Cooperation </w:t>
    </w:r>
    <w:r>
      <w:t xml:space="preserve">2020 Program </w:t>
    </w:r>
    <w:r w:rsidRPr="005806F2">
      <w:t>Guidelines</w:t>
    </w:r>
    <w:r w:rsidRPr="005806F2">
      <w:tab/>
      <w:t xml:space="preserve"> </w:t>
    </w:r>
    <w:r>
      <w:t xml:space="preserve">            November</w:t>
    </w:r>
    <w:r w:rsidRPr="005806F2">
      <w:t xml:space="preserve"> 2019</w:t>
    </w:r>
    <w:r w:rsidRPr="005B72F4">
      <w:tab/>
      <w:t xml:space="preserve">Page </w:t>
    </w:r>
    <w:r w:rsidRPr="005B72F4">
      <w:fldChar w:fldCharType="begin"/>
    </w:r>
    <w:r w:rsidRPr="005B72F4">
      <w:instrText xml:space="preserve"> PAGE </w:instrText>
    </w:r>
    <w:r w:rsidRPr="005B72F4">
      <w:fldChar w:fldCharType="separate"/>
    </w:r>
    <w:r w:rsidR="00E54F86">
      <w:rPr>
        <w:noProof/>
      </w:rPr>
      <w:t>23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E54F86">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96C9C" w14:textId="77777777" w:rsidR="000B699B" w:rsidRDefault="000B699B" w:rsidP="00077C3D">
      <w:r>
        <w:separator/>
      </w:r>
    </w:p>
  </w:footnote>
  <w:footnote w:type="continuationSeparator" w:id="0">
    <w:p w14:paraId="295797BB" w14:textId="77777777" w:rsidR="000B699B" w:rsidRDefault="000B699B" w:rsidP="00077C3D">
      <w:r>
        <w:continuationSeparator/>
      </w:r>
    </w:p>
  </w:footnote>
  <w:footnote w:type="continuationNotice" w:id="1">
    <w:p w14:paraId="4FAF3A05" w14:textId="77777777" w:rsidR="000B699B" w:rsidRDefault="000B699B" w:rsidP="00077C3D"/>
  </w:footnote>
  <w:footnote w:id="2">
    <w:p w14:paraId="2A8D34D5" w14:textId="77777777" w:rsidR="0080342E" w:rsidRPr="00F34280" w:rsidRDefault="0080342E" w:rsidP="00DE16ED">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p>
  </w:footnote>
  <w:footnote w:id="3">
    <w:p w14:paraId="06309B36" w14:textId="11FB1BA6" w:rsidR="0080342E" w:rsidRDefault="0080342E" w:rsidP="00DE16ED">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w:t>
      </w:r>
      <w:proofErr w:type="gramStart"/>
      <w:r>
        <w:t>may be requested</w:t>
      </w:r>
      <w:proofErr w:type="gramEnd"/>
      <w:r>
        <w:t>. All members of the partnership must be an eligible entity type as listed in 4.1.</w:t>
      </w:r>
    </w:p>
  </w:footnote>
  <w:footnote w:id="4">
    <w:p w14:paraId="11BF1334" w14:textId="72141BCE" w:rsidR="0080342E" w:rsidRPr="001B6272" w:rsidRDefault="0080342E" w:rsidP="00DE16ED">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w:t>
      </w:r>
      <w:r w:rsidRPr="007D1730">
        <w:t xml:space="preserve">pplication </w:t>
      </w:r>
      <w:r>
        <w:t>f</w:t>
      </w:r>
      <w:r w:rsidRPr="007D1730">
        <w:t>orm</w:t>
      </w:r>
      <w:r>
        <w:t>. All members of the partnership must be an eligible entity type as listed in 4.1.</w:t>
      </w:r>
    </w:p>
  </w:footnote>
  <w:footnote w:id="5">
    <w:p w14:paraId="6A506849" w14:textId="5E95DF59" w:rsidR="0080342E" w:rsidRDefault="0080342E" w:rsidP="00EC2B2A">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(Consortia) Applications.’</w:t>
      </w:r>
    </w:p>
  </w:footnote>
  <w:footnote w:id="6">
    <w:p w14:paraId="29BDB3C7" w14:textId="77777777" w:rsidR="0080342E" w:rsidRDefault="0080342E" w:rsidP="00DF6BC8">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7">
    <w:p w14:paraId="6DA6AB69" w14:textId="2A35B40F" w:rsidR="0080342E" w:rsidRDefault="0080342E" w:rsidP="00845071">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8">
    <w:p w14:paraId="29BD5E0D" w14:textId="6C74C157" w:rsidR="0080342E" w:rsidRDefault="0080342E">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 w:id="9">
    <w:p w14:paraId="263F4F08" w14:textId="77777777" w:rsidR="0080342E" w:rsidRDefault="0080342E"/>
  </w:footnote>
  <w:footnote w:id="10">
    <w:p w14:paraId="204EFE7E" w14:textId="77777777" w:rsidR="0080342E" w:rsidRPr="007133C2" w:rsidRDefault="0080342E"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11">
    <w:p w14:paraId="1185E811" w14:textId="77777777" w:rsidR="0080342E" w:rsidRPr="007133C2" w:rsidRDefault="0080342E"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E382" w14:textId="474FDDA2" w:rsidR="0080342E" w:rsidRDefault="0080342E"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8DA1" w14:textId="1DB14735" w:rsidR="0080342E" w:rsidRDefault="0080342E">
    <w:pPr>
      <w:pStyle w:val="Header"/>
    </w:pPr>
    <w:r>
      <w:rPr>
        <w:noProof/>
        <w:lang w:eastAsia="en-AU"/>
      </w:rPr>
      <w:drawing>
        <wp:inline distT="0" distB="0" distL="0" distR="0" wp14:anchorId="35057BA5" wp14:editId="147E871D">
          <wp:extent cx="5580380" cy="765175"/>
          <wp:effectExtent l="0" t="0" r="1270" b="0"/>
          <wp:docPr id="2" name="Picture 2" title="Logo"/>
          <wp:cNvGraphicFramePr/>
          <a:graphic xmlns:a="http://schemas.openxmlformats.org/drawingml/2006/main">
            <a:graphicData uri="http://schemas.openxmlformats.org/drawingml/2006/picture">
              <pic:pic xmlns:pic="http://schemas.openxmlformats.org/drawingml/2006/picture">
                <pic:nvPicPr>
                  <pic:cNvPr id="2" name="Picture 2" title="Logo"/>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556C941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C800AC"/>
    <w:multiLevelType w:val="hybridMultilevel"/>
    <w:tmpl w:val="099E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8"/>
  </w:num>
  <w:num w:numId="4">
    <w:abstractNumId w:val="9"/>
  </w:num>
  <w:num w:numId="5">
    <w:abstractNumId w:val="17"/>
  </w:num>
  <w:num w:numId="6">
    <w:abstractNumId w:val="15"/>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4"/>
  </w:num>
  <w:num w:numId="14">
    <w:abstractNumId w:val="12"/>
  </w:num>
  <w:num w:numId="15">
    <w:abstractNumId w:val="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052"/>
    <w:rsid w:val="000062D1"/>
    <w:rsid w:val="0000687C"/>
    <w:rsid w:val="0000694F"/>
    <w:rsid w:val="000071CC"/>
    <w:rsid w:val="0000740C"/>
    <w:rsid w:val="00007C0D"/>
    <w:rsid w:val="0001007B"/>
    <w:rsid w:val="00010CF8"/>
    <w:rsid w:val="00011AA7"/>
    <w:rsid w:val="00011DF1"/>
    <w:rsid w:val="00014DD7"/>
    <w:rsid w:val="0001641E"/>
    <w:rsid w:val="0001685F"/>
    <w:rsid w:val="00016C0F"/>
    <w:rsid w:val="00016E51"/>
    <w:rsid w:val="00017238"/>
    <w:rsid w:val="00017503"/>
    <w:rsid w:val="000207D9"/>
    <w:rsid w:val="00021292"/>
    <w:rsid w:val="00021530"/>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3BF"/>
    <w:rsid w:val="00037556"/>
    <w:rsid w:val="00037E02"/>
    <w:rsid w:val="0004098F"/>
    <w:rsid w:val="00040A03"/>
    <w:rsid w:val="000419F8"/>
    <w:rsid w:val="0004214E"/>
    <w:rsid w:val="00042438"/>
    <w:rsid w:val="0004338B"/>
    <w:rsid w:val="00044DC0"/>
    <w:rsid w:val="00044EF8"/>
    <w:rsid w:val="000451DF"/>
    <w:rsid w:val="0004553D"/>
    <w:rsid w:val="00046C7E"/>
    <w:rsid w:val="00046DBC"/>
    <w:rsid w:val="000525BC"/>
    <w:rsid w:val="00052936"/>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289E"/>
    <w:rsid w:val="000833DF"/>
    <w:rsid w:val="00083AA5"/>
    <w:rsid w:val="00083CC7"/>
    <w:rsid w:val="000840F6"/>
    <w:rsid w:val="0008479B"/>
    <w:rsid w:val="000849D6"/>
    <w:rsid w:val="0008697C"/>
    <w:rsid w:val="00090431"/>
    <w:rsid w:val="0009133F"/>
    <w:rsid w:val="0009246F"/>
    <w:rsid w:val="00093811"/>
    <w:rsid w:val="00093BA1"/>
    <w:rsid w:val="000951B3"/>
    <w:rsid w:val="0009580E"/>
    <w:rsid w:val="00095939"/>
    <w:rsid w:val="00096575"/>
    <w:rsid w:val="0009683F"/>
    <w:rsid w:val="000A0286"/>
    <w:rsid w:val="000A0E9B"/>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699B"/>
    <w:rsid w:val="000B7C0B"/>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AD7"/>
    <w:rsid w:val="000D1B5E"/>
    <w:rsid w:val="000D1F5F"/>
    <w:rsid w:val="000D2187"/>
    <w:rsid w:val="000D3F05"/>
    <w:rsid w:val="000D4257"/>
    <w:rsid w:val="000D46DF"/>
    <w:rsid w:val="000D53D9"/>
    <w:rsid w:val="000D6D35"/>
    <w:rsid w:val="000E08D0"/>
    <w:rsid w:val="000E0C56"/>
    <w:rsid w:val="000E11A2"/>
    <w:rsid w:val="000E167A"/>
    <w:rsid w:val="000E1E35"/>
    <w:rsid w:val="000E23A5"/>
    <w:rsid w:val="000E276D"/>
    <w:rsid w:val="000E2D44"/>
    <w:rsid w:val="000E2F40"/>
    <w:rsid w:val="000E3AFC"/>
    <w:rsid w:val="000E4061"/>
    <w:rsid w:val="000E4CD5"/>
    <w:rsid w:val="000E562C"/>
    <w:rsid w:val="000E620A"/>
    <w:rsid w:val="000E62C8"/>
    <w:rsid w:val="000E70D4"/>
    <w:rsid w:val="000F027E"/>
    <w:rsid w:val="000F18DD"/>
    <w:rsid w:val="000F2AE0"/>
    <w:rsid w:val="000F3424"/>
    <w:rsid w:val="000F4831"/>
    <w:rsid w:val="000F48FA"/>
    <w:rsid w:val="000F6E11"/>
    <w:rsid w:val="000F7174"/>
    <w:rsid w:val="000F7621"/>
    <w:rsid w:val="000F7E57"/>
    <w:rsid w:val="00100216"/>
    <w:rsid w:val="00101B22"/>
    <w:rsid w:val="0010200A"/>
    <w:rsid w:val="001020EF"/>
    <w:rsid w:val="00102271"/>
    <w:rsid w:val="0010349B"/>
    <w:rsid w:val="00103E5C"/>
    <w:rsid w:val="001045B6"/>
    <w:rsid w:val="00104854"/>
    <w:rsid w:val="0010490E"/>
    <w:rsid w:val="00104BAC"/>
    <w:rsid w:val="0010555F"/>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27D16"/>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1A6"/>
    <w:rsid w:val="00140DBC"/>
    <w:rsid w:val="00141149"/>
    <w:rsid w:val="001420AF"/>
    <w:rsid w:val="00143EA2"/>
    <w:rsid w:val="0014408C"/>
    <w:rsid w:val="00144380"/>
    <w:rsid w:val="001450BD"/>
    <w:rsid w:val="001452A7"/>
    <w:rsid w:val="00146033"/>
    <w:rsid w:val="00146445"/>
    <w:rsid w:val="00151417"/>
    <w:rsid w:val="00151A65"/>
    <w:rsid w:val="0015405F"/>
    <w:rsid w:val="00154230"/>
    <w:rsid w:val="00154497"/>
    <w:rsid w:val="00155480"/>
    <w:rsid w:val="00160DFD"/>
    <w:rsid w:val="00161E9F"/>
    <w:rsid w:val="001624F7"/>
    <w:rsid w:val="001642EF"/>
    <w:rsid w:val="001642FE"/>
    <w:rsid w:val="00164671"/>
    <w:rsid w:val="00165CA8"/>
    <w:rsid w:val="00166904"/>
    <w:rsid w:val="001678AE"/>
    <w:rsid w:val="00170185"/>
    <w:rsid w:val="00170226"/>
    <w:rsid w:val="0017085C"/>
    <w:rsid w:val="001712A2"/>
    <w:rsid w:val="001718CC"/>
    <w:rsid w:val="001720CA"/>
    <w:rsid w:val="00172225"/>
    <w:rsid w:val="00172328"/>
    <w:rsid w:val="00172829"/>
    <w:rsid w:val="00172F7F"/>
    <w:rsid w:val="001737AC"/>
    <w:rsid w:val="0017423B"/>
    <w:rsid w:val="001745D9"/>
    <w:rsid w:val="00176EF8"/>
    <w:rsid w:val="00177EA6"/>
    <w:rsid w:val="001803B9"/>
    <w:rsid w:val="00180B0E"/>
    <w:rsid w:val="001817F4"/>
    <w:rsid w:val="00181A24"/>
    <w:rsid w:val="0018250A"/>
    <w:rsid w:val="00182EAC"/>
    <w:rsid w:val="001834A6"/>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19E"/>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2B"/>
    <w:rsid w:val="001D1782"/>
    <w:rsid w:val="001D201F"/>
    <w:rsid w:val="001D27BB"/>
    <w:rsid w:val="001D3896"/>
    <w:rsid w:val="001D4718"/>
    <w:rsid w:val="001D4DA5"/>
    <w:rsid w:val="001D513B"/>
    <w:rsid w:val="001D6612"/>
    <w:rsid w:val="001D68F3"/>
    <w:rsid w:val="001D69D9"/>
    <w:rsid w:val="001D712A"/>
    <w:rsid w:val="001D76D4"/>
    <w:rsid w:val="001E282D"/>
    <w:rsid w:val="001E3267"/>
    <w:rsid w:val="001E465D"/>
    <w:rsid w:val="001E4DC2"/>
    <w:rsid w:val="001E52F4"/>
    <w:rsid w:val="001E5C44"/>
    <w:rsid w:val="001E5DE9"/>
    <w:rsid w:val="001E5E68"/>
    <w:rsid w:val="001E60B8"/>
    <w:rsid w:val="001E659F"/>
    <w:rsid w:val="001E780A"/>
    <w:rsid w:val="001E7CCD"/>
    <w:rsid w:val="001F00B7"/>
    <w:rsid w:val="001F031B"/>
    <w:rsid w:val="001F1B51"/>
    <w:rsid w:val="001F2424"/>
    <w:rsid w:val="001F24BD"/>
    <w:rsid w:val="001F2ED0"/>
    <w:rsid w:val="001F3068"/>
    <w:rsid w:val="001F32A5"/>
    <w:rsid w:val="001F35D8"/>
    <w:rsid w:val="001F42E4"/>
    <w:rsid w:val="001F45CE"/>
    <w:rsid w:val="001F5B5B"/>
    <w:rsid w:val="001F5D08"/>
    <w:rsid w:val="001F6379"/>
    <w:rsid w:val="001F7438"/>
    <w:rsid w:val="00200152"/>
    <w:rsid w:val="002004E1"/>
    <w:rsid w:val="0020114E"/>
    <w:rsid w:val="002017E2"/>
    <w:rsid w:val="00202DFC"/>
    <w:rsid w:val="0020362C"/>
    <w:rsid w:val="00203F73"/>
    <w:rsid w:val="002067C9"/>
    <w:rsid w:val="00207A20"/>
    <w:rsid w:val="00207C66"/>
    <w:rsid w:val="0021021D"/>
    <w:rsid w:val="00210BDA"/>
    <w:rsid w:val="00211AB8"/>
    <w:rsid w:val="00211D98"/>
    <w:rsid w:val="0021431B"/>
    <w:rsid w:val="00214903"/>
    <w:rsid w:val="00214A1F"/>
    <w:rsid w:val="00216D80"/>
    <w:rsid w:val="00217440"/>
    <w:rsid w:val="00220403"/>
    <w:rsid w:val="00220627"/>
    <w:rsid w:val="0022081B"/>
    <w:rsid w:val="00221230"/>
    <w:rsid w:val="00222382"/>
    <w:rsid w:val="00222862"/>
    <w:rsid w:val="00222B57"/>
    <w:rsid w:val="00222C72"/>
    <w:rsid w:val="002232D1"/>
    <w:rsid w:val="00224E34"/>
    <w:rsid w:val="0022578C"/>
    <w:rsid w:val="002261DA"/>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6AB5"/>
    <w:rsid w:val="00257FDA"/>
    <w:rsid w:val="00260111"/>
    <w:rsid w:val="00260A42"/>
    <w:rsid w:val="002611CF"/>
    <w:rsid w:val="002612BF"/>
    <w:rsid w:val="002618D4"/>
    <w:rsid w:val="00261986"/>
    <w:rsid w:val="002619F0"/>
    <w:rsid w:val="00261D7F"/>
    <w:rsid w:val="00262481"/>
    <w:rsid w:val="00263167"/>
    <w:rsid w:val="002631A0"/>
    <w:rsid w:val="00264420"/>
    <w:rsid w:val="00264E83"/>
    <w:rsid w:val="00265BC2"/>
    <w:rsid w:val="002662F6"/>
    <w:rsid w:val="00266329"/>
    <w:rsid w:val="00267C03"/>
    <w:rsid w:val="00270215"/>
    <w:rsid w:val="0027025B"/>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0F8D"/>
    <w:rsid w:val="00291F3E"/>
    <w:rsid w:val="00292430"/>
    <w:rsid w:val="002926DD"/>
    <w:rsid w:val="0029272C"/>
    <w:rsid w:val="0029287F"/>
    <w:rsid w:val="002932CD"/>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6DD"/>
    <w:rsid w:val="002A6C6D"/>
    <w:rsid w:val="002A7660"/>
    <w:rsid w:val="002B0099"/>
    <w:rsid w:val="002B09B6"/>
    <w:rsid w:val="002B09ED"/>
    <w:rsid w:val="002B10F9"/>
    <w:rsid w:val="002B1AB0"/>
    <w:rsid w:val="002B1B66"/>
    <w:rsid w:val="002B2742"/>
    <w:rsid w:val="002B385D"/>
    <w:rsid w:val="002B3967"/>
    <w:rsid w:val="002B4620"/>
    <w:rsid w:val="002B4C24"/>
    <w:rsid w:val="002B5660"/>
    <w:rsid w:val="002B5733"/>
    <w:rsid w:val="002B5B15"/>
    <w:rsid w:val="002B5F43"/>
    <w:rsid w:val="002C00A0"/>
    <w:rsid w:val="002C0A03"/>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7AF"/>
    <w:rsid w:val="002D2C06"/>
    <w:rsid w:val="002D2DC7"/>
    <w:rsid w:val="002D3517"/>
    <w:rsid w:val="002D6428"/>
    <w:rsid w:val="002D6748"/>
    <w:rsid w:val="002D720E"/>
    <w:rsid w:val="002E0040"/>
    <w:rsid w:val="002E18F3"/>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D0"/>
    <w:rsid w:val="003106BC"/>
    <w:rsid w:val="00311CBF"/>
    <w:rsid w:val="003133FB"/>
    <w:rsid w:val="00313BBC"/>
    <w:rsid w:val="00313FA2"/>
    <w:rsid w:val="00314704"/>
    <w:rsid w:val="0031506C"/>
    <w:rsid w:val="003156A3"/>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2E2"/>
    <w:rsid w:val="00335B3C"/>
    <w:rsid w:val="003363C9"/>
    <w:rsid w:val="003364E6"/>
    <w:rsid w:val="0033741C"/>
    <w:rsid w:val="003416C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ED2"/>
    <w:rsid w:val="003576AB"/>
    <w:rsid w:val="0036055C"/>
    <w:rsid w:val="0036071F"/>
    <w:rsid w:val="003633B1"/>
    <w:rsid w:val="00363657"/>
    <w:rsid w:val="0036437D"/>
    <w:rsid w:val="00365288"/>
    <w:rsid w:val="00365CF4"/>
    <w:rsid w:val="003703B2"/>
    <w:rsid w:val="00370E02"/>
    <w:rsid w:val="0037141F"/>
    <w:rsid w:val="00372018"/>
    <w:rsid w:val="003728F9"/>
    <w:rsid w:val="00373703"/>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31D9"/>
    <w:rsid w:val="003941BA"/>
    <w:rsid w:val="00394349"/>
    <w:rsid w:val="0039610D"/>
    <w:rsid w:val="003A0BCC"/>
    <w:rsid w:val="003A270D"/>
    <w:rsid w:val="003A402D"/>
    <w:rsid w:val="003A4733"/>
    <w:rsid w:val="003A48C0"/>
    <w:rsid w:val="003A4A83"/>
    <w:rsid w:val="003A5754"/>
    <w:rsid w:val="003A5D94"/>
    <w:rsid w:val="003A638D"/>
    <w:rsid w:val="003A79AD"/>
    <w:rsid w:val="003B0568"/>
    <w:rsid w:val="003B0700"/>
    <w:rsid w:val="003B1122"/>
    <w:rsid w:val="003B18C7"/>
    <w:rsid w:val="003B29BA"/>
    <w:rsid w:val="003B2EF1"/>
    <w:rsid w:val="003B492B"/>
    <w:rsid w:val="003B49DF"/>
    <w:rsid w:val="003B4A52"/>
    <w:rsid w:val="003B50DD"/>
    <w:rsid w:val="003B575D"/>
    <w:rsid w:val="003B6AC4"/>
    <w:rsid w:val="003C001C"/>
    <w:rsid w:val="003C1662"/>
    <w:rsid w:val="003C19C8"/>
    <w:rsid w:val="003C2226"/>
    <w:rsid w:val="003C280B"/>
    <w:rsid w:val="003C2AB0"/>
    <w:rsid w:val="003C2F23"/>
    <w:rsid w:val="003C30E5"/>
    <w:rsid w:val="003C3144"/>
    <w:rsid w:val="003C451C"/>
    <w:rsid w:val="003C5915"/>
    <w:rsid w:val="003C6EA3"/>
    <w:rsid w:val="003D061B"/>
    <w:rsid w:val="003D09C5"/>
    <w:rsid w:val="003D1C30"/>
    <w:rsid w:val="003D3AE8"/>
    <w:rsid w:val="003D521B"/>
    <w:rsid w:val="003D5C41"/>
    <w:rsid w:val="003D5E06"/>
    <w:rsid w:val="003D635D"/>
    <w:rsid w:val="003D7548"/>
    <w:rsid w:val="003D7F5C"/>
    <w:rsid w:val="003E0690"/>
    <w:rsid w:val="003E0C6C"/>
    <w:rsid w:val="003E135B"/>
    <w:rsid w:val="003E1B2B"/>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46E6"/>
    <w:rsid w:val="0040475A"/>
    <w:rsid w:val="00404C02"/>
    <w:rsid w:val="00405ADB"/>
    <w:rsid w:val="00405D85"/>
    <w:rsid w:val="00406584"/>
    <w:rsid w:val="00407403"/>
    <w:rsid w:val="004102B0"/>
    <w:rsid w:val="004108DC"/>
    <w:rsid w:val="00411141"/>
    <w:rsid w:val="004131A3"/>
    <w:rsid w:val="004131EC"/>
    <w:rsid w:val="00414211"/>
    <w:rsid w:val="004142C1"/>
    <w:rsid w:val="004149EB"/>
    <w:rsid w:val="004161D7"/>
    <w:rsid w:val="004165D3"/>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5CB0"/>
    <w:rsid w:val="00436036"/>
    <w:rsid w:val="00436853"/>
    <w:rsid w:val="00437174"/>
    <w:rsid w:val="00437CDA"/>
    <w:rsid w:val="00441028"/>
    <w:rsid w:val="00441195"/>
    <w:rsid w:val="00441373"/>
    <w:rsid w:val="00443024"/>
    <w:rsid w:val="004431AE"/>
    <w:rsid w:val="004436AA"/>
    <w:rsid w:val="00443FC0"/>
    <w:rsid w:val="00445D92"/>
    <w:rsid w:val="0044632D"/>
    <w:rsid w:val="00451C95"/>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1F28"/>
    <w:rsid w:val="00472D90"/>
    <w:rsid w:val="00473161"/>
    <w:rsid w:val="004749FB"/>
    <w:rsid w:val="00475473"/>
    <w:rsid w:val="00475C18"/>
    <w:rsid w:val="00476546"/>
    <w:rsid w:val="00480913"/>
    <w:rsid w:val="00480B95"/>
    <w:rsid w:val="00480C37"/>
    <w:rsid w:val="00480CC8"/>
    <w:rsid w:val="00482F99"/>
    <w:rsid w:val="0048485A"/>
    <w:rsid w:val="004848F2"/>
    <w:rsid w:val="00484C13"/>
    <w:rsid w:val="004855A0"/>
    <w:rsid w:val="00486156"/>
    <w:rsid w:val="004875E4"/>
    <w:rsid w:val="0049044C"/>
    <w:rsid w:val="00490C48"/>
    <w:rsid w:val="00490FE7"/>
    <w:rsid w:val="00491015"/>
    <w:rsid w:val="004918B1"/>
    <w:rsid w:val="0049193A"/>
    <w:rsid w:val="00492077"/>
    <w:rsid w:val="004926EB"/>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5E63"/>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902"/>
    <w:rsid w:val="004C4D0B"/>
    <w:rsid w:val="004C6F6D"/>
    <w:rsid w:val="004D033A"/>
    <w:rsid w:val="004D0CF5"/>
    <w:rsid w:val="004D19FC"/>
    <w:rsid w:val="004D2CBD"/>
    <w:rsid w:val="004D3D46"/>
    <w:rsid w:val="004D58C0"/>
    <w:rsid w:val="004D5A91"/>
    <w:rsid w:val="004D5BB6"/>
    <w:rsid w:val="004D5BED"/>
    <w:rsid w:val="004D61B0"/>
    <w:rsid w:val="004D6A7F"/>
    <w:rsid w:val="004D6BBE"/>
    <w:rsid w:val="004D6DD1"/>
    <w:rsid w:val="004E0184"/>
    <w:rsid w:val="004E062D"/>
    <w:rsid w:val="004E069C"/>
    <w:rsid w:val="004E0B0A"/>
    <w:rsid w:val="004E31D8"/>
    <w:rsid w:val="004E4327"/>
    <w:rsid w:val="004E43BF"/>
    <w:rsid w:val="004E5976"/>
    <w:rsid w:val="004E666C"/>
    <w:rsid w:val="004E6973"/>
    <w:rsid w:val="004E75D4"/>
    <w:rsid w:val="004F12AC"/>
    <w:rsid w:val="004F222D"/>
    <w:rsid w:val="004F2FAF"/>
    <w:rsid w:val="004F3523"/>
    <w:rsid w:val="004F3711"/>
    <w:rsid w:val="004F3D4A"/>
    <w:rsid w:val="004F4C5B"/>
    <w:rsid w:val="004F5112"/>
    <w:rsid w:val="004F5841"/>
    <w:rsid w:val="004F75B8"/>
    <w:rsid w:val="004F76F0"/>
    <w:rsid w:val="005001EC"/>
    <w:rsid w:val="00501068"/>
    <w:rsid w:val="0050156B"/>
    <w:rsid w:val="00501867"/>
    <w:rsid w:val="00501C36"/>
    <w:rsid w:val="00502558"/>
    <w:rsid w:val="00502D31"/>
    <w:rsid w:val="00505AEA"/>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2FC"/>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7A0D"/>
    <w:rsid w:val="0054009F"/>
    <w:rsid w:val="005409E2"/>
    <w:rsid w:val="005410A3"/>
    <w:rsid w:val="00541A30"/>
    <w:rsid w:val="00542845"/>
    <w:rsid w:val="005430B0"/>
    <w:rsid w:val="00543508"/>
    <w:rsid w:val="00543A99"/>
    <w:rsid w:val="0054403B"/>
    <w:rsid w:val="0054425A"/>
    <w:rsid w:val="00544300"/>
    <w:rsid w:val="005447D1"/>
    <w:rsid w:val="00544899"/>
    <w:rsid w:val="00544BAA"/>
    <w:rsid w:val="00545737"/>
    <w:rsid w:val="0054574E"/>
    <w:rsid w:val="0054620D"/>
    <w:rsid w:val="00546823"/>
    <w:rsid w:val="0054745E"/>
    <w:rsid w:val="0055075B"/>
    <w:rsid w:val="005509F8"/>
    <w:rsid w:val="00550C6F"/>
    <w:rsid w:val="00551817"/>
    <w:rsid w:val="00553DBD"/>
    <w:rsid w:val="00555308"/>
    <w:rsid w:val="005571C0"/>
    <w:rsid w:val="00557246"/>
    <w:rsid w:val="00557E0C"/>
    <w:rsid w:val="005616DA"/>
    <w:rsid w:val="00561C96"/>
    <w:rsid w:val="005632D8"/>
    <w:rsid w:val="00564451"/>
    <w:rsid w:val="005647AB"/>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6D37"/>
    <w:rsid w:val="005771CC"/>
    <w:rsid w:val="00577201"/>
    <w:rsid w:val="00577D3F"/>
    <w:rsid w:val="0058001F"/>
    <w:rsid w:val="005806F2"/>
    <w:rsid w:val="00581555"/>
    <w:rsid w:val="0058223D"/>
    <w:rsid w:val="005822A9"/>
    <w:rsid w:val="005825AB"/>
    <w:rsid w:val="005832B1"/>
    <w:rsid w:val="00583750"/>
    <w:rsid w:val="00583D45"/>
    <w:rsid w:val="00583DE2"/>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15E9"/>
    <w:rsid w:val="005A20F7"/>
    <w:rsid w:val="005A229A"/>
    <w:rsid w:val="005A2A4A"/>
    <w:rsid w:val="005A38E6"/>
    <w:rsid w:val="005A4714"/>
    <w:rsid w:val="005A49DF"/>
    <w:rsid w:val="005A52E3"/>
    <w:rsid w:val="005A5E9D"/>
    <w:rsid w:val="005A670D"/>
    <w:rsid w:val="005A7550"/>
    <w:rsid w:val="005B04D9"/>
    <w:rsid w:val="005B059A"/>
    <w:rsid w:val="005B150A"/>
    <w:rsid w:val="005B1696"/>
    <w:rsid w:val="005B19EE"/>
    <w:rsid w:val="005B1A48"/>
    <w:rsid w:val="005B2AC9"/>
    <w:rsid w:val="005B4ADF"/>
    <w:rsid w:val="005B5B57"/>
    <w:rsid w:val="005B5CC5"/>
    <w:rsid w:val="005B6089"/>
    <w:rsid w:val="005B72F4"/>
    <w:rsid w:val="005B7D70"/>
    <w:rsid w:val="005C0699"/>
    <w:rsid w:val="005C0971"/>
    <w:rsid w:val="005C09CB"/>
    <w:rsid w:val="005C1BFA"/>
    <w:rsid w:val="005C20A0"/>
    <w:rsid w:val="005C2EDB"/>
    <w:rsid w:val="005C30BA"/>
    <w:rsid w:val="005C3AAF"/>
    <w:rsid w:val="005C3CC7"/>
    <w:rsid w:val="005C7B4A"/>
    <w:rsid w:val="005D0D13"/>
    <w:rsid w:val="005D11BE"/>
    <w:rsid w:val="005D1222"/>
    <w:rsid w:val="005D186F"/>
    <w:rsid w:val="005D192C"/>
    <w:rsid w:val="005D19E6"/>
    <w:rsid w:val="005D2418"/>
    <w:rsid w:val="005D3AD3"/>
    <w:rsid w:val="005D4023"/>
    <w:rsid w:val="005D4034"/>
    <w:rsid w:val="005D5D1D"/>
    <w:rsid w:val="005D736B"/>
    <w:rsid w:val="005E00F1"/>
    <w:rsid w:val="005E08F7"/>
    <w:rsid w:val="005E1D73"/>
    <w:rsid w:val="005E1F31"/>
    <w:rsid w:val="005E3700"/>
    <w:rsid w:val="005E37A8"/>
    <w:rsid w:val="005E39FF"/>
    <w:rsid w:val="005E5C46"/>
    <w:rsid w:val="005E5DCD"/>
    <w:rsid w:val="005E5E12"/>
    <w:rsid w:val="005E6C18"/>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71C"/>
    <w:rsid w:val="00601EF6"/>
    <w:rsid w:val="00601F72"/>
    <w:rsid w:val="00602898"/>
    <w:rsid w:val="00603548"/>
    <w:rsid w:val="00603C9A"/>
    <w:rsid w:val="0060558A"/>
    <w:rsid w:val="0060627D"/>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6BD5"/>
    <w:rsid w:val="00617236"/>
    <w:rsid w:val="00617411"/>
    <w:rsid w:val="00617AD8"/>
    <w:rsid w:val="00620033"/>
    <w:rsid w:val="00621E41"/>
    <w:rsid w:val="006223F0"/>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6E75"/>
    <w:rsid w:val="00637EBC"/>
    <w:rsid w:val="00640663"/>
    <w:rsid w:val="006416B1"/>
    <w:rsid w:val="00641763"/>
    <w:rsid w:val="0064210E"/>
    <w:rsid w:val="00642161"/>
    <w:rsid w:val="006432EF"/>
    <w:rsid w:val="006437A5"/>
    <w:rsid w:val="00645360"/>
    <w:rsid w:val="006456EE"/>
    <w:rsid w:val="00646A11"/>
    <w:rsid w:val="00646D10"/>
    <w:rsid w:val="00646D7B"/>
    <w:rsid w:val="00646DC0"/>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A46"/>
    <w:rsid w:val="00665FC5"/>
    <w:rsid w:val="00666176"/>
    <w:rsid w:val="00666A5E"/>
    <w:rsid w:val="00667E91"/>
    <w:rsid w:val="00670A05"/>
    <w:rsid w:val="00670D60"/>
    <w:rsid w:val="00671E17"/>
    <w:rsid w:val="00671F7E"/>
    <w:rsid w:val="00672886"/>
    <w:rsid w:val="0067309B"/>
    <w:rsid w:val="006734C3"/>
    <w:rsid w:val="006740D4"/>
    <w:rsid w:val="006742EF"/>
    <w:rsid w:val="00676423"/>
    <w:rsid w:val="00676604"/>
    <w:rsid w:val="006772FC"/>
    <w:rsid w:val="0068075B"/>
    <w:rsid w:val="00680B56"/>
    <w:rsid w:val="006816EA"/>
    <w:rsid w:val="00681E03"/>
    <w:rsid w:val="00682BBD"/>
    <w:rsid w:val="00683955"/>
    <w:rsid w:val="00683C71"/>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A76A4"/>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B7BD8"/>
    <w:rsid w:val="006C13FD"/>
    <w:rsid w:val="006C27C3"/>
    <w:rsid w:val="006C3A33"/>
    <w:rsid w:val="006C3F71"/>
    <w:rsid w:val="006C4678"/>
    <w:rsid w:val="006C4CCA"/>
    <w:rsid w:val="006C4CF9"/>
    <w:rsid w:val="006C4D3E"/>
    <w:rsid w:val="006C4D89"/>
    <w:rsid w:val="006C53ED"/>
    <w:rsid w:val="006C5974"/>
    <w:rsid w:val="006C5E94"/>
    <w:rsid w:val="006C6EDB"/>
    <w:rsid w:val="006C764B"/>
    <w:rsid w:val="006C79BB"/>
    <w:rsid w:val="006D29A7"/>
    <w:rsid w:val="006D3330"/>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560B"/>
    <w:rsid w:val="006E6377"/>
    <w:rsid w:val="006E641F"/>
    <w:rsid w:val="006E7694"/>
    <w:rsid w:val="006E7FF6"/>
    <w:rsid w:val="006F01B9"/>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22B"/>
    <w:rsid w:val="007028A9"/>
    <w:rsid w:val="0070382E"/>
    <w:rsid w:val="00705C93"/>
    <w:rsid w:val="00705F9A"/>
    <w:rsid w:val="00706C60"/>
    <w:rsid w:val="0070727B"/>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756"/>
    <w:rsid w:val="007178EC"/>
    <w:rsid w:val="00717E7A"/>
    <w:rsid w:val="007203A0"/>
    <w:rsid w:val="00720C09"/>
    <w:rsid w:val="00720C1C"/>
    <w:rsid w:val="00722B13"/>
    <w:rsid w:val="00724B55"/>
    <w:rsid w:val="007254DD"/>
    <w:rsid w:val="007256F7"/>
    <w:rsid w:val="00726387"/>
    <w:rsid w:val="0072723C"/>
    <w:rsid w:val="007279B3"/>
    <w:rsid w:val="0073066C"/>
    <w:rsid w:val="00732300"/>
    <w:rsid w:val="00732C96"/>
    <w:rsid w:val="007331B0"/>
    <w:rsid w:val="00735329"/>
    <w:rsid w:val="00735A48"/>
    <w:rsid w:val="00736393"/>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D52"/>
    <w:rsid w:val="00757E26"/>
    <w:rsid w:val="00760012"/>
    <w:rsid w:val="007607C6"/>
    <w:rsid w:val="007610F4"/>
    <w:rsid w:val="007615E3"/>
    <w:rsid w:val="00761876"/>
    <w:rsid w:val="007628D2"/>
    <w:rsid w:val="00762BB3"/>
    <w:rsid w:val="007639C3"/>
    <w:rsid w:val="00763E50"/>
    <w:rsid w:val="00764853"/>
    <w:rsid w:val="0076586C"/>
    <w:rsid w:val="00767028"/>
    <w:rsid w:val="00770559"/>
    <w:rsid w:val="00770AC9"/>
    <w:rsid w:val="0077121A"/>
    <w:rsid w:val="00772DF6"/>
    <w:rsid w:val="0077382A"/>
    <w:rsid w:val="00774604"/>
    <w:rsid w:val="007759F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78"/>
    <w:rsid w:val="007848AF"/>
    <w:rsid w:val="007848C1"/>
    <w:rsid w:val="00784EA4"/>
    <w:rsid w:val="00784F9D"/>
    <w:rsid w:val="0078534D"/>
    <w:rsid w:val="0078618B"/>
    <w:rsid w:val="00786734"/>
    <w:rsid w:val="007867AB"/>
    <w:rsid w:val="007867C0"/>
    <w:rsid w:val="00790516"/>
    <w:rsid w:val="0079067B"/>
    <w:rsid w:val="00790775"/>
    <w:rsid w:val="0079092D"/>
    <w:rsid w:val="0079141D"/>
    <w:rsid w:val="00791684"/>
    <w:rsid w:val="00794AE1"/>
    <w:rsid w:val="00795551"/>
    <w:rsid w:val="00795673"/>
    <w:rsid w:val="00795995"/>
    <w:rsid w:val="00796F89"/>
    <w:rsid w:val="00797639"/>
    <w:rsid w:val="00797720"/>
    <w:rsid w:val="0079793D"/>
    <w:rsid w:val="00797EB2"/>
    <w:rsid w:val="007A06B8"/>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1ACC"/>
    <w:rsid w:val="007D363A"/>
    <w:rsid w:val="007D4984"/>
    <w:rsid w:val="007D59A6"/>
    <w:rsid w:val="007D715A"/>
    <w:rsid w:val="007D71FE"/>
    <w:rsid w:val="007D7B2C"/>
    <w:rsid w:val="007D7F3A"/>
    <w:rsid w:val="007E00D3"/>
    <w:rsid w:val="007E27FD"/>
    <w:rsid w:val="007E29A1"/>
    <w:rsid w:val="007E37B8"/>
    <w:rsid w:val="007E381F"/>
    <w:rsid w:val="007E4B7E"/>
    <w:rsid w:val="007E568E"/>
    <w:rsid w:val="007E5D95"/>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42E"/>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14E2A"/>
    <w:rsid w:val="00821D5F"/>
    <w:rsid w:val="00822D7B"/>
    <w:rsid w:val="008241F3"/>
    <w:rsid w:val="00824B45"/>
    <w:rsid w:val="008263D0"/>
    <w:rsid w:val="00826BA9"/>
    <w:rsid w:val="0082724F"/>
    <w:rsid w:val="008274BA"/>
    <w:rsid w:val="00827752"/>
    <w:rsid w:val="00830B56"/>
    <w:rsid w:val="008314DD"/>
    <w:rsid w:val="00832270"/>
    <w:rsid w:val="008325C9"/>
    <w:rsid w:val="00832F34"/>
    <w:rsid w:val="00832FC6"/>
    <w:rsid w:val="008334C2"/>
    <w:rsid w:val="00834959"/>
    <w:rsid w:val="00835746"/>
    <w:rsid w:val="00837A49"/>
    <w:rsid w:val="0084009C"/>
    <w:rsid w:val="00841AEC"/>
    <w:rsid w:val="0084226A"/>
    <w:rsid w:val="00842289"/>
    <w:rsid w:val="00843AF3"/>
    <w:rsid w:val="00843AFD"/>
    <w:rsid w:val="00845071"/>
    <w:rsid w:val="008454F0"/>
    <w:rsid w:val="008463BB"/>
    <w:rsid w:val="00846BA0"/>
    <w:rsid w:val="00846DC0"/>
    <w:rsid w:val="008479C8"/>
    <w:rsid w:val="00847CA7"/>
    <w:rsid w:val="0085055A"/>
    <w:rsid w:val="00850694"/>
    <w:rsid w:val="008517EA"/>
    <w:rsid w:val="008527CB"/>
    <w:rsid w:val="0085322B"/>
    <w:rsid w:val="008539BF"/>
    <w:rsid w:val="00853EB9"/>
    <w:rsid w:val="00855366"/>
    <w:rsid w:val="00855AFE"/>
    <w:rsid w:val="008560F3"/>
    <w:rsid w:val="008561B5"/>
    <w:rsid w:val="00857103"/>
    <w:rsid w:val="00857133"/>
    <w:rsid w:val="00857771"/>
    <w:rsid w:val="0086014A"/>
    <w:rsid w:val="00860D2E"/>
    <w:rsid w:val="00861387"/>
    <w:rsid w:val="0086141C"/>
    <w:rsid w:val="00862339"/>
    <w:rsid w:val="00862C18"/>
    <w:rsid w:val="00863265"/>
    <w:rsid w:val="0086382B"/>
    <w:rsid w:val="00864C31"/>
    <w:rsid w:val="00865088"/>
    <w:rsid w:val="00866D16"/>
    <w:rsid w:val="00867F5B"/>
    <w:rsid w:val="008705F3"/>
    <w:rsid w:val="00870894"/>
    <w:rsid w:val="00870D28"/>
    <w:rsid w:val="00871465"/>
    <w:rsid w:val="00871471"/>
    <w:rsid w:val="0087265C"/>
    <w:rsid w:val="008744C5"/>
    <w:rsid w:val="008748C8"/>
    <w:rsid w:val="00874AA7"/>
    <w:rsid w:val="00875229"/>
    <w:rsid w:val="00876342"/>
    <w:rsid w:val="0087656C"/>
    <w:rsid w:val="008766DE"/>
    <w:rsid w:val="00876BEB"/>
    <w:rsid w:val="008778C3"/>
    <w:rsid w:val="00877D77"/>
    <w:rsid w:val="008815E1"/>
    <w:rsid w:val="008820D2"/>
    <w:rsid w:val="0088267A"/>
    <w:rsid w:val="0088307E"/>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CA5"/>
    <w:rsid w:val="008B07C1"/>
    <w:rsid w:val="008B0BAD"/>
    <w:rsid w:val="008B587C"/>
    <w:rsid w:val="008B5C65"/>
    <w:rsid w:val="008B5C9B"/>
    <w:rsid w:val="008B647C"/>
    <w:rsid w:val="008B6764"/>
    <w:rsid w:val="008B6D2E"/>
    <w:rsid w:val="008B6D30"/>
    <w:rsid w:val="008B7895"/>
    <w:rsid w:val="008C051B"/>
    <w:rsid w:val="008C119E"/>
    <w:rsid w:val="008C11EE"/>
    <w:rsid w:val="008C180E"/>
    <w:rsid w:val="008C2492"/>
    <w:rsid w:val="008C2578"/>
    <w:rsid w:val="008C28A4"/>
    <w:rsid w:val="008C2AD3"/>
    <w:rsid w:val="008C2FC3"/>
    <w:rsid w:val="008C3470"/>
    <w:rsid w:val="008C3B2B"/>
    <w:rsid w:val="008C3F1E"/>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E74E9"/>
    <w:rsid w:val="008F09BF"/>
    <w:rsid w:val="008F4F41"/>
    <w:rsid w:val="008F6014"/>
    <w:rsid w:val="008F61B1"/>
    <w:rsid w:val="008F6748"/>
    <w:rsid w:val="008F67FF"/>
    <w:rsid w:val="008F74E2"/>
    <w:rsid w:val="008F767D"/>
    <w:rsid w:val="008F7952"/>
    <w:rsid w:val="009023CF"/>
    <w:rsid w:val="00903AB8"/>
    <w:rsid w:val="00904953"/>
    <w:rsid w:val="00906BA9"/>
    <w:rsid w:val="00907078"/>
    <w:rsid w:val="00907818"/>
    <w:rsid w:val="00910BB8"/>
    <w:rsid w:val="00910BD5"/>
    <w:rsid w:val="00911067"/>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5E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5622"/>
    <w:rsid w:val="0093619D"/>
    <w:rsid w:val="009361A2"/>
    <w:rsid w:val="0093646D"/>
    <w:rsid w:val="00936819"/>
    <w:rsid w:val="00936CC5"/>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42DB"/>
    <w:rsid w:val="00964509"/>
    <w:rsid w:val="0096451A"/>
    <w:rsid w:val="009657BF"/>
    <w:rsid w:val="00965D7B"/>
    <w:rsid w:val="009667B7"/>
    <w:rsid w:val="00966811"/>
    <w:rsid w:val="009668F6"/>
    <w:rsid w:val="00966B9D"/>
    <w:rsid w:val="00966F25"/>
    <w:rsid w:val="00967F65"/>
    <w:rsid w:val="00971AA6"/>
    <w:rsid w:val="009733F1"/>
    <w:rsid w:val="00973EB0"/>
    <w:rsid w:val="00973FCA"/>
    <w:rsid w:val="00974279"/>
    <w:rsid w:val="0097457E"/>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51AE"/>
    <w:rsid w:val="009A5902"/>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370B"/>
    <w:rsid w:val="009C3F2F"/>
    <w:rsid w:val="009C4CFB"/>
    <w:rsid w:val="009C6751"/>
    <w:rsid w:val="009C6C45"/>
    <w:rsid w:val="009C6D08"/>
    <w:rsid w:val="009C70EE"/>
    <w:rsid w:val="009C7586"/>
    <w:rsid w:val="009C7D9F"/>
    <w:rsid w:val="009D0014"/>
    <w:rsid w:val="009D11E3"/>
    <w:rsid w:val="009D20BA"/>
    <w:rsid w:val="009D2A43"/>
    <w:rsid w:val="009D33F3"/>
    <w:rsid w:val="009D3692"/>
    <w:rsid w:val="009D5147"/>
    <w:rsid w:val="009D51CA"/>
    <w:rsid w:val="009D607D"/>
    <w:rsid w:val="009D646B"/>
    <w:rsid w:val="009D675F"/>
    <w:rsid w:val="009D794C"/>
    <w:rsid w:val="009E04E9"/>
    <w:rsid w:val="009E06DB"/>
    <w:rsid w:val="009E0C1C"/>
    <w:rsid w:val="009E0F72"/>
    <w:rsid w:val="009E283B"/>
    <w:rsid w:val="009E316D"/>
    <w:rsid w:val="009E36D6"/>
    <w:rsid w:val="009E3860"/>
    <w:rsid w:val="009E3CD9"/>
    <w:rsid w:val="009E45B8"/>
    <w:rsid w:val="009E51F6"/>
    <w:rsid w:val="009E59E2"/>
    <w:rsid w:val="009E6FD9"/>
    <w:rsid w:val="009E7919"/>
    <w:rsid w:val="009F0323"/>
    <w:rsid w:val="009F09B7"/>
    <w:rsid w:val="009F1030"/>
    <w:rsid w:val="009F1C65"/>
    <w:rsid w:val="009F1E2B"/>
    <w:rsid w:val="009F2B71"/>
    <w:rsid w:val="009F2BB6"/>
    <w:rsid w:val="009F2C2A"/>
    <w:rsid w:val="009F3218"/>
    <w:rsid w:val="009F3630"/>
    <w:rsid w:val="009F5482"/>
    <w:rsid w:val="009F55DE"/>
    <w:rsid w:val="009F5A19"/>
    <w:rsid w:val="009F5D09"/>
    <w:rsid w:val="009F5D4A"/>
    <w:rsid w:val="009F5E3B"/>
    <w:rsid w:val="009F604C"/>
    <w:rsid w:val="009F628E"/>
    <w:rsid w:val="009F7482"/>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68C6"/>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674E"/>
    <w:rsid w:val="00A2711B"/>
    <w:rsid w:val="00A30B20"/>
    <w:rsid w:val="00A30CD6"/>
    <w:rsid w:val="00A31174"/>
    <w:rsid w:val="00A318C7"/>
    <w:rsid w:val="00A3198C"/>
    <w:rsid w:val="00A32896"/>
    <w:rsid w:val="00A32BA1"/>
    <w:rsid w:val="00A337C9"/>
    <w:rsid w:val="00A3437C"/>
    <w:rsid w:val="00A3454D"/>
    <w:rsid w:val="00A3541B"/>
    <w:rsid w:val="00A355EF"/>
    <w:rsid w:val="00A35F51"/>
    <w:rsid w:val="00A36C10"/>
    <w:rsid w:val="00A3719C"/>
    <w:rsid w:val="00A378D2"/>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D1B"/>
    <w:rsid w:val="00A50ED4"/>
    <w:rsid w:val="00A51A3F"/>
    <w:rsid w:val="00A5300B"/>
    <w:rsid w:val="00A53C2A"/>
    <w:rsid w:val="00A546B0"/>
    <w:rsid w:val="00A5557D"/>
    <w:rsid w:val="00A55E52"/>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68A"/>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4BAD"/>
    <w:rsid w:val="00AB7D85"/>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407B"/>
    <w:rsid w:val="00AD440C"/>
    <w:rsid w:val="00AD6169"/>
    <w:rsid w:val="00AD6183"/>
    <w:rsid w:val="00AD6AEA"/>
    <w:rsid w:val="00AD742E"/>
    <w:rsid w:val="00AE0706"/>
    <w:rsid w:val="00AE1492"/>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7F7"/>
    <w:rsid w:val="00AF0858"/>
    <w:rsid w:val="00AF1D9D"/>
    <w:rsid w:val="00AF225E"/>
    <w:rsid w:val="00AF367E"/>
    <w:rsid w:val="00AF405F"/>
    <w:rsid w:val="00AF5606"/>
    <w:rsid w:val="00AF587F"/>
    <w:rsid w:val="00AF6073"/>
    <w:rsid w:val="00AF74BF"/>
    <w:rsid w:val="00AF758E"/>
    <w:rsid w:val="00B019CB"/>
    <w:rsid w:val="00B01F98"/>
    <w:rsid w:val="00B02C2A"/>
    <w:rsid w:val="00B05D29"/>
    <w:rsid w:val="00B060EE"/>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05C"/>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A5F"/>
    <w:rsid w:val="00B26ED5"/>
    <w:rsid w:val="00B27335"/>
    <w:rsid w:val="00B27398"/>
    <w:rsid w:val="00B2779E"/>
    <w:rsid w:val="00B30DA9"/>
    <w:rsid w:val="00B3171A"/>
    <w:rsid w:val="00B31ABF"/>
    <w:rsid w:val="00B31D3C"/>
    <w:rsid w:val="00B321C1"/>
    <w:rsid w:val="00B33A78"/>
    <w:rsid w:val="00B34AEF"/>
    <w:rsid w:val="00B351C1"/>
    <w:rsid w:val="00B359CF"/>
    <w:rsid w:val="00B35FC7"/>
    <w:rsid w:val="00B364CE"/>
    <w:rsid w:val="00B368D9"/>
    <w:rsid w:val="00B36CE8"/>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A70"/>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FE"/>
    <w:rsid w:val="00B73AB6"/>
    <w:rsid w:val="00B767AA"/>
    <w:rsid w:val="00B76F24"/>
    <w:rsid w:val="00B802F8"/>
    <w:rsid w:val="00B80A5A"/>
    <w:rsid w:val="00B80A92"/>
    <w:rsid w:val="00B81B20"/>
    <w:rsid w:val="00B82734"/>
    <w:rsid w:val="00B82FF9"/>
    <w:rsid w:val="00B832A1"/>
    <w:rsid w:val="00B83CD5"/>
    <w:rsid w:val="00B83D23"/>
    <w:rsid w:val="00B8451B"/>
    <w:rsid w:val="00B84964"/>
    <w:rsid w:val="00B85676"/>
    <w:rsid w:val="00B85896"/>
    <w:rsid w:val="00B8635D"/>
    <w:rsid w:val="00B87F96"/>
    <w:rsid w:val="00B90D14"/>
    <w:rsid w:val="00B94249"/>
    <w:rsid w:val="00B94276"/>
    <w:rsid w:val="00B94653"/>
    <w:rsid w:val="00B94CE2"/>
    <w:rsid w:val="00BA0783"/>
    <w:rsid w:val="00BA08F4"/>
    <w:rsid w:val="00BA0B99"/>
    <w:rsid w:val="00BA18AE"/>
    <w:rsid w:val="00BA1E6F"/>
    <w:rsid w:val="00BA2EE4"/>
    <w:rsid w:val="00BA32B4"/>
    <w:rsid w:val="00BA3F7E"/>
    <w:rsid w:val="00BA4B75"/>
    <w:rsid w:val="00BA53C3"/>
    <w:rsid w:val="00BA56C4"/>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040"/>
    <w:rsid w:val="00BD48E4"/>
    <w:rsid w:val="00BD59A9"/>
    <w:rsid w:val="00BD6C2C"/>
    <w:rsid w:val="00BD7A0B"/>
    <w:rsid w:val="00BD7B7E"/>
    <w:rsid w:val="00BE2107"/>
    <w:rsid w:val="00BE279E"/>
    <w:rsid w:val="00BE27CA"/>
    <w:rsid w:val="00BE3005"/>
    <w:rsid w:val="00BE34F3"/>
    <w:rsid w:val="00BE3786"/>
    <w:rsid w:val="00BE4922"/>
    <w:rsid w:val="00BE4CFA"/>
    <w:rsid w:val="00BE53E1"/>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35"/>
    <w:rsid w:val="00BF59DF"/>
    <w:rsid w:val="00BF68E0"/>
    <w:rsid w:val="00BF69A2"/>
    <w:rsid w:val="00BF6A6B"/>
    <w:rsid w:val="00BF6BD6"/>
    <w:rsid w:val="00C004CC"/>
    <w:rsid w:val="00C006A3"/>
    <w:rsid w:val="00C00A9E"/>
    <w:rsid w:val="00C011D2"/>
    <w:rsid w:val="00C03D6D"/>
    <w:rsid w:val="00C04F7C"/>
    <w:rsid w:val="00C05982"/>
    <w:rsid w:val="00C05A13"/>
    <w:rsid w:val="00C06276"/>
    <w:rsid w:val="00C06B9E"/>
    <w:rsid w:val="00C07D29"/>
    <w:rsid w:val="00C108BC"/>
    <w:rsid w:val="00C10924"/>
    <w:rsid w:val="00C116D9"/>
    <w:rsid w:val="00C12447"/>
    <w:rsid w:val="00C124EC"/>
    <w:rsid w:val="00C128FE"/>
    <w:rsid w:val="00C12EDE"/>
    <w:rsid w:val="00C1395C"/>
    <w:rsid w:val="00C147D1"/>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5D30"/>
    <w:rsid w:val="00C36754"/>
    <w:rsid w:val="00C36899"/>
    <w:rsid w:val="00C36E6C"/>
    <w:rsid w:val="00C3710A"/>
    <w:rsid w:val="00C3745C"/>
    <w:rsid w:val="00C37B8F"/>
    <w:rsid w:val="00C37B9D"/>
    <w:rsid w:val="00C37CC4"/>
    <w:rsid w:val="00C401DA"/>
    <w:rsid w:val="00C411DB"/>
    <w:rsid w:val="00C4124E"/>
    <w:rsid w:val="00C41F8B"/>
    <w:rsid w:val="00C4352B"/>
    <w:rsid w:val="00C43A43"/>
    <w:rsid w:val="00C43C38"/>
    <w:rsid w:val="00C4406D"/>
    <w:rsid w:val="00C44DAD"/>
    <w:rsid w:val="00C44E18"/>
    <w:rsid w:val="00C45174"/>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E8A"/>
    <w:rsid w:val="00C878B0"/>
    <w:rsid w:val="00C90253"/>
    <w:rsid w:val="00C9122C"/>
    <w:rsid w:val="00C91BE9"/>
    <w:rsid w:val="00C933BA"/>
    <w:rsid w:val="00C94785"/>
    <w:rsid w:val="00C94DB7"/>
    <w:rsid w:val="00C97389"/>
    <w:rsid w:val="00C97AC5"/>
    <w:rsid w:val="00C97EB3"/>
    <w:rsid w:val="00CA0E5D"/>
    <w:rsid w:val="00CA1CFF"/>
    <w:rsid w:val="00CA3900"/>
    <w:rsid w:val="00CA3DD9"/>
    <w:rsid w:val="00CA4ADF"/>
    <w:rsid w:val="00CA4D1F"/>
    <w:rsid w:val="00CA5C20"/>
    <w:rsid w:val="00CA6035"/>
    <w:rsid w:val="00CB0227"/>
    <w:rsid w:val="00CB0A28"/>
    <w:rsid w:val="00CB0FBC"/>
    <w:rsid w:val="00CB2888"/>
    <w:rsid w:val="00CB3A14"/>
    <w:rsid w:val="00CB4EC9"/>
    <w:rsid w:val="00CB58C7"/>
    <w:rsid w:val="00CC0269"/>
    <w:rsid w:val="00CC084C"/>
    <w:rsid w:val="00CC1475"/>
    <w:rsid w:val="00CC3253"/>
    <w:rsid w:val="00CC3AA3"/>
    <w:rsid w:val="00CC4422"/>
    <w:rsid w:val="00CC4734"/>
    <w:rsid w:val="00CC5520"/>
    <w:rsid w:val="00CC5634"/>
    <w:rsid w:val="00CC5F62"/>
    <w:rsid w:val="00CC6169"/>
    <w:rsid w:val="00CC7563"/>
    <w:rsid w:val="00CC767D"/>
    <w:rsid w:val="00CC7EEC"/>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93F"/>
    <w:rsid w:val="00CF0F48"/>
    <w:rsid w:val="00CF14E4"/>
    <w:rsid w:val="00CF1B21"/>
    <w:rsid w:val="00CF2166"/>
    <w:rsid w:val="00CF2674"/>
    <w:rsid w:val="00CF2906"/>
    <w:rsid w:val="00CF2C96"/>
    <w:rsid w:val="00CF57F4"/>
    <w:rsid w:val="00CF5AC1"/>
    <w:rsid w:val="00CF6231"/>
    <w:rsid w:val="00CF6AC6"/>
    <w:rsid w:val="00CF7284"/>
    <w:rsid w:val="00D00456"/>
    <w:rsid w:val="00D00EE1"/>
    <w:rsid w:val="00D032AF"/>
    <w:rsid w:val="00D03CEC"/>
    <w:rsid w:val="00D0463D"/>
    <w:rsid w:val="00D04FD6"/>
    <w:rsid w:val="00D057B9"/>
    <w:rsid w:val="00D0596C"/>
    <w:rsid w:val="00D062B9"/>
    <w:rsid w:val="00D0671C"/>
    <w:rsid w:val="00D070AB"/>
    <w:rsid w:val="00D072AE"/>
    <w:rsid w:val="00D0744A"/>
    <w:rsid w:val="00D074CB"/>
    <w:rsid w:val="00D07532"/>
    <w:rsid w:val="00D076E8"/>
    <w:rsid w:val="00D100A1"/>
    <w:rsid w:val="00D11557"/>
    <w:rsid w:val="00D12BAF"/>
    <w:rsid w:val="00D12DFC"/>
    <w:rsid w:val="00D12FF5"/>
    <w:rsid w:val="00D1341A"/>
    <w:rsid w:val="00D14444"/>
    <w:rsid w:val="00D14A4E"/>
    <w:rsid w:val="00D158BD"/>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4386"/>
    <w:rsid w:val="00D34CAE"/>
    <w:rsid w:val="00D35A39"/>
    <w:rsid w:val="00D35B44"/>
    <w:rsid w:val="00D3694B"/>
    <w:rsid w:val="00D369C8"/>
    <w:rsid w:val="00D36DA9"/>
    <w:rsid w:val="00D37595"/>
    <w:rsid w:val="00D37A17"/>
    <w:rsid w:val="00D40F50"/>
    <w:rsid w:val="00D42E57"/>
    <w:rsid w:val="00D4387F"/>
    <w:rsid w:val="00D43B4E"/>
    <w:rsid w:val="00D43EF8"/>
    <w:rsid w:val="00D44386"/>
    <w:rsid w:val="00D4478D"/>
    <w:rsid w:val="00D4499F"/>
    <w:rsid w:val="00D44B42"/>
    <w:rsid w:val="00D44C83"/>
    <w:rsid w:val="00D450B6"/>
    <w:rsid w:val="00D4528C"/>
    <w:rsid w:val="00D46289"/>
    <w:rsid w:val="00D50AA7"/>
    <w:rsid w:val="00D51281"/>
    <w:rsid w:val="00D537D5"/>
    <w:rsid w:val="00D539F8"/>
    <w:rsid w:val="00D53C64"/>
    <w:rsid w:val="00D5467F"/>
    <w:rsid w:val="00D54F36"/>
    <w:rsid w:val="00D54FEB"/>
    <w:rsid w:val="00D55D7C"/>
    <w:rsid w:val="00D562B3"/>
    <w:rsid w:val="00D57F95"/>
    <w:rsid w:val="00D601AB"/>
    <w:rsid w:val="00D60AB8"/>
    <w:rsid w:val="00D61C1D"/>
    <w:rsid w:val="00D62A67"/>
    <w:rsid w:val="00D63209"/>
    <w:rsid w:val="00D6389C"/>
    <w:rsid w:val="00D63B19"/>
    <w:rsid w:val="00D6463C"/>
    <w:rsid w:val="00D64802"/>
    <w:rsid w:val="00D64BC2"/>
    <w:rsid w:val="00D64CB3"/>
    <w:rsid w:val="00D65127"/>
    <w:rsid w:val="00D654FA"/>
    <w:rsid w:val="00D676ED"/>
    <w:rsid w:val="00D70655"/>
    <w:rsid w:val="00D70DC1"/>
    <w:rsid w:val="00D71FE9"/>
    <w:rsid w:val="00D725C0"/>
    <w:rsid w:val="00D74F87"/>
    <w:rsid w:val="00D755EC"/>
    <w:rsid w:val="00D75C27"/>
    <w:rsid w:val="00D77D54"/>
    <w:rsid w:val="00D8368A"/>
    <w:rsid w:val="00D83875"/>
    <w:rsid w:val="00D83E78"/>
    <w:rsid w:val="00D83EC2"/>
    <w:rsid w:val="00D83F8C"/>
    <w:rsid w:val="00D8494A"/>
    <w:rsid w:val="00D84E34"/>
    <w:rsid w:val="00D8714D"/>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A7A34"/>
    <w:rsid w:val="00DB01ED"/>
    <w:rsid w:val="00DB06CD"/>
    <w:rsid w:val="00DB1384"/>
    <w:rsid w:val="00DB1A75"/>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1F93"/>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6ED"/>
    <w:rsid w:val="00DE1724"/>
    <w:rsid w:val="00DE2868"/>
    <w:rsid w:val="00DE445A"/>
    <w:rsid w:val="00DE4C18"/>
    <w:rsid w:val="00DE5CF4"/>
    <w:rsid w:val="00DE60BA"/>
    <w:rsid w:val="00DE6B9E"/>
    <w:rsid w:val="00DF0789"/>
    <w:rsid w:val="00DF2012"/>
    <w:rsid w:val="00DF2CD3"/>
    <w:rsid w:val="00DF3323"/>
    <w:rsid w:val="00DF38B2"/>
    <w:rsid w:val="00DF3C44"/>
    <w:rsid w:val="00DF5CED"/>
    <w:rsid w:val="00DF637B"/>
    <w:rsid w:val="00DF69C8"/>
    <w:rsid w:val="00DF6B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C9F"/>
    <w:rsid w:val="00E30D2B"/>
    <w:rsid w:val="00E31823"/>
    <w:rsid w:val="00E31C36"/>
    <w:rsid w:val="00E31F9B"/>
    <w:rsid w:val="00E3290D"/>
    <w:rsid w:val="00E32BD7"/>
    <w:rsid w:val="00E348C0"/>
    <w:rsid w:val="00E3522D"/>
    <w:rsid w:val="00E356CC"/>
    <w:rsid w:val="00E37729"/>
    <w:rsid w:val="00E403B5"/>
    <w:rsid w:val="00E42771"/>
    <w:rsid w:val="00E42BB1"/>
    <w:rsid w:val="00E44500"/>
    <w:rsid w:val="00E456FA"/>
    <w:rsid w:val="00E459C5"/>
    <w:rsid w:val="00E45AEC"/>
    <w:rsid w:val="00E45C5A"/>
    <w:rsid w:val="00E50C87"/>
    <w:rsid w:val="00E52139"/>
    <w:rsid w:val="00E52373"/>
    <w:rsid w:val="00E5297C"/>
    <w:rsid w:val="00E535DB"/>
    <w:rsid w:val="00E54176"/>
    <w:rsid w:val="00E545FE"/>
    <w:rsid w:val="00E54F86"/>
    <w:rsid w:val="00E551A8"/>
    <w:rsid w:val="00E55EEF"/>
    <w:rsid w:val="00E55FCC"/>
    <w:rsid w:val="00E56300"/>
    <w:rsid w:val="00E56798"/>
    <w:rsid w:val="00E573C5"/>
    <w:rsid w:val="00E62D21"/>
    <w:rsid w:val="00E62F87"/>
    <w:rsid w:val="00E635C4"/>
    <w:rsid w:val="00E640A5"/>
    <w:rsid w:val="00E64282"/>
    <w:rsid w:val="00E65040"/>
    <w:rsid w:val="00E657E0"/>
    <w:rsid w:val="00E66774"/>
    <w:rsid w:val="00E66F1B"/>
    <w:rsid w:val="00E67ACA"/>
    <w:rsid w:val="00E67FC6"/>
    <w:rsid w:val="00E70243"/>
    <w:rsid w:val="00E71DAA"/>
    <w:rsid w:val="00E72865"/>
    <w:rsid w:val="00E72F06"/>
    <w:rsid w:val="00E737D8"/>
    <w:rsid w:val="00E73A04"/>
    <w:rsid w:val="00E75866"/>
    <w:rsid w:val="00E75B0B"/>
    <w:rsid w:val="00E75C7B"/>
    <w:rsid w:val="00E7646A"/>
    <w:rsid w:val="00E80192"/>
    <w:rsid w:val="00E81672"/>
    <w:rsid w:val="00E81678"/>
    <w:rsid w:val="00E816D9"/>
    <w:rsid w:val="00E819ED"/>
    <w:rsid w:val="00E81D70"/>
    <w:rsid w:val="00E8292E"/>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09C"/>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3BA"/>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1DC8"/>
    <w:rsid w:val="00F025AC"/>
    <w:rsid w:val="00F02A17"/>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433"/>
    <w:rsid w:val="00F40975"/>
    <w:rsid w:val="00F41DD5"/>
    <w:rsid w:val="00F421FB"/>
    <w:rsid w:val="00F42208"/>
    <w:rsid w:val="00F427E3"/>
    <w:rsid w:val="00F44B61"/>
    <w:rsid w:val="00F44FCC"/>
    <w:rsid w:val="00F45113"/>
    <w:rsid w:val="00F454C2"/>
    <w:rsid w:val="00F4677D"/>
    <w:rsid w:val="00F4729F"/>
    <w:rsid w:val="00F50C84"/>
    <w:rsid w:val="00F52FEE"/>
    <w:rsid w:val="00F54561"/>
    <w:rsid w:val="00F5522D"/>
    <w:rsid w:val="00F55826"/>
    <w:rsid w:val="00F55CBB"/>
    <w:rsid w:val="00F56D21"/>
    <w:rsid w:val="00F608C8"/>
    <w:rsid w:val="00F61D4E"/>
    <w:rsid w:val="00F6297A"/>
    <w:rsid w:val="00F65053"/>
    <w:rsid w:val="00F653DE"/>
    <w:rsid w:val="00F6562F"/>
    <w:rsid w:val="00F65AF4"/>
    <w:rsid w:val="00F65C53"/>
    <w:rsid w:val="00F667BB"/>
    <w:rsid w:val="00F70AEF"/>
    <w:rsid w:val="00F713CF"/>
    <w:rsid w:val="00F716A4"/>
    <w:rsid w:val="00F71FE4"/>
    <w:rsid w:val="00F72DA9"/>
    <w:rsid w:val="00F72ED1"/>
    <w:rsid w:val="00F730C8"/>
    <w:rsid w:val="00F73AC7"/>
    <w:rsid w:val="00F73E7E"/>
    <w:rsid w:val="00F74AB5"/>
    <w:rsid w:val="00F75A77"/>
    <w:rsid w:val="00F7642B"/>
    <w:rsid w:val="00F80064"/>
    <w:rsid w:val="00F80A76"/>
    <w:rsid w:val="00F813FD"/>
    <w:rsid w:val="00F82635"/>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34C"/>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3BC7"/>
    <w:rsid w:val="00FB4B39"/>
    <w:rsid w:val="00FB58AA"/>
    <w:rsid w:val="00FB67ED"/>
    <w:rsid w:val="00FB6F5B"/>
    <w:rsid w:val="00FB7C51"/>
    <w:rsid w:val="00FB7DA0"/>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1B0B"/>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 w:val="00FF7F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FF88"/>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222862"/>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22862"/>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table" w:customStyle="1" w:styleId="PlainTable21">
    <w:name w:val="Plain Table 21"/>
    <w:basedOn w:val="TableNormal"/>
    <w:uiPriority w:val="42"/>
    <w:rsid w:val="008E74E9"/>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66185253">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32950472">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ombudsman.gov.au/" TargetMode="External"/><Relationship Id="rId21" Type="http://schemas.openxmlformats.org/officeDocument/2006/relationships/hyperlink" Target="https://www.grants.gov.au/" TargetMode="External"/><Relationship Id="rId34" Type="http://schemas.openxmlformats.org/officeDocument/2006/relationships/hyperlink" Target="https://www.communitygrants.gov.au/"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s://www.legislation.gov.au/Details/C2013A00123"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grants.gov.au/?event=public.GO.list" TargetMode="External"/><Relationship Id="rId38" Type="http://schemas.openxmlformats.org/officeDocument/2006/relationships/hyperlink" Target="mailto:complaints@dss.gov.au" TargetMode="External"/><Relationship Id="rId46" Type="http://schemas.openxmlformats.org/officeDocument/2006/relationships/hyperlink" Target="https://www.legislation.gov.au/Details/C2014C00076"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2019-11/commonwealth-grants-rules-and-guidelines.pdf" TargetMode="External"/><Relationship Id="rId29" Type="http://schemas.openxmlformats.org/officeDocument/2006/relationships/hyperlink" Target="https://www.grants.gov.au/" TargetMode="External"/><Relationship Id="rId41" Type="http://schemas.openxmlformats.org/officeDocument/2006/relationships/hyperlink" Target="http://www.ombudsman.gov.au" TargetMode="External"/><Relationship Id="rId54" Type="http://schemas.openxmlformats.org/officeDocument/2006/relationships/hyperlink" Target="https://www.budget.gov.au/2019-20/content/pbs/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www.finance.gov.au/sites/default/files/2019-11/commonwealth-grants-rules-and-guidelines.pdf" TargetMode="External"/><Relationship Id="rId37" Type="http://schemas.openxmlformats.org/officeDocument/2006/relationships/hyperlink" Target="https://www.dss.gov.au/contact/feedback-compliments-complaints-and-enquiries/complaints-page" TargetMode="External"/><Relationship Id="rId40" Type="http://schemas.openxmlformats.org/officeDocument/2006/relationships/hyperlink" Target="mailto:ombudsman@ombudsman.gov.au" TargetMode="External"/><Relationship Id="rId45" Type="http://schemas.openxmlformats.org/officeDocument/2006/relationships/hyperlink" Target="https://www.communitygrants.gov.au/open-grants/how-apply/conflict-interest-policy-commonwealth-government-employee" TargetMode="External"/><Relationship Id="rId53"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dss.gov.au/contact/feedback-compliments-complaints-and-enquiries/feedback-form" TargetMode="External"/><Relationship Id="rId49" Type="http://schemas.openxmlformats.org/officeDocument/2006/relationships/hyperlink" Target="mailto:foi@dss.gov.au"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ato.gov.au/"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finance.gov.au/about-us/glossary/pgpa/term-consolidated-revenue-fund-cr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communitygrants.gov.au/information/information-applicants/timing-grant-opportunity-processes" TargetMode="External"/><Relationship Id="rId30" Type="http://schemas.openxmlformats.org/officeDocument/2006/relationships/hyperlink" Target="https://www.communitygrants.gov.au/" TargetMode="External"/><Relationship Id="rId35" Type="http://schemas.openxmlformats.org/officeDocument/2006/relationships/hyperlink" Target="mailto:ATMAC@agriculture.gov.au"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legislation.gov.au/Series/C2004A02562"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finance.gov.au/sites/default/files/2019-11/commonwealth-grants-rules-and-guidelines.pdf"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DF0BF35A-CDF3-42F8-9170-E826B1F6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24</Pages>
  <Words>7802</Words>
  <Characters>44476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52174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22</cp:revision>
  <cp:lastPrinted>2018-11-22T02:30:00Z</cp:lastPrinted>
  <dcterms:created xsi:type="dcterms:W3CDTF">2019-11-25T22:22:00Z</dcterms:created>
  <dcterms:modified xsi:type="dcterms:W3CDTF">2019-11-28T03:37:00Z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