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Risk assessment"/>
      </w:tblPr>
      <w:tblGrid>
        <w:gridCol w:w="4678"/>
        <w:gridCol w:w="8080"/>
        <w:gridCol w:w="2551"/>
        <w:gridCol w:w="79"/>
      </w:tblGrid>
      <w:tr w:rsidR="00F5673C" w14:paraId="73506871" w14:textId="77777777" w:rsidTr="00D523F1">
        <w:trPr>
          <w:trHeight w:val="2301"/>
          <w:tblHeader/>
        </w:trPr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6AF19" w14:textId="77777777" w:rsidR="00F5673C" w:rsidRDefault="00F5673C" w:rsidP="00F5673C">
            <w:pPr>
              <w:keepLines w:val="0"/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Using the following table, please describe the major risks associated with the proposed </w:t>
            </w:r>
            <w:r>
              <w:rPr>
                <w:rFonts w:ascii="Calibri" w:eastAsia="Calibri" w:hAnsi="Calibri"/>
                <w:sz w:val="20"/>
                <w:lang w:eastAsia="en-US"/>
              </w:rPr>
              <w:t>activity/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>project. Describe the actions proposed to manage these risks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and i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nclude anything that may impede the timely delivery of the </w:t>
            </w:r>
            <w:r>
              <w:rPr>
                <w:rFonts w:ascii="Calibri" w:eastAsia="Calibri" w:hAnsi="Calibri"/>
                <w:sz w:val="20"/>
                <w:lang w:eastAsia="en-US"/>
              </w:rPr>
              <w:t>activity/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project or negatively impact on the quality of the outcomes. </w:t>
            </w:r>
          </w:p>
          <w:p w14:paraId="7EE8325D" w14:textId="77777777" w:rsidR="00F5673C" w:rsidRPr="00FF1D03" w:rsidRDefault="00F5673C" w:rsidP="00F5673C">
            <w:pPr>
              <w:keepLines w:val="0"/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It is likely that you will identify 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>risks associated with:</w:t>
            </w:r>
          </w:p>
          <w:p w14:paraId="2CE10349" w14:textId="77777777" w:rsidR="00F5673C" w:rsidRPr="00FF1D03" w:rsidRDefault="00F5673C" w:rsidP="00F5673C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Resources </w:t>
            </w:r>
            <w:r>
              <w:rPr>
                <w:rFonts w:ascii="Calibri" w:eastAsia="Calibri" w:hAnsi="Calibri"/>
                <w:sz w:val="20"/>
                <w:lang w:eastAsia="en-US"/>
              </w:rPr>
              <w:t>such as the availability of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appropriately skilled staff over the length of the activity/project. </w:t>
            </w:r>
          </w:p>
          <w:p w14:paraId="4F47D7C4" w14:textId="77777777" w:rsidR="00F5673C" w:rsidRPr="00FF1D03" w:rsidRDefault="00F5673C" w:rsidP="00F5673C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 w:rsidRPr="00080BC4">
              <w:rPr>
                <w:rFonts w:ascii="Calibri" w:eastAsia="Calibri" w:hAnsi="Calibri"/>
                <w:b/>
                <w:sz w:val="20"/>
                <w:lang w:eastAsia="en-US"/>
              </w:rPr>
              <w:t>Significant events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 that may impact on the </w:t>
            </w:r>
            <w:r>
              <w:rPr>
                <w:rFonts w:ascii="Calibri" w:eastAsia="Calibri" w:hAnsi="Calibri"/>
                <w:sz w:val="20"/>
                <w:lang w:eastAsia="en-US"/>
              </w:rPr>
              <w:t>activity/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>project, including unexpected weather events</w:t>
            </w:r>
            <w:r>
              <w:rPr>
                <w:rFonts w:ascii="Calibri" w:eastAsia="Calibri" w:hAnsi="Calibri"/>
                <w:sz w:val="20"/>
                <w:lang w:eastAsia="en-US"/>
              </w:rPr>
              <w:t>, travel alerts, other events that may delay or hinder the delivery of the activity/project</w:t>
            </w:r>
          </w:p>
          <w:p w14:paraId="122D68A7" w14:textId="77777777" w:rsidR="00F5673C" w:rsidRPr="00F5673C" w:rsidRDefault="00F5673C" w:rsidP="000B74F7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 w:rsidRPr="00F5673C">
              <w:rPr>
                <w:rFonts w:ascii="Calibri" w:eastAsia="Calibri" w:hAnsi="Calibri"/>
                <w:b/>
                <w:sz w:val="20"/>
                <w:lang w:eastAsia="en-US"/>
              </w:rPr>
              <w:t xml:space="preserve">Work health and safety risks </w:t>
            </w:r>
          </w:p>
          <w:p w14:paraId="7314781A" w14:textId="77777777" w:rsidR="00F5673C" w:rsidRPr="00FF1D03" w:rsidRDefault="00F5673C" w:rsidP="00F5673C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sz w:val="20"/>
              </w:rPr>
            </w:pPr>
            <w:r w:rsidRPr="00F5673C">
              <w:rPr>
                <w:rFonts w:ascii="Calibri" w:eastAsia="Calibri" w:hAnsi="Calibri"/>
                <w:b/>
                <w:sz w:val="20"/>
                <w:lang w:eastAsia="en-US"/>
              </w:rPr>
              <w:t xml:space="preserve">Variance in budget or time </w:t>
            </w:r>
            <w:r w:rsidRPr="00F5673C">
              <w:rPr>
                <w:rFonts w:ascii="Calibri" w:eastAsia="Calibri" w:hAnsi="Calibri"/>
                <w:sz w:val="20"/>
                <w:lang w:eastAsia="en-US"/>
              </w:rPr>
              <w:t>scope creep, costs increase</w:t>
            </w:r>
          </w:p>
        </w:tc>
      </w:tr>
      <w:tr w:rsidR="00BE7DA1" w14:paraId="61CDB33A" w14:textId="77777777" w:rsidTr="00F5673C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39F93" w14:textId="77777777" w:rsidR="00BE7DA1" w:rsidRPr="00BE7DA1" w:rsidRDefault="00BE7DA1" w:rsidP="00BE7DA1">
            <w:pPr>
              <w:keepLines w:val="0"/>
              <w:spacing w:before="120" w:beforeAutospacing="0" w:after="0" w:afterAutospacing="0"/>
            </w:pPr>
          </w:p>
        </w:tc>
      </w:tr>
      <w:tr w:rsidR="00F5673C" w14:paraId="5E00E951" w14:textId="77777777" w:rsidTr="00F5673C">
        <w:trPr>
          <w:gridAfter w:val="1"/>
          <w:wAfter w:w="79" w:type="dxa"/>
          <w:trHeight w:val="406"/>
          <w:tblHeader/>
        </w:trPr>
        <w:tc>
          <w:tcPr>
            <w:tcW w:w="4678" w:type="dxa"/>
            <w:vMerge w:val="restart"/>
          </w:tcPr>
          <w:p w14:paraId="2B619668" w14:textId="77777777" w:rsidR="00F5673C" w:rsidRPr="006D1FB5" w:rsidRDefault="00F5673C" w:rsidP="00BE7D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Describe t</w:t>
            </w:r>
            <w:r w:rsidRPr="006D1FB5">
              <w:rPr>
                <w:b/>
                <w:sz w:val="18"/>
              </w:rPr>
              <w:t>he risk</w:t>
            </w:r>
          </w:p>
        </w:tc>
        <w:tc>
          <w:tcPr>
            <w:tcW w:w="8080" w:type="dxa"/>
            <w:vMerge w:val="restart"/>
          </w:tcPr>
          <w:p w14:paraId="59D3E18E" w14:textId="77777777" w:rsidR="00F5673C" w:rsidRPr="00F5673C" w:rsidRDefault="00F5673C" w:rsidP="00F5673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Describe how the risk will be managed</w:t>
            </w:r>
          </w:p>
        </w:tc>
        <w:tc>
          <w:tcPr>
            <w:tcW w:w="2551" w:type="dxa"/>
          </w:tcPr>
          <w:p w14:paraId="3080F342" w14:textId="77777777" w:rsidR="00F5673C" w:rsidRPr="00FE341B" w:rsidRDefault="00F5673C" w:rsidP="00F5673C">
            <w:pPr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 xml:space="preserve">isk level </w:t>
            </w:r>
            <w:r>
              <w:rPr>
                <w:i/>
                <w:sz w:val="18"/>
              </w:rPr>
              <w:t>(after risk is managed)</w:t>
            </w:r>
          </w:p>
        </w:tc>
      </w:tr>
      <w:tr w:rsidR="00F5673C" w14:paraId="622493FA" w14:textId="77777777" w:rsidTr="00F5673C">
        <w:trPr>
          <w:gridAfter w:val="1"/>
          <w:wAfter w:w="79" w:type="dxa"/>
          <w:trHeight w:val="406"/>
        </w:trPr>
        <w:tc>
          <w:tcPr>
            <w:tcW w:w="4678" w:type="dxa"/>
            <w:vMerge/>
          </w:tcPr>
          <w:p w14:paraId="6403A70F" w14:textId="77777777"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92D050"/>
          </w:tcPr>
          <w:p w14:paraId="7B2CD418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14:paraId="01D1A145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Low</w:t>
            </w:r>
          </w:p>
        </w:tc>
      </w:tr>
      <w:tr w:rsidR="00F5673C" w14:paraId="3C4C87DE" w14:textId="77777777" w:rsidTr="00F5673C">
        <w:trPr>
          <w:gridAfter w:val="1"/>
          <w:wAfter w:w="79" w:type="dxa"/>
          <w:trHeight w:val="406"/>
        </w:trPr>
        <w:tc>
          <w:tcPr>
            <w:tcW w:w="4678" w:type="dxa"/>
            <w:vMerge/>
          </w:tcPr>
          <w:p w14:paraId="304DDBB4" w14:textId="77777777"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FFFF00"/>
          </w:tcPr>
          <w:p w14:paraId="35F258DD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14:paraId="2D47F346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Medium</w:t>
            </w:r>
          </w:p>
        </w:tc>
      </w:tr>
      <w:tr w:rsidR="00F5673C" w14:paraId="53D3BCB3" w14:textId="77777777" w:rsidTr="00F5673C">
        <w:trPr>
          <w:gridAfter w:val="1"/>
          <w:wAfter w:w="79" w:type="dxa"/>
          <w:trHeight w:val="406"/>
        </w:trPr>
        <w:tc>
          <w:tcPr>
            <w:tcW w:w="4678" w:type="dxa"/>
            <w:vMerge/>
          </w:tcPr>
          <w:p w14:paraId="5F051568" w14:textId="77777777"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FFC000"/>
          </w:tcPr>
          <w:p w14:paraId="611314BD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FFC000"/>
            <w:vAlign w:val="center"/>
          </w:tcPr>
          <w:p w14:paraId="340F8E52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High</w:t>
            </w:r>
          </w:p>
        </w:tc>
      </w:tr>
      <w:tr w:rsidR="00F5673C" w14:paraId="6C46E002" w14:textId="77777777" w:rsidTr="00F5673C">
        <w:trPr>
          <w:gridAfter w:val="1"/>
          <w:wAfter w:w="79" w:type="dxa"/>
          <w:trHeight w:val="406"/>
        </w:trPr>
        <w:tc>
          <w:tcPr>
            <w:tcW w:w="4678" w:type="dxa"/>
            <w:vMerge/>
          </w:tcPr>
          <w:p w14:paraId="7CFB01DB" w14:textId="77777777"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FF0000"/>
          </w:tcPr>
          <w:p w14:paraId="44831ECD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FF0000"/>
            <w:vAlign w:val="center"/>
          </w:tcPr>
          <w:p w14:paraId="75417C34" w14:textId="77777777"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Extreme</w:t>
            </w:r>
          </w:p>
        </w:tc>
      </w:tr>
      <w:tr w:rsidR="00F5673C" w14:paraId="3F5A985F" w14:textId="77777777" w:rsidTr="00F5673C">
        <w:trPr>
          <w:gridAfter w:val="1"/>
          <w:wAfter w:w="79" w:type="dxa"/>
        </w:trPr>
        <w:tc>
          <w:tcPr>
            <w:tcW w:w="4678" w:type="dxa"/>
          </w:tcPr>
          <w:p w14:paraId="760C9626" w14:textId="77777777" w:rsidR="00F5673C" w:rsidRPr="00FF1D03" w:rsidRDefault="00F5673C" w:rsidP="00BE7DA1">
            <w:pPr>
              <w:rPr>
                <w:rFonts w:asciiTheme="majorHAnsi" w:hAnsiTheme="majorHAnsi"/>
                <w:color w:val="A6A6A6" w:themeColor="background1" w:themeShade="A6"/>
                <w:sz w:val="16"/>
              </w:rPr>
            </w:pPr>
          </w:p>
        </w:tc>
        <w:tc>
          <w:tcPr>
            <w:tcW w:w="8080" w:type="dxa"/>
            <w:shd w:val="clear" w:color="auto" w:fill="auto"/>
          </w:tcPr>
          <w:p w14:paraId="5BE91F85" w14:textId="77777777" w:rsidR="00F5673C" w:rsidRPr="00FF1D03" w:rsidRDefault="00F5673C" w:rsidP="00BE7DA1">
            <w:pPr>
              <w:rPr>
                <w:rFonts w:asciiTheme="majorHAnsi" w:hAnsiTheme="majorHAnsi"/>
                <w:color w:val="767171" w:themeColor="background2" w:themeShade="80"/>
                <w:sz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196B2AED" w14:textId="77777777" w:rsidR="00F5673C" w:rsidRPr="00FF1D03" w:rsidRDefault="00F5673C" w:rsidP="00BE7DA1">
            <w:pPr>
              <w:rPr>
                <w:rFonts w:asciiTheme="majorHAnsi" w:hAnsiTheme="majorHAnsi"/>
                <w:color w:val="A6A6A6" w:themeColor="background1" w:themeShade="A6"/>
                <w:sz w:val="16"/>
              </w:rPr>
            </w:pPr>
          </w:p>
        </w:tc>
      </w:tr>
      <w:tr w:rsidR="00F5673C" w14:paraId="28357972" w14:textId="77777777" w:rsidTr="00F5673C">
        <w:trPr>
          <w:gridAfter w:val="1"/>
          <w:wAfter w:w="79" w:type="dxa"/>
        </w:trPr>
        <w:tc>
          <w:tcPr>
            <w:tcW w:w="4678" w:type="dxa"/>
          </w:tcPr>
          <w:p w14:paraId="119438ED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E58895A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259A36CF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14:paraId="51660826" w14:textId="77777777" w:rsidTr="00F5673C">
        <w:trPr>
          <w:gridAfter w:val="1"/>
          <w:wAfter w:w="79" w:type="dxa"/>
        </w:trPr>
        <w:tc>
          <w:tcPr>
            <w:tcW w:w="4678" w:type="dxa"/>
          </w:tcPr>
          <w:p w14:paraId="2680C084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46640F9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D77310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14:paraId="763DC16A" w14:textId="77777777" w:rsidTr="00F5673C">
        <w:trPr>
          <w:gridAfter w:val="1"/>
          <w:wAfter w:w="79" w:type="dxa"/>
        </w:trPr>
        <w:tc>
          <w:tcPr>
            <w:tcW w:w="4678" w:type="dxa"/>
          </w:tcPr>
          <w:p w14:paraId="525383C1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8F256CE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F918EB" w14:textId="77777777"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FE90379" w14:textId="77777777" w:rsidR="002810A1" w:rsidRDefault="002810A1" w:rsidP="004C0334">
      <w:pPr>
        <w:keepLines w:val="0"/>
        <w:spacing w:before="0" w:beforeAutospacing="0" w:after="160" w:afterAutospacing="0" w:line="259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isk level descriptions"/>
      </w:tblPr>
      <w:tblGrid>
        <w:gridCol w:w="2551"/>
        <w:gridCol w:w="5666"/>
      </w:tblGrid>
      <w:tr w:rsidR="001966EA" w:rsidRPr="006D1FB5" w14:paraId="3A1275C7" w14:textId="77777777" w:rsidTr="00D523F1">
        <w:trPr>
          <w:trHeight w:val="406"/>
          <w:tblHeader/>
        </w:trPr>
        <w:tc>
          <w:tcPr>
            <w:tcW w:w="2551" w:type="dxa"/>
            <w:shd w:val="clear" w:color="auto" w:fill="auto"/>
            <w:vAlign w:val="center"/>
          </w:tcPr>
          <w:p w14:paraId="40C29A58" w14:textId="15107371" w:rsidR="001966EA" w:rsidRPr="006D1FB5" w:rsidRDefault="001966EA" w:rsidP="001966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 Level</w:t>
            </w:r>
          </w:p>
        </w:tc>
        <w:tc>
          <w:tcPr>
            <w:tcW w:w="5666" w:type="dxa"/>
            <w:shd w:val="clear" w:color="auto" w:fill="auto"/>
          </w:tcPr>
          <w:p w14:paraId="04A7F298" w14:textId="50DA8C68" w:rsidR="001966EA" w:rsidRPr="006D1FB5" w:rsidRDefault="001966EA" w:rsidP="001966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</w:tr>
      <w:tr w:rsidR="001966EA" w:rsidRPr="006D1FB5" w14:paraId="11EFCAFA" w14:textId="67EC8937" w:rsidTr="001966EA">
        <w:trPr>
          <w:trHeight w:val="406"/>
        </w:trPr>
        <w:tc>
          <w:tcPr>
            <w:tcW w:w="2551" w:type="dxa"/>
            <w:shd w:val="clear" w:color="auto" w:fill="92D050"/>
            <w:vAlign w:val="center"/>
          </w:tcPr>
          <w:p w14:paraId="0C902BDF" w14:textId="77777777" w:rsidR="001966EA" w:rsidRPr="006D1FB5" w:rsidRDefault="001966EA" w:rsidP="00E06646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Low</w:t>
            </w:r>
          </w:p>
        </w:tc>
        <w:tc>
          <w:tcPr>
            <w:tcW w:w="5666" w:type="dxa"/>
            <w:shd w:val="clear" w:color="auto" w:fill="auto"/>
          </w:tcPr>
          <w:p w14:paraId="7858FD2F" w14:textId="6396D566" w:rsidR="001966EA" w:rsidRPr="001966EA" w:rsidRDefault="001966EA" w:rsidP="001966EA">
            <w:pPr>
              <w:rPr>
                <w:sz w:val="18"/>
              </w:rPr>
            </w:pPr>
            <w:r w:rsidRPr="001966EA">
              <w:rPr>
                <w:sz w:val="18"/>
              </w:rPr>
              <w:t xml:space="preserve">Risk </w:t>
            </w:r>
            <w:proofErr w:type="gramStart"/>
            <w:r w:rsidRPr="001966EA">
              <w:rPr>
                <w:sz w:val="18"/>
              </w:rPr>
              <w:t xml:space="preserve">is </w:t>
            </w:r>
            <w:r>
              <w:rPr>
                <w:sz w:val="18"/>
              </w:rPr>
              <w:t>assessed</w:t>
            </w:r>
            <w:proofErr w:type="gramEnd"/>
            <w:r>
              <w:rPr>
                <w:sz w:val="18"/>
              </w:rPr>
              <w:t xml:space="preserve"> as low or minimal. No action required.</w:t>
            </w:r>
          </w:p>
        </w:tc>
      </w:tr>
      <w:tr w:rsidR="001966EA" w:rsidRPr="006D1FB5" w14:paraId="44BB1156" w14:textId="08F5FE19" w:rsidTr="001966EA">
        <w:trPr>
          <w:trHeight w:val="406"/>
        </w:trPr>
        <w:tc>
          <w:tcPr>
            <w:tcW w:w="2551" w:type="dxa"/>
            <w:shd w:val="clear" w:color="auto" w:fill="FFFF00"/>
            <w:vAlign w:val="center"/>
          </w:tcPr>
          <w:p w14:paraId="374A9ECE" w14:textId="77777777" w:rsidR="001966EA" w:rsidRPr="006D1FB5" w:rsidRDefault="001966EA" w:rsidP="00E06646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Medium</w:t>
            </w:r>
          </w:p>
        </w:tc>
        <w:tc>
          <w:tcPr>
            <w:tcW w:w="5666" w:type="dxa"/>
            <w:shd w:val="clear" w:color="auto" w:fill="auto"/>
          </w:tcPr>
          <w:p w14:paraId="6021A8AC" w14:textId="26E6677B" w:rsidR="001966EA" w:rsidRPr="001966EA" w:rsidRDefault="001966EA" w:rsidP="001966EA">
            <w:pPr>
              <w:rPr>
                <w:sz w:val="18"/>
              </w:rPr>
            </w:pPr>
            <w:r>
              <w:rPr>
                <w:sz w:val="18"/>
              </w:rPr>
              <w:t>There is a medium level of risk</w:t>
            </w:r>
            <w:r w:rsidR="000466F2">
              <w:rPr>
                <w:sz w:val="18"/>
              </w:rPr>
              <w:t xml:space="preserve"> but controls are in place and are effective. Monitor the risk, but no further action required. </w:t>
            </w:r>
          </w:p>
        </w:tc>
      </w:tr>
      <w:tr w:rsidR="001966EA" w:rsidRPr="006D1FB5" w14:paraId="0982BB2C" w14:textId="0650B30B" w:rsidTr="001966EA">
        <w:trPr>
          <w:trHeight w:val="406"/>
        </w:trPr>
        <w:tc>
          <w:tcPr>
            <w:tcW w:w="2551" w:type="dxa"/>
            <w:shd w:val="clear" w:color="auto" w:fill="FFC000"/>
            <w:vAlign w:val="center"/>
          </w:tcPr>
          <w:p w14:paraId="5794FB8A" w14:textId="77777777" w:rsidR="001966EA" w:rsidRPr="006D1FB5" w:rsidRDefault="001966EA" w:rsidP="00E06646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High</w:t>
            </w:r>
          </w:p>
        </w:tc>
        <w:tc>
          <w:tcPr>
            <w:tcW w:w="5666" w:type="dxa"/>
            <w:shd w:val="clear" w:color="auto" w:fill="auto"/>
          </w:tcPr>
          <w:p w14:paraId="60F15754" w14:textId="35CA9530" w:rsidR="001966EA" w:rsidRPr="001966EA" w:rsidRDefault="001966EA" w:rsidP="0025071C">
            <w:pPr>
              <w:rPr>
                <w:sz w:val="18"/>
              </w:rPr>
            </w:pPr>
            <w:r>
              <w:rPr>
                <w:sz w:val="18"/>
              </w:rPr>
              <w:t xml:space="preserve">The risk level remains high. </w:t>
            </w:r>
            <w:r w:rsidR="000466F2">
              <w:rPr>
                <w:sz w:val="18"/>
              </w:rPr>
              <w:t>Consider additional controls to manage and/or lower the risk. You will be required to report on the risk</w:t>
            </w:r>
            <w:r w:rsidR="0025071C">
              <w:rPr>
                <w:sz w:val="18"/>
              </w:rPr>
              <w:t xml:space="preserve"> as specified in the Activity Work </w:t>
            </w:r>
            <w:proofErr w:type="gramStart"/>
            <w:r w:rsidR="0025071C">
              <w:rPr>
                <w:sz w:val="18"/>
              </w:rPr>
              <w:t>Plan which</w:t>
            </w:r>
            <w:proofErr w:type="gramEnd"/>
            <w:r w:rsidR="0025071C">
              <w:rPr>
                <w:sz w:val="18"/>
              </w:rPr>
              <w:t xml:space="preserve"> forms part of the Grant Agreement. </w:t>
            </w:r>
          </w:p>
        </w:tc>
      </w:tr>
      <w:tr w:rsidR="001966EA" w:rsidRPr="006D1FB5" w14:paraId="4EBA3541" w14:textId="25B02369" w:rsidTr="001966EA">
        <w:trPr>
          <w:trHeight w:val="406"/>
        </w:trPr>
        <w:tc>
          <w:tcPr>
            <w:tcW w:w="2551" w:type="dxa"/>
            <w:shd w:val="clear" w:color="auto" w:fill="FF0000"/>
            <w:vAlign w:val="center"/>
          </w:tcPr>
          <w:p w14:paraId="775338E2" w14:textId="77777777" w:rsidR="001966EA" w:rsidRPr="006D1FB5" w:rsidRDefault="001966EA" w:rsidP="00E06646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Extreme</w:t>
            </w:r>
          </w:p>
        </w:tc>
        <w:tc>
          <w:tcPr>
            <w:tcW w:w="5666" w:type="dxa"/>
            <w:shd w:val="clear" w:color="auto" w:fill="auto"/>
          </w:tcPr>
          <w:p w14:paraId="714B2A37" w14:textId="5BCDB3FB" w:rsidR="001966EA" w:rsidRPr="001966EA" w:rsidRDefault="0025071C" w:rsidP="0025071C">
            <w:pPr>
              <w:rPr>
                <w:sz w:val="18"/>
              </w:rPr>
            </w:pPr>
            <w:r>
              <w:rPr>
                <w:sz w:val="18"/>
              </w:rPr>
              <w:t xml:space="preserve">The risk level is not acceptable and the activity </w:t>
            </w:r>
            <w:proofErr w:type="gramStart"/>
            <w:r>
              <w:rPr>
                <w:sz w:val="18"/>
              </w:rPr>
              <w:t>should be avoided</w:t>
            </w:r>
            <w:proofErr w:type="gramEnd"/>
            <w:r>
              <w:rPr>
                <w:sz w:val="18"/>
              </w:rPr>
              <w:t xml:space="preserve">. If the risk can be lowered through immediate mitigating </w:t>
            </w:r>
            <w:proofErr w:type="gramStart"/>
            <w:r>
              <w:rPr>
                <w:sz w:val="18"/>
              </w:rPr>
              <w:t>action</w:t>
            </w:r>
            <w:proofErr w:type="gramEnd"/>
            <w:r>
              <w:rPr>
                <w:sz w:val="18"/>
              </w:rPr>
              <w:t xml:space="preserve"> you will be required to review, monitor and report on the risk as specified in the Activity Work Plan which forms part of the Grant Agreement.</w:t>
            </w:r>
          </w:p>
        </w:tc>
      </w:tr>
    </w:tbl>
    <w:p w14:paraId="59110FB3" w14:textId="77777777" w:rsidR="00624843" w:rsidRPr="00FA5170" w:rsidRDefault="00624843" w:rsidP="004C0334">
      <w:pPr>
        <w:keepLines w:val="0"/>
        <w:spacing w:before="0" w:beforeAutospacing="0" w:after="160" w:afterAutospacing="0" w:line="259" w:lineRule="auto"/>
        <w:rPr>
          <w:rFonts w:asciiTheme="minorHAnsi" w:hAnsiTheme="minorHAnsi"/>
        </w:rPr>
      </w:pPr>
    </w:p>
    <w:sectPr w:rsidR="00624843" w:rsidRPr="00FA5170" w:rsidSect="00FA5170">
      <w:headerReference w:type="default" r:id="rId7"/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FB8C6" w14:textId="77777777" w:rsidR="008A58BC" w:rsidRDefault="008A58BC" w:rsidP="00BE7DA1">
      <w:pPr>
        <w:spacing w:before="0" w:after="0"/>
      </w:pPr>
      <w:r>
        <w:separator/>
      </w:r>
    </w:p>
  </w:endnote>
  <w:endnote w:type="continuationSeparator" w:id="0">
    <w:p w14:paraId="4D85A40C" w14:textId="77777777" w:rsidR="008A58BC" w:rsidRDefault="008A58BC" w:rsidP="00BE7D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644276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88592846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49E9C542" w14:textId="08E761E1" w:rsidR="00FA5170" w:rsidRPr="003B06E3" w:rsidRDefault="003B06E3" w:rsidP="003B06E3">
                <w:pPr>
                  <w:pStyle w:val="Footer"/>
                  <w:jc w:val="right"/>
                  <w:rPr>
                    <w:sz w:val="18"/>
                  </w:rPr>
                </w:pPr>
                <w:r w:rsidRPr="00DB2454">
                  <w:rPr>
                    <w:sz w:val="18"/>
                  </w:rPr>
                  <w:t>A</w:t>
                </w:r>
                <w:r w:rsidR="00F5673C">
                  <w:rPr>
                    <w:sz w:val="18"/>
                  </w:rPr>
                  <w:t xml:space="preserve">TMAC </w:t>
                </w:r>
                <w:r w:rsidRPr="00DB2454">
                  <w:rPr>
                    <w:sz w:val="18"/>
                  </w:rPr>
                  <w:t>| 20</w:t>
                </w:r>
                <w:r w:rsidR="00F5673C">
                  <w:rPr>
                    <w:sz w:val="18"/>
                  </w:rPr>
                  <w:t>20</w:t>
                </w:r>
                <w:r>
                  <w:rPr>
                    <w:sz w:val="18"/>
                  </w:rPr>
                  <w:t xml:space="preserve">             </w:t>
                </w:r>
                <w:r w:rsidRPr="00CE1AA2">
                  <w:rPr>
                    <w:sz w:val="18"/>
                  </w:rPr>
                  <w:t xml:space="preserve">Page 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Pr="00CE1AA2">
                  <w:rPr>
                    <w:b/>
                    <w:bCs/>
                    <w:sz w:val="18"/>
                  </w:rPr>
                  <w:instrText xml:space="preserve"> PAGE </w:instrTex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D523F1">
                  <w:rPr>
                    <w:b/>
                    <w:bCs/>
                    <w:noProof/>
                    <w:sz w:val="18"/>
                  </w:rPr>
                  <w:t>1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  <w:r w:rsidRPr="00CE1AA2">
                  <w:rPr>
                    <w:sz w:val="18"/>
                  </w:rPr>
                  <w:t xml:space="preserve"> of 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Pr="00CE1AA2">
                  <w:rPr>
                    <w:b/>
                    <w:bCs/>
                    <w:sz w:val="18"/>
                  </w:rPr>
                  <w:instrText xml:space="preserve"> NUMPAGES  </w:instrTex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D523F1">
                  <w:rPr>
                    <w:b/>
                    <w:bCs/>
                    <w:noProof/>
                    <w:sz w:val="18"/>
                  </w:rPr>
                  <w:t>1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085E" w14:textId="77777777" w:rsidR="008A58BC" w:rsidRDefault="008A58BC" w:rsidP="00BE7DA1">
      <w:pPr>
        <w:spacing w:before="0" w:after="0"/>
      </w:pPr>
      <w:r>
        <w:separator/>
      </w:r>
    </w:p>
  </w:footnote>
  <w:footnote w:type="continuationSeparator" w:id="0">
    <w:p w14:paraId="2F09EF87" w14:textId="77777777" w:rsidR="008A58BC" w:rsidRDefault="008A58BC" w:rsidP="00BE7D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4A26" w14:textId="77777777" w:rsidR="00BE7DA1" w:rsidRPr="00F5673C" w:rsidRDefault="00BE7DA1" w:rsidP="003B06E3">
    <w:pPr>
      <w:keepLines w:val="0"/>
      <w:spacing w:before="0" w:beforeAutospacing="0" w:after="240" w:afterAutospacing="0" w:line="259" w:lineRule="auto"/>
      <w:jc w:val="center"/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</w:pPr>
    <w:r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>Risk assessment</w:t>
    </w:r>
    <w:r w:rsidR="00F5673C"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 xml:space="preserve"> </w:t>
    </w:r>
    <w:r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>– [</w:t>
    </w:r>
    <w:r w:rsidR="00F5673C" w:rsidRPr="00F5673C">
      <w:rPr>
        <w:rFonts w:asciiTheme="minorHAnsi" w:hAnsiTheme="minorHAnsi"/>
        <w:b/>
        <w:spacing w:val="-10"/>
        <w:sz w:val="36"/>
        <w:szCs w:val="40"/>
      </w:rPr>
      <w:t>Project/Activity Name</w:t>
    </w:r>
    <w:r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9"/>
    <w:multiLevelType w:val="hybridMultilevel"/>
    <w:tmpl w:val="909E6B58"/>
    <w:lvl w:ilvl="0" w:tplc="5D586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40780"/>
    <w:multiLevelType w:val="hybridMultilevel"/>
    <w:tmpl w:val="07164FDA"/>
    <w:lvl w:ilvl="0" w:tplc="C6AC5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27294"/>
    <w:multiLevelType w:val="hybridMultilevel"/>
    <w:tmpl w:val="D3087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07BA"/>
    <w:multiLevelType w:val="hybridMultilevel"/>
    <w:tmpl w:val="337220BA"/>
    <w:lvl w:ilvl="0" w:tplc="C2D03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64319"/>
    <w:multiLevelType w:val="multilevel"/>
    <w:tmpl w:val="909C3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A1"/>
    <w:rsid w:val="00023A7F"/>
    <w:rsid w:val="000466F2"/>
    <w:rsid w:val="00076853"/>
    <w:rsid w:val="00080BC4"/>
    <w:rsid w:val="001966EA"/>
    <w:rsid w:val="0025071C"/>
    <w:rsid w:val="002736E2"/>
    <w:rsid w:val="002810A1"/>
    <w:rsid w:val="00293D29"/>
    <w:rsid w:val="0030590F"/>
    <w:rsid w:val="003A5C9A"/>
    <w:rsid w:val="003B06E3"/>
    <w:rsid w:val="004C0334"/>
    <w:rsid w:val="00516009"/>
    <w:rsid w:val="00555DB3"/>
    <w:rsid w:val="00624843"/>
    <w:rsid w:val="00636FBB"/>
    <w:rsid w:val="006D1FB5"/>
    <w:rsid w:val="00702E17"/>
    <w:rsid w:val="00821A65"/>
    <w:rsid w:val="008A58BC"/>
    <w:rsid w:val="008A5990"/>
    <w:rsid w:val="008E6042"/>
    <w:rsid w:val="009E6BE2"/>
    <w:rsid w:val="00AB1C9B"/>
    <w:rsid w:val="00AE2853"/>
    <w:rsid w:val="00B312A4"/>
    <w:rsid w:val="00B82EFD"/>
    <w:rsid w:val="00BA40FF"/>
    <w:rsid w:val="00BE7DA1"/>
    <w:rsid w:val="00D523F1"/>
    <w:rsid w:val="00EF4EFF"/>
    <w:rsid w:val="00F5673C"/>
    <w:rsid w:val="00F620C8"/>
    <w:rsid w:val="00FA5170"/>
    <w:rsid w:val="00FE341B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5460"/>
  <w15:chartTrackingRefBased/>
  <w15:docId w15:val="{E367A1E1-6C46-4D6E-95EB-71E2A83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A1"/>
    <w:pPr>
      <w:keepLines/>
      <w:spacing w:before="100" w:beforeAutospacing="1" w:after="100" w:afterAutospacing="1" w:line="240" w:lineRule="auto"/>
    </w:pPr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D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7DA1"/>
  </w:style>
  <w:style w:type="paragraph" w:styleId="Footer">
    <w:name w:val="footer"/>
    <w:basedOn w:val="Normal"/>
    <w:link w:val="FooterChar"/>
    <w:uiPriority w:val="99"/>
    <w:unhideWhenUsed/>
    <w:rsid w:val="00BE7D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7DA1"/>
  </w:style>
  <w:style w:type="table" w:styleId="TableGrid">
    <w:name w:val="Table Grid"/>
    <w:basedOn w:val="TableNormal"/>
    <w:uiPriority w:val="39"/>
    <w:rsid w:val="00BE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D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2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E17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E17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E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17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82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Marianne</dc:creator>
  <cp:keywords/>
  <dc:description/>
  <cp:lastModifiedBy>DONATH, Kristen</cp:lastModifiedBy>
  <cp:revision>7</cp:revision>
  <dcterms:created xsi:type="dcterms:W3CDTF">2019-11-21T23:47:00Z</dcterms:created>
  <dcterms:modified xsi:type="dcterms:W3CDTF">2019-11-28T04:30:00Z</dcterms:modified>
</cp:coreProperties>
</file>